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C4F9F98" w14:textId="77777777" w:rsidR="00040F2E" w:rsidRPr="00955972" w:rsidRDefault="00040F2E" w:rsidP="00040F2E">
      <w:bookmarkStart w:id="0" w:name="_GoBack"/>
      <w:bookmarkEnd w:id="0"/>
      <w:r>
        <w:rPr>
          <w:noProof/>
          <w:lang w:eastAsia="da-DK"/>
        </w:rPr>
        <w:drawing>
          <wp:inline distT="0" distB="0" distL="0" distR="0" wp14:anchorId="6727B1B6" wp14:editId="78D980E2">
            <wp:extent cx="2428875" cy="685800"/>
            <wp:effectExtent l="0" t="0" r="9525" b="0"/>
            <wp:docPr id="1" name="Billede 3" descr="C:\Users\marh\AppData\Local\Microsoft\Windows\Temporary Internet Files\Content.Outlook\3DQ1N8R9\LMST_auto_stor.jpg"/>
            <wp:cNvGraphicFramePr/>
            <a:graphic xmlns:a="http://schemas.openxmlformats.org/drawingml/2006/main">
              <a:graphicData uri="http://schemas.openxmlformats.org/drawingml/2006/picture">
                <pic:pic xmlns:pic="http://schemas.openxmlformats.org/drawingml/2006/picture">
                  <pic:nvPicPr>
                    <pic:cNvPr id="1" name="Billede 3" descr="C:\Users\marh\AppData\Local\Microsoft\Windows\Temporary Internet Files\Content.Outlook\3DQ1N8R9\LMST_auto_stor.jpg"/>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2428875" cy="685800"/>
                    </a:xfrm>
                    <a:prstGeom prst="rect">
                      <a:avLst/>
                    </a:prstGeom>
                    <a:noFill/>
                    <a:ln>
                      <a:noFill/>
                    </a:ln>
                  </pic:spPr>
                </pic:pic>
              </a:graphicData>
            </a:graphic>
          </wp:inline>
        </w:drawing>
      </w:r>
    </w:p>
    <w:p w14:paraId="35AA438A" w14:textId="77777777" w:rsidR="00040F2E" w:rsidRPr="008154F3" w:rsidRDefault="00040F2E" w:rsidP="00040F2E">
      <w:pPr>
        <w:pStyle w:val="Titel"/>
        <w:jc w:val="left"/>
        <w:rPr>
          <w:b w:val="0"/>
          <w:szCs w:val="24"/>
        </w:rPr>
      </w:pPr>
    </w:p>
    <w:p w14:paraId="5FEDDD3F" w14:textId="41980688" w:rsidR="00040F2E" w:rsidRPr="00FA1C7C" w:rsidRDefault="00D32F9E" w:rsidP="00040F2E">
      <w:pPr>
        <w:pStyle w:val="Titel"/>
        <w:jc w:val="right"/>
        <w:rPr>
          <w:szCs w:val="24"/>
        </w:rPr>
      </w:pPr>
      <w:r>
        <w:rPr>
          <w:szCs w:val="24"/>
        </w:rPr>
        <w:t>26. februar 2025</w:t>
      </w:r>
    </w:p>
    <w:p w14:paraId="434DAB1A" w14:textId="77777777" w:rsidR="00040F2E" w:rsidRPr="008154F3" w:rsidRDefault="00040F2E" w:rsidP="00040F2E">
      <w:pPr>
        <w:pStyle w:val="Titel"/>
        <w:jc w:val="left"/>
        <w:rPr>
          <w:b w:val="0"/>
          <w:szCs w:val="24"/>
        </w:rPr>
      </w:pPr>
    </w:p>
    <w:p w14:paraId="3364E9CD" w14:textId="687251EC" w:rsidR="00582EF9" w:rsidRDefault="00582EF9" w:rsidP="00040F2E">
      <w:pPr>
        <w:jc w:val="center"/>
        <w:rPr>
          <w:b/>
          <w:sz w:val="24"/>
          <w:szCs w:val="24"/>
        </w:rPr>
      </w:pPr>
    </w:p>
    <w:p w14:paraId="04BDC146" w14:textId="77777777" w:rsidR="00DE7AAA" w:rsidRDefault="00DE7AAA" w:rsidP="00040F2E">
      <w:pPr>
        <w:jc w:val="center"/>
        <w:rPr>
          <w:b/>
          <w:sz w:val="24"/>
          <w:szCs w:val="24"/>
        </w:rPr>
      </w:pPr>
    </w:p>
    <w:p w14:paraId="416A2D7F" w14:textId="77777777" w:rsidR="00040F2E" w:rsidRPr="008154F3" w:rsidRDefault="00040F2E" w:rsidP="00040F2E">
      <w:pPr>
        <w:jc w:val="center"/>
        <w:rPr>
          <w:b/>
          <w:sz w:val="24"/>
          <w:szCs w:val="24"/>
        </w:rPr>
      </w:pPr>
      <w:r w:rsidRPr="008154F3">
        <w:rPr>
          <w:b/>
          <w:sz w:val="24"/>
          <w:szCs w:val="24"/>
        </w:rPr>
        <w:t>PRODUKTRESUMÉ</w:t>
      </w:r>
    </w:p>
    <w:p w14:paraId="21603AAE" w14:textId="77777777" w:rsidR="00040F2E" w:rsidRPr="008154F3" w:rsidRDefault="00040F2E" w:rsidP="00040F2E">
      <w:pPr>
        <w:jc w:val="center"/>
        <w:rPr>
          <w:b/>
          <w:sz w:val="24"/>
          <w:szCs w:val="24"/>
        </w:rPr>
      </w:pPr>
    </w:p>
    <w:p w14:paraId="03B7DB03" w14:textId="77777777" w:rsidR="00040F2E" w:rsidRPr="008154F3" w:rsidRDefault="00040F2E" w:rsidP="00040F2E">
      <w:pPr>
        <w:jc w:val="center"/>
        <w:rPr>
          <w:b/>
          <w:sz w:val="24"/>
          <w:szCs w:val="24"/>
        </w:rPr>
      </w:pPr>
      <w:r w:rsidRPr="008154F3">
        <w:rPr>
          <w:b/>
          <w:sz w:val="24"/>
          <w:szCs w:val="24"/>
        </w:rPr>
        <w:t>for</w:t>
      </w:r>
    </w:p>
    <w:p w14:paraId="3F59C59A" w14:textId="77777777" w:rsidR="00040F2E" w:rsidRPr="008154F3" w:rsidRDefault="00040F2E" w:rsidP="00040F2E">
      <w:pPr>
        <w:jc w:val="center"/>
        <w:rPr>
          <w:b/>
          <w:sz w:val="24"/>
          <w:szCs w:val="24"/>
        </w:rPr>
      </w:pPr>
    </w:p>
    <w:p w14:paraId="71FE71AB" w14:textId="77777777" w:rsidR="00040F2E" w:rsidRPr="00414C54" w:rsidRDefault="00040F2E" w:rsidP="00040F2E">
      <w:pPr>
        <w:jc w:val="center"/>
        <w:rPr>
          <w:b/>
          <w:sz w:val="24"/>
          <w:szCs w:val="24"/>
        </w:rPr>
      </w:pPr>
      <w:r w:rsidRPr="00414C54">
        <w:rPr>
          <w:b/>
          <w:sz w:val="24"/>
          <w:szCs w:val="24"/>
        </w:rPr>
        <w:t xml:space="preserve">Quetiapin </w:t>
      </w:r>
      <w:r>
        <w:rPr>
          <w:b/>
          <w:sz w:val="24"/>
          <w:szCs w:val="24"/>
        </w:rPr>
        <w:t>"</w:t>
      </w:r>
      <w:r w:rsidRPr="00414C54">
        <w:rPr>
          <w:b/>
          <w:sz w:val="24"/>
          <w:szCs w:val="24"/>
        </w:rPr>
        <w:t>Accord</w:t>
      </w:r>
      <w:r>
        <w:rPr>
          <w:b/>
          <w:sz w:val="24"/>
          <w:szCs w:val="24"/>
        </w:rPr>
        <w:t>"</w:t>
      </w:r>
      <w:r w:rsidRPr="00414C54">
        <w:rPr>
          <w:b/>
          <w:sz w:val="24"/>
          <w:szCs w:val="24"/>
        </w:rPr>
        <w:t xml:space="preserve">, filmovertrukne tabletter </w:t>
      </w:r>
    </w:p>
    <w:p w14:paraId="495BAD53" w14:textId="77777777" w:rsidR="00040F2E" w:rsidRDefault="00040F2E" w:rsidP="00040F2E">
      <w:pPr>
        <w:jc w:val="both"/>
        <w:rPr>
          <w:sz w:val="24"/>
          <w:szCs w:val="24"/>
        </w:rPr>
      </w:pPr>
    </w:p>
    <w:p w14:paraId="5D151AE6" w14:textId="77777777" w:rsidR="00040F2E" w:rsidRPr="00B50DD9" w:rsidRDefault="00040F2E" w:rsidP="00040F2E">
      <w:pPr>
        <w:jc w:val="both"/>
        <w:rPr>
          <w:sz w:val="24"/>
          <w:szCs w:val="24"/>
        </w:rPr>
      </w:pPr>
    </w:p>
    <w:p w14:paraId="0DB5C9EA" w14:textId="77777777" w:rsidR="00040F2E" w:rsidRPr="00B50DD9" w:rsidRDefault="00040F2E" w:rsidP="00040F2E">
      <w:pPr>
        <w:numPr>
          <w:ilvl w:val="0"/>
          <w:numId w:val="1"/>
        </w:numPr>
        <w:tabs>
          <w:tab w:val="clear" w:pos="855"/>
          <w:tab w:val="left" w:pos="851"/>
        </w:tabs>
        <w:rPr>
          <w:b/>
          <w:sz w:val="24"/>
          <w:szCs w:val="24"/>
        </w:rPr>
      </w:pPr>
      <w:r w:rsidRPr="00B50DD9">
        <w:rPr>
          <w:b/>
          <w:sz w:val="24"/>
          <w:szCs w:val="24"/>
        </w:rPr>
        <w:t>D.SP.NR.</w:t>
      </w:r>
    </w:p>
    <w:p w14:paraId="120FE01D" w14:textId="77777777" w:rsidR="00040F2E" w:rsidRPr="00B50DD9" w:rsidRDefault="00040F2E" w:rsidP="00040F2E">
      <w:pPr>
        <w:tabs>
          <w:tab w:val="left" w:pos="851"/>
        </w:tabs>
        <w:rPr>
          <w:sz w:val="24"/>
          <w:szCs w:val="24"/>
        </w:rPr>
      </w:pPr>
      <w:r w:rsidRPr="00B50DD9">
        <w:rPr>
          <w:sz w:val="24"/>
          <w:szCs w:val="24"/>
        </w:rPr>
        <w:tab/>
        <w:t>26756</w:t>
      </w:r>
    </w:p>
    <w:p w14:paraId="061584AB" w14:textId="77777777" w:rsidR="00040F2E" w:rsidRPr="00B50DD9" w:rsidRDefault="00040F2E" w:rsidP="00040F2E">
      <w:pPr>
        <w:tabs>
          <w:tab w:val="left" w:pos="851"/>
        </w:tabs>
        <w:rPr>
          <w:sz w:val="24"/>
          <w:szCs w:val="24"/>
        </w:rPr>
      </w:pPr>
    </w:p>
    <w:p w14:paraId="028F3638" w14:textId="77777777" w:rsidR="00040F2E" w:rsidRPr="00B50DD9" w:rsidRDefault="00040F2E" w:rsidP="00040F2E">
      <w:pPr>
        <w:widowControl w:val="0"/>
        <w:tabs>
          <w:tab w:val="left" w:pos="851"/>
        </w:tabs>
        <w:rPr>
          <w:b/>
          <w:bCs/>
          <w:sz w:val="24"/>
          <w:szCs w:val="24"/>
          <w:lang w:eastAsia="en-GB"/>
        </w:rPr>
      </w:pPr>
      <w:r w:rsidRPr="00B50DD9">
        <w:rPr>
          <w:b/>
          <w:bCs/>
          <w:sz w:val="24"/>
          <w:szCs w:val="24"/>
          <w:lang w:eastAsia="en-GB"/>
        </w:rPr>
        <w:t xml:space="preserve">1. </w:t>
      </w:r>
      <w:r w:rsidRPr="00B50DD9">
        <w:rPr>
          <w:b/>
          <w:bCs/>
          <w:sz w:val="24"/>
          <w:szCs w:val="24"/>
          <w:lang w:eastAsia="en-GB"/>
        </w:rPr>
        <w:tab/>
        <w:t>LÆGEMIDLETS NAVN</w:t>
      </w:r>
    </w:p>
    <w:p w14:paraId="4B1FA842" w14:textId="77777777" w:rsidR="00040F2E" w:rsidRPr="00B50DD9" w:rsidRDefault="00040F2E" w:rsidP="00040F2E">
      <w:pPr>
        <w:tabs>
          <w:tab w:val="left" w:pos="851"/>
        </w:tabs>
        <w:autoSpaceDE w:val="0"/>
        <w:autoSpaceDN w:val="0"/>
        <w:adjustRightInd w:val="0"/>
        <w:rPr>
          <w:sz w:val="24"/>
          <w:szCs w:val="24"/>
          <w:lang w:eastAsia="en-GB"/>
        </w:rPr>
      </w:pPr>
      <w:r w:rsidRPr="00B50DD9">
        <w:rPr>
          <w:sz w:val="24"/>
          <w:szCs w:val="24"/>
          <w:lang w:eastAsia="en-GB"/>
        </w:rPr>
        <w:tab/>
        <w:t xml:space="preserve">Quetiapin </w:t>
      </w:r>
      <w:r>
        <w:rPr>
          <w:sz w:val="24"/>
          <w:szCs w:val="24"/>
          <w:lang w:eastAsia="en-GB"/>
        </w:rPr>
        <w:t>"</w:t>
      </w:r>
      <w:r w:rsidRPr="00B50DD9">
        <w:rPr>
          <w:sz w:val="24"/>
          <w:szCs w:val="24"/>
          <w:lang w:eastAsia="en-GB"/>
        </w:rPr>
        <w:t>Accord</w:t>
      </w:r>
      <w:r>
        <w:rPr>
          <w:sz w:val="24"/>
          <w:szCs w:val="24"/>
          <w:lang w:eastAsia="en-GB"/>
        </w:rPr>
        <w:t>"</w:t>
      </w:r>
    </w:p>
    <w:p w14:paraId="1886C260" w14:textId="77777777" w:rsidR="00040F2E" w:rsidRPr="00B50DD9" w:rsidRDefault="00040F2E" w:rsidP="00040F2E">
      <w:pPr>
        <w:autoSpaceDE w:val="0"/>
        <w:autoSpaceDN w:val="0"/>
        <w:adjustRightInd w:val="0"/>
        <w:rPr>
          <w:b/>
          <w:bCs/>
          <w:sz w:val="24"/>
          <w:szCs w:val="24"/>
          <w:lang w:eastAsia="en-GB"/>
        </w:rPr>
      </w:pPr>
    </w:p>
    <w:p w14:paraId="04DB918E"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2. </w:t>
      </w:r>
      <w:r w:rsidRPr="00B50DD9">
        <w:rPr>
          <w:b/>
          <w:bCs/>
          <w:sz w:val="24"/>
          <w:szCs w:val="24"/>
          <w:lang w:eastAsia="en-GB"/>
        </w:rPr>
        <w:tab/>
        <w:t>KVALITATIV OG KVANTITATIV SAMMENSÆTNING</w:t>
      </w:r>
    </w:p>
    <w:p w14:paraId="0AFA0A43" w14:textId="5F9CF2F0" w:rsidR="00DE7AAA" w:rsidRPr="00235FEE" w:rsidRDefault="00DE7AAA" w:rsidP="00DE7AAA">
      <w:pPr>
        <w:tabs>
          <w:tab w:val="left" w:pos="851"/>
        </w:tabs>
        <w:autoSpaceDE w:val="0"/>
        <w:autoSpaceDN w:val="0"/>
        <w:adjustRightInd w:val="0"/>
        <w:ind w:left="851"/>
        <w:rPr>
          <w:sz w:val="24"/>
          <w:szCs w:val="24"/>
          <w:lang w:eastAsia="en-GB"/>
        </w:rPr>
      </w:pPr>
      <w:r w:rsidRPr="00235FEE">
        <w:rPr>
          <w:sz w:val="24"/>
          <w:szCs w:val="24"/>
          <w:lang w:eastAsia="en-GB"/>
        </w:rPr>
        <w:t>Hver filmovertrukket tablet indeholder 25 mg (som quetiapin</w:t>
      </w:r>
      <w:r>
        <w:rPr>
          <w:sz w:val="24"/>
          <w:szCs w:val="24"/>
          <w:lang w:eastAsia="en-GB"/>
        </w:rPr>
        <w:t xml:space="preserve"> </w:t>
      </w:r>
      <w:r w:rsidRPr="00235FEE">
        <w:rPr>
          <w:sz w:val="24"/>
          <w:szCs w:val="24"/>
          <w:lang w:eastAsia="en-GB"/>
        </w:rPr>
        <w:t>hemifumarat).</w:t>
      </w:r>
    </w:p>
    <w:p w14:paraId="35686789" w14:textId="77777777" w:rsidR="00DE7AAA" w:rsidRPr="00235FEE" w:rsidRDefault="00DE7AAA" w:rsidP="00DE7AAA">
      <w:pPr>
        <w:tabs>
          <w:tab w:val="left" w:pos="851"/>
        </w:tabs>
        <w:autoSpaceDE w:val="0"/>
        <w:autoSpaceDN w:val="0"/>
        <w:adjustRightInd w:val="0"/>
        <w:ind w:left="851"/>
        <w:rPr>
          <w:sz w:val="24"/>
          <w:szCs w:val="24"/>
          <w:lang w:eastAsia="en-GB"/>
        </w:rPr>
      </w:pPr>
      <w:r w:rsidRPr="009B21FB">
        <w:rPr>
          <w:sz w:val="24"/>
          <w:szCs w:val="24"/>
          <w:lang w:eastAsia="en-GB"/>
        </w:rPr>
        <w:t xml:space="preserve">Hver filmovertrukket tablet indeholder 50 mg </w:t>
      </w:r>
      <w:r w:rsidRPr="00235FEE">
        <w:rPr>
          <w:sz w:val="24"/>
          <w:szCs w:val="24"/>
          <w:lang w:eastAsia="en-GB"/>
        </w:rPr>
        <w:t xml:space="preserve">(som </w:t>
      </w:r>
      <w:r w:rsidRPr="009E4478">
        <w:rPr>
          <w:sz w:val="24"/>
          <w:szCs w:val="24"/>
          <w:lang w:eastAsia="en-GB"/>
        </w:rPr>
        <w:t>quetiapin hemifumarat</w:t>
      </w:r>
      <w:r w:rsidRPr="00235FEE">
        <w:rPr>
          <w:sz w:val="24"/>
          <w:szCs w:val="24"/>
          <w:lang w:eastAsia="en-GB"/>
        </w:rPr>
        <w:t>)</w:t>
      </w:r>
    </w:p>
    <w:p w14:paraId="0158B948" w14:textId="629A96ED" w:rsidR="00DE7AAA" w:rsidRPr="00235FEE" w:rsidRDefault="00DE7AAA" w:rsidP="00DE7AAA">
      <w:pPr>
        <w:tabs>
          <w:tab w:val="left" w:pos="851"/>
        </w:tabs>
        <w:autoSpaceDE w:val="0"/>
        <w:autoSpaceDN w:val="0"/>
        <w:adjustRightInd w:val="0"/>
        <w:ind w:left="851"/>
        <w:rPr>
          <w:sz w:val="24"/>
          <w:szCs w:val="24"/>
          <w:lang w:eastAsia="en-GB"/>
        </w:rPr>
      </w:pPr>
      <w:r w:rsidRPr="00235FEE">
        <w:rPr>
          <w:sz w:val="24"/>
          <w:szCs w:val="24"/>
          <w:lang w:eastAsia="en-GB"/>
        </w:rPr>
        <w:t>Hver filmovertrukket tablet indeholder 100 mg (som quetiapin</w:t>
      </w:r>
      <w:r>
        <w:rPr>
          <w:sz w:val="24"/>
          <w:szCs w:val="24"/>
          <w:lang w:eastAsia="en-GB"/>
        </w:rPr>
        <w:t xml:space="preserve"> </w:t>
      </w:r>
      <w:r w:rsidRPr="00235FEE">
        <w:rPr>
          <w:sz w:val="24"/>
          <w:szCs w:val="24"/>
          <w:lang w:eastAsia="en-GB"/>
        </w:rPr>
        <w:t>hemifumarat).</w:t>
      </w:r>
    </w:p>
    <w:p w14:paraId="43C8AFB6" w14:textId="4D5F7865" w:rsidR="00DE7AAA" w:rsidRPr="00235FEE" w:rsidRDefault="00DE7AAA" w:rsidP="00DE7AAA">
      <w:pPr>
        <w:autoSpaceDE w:val="0"/>
        <w:autoSpaceDN w:val="0"/>
        <w:adjustRightInd w:val="0"/>
        <w:ind w:left="851"/>
        <w:rPr>
          <w:sz w:val="24"/>
          <w:szCs w:val="24"/>
          <w:lang w:eastAsia="en-GB"/>
        </w:rPr>
      </w:pPr>
      <w:r w:rsidRPr="00235FEE">
        <w:rPr>
          <w:sz w:val="24"/>
          <w:szCs w:val="24"/>
          <w:lang w:eastAsia="en-GB"/>
        </w:rPr>
        <w:t>Hver filmovertrukket tablet indeholder 200 mg (som quetiapin</w:t>
      </w:r>
      <w:r>
        <w:rPr>
          <w:sz w:val="24"/>
          <w:szCs w:val="24"/>
          <w:lang w:eastAsia="en-GB"/>
        </w:rPr>
        <w:t xml:space="preserve"> </w:t>
      </w:r>
      <w:r w:rsidRPr="00235FEE">
        <w:rPr>
          <w:sz w:val="24"/>
          <w:szCs w:val="24"/>
          <w:lang w:eastAsia="en-GB"/>
        </w:rPr>
        <w:t>hemifumarat).</w:t>
      </w:r>
    </w:p>
    <w:p w14:paraId="0509A792" w14:textId="3EDA0786" w:rsidR="00DE7AAA" w:rsidRPr="00235FEE" w:rsidRDefault="00DE7AAA" w:rsidP="00DE7AAA">
      <w:pPr>
        <w:autoSpaceDE w:val="0"/>
        <w:autoSpaceDN w:val="0"/>
        <w:adjustRightInd w:val="0"/>
        <w:ind w:left="851"/>
        <w:rPr>
          <w:sz w:val="24"/>
          <w:szCs w:val="24"/>
          <w:lang w:eastAsia="en-GB"/>
        </w:rPr>
      </w:pPr>
      <w:r w:rsidRPr="00235FEE">
        <w:rPr>
          <w:sz w:val="24"/>
          <w:szCs w:val="24"/>
          <w:lang w:eastAsia="en-GB"/>
        </w:rPr>
        <w:t>Hver filmovertrukket tablet indeholder 300 mg (som quetiapin</w:t>
      </w:r>
      <w:r>
        <w:rPr>
          <w:sz w:val="24"/>
          <w:szCs w:val="24"/>
          <w:lang w:eastAsia="en-GB"/>
        </w:rPr>
        <w:t xml:space="preserve"> </w:t>
      </w:r>
      <w:r w:rsidRPr="00235FEE">
        <w:rPr>
          <w:sz w:val="24"/>
          <w:szCs w:val="24"/>
          <w:lang w:eastAsia="en-GB"/>
        </w:rPr>
        <w:t>hemifumarat).</w:t>
      </w:r>
    </w:p>
    <w:p w14:paraId="5E6E51CC" w14:textId="4944DD12" w:rsidR="00DE7AAA" w:rsidRPr="009B21FB" w:rsidRDefault="00DE7AAA" w:rsidP="00DE7AAA">
      <w:pPr>
        <w:tabs>
          <w:tab w:val="left" w:pos="851"/>
        </w:tabs>
        <w:autoSpaceDE w:val="0"/>
        <w:autoSpaceDN w:val="0"/>
        <w:adjustRightInd w:val="0"/>
        <w:ind w:left="851"/>
        <w:rPr>
          <w:sz w:val="24"/>
          <w:szCs w:val="24"/>
          <w:lang w:eastAsia="en-GB"/>
        </w:rPr>
      </w:pPr>
      <w:r w:rsidRPr="009B21FB">
        <w:rPr>
          <w:sz w:val="24"/>
          <w:szCs w:val="24"/>
          <w:lang w:eastAsia="en-GB"/>
        </w:rPr>
        <w:t xml:space="preserve">Hver filmovertrukket tablet indeholder 400 mg </w:t>
      </w:r>
      <w:r w:rsidRPr="00235FEE">
        <w:rPr>
          <w:sz w:val="24"/>
          <w:szCs w:val="24"/>
          <w:lang w:eastAsia="en-GB"/>
        </w:rPr>
        <w:t xml:space="preserve">(som </w:t>
      </w:r>
      <w:r w:rsidRPr="009E4478">
        <w:rPr>
          <w:sz w:val="24"/>
          <w:szCs w:val="24"/>
          <w:lang w:eastAsia="en-GB"/>
        </w:rPr>
        <w:t>quetiapin hemifumarat</w:t>
      </w:r>
      <w:r w:rsidRPr="00235FEE">
        <w:rPr>
          <w:sz w:val="24"/>
          <w:szCs w:val="24"/>
          <w:lang w:eastAsia="en-GB"/>
        </w:rPr>
        <w:t>)</w:t>
      </w:r>
      <w:r>
        <w:rPr>
          <w:sz w:val="24"/>
          <w:szCs w:val="24"/>
          <w:lang w:eastAsia="en-GB"/>
        </w:rPr>
        <w:t>.</w:t>
      </w:r>
    </w:p>
    <w:p w14:paraId="067948B9" w14:textId="77777777" w:rsidR="00040F2E" w:rsidRPr="00B50DD9" w:rsidRDefault="00040F2E" w:rsidP="00040F2E">
      <w:pPr>
        <w:autoSpaceDE w:val="0"/>
        <w:autoSpaceDN w:val="0"/>
        <w:adjustRightInd w:val="0"/>
        <w:rPr>
          <w:sz w:val="24"/>
          <w:szCs w:val="24"/>
          <w:lang w:eastAsia="en-GB"/>
        </w:rPr>
      </w:pPr>
    </w:p>
    <w:p w14:paraId="75E793B5" w14:textId="3102433B" w:rsidR="00040F2E" w:rsidRPr="00DE7AAA" w:rsidRDefault="00040F2E" w:rsidP="00040F2E">
      <w:pPr>
        <w:autoSpaceDE w:val="0"/>
        <w:autoSpaceDN w:val="0"/>
        <w:adjustRightInd w:val="0"/>
        <w:ind w:firstLine="851"/>
        <w:rPr>
          <w:sz w:val="24"/>
          <w:szCs w:val="24"/>
          <w:u w:val="single"/>
          <w:lang w:eastAsia="en-GB"/>
        </w:rPr>
      </w:pPr>
      <w:r w:rsidRPr="00DE7AAA">
        <w:rPr>
          <w:sz w:val="24"/>
          <w:szCs w:val="24"/>
          <w:u w:val="single"/>
          <w:lang w:eastAsia="en-GB"/>
        </w:rPr>
        <w:t>Hjælpestof</w:t>
      </w:r>
      <w:r w:rsidR="00DE7AAA">
        <w:rPr>
          <w:sz w:val="24"/>
          <w:szCs w:val="24"/>
          <w:u w:val="single"/>
          <w:lang w:eastAsia="en-GB"/>
        </w:rPr>
        <w:t xml:space="preserve"> </w:t>
      </w:r>
    </w:p>
    <w:p w14:paraId="271B2A4C" w14:textId="79D21131" w:rsidR="00DE7AAA" w:rsidRPr="00235FEE" w:rsidRDefault="00DE7AAA" w:rsidP="00DE7AAA">
      <w:pPr>
        <w:autoSpaceDE w:val="0"/>
        <w:autoSpaceDN w:val="0"/>
        <w:adjustRightInd w:val="0"/>
        <w:ind w:firstLine="851"/>
        <w:rPr>
          <w:sz w:val="24"/>
          <w:szCs w:val="24"/>
          <w:lang w:eastAsia="en-GB"/>
        </w:rPr>
      </w:pPr>
      <w:r w:rsidRPr="00235FEE">
        <w:rPr>
          <w:sz w:val="24"/>
          <w:szCs w:val="24"/>
          <w:lang w:eastAsia="en-GB"/>
        </w:rPr>
        <w:t>Hver 25 mg filmovertrukket tablet indeholder 13</w:t>
      </w:r>
      <w:r>
        <w:rPr>
          <w:sz w:val="24"/>
          <w:szCs w:val="24"/>
          <w:lang w:eastAsia="en-GB"/>
        </w:rPr>
        <w:t>,</w:t>
      </w:r>
      <w:r w:rsidRPr="00235FEE">
        <w:rPr>
          <w:sz w:val="24"/>
          <w:szCs w:val="24"/>
          <w:lang w:eastAsia="en-GB"/>
        </w:rPr>
        <w:t>3 mg lactosemonohydrat.</w:t>
      </w:r>
    </w:p>
    <w:p w14:paraId="58326ED0" w14:textId="77777777" w:rsidR="00DE7AAA" w:rsidRPr="00235FEE" w:rsidRDefault="00DE7AAA" w:rsidP="00DE7AAA">
      <w:pPr>
        <w:autoSpaceDE w:val="0"/>
        <w:autoSpaceDN w:val="0"/>
        <w:adjustRightInd w:val="0"/>
        <w:ind w:firstLine="851"/>
        <w:rPr>
          <w:sz w:val="24"/>
          <w:szCs w:val="24"/>
          <w:lang w:eastAsia="en-GB"/>
        </w:rPr>
      </w:pPr>
      <w:r w:rsidRPr="009B21FB">
        <w:rPr>
          <w:sz w:val="24"/>
          <w:szCs w:val="24"/>
          <w:lang w:eastAsia="en-GB"/>
        </w:rPr>
        <w:t>Hver 50 mg filmovertrukket tablet indeholder 27 mg lactosemonohydrat.</w:t>
      </w:r>
    </w:p>
    <w:p w14:paraId="21D20D29" w14:textId="606ADB37" w:rsidR="00DE7AAA" w:rsidRPr="00235FEE" w:rsidRDefault="00DE7AAA" w:rsidP="00DE7AAA">
      <w:pPr>
        <w:autoSpaceDE w:val="0"/>
        <w:autoSpaceDN w:val="0"/>
        <w:adjustRightInd w:val="0"/>
        <w:ind w:firstLine="851"/>
        <w:rPr>
          <w:sz w:val="24"/>
          <w:szCs w:val="24"/>
          <w:lang w:eastAsia="en-GB"/>
        </w:rPr>
      </w:pPr>
      <w:r w:rsidRPr="00235FEE">
        <w:rPr>
          <w:sz w:val="24"/>
          <w:szCs w:val="24"/>
          <w:lang w:eastAsia="en-GB"/>
        </w:rPr>
        <w:t>Hver 100 mg filmovertrukket tablet indeholder 53</w:t>
      </w:r>
      <w:r>
        <w:rPr>
          <w:sz w:val="24"/>
          <w:szCs w:val="24"/>
          <w:lang w:eastAsia="en-GB"/>
        </w:rPr>
        <w:t>,</w:t>
      </w:r>
      <w:r w:rsidRPr="00235FEE">
        <w:rPr>
          <w:sz w:val="24"/>
          <w:szCs w:val="24"/>
          <w:lang w:eastAsia="en-GB"/>
        </w:rPr>
        <w:t>2 mg lactosemonohydrat.</w:t>
      </w:r>
    </w:p>
    <w:p w14:paraId="124FB171" w14:textId="11082A20" w:rsidR="00DE7AAA" w:rsidRPr="00235FEE" w:rsidRDefault="00DE7AAA" w:rsidP="00DE7AAA">
      <w:pPr>
        <w:autoSpaceDE w:val="0"/>
        <w:autoSpaceDN w:val="0"/>
        <w:adjustRightInd w:val="0"/>
        <w:ind w:firstLine="851"/>
        <w:rPr>
          <w:sz w:val="24"/>
          <w:szCs w:val="24"/>
          <w:lang w:eastAsia="en-GB"/>
        </w:rPr>
      </w:pPr>
      <w:r w:rsidRPr="00235FEE">
        <w:rPr>
          <w:sz w:val="24"/>
          <w:szCs w:val="24"/>
          <w:lang w:eastAsia="en-GB"/>
        </w:rPr>
        <w:t>Hver 200 mg filmovertrukket tablet indeholder 106</w:t>
      </w:r>
      <w:r>
        <w:rPr>
          <w:sz w:val="24"/>
          <w:szCs w:val="24"/>
          <w:lang w:eastAsia="en-GB"/>
        </w:rPr>
        <w:t>,</w:t>
      </w:r>
      <w:r w:rsidRPr="00235FEE">
        <w:rPr>
          <w:sz w:val="24"/>
          <w:szCs w:val="24"/>
          <w:lang w:eastAsia="en-GB"/>
        </w:rPr>
        <w:t>4 mg lactosemonohydrat.</w:t>
      </w:r>
    </w:p>
    <w:p w14:paraId="165703D6" w14:textId="488AF345" w:rsidR="00DE7AAA" w:rsidRPr="00235FEE" w:rsidRDefault="00DE7AAA" w:rsidP="00DE7AAA">
      <w:pPr>
        <w:autoSpaceDE w:val="0"/>
        <w:autoSpaceDN w:val="0"/>
        <w:adjustRightInd w:val="0"/>
        <w:ind w:firstLine="851"/>
        <w:rPr>
          <w:sz w:val="24"/>
          <w:szCs w:val="24"/>
          <w:lang w:eastAsia="en-GB"/>
        </w:rPr>
      </w:pPr>
      <w:r w:rsidRPr="00235FEE">
        <w:rPr>
          <w:sz w:val="24"/>
          <w:szCs w:val="24"/>
          <w:lang w:eastAsia="en-GB"/>
        </w:rPr>
        <w:t>Hver 300 mg filmovertrukket tablet indeholder 159</w:t>
      </w:r>
      <w:r>
        <w:rPr>
          <w:sz w:val="24"/>
          <w:szCs w:val="24"/>
          <w:lang w:eastAsia="en-GB"/>
        </w:rPr>
        <w:t>,</w:t>
      </w:r>
      <w:r w:rsidRPr="00235FEE">
        <w:rPr>
          <w:sz w:val="24"/>
          <w:szCs w:val="24"/>
          <w:lang w:eastAsia="en-GB"/>
        </w:rPr>
        <w:t>6 mg lactosemonohydrat.</w:t>
      </w:r>
    </w:p>
    <w:p w14:paraId="233ADCAB" w14:textId="77777777" w:rsidR="00DE7AAA" w:rsidRPr="009B21FB" w:rsidRDefault="00DE7AAA" w:rsidP="00DE7AAA">
      <w:pPr>
        <w:autoSpaceDE w:val="0"/>
        <w:autoSpaceDN w:val="0"/>
        <w:adjustRightInd w:val="0"/>
        <w:ind w:firstLine="851"/>
        <w:rPr>
          <w:sz w:val="24"/>
          <w:szCs w:val="24"/>
          <w:lang w:eastAsia="en-GB"/>
        </w:rPr>
      </w:pPr>
      <w:r w:rsidRPr="009B21FB">
        <w:rPr>
          <w:sz w:val="24"/>
          <w:szCs w:val="24"/>
          <w:lang w:eastAsia="en-GB"/>
        </w:rPr>
        <w:t>Hver 400 mg filmovertrukket tablet indeholder 213 mg lactosemonohydrat.</w:t>
      </w:r>
    </w:p>
    <w:p w14:paraId="3C0CF82E" w14:textId="77777777" w:rsidR="00040F2E" w:rsidRPr="00B50DD9" w:rsidRDefault="00040F2E" w:rsidP="00DE7AAA">
      <w:pPr>
        <w:autoSpaceDE w:val="0"/>
        <w:autoSpaceDN w:val="0"/>
        <w:adjustRightInd w:val="0"/>
        <w:ind w:left="851"/>
        <w:rPr>
          <w:sz w:val="24"/>
          <w:szCs w:val="24"/>
          <w:lang w:eastAsia="en-GB"/>
        </w:rPr>
      </w:pPr>
    </w:p>
    <w:p w14:paraId="5899CFF5" w14:textId="77777777" w:rsidR="00040F2E" w:rsidRPr="00B50DD9" w:rsidRDefault="00040F2E" w:rsidP="00040F2E">
      <w:pPr>
        <w:autoSpaceDE w:val="0"/>
        <w:autoSpaceDN w:val="0"/>
        <w:adjustRightInd w:val="0"/>
        <w:ind w:firstLine="851"/>
        <w:rPr>
          <w:sz w:val="24"/>
          <w:szCs w:val="24"/>
          <w:lang w:eastAsia="en-GB"/>
        </w:rPr>
      </w:pPr>
      <w:r w:rsidRPr="00B50DD9">
        <w:rPr>
          <w:sz w:val="24"/>
          <w:szCs w:val="24"/>
          <w:lang w:eastAsia="en-GB"/>
        </w:rPr>
        <w:t>Alle hjælpestoffer er anført under pkt. 6.1.</w:t>
      </w:r>
    </w:p>
    <w:p w14:paraId="1FCBBC47" w14:textId="77777777" w:rsidR="00040F2E" w:rsidRPr="00B50DD9" w:rsidRDefault="00040F2E" w:rsidP="00040F2E">
      <w:pPr>
        <w:autoSpaceDE w:val="0"/>
        <w:autoSpaceDN w:val="0"/>
        <w:adjustRightInd w:val="0"/>
        <w:rPr>
          <w:sz w:val="24"/>
          <w:szCs w:val="24"/>
          <w:lang w:eastAsia="en-GB"/>
        </w:rPr>
      </w:pPr>
    </w:p>
    <w:p w14:paraId="6602B433"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3. </w:t>
      </w:r>
      <w:r w:rsidRPr="00B50DD9">
        <w:rPr>
          <w:b/>
          <w:bCs/>
          <w:sz w:val="24"/>
          <w:szCs w:val="24"/>
          <w:lang w:eastAsia="en-GB"/>
        </w:rPr>
        <w:tab/>
        <w:t>LÆGEMIDDELFORM</w:t>
      </w:r>
    </w:p>
    <w:p w14:paraId="10C80284" w14:textId="18CA82A9" w:rsidR="00040F2E" w:rsidRDefault="00040F2E" w:rsidP="00171460">
      <w:pPr>
        <w:tabs>
          <w:tab w:val="left" w:pos="851"/>
        </w:tabs>
        <w:autoSpaceDE w:val="0"/>
        <w:autoSpaceDN w:val="0"/>
        <w:adjustRightInd w:val="0"/>
        <w:ind w:left="851"/>
        <w:rPr>
          <w:sz w:val="24"/>
          <w:szCs w:val="24"/>
          <w:lang w:eastAsia="en-GB"/>
        </w:rPr>
      </w:pPr>
      <w:r w:rsidRPr="00B50DD9">
        <w:rPr>
          <w:sz w:val="24"/>
          <w:szCs w:val="24"/>
          <w:lang w:eastAsia="en-GB"/>
        </w:rPr>
        <w:t>Filmovertruk</w:t>
      </w:r>
      <w:r>
        <w:rPr>
          <w:sz w:val="24"/>
          <w:szCs w:val="24"/>
          <w:lang w:eastAsia="en-GB"/>
        </w:rPr>
        <w:t>ne</w:t>
      </w:r>
      <w:r w:rsidRPr="00B50DD9">
        <w:rPr>
          <w:sz w:val="24"/>
          <w:szCs w:val="24"/>
          <w:lang w:eastAsia="en-GB"/>
        </w:rPr>
        <w:t xml:space="preserve"> tablet</w:t>
      </w:r>
      <w:r>
        <w:rPr>
          <w:sz w:val="24"/>
          <w:szCs w:val="24"/>
          <w:lang w:eastAsia="en-GB"/>
        </w:rPr>
        <w:t>ter</w:t>
      </w:r>
    </w:p>
    <w:p w14:paraId="591116DB" w14:textId="77777777" w:rsidR="00171460" w:rsidRPr="00B50DD9" w:rsidRDefault="00171460" w:rsidP="00171460">
      <w:pPr>
        <w:tabs>
          <w:tab w:val="left" w:pos="851"/>
        </w:tabs>
        <w:autoSpaceDE w:val="0"/>
        <w:autoSpaceDN w:val="0"/>
        <w:adjustRightInd w:val="0"/>
        <w:ind w:left="851"/>
        <w:rPr>
          <w:sz w:val="24"/>
          <w:szCs w:val="24"/>
          <w:lang w:eastAsia="en-GB"/>
        </w:rPr>
      </w:pPr>
    </w:p>
    <w:p w14:paraId="64152A56" w14:textId="77777777" w:rsidR="00040F2E" w:rsidRPr="00B50DD9" w:rsidRDefault="00040F2E" w:rsidP="00171460">
      <w:pPr>
        <w:autoSpaceDE w:val="0"/>
        <w:autoSpaceDN w:val="0"/>
        <w:adjustRightInd w:val="0"/>
        <w:ind w:left="851"/>
        <w:rPr>
          <w:sz w:val="24"/>
          <w:szCs w:val="24"/>
          <w:lang w:eastAsia="en-GB"/>
        </w:rPr>
      </w:pPr>
      <w:r w:rsidRPr="00B50DD9">
        <w:rPr>
          <w:sz w:val="24"/>
          <w:szCs w:val="24"/>
          <w:lang w:eastAsia="en-GB"/>
        </w:rPr>
        <w:t>25 mg tabletter er pink, runde, bikonvekse, filmovertrukne tabletter, jævne på begge sider.</w:t>
      </w:r>
    </w:p>
    <w:p w14:paraId="138080D3" w14:textId="77777777" w:rsidR="00171460" w:rsidRDefault="00171460" w:rsidP="00171460">
      <w:pPr>
        <w:autoSpaceDE w:val="0"/>
        <w:autoSpaceDN w:val="0"/>
        <w:adjustRightInd w:val="0"/>
        <w:ind w:left="851"/>
        <w:rPr>
          <w:sz w:val="24"/>
          <w:szCs w:val="24"/>
          <w:lang w:eastAsia="en-GB"/>
        </w:rPr>
      </w:pPr>
    </w:p>
    <w:p w14:paraId="6F1D347B" w14:textId="2C033E79" w:rsidR="00171460" w:rsidRPr="00171460" w:rsidRDefault="00171460" w:rsidP="00171460">
      <w:pPr>
        <w:autoSpaceDE w:val="0"/>
        <w:autoSpaceDN w:val="0"/>
        <w:adjustRightInd w:val="0"/>
        <w:ind w:left="851"/>
        <w:rPr>
          <w:sz w:val="24"/>
          <w:szCs w:val="24"/>
          <w:lang w:eastAsia="en-GB"/>
        </w:rPr>
      </w:pPr>
      <w:r w:rsidRPr="00171460">
        <w:rPr>
          <w:sz w:val="24"/>
          <w:szCs w:val="24"/>
          <w:lang w:eastAsia="en-GB"/>
        </w:rPr>
        <w:t>50 mg tabletter er hvide til råhvide, runde, bikonvekse, filmovertrukne tabletter, præget med ’50’ på den ene side og glatte på den anden side. Tablettens diameter er ca. 6,0 mm.</w:t>
      </w:r>
    </w:p>
    <w:p w14:paraId="3F2EB178" w14:textId="77777777" w:rsidR="00171460" w:rsidRDefault="00171460" w:rsidP="00171460">
      <w:pPr>
        <w:autoSpaceDE w:val="0"/>
        <w:autoSpaceDN w:val="0"/>
        <w:adjustRightInd w:val="0"/>
        <w:ind w:left="851"/>
        <w:rPr>
          <w:sz w:val="24"/>
          <w:szCs w:val="24"/>
          <w:lang w:eastAsia="en-GB"/>
        </w:rPr>
      </w:pPr>
    </w:p>
    <w:p w14:paraId="1B0621C7" w14:textId="43DAE276" w:rsidR="00040F2E" w:rsidRPr="00B50DD9" w:rsidRDefault="00040F2E" w:rsidP="00171460">
      <w:pPr>
        <w:autoSpaceDE w:val="0"/>
        <w:autoSpaceDN w:val="0"/>
        <w:adjustRightInd w:val="0"/>
        <w:ind w:left="851"/>
        <w:rPr>
          <w:sz w:val="24"/>
          <w:szCs w:val="24"/>
          <w:lang w:eastAsia="en-GB"/>
        </w:rPr>
      </w:pPr>
      <w:r w:rsidRPr="00B50DD9">
        <w:rPr>
          <w:sz w:val="24"/>
          <w:szCs w:val="24"/>
          <w:lang w:eastAsia="en-GB"/>
        </w:rPr>
        <w:t>100 mg tabletter er gule, runde, bikonvekse, filmovertrukne tabletter, jævne på begge sider.</w:t>
      </w:r>
    </w:p>
    <w:p w14:paraId="29CC6A73" w14:textId="77777777" w:rsidR="00171460" w:rsidRDefault="00171460" w:rsidP="00171460">
      <w:pPr>
        <w:autoSpaceDE w:val="0"/>
        <w:autoSpaceDN w:val="0"/>
        <w:adjustRightInd w:val="0"/>
        <w:ind w:left="851"/>
        <w:rPr>
          <w:sz w:val="24"/>
          <w:szCs w:val="24"/>
          <w:lang w:eastAsia="en-GB"/>
        </w:rPr>
      </w:pPr>
    </w:p>
    <w:p w14:paraId="554A7E6C" w14:textId="7D5B11F2" w:rsidR="00040F2E" w:rsidRPr="00B50DD9" w:rsidRDefault="00040F2E" w:rsidP="00171460">
      <w:pPr>
        <w:autoSpaceDE w:val="0"/>
        <w:autoSpaceDN w:val="0"/>
        <w:adjustRightInd w:val="0"/>
        <w:ind w:left="851"/>
        <w:rPr>
          <w:sz w:val="24"/>
          <w:szCs w:val="24"/>
          <w:lang w:eastAsia="en-GB"/>
        </w:rPr>
      </w:pPr>
      <w:r w:rsidRPr="00B50DD9">
        <w:rPr>
          <w:sz w:val="24"/>
          <w:szCs w:val="24"/>
          <w:lang w:eastAsia="en-GB"/>
        </w:rPr>
        <w:lastRenderedPageBreak/>
        <w:t>200 mg tabletter er hvide til offwhite, runde, bikonvekse, filmovertrukne tabletter, jævne på begge sider.</w:t>
      </w:r>
    </w:p>
    <w:p w14:paraId="3BC972E7" w14:textId="77777777" w:rsidR="00171460" w:rsidRDefault="00171460" w:rsidP="00171460">
      <w:pPr>
        <w:autoSpaceDE w:val="0"/>
        <w:autoSpaceDN w:val="0"/>
        <w:adjustRightInd w:val="0"/>
        <w:ind w:left="851"/>
        <w:rPr>
          <w:sz w:val="24"/>
          <w:szCs w:val="24"/>
          <w:lang w:eastAsia="en-GB"/>
        </w:rPr>
      </w:pPr>
    </w:p>
    <w:p w14:paraId="25E0D8BE" w14:textId="3D2D7AC1" w:rsidR="00040F2E" w:rsidRDefault="00040F2E" w:rsidP="00171460">
      <w:pPr>
        <w:autoSpaceDE w:val="0"/>
        <w:autoSpaceDN w:val="0"/>
        <w:adjustRightInd w:val="0"/>
        <w:ind w:left="851"/>
        <w:rPr>
          <w:sz w:val="24"/>
          <w:szCs w:val="24"/>
          <w:lang w:eastAsia="en-GB"/>
        </w:rPr>
      </w:pPr>
      <w:r w:rsidRPr="00B50DD9">
        <w:rPr>
          <w:sz w:val="24"/>
          <w:szCs w:val="24"/>
          <w:lang w:eastAsia="en-GB"/>
        </w:rPr>
        <w:t>300 mg tabletter er hvide til offwhite, kapselformede, runde, bikonvekse, filmovertrukne tabletter, mærket ‘300’ på den ene side, jævne på den anden side.</w:t>
      </w:r>
    </w:p>
    <w:p w14:paraId="14CB21D9" w14:textId="4FDE2C3E" w:rsidR="00171460" w:rsidRDefault="00171460" w:rsidP="00171460">
      <w:pPr>
        <w:autoSpaceDE w:val="0"/>
        <w:autoSpaceDN w:val="0"/>
        <w:adjustRightInd w:val="0"/>
        <w:ind w:left="851"/>
        <w:rPr>
          <w:sz w:val="24"/>
          <w:szCs w:val="24"/>
          <w:lang w:eastAsia="en-GB"/>
        </w:rPr>
      </w:pPr>
    </w:p>
    <w:p w14:paraId="410E98EB" w14:textId="49B877C1" w:rsidR="00171460" w:rsidRPr="00171460" w:rsidRDefault="00171460" w:rsidP="00171460">
      <w:pPr>
        <w:autoSpaceDE w:val="0"/>
        <w:autoSpaceDN w:val="0"/>
        <w:adjustRightInd w:val="0"/>
        <w:ind w:left="851"/>
        <w:rPr>
          <w:sz w:val="24"/>
          <w:szCs w:val="24"/>
          <w:lang w:eastAsia="en-GB"/>
        </w:rPr>
      </w:pPr>
      <w:r w:rsidRPr="00171460">
        <w:rPr>
          <w:sz w:val="24"/>
          <w:szCs w:val="24"/>
          <w:lang w:eastAsia="en-GB"/>
        </w:rPr>
        <w:t>400 mg tabletter er gule, kapselformede, bikonvekse, filmovertrukne tabletter, præget med ’400’ på den ene side og glatte på den anden side. Tablettens størrelse er ca. 19,1×8,9 mm.</w:t>
      </w:r>
    </w:p>
    <w:p w14:paraId="19541906" w14:textId="77777777" w:rsidR="00171460" w:rsidRPr="00B50DD9" w:rsidRDefault="00171460" w:rsidP="00171460">
      <w:pPr>
        <w:autoSpaceDE w:val="0"/>
        <w:autoSpaceDN w:val="0"/>
        <w:adjustRightInd w:val="0"/>
        <w:ind w:left="851"/>
        <w:rPr>
          <w:sz w:val="24"/>
          <w:szCs w:val="24"/>
          <w:lang w:eastAsia="en-GB"/>
        </w:rPr>
      </w:pPr>
    </w:p>
    <w:p w14:paraId="7BE085AF" w14:textId="77777777" w:rsidR="00040F2E" w:rsidRPr="00B50DD9" w:rsidRDefault="00040F2E" w:rsidP="00040F2E">
      <w:pPr>
        <w:autoSpaceDE w:val="0"/>
        <w:autoSpaceDN w:val="0"/>
        <w:adjustRightInd w:val="0"/>
        <w:rPr>
          <w:sz w:val="24"/>
          <w:szCs w:val="24"/>
          <w:lang w:eastAsia="en-GB"/>
        </w:rPr>
      </w:pPr>
    </w:p>
    <w:p w14:paraId="6F758920"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4. </w:t>
      </w:r>
      <w:r w:rsidRPr="00B50DD9">
        <w:rPr>
          <w:b/>
          <w:bCs/>
          <w:sz w:val="24"/>
          <w:szCs w:val="24"/>
          <w:lang w:eastAsia="en-GB"/>
        </w:rPr>
        <w:tab/>
      </w:r>
      <w:r w:rsidRPr="00B50DD9">
        <w:rPr>
          <w:b/>
          <w:sz w:val="24"/>
          <w:szCs w:val="24"/>
        </w:rPr>
        <w:t>KLINISKE OPLYSNINGER</w:t>
      </w:r>
    </w:p>
    <w:p w14:paraId="0B1A88E3" w14:textId="77777777" w:rsidR="00040F2E" w:rsidRPr="00B50DD9" w:rsidRDefault="00040F2E" w:rsidP="00040F2E">
      <w:pPr>
        <w:autoSpaceDE w:val="0"/>
        <w:autoSpaceDN w:val="0"/>
        <w:adjustRightInd w:val="0"/>
        <w:rPr>
          <w:b/>
          <w:bCs/>
          <w:sz w:val="24"/>
          <w:szCs w:val="24"/>
          <w:lang w:eastAsia="en-GB"/>
        </w:rPr>
      </w:pPr>
    </w:p>
    <w:p w14:paraId="14023479"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4.1 </w:t>
      </w:r>
      <w:r w:rsidRPr="00B50DD9">
        <w:rPr>
          <w:b/>
          <w:bCs/>
          <w:sz w:val="24"/>
          <w:szCs w:val="24"/>
          <w:lang w:eastAsia="en-GB"/>
        </w:rPr>
        <w:tab/>
        <w:t>Terapeutiske indikationer</w:t>
      </w:r>
    </w:p>
    <w:p w14:paraId="33A3CECA" w14:textId="77777777" w:rsidR="00040F2E" w:rsidRDefault="00040F2E" w:rsidP="00040F2E">
      <w:pPr>
        <w:autoSpaceDE w:val="0"/>
        <w:autoSpaceDN w:val="0"/>
        <w:adjustRightInd w:val="0"/>
        <w:ind w:firstLine="851"/>
        <w:rPr>
          <w:sz w:val="24"/>
          <w:szCs w:val="24"/>
        </w:rPr>
      </w:pPr>
      <w:r>
        <w:rPr>
          <w:sz w:val="24"/>
          <w:szCs w:val="24"/>
        </w:rPr>
        <w:t>Quetiapin tabletter er indikeret til:</w:t>
      </w:r>
    </w:p>
    <w:p w14:paraId="2E40E424" w14:textId="77777777" w:rsidR="00040F2E" w:rsidRDefault="00040F2E" w:rsidP="00040F2E">
      <w:pPr>
        <w:numPr>
          <w:ilvl w:val="0"/>
          <w:numId w:val="8"/>
        </w:numPr>
        <w:autoSpaceDE w:val="0"/>
        <w:autoSpaceDN w:val="0"/>
        <w:adjustRightInd w:val="0"/>
        <w:ind w:left="1276" w:hanging="425"/>
        <w:rPr>
          <w:sz w:val="24"/>
          <w:szCs w:val="24"/>
        </w:rPr>
      </w:pPr>
      <w:r>
        <w:rPr>
          <w:sz w:val="24"/>
          <w:szCs w:val="24"/>
        </w:rPr>
        <w:t>behandling af skizofreni.</w:t>
      </w:r>
    </w:p>
    <w:p w14:paraId="0A7CFADE" w14:textId="77777777" w:rsidR="00040F2E" w:rsidRDefault="00040F2E" w:rsidP="00040F2E">
      <w:pPr>
        <w:numPr>
          <w:ilvl w:val="0"/>
          <w:numId w:val="8"/>
        </w:numPr>
        <w:autoSpaceDE w:val="0"/>
        <w:autoSpaceDN w:val="0"/>
        <w:adjustRightInd w:val="0"/>
        <w:ind w:left="1276" w:hanging="425"/>
        <w:rPr>
          <w:sz w:val="24"/>
          <w:szCs w:val="24"/>
        </w:rPr>
      </w:pPr>
      <w:r>
        <w:rPr>
          <w:sz w:val="24"/>
          <w:szCs w:val="24"/>
        </w:rPr>
        <w:t>behandling af bipolar lidelse</w:t>
      </w:r>
    </w:p>
    <w:p w14:paraId="77B0DC8E" w14:textId="77777777" w:rsidR="00040F2E" w:rsidRDefault="00040F2E" w:rsidP="00040F2E">
      <w:pPr>
        <w:numPr>
          <w:ilvl w:val="1"/>
          <w:numId w:val="9"/>
        </w:numPr>
        <w:tabs>
          <w:tab w:val="num" w:pos="1701"/>
        </w:tabs>
        <w:autoSpaceDE w:val="0"/>
        <w:autoSpaceDN w:val="0"/>
        <w:adjustRightInd w:val="0"/>
        <w:ind w:left="1701" w:hanging="425"/>
        <w:rPr>
          <w:sz w:val="24"/>
          <w:szCs w:val="24"/>
        </w:rPr>
      </w:pPr>
      <w:r>
        <w:rPr>
          <w:sz w:val="24"/>
          <w:szCs w:val="24"/>
        </w:rPr>
        <w:t>til behandling af moderate til svære maniske episoder ved bipolar lidelse</w:t>
      </w:r>
    </w:p>
    <w:p w14:paraId="570A1F7B" w14:textId="77777777" w:rsidR="00040F2E" w:rsidRDefault="00040F2E" w:rsidP="00040F2E">
      <w:pPr>
        <w:numPr>
          <w:ilvl w:val="1"/>
          <w:numId w:val="9"/>
        </w:numPr>
        <w:tabs>
          <w:tab w:val="num" w:pos="1701"/>
        </w:tabs>
        <w:autoSpaceDE w:val="0"/>
        <w:autoSpaceDN w:val="0"/>
        <w:adjustRightInd w:val="0"/>
        <w:ind w:left="1701" w:hanging="425"/>
        <w:rPr>
          <w:sz w:val="24"/>
          <w:szCs w:val="24"/>
        </w:rPr>
      </w:pPr>
      <w:r>
        <w:rPr>
          <w:sz w:val="24"/>
          <w:szCs w:val="24"/>
        </w:rPr>
        <w:t>til behandling af svære depressive episoder ved bipolar lidelse</w:t>
      </w:r>
    </w:p>
    <w:p w14:paraId="3A66A11A" w14:textId="77777777" w:rsidR="00040F2E" w:rsidRDefault="00040F2E" w:rsidP="00040F2E">
      <w:pPr>
        <w:numPr>
          <w:ilvl w:val="1"/>
          <w:numId w:val="9"/>
        </w:numPr>
        <w:tabs>
          <w:tab w:val="num" w:pos="1701"/>
        </w:tabs>
        <w:autoSpaceDE w:val="0"/>
        <w:autoSpaceDN w:val="0"/>
        <w:adjustRightInd w:val="0"/>
        <w:ind w:left="1701" w:hanging="425"/>
        <w:rPr>
          <w:sz w:val="24"/>
          <w:szCs w:val="24"/>
        </w:rPr>
      </w:pPr>
      <w:r>
        <w:rPr>
          <w:sz w:val="24"/>
          <w:szCs w:val="24"/>
        </w:rPr>
        <w:t>til forebyggelse af tilbagevenden af maniske eller depressive episoder hos patienter med bipolar lidelse, som tidligere har responderet på behandling med quetiapin.</w:t>
      </w:r>
    </w:p>
    <w:p w14:paraId="0E3F401C" w14:textId="77777777" w:rsidR="00040F2E" w:rsidRPr="00B50DD9" w:rsidRDefault="00040F2E" w:rsidP="00040F2E">
      <w:pPr>
        <w:autoSpaceDE w:val="0"/>
        <w:autoSpaceDN w:val="0"/>
        <w:adjustRightInd w:val="0"/>
        <w:rPr>
          <w:b/>
          <w:bCs/>
          <w:sz w:val="24"/>
          <w:szCs w:val="24"/>
          <w:lang w:eastAsia="en-GB"/>
        </w:rPr>
      </w:pPr>
    </w:p>
    <w:p w14:paraId="2B8B2799" w14:textId="77777777" w:rsidR="00040F2E" w:rsidRDefault="00040F2E" w:rsidP="00040F2E">
      <w:pPr>
        <w:tabs>
          <w:tab w:val="left" w:pos="851"/>
        </w:tabs>
        <w:ind w:left="851" w:hanging="851"/>
        <w:rPr>
          <w:b/>
          <w:sz w:val="24"/>
          <w:szCs w:val="24"/>
        </w:rPr>
      </w:pPr>
      <w:r>
        <w:rPr>
          <w:b/>
          <w:sz w:val="24"/>
          <w:szCs w:val="24"/>
        </w:rPr>
        <w:t>4.2</w:t>
      </w:r>
      <w:r>
        <w:rPr>
          <w:b/>
          <w:sz w:val="24"/>
          <w:szCs w:val="24"/>
        </w:rPr>
        <w:tab/>
        <w:t xml:space="preserve">Dosering og </w:t>
      </w:r>
      <w:r w:rsidR="00582EF9">
        <w:rPr>
          <w:b/>
          <w:sz w:val="24"/>
          <w:szCs w:val="24"/>
        </w:rPr>
        <w:t>administration</w:t>
      </w:r>
    </w:p>
    <w:p w14:paraId="147ADF9E" w14:textId="77777777" w:rsidR="00040F2E" w:rsidRDefault="00040F2E" w:rsidP="00040F2E">
      <w:pPr>
        <w:ind w:left="851"/>
        <w:rPr>
          <w:sz w:val="24"/>
          <w:szCs w:val="24"/>
        </w:rPr>
      </w:pPr>
      <w:r>
        <w:rPr>
          <w:sz w:val="24"/>
          <w:szCs w:val="24"/>
        </w:rPr>
        <w:t>Der er forskellige doseringsplaner til hver indikation. Det skal derfor sikres, at patienterne får klar information om den rigtige dosering til deres tilstand.</w:t>
      </w:r>
    </w:p>
    <w:p w14:paraId="48E16B5E" w14:textId="2EF37637" w:rsidR="00040F2E" w:rsidRDefault="00040F2E" w:rsidP="00040F2E">
      <w:pPr>
        <w:ind w:left="851"/>
        <w:rPr>
          <w:bCs/>
          <w:sz w:val="24"/>
          <w:szCs w:val="24"/>
        </w:rPr>
      </w:pPr>
      <w:r>
        <w:rPr>
          <w:bCs/>
          <w:sz w:val="24"/>
          <w:szCs w:val="24"/>
        </w:rPr>
        <w:t xml:space="preserve">Quetiapin </w:t>
      </w:r>
      <w:r w:rsidR="002E3625">
        <w:rPr>
          <w:bCs/>
          <w:sz w:val="24"/>
          <w:szCs w:val="24"/>
        </w:rPr>
        <w:t xml:space="preserve">tabletter </w:t>
      </w:r>
      <w:r>
        <w:rPr>
          <w:bCs/>
          <w:sz w:val="24"/>
          <w:szCs w:val="24"/>
        </w:rPr>
        <w:t>kan administreres med eller uden mad.</w:t>
      </w:r>
    </w:p>
    <w:p w14:paraId="0AE0CD1E" w14:textId="77777777" w:rsidR="00040F2E" w:rsidRDefault="00040F2E" w:rsidP="00040F2E">
      <w:pPr>
        <w:ind w:left="851"/>
        <w:rPr>
          <w:bCs/>
          <w:sz w:val="24"/>
          <w:szCs w:val="24"/>
        </w:rPr>
      </w:pPr>
    </w:p>
    <w:p w14:paraId="6D29B4D0" w14:textId="4D0ADC91" w:rsidR="00040F2E" w:rsidRPr="002E3625" w:rsidRDefault="00040F2E" w:rsidP="00040F2E">
      <w:pPr>
        <w:ind w:left="851"/>
        <w:rPr>
          <w:b/>
          <w:bCs/>
          <w:sz w:val="24"/>
          <w:szCs w:val="24"/>
        </w:rPr>
      </w:pPr>
      <w:r w:rsidRPr="002E3625">
        <w:rPr>
          <w:b/>
          <w:bCs/>
          <w:sz w:val="24"/>
          <w:szCs w:val="24"/>
        </w:rPr>
        <w:t>Voksne</w:t>
      </w:r>
    </w:p>
    <w:p w14:paraId="34BC968B" w14:textId="77777777" w:rsidR="002E3625" w:rsidRDefault="002E3625" w:rsidP="00040F2E">
      <w:pPr>
        <w:ind w:left="851"/>
        <w:rPr>
          <w:b/>
          <w:bCs/>
          <w:i/>
          <w:sz w:val="24"/>
          <w:szCs w:val="24"/>
        </w:rPr>
      </w:pPr>
    </w:p>
    <w:p w14:paraId="740A8340" w14:textId="77777777" w:rsidR="00040F2E" w:rsidRPr="002E3625" w:rsidRDefault="00040F2E" w:rsidP="00040F2E">
      <w:pPr>
        <w:ind w:left="851"/>
        <w:rPr>
          <w:sz w:val="24"/>
          <w:szCs w:val="24"/>
          <w:u w:val="single"/>
        </w:rPr>
      </w:pPr>
      <w:r w:rsidRPr="002E3625">
        <w:rPr>
          <w:bCs/>
          <w:sz w:val="24"/>
          <w:szCs w:val="24"/>
          <w:u w:val="single"/>
        </w:rPr>
        <w:t>Til behandling af skizofreni</w:t>
      </w:r>
    </w:p>
    <w:p w14:paraId="525A1979" w14:textId="5CBE3F98" w:rsidR="00040F2E" w:rsidRDefault="00040F2E" w:rsidP="00040F2E">
      <w:pPr>
        <w:ind w:left="851"/>
        <w:rPr>
          <w:sz w:val="24"/>
          <w:szCs w:val="24"/>
        </w:rPr>
      </w:pPr>
      <w:r>
        <w:rPr>
          <w:sz w:val="24"/>
          <w:szCs w:val="24"/>
        </w:rPr>
        <w:t>Til behandling af skizofreni bør</w:t>
      </w:r>
      <w:r>
        <w:rPr>
          <w:bCs/>
          <w:sz w:val="24"/>
          <w:szCs w:val="24"/>
        </w:rPr>
        <w:t xml:space="preserve"> </w:t>
      </w:r>
      <w:r w:rsidR="002E3625">
        <w:rPr>
          <w:bCs/>
          <w:sz w:val="24"/>
          <w:szCs w:val="24"/>
        </w:rPr>
        <w:t>q</w:t>
      </w:r>
      <w:r>
        <w:rPr>
          <w:bCs/>
          <w:sz w:val="24"/>
          <w:szCs w:val="24"/>
        </w:rPr>
        <w:t>uetiapin tabletter administreres to gange dagligt. Den totale daglige dosis</w:t>
      </w:r>
      <w:r>
        <w:rPr>
          <w:sz w:val="24"/>
          <w:szCs w:val="24"/>
        </w:rPr>
        <w:t xml:space="preserve"> i de første fire dage med behandling er 50 mg (dag 1), 100 mg (dag 2), 200 mg (dag 3) og 300 mg (dag 4).</w:t>
      </w:r>
    </w:p>
    <w:p w14:paraId="65900E19" w14:textId="77777777" w:rsidR="00040F2E" w:rsidRDefault="00040F2E" w:rsidP="00040F2E">
      <w:pPr>
        <w:rPr>
          <w:sz w:val="24"/>
          <w:szCs w:val="24"/>
        </w:rPr>
      </w:pPr>
    </w:p>
    <w:p w14:paraId="6279B86F" w14:textId="77777777" w:rsidR="00040F2E" w:rsidRDefault="00040F2E" w:rsidP="00040F2E">
      <w:pPr>
        <w:ind w:left="851"/>
        <w:rPr>
          <w:sz w:val="24"/>
          <w:szCs w:val="24"/>
        </w:rPr>
      </w:pPr>
      <w:r>
        <w:rPr>
          <w:sz w:val="24"/>
          <w:szCs w:val="24"/>
        </w:rPr>
        <w:t>Fra dag 4 skal dosis titreres til det normale effektive dosis mellem 300 og 450 mg/dag. Afhængig af den kliniske respons og tolerancen hos den enkelte patient kan dosis justeres inden for intervallet 150 til 750 mg/dag.</w:t>
      </w:r>
    </w:p>
    <w:p w14:paraId="72A574FB" w14:textId="77777777" w:rsidR="00040F2E" w:rsidRDefault="00040F2E" w:rsidP="00040F2E">
      <w:pPr>
        <w:rPr>
          <w:sz w:val="24"/>
          <w:szCs w:val="24"/>
        </w:rPr>
      </w:pPr>
    </w:p>
    <w:p w14:paraId="5085A849" w14:textId="599B9E38" w:rsidR="00040F2E" w:rsidRPr="002E3625" w:rsidRDefault="00040F2E" w:rsidP="00040F2E">
      <w:pPr>
        <w:autoSpaceDE w:val="0"/>
        <w:autoSpaceDN w:val="0"/>
        <w:adjustRightInd w:val="0"/>
        <w:ind w:left="-57" w:firstLine="908"/>
        <w:rPr>
          <w:bCs/>
          <w:sz w:val="24"/>
          <w:szCs w:val="24"/>
          <w:u w:val="single"/>
        </w:rPr>
      </w:pPr>
      <w:r w:rsidRPr="002E3625">
        <w:rPr>
          <w:bCs/>
          <w:sz w:val="24"/>
          <w:szCs w:val="24"/>
          <w:u w:val="single"/>
        </w:rPr>
        <w:t>Til behandling af moderate til svære maniske episoder ved bipolar lidelse</w:t>
      </w:r>
    </w:p>
    <w:p w14:paraId="3295CFF6" w14:textId="1A1F17CF" w:rsidR="00040F2E" w:rsidRDefault="00040F2E" w:rsidP="00040F2E">
      <w:pPr>
        <w:autoSpaceDE w:val="0"/>
        <w:autoSpaceDN w:val="0"/>
        <w:adjustRightInd w:val="0"/>
        <w:ind w:left="851"/>
        <w:rPr>
          <w:bCs/>
          <w:sz w:val="24"/>
          <w:szCs w:val="24"/>
        </w:rPr>
      </w:pPr>
      <w:r>
        <w:rPr>
          <w:sz w:val="24"/>
          <w:szCs w:val="24"/>
        </w:rPr>
        <w:t>Til behandling af maniske episoder i forbindelse med bipolær lidelse</w:t>
      </w:r>
      <w:r>
        <w:rPr>
          <w:bCs/>
          <w:sz w:val="24"/>
          <w:szCs w:val="24"/>
        </w:rPr>
        <w:t xml:space="preserve"> bør </w:t>
      </w:r>
      <w:r w:rsidR="002E3625">
        <w:rPr>
          <w:bCs/>
          <w:sz w:val="24"/>
          <w:szCs w:val="24"/>
        </w:rPr>
        <w:t>q</w:t>
      </w:r>
      <w:r>
        <w:rPr>
          <w:bCs/>
          <w:sz w:val="24"/>
          <w:szCs w:val="24"/>
        </w:rPr>
        <w:t xml:space="preserve">uetiapin </w:t>
      </w:r>
      <w:r w:rsidR="002E3625">
        <w:rPr>
          <w:bCs/>
          <w:sz w:val="24"/>
          <w:szCs w:val="24"/>
        </w:rPr>
        <w:t xml:space="preserve">tabletterne </w:t>
      </w:r>
      <w:r>
        <w:rPr>
          <w:bCs/>
          <w:sz w:val="24"/>
          <w:szCs w:val="24"/>
        </w:rPr>
        <w:t xml:space="preserve">administreres to gange dagligt. </w:t>
      </w:r>
      <w:r>
        <w:rPr>
          <w:iCs/>
          <w:sz w:val="24"/>
          <w:szCs w:val="24"/>
        </w:rPr>
        <w:t>Den</w:t>
      </w:r>
      <w:r>
        <w:rPr>
          <w:bCs/>
          <w:sz w:val="24"/>
          <w:szCs w:val="24"/>
        </w:rPr>
        <w:t xml:space="preserve"> totale daglige dosis i de første fire dage med behandling er 100 mg (dag 1), 200 mg (dag 2), 300 mg (dag 3) og 400 mg (dag 4). Yderligere dosisjusteringer op til 800 mg/dag på dag 6 bør ske trinvist med maksimalt 200 mg/dag.</w:t>
      </w:r>
    </w:p>
    <w:p w14:paraId="3857E93C" w14:textId="77777777" w:rsidR="00040F2E" w:rsidRDefault="00040F2E" w:rsidP="00040F2E">
      <w:pPr>
        <w:autoSpaceDE w:val="0"/>
        <w:autoSpaceDN w:val="0"/>
        <w:adjustRightInd w:val="0"/>
        <w:ind w:left="-57"/>
        <w:rPr>
          <w:bCs/>
          <w:sz w:val="24"/>
          <w:szCs w:val="24"/>
        </w:rPr>
      </w:pPr>
    </w:p>
    <w:p w14:paraId="1F9B669C" w14:textId="77777777" w:rsidR="00040F2E" w:rsidRDefault="00040F2E" w:rsidP="00040F2E">
      <w:pPr>
        <w:autoSpaceDE w:val="0"/>
        <w:autoSpaceDN w:val="0"/>
        <w:adjustRightInd w:val="0"/>
        <w:ind w:left="851"/>
        <w:rPr>
          <w:bCs/>
          <w:sz w:val="24"/>
          <w:szCs w:val="24"/>
        </w:rPr>
      </w:pPr>
      <w:r>
        <w:rPr>
          <w:bCs/>
          <w:sz w:val="24"/>
          <w:szCs w:val="24"/>
        </w:rPr>
        <w:t>Dosis kan justeres afhængigt af den enkelte patients kliniske respons og tolerancen inden for intervallet 200 til 800 mg/dag. Den normal effektive dosis ligge inden for intervallet 400 til 800 mg/dag.</w:t>
      </w:r>
    </w:p>
    <w:p w14:paraId="27BC30E9" w14:textId="22C7A671" w:rsidR="002E3625" w:rsidRDefault="002E3625">
      <w:pPr>
        <w:rPr>
          <w:sz w:val="24"/>
          <w:szCs w:val="24"/>
        </w:rPr>
      </w:pPr>
      <w:r>
        <w:rPr>
          <w:sz w:val="24"/>
          <w:szCs w:val="24"/>
        </w:rPr>
        <w:br w:type="page"/>
      </w:r>
    </w:p>
    <w:p w14:paraId="60490B20" w14:textId="77777777" w:rsidR="00040F2E" w:rsidRDefault="00040F2E" w:rsidP="00040F2E">
      <w:pPr>
        <w:rPr>
          <w:sz w:val="24"/>
          <w:szCs w:val="24"/>
        </w:rPr>
      </w:pPr>
    </w:p>
    <w:p w14:paraId="51E39493" w14:textId="4211A5E8" w:rsidR="002E3625" w:rsidRPr="002E3625" w:rsidRDefault="00040F2E" w:rsidP="00040F2E">
      <w:pPr>
        <w:autoSpaceDE w:val="0"/>
        <w:autoSpaceDN w:val="0"/>
        <w:adjustRightInd w:val="0"/>
        <w:ind w:left="851"/>
        <w:rPr>
          <w:color w:val="000000"/>
          <w:sz w:val="24"/>
          <w:szCs w:val="24"/>
          <w:u w:val="single"/>
        </w:rPr>
      </w:pPr>
      <w:r w:rsidRPr="002E3625">
        <w:rPr>
          <w:bCs/>
          <w:color w:val="000000"/>
          <w:sz w:val="24"/>
          <w:szCs w:val="24"/>
          <w:u w:val="single"/>
        </w:rPr>
        <w:t>Til behandling af major depressive episoder ved bipolar lidelse</w:t>
      </w:r>
    </w:p>
    <w:p w14:paraId="79AD23FF" w14:textId="196BA69D" w:rsidR="00040F2E" w:rsidRDefault="00040F2E" w:rsidP="00040F2E">
      <w:pPr>
        <w:autoSpaceDE w:val="0"/>
        <w:autoSpaceDN w:val="0"/>
        <w:adjustRightInd w:val="0"/>
        <w:ind w:left="851"/>
        <w:rPr>
          <w:color w:val="000000"/>
          <w:sz w:val="24"/>
          <w:szCs w:val="24"/>
        </w:rPr>
      </w:pPr>
      <w:r>
        <w:rPr>
          <w:color w:val="000000"/>
          <w:sz w:val="24"/>
          <w:szCs w:val="24"/>
        </w:rPr>
        <w:t xml:space="preserve">Quetiapin tabletter bør tages en gang dagligt ved sengetid. Den totale daglige dosis for de første fire dages behandling er 50 mg (dag 1), 100 mg (dag 2), 200 mg (dag 3) og 300 mg (dag 4). Den anbefalede dosis er 300 mg. I kliniske forsøg sås der ingen yderligere fordel i 600 mg gruppen sammenlignet med 300 mg gruppen (se pkt. 5.1). Enkelte patienter kan have gavn af en dosis på 600 mg. Doser over 300 mg bør initieres af læger med erfaring i behandling af bipolar lidelse. Kliniske forsøg indikerer, at man for nogle patienter i tilfælde </w:t>
      </w:r>
      <w:r>
        <w:rPr>
          <w:sz w:val="24"/>
          <w:szCs w:val="24"/>
        </w:rPr>
        <w:t>af tolerance-problemer kan overveje</w:t>
      </w:r>
      <w:r>
        <w:rPr>
          <w:color w:val="000000"/>
          <w:sz w:val="24"/>
          <w:szCs w:val="24"/>
        </w:rPr>
        <w:t xml:space="preserve"> en dosisreduktion til minimum 200 mg. </w:t>
      </w:r>
    </w:p>
    <w:p w14:paraId="024AE72D" w14:textId="77777777" w:rsidR="00040F2E" w:rsidRDefault="00040F2E" w:rsidP="00040F2E">
      <w:pPr>
        <w:autoSpaceDE w:val="0"/>
        <w:autoSpaceDN w:val="0"/>
        <w:adjustRightInd w:val="0"/>
        <w:rPr>
          <w:color w:val="000000"/>
          <w:sz w:val="24"/>
          <w:szCs w:val="24"/>
        </w:rPr>
      </w:pPr>
    </w:p>
    <w:p w14:paraId="0E934E71" w14:textId="77777777" w:rsidR="00040F2E" w:rsidRPr="002E3625" w:rsidRDefault="00040F2E" w:rsidP="00040F2E">
      <w:pPr>
        <w:autoSpaceDE w:val="0"/>
        <w:autoSpaceDN w:val="0"/>
        <w:adjustRightInd w:val="0"/>
        <w:ind w:left="851"/>
        <w:rPr>
          <w:bCs/>
          <w:sz w:val="24"/>
          <w:szCs w:val="24"/>
          <w:u w:val="single"/>
          <w:lang w:eastAsia="en-GB"/>
        </w:rPr>
      </w:pPr>
      <w:r w:rsidRPr="002E3625">
        <w:rPr>
          <w:bCs/>
          <w:sz w:val="24"/>
          <w:szCs w:val="24"/>
          <w:u w:val="single"/>
          <w:lang w:eastAsia="en-GB"/>
        </w:rPr>
        <w:t>Til forebyggelse af recidiv ved bipolar lidelse</w:t>
      </w:r>
    </w:p>
    <w:p w14:paraId="4434F528" w14:textId="77777777" w:rsidR="00040F2E" w:rsidRDefault="00040F2E" w:rsidP="00040F2E">
      <w:pPr>
        <w:autoSpaceDE w:val="0"/>
        <w:autoSpaceDN w:val="0"/>
        <w:adjustRightInd w:val="0"/>
        <w:ind w:left="851"/>
        <w:rPr>
          <w:bCs/>
          <w:sz w:val="24"/>
          <w:szCs w:val="24"/>
          <w:lang w:eastAsia="en-GB"/>
        </w:rPr>
      </w:pPr>
      <w:r>
        <w:rPr>
          <w:bCs/>
          <w:sz w:val="24"/>
          <w:szCs w:val="24"/>
          <w:lang w:eastAsia="en-GB"/>
        </w:rPr>
        <w:t xml:space="preserve">Til forebyggelse af recidiv ved maniske, blandede eller depressive episoder ved bipolar lidelse bør de patienter, der har responderet på </w:t>
      </w:r>
      <w:r>
        <w:rPr>
          <w:sz w:val="24"/>
          <w:szCs w:val="24"/>
          <w:lang w:eastAsia="en-GB"/>
        </w:rPr>
        <w:t>quetiapin</w:t>
      </w:r>
      <w:r>
        <w:rPr>
          <w:bCs/>
          <w:sz w:val="24"/>
          <w:szCs w:val="24"/>
          <w:lang w:eastAsia="en-GB"/>
        </w:rPr>
        <w:t xml:space="preserve"> ved akut behandling af bipolar lidelse, fortsætte behandlingen ved samme dosis. Dosis kan, afhængigt af den kliniske respons og tolerabiliteten hos den enkelte patient, justeres inden for intervallet 300 mg til 800 mg/dag administreret to gange dagligt. Det er vigtigt, at den laveste effektive dosis anvendes til vedligeholdelsesterapi.</w:t>
      </w:r>
    </w:p>
    <w:p w14:paraId="62AB718B" w14:textId="77777777" w:rsidR="00040F2E" w:rsidRPr="002E3625" w:rsidRDefault="00040F2E" w:rsidP="00040F2E">
      <w:pPr>
        <w:autoSpaceDE w:val="0"/>
        <w:autoSpaceDN w:val="0"/>
        <w:adjustRightInd w:val="0"/>
        <w:ind w:firstLine="851"/>
        <w:rPr>
          <w:b/>
          <w:bCs/>
          <w:iCs/>
          <w:sz w:val="24"/>
          <w:szCs w:val="24"/>
          <w:lang w:eastAsia="en-GB"/>
        </w:rPr>
      </w:pPr>
    </w:p>
    <w:p w14:paraId="662FD88E" w14:textId="77777777" w:rsidR="00040F2E" w:rsidRPr="0061479D" w:rsidRDefault="00040F2E" w:rsidP="00040F2E">
      <w:pPr>
        <w:autoSpaceDE w:val="0"/>
        <w:autoSpaceDN w:val="0"/>
        <w:adjustRightInd w:val="0"/>
        <w:ind w:firstLine="851"/>
        <w:rPr>
          <w:iCs/>
          <w:sz w:val="24"/>
          <w:szCs w:val="24"/>
          <w:lang w:eastAsia="en-GB"/>
        </w:rPr>
      </w:pPr>
      <w:r w:rsidRPr="0061479D">
        <w:rPr>
          <w:b/>
          <w:bCs/>
          <w:iCs/>
          <w:sz w:val="24"/>
          <w:szCs w:val="24"/>
          <w:lang w:eastAsia="en-GB"/>
        </w:rPr>
        <w:t>Ældre</w:t>
      </w:r>
    </w:p>
    <w:p w14:paraId="5493B17A" w14:textId="77777777" w:rsidR="00040F2E" w:rsidRDefault="00040F2E" w:rsidP="00040F2E">
      <w:pPr>
        <w:ind w:left="851"/>
        <w:rPr>
          <w:sz w:val="24"/>
          <w:szCs w:val="24"/>
          <w:lang w:eastAsia="en-GB"/>
        </w:rPr>
      </w:pPr>
      <w:r>
        <w:rPr>
          <w:sz w:val="24"/>
          <w:szCs w:val="24"/>
          <w:lang w:eastAsia="en-GB"/>
        </w:rPr>
        <w:t>Quetiapin tabletter bør, som andre antipsykotika, anvendes med forsigtighed til ældre, særligt i den indledende doseringsperiode. Langsommere dosistitrering kan være nødvendig, og det kan være nødvendigt at anvende en lavere daglig terapeutisk dosis end hos yngre patienter, afhængig af den enkelte patients individuelle kliniske respons og tolerabilitet. Quetiapins gennemsnitlige plasmaclearance var reduceret med 30 % til 50 % hos ældre patienter, sammenlignet med yngre patienter.</w:t>
      </w:r>
    </w:p>
    <w:p w14:paraId="410C72C2" w14:textId="77777777" w:rsidR="00040F2E" w:rsidRDefault="00040F2E" w:rsidP="00040F2E">
      <w:pPr>
        <w:rPr>
          <w:sz w:val="24"/>
          <w:szCs w:val="24"/>
          <w:lang w:eastAsia="en-GB"/>
        </w:rPr>
      </w:pPr>
    </w:p>
    <w:p w14:paraId="159B435D" w14:textId="77777777" w:rsidR="00040F2E" w:rsidRDefault="00040F2E" w:rsidP="00040F2E">
      <w:pPr>
        <w:autoSpaceDE w:val="0"/>
        <w:autoSpaceDN w:val="0"/>
        <w:adjustRightInd w:val="0"/>
        <w:ind w:left="851"/>
        <w:rPr>
          <w:sz w:val="24"/>
          <w:szCs w:val="24"/>
          <w:lang w:eastAsia="en-GB"/>
        </w:rPr>
      </w:pPr>
      <w:r>
        <w:rPr>
          <w:sz w:val="24"/>
          <w:szCs w:val="24"/>
          <w:lang w:eastAsia="en-GB"/>
        </w:rPr>
        <w:t>Virkning og sikkerhed er ikke blevet evalueret for patienter over 65 år med depressive episoder i forbindelse med bipolar lidelse.</w:t>
      </w:r>
    </w:p>
    <w:p w14:paraId="0073F3D2" w14:textId="77777777" w:rsidR="00040F2E" w:rsidRDefault="00040F2E" w:rsidP="00040F2E">
      <w:pPr>
        <w:autoSpaceDE w:val="0"/>
        <w:autoSpaceDN w:val="0"/>
        <w:adjustRightInd w:val="0"/>
        <w:rPr>
          <w:b/>
          <w:bCs/>
          <w:i/>
          <w:iCs/>
          <w:sz w:val="24"/>
          <w:szCs w:val="24"/>
          <w:lang w:eastAsia="en-GB"/>
        </w:rPr>
      </w:pPr>
    </w:p>
    <w:p w14:paraId="7B5D7921" w14:textId="77777777" w:rsidR="00040F2E" w:rsidRPr="0061479D" w:rsidRDefault="00040F2E" w:rsidP="00040F2E">
      <w:pPr>
        <w:autoSpaceDE w:val="0"/>
        <w:autoSpaceDN w:val="0"/>
        <w:adjustRightInd w:val="0"/>
        <w:ind w:firstLine="851"/>
        <w:rPr>
          <w:iCs/>
          <w:sz w:val="24"/>
          <w:szCs w:val="24"/>
          <w:lang w:eastAsia="en-GB"/>
        </w:rPr>
      </w:pPr>
      <w:r w:rsidRPr="0061479D">
        <w:rPr>
          <w:b/>
          <w:bCs/>
          <w:iCs/>
          <w:sz w:val="24"/>
          <w:szCs w:val="24"/>
          <w:lang w:eastAsia="en-GB"/>
        </w:rPr>
        <w:t>Pædiatrisk population</w:t>
      </w:r>
    </w:p>
    <w:p w14:paraId="4BFCEFE2" w14:textId="4C0AE90E" w:rsidR="00040F2E" w:rsidRDefault="00040F2E" w:rsidP="00040F2E">
      <w:pPr>
        <w:autoSpaceDE w:val="0"/>
        <w:autoSpaceDN w:val="0"/>
        <w:adjustRightInd w:val="0"/>
        <w:ind w:left="851"/>
        <w:rPr>
          <w:sz w:val="24"/>
          <w:szCs w:val="24"/>
        </w:rPr>
      </w:pPr>
      <w:r>
        <w:rPr>
          <w:sz w:val="24"/>
          <w:szCs w:val="24"/>
          <w:lang w:eastAsia="en-GB"/>
        </w:rPr>
        <w:t>Quetiapin</w:t>
      </w:r>
      <w:r w:rsidR="002E3625">
        <w:rPr>
          <w:sz w:val="24"/>
          <w:szCs w:val="24"/>
          <w:lang w:eastAsia="en-GB"/>
        </w:rPr>
        <w:t xml:space="preserve"> </w:t>
      </w:r>
      <w:r>
        <w:rPr>
          <w:sz w:val="24"/>
          <w:szCs w:val="24"/>
          <w:lang w:eastAsia="en-GB"/>
        </w:rPr>
        <w:t xml:space="preserve">tabletter </w:t>
      </w:r>
      <w:r>
        <w:rPr>
          <w:sz w:val="24"/>
          <w:szCs w:val="24"/>
        </w:rPr>
        <w:t>anbefales ikke til brug hos børn og unge under 18 år på grund af manglende data til støtte for brugen i denne aldersgruppe. De foreliggende data fra placebo-kontrollerede kliniske forsøg er beskrevet under pkt. 4.4, 4.8, 5.1 og 5.2.</w:t>
      </w:r>
    </w:p>
    <w:p w14:paraId="418B9116" w14:textId="77777777" w:rsidR="00040F2E" w:rsidRDefault="00040F2E" w:rsidP="00040F2E">
      <w:pPr>
        <w:autoSpaceDE w:val="0"/>
        <w:autoSpaceDN w:val="0"/>
        <w:adjustRightInd w:val="0"/>
        <w:rPr>
          <w:sz w:val="24"/>
          <w:szCs w:val="24"/>
        </w:rPr>
      </w:pPr>
    </w:p>
    <w:p w14:paraId="2249C69F" w14:textId="77777777" w:rsidR="00040F2E" w:rsidRPr="0061479D" w:rsidRDefault="00040F2E" w:rsidP="00040F2E">
      <w:pPr>
        <w:autoSpaceDE w:val="0"/>
        <w:autoSpaceDN w:val="0"/>
        <w:adjustRightInd w:val="0"/>
        <w:ind w:firstLine="851"/>
        <w:rPr>
          <w:b/>
          <w:bCs/>
          <w:iCs/>
          <w:sz w:val="24"/>
          <w:szCs w:val="24"/>
          <w:lang w:eastAsia="en-GB"/>
        </w:rPr>
      </w:pPr>
      <w:r w:rsidRPr="0061479D">
        <w:rPr>
          <w:b/>
          <w:bCs/>
          <w:iCs/>
          <w:sz w:val="24"/>
          <w:szCs w:val="24"/>
          <w:lang w:eastAsia="en-GB"/>
        </w:rPr>
        <w:t>Nedsat nyrefunktion</w:t>
      </w:r>
    </w:p>
    <w:p w14:paraId="03557C23" w14:textId="77777777" w:rsidR="00040F2E" w:rsidRDefault="00040F2E" w:rsidP="00040F2E">
      <w:pPr>
        <w:autoSpaceDE w:val="0"/>
        <w:autoSpaceDN w:val="0"/>
        <w:adjustRightInd w:val="0"/>
        <w:ind w:firstLine="851"/>
        <w:rPr>
          <w:sz w:val="24"/>
          <w:szCs w:val="24"/>
          <w:lang w:eastAsia="en-GB"/>
        </w:rPr>
      </w:pPr>
      <w:r>
        <w:rPr>
          <w:sz w:val="24"/>
          <w:szCs w:val="24"/>
          <w:lang w:eastAsia="en-GB"/>
        </w:rPr>
        <w:t>Dosisjustering er ikke nødvendig ved patienter med nedsat nyrefunktion.</w:t>
      </w:r>
    </w:p>
    <w:p w14:paraId="0187EAF0" w14:textId="77777777" w:rsidR="00040F2E" w:rsidRDefault="00040F2E" w:rsidP="00040F2E">
      <w:pPr>
        <w:autoSpaceDE w:val="0"/>
        <w:autoSpaceDN w:val="0"/>
        <w:adjustRightInd w:val="0"/>
        <w:rPr>
          <w:sz w:val="24"/>
          <w:szCs w:val="24"/>
          <w:lang w:eastAsia="en-GB"/>
        </w:rPr>
      </w:pPr>
    </w:p>
    <w:p w14:paraId="564CB0B5" w14:textId="77777777" w:rsidR="00040F2E" w:rsidRPr="0061479D" w:rsidRDefault="00040F2E" w:rsidP="00040F2E">
      <w:pPr>
        <w:autoSpaceDE w:val="0"/>
        <w:autoSpaceDN w:val="0"/>
        <w:adjustRightInd w:val="0"/>
        <w:ind w:firstLine="851"/>
        <w:rPr>
          <w:b/>
          <w:bCs/>
          <w:iCs/>
          <w:sz w:val="24"/>
          <w:szCs w:val="24"/>
          <w:lang w:eastAsia="en-GB"/>
        </w:rPr>
      </w:pPr>
      <w:r w:rsidRPr="0061479D">
        <w:rPr>
          <w:b/>
          <w:bCs/>
          <w:iCs/>
          <w:sz w:val="24"/>
          <w:szCs w:val="24"/>
          <w:lang w:eastAsia="en-GB"/>
        </w:rPr>
        <w:t>Nedsat leverfunktion</w:t>
      </w:r>
    </w:p>
    <w:p w14:paraId="57240072" w14:textId="77777777" w:rsidR="00040F2E" w:rsidRDefault="00040F2E" w:rsidP="00040F2E">
      <w:pPr>
        <w:autoSpaceDE w:val="0"/>
        <w:autoSpaceDN w:val="0"/>
        <w:adjustRightInd w:val="0"/>
        <w:ind w:left="851"/>
        <w:rPr>
          <w:sz w:val="24"/>
          <w:szCs w:val="24"/>
        </w:rPr>
      </w:pPr>
      <w:r>
        <w:rPr>
          <w:sz w:val="24"/>
          <w:szCs w:val="24"/>
        </w:rPr>
        <w:t>Quetiapin metaboliseres ekstensivt i leveren. Derfor bør q</w:t>
      </w:r>
      <w:r>
        <w:rPr>
          <w:sz w:val="24"/>
          <w:szCs w:val="24"/>
          <w:lang w:eastAsia="en-GB"/>
        </w:rPr>
        <w:t xml:space="preserve">uetiapin </w:t>
      </w:r>
      <w:r>
        <w:rPr>
          <w:sz w:val="24"/>
          <w:szCs w:val="24"/>
        </w:rPr>
        <w:t xml:space="preserve">anvendes med forsigtighed til patienter med kendt leverfunktionsnedsættelse, især i den indledende doseringsperiode. Patienter med kendt nedsat leverfunktion bør starte med 25 mg/dag. </w:t>
      </w:r>
    </w:p>
    <w:p w14:paraId="1B3201EA" w14:textId="77777777" w:rsidR="00040F2E" w:rsidRDefault="00040F2E" w:rsidP="00040F2E">
      <w:pPr>
        <w:autoSpaceDE w:val="0"/>
        <w:autoSpaceDN w:val="0"/>
        <w:adjustRightInd w:val="0"/>
        <w:ind w:left="851"/>
        <w:rPr>
          <w:sz w:val="24"/>
          <w:szCs w:val="24"/>
        </w:rPr>
      </w:pPr>
      <w:r>
        <w:rPr>
          <w:sz w:val="24"/>
          <w:szCs w:val="24"/>
        </w:rPr>
        <w:t>Dosis bør øges dagligt med 25-50 mg/dag, indtil effektiv dosis er nået, afhængigt af den enkelte patients kliniske respons og tolerabilitet.</w:t>
      </w:r>
    </w:p>
    <w:p w14:paraId="68802215" w14:textId="77777777" w:rsidR="00040F2E" w:rsidRPr="00B50DD9" w:rsidRDefault="00040F2E" w:rsidP="00040F2E">
      <w:pPr>
        <w:autoSpaceDE w:val="0"/>
        <w:autoSpaceDN w:val="0"/>
        <w:adjustRightInd w:val="0"/>
        <w:rPr>
          <w:sz w:val="24"/>
          <w:szCs w:val="24"/>
          <w:lang w:eastAsia="en-GB"/>
        </w:rPr>
      </w:pPr>
    </w:p>
    <w:p w14:paraId="16A862B0"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4.3 </w:t>
      </w:r>
      <w:r w:rsidRPr="00B50DD9">
        <w:rPr>
          <w:b/>
          <w:bCs/>
          <w:sz w:val="24"/>
          <w:szCs w:val="24"/>
          <w:lang w:eastAsia="en-GB"/>
        </w:rPr>
        <w:tab/>
        <w:t>Kontraindikationer</w:t>
      </w:r>
    </w:p>
    <w:p w14:paraId="54DEB25C" w14:textId="77777777" w:rsidR="00040F2E" w:rsidRDefault="00040F2E" w:rsidP="00040F2E">
      <w:pPr>
        <w:pStyle w:val="ReferenceLine"/>
        <w:ind w:left="851"/>
        <w:jc w:val="left"/>
        <w:rPr>
          <w:rFonts w:ascii="Times New Roman" w:hAnsi="Times New Roman"/>
          <w:szCs w:val="24"/>
          <w:lang w:val="da-DK"/>
        </w:rPr>
      </w:pPr>
      <w:r>
        <w:rPr>
          <w:rFonts w:ascii="Times New Roman" w:hAnsi="Times New Roman"/>
          <w:szCs w:val="24"/>
          <w:lang w:val="da-DK"/>
        </w:rPr>
        <w:t>Overfølsomhed over for det aktive stof eller over for et eller flere af hjælpestofferne.</w:t>
      </w:r>
    </w:p>
    <w:p w14:paraId="7E6D44A4" w14:textId="77777777" w:rsidR="00040F2E" w:rsidRDefault="00040F2E" w:rsidP="00040F2E">
      <w:pPr>
        <w:pStyle w:val="ReferenceLine"/>
        <w:ind w:left="851"/>
        <w:jc w:val="left"/>
        <w:rPr>
          <w:rFonts w:ascii="Times New Roman" w:hAnsi="Times New Roman"/>
          <w:szCs w:val="24"/>
          <w:lang w:val="da-DK"/>
        </w:rPr>
      </w:pPr>
    </w:p>
    <w:p w14:paraId="40EF43E2" w14:textId="77777777" w:rsidR="00040F2E" w:rsidRDefault="00040F2E" w:rsidP="00040F2E">
      <w:pPr>
        <w:pStyle w:val="ReferenceLine"/>
        <w:ind w:left="851"/>
        <w:jc w:val="left"/>
        <w:rPr>
          <w:rFonts w:ascii="Times New Roman" w:hAnsi="Times New Roman"/>
          <w:szCs w:val="24"/>
          <w:lang w:val="da-DK"/>
        </w:rPr>
      </w:pPr>
      <w:r>
        <w:rPr>
          <w:rFonts w:ascii="Times New Roman" w:hAnsi="Times New Roman"/>
          <w:szCs w:val="24"/>
          <w:lang w:val="da-DK"/>
        </w:rPr>
        <w:t>Samtidig administration af cytochrom P450 3A4-hæmmere såsom HIV-proteasehæmmere, svampemidler af azoltypen, erythromycin, clarithromycin og nefazodon er kontraindiceret (se pkt. 4.5).</w:t>
      </w:r>
      <w:r>
        <w:rPr>
          <w:rFonts w:ascii="Times New Roman" w:hAnsi="Times New Roman"/>
          <w:color w:val="000000"/>
          <w:szCs w:val="24"/>
          <w:lang w:val="da-DK"/>
        </w:rPr>
        <w:t xml:space="preserve"> </w:t>
      </w:r>
    </w:p>
    <w:p w14:paraId="360C1C21" w14:textId="77777777" w:rsidR="00040F2E" w:rsidRPr="00B50DD9" w:rsidRDefault="00040F2E" w:rsidP="00040F2E">
      <w:pPr>
        <w:autoSpaceDE w:val="0"/>
        <w:autoSpaceDN w:val="0"/>
        <w:adjustRightInd w:val="0"/>
        <w:rPr>
          <w:b/>
          <w:bCs/>
          <w:sz w:val="24"/>
          <w:szCs w:val="24"/>
          <w:lang w:eastAsia="en-GB"/>
        </w:rPr>
      </w:pPr>
    </w:p>
    <w:p w14:paraId="099FEE77"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lastRenderedPageBreak/>
        <w:t xml:space="preserve">4.4 </w:t>
      </w:r>
      <w:r w:rsidRPr="00B50DD9">
        <w:rPr>
          <w:b/>
          <w:bCs/>
          <w:sz w:val="24"/>
          <w:szCs w:val="24"/>
          <w:lang w:eastAsia="en-GB"/>
        </w:rPr>
        <w:tab/>
      </w:r>
      <w:r w:rsidRPr="00B50DD9">
        <w:rPr>
          <w:b/>
          <w:sz w:val="24"/>
          <w:szCs w:val="24"/>
        </w:rPr>
        <w:t>Særlige advarsler og forsigtighedsregler vedrørende brugen</w:t>
      </w:r>
    </w:p>
    <w:p w14:paraId="578C01DA" w14:textId="77777777" w:rsidR="0067627C" w:rsidRPr="00120640" w:rsidRDefault="0067627C" w:rsidP="0067627C">
      <w:pPr>
        <w:ind w:left="851"/>
        <w:rPr>
          <w:bCs/>
          <w:sz w:val="24"/>
          <w:szCs w:val="24"/>
        </w:rPr>
      </w:pPr>
      <w:r>
        <w:rPr>
          <w:bCs/>
          <w:iCs/>
          <w:color w:val="000000"/>
          <w:sz w:val="24"/>
          <w:szCs w:val="24"/>
        </w:rPr>
        <w:t xml:space="preserve">Da quetiapin </w:t>
      </w:r>
      <w:r>
        <w:rPr>
          <w:bCs/>
          <w:sz w:val="24"/>
          <w:szCs w:val="24"/>
        </w:rPr>
        <w:t>er indiceret til behandling af flere lidelser, skal der tages højde for sikkerhedsprofilen med hensyn til den individuelle patients diagnose og den administrerede dosis</w:t>
      </w:r>
      <w:r>
        <w:rPr>
          <w:bCs/>
          <w:sz w:val="24"/>
          <w:szCs w:val="24"/>
          <w:lang w:val="sv-SE"/>
        </w:rPr>
        <w:t>.</w:t>
      </w:r>
    </w:p>
    <w:p w14:paraId="312FF1FF" w14:textId="77777777" w:rsidR="0067627C" w:rsidRDefault="0067627C" w:rsidP="0067627C">
      <w:pPr>
        <w:rPr>
          <w:bCs/>
          <w:sz w:val="24"/>
          <w:szCs w:val="24"/>
          <w:lang w:val="sv-SE"/>
        </w:rPr>
      </w:pPr>
    </w:p>
    <w:p w14:paraId="17638966" w14:textId="77777777" w:rsidR="0067627C" w:rsidRDefault="0067627C" w:rsidP="0067627C">
      <w:pPr>
        <w:ind w:firstLine="851"/>
        <w:rPr>
          <w:color w:val="000000"/>
          <w:sz w:val="24"/>
          <w:szCs w:val="24"/>
        </w:rPr>
      </w:pPr>
      <w:r>
        <w:rPr>
          <w:b/>
          <w:bCs/>
          <w:i/>
          <w:iCs/>
          <w:sz w:val="24"/>
          <w:szCs w:val="24"/>
          <w:lang w:eastAsia="en-GB"/>
        </w:rPr>
        <w:t>Pædiatrisk population</w:t>
      </w:r>
    </w:p>
    <w:p w14:paraId="609AC5A6" w14:textId="77777777" w:rsidR="0067627C" w:rsidRDefault="0067627C" w:rsidP="0067627C">
      <w:pPr>
        <w:ind w:left="851"/>
        <w:rPr>
          <w:color w:val="000000"/>
          <w:sz w:val="24"/>
          <w:szCs w:val="24"/>
        </w:rPr>
      </w:pPr>
      <w:r>
        <w:rPr>
          <w:color w:val="000000"/>
          <w:sz w:val="24"/>
          <w:szCs w:val="24"/>
        </w:rPr>
        <w:t xml:space="preserve">Quetiapin anbefales ikke til brug hos børn og unge under 18 år på grund af manglende data til støtte for brug i denne aldersgruppe. Kliniske forsøg med quetiapin har vist, at ud over den sikkerhedsprofil, som er identificeret hos voksne (se pkt. 4.8), indtrådte visse uønskede hændelser med større hyppighed hos børn og unge sammenlignet med voksne (øget appetit, forhøjet serumprolaktin, opkastning, rhinitis og synkope), </w:t>
      </w:r>
      <w:r>
        <w:rPr>
          <w:sz w:val="24"/>
          <w:szCs w:val="24"/>
        </w:rPr>
        <w:t>eller med andre konsekvenser for børn og unge (ekstrapyramidale symptomer</w:t>
      </w:r>
      <w:r>
        <w:t xml:space="preserve"> og irritabilitet</w:t>
      </w:r>
      <w:r>
        <w:rPr>
          <w:sz w:val="24"/>
          <w:szCs w:val="24"/>
        </w:rPr>
        <w:t xml:space="preserve">), </w:t>
      </w:r>
      <w:r>
        <w:rPr>
          <w:color w:val="000000"/>
          <w:sz w:val="24"/>
          <w:szCs w:val="24"/>
        </w:rPr>
        <w:t>og der blev identificeret en bivirkning, som ikke tidligere er set i studier med voksne (forhøjet blodtryk). Der er også blevet observeret ændringer i thyroidea-funktionstest hos børn og unge.</w:t>
      </w:r>
    </w:p>
    <w:p w14:paraId="2C9D68F7" w14:textId="77777777" w:rsidR="0067627C" w:rsidRDefault="0067627C" w:rsidP="0067627C">
      <w:pPr>
        <w:rPr>
          <w:color w:val="000000"/>
          <w:sz w:val="24"/>
          <w:szCs w:val="24"/>
        </w:rPr>
      </w:pPr>
    </w:p>
    <w:p w14:paraId="2DD0A8A5" w14:textId="77777777" w:rsidR="0067627C" w:rsidRDefault="0067627C" w:rsidP="0067627C">
      <w:pPr>
        <w:ind w:left="851"/>
        <w:rPr>
          <w:color w:val="000000"/>
          <w:sz w:val="24"/>
          <w:szCs w:val="24"/>
        </w:rPr>
      </w:pPr>
      <w:r>
        <w:rPr>
          <w:color w:val="000000"/>
          <w:sz w:val="24"/>
          <w:szCs w:val="24"/>
        </w:rPr>
        <w:t>Endvidere er de langsigtede sikkerhedskonsekvenser af behandling med quetiapin for vækst og modning ikke blevet undersøgt ud over 26 uger. Langsigtede konsekvenser for kognitiv og adfærdsmæssig udvikling kendes ikke.</w:t>
      </w:r>
    </w:p>
    <w:p w14:paraId="38E27E69" w14:textId="77777777" w:rsidR="0067627C" w:rsidRDefault="0067627C" w:rsidP="0067627C">
      <w:pPr>
        <w:rPr>
          <w:color w:val="000000"/>
          <w:sz w:val="24"/>
          <w:szCs w:val="24"/>
        </w:rPr>
      </w:pPr>
    </w:p>
    <w:p w14:paraId="64184C06" w14:textId="77777777" w:rsidR="0067627C" w:rsidRDefault="0067627C" w:rsidP="0067627C">
      <w:pPr>
        <w:ind w:left="851"/>
        <w:rPr>
          <w:color w:val="000000"/>
          <w:sz w:val="24"/>
          <w:szCs w:val="24"/>
        </w:rPr>
      </w:pPr>
      <w:r>
        <w:rPr>
          <w:color w:val="000000"/>
          <w:sz w:val="24"/>
          <w:szCs w:val="24"/>
        </w:rPr>
        <w:t>I placebo-kontrollerede kliniske forsøg med quetiapin-behandlede børn og unge patienter var quetiapin forbundet med en øget forekomst af ekstrapyramidale symptomer (EPS) sammenlignet med placebo hos patienter behandlet for skizofreni, bipolar mani og bipolar depression (se pkt. 4.8).</w:t>
      </w:r>
    </w:p>
    <w:p w14:paraId="13295FC5" w14:textId="77777777" w:rsidR="0067627C" w:rsidRDefault="0067627C" w:rsidP="0067627C">
      <w:pPr>
        <w:rPr>
          <w:b/>
          <w:bCs/>
          <w:i/>
          <w:iCs/>
          <w:color w:val="000000"/>
          <w:sz w:val="24"/>
          <w:szCs w:val="24"/>
        </w:rPr>
      </w:pPr>
    </w:p>
    <w:p w14:paraId="354BB706" w14:textId="77777777" w:rsidR="0067627C" w:rsidRDefault="0067627C" w:rsidP="0067627C">
      <w:pPr>
        <w:ind w:firstLine="851"/>
        <w:rPr>
          <w:b/>
          <w:bCs/>
          <w:i/>
          <w:iCs/>
          <w:color w:val="000000"/>
          <w:sz w:val="24"/>
          <w:szCs w:val="24"/>
        </w:rPr>
      </w:pPr>
      <w:r>
        <w:rPr>
          <w:b/>
          <w:bCs/>
          <w:i/>
          <w:iCs/>
          <w:color w:val="000000"/>
          <w:sz w:val="24"/>
          <w:szCs w:val="24"/>
        </w:rPr>
        <w:t>Selvmord/selvmordstanker eller klinisk forværring</w:t>
      </w:r>
    </w:p>
    <w:p w14:paraId="34B92C55" w14:textId="77777777" w:rsidR="0067627C" w:rsidRDefault="0067627C" w:rsidP="0067627C">
      <w:pPr>
        <w:ind w:left="851"/>
        <w:rPr>
          <w:color w:val="000000"/>
          <w:sz w:val="24"/>
          <w:szCs w:val="24"/>
        </w:rPr>
      </w:pPr>
      <w:r>
        <w:rPr>
          <w:color w:val="000000"/>
          <w:sz w:val="24"/>
          <w:szCs w:val="24"/>
        </w:rPr>
        <w:t>Depression ved bipolar lidelse er forbundet med en øget risiko for selvmordstanker, selvdestruktiv adfærd og selvmord (selvmordsrelaterede hændelser). Risikoen varer ved, indtil der forekommer signifikant remission. Da der måske ikke indtræffer bedring i de første uger eller mere af behandlingen, bør patienterne følges nøje, indtil bedring indtræffer. Det er generel klinisk erfaring, at selvmordsrisikoen kan stige i restitutionens tidlige stadier.</w:t>
      </w:r>
    </w:p>
    <w:p w14:paraId="3EE699D6" w14:textId="77777777" w:rsidR="0067627C" w:rsidRDefault="0067627C" w:rsidP="0067627C">
      <w:pPr>
        <w:rPr>
          <w:color w:val="000000"/>
          <w:sz w:val="24"/>
          <w:szCs w:val="24"/>
        </w:rPr>
      </w:pPr>
    </w:p>
    <w:p w14:paraId="13F5AF7F" w14:textId="77777777" w:rsidR="0061479D" w:rsidRDefault="0067627C" w:rsidP="0067627C">
      <w:pPr>
        <w:ind w:left="851"/>
        <w:rPr>
          <w:color w:val="000000"/>
          <w:sz w:val="24"/>
          <w:szCs w:val="24"/>
        </w:rPr>
      </w:pPr>
      <w:r>
        <w:rPr>
          <w:color w:val="000000"/>
          <w:sz w:val="24"/>
          <w:szCs w:val="24"/>
        </w:rPr>
        <w:t>Desuden bør læger tage den potentielle risiko for selvmordsrelaterede hændelser efter pludseligt ophør af behandling med quetipin i betragtning, pga. de kendte risikofaktorer for den behandlede sygdom.</w:t>
      </w:r>
    </w:p>
    <w:p w14:paraId="4B3BC68F" w14:textId="77777777" w:rsidR="0061479D" w:rsidRDefault="0061479D" w:rsidP="0067627C">
      <w:pPr>
        <w:ind w:left="851"/>
        <w:rPr>
          <w:color w:val="000000"/>
          <w:sz w:val="24"/>
          <w:szCs w:val="24"/>
        </w:rPr>
      </w:pPr>
    </w:p>
    <w:p w14:paraId="2FA8823B" w14:textId="5786552B" w:rsidR="0067627C" w:rsidRDefault="0067627C" w:rsidP="0067627C">
      <w:pPr>
        <w:ind w:left="851"/>
        <w:rPr>
          <w:color w:val="000000"/>
          <w:sz w:val="24"/>
          <w:szCs w:val="24"/>
        </w:rPr>
      </w:pPr>
      <w:r>
        <w:rPr>
          <w:color w:val="000000"/>
          <w:sz w:val="24"/>
          <w:szCs w:val="24"/>
        </w:rPr>
        <w:t xml:space="preserve">Andre psykiske lidelser, for hvilke der ordineres quetiapin, kan også være forbundet med en øget risiko for selvmordsrelaterede hændelser. Desuden kan disse lidelser være komorbide ved </w:t>
      </w:r>
      <w:r w:rsidR="0061479D">
        <w:rPr>
          <w:color w:val="000000"/>
          <w:sz w:val="24"/>
          <w:szCs w:val="24"/>
        </w:rPr>
        <w:t xml:space="preserve">major </w:t>
      </w:r>
      <w:r>
        <w:rPr>
          <w:color w:val="000000"/>
          <w:sz w:val="24"/>
          <w:szCs w:val="24"/>
        </w:rPr>
        <w:t>depressive episoder. De forholdsregler, som der tages ved behandling af patienter med depressive episoder, bør derfor også tages ved behandling af patienter med andre psykiske lidelser.</w:t>
      </w:r>
    </w:p>
    <w:p w14:paraId="6E98E2F4" w14:textId="77777777" w:rsidR="0067627C" w:rsidRDefault="0067627C" w:rsidP="0067627C">
      <w:pPr>
        <w:rPr>
          <w:color w:val="000000"/>
          <w:sz w:val="24"/>
          <w:szCs w:val="24"/>
        </w:rPr>
      </w:pPr>
    </w:p>
    <w:p w14:paraId="7A479C74" w14:textId="77777777" w:rsidR="0067627C" w:rsidRDefault="0067627C" w:rsidP="0067627C">
      <w:pPr>
        <w:ind w:left="851"/>
        <w:rPr>
          <w:color w:val="000000"/>
          <w:sz w:val="24"/>
          <w:szCs w:val="24"/>
        </w:rPr>
      </w:pPr>
      <w:r>
        <w:rPr>
          <w:color w:val="000000"/>
          <w:sz w:val="24"/>
          <w:szCs w:val="24"/>
        </w:rPr>
        <w:t>Patienter med selvmordsrelaterede hændelser i anamnesen og patienter, som udviser et signifikant omfang af selvmordstanker inden behandlingsstart, har en højere risiko for suicidale tanker eller selvmordsforsøg, og disse patienter skal derfor monitoreres nøje under behandlingen. En metaanalyse af placebokontrollerede kliniske forsøg med antidepressiva hos voksne patienter med psykiske lidelser viste en øget risiko for selvmordsadfærd ved antidepressiva sammenlignet med placebo hos patienter under 25 år.</w:t>
      </w:r>
    </w:p>
    <w:p w14:paraId="284A0B0C" w14:textId="77777777" w:rsidR="0067627C" w:rsidRDefault="0067627C" w:rsidP="0067627C">
      <w:pPr>
        <w:rPr>
          <w:color w:val="000000"/>
          <w:sz w:val="24"/>
          <w:szCs w:val="24"/>
        </w:rPr>
      </w:pPr>
    </w:p>
    <w:p w14:paraId="3B969D68" w14:textId="77777777" w:rsidR="0067627C" w:rsidRDefault="0067627C" w:rsidP="0067627C">
      <w:pPr>
        <w:ind w:left="851"/>
        <w:rPr>
          <w:color w:val="000000"/>
          <w:sz w:val="24"/>
          <w:szCs w:val="24"/>
        </w:rPr>
      </w:pPr>
      <w:r>
        <w:rPr>
          <w:color w:val="000000"/>
          <w:sz w:val="24"/>
          <w:szCs w:val="24"/>
        </w:rPr>
        <w:lastRenderedPageBreak/>
        <w:t>Tæt supervision af patienterne, og især af patienter i højrisikogruppen, skal ledsage den medicinske behandling, især i den første del af behandlingen og efter dosisjustering. Patienter (eller patienternes plejere) skal underrettes om nødvendigheden af at være opmærksomme på en hvilken som helst forværring af patienternes kliniske tilstand, selvmordsadfærd eller -tanker og usædvanlige ændringer i adfærd og om straks at søge læge, hvis disse symptomer optræder.</w:t>
      </w:r>
    </w:p>
    <w:p w14:paraId="1C2174A7" w14:textId="77777777" w:rsidR="0067627C" w:rsidRDefault="0067627C" w:rsidP="0067627C">
      <w:pPr>
        <w:rPr>
          <w:color w:val="000000"/>
          <w:sz w:val="24"/>
          <w:szCs w:val="24"/>
        </w:rPr>
      </w:pPr>
    </w:p>
    <w:p w14:paraId="4A84E44A" w14:textId="77777777" w:rsidR="0067627C" w:rsidRDefault="0067627C" w:rsidP="0067627C">
      <w:pPr>
        <w:ind w:left="851"/>
        <w:rPr>
          <w:sz w:val="24"/>
          <w:lang w:eastAsia="da-DK"/>
        </w:rPr>
      </w:pPr>
      <w:r>
        <w:rPr>
          <w:color w:val="000000"/>
          <w:sz w:val="24"/>
          <w:szCs w:val="24"/>
        </w:rPr>
        <w:t xml:space="preserve">I korterevarende placebo-kontrollerede kliniske studier med patienter med alvorlige depressive episoder i forbindelse med bipolar lidelse observeredes en øget risiko for selvmordsrelaterede hændelser hos unge mandlige patienter (yngre end 25 år), som blev behandlet med quetiapin, sammenlignet med dem, der behandledes med placebo (henholdsvis 3,0 % vs. 0 %). </w:t>
      </w:r>
      <w:r>
        <w:rPr>
          <w:sz w:val="24"/>
          <w:szCs w:val="24"/>
        </w:rPr>
        <w:t>Et populationsbaseret retrospektivt studie af quetiapin til behandling af patienter med major depressiv lidelse viste en øget risiko for selvdestruktiv adfærd og selvmord hos patienter i alderen 25 til 64 år uden tidligere selv</w:t>
      </w:r>
      <w:r>
        <w:rPr>
          <w:sz w:val="24"/>
          <w:szCs w:val="24"/>
        </w:rPr>
        <w:softHyphen/>
        <w:t>destruktiv adfærd under behandling med quetiapin sammen med andre antidepressiva.</w:t>
      </w:r>
    </w:p>
    <w:p w14:paraId="6736B882" w14:textId="77777777" w:rsidR="0067627C" w:rsidRDefault="0067627C" w:rsidP="0067627C">
      <w:pPr>
        <w:ind w:left="851"/>
        <w:rPr>
          <w:color w:val="000000"/>
          <w:sz w:val="24"/>
          <w:szCs w:val="24"/>
        </w:rPr>
      </w:pPr>
    </w:p>
    <w:p w14:paraId="395133F6" w14:textId="77777777" w:rsidR="0067627C" w:rsidRDefault="0067627C" w:rsidP="0067627C">
      <w:pPr>
        <w:ind w:left="851"/>
        <w:rPr>
          <w:b/>
          <w:i/>
          <w:sz w:val="24"/>
          <w:szCs w:val="24"/>
        </w:rPr>
      </w:pPr>
      <w:r>
        <w:rPr>
          <w:b/>
          <w:i/>
          <w:sz w:val="24"/>
          <w:szCs w:val="24"/>
        </w:rPr>
        <w:t>Metabolisk risiko</w:t>
      </w:r>
    </w:p>
    <w:p w14:paraId="7B432AF2" w14:textId="77777777" w:rsidR="0067627C" w:rsidRDefault="0067627C" w:rsidP="0067627C">
      <w:pPr>
        <w:ind w:left="851"/>
        <w:rPr>
          <w:sz w:val="24"/>
          <w:szCs w:val="24"/>
        </w:rPr>
      </w:pPr>
      <w:r>
        <w:rPr>
          <w:sz w:val="24"/>
          <w:szCs w:val="24"/>
        </w:rPr>
        <w:t>På baggrund af den observerede risiko for forværring af patientens metaboliske profil, herunder ændringer i vægt, blodglucose (se hyperglykæmi) og lipider, der blev set i kliniske studier, skal de metaboliske parametre vurderes ved behandlingsstart, og der skal regelmæssigt kontrolleres for ændringer i disse parametre under behandlingen. Forværring af disse parametre skal håndteres i henhold til normal klinisk praksis (se også pkt. 4.8).</w:t>
      </w:r>
    </w:p>
    <w:p w14:paraId="5AD38A29" w14:textId="77777777" w:rsidR="0067627C" w:rsidRDefault="0067627C" w:rsidP="0067627C">
      <w:pPr>
        <w:ind w:left="851"/>
        <w:rPr>
          <w:sz w:val="24"/>
          <w:szCs w:val="24"/>
          <w:u w:val="single"/>
        </w:rPr>
      </w:pPr>
    </w:p>
    <w:p w14:paraId="006837AA" w14:textId="77777777" w:rsidR="0067627C" w:rsidRDefault="0067627C" w:rsidP="0067627C">
      <w:pPr>
        <w:ind w:left="851"/>
        <w:rPr>
          <w:b/>
          <w:i/>
          <w:sz w:val="24"/>
          <w:szCs w:val="24"/>
        </w:rPr>
      </w:pPr>
      <w:r>
        <w:rPr>
          <w:b/>
          <w:i/>
          <w:sz w:val="24"/>
          <w:szCs w:val="24"/>
        </w:rPr>
        <w:t>Ekstrapyramidale symptomer</w:t>
      </w:r>
    </w:p>
    <w:p w14:paraId="392C3665" w14:textId="77777777" w:rsidR="0067627C" w:rsidRDefault="0067627C" w:rsidP="0067627C">
      <w:pPr>
        <w:ind w:left="851"/>
        <w:rPr>
          <w:sz w:val="24"/>
          <w:szCs w:val="24"/>
        </w:rPr>
      </w:pPr>
      <w:r>
        <w:rPr>
          <w:sz w:val="24"/>
          <w:szCs w:val="24"/>
        </w:rPr>
        <w:t xml:space="preserve">I placebokontrollerede kliniske studier af voksne patienter blev quetiapin forbundet med en øget incidens af ekstrapyramidale symptomer (EPS) i forhold til placebo hos patienter, der blev behandlet mod svære depressive episoder i forbindelse med bipolar affektiv sindslidelse (se pkt. 4.8 og 5.1). </w:t>
      </w:r>
    </w:p>
    <w:p w14:paraId="702F9F06" w14:textId="77777777" w:rsidR="0067627C" w:rsidRDefault="0067627C" w:rsidP="0067627C">
      <w:pPr>
        <w:ind w:left="851"/>
        <w:rPr>
          <w:sz w:val="24"/>
          <w:szCs w:val="24"/>
        </w:rPr>
      </w:pPr>
    </w:p>
    <w:p w14:paraId="6DF4ABB4" w14:textId="77777777" w:rsidR="0067627C" w:rsidRDefault="0067627C" w:rsidP="0067627C">
      <w:pPr>
        <w:ind w:left="851"/>
        <w:rPr>
          <w:sz w:val="24"/>
          <w:szCs w:val="24"/>
        </w:rPr>
      </w:pPr>
      <w:r>
        <w:rPr>
          <w:sz w:val="24"/>
          <w:szCs w:val="24"/>
        </w:rPr>
        <w:t xml:space="preserve">Brug af quetiapin er blevet forbundet med udvikling af akathisi, der er karakteriseret ved en subjektivt vurderet ubehagelig eller generende rastløshed og et behov for at bevæge sig, der ofte er ledsaget af manglende evne til at sidde eller stå stille. Der er størst sandsynlighed for, at dette opstår inden for de første få uger af behandlingen. Det kan være skadeligt at øge dosis hos patienter, der udvikler disse symptomer. </w:t>
      </w:r>
    </w:p>
    <w:p w14:paraId="5E6C026A" w14:textId="77777777" w:rsidR="0067627C" w:rsidRDefault="0067627C" w:rsidP="0067627C">
      <w:pPr>
        <w:ind w:left="851"/>
        <w:rPr>
          <w:sz w:val="24"/>
          <w:szCs w:val="24"/>
          <w:u w:val="single"/>
        </w:rPr>
      </w:pPr>
    </w:p>
    <w:p w14:paraId="70A5773E" w14:textId="77777777" w:rsidR="0067627C" w:rsidRDefault="0067627C" w:rsidP="0067627C">
      <w:pPr>
        <w:ind w:left="851"/>
        <w:rPr>
          <w:b/>
          <w:i/>
          <w:sz w:val="24"/>
          <w:szCs w:val="24"/>
        </w:rPr>
      </w:pPr>
      <w:r>
        <w:rPr>
          <w:b/>
          <w:i/>
          <w:sz w:val="24"/>
          <w:szCs w:val="24"/>
        </w:rPr>
        <w:t>Tardiv dyskinesi</w:t>
      </w:r>
    </w:p>
    <w:p w14:paraId="16DC8474" w14:textId="77777777" w:rsidR="0067627C" w:rsidRDefault="0067627C" w:rsidP="0067627C">
      <w:pPr>
        <w:ind w:left="851"/>
      </w:pPr>
      <w:r>
        <w:rPr>
          <w:sz w:val="24"/>
          <w:szCs w:val="24"/>
        </w:rPr>
        <w:t>Hvis der opstår tegn og symptomer på tardiv dyskinesi, skal det overvejes at reducere dosis eller at seponere behandlingen med quetiapin. Symptomerne på tardiv dyskinesi kan forværres eller endog indtræde efter seponering af behandlingen (se pkt. 4.8).</w:t>
      </w:r>
    </w:p>
    <w:p w14:paraId="24D22498" w14:textId="77777777" w:rsidR="0067627C" w:rsidRDefault="0067627C" w:rsidP="0067627C">
      <w:pPr>
        <w:rPr>
          <w:b/>
          <w:bCs/>
          <w:i/>
          <w:iCs/>
          <w:color w:val="000000"/>
          <w:sz w:val="24"/>
          <w:szCs w:val="24"/>
        </w:rPr>
      </w:pPr>
    </w:p>
    <w:p w14:paraId="2CD29584" w14:textId="77777777" w:rsidR="0067627C" w:rsidRDefault="0067627C" w:rsidP="0067627C">
      <w:pPr>
        <w:ind w:firstLine="851"/>
        <w:rPr>
          <w:color w:val="000000"/>
          <w:sz w:val="24"/>
          <w:szCs w:val="24"/>
        </w:rPr>
      </w:pPr>
      <w:r>
        <w:rPr>
          <w:b/>
          <w:bCs/>
          <w:i/>
          <w:iCs/>
          <w:color w:val="000000"/>
          <w:sz w:val="24"/>
          <w:szCs w:val="24"/>
        </w:rPr>
        <w:t>Somnolens og svimmelhed</w:t>
      </w:r>
    </w:p>
    <w:p w14:paraId="25BEA892" w14:textId="77777777" w:rsidR="0067627C" w:rsidRDefault="0067627C" w:rsidP="0067627C">
      <w:pPr>
        <w:ind w:left="851"/>
        <w:rPr>
          <w:color w:val="000000"/>
          <w:sz w:val="24"/>
          <w:szCs w:val="24"/>
        </w:rPr>
      </w:pPr>
      <w:r>
        <w:rPr>
          <w:color w:val="000000"/>
          <w:sz w:val="24"/>
          <w:szCs w:val="24"/>
        </w:rPr>
        <w:t>Quetiapinbehandling har været forbundet med døsighed og relaterede symptomer, som f.eks. sedation (se pkt. 4.8). I kliniske forsøg med patienter med bipolar depression indtrådte det sædvanligvis inden for de første 3 dages behandling, og intensiteten var overvejende mild til moderat. Patienter, som oplever svær somnolens, kan have brug for hyppigere kontakt i minimum 2 uger fra somnolensen indtræder, eller indtil symptomerne forbedres, og det kan være nødvendigt at overveje seponering af behandlingen.</w:t>
      </w:r>
    </w:p>
    <w:p w14:paraId="1E55A4AF" w14:textId="77777777" w:rsidR="0067627C" w:rsidRDefault="0067627C" w:rsidP="0067627C">
      <w:pPr>
        <w:rPr>
          <w:color w:val="000000"/>
          <w:sz w:val="24"/>
          <w:szCs w:val="24"/>
        </w:rPr>
      </w:pPr>
    </w:p>
    <w:p w14:paraId="569B9787" w14:textId="77777777" w:rsidR="0067627C" w:rsidRDefault="0067627C" w:rsidP="0067627C">
      <w:pPr>
        <w:pStyle w:val="Overskrift7"/>
        <w:tabs>
          <w:tab w:val="left" w:pos="1304"/>
          <w:tab w:val="left" w:pos="2565"/>
        </w:tabs>
        <w:ind w:left="851"/>
        <w:rPr>
          <w:bCs/>
          <w:i/>
          <w:sz w:val="24"/>
          <w:lang w:val="da-DK"/>
        </w:rPr>
      </w:pPr>
      <w:r>
        <w:rPr>
          <w:bCs/>
          <w:i/>
          <w:sz w:val="24"/>
          <w:lang w:val="da-DK"/>
        </w:rPr>
        <w:t>Ortostatisk hypotension</w:t>
      </w:r>
    </w:p>
    <w:p w14:paraId="2A10FA99" w14:textId="7FB0F5D6" w:rsidR="0067627C" w:rsidRDefault="0067627C" w:rsidP="0067627C">
      <w:pPr>
        <w:ind w:left="851"/>
        <w:rPr>
          <w:color w:val="000000"/>
          <w:sz w:val="24"/>
          <w:szCs w:val="24"/>
        </w:rPr>
      </w:pPr>
      <w:r>
        <w:rPr>
          <w:color w:val="000000"/>
          <w:sz w:val="24"/>
          <w:szCs w:val="24"/>
        </w:rPr>
        <w:t>Quetiapin</w:t>
      </w:r>
      <w:r w:rsidR="0061479D">
        <w:rPr>
          <w:color w:val="000000"/>
          <w:sz w:val="24"/>
          <w:szCs w:val="24"/>
        </w:rPr>
        <w:t xml:space="preserve"> </w:t>
      </w:r>
      <w:r>
        <w:rPr>
          <w:color w:val="000000"/>
          <w:sz w:val="24"/>
          <w:szCs w:val="24"/>
        </w:rPr>
        <w:t xml:space="preserve">behandling har været forbundet med ortostatisk hypotension ledsaget af svimmelhed (se pkt. 4.8), der, ligesom døsighed, sædvanligvis indtræder i løbet af den </w:t>
      </w:r>
      <w:r>
        <w:rPr>
          <w:color w:val="000000"/>
          <w:sz w:val="24"/>
          <w:szCs w:val="24"/>
        </w:rPr>
        <w:lastRenderedPageBreak/>
        <w:t xml:space="preserve">indledende periode med dosistitrering. Det kan øge risikoen for faldulykker, især hos den ældre del af populationen. Derfor skal patienterne rådes til at udøve forsigtighed, indtil de kender </w:t>
      </w:r>
      <w:r w:rsidR="0061479D">
        <w:rPr>
          <w:color w:val="000000"/>
          <w:sz w:val="24"/>
          <w:szCs w:val="24"/>
        </w:rPr>
        <w:t>lægemidlets</w:t>
      </w:r>
      <w:r>
        <w:rPr>
          <w:color w:val="000000"/>
          <w:sz w:val="24"/>
          <w:szCs w:val="24"/>
        </w:rPr>
        <w:t xml:space="preserve"> potentielle virkning.</w:t>
      </w:r>
    </w:p>
    <w:p w14:paraId="686A9047" w14:textId="77777777" w:rsidR="0067627C" w:rsidRDefault="0067627C" w:rsidP="0067627C">
      <w:pPr>
        <w:rPr>
          <w:color w:val="000000"/>
          <w:sz w:val="24"/>
          <w:szCs w:val="24"/>
        </w:rPr>
      </w:pPr>
    </w:p>
    <w:p w14:paraId="5B2DE5AF" w14:textId="77777777" w:rsidR="0067627C" w:rsidRDefault="0067627C" w:rsidP="0067627C">
      <w:pPr>
        <w:ind w:left="851"/>
        <w:rPr>
          <w:sz w:val="24"/>
          <w:szCs w:val="24"/>
        </w:rPr>
      </w:pPr>
      <w:r>
        <w:rPr>
          <w:color w:val="000000"/>
          <w:sz w:val="24"/>
          <w:szCs w:val="24"/>
        </w:rPr>
        <w:t xml:space="preserve">Quetiapin tabletter </w:t>
      </w:r>
      <w:r>
        <w:rPr>
          <w:sz w:val="24"/>
          <w:szCs w:val="24"/>
        </w:rPr>
        <w:t>bør anvendes med forsigtighed til patienter med kendt kardiovaskulær sygdom, cerebrovaskulær sygdom eller andre tilstande med disponering for hypotension.</w:t>
      </w:r>
    </w:p>
    <w:p w14:paraId="0AD14803" w14:textId="77777777" w:rsidR="0067627C" w:rsidRDefault="0067627C" w:rsidP="0067627C">
      <w:pPr>
        <w:rPr>
          <w:sz w:val="24"/>
          <w:szCs w:val="24"/>
        </w:rPr>
      </w:pPr>
    </w:p>
    <w:p w14:paraId="19C461FA" w14:textId="77777777" w:rsidR="0067627C" w:rsidRDefault="0067627C" w:rsidP="0067627C">
      <w:pPr>
        <w:ind w:left="851"/>
        <w:rPr>
          <w:sz w:val="24"/>
          <w:szCs w:val="24"/>
        </w:rPr>
      </w:pPr>
      <w:r>
        <w:rPr>
          <w:sz w:val="24"/>
          <w:szCs w:val="24"/>
        </w:rPr>
        <w:t xml:space="preserve">Dosisreduktion eller mere gradvis titrering overvejes, hvis der opstår </w:t>
      </w:r>
      <w:r>
        <w:t xml:space="preserve">ortostatisk hypotension, især </w:t>
      </w:r>
      <w:r>
        <w:rPr>
          <w:sz w:val="24"/>
          <w:szCs w:val="24"/>
        </w:rPr>
        <w:t>hos patienter med underliggende kardiovaskulær sygdom.</w:t>
      </w:r>
    </w:p>
    <w:p w14:paraId="1DEF60DB" w14:textId="77777777" w:rsidR="0067627C" w:rsidRDefault="0067627C" w:rsidP="0067627C">
      <w:pPr>
        <w:rPr>
          <w:sz w:val="24"/>
          <w:szCs w:val="24"/>
        </w:rPr>
      </w:pPr>
    </w:p>
    <w:p w14:paraId="03636B68" w14:textId="77777777" w:rsidR="0067627C" w:rsidRDefault="0067627C" w:rsidP="0067627C">
      <w:pPr>
        <w:ind w:left="851"/>
        <w:rPr>
          <w:b/>
          <w:i/>
          <w:sz w:val="24"/>
          <w:szCs w:val="24"/>
          <w:lang w:eastAsia="da-DK"/>
        </w:rPr>
      </w:pPr>
      <w:r>
        <w:rPr>
          <w:b/>
          <w:i/>
          <w:sz w:val="24"/>
          <w:szCs w:val="24"/>
          <w:lang w:eastAsia="da-DK"/>
        </w:rPr>
        <w:t>Søvnapnøsyndrom</w:t>
      </w:r>
    </w:p>
    <w:p w14:paraId="181C30F4" w14:textId="77777777" w:rsidR="0067627C" w:rsidRDefault="0067627C" w:rsidP="0067627C">
      <w:pPr>
        <w:ind w:left="851"/>
        <w:rPr>
          <w:sz w:val="24"/>
          <w:szCs w:val="24"/>
          <w:lang w:eastAsia="da-DK"/>
        </w:rPr>
      </w:pPr>
      <w:r>
        <w:rPr>
          <w:sz w:val="24"/>
          <w:szCs w:val="24"/>
          <w:lang w:eastAsia="da-DK"/>
        </w:rPr>
        <w:t>Der er rapporteret om søvnapnøsyndrom hos patienter i behandling med quetiapin. Quetiapin skal anvendes med forsigtighed til patienter, der samtidig får centralnervesystemdepressiva og som tidligere har haft eller har risiko for søvnapnø, f.eks. overvægtige patienter eller mandlige patienter.</w:t>
      </w:r>
    </w:p>
    <w:p w14:paraId="0C8EAEA6" w14:textId="77777777" w:rsidR="0067627C" w:rsidRDefault="0067627C" w:rsidP="0067627C">
      <w:pPr>
        <w:ind w:firstLine="851"/>
        <w:rPr>
          <w:sz w:val="24"/>
          <w:szCs w:val="24"/>
          <w:lang w:eastAsia="da-DK"/>
        </w:rPr>
      </w:pPr>
    </w:p>
    <w:p w14:paraId="58CEDE03" w14:textId="77777777" w:rsidR="0067627C" w:rsidRDefault="0067627C" w:rsidP="0067627C">
      <w:pPr>
        <w:ind w:firstLine="851"/>
        <w:rPr>
          <w:color w:val="000000"/>
          <w:sz w:val="24"/>
          <w:szCs w:val="24"/>
        </w:rPr>
      </w:pPr>
      <w:r>
        <w:rPr>
          <w:b/>
          <w:bCs/>
          <w:i/>
          <w:iCs/>
          <w:color w:val="000000"/>
          <w:sz w:val="24"/>
          <w:szCs w:val="24"/>
        </w:rPr>
        <w:t>Krampeanfald</w:t>
      </w:r>
    </w:p>
    <w:p w14:paraId="1327EC6A" w14:textId="77777777" w:rsidR="0067627C" w:rsidRDefault="0067627C" w:rsidP="0067627C">
      <w:pPr>
        <w:ind w:left="851"/>
        <w:rPr>
          <w:color w:val="000000"/>
          <w:sz w:val="24"/>
          <w:szCs w:val="24"/>
        </w:rPr>
      </w:pPr>
      <w:r>
        <w:rPr>
          <w:color w:val="000000"/>
          <w:sz w:val="24"/>
          <w:szCs w:val="24"/>
        </w:rPr>
        <w:t xml:space="preserve">I kontrollerede kliniske forsøg var der ingen forskel i hyppigheden af krampeanfald hos patienter behandlet med quetiapin eller placebo. </w:t>
      </w:r>
    </w:p>
    <w:p w14:paraId="7DA55161" w14:textId="77777777" w:rsidR="0067627C" w:rsidRDefault="0067627C" w:rsidP="0067627C">
      <w:pPr>
        <w:ind w:left="851"/>
        <w:rPr>
          <w:color w:val="000000"/>
          <w:sz w:val="24"/>
          <w:szCs w:val="24"/>
        </w:rPr>
      </w:pPr>
      <w:r>
        <w:rPr>
          <w:color w:val="000000"/>
          <w:sz w:val="24"/>
          <w:szCs w:val="24"/>
        </w:rPr>
        <w:t>Der foreligger ingen data om hyppigheden af krampeanfald hos patienter med krampelidelser i anamnesen. Som for andre antipsykotika bør der udvises forsigtighed ved behandling af patienter med anamnese med krampeanfald (se pkt. 4.8).</w:t>
      </w:r>
    </w:p>
    <w:p w14:paraId="40E73C2E" w14:textId="77777777" w:rsidR="0061479D" w:rsidRPr="0061479D" w:rsidRDefault="0061479D" w:rsidP="0061479D">
      <w:pPr>
        <w:ind w:left="851"/>
        <w:rPr>
          <w:color w:val="000000"/>
          <w:sz w:val="24"/>
          <w:szCs w:val="24"/>
        </w:rPr>
      </w:pPr>
    </w:p>
    <w:p w14:paraId="01FC80BD" w14:textId="77777777" w:rsidR="0061479D" w:rsidRPr="0061479D" w:rsidRDefault="0061479D" w:rsidP="0061479D">
      <w:pPr>
        <w:ind w:left="851"/>
        <w:rPr>
          <w:b/>
          <w:i/>
          <w:color w:val="000000"/>
          <w:sz w:val="24"/>
          <w:szCs w:val="24"/>
        </w:rPr>
      </w:pPr>
      <w:r w:rsidRPr="0061479D">
        <w:rPr>
          <w:b/>
          <w:i/>
          <w:color w:val="000000"/>
          <w:sz w:val="24"/>
          <w:szCs w:val="24"/>
        </w:rPr>
        <w:t xml:space="preserve">Serotoninsyndrom </w:t>
      </w:r>
    </w:p>
    <w:p w14:paraId="4EE385D6" w14:textId="4AA904EE" w:rsidR="0061479D" w:rsidRPr="0061479D" w:rsidRDefault="0061479D" w:rsidP="0061479D">
      <w:pPr>
        <w:ind w:left="851"/>
        <w:rPr>
          <w:color w:val="000000"/>
          <w:sz w:val="24"/>
          <w:szCs w:val="24"/>
        </w:rPr>
      </w:pPr>
      <w:r w:rsidRPr="0061479D">
        <w:rPr>
          <w:color w:val="000000"/>
          <w:sz w:val="24"/>
          <w:szCs w:val="24"/>
        </w:rPr>
        <w:t xml:space="preserve">Samtidig administration af Quetiapin </w:t>
      </w:r>
      <w:r>
        <w:rPr>
          <w:color w:val="000000"/>
          <w:sz w:val="24"/>
          <w:szCs w:val="24"/>
        </w:rPr>
        <w:t>"</w:t>
      </w:r>
      <w:r w:rsidRPr="0061479D">
        <w:rPr>
          <w:color w:val="000000"/>
          <w:sz w:val="24"/>
          <w:szCs w:val="24"/>
        </w:rPr>
        <w:t>Accord</w:t>
      </w:r>
      <w:r>
        <w:rPr>
          <w:color w:val="000000"/>
          <w:sz w:val="24"/>
          <w:szCs w:val="24"/>
        </w:rPr>
        <w:t>"</w:t>
      </w:r>
      <w:r w:rsidRPr="0061479D">
        <w:rPr>
          <w:color w:val="000000"/>
          <w:sz w:val="24"/>
          <w:szCs w:val="24"/>
        </w:rPr>
        <w:t xml:space="preserve"> og andre serotonerge midler, f.eks. MAO-hæmmere, selektive serotoningenoptagelseshæmmere (SSRI'er), serotonin-norepinephrin-genoptagelseshæmmere (SNRI'er) eller tricykliske antidepressive stoffer kan medføre serotoninsyndrom, der er en potentielt livstruende tilstand (se pkt. 4.5). </w:t>
      </w:r>
    </w:p>
    <w:p w14:paraId="09923EE9" w14:textId="77777777" w:rsidR="0061479D" w:rsidRPr="0061479D" w:rsidRDefault="0061479D" w:rsidP="0061479D">
      <w:pPr>
        <w:ind w:left="851"/>
        <w:rPr>
          <w:color w:val="000000"/>
          <w:sz w:val="24"/>
          <w:szCs w:val="24"/>
        </w:rPr>
      </w:pPr>
    </w:p>
    <w:p w14:paraId="4A8424CB" w14:textId="77777777" w:rsidR="0061479D" w:rsidRPr="0061479D" w:rsidRDefault="0061479D" w:rsidP="0061479D">
      <w:pPr>
        <w:ind w:left="851"/>
        <w:rPr>
          <w:color w:val="000000"/>
          <w:sz w:val="24"/>
          <w:szCs w:val="24"/>
        </w:rPr>
      </w:pPr>
      <w:r w:rsidRPr="0061479D">
        <w:rPr>
          <w:color w:val="000000"/>
          <w:sz w:val="24"/>
          <w:szCs w:val="24"/>
        </w:rPr>
        <w:t xml:space="preserve">Hvis samtidig behandling med andre serotonerge midler er klinisk indiceret, tilrådes det at overvåge patienten grundigt, især ved påbegyndelse af behandlingen og øgning af dosis. Symptomer på serotoninsyndrom kan omfatte ændret mental status, autonom ustabilitet, neuromuskulære anomalier og/eller gastrointestinale symptomer. </w:t>
      </w:r>
    </w:p>
    <w:p w14:paraId="4A8469C5" w14:textId="77777777" w:rsidR="0061479D" w:rsidRPr="0061479D" w:rsidRDefault="0061479D" w:rsidP="0061479D">
      <w:pPr>
        <w:ind w:left="851"/>
        <w:rPr>
          <w:color w:val="000000"/>
          <w:sz w:val="24"/>
          <w:szCs w:val="24"/>
        </w:rPr>
      </w:pPr>
    </w:p>
    <w:p w14:paraId="54DA853B" w14:textId="77777777" w:rsidR="0061479D" w:rsidRPr="0061479D" w:rsidRDefault="0061479D" w:rsidP="0061479D">
      <w:pPr>
        <w:ind w:left="851"/>
        <w:rPr>
          <w:color w:val="000000"/>
          <w:sz w:val="24"/>
          <w:szCs w:val="24"/>
        </w:rPr>
      </w:pPr>
      <w:r w:rsidRPr="0061479D">
        <w:rPr>
          <w:color w:val="000000"/>
          <w:sz w:val="24"/>
          <w:szCs w:val="24"/>
        </w:rPr>
        <w:t xml:space="preserve">Hvis der er mistanke om serotoninsyndrom, skal dosisreduktion eller behandlingsophør overvejes, afhængigt af symptomernes sværhedsgrad.  </w:t>
      </w:r>
    </w:p>
    <w:p w14:paraId="3E169DAE" w14:textId="77777777" w:rsidR="0061479D" w:rsidRDefault="0061479D" w:rsidP="0061479D">
      <w:pPr>
        <w:ind w:left="851"/>
        <w:rPr>
          <w:color w:val="000000"/>
          <w:sz w:val="24"/>
          <w:szCs w:val="24"/>
        </w:rPr>
      </w:pPr>
    </w:p>
    <w:p w14:paraId="2EF9A8C2" w14:textId="77777777" w:rsidR="0067627C" w:rsidRDefault="0067627C" w:rsidP="0067627C">
      <w:pPr>
        <w:ind w:firstLine="851"/>
        <w:rPr>
          <w:color w:val="000000"/>
          <w:sz w:val="24"/>
          <w:szCs w:val="24"/>
        </w:rPr>
      </w:pPr>
      <w:r>
        <w:rPr>
          <w:b/>
          <w:i/>
          <w:sz w:val="24"/>
          <w:szCs w:val="24"/>
        </w:rPr>
        <w:t>Malignt neuroleptikasyndrom</w:t>
      </w:r>
    </w:p>
    <w:p w14:paraId="3ACBF3A4" w14:textId="77777777" w:rsidR="0067627C" w:rsidRDefault="0067627C" w:rsidP="0067627C">
      <w:pPr>
        <w:ind w:left="851"/>
        <w:rPr>
          <w:color w:val="000000"/>
          <w:sz w:val="24"/>
          <w:szCs w:val="24"/>
        </w:rPr>
      </w:pPr>
      <w:r>
        <w:rPr>
          <w:color w:val="000000"/>
          <w:sz w:val="24"/>
          <w:szCs w:val="24"/>
        </w:rPr>
        <w:t>Malignt neuroleptikasyndrom er blevet sat i forbindelse med antipsykotisk behandling, herunder quetiapinbehandling (se pkt. 4.8). Kliniske tegn er bl.a. hypertermi, ændret mental tilstand, muskelstivhed, autonom ustabilitet og forhøjet kreatinfosfokinase. I sådanne tilfælde bør behandlingen med quetiapin seponeres og passende medicinsk behandling gives.</w:t>
      </w:r>
    </w:p>
    <w:p w14:paraId="3D4EBA43" w14:textId="77777777" w:rsidR="0067627C" w:rsidRDefault="0067627C" w:rsidP="0067627C">
      <w:pPr>
        <w:ind w:left="851"/>
        <w:rPr>
          <w:color w:val="000000"/>
          <w:sz w:val="24"/>
          <w:szCs w:val="24"/>
        </w:rPr>
      </w:pPr>
    </w:p>
    <w:p w14:paraId="104C7475" w14:textId="77777777" w:rsidR="0067627C" w:rsidRDefault="0067627C" w:rsidP="0067627C">
      <w:pPr>
        <w:ind w:firstLine="851"/>
        <w:rPr>
          <w:b/>
          <w:i/>
          <w:color w:val="000000"/>
          <w:sz w:val="24"/>
          <w:szCs w:val="24"/>
        </w:rPr>
      </w:pPr>
      <w:r>
        <w:rPr>
          <w:b/>
          <w:bCs/>
          <w:i/>
          <w:iCs/>
          <w:color w:val="000000"/>
          <w:sz w:val="24"/>
          <w:szCs w:val="24"/>
        </w:rPr>
        <w:t xml:space="preserve">Alvorlig </w:t>
      </w:r>
      <w:r>
        <w:rPr>
          <w:b/>
          <w:bCs/>
          <w:i/>
          <w:sz w:val="24"/>
          <w:szCs w:val="24"/>
        </w:rPr>
        <w:t>neutropeni og agranulocytose</w:t>
      </w:r>
    </w:p>
    <w:p w14:paraId="601C775B" w14:textId="77777777" w:rsidR="0067627C" w:rsidRDefault="0067627C" w:rsidP="0067627C">
      <w:pPr>
        <w:ind w:left="851"/>
        <w:rPr>
          <w:color w:val="000000"/>
          <w:sz w:val="24"/>
          <w:szCs w:val="24"/>
        </w:rPr>
      </w:pPr>
      <w:r>
        <w:rPr>
          <w:color w:val="000000"/>
          <w:sz w:val="24"/>
          <w:szCs w:val="24"/>
        </w:rPr>
        <w:t>Der er rapporteret om alvorlig neutropeni (neutrofiltal &lt;0,5 X 10</w:t>
      </w:r>
      <w:r>
        <w:rPr>
          <w:color w:val="000000"/>
          <w:sz w:val="24"/>
          <w:szCs w:val="24"/>
          <w:vertAlign w:val="superscript"/>
        </w:rPr>
        <w:t>9</w:t>
      </w:r>
      <w:r>
        <w:rPr>
          <w:color w:val="000000"/>
          <w:sz w:val="24"/>
          <w:szCs w:val="24"/>
        </w:rPr>
        <w:t xml:space="preserve">/l) i kliniske forsøg med quetiapin.  De fleste tilfælde af alvorlig neutropeni er forekommet inden for et par måneder efter påbegyndelse af behandlingen med quetiapin. Der er tilsyneladende ingen dosissammenhæng. </w:t>
      </w:r>
      <w:r>
        <w:rPr>
          <w:sz w:val="24"/>
          <w:szCs w:val="24"/>
        </w:rPr>
        <w:t xml:space="preserve">Erfaringer opnået efter markedsføring viser, at nogle tilfælde var fatale. </w:t>
      </w:r>
      <w:r>
        <w:rPr>
          <w:color w:val="000000"/>
          <w:sz w:val="24"/>
          <w:szCs w:val="24"/>
        </w:rPr>
        <w:t xml:space="preserve">Mulige neutropenirisikofaktorer omfatter præeksisterende lavt antal hvide blodlegemer (WBC) og anamnese med medicininduceret neutropeni. </w:t>
      </w:r>
      <w:r>
        <w:rPr>
          <w:sz w:val="24"/>
          <w:szCs w:val="24"/>
        </w:rPr>
        <w:t xml:space="preserve">Nogle tilfælde </w:t>
      </w:r>
      <w:r>
        <w:rPr>
          <w:sz w:val="24"/>
          <w:szCs w:val="24"/>
        </w:rPr>
        <w:lastRenderedPageBreak/>
        <w:t xml:space="preserve">forekom imidlertid hos patienter uden eksisterende risikofaktorer. </w:t>
      </w:r>
      <w:r>
        <w:rPr>
          <w:color w:val="000000"/>
          <w:sz w:val="24"/>
          <w:szCs w:val="24"/>
        </w:rPr>
        <w:t>Quetiapin skal seponeres hos patienter med et neutrofiltal &lt;1,0 x 10</w:t>
      </w:r>
      <w:r>
        <w:rPr>
          <w:color w:val="000000"/>
          <w:sz w:val="24"/>
          <w:szCs w:val="24"/>
          <w:vertAlign w:val="superscript"/>
        </w:rPr>
        <w:t>9</w:t>
      </w:r>
      <w:r>
        <w:rPr>
          <w:color w:val="000000"/>
          <w:sz w:val="24"/>
          <w:szCs w:val="24"/>
        </w:rPr>
        <w:t>/l. Patienterne skal observeres med hensyn til tegn og symptomer på infektion, og neutrofiltallet skal følges (indtil det overstiger &lt;1,5 x 10</w:t>
      </w:r>
      <w:r>
        <w:rPr>
          <w:color w:val="000000"/>
          <w:sz w:val="24"/>
          <w:szCs w:val="24"/>
          <w:vertAlign w:val="superscript"/>
        </w:rPr>
        <w:t>9</w:t>
      </w:r>
      <w:r>
        <w:rPr>
          <w:color w:val="000000"/>
          <w:sz w:val="24"/>
          <w:szCs w:val="24"/>
        </w:rPr>
        <w:t>//l). (Se pkt. 5.1).</w:t>
      </w:r>
    </w:p>
    <w:p w14:paraId="3F1BC982" w14:textId="77777777" w:rsidR="0067627C" w:rsidRDefault="0067627C" w:rsidP="0067627C">
      <w:pPr>
        <w:ind w:left="851"/>
        <w:rPr>
          <w:color w:val="000000"/>
          <w:sz w:val="24"/>
          <w:szCs w:val="24"/>
        </w:rPr>
      </w:pPr>
    </w:p>
    <w:p w14:paraId="280E45D6" w14:textId="77777777" w:rsidR="0067627C" w:rsidRDefault="0067627C" w:rsidP="0067627C">
      <w:pPr>
        <w:ind w:left="851"/>
        <w:rPr>
          <w:sz w:val="24"/>
          <w:szCs w:val="24"/>
        </w:rPr>
      </w:pPr>
      <w:r>
        <w:rPr>
          <w:sz w:val="24"/>
          <w:szCs w:val="24"/>
        </w:rPr>
        <w:t>Neutropeni bør overvejes hos patienter med infektion eller feber, især ved fravær af tydelige prædisponerende faktorer, og bør behandles klinisk hensigtsmæssigt.</w:t>
      </w:r>
    </w:p>
    <w:p w14:paraId="4699F2C4" w14:textId="77777777" w:rsidR="0067627C" w:rsidRDefault="0067627C" w:rsidP="0067627C">
      <w:pPr>
        <w:ind w:left="851"/>
        <w:rPr>
          <w:sz w:val="24"/>
          <w:szCs w:val="24"/>
        </w:rPr>
      </w:pPr>
    </w:p>
    <w:p w14:paraId="1B0322BF" w14:textId="77777777" w:rsidR="0067627C" w:rsidRDefault="0067627C" w:rsidP="0067627C">
      <w:pPr>
        <w:ind w:left="851"/>
        <w:rPr>
          <w:sz w:val="24"/>
          <w:szCs w:val="24"/>
        </w:rPr>
      </w:pPr>
      <w:r>
        <w:rPr>
          <w:sz w:val="24"/>
          <w:szCs w:val="24"/>
        </w:rPr>
        <w:t>Patienter skal informeres om omgående at indberette tegn/symptomer på agranulocytose eller infektion (f.eks. feber, svaghed, letargi eller ondt i halsen) på et hvilket som helst tidspunkt under behandlingen med Quetiapin. Hos sådanne patienter skal der omgående foretages tælling af hvide blodlegemer og absolut neutrofiltælling, især hvis der ikke er disponerende faktorer.</w:t>
      </w:r>
    </w:p>
    <w:p w14:paraId="6258AF2F" w14:textId="77777777" w:rsidR="0067627C" w:rsidRDefault="0067627C" w:rsidP="0067627C">
      <w:pPr>
        <w:ind w:left="851"/>
        <w:rPr>
          <w:sz w:val="24"/>
          <w:szCs w:val="24"/>
        </w:rPr>
      </w:pPr>
    </w:p>
    <w:p w14:paraId="7F4587F2" w14:textId="77777777" w:rsidR="0067627C" w:rsidRDefault="0067627C" w:rsidP="0067627C">
      <w:pPr>
        <w:ind w:left="851"/>
        <w:rPr>
          <w:b/>
          <w:i/>
          <w:sz w:val="24"/>
          <w:szCs w:val="24"/>
        </w:rPr>
      </w:pPr>
      <w:r>
        <w:rPr>
          <w:b/>
          <w:i/>
          <w:sz w:val="24"/>
          <w:szCs w:val="24"/>
        </w:rPr>
        <w:t>Antikolinerg (muskarin) virkning</w:t>
      </w:r>
    </w:p>
    <w:p w14:paraId="297D4201" w14:textId="77777777" w:rsidR="0067627C" w:rsidRDefault="0067627C" w:rsidP="0067627C">
      <w:pPr>
        <w:ind w:left="851"/>
        <w:rPr>
          <w:sz w:val="24"/>
          <w:szCs w:val="24"/>
        </w:rPr>
      </w:pPr>
      <w:r>
        <w:rPr>
          <w:sz w:val="24"/>
          <w:szCs w:val="24"/>
        </w:rPr>
        <w:t xml:space="preserve">Norquetiapin, som er en aktiv metabolit for quetiapin, har moderat til stærk affinitet til flere undertyper af muskarinreceptorer. Dette bidrager til, at bivirkninger viser antikolinerge virkninger ved anvendelse af quetiapin i de anbefalede doser ved samtidig anvendelse med anden medicin, der har antikolinerg virkning, og i tilfælde af overdosering. </w:t>
      </w:r>
    </w:p>
    <w:p w14:paraId="4559FA34" w14:textId="57F1EFEF" w:rsidR="0067627C" w:rsidRDefault="0067627C" w:rsidP="0067627C">
      <w:pPr>
        <w:ind w:left="851"/>
        <w:rPr>
          <w:sz w:val="24"/>
          <w:szCs w:val="24"/>
        </w:rPr>
      </w:pPr>
      <w:r>
        <w:rPr>
          <w:sz w:val="24"/>
          <w:szCs w:val="24"/>
        </w:rPr>
        <w:t xml:space="preserve">Quetiapin skal anvendes med forsigtighed til patienter, der får </w:t>
      </w:r>
      <w:r w:rsidR="00DA7DCD">
        <w:rPr>
          <w:sz w:val="24"/>
          <w:szCs w:val="24"/>
        </w:rPr>
        <w:t>lægemidler</w:t>
      </w:r>
      <w:r>
        <w:rPr>
          <w:sz w:val="24"/>
          <w:szCs w:val="24"/>
        </w:rPr>
        <w:t xml:space="preserve"> med antikolinerg (muskarin) virkning. Quetiapin skal anvendes med forsigtighed til patienter med nuværende eller tidligere urinretention, klinisk signifikant prostatahypertrofi, tarmobstruktion eller beslægtede lidelser, øget intraokulært tryk eller snævervinklet glaukom (se pkt. 4.5, 4.8, 5.1 og 4.9).</w:t>
      </w:r>
    </w:p>
    <w:p w14:paraId="27E06E90" w14:textId="77777777" w:rsidR="0067627C" w:rsidRDefault="0067627C" w:rsidP="0067627C">
      <w:pPr>
        <w:ind w:left="851"/>
        <w:rPr>
          <w:color w:val="000000"/>
          <w:sz w:val="24"/>
          <w:szCs w:val="24"/>
        </w:rPr>
      </w:pPr>
    </w:p>
    <w:p w14:paraId="67FE63B3" w14:textId="77777777" w:rsidR="0067627C" w:rsidRDefault="0067627C" w:rsidP="0067627C">
      <w:pPr>
        <w:ind w:firstLine="851"/>
        <w:rPr>
          <w:color w:val="000000"/>
          <w:sz w:val="24"/>
          <w:szCs w:val="24"/>
        </w:rPr>
      </w:pPr>
      <w:r>
        <w:rPr>
          <w:b/>
          <w:bCs/>
          <w:i/>
          <w:iCs/>
          <w:color w:val="000000"/>
          <w:sz w:val="24"/>
          <w:szCs w:val="24"/>
        </w:rPr>
        <w:t>Interaktioner</w:t>
      </w:r>
    </w:p>
    <w:p w14:paraId="2543BE9E" w14:textId="77777777" w:rsidR="0067627C" w:rsidRDefault="0067627C" w:rsidP="0067627C">
      <w:pPr>
        <w:ind w:firstLine="851"/>
        <w:rPr>
          <w:color w:val="000000"/>
          <w:sz w:val="24"/>
          <w:szCs w:val="24"/>
        </w:rPr>
      </w:pPr>
      <w:r>
        <w:rPr>
          <w:color w:val="000000"/>
          <w:sz w:val="24"/>
          <w:szCs w:val="24"/>
        </w:rPr>
        <w:t>Se pkt. 4.5.</w:t>
      </w:r>
    </w:p>
    <w:p w14:paraId="32F47F27" w14:textId="77777777" w:rsidR="0067627C" w:rsidRDefault="0067627C" w:rsidP="0067627C">
      <w:pPr>
        <w:rPr>
          <w:color w:val="000000"/>
          <w:sz w:val="24"/>
          <w:szCs w:val="24"/>
        </w:rPr>
      </w:pPr>
      <w:r>
        <w:rPr>
          <w:color w:val="000000"/>
          <w:sz w:val="24"/>
          <w:szCs w:val="24"/>
        </w:rPr>
        <w:t xml:space="preserve"> </w:t>
      </w:r>
    </w:p>
    <w:p w14:paraId="68BEC725" w14:textId="77777777" w:rsidR="0067627C" w:rsidRDefault="0067627C" w:rsidP="0067627C">
      <w:pPr>
        <w:ind w:left="851"/>
        <w:rPr>
          <w:color w:val="000000"/>
          <w:sz w:val="24"/>
          <w:szCs w:val="24"/>
        </w:rPr>
      </w:pPr>
      <w:r>
        <w:rPr>
          <w:color w:val="000000"/>
          <w:sz w:val="24"/>
          <w:szCs w:val="24"/>
        </w:rPr>
        <w:t xml:space="preserve">Samtidig brug af quetiapin og en stærk leverenzyminducer såsom carbamazepin eller phenytoin medfører et betydeligt fald i quetiapinplasmakoncentrationerne, hvilket kan påvirke effekten af quetiapinbehandling. </w:t>
      </w:r>
    </w:p>
    <w:p w14:paraId="79EAB752" w14:textId="77777777" w:rsidR="0067627C" w:rsidRDefault="0067627C" w:rsidP="0067627C">
      <w:pPr>
        <w:ind w:left="851"/>
        <w:rPr>
          <w:color w:val="000000"/>
          <w:sz w:val="24"/>
          <w:szCs w:val="24"/>
        </w:rPr>
      </w:pPr>
      <w:r>
        <w:rPr>
          <w:color w:val="000000"/>
          <w:sz w:val="24"/>
          <w:szCs w:val="24"/>
        </w:rPr>
        <w:t>Hos patienter, som behandles med en leverenzyminducer, bør initiering af behandling med quetiapin kun ske, såfremt lægen vurderer, at fordelene ved quetiapin overstiger risiciene ved at stoppe behandlingen med leverenzyminduceren. Det er vigtigt, at enhver ændring af behandlingen med induceren sker gradvist, og at denne om nødvendigt erstattes med en non-inducer (f.eks. natriumvalproat).</w:t>
      </w:r>
    </w:p>
    <w:p w14:paraId="3C87BFAC" w14:textId="77777777" w:rsidR="0067627C" w:rsidRDefault="0067627C" w:rsidP="0067627C">
      <w:pPr>
        <w:rPr>
          <w:color w:val="000000"/>
          <w:sz w:val="24"/>
          <w:szCs w:val="24"/>
        </w:rPr>
      </w:pPr>
    </w:p>
    <w:p w14:paraId="3ED0FF21" w14:textId="77777777" w:rsidR="0067627C" w:rsidRDefault="0067627C" w:rsidP="0067627C">
      <w:pPr>
        <w:ind w:firstLine="851"/>
        <w:rPr>
          <w:b/>
          <w:i/>
          <w:sz w:val="24"/>
          <w:szCs w:val="24"/>
        </w:rPr>
      </w:pPr>
      <w:r>
        <w:rPr>
          <w:b/>
          <w:i/>
          <w:sz w:val="24"/>
          <w:szCs w:val="24"/>
        </w:rPr>
        <w:t xml:space="preserve">Vægt </w:t>
      </w:r>
    </w:p>
    <w:p w14:paraId="72D86010" w14:textId="77777777" w:rsidR="0067627C" w:rsidRDefault="0067627C" w:rsidP="0067627C">
      <w:pPr>
        <w:ind w:left="851"/>
        <w:rPr>
          <w:sz w:val="24"/>
          <w:szCs w:val="24"/>
        </w:rPr>
      </w:pPr>
      <w:r>
        <w:rPr>
          <w:sz w:val="24"/>
          <w:szCs w:val="24"/>
        </w:rPr>
        <w:t>Der er rapporteret vægtforøgelse hos patienter, som er blevet behandlet med quetiapin. Vægtforøgelse skal monitoreres og håndteres på klinisk passende vis i overensstemmelse med de anvendte antipsykotiske retningslinjer (se pkt. 4.8 og 5.1).</w:t>
      </w:r>
    </w:p>
    <w:p w14:paraId="71EA4629" w14:textId="77777777" w:rsidR="0067627C" w:rsidRDefault="0067627C" w:rsidP="0067627C">
      <w:pPr>
        <w:rPr>
          <w:color w:val="000000"/>
          <w:sz w:val="24"/>
          <w:szCs w:val="24"/>
        </w:rPr>
      </w:pPr>
    </w:p>
    <w:p w14:paraId="439298F1" w14:textId="77777777" w:rsidR="0067627C" w:rsidRDefault="0067627C" w:rsidP="0067627C">
      <w:pPr>
        <w:ind w:firstLine="851"/>
        <w:rPr>
          <w:color w:val="000000"/>
          <w:sz w:val="24"/>
          <w:szCs w:val="24"/>
        </w:rPr>
      </w:pPr>
      <w:r>
        <w:rPr>
          <w:b/>
          <w:bCs/>
          <w:i/>
          <w:iCs/>
          <w:color w:val="000000"/>
          <w:sz w:val="24"/>
          <w:szCs w:val="24"/>
        </w:rPr>
        <w:t>Hyperglykæmi</w:t>
      </w:r>
    </w:p>
    <w:p w14:paraId="6A022DBD" w14:textId="77777777" w:rsidR="0067627C" w:rsidRDefault="0067627C" w:rsidP="0067627C">
      <w:pPr>
        <w:ind w:left="851"/>
        <w:rPr>
          <w:color w:val="000000"/>
          <w:sz w:val="24"/>
          <w:szCs w:val="24"/>
        </w:rPr>
      </w:pPr>
      <w:r>
        <w:rPr>
          <w:color w:val="000000"/>
          <w:sz w:val="24"/>
          <w:szCs w:val="24"/>
        </w:rPr>
        <w:t xml:space="preserve">Der er i sjældne tilfælde rapporteret hyperglykæmi og/eller forværring af diabetes, undertiden forbundet med ketoacidose eller koma, i nogle tilfælde med fatal udgang (se pkt. 4.8). </w:t>
      </w:r>
      <w:r>
        <w:rPr>
          <w:sz w:val="24"/>
          <w:szCs w:val="24"/>
        </w:rPr>
        <w:t>I nogle tilfælde er der indberettet en forudgående stigning i kropsvægt, hvilket kan havde været en disponerende faktor.</w:t>
      </w:r>
      <w:r>
        <w:rPr>
          <w:color w:val="000000"/>
          <w:sz w:val="24"/>
          <w:szCs w:val="24"/>
        </w:rPr>
        <w:t xml:space="preserve"> Passende klinisk monitorering i overens</w:t>
      </w:r>
      <w:r>
        <w:rPr>
          <w:color w:val="000000"/>
          <w:sz w:val="24"/>
          <w:szCs w:val="24"/>
        </w:rPr>
        <w:softHyphen/>
        <w:t xml:space="preserve">stemmelse med de anvendte </w:t>
      </w:r>
      <w:r>
        <w:rPr>
          <w:sz w:val="24"/>
          <w:szCs w:val="24"/>
        </w:rPr>
        <w:t>antipsykotiske retningslinjer tilrådes. Patienter behandlet med antipsykotiske stoffer, herunder quetiapin, skal monitoreres med henblik på tegn og symptomer på hyperglykæmi (såsom polydipsi, polyuri, polyfagi og svaghed), og</w:t>
      </w:r>
      <w:r>
        <w:rPr>
          <w:color w:val="000000"/>
          <w:sz w:val="24"/>
          <w:szCs w:val="24"/>
        </w:rPr>
        <w:t xml:space="preserve"> patienter </w:t>
      </w:r>
      <w:r>
        <w:rPr>
          <w:color w:val="000000"/>
          <w:sz w:val="24"/>
          <w:szCs w:val="24"/>
        </w:rPr>
        <w:lastRenderedPageBreak/>
        <w:t>med</w:t>
      </w:r>
      <w:r>
        <w:rPr>
          <w:sz w:val="24"/>
          <w:szCs w:val="24"/>
        </w:rPr>
        <w:t xml:space="preserve"> diabetes mellitus eller</w:t>
      </w:r>
      <w:r>
        <w:rPr>
          <w:color w:val="000000"/>
          <w:sz w:val="24"/>
          <w:szCs w:val="24"/>
        </w:rPr>
        <w:t xml:space="preserve"> risikofaktorer for diabetes mellitus skal monitoreres regelmæssigt</w:t>
      </w:r>
      <w:r>
        <w:rPr>
          <w:sz w:val="24"/>
          <w:szCs w:val="24"/>
        </w:rPr>
        <w:t xml:space="preserve"> med henblik på forringelse af glukosekontrollen. Vægten skal monitoreres regelmæssigt.</w:t>
      </w:r>
    </w:p>
    <w:p w14:paraId="70A1A3D8" w14:textId="77777777" w:rsidR="0067627C" w:rsidRDefault="0067627C" w:rsidP="0067627C">
      <w:pPr>
        <w:rPr>
          <w:b/>
          <w:bCs/>
          <w:i/>
          <w:iCs/>
          <w:color w:val="000000"/>
          <w:sz w:val="24"/>
          <w:szCs w:val="24"/>
        </w:rPr>
      </w:pPr>
    </w:p>
    <w:p w14:paraId="04177CCD" w14:textId="77777777" w:rsidR="0067627C" w:rsidRDefault="0067627C" w:rsidP="0067627C">
      <w:pPr>
        <w:ind w:firstLine="851"/>
        <w:rPr>
          <w:color w:val="000000"/>
          <w:sz w:val="24"/>
          <w:szCs w:val="24"/>
        </w:rPr>
      </w:pPr>
      <w:r>
        <w:rPr>
          <w:b/>
          <w:bCs/>
          <w:i/>
          <w:iCs/>
          <w:color w:val="000000"/>
          <w:sz w:val="24"/>
          <w:szCs w:val="24"/>
        </w:rPr>
        <w:t>Lipider</w:t>
      </w:r>
    </w:p>
    <w:p w14:paraId="141B642C" w14:textId="77777777" w:rsidR="0067627C" w:rsidRDefault="0067627C" w:rsidP="0067627C">
      <w:pPr>
        <w:ind w:left="851"/>
        <w:rPr>
          <w:color w:val="000000"/>
          <w:sz w:val="24"/>
          <w:szCs w:val="24"/>
        </w:rPr>
      </w:pPr>
      <w:r>
        <w:rPr>
          <w:color w:val="000000"/>
          <w:sz w:val="24"/>
          <w:szCs w:val="24"/>
        </w:rPr>
        <w:t>Der er observeret stigninger i triglycerider, LDL og total kolesterol og fald i HDL-kolesterol i kliniske forsøg med quetiapin (se pkt. 4.8). Lipidændringer skal håndteres klinisk passende.</w:t>
      </w:r>
    </w:p>
    <w:p w14:paraId="79DE9917" w14:textId="77777777" w:rsidR="0067627C" w:rsidRDefault="0067627C" w:rsidP="0067627C">
      <w:pPr>
        <w:rPr>
          <w:b/>
          <w:bCs/>
          <w:i/>
          <w:iCs/>
          <w:color w:val="000000"/>
          <w:sz w:val="24"/>
          <w:szCs w:val="24"/>
        </w:rPr>
      </w:pPr>
    </w:p>
    <w:p w14:paraId="6BA3EE88" w14:textId="77777777" w:rsidR="0067627C" w:rsidRDefault="0067627C" w:rsidP="0067627C">
      <w:pPr>
        <w:ind w:firstLine="851"/>
        <w:rPr>
          <w:color w:val="000000"/>
          <w:sz w:val="24"/>
          <w:szCs w:val="24"/>
        </w:rPr>
      </w:pPr>
      <w:r>
        <w:rPr>
          <w:b/>
          <w:bCs/>
          <w:i/>
          <w:iCs/>
          <w:color w:val="000000"/>
          <w:sz w:val="24"/>
          <w:szCs w:val="24"/>
        </w:rPr>
        <w:t>QT-forlængelse</w:t>
      </w:r>
    </w:p>
    <w:p w14:paraId="0B02B5E5" w14:textId="77777777" w:rsidR="0067627C" w:rsidRDefault="0067627C" w:rsidP="0067627C">
      <w:pPr>
        <w:autoSpaceDE w:val="0"/>
        <w:autoSpaceDN w:val="0"/>
        <w:adjustRightInd w:val="0"/>
        <w:ind w:left="851"/>
        <w:rPr>
          <w:color w:val="000000"/>
          <w:sz w:val="24"/>
          <w:szCs w:val="24"/>
        </w:rPr>
      </w:pPr>
      <w:r>
        <w:rPr>
          <w:color w:val="000000"/>
          <w:sz w:val="24"/>
          <w:szCs w:val="24"/>
        </w:rPr>
        <w:t xml:space="preserve">I kliniske forsøg og anvendelse i overensstemmelse med produktresuméet var quetiapin ikke forbundet med vedvarende forlængelse af QT-intervaller. Efter markedsføring er der rapporteret QT-forlængelse for quetiapin ved de terapeutiske doser (se pkt. 4.8) og ved overdosering (se pkt. 4.9). Som med andre antipsykotika skal der udvises forsigtighed, når quetiapin ordineres til patienter med kardiovaskulær sygdom eller familiær disponering for QT-forlængelse. Der bør også udvises forsigtighed, når quetiapin ordineres sammen med lægemidler, som er kendt for at øge </w:t>
      </w:r>
      <w:r>
        <w:rPr>
          <w:sz w:val="24"/>
          <w:szCs w:val="24"/>
        </w:rPr>
        <w:t>QT-intervallet, eller når quetiapin ordineres</w:t>
      </w:r>
      <w:r>
        <w:rPr>
          <w:color w:val="000000"/>
          <w:sz w:val="24"/>
          <w:szCs w:val="24"/>
        </w:rPr>
        <w:t xml:space="preserve"> sammen med neuroleptika, især hos ældre og hos patienter med medfødt langt QT-syndrom, kongestivt hjertesvigt, hjertehypertrofi, hypokalæmi eller hypomagnesæmi (se pkt. 4.5).</w:t>
      </w:r>
    </w:p>
    <w:p w14:paraId="0208C79F" w14:textId="77777777" w:rsidR="0067627C" w:rsidRDefault="0067627C" w:rsidP="0067627C">
      <w:pPr>
        <w:autoSpaceDE w:val="0"/>
        <w:autoSpaceDN w:val="0"/>
        <w:adjustRightInd w:val="0"/>
        <w:ind w:left="851"/>
        <w:rPr>
          <w:color w:val="000000"/>
          <w:sz w:val="24"/>
          <w:szCs w:val="24"/>
        </w:rPr>
      </w:pPr>
    </w:p>
    <w:p w14:paraId="25DEBF6F" w14:textId="77777777" w:rsidR="0067627C" w:rsidRDefault="0067627C" w:rsidP="0067627C">
      <w:pPr>
        <w:ind w:left="851"/>
        <w:rPr>
          <w:b/>
          <w:i/>
          <w:sz w:val="24"/>
          <w:szCs w:val="24"/>
        </w:rPr>
      </w:pPr>
      <w:r>
        <w:rPr>
          <w:b/>
          <w:i/>
          <w:sz w:val="24"/>
          <w:szCs w:val="24"/>
        </w:rPr>
        <w:t>Kardiomyopati og myokarditis</w:t>
      </w:r>
    </w:p>
    <w:p w14:paraId="6D62C04B" w14:textId="77777777" w:rsidR="0067627C" w:rsidRDefault="0067627C" w:rsidP="0067627C">
      <w:pPr>
        <w:ind w:left="851"/>
        <w:rPr>
          <w:sz w:val="24"/>
          <w:szCs w:val="24"/>
        </w:rPr>
      </w:pPr>
      <w:r>
        <w:rPr>
          <w:sz w:val="24"/>
          <w:szCs w:val="24"/>
        </w:rPr>
        <w:t>Der er rapporteret om kardiomyopati og myokarditis i kliniske studier og efter markedsføringen (se pkt. 4.8). Hos patienter med formodet kardiomyopati eller myokarditis skal det overvejes at seponere quetiapin.</w:t>
      </w:r>
    </w:p>
    <w:p w14:paraId="0077EC38" w14:textId="77777777" w:rsidR="0067627C" w:rsidRDefault="0067627C" w:rsidP="0067627C">
      <w:pPr>
        <w:ind w:left="851"/>
        <w:rPr>
          <w:sz w:val="24"/>
          <w:szCs w:val="24"/>
        </w:rPr>
      </w:pPr>
    </w:p>
    <w:p w14:paraId="13ADD446" w14:textId="77777777" w:rsidR="0067627C" w:rsidRDefault="0067627C" w:rsidP="0067627C">
      <w:pPr>
        <w:ind w:left="851"/>
        <w:rPr>
          <w:b/>
          <w:bCs/>
          <w:i/>
          <w:iCs/>
          <w:sz w:val="24"/>
          <w:szCs w:val="24"/>
        </w:rPr>
      </w:pPr>
      <w:r>
        <w:rPr>
          <w:b/>
          <w:bCs/>
          <w:i/>
          <w:iCs/>
          <w:sz w:val="24"/>
          <w:szCs w:val="24"/>
        </w:rPr>
        <w:t>Svære kutane bivirkninger</w:t>
      </w:r>
    </w:p>
    <w:p w14:paraId="5C1EA9D6" w14:textId="2777F773" w:rsidR="00A9786E" w:rsidRDefault="0067627C" w:rsidP="0067627C">
      <w:pPr>
        <w:ind w:left="851"/>
        <w:rPr>
          <w:sz w:val="24"/>
          <w:szCs w:val="24"/>
        </w:rPr>
      </w:pPr>
      <w:r>
        <w:rPr>
          <w:sz w:val="24"/>
          <w:szCs w:val="24"/>
        </w:rPr>
        <w:t>Der er i meget sjældne tilfælde rapporteret om svære kutane bivirkninger (SCAR), herunder Stevens-Johnson</w:t>
      </w:r>
      <w:r w:rsidR="006509EB">
        <w:rPr>
          <w:sz w:val="24"/>
          <w:szCs w:val="24"/>
        </w:rPr>
        <w:t>s</w:t>
      </w:r>
      <w:r>
        <w:rPr>
          <w:sz w:val="24"/>
          <w:szCs w:val="24"/>
        </w:rPr>
        <w:t xml:space="preserve"> syndrom (SJS), toksisk epidermal nekrolyse </w:t>
      </w:r>
      <w:r w:rsidR="00A9786E" w:rsidRPr="00A9786E">
        <w:rPr>
          <w:sz w:val="24"/>
          <w:szCs w:val="24"/>
        </w:rPr>
        <w:t xml:space="preserve">(TEN), akut generaliseret eksantematøs pustulose (AGEP), erythema multiforme (EM) og lægemiddelreaktion med eosinofili og systemiske symptomer (DRESS), som kan være livstruende eller fatale, i forbindelse med behandling med quetiapin. SCAR forekommer normalt med et eller flere </w:t>
      </w:r>
      <w:r w:rsidR="00A9786E">
        <w:rPr>
          <w:sz w:val="24"/>
          <w:szCs w:val="24"/>
        </w:rPr>
        <w:t>a</w:t>
      </w:r>
      <w:r w:rsidR="00A9786E" w:rsidRPr="00A9786E">
        <w:rPr>
          <w:sz w:val="24"/>
          <w:szCs w:val="24"/>
        </w:rPr>
        <w:t xml:space="preserve">f følgende symptomer: </w:t>
      </w:r>
      <w:r w:rsidR="00A9786E">
        <w:rPr>
          <w:sz w:val="24"/>
          <w:szCs w:val="24"/>
        </w:rPr>
        <w:t>O</w:t>
      </w:r>
      <w:r w:rsidR="00A9786E" w:rsidRPr="00A9786E">
        <w:rPr>
          <w:sz w:val="24"/>
          <w:szCs w:val="24"/>
        </w:rPr>
        <w:t>mfattende kutant udslæt, der kan være kløende eller forbundet med pustler eller eksfoliativ dermatitis, feber, lymfadenopati og eventuelt eosinofili eller neutrofili. De fleste af disse reaktioner opstod inden for 4 uger efter behandlingsstart med quetiapin, og nogle DRESS-reaktioner opstod inden for 6 uger efter behandlingsstart med quetiapin.</w:t>
      </w:r>
    </w:p>
    <w:p w14:paraId="58066D9A" w14:textId="582D57B5" w:rsidR="0067627C" w:rsidRDefault="0067627C" w:rsidP="0067627C">
      <w:pPr>
        <w:ind w:left="851"/>
        <w:rPr>
          <w:color w:val="000000"/>
          <w:sz w:val="24"/>
          <w:szCs w:val="24"/>
        </w:rPr>
      </w:pPr>
      <w:r>
        <w:rPr>
          <w:sz w:val="24"/>
          <w:szCs w:val="24"/>
        </w:rPr>
        <w:t>Hvis der opstår tegn eller symptomer, der tyder på disse alvorlige hudreaktioner, skal quetiapin straks seponeres, og alternativ behandling skal overvejes.</w:t>
      </w:r>
    </w:p>
    <w:p w14:paraId="09A78C12" w14:textId="77777777" w:rsidR="0067627C" w:rsidRDefault="0067627C" w:rsidP="0067627C">
      <w:pPr>
        <w:autoSpaceDE w:val="0"/>
        <w:autoSpaceDN w:val="0"/>
        <w:adjustRightInd w:val="0"/>
        <w:rPr>
          <w:color w:val="000000"/>
          <w:sz w:val="24"/>
          <w:szCs w:val="24"/>
        </w:rPr>
      </w:pPr>
    </w:p>
    <w:p w14:paraId="7BB54588" w14:textId="77777777" w:rsidR="0067627C" w:rsidRDefault="0067627C" w:rsidP="0067627C">
      <w:pPr>
        <w:autoSpaceDE w:val="0"/>
        <w:autoSpaceDN w:val="0"/>
        <w:adjustRightInd w:val="0"/>
        <w:ind w:firstLine="851"/>
        <w:rPr>
          <w:b/>
          <w:bCs/>
          <w:sz w:val="24"/>
          <w:szCs w:val="24"/>
          <w:lang w:eastAsia="de-DE"/>
        </w:rPr>
      </w:pPr>
      <w:r>
        <w:rPr>
          <w:b/>
          <w:bCs/>
          <w:sz w:val="24"/>
          <w:szCs w:val="24"/>
          <w:lang w:eastAsia="de-DE"/>
        </w:rPr>
        <w:t>Abstinenser</w:t>
      </w:r>
    </w:p>
    <w:p w14:paraId="74397F0B" w14:textId="77777777" w:rsidR="0067627C" w:rsidRDefault="0067627C" w:rsidP="0067627C">
      <w:pPr>
        <w:autoSpaceDE w:val="0"/>
        <w:autoSpaceDN w:val="0"/>
        <w:adjustRightInd w:val="0"/>
        <w:ind w:left="851"/>
        <w:rPr>
          <w:sz w:val="24"/>
          <w:szCs w:val="24"/>
          <w:lang w:eastAsia="de-DE"/>
        </w:rPr>
      </w:pPr>
      <w:r>
        <w:rPr>
          <w:sz w:val="24"/>
          <w:szCs w:val="24"/>
          <w:lang w:eastAsia="de-DE"/>
        </w:rPr>
        <w:t xml:space="preserve">Der er beskrevet akutte abstinenssymptomer såsom søvnløshed, kvalme, hovedpine, diarré, opkastning, svimmelhed og irritabilitet efter abrupt ophør af quetiapin. Gradvis nedtrapning over en periode på mindst 1 til 2 uger anbefales (se pkt. 4.8). </w:t>
      </w:r>
    </w:p>
    <w:p w14:paraId="5CCBC6F3" w14:textId="77777777" w:rsidR="0067627C" w:rsidRDefault="0067627C" w:rsidP="0067627C">
      <w:pPr>
        <w:rPr>
          <w:b/>
          <w:bCs/>
          <w:i/>
          <w:iCs/>
          <w:color w:val="000000"/>
          <w:sz w:val="24"/>
          <w:szCs w:val="24"/>
        </w:rPr>
      </w:pPr>
    </w:p>
    <w:p w14:paraId="109C3F28" w14:textId="77777777" w:rsidR="0067627C" w:rsidRDefault="0067627C" w:rsidP="0067627C">
      <w:pPr>
        <w:ind w:firstLine="851"/>
        <w:rPr>
          <w:color w:val="000000"/>
          <w:sz w:val="24"/>
          <w:szCs w:val="24"/>
        </w:rPr>
      </w:pPr>
      <w:r>
        <w:rPr>
          <w:b/>
          <w:bCs/>
          <w:i/>
          <w:iCs/>
          <w:color w:val="000000"/>
          <w:sz w:val="24"/>
          <w:szCs w:val="24"/>
        </w:rPr>
        <w:t>Ældre patienter med demensrelateret psykose</w:t>
      </w:r>
    </w:p>
    <w:p w14:paraId="552FA411" w14:textId="77777777" w:rsidR="0067627C" w:rsidRDefault="0067627C" w:rsidP="0067627C">
      <w:pPr>
        <w:ind w:firstLine="851"/>
        <w:rPr>
          <w:color w:val="000000"/>
          <w:sz w:val="24"/>
          <w:szCs w:val="24"/>
        </w:rPr>
      </w:pPr>
      <w:r>
        <w:rPr>
          <w:color w:val="000000"/>
          <w:sz w:val="24"/>
          <w:szCs w:val="24"/>
        </w:rPr>
        <w:t xml:space="preserve">Quetiapin er ikke godkendt til behandling af demensrelateret psykose. </w:t>
      </w:r>
    </w:p>
    <w:p w14:paraId="1FB60568" w14:textId="77777777" w:rsidR="0067627C" w:rsidRDefault="0067627C" w:rsidP="0067627C">
      <w:pPr>
        <w:rPr>
          <w:color w:val="000000"/>
          <w:sz w:val="24"/>
          <w:szCs w:val="24"/>
        </w:rPr>
      </w:pPr>
    </w:p>
    <w:p w14:paraId="24FA2978" w14:textId="77777777" w:rsidR="0067627C" w:rsidRDefault="0067627C" w:rsidP="0067627C">
      <w:pPr>
        <w:ind w:left="851"/>
        <w:rPr>
          <w:color w:val="000000"/>
          <w:sz w:val="24"/>
          <w:szCs w:val="24"/>
        </w:rPr>
      </w:pPr>
      <w:r>
        <w:rPr>
          <w:color w:val="000000"/>
          <w:sz w:val="24"/>
          <w:szCs w:val="24"/>
        </w:rPr>
        <w:t xml:space="preserve">I randomiserede placebo-kontrollerede forsøg er der for nogle atypiske antipsykotika set ca. en tredobling af risikoen for cerebrovaskulære bivirkninger i demens-populationen. Mekanismen bag denne øgede risiko kendes ikke. Det kan ikke udelukkes, at der er en øget </w:t>
      </w:r>
      <w:r>
        <w:rPr>
          <w:color w:val="000000"/>
          <w:sz w:val="24"/>
          <w:szCs w:val="24"/>
        </w:rPr>
        <w:lastRenderedPageBreak/>
        <w:t>risiko for andre antipsykotika eller andre patientpopulationer. Quetiapin bør anvendes med forsigtighed til patienter med risikofaktorer for slagtilfælde.</w:t>
      </w:r>
    </w:p>
    <w:p w14:paraId="2C15AD66" w14:textId="77777777" w:rsidR="0067627C" w:rsidRDefault="0067627C" w:rsidP="0067627C">
      <w:pPr>
        <w:rPr>
          <w:color w:val="000000"/>
          <w:sz w:val="24"/>
          <w:szCs w:val="24"/>
        </w:rPr>
      </w:pPr>
    </w:p>
    <w:p w14:paraId="56A9DC7F" w14:textId="77777777" w:rsidR="0067627C" w:rsidRDefault="0067627C" w:rsidP="0067627C">
      <w:pPr>
        <w:ind w:left="851"/>
        <w:rPr>
          <w:color w:val="000000"/>
          <w:sz w:val="24"/>
          <w:szCs w:val="24"/>
        </w:rPr>
      </w:pPr>
      <w:r>
        <w:rPr>
          <w:color w:val="000000"/>
          <w:sz w:val="24"/>
          <w:szCs w:val="24"/>
        </w:rPr>
        <w:t xml:space="preserve">I en metaanalyse af atypiske antipsykotika er det blevet rapporteret, at ældre patienter med demensrelateret psykose har øget risiko for at dø sammenlignet med placebo. Mortalitetsfrekvensen hos quetiapinbehandlede patienter i to 10-ugers placebo-kontrollerede studier med quetiapin i samme patientpopulation (n=710; gennemsnitsalder: 83 år, interval: 56-99 år) var 5,5 % versus 3,2 % i placebogruppen. Patienterne i disse forsøg døde af en række forskellige årsager, der var i overensstemmelse med forventningerne til denne population. </w:t>
      </w:r>
    </w:p>
    <w:p w14:paraId="4D7CE80D" w14:textId="77777777" w:rsidR="0067627C" w:rsidRDefault="0067627C" w:rsidP="0067627C">
      <w:pPr>
        <w:ind w:left="851"/>
        <w:rPr>
          <w:color w:val="000000"/>
          <w:sz w:val="24"/>
          <w:szCs w:val="24"/>
        </w:rPr>
      </w:pPr>
    </w:p>
    <w:p w14:paraId="4BDF147D" w14:textId="77777777" w:rsidR="0067627C" w:rsidRDefault="0067627C" w:rsidP="0067627C">
      <w:pPr>
        <w:ind w:firstLine="851"/>
        <w:rPr>
          <w:b/>
          <w:bCs/>
          <w:i/>
          <w:sz w:val="24"/>
          <w:szCs w:val="24"/>
        </w:rPr>
      </w:pPr>
      <w:r>
        <w:rPr>
          <w:b/>
          <w:bCs/>
          <w:i/>
          <w:sz w:val="24"/>
          <w:szCs w:val="24"/>
        </w:rPr>
        <w:t>Ældre patienter med Parkinsons sygdom (PD)/parkinsonisme</w:t>
      </w:r>
    </w:p>
    <w:p w14:paraId="4821CA1D" w14:textId="77777777" w:rsidR="0067627C" w:rsidRDefault="0067627C" w:rsidP="0067627C">
      <w:pPr>
        <w:ind w:left="851"/>
        <w:rPr>
          <w:color w:val="000000"/>
          <w:sz w:val="24"/>
          <w:szCs w:val="24"/>
        </w:rPr>
      </w:pPr>
      <w:r>
        <w:rPr>
          <w:color w:val="000000"/>
          <w:sz w:val="24"/>
          <w:szCs w:val="24"/>
        </w:rPr>
        <w:t>Et populationsbaseret retrospektivt studie af quetiapin til behandling af patienter med major depressiv lidelse viste en øget risiko for dødsfald under behandling med quetiapin hos patienter i alderen &gt; 65 år. Denne sammenhæng var ikke til stede, da patienter med PD blev fjernet fra analysen. Forsigtighed bør udvises, hvis quetiapin ordineres til ældre patienter med PD.</w:t>
      </w:r>
    </w:p>
    <w:p w14:paraId="5353980B" w14:textId="77777777" w:rsidR="0067627C" w:rsidRDefault="0067627C" w:rsidP="0067627C">
      <w:pPr>
        <w:rPr>
          <w:color w:val="000000"/>
          <w:sz w:val="24"/>
          <w:szCs w:val="24"/>
        </w:rPr>
      </w:pPr>
    </w:p>
    <w:p w14:paraId="48FCD236" w14:textId="77777777" w:rsidR="0067627C" w:rsidRDefault="0067627C" w:rsidP="0067627C">
      <w:pPr>
        <w:ind w:firstLine="851"/>
        <w:rPr>
          <w:i/>
          <w:color w:val="000000"/>
          <w:sz w:val="24"/>
          <w:szCs w:val="24"/>
        </w:rPr>
      </w:pPr>
      <w:r>
        <w:rPr>
          <w:b/>
          <w:bCs/>
          <w:i/>
          <w:sz w:val="24"/>
          <w:szCs w:val="24"/>
        </w:rPr>
        <w:t>Dysfagi</w:t>
      </w:r>
    </w:p>
    <w:p w14:paraId="261930E5" w14:textId="77777777" w:rsidR="0067627C" w:rsidRDefault="0067627C" w:rsidP="0067627C">
      <w:pPr>
        <w:ind w:left="851"/>
        <w:rPr>
          <w:color w:val="000000"/>
          <w:sz w:val="24"/>
          <w:szCs w:val="24"/>
        </w:rPr>
      </w:pPr>
      <w:r>
        <w:rPr>
          <w:color w:val="000000"/>
          <w:sz w:val="24"/>
          <w:szCs w:val="24"/>
        </w:rPr>
        <w:t>Der er rapporteret dysfagi (se pkt. 4.8) i forbindelse med quetiapin-behandling. Quetiapin bør anvendes med forsigtighed til patienter med risiko for aspirationspneumoni.</w:t>
      </w:r>
    </w:p>
    <w:p w14:paraId="2F757B69" w14:textId="77777777" w:rsidR="0067627C" w:rsidRDefault="0067627C" w:rsidP="0067627C">
      <w:pPr>
        <w:ind w:left="851"/>
        <w:rPr>
          <w:color w:val="000000"/>
          <w:sz w:val="24"/>
          <w:szCs w:val="24"/>
        </w:rPr>
      </w:pPr>
    </w:p>
    <w:p w14:paraId="490C4A27" w14:textId="77777777" w:rsidR="0067627C" w:rsidRDefault="0067627C" w:rsidP="0067627C">
      <w:pPr>
        <w:ind w:left="851"/>
        <w:rPr>
          <w:b/>
          <w:bCs/>
          <w:i/>
          <w:sz w:val="24"/>
          <w:szCs w:val="24"/>
        </w:rPr>
      </w:pPr>
      <w:r>
        <w:rPr>
          <w:b/>
          <w:bCs/>
          <w:i/>
          <w:sz w:val="24"/>
          <w:szCs w:val="24"/>
        </w:rPr>
        <w:t>Forstoppelse og intestinal obstruktion</w:t>
      </w:r>
    </w:p>
    <w:p w14:paraId="7785A04B" w14:textId="77777777" w:rsidR="0067627C" w:rsidRDefault="0067627C" w:rsidP="0067627C">
      <w:pPr>
        <w:ind w:left="851"/>
        <w:rPr>
          <w:color w:val="000000"/>
          <w:sz w:val="24"/>
          <w:szCs w:val="24"/>
        </w:rPr>
      </w:pPr>
      <w:r>
        <w:rPr>
          <w:sz w:val="24"/>
          <w:szCs w:val="24"/>
        </w:rPr>
        <w:t>Forstoppelse udgør en risikofaktor for intestinal obstruktion. Forstoppelse og intestinal obstruktion er set med quetiapin (se pkt. 4.8). Disse omfatter fatale rapporter hos patienter med en højere risiko for intestinal obstruktion, der også omfatter dem, der samtidig er i behandling med flere lægemidler, som nedsætter den intestinale motilitet og /eller de, der ikke rapporterede symptomer på forstoppelse. Patienter med intestinal obstruktion/ileus skal monitoreres tæt og have øjeblikkelig behandling.</w:t>
      </w:r>
    </w:p>
    <w:p w14:paraId="5C634D30" w14:textId="77777777" w:rsidR="0067627C" w:rsidRDefault="0067627C" w:rsidP="0067627C">
      <w:pPr>
        <w:rPr>
          <w:b/>
          <w:bCs/>
          <w:i/>
          <w:iCs/>
          <w:color w:val="000000"/>
          <w:sz w:val="24"/>
          <w:szCs w:val="24"/>
        </w:rPr>
      </w:pPr>
    </w:p>
    <w:p w14:paraId="689512A9" w14:textId="77777777" w:rsidR="0067627C" w:rsidRDefault="0067627C" w:rsidP="0067627C">
      <w:pPr>
        <w:ind w:firstLine="851"/>
        <w:rPr>
          <w:color w:val="000000"/>
          <w:sz w:val="24"/>
          <w:szCs w:val="24"/>
        </w:rPr>
      </w:pPr>
      <w:r>
        <w:rPr>
          <w:b/>
          <w:i/>
          <w:sz w:val="24"/>
          <w:szCs w:val="24"/>
        </w:rPr>
        <w:t>Venøs tromboembol (VTE)i</w:t>
      </w:r>
    </w:p>
    <w:p w14:paraId="39F9D0A3" w14:textId="77777777" w:rsidR="0067627C" w:rsidRDefault="0067627C" w:rsidP="0067627C">
      <w:pPr>
        <w:ind w:left="851"/>
        <w:rPr>
          <w:color w:val="000000"/>
          <w:sz w:val="24"/>
          <w:szCs w:val="24"/>
        </w:rPr>
      </w:pPr>
      <w:r>
        <w:rPr>
          <w:color w:val="000000"/>
          <w:sz w:val="24"/>
          <w:szCs w:val="24"/>
        </w:rPr>
        <w:t>Der er rapporteret tilfælde af venøs tromboemboli (VTE) ved anvendelse af antipsykotiske lægemidler. Da patienter behandlet med antipsykotiske lægemidler ofte udviser risikofaktorer for VTE, skal alle risikofaktorer for VTE identificeres før og under behandling med quetiapin, og der skal træffes forebyggende foranstaltninger.</w:t>
      </w:r>
    </w:p>
    <w:p w14:paraId="202EEFEC" w14:textId="77777777" w:rsidR="0067627C" w:rsidRDefault="0067627C" w:rsidP="0067627C">
      <w:pPr>
        <w:ind w:firstLine="851"/>
        <w:rPr>
          <w:b/>
          <w:i/>
          <w:color w:val="000000"/>
          <w:sz w:val="24"/>
          <w:szCs w:val="24"/>
        </w:rPr>
      </w:pPr>
    </w:p>
    <w:p w14:paraId="43B6E483" w14:textId="77777777" w:rsidR="0067627C" w:rsidRDefault="0067627C" w:rsidP="0067627C">
      <w:pPr>
        <w:ind w:firstLine="851"/>
        <w:rPr>
          <w:b/>
          <w:i/>
          <w:color w:val="000000"/>
          <w:sz w:val="24"/>
          <w:szCs w:val="24"/>
        </w:rPr>
      </w:pPr>
      <w:r>
        <w:rPr>
          <w:b/>
          <w:i/>
          <w:color w:val="000000"/>
          <w:sz w:val="24"/>
          <w:szCs w:val="24"/>
        </w:rPr>
        <w:t>Pancreatitis</w:t>
      </w:r>
    </w:p>
    <w:p w14:paraId="5A693CC5" w14:textId="77777777" w:rsidR="0067627C" w:rsidRDefault="0067627C" w:rsidP="0067627C">
      <w:pPr>
        <w:ind w:left="851"/>
        <w:rPr>
          <w:color w:val="000000"/>
          <w:sz w:val="24"/>
          <w:szCs w:val="24"/>
        </w:rPr>
      </w:pPr>
      <w:r>
        <w:rPr>
          <w:color w:val="000000"/>
          <w:sz w:val="24"/>
          <w:szCs w:val="24"/>
        </w:rPr>
        <w:t>Der er rapporteret pancreatitis i kliniske forsøg og efter markedsføring. I rapporterne efter markedsføring havde mange patienter risikofaktorer, som er kendt for at være forbundet med pancreatitis, såsom øget triglycerid (se pkt. 4.4), galdesten og alkoholforbrug, men der var ikke risikofaktorer i alle tilfældene.</w:t>
      </w:r>
    </w:p>
    <w:p w14:paraId="124D40D7" w14:textId="77777777" w:rsidR="0067627C" w:rsidRDefault="0067627C" w:rsidP="0067627C">
      <w:pPr>
        <w:rPr>
          <w:b/>
          <w:i/>
          <w:color w:val="000000"/>
          <w:sz w:val="24"/>
          <w:szCs w:val="24"/>
        </w:rPr>
      </w:pPr>
    </w:p>
    <w:p w14:paraId="38BD2177" w14:textId="77777777" w:rsidR="0067627C" w:rsidRDefault="0067627C" w:rsidP="0067627C">
      <w:pPr>
        <w:ind w:firstLine="851"/>
        <w:rPr>
          <w:color w:val="000000"/>
          <w:sz w:val="24"/>
          <w:szCs w:val="24"/>
        </w:rPr>
      </w:pPr>
      <w:r>
        <w:rPr>
          <w:b/>
          <w:bCs/>
          <w:i/>
          <w:iCs/>
          <w:color w:val="000000"/>
          <w:sz w:val="24"/>
          <w:szCs w:val="24"/>
        </w:rPr>
        <w:t>Yderligere information</w:t>
      </w:r>
    </w:p>
    <w:p w14:paraId="4AB9B642" w14:textId="77777777" w:rsidR="0067627C" w:rsidRDefault="0067627C" w:rsidP="0067627C">
      <w:pPr>
        <w:ind w:left="851"/>
        <w:rPr>
          <w:color w:val="000000"/>
          <w:sz w:val="24"/>
          <w:szCs w:val="24"/>
        </w:rPr>
      </w:pPr>
      <w:r>
        <w:rPr>
          <w:color w:val="000000"/>
          <w:sz w:val="24"/>
          <w:szCs w:val="24"/>
        </w:rPr>
        <w:t>Der er begrænsede data om quetiapin i kombination med divalproex eller lithium til behandling af akutte moderate til svære maniske episoder. Dog var kombinations-behandling veltolereret (se pkt. 4.8 og 5.1). Data viste en additiv effekt ved uge 3.</w:t>
      </w:r>
    </w:p>
    <w:p w14:paraId="5191EE9F" w14:textId="77777777" w:rsidR="0067627C" w:rsidRDefault="0067627C" w:rsidP="0067627C">
      <w:pPr>
        <w:rPr>
          <w:color w:val="000000"/>
          <w:sz w:val="24"/>
          <w:szCs w:val="24"/>
        </w:rPr>
      </w:pPr>
    </w:p>
    <w:p w14:paraId="667C3223" w14:textId="77777777" w:rsidR="0067627C" w:rsidRPr="00284B08" w:rsidRDefault="0067627C" w:rsidP="0067627C">
      <w:pPr>
        <w:ind w:firstLine="851"/>
        <w:rPr>
          <w:b/>
          <w:i/>
          <w:color w:val="000000"/>
          <w:sz w:val="24"/>
          <w:szCs w:val="24"/>
          <w:lang w:val="en-US"/>
        </w:rPr>
      </w:pPr>
      <w:r w:rsidRPr="00284B08">
        <w:rPr>
          <w:b/>
          <w:i/>
          <w:color w:val="000000"/>
          <w:sz w:val="24"/>
          <w:szCs w:val="24"/>
          <w:lang w:val="en-US"/>
        </w:rPr>
        <w:t>Lactose</w:t>
      </w:r>
    </w:p>
    <w:p w14:paraId="459C4387" w14:textId="5B10A5D9" w:rsidR="0067627C" w:rsidRDefault="0067627C" w:rsidP="0067627C">
      <w:pPr>
        <w:ind w:left="851"/>
        <w:rPr>
          <w:color w:val="000000"/>
          <w:sz w:val="24"/>
          <w:szCs w:val="24"/>
        </w:rPr>
      </w:pPr>
      <w:r w:rsidRPr="00284B08">
        <w:rPr>
          <w:color w:val="000000"/>
          <w:sz w:val="24"/>
          <w:szCs w:val="24"/>
          <w:lang w:val="en-US"/>
        </w:rPr>
        <w:t xml:space="preserve">Quetiapin </w:t>
      </w:r>
      <w:r w:rsidR="006509EB" w:rsidRPr="00284B08">
        <w:rPr>
          <w:color w:val="000000"/>
          <w:sz w:val="24"/>
          <w:szCs w:val="24"/>
          <w:lang w:val="en-US"/>
        </w:rPr>
        <w:t xml:space="preserve">"Accord" </w:t>
      </w:r>
      <w:r w:rsidRPr="00284B08">
        <w:rPr>
          <w:color w:val="000000"/>
          <w:sz w:val="24"/>
          <w:szCs w:val="24"/>
          <w:lang w:val="en-US"/>
        </w:rPr>
        <w:t xml:space="preserve">tabletter indeholder lactose. </w:t>
      </w:r>
      <w:r>
        <w:rPr>
          <w:color w:val="000000"/>
          <w:sz w:val="24"/>
          <w:szCs w:val="24"/>
        </w:rPr>
        <w:t>Patienter med sjældne arvelige problemer med galactoseintolerans, total-laktase-mangel eller glucose/galactosemalabsorption bør ikke tage dette lægemiddel.</w:t>
      </w:r>
    </w:p>
    <w:p w14:paraId="16D77194" w14:textId="77777777" w:rsidR="0067627C" w:rsidRDefault="0067627C" w:rsidP="0067627C">
      <w:pPr>
        <w:ind w:left="851"/>
        <w:rPr>
          <w:color w:val="000000"/>
          <w:sz w:val="24"/>
          <w:szCs w:val="24"/>
        </w:rPr>
      </w:pPr>
    </w:p>
    <w:p w14:paraId="622D04F1" w14:textId="488AA3CC" w:rsidR="0067627C" w:rsidRDefault="006509EB" w:rsidP="0067627C">
      <w:pPr>
        <w:ind w:left="851"/>
        <w:rPr>
          <w:b/>
          <w:bCs/>
          <w:i/>
          <w:iCs/>
          <w:color w:val="000000"/>
          <w:sz w:val="24"/>
          <w:szCs w:val="24"/>
        </w:rPr>
      </w:pPr>
      <w:r>
        <w:rPr>
          <w:b/>
          <w:bCs/>
          <w:i/>
          <w:iCs/>
          <w:color w:val="000000"/>
          <w:sz w:val="24"/>
          <w:szCs w:val="24"/>
        </w:rPr>
        <w:t>N</w:t>
      </w:r>
      <w:r w:rsidR="0067627C">
        <w:rPr>
          <w:b/>
          <w:bCs/>
          <w:i/>
          <w:iCs/>
          <w:color w:val="000000"/>
          <w:sz w:val="24"/>
          <w:szCs w:val="24"/>
        </w:rPr>
        <w:t>atrium</w:t>
      </w:r>
    </w:p>
    <w:p w14:paraId="74238B02" w14:textId="0A4EDD01" w:rsidR="0067627C" w:rsidRDefault="0067627C" w:rsidP="0067627C">
      <w:pPr>
        <w:ind w:left="851"/>
        <w:rPr>
          <w:color w:val="000000"/>
          <w:sz w:val="24"/>
          <w:szCs w:val="24"/>
        </w:rPr>
      </w:pPr>
      <w:r>
        <w:rPr>
          <w:color w:val="000000"/>
          <w:sz w:val="24"/>
          <w:szCs w:val="24"/>
        </w:rPr>
        <w:t xml:space="preserve">Dette lægemiddel indeholder mindre end 1 mmol (23 mg) </w:t>
      </w:r>
      <w:r w:rsidR="00442823">
        <w:rPr>
          <w:color w:val="000000"/>
          <w:sz w:val="24"/>
          <w:szCs w:val="24"/>
        </w:rPr>
        <w:t xml:space="preserve">natrium </w:t>
      </w:r>
      <w:r>
        <w:rPr>
          <w:color w:val="000000"/>
          <w:sz w:val="24"/>
          <w:szCs w:val="24"/>
        </w:rPr>
        <w:t>pr. tablet, dvs. de er i det væsentlige natriumfri.</w:t>
      </w:r>
    </w:p>
    <w:p w14:paraId="07C106C7" w14:textId="77777777" w:rsidR="009C2D22" w:rsidRDefault="00442823" w:rsidP="00442823">
      <w:pPr>
        <w:ind w:left="851"/>
        <w:rPr>
          <w:color w:val="000000"/>
          <w:sz w:val="24"/>
          <w:szCs w:val="24"/>
        </w:rPr>
      </w:pPr>
      <w:r w:rsidRPr="00442823">
        <w:rPr>
          <w:color w:val="000000"/>
          <w:sz w:val="24"/>
          <w:szCs w:val="24"/>
        </w:rPr>
        <w:t xml:space="preserve">Quetiapin </w:t>
      </w:r>
      <w:r>
        <w:rPr>
          <w:color w:val="000000"/>
          <w:sz w:val="24"/>
          <w:szCs w:val="24"/>
        </w:rPr>
        <w:t>"</w:t>
      </w:r>
      <w:r w:rsidRPr="00442823">
        <w:rPr>
          <w:color w:val="000000"/>
          <w:sz w:val="24"/>
          <w:szCs w:val="24"/>
        </w:rPr>
        <w:t>Accord</w:t>
      </w:r>
      <w:r>
        <w:rPr>
          <w:color w:val="000000"/>
          <w:sz w:val="24"/>
          <w:szCs w:val="24"/>
        </w:rPr>
        <w:t>"</w:t>
      </w:r>
      <w:r w:rsidRPr="00442823">
        <w:rPr>
          <w:color w:val="000000"/>
          <w:sz w:val="24"/>
          <w:szCs w:val="24"/>
        </w:rPr>
        <w:t xml:space="preserve"> tabletter 400 mg indeholder 27 mg natrium pr. tablet svarende til</w:t>
      </w:r>
    </w:p>
    <w:p w14:paraId="5C591835" w14:textId="0171D9E6" w:rsidR="00442823" w:rsidRPr="00442823" w:rsidRDefault="00442823" w:rsidP="00442823">
      <w:pPr>
        <w:ind w:left="851"/>
        <w:rPr>
          <w:color w:val="000000"/>
          <w:sz w:val="24"/>
          <w:szCs w:val="24"/>
        </w:rPr>
      </w:pPr>
      <w:r w:rsidRPr="00442823">
        <w:rPr>
          <w:color w:val="000000"/>
          <w:sz w:val="24"/>
          <w:szCs w:val="24"/>
        </w:rPr>
        <w:t>1,35 % af den WHO-anbefalede maksimale daglige indtagelse af 2 g natrium for en voksen.</w:t>
      </w:r>
    </w:p>
    <w:p w14:paraId="1298B66D" w14:textId="77777777" w:rsidR="0067627C" w:rsidRDefault="0067627C" w:rsidP="0067627C">
      <w:pPr>
        <w:ind w:left="851"/>
        <w:rPr>
          <w:color w:val="000000"/>
          <w:sz w:val="24"/>
          <w:szCs w:val="24"/>
        </w:rPr>
      </w:pPr>
    </w:p>
    <w:p w14:paraId="079B4041" w14:textId="77777777" w:rsidR="0067627C" w:rsidRDefault="0067627C" w:rsidP="0067627C">
      <w:pPr>
        <w:ind w:left="851"/>
        <w:rPr>
          <w:b/>
          <w:i/>
          <w:color w:val="000000"/>
          <w:sz w:val="24"/>
          <w:szCs w:val="24"/>
        </w:rPr>
      </w:pPr>
      <w:r>
        <w:rPr>
          <w:b/>
          <w:i/>
          <w:color w:val="000000"/>
          <w:sz w:val="24"/>
          <w:szCs w:val="24"/>
        </w:rPr>
        <w:t>Misbrug</w:t>
      </w:r>
    </w:p>
    <w:p w14:paraId="69FCAA1E" w14:textId="77777777" w:rsidR="00120640" w:rsidRDefault="0067627C" w:rsidP="0067627C">
      <w:pPr>
        <w:ind w:left="851"/>
        <w:rPr>
          <w:color w:val="000000"/>
          <w:sz w:val="24"/>
          <w:szCs w:val="24"/>
        </w:rPr>
      </w:pPr>
      <w:r>
        <w:rPr>
          <w:color w:val="000000"/>
          <w:sz w:val="24"/>
          <w:szCs w:val="24"/>
        </w:rPr>
        <w:t>Der er rapporteret om misbrug. Der bør udvises forsigtighed, når du ordinerer quetiapin til patienter med alkohol- eller stofmisbrug i anamnesen.</w:t>
      </w:r>
    </w:p>
    <w:p w14:paraId="1D173D0F" w14:textId="77777777" w:rsidR="00040F2E" w:rsidRPr="00B50DD9" w:rsidRDefault="00040F2E" w:rsidP="00040F2E">
      <w:pPr>
        <w:autoSpaceDE w:val="0"/>
        <w:autoSpaceDN w:val="0"/>
        <w:adjustRightInd w:val="0"/>
        <w:rPr>
          <w:sz w:val="24"/>
          <w:szCs w:val="24"/>
          <w:lang w:eastAsia="en-GB"/>
        </w:rPr>
      </w:pPr>
    </w:p>
    <w:p w14:paraId="1F8E1B1A"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4.5 </w:t>
      </w:r>
      <w:r w:rsidRPr="00B50DD9">
        <w:rPr>
          <w:b/>
          <w:bCs/>
          <w:sz w:val="24"/>
          <w:szCs w:val="24"/>
          <w:lang w:eastAsia="en-GB"/>
        </w:rPr>
        <w:tab/>
      </w:r>
      <w:r w:rsidRPr="00B50DD9">
        <w:rPr>
          <w:b/>
          <w:sz w:val="24"/>
          <w:szCs w:val="24"/>
        </w:rPr>
        <w:t>Interaktion med andre lægemidler og andre former for interaktion</w:t>
      </w:r>
    </w:p>
    <w:p w14:paraId="29B28632" w14:textId="77777777" w:rsidR="0067627C" w:rsidRDefault="0067627C" w:rsidP="0067627C">
      <w:pPr>
        <w:ind w:left="851"/>
        <w:rPr>
          <w:sz w:val="24"/>
          <w:szCs w:val="24"/>
        </w:rPr>
      </w:pPr>
      <w:r w:rsidRPr="00B50DD9">
        <w:rPr>
          <w:sz w:val="24"/>
          <w:szCs w:val="24"/>
        </w:rPr>
        <w:t>I betragtning af quetiapins effekt på centralnervesystemet, bør quetiapin anvendes med forsigtighed i kombination med andre centraltvirkende lægemidler og alkohol.</w:t>
      </w:r>
    </w:p>
    <w:p w14:paraId="6C881702" w14:textId="77777777" w:rsidR="009C2D22" w:rsidRPr="009C2D22" w:rsidRDefault="009C2D22" w:rsidP="009C2D22">
      <w:pPr>
        <w:ind w:left="851"/>
        <w:rPr>
          <w:sz w:val="24"/>
          <w:szCs w:val="24"/>
        </w:rPr>
      </w:pPr>
    </w:p>
    <w:p w14:paraId="3BE7A44C" w14:textId="77777777" w:rsidR="009C2D22" w:rsidRPr="009C2D22" w:rsidRDefault="009C2D22" w:rsidP="009C2D22">
      <w:pPr>
        <w:ind w:left="851"/>
        <w:rPr>
          <w:sz w:val="24"/>
          <w:szCs w:val="24"/>
        </w:rPr>
      </w:pPr>
      <w:r w:rsidRPr="009C2D22">
        <w:rPr>
          <w:sz w:val="24"/>
          <w:szCs w:val="24"/>
        </w:rPr>
        <w:t xml:space="preserve">Quetiapin skal anvendes med forsigtighed i kombination med serotonerge lægemidler, f.eks. MAO-hæmmere, selektive serotoningenoptagelseshæmmere (SSRI'er), serotonin-norepinephrin-genoptagelseshæmmere (SNRI'er) eller tricykliske antidepressive stoffer, da risikoen for serotoninsyndrom, der er en potentielt livstruende tilstand, er øget (se pkt. 4.4).  </w:t>
      </w:r>
    </w:p>
    <w:p w14:paraId="7B843649" w14:textId="77777777" w:rsidR="009C2D22" w:rsidRDefault="009C2D22" w:rsidP="0067627C">
      <w:pPr>
        <w:ind w:left="851"/>
        <w:rPr>
          <w:sz w:val="24"/>
          <w:szCs w:val="24"/>
        </w:rPr>
      </w:pPr>
    </w:p>
    <w:p w14:paraId="75D47CFF" w14:textId="69FD3E5C" w:rsidR="0067627C" w:rsidRPr="00B50DD9" w:rsidRDefault="0067627C" w:rsidP="0067627C">
      <w:pPr>
        <w:ind w:left="851"/>
        <w:rPr>
          <w:sz w:val="24"/>
          <w:szCs w:val="24"/>
        </w:rPr>
      </w:pPr>
      <w:r>
        <w:rPr>
          <w:sz w:val="24"/>
          <w:szCs w:val="24"/>
        </w:rPr>
        <w:t xml:space="preserve">Der skal udvises forsigtighed ved behandling af patienter, som samtidig får </w:t>
      </w:r>
      <w:r w:rsidR="009C2D22">
        <w:rPr>
          <w:sz w:val="24"/>
          <w:szCs w:val="24"/>
        </w:rPr>
        <w:t>andre lægemidler</w:t>
      </w:r>
      <w:r>
        <w:rPr>
          <w:sz w:val="24"/>
          <w:szCs w:val="24"/>
        </w:rPr>
        <w:t xml:space="preserve"> med antikolinerg (muskarin) virkning (se pkt. 4.4).</w:t>
      </w:r>
    </w:p>
    <w:p w14:paraId="73CC3520" w14:textId="77777777" w:rsidR="0067627C" w:rsidRPr="00B50DD9" w:rsidRDefault="0067627C" w:rsidP="0067627C">
      <w:pPr>
        <w:rPr>
          <w:sz w:val="24"/>
          <w:szCs w:val="24"/>
        </w:rPr>
      </w:pPr>
    </w:p>
    <w:p w14:paraId="7C1EFB71" w14:textId="77777777" w:rsidR="0067627C" w:rsidRDefault="0067627C" w:rsidP="0067627C">
      <w:pPr>
        <w:autoSpaceDE w:val="0"/>
        <w:autoSpaceDN w:val="0"/>
        <w:adjustRightInd w:val="0"/>
        <w:ind w:left="851"/>
        <w:rPr>
          <w:color w:val="000000"/>
          <w:sz w:val="24"/>
          <w:szCs w:val="24"/>
        </w:rPr>
      </w:pPr>
      <w:r>
        <w:rPr>
          <w:color w:val="000000"/>
          <w:sz w:val="24"/>
          <w:szCs w:val="24"/>
        </w:rPr>
        <w:t>Cytochrom P450 (CYP) 3A4 er det enzym, der primært er ansvarlig for den cytochrom P450-medierede metabolisme af quetiapin. I et interaktionsforsøg med raske forsøgspersoner medførte samtidig administration af quetiapin (dosis på 25 mg) og ketoconazol, en CYP 3A4-hæmmer, en 5- til 8-foldig stigning i quetiapins AUC. På basis af dette er samtidig brug af quetiapin og CYP 3A4-hæmmere kontraindiceret. Det anbefales ligeledes ikke at indtage grapefrugtjuice, når man er i behandling med quetiapin.</w:t>
      </w:r>
    </w:p>
    <w:p w14:paraId="4BA110C4" w14:textId="77777777" w:rsidR="0067627C" w:rsidRDefault="0067627C" w:rsidP="0067627C">
      <w:pPr>
        <w:autoSpaceDE w:val="0"/>
        <w:autoSpaceDN w:val="0"/>
        <w:adjustRightInd w:val="0"/>
        <w:rPr>
          <w:color w:val="000000"/>
          <w:sz w:val="24"/>
          <w:szCs w:val="24"/>
        </w:rPr>
      </w:pPr>
    </w:p>
    <w:p w14:paraId="7D0D0CA3" w14:textId="334E4463" w:rsidR="0067627C" w:rsidRDefault="0067627C" w:rsidP="0067627C">
      <w:pPr>
        <w:autoSpaceDE w:val="0"/>
        <w:autoSpaceDN w:val="0"/>
        <w:adjustRightInd w:val="0"/>
        <w:ind w:left="851"/>
        <w:rPr>
          <w:color w:val="000000"/>
          <w:sz w:val="24"/>
          <w:szCs w:val="24"/>
        </w:rPr>
      </w:pPr>
      <w:r>
        <w:rPr>
          <w:color w:val="000000"/>
          <w:sz w:val="24"/>
          <w:szCs w:val="24"/>
        </w:rPr>
        <w:t xml:space="preserve">I et multidosis-forsøg med patienter til bestemmelse af quetiapins farmakokinetik, når det administreres hhv. før og under behandling med carbamazepin (en kendt leverenzym-inducer), gav samtidig behandling med carbamazepin en signifikant øget quetiapin-clearence. Denne forøgelse af clearence reducerede den systemiske quetiapin-eksponering (målt som AUC) til gennemsnitlig 13% af eksponeringen ved quetiapin alene, selvom der observeredes en større effekt hos nogle patienter. Som en konsekvens af denne interaktion kan lavere plasmakoncentrationer forekomme, hvilket kan påvirke effekten af behandling med quetiapin. Samtidig administration af quetiapin og phenytoin (en anden mikrosomal enzym-inducer) medførte en stærkt forøget quetiapin-clearence på ca. 450 %. Hos patienter, som er i behandling med en leverenzym-inducer, bør initiering af behandling med quetiapin kun ske, hvis lægen vurderer, af fordelene ved quetiapin overstiger risiciene ved at stoppe behandlingen med leverenzym-induceren. </w:t>
      </w:r>
    </w:p>
    <w:p w14:paraId="78AAB675" w14:textId="77777777" w:rsidR="0067627C" w:rsidRDefault="0067627C" w:rsidP="0067627C">
      <w:pPr>
        <w:autoSpaceDE w:val="0"/>
        <w:autoSpaceDN w:val="0"/>
        <w:adjustRightInd w:val="0"/>
        <w:ind w:left="851"/>
        <w:rPr>
          <w:color w:val="000000"/>
          <w:sz w:val="24"/>
          <w:szCs w:val="24"/>
        </w:rPr>
      </w:pPr>
      <w:r>
        <w:rPr>
          <w:color w:val="000000"/>
          <w:sz w:val="24"/>
          <w:szCs w:val="24"/>
        </w:rPr>
        <w:t>Det er vigtigt, at enhver ændring af behandlingen med induceren sker gradvist, og at den om nødvendigt erstattes med en non-inducer (f.eks. natriumvalproat) (se pkt. 4.4).</w:t>
      </w:r>
    </w:p>
    <w:p w14:paraId="4826A069" w14:textId="77777777" w:rsidR="0067627C" w:rsidRPr="00B50DD9" w:rsidRDefault="0067627C" w:rsidP="0067627C">
      <w:pPr>
        <w:autoSpaceDE w:val="0"/>
        <w:autoSpaceDN w:val="0"/>
        <w:adjustRightInd w:val="0"/>
        <w:rPr>
          <w:color w:val="000000"/>
          <w:sz w:val="24"/>
          <w:szCs w:val="24"/>
        </w:rPr>
      </w:pPr>
    </w:p>
    <w:p w14:paraId="0CE4CA5E" w14:textId="77777777" w:rsidR="0067627C" w:rsidRPr="00B50DD9" w:rsidRDefault="0067627C" w:rsidP="0067627C">
      <w:pPr>
        <w:autoSpaceDE w:val="0"/>
        <w:autoSpaceDN w:val="0"/>
        <w:adjustRightInd w:val="0"/>
        <w:ind w:left="851"/>
        <w:rPr>
          <w:color w:val="000000"/>
          <w:sz w:val="24"/>
          <w:szCs w:val="24"/>
        </w:rPr>
      </w:pPr>
      <w:r w:rsidRPr="00B50DD9">
        <w:rPr>
          <w:color w:val="000000"/>
          <w:sz w:val="24"/>
          <w:szCs w:val="24"/>
        </w:rPr>
        <w:t>Quetiapins farmakokinetik blev ikke ændret signifikant efter samtidig administration af de antidepressive lægemidler imipramin (en kendt CYP2D6-hæmmer) eller fluoxetin (en kendt CYP3A4- og CYP2D6-hæmmer).</w:t>
      </w:r>
    </w:p>
    <w:p w14:paraId="4034330B" w14:textId="77777777" w:rsidR="0067627C" w:rsidRPr="00B50DD9" w:rsidRDefault="0067627C" w:rsidP="0067627C">
      <w:pPr>
        <w:autoSpaceDE w:val="0"/>
        <w:autoSpaceDN w:val="0"/>
        <w:adjustRightInd w:val="0"/>
        <w:rPr>
          <w:color w:val="000000"/>
          <w:sz w:val="24"/>
          <w:szCs w:val="24"/>
        </w:rPr>
      </w:pPr>
    </w:p>
    <w:p w14:paraId="2D96FDFF" w14:textId="77777777" w:rsidR="0067627C" w:rsidRPr="00B50DD9" w:rsidRDefault="0067627C" w:rsidP="0067627C">
      <w:pPr>
        <w:autoSpaceDE w:val="0"/>
        <w:autoSpaceDN w:val="0"/>
        <w:adjustRightInd w:val="0"/>
        <w:ind w:left="851"/>
        <w:rPr>
          <w:color w:val="000000"/>
          <w:sz w:val="24"/>
          <w:szCs w:val="24"/>
        </w:rPr>
      </w:pPr>
      <w:r w:rsidRPr="00B50DD9">
        <w:rPr>
          <w:color w:val="000000"/>
          <w:sz w:val="24"/>
          <w:szCs w:val="24"/>
        </w:rPr>
        <w:lastRenderedPageBreak/>
        <w:t>Quetiapins farmakokinetik blev ikke ændret signifikant efter samtidig administration af de antipsykotiske lægemidler risperidon eller haloperidol. Samtidig administration af que</w:t>
      </w:r>
      <w:r>
        <w:rPr>
          <w:color w:val="000000"/>
          <w:sz w:val="24"/>
          <w:szCs w:val="24"/>
        </w:rPr>
        <w:t>tiapin og thioridazin medførte</w:t>
      </w:r>
      <w:r w:rsidRPr="00B50DD9">
        <w:rPr>
          <w:color w:val="000000"/>
          <w:sz w:val="24"/>
          <w:szCs w:val="24"/>
        </w:rPr>
        <w:t xml:space="preserve"> en forøgelse af quetiapins </w:t>
      </w:r>
      <w:r>
        <w:rPr>
          <w:color w:val="000000"/>
          <w:sz w:val="24"/>
          <w:szCs w:val="24"/>
        </w:rPr>
        <w:t>clearance</w:t>
      </w:r>
      <w:r w:rsidRPr="00B50DD9">
        <w:rPr>
          <w:color w:val="000000"/>
          <w:sz w:val="24"/>
          <w:szCs w:val="24"/>
        </w:rPr>
        <w:t xml:space="preserve"> på omkring 70 %.</w:t>
      </w:r>
    </w:p>
    <w:p w14:paraId="149AE0AD" w14:textId="77777777" w:rsidR="0067627C" w:rsidRPr="00B50DD9" w:rsidRDefault="0067627C" w:rsidP="0067627C">
      <w:pPr>
        <w:autoSpaceDE w:val="0"/>
        <w:autoSpaceDN w:val="0"/>
        <w:adjustRightInd w:val="0"/>
        <w:rPr>
          <w:color w:val="000000"/>
          <w:sz w:val="24"/>
          <w:szCs w:val="24"/>
        </w:rPr>
      </w:pPr>
    </w:p>
    <w:p w14:paraId="14AA19CD" w14:textId="77777777" w:rsidR="0067627C" w:rsidRPr="00B50DD9" w:rsidRDefault="0067627C" w:rsidP="0067627C">
      <w:pPr>
        <w:autoSpaceDE w:val="0"/>
        <w:autoSpaceDN w:val="0"/>
        <w:adjustRightInd w:val="0"/>
        <w:ind w:firstLine="851"/>
        <w:rPr>
          <w:color w:val="000000"/>
          <w:sz w:val="24"/>
          <w:szCs w:val="24"/>
        </w:rPr>
      </w:pPr>
      <w:r w:rsidRPr="00B50DD9">
        <w:rPr>
          <w:color w:val="000000"/>
          <w:sz w:val="24"/>
          <w:szCs w:val="24"/>
        </w:rPr>
        <w:t>Quetiapins farmakokinetik ændredes ikke ved samtidig administration af cimetidin.</w:t>
      </w:r>
    </w:p>
    <w:p w14:paraId="5CAC95DA" w14:textId="77777777" w:rsidR="0067627C" w:rsidRPr="00B50DD9" w:rsidRDefault="0067627C" w:rsidP="0067627C">
      <w:pPr>
        <w:autoSpaceDE w:val="0"/>
        <w:autoSpaceDN w:val="0"/>
        <w:adjustRightInd w:val="0"/>
        <w:rPr>
          <w:color w:val="000000"/>
          <w:sz w:val="24"/>
          <w:szCs w:val="24"/>
        </w:rPr>
      </w:pPr>
    </w:p>
    <w:p w14:paraId="63FDB7DE" w14:textId="77777777" w:rsidR="0067627C" w:rsidRPr="00B50DD9" w:rsidRDefault="0067627C" w:rsidP="0067627C">
      <w:pPr>
        <w:autoSpaceDE w:val="0"/>
        <w:autoSpaceDN w:val="0"/>
        <w:adjustRightInd w:val="0"/>
        <w:ind w:firstLine="851"/>
        <w:rPr>
          <w:color w:val="000000"/>
          <w:sz w:val="24"/>
          <w:szCs w:val="24"/>
        </w:rPr>
      </w:pPr>
      <w:r w:rsidRPr="00B50DD9">
        <w:rPr>
          <w:color w:val="000000"/>
          <w:sz w:val="24"/>
          <w:szCs w:val="24"/>
        </w:rPr>
        <w:t xml:space="preserve">Lithiums farmakokinetik blev ikke ændret ved samtidig administration af quetiapin. </w:t>
      </w:r>
    </w:p>
    <w:p w14:paraId="17839A2A" w14:textId="77777777" w:rsidR="0067627C" w:rsidRPr="00B50DD9" w:rsidRDefault="0067627C" w:rsidP="0067627C">
      <w:pPr>
        <w:autoSpaceDE w:val="0"/>
        <w:autoSpaceDN w:val="0"/>
        <w:adjustRightInd w:val="0"/>
        <w:rPr>
          <w:color w:val="000000"/>
          <w:sz w:val="24"/>
          <w:szCs w:val="24"/>
        </w:rPr>
      </w:pPr>
    </w:p>
    <w:p w14:paraId="2EBE00EB" w14:textId="77777777" w:rsidR="0067627C" w:rsidRDefault="0067627C" w:rsidP="0067627C">
      <w:pPr>
        <w:autoSpaceDE w:val="0"/>
        <w:autoSpaceDN w:val="0"/>
        <w:adjustRightInd w:val="0"/>
        <w:ind w:left="851"/>
        <w:rPr>
          <w:color w:val="000000"/>
          <w:sz w:val="24"/>
          <w:szCs w:val="24"/>
        </w:rPr>
      </w:pPr>
      <w:r>
        <w:rPr>
          <w:color w:val="000000"/>
          <w:sz w:val="24"/>
          <w:szCs w:val="24"/>
        </w:rPr>
        <w:t>I et 6-ugers randomiseret studie af lithium og quetiapin kontra placebo og quetiapin hos voksne patienter med akut mani blev der set en højere forekomst af ekstrapyramidale hændelser (særligt tremor), døsighed og vægtøgning i den gruppe, der fik tilføjet lithium, end i den gruppe, der fik tilføjet placebo (se pkt. 5.1).</w:t>
      </w:r>
    </w:p>
    <w:p w14:paraId="4A361209" w14:textId="77777777" w:rsidR="0067627C" w:rsidRDefault="0067627C" w:rsidP="0067627C">
      <w:pPr>
        <w:autoSpaceDE w:val="0"/>
        <w:autoSpaceDN w:val="0"/>
        <w:adjustRightInd w:val="0"/>
        <w:ind w:left="851"/>
        <w:rPr>
          <w:color w:val="000000"/>
          <w:sz w:val="24"/>
          <w:szCs w:val="24"/>
        </w:rPr>
      </w:pPr>
    </w:p>
    <w:p w14:paraId="175EB4DF" w14:textId="77777777" w:rsidR="0067627C" w:rsidRDefault="0067627C" w:rsidP="0067627C">
      <w:pPr>
        <w:autoSpaceDE w:val="0"/>
        <w:autoSpaceDN w:val="0"/>
        <w:adjustRightInd w:val="0"/>
        <w:ind w:left="851"/>
        <w:rPr>
          <w:color w:val="000000"/>
          <w:sz w:val="24"/>
          <w:szCs w:val="24"/>
        </w:rPr>
      </w:pPr>
      <w:r>
        <w:rPr>
          <w:color w:val="000000"/>
          <w:sz w:val="24"/>
          <w:szCs w:val="24"/>
        </w:rPr>
        <w:t>Ved samtidig administration af natriumvalproat og quetiapin sås ingen klinisk relevant ændring af farmakokinetikken. En retrospektiv undersøgelse med børn og unge, som fik valproat, quetiapin eller begge dele, viste en højere forekomst af leukopeni og neutropeni i kombinationsgruppen i forhold til i monoterapigrupperne.</w:t>
      </w:r>
    </w:p>
    <w:p w14:paraId="274D7B12" w14:textId="77777777" w:rsidR="0067627C" w:rsidRDefault="0067627C" w:rsidP="0067627C">
      <w:pPr>
        <w:autoSpaceDE w:val="0"/>
        <w:autoSpaceDN w:val="0"/>
        <w:adjustRightInd w:val="0"/>
        <w:rPr>
          <w:color w:val="000000"/>
          <w:sz w:val="24"/>
          <w:szCs w:val="24"/>
        </w:rPr>
      </w:pPr>
    </w:p>
    <w:p w14:paraId="627733E2" w14:textId="77777777" w:rsidR="0067627C" w:rsidRDefault="0067627C" w:rsidP="0067627C">
      <w:pPr>
        <w:autoSpaceDE w:val="0"/>
        <w:autoSpaceDN w:val="0"/>
        <w:adjustRightInd w:val="0"/>
        <w:ind w:left="851"/>
        <w:rPr>
          <w:color w:val="000000"/>
          <w:sz w:val="24"/>
          <w:szCs w:val="24"/>
        </w:rPr>
      </w:pPr>
      <w:r>
        <w:rPr>
          <w:color w:val="000000"/>
          <w:sz w:val="24"/>
          <w:szCs w:val="24"/>
        </w:rPr>
        <w:t>Der er ikke foretaget formelle interaktionsstudier med almindeligt anvendte kardiovaskulære lægemidler.</w:t>
      </w:r>
    </w:p>
    <w:p w14:paraId="120E56D9" w14:textId="77777777" w:rsidR="0067627C" w:rsidRDefault="0067627C" w:rsidP="0067627C">
      <w:pPr>
        <w:autoSpaceDE w:val="0"/>
        <w:autoSpaceDN w:val="0"/>
        <w:adjustRightInd w:val="0"/>
        <w:rPr>
          <w:color w:val="000000"/>
          <w:sz w:val="24"/>
          <w:szCs w:val="24"/>
        </w:rPr>
      </w:pPr>
    </w:p>
    <w:p w14:paraId="4B266BF8" w14:textId="77777777" w:rsidR="0067627C" w:rsidRDefault="0067627C" w:rsidP="0067627C">
      <w:pPr>
        <w:ind w:left="851"/>
        <w:rPr>
          <w:color w:val="000000"/>
          <w:sz w:val="24"/>
          <w:szCs w:val="24"/>
        </w:rPr>
      </w:pPr>
      <w:r>
        <w:rPr>
          <w:color w:val="000000"/>
          <w:sz w:val="24"/>
          <w:szCs w:val="24"/>
        </w:rPr>
        <w:t>Der bør udvises forsigtighed, når quetiapin anvendes samtidig med lægemidler, som er kendt for at medføre elektrolytubalance eller øge QT-intervallet.</w:t>
      </w:r>
    </w:p>
    <w:p w14:paraId="1C08D838" w14:textId="77777777" w:rsidR="0067627C" w:rsidRDefault="0067627C" w:rsidP="0067627C">
      <w:pPr>
        <w:autoSpaceDE w:val="0"/>
        <w:autoSpaceDN w:val="0"/>
        <w:adjustRightInd w:val="0"/>
        <w:ind w:firstLine="851"/>
        <w:jc w:val="both"/>
        <w:rPr>
          <w:color w:val="000000"/>
          <w:sz w:val="24"/>
          <w:szCs w:val="24"/>
        </w:rPr>
      </w:pPr>
      <w:r>
        <w:rPr>
          <w:color w:val="000000"/>
          <w:sz w:val="24"/>
          <w:szCs w:val="24"/>
        </w:rPr>
        <w:t>Der er indberettet falsk-positive resultater i enzym-immunanalyser af metadon og tricykliske</w:t>
      </w:r>
    </w:p>
    <w:p w14:paraId="1A5BAEFE" w14:textId="77777777" w:rsidR="0067627C" w:rsidRDefault="0067627C" w:rsidP="0067627C">
      <w:pPr>
        <w:autoSpaceDE w:val="0"/>
        <w:autoSpaceDN w:val="0"/>
        <w:adjustRightInd w:val="0"/>
        <w:ind w:firstLine="851"/>
        <w:jc w:val="both"/>
        <w:rPr>
          <w:color w:val="000000"/>
          <w:sz w:val="24"/>
          <w:szCs w:val="24"/>
        </w:rPr>
      </w:pPr>
      <w:r>
        <w:rPr>
          <w:color w:val="000000"/>
          <w:sz w:val="24"/>
          <w:szCs w:val="24"/>
        </w:rPr>
        <w:t>antidepressiva hos patienter, der har taget quetipin. Det anbefales at screene tvivlsomme</w:t>
      </w:r>
    </w:p>
    <w:p w14:paraId="4A550729" w14:textId="77777777" w:rsidR="00040F2E" w:rsidRDefault="0067627C" w:rsidP="0067627C">
      <w:pPr>
        <w:autoSpaceDE w:val="0"/>
        <w:autoSpaceDN w:val="0"/>
        <w:adjustRightInd w:val="0"/>
        <w:ind w:firstLine="851"/>
        <w:jc w:val="both"/>
        <w:rPr>
          <w:color w:val="000000"/>
          <w:sz w:val="24"/>
          <w:szCs w:val="24"/>
        </w:rPr>
      </w:pPr>
      <w:r>
        <w:rPr>
          <w:color w:val="000000"/>
          <w:sz w:val="24"/>
          <w:szCs w:val="24"/>
        </w:rPr>
        <w:t>immunanalyseresultater med en passende kromatografisk metode.</w:t>
      </w:r>
    </w:p>
    <w:p w14:paraId="3B009546" w14:textId="77777777" w:rsidR="0067627C" w:rsidRPr="00B50DD9" w:rsidRDefault="0067627C" w:rsidP="0067627C">
      <w:pPr>
        <w:autoSpaceDE w:val="0"/>
        <w:autoSpaceDN w:val="0"/>
        <w:adjustRightInd w:val="0"/>
        <w:ind w:firstLine="851"/>
        <w:jc w:val="both"/>
        <w:rPr>
          <w:color w:val="000000"/>
          <w:sz w:val="24"/>
          <w:szCs w:val="24"/>
        </w:rPr>
      </w:pPr>
    </w:p>
    <w:p w14:paraId="206B6F0E"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4.6</w:t>
      </w:r>
      <w:r w:rsidRPr="00B50DD9">
        <w:rPr>
          <w:b/>
          <w:bCs/>
          <w:sz w:val="24"/>
          <w:szCs w:val="24"/>
          <w:lang w:eastAsia="en-GB"/>
        </w:rPr>
        <w:tab/>
      </w:r>
      <w:r w:rsidR="00582EF9">
        <w:rPr>
          <w:b/>
          <w:bCs/>
          <w:sz w:val="24"/>
          <w:szCs w:val="24"/>
          <w:lang w:eastAsia="en-GB"/>
        </w:rPr>
        <w:t>Fertilitet, g</w:t>
      </w:r>
      <w:r w:rsidRPr="00B50DD9">
        <w:rPr>
          <w:b/>
          <w:sz w:val="24"/>
          <w:szCs w:val="24"/>
        </w:rPr>
        <w:t>raviditet og amning</w:t>
      </w:r>
    </w:p>
    <w:p w14:paraId="5A3825E6" w14:textId="3229F82A" w:rsidR="009C2D22" w:rsidRDefault="009C2D22" w:rsidP="00040F2E">
      <w:pPr>
        <w:ind w:left="851"/>
        <w:rPr>
          <w:i/>
          <w:sz w:val="24"/>
        </w:rPr>
      </w:pPr>
    </w:p>
    <w:p w14:paraId="0F2237B5" w14:textId="001B26EE" w:rsidR="009C2D22" w:rsidRPr="009C2D22" w:rsidRDefault="009C2D22" w:rsidP="00040F2E">
      <w:pPr>
        <w:ind w:left="851"/>
        <w:rPr>
          <w:sz w:val="24"/>
          <w:u w:val="single"/>
        </w:rPr>
      </w:pPr>
      <w:r>
        <w:rPr>
          <w:sz w:val="24"/>
          <w:u w:val="single"/>
        </w:rPr>
        <w:t>Graviditet</w:t>
      </w:r>
    </w:p>
    <w:p w14:paraId="670E7EF9" w14:textId="77777777" w:rsidR="009C2D22" w:rsidRDefault="009C2D22" w:rsidP="00040F2E">
      <w:pPr>
        <w:ind w:left="851"/>
        <w:rPr>
          <w:i/>
          <w:sz w:val="24"/>
        </w:rPr>
      </w:pPr>
    </w:p>
    <w:p w14:paraId="549030A5" w14:textId="3712CB50" w:rsidR="00040F2E" w:rsidRDefault="00040F2E" w:rsidP="00040F2E">
      <w:pPr>
        <w:ind w:left="851"/>
        <w:rPr>
          <w:sz w:val="24"/>
        </w:rPr>
      </w:pPr>
      <w:r>
        <w:rPr>
          <w:i/>
          <w:sz w:val="24"/>
        </w:rPr>
        <w:t>Første trimester</w:t>
      </w:r>
    </w:p>
    <w:p w14:paraId="3AA70B80" w14:textId="77777777" w:rsidR="00040F2E" w:rsidRDefault="00040F2E" w:rsidP="00040F2E">
      <w:pPr>
        <w:autoSpaceDE w:val="0"/>
        <w:autoSpaceDN w:val="0"/>
        <w:adjustRightInd w:val="0"/>
        <w:ind w:left="851"/>
        <w:rPr>
          <w:sz w:val="24"/>
          <w:szCs w:val="24"/>
        </w:rPr>
      </w:pPr>
      <w:r>
        <w:rPr>
          <w:sz w:val="24"/>
          <w:szCs w:val="24"/>
        </w:rPr>
        <w:t>De begrænsede offentliggjorte data fra anvendelse af quetiapin til gravide kvinder (mellem 300 og 1.000 graviditetsudfald), herunder individuelle rapporter og visse observationsstudier, antyder ingen øget risiko for misdannelser som følge af behandling. Der kan dog ikke drages nogen endelig konklusion på baggrund af de tilgængelige data. Dyrestudier har påvist reproduktionstoksicitet (se pkt. 5.3). Derfor må quetiapin kun bruges under graviditet, hvis fordelene opvejer de potentielle risici.</w:t>
      </w:r>
    </w:p>
    <w:p w14:paraId="3570F402" w14:textId="77777777" w:rsidR="00040F2E" w:rsidRDefault="00040F2E" w:rsidP="00040F2E">
      <w:pPr>
        <w:autoSpaceDE w:val="0"/>
        <w:autoSpaceDN w:val="0"/>
        <w:adjustRightInd w:val="0"/>
        <w:ind w:left="851"/>
        <w:rPr>
          <w:bCs/>
          <w:sz w:val="24"/>
          <w:szCs w:val="24"/>
          <w:lang w:eastAsia="en-GB"/>
        </w:rPr>
      </w:pPr>
    </w:p>
    <w:p w14:paraId="494DC7A5" w14:textId="77777777" w:rsidR="0067627C" w:rsidRDefault="0067627C" w:rsidP="0067627C">
      <w:pPr>
        <w:ind w:left="851"/>
        <w:rPr>
          <w:sz w:val="24"/>
          <w:szCs w:val="24"/>
        </w:rPr>
      </w:pPr>
      <w:r>
        <w:rPr>
          <w:i/>
          <w:sz w:val="24"/>
          <w:szCs w:val="24"/>
        </w:rPr>
        <w:t>Tredje trimester</w:t>
      </w:r>
    </w:p>
    <w:p w14:paraId="47F0D364" w14:textId="77777777" w:rsidR="0067627C" w:rsidRDefault="0067627C" w:rsidP="0067627C">
      <w:pPr>
        <w:autoSpaceDE w:val="0"/>
        <w:autoSpaceDN w:val="0"/>
        <w:ind w:left="851"/>
        <w:rPr>
          <w:snapToGrid w:val="0"/>
          <w:sz w:val="24"/>
          <w:szCs w:val="24"/>
          <w:lang w:val="pt-PT"/>
        </w:rPr>
      </w:pPr>
      <w:r>
        <w:rPr>
          <w:snapToGrid w:val="0"/>
          <w:sz w:val="24"/>
          <w:szCs w:val="24"/>
          <w:lang w:val="pt-PT"/>
        </w:rPr>
        <w:t>Nyfødte, der har været eksponeret for antipsykotika (herunder quetiapin) i løbet af tredje trimester af graviditeten, har risiko for at få bivirkninger, herunder ekstrapyramidale symptomer og/eller abstinenssymptomer, der kan variere i grad af alvorlighed og varighed. Der er rapporteret agitation, hypertoni, hypotoni, tremor, somnolens, respirations</w:t>
      </w:r>
      <w:r>
        <w:rPr>
          <w:snapToGrid w:val="0"/>
          <w:sz w:val="24"/>
          <w:szCs w:val="24"/>
          <w:lang w:val="pt-PT"/>
        </w:rPr>
        <w:softHyphen/>
        <w:t>forstyrrelser eller spiseforstyrrelser. Derfor skal nyfødte monitoreres nøje.</w:t>
      </w:r>
    </w:p>
    <w:p w14:paraId="4BD64086" w14:textId="77777777" w:rsidR="0067627C" w:rsidRDefault="0067627C" w:rsidP="0067627C">
      <w:pPr>
        <w:ind w:left="851"/>
        <w:rPr>
          <w:i/>
          <w:sz w:val="24"/>
          <w:szCs w:val="24"/>
        </w:rPr>
      </w:pPr>
    </w:p>
    <w:p w14:paraId="757636C2" w14:textId="77777777" w:rsidR="0067627C" w:rsidRPr="009C2D22" w:rsidRDefault="0067627C" w:rsidP="0067627C">
      <w:pPr>
        <w:ind w:left="851"/>
        <w:rPr>
          <w:sz w:val="24"/>
          <w:szCs w:val="24"/>
          <w:u w:val="single"/>
        </w:rPr>
      </w:pPr>
      <w:r w:rsidRPr="009C2D22">
        <w:rPr>
          <w:sz w:val="24"/>
          <w:szCs w:val="24"/>
          <w:u w:val="single"/>
        </w:rPr>
        <w:t>Amning</w:t>
      </w:r>
    </w:p>
    <w:p w14:paraId="531FA7C3" w14:textId="77777777" w:rsidR="0067627C" w:rsidRDefault="0067627C" w:rsidP="0067627C">
      <w:pPr>
        <w:autoSpaceDE w:val="0"/>
        <w:autoSpaceDN w:val="0"/>
        <w:adjustRightInd w:val="0"/>
        <w:ind w:left="851"/>
        <w:rPr>
          <w:sz w:val="24"/>
          <w:szCs w:val="24"/>
        </w:rPr>
      </w:pPr>
      <w:r>
        <w:rPr>
          <w:sz w:val="24"/>
          <w:szCs w:val="24"/>
        </w:rPr>
        <w:t xml:space="preserve">Baseret på meget begrænsede mængder af data fra publicerede rapporter om udskillelse af quetiapin i human mælk synes udskillelsen af quetiapin i terapeutiske doser at være inkonsistent. På grund af manglende solide data må det besluttes at enten amningen eller </w:t>
      </w:r>
      <w:r>
        <w:rPr>
          <w:sz w:val="24"/>
          <w:szCs w:val="24"/>
        </w:rPr>
        <w:lastRenderedPageBreak/>
        <w:t>behandlingen med quetiapin skal ophøre under hensyntagen til fordelen ved amning for barnet og fordelen for kvinden ved behandlingen.</w:t>
      </w:r>
    </w:p>
    <w:p w14:paraId="0073C447" w14:textId="77777777" w:rsidR="0067627C" w:rsidRDefault="0067627C" w:rsidP="0067627C">
      <w:pPr>
        <w:autoSpaceDE w:val="0"/>
        <w:autoSpaceDN w:val="0"/>
        <w:adjustRightInd w:val="0"/>
        <w:ind w:left="851"/>
        <w:rPr>
          <w:sz w:val="24"/>
          <w:szCs w:val="24"/>
        </w:rPr>
      </w:pPr>
    </w:p>
    <w:p w14:paraId="743D8280" w14:textId="77777777" w:rsidR="0067627C" w:rsidRDefault="0067627C" w:rsidP="0067627C">
      <w:pPr>
        <w:ind w:left="851"/>
        <w:rPr>
          <w:sz w:val="24"/>
          <w:szCs w:val="24"/>
          <w:u w:val="single"/>
        </w:rPr>
      </w:pPr>
      <w:r>
        <w:rPr>
          <w:sz w:val="24"/>
          <w:szCs w:val="24"/>
          <w:u w:val="single"/>
        </w:rPr>
        <w:t>Fertilitet</w:t>
      </w:r>
    </w:p>
    <w:p w14:paraId="76C456DE" w14:textId="77777777" w:rsidR="0067627C" w:rsidRDefault="0067627C" w:rsidP="0067627C">
      <w:pPr>
        <w:ind w:left="851"/>
        <w:rPr>
          <w:sz w:val="24"/>
          <w:szCs w:val="24"/>
        </w:rPr>
      </w:pPr>
      <w:r>
        <w:rPr>
          <w:sz w:val="24"/>
          <w:szCs w:val="24"/>
        </w:rPr>
        <w:t xml:space="preserve">Virkningerne af quetiapin på menneskers fertilitet er ikke blevet vurderet. </w:t>
      </w:r>
      <w:r>
        <w:rPr>
          <w:sz w:val="24"/>
        </w:rPr>
        <w:t xml:space="preserve">Virkninger </w:t>
      </w:r>
      <w:r>
        <w:rPr>
          <w:sz w:val="24"/>
          <w:szCs w:val="24"/>
        </w:rPr>
        <w:t>relateret til forhøjede prolaktinniveauer er set hos rotter, selvom disse ikke er direkte relevante for mennesker (se pkt. 5.3).</w:t>
      </w:r>
    </w:p>
    <w:p w14:paraId="65457D74" w14:textId="77777777" w:rsidR="00040F2E" w:rsidRPr="00B50DD9" w:rsidRDefault="00040F2E" w:rsidP="00040F2E">
      <w:pPr>
        <w:autoSpaceDE w:val="0"/>
        <w:autoSpaceDN w:val="0"/>
        <w:adjustRightInd w:val="0"/>
        <w:jc w:val="both"/>
        <w:rPr>
          <w:bCs/>
          <w:sz w:val="24"/>
          <w:szCs w:val="24"/>
          <w:lang w:eastAsia="en-GB"/>
        </w:rPr>
      </w:pPr>
    </w:p>
    <w:p w14:paraId="35EAC041" w14:textId="77777777" w:rsidR="00040F2E" w:rsidRPr="00B50DD9" w:rsidRDefault="00040F2E" w:rsidP="00040F2E">
      <w:pPr>
        <w:tabs>
          <w:tab w:val="left" w:pos="851"/>
        </w:tabs>
        <w:autoSpaceDE w:val="0"/>
        <w:autoSpaceDN w:val="0"/>
        <w:adjustRightInd w:val="0"/>
        <w:rPr>
          <w:b/>
          <w:bCs/>
          <w:sz w:val="24"/>
          <w:szCs w:val="24"/>
          <w:lang w:val="pt-PT" w:eastAsia="en-GB"/>
        </w:rPr>
      </w:pPr>
      <w:r w:rsidRPr="00B50DD9">
        <w:rPr>
          <w:b/>
          <w:bCs/>
          <w:sz w:val="24"/>
          <w:szCs w:val="24"/>
          <w:lang w:val="pt-PT" w:eastAsia="en-GB"/>
        </w:rPr>
        <w:t xml:space="preserve">4.7 </w:t>
      </w:r>
      <w:r w:rsidRPr="00B50DD9">
        <w:rPr>
          <w:b/>
          <w:bCs/>
          <w:sz w:val="24"/>
          <w:szCs w:val="24"/>
          <w:lang w:val="pt-PT" w:eastAsia="en-GB"/>
        </w:rPr>
        <w:tab/>
      </w:r>
      <w:r w:rsidRPr="00B50DD9">
        <w:rPr>
          <w:b/>
          <w:sz w:val="24"/>
          <w:szCs w:val="24"/>
          <w:lang w:val="pt-PT"/>
        </w:rPr>
        <w:t xml:space="preserve">Virkning på evnen til at føre motorkøretøj </w:t>
      </w:r>
      <w:r w:rsidR="00582EF9">
        <w:rPr>
          <w:b/>
          <w:sz w:val="24"/>
          <w:szCs w:val="24"/>
          <w:lang w:val="pt-PT"/>
        </w:rPr>
        <w:t xml:space="preserve">og </w:t>
      </w:r>
      <w:r w:rsidRPr="00B50DD9">
        <w:rPr>
          <w:b/>
          <w:sz w:val="24"/>
          <w:szCs w:val="24"/>
          <w:lang w:val="pt-PT"/>
        </w:rPr>
        <w:t>betjene maskiner</w:t>
      </w:r>
    </w:p>
    <w:p w14:paraId="09DE53C9" w14:textId="77777777" w:rsidR="00040F2E" w:rsidRDefault="00040F2E" w:rsidP="00040F2E">
      <w:pPr>
        <w:ind w:left="851"/>
        <w:rPr>
          <w:sz w:val="24"/>
          <w:szCs w:val="24"/>
        </w:rPr>
      </w:pPr>
      <w:r>
        <w:rPr>
          <w:sz w:val="24"/>
          <w:szCs w:val="24"/>
        </w:rPr>
        <w:t>Ikke mærkning.</w:t>
      </w:r>
    </w:p>
    <w:p w14:paraId="3140F527" w14:textId="77777777" w:rsidR="00040F2E" w:rsidRDefault="00040F2E" w:rsidP="00040F2E">
      <w:pPr>
        <w:ind w:left="851"/>
        <w:rPr>
          <w:sz w:val="24"/>
          <w:szCs w:val="24"/>
        </w:rPr>
      </w:pPr>
      <w:r>
        <w:rPr>
          <w:sz w:val="24"/>
          <w:szCs w:val="24"/>
        </w:rPr>
        <w:t xml:space="preserve">I betragtning af effekten på centralnervesystemet kan quetiapin påvirke aktiviteter, som kræver mental årvågenhed. Derfor bør patienter advares mod at køre bil eller betjene maskiner, indtil den enkeltes påvirkelighed er kendt. </w:t>
      </w:r>
    </w:p>
    <w:p w14:paraId="24099650" w14:textId="77777777" w:rsidR="00040F2E" w:rsidRPr="00B50DD9" w:rsidRDefault="00040F2E" w:rsidP="00040F2E">
      <w:pPr>
        <w:ind w:left="851"/>
        <w:rPr>
          <w:sz w:val="24"/>
          <w:szCs w:val="24"/>
        </w:rPr>
      </w:pPr>
    </w:p>
    <w:p w14:paraId="1ED836EF" w14:textId="77777777" w:rsidR="00040F2E" w:rsidRPr="00B50DD9" w:rsidRDefault="00040F2E" w:rsidP="00040F2E">
      <w:pPr>
        <w:ind w:left="851" w:hanging="851"/>
        <w:rPr>
          <w:b/>
          <w:sz w:val="24"/>
          <w:szCs w:val="24"/>
        </w:rPr>
      </w:pPr>
      <w:r w:rsidRPr="00B50DD9">
        <w:rPr>
          <w:b/>
          <w:bCs/>
          <w:sz w:val="24"/>
          <w:szCs w:val="24"/>
          <w:lang w:eastAsia="en-GB"/>
        </w:rPr>
        <w:t xml:space="preserve">4.8 </w:t>
      </w:r>
      <w:r w:rsidRPr="00B50DD9">
        <w:rPr>
          <w:b/>
          <w:bCs/>
          <w:sz w:val="24"/>
          <w:szCs w:val="24"/>
          <w:lang w:eastAsia="en-GB"/>
        </w:rPr>
        <w:tab/>
      </w:r>
      <w:r w:rsidRPr="00B50DD9">
        <w:rPr>
          <w:b/>
          <w:sz w:val="24"/>
          <w:szCs w:val="24"/>
        </w:rPr>
        <w:t>Bivirkninger</w:t>
      </w:r>
    </w:p>
    <w:p w14:paraId="67C02751" w14:textId="77777777" w:rsidR="00040F2E" w:rsidRDefault="00040F2E" w:rsidP="00040F2E">
      <w:pPr>
        <w:ind w:left="851"/>
        <w:rPr>
          <w:sz w:val="24"/>
          <w:szCs w:val="24"/>
        </w:rPr>
      </w:pPr>
      <w:r>
        <w:rPr>
          <w:sz w:val="24"/>
          <w:szCs w:val="24"/>
        </w:rPr>
        <w:t>De hyppigst rapporterede bivirkninger for quetiapin (</w:t>
      </w:r>
      <w:r>
        <w:rPr>
          <w:sz w:val="24"/>
          <w:szCs w:val="24"/>
        </w:rPr>
        <w:sym w:font="Symbol" w:char="F0B3"/>
      </w:r>
      <w:r>
        <w:rPr>
          <w:sz w:val="24"/>
          <w:szCs w:val="24"/>
        </w:rPr>
        <w:t xml:space="preserve">10%) er somnolens, svimmelhed, hovedpine, mundtørhed, seponeringssymptomer, stigninger i serumtriglyceridniveauerne, stigninger i totalt kolesterol (primært LDL-kolesterol), fald i HDL-kolesterol, vægtøgning, nedsat hæmoglobin og ekstrapyramidale symptomer. </w:t>
      </w:r>
    </w:p>
    <w:p w14:paraId="51B14CFB" w14:textId="77777777" w:rsidR="00040F2E" w:rsidRDefault="00040F2E" w:rsidP="00040F2E">
      <w:pPr>
        <w:ind w:left="851"/>
        <w:rPr>
          <w:sz w:val="24"/>
          <w:szCs w:val="24"/>
        </w:rPr>
      </w:pPr>
    </w:p>
    <w:p w14:paraId="19E30B02" w14:textId="77777777" w:rsidR="00040F2E" w:rsidRDefault="00040F2E" w:rsidP="00040F2E">
      <w:pPr>
        <w:pStyle w:val="ReferenceLine"/>
        <w:ind w:left="851"/>
        <w:jc w:val="left"/>
        <w:rPr>
          <w:rFonts w:ascii="Times New Roman" w:hAnsi="Times New Roman"/>
          <w:szCs w:val="24"/>
          <w:lang w:val="da-DK"/>
        </w:rPr>
      </w:pPr>
      <w:r>
        <w:rPr>
          <w:rFonts w:ascii="Times New Roman" w:hAnsi="Times New Roman"/>
          <w:szCs w:val="24"/>
          <w:lang w:val="da-DK"/>
        </w:rPr>
        <w:t>Forekomsten af bivirkninger i forbindelse med quetiapin-behandling er gengivet i tabellen nedenfor (Tabel 1) i det format, som anbefales af Council for International Organizations of Medical Sciences (CIOMS III Working Group; 1995).</w:t>
      </w:r>
    </w:p>
    <w:p w14:paraId="362A0CB1" w14:textId="77777777" w:rsidR="00040F2E" w:rsidRDefault="00040F2E" w:rsidP="00040F2E">
      <w:pPr>
        <w:autoSpaceDE w:val="0"/>
        <w:autoSpaceDN w:val="0"/>
        <w:adjustRightInd w:val="0"/>
        <w:ind w:left="851"/>
        <w:rPr>
          <w:sz w:val="24"/>
          <w:szCs w:val="24"/>
        </w:rPr>
      </w:pPr>
    </w:p>
    <w:p w14:paraId="0635A84A" w14:textId="77777777" w:rsidR="00040F2E" w:rsidRDefault="00040F2E" w:rsidP="00040F2E">
      <w:pPr>
        <w:pStyle w:val="ReferenceLine"/>
        <w:ind w:left="851"/>
        <w:jc w:val="left"/>
        <w:rPr>
          <w:rFonts w:ascii="Times New Roman" w:hAnsi="Times New Roman"/>
          <w:szCs w:val="24"/>
          <w:lang w:val="da-DK"/>
        </w:rPr>
      </w:pPr>
      <w:r>
        <w:rPr>
          <w:rFonts w:ascii="Times New Roman" w:hAnsi="Times New Roman"/>
          <w:b/>
          <w:szCs w:val="22"/>
          <w:lang w:val="da-DK" w:eastAsia="nl-NL"/>
        </w:rPr>
        <w:t>Tabel 1: Bivirkninger i forbindelse med quetiapinbehandling</w:t>
      </w:r>
      <w:r>
        <w:rPr>
          <w:rFonts w:ascii="Times New Roman" w:hAnsi="Times New Roman"/>
          <w:szCs w:val="24"/>
          <w:lang w:val="da-DK"/>
        </w:rPr>
        <w:t xml:space="preserve"> </w:t>
      </w:r>
    </w:p>
    <w:p w14:paraId="5385C505" w14:textId="77777777" w:rsidR="00040F2E" w:rsidRDefault="00040F2E" w:rsidP="00040F2E">
      <w:pPr>
        <w:pStyle w:val="ReferenceLine"/>
        <w:ind w:left="851"/>
        <w:jc w:val="left"/>
        <w:rPr>
          <w:rFonts w:ascii="Times New Roman" w:hAnsi="Times New Roman"/>
          <w:szCs w:val="24"/>
          <w:lang w:val="da-DK"/>
        </w:rPr>
      </w:pPr>
    </w:p>
    <w:p w14:paraId="4DE43C1D" w14:textId="77777777" w:rsidR="00CF52AE" w:rsidRDefault="00CF52AE" w:rsidP="00CF52AE">
      <w:pPr>
        <w:pStyle w:val="ReferenceLine"/>
        <w:ind w:left="851"/>
        <w:jc w:val="left"/>
        <w:rPr>
          <w:rFonts w:ascii="Times New Roman" w:hAnsi="Times New Roman"/>
          <w:szCs w:val="24"/>
          <w:lang w:val="da-DK"/>
        </w:rPr>
      </w:pPr>
      <w:r>
        <w:rPr>
          <w:rFonts w:ascii="Times New Roman" w:hAnsi="Times New Roman"/>
          <w:szCs w:val="24"/>
          <w:lang w:val="da-DK"/>
        </w:rPr>
        <w:t>Bivirkningernes hyppighed er inddelt som følger:</w:t>
      </w:r>
    </w:p>
    <w:p w14:paraId="47E30292" w14:textId="77777777" w:rsidR="00CF52AE" w:rsidRDefault="00CF52AE" w:rsidP="00CF52AE">
      <w:pPr>
        <w:pStyle w:val="ReferenceLine"/>
        <w:ind w:left="851"/>
        <w:jc w:val="left"/>
        <w:rPr>
          <w:rFonts w:ascii="Times New Roman" w:hAnsi="Times New Roman"/>
          <w:szCs w:val="24"/>
          <w:lang w:val="da-DK"/>
        </w:rPr>
      </w:pPr>
      <w:r>
        <w:rPr>
          <w:rFonts w:ascii="Times New Roman" w:hAnsi="Times New Roman"/>
          <w:szCs w:val="24"/>
          <w:lang w:val="da-DK"/>
        </w:rPr>
        <w:t>Meget almindelig (≥1/10), almindelig (≥1/100 til &lt;1/10), ikke almindelig (≥1/1.000 til &lt;1/100), sjælden (≥1/10.000 til &lt;1/1.000), meget sjælden (&lt;1/10.000) og ikke kendt (kan ikke estimeres ud fra forhåndenværende data).</w:t>
      </w:r>
    </w:p>
    <w:p w14:paraId="6AE6734D" w14:textId="77777777" w:rsidR="00CF52AE" w:rsidRDefault="00CF52AE" w:rsidP="00CF52AE">
      <w:pPr>
        <w:pStyle w:val="ReferenceLine"/>
        <w:ind w:left="851"/>
        <w:jc w:val="left"/>
        <w:rPr>
          <w:rFonts w:ascii="Times New Roman" w:hAnsi="Times New Roman"/>
          <w:szCs w:val="24"/>
          <w:lang w:val="da-DK"/>
        </w:rPr>
      </w:pPr>
    </w:p>
    <w:tbl>
      <w:tblPr>
        <w:tblW w:w="529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453"/>
        <w:gridCol w:w="1808"/>
        <w:gridCol w:w="1541"/>
        <w:gridCol w:w="1587"/>
        <w:gridCol w:w="1124"/>
        <w:gridCol w:w="1512"/>
        <w:gridCol w:w="1177"/>
      </w:tblGrid>
      <w:tr w:rsidR="00AD2389" w:rsidRPr="009C2D22" w14:paraId="577DE57A" w14:textId="77777777" w:rsidTr="00AD2389">
        <w:trPr>
          <w:cantSplit/>
          <w:tblHeader/>
        </w:trPr>
        <w:tc>
          <w:tcPr>
            <w:tcW w:w="712" w:type="pct"/>
            <w:tcBorders>
              <w:top w:val="single" w:sz="4" w:space="0" w:color="auto"/>
              <w:left w:val="single" w:sz="4" w:space="0" w:color="auto"/>
              <w:bottom w:val="single" w:sz="4" w:space="0" w:color="auto"/>
              <w:right w:val="single" w:sz="4" w:space="0" w:color="auto"/>
            </w:tcBorders>
            <w:hideMark/>
          </w:tcPr>
          <w:p w14:paraId="7628BEE7" w14:textId="77777777" w:rsidR="00582EF9" w:rsidRPr="009C2D22" w:rsidRDefault="00582EF9" w:rsidP="002E3625">
            <w:pPr>
              <w:spacing w:before="60" w:after="60"/>
              <w:rPr>
                <w:sz w:val="20"/>
                <w:lang w:eastAsia="da-DK"/>
              </w:rPr>
            </w:pPr>
            <w:r w:rsidRPr="009C2D22">
              <w:rPr>
                <w:b/>
                <w:sz w:val="20"/>
                <w:lang w:eastAsia="da-DK"/>
              </w:rPr>
              <w:t>System-organklasse</w:t>
            </w:r>
          </w:p>
        </w:tc>
        <w:tc>
          <w:tcPr>
            <w:tcW w:w="886" w:type="pct"/>
            <w:tcBorders>
              <w:top w:val="single" w:sz="4" w:space="0" w:color="auto"/>
              <w:left w:val="single" w:sz="4" w:space="0" w:color="auto"/>
              <w:bottom w:val="single" w:sz="4" w:space="0" w:color="auto"/>
              <w:right w:val="single" w:sz="4" w:space="0" w:color="auto"/>
            </w:tcBorders>
            <w:hideMark/>
          </w:tcPr>
          <w:p w14:paraId="1430979C" w14:textId="77777777" w:rsidR="00582EF9" w:rsidRPr="009C2D22" w:rsidRDefault="00582EF9" w:rsidP="002E3625">
            <w:pPr>
              <w:spacing w:before="60" w:after="60"/>
              <w:rPr>
                <w:sz w:val="20"/>
                <w:lang w:eastAsia="da-DK"/>
              </w:rPr>
            </w:pPr>
            <w:r w:rsidRPr="009C2D22">
              <w:rPr>
                <w:b/>
                <w:sz w:val="20"/>
                <w:lang w:eastAsia="da-DK"/>
              </w:rPr>
              <w:t>Meget almindelig</w:t>
            </w:r>
          </w:p>
        </w:tc>
        <w:tc>
          <w:tcPr>
            <w:tcW w:w="755" w:type="pct"/>
            <w:tcBorders>
              <w:top w:val="single" w:sz="4" w:space="0" w:color="auto"/>
              <w:left w:val="single" w:sz="4" w:space="0" w:color="auto"/>
              <w:bottom w:val="single" w:sz="4" w:space="0" w:color="auto"/>
              <w:right w:val="single" w:sz="4" w:space="0" w:color="auto"/>
            </w:tcBorders>
            <w:hideMark/>
          </w:tcPr>
          <w:p w14:paraId="27350088" w14:textId="77777777" w:rsidR="00582EF9" w:rsidRPr="009C2D22" w:rsidRDefault="00582EF9" w:rsidP="002E3625">
            <w:pPr>
              <w:spacing w:before="60" w:after="60"/>
              <w:rPr>
                <w:sz w:val="20"/>
                <w:lang w:eastAsia="da-DK"/>
              </w:rPr>
            </w:pPr>
            <w:r w:rsidRPr="009C2D22">
              <w:rPr>
                <w:b/>
                <w:sz w:val="20"/>
                <w:lang w:eastAsia="da-DK"/>
              </w:rPr>
              <w:t>Almindelig</w:t>
            </w:r>
          </w:p>
        </w:tc>
        <w:tc>
          <w:tcPr>
            <w:tcW w:w="778" w:type="pct"/>
            <w:tcBorders>
              <w:top w:val="single" w:sz="4" w:space="0" w:color="auto"/>
              <w:left w:val="single" w:sz="4" w:space="0" w:color="auto"/>
              <w:bottom w:val="single" w:sz="4" w:space="0" w:color="auto"/>
              <w:right w:val="single" w:sz="4" w:space="0" w:color="auto"/>
            </w:tcBorders>
            <w:hideMark/>
          </w:tcPr>
          <w:p w14:paraId="37623879" w14:textId="77777777" w:rsidR="00582EF9" w:rsidRPr="009C2D22" w:rsidRDefault="00582EF9" w:rsidP="002E3625">
            <w:pPr>
              <w:spacing w:before="60" w:after="60"/>
              <w:rPr>
                <w:sz w:val="20"/>
                <w:lang w:eastAsia="da-DK"/>
              </w:rPr>
            </w:pPr>
            <w:r w:rsidRPr="009C2D22">
              <w:rPr>
                <w:b/>
                <w:sz w:val="20"/>
                <w:lang w:eastAsia="da-DK"/>
              </w:rPr>
              <w:t>Ikke almindelig</w:t>
            </w:r>
          </w:p>
        </w:tc>
        <w:tc>
          <w:tcPr>
            <w:tcW w:w="551" w:type="pct"/>
            <w:tcBorders>
              <w:top w:val="single" w:sz="4" w:space="0" w:color="auto"/>
              <w:left w:val="single" w:sz="4" w:space="0" w:color="auto"/>
              <w:bottom w:val="single" w:sz="4" w:space="0" w:color="auto"/>
              <w:right w:val="single" w:sz="4" w:space="0" w:color="auto"/>
            </w:tcBorders>
            <w:hideMark/>
          </w:tcPr>
          <w:p w14:paraId="4E1D5658" w14:textId="77777777" w:rsidR="00582EF9" w:rsidRPr="009C2D22" w:rsidRDefault="00582EF9" w:rsidP="002E3625">
            <w:pPr>
              <w:spacing w:before="60" w:after="60"/>
              <w:rPr>
                <w:sz w:val="20"/>
                <w:lang w:eastAsia="da-DK"/>
              </w:rPr>
            </w:pPr>
            <w:r w:rsidRPr="009C2D22">
              <w:rPr>
                <w:b/>
                <w:sz w:val="20"/>
                <w:lang w:eastAsia="da-DK"/>
              </w:rPr>
              <w:t>Sjælden</w:t>
            </w:r>
          </w:p>
        </w:tc>
        <w:tc>
          <w:tcPr>
            <w:tcW w:w="741" w:type="pct"/>
            <w:tcBorders>
              <w:top w:val="single" w:sz="4" w:space="0" w:color="auto"/>
              <w:left w:val="single" w:sz="4" w:space="0" w:color="auto"/>
              <w:bottom w:val="single" w:sz="4" w:space="0" w:color="auto"/>
              <w:right w:val="single" w:sz="4" w:space="0" w:color="auto"/>
            </w:tcBorders>
            <w:hideMark/>
          </w:tcPr>
          <w:p w14:paraId="56864662" w14:textId="77777777" w:rsidR="00582EF9" w:rsidRPr="009C2D22" w:rsidRDefault="00582EF9" w:rsidP="002E3625">
            <w:pPr>
              <w:spacing w:before="60" w:after="60"/>
              <w:rPr>
                <w:sz w:val="20"/>
                <w:lang w:eastAsia="da-DK"/>
              </w:rPr>
            </w:pPr>
            <w:r w:rsidRPr="009C2D22">
              <w:rPr>
                <w:b/>
                <w:sz w:val="20"/>
                <w:lang w:eastAsia="da-DK"/>
              </w:rPr>
              <w:t>Meget sjælden</w:t>
            </w:r>
          </w:p>
        </w:tc>
        <w:tc>
          <w:tcPr>
            <w:tcW w:w="577" w:type="pct"/>
            <w:tcBorders>
              <w:top w:val="single" w:sz="4" w:space="0" w:color="auto"/>
              <w:left w:val="single" w:sz="4" w:space="0" w:color="auto"/>
              <w:bottom w:val="single" w:sz="4" w:space="0" w:color="auto"/>
              <w:right w:val="single" w:sz="4" w:space="0" w:color="auto"/>
            </w:tcBorders>
            <w:hideMark/>
          </w:tcPr>
          <w:p w14:paraId="78470453" w14:textId="77777777" w:rsidR="00582EF9" w:rsidRPr="009C2D22" w:rsidRDefault="00582EF9" w:rsidP="002E3625">
            <w:pPr>
              <w:spacing w:before="60" w:after="60"/>
              <w:rPr>
                <w:sz w:val="20"/>
                <w:lang w:eastAsia="da-DK"/>
              </w:rPr>
            </w:pPr>
            <w:r w:rsidRPr="009C2D22">
              <w:rPr>
                <w:b/>
                <w:sz w:val="20"/>
                <w:lang w:eastAsia="da-DK"/>
              </w:rPr>
              <w:t>Ikke kendt</w:t>
            </w:r>
          </w:p>
        </w:tc>
      </w:tr>
      <w:tr w:rsidR="00AD2389" w:rsidRPr="009C2D22" w14:paraId="191DBA4A"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13D966F2" w14:textId="77777777" w:rsidR="00582EF9" w:rsidRPr="009C2D22" w:rsidRDefault="00582EF9" w:rsidP="002E3625">
            <w:pPr>
              <w:spacing w:before="60" w:after="60"/>
              <w:rPr>
                <w:sz w:val="20"/>
                <w:lang w:eastAsia="da-DK"/>
              </w:rPr>
            </w:pPr>
            <w:r w:rsidRPr="009C2D22">
              <w:rPr>
                <w:i/>
                <w:sz w:val="20"/>
                <w:lang w:eastAsia="da-DK"/>
              </w:rPr>
              <w:t>Blod og lymfesystem</w:t>
            </w:r>
          </w:p>
        </w:tc>
        <w:tc>
          <w:tcPr>
            <w:tcW w:w="886" w:type="pct"/>
            <w:tcBorders>
              <w:top w:val="single" w:sz="4" w:space="0" w:color="auto"/>
              <w:left w:val="single" w:sz="4" w:space="0" w:color="auto"/>
              <w:bottom w:val="single" w:sz="4" w:space="0" w:color="auto"/>
              <w:right w:val="single" w:sz="4" w:space="0" w:color="auto"/>
            </w:tcBorders>
            <w:hideMark/>
          </w:tcPr>
          <w:p w14:paraId="164EFB6D" w14:textId="77777777" w:rsidR="00582EF9" w:rsidRPr="009C2D22" w:rsidRDefault="00582EF9" w:rsidP="002E3625">
            <w:pPr>
              <w:spacing w:before="60" w:after="60"/>
              <w:rPr>
                <w:sz w:val="20"/>
                <w:lang w:eastAsia="da-DK"/>
              </w:rPr>
            </w:pPr>
            <w:r w:rsidRPr="009C2D22">
              <w:rPr>
                <w:sz w:val="20"/>
                <w:lang w:eastAsia="da-DK"/>
              </w:rPr>
              <w:t>Nedsat hæmoglobin</w:t>
            </w:r>
            <w:r w:rsidRPr="009C2D22">
              <w:rPr>
                <w:sz w:val="20"/>
                <w:vertAlign w:val="superscript"/>
                <w:lang w:eastAsia="da-DK"/>
              </w:rPr>
              <w:t>22</w:t>
            </w:r>
          </w:p>
        </w:tc>
        <w:tc>
          <w:tcPr>
            <w:tcW w:w="755" w:type="pct"/>
            <w:tcBorders>
              <w:top w:val="single" w:sz="4" w:space="0" w:color="auto"/>
              <w:left w:val="single" w:sz="4" w:space="0" w:color="auto"/>
              <w:bottom w:val="single" w:sz="4" w:space="0" w:color="auto"/>
              <w:right w:val="single" w:sz="4" w:space="0" w:color="auto"/>
            </w:tcBorders>
            <w:hideMark/>
          </w:tcPr>
          <w:p w14:paraId="6F105033" w14:textId="77777777" w:rsidR="00582EF9" w:rsidRPr="009C2D22" w:rsidRDefault="00582EF9" w:rsidP="002E3625">
            <w:pPr>
              <w:spacing w:before="60" w:after="60"/>
              <w:rPr>
                <w:sz w:val="20"/>
                <w:lang w:eastAsia="da-DK"/>
              </w:rPr>
            </w:pPr>
            <w:r w:rsidRPr="009C2D22">
              <w:rPr>
                <w:sz w:val="20"/>
                <w:lang w:eastAsia="da-DK"/>
              </w:rPr>
              <w:t>Leukopeni</w:t>
            </w:r>
            <w:r w:rsidRPr="009C2D22">
              <w:rPr>
                <w:sz w:val="20"/>
                <w:vertAlign w:val="superscript"/>
                <w:lang w:eastAsia="da-DK"/>
              </w:rPr>
              <w:t>1, 28</w:t>
            </w:r>
            <w:r w:rsidRPr="009C2D22">
              <w:rPr>
                <w:sz w:val="20"/>
                <w:lang w:eastAsia="da-DK"/>
              </w:rPr>
              <w:t>, nedsat neutrofiltal, forhøjede eosinofiler</w:t>
            </w:r>
            <w:r w:rsidRPr="009C2D22">
              <w:rPr>
                <w:sz w:val="20"/>
                <w:vertAlign w:val="superscript"/>
                <w:lang w:eastAsia="da-DK"/>
              </w:rPr>
              <w:t>27</w:t>
            </w:r>
          </w:p>
        </w:tc>
        <w:tc>
          <w:tcPr>
            <w:tcW w:w="778" w:type="pct"/>
            <w:tcBorders>
              <w:top w:val="single" w:sz="4" w:space="0" w:color="auto"/>
              <w:left w:val="single" w:sz="4" w:space="0" w:color="auto"/>
              <w:bottom w:val="single" w:sz="4" w:space="0" w:color="auto"/>
              <w:right w:val="single" w:sz="4" w:space="0" w:color="auto"/>
            </w:tcBorders>
            <w:hideMark/>
          </w:tcPr>
          <w:p w14:paraId="5FE198EE" w14:textId="77777777" w:rsidR="00582EF9" w:rsidRPr="009C2D22" w:rsidRDefault="00582EF9" w:rsidP="002E3625">
            <w:pPr>
              <w:spacing w:before="60" w:after="60"/>
              <w:rPr>
                <w:sz w:val="20"/>
                <w:lang w:eastAsia="da-DK"/>
              </w:rPr>
            </w:pPr>
            <w:r w:rsidRPr="009C2D22">
              <w:rPr>
                <w:sz w:val="20"/>
                <w:lang w:eastAsia="da-DK"/>
              </w:rPr>
              <w:t>Neutropeni</w:t>
            </w:r>
            <w:r w:rsidRPr="009C2D22">
              <w:rPr>
                <w:sz w:val="20"/>
                <w:vertAlign w:val="superscript"/>
                <w:lang w:eastAsia="da-DK"/>
              </w:rPr>
              <w:t>1</w:t>
            </w:r>
            <w:r w:rsidRPr="009C2D22">
              <w:rPr>
                <w:sz w:val="20"/>
                <w:lang w:eastAsia="da-DK"/>
              </w:rPr>
              <w:t>, trombocytopeni, anæmi, nedsat antal trombocytter</w:t>
            </w:r>
            <w:r w:rsidRPr="009C2D22">
              <w:rPr>
                <w:sz w:val="20"/>
                <w:vertAlign w:val="superscript"/>
                <w:lang w:eastAsia="da-DK"/>
              </w:rPr>
              <w:t>13</w:t>
            </w:r>
          </w:p>
        </w:tc>
        <w:tc>
          <w:tcPr>
            <w:tcW w:w="551" w:type="pct"/>
            <w:tcBorders>
              <w:top w:val="single" w:sz="4" w:space="0" w:color="auto"/>
              <w:left w:val="single" w:sz="4" w:space="0" w:color="auto"/>
              <w:bottom w:val="single" w:sz="4" w:space="0" w:color="auto"/>
              <w:right w:val="single" w:sz="4" w:space="0" w:color="auto"/>
            </w:tcBorders>
            <w:hideMark/>
          </w:tcPr>
          <w:p w14:paraId="6CB4CB95" w14:textId="77777777" w:rsidR="00582EF9" w:rsidRPr="009C2D22" w:rsidRDefault="00582EF9" w:rsidP="002E3625">
            <w:pPr>
              <w:spacing w:before="60" w:after="60"/>
              <w:rPr>
                <w:sz w:val="20"/>
                <w:lang w:eastAsia="da-DK"/>
              </w:rPr>
            </w:pPr>
            <w:r w:rsidRPr="009C2D22">
              <w:rPr>
                <w:sz w:val="20"/>
                <w:lang w:eastAsia="da-DK"/>
              </w:rPr>
              <w:t>Agranulo</w:t>
            </w:r>
            <w:r w:rsidRPr="009C2D22">
              <w:rPr>
                <w:sz w:val="20"/>
                <w:lang w:eastAsia="da-DK"/>
              </w:rPr>
              <w:softHyphen/>
              <w:t>cytose</w:t>
            </w:r>
            <w:r w:rsidRPr="009C2D22">
              <w:rPr>
                <w:sz w:val="20"/>
                <w:vertAlign w:val="superscript"/>
                <w:lang w:eastAsia="da-DK"/>
              </w:rPr>
              <w:t>26</w:t>
            </w:r>
          </w:p>
        </w:tc>
        <w:tc>
          <w:tcPr>
            <w:tcW w:w="741" w:type="pct"/>
            <w:tcBorders>
              <w:top w:val="single" w:sz="4" w:space="0" w:color="auto"/>
              <w:left w:val="single" w:sz="4" w:space="0" w:color="auto"/>
              <w:bottom w:val="single" w:sz="4" w:space="0" w:color="auto"/>
              <w:right w:val="single" w:sz="4" w:space="0" w:color="auto"/>
            </w:tcBorders>
          </w:tcPr>
          <w:p w14:paraId="6EF30D42" w14:textId="77777777" w:rsidR="00582EF9" w:rsidRPr="009C2D22" w:rsidRDefault="00582EF9" w:rsidP="002E3625">
            <w:pPr>
              <w:spacing w:before="60" w:after="60"/>
              <w:rPr>
                <w:i/>
                <w:iCs/>
                <w:sz w:val="20"/>
                <w:lang w:eastAsia="da-DK"/>
              </w:rPr>
            </w:pPr>
          </w:p>
        </w:tc>
        <w:tc>
          <w:tcPr>
            <w:tcW w:w="577" w:type="pct"/>
            <w:tcBorders>
              <w:top w:val="single" w:sz="4" w:space="0" w:color="auto"/>
              <w:left w:val="single" w:sz="4" w:space="0" w:color="auto"/>
              <w:bottom w:val="single" w:sz="4" w:space="0" w:color="auto"/>
              <w:right w:val="single" w:sz="4" w:space="0" w:color="auto"/>
            </w:tcBorders>
          </w:tcPr>
          <w:p w14:paraId="7D50A02C" w14:textId="77777777" w:rsidR="00582EF9" w:rsidRPr="009C2D22" w:rsidRDefault="00582EF9" w:rsidP="002E3625">
            <w:pPr>
              <w:spacing w:before="60" w:after="60"/>
              <w:rPr>
                <w:sz w:val="20"/>
                <w:lang w:eastAsia="da-DK"/>
              </w:rPr>
            </w:pPr>
          </w:p>
        </w:tc>
      </w:tr>
      <w:tr w:rsidR="00AD2389" w:rsidRPr="009C2D22" w14:paraId="095353EB"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24805791" w14:textId="77777777" w:rsidR="00582EF9" w:rsidRPr="009C2D22" w:rsidRDefault="00582EF9" w:rsidP="002E3625">
            <w:pPr>
              <w:spacing w:before="60" w:after="60"/>
              <w:rPr>
                <w:sz w:val="20"/>
                <w:lang w:eastAsia="da-DK"/>
              </w:rPr>
            </w:pPr>
            <w:r w:rsidRPr="009C2D22">
              <w:rPr>
                <w:i/>
                <w:sz w:val="20"/>
                <w:lang w:eastAsia="da-DK"/>
              </w:rPr>
              <w:t>Immunsystemet</w:t>
            </w:r>
          </w:p>
        </w:tc>
        <w:tc>
          <w:tcPr>
            <w:tcW w:w="886" w:type="pct"/>
            <w:tcBorders>
              <w:top w:val="single" w:sz="4" w:space="0" w:color="auto"/>
              <w:left w:val="single" w:sz="4" w:space="0" w:color="auto"/>
              <w:bottom w:val="single" w:sz="4" w:space="0" w:color="auto"/>
              <w:right w:val="single" w:sz="4" w:space="0" w:color="auto"/>
            </w:tcBorders>
          </w:tcPr>
          <w:p w14:paraId="6AAC0F5E" w14:textId="77777777" w:rsidR="00582EF9" w:rsidRPr="009C2D22" w:rsidRDefault="00582EF9" w:rsidP="002E3625">
            <w:pPr>
              <w:spacing w:before="60" w:after="60"/>
              <w:rPr>
                <w:i/>
                <w:iCs/>
                <w:sz w:val="20"/>
                <w:lang w:eastAsia="da-DK"/>
              </w:rPr>
            </w:pPr>
          </w:p>
        </w:tc>
        <w:tc>
          <w:tcPr>
            <w:tcW w:w="755" w:type="pct"/>
            <w:tcBorders>
              <w:top w:val="single" w:sz="4" w:space="0" w:color="auto"/>
              <w:left w:val="single" w:sz="4" w:space="0" w:color="auto"/>
              <w:bottom w:val="single" w:sz="4" w:space="0" w:color="auto"/>
              <w:right w:val="single" w:sz="4" w:space="0" w:color="auto"/>
            </w:tcBorders>
          </w:tcPr>
          <w:p w14:paraId="65D6841B" w14:textId="77777777" w:rsidR="00582EF9" w:rsidRPr="009C2D22" w:rsidRDefault="00582EF9" w:rsidP="002E3625">
            <w:pPr>
              <w:spacing w:before="60" w:after="60"/>
              <w:rPr>
                <w:i/>
                <w:iCs/>
                <w:sz w:val="20"/>
                <w:lang w:eastAsia="da-DK"/>
              </w:rPr>
            </w:pPr>
          </w:p>
        </w:tc>
        <w:tc>
          <w:tcPr>
            <w:tcW w:w="778" w:type="pct"/>
            <w:tcBorders>
              <w:top w:val="single" w:sz="4" w:space="0" w:color="auto"/>
              <w:left w:val="single" w:sz="4" w:space="0" w:color="auto"/>
              <w:bottom w:val="single" w:sz="4" w:space="0" w:color="auto"/>
              <w:right w:val="single" w:sz="4" w:space="0" w:color="auto"/>
            </w:tcBorders>
            <w:hideMark/>
          </w:tcPr>
          <w:p w14:paraId="7196DC6B" w14:textId="6D656A61" w:rsidR="00582EF9" w:rsidRPr="009C2D22" w:rsidRDefault="00582EF9" w:rsidP="002E3625">
            <w:pPr>
              <w:spacing w:before="60" w:after="60"/>
              <w:rPr>
                <w:sz w:val="20"/>
                <w:lang w:eastAsia="da-DK"/>
              </w:rPr>
            </w:pPr>
            <w:r w:rsidRPr="009C2D22">
              <w:rPr>
                <w:sz w:val="20"/>
                <w:lang w:eastAsia="da-DK"/>
              </w:rPr>
              <w:t>Overfølsomhed (inklusive allergiske hudreaktion</w:t>
            </w:r>
            <w:r w:rsidRPr="009C2D22">
              <w:rPr>
                <w:sz w:val="20"/>
                <w:lang w:eastAsia="da-DK"/>
              </w:rPr>
              <w:softHyphen/>
              <w:t>er)</w:t>
            </w:r>
          </w:p>
        </w:tc>
        <w:tc>
          <w:tcPr>
            <w:tcW w:w="551" w:type="pct"/>
            <w:tcBorders>
              <w:top w:val="single" w:sz="4" w:space="0" w:color="auto"/>
              <w:left w:val="single" w:sz="4" w:space="0" w:color="auto"/>
              <w:bottom w:val="single" w:sz="4" w:space="0" w:color="auto"/>
              <w:right w:val="single" w:sz="4" w:space="0" w:color="auto"/>
            </w:tcBorders>
          </w:tcPr>
          <w:p w14:paraId="4392E231" w14:textId="77777777" w:rsidR="00582EF9" w:rsidRPr="009C2D22" w:rsidRDefault="00582EF9" w:rsidP="002E3625">
            <w:pPr>
              <w:spacing w:before="60" w:after="60"/>
              <w:rPr>
                <w:i/>
                <w:iCs/>
                <w:sz w:val="20"/>
                <w:lang w:eastAsia="da-DK"/>
              </w:rPr>
            </w:pPr>
          </w:p>
        </w:tc>
        <w:tc>
          <w:tcPr>
            <w:tcW w:w="741" w:type="pct"/>
            <w:tcBorders>
              <w:top w:val="single" w:sz="4" w:space="0" w:color="auto"/>
              <w:left w:val="single" w:sz="4" w:space="0" w:color="auto"/>
              <w:bottom w:val="single" w:sz="4" w:space="0" w:color="auto"/>
              <w:right w:val="single" w:sz="4" w:space="0" w:color="auto"/>
            </w:tcBorders>
            <w:hideMark/>
          </w:tcPr>
          <w:p w14:paraId="74FC4C3C" w14:textId="77777777" w:rsidR="00582EF9" w:rsidRPr="009C2D22" w:rsidRDefault="00582EF9" w:rsidP="002E3625">
            <w:pPr>
              <w:spacing w:before="60" w:after="60"/>
              <w:rPr>
                <w:sz w:val="20"/>
                <w:lang w:eastAsia="da-DK"/>
              </w:rPr>
            </w:pPr>
            <w:r w:rsidRPr="009C2D22">
              <w:rPr>
                <w:sz w:val="20"/>
                <w:lang w:eastAsia="da-DK"/>
              </w:rPr>
              <w:t>Anafylaktisk reaktion</w:t>
            </w:r>
            <w:r w:rsidRPr="009C2D22">
              <w:rPr>
                <w:sz w:val="20"/>
                <w:vertAlign w:val="superscript"/>
                <w:lang w:eastAsia="da-DK"/>
              </w:rPr>
              <w:t>5</w:t>
            </w:r>
          </w:p>
        </w:tc>
        <w:tc>
          <w:tcPr>
            <w:tcW w:w="577" w:type="pct"/>
            <w:tcBorders>
              <w:top w:val="single" w:sz="4" w:space="0" w:color="auto"/>
              <w:left w:val="single" w:sz="4" w:space="0" w:color="auto"/>
              <w:bottom w:val="single" w:sz="4" w:space="0" w:color="auto"/>
              <w:right w:val="single" w:sz="4" w:space="0" w:color="auto"/>
            </w:tcBorders>
          </w:tcPr>
          <w:p w14:paraId="0E05A338" w14:textId="77777777" w:rsidR="00582EF9" w:rsidRPr="009C2D22" w:rsidRDefault="00582EF9" w:rsidP="002E3625">
            <w:pPr>
              <w:spacing w:before="60" w:after="60"/>
              <w:rPr>
                <w:i/>
                <w:iCs/>
                <w:sz w:val="20"/>
                <w:lang w:eastAsia="da-DK"/>
              </w:rPr>
            </w:pPr>
          </w:p>
        </w:tc>
      </w:tr>
      <w:tr w:rsidR="00AD2389" w:rsidRPr="009C2D22" w14:paraId="402C6487"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5CC7172A" w14:textId="77777777" w:rsidR="00582EF9" w:rsidRPr="009C2D22" w:rsidRDefault="00582EF9" w:rsidP="002E3625">
            <w:pPr>
              <w:spacing w:before="60" w:after="60"/>
              <w:rPr>
                <w:sz w:val="20"/>
                <w:lang w:eastAsia="da-DK"/>
              </w:rPr>
            </w:pPr>
            <w:r w:rsidRPr="009C2D22">
              <w:rPr>
                <w:i/>
                <w:sz w:val="20"/>
                <w:lang w:eastAsia="da-DK"/>
              </w:rPr>
              <w:t>Det endokrine system</w:t>
            </w:r>
          </w:p>
        </w:tc>
        <w:tc>
          <w:tcPr>
            <w:tcW w:w="886" w:type="pct"/>
            <w:tcBorders>
              <w:top w:val="single" w:sz="4" w:space="0" w:color="auto"/>
              <w:left w:val="single" w:sz="4" w:space="0" w:color="auto"/>
              <w:bottom w:val="single" w:sz="4" w:space="0" w:color="auto"/>
              <w:right w:val="single" w:sz="4" w:space="0" w:color="auto"/>
            </w:tcBorders>
          </w:tcPr>
          <w:p w14:paraId="5CD09A52" w14:textId="77777777" w:rsidR="00582EF9" w:rsidRPr="009C2D22" w:rsidRDefault="00582EF9" w:rsidP="002E3625">
            <w:pPr>
              <w:spacing w:before="60" w:after="60"/>
              <w:rPr>
                <w:i/>
                <w:iCs/>
                <w:sz w:val="20"/>
                <w:lang w:eastAsia="da-DK"/>
              </w:rPr>
            </w:pPr>
          </w:p>
        </w:tc>
        <w:tc>
          <w:tcPr>
            <w:tcW w:w="755" w:type="pct"/>
            <w:tcBorders>
              <w:top w:val="single" w:sz="4" w:space="0" w:color="auto"/>
              <w:left w:val="single" w:sz="4" w:space="0" w:color="auto"/>
              <w:bottom w:val="single" w:sz="4" w:space="0" w:color="auto"/>
              <w:right w:val="single" w:sz="4" w:space="0" w:color="auto"/>
            </w:tcBorders>
            <w:hideMark/>
          </w:tcPr>
          <w:p w14:paraId="49BD237D" w14:textId="77777777" w:rsidR="00582EF9" w:rsidRPr="009C2D22" w:rsidRDefault="00582EF9" w:rsidP="002E3625">
            <w:pPr>
              <w:spacing w:before="60" w:after="60"/>
              <w:rPr>
                <w:sz w:val="20"/>
                <w:lang w:eastAsia="da-DK"/>
              </w:rPr>
            </w:pPr>
            <w:r w:rsidRPr="009C2D22">
              <w:rPr>
                <w:sz w:val="20"/>
                <w:lang w:eastAsia="da-DK"/>
              </w:rPr>
              <w:t>Hyperprolak-tinæmi</w:t>
            </w:r>
            <w:r w:rsidRPr="009C2D22">
              <w:rPr>
                <w:sz w:val="20"/>
                <w:vertAlign w:val="superscript"/>
                <w:lang w:eastAsia="da-DK"/>
              </w:rPr>
              <w:t>15</w:t>
            </w:r>
            <w:r w:rsidRPr="009C2D22">
              <w:rPr>
                <w:sz w:val="20"/>
                <w:lang w:eastAsia="da-DK"/>
              </w:rPr>
              <w:t>, fald i totalt T</w:t>
            </w:r>
            <w:r w:rsidRPr="009C2D22">
              <w:rPr>
                <w:sz w:val="20"/>
                <w:vertAlign w:val="subscript"/>
                <w:lang w:eastAsia="da-DK"/>
              </w:rPr>
              <w:t>4</w:t>
            </w:r>
            <w:r w:rsidRPr="009C2D22">
              <w:rPr>
                <w:sz w:val="20"/>
                <w:vertAlign w:val="superscript"/>
                <w:lang w:eastAsia="da-DK"/>
              </w:rPr>
              <w:t>24</w:t>
            </w:r>
            <w:r w:rsidRPr="009C2D22">
              <w:rPr>
                <w:sz w:val="20"/>
                <w:lang w:eastAsia="da-DK"/>
              </w:rPr>
              <w:t>, fald i frit T</w:t>
            </w:r>
            <w:r w:rsidRPr="009C2D22">
              <w:rPr>
                <w:sz w:val="20"/>
                <w:vertAlign w:val="subscript"/>
                <w:lang w:eastAsia="da-DK"/>
              </w:rPr>
              <w:t>4</w:t>
            </w:r>
            <w:r w:rsidRPr="009C2D22">
              <w:rPr>
                <w:sz w:val="20"/>
                <w:vertAlign w:val="superscript"/>
                <w:lang w:eastAsia="da-DK"/>
              </w:rPr>
              <w:t>24</w:t>
            </w:r>
            <w:r w:rsidRPr="009C2D22">
              <w:rPr>
                <w:sz w:val="20"/>
                <w:lang w:eastAsia="da-DK"/>
              </w:rPr>
              <w:t>, fald i totalt T</w:t>
            </w:r>
            <w:r w:rsidRPr="009C2D22">
              <w:rPr>
                <w:sz w:val="20"/>
                <w:vertAlign w:val="subscript"/>
                <w:lang w:eastAsia="da-DK"/>
              </w:rPr>
              <w:t>3</w:t>
            </w:r>
            <w:r w:rsidRPr="009C2D22">
              <w:rPr>
                <w:sz w:val="20"/>
                <w:vertAlign w:val="superscript"/>
                <w:lang w:eastAsia="da-DK"/>
              </w:rPr>
              <w:t>24</w:t>
            </w:r>
            <w:r w:rsidRPr="009C2D22">
              <w:rPr>
                <w:sz w:val="20"/>
                <w:lang w:eastAsia="da-DK"/>
              </w:rPr>
              <w:t>, stigning i TSH</w:t>
            </w:r>
            <w:r w:rsidRPr="009C2D22">
              <w:rPr>
                <w:sz w:val="20"/>
                <w:vertAlign w:val="superscript"/>
                <w:lang w:eastAsia="da-DK"/>
              </w:rPr>
              <w:t>24</w:t>
            </w:r>
          </w:p>
        </w:tc>
        <w:tc>
          <w:tcPr>
            <w:tcW w:w="778" w:type="pct"/>
            <w:tcBorders>
              <w:top w:val="single" w:sz="4" w:space="0" w:color="auto"/>
              <w:left w:val="single" w:sz="4" w:space="0" w:color="auto"/>
              <w:bottom w:val="single" w:sz="4" w:space="0" w:color="auto"/>
              <w:right w:val="single" w:sz="4" w:space="0" w:color="auto"/>
            </w:tcBorders>
            <w:hideMark/>
          </w:tcPr>
          <w:p w14:paraId="78075B3B" w14:textId="77777777" w:rsidR="00582EF9" w:rsidRPr="009C2D22" w:rsidRDefault="00582EF9" w:rsidP="002E3625">
            <w:pPr>
              <w:spacing w:before="60" w:after="60"/>
              <w:rPr>
                <w:sz w:val="20"/>
                <w:lang w:eastAsia="da-DK"/>
              </w:rPr>
            </w:pPr>
            <w:r w:rsidRPr="009C2D22">
              <w:rPr>
                <w:sz w:val="20"/>
                <w:lang w:eastAsia="da-DK"/>
              </w:rPr>
              <w:t>Fald i frit T</w:t>
            </w:r>
            <w:r w:rsidRPr="009C2D22">
              <w:rPr>
                <w:sz w:val="20"/>
                <w:vertAlign w:val="subscript"/>
                <w:lang w:eastAsia="da-DK"/>
              </w:rPr>
              <w:t>3</w:t>
            </w:r>
            <w:r w:rsidRPr="009C2D22">
              <w:rPr>
                <w:sz w:val="20"/>
                <w:vertAlign w:val="superscript"/>
                <w:lang w:eastAsia="da-DK"/>
              </w:rPr>
              <w:t>24</w:t>
            </w:r>
            <w:r w:rsidRPr="009C2D22">
              <w:rPr>
                <w:sz w:val="20"/>
                <w:lang w:eastAsia="da-DK"/>
              </w:rPr>
              <w:t>,</w:t>
            </w:r>
            <w:r w:rsidRPr="009C2D22">
              <w:rPr>
                <w:sz w:val="20"/>
                <w:vertAlign w:val="superscript"/>
                <w:lang w:eastAsia="da-DK"/>
              </w:rPr>
              <w:t xml:space="preserve"> </w:t>
            </w:r>
            <w:r w:rsidRPr="009C2D22">
              <w:rPr>
                <w:sz w:val="20"/>
                <w:lang w:eastAsia="da-DK"/>
              </w:rPr>
              <w:t>hypotyreoi-disme</w:t>
            </w:r>
            <w:r w:rsidRPr="009C2D22">
              <w:rPr>
                <w:sz w:val="20"/>
                <w:vertAlign w:val="superscript"/>
                <w:lang w:eastAsia="da-DK"/>
              </w:rPr>
              <w:t>21</w:t>
            </w:r>
          </w:p>
        </w:tc>
        <w:tc>
          <w:tcPr>
            <w:tcW w:w="551" w:type="pct"/>
            <w:tcBorders>
              <w:top w:val="single" w:sz="4" w:space="0" w:color="auto"/>
              <w:left w:val="single" w:sz="4" w:space="0" w:color="auto"/>
              <w:bottom w:val="single" w:sz="4" w:space="0" w:color="auto"/>
              <w:right w:val="single" w:sz="4" w:space="0" w:color="auto"/>
            </w:tcBorders>
          </w:tcPr>
          <w:p w14:paraId="4D43EB0E" w14:textId="77777777" w:rsidR="00582EF9" w:rsidRPr="009C2D22" w:rsidRDefault="00582EF9" w:rsidP="002E3625">
            <w:pPr>
              <w:spacing w:before="60" w:after="60"/>
              <w:rPr>
                <w:i/>
                <w:iCs/>
                <w:sz w:val="20"/>
                <w:lang w:eastAsia="da-DK"/>
              </w:rPr>
            </w:pPr>
          </w:p>
        </w:tc>
        <w:tc>
          <w:tcPr>
            <w:tcW w:w="741" w:type="pct"/>
            <w:tcBorders>
              <w:top w:val="single" w:sz="4" w:space="0" w:color="auto"/>
              <w:left w:val="single" w:sz="4" w:space="0" w:color="auto"/>
              <w:bottom w:val="single" w:sz="4" w:space="0" w:color="auto"/>
              <w:right w:val="single" w:sz="4" w:space="0" w:color="auto"/>
            </w:tcBorders>
            <w:hideMark/>
          </w:tcPr>
          <w:p w14:paraId="419D6568" w14:textId="66AF0BE3" w:rsidR="00582EF9" w:rsidRPr="009C2D22" w:rsidRDefault="00582EF9" w:rsidP="002E3625">
            <w:pPr>
              <w:spacing w:before="60" w:after="60"/>
              <w:rPr>
                <w:sz w:val="20"/>
                <w:lang w:eastAsia="da-DK"/>
              </w:rPr>
            </w:pPr>
            <w:r w:rsidRPr="009C2D22">
              <w:rPr>
                <w:sz w:val="20"/>
                <w:lang w:eastAsia="da-DK"/>
              </w:rPr>
              <w:t>Uhensigtsmæs</w:t>
            </w:r>
            <w:r w:rsidR="00AD2389">
              <w:rPr>
                <w:sz w:val="20"/>
                <w:lang w:eastAsia="da-DK"/>
              </w:rPr>
              <w:softHyphen/>
            </w:r>
            <w:r w:rsidRPr="009C2D22">
              <w:rPr>
                <w:sz w:val="20"/>
                <w:lang w:eastAsia="da-DK"/>
              </w:rPr>
              <w:t>sig sekretion af antidiuretisk hormon</w:t>
            </w:r>
          </w:p>
        </w:tc>
        <w:tc>
          <w:tcPr>
            <w:tcW w:w="577" w:type="pct"/>
            <w:tcBorders>
              <w:top w:val="single" w:sz="4" w:space="0" w:color="auto"/>
              <w:left w:val="single" w:sz="4" w:space="0" w:color="auto"/>
              <w:bottom w:val="single" w:sz="4" w:space="0" w:color="auto"/>
              <w:right w:val="single" w:sz="4" w:space="0" w:color="auto"/>
            </w:tcBorders>
          </w:tcPr>
          <w:p w14:paraId="4E482125" w14:textId="77777777" w:rsidR="00582EF9" w:rsidRPr="009C2D22" w:rsidRDefault="00582EF9" w:rsidP="002E3625">
            <w:pPr>
              <w:spacing w:before="60" w:after="60"/>
              <w:rPr>
                <w:i/>
                <w:iCs/>
                <w:sz w:val="20"/>
                <w:lang w:eastAsia="da-DK"/>
              </w:rPr>
            </w:pPr>
          </w:p>
        </w:tc>
      </w:tr>
      <w:tr w:rsidR="00AD2389" w:rsidRPr="009C2D22" w14:paraId="5B617073"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021971F4" w14:textId="77777777" w:rsidR="00582EF9" w:rsidRPr="009C2D22" w:rsidRDefault="00582EF9" w:rsidP="002E3625">
            <w:pPr>
              <w:spacing w:before="60" w:after="60"/>
              <w:rPr>
                <w:sz w:val="20"/>
                <w:lang w:eastAsia="da-DK"/>
              </w:rPr>
            </w:pPr>
            <w:r w:rsidRPr="009C2D22">
              <w:rPr>
                <w:i/>
                <w:sz w:val="20"/>
                <w:lang w:eastAsia="da-DK"/>
              </w:rPr>
              <w:lastRenderedPageBreak/>
              <w:t>Metabolisme og ernæring</w:t>
            </w:r>
          </w:p>
        </w:tc>
        <w:tc>
          <w:tcPr>
            <w:tcW w:w="886" w:type="pct"/>
            <w:tcBorders>
              <w:top w:val="single" w:sz="4" w:space="0" w:color="auto"/>
              <w:left w:val="single" w:sz="4" w:space="0" w:color="auto"/>
              <w:bottom w:val="single" w:sz="4" w:space="0" w:color="auto"/>
              <w:right w:val="single" w:sz="4" w:space="0" w:color="auto"/>
            </w:tcBorders>
          </w:tcPr>
          <w:p w14:paraId="25354820" w14:textId="04AF50D1" w:rsidR="00582EF9" w:rsidRPr="009C2D22" w:rsidRDefault="00582EF9" w:rsidP="002E3625">
            <w:pPr>
              <w:spacing w:before="60" w:after="60"/>
              <w:rPr>
                <w:sz w:val="20"/>
                <w:vertAlign w:val="superscript"/>
                <w:lang w:eastAsia="da-DK"/>
              </w:rPr>
            </w:pPr>
            <w:r w:rsidRPr="009C2D22">
              <w:rPr>
                <w:sz w:val="20"/>
                <w:lang w:eastAsia="da-DK"/>
              </w:rPr>
              <w:t>Stigning i serumtriglyceri</w:t>
            </w:r>
            <w:r w:rsidR="00AD2389">
              <w:rPr>
                <w:sz w:val="20"/>
                <w:lang w:eastAsia="da-DK"/>
              </w:rPr>
              <w:softHyphen/>
            </w:r>
            <w:r w:rsidRPr="009C2D22">
              <w:rPr>
                <w:sz w:val="20"/>
                <w:lang w:eastAsia="da-DK"/>
              </w:rPr>
              <w:t>der</w:t>
            </w:r>
            <w:r w:rsidRPr="009C2D22">
              <w:rPr>
                <w:sz w:val="20"/>
                <w:vertAlign w:val="superscript"/>
                <w:lang w:eastAsia="da-DK"/>
              </w:rPr>
              <w:t>10,30</w:t>
            </w:r>
            <w:r w:rsidRPr="009C2D22">
              <w:rPr>
                <w:sz w:val="20"/>
                <w:lang w:eastAsia="da-DK"/>
              </w:rPr>
              <w:t>, stigninger i totalkolesterol (primært LDL-kolesterol)</w:t>
            </w:r>
            <w:r w:rsidRPr="009C2D22">
              <w:rPr>
                <w:sz w:val="20"/>
                <w:vertAlign w:val="superscript"/>
                <w:lang w:eastAsia="da-DK"/>
              </w:rPr>
              <w:t>11,30</w:t>
            </w:r>
            <w:r w:rsidRPr="009C2D22">
              <w:rPr>
                <w:sz w:val="20"/>
                <w:lang w:eastAsia="da-DK"/>
              </w:rPr>
              <w:t>, fald i HDL-koleste</w:t>
            </w:r>
            <w:r w:rsidR="00AD2389">
              <w:rPr>
                <w:sz w:val="20"/>
                <w:lang w:eastAsia="da-DK"/>
              </w:rPr>
              <w:softHyphen/>
            </w:r>
            <w:r w:rsidRPr="009C2D22">
              <w:rPr>
                <w:sz w:val="20"/>
                <w:lang w:eastAsia="da-DK"/>
              </w:rPr>
              <w:t>rol</w:t>
            </w:r>
            <w:r w:rsidRPr="009C2D22">
              <w:rPr>
                <w:sz w:val="20"/>
                <w:vertAlign w:val="superscript"/>
                <w:lang w:eastAsia="da-DK"/>
              </w:rPr>
              <w:t>17,30</w:t>
            </w:r>
            <w:r w:rsidRPr="009C2D22">
              <w:rPr>
                <w:sz w:val="20"/>
                <w:lang w:eastAsia="da-DK"/>
              </w:rPr>
              <w:t>, Vægtstigning</w:t>
            </w:r>
            <w:r w:rsidRPr="009C2D22">
              <w:rPr>
                <w:sz w:val="20"/>
                <w:vertAlign w:val="superscript"/>
                <w:lang w:eastAsia="da-DK"/>
              </w:rPr>
              <w:t>8,30</w:t>
            </w:r>
          </w:p>
          <w:p w14:paraId="081CCD18" w14:textId="77777777" w:rsidR="00582EF9" w:rsidRPr="009C2D22" w:rsidRDefault="00582EF9" w:rsidP="002E3625">
            <w:pPr>
              <w:spacing w:before="60" w:after="60"/>
              <w:rPr>
                <w:sz w:val="20"/>
                <w:vertAlign w:val="superscript"/>
                <w:lang w:eastAsia="da-DK"/>
              </w:rPr>
            </w:pPr>
          </w:p>
          <w:p w14:paraId="53F4D78D" w14:textId="77777777" w:rsidR="00582EF9" w:rsidRPr="009C2D22" w:rsidRDefault="00582EF9" w:rsidP="002E3625">
            <w:pPr>
              <w:spacing w:before="60" w:after="60"/>
              <w:rPr>
                <w:i/>
                <w:iCs/>
                <w:sz w:val="20"/>
                <w:lang w:eastAsia="da-DK"/>
              </w:rPr>
            </w:pPr>
          </w:p>
        </w:tc>
        <w:tc>
          <w:tcPr>
            <w:tcW w:w="755" w:type="pct"/>
            <w:tcBorders>
              <w:top w:val="single" w:sz="4" w:space="0" w:color="auto"/>
              <w:left w:val="single" w:sz="4" w:space="0" w:color="auto"/>
              <w:bottom w:val="single" w:sz="4" w:space="0" w:color="auto"/>
              <w:right w:val="single" w:sz="4" w:space="0" w:color="auto"/>
            </w:tcBorders>
            <w:hideMark/>
          </w:tcPr>
          <w:p w14:paraId="72FE2126" w14:textId="77777777" w:rsidR="00582EF9" w:rsidRPr="009C2D22" w:rsidRDefault="00582EF9" w:rsidP="002E3625">
            <w:pPr>
              <w:spacing w:before="60" w:after="60"/>
              <w:rPr>
                <w:sz w:val="20"/>
                <w:lang w:eastAsia="da-DK"/>
              </w:rPr>
            </w:pPr>
            <w:r w:rsidRPr="009C2D22">
              <w:rPr>
                <w:sz w:val="20"/>
                <w:lang w:eastAsia="da-DK"/>
              </w:rPr>
              <w:t>Øget appetit, blodglucose-stigning til hyperglykæ-miske niveauer</w:t>
            </w:r>
            <w:r w:rsidRPr="009C2D22">
              <w:rPr>
                <w:sz w:val="20"/>
                <w:vertAlign w:val="superscript"/>
                <w:lang w:eastAsia="da-DK"/>
              </w:rPr>
              <w:t>6,30</w:t>
            </w:r>
          </w:p>
        </w:tc>
        <w:tc>
          <w:tcPr>
            <w:tcW w:w="778" w:type="pct"/>
            <w:tcBorders>
              <w:top w:val="single" w:sz="4" w:space="0" w:color="auto"/>
              <w:left w:val="single" w:sz="4" w:space="0" w:color="auto"/>
              <w:bottom w:val="single" w:sz="4" w:space="0" w:color="auto"/>
              <w:right w:val="single" w:sz="4" w:space="0" w:color="auto"/>
            </w:tcBorders>
            <w:hideMark/>
          </w:tcPr>
          <w:p w14:paraId="1A4AA259" w14:textId="77777777" w:rsidR="00582EF9" w:rsidRPr="009C2D22" w:rsidRDefault="00582EF9" w:rsidP="002E3625">
            <w:pPr>
              <w:spacing w:before="60" w:after="60"/>
              <w:rPr>
                <w:sz w:val="20"/>
                <w:lang w:eastAsia="da-DK"/>
              </w:rPr>
            </w:pPr>
            <w:r w:rsidRPr="009C2D22">
              <w:rPr>
                <w:sz w:val="20"/>
                <w:lang w:eastAsia="da-DK"/>
              </w:rPr>
              <w:t>Hyponatriæ-mia</w:t>
            </w:r>
            <w:r w:rsidRPr="009C2D22">
              <w:rPr>
                <w:sz w:val="20"/>
                <w:vertAlign w:val="superscript"/>
                <w:lang w:eastAsia="da-DK"/>
              </w:rPr>
              <w:t>19</w:t>
            </w:r>
            <w:r w:rsidRPr="009C2D22">
              <w:rPr>
                <w:sz w:val="20"/>
                <w:lang w:eastAsia="da-DK"/>
              </w:rPr>
              <w:t>,</w:t>
            </w:r>
            <w:r w:rsidRPr="009C2D22">
              <w:rPr>
                <w:sz w:val="20"/>
                <w:vertAlign w:val="superscript"/>
                <w:lang w:eastAsia="da-DK"/>
              </w:rPr>
              <w:t xml:space="preserve"> </w:t>
            </w:r>
            <w:r w:rsidRPr="009C2D22">
              <w:rPr>
                <w:sz w:val="20"/>
                <w:lang w:eastAsia="da-DK"/>
              </w:rPr>
              <w:t>diabetes mellitus</w:t>
            </w:r>
            <w:r w:rsidRPr="009C2D22">
              <w:rPr>
                <w:sz w:val="20"/>
                <w:vertAlign w:val="superscript"/>
                <w:lang w:eastAsia="da-DK"/>
              </w:rPr>
              <w:t>1,5</w:t>
            </w:r>
            <w:r w:rsidRPr="009C2D22">
              <w:rPr>
                <w:iCs/>
                <w:sz w:val="20"/>
                <w:lang w:eastAsia="da-DK"/>
              </w:rPr>
              <w:t>, forværring af eksisterende diabetes</w:t>
            </w:r>
          </w:p>
        </w:tc>
        <w:tc>
          <w:tcPr>
            <w:tcW w:w="551" w:type="pct"/>
            <w:tcBorders>
              <w:top w:val="single" w:sz="4" w:space="0" w:color="auto"/>
              <w:left w:val="single" w:sz="4" w:space="0" w:color="auto"/>
              <w:bottom w:val="single" w:sz="4" w:space="0" w:color="auto"/>
              <w:right w:val="single" w:sz="4" w:space="0" w:color="auto"/>
            </w:tcBorders>
            <w:hideMark/>
          </w:tcPr>
          <w:p w14:paraId="3C42E768" w14:textId="77777777" w:rsidR="00582EF9" w:rsidRPr="009C2D22" w:rsidRDefault="00582EF9" w:rsidP="002E3625">
            <w:pPr>
              <w:spacing w:before="60" w:after="60"/>
              <w:rPr>
                <w:sz w:val="20"/>
                <w:lang w:eastAsia="da-DK"/>
              </w:rPr>
            </w:pPr>
            <w:r w:rsidRPr="009C2D22">
              <w:rPr>
                <w:sz w:val="20"/>
                <w:lang w:eastAsia="da-DK"/>
              </w:rPr>
              <w:t xml:space="preserve">Metabolisk syndrom </w:t>
            </w:r>
            <w:r w:rsidRPr="009C2D22">
              <w:rPr>
                <w:sz w:val="20"/>
                <w:vertAlign w:val="superscript"/>
                <w:lang w:eastAsia="da-DK"/>
              </w:rPr>
              <w:t>29</w:t>
            </w:r>
          </w:p>
        </w:tc>
        <w:tc>
          <w:tcPr>
            <w:tcW w:w="741" w:type="pct"/>
            <w:tcBorders>
              <w:top w:val="single" w:sz="4" w:space="0" w:color="auto"/>
              <w:left w:val="single" w:sz="4" w:space="0" w:color="auto"/>
              <w:bottom w:val="single" w:sz="4" w:space="0" w:color="auto"/>
              <w:right w:val="single" w:sz="4" w:space="0" w:color="auto"/>
            </w:tcBorders>
          </w:tcPr>
          <w:p w14:paraId="6DB447A9" w14:textId="77777777" w:rsidR="00582EF9" w:rsidRPr="009C2D22" w:rsidRDefault="00582EF9" w:rsidP="002E3625">
            <w:pPr>
              <w:spacing w:before="60" w:after="60"/>
              <w:rPr>
                <w:iCs/>
                <w:sz w:val="20"/>
                <w:lang w:eastAsia="da-DK"/>
              </w:rPr>
            </w:pPr>
          </w:p>
        </w:tc>
        <w:tc>
          <w:tcPr>
            <w:tcW w:w="577" w:type="pct"/>
            <w:tcBorders>
              <w:top w:val="single" w:sz="4" w:space="0" w:color="auto"/>
              <w:left w:val="single" w:sz="4" w:space="0" w:color="auto"/>
              <w:bottom w:val="single" w:sz="4" w:space="0" w:color="auto"/>
              <w:right w:val="single" w:sz="4" w:space="0" w:color="auto"/>
            </w:tcBorders>
          </w:tcPr>
          <w:p w14:paraId="382E1827" w14:textId="77777777" w:rsidR="00582EF9" w:rsidRPr="009C2D22" w:rsidRDefault="00582EF9" w:rsidP="002E3625">
            <w:pPr>
              <w:spacing w:before="60" w:after="60"/>
              <w:rPr>
                <w:i/>
                <w:iCs/>
                <w:sz w:val="20"/>
                <w:lang w:eastAsia="da-DK"/>
              </w:rPr>
            </w:pPr>
          </w:p>
        </w:tc>
      </w:tr>
      <w:tr w:rsidR="00AD2389" w:rsidRPr="009C2D22" w14:paraId="5FA7524B" w14:textId="77777777" w:rsidTr="00AD2389">
        <w:trPr>
          <w:cantSplit/>
          <w:trHeight w:val="1838"/>
        </w:trPr>
        <w:tc>
          <w:tcPr>
            <w:tcW w:w="712" w:type="pct"/>
            <w:tcBorders>
              <w:top w:val="single" w:sz="4" w:space="0" w:color="auto"/>
              <w:left w:val="single" w:sz="4" w:space="0" w:color="auto"/>
              <w:bottom w:val="single" w:sz="4" w:space="0" w:color="auto"/>
              <w:right w:val="single" w:sz="4" w:space="0" w:color="auto"/>
            </w:tcBorders>
            <w:hideMark/>
          </w:tcPr>
          <w:p w14:paraId="4423D547" w14:textId="77777777" w:rsidR="00582EF9" w:rsidRPr="009C2D22" w:rsidRDefault="00582EF9" w:rsidP="002E3625">
            <w:pPr>
              <w:spacing w:before="60" w:after="60"/>
              <w:rPr>
                <w:sz w:val="20"/>
                <w:lang w:eastAsia="da-DK"/>
              </w:rPr>
            </w:pPr>
            <w:r w:rsidRPr="009C2D22">
              <w:rPr>
                <w:i/>
                <w:sz w:val="20"/>
                <w:lang w:eastAsia="da-DK"/>
              </w:rPr>
              <w:t>Psykiske forstyrrelser</w:t>
            </w:r>
          </w:p>
        </w:tc>
        <w:tc>
          <w:tcPr>
            <w:tcW w:w="886" w:type="pct"/>
            <w:tcBorders>
              <w:top w:val="single" w:sz="4" w:space="0" w:color="auto"/>
              <w:left w:val="single" w:sz="4" w:space="0" w:color="auto"/>
              <w:bottom w:val="single" w:sz="4" w:space="0" w:color="auto"/>
              <w:right w:val="single" w:sz="4" w:space="0" w:color="auto"/>
            </w:tcBorders>
          </w:tcPr>
          <w:p w14:paraId="2DB9D50B" w14:textId="77777777" w:rsidR="00582EF9" w:rsidRPr="009C2D22" w:rsidRDefault="00582EF9" w:rsidP="002E3625">
            <w:pPr>
              <w:spacing w:before="60" w:after="60"/>
              <w:rPr>
                <w:i/>
                <w:iCs/>
                <w:sz w:val="20"/>
                <w:lang w:eastAsia="da-DK"/>
              </w:rPr>
            </w:pPr>
          </w:p>
        </w:tc>
        <w:tc>
          <w:tcPr>
            <w:tcW w:w="755" w:type="pct"/>
            <w:tcBorders>
              <w:top w:val="single" w:sz="4" w:space="0" w:color="auto"/>
              <w:left w:val="single" w:sz="4" w:space="0" w:color="auto"/>
              <w:bottom w:val="single" w:sz="4" w:space="0" w:color="auto"/>
              <w:right w:val="single" w:sz="4" w:space="0" w:color="auto"/>
            </w:tcBorders>
            <w:hideMark/>
          </w:tcPr>
          <w:p w14:paraId="4D2ECF14" w14:textId="4C88795E" w:rsidR="00582EF9" w:rsidRPr="009C2D22" w:rsidRDefault="00582EF9" w:rsidP="002E3625">
            <w:pPr>
              <w:spacing w:before="60" w:after="60"/>
              <w:rPr>
                <w:sz w:val="20"/>
                <w:lang w:eastAsia="da-DK"/>
              </w:rPr>
            </w:pPr>
            <w:r w:rsidRPr="009C2D22">
              <w:rPr>
                <w:sz w:val="20"/>
                <w:lang w:eastAsia="da-DK"/>
              </w:rPr>
              <w:t>Usædvanlige drømme og mareridt, selvmordstanker og selvmords</w:t>
            </w:r>
            <w:r w:rsidR="00AD2389">
              <w:rPr>
                <w:sz w:val="20"/>
                <w:lang w:eastAsia="da-DK"/>
              </w:rPr>
              <w:softHyphen/>
            </w:r>
            <w:r w:rsidRPr="009C2D22">
              <w:rPr>
                <w:sz w:val="20"/>
                <w:lang w:eastAsia="da-DK"/>
              </w:rPr>
              <w:t>adfærd</w:t>
            </w:r>
            <w:r w:rsidRPr="009C2D22">
              <w:rPr>
                <w:sz w:val="20"/>
                <w:vertAlign w:val="superscript"/>
                <w:lang w:eastAsia="da-DK"/>
              </w:rPr>
              <w:t>20</w:t>
            </w:r>
          </w:p>
        </w:tc>
        <w:tc>
          <w:tcPr>
            <w:tcW w:w="778" w:type="pct"/>
            <w:tcBorders>
              <w:top w:val="single" w:sz="4" w:space="0" w:color="auto"/>
              <w:left w:val="single" w:sz="4" w:space="0" w:color="auto"/>
              <w:bottom w:val="single" w:sz="4" w:space="0" w:color="auto"/>
              <w:right w:val="single" w:sz="4" w:space="0" w:color="auto"/>
            </w:tcBorders>
          </w:tcPr>
          <w:p w14:paraId="17CB0211" w14:textId="77777777" w:rsidR="00582EF9" w:rsidRPr="009C2D22" w:rsidRDefault="00582EF9" w:rsidP="002E3625">
            <w:pPr>
              <w:spacing w:before="60" w:after="60"/>
              <w:rPr>
                <w:i/>
                <w:iCs/>
                <w:sz w:val="20"/>
                <w:lang w:eastAsia="da-DK"/>
              </w:rPr>
            </w:pPr>
          </w:p>
        </w:tc>
        <w:tc>
          <w:tcPr>
            <w:tcW w:w="551" w:type="pct"/>
            <w:tcBorders>
              <w:top w:val="single" w:sz="4" w:space="0" w:color="auto"/>
              <w:left w:val="single" w:sz="4" w:space="0" w:color="auto"/>
              <w:bottom w:val="single" w:sz="4" w:space="0" w:color="auto"/>
              <w:right w:val="single" w:sz="4" w:space="0" w:color="auto"/>
            </w:tcBorders>
            <w:hideMark/>
          </w:tcPr>
          <w:p w14:paraId="621B0ACF" w14:textId="59C6CA5E" w:rsidR="00582EF9" w:rsidRPr="009C2D22" w:rsidRDefault="00582EF9" w:rsidP="002E3625">
            <w:pPr>
              <w:spacing w:before="60" w:after="60"/>
              <w:rPr>
                <w:sz w:val="20"/>
                <w:lang w:eastAsia="da-DK"/>
              </w:rPr>
            </w:pPr>
            <w:r w:rsidRPr="009C2D22">
              <w:rPr>
                <w:sz w:val="20"/>
                <w:lang w:eastAsia="da-DK"/>
              </w:rPr>
              <w:t>Søvngæn</w:t>
            </w:r>
            <w:r w:rsidR="00AD2389">
              <w:rPr>
                <w:sz w:val="20"/>
                <w:lang w:eastAsia="da-DK"/>
              </w:rPr>
              <w:softHyphen/>
            </w:r>
            <w:r w:rsidRPr="009C2D22">
              <w:rPr>
                <w:sz w:val="20"/>
                <w:lang w:eastAsia="da-DK"/>
              </w:rPr>
              <w:t>geri og relaterede reaktioner såsom at tale i søvne og søvnrelate</w:t>
            </w:r>
            <w:r w:rsidR="00AD2389">
              <w:rPr>
                <w:sz w:val="20"/>
                <w:lang w:eastAsia="da-DK"/>
              </w:rPr>
              <w:softHyphen/>
            </w:r>
            <w:r w:rsidRPr="009C2D22">
              <w:rPr>
                <w:sz w:val="20"/>
                <w:lang w:eastAsia="da-DK"/>
              </w:rPr>
              <w:t>re</w:t>
            </w:r>
            <w:r w:rsidRPr="009C2D22">
              <w:rPr>
                <w:sz w:val="20"/>
                <w:lang w:eastAsia="da-DK"/>
              </w:rPr>
              <w:softHyphen/>
              <w:t>de spisefor</w:t>
            </w:r>
            <w:r w:rsidR="00AD2389">
              <w:rPr>
                <w:sz w:val="20"/>
                <w:lang w:eastAsia="da-DK"/>
              </w:rPr>
              <w:softHyphen/>
            </w:r>
            <w:r w:rsidRPr="009C2D22">
              <w:rPr>
                <w:sz w:val="20"/>
                <w:lang w:eastAsia="da-DK"/>
              </w:rPr>
              <w:t>styrrelser</w:t>
            </w:r>
          </w:p>
        </w:tc>
        <w:tc>
          <w:tcPr>
            <w:tcW w:w="741" w:type="pct"/>
            <w:tcBorders>
              <w:top w:val="single" w:sz="4" w:space="0" w:color="auto"/>
              <w:left w:val="single" w:sz="4" w:space="0" w:color="auto"/>
              <w:bottom w:val="single" w:sz="4" w:space="0" w:color="auto"/>
              <w:right w:val="single" w:sz="4" w:space="0" w:color="auto"/>
            </w:tcBorders>
          </w:tcPr>
          <w:p w14:paraId="427A8FB9" w14:textId="77777777" w:rsidR="00582EF9" w:rsidRPr="009C2D22" w:rsidRDefault="00582EF9" w:rsidP="002E3625">
            <w:pPr>
              <w:spacing w:before="60" w:after="60"/>
              <w:rPr>
                <w:i/>
                <w:iCs/>
                <w:sz w:val="20"/>
                <w:lang w:eastAsia="da-DK"/>
              </w:rPr>
            </w:pPr>
          </w:p>
        </w:tc>
        <w:tc>
          <w:tcPr>
            <w:tcW w:w="577" w:type="pct"/>
            <w:tcBorders>
              <w:top w:val="single" w:sz="4" w:space="0" w:color="auto"/>
              <w:left w:val="single" w:sz="4" w:space="0" w:color="auto"/>
              <w:bottom w:val="single" w:sz="4" w:space="0" w:color="auto"/>
              <w:right w:val="single" w:sz="4" w:space="0" w:color="auto"/>
            </w:tcBorders>
          </w:tcPr>
          <w:p w14:paraId="72E894F4" w14:textId="77777777" w:rsidR="00582EF9" w:rsidRPr="009C2D22" w:rsidRDefault="00582EF9" w:rsidP="002E3625">
            <w:pPr>
              <w:spacing w:before="60" w:after="60"/>
              <w:rPr>
                <w:i/>
                <w:iCs/>
                <w:sz w:val="20"/>
                <w:lang w:eastAsia="da-DK"/>
              </w:rPr>
            </w:pPr>
          </w:p>
        </w:tc>
      </w:tr>
      <w:tr w:rsidR="00AD2389" w:rsidRPr="009C2D22" w14:paraId="0234BEB9"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310CF89D" w14:textId="3A4E5E34" w:rsidR="00582EF9" w:rsidRPr="009C2D22" w:rsidRDefault="00582EF9" w:rsidP="002E3625">
            <w:pPr>
              <w:spacing w:before="60" w:after="60"/>
              <w:rPr>
                <w:sz w:val="20"/>
                <w:lang w:eastAsia="da-DK"/>
              </w:rPr>
            </w:pPr>
            <w:r w:rsidRPr="009C2D22">
              <w:rPr>
                <w:i/>
                <w:sz w:val="20"/>
                <w:lang w:eastAsia="da-DK"/>
              </w:rPr>
              <w:t>Nervesystemet</w:t>
            </w:r>
          </w:p>
        </w:tc>
        <w:tc>
          <w:tcPr>
            <w:tcW w:w="886" w:type="pct"/>
            <w:tcBorders>
              <w:top w:val="single" w:sz="4" w:space="0" w:color="auto"/>
              <w:left w:val="single" w:sz="4" w:space="0" w:color="auto"/>
              <w:bottom w:val="single" w:sz="4" w:space="0" w:color="auto"/>
              <w:right w:val="single" w:sz="4" w:space="0" w:color="auto"/>
            </w:tcBorders>
            <w:hideMark/>
          </w:tcPr>
          <w:p w14:paraId="59AA720E" w14:textId="6B80B380" w:rsidR="00582EF9" w:rsidRPr="009C2D22" w:rsidRDefault="00582EF9" w:rsidP="002E3625">
            <w:pPr>
              <w:spacing w:before="60" w:after="60"/>
              <w:rPr>
                <w:sz w:val="20"/>
                <w:lang w:eastAsia="da-DK"/>
              </w:rPr>
            </w:pPr>
            <w:r w:rsidRPr="009C2D22">
              <w:rPr>
                <w:sz w:val="20"/>
                <w:lang w:eastAsia="da-DK"/>
              </w:rPr>
              <w:t>Svimmel</w:t>
            </w:r>
            <w:r w:rsidRPr="009C2D22">
              <w:rPr>
                <w:sz w:val="20"/>
                <w:lang w:eastAsia="da-DK"/>
              </w:rPr>
              <w:softHyphen/>
              <w:t>hed</w:t>
            </w:r>
            <w:r w:rsidRPr="009C2D22">
              <w:rPr>
                <w:sz w:val="20"/>
                <w:vertAlign w:val="superscript"/>
                <w:lang w:eastAsia="da-DK"/>
              </w:rPr>
              <w:t>4,16</w:t>
            </w:r>
            <w:r w:rsidRPr="009C2D22">
              <w:rPr>
                <w:sz w:val="20"/>
                <w:lang w:eastAsia="da-DK"/>
              </w:rPr>
              <w:t>, døsighed</w:t>
            </w:r>
            <w:r w:rsidRPr="009C2D22">
              <w:rPr>
                <w:sz w:val="20"/>
                <w:vertAlign w:val="superscript"/>
                <w:lang w:eastAsia="da-DK"/>
              </w:rPr>
              <w:t>2,16</w:t>
            </w:r>
            <w:r w:rsidRPr="009C2D22">
              <w:rPr>
                <w:sz w:val="20"/>
                <w:lang w:eastAsia="da-DK"/>
              </w:rPr>
              <w:t>, hovedpine, ekstrapyramidale symptomer</w:t>
            </w:r>
            <w:r w:rsidRPr="009C2D22">
              <w:rPr>
                <w:sz w:val="20"/>
                <w:vertAlign w:val="superscript"/>
                <w:lang w:eastAsia="da-DK"/>
              </w:rPr>
              <w:t>1,21</w:t>
            </w:r>
          </w:p>
        </w:tc>
        <w:tc>
          <w:tcPr>
            <w:tcW w:w="755" w:type="pct"/>
            <w:tcBorders>
              <w:top w:val="single" w:sz="4" w:space="0" w:color="auto"/>
              <w:left w:val="single" w:sz="4" w:space="0" w:color="auto"/>
              <w:bottom w:val="single" w:sz="4" w:space="0" w:color="auto"/>
              <w:right w:val="single" w:sz="4" w:space="0" w:color="auto"/>
            </w:tcBorders>
            <w:hideMark/>
          </w:tcPr>
          <w:p w14:paraId="7AE666D0" w14:textId="77777777" w:rsidR="00582EF9" w:rsidRPr="009C2D22" w:rsidRDefault="00582EF9" w:rsidP="002E3625">
            <w:pPr>
              <w:spacing w:before="60" w:after="60"/>
              <w:rPr>
                <w:sz w:val="20"/>
                <w:lang w:eastAsia="da-DK"/>
              </w:rPr>
            </w:pPr>
            <w:r w:rsidRPr="009C2D22">
              <w:rPr>
                <w:sz w:val="20"/>
                <w:lang w:eastAsia="da-DK"/>
              </w:rPr>
              <w:t>Dysartri</w:t>
            </w:r>
          </w:p>
        </w:tc>
        <w:tc>
          <w:tcPr>
            <w:tcW w:w="778" w:type="pct"/>
            <w:tcBorders>
              <w:top w:val="single" w:sz="4" w:space="0" w:color="auto"/>
              <w:left w:val="single" w:sz="4" w:space="0" w:color="auto"/>
              <w:bottom w:val="single" w:sz="4" w:space="0" w:color="auto"/>
              <w:right w:val="single" w:sz="4" w:space="0" w:color="auto"/>
            </w:tcBorders>
            <w:hideMark/>
          </w:tcPr>
          <w:p w14:paraId="397015AD" w14:textId="437321B2" w:rsidR="00582EF9" w:rsidRPr="009C2D22" w:rsidRDefault="0067627C" w:rsidP="00AD2389">
            <w:pPr>
              <w:spacing w:before="60" w:after="60"/>
              <w:rPr>
                <w:sz w:val="20"/>
                <w:lang w:val="sv-SE" w:eastAsia="da-DK"/>
              </w:rPr>
            </w:pPr>
            <w:r w:rsidRPr="009C2D22">
              <w:rPr>
                <w:sz w:val="20"/>
                <w:lang w:val="sv-SE" w:eastAsia="da-DK"/>
              </w:rPr>
              <w:t>Krampeanfald</w:t>
            </w:r>
            <w:r w:rsidRPr="009C2D22">
              <w:rPr>
                <w:sz w:val="20"/>
                <w:vertAlign w:val="superscript"/>
                <w:lang w:val="sv-SE" w:eastAsia="da-DK"/>
              </w:rPr>
              <w:t>1</w:t>
            </w:r>
            <w:r w:rsidRPr="009C2D22">
              <w:rPr>
                <w:sz w:val="20"/>
                <w:lang w:val="sv-SE" w:eastAsia="da-DK"/>
              </w:rPr>
              <w:t>, restless legs-syndrom, tardiv dyskinesi</w:t>
            </w:r>
            <w:r w:rsidRPr="009C2D22">
              <w:rPr>
                <w:sz w:val="20"/>
                <w:vertAlign w:val="superscript"/>
                <w:lang w:val="sv-SE" w:eastAsia="da-DK"/>
              </w:rPr>
              <w:t>1,5</w:t>
            </w:r>
            <w:r w:rsidRPr="009C2D22">
              <w:rPr>
                <w:sz w:val="20"/>
                <w:lang w:val="sv-SE" w:eastAsia="da-DK"/>
              </w:rPr>
              <w:t>, synkope</w:t>
            </w:r>
            <w:r w:rsidRPr="009C2D22">
              <w:rPr>
                <w:sz w:val="20"/>
                <w:vertAlign w:val="superscript"/>
                <w:lang w:val="sv-SE" w:eastAsia="da-DK"/>
              </w:rPr>
              <w:t>4,16</w:t>
            </w:r>
            <w:r w:rsidRPr="009C2D22">
              <w:rPr>
                <w:sz w:val="20"/>
                <w:lang w:val="sv-SE" w:eastAsia="da-DK"/>
              </w:rPr>
              <w:t xml:space="preserve">, </w:t>
            </w:r>
            <w:r w:rsidRPr="009C2D22">
              <w:rPr>
                <w:sz w:val="20"/>
                <w:vertAlign w:val="superscript"/>
                <w:lang w:val="sv-SE" w:eastAsia="da-DK"/>
              </w:rPr>
              <w:t xml:space="preserve"> </w:t>
            </w:r>
            <w:r w:rsidRPr="009C2D22">
              <w:rPr>
                <w:sz w:val="20"/>
                <w:lang w:val="sv-SE" w:eastAsia="da-DK"/>
              </w:rPr>
              <w:t>konfusion</w:t>
            </w:r>
            <w:r w:rsidRPr="009C2D22">
              <w:rPr>
                <w:sz w:val="20"/>
                <w:lang w:val="sv-SE"/>
              </w:rPr>
              <w:t xml:space="preserve"> </w:t>
            </w:r>
          </w:p>
        </w:tc>
        <w:tc>
          <w:tcPr>
            <w:tcW w:w="551" w:type="pct"/>
            <w:tcBorders>
              <w:top w:val="single" w:sz="4" w:space="0" w:color="auto"/>
              <w:left w:val="single" w:sz="4" w:space="0" w:color="auto"/>
              <w:bottom w:val="single" w:sz="4" w:space="0" w:color="auto"/>
              <w:right w:val="single" w:sz="4" w:space="0" w:color="auto"/>
            </w:tcBorders>
          </w:tcPr>
          <w:p w14:paraId="1BFC4ED0" w14:textId="77777777" w:rsidR="00582EF9" w:rsidRPr="009C2D22" w:rsidRDefault="00582EF9" w:rsidP="002E3625">
            <w:pPr>
              <w:spacing w:before="60" w:after="60"/>
              <w:rPr>
                <w:i/>
                <w:iCs/>
                <w:sz w:val="20"/>
                <w:lang w:val="sv-SE" w:eastAsia="da-DK"/>
              </w:rPr>
            </w:pPr>
          </w:p>
        </w:tc>
        <w:tc>
          <w:tcPr>
            <w:tcW w:w="741" w:type="pct"/>
            <w:tcBorders>
              <w:top w:val="single" w:sz="4" w:space="0" w:color="auto"/>
              <w:left w:val="single" w:sz="4" w:space="0" w:color="auto"/>
              <w:bottom w:val="single" w:sz="4" w:space="0" w:color="auto"/>
              <w:right w:val="single" w:sz="4" w:space="0" w:color="auto"/>
            </w:tcBorders>
          </w:tcPr>
          <w:p w14:paraId="3968478C" w14:textId="77777777" w:rsidR="00582EF9" w:rsidRPr="009C2D22" w:rsidRDefault="00582EF9" w:rsidP="002E3625">
            <w:pPr>
              <w:spacing w:before="60" w:after="60"/>
              <w:rPr>
                <w:i/>
                <w:iCs/>
                <w:sz w:val="20"/>
                <w:lang w:val="sv-SE" w:eastAsia="da-DK"/>
              </w:rPr>
            </w:pPr>
          </w:p>
        </w:tc>
        <w:tc>
          <w:tcPr>
            <w:tcW w:w="577" w:type="pct"/>
            <w:tcBorders>
              <w:top w:val="single" w:sz="4" w:space="0" w:color="auto"/>
              <w:left w:val="single" w:sz="4" w:space="0" w:color="auto"/>
              <w:bottom w:val="single" w:sz="4" w:space="0" w:color="auto"/>
              <w:right w:val="single" w:sz="4" w:space="0" w:color="auto"/>
            </w:tcBorders>
          </w:tcPr>
          <w:p w14:paraId="708D925C" w14:textId="77777777" w:rsidR="00582EF9" w:rsidRPr="009C2D22" w:rsidRDefault="00582EF9" w:rsidP="002E3625">
            <w:pPr>
              <w:spacing w:before="60" w:after="60"/>
              <w:rPr>
                <w:i/>
                <w:iCs/>
                <w:sz w:val="20"/>
                <w:lang w:val="sv-SE" w:eastAsia="da-DK"/>
              </w:rPr>
            </w:pPr>
          </w:p>
        </w:tc>
      </w:tr>
      <w:tr w:rsidR="00AD2389" w:rsidRPr="009C2D22" w14:paraId="1F230270"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3C8576E1" w14:textId="77777777" w:rsidR="00582EF9" w:rsidRPr="009C2D22" w:rsidRDefault="00582EF9" w:rsidP="002E3625">
            <w:pPr>
              <w:spacing w:before="60" w:after="60"/>
              <w:rPr>
                <w:sz w:val="20"/>
                <w:lang w:eastAsia="da-DK"/>
              </w:rPr>
            </w:pPr>
            <w:r w:rsidRPr="009C2D22">
              <w:rPr>
                <w:i/>
                <w:sz w:val="20"/>
                <w:lang w:eastAsia="da-DK"/>
              </w:rPr>
              <w:t>Hjerte</w:t>
            </w:r>
          </w:p>
        </w:tc>
        <w:tc>
          <w:tcPr>
            <w:tcW w:w="886" w:type="pct"/>
            <w:tcBorders>
              <w:top w:val="single" w:sz="4" w:space="0" w:color="auto"/>
              <w:left w:val="single" w:sz="4" w:space="0" w:color="auto"/>
              <w:bottom w:val="single" w:sz="4" w:space="0" w:color="auto"/>
              <w:right w:val="single" w:sz="4" w:space="0" w:color="auto"/>
            </w:tcBorders>
          </w:tcPr>
          <w:p w14:paraId="672E6E01" w14:textId="77777777" w:rsidR="00582EF9" w:rsidRPr="009C2D22" w:rsidRDefault="00582EF9" w:rsidP="002E3625">
            <w:pPr>
              <w:spacing w:before="60" w:after="60"/>
              <w:rPr>
                <w:i/>
                <w:iCs/>
                <w:sz w:val="20"/>
                <w:lang w:eastAsia="da-DK"/>
              </w:rPr>
            </w:pPr>
          </w:p>
        </w:tc>
        <w:tc>
          <w:tcPr>
            <w:tcW w:w="755" w:type="pct"/>
            <w:tcBorders>
              <w:top w:val="single" w:sz="4" w:space="0" w:color="auto"/>
              <w:left w:val="single" w:sz="4" w:space="0" w:color="auto"/>
              <w:bottom w:val="single" w:sz="4" w:space="0" w:color="auto"/>
              <w:right w:val="single" w:sz="4" w:space="0" w:color="auto"/>
            </w:tcBorders>
            <w:hideMark/>
          </w:tcPr>
          <w:p w14:paraId="7B3F0C27" w14:textId="77777777" w:rsidR="00582EF9" w:rsidRPr="009C2D22" w:rsidRDefault="00582EF9" w:rsidP="002E3625">
            <w:pPr>
              <w:spacing w:before="60" w:after="60"/>
              <w:rPr>
                <w:sz w:val="20"/>
                <w:lang w:eastAsia="da-DK"/>
              </w:rPr>
            </w:pPr>
            <w:r w:rsidRPr="009C2D22">
              <w:rPr>
                <w:sz w:val="20"/>
                <w:lang w:eastAsia="da-DK"/>
              </w:rPr>
              <w:t>Takykardi</w:t>
            </w:r>
            <w:r w:rsidRPr="009C2D22">
              <w:rPr>
                <w:sz w:val="20"/>
                <w:vertAlign w:val="superscript"/>
                <w:lang w:eastAsia="da-DK"/>
              </w:rPr>
              <w:t xml:space="preserve"> 4</w:t>
            </w:r>
            <w:r w:rsidRPr="009C2D22">
              <w:rPr>
                <w:sz w:val="20"/>
                <w:lang w:eastAsia="da-DK"/>
              </w:rPr>
              <w:t>, palpitationer</w:t>
            </w:r>
            <w:r w:rsidRPr="009C2D22">
              <w:rPr>
                <w:sz w:val="20"/>
                <w:vertAlign w:val="superscript"/>
                <w:lang w:eastAsia="da-DK"/>
              </w:rPr>
              <w:t>23</w:t>
            </w:r>
          </w:p>
        </w:tc>
        <w:tc>
          <w:tcPr>
            <w:tcW w:w="778" w:type="pct"/>
            <w:tcBorders>
              <w:top w:val="single" w:sz="4" w:space="0" w:color="auto"/>
              <w:left w:val="single" w:sz="4" w:space="0" w:color="auto"/>
              <w:bottom w:val="single" w:sz="4" w:space="0" w:color="auto"/>
              <w:right w:val="single" w:sz="4" w:space="0" w:color="auto"/>
            </w:tcBorders>
            <w:hideMark/>
          </w:tcPr>
          <w:p w14:paraId="3CC234AC" w14:textId="6C2641FA" w:rsidR="00582EF9" w:rsidRPr="009C2D22" w:rsidRDefault="00582EF9" w:rsidP="002E3625">
            <w:pPr>
              <w:spacing w:before="60" w:after="60"/>
              <w:rPr>
                <w:sz w:val="20"/>
                <w:lang w:eastAsia="da-DK"/>
              </w:rPr>
            </w:pPr>
            <w:r w:rsidRPr="009C2D22">
              <w:rPr>
                <w:sz w:val="20"/>
                <w:lang w:eastAsia="da-DK"/>
              </w:rPr>
              <w:t>QT-forlæn</w:t>
            </w:r>
            <w:r w:rsidR="00AD2389">
              <w:rPr>
                <w:sz w:val="20"/>
                <w:lang w:eastAsia="da-DK"/>
              </w:rPr>
              <w:softHyphen/>
            </w:r>
            <w:r w:rsidRPr="009C2D22">
              <w:rPr>
                <w:sz w:val="20"/>
                <w:lang w:eastAsia="da-DK"/>
              </w:rPr>
              <w:t>gel</w:t>
            </w:r>
            <w:r w:rsidR="00AD2389">
              <w:rPr>
                <w:sz w:val="20"/>
                <w:lang w:eastAsia="da-DK"/>
              </w:rPr>
              <w:softHyphen/>
            </w:r>
            <w:r w:rsidRPr="009C2D22">
              <w:rPr>
                <w:sz w:val="20"/>
                <w:lang w:eastAsia="da-DK"/>
              </w:rPr>
              <w:t>se</w:t>
            </w:r>
            <w:r w:rsidRPr="009C2D22">
              <w:rPr>
                <w:sz w:val="20"/>
                <w:vertAlign w:val="superscript"/>
                <w:lang w:eastAsia="da-DK"/>
              </w:rPr>
              <w:t>1,12,18</w:t>
            </w:r>
            <w:r w:rsidRPr="009C2D22">
              <w:rPr>
                <w:sz w:val="20"/>
                <w:lang w:eastAsia="da-DK"/>
              </w:rPr>
              <w:t>, bradykardi</w:t>
            </w:r>
            <w:r w:rsidRPr="009C2D22">
              <w:rPr>
                <w:sz w:val="20"/>
                <w:vertAlign w:val="superscript"/>
                <w:lang w:eastAsia="da-DK"/>
              </w:rPr>
              <w:t>32</w:t>
            </w:r>
          </w:p>
        </w:tc>
        <w:tc>
          <w:tcPr>
            <w:tcW w:w="551" w:type="pct"/>
            <w:tcBorders>
              <w:top w:val="single" w:sz="4" w:space="0" w:color="auto"/>
              <w:left w:val="single" w:sz="4" w:space="0" w:color="auto"/>
              <w:bottom w:val="single" w:sz="4" w:space="0" w:color="auto"/>
              <w:right w:val="single" w:sz="4" w:space="0" w:color="auto"/>
            </w:tcBorders>
          </w:tcPr>
          <w:p w14:paraId="016B71BF" w14:textId="77777777" w:rsidR="00582EF9" w:rsidRPr="009C2D22" w:rsidRDefault="00582EF9" w:rsidP="002E3625">
            <w:pPr>
              <w:spacing w:before="60" w:after="60"/>
              <w:rPr>
                <w:i/>
                <w:iCs/>
                <w:sz w:val="20"/>
                <w:lang w:eastAsia="da-DK"/>
              </w:rPr>
            </w:pPr>
          </w:p>
        </w:tc>
        <w:tc>
          <w:tcPr>
            <w:tcW w:w="741" w:type="pct"/>
            <w:tcBorders>
              <w:top w:val="single" w:sz="4" w:space="0" w:color="auto"/>
              <w:left w:val="single" w:sz="4" w:space="0" w:color="auto"/>
              <w:bottom w:val="single" w:sz="4" w:space="0" w:color="auto"/>
              <w:right w:val="single" w:sz="4" w:space="0" w:color="auto"/>
            </w:tcBorders>
          </w:tcPr>
          <w:p w14:paraId="11F755E6" w14:textId="77777777" w:rsidR="00582EF9" w:rsidRPr="009C2D22" w:rsidRDefault="00582EF9" w:rsidP="002E3625">
            <w:pPr>
              <w:spacing w:before="60" w:after="60"/>
              <w:rPr>
                <w:i/>
                <w:iCs/>
                <w:sz w:val="20"/>
                <w:lang w:eastAsia="da-DK"/>
              </w:rPr>
            </w:pPr>
          </w:p>
        </w:tc>
        <w:tc>
          <w:tcPr>
            <w:tcW w:w="577" w:type="pct"/>
            <w:tcBorders>
              <w:top w:val="single" w:sz="4" w:space="0" w:color="auto"/>
              <w:left w:val="single" w:sz="4" w:space="0" w:color="auto"/>
              <w:bottom w:val="single" w:sz="4" w:space="0" w:color="auto"/>
              <w:right w:val="single" w:sz="4" w:space="0" w:color="auto"/>
            </w:tcBorders>
          </w:tcPr>
          <w:p w14:paraId="58A72428" w14:textId="32E08E98" w:rsidR="00582EF9" w:rsidRPr="009C2D22" w:rsidRDefault="0067627C" w:rsidP="002E3625">
            <w:pPr>
              <w:spacing w:before="60" w:after="60"/>
              <w:rPr>
                <w:i/>
                <w:iCs/>
                <w:sz w:val="20"/>
                <w:lang w:eastAsia="da-DK"/>
              </w:rPr>
            </w:pPr>
            <w:r w:rsidRPr="009C2D22">
              <w:rPr>
                <w:sz w:val="20"/>
                <w:lang w:eastAsia="da-DK"/>
              </w:rPr>
              <w:t>Kardio</w:t>
            </w:r>
            <w:r w:rsidR="00AD2389">
              <w:rPr>
                <w:sz w:val="20"/>
                <w:lang w:eastAsia="da-DK"/>
              </w:rPr>
              <w:softHyphen/>
            </w:r>
            <w:r w:rsidRPr="009C2D22">
              <w:rPr>
                <w:sz w:val="20"/>
                <w:lang w:eastAsia="da-DK"/>
              </w:rPr>
              <w:t>myopati, myokarditis</w:t>
            </w:r>
          </w:p>
        </w:tc>
      </w:tr>
      <w:tr w:rsidR="00AD2389" w:rsidRPr="009C2D22" w14:paraId="49CF192B" w14:textId="77777777" w:rsidTr="00AD2389">
        <w:tc>
          <w:tcPr>
            <w:tcW w:w="712" w:type="pct"/>
            <w:tcBorders>
              <w:top w:val="single" w:sz="4" w:space="0" w:color="auto"/>
              <w:left w:val="single" w:sz="4" w:space="0" w:color="auto"/>
              <w:bottom w:val="single" w:sz="4" w:space="0" w:color="auto"/>
              <w:right w:val="single" w:sz="4" w:space="0" w:color="auto"/>
            </w:tcBorders>
            <w:hideMark/>
          </w:tcPr>
          <w:p w14:paraId="1D215410" w14:textId="77777777" w:rsidR="00582EF9" w:rsidRPr="009C2D22" w:rsidRDefault="00582EF9" w:rsidP="002E3625">
            <w:pPr>
              <w:spacing w:before="60" w:after="60"/>
              <w:rPr>
                <w:sz w:val="20"/>
                <w:lang w:eastAsia="da-DK"/>
              </w:rPr>
            </w:pPr>
            <w:r w:rsidRPr="009C2D22">
              <w:rPr>
                <w:i/>
                <w:sz w:val="20"/>
                <w:lang w:eastAsia="da-DK"/>
              </w:rPr>
              <w:t>Øjne</w:t>
            </w:r>
          </w:p>
        </w:tc>
        <w:tc>
          <w:tcPr>
            <w:tcW w:w="886" w:type="pct"/>
            <w:tcBorders>
              <w:top w:val="single" w:sz="4" w:space="0" w:color="auto"/>
              <w:left w:val="single" w:sz="4" w:space="0" w:color="auto"/>
              <w:bottom w:val="single" w:sz="4" w:space="0" w:color="auto"/>
              <w:right w:val="single" w:sz="4" w:space="0" w:color="auto"/>
            </w:tcBorders>
          </w:tcPr>
          <w:p w14:paraId="22A2A755" w14:textId="77777777" w:rsidR="00582EF9" w:rsidRPr="009C2D22" w:rsidRDefault="00582EF9" w:rsidP="002E3625">
            <w:pPr>
              <w:spacing w:before="60" w:after="60"/>
              <w:rPr>
                <w:i/>
                <w:iCs/>
                <w:sz w:val="20"/>
                <w:lang w:eastAsia="da-DK"/>
              </w:rPr>
            </w:pPr>
          </w:p>
        </w:tc>
        <w:tc>
          <w:tcPr>
            <w:tcW w:w="755" w:type="pct"/>
            <w:tcBorders>
              <w:top w:val="single" w:sz="4" w:space="0" w:color="auto"/>
              <w:left w:val="single" w:sz="4" w:space="0" w:color="auto"/>
              <w:bottom w:val="single" w:sz="4" w:space="0" w:color="auto"/>
              <w:right w:val="single" w:sz="4" w:space="0" w:color="auto"/>
            </w:tcBorders>
            <w:hideMark/>
          </w:tcPr>
          <w:p w14:paraId="54FA2039" w14:textId="77777777" w:rsidR="00582EF9" w:rsidRPr="009C2D22" w:rsidRDefault="00582EF9" w:rsidP="002E3625">
            <w:pPr>
              <w:spacing w:before="60" w:after="60"/>
              <w:rPr>
                <w:sz w:val="20"/>
                <w:lang w:eastAsia="da-DK"/>
              </w:rPr>
            </w:pPr>
            <w:r w:rsidRPr="009C2D22">
              <w:rPr>
                <w:sz w:val="20"/>
                <w:lang w:eastAsia="da-DK"/>
              </w:rPr>
              <w:t>Sløret syn</w:t>
            </w:r>
          </w:p>
        </w:tc>
        <w:tc>
          <w:tcPr>
            <w:tcW w:w="778" w:type="pct"/>
            <w:tcBorders>
              <w:top w:val="single" w:sz="4" w:space="0" w:color="auto"/>
              <w:left w:val="single" w:sz="4" w:space="0" w:color="auto"/>
              <w:bottom w:val="single" w:sz="4" w:space="0" w:color="auto"/>
              <w:right w:val="single" w:sz="4" w:space="0" w:color="auto"/>
            </w:tcBorders>
          </w:tcPr>
          <w:p w14:paraId="1AB31B54" w14:textId="77777777" w:rsidR="00582EF9" w:rsidRPr="009C2D22" w:rsidRDefault="00582EF9" w:rsidP="002E3625">
            <w:pPr>
              <w:spacing w:before="60" w:after="60"/>
              <w:rPr>
                <w:sz w:val="20"/>
                <w:lang w:eastAsia="da-DK"/>
              </w:rPr>
            </w:pPr>
          </w:p>
        </w:tc>
        <w:tc>
          <w:tcPr>
            <w:tcW w:w="551" w:type="pct"/>
            <w:tcBorders>
              <w:top w:val="single" w:sz="4" w:space="0" w:color="auto"/>
              <w:left w:val="single" w:sz="4" w:space="0" w:color="auto"/>
              <w:bottom w:val="single" w:sz="4" w:space="0" w:color="auto"/>
              <w:right w:val="single" w:sz="4" w:space="0" w:color="auto"/>
            </w:tcBorders>
          </w:tcPr>
          <w:p w14:paraId="642C1937" w14:textId="77777777" w:rsidR="00582EF9" w:rsidRPr="009C2D22" w:rsidRDefault="00582EF9" w:rsidP="002E3625">
            <w:pPr>
              <w:spacing w:before="60" w:after="60"/>
              <w:rPr>
                <w:sz w:val="20"/>
                <w:lang w:eastAsia="da-DK"/>
              </w:rPr>
            </w:pPr>
          </w:p>
        </w:tc>
        <w:tc>
          <w:tcPr>
            <w:tcW w:w="741" w:type="pct"/>
            <w:tcBorders>
              <w:top w:val="single" w:sz="4" w:space="0" w:color="auto"/>
              <w:left w:val="single" w:sz="4" w:space="0" w:color="auto"/>
              <w:bottom w:val="single" w:sz="4" w:space="0" w:color="auto"/>
              <w:right w:val="single" w:sz="4" w:space="0" w:color="auto"/>
            </w:tcBorders>
          </w:tcPr>
          <w:p w14:paraId="0AD03990" w14:textId="77777777" w:rsidR="00582EF9" w:rsidRPr="009C2D22" w:rsidRDefault="00582EF9" w:rsidP="002E3625">
            <w:pPr>
              <w:spacing w:before="60" w:after="60"/>
              <w:rPr>
                <w:sz w:val="20"/>
                <w:lang w:eastAsia="da-DK"/>
              </w:rPr>
            </w:pPr>
          </w:p>
        </w:tc>
        <w:tc>
          <w:tcPr>
            <w:tcW w:w="577" w:type="pct"/>
            <w:tcBorders>
              <w:top w:val="single" w:sz="4" w:space="0" w:color="auto"/>
              <w:left w:val="single" w:sz="4" w:space="0" w:color="auto"/>
              <w:bottom w:val="single" w:sz="4" w:space="0" w:color="auto"/>
              <w:right w:val="single" w:sz="4" w:space="0" w:color="auto"/>
            </w:tcBorders>
          </w:tcPr>
          <w:p w14:paraId="713CEFF9" w14:textId="77777777" w:rsidR="00582EF9" w:rsidRPr="009C2D22" w:rsidRDefault="00582EF9" w:rsidP="002E3625">
            <w:pPr>
              <w:spacing w:before="60" w:after="60"/>
              <w:rPr>
                <w:sz w:val="20"/>
                <w:lang w:eastAsia="da-DK"/>
              </w:rPr>
            </w:pPr>
          </w:p>
        </w:tc>
      </w:tr>
      <w:tr w:rsidR="00AD2389" w:rsidRPr="009C2D22" w14:paraId="7469CAEF"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29056E40" w14:textId="77777777" w:rsidR="00582EF9" w:rsidRPr="009C2D22" w:rsidRDefault="00582EF9" w:rsidP="002E3625">
            <w:pPr>
              <w:spacing w:before="60" w:after="60"/>
              <w:rPr>
                <w:sz w:val="20"/>
                <w:lang w:eastAsia="da-DK"/>
              </w:rPr>
            </w:pPr>
            <w:r w:rsidRPr="009C2D22">
              <w:rPr>
                <w:i/>
                <w:sz w:val="20"/>
                <w:lang w:eastAsia="da-DK"/>
              </w:rPr>
              <w:t>Vaskulære sygdomme</w:t>
            </w:r>
          </w:p>
        </w:tc>
        <w:tc>
          <w:tcPr>
            <w:tcW w:w="886" w:type="pct"/>
            <w:tcBorders>
              <w:top w:val="single" w:sz="4" w:space="0" w:color="auto"/>
              <w:left w:val="single" w:sz="4" w:space="0" w:color="auto"/>
              <w:bottom w:val="single" w:sz="4" w:space="0" w:color="auto"/>
              <w:right w:val="single" w:sz="4" w:space="0" w:color="auto"/>
            </w:tcBorders>
          </w:tcPr>
          <w:p w14:paraId="506348BE" w14:textId="77777777" w:rsidR="00582EF9" w:rsidRPr="009C2D22" w:rsidRDefault="00582EF9" w:rsidP="002E3625">
            <w:pPr>
              <w:spacing w:before="60" w:after="60"/>
              <w:rPr>
                <w:i/>
                <w:iCs/>
                <w:sz w:val="20"/>
                <w:lang w:eastAsia="da-DK"/>
              </w:rPr>
            </w:pPr>
          </w:p>
        </w:tc>
        <w:tc>
          <w:tcPr>
            <w:tcW w:w="755" w:type="pct"/>
            <w:tcBorders>
              <w:top w:val="single" w:sz="4" w:space="0" w:color="auto"/>
              <w:left w:val="single" w:sz="4" w:space="0" w:color="auto"/>
              <w:bottom w:val="single" w:sz="4" w:space="0" w:color="auto"/>
              <w:right w:val="single" w:sz="4" w:space="0" w:color="auto"/>
            </w:tcBorders>
            <w:hideMark/>
          </w:tcPr>
          <w:p w14:paraId="0BEA8368" w14:textId="77777777" w:rsidR="00582EF9" w:rsidRPr="009C2D22" w:rsidRDefault="00582EF9" w:rsidP="002E3625">
            <w:pPr>
              <w:spacing w:before="60" w:after="60"/>
              <w:rPr>
                <w:sz w:val="20"/>
                <w:lang w:eastAsia="da-DK"/>
              </w:rPr>
            </w:pPr>
            <w:r w:rsidRPr="009C2D22">
              <w:rPr>
                <w:sz w:val="20"/>
                <w:lang w:eastAsia="da-DK"/>
              </w:rPr>
              <w:t>Ortostatisk hypotension</w:t>
            </w:r>
            <w:r w:rsidRPr="009C2D22">
              <w:rPr>
                <w:sz w:val="20"/>
                <w:vertAlign w:val="superscript"/>
                <w:lang w:eastAsia="da-DK"/>
              </w:rPr>
              <w:t>4,16</w:t>
            </w:r>
          </w:p>
        </w:tc>
        <w:tc>
          <w:tcPr>
            <w:tcW w:w="778" w:type="pct"/>
            <w:tcBorders>
              <w:top w:val="single" w:sz="4" w:space="0" w:color="auto"/>
              <w:left w:val="single" w:sz="4" w:space="0" w:color="auto"/>
              <w:bottom w:val="single" w:sz="4" w:space="0" w:color="auto"/>
              <w:right w:val="single" w:sz="4" w:space="0" w:color="auto"/>
            </w:tcBorders>
          </w:tcPr>
          <w:p w14:paraId="3EBFF337" w14:textId="77777777" w:rsidR="00582EF9" w:rsidRPr="009C2D22" w:rsidRDefault="00582EF9" w:rsidP="002E3625">
            <w:pPr>
              <w:spacing w:before="60" w:after="60"/>
              <w:rPr>
                <w:i/>
                <w:iCs/>
                <w:sz w:val="20"/>
                <w:lang w:eastAsia="da-DK"/>
              </w:rPr>
            </w:pPr>
          </w:p>
        </w:tc>
        <w:tc>
          <w:tcPr>
            <w:tcW w:w="551" w:type="pct"/>
            <w:tcBorders>
              <w:top w:val="single" w:sz="4" w:space="0" w:color="auto"/>
              <w:left w:val="single" w:sz="4" w:space="0" w:color="auto"/>
              <w:bottom w:val="single" w:sz="4" w:space="0" w:color="auto"/>
              <w:right w:val="single" w:sz="4" w:space="0" w:color="auto"/>
            </w:tcBorders>
            <w:hideMark/>
          </w:tcPr>
          <w:p w14:paraId="64E254ED" w14:textId="12BDF335" w:rsidR="00582EF9" w:rsidRPr="009C2D22" w:rsidRDefault="00582EF9" w:rsidP="002E3625">
            <w:pPr>
              <w:spacing w:before="60" w:after="60"/>
              <w:rPr>
                <w:sz w:val="20"/>
                <w:lang w:eastAsia="da-DK"/>
              </w:rPr>
            </w:pPr>
            <w:r w:rsidRPr="009C2D22">
              <w:rPr>
                <w:sz w:val="20"/>
                <w:lang w:eastAsia="da-DK"/>
              </w:rPr>
              <w:t>Venøs trombo</w:t>
            </w:r>
            <w:r w:rsidR="00AD2389">
              <w:rPr>
                <w:sz w:val="20"/>
                <w:lang w:eastAsia="da-DK"/>
              </w:rPr>
              <w:softHyphen/>
            </w:r>
            <w:r w:rsidRPr="009C2D22">
              <w:rPr>
                <w:sz w:val="20"/>
                <w:lang w:eastAsia="da-DK"/>
              </w:rPr>
              <w:t>embo</w:t>
            </w:r>
            <w:r w:rsidRPr="009C2D22">
              <w:rPr>
                <w:sz w:val="20"/>
                <w:lang w:eastAsia="da-DK"/>
              </w:rPr>
              <w:softHyphen/>
              <w:t>li</w:t>
            </w:r>
            <w:r w:rsidRPr="009C2D22">
              <w:rPr>
                <w:sz w:val="20"/>
                <w:vertAlign w:val="superscript"/>
                <w:lang w:eastAsia="da-DK"/>
              </w:rPr>
              <w:t>1</w:t>
            </w:r>
          </w:p>
        </w:tc>
        <w:tc>
          <w:tcPr>
            <w:tcW w:w="741" w:type="pct"/>
            <w:tcBorders>
              <w:top w:val="single" w:sz="4" w:space="0" w:color="auto"/>
              <w:left w:val="single" w:sz="4" w:space="0" w:color="auto"/>
              <w:bottom w:val="single" w:sz="4" w:space="0" w:color="auto"/>
              <w:right w:val="single" w:sz="4" w:space="0" w:color="auto"/>
            </w:tcBorders>
          </w:tcPr>
          <w:p w14:paraId="59E10108" w14:textId="77777777" w:rsidR="00582EF9" w:rsidRPr="009C2D22" w:rsidRDefault="00582EF9" w:rsidP="002E3625">
            <w:pPr>
              <w:spacing w:before="60" w:after="60"/>
              <w:rPr>
                <w:i/>
                <w:iCs/>
                <w:sz w:val="20"/>
                <w:lang w:eastAsia="da-DK"/>
              </w:rPr>
            </w:pPr>
          </w:p>
        </w:tc>
        <w:tc>
          <w:tcPr>
            <w:tcW w:w="577" w:type="pct"/>
            <w:tcBorders>
              <w:top w:val="single" w:sz="4" w:space="0" w:color="auto"/>
              <w:left w:val="single" w:sz="4" w:space="0" w:color="auto"/>
              <w:bottom w:val="single" w:sz="4" w:space="0" w:color="auto"/>
              <w:right w:val="single" w:sz="4" w:space="0" w:color="auto"/>
            </w:tcBorders>
            <w:hideMark/>
          </w:tcPr>
          <w:p w14:paraId="27F17031" w14:textId="77777777" w:rsidR="00582EF9" w:rsidRPr="009C2D22" w:rsidRDefault="00582EF9" w:rsidP="002E3625">
            <w:pPr>
              <w:spacing w:before="60" w:after="60"/>
              <w:rPr>
                <w:iCs/>
                <w:sz w:val="20"/>
                <w:lang w:eastAsia="da-DK"/>
              </w:rPr>
            </w:pPr>
            <w:r w:rsidRPr="009C2D22">
              <w:rPr>
                <w:iCs/>
                <w:sz w:val="20"/>
                <w:lang w:eastAsia="da-DK"/>
              </w:rPr>
              <w:t>Stroke</w:t>
            </w:r>
            <w:r w:rsidRPr="009C2D22">
              <w:rPr>
                <w:iCs/>
                <w:sz w:val="20"/>
                <w:vertAlign w:val="superscript"/>
                <w:lang w:eastAsia="da-DK"/>
              </w:rPr>
              <w:t>33</w:t>
            </w:r>
          </w:p>
        </w:tc>
      </w:tr>
      <w:tr w:rsidR="00AD2389" w:rsidRPr="009C2D22" w14:paraId="7B6A7EB6"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199B2970" w14:textId="77777777" w:rsidR="00582EF9" w:rsidRPr="009C2D22" w:rsidRDefault="00582EF9" w:rsidP="002E3625">
            <w:pPr>
              <w:spacing w:before="60" w:after="60"/>
              <w:rPr>
                <w:sz w:val="20"/>
                <w:lang w:eastAsia="da-DK"/>
              </w:rPr>
            </w:pPr>
            <w:r w:rsidRPr="009C2D22">
              <w:rPr>
                <w:i/>
                <w:sz w:val="20"/>
                <w:lang w:eastAsia="da-DK"/>
              </w:rPr>
              <w:t>Luftveje, thorax og mediastinum</w:t>
            </w:r>
          </w:p>
        </w:tc>
        <w:tc>
          <w:tcPr>
            <w:tcW w:w="886" w:type="pct"/>
            <w:tcBorders>
              <w:top w:val="single" w:sz="4" w:space="0" w:color="auto"/>
              <w:left w:val="single" w:sz="4" w:space="0" w:color="auto"/>
              <w:bottom w:val="single" w:sz="4" w:space="0" w:color="auto"/>
              <w:right w:val="single" w:sz="4" w:space="0" w:color="auto"/>
            </w:tcBorders>
          </w:tcPr>
          <w:p w14:paraId="709175D7" w14:textId="77777777" w:rsidR="00582EF9" w:rsidRPr="009C2D22" w:rsidRDefault="00582EF9" w:rsidP="002E3625">
            <w:pPr>
              <w:spacing w:before="60" w:after="60"/>
              <w:rPr>
                <w:i/>
                <w:iCs/>
                <w:sz w:val="20"/>
                <w:lang w:eastAsia="da-DK"/>
              </w:rPr>
            </w:pPr>
          </w:p>
        </w:tc>
        <w:tc>
          <w:tcPr>
            <w:tcW w:w="755" w:type="pct"/>
            <w:tcBorders>
              <w:top w:val="single" w:sz="4" w:space="0" w:color="auto"/>
              <w:left w:val="single" w:sz="4" w:space="0" w:color="auto"/>
              <w:bottom w:val="single" w:sz="4" w:space="0" w:color="auto"/>
              <w:right w:val="single" w:sz="4" w:space="0" w:color="auto"/>
            </w:tcBorders>
            <w:hideMark/>
          </w:tcPr>
          <w:p w14:paraId="1762B63D" w14:textId="77777777" w:rsidR="00582EF9" w:rsidRPr="009C2D22" w:rsidRDefault="00582EF9" w:rsidP="002E3625">
            <w:pPr>
              <w:spacing w:before="60" w:after="60"/>
              <w:rPr>
                <w:sz w:val="20"/>
                <w:lang w:eastAsia="da-DK"/>
              </w:rPr>
            </w:pPr>
            <w:r w:rsidRPr="009C2D22">
              <w:rPr>
                <w:sz w:val="20"/>
                <w:lang w:eastAsia="da-DK"/>
              </w:rPr>
              <w:t>Dyspnø</w:t>
            </w:r>
            <w:r w:rsidRPr="009C2D22">
              <w:rPr>
                <w:sz w:val="20"/>
                <w:vertAlign w:val="superscript"/>
                <w:lang w:eastAsia="da-DK"/>
              </w:rPr>
              <w:t>23</w:t>
            </w:r>
          </w:p>
        </w:tc>
        <w:tc>
          <w:tcPr>
            <w:tcW w:w="778" w:type="pct"/>
            <w:tcBorders>
              <w:top w:val="single" w:sz="4" w:space="0" w:color="auto"/>
              <w:left w:val="single" w:sz="4" w:space="0" w:color="auto"/>
              <w:bottom w:val="single" w:sz="4" w:space="0" w:color="auto"/>
              <w:right w:val="single" w:sz="4" w:space="0" w:color="auto"/>
            </w:tcBorders>
            <w:hideMark/>
          </w:tcPr>
          <w:p w14:paraId="40F602D3" w14:textId="77777777" w:rsidR="00582EF9" w:rsidRPr="009C2D22" w:rsidRDefault="00582EF9" w:rsidP="002E3625">
            <w:pPr>
              <w:spacing w:before="60" w:after="60"/>
              <w:rPr>
                <w:sz w:val="20"/>
                <w:lang w:eastAsia="da-DK"/>
              </w:rPr>
            </w:pPr>
            <w:r w:rsidRPr="009C2D22">
              <w:rPr>
                <w:sz w:val="20"/>
                <w:lang w:eastAsia="da-DK"/>
              </w:rPr>
              <w:t xml:space="preserve">Rhinitis </w:t>
            </w:r>
            <w:r w:rsidRPr="009C2D22">
              <w:rPr>
                <w:sz w:val="20"/>
                <w:vertAlign w:val="superscript"/>
                <w:lang w:eastAsia="da-DK"/>
              </w:rPr>
              <w:t xml:space="preserve"> </w:t>
            </w:r>
          </w:p>
        </w:tc>
        <w:tc>
          <w:tcPr>
            <w:tcW w:w="551" w:type="pct"/>
            <w:tcBorders>
              <w:top w:val="single" w:sz="4" w:space="0" w:color="auto"/>
              <w:left w:val="single" w:sz="4" w:space="0" w:color="auto"/>
              <w:bottom w:val="single" w:sz="4" w:space="0" w:color="auto"/>
              <w:right w:val="single" w:sz="4" w:space="0" w:color="auto"/>
            </w:tcBorders>
          </w:tcPr>
          <w:p w14:paraId="38D72920" w14:textId="77777777" w:rsidR="00582EF9" w:rsidRPr="009C2D22" w:rsidRDefault="00582EF9" w:rsidP="002E3625">
            <w:pPr>
              <w:spacing w:before="60" w:after="60"/>
              <w:rPr>
                <w:i/>
                <w:iCs/>
                <w:sz w:val="20"/>
                <w:lang w:eastAsia="da-DK"/>
              </w:rPr>
            </w:pPr>
          </w:p>
        </w:tc>
        <w:tc>
          <w:tcPr>
            <w:tcW w:w="741" w:type="pct"/>
            <w:tcBorders>
              <w:top w:val="single" w:sz="4" w:space="0" w:color="auto"/>
              <w:left w:val="single" w:sz="4" w:space="0" w:color="auto"/>
              <w:bottom w:val="single" w:sz="4" w:space="0" w:color="auto"/>
              <w:right w:val="single" w:sz="4" w:space="0" w:color="auto"/>
            </w:tcBorders>
          </w:tcPr>
          <w:p w14:paraId="31518D9D" w14:textId="77777777" w:rsidR="00582EF9" w:rsidRPr="009C2D22" w:rsidRDefault="00582EF9" w:rsidP="002E3625">
            <w:pPr>
              <w:spacing w:before="60" w:after="60"/>
              <w:rPr>
                <w:i/>
                <w:iCs/>
                <w:sz w:val="20"/>
                <w:lang w:eastAsia="da-DK"/>
              </w:rPr>
            </w:pPr>
          </w:p>
        </w:tc>
        <w:tc>
          <w:tcPr>
            <w:tcW w:w="577" w:type="pct"/>
            <w:tcBorders>
              <w:top w:val="single" w:sz="4" w:space="0" w:color="auto"/>
              <w:left w:val="single" w:sz="4" w:space="0" w:color="auto"/>
              <w:bottom w:val="single" w:sz="4" w:space="0" w:color="auto"/>
              <w:right w:val="single" w:sz="4" w:space="0" w:color="auto"/>
            </w:tcBorders>
          </w:tcPr>
          <w:p w14:paraId="20B28379" w14:textId="77777777" w:rsidR="00582EF9" w:rsidRPr="009C2D22" w:rsidRDefault="00582EF9" w:rsidP="002E3625">
            <w:pPr>
              <w:spacing w:before="60" w:after="60"/>
              <w:rPr>
                <w:i/>
                <w:iCs/>
                <w:sz w:val="20"/>
                <w:lang w:eastAsia="da-DK"/>
              </w:rPr>
            </w:pPr>
          </w:p>
        </w:tc>
      </w:tr>
      <w:tr w:rsidR="00AD2389" w:rsidRPr="009C2D22" w14:paraId="28E6F29C"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3F8C1071" w14:textId="77777777" w:rsidR="00582EF9" w:rsidRPr="009C2D22" w:rsidRDefault="00582EF9" w:rsidP="002E3625">
            <w:pPr>
              <w:spacing w:before="60" w:after="60"/>
              <w:rPr>
                <w:sz w:val="20"/>
                <w:lang w:eastAsia="da-DK"/>
              </w:rPr>
            </w:pPr>
            <w:r w:rsidRPr="009C2D22">
              <w:rPr>
                <w:i/>
                <w:sz w:val="20"/>
                <w:lang w:eastAsia="da-DK"/>
              </w:rPr>
              <w:t>Mave-tarm-kanalen</w:t>
            </w:r>
          </w:p>
        </w:tc>
        <w:tc>
          <w:tcPr>
            <w:tcW w:w="886" w:type="pct"/>
            <w:tcBorders>
              <w:top w:val="single" w:sz="4" w:space="0" w:color="auto"/>
              <w:left w:val="single" w:sz="4" w:space="0" w:color="auto"/>
              <w:bottom w:val="single" w:sz="4" w:space="0" w:color="auto"/>
              <w:right w:val="single" w:sz="4" w:space="0" w:color="auto"/>
            </w:tcBorders>
            <w:hideMark/>
          </w:tcPr>
          <w:p w14:paraId="7B5F907F" w14:textId="77777777" w:rsidR="00582EF9" w:rsidRPr="009C2D22" w:rsidRDefault="00582EF9" w:rsidP="002E3625">
            <w:pPr>
              <w:spacing w:before="60" w:after="60"/>
              <w:rPr>
                <w:sz w:val="20"/>
                <w:lang w:eastAsia="da-DK"/>
              </w:rPr>
            </w:pPr>
            <w:r w:rsidRPr="009C2D22">
              <w:rPr>
                <w:sz w:val="20"/>
                <w:lang w:eastAsia="da-DK"/>
              </w:rPr>
              <w:t>Mundtørhed</w:t>
            </w:r>
          </w:p>
        </w:tc>
        <w:tc>
          <w:tcPr>
            <w:tcW w:w="755" w:type="pct"/>
            <w:tcBorders>
              <w:top w:val="single" w:sz="4" w:space="0" w:color="auto"/>
              <w:left w:val="single" w:sz="4" w:space="0" w:color="auto"/>
              <w:bottom w:val="single" w:sz="4" w:space="0" w:color="auto"/>
              <w:right w:val="single" w:sz="4" w:space="0" w:color="auto"/>
            </w:tcBorders>
            <w:hideMark/>
          </w:tcPr>
          <w:p w14:paraId="1C3742FD" w14:textId="77777777" w:rsidR="00582EF9" w:rsidRPr="009C2D22" w:rsidRDefault="00582EF9" w:rsidP="002E3625">
            <w:pPr>
              <w:spacing w:before="60" w:after="60"/>
              <w:rPr>
                <w:sz w:val="20"/>
                <w:lang w:eastAsia="da-DK"/>
              </w:rPr>
            </w:pPr>
            <w:r w:rsidRPr="009C2D22">
              <w:rPr>
                <w:sz w:val="20"/>
                <w:lang w:eastAsia="da-DK"/>
              </w:rPr>
              <w:t>Obstipation, dyspepsi, opkastning</w:t>
            </w:r>
            <w:r w:rsidRPr="009C2D22">
              <w:rPr>
                <w:sz w:val="20"/>
                <w:vertAlign w:val="superscript"/>
                <w:lang w:eastAsia="da-DK"/>
              </w:rPr>
              <w:t>25</w:t>
            </w:r>
          </w:p>
        </w:tc>
        <w:tc>
          <w:tcPr>
            <w:tcW w:w="778" w:type="pct"/>
            <w:tcBorders>
              <w:top w:val="single" w:sz="4" w:space="0" w:color="auto"/>
              <w:left w:val="single" w:sz="4" w:space="0" w:color="auto"/>
              <w:bottom w:val="single" w:sz="4" w:space="0" w:color="auto"/>
              <w:right w:val="single" w:sz="4" w:space="0" w:color="auto"/>
            </w:tcBorders>
            <w:hideMark/>
          </w:tcPr>
          <w:p w14:paraId="0F11984A" w14:textId="77777777" w:rsidR="00582EF9" w:rsidRPr="009C2D22" w:rsidRDefault="00582EF9" w:rsidP="002E3625">
            <w:pPr>
              <w:spacing w:before="60" w:after="60"/>
              <w:rPr>
                <w:sz w:val="20"/>
                <w:lang w:eastAsia="da-DK"/>
              </w:rPr>
            </w:pPr>
            <w:r w:rsidRPr="009C2D22">
              <w:rPr>
                <w:sz w:val="20"/>
                <w:lang w:eastAsia="da-DK"/>
              </w:rPr>
              <w:t>Dysfagi</w:t>
            </w:r>
            <w:r w:rsidRPr="009C2D22">
              <w:rPr>
                <w:sz w:val="20"/>
                <w:vertAlign w:val="superscript"/>
                <w:lang w:eastAsia="da-DK"/>
              </w:rPr>
              <w:t>7</w:t>
            </w:r>
          </w:p>
        </w:tc>
        <w:tc>
          <w:tcPr>
            <w:tcW w:w="551" w:type="pct"/>
            <w:tcBorders>
              <w:top w:val="single" w:sz="4" w:space="0" w:color="auto"/>
              <w:left w:val="single" w:sz="4" w:space="0" w:color="auto"/>
              <w:bottom w:val="single" w:sz="4" w:space="0" w:color="auto"/>
              <w:right w:val="single" w:sz="4" w:space="0" w:color="auto"/>
            </w:tcBorders>
            <w:hideMark/>
          </w:tcPr>
          <w:p w14:paraId="3492774B" w14:textId="462F80CC" w:rsidR="00582EF9" w:rsidRPr="009C2D22" w:rsidRDefault="00582EF9" w:rsidP="00AD2389">
            <w:pPr>
              <w:spacing w:before="60" w:after="60"/>
              <w:rPr>
                <w:sz w:val="20"/>
                <w:lang w:eastAsia="da-DK"/>
              </w:rPr>
            </w:pPr>
            <w:r w:rsidRPr="009C2D22">
              <w:rPr>
                <w:sz w:val="20"/>
                <w:lang w:eastAsia="da-DK"/>
              </w:rPr>
              <w:t>Pancreati</w:t>
            </w:r>
            <w:r w:rsidR="00AD2389">
              <w:rPr>
                <w:sz w:val="20"/>
                <w:lang w:eastAsia="da-DK"/>
              </w:rPr>
              <w:softHyphen/>
            </w:r>
            <w:r w:rsidRPr="009C2D22">
              <w:rPr>
                <w:sz w:val="20"/>
                <w:lang w:eastAsia="da-DK"/>
              </w:rPr>
              <w:t>tis</w:t>
            </w:r>
            <w:r w:rsidRPr="009C2D22">
              <w:rPr>
                <w:sz w:val="20"/>
                <w:vertAlign w:val="superscript"/>
                <w:lang w:eastAsia="da-DK"/>
              </w:rPr>
              <w:t>1</w:t>
            </w:r>
            <w:r w:rsidRPr="009C2D22">
              <w:rPr>
                <w:sz w:val="20"/>
                <w:lang w:eastAsia="da-DK"/>
              </w:rPr>
              <w:t>, intestinal obstruk</w:t>
            </w:r>
            <w:r w:rsidR="00AD2389">
              <w:rPr>
                <w:sz w:val="20"/>
                <w:lang w:eastAsia="da-DK"/>
              </w:rPr>
              <w:softHyphen/>
            </w:r>
            <w:r w:rsidRPr="009C2D22">
              <w:rPr>
                <w:sz w:val="20"/>
                <w:lang w:eastAsia="da-DK"/>
              </w:rPr>
              <w:t>tion/ileus</w:t>
            </w:r>
          </w:p>
        </w:tc>
        <w:tc>
          <w:tcPr>
            <w:tcW w:w="741" w:type="pct"/>
            <w:tcBorders>
              <w:top w:val="single" w:sz="4" w:space="0" w:color="auto"/>
              <w:left w:val="single" w:sz="4" w:space="0" w:color="auto"/>
              <w:bottom w:val="single" w:sz="4" w:space="0" w:color="auto"/>
              <w:right w:val="single" w:sz="4" w:space="0" w:color="auto"/>
            </w:tcBorders>
          </w:tcPr>
          <w:p w14:paraId="71F74AF7" w14:textId="77777777" w:rsidR="00582EF9" w:rsidRPr="009C2D22" w:rsidRDefault="00582EF9" w:rsidP="002E3625">
            <w:pPr>
              <w:spacing w:before="60" w:after="60"/>
              <w:rPr>
                <w:i/>
                <w:iCs/>
                <w:sz w:val="20"/>
                <w:lang w:eastAsia="da-DK"/>
              </w:rPr>
            </w:pPr>
          </w:p>
        </w:tc>
        <w:tc>
          <w:tcPr>
            <w:tcW w:w="577" w:type="pct"/>
            <w:tcBorders>
              <w:top w:val="single" w:sz="4" w:space="0" w:color="auto"/>
              <w:left w:val="single" w:sz="4" w:space="0" w:color="auto"/>
              <w:bottom w:val="single" w:sz="4" w:space="0" w:color="auto"/>
              <w:right w:val="single" w:sz="4" w:space="0" w:color="auto"/>
            </w:tcBorders>
          </w:tcPr>
          <w:p w14:paraId="3703D3F3" w14:textId="77777777" w:rsidR="00582EF9" w:rsidRPr="009C2D22" w:rsidRDefault="00582EF9" w:rsidP="002E3625">
            <w:pPr>
              <w:spacing w:before="60" w:after="60"/>
              <w:rPr>
                <w:i/>
                <w:iCs/>
                <w:sz w:val="20"/>
                <w:lang w:eastAsia="da-DK"/>
              </w:rPr>
            </w:pPr>
          </w:p>
        </w:tc>
      </w:tr>
      <w:tr w:rsidR="00AD2389" w:rsidRPr="009C2D22" w14:paraId="615DB613"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3EF622A3" w14:textId="77777777" w:rsidR="00582EF9" w:rsidRPr="009C2D22" w:rsidRDefault="00582EF9" w:rsidP="002E3625">
            <w:pPr>
              <w:spacing w:before="60" w:after="60"/>
              <w:rPr>
                <w:sz w:val="20"/>
                <w:lang w:eastAsia="da-DK"/>
              </w:rPr>
            </w:pPr>
            <w:r w:rsidRPr="009C2D22">
              <w:rPr>
                <w:i/>
                <w:sz w:val="20"/>
                <w:lang w:eastAsia="da-DK"/>
              </w:rPr>
              <w:t>Lever og galdeveje</w:t>
            </w:r>
          </w:p>
        </w:tc>
        <w:tc>
          <w:tcPr>
            <w:tcW w:w="886" w:type="pct"/>
            <w:tcBorders>
              <w:top w:val="single" w:sz="4" w:space="0" w:color="auto"/>
              <w:left w:val="single" w:sz="4" w:space="0" w:color="auto"/>
              <w:bottom w:val="single" w:sz="4" w:space="0" w:color="auto"/>
              <w:right w:val="single" w:sz="4" w:space="0" w:color="auto"/>
            </w:tcBorders>
          </w:tcPr>
          <w:p w14:paraId="039BAA80" w14:textId="77777777" w:rsidR="00582EF9" w:rsidRPr="009C2D22" w:rsidRDefault="00582EF9" w:rsidP="002E3625">
            <w:pPr>
              <w:spacing w:before="60" w:after="60"/>
              <w:rPr>
                <w:i/>
                <w:iCs/>
                <w:sz w:val="20"/>
                <w:lang w:eastAsia="da-DK"/>
              </w:rPr>
            </w:pPr>
          </w:p>
        </w:tc>
        <w:tc>
          <w:tcPr>
            <w:tcW w:w="755" w:type="pct"/>
            <w:tcBorders>
              <w:top w:val="single" w:sz="4" w:space="0" w:color="auto"/>
              <w:left w:val="single" w:sz="4" w:space="0" w:color="auto"/>
              <w:bottom w:val="single" w:sz="4" w:space="0" w:color="auto"/>
              <w:right w:val="single" w:sz="4" w:space="0" w:color="auto"/>
            </w:tcBorders>
            <w:hideMark/>
          </w:tcPr>
          <w:p w14:paraId="05E89777" w14:textId="77777777" w:rsidR="00582EF9" w:rsidRPr="009C2D22" w:rsidRDefault="00582EF9" w:rsidP="002E3625">
            <w:pPr>
              <w:spacing w:before="60" w:after="60"/>
              <w:rPr>
                <w:sz w:val="20"/>
                <w:lang w:eastAsia="da-DK"/>
              </w:rPr>
            </w:pPr>
            <w:r w:rsidRPr="009C2D22">
              <w:rPr>
                <w:sz w:val="20"/>
                <w:lang w:eastAsia="da-DK"/>
              </w:rPr>
              <w:t>Stigning i serumalanin-aminotransfe-raser (ALAT)</w:t>
            </w:r>
            <w:r w:rsidRPr="009C2D22">
              <w:rPr>
                <w:sz w:val="20"/>
                <w:vertAlign w:val="superscript"/>
                <w:lang w:eastAsia="da-DK"/>
              </w:rPr>
              <w:t>3</w:t>
            </w:r>
            <w:r w:rsidRPr="009C2D22">
              <w:rPr>
                <w:sz w:val="20"/>
                <w:lang w:eastAsia="da-DK"/>
              </w:rPr>
              <w:t>, stigning i gamma-GT-niveauer</w:t>
            </w:r>
            <w:r w:rsidRPr="009C2D22">
              <w:rPr>
                <w:sz w:val="20"/>
                <w:vertAlign w:val="superscript"/>
                <w:lang w:eastAsia="da-DK"/>
              </w:rPr>
              <w:t>3</w:t>
            </w:r>
          </w:p>
        </w:tc>
        <w:tc>
          <w:tcPr>
            <w:tcW w:w="778" w:type="pct"/>
            <w:tcBorders>
              <w:top w:val="single" w:sz="4" w:space="0" w:color="auto"/>
              <w:left w:val="single" w:sz="4" w:space="0" w:color="auto"/>
              <w:bottom w:val="single" w:sz="4" w:space="0" w:color="auto"/>
              <w:right w:val="single" w:sz="4" w:space="0" w:color="auto"/>
            </w:tcBorders>
            <w:hideMark/>
          </w:tcPr>
          <w:p w14:paraId="47077517" w14:textId="77777777" w:rsidR="00582EF9" w:rsidRPr="009C2D22" w:rsidRDefault="00582EF9" w:rsidP="002E3625">
            <w:pPr>
              <w:spacing w:before="60" w:after="60"/>
              <w:rPr>
                <w:sz w:val="20"/>
                <w:lang w:eastAsia="da-DK"/>
              </w:rPr>
            </w:pPr>
            <w:r w:rsidRPr="009C2D22">
              <w:rPr>
                <w:sz w:val="20"/>
                <w:lang w:eastAsia="da-DK"/>
              </w:rPr>
              <w:t>Stigning i serumaspar-tataminotrans-feraser (ASAT)</w:t>
            </w:r>
            <w:r w:rsidRPr="009C2D22">
              <w:rPr>
                <w:sz w:val="20"/>
                <w:vertAlign w:val="superscript"/>
                <w:lang w:eastAsia="da-DK"/>
              </w:rPr>
              <w:t>3</w:t>
            </w:r>
          </w:p>
        </w:tc>
        <w:tc>
          <w:tcPr>
            <w:tcW w:w="551" w:type="pct"/>
            <w:tcBorders>
              <w:top w:val="single" w:sz="4" w:space="0" w:color="auto"/>
              <w:left w:val="single" w:sz="4" w:space="0" w:color="auto"/>
              <w:bottom w:val="single" w:sz="4" w:space="0" w:color="auto"/>
              <w:right w:val="single" w:sz="4" w:space="0" w:color="auto"/>
            </w:tcBorders>
            <w:hideMark/>
          </w:tcPr>
          <w:p w14:paraId="0423CA6D" w14:textId="77777777" w:rsidR="00582EF9" w:rsidRPr="009C2D22" w:rsidRDefault="00582EF9" w:rsidP="002E3625">
            <w:pPr>
              <w:spacing w:before="60" w:after="60"/>
              <w:rPr>
                <w:sz w:val="20"/>
                <w:lang w:eastAsia="da-DK"/>
              </w:rPr>
            </w:pPr>
            <w:r w:rsidRPr="009C2D22">
              <w:rPr>
                <w:sz w:val="20"/>
                <w:lang w:eastAsia="da-DK"/>
              </w:rPr>
              <w:t>Gulsot</w:t>
            </w:r>
            <w:r w:rsidRPr="009C2D22">
              <w:rPr>
                <w:sz w:val="20"/>
                <w:vertAlign w:val="superscript"/>
                <w:lang w:eastAsia="da-DK"/>
              </w:rPr>
              <w:t>5</w:t>
            </w:r>
            <w:r w:rsidRPr="009C2D22">
              <w:rPr>
                <w:sz w:val="20"/>
                <w:lang w:eastAsia="da-DK"/>
              </w:rPr>
              <w:t>, hepatitis</w:t>
            </w:r>
          </w:p>
        </w:tc>
        <w:tc>
          <w:tcPr>
            <w:tcW w:w="741" w:type="pct"/>
            <w:tcBorders>
              <w:top w:val="single" w:sz="4" w:space="0" w:color="auto"/>
              <w:left w:val="single" w:sz="4" w:space="0" w:color="auto"/>
              <w:bottom w:val="single" w:sz="4" w:space="0" w:color="auto"/>
              <w:right w:val="single" w:sz="4" w:space="0" w:color="auto"/>
            </w:tcBorders>
          </w:tcPr>
          <w:p w14:paraId="6C196D9E" w14:textId="77777777" w:rsidR="00582EF9" w:rsidRPr="009C2D22" w:rsidRDefault="00582EF9" w:rsidP="002E3625">
            <w:pPr>
              <w:spacing w:before="60" w:after="60"/>
              <w:rPr>
                <w:i/>
                <w:iCs/>
                <w:sz w:val="20"/>
                <w:lang w:eastAsia="da-DK"/>
              </w:rPr>
            </w:pPr>
          </w:p>
        </w:tc>
        <w:tc>
          <w:tcPr>
            <w:tcW w:w="577" w:type="pct"/>
            <w:tcBorders>
              <w:top w:val="single" w:sz="4" w:space="0" w:color="auto"/>
              <w:left w:val="single" w:sz="4" w:space="0" w:color="auto"/>
              <w:bottom w:val="single" w:sz="4" w:space="0" w:color="auto"/>
              <w:right w:val="single" w:sz="4" w:space="0" w:color="auto"/>
            </w:tcBorders>
          </w:tcPr>
          <w:p w14:paraId="268F452E" w14:textId="77777777" w:rsidR="00582EF9" w:rsidRPr="009C2D22" w:rsidRDefault="00582EF9" w:rsidP="002E3625">
            <w:pPr>
              <w:spacing w:before="60" w:after="60"/>
              <w:rPr>
                <w:i/>
                <w:iCs/>
                <w:sz w:val="20"/>
                <w:lang w:eastAsia="da-DK"/>
              </w:rPr>
            </w:pPr>
          </w:p>
        </w:tc>
      </w:tr>
      <w:tr w:rsidR="00AD2389" w:rsidRPr="009C2D22" w14:paraId="4CA4735D"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631ED1DD" w14:textId="77777777" w:rsidR="00582EF9" w:rsidRPr="009C2D22" w:rsidRDefault="00582EF9" w:rsidP="002E3625">
            <w:pPr>
              <w:spacing w:before="60" w:after="60"/>
              <w:rPr>
                <w:sz w:val="20"/>
                <w:lang w:eastAsia="da-DK"/>
              </w:rPr>
            </w:pPr>
            <w:r w:rsidRPr="009C2D22">
              <w:rPr>
                <w:i/>
                <w:sz w:val="20"/>
                <w:lang w:eastAsia="da-DK"/>
              </w:rPr>
              <w:lastRenderedPageBreak/>
              <w:t>Hud og subkutane væv</w:t>
            </w:r>
          </w:p>
        </w:tc>
        <w:tc>
          <w:tcPr>
            <w:tcW w:w="886" w:type="pct"/>
            <w:tcBorders>
              <w:top w:val="single" w:sz="4" w:space="0" w:color="auto"/>
              <w:left w:val="single" w:sz="4" w:space="0" w:color="auto"/>
              <w:bottom w:val="single" w:sz="4" w:space="0" w:color="auto"/>
              <w:right w:val="single" w:sz="4" w:space="0" w:color="auto"/>
            </w:tcBorders>
          </w:tcPr>
          <w:p w14:paraId="3065F8C2" w14:textId="77777777" w:rsidR="00582EF9" w:rsidRPr="009C2D22" w:rsidRDefault="00582EF9" w:rsidP="002E3625">
            <w:pPr>
              <w:spacing w:before="60" w:after="60"/>
              <w:rPr>
                <w:i/>
                <w:iCs/>
                <w:sz w:val="20"/>
                <w:lang w:eastAsia="da-DK"/>
              </w:rPr>
            </w:pPr>
          </w:p>
        </w:tc>
        <w:tc>
          <w:tcPr>
            <w:tcW w:w="755" w:type="pct"/>
            <w:tcBorders>
              <w:top w:val="single" w:sz="4" w:space="0" w:color="auto"/>
              <w:left w:val="single" w:sz="4" w:space="0" w:color="auto"/>
              <w:bottom w:val="single" w:sz="4" w:space="0" w:color="auto"/>
              <w:right w:val="single" w:sz="4" w:space="0" w:color="auto"/>
            </w:tcBorders>
          </w:tcPr>
          <w:p w14:paraId="5304EC6A" w14:textId="77777777" w:rsidR="00582EF9" w:rsidRPr="009C2D22" w:rsidRDefault="00582EF9" w:rsidP="002E3625">
            <w:pPr>
              <w:spacing w:before="60" w:after="60"/>
              <w:rPr>
                <w:i/>
                <w:iCs/>
                <w:sz w:val="20"/>
                <w:lang w:eastAsia="da-DK"/>
              </w:rPr>
            </w:pPr>
          </w:p>
        </w:tc>
        <w:tc>
          <w:tcPr>
            <w:tcW w:w="778" w:type="pct"/>
            <w:tcBorders>
              <w:top w:val="single" w:sz="4" w:space="0" w:color="auto"/>
              <w:left w:val="single" w:sz="4" w:space="0" w:color="auto"/>
              <w:bottom w:val="single" w:sz="4" w:space="0" w:color="auto"/>
              <w:right w:val="single" w:sz="4" w:space="0" w:color="auto"/>
            </w:tcBorders>
          </w:tcPr>
          <w:p w14:paraId="7EEE7259" w14:textId="77777777" w:rsidR="00582EF9" w:rsidRPr="009C2D22" w:rsidRDefault="00582EF9" w:rsidP="002E3625">
            <w:pPr>
              <w:spacing w:before="60" w:after="60"/>
              <w:rPr>
                <w:i/>
                <w:iCs/>
                <w:sz w:val="20"/>
                <w:lang w:eastAsia="da-DK"/>
              </w:rPr>
            </w:pPr>
          </w:p>
        </w:tc>
        <w:tc>
          <w:tcPr>
            <w:tcW w:w="551" w:type="pct"/>
            <w:tcBorders>
              <w:top w:val="single" w:sz="4" w:space="0" w:color="auto"/>
              <w:left w:val="single" w:sz="4" w:space="0" w:color="auto"/>
              <w:bottom w:val="single" w:sz="4" w:space="0" w:color="auto"/>
              <w:right w:val="single" w:sz="4" w:space="0" w:color="auto"/>
            </w:tcBorders>
          </w:tcPr>
          <w:p w14:paraId="1CA5CA5A" w14:textId="77777777" w:rsidR="00582EF9" w:rsidRPr="009C2D22" w:rsidRDefault="00582EF9" w:rsidP="002E3625">
            <w:pPr>
              <w:spacing w:before="60" w:after="60"/>
              <w:rPr>
                <w:i/>
                <w:iCs/>
                <w:sz w:val="20"/>
                <w:lang w:eastAsia="da-DK"/>
              </w:rPr>
            </w:pPr>
          </w:p>
        </w:tc>
        <w:tc>
          <w:tcPr>
            <w:tcW w:w="741" w:type="pct"/>
            <w:tcBorders>
              <w:top w:val="single" w:sz="4" w:space="0" w:color="auto"/>
              <w:left w:val="single" w:sz="4" w:space="0" w:color="auto"/>
              <w:bottom w:val="single" w:sz="4" w:space="0" w:color="auto"/>
              <w:right w:val="single" w:sz="4" w:space="0" w:color="auto"/>
            </w:tcBorders>
            <w:hideMark/>
          </w:tcPr>
          <w:p w14:paraId="1F50A8A7" w14:textId="276CE62E" w:rsidR="00582EF9" w:rsidRPr="009C2D22" w:rsidRDefault="00582EF9" w:rsidP="002E3625">
            <w:pPr>
              <w:spacing w:before="60" w:after="60"/>
              <w:rPr>
                <w:sz w:val="20"/>
                <w:lang w:eastAsia="da-DK"/>
              </w:rPr>
            </w:pPr>
            <w:r w:rsidRPr="009C2D22">
              <w:rPr>
                <w:sz w:val="20"/>
                <w:lang w:eastAsia="da-DK"/>
              </w:rPr>
              <w:t>Angioødem</w:t>
            </w:r>
            <w:r w:rsidRPr="009C2D22">
              <w:rPr>
                <w:sz w:val="20"/>
                <w:vertAlign w:val="superscript"/>
                <w:lang w:eastAsia="da-DK"/>
              </w:rPr>
              <w:t>5</w:t>
            </w:r>
            <w:r w:rsidRPr="009C2D22">
              <w:rPr>
                <w:sz w:val="20"/>
                <w:lang w:eastAsia="da-DK"/>
              </w:rPr>
              <w:t>, Stevens-Johnsons syndrom</w:t>
            </w:r>
            <w:r w:rsidRPr="009C2D22">
              <w:rPr>
                <w:sz w:val="20"/>
                <w:vertAlign w:val="superscript"/>
                <w:lang w:eastAsia="da-DK"/>
              </w:rPr>
              <w:t>5</w:t>
            </w:r>
          </w:p>
        </w:tc>
        <w:tc>
          <w:tcPr>
            <w:tcW w:w="577" w:type="pct"/>
            <w:tcBorders>
              <w:top w:val="single" w:sz="4" w:space="0" w:color="auto"/>
              <w:left w:val="single" w:sz="4" w:space="0" w:color="auto"/>
              <w:bottom w:val="single" w:sz="4" w:space="0" w:color="auto"/>
              <w:right w:val="single" w:sz="4" w:space="0" w:color="auto"/>
            </w:tcBorders>
            <w:hideMark/>
          </w:tcPr>
          <w:p w14:paraId="43738556" w14:textId="77777777" w:rsidR="0041243D" w:rsidRDefault="00582EF9" w:rsidP="0041243D">
            <w:pPr>
              <w:rPr>
                <w:sz w:val="20"/>
                <w:lang w:eastAsia="da-DK"/>
              </w:rPr>
            </w:pPr>
            <w:r w:rsidRPr="009C2D22">
              <w:rPr>
                <w:sz w:val="20"/>
                <w:lang w:eastAsia="da-DK"/>
              </w:rPr>
              <w:t>Toksisk epidermal nekrolyse, erythema multiforme,</w:t>
            </w:r>
          </w:p>
          <w:p w14:paraId="7462CCDB" w14:textId="57BC22D8" w:rsidR="00582EF9" w:rsidRPr="009C2D22" w:rsidRDefault="0041243D" w:rsidP="0041243D">
            <w:pPr>
              <w:rPr>
                <w:sz w:val="20"/>
                <w:lang w:eastAsia="da-DK"/>
              </w:rPr>
            </w:pPr>
            <w:r>
              <w:rPr>
                <w:sz w:val="20"/>
                <w:lang w:eastAsia="da-DK"/>
              </w:rPr>
              <w:t>A</w:t>
            </w:r>
            <w:r w:rsidRPr="0041243D">
              <w:rPr>
                <w:sz w:val="20"/>
                <w:lang w:eastAsia="da-DK"/>
              </w:rPr>
              <w:t>kut gene</w:t>
            </w:r>
            <w:r>
              <w:rPr>
                <w:sz w:val="20"/>
                <w:lang w:eastAsia="da-DK"/>
              </w:rPr>
              <w:softHyphen/>
            </w:r>
            <w:r w:rsidRPr="0041243D">
              <w:rPr>
                <w:sz w:val="20"/>
                <w:lang w:eastAsia="da-DK"/>
              </w:rPr>
              <w:t>ra</w:t>
            </w:r>
            <w:r>
              <w:rPr>
                <w:sz w:val="20"/>
                <w:lang w:eastAsia="da-DK"/>
              </w:rPr>
              <w:softHyphen/>
            </w:r>
            <w:r w:rsidRPr="0041243D">
              <w:rPr>
                <w:sz w:val="20"/>
                <w:lang w:eastAsia="da-DK"/>
              </w:rPr>
              <w:t>liseret eksantema</w:t>
            </w:r>
            <w:r>
              <w:rPr>
                <w:sz w:val="20"/>
                <w:lang w:eastAsia="da-DK"/>
              </w:rPr>
              <w:softHyphen/>
            </w:r>
            <w:r w:rsidRPr="0041243D">
              <w:rPr>
                <w:sz w:val="20"/>
                <w:lang w:eastAsia="da-DK"/>
              </w:rPr>
              <w:t>tøs pustu</w:t>
            </w:r>
            <w:r>
              <w:rPr>
                <w:sz w:val="20"/>
                <w:lang w:eastAsia="da-DK"/>
              </w:rPr>
              <w:t>lo</w:t>
            </w:r>
            <w:r>
              <w:rPr>
                <w:sz w:val="20"/>
                <w:lang w:eastAsia="da-DK"/>
              </w:rPr>
              <w:softHyphen/>
            </w:r>
            <w:r w:rsidRPr="0041243D">
              <w:rPr>
                <w:sz w:val="20"/>
                <w:lang w:eastAsia="da-DK"/>
              </w:rPr>
              <w:t>se</w:t>
            </w:r>
            <w:r>
              <w:rPr>
                <w:sz w:val="20"/>
                <w:lang w:eastAsia="da-DK"/>
              </w:rPr>
              <w:t xml:space="preserve"> (</w:t>
            </w:r>
            <w:r w:rsidRPr="0041243D">
              <w:rPr>
                <w:sz w:val="20"/>
                <w:lang w:eastAsia="da-DK"/>
              </w:rPr>
              <w:t xml:space="preserve">AGEP), </w:t>
            </w:r>
            <w:r w:rsidR="00582EF9" w:rsidRPr="009C2D22">
              <w:rPr>
                <w:sz w:val="20"/>
                <w:lang w:eastAsia="da-DK"/>
              </w:rPr>
              <w:t>Lægemid</w:t>
            </w:r>
            <w:r w:rsidR="00AD2389">
              <w:rPr>
                <w:sz w:val="20"/>
                <w:lang w:eastAsia="da-DK"/>
              </w:rPr>
              <w:softHyphen/>
            </w:r>
            <w:r w:rsidR="00582EF9" w:rsidRPr="009C2D22">
              <w:rPr>
                <w:sz w:val="20"/>
                <w:lang w:eastAsia="da-DK"/>
              </w:rPr>
              <w:t>delfrem</w:t>
            </w:r>
            <w:r w:rsidR="00AD2389">
              <w:rPr>
                <w:sz w:val="20"/>
                <w:lang w:eastAsia="da-DK"/>
              </w:rPr>
              <w:softHyphen/>
            </w:r>
            <w:r w:rsidR="00582EF9" w:rsidRPr="009C2D22">
              <w:rPr>
                <w:sz w:val="20"/>
                <w:lang w:eastAsia="da-DK"/>
              </w:rPr>
              <w:t>kaldt udslæt med eosinofili og systemiske symptomer (DRESS)</w:t>
            </w:r>
            <w:r>
              <w:rPr>
                <w:sz w:val="20"/>
                <w:lang w:eastAsia="da-DK"/>
              </w:rPr>
              <w:t>,</w:t>
            </w:r>
          </w:p>
          <w:p w14:paraId="0D59E4A0" w14:textId="22BBF482" w:rsidR="0067627C" w:rsidRPr="009C2D22" w:rsidRDefault="0041243D" w:rsidP="0041243D">
            <w:pPr>
              <w:rPr>
                <w:sz w:val="20"/>
                <w:lang w:eastAsia="da-DK"/>
              </w:rPr>
            </w:pPr>
            <w:r>
              <w:rPr>
                <w:sz w:val="20"/>
                <w:lang w:eastAsia="da-DK"/>
              </w:rPr>
              <w:t>K</w:t>
            </w:r>
            <w:r w:rsidR="0067627C" w:rsidRPr="009C2D22">
              <w:rPr>
                <w:sz w:val="20"/>
                <w:lang w:eastAsia="da-DK"/>
              </w:rPr>
              <w:t>utan vaskulitis</w:t>
            </w:r>
          </w:p>
        </w:tc>
      </w:tr>
      <w:tr w:rsidR="00AD2389" w:rsidRPr="009C2D22" w14:paraId="11BDF8E5"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5BEA9B30" w14:textId="77777777" w:rsidR="00582EF9" w:rsidRPr="009C2D22" w:rsidRDefault="00582EF9" w:rsidP="002E3625">
            <w:pPr>
              <w:spacing w:before="60" w:after="60"/>
              <w:rPr>
                <w:sz w:val="20"/>
                <w:lang w:eastAsia="da-DK"/>
              </w:rPr>
            </w:pPr>
            <w:r w:rsidRPr="009C2D22">
              <w:rPr>
                <w:i/>
                <w:sz w:val="20"/>
                <w:lang w:eastAsia="da-DK"/>
              </w:rPr>
              <w:t>Knogler, led, muskler og bindevæv</w:t>
            </w:r>
          </w:p>
        </w:tc>
        <w:tc>
          <w:tcPr>
            <w:tcW w:w="886" w:type="pct"/>
            <w:tcBorders>
              <w:top w:val="single" w:sz="4" w:space="0" w:color="auto"/>
              <w:left w:val="single" w:sz="4" w:space="0" w:color="auto"/>
              <w:bottom w:val="single" w:sz="4" w:space="0" w:color="auto"/>
              <w:right w:val="single" w:sz="4" w:space="0" w:color="auto"/>
            </w:tcBorders>
          </w:tcPr>
          <w:p w14:paraId="52506990" w14:textId="77777777" w:rsidR="00582EF9" w:rsidRPr="009C2D22" w:rsidRDefault="00582EF9" w:rsidP="002E3625">
            <w:pPr>
              <w:spacing w:before="60" w:after="60"/>
              <w:rPr>
                <w:sz w:val="20"/>
                <w:lang w:eastAsia="da-DK"/>
              </w:rPr>
            </w:pPr>
          </w:p>
        </w:tc>
        <w:tc>
          <w:tcPr>
            <w:tcW w:w="755" w:type="pct"/>
            <w:tcBorders>
              <w:top w:val="single" w:sz="4" w:space="0" w:color="auto"/>
              <w:left w:val="single" w:sz="4" w:space="0" w:color="auto"/>
              <w:bottom w:val="single" w:sz="4" w:space="0" w:color="auto"/>
              <w:right w:val="single" w:sz="4" w:space="0" w:color="auto"/>
            </w:tcBorders>
          </w:tcPr>
          <w:p w14:paraId="71EE8D14" w14:textId="77777777" w:rsidR="00582EF9" w:rsidRPr="009C2D22" w:rsidRDefault="00582EF9" w:rsidP="002E3625">
            <w:pPr>
              <w:spacing w:before="60" w:after="60"/>
              <w:rPr>
                <w:sz w:val="20"/>
                <w:lang w:eastAsia="da-DK"/>
              </w:rPr>
            </w:pPr>
          </w:p>
        </w:tc>
        <w:tc>
          <w:tcPr>
            <w:tcW w:w="778" w:type="pct"/>
            <w:tcBorders>
              <w:top w:val="single" w:sz="4" w:space="0" w:color="auto"/>
              <w:left w:val="single" w:sz="4" w:space="0" w:color="auto"/>
              <w:bottom w:val="single" w:sz="4" w:space="0" w:color="auto"/>
              <w:right w:val="single" w:sz="4" w:space="0" w:color="auto"/>
            </w:tcBorders>
          </w:tcPr>
          <w:p w14:paraId="67A73B50" w14:textId="77777777" w:rsidR="00582EF9" w:rsidRPr="009C2D22" w:rsidRDefault="00582EF9" w:rsidP="002E3625">
            <w:pPr>
              <w:spacing w:before="60" w:after="60"/>
              <w:rPr>
                <w:sz w:val="20"/>
                <w:lang w:eastAsia="da-DK"/>
              </w:rPr>
            </w:pPr>
          </w:p>
        </w:tc>
        <w:tc>
          <w:tcPr>
            <w:tcW w:w="551" w:type="pct"/>
            <w:tcBorders>
              <w:top w:val="single" w:sz="4" w:space="0" w:color="auto"/>
              <w:left w:val="single" w:sz="4" w:space="0" w:color="auto"/>
              <w:bottom w:val="single" w:sz="4" w:space="0" w:color="auto"/>
              <w:right w:val="single" w:sz="4" w:space="0" w:color="auto"/>
            </w:tcBorders>
          </w:tcPr>
          <w:p w14:paraId="159B606E" w14:textId="77777777" w:rsidR="00582EF9" w:rsidRPr="009C2D22" w:rsidRDefault="00582EF9" w:rsidP="002E3625">
            <w:pPr>
              <w:spacing w:before="60" w:after="60"/>
              <w:rPr>
                <w:sz w:val="20"/>
                <w:lang w:eastAsia="da-DK"/>
              </w:rPr>
            </w:pPr>
          </w:p>
        </w:tc>
        <w:tc>
          <w:tcPr>
            <w:tcW w:w="741" w:type="pct"/>
            <w:tcBorders>
              <w:top w:val="single" w:sz="4" w:space="0" w:color="auto"/>
              <w:left w:val="single" w:sz="4" w:space="0" w:color="auto"/>
              <w:bottom w:val="single" w:sz="4" w:space="0" w:color="auto"/>
              <w:right w:val="single" w:sz="4" w:space="0" w:color="auto"/>
            </w:tcBorders>
            <w:hideMark/>
          </w:tcPr>
          <w:p w14:paraId="04CF12D0" w14:textId="77777777" w:rsidR="00582EF9" w:rsidRPr="009C2D22" w:rsidRDefault="00582EF9" w:rsidP="002E3625">
            <w:pPr>
              <w:spacing w:before="60" w:after="60"/>
              <w:rPr>
                <w:sz w:val="20"/>
                <w:lang w:eastAsia="da-DK"/>
              </w:rPr>
            </w:pPr>
            <w:r w:rsidRPr="009C2D22">
              <w:rPr>
                <w:sz w:val="20"/>
                <w:lang w:eastAsia="da-DK"/>
              </w:rPr>
              <w:t>Rabdomyolyse</w:t>
            </w:r>
          </w:p>
        </w:tc>
        <w:tc>
          <w:tcPr>
            <w:tcW w:w="577" w:type="pct"/>
            <w:tcBorders>
              <w:top w:val="single" w:sz="4" w:space="0" w:color="auto"/>
              <w:left w:val="single" w:sz="4" w:space="0" w:color="auto"/>
              <w:bottom w:val="single" w:sz="4" w:space="0" w:color="auto"/>
              <w:right w:val="single" w:sz="4" w:space="0" w:color="auto"/>
            </w:tcBorders>
          </w:tcPr>
          <w:p w14:paraId="1711678B" w14:textId="77777777" w:rsidR="00582EF9" w:rsidRPr="009C2D22" w:rsidRDefault="00582EF9" w:rsidP="002E3625">
            <w:pPr>
              <w:spacing w:before="60" w:after="60"/>
              <w:rPr>
                <w:sz w:val="20"/>
                <w:lang w:eastAsia="da-DK"/>
              </w:rPr>
            </w:pPr>
          </w:p>
        </w:tc>
      </w:tr>
      <w:tr w:rsidR="00AD2389" w:rsidRPr="009C2D22" w14:paraId="7FBE950C" w14:textId="77777777" w:rsidTr="00AD2389">
        <w:tc>
          <w:tcPr>
            <w:tcW w:w="712" w:type="pct"/>
            <w:tcBorders>
              <w:top w:val="single" w:sz="4" w:space="0" w:color="auto"/>
              <w:left w:val="single" w:sz="4" w:space="0" w:color="auto"/>
              <w:bottom w:val="single" w:sz="4" w:space="0" w:color="auto"/>
              <w:right w:val="single" w:sz="4" w:space="0" w:color="auto"/>
            </w:tcBorders>
            <w:hideMark/>
          </w:tcPr>
          <w:p w14:paraId="400221EA" w14:textId="77777777" w:rsidR="00582EF9" w:rsidRPr="009C2D22" w:rsidRDefault="00582EF9" w:rsidP="002E3625">
            <w:pPr>
              <w:spacing w:before="60" w:after="60"/>
              <w:rPr>
                <w:sz w:val="20"/>
                <w:lang w:eastAsia="da-DK"/>
              </w:rPr>
            </w:pPr>
            <w:r w:rsidRPr="009C2D22">
              <w:rPr>
                <w:i/>
                <w:sz w:val="20"/>
                <w:lang w:eastAsia="da-DK"/>
              </w:rPr>
              <w:t>Nyrer og urinveje</w:t>
            </w:r>
          </w:p>
        </w:tc>
        <w:tc>
          <w:tcPr>
            <w:tcW w:w="886" w:type="pct"/>
            <w:tcBorders>
              <w:top w:val="single" w:sz="4" w:space="0" w:color="auto"/>
              <w:left w:val="single" w:sz="4" w:space="0" w:color="auto"/>
              <w:bottom w:val="single" w:sz="4" w:space="0" w:color="auto"/>
              <w:right w:val="single" w:sz="4" w:space="0" w:color="auto"/>
            </w:tcBorders>
          </w:tcPr>
          <w:p w14:paraId="2CDBD4BE" w14:textId="77777777" w:rsidR="00582EF9" w:rsidRPr="009C2D22" w:rsidRDefault="00582EF9" w:rsidP="002E3625">
            <w:pPr>
              <w:spacing w:before="60" w:after="60"/>
              <w:rPr>
                <w:sz w:val="20"/>
                <w:lang w:eastAsia="da-DK"/>
              </w:rPr>
            </w:pPr>
          </w:p>
        </w:tc>
        <w:tc>
          <w:tcPr>
            <w:tcW w:w="755" w:type="pct"/>
            <w:tcBorders>
              <w:top w:val="single" w:sz="4" w:space="0" w:color="auto"/>
              <w:left w:val="single" w:sz="4" w:space="0" w:color="auto"/>
              <w:bottom w:val="single" w:sz="4" w:space="0" w:color="auto"/>
              <w:right w:val="single" w:sz="4" w:space="0" w:color="auto"/>
            </w:tcBorders>
          </w:tcPr>
          <w:p w14:paraId="087D427C" w14:textId="77777777" w:rsidR="00582EF9" w:rsidRPr="009C2D22" w:rsidRDefault="00582EF9" w:rsidP="002E3625">
            <w:pPr>
              <w:spacing w:before="60" w:after="60"/>
              <w:rPr>
                <w:sz w:val="20"/>
                <w:lang w:eastAsia="da-DK"/>
              </w:rPr>
            </w:pPr>
          </w:p>
        </w:tc>
        <w:tc>
          <w:tcPr>
            <w:tcW w:w="778" w:type="pct"/>
            <w:tcBorders>
              <w:top w:val="single" w:sz="4" w:space="0" w:color="auto"/>
              <w:left w:val="single" w:sz="4" w:space="0" w:color="auto"/>
              <w:bottom w:val="single" w:sz="4" w:space="0" w:color="auto"/>
              <w:right w:val="single" w:sz="4" w:space="0" w:color="auto"/>
            </w:tcBorders>
            <w:hideMark/>
          </w:tcPr>
          <w:p w14:paraId="486C5122" w14:textId="77777777" w:rsidR="00582EF9" w:rsidRPr="009C2D22" w:rsidRDefault="00582EF9" w:rsidP="002E3625">
            <w:pPr>
              <w:spacing w:before="60" w:after="60"/>
              <w:rPr>
                <w:sz w:val="20"/>
                <w:lang w:eastAsia="da-DK"/>
              </w:rPr>
            </w:pPr>
            <w:r w:rsidRPr="009C2D22">
              <w:rPr>
                <w:sz w:val="20"/>
                <w:lang w:eastAsia="da-DK"/>
              </w:rPr>
              <w:t>Urinretention</w:t>
            </w:r>
          </w:p>
        </w:tc>
        <w:tc>
          <w:tcPr>
            <w:tcW w:w="551" w:type="pct"/>
            <w:tcBorders>
              <w:top w:val="single" w:sz="4" w:space="0" w:color="auto"/>
              <w:left w:val="single" w:sz="4" w:space="0" w:color="auto"/>
              <w:bottom w:val="single" w:sz="4" w:space="0" w:color="auto"/>
              <w:right w:val="single" w:sz="4" w:space="0" w:color="auto"/>
            </w:tcBorders>
          </w:tcPr>
          <w:p w14:paraId="7E716721" w14:textId="77777777" w:rsidR="00582EF9" w:rsidRPr="009C2D22" w:rsidRDefault="00582EF9" w:rsidP="002E3625">
            <w:pPr>
              <w:spacing w:before="60" w:after="60"/>
              <w:rPr>
                <w:sz w:val="20"/>
                <w:lang w:eastAsia="da-DK"/>
              </w:rPr>
            </w:pPr>
          </w:p>
        </w:tc>
        <w:tc>
          <w:tcPr>
            <w:tcW w:w="741" w:type="pct"/>
            <w:tcBorders>
              <w:top w:val="single" w:sz="4" w:space="0" w:color="auto"/>
              <w:left w:val="single" w:sz="4" w:space="0" w:color="auto"/>
              <w:bottom w:val="single" w:sz="4" w:space="0" w:color="auto"/>
              <w:right w:val="single" w:sz="4" w:space="0" w:color="auto"/>
            </w:tcBorders>
          </w:tcPr>
          <w:p w14:paraId="5F8E5EC3" w14:textId="77777777" w:rsidR="00582EF9" w:rsidRPr="009C2D22" w:rsidRDefault="00582EF9" w:rsidP="002E3625">
            <w:pPr>
              <w:spacing w:before="60" w:after="60"/>
              <w:rPr>
                <w:sz w:val="20"/>
                <w:lang w:eastAsia="da-DK"/>
              </w:rPr>
            </w:pPr>
          </w:p>
        </w:tc>
        <w:tc>
          <w:tcPr>
            <w:tcW w:w="577" w:type="pct"/>
            <w:tcBorders>
              <w:top w:val="single" w:sz="4" w:space="0" w:color="auto"/>
              <w:left w:val="single" w:sz="4" w:space="0" w:color="auto"/>
              <w:bottom w:val="single" w:sz="4" w:space="0" w:color="auto"/>
              <w:right w:val="single" w:sz="4" w:space="0" w:color="auto"/>
            </w:tcBorders>
          </w:tcPr>
          <w:p w14:paraId="73D64FC1" w14:textId="77777777" w:rsidR="00582EF9" w:rsidRPr="009C2D22" w:rsidRDefault="00582EF9" w:rsidP="002E3625">
            <w:pPr>
              <w:spacing w:before="60" w:after="60"/>
              <w:rPr>
                <w:sz w:val="20"/>
                <w:lang w:eastAsia="da-DK"/>
              </w:rPr>
            </w:pPr>
          </w:p>
        </w:tc>
      </w:tr>
      <w:tr w:rsidR="00AD2389" w:rsidRPr="009C2D22" w14:paraId="584BBE44"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4D68E9F7" w14:textId="77777777" w:rsidR="00582EF9" w:rsidRPr="009C2D22" w:rsidRDefault="00582EF9" w:rsidP="002E3625">
            <w:pPr>
              <w:spacing w:before="60" w:after="60"/>
              <w:rPr>
                <w:sz w:val="20"/>
                <w:lang w:eastAsia="da-DK"/>
              </w:rPr>
            </w:pPr>
            <w:r w:rsidRPr="009C2D22">
              <w:rPr>
                <w:i/>
                <w:sz w:val="20"/>
                <w:lang w:eastAsia="da-DK"/>
              </w:rPr>
              <w:t>Graviditet, puerperium og den perinatale periode</w:t>
            </w:r>
          </w:p>
        </w:tc>
        <w:tc>
          <w:tcPr>
            <w:tcW w:w="886" w:type="pct"/>
            <w:tcBorders>
              <w:top w:val="single" w:sz="4" w:space="0" w:color="auto"/>
              <w:left w:val="single" w:sz="4" w:space="0" w:color="auto"/>
              <w:bottom w:val="single" w:sz="4" w:space="0" w:color="auto"/>
              <w:right w:val="single" w:sz="4" w:space="0" w:color="auto"/>
            </w:tcBorders>
          </w:tcPr>
          <w:p w14:paraId="4CE48544" w14:textId="77777777" w:rsidR="00582EF9" w:rsidRPr="009C2D22" w:rsidRDefault="00582EF9" w:rsidP="002E3625">
            <w:pPr>
              <w:spacing w:before="60" w:after="60"/>
              <w:rPr>
                <w:i/>
                <w:iCs/>
                <w:sz w:val="20"/>
                <w:lang w:eastAsia="da-DK"/>
              </w:rPr>
            </w:pPr>
          </w:p>
        </w:tc>
        <w:tc>
          <w:tcPr>
            <w:tcW w:w="755" w:type="pct"/>
            <w:tcBorders>
              <w:top w:val="single" w:sz="4" w:space="0" w:color="auto"/>
              <w:left w:val="single" w:sz="4" w:space="0" w:color="auto"/>
              <w:bottom w:val="single" w:sz="4" w:space="0" w:color="auto"/>
              <w:right w:val="single" w:sz="4" w:space="0" w:color="auto"/>
            </w:tcBorders>
          </w:tcPr>
          <w:p w14:paraId="75D9680D" w14:textId="77777777" w:rsidR="00582EF9" w:rsidRPr="009C2D22" w:rsidRDefault="00582EF9" w:rsidP="002E3625">
            <w:pPr>
              <w:spacing w:before="60" w:after="60"/>
              <w:rPr>
                <w:i/>
                <w:iCs/>
                <w:sz w:val="20"/>
                <w:lang w:eastAsia="da-DK"/>
              </w:rPr>
            </w:pPr>
          </w:p>
        </w:tc>
        <w:tc>
          <w:tcPr>
            <w:tcW w:w="778" w:type="pct"/>
            <w:tcBorders>
              <w:top w:val="single" w:sz="4" w:space="0" w:color="auto"/>
              <w:left w:val="single" w:sz="4" w:space="0" w:color="auto"/>
              <w:bottom w:val="single" w:sz="4" w:space="0" w:color="auto"/>
              <w:right w:val="single" w:sz="4" w:space="0" w:color="auto"/>
            </w:tcBorders>
          </w:tcPr>
          <w:p w14:paraId="3079BF92" w14:textId="77777777" w:rsidR="00582EF9" w:rsidRPr="009C2D22" w:rsidRDefault="00582EF9" w:rsidP="002E3625">
            <w:pPr>
              <w:spacing w:before="60" w:after="60"/>
              <w:rPr>
                <w:i/>
                <w:iCs/>
                <w:sz w:val="20"/>
                <w:lang w:eastAsia="da-DK"/>
              </w:rPr>
            </w:pPr>
          </w:p>
        </w:tc>
        <w:tc>
          <w:tcPr>
            <w:tcW w:w="551" w:type="pct"/>
            <w:tcBorders>
              <w:top w:val="single" w:sz="4" w:space="0" w:color="auto"/>
              <w:left w:val="single" w:sz="4" w:space="0" w:color="auto"/>
              <w:bottom w:val="single" w:sz="4" w:space="0" w:color="auto"/>
              <w:right w:val="single" w:sz="4" w:space="0" w:color="auto"/>
            </w:tcBorders>
          </w:tcPr>
          <w:p w14:paraId="49B71FD3" w14:textId="77777777" w:rsidR="00582EF9" w:rsidRPr="009C2D22" w:rsidRDefault="00582EF9" w:rsidP="002E3625">
            <w:pPr>
              <w:spacing w:before="60" w:after="60"/>
              <w:rPr>
                <w:i/>
                <w:iCs/>
                <w:sz w:val="20"/>
                <w:lang w:eastAsia="da-DK"/>
              </w:rPr>
            </w:pPr>
          </w:p>
        </w:tc>
        <w:tc>
          <w:tcPr>
            <w:tcW w:w="741" w:type="pct"/>
            <w:tcBorders>
              <w:top w:val="single" w:sz="4" w:space="0" w:color="auto"/>
              <w:left w:val="single" w:sz="4" w:space="0" w:color="auto"/>
              <w:bottom w:val="single" w:sz="4" w:space="0" w:color="auto"/>
              <w:right w:val="single" w:sz="4" w:space="0" w:color="auto"/>
            </w:tcBorders>
          </w:tcPr>
          <w:p w14:paraId="114CCF0D" w14:textId="77777777" w:rsidR="00582EF9" w:rsidRPr="009C2D22" w:rsidRDefault="00582EF9" w:rsidP="002E3625">
            <w:pPr>
              <w:spacing w:before="60" w:after="60"/>
              <w:rPr>
                <w:i/>
                <w:iCs/>
                <w:sz w:val="20"/>
                <w:lang w:eastAsia="da-DK"/>
              </w:rPr>
            </w:pPr>
          </w:p>
        </w:tc>
        <w:tc>
          <w:tcPr>
            <w:tcW w:w="577" w:type="pct"/>
            <w:tcBorders>
              <w:top w:val="single" w:sz="4" w:space="0" w:color="auto"/>
              <w:left w:val="single" w:sz="4" w:space="0" w:color="auto"/>
              <w:bottom w:val="single" w:sz="4" w:space="0" w:color="auto"/>
              <w:right w:val="single" w:sz="4" w:space="0" w:color="auto"/>
            </w:tcBorders>
            <w:hideMark/>
          </w:tcPr>
          <w:p w14:paraId="4AAFE0B1" w14:textId="12F88FBC" w:rsidR="00582EF9" w:rsidRPr="009C2D22" w:rsidRDefault="00582EF9" w:rsidP="002E3625">
            <w:pPr>
              <w:spacing w:before="60" w:after="60"/>
              <w:rPr>
                <w:sz w:val="20"/>
                <w:lang w:eastAsia="da-DK"/>
              </w:rPr>
            </w:pPr>
            <w:r w:rsidRPr="009C2D22">
              <w:rPr>
                <w:sz w:val="20"/>
                <w:lang w:eastAsia="da-DK"/>
              </w:rPr>
              <w:t>Sepone</w:t>
            </w:r>
            <w:r w:rsidR="00AD2389">
              <w:rPr>
                <w:sz w:val="20"/>
                <w:lang w:eastAsia="da-DK"/>
              </w:rPr>
              <w:softHyphen/>
            </w:r>
            <w:r w:rsidRPr="009C2D22">
              <w:rPr>
                <w:sz w:val="20"/>
                <w:lang w:eastAsia="da-DK"/>
              </w:rPr>
              <w:t>rings-syndrom hos nyfødte</w:t>
            </w:r>
            <w:r w:rsidRPr="009C2D22">
              <w:rPr>
                <w:sz w:val="20"/>
                <w:vertAlign w:val="superscript"/>
                <w:lang w:eastAsia="da-DK"/>
              </w:rPr>
              <w:t>31</w:t>
            </w:r>
          </w:p>
        </w:tc>
      </w:tr>
      <w:tr w:rsidR="00AD2389" w:rsidRPr="009C2D22" w14:paraId="2F8EF6BD"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6CCF19FB" w14:textId="77777777" w:rsidR="00582EF9" w:rsidRPr="009C2D22" w:rsidRDefault="00582EF9" w:rsidP="002E3625">
            <w:pPr>
              <w:spacing w:before="60" w:after="60"/>
              <w:rPr>
                <w:sz w:val="20"/>
                <w:lang w:eastAsia="da-DK"/>
              </w:rPr>
            </w:pPr>
            <w:r w:rsidRPr="009C2D22">
              <w:rPr>
                <w:i/>
                <w:sz w:val="20"/>
                <w:lang w:eastAsia="da-DK"/>
              </w:rPr>
              <w:t>Det reproduktive system og mammae</w:t>
            </w:r>
          </w:p>
        </w:tc>
        <w:tc>
          <w:tcPr>
            <w:tcW w:w="886" w:type="pct"/>
            <w:tcBorders>
              <w:top w:val="single" w:sz="4" w:space="0" w:color="auto"/>
              <w:left w:val="single" w:sz="4" w:space="0" w:color="auto"/>
              <w:bottom w:val="single" w:sz="4" w:space="0" w:color="auto"/>
              <w:right w:val="single" w:sz="4" w:space="0" w:color="auto"/>
            </w:tcBorders>
          </w:tcPr>
          <w:p w14:paraId="6024A5DF" w14:textId="77777777" w:rsidR="00582EF9" w:rsidRPr="009C2D22" w:rsidRDefault="00582EF9" w:rsidP="002E3625">
            <w:pPr>
              <w:spacing w:before="60" w:after="60"/>
              <w:rPr>
                <w:i/>
                <w:iCs/>
                <w:sz w:val="20"/>
                <w:lang w:eastAsia="da-DK"/>
              </w:rPr>
            </w:pPr>
          </w:p>
        </w:tc>
        <w:tc>
          <w:tcPr>
            <w:tcW w:w="755" w:type="pct"/>
            <w:tcBorders>
              <w:top w:val="single" w:sz="4" w:space="0" w:color="auto"/>
              <w:left w:val="single" w:sz="4" w:space="0" w:color="auto"/>
              <w:bottom w:val="single" w:sz="4" w:space="0" w:color="auto"/>
              <w:right w:val="single" w:sz="4" w:space="0" w:color="auto"/>
            </w:tcBorders>
          </w:tcPr>
          <w:p w14:paraId="78FC473B" w14:textId="77777777" w:rsidR="00582EF9" w:rsidRPr="009C2D22" w:rsidRDefault="00582EF9" w:rsidP="002E3625">
            <w:pPr>
              <w:spacing w:before="60" w:after="60"/>
              <w:rPr>
                <w:i/>
                <w:iCs/>
                <w:sz w:val="20"/>
                <w:lang w:eastAsia="da-DK"/>
              </w:rPr>
            </w:pPr>
          </w:p>
        </w:tc>
        <w:tc>
          <w:tcPr>
            <w:tcW w:w="778" w:type="pct"/>
            <w:tcBorders>
              <w:top w:val="single" w:sz="4" w:space="0" w:color="auto"/>
              <w:left w:val="single" w:sz="4" w:space="0" w:color="auto"/>
              <w:bottom w:val="single" w:sz="4" w:space="0" w:color="auto"/>
              <w:right w:val="single" w:sz="4" w:space="0" w:color="auto"/>
            </w:tcBorders>
            <w:hideMark/>
          </w:tcPr>
          <w:p w14:paraId="01459FDE" w14:textId="77777777" w:rsidR="00582EF9" w:rsidRPr="009C2D22" w:rsidRDefault="00582EF9" w:rsidP="002E3625">
            <w:pPr>
              <w:spacing w:before="60" w:after="60"/>
              <w:rPr>
                <w:sz w:val="20"/>
                <w:lang w:eastAsia="da-DK"/>
              </w:rPr>
            </w:pPr>
            <w:r w:rsidRPr="009C2D22">
              <w:rPr>
                <w:sz w:val="20"/>
                <w:lang w:eastAsia="da-DK"/>
              </w:rPr>
              <w:t>Seksuel dysfunktion</w:t>
            </w:r>
          </w:p>
        </w:tc>
        <w:tc>
          <w:tcPr>
            <w:tcW w:w="551" w:type="pct"/>
            <w:tcBorders>
              <w:top w:val="single" w:sz="4" w:space="0" w:color="auto"/>
              <w:left w:val="single" w:sz="4" w:space="0" w:color="auto"/>
              <w:bottom w:val="single" w:sz="4" w:space="0" w:color="auto"/>
              <w:right w:val="single" w:sz="4" w:space="0" w:color="auto"/>
            </w:tcBorders>
            <w:hideMark/>
          </w:tcPr>
          <w:p w14:paraId="6712BDD2" w14:textId="412A11D1" w:rsidR="00582EF9" w:rsidRPr="009C2D22" w:rsidRDefault="00582EF9" w:rsidP="002E3625">
            <w:pPr>
              <w:spacing w:before="60" w:after="60"/>
              <w:rPr>
                <w:sz w:val="20"/>
                <w:lang w:eastAsia="da-DK"/>
              </w:rPr>
            </w:pPr>
            <w:r w:rsidRPr="009C2D22">
              <w:rPr>
                <w:sz w:val="20"/>
                <w:lang w:eastAsia="da-DK"/>
              </w:rPr>
              <w:t>Priapisme, galaktorré, brysthæ</w:t>
            </w:r>
            <w:r w:rsidR="00AD2389">
              <w:rPr>
                <w:sz w:val="20"/>
                <w:lang w:eastAsia="da-DK"/>
              </w:rPr>
              <w:softHyphen/>
            </w:r>
            <w:r w:rsidRPr="009C2D22">
              <w:rPr>
                <w:sz w:val="20"/>
                <w:lang w:eastAsia="da-DK"/>
              </w:rPr>
              <w:t>velse, menstrua</w:t>
            </w:r>
            <w:r w:rsidR="00AD2389">
              <w:rPr>
                <w:sz w:val="20"/>
                <w:lang w:eastAsia="da-DK"/>
              </w:rPr>
              <w:softHyphen/>
            </w:r>
            <w:r w:rsidRPr="009C2D22">
              <w:rPr>
                <w:sz w:val="20"/>
                <w:lang w:eastAsia="da-DK"/>
              </w:rPr>
              <w:t>tionsfor</w:t>
            </w:r>
            <w:r w:rsidR="00AD2389">
              <w:rPr>
                <w:sz w:val="20"/>
                <w:lang w:eastAsia="da-DK"/>
              </w:rPr>
              <w:softHyphen/>
            </w:r>
            <w:r w:rsidRPr="009C2D22">
              <w:rPr>
                <w:sz w:val="20"/>
                <w:lang w:eastAsia="da-DK"/>
              </w:rPr>
              <w:t>styr</w:t>
            </w:r>
            <w:r w:rsidR="00AD2389">
              <w:rPr>
                <w:sz w:val="20"/>
                <w:lang w:eastAsia="da-DK"/>
              </w:rPr>
              <w:softHyphen/>
            </w:r>
            <w:r w:rsidRPr="009C2D22">
              <w:rPr>
                <w:sz w:val="20"/>
                <w:lang w:eastAsia="da-DK"/>
              </w:rPr>
              <w:t>relser</w:t>
            </w:r>
          </w:p>
        </w:tc>
        <w:tc>
          <w:tcPr>
            <w:tcW w:w="741" w:type="pct"/>
            <w:tcBorders>
              <w:top w:val="single" w:sz="4" w:space="0" w:color="auto"/>
              <w:left w:val="single" w:sz="4" w:space="0" w:color="auto"/>
              <w:bottom w:val="single" w:sz="4" w:space="0" w:color="auto"/>
              <w:right w:val="single" w:sz="4" w:space="0" w:color="auto"/>
            </w:tcBorders>
          </w:tcPr>
          <w:p w14:paraId="550907A4" w14:textId="77777777" w:rsidR="00582EF9" w:rsidRPr="009C2D22" w:rsidRDefault="00582EF9" w:rsidP="002E3625">
            <w:pPr>
              <w:spacing w:before="60" w:after="60"/>
              <w:rPr>
                <w:i/>
                <w:iCs/>
                <w:sz w:val="20"/>
                <w:lang w:eastAsia="da-DK"/>
              </w:rPr>
            </w:pPr>
          </w:p>
        </w:tc>
        <w:tc>
          <w:tcPr>
            <w:tcW w:w="577" w:type="pct"/>
            <w:tcBorders>
              <w:top w:val="single" w:sz="4" w:space="0" w:color="auto"/>
              <w:left w:val="single" w:sz="4" w:space="0" w:color="auto"/>
              <w:bottom w:val="single" w:sz="4" w:space="0" w:color="auto"/>
              <w:right w:val="single" w:sz="4" w:space="0" w:color="auto"/>
            </w:tcBorders>
          </w:tcPr>
          <w:p w14:paraId="56770887" w14:textId="77777777" w:rsidR="00582EF9" w:rsidRPr="009C2D22" w:rsidRDefault="00582EF9" w:rsidP="002E3625">
            <w:pPr>
              <w:spacing w:before="60" w:after="60"/>
              <w:rPr>
                <w:i/>
                <w:iCs/>
                <w:sz w:val="20"/>
                <w:lang w:eastAsia="da-DK"/>
              </w:rPr>
            </w:pPr>
          </w:p>
        </w:tc>
      </w:tr>
      <w:tr w:rsidR="00AD2389" w:rsidRPr="009C2D22" w14:paraId="6BB0D120"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1A9C8661" w14:textId="77777777" w:rsidR="00582EF9" w:rsidRPr="009C2D22" w:rsidRDefault="00582EF9" w:rsidP="002E3625">
            <w:pPr>
              <w:spacing w:before="60" w:after="60"/>
              <w:rPr>
                <w:sz w:val="20"/>
                <w:lang w:eastAsia="da-DK"/>
              </w:rPr>
            </w:pPr>
            <w:r w:rsidRPr="009C2D22">
              <w:rPr>
                <w:i/>
                <w:sz w:val="20"/>
                <w:lang w:eastAsia="da-DK"/>
              </w:rPr>
              <w:t>Almene symptomer og reaktioner på administra-tionsstedet</w:t>
            </w:r>
          </w:p>
        </w:tc>
        <w:tc>
          <w:tcPr>
            <w:tcW w:w="886" w:type="pct"/>
            <w:tcBorders>
              <w:top w:val="single" w:sz="4" w:space="0" w:color="auto"/>
              <w:left w:val="single" w:sz="4" w:space="0" w:color="auto"/>
              <w:bottom w:val="single" w:sz="4" w:space="0" w:color="auto"/>
              <w:right w:val="single" w:sz="4" w:space="0" w:color="auto"/>
            </w:tcBorders>
            <w:hideMark/>
          </w:tcPr>
          <w:p w14:paraId="01DC094A" w14:textId="77777777" w:rsidR="00582EF9" w:rsidRPr="009C2D22" w:rsidRDefault="00582EF9" w:rsidP="002E3625">
            <w:pPr>
              <w:spacing w:before="60" w:after="60"/>
              <w:rPr>
                <w:sz w:val="20"/>
                <w:lang w:eastAsia="da-DK"/>
              </w:rPr>
            </w:pPr>
            <w:r w:rsidRPr="009C2D22">
              <w:rPr>
                <w:sz w:val="20"/>
                <w:lang w:eastAsia="da-DK"/>
              </w:rPr>
              <w:t>Seponerings-symptomer (abstinenser)</w:t>
            </w:r>
            <w:r w:rsidRPr="009C2D22">
              <w:rPr>
                <w:sz w:val="20"/>
                <w:vertAlign w:val="superscript"/>
                <w:lang w:eastAsia="da-DK"/>
              </w:rPr>
              <w:t>1,9</w:t>
            </w:r>
          </w:p>
        </w:tc>
        <w:tc>
          <w:tcPr>
            <w:tcW w:w="755" w:type="pct"/>
            <w:tcBorders>
              <w:top w:val="single" w:sz="4" w:space="0" w:color="auto"/>
              <w:left w:val="single" w:sz="4" w:space="0" w:color="auto"/>
              <w:bottom w:val="single" w:sz="4" w:space="0" w:color="auto"/>
              <w:right w:val="single" w:sz="4" w:space="0" w:color="auto"/>
            </w:tcBorders>
            <w:hideMark/>
          </w:tcPr>
          <w:p w14:paraId="715D0B62" w14:textId="77777777" w:rsidR="00582EF9" w:rsidRPr="009C2D22" w:rsidRDefault="00582EF9" w:rsidP="002E3625">
            <w:pPr>
              <w:spacing w:before="60" w:after="60"/>
              <w:rPr>
                <w:sz w:val="20"/>
                <w:lang w:eastAsia="da-DK"/>
              </w:rPr>
            </w:pPr>
            <w:r w:rsidRPr="009C2D22">
              <w:rPr>
                <w:sz w:val="20"/>
                <w:lang w:eastAsia="da-DK"/>
              </w:rPr>
              <w:t>Mild asteni, perifert ødem, irritabilitet, pyreksi</w:t>
            </w:r>
          </w:p>
        </w:tc>
        <w:tc>
          <w:tcPr>
            <w:tcW w:w="778" w:type="pct"/>
            <w:tcBorders>
              <w:top w:val="single" w:sz="4" w:space="0" w:color="auto"/>
              <w:left w:val="single" w:sz="4" w:space="0" w:color="auto"/>
              <w:bottom w:val="single" w:sz="4" w:space="0" w:color="auto"/>
              <w:right w:val="single" w:sz="4" w:space="0" w:color="auto"/>
            </w:tcBorders>
          </w:tcPr>
          <w:p w14:paraId="198AB4F4" w14:textId="77777777" w:rsidR="00582EF9" w:rsidRPr="009C2D22" w:rsidRDefault="00582EF9" w:rsidP="002E3625">
            <w:pPr>
              <w:spacing w:before="60" w:after="60"/>
              <w:rPr>
                <w:i/>
                <w:iCs/>
                <w:sz w:val="20"/>
                <w:lang w:eastAsia="da-DK"/>
              </w:rPr>
            </w:pPr>
          </w:p>
        </w:tc>
        <w:tc>
          <w:tcPr>
            <w:tcW w:w="551" w:type="pct"/>
            <w:tcBorders>
              <w:top w:val="single" w:sz="4" w:space="0" w:color="auto"/>
              <w:left w:val="single" w:sz="4" w:space="0" w:color="auto"/>
              <w:bottom w:val="single" w:sz="4" w:space="0" w:color="auto"/>
              <w:right w:val="single" w:sz="4" w:space="0" w:color="auto"/>
            </w:tcBorders>
            <w:hideMark/>
          </w:tcPr>
          <w:p w14:paraId="794CB2E7" w14:textId="6B4E110A" w:rsidR="00582EF9" w:rsidRPr="009C2D22" w:rsidRDefault="00582EF9" w:rsidP="002E3625">
            <w:pPr>
              <w:spacing w:before="60" w:after="60"/>
              <w:rPr>
                <w:sz w:val="20"/>
                <w:lang w:eastAsia="da-DK"/>
              </w:rPr>
            </w:pPr>
            <w:r w:rsidRPr="009C2D22">
              <w:rPr>
                <w:sz w:val="20"/>
                <w:lang w:eastAsia="da-DK"/>
              </w:rPr>
              <w:t>Malignt neurolepti</w:t>
            </w:r>
            <w:r w:rsidR="00AD2389">
              <w:rPr>
                <w:sz w:val="20"/>
                <w:lang w:eastAsia="da-DK"/>
              </w:rPr>
              <w:softHyphen/>
            </w:r>
            <w:r w:rsidRPr="009C2D22">
              <w:rPr>
                <w:sz w:val="20"/>
                <w:lang w:eastAsia="da-DK"/>
              </w:rPr>
              <w:t>kasyn</w:t>
            </w:r>
            <w:r w:rsidR="00AD2389">
              <w:rPr>
                <w:sz w:val="20"/>
                <w:lang w:eastAsia="da-DK"/>
              </w:rPr>
              <w:softHyphen/>
            </w:r>
            <w:r w:rsidRPr="009C2D22">
              <w:rPr>
                <w:sz w:val="20"/>
                <w:lang w:eastAsia="da-DK"/>
              </w:rPr>
              <w:t>drom</w:t>
            </w:r>
            <w:r w:rsidRPr="009C2D22">
              <w:rPr>
                <w:sz w:val="20"/>
                <w:vertAlign w:val="superscript"/>
                <w:lang w:eastAsia="da-DK"/>
              </w:rPr>
              <w:t>1</w:t>
            </w:r>
            <w:r w:rsidRPr="009C2D22">
              <w:rPr>
                <w:sz w:val="20"/>
                <w:lang w:eastAsia="da-DK"/>
              </w:rPr>
              <w:t>, hypotermi</w:t>
            </w:r>
          </w:p>
        </w:tc>
        <w:tc>
          <w:tcPr>
            <w:tcW w:w="741" w:type="pct"/>
            <w:tcBorders>
              <w:top w:val="single" w:sz="4" w:space="0" w:color="auto"/>
              <w:left w:val="single" w:sz="4" w:space="0" w:color="auto"/>
              <w:bottom w:val="single" w:sz="4" w:space="0" w:color="auto"/>
              <w:right w:val="single" w:sz="4" w:space="0" w:color="auto"/>
            </w:tcBorders>
          </w:tcPr>
          <w:p w14:paraId="0E7845F3" w14:textId="77777777" w:rsidR="00582EF9" w:rsidRPr="009C2D22" w:rsidRDefault="00582EF9" w:rsidP="002E3625">
            <w:pPr>
              <w:spacing w:before="60" w:after="60"/>
              <w:rPr>
                <w:i/>
                <w:iCs/>
                <w:sz w:val="20"/>
                <w:lang w:eastAsia="da-DK"/>
              </w:rPr>
            </w:pPr>
          </w:p>
        </w:tc>
        <w:tc>
          <w:tcPr>
            <w:tcW w:w="577" w:type="pct"/>
            <w:tcBorders>
              <w:top w:val="single" w:sz="4" w:space="0" w:color="auto"/>
              <w:left w:val="single" w:sz="4" w:space="0" w:color="auto"/>
              <w:bottom w:val="single" w:sz="4" w:space="0" w:color="auto"/>
              <w:right w:val="single" w:sz="4" w:space="0" w:color="auto"/>
            </w:tcBorders>
          </w:tcPr>
          <w:p w14:paraId="372042D6" w14:textId="77777777" w:rsidR="00582EF9" w:rsidRPr="009C2D22" w:rsidRDefault="00582EF9" w:rsidP="002E3625">
            <w:pPr>
              <w:spacing w:before="60" w:after="60"/>
              <w:rPr>
                <w:sz w:val="20"/>
                <w:lang w:eastAsia="da-DK"/>
              </w:rPr>
            </w:pPr>
          </w:p>
        </w:tc>
      </w:tr>
      <w:tr w:rsidR="00AD2389" w:rsidRPr="009C2D22" w14:paraId="0E37D363" w14:textId="77777777" w:rsidTr="00AD2389">
        <w:trPr>
          <w:cantSplit/>
        </w:trPr>
        <w:tc>
          <w:tcPr>
            <w:tcW w:w="712" w:type="pct"/>
            <w:tcBorders>
              <w:top w:val="single" w:sz="4" w:space="0" w:color="auto"/>
              <w:left w:val="single" w:sz="4" w:space="0" w:color="auto"/>
              <w:bottom w:val="single" w:sz="4" w:space="0" w:color="auto"/>
              <w:right w:val="single" w:sz="4" w:space="0" w:color="auto"/>
            </w:tcBorders>
            <w:hideMark/>
          </w:tcPr>
          <w:p w14:paraId="79539A1B" w14:textId="77777777" w:rsidR="00582EF9" w:rsidRPr="009C2D22" w:rsidRDefault="00582EF9" w:rsidP="002E3625">
            <w:pPr>
              <w:spacing w:before="60" w:after="60"/>
              <w:rPr>
                <w:sz w:val="20"/>
                <w:lang w:eastAsia="da-DK"/>
              </w:rPr>
            </w:pPr>
            <w:r w:rsidRPr="009C2D22">
              <w:rPr>
                <w:i/>
                <w:sz w:val="20"/>
                <w:lang w:eastAsia="da-DK"/>
              </w:rPr>
              <w:t>Undersøgelser</w:t>
            </w:r>
          </w:p>
        </w:tc>
        <w:tc>
          <w:tcPr>
            <w:tcW w:w="886" w:type="pct"/>
            <w:tcBorders>
              <w:top w:val="single" w:sz="4" w:space="0" w:color="auto"/>
              <w:left w:val="single" w:sz="4" w:space="0" w:color="auto"/>
              <w:bottom w:val="single" w:sz="4" w:space="0" w:color="auto"/>
              <w:right w:val="single" w:sz="4" w:space="0" w:color="auto"/>
            </w:tcBorders>
          </w:tcPr>
          <w:p w14:paraId="174BE3CA" w14:textId="77777777" w:rsidR="00582EF9" w:rsidRPr="009C2D22" w:rsidRDefault="00582EF9" w:rsidP="002E3625">
            <w:pPr>
              <w:spacing w:before="60" w:after="60"/>
              <w:rPr>
                <w:i/>
                <w:iCs/>
                <w:sz w:val="20"/>
                <w:lang w:eastAsia="da-DK"/>
              </w:rPr>
            </w:pPr>
          </w:p>
        </w:tc>
        <w:tc>
          <w:tcPr>
            <w:tcW w:w="755" w:type="pct"/>
            <w:tcBorders>
              <w:top w:val="single" w:sz="4" w:space="0" w:color="auto"/>
              <w:left w:val="single" w:sz="4" w:space="0" w:color="auto"/>
              <w:bottom w:val="single" w:sz="4" w:space="0" w:color="auto"/>
              <w:right w:val="single" w:sz="4" w:space="0" w:color="auto"/>
            </w:tcBorders>
          </w:tcPr>
          <w:p w14:paraId="556E781A" w14:textId="77777777" w:rsidR="00582EF9" w:rsidRPr="009C2D22" w:rsidRDefault="00582EF9" w:rsidP="002E3625">
            <w:pPr>
              <w:spacing w:before="60" w:after="60"/>
              <w:rPr>
                <w:i/>
                <w:iCs/>
                <w:sz w:val="20"/>
                <w:lang w:eastAsia="da-DK"/>
              </w:rPr>
            </w:pPr>
          </w:p>
        </w:tc>
        <w:tc>
          <w:tcPr>
            <w:tcW w:w="778" w:type="pct"/>
            <w:tcBorders>
              <w:top w:val="single" w:sz="4" w:space="0" w:color="auto"/>
              <w:left w:val="single" w:sz="4" w:space="0" w:color="auto"/>
              <w:bottom w:val="single" w:sz="4" w:space="0" w:color="auto"/>
              <w:right w:val="single" w:sz="4" w:space="0" w:color="auto"/>
            </w:tcBorders>
          </w:tcPr>
          <w:p w14:paraId="0A024E5F" w14:textId="77777777" w:rsidR="00582EF9" w:rsidRPr="009C2D22" w:rsidRDefault="00582EF9" w:rsidP="002E3625">
            <w:pPr>
              <w:spacing w:before="60" w:after="60"/>
              <w:rPr>
                <w:i/>
                <w:iCs/>
                <w:sz w:val="20"/>
                <w:lang w:eastAsia="da-DK"/>
              </w:rPr>
            </w:pPr>
          </w:p>
        </w:tc>
        <w:tc>
          <w:tcPr>
            <w:tcW w:w="551" w:type="pct"/>
            <w:tcBorders>
              <w:top w:val="single" w:sz="4" w:space="0" w:color="auto"/>
              <w:left w:val="single" w:sz="4" w:space="0" w:color="auto"/>
              <w:bottom w:val="single" w:sz="4" w:space="0" w:color="auto"/>
              <w:right w:val="single" w:sz="4" w:space="0" w:color="auto"/>
            </w:tcBorders>
            <w:hideMark/>
          </w:tcPr>
          <w:p w14:paraId="15854C96" w14:textId="372D1EF6" w:rsidR="00582EF9" w:rsidRPr="009C2D22" w:rsidRDefault="00582EF9" w:rsidP="002E3625">
            <w:pPr>
              <w:spacing w:before="60" w:after="60"/>
              <w:rPr>
                <w:sz w:val="20"/>
                <w:lang w:eastAsia="da-DK"/>
              </w:rPr>
            </w:pPr>
            <w:r w:rsidRPr="009C2D22">
              <w:rPr>
                <w:sz w:val="20"/>
                <w:lang w:eastAsia="da-DK"/>
              </w:rPr>
              <w:t>Stigning i blodkrea</w:t>
            </w:r>
            <w:r w:rsidR="00AD2389">
              <w:rPr>
                <w:sz w:val="20"/>
                <w:lang w:eastAsia="da-DK"/>
              </w:rPr>
              <w:softHyphen/>
            </w:r>
            <w:r w:rsidRPr="009C2D22">
              <w:rPr>
                <w:sz w:val="20"/>
                <w:lang w:eastAsia="da-DK"/>
              </w:rPr>
              <w:t>tinfosfo</w:t>
            </w:r>
            <w:r w:rsidR="00AD2389">
              <w:rPr>
                <w:sz w:val="20"/>
                <w:lang w:eastAsia="da-DK"/>
              </w:rPr>
              <w:softHyphen/>
            </w:r>
            <w:r w:rsidRPr="009C2D22">
              <w:rPr>
                <w:sz w:val="20"/>
                <w:lang w:eastAsia="da-DK"/>
              </w:rPr>
              <w:t>ki</w:t>
            </w:r>
            <w:r w:rsidR="00AD2389">
              <w:rPr>
                <w:sz w:val="20"/>
                <w:lang w:eastAsia="da-DK"/>
              </w:rPr>
              <w:softHyphen/>
            </w:r>
            <w:r w:rsidRPr="009C2D22">
              <w:rPr>
                <w:sz w:val="20"/>
                <w:lang w:eastAsia="da-DK"/>
              </w:rPr>
              <w:t>nase</w:t>
            </w:r>
            <w:r w:rsidRPr="009C2D22">
              <w:rPr>
                <w:sz w:val="20"/>
                <w:vertAlign w:val="superscript"/>
                <w:lang w:eastAsia="da-DK"/>
              </w:rPr>
              <w:t>14</w:t>
            </w:r>
          </w:p>
        </w:tc>
        <w:tc>
          <w:tcPr>
            <w:tcW w:w="741" w:type="pct"/>
            <w:tcBorders>
              <w:top w:val="single" w:sz="4" w:space="0" w:color="auto"/>
              <w:left w:val="single" w:sz="4" w:space="0" w:color="auto"/>
              <w:bottom w:val="single" w:sz="4" w:space="0" w:color="auto"/>
              <w:right w:val="single" w:sz="4" w:space="0" w:color="auto"/>
            </w:tcBorders>
          </w:tcPr>
          <w:p w14:paraId="35D7C134" w14:textId="77777777" w:rsidR="00582EF9" w:rsidRPr="009C2D22" w:rsidRDefault="00582EF9" w:rsidP="002E3625">
            <w:pPr>
              <w:spacing w:before="60" w:after="60"/>
              <w:rPr>
                <w:i/>
                <w:iCs/>
                <w:sz w:val="20"/>
                <w:lang w:eastAsia="da-DK"/>
              </w:rPr>
            </w:pPr>
          </w:p>
        </w:tc>
        <w:tc>
          <w:tcPr>
            <w:tcW w:w="577" w:type="pct"/>
            <w:tcBorders>
              <w:top w:val="single" w:sz="4" w:space="0" w:color="auto"/>
              <w:left w:val="single" w:sz="4" w:space="0" w:color="auto"/>
              <w:bottom w:val="single" w:sz="4" w:space="0" w:color="auto"/>
              <w:right w:val="single" w:sz="4" w:space="0" w:color="auto"/>
            </w:tcBorders>
          </w:tcPr>
          <w:p w14:paraId="311BAFE6" w14:textId="77777777" w:rsidR="00582EF9" w:rsidRPr="009C2D22" w:rsidRDefault="00582EF9" w:rsidP="002E3625">
            <w:pPr>
              <w:spacing w:before="60" w:after="60"/>
              <w:rPr>
                <w:i/>
                <w:iCs/>
                <w:sz w:val="20"/>
                <w:lang w:eastAsia="da-DK"/>
              </w:rPr>
            </w:pPr>
          </w:p>
        </w:tc>
      </w:tr>
    </w:tbl>
    <w:p w14:paraId="0EB545B9" w14:textId="77777777" w:rsidR="00CF52AE" w:rsidRDefault="00CF52AE" w:rsidP="00CF52AE"/>
    <w:p w14:paraId="56477B8B" w14:textId="1133CA94"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Se pkt. 4.4</w:t>
      </w:r>
      <w:r w:rsidR="0041243D">
        <w:rPr>
          <w:sz w:val="22"/>
          <w:szCs w:val="22"/>
          <w:lang w:val="da-DK"/>
        </w:rPr>
        <w:t>.</w:t>
      </w:r>
    </w:p>
    <w:p w14:paraId="0F5B6F65"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Somnolens kan forekomme, som regel i de første to uger af behandlingen, og ophører normalt ved fortsat administration af quetiapin.</w:t>
      </w:r>
    </w:p>
    <w:p w14:paraId="41CD3EBF"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 xml:space="preserve">Asymptomatiske stigninger (ændring fra normal til ≥ 3 x øvre normalgrænse på et hvilket som helst tidspunkt) i serumtransaminase (ALT, AST) eller gamma-GT-niveauer er blevet observeret hos nogle patienter, som fik quetiapin. </w:t>
      </w:r>
      <w:r w:rsidRPr="0041243D">
        <w:rPr>
          <w:sz w:val="22"/>
          <w:szCs w:val="22"/>
        </w:rPr>
        <w:t>Stigningerne var som regel reversible ved fortsat quetiapinbehandling.</w:t>
      </w:r>
    </w:p>
    <w:p w14:paraId="79ED030B"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lastRenderedPageBreak/>
        <w:t>Som for andre antipsykotika med alfa1-blokerende adrenerg aktivitet kan quetiapin ofte inducere ortostatisk hypotension forbundet med svimmelhed, takykardi, og hos nogle patienter synkope, specielt i den indledende dosistitreringsperiode (se pkt. 4.4).</w:t>
      </w:r>
    </w:p>
    <w:p w14:paraId="149ABF26"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Beregning af frekvensen for disse bivirkninger stammer udelukkende fra data indhentet efter markedsføringen.</w:t>
      </w:r>
    </w:p>
    <w:p w14:paraId="0FA3DBEA"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Fastende blodglukose ≥126 mg/dl (≥ 7,0 mmol/l) eller ikke-fastende blodglukose ≥200 mg/dl (≥ 11,1 mmol/l) i mindst ét tilfælde.</w:t>
      </w:r>
    </w:p>
    <w:p w14:paraId="1C3861F2"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En stigning i forekomsten af dysfagi med quetiapin versus placebo blev kun observeret i de kliniske forsøg med bipolar depression.</w:t>
      </w:r>
    </w:p>
    <w:p w14:paraId="3A1254C2"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Baseret på &gt; 7 % øgning i kropsvægt fra baselinie. Forekommer hovedsagelig i de første uger af behandlingen hos voksne.</w:t>
      </w:r>
    </w:p>
    <w:p w14:paraId="6C4A7A21"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De følgende abstinenssymptomer er hyppigst set i akutte placebokontrollerede monoterapiforsøg, hvor seponeringssymptomer blev evalueret: Søvnløshed, kvalme, hovedpine, diarré, opkastning, svimmelhed og irritabilitet. Hyppigheden faldt signifikant 1 uge efter seponering.</w:t>
      </w:r>
    </w:p>
    <w:p w14:paraId="003C3429"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 xml:space="preserve">Triglycerider ≥ 200 mg/dl (≥2,258 mmol/l) </w:t>
      </w:r>
      <w:r w:rsidRPr="0041243D">
        <w:rPr>
          <w:color w:val="000000"/>
          <w:sz w:val="22"/>
          <w:szCs w:val="22"/>
          <w:lang w:val="da-DK"/>
        </w:rPr>
        <w:t xml:space="preserve">(patienter </w:t>
      </w:r>
      <w:r w:rsidRPr="0041243D">
        <w:rPr>
          <w:sz w:val="22"/>
          <w:szCs w:val="22"/>
          <w:lang w:val="da-DK"/>
        </w:rPr>
        <w:t xml:space="preserve">≥ </w:t>
      </w:r>
      <w:r w:rsidRPr="0041243D">
        <w:rPr>
          <w:color w:val="000000"/>
          <w:sz w:val="22"/>
          <w:szCs w:val="22"/>
          <w:lang w:val="da-DK"/>
        </w:rPr>
        <w:t xml:space="preserve">18 år) eller </w:t>
      </w:r>
      <w:r w:rsidRPr="0041243D">
        <w:rPr>
          <w:sz w:val="22"/>
          <w:szCs w:val="22"/>
          <w:lang w:val="da-DK"/>
        </w:rPr>
        <w:t xml:space="preserve">≥ </w:t>
      </w:r>
      <w:r w:rsidRPr="0041243D">
        <w:rPr>
          <w:color w:val="000000"/>
          <w:sz w:val="22"/>
          <w:szCs w:val="22"/>
          <w:lang w:val="da-DK"/>
        </w:rPr>
        <w:t>150 mg/dl (</w:t>
      </w:r>
      <w:r w:rsidRPr="0041243D">
        <w:rPr>
          <w:sz w:val="22"/>
          <w:szCs w:val="22"/>
          <w:lang w:val="da-DK"/>
        </w:rPr>
        <w:t xml:space="preserve">≥ </w:t>
      </w:r>
      <w:r w:rsidRPr="0041243D">
        <w:rPr>
          <w:color w:val="000000"/>
          <w:sz w:val="22"/>
          <w:szCs w:val="22"/>
          <w:lang w:val="da-DK"/>
        </w:rPr>
        <w:t>1,694 mmol/l) (patienter &lt;18 år) i mindst ét tilfælde.</w:t>
      </w:r>
    </w:p>
    <w:p w14:paraId="20A9B93A"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 xml:space="preserve">Kolesterol  ≥ 240 mg/dl (≥ 6,2064 mmol/l) </w:t>
      </w:r>
      <w:r w:rsidRPr="0041243D">
        <w:rPr>
          <w:color w:val="000000"/>
          <w:sz w:val="22"/>
          <w:szCs w:val="22"/>
          <w:lang w:val="da-DK"/>
        </w:rPr>
        <w:t xml:space="preserve">(patienter </w:t>
      </w:r>
      <w:r w:rsidRPr="0041243D">
        <w:rPr>
          <w:sz w:val="22"/>
          <w:szCs w:val="22"/>
          <w:lang w:val="da-DK"/>
        </w:rPr>
        <w:t xml:space="preserve">≥ </w:t>
      </w:r>
      <w:r w:rsidRPr="0041243D">
        <w:rPr>
          <w:color w:val="000000"/>
          <w:sz w:val="22"/>
          <w:szCs w:val="22"/>
          <w:lang w:val="da-DK"/>
        </w:rPr>
        <w:t xml:space="preserve">18 år) </w:t>
      </w:r>
      <w:r w:rsidRPr="0041243D">
        <w:rPr>
          <w:sz w:val="22"/>
          <w:szCs w:val="22"/>
          <w:lang w:val="da-DK"/>
        </w:rPr>
        <w:t>eller  ≥ 200 mg/dl (≥ 5,172 mmol/l) (patienter &lt;18 år) i mindst ét tilfælde. En stigning i LDL-kolesterol på  ≥ 30 mg/dl (≥ 0,769 mmol/l) er meget almindelig. Gennemsnitsændringen blandt patienter med denne stigning var 41.7 mg/dl (≥ 1,07 mmol/l).</w:t>
      </w:r>
    </w:p>
    <w:p w14:paraId="2A339F9E"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Se teksten nedenfor.</w:t>
      </w:r>
    </w:p>
    <w:p w14:paraId="197F4572"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Mindst ét tilfælde af blodplader ≤ 100 x 10</w:t>
      </w:r>
      <w:r w:rsidRPr="0041243D">
        <w:rPr>
          <w:sz w:val="22"/>
          <w:szCs w:val="22"/>
          <w:vertAlign w:val="superscript"/>
          <w:lang w:val="da-DK"/>
        </w:rPr>
        <w:t>9</w:t>
      </w:r>
      <w:r w:rsidRPr="0041243D">
        <w:rPr>
          <w:sz w:val="22"/>
          <w:szCs w:val="22"/>
          <w:lang w:val="da-DK"/>
        </w:rPr>
        <w:t>/l.</w:t>
      </w:r>
    </w:p>
    <w:p w14:paraId="4297E01C"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Baseret på rapporter om uønskede hændelser fra kliniske forsøg med forhøjet blodkreatinphosphokinase, som ikke var relateret til malignt neuroleptikasyndrom.</w:t>
      </w:r>
    </w:p>
    <w:p w14:paraId="577D66C4"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Prolaktinniveauer (patienter &gt;18 år): &gt; 20 μg/l (&gt; 869,56 pmol/l) hankøn; &gt; 30 μg/l (&gt; 1304,34 pmol/l) hunkøn når som helst.</w:t>
      </w:r>
    </w:p>
    <w:p w14:paraId="00DC49D2"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Kan føre til fald.</w:t>
      </w:r>
    </w:p>
    <w:p w14:paraId="1E089DE3" w14:textId="77777777" w:rsidR="00CF52AE" w:rsidRPr="0041243D" w:rsidRDefault="00CF52AE" w:rsidP="00CF52AE">
      <w:pPr>
        <w:pStyle w:val="A-TableFootnoteText"/>
        <w:numPr>
          <w:ilvl w:val="0"/>
          <w:numId w:val="6"/>
        </w:numPr>
        <w:tabs>
          <w:tab w:val="clear" w:pos="432"/>
          <w:tab w:val="left" w:pos="993"/>
        </w:tabs>
        <w:ind w:left="993" w:hanging="426"/>
        <w:rPr>
          <w:sz w:val="22"/>
          <w:szCs w:val="22"/>
          <w:lang w:val="da-DK"/>
        </w:rPr>
      </w:pPr>
      <w:r w:rsidRPr="0041243D">
        <w:rPr>
          <w:sz w:val="22"/>
          <w:szCs w:val="22"/>
          <w:lang w:val="da-DK"/>
        </w:rPr>
        <w:t xml:space="preserve">HDL-kolesterol: </w:t>
      </w:r>
      <w:r w:rsidRPr="0041243D">
        <w:rPr>
          <w:sz w:val="22"/>
          <w:szCs w:val="22"/>
          <w:lang w:val="da-DK"/>
        </w:rPr>
        <w:sym w:font="Symbol" w:char="F03C"/>
      </w:r>
      <w:r w:rsidRPr="0041243D">
        <w:rPr>
          <w:sz w:val="22"/>
          <w:szCs w:val="22"/>
          <w:lang w:val="da-DK"/>
        </w:rPr>
        <w:t xml:space="preserve"> 40 mg/dl (1,025 mmol/l) hankøn; </w:t>
      </w:r>
      <w:r w:rsidRPr="0041243D">
        <w:rPr>
          <w:sz w:val="22"/>
          <w:szCs w:val="22"/>
          <w:lang w:val="da-DK"/>
        </w:rPr>
        <w:sym w:font="Symbol" w:char="F03C"/>
      </w:r>
      <w:r w:rsidRPr="0041243D">
        <w:rPr>
          <w:sz w:val="22"/>
          <w:szCs w:val="22"/>
          <w:lang w:val="da-DK"/>
        </w:rPr>
        <w:t xml:space="preserve"> 50 mg/dl (1,282 mmol/l) hunkøn når som helst.</w:t>
      </w:r>
    </w:p>
    <w:p w14:paraId="4B9DC177"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Hyppigheden af patienter med et QTc-skift fra &lt; 450 msek til ≥ 450 msek med en stigning på ≥ 30 msek. I placebo-kontrollerede forsøg med quetiapin var gennemsnits-ændringen og hyppigheden af patienter, der skiftede til et klinisk signifikant niveau, ens for quetiapin og placebo.</w:t>
      </w:r>
    </w:p>
    <w:p w14:paraId="7E13D9D1"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Skift fra &gt;132 mmol/L til &lt;132 mmol/L i mindst ét tilfælde.</w:t>
      </w:r>
    </w:p>
    <w:p w14:paraId="5A981884"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Der er rapporteret om selvmordstanker og selvmordsadfærd under behandling med quetiapin samt efter behandling ophør (se pkt. 4.4 og 5.1).</w:t>
      </w:r>
    </w:p>
    <w:p w14:paraId="17F167E2"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Se pkt. 5.1.</w:t>
      </w:r>
    </w:p>
    <w:p w14:paraId="232AFA1B"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Fald i hæmoglobin til ≤13 g/dl (8,07 mmol/l) hos mænd, ≤12 g/dl (7,45 mmol/l)  hos kvinder ved mindst én lejlighed blev observeret hos 11 % of quetiapin-patienterne i alle forsøg, herunder open-label-forlængelserne. Hos disse patienter var den gennemsnitlige maksimale reduktion i hæmoglobin på et hvilket som helst tidspunkt -1,50 g/dl.</w:t>
      </w:r>
    </w:p>
    <w:p w14:paraId="42C9AFB5"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Disse rapporter sås ofte i forbindelse med takykardi, svimmelhed, ortostatisk hypotension og/eller underliggende hjerte-/lungesygdom.</w:t>
      </w:r>
    </w:p>
    <w:p w14:paraId="4E667AAF" w14:textId="0AEF57B3"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Baseret på skift fra normal baseline til potentiel klinisk vigtig værdi på et hvilket som helst tidspunkt efter baseline i alle forsøg. Skift i total T4, fri T4, total T3 og fri T3 er defineret</w:t>
      </w:r>
      <w:r w:rsidR="0041243D">
        <w:rPr>
          <w:sz w:val="22"/>
          <w:szCs w:val="22"/>
        </w:rPr>
        <w:t xml:space="preserve"> </w:t>
      </w:r>
      <w:r w:rsidRPr="0041243D">
        <w:rPr>
          <w:sz w:val="22"/>
          <w:szCs w:val="22"/>
        </w:rPr>
        <w:t>som &lt;0,8 X LLN (pmol/l) og skift i TSH er &gt;5 mIU/l på et hvilket som helst tidspunkt.</w:t>
      </w:r>
    </w:p>
    <w:p w14:paraId="4C7D73CD"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Baseret på den øgede forekomst af opkastning hos ældre patienter (≥ 65 år og ældre).</w:t>
      </w:r>
    </w:p>
    <w:p w14:paraId="03D04C5A"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Baseret på ændring i neutrofiler fra ≥1,5 x 10</w:t>
      </w:r>
      <w:r w:rsidRPr="0041243D">
        <w:rPr>
          <w:sz w:val="22"/>
          <w:szCs w:val="22"/>
          <w:vertAlign w:val="superscript"/>
        </w:rPr>
        <w:t>9</w:t>
      </w:r>
      <w:r w:rsidRPr="0041243D">
        <w:rPr>
          <w:sz w:val="22"/>
          <w:szCs w:val="22"/>
        </w:rPr>
        <w:t>/l ved baseline til &lt;0,5 x 10</w:t>
      </w:r>
      <w:r w:rsidRPr="0041243D">
        <w:rPr>
          <w:sz w:val="22"/>
          <w:szCs w:val="22"/>
          <w:vertAlign w:val="superscript"/>
        </w:rPr>
        <w:t>9</w:t>
      </w:r>
      <w:r w:rsidRPr="0041243D">
        <w:rPr>
          <w:sz w:val="22"/>
          <w:szCs w:val="22"/>
        </w:rPr>
        <w:t>/l når som helst under behandlingen og baseret på patienter med alvorlig neutropeni (&lt;0,5 x 10</w:t>
      </w:r>
      <w:r w:rsidRPr="0041243D">
        <w:rPr>
          <w:sz w:val="22"/>
          <w:szCs w:val="22"/>
          <w:vertAlign w:val="superscript"/>
        </w:rPr>
        <w:t>9</w:t>
      </w:r>
      <w:r w:rsidRPr="0041243D">
        <w:rPr>
          <w:sz w:val="22"/>
          <w:szCs w:val="22"/>
        </w:rPr>
        <w:t>/l) og infektion under alle kliniske studier med quetiapin (se pkt. 4.4).</w:t>
      </w:r>
    </w:p>
    <w:p w14:paraId="690DDA1B"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 xml:space="preserve">Baseret på ændringer fra normal baseline-værdi til potentielt klinisk vigtig værdi på et hvilket som helst tidspunkt efter baseline i alle kliniske forsøg. Ændringer i eosinofiler er defineret som &gt;1 x </w:t>
      </w:r>
      <w:r w:rsidRPr="0041243D">
        <w:rPr>
          <w:bCs/>
          <w:iCs/>
          <w:color w:val="000000"/>
          <w:sz w:val="22"/>
          <w:szCs w:val="22"/>
        </w:rPr>
        <w:t>10</w:t>
      </w:r>
      <w:r w:rsidRPr="0041243D">
        <w:rPr>
          <w:bCs/>
          <w:iCs/>
          <w:color w:val="000000"/>
          <w:sz w:val="22"/>
          <w:szCs w:val="22"/>
          <w:vertAlign w:val="superscript"/>
        </w:rPr>
        <w:t>9</w:t>
      </w:r>
      <w:r w:rsidRPr="0041243D">
        <w:rPr>
          <w:sz w:val="22"/>
          <w:szCs w:val="22"/>
        </w:rPr>
        <w:t xml:space="preserve"> celler/l på et hvilket som helst tidspunkt.</w:t>
      </w:r>
    </w:p>
    <w:p w14:paraId="53752D9A"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Baseret på ændringer fra normal baseline-værdi til potentielt klinisk vigtig værdi på et hvilket som helst tidspunkt efter baseline i alle kliniske forsøg. Ændringer i antallet af hvide blodceller er defineret som ≤3 x 109 celler/l på et hvilket som helst tidspunkt.</w:t>
      </w:r>
    </w:p>
    <w:p w14:paraId="51634715"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lastRenderedPageBreak/>
        <w:t>Baseret på bivirkningsrapporter om metabolisk syndrom fra alle kliniske forsøg med quetiapin.</w:t>
      </w:r>
    </w:p>
    <w:p w14:paraId="68AADE2C"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Hos nogle patienter blev der i kliniske studier observeret en forværring af mere end en af de metaboliske værdier for vægt, blodsukker og lipider (se pkt. 4.4).</w:t>
      </w:r>
    </w:p>
    <w:p w14:paraId="7E1A2D40"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Se pkt. 4.6.</w:t>
      </w:r>
    </w:p>
    <w:p w14:paraId="4D46E656"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Kan forekomme ved eller tæt på påbegyndelse af behandlingen og være forbundet med hypotension og/eller synkope. Hyppigheden er baseret på bivirkningsindrapportering af bradykardi og relaterede hændelser i alle kliniske forsøg med quetiapin.</w:t>
      </w:r>
    </w:p>
    <w:p w14:paraId="33FF5546" w14:textId="77777777" w:rsidR="00CF52AE" w:rsidRPr="0041243D" w:rsidRDefault="00CF52AE" w:rsidP="00CF52AE">
      <w:pPr>
        <w:pStyle w:val="Listeafsnit"/>
        <w:numPr>
          <w:ilvl w:val="0"/>
          <w:numId w:val="6"/>
        </w:numPr>
        <w:tabs>
          <w:tab w:val="left" w:pos="993"/>
        </w:tabs>
        <w:ind w:left="993" w:hanging="426"/>
        <w:rPr>
          <w:sz w:val="22"/>
          <w:szCs w:val="22"/>
        </w:rPr>
      </w:pPr>
      <w:r w:rsidRPr="0041243D">
        <w:rPr>
          <w:sz w:val="22"/>
          <w:szCs w:val="22"/>
        </w:rPr>
        <w:t xml:space="preserve">Baseret på et retrospektivt ikke-randomiseret epidemiologisk studie. </w:t>
      </w:r>
    </w:p>
    <w:p w14:paraId="657724B6" w14:textId="77777777" w:rsidR="00CF52AE" w:rsidRDefault="00CF52AE" w:rsidP="00CF52AE">
      <w:pPr>
        <w:tabs>
          <w:tab w:val="left" w:pos="993"/>
        </w:tabs>
        <w:ind w:left="567"/>
        <w:rPr>
          <w:sz w:val="24"/>
          <w:szCs w:val="24"/>
        </w:rPr>
      </w:pPr>
    </w:p>
    <w:p w14:paraId="26C8427F" w14:textId="77777777" w:rsidR="00CF52AE" w:rsidRDefault="00CF52AE" w:rsidP="00CF52AE">
      <w:pPr>
        <w:ind w:left="851"/>
        <w:rPr>
          <w:sz w:val="24"/>
          <w:szCs w:val="24"/>
        </w:rPr>
      </w:pPr>
      <w:r>
        <w:rPr>
          <w:sz w:val="24"/>
          <w:szCs w:val="24"/>
        </w:rPr>
        <w:t>Tilfælde af QT-forlængelse, ventrikulær arytmi, pludselig uforklarlig død, hjertestop og torsades de pointes er blevet rapporteret ved anvendelse af neuroleptika og betragtes som klasseeffekter.</w:t>
      </w:r>
    </w:p>
    <w:p w14:paraId="6BABB696" w14:textId="77777777" w:rsidR="00CF52AE" w:rsidRDefault="00CF52AE" w:rsidP="00CF52AE">
      <w:pPr>
        <w:ind w:left="851"/>
        <w:rPr>
          <w:sz w:val="24"/>
          <w:szCs w:val="24"/>
        </w:rPr>
      </w:pPr>
    </w:p>
    <w:p w14:paraId="35887807" w14:textId="77777777" w:rsidR="00CF52AE" w:rsidRDefault="00CF52AE" w:rsidP="00CF52AE">
      <w:pPr>
        <w:ind w:left="851"/>
        <w:rPr>
          <w:sz w:val="24"/>
          <w:szCs w:val="24"/>
        </w:rPr>
      </w:pPr>
      <w:r>
        <w:rPr>
          <w:sz w:val="24"/>
          <w:szCs w:val="24"/>
        </w:rPr>
        <w:t>Svære kutane bivirkninger (SCAR), herunder Stevens-Johnsons syndrom (SJS), toksisk epidermal nekrolyse (TEN) og lægemiddelreaktion med eosinofili og systemiske symptomer (DRESS) er blevet rapporteret ved quetiapinbehandling.</w:t>
      </w:r>
    </w:p>
    <w:p w14:paraId="4DB4622C" w14:textId="77777777" w:rsidR="00CF52AE" w:rsidRDefault="00CF52AE" w:rsidP="00582EF9">
      <w:pPr>
        <w:rPr>
          <w:sz w:val="24"/>
          <w:szCs w:val="24"/>
        </w:rPr>
      </w:pPr>
    </w:p>
    <w:p w14:paraId="1C271890" w14:textId="77777777" w:rsidR="00CF52AE" w:rsidRPr="00DC39FD" w:rsidRDefault="00CF52AE" w:rsidP="00CF52AE">
      <w:pPr>
        <w:pStyle w:val="A-TableHeader"/>
        <w:keepNext w:val="0"/>
        <w:tabs>
          <w:tab w:val="left" w:pos="851"/>
        </w:tabs>
        <w:spacing w:before="0" w:after="0" w:line="260" w:lineRule="exact"/>
        <w:ind w:left="851"/>
        <w:rPr>
          <w:b w:val="0"/>
          <w:sz w:val="24"/>
          <w:szCs w:val="24"/>
          <w:u w:val="single"/>
          <w:lang w:val="da-DK"/>
        </w:rPr>
      </w:pPr>
      <w:r w:rsidRPr="00DC39FD">
        <w:rPr>
          <w:b w:val="0"/>
          <w:sz w:val="24"/>
          <w:szCs w:val="24"/>
          <w:u w:val="single"/>
          <w:lang w:val="da-DK"/>
        </w:rPr>
        <w:t>Pædiatrisk population</w:t>
      </w:r>
    </w:p>
    <w:p w14:paraId="7066EDF4" w14:textId="77777777" w:rsidR="00CF52AE" w:rsidRDefault="00CF52AE" w:rsidP="00CF52AE">
      <w:pPr>
        <w:ind w:left="851"/>
        <w:rPr>
          <w:sz w:val="24"/>
          <w:szCs w:val="24"/>
        </w:rPr>
      </w:pPr>
      <w:r>
        <w:rPr>
          <w:sz w:val="24"/>
          <w:szCs w:val="24"/>
        </w:rPr>
        <w:t>De samme bivirkninger, som er beskrevet ovenfor for voksne, bør forventes hos børn og unge. Den følgende tabel opsummerer bivirkninger, der indtræder med større hyppighed hos børn og unge patienter (10</w:t>
      </w:r>
      <w:r>
        <w:rPr>
          <w:sz w:val="24"/>
          <w:szCs w:val="24"/>
        </w:rPr>
        <w:noBreakHyphen/>
        <w:t>17 år) end hos voksenpopulationen, eller bivirkninger, der ikke er blevet identificeret hos voksenpopulationen.</w:t>
      </w:r>
    </w:p>
    <w:p w14:paraId="37C39131" w14:textId="77777777" w:rsidR="00CF52AE" w:rsidRDefault="00CF52AE" w:rsidP="00CF52AE">
      <w:pPr>
        <w:ind w:left="851"/>
        <w:rPr>
          <w:sz w:val="24"/>
          <w:szCs w:val="24"/>
        </w:rPr>
      </w:pPr>
    </w:p>
    <w:p w14:paraId="64A5DFD6" w14:textId="77777777" w:rsidR="00CF52AE" w:rsidRDefault="00CF52AE" w:rsidP="00CF52AE">
      <w:pPr>
        <w:ind w:left="851"/>
        <w:rPr>
          <w:b/>
          <w:sz w:val="24"/>
          <w:szCs w:val="24"/>
        </w:rPr>
      </w:pPr>
      <w:r>
        <w:rPr>
          <w:b/>
          <w:sz w:val="24"/>
          <w:szCs w:val="24"/>
        </w:rPr>
        <w:t>Tabel 2: Quetiapinbehandling hos børn og unge. Bivirkninger, der forekommer med en højere frekvens end hos voksne, eller som ikke er identificeret hos den voksne population</w:t>
      </w:r>
    </w:p>
    <w:p w14:paraId="4A89092E" w14:textId="77777777" w:rsidR="00CF52AE" w:rsidRDefault="00CF52AE" w:rsidP="00CF52AE">
      <w:pPr>
        <w:ind w:left="851"/>
        <w:rPr>
          <w:b/>
          <w:sz w:val="24"/>
          <w:szCs w:val="24"/>
        </w:rPr>
      </w:pPr>
    </w:p>
    <w:p w14:paraId="06320DE5" w14:textId="77777777" w:rsidR="00CF52AE" w:rsidRDefault="00CF52AE" w:rsidP="00CF52AE">
      <w:pPr>
        <w:ind w:left="851"/>
        <w:rPr>
          <w:sz w:val="24"/>
          <w:szCs w:val="24"/>
        </w:rPr>
      </w:pPr>
      <w:r>
        <w:rPr>
          <w:sz w:val="24"/>
          <w:szCs w:val="24"/>
        </w:rPr>
        <w:t>Bivirkningshyppighederne er inddelt som følger: Meget almindelig (≥ 1/10), almindelig (≥ 1/100 til &lt; 1/10), ikke almindelig (≥ 1/1.000 til &lt; 1/100), sjælden (≥ 1/10.000 til &lt; 1/1.000) og meget sjælden (&lt; 1/10.000).</w:t>
      </w:r>
    </w:p>
    <w:p w14:paraId="494BB80C" w14:textId="77777777" w:rsidR="00CF52AE" w:rsidRDefault="00CF52AE" w:rsidP="00CF52AE">
      <w:pPr>
        <w:ind w:left="851"/>
        <w:rPr>
          <w:b/>
          <w:sz w:val="24"/>
          <w:szCs w:val="24"/>
        </w:rPr>
      </w:pPr>
    </w:p>
    <w:tbl>
      <w:tblPr>
        <w:tblW w:w="5000" w:type="pct"/>
        <w:tblInd w:w="84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352"/>
        <w:gridCol w:w="3447"/>
        <w:gridCol w:w="2829"/>
      </w:tblGrid>
      <w:tr w:rsidR="00CF52AE" w14:paraId="12409B60" w14:textId="77777777" w:rsidTr="00CF52AE">
        <w:trPr>
          <w:cantSplit/>
          <w:tblHeader/>
        </w:trPr>
        <w:tc>
          <w:tcPr>
            <w:tcW w:w="1741" w:type="pct"/>
            <w:tcBorders>
              <w:top w:val="single" w:sz="4" w:space="0" w:color="auto"/>
              <w:left w:val="single" w:sz="4" w:space="0" w:color="auto"/>
              <w:bottom w:val="single" w:sz="4" w:space="0" w:color="auto"/>
              <w:right w:val="single" w:sz="4" w:space="0" w:color="auto"/>
            </w:tcBorders>
            <w:hideMark/>
          </w:tcPr>
          <w:p w14:paraId="78E0847D" w14:textId="77777777" w:rsidR="00CF52AE" w:rsidRDefault="00CF52AE">
            <w:pPr>
              <w:spacing w:before="60" w:after="60"/>
              <w:rPr>
                <w:sz w:val="24"/>
                <w:szCs w:val="24"/>
                <w:lang w:eastAsia="da-DK"/>
              </w:rPr>
            </w:pPr>
            <w:r>
              <w:rPr>
                <w:b/>
                <w:sz w:val="24"/>
                <w:szCs w:val="24"/>
                <w:lang w:eastAsia="da-DK"/>
              </w:rPr>
              <w:t>Systemorganklasse</w:t>
            </w:r>
          </w:p>
        </w:tc>
        <w:tc>
          <w:tcPr>
            <w:tcW w:w="1790" w:type="pct"/>
            <w:tcBorders>
              <w:top w:val="single" w:sz="4" w:space="0" w:color="auto"/>
              <w:left w:val="single" w:sz="4" w:space="0" w:color="auto"/>
              <w:bottom w:val="single" w:sz="4" w:space="0" w:color="auto"/>
              <w:right w:val="single" w:sz="4" w:space="0" w:color="auto"/>
            </w:tcBorders>
            <w:hideMark/>
          </w:tcPr>
          <w:p w14:paraId="5847B156" w14:textId="77777777" w:rsidR="00CF52AE" w:rsidRDefault="00CF52AE">
            <w:pPr>
              <w:spacing w:before="60" w:after="60"/>
              <w:rPr>
                <w:sz w:val="24"/>
                <w:szCs w:val="24"/>
                <w:lang w:eastAsia="da-DK"/>
              </w:rPr>
            </w:pPr>
            <w:r>
              <w:rPr>
                <w:b/>
                <w:sz w:val="24"/>
                <w:szCs w:val="24"/>
                <w:lang w:eastAsia="da-DK"/>
              </w:rPr>
              <w:t>Meget almindelig</w:t>
            </w:r>
          </w:p>
        </w:tc>
        <w:tc>
          <w:tcPr>
            <w:tcW w:w="1469" w:type="pct"/>
            <w:tcBorders>
              <w:top w:val="single" w:sz="4" w:space="0" w:color="auto"/>
              <w:left w:val="single" w:sz="4" w:space="0" w:color="auto"/>
              <w:bottom w:val="single" w:sz="4" w:space="0" w:color="auto"/>
              <w:right w:val="single" w:sz="4" w:space="0" w:color="auto"/>
            </w:tcBorders>
            <w:hideMark/>
          </w:tcPr>
          <w:p w14:paraId="516B08E2" w14:textId="77777777" w:rsidR="00CF52AE" w:rsidRDefault="00CF52AE">
            <w:pPr>
              <w:spacing w:before="60" w:after="60"/>
              <w:rPr>
                <w:sz w:val="24"/>
                <w:szCs w:val="24"/>
                <w:lang w:eastAsia="da-DK"/>
              </w:rPr>
            </w:pPr>
            <w:r>
              <w:rPr>
                <w:b/>
                <w:sz w:val="24"/>
                <w:szCs w:val="24"/>
                <w:lang w:eastAsia="da-DK"/>
              </w:rPr>
              <w:t>Almindelig</w:t>
            </w:r>
          </w:p>
        </w:tc>
      </w:tr>
      <w:tr w:rsidR="00CF52AE" w14:paraId="01BD87F2" w14:textId="77777777" w:rsidTr="00CF52AE">
        <w:trPr>
          <w:cantSplit/>
        </w:trPr>
        <w:tc>
          <w:tcPr>
            <w:tcW w:w="1741" w:type="pct"/>
            <w:tcBorders>
              <w:top w:val="single" w:sz="4" w:space="0" w:color="auto"/>
              <w:left w:val="single" w:sz="4" w:space="0" w:color="auto"/>
              <w:bottom w:val="single" w:sz="4" w:space="0" w:color="auto"/>
              <w:right w:val="single" w:sz="4" w:space="0" w:color="auto"/>
            </w:tcBorders>
            <w:hideMark/>
          </w:tcPr>
          <w:p w14:paraId="53955A1C" w14:textId="77777777" w:rsidR="00CF52AE" w:rsidRDefault="00CF52AE">
            <w:pPr>
              <w:spacing w:before="60" w:after="60"/>
              <w:rPr>
                <w:i/>
                <w:sz w:val="24"/>
                <w:szCs w:val="24"/>
                <w:lang w:eastAsia="da-DK"/>
              </w:rPr>
            </w:pPr>
            <w:r>
              <w:rPr>
                <w:i/>
                <w:sz w:val="24"/>
                <w:szCs w:val="24"/>
                <w:lang w:eastAsia="da-DK"/>
              </w:rPr>
              <w:t>Det endokrine system</w:t>
            </w:r>
          </w:p>
        </w:tc>
        <w:tc>
          <w:tcPr>
            <w:tcW w:w="1790" w:type="pct"/>
            <w:tcBorders>
              <w:top w:val="single" w:sz="4" w:space="0" w:color="auto"/>
              <w:left w:val="single" w:sz="4" w:space="0" w:color="auto"/>
              <w:bottom w:val="single" w:sz="4" w:space="0" w:color="auto"/>
              <w:right w:val="single" w:sz="4" w:space="0" w:color="auto"/>
            </w:tcBorders>
            <w:hideMark/>
          </w:tcPr>
          <w:p w14:paraId="23AED2C5" w14:textId="77777777" w:rsidR="00CF52AE" w:rsidRDefault="00CF52AE">
            <w:pPr>
              <w:spacing w:before="60" w:after="60"/>
              <w:rPr>
                <w:sz w:val="24"/>
                <w:szCs w:val="24"/>
                <w:lang w:eastAsia="da-DK"/>
              </w:rPr>
            </w:pPr>
            <w:r>
              <w:rPr>
                <w:sz w:val="24"/>
                <w:szCs w:val="24"/>
                <w:lang w:eastAsia="da-DK"/>
              </w:rPr>
              <w:t>Stigning i prolaktin</w:t>
            </w:r>
            <w:r>
              <w:rPr>
                <w:sz w:val="24"/>
                <w:szCs w:val="24"/>
                <w:vertAlign w:val="superscript"/>
                <w:lang w:eastAsia="da-DK"/>
              </w:rPr>
              <w:t>1</w:t>
            </w:r>
          </w:p>
        </w:tc>
        <w:tc>
          <w:tcPr>
            <w:tcW w:w="1469" w:type="pct"/>
            <w:tcBorders>
              <w:top w:val="single" w:sz="4" w:space="0" w:color="auto"/>
              <w:left w:val="single" w:sz="4" w:space="0" w:color="auto"/>
              <w:bottom w:val="single" w:sz="4" w:space="0" w:color="auto"/>
              <w:right w:val="single" w:sz="4" w:space="0" w:color="auto"/>
            </w:tcBorders>
          </w:tcPr>
          <w:p w14:paraId="04D886F1" w14:textId="77777777" w:rsidR="00CF52AE" w:rsidRDefault="00CF52AE">
            <w:pPr>
              <w:spacing w:before="60" w:after="60"/>
              <w:rPr>
                <w:i/>
                <w:iCs/>
                <w:sz w:val="24"/>
                <w:szCs w:val="24"/>
                <w:lang w:eastAsia="da-DK"/>
              </w:rPr>
            </w:pPr>
          </w:p>
        </w:tc>
      </w:tr>
      <w:tr w:rsidR="00CF52AE" w14:paraId="6EBB699E" w14:textId="77777777" w:rsidTr="00CF52AE">
        <w:trPr>
          <w:cantSplit/>
        </w:trPr>
        <w:tc>
          <w:tcPr>
            <w:tcW w:w="1741" w:type="pct"/>
            <w:tcBorders>
              <w:top w:val="single" w:sz="4" w:space="0" w:color="auto"/>
              <w:left w:val="single" w:sz="4" w:space="0" w:color="auto"/>
              <w:bottom w:val="single" w:sz="4" w:space="0" w:color="auto"/>
              <w:right w:val="single" w:sz="4" w:space="0" w:color="auto"/>
            </w:tcBorders>
            <w:hideMark/>
          </w:tcPr>
          <w:p w14:paraId="5F1511D3" w14:textId="77777777" w:rsidR="00CF52AE" w:rsidRDefault="00CF52AE">
            <w:pPr>
              <w:spacing w:before="60" w:after="60"/>
              <w:rPr>
                <w:i/>
                <w:sz w:val="24"/>
                <w:szCs w:val="24"/>
                <w:lang w:eastAsia="da-DK"/>
              </w:rPr>
            </w:pPr>
            <w:r>
              <w:rPr>
                <w:i/>
                <w:sz w:val="24"/>
                <w:szCs w:val="24"/>
                <w:lang w:eastAsia="da-DK"/>
              </w:rPr>
              <w:t>Metabolisme og ernæring</w:t>
            </w:r>
          </w:p>
        </w:tc>
        <w:tc>
          <w:tcPr>
            <w:tcW w:w="1790" w:type="pct"/>
            <w:tcBorders>
              <w:top w:val="single" w:sz="4" w:space="0" w:color="auto"/>
              <w:left w:val="single" w:sz="4" w:space="0" w:color="auto"/>
              <w:bottom w:val="single" w:sz="4" w:space="0" w:color="auto"/>
              <w:right w:val="single" w:sz="4" w:space="0" w:color="auto"/>
            </w:tcBorders>
            <w:hideMark/>
          </w:tcPr>
          <w:p w14:paraId="4659AD5C" w14:textId="77777777" w:rsidR="00CF52AE" w:rsidRDefault="00CF52AE">
            <w:pPr>
              <w:spacing w:before="60" w:after="60"/>
              <w:rPr>
                <w:sz w:val="24"/>
                <w:szCs w:val="24"/>
                <w:lang w:eastAsia="da-DK"/>
              </w:rPr>
            </w:pPr>
            <w:r>
              <w:rPr>
                <w:sz w:val="24"/>
                <w:szCs w:val="24"/>
                <w:lang w:eastAsia="da-DK"/>
              </w:rPr>
              <w:t>Øget appetit</w:t>
            </w:r>
          </w:p>
        </w:tc>
        <w:tc>
          <w:tcPr>
            <w:tcW w:w="1469" w:type="pct"/>
            <w:tcBorders>
              <w:top w:val="single" w:sz="4" w:space="0" w:color="auto"/>
              <w:left w:val="single" w:sz="4" w:space="0" w:color="auto"/>
              <w:bottom w:val="single" w:sz="4" w:space="0" w:color="auto"/>
              <w:right w:val="single" w:sz="4" w:space="0" w:color="auto"/>
            </w:tcBorders>
          </w:tcPr>
          <w:p w14:paraId="795C8DDE" w14:textId="77777777" w:rsidR="00CF52AE" w:rsidRDefault="00CF52AE">
            <w:pPr>
              <w:spacing w:before="60" w:after="60"/>
              <w:rPr>
                <w:i/>
                <w:iCs/>
                <w:sz w:val="24"/>
                <w:szCs w:val="24"/>
                <w:lang w:eastAsia="da-DK"/>
              </w:rPr>
            </w:pPr>
          </w:p>
        </w:tc>
      </w:tr>
      <w:tr w:rsidR="00CF52AE" w14:paraId="03385825" w14:textId="77777777" w:rsidTr="00CF52AE">
        <w:trPr>
          <w:cantSplit/>
        </w:trPr>
        <w:tc>
          <w:tcPr>
            <w:tcW w:w="1741" w:type="pct"/>
            <w:tcBorders>
              <w:top w:val="single" w:sz="4" w:space="0" w:color="auto"/>
              <w:left w:val="single" w:sz="4" w:space="0" w:color="auto"/>
              <w:bottom w:val="single" w:sz="4" w:space="0" w:color="auto"/>
              <w:right w:val="single" w:sz="4" w:space="0" w:color="auto"/>
            </w:tcBorders>
            <w:hideMark/>
          </w:tcPr>
          <w:p w14:paraId="26CFC8DD" w14:textId="77777777" w:rsidR="00CF52AE" w:rsidRDefault="00CF52AE">
            <w:pPr>
              <w:spacing w:before="60" w:after="60"/>
              <w:rPr>
                <w:i/>
                <w:sz w:val="24"/>
                <w:szCs w:val="24"/>
                <w:lang w:eastAsia="da-DK"/>
              </w:rPr>
            </w:pPr>
            <w:r>
              <w:rPr>
                <w:i/>
                <w:sz w:val="24"/>
                <w:szCs w:val="24"/>
                <w:lang w:eastAsia="da-DK"/>
              </w:rPr>
              <w:t>Nervesystemet</w:t>
            </w:r>
          </w:p>
        </w:tc>
        <w:tc>
          <w:tcPr>
            <w:tcW w:w="1790" w:type="pct"/>
            <w:tcBorders>
              <w:top w:val="single" w:sz="4" w:space="0" w:color="auto"/>
              <w:left w:val="single" w:sz="4" w:space="0" w:color="auto"/>
              <w:bottom w:val="single" w:sz="4" w:space="0" w:color="auto"/>
              <w:right w:val="single" w:sz="4" w:space="0" w:color="auto"/>
            </w:tcBorders>
            <w:hideMark/>
          </w:tcPr>
          <w:p w14:paraId="0C598082" w14:textId="77777777" w:rsidR="00CF52AE" w:rsidRDefault="00CF52AE">
            <w:pPr>
              <w:spacing w:before="60" w:after="60"/>
              <w:rPr>
                <w:sz w:val="24"/>
                <w:szCs w:val="24"/>
                <w:lang w:eastAsia="da-DK"/>
              </w:rPr>
            </w:pPr>
            <w:r>
              <w:rPr>
                <w:sz w:val="24"/>
                <w:szCs w:val="24"/>
                <w:lang w:eastAsia="da-DK"/>
              </w:rPr>
              <w:t>Ekstrapyramidale symptomer</w:t>
            </w:r>
            <w:r>
              <w:rPr>
                <w:sz w:val="24"/>
                <w:szCs w:val="24"/>
                <w:vertAlign w:val="superscript"/>
                <w:lang w:eastAsia="da-DK"/>
              </w:rPr>
              <w:t>3,4</w:t>
            </w:r>
          </w:p>
        </w:tc>
        <w:tc>
          <w:tcPr>
            <w:tcW w:w="1469" w:type="pct"/>
            <w:tcBorders>
              <w:top w:val="single" w:sz="4" w:space="0" w:color="auto"/>
              <w:left w:val="single" w:sz="4" w:space="0" w:color="auto"/>
              <w:bottom w:val="single" w:sz="4" w:space="0" w:color="auto"/>
              <w:right w:val="single" w:sz="4" w:space="0" w:color="auto"/>
            </w:tcBorders>
            <w:hideMark/>
          </w:tcPr>
          <w:p w14:paraId="60A3B3DF" w14:textId="77777777" w:rsidR="00CF52AE" w:rsidRDefault="00CF52AE">
            <w:pPr>
              <w:spacing w:before="60" w:after="60"/>
              <w:rPr>
                <w:sz w:val="24"/>
                <w:szCs w:val="24"/>
                <w:lang w:eastAsia="da-DK"/>
              </w:rPr>
            </w:pPr>
            <w:r>
              <w:rPr>
                <w:sz w:val="24"/>
                <w:szCs w:val="24"/>
                <w:lang w:eastAsia="da-DK"/>
              </w:rPr>
              <w:t>Synkope</w:t>
            </w:r>
          </w:p>
        </w:tc>
      </w:tr>
      <w:tr w:rsidR="00CF52AE" w14:paraId="028B6291" w14:textId="77777777" w:rsidTr="00CF52AE">
        <w:trPr>
          <w:cantSplit/>
        </w:trPr>
        <w:tc>
          <w:tcPr>
            <w:tcW w:w="1741" w:type="pct"/>
            <w:tcBorders>
              <w:top w:val="single" w:sz="4" w:space="0" w:color="auto"/>
              <w:left w:val="single" w:sz="4" w:space="0" w:color="auto"/>
              <w:bottom w:val="single" w:sz="4" w:space="0" w:color="auto"/>
              <w:right w:val="single" w:sz="4" w:space="0" w:color="auto"/>
            </w:tcBorders>
            <w:hideMark/>
          </w:tcPr>
          <w:p w14:paraId="239A26A9" w14:textId="77777777" w:rsidR="00CF52AE" w:rsidRDefault="00CF52AE">
            <w:pPr>
              <w:spacing w:before="60" w:after="60"/>
              <w:rPr>
                <w:i/>
                <w:sz w:val="24"/>
                <w:szCs w:val="24"/>
                <w:lang w:eastAsia="da-DK"/>
              </w:rPr>
            </w:pPr>
            <w:r>
              <w:rPr>
                <w:i/>
                <w:sz w:val="24"/>
                <w:szCs w:val="24"/>
                <w:lang w:eastAsia="da-DK"/>
              </w:rPr>
              <w:t>Vaskulære sygdomme</w:t>
            </w:r>
          </w:p>
        </w:tc>
        <w:tc>
          <w:tcPr>
            <w:tcW w:w="1790" w:type="pct"/>
            <w:tcBorders>
              <w:top w:val="single" w:sz="4" w:space="0" w:color="auto"/>
              <w:left w:val="single" w:sz="4" w:space="0" w:color="auto"/>
              <w:bottom w:val="single" w:sz="4" w:space="0" w:color="auto"/>
              <w:right w:val="single" w:sz="4" w:space="0" w:color="auto"/>
            </w:tcBorders>
            <w:hideMark/>
          </w:tcPr>
          <w:p w14:paraId="6BC9E31B" w14:textId="77777777" w:rsidR="00CF52AE" w:rsidRDefault="00CF52AE">
            <w:pPr>
              <w:spacing w:before="60" w:after="60"/>
              <w:rPr>
                <w:sz w:val="24"/>
                <w:szCs w:val="24"/>
                <w:lang w:eastAsia="da-DK"/>
              </w:rPr>
            </w:pPr>
            <w:r>
              <w:rPr>
                <w:sz w:val="24"/>
                <w:szCs w:val="24"/>
                <w:lang w:eastAsia="da-DK"/>
              </w:rPr>
              <w:t>Blodtryksstigning</w:t>
            </w:r>
            <w:r>
              <w:rPr>
                <w:sz w:val="24"/>
                <w:szCs w:val="24"/>
                <w:vertAlign w:val="superscript"/>
                <w:lang w:eastAsia="da-DK"/>
              </w:rPr>
              <w:t>2</w:t>
            </w:r>
          </w:p>
        </w:tc>
        <w:tc>
          <w:tcPr>
            <w:tcW w:w="1469" w:type="pct"/>
            <w:tcBorders>
              <w:top w:val="single" w:sz="4" w:space="0" w:color="auto"/>
              <w:left w:val="single" w:sz="4" w:space="0" w:color="auto"/>
              <w:bottom w:val="single" w:sz="4" w:space="0" w:color="auto"/>
              <w:right w:val="single" w:sz="4" w:space="0" w:color="auto"/>
            </w:tcBorders>
          </w:tcPr>
          <w:p w14:paraId="3B1A7F1E" w14:textId="77777777" w:rsidR="00CF52AE" w:rsidRDefault="00CF52AE">
            <w:pPr>
              <w:spacing w:before="60" w:after="60"/>
              <w:rPr>
                <w:sz w:val="24"/>
                <w:szCs w:val="24"/>
                <w:lang w:eastAsia="da-DK"/>
              </w:rPr>
            </w:pPr>
          </w:p>
        </w:tc>
      </w:tr>
      <w:tr w:rsidR="00CF52AE" w14:paraId="31752B50" w14:textId="77777777" w:rsidTr="00CF52AE">
        <w:trPr>
          <w:cantSplit/>
        </w:trPr>
        <w:tc>
          <w:tcPr>
            <w:tcW w:w="1741" w:type="pct"/>
            <w:tcBorders>
              <w:top w:val="single" w:sz="4" w:space="0" w:color="auto"/>
              <w:left w:val="single" w:sz="4" w:space="0" w:color="auto"/>
              <w:bottom w:val="single" w:sz="4" w:space="0" w:color="auto"/>
              <w:right w:val="single" w:sz="4" w:space="0" w:color="auto"/>
            </w:tcBorders>
            <w:hideMark/>
          </w:tcPr>
          <w:p w14:paraId="3850FEC9" w14:textId="77777777" w:rsidR="00CF52AE" w:rsidRDefault="00CF52AE">
            <w:pPr>
              <w:spacing w:before="60" w:after="60"/>
              <w:rPr>
                <w:i/>
                <w:sz w:val="24"/>
                <w:szCs w:val="24"/>
                <w:lang w:eastAsia="da-DK"/>
              </w:rPr>
            </w:pPr>
            <w:r>
              <w:rPr>
                <w:i/>
                <w:sz w:val="24"/>
                <w:szCs w:val="24"/>
                <w:lang w:eastAsia="da-DK"/>
              </w:rPr>
              <w:t>Luftveje, thorax og mediastinum</w:t>
            </w:r>
          </w:p>
        </w:tc>
        <w:tc>
          <w:tcPr>
            <w:tcW w:w="1790" w:type="pct"/>
            <w:tcBorders>
              <w:top w:val="single" w:sz="4" w:space="0" w:color="auto"/>
              <w:left w:val="single" w:sz="4" w:space="0" w:color="auto"/>
              <w:bottom w:val="single" w:sz="4" w:space="0" w:color="auto"/>
              <w:right w:val="single" w:sz="4" w:space="0" w:color="auto"/>
            </w:tcBorders>
          </w:tcPr>
          <w:p w14:paraId="164B4203" w14:textId="77777777" w:rsidR="00CF52AE" w:rsidRDefault="00CF52AE">
            <w:pPr>
              <w:spacing w:before="60" w:after="60"/>
              <w:rPr>
                <w:i/>
                <w:iCs/>
                <w:sz w:val="24"/>
                <w:szCs w:val="24"/>
                <w:lang w:eastAsia="da-DK"/>
              </w:rPr>
            </w:pPr>
          </w:p>
        </w:tc>
        <w:tc>
          <w:tcPr>
            <w:tcW w:w="1469" w:type="pct"/>
            <w:tcBorders>
              <w:top w:val="single" w:sz="4" w:space="0" w:color="auto"/>
              <w:left w:val="single" w:sz="4" w:space="0" w:color="auto"/>
              <w:bottom w:val="single" w:sz="4" w:space="0" w:color="auto"/>
              <w:right w:val="single" w:sz="4" w:space="0" w:color="auto"/>
            </w:tcBorders>
            <w:hideMark/>
          </w:tcPr>
          <w:p w14:paraId="6030212A" w14:textId="77777777" w:rsidR="00CF52AE" w:rsidRDefault="00CF52AE">
            <w:pPr>
              <w:spacing w:before="60" w:after="60"/>
              <w:rPr>
                <w:sz w:val="24"/>
                <w:szCs w:val="24"/>
                <w:lang w:eastAsia="da-DK"/>
              </w:rPr>
            </w:pPr>
            <w:r>
              <w:rPr>
                <w:sz w:val="24"/>
                <w:szCs w:val="24"/>
                <w:lang w:eastAsia="da-DK"/>
              </w:rPr>
              <w:t>Rhinitis</w:t>
            </w:r>
          </w:p>
        </w:tc>
      </w:tr>
      <w:tr w:rsidR="00CF52AE" w14:paraId="7894AE7E" w14:textId="77777777" w:rsidTr="00CF52AE">
        <w:trPr>
          <w:cantSplit/>
        </w:trPr>
        <w:tc>
          <w:tcPr>
            <w:tcW w:w="1741" w:type="pct"/>
            <w:tcBorders>
              <w:top w:val="single" w:sz="4" w:space="0" w:color="auto"/>
              <w:left w:val="single" w:sz="4" w:space="0" w:color="auto"/>
              <w:bottom w:val="single" w:sz="4" w:space="0" w:color="auto"/>
              <w:right w:val="single" w:sz="4" w:space="0" w:color="auto"/>
            </w:tcBorders>
            <w:hideMark/>
          </w:tcPr>
          <w:p w14:paraId="770B7AD8" w14:textId="77777777" w:rsidR="00CF52AE" w:rsidRDefault="00CF52AE">
            <w:pPr>
              <w:spacing w:before="60" w:after="60"/>
              <w:rPr>
                <w:i/>
                <w:sz w:val="24"/>
                <w:szCs w:val="24"/>
                <w:lang w:eastAsia="da-DK"/>
              </w:rPr>
            </w:pPr>
            <w:r>
              <w:rPr>
                <w:i/>
                <w:sz w:val="24"/>
                <w:szCs w:val="24"/>
                <w:lang w:eastAsia="da-DK"/>
              </w:rPr>
              <w:t>Mave-tarm-kanalen</w:t>
            </w:r>
          </w:p>
        </w:tc>
        <w:tc>
          <w:tcPr>
            <w:tcW w:w="1790" w:type="pct"/>
            <w:tcBorders>
              <w:top w:val="single" w:sz="4" w:space="0" w:color="auto"/>
              <w:left w:val="single" w:sz="4" w:space="0" w:color="auto"/>
              <w:bottom w:val="single" w:sz="4" w:space="0" w:color="auto"/>
              <w:right w:val="single" w:sz="4" w:space="0" w:color="auto"/>
            </w:tcBorders>
            <w:hideMark/>
          </w:tcPr>
          <w:p w14:paraId="0E74A80F" w14:textId="77777777" w:rsidR="00CF52AE" w:rsidRDefault="00CF52AE">
            <w:pPr>
              <w:spacing w:before="60" w:after="60"/>
              <w:rPr>
                <w:sz w:val="24"/>
                <w:szCs w:val="24"/>
                <w:lang w:eastAsia="da-DK"/>
              </w:rPr>
            </w:pPr>
            <w:r>
              <w:rPr>
                <w:sz w:val="24"/>
                <w:szCs w:val="24"/>
                <w:lang w:eastAsia="da-DK"/>
              </w:rPr>
              <w:t>Opkastning</w:t>
            </w:r>
          </w:p>
        </w:tc>
        <w:tc>
          <w:tcPr>
            <w:tcW w:w="1469" w:type="pct"/>
            <w:tcBorders>
              <w:top w:val="single" w:sz="4" w:space="0" w:color="auto"/>
              <w:left w:val="single" w:sz="4" w:space="0" w:color="auto"/>
              <w:bottom w:val="single" w:sz="4" w:space="0" w:color="auto"/>
              <w:right w:val="single" w:sz="4" w:space="0" w:color="auto"/>
            </w:tcBorders>
          </w:tcPr>
          <w:p w14:paraId="2C5FF708" w14:textId="77777777" w:rsidR="00CF52AE" w:rsidRDefault="00CF52AE">
            <w:pPr>
              <w:spacing w:before="60" w:after="60"/>
              <w:rPr>
                <w:sz w:val="24"/>
                <w:szCs w:val="24"/>
                <w:lang w:eastAsia="da-DK"/>
              </w:rPr>
            </w:pPr>
          </w:p>
        </w:tc>
      </w:tr>
      <w:tr w:rsidR="00CF52AE" w14:paraId="6217011D" w14:textId="77777777" w:rsidTr="00CF52AE">
        <w:trPr>
          <w:cantSplit/>
        </w:trPr>
        <w:tc>
          <w:tcPr>
            <w:tcW w:w="1741" w:type="pct"/>
            <w:tcBorders>
              <w:top w:val="single" w:sz="4" w:space="0" w:color="auto"/>
              <w:left w:val="single" w:sz="4" w:space="0" w:color="auto"/>
              <w:bottom w:val="single" w:sz="4" w:space="0" w:color="auto"/>
              <w:right w:val="single" w:sz="4" w:space="0" w:color="auto"/>
            </w:tcBorders>
            <w:hideMark/>
          </w:tcPr>
          <w:p w14:paraId="7AF707A3" w14:textId="77777777" w:rsidR="00CF52AE" w:rsidRDefault="00CF52AE">
            <w:pPr>
              <w:spacing w:before="60" w:after="60"/>
              <w:rPr>
                <w:sz w:val="24"/>
                <w:szCs w:val="24"/>
                <w:lang w:eastAsia="da-DK"/>
              </w:rPr>
            </w:pPr>
            <w:r>
              <w:rPr>
                <w:i/>
                <w:sz w:val="24"/>
                <w:szCs w:val="24"/>
                <w:lang w:eastAsia="da-DK"/>
              </w:rPr>
              <w:t>Almene symptomer og reaktioner på administrationsstedet</w:t>
            </w:r>
          </w:p>
        </w:tc>
        <w:tc>
          <w:tcPr>
            <w:tcW w:w="1790" w:type="pct"/>
            <w:tcBorders>
              <w:top w:val="single" w:sz="4" w:space="0" w:color="auto"/>
              <w:left w:val="single" w:sz="4" w:space="0" w:color="auto"/>
              <w:bottom w:val="single" w:sz="4" w:space="0" w:color="auto"/>
              <w:right w:val="single" w:sz="4" w:space="0" w:color="auto"/>
            </w:tcBorders>
          </w:tcPr>
          <w:p w14:paraId="71ECFFC2" w14:textId="77777777" w:rsidR="00CF52AE" w:rsidRDefault="00CF52AE">
            <w:pPr>
              <w:spacing w:before="60" w:after="60"/>
              <w:rPr>
                <w:i/>
                <w:iCs/>
                <w:sz w:val="24"/>
                <w:szCs w:val="24"/>
                <w:lang w:eastAsia="da-DK"/>
              </w:rPr>
            </w:pPr>
          </w:p>
        </w:tc>
        <w:tc>
          <w:tcPr>
            <w:tcW w:w="1469" w:type="pct"/>
            <w:tcBorders>
              <w:top w:val="single" w:sz="4" w:space="0" w:color="auto"/>
              <w:left w:val="single" w:sz="4" w:space="0" w:color="auto"/>
              <w:bottom w:val="single" w:sz="4" w:space="0" w:color="auto"/>
              <w:right w:val="single" w:sz="4" w:space="0" w:color="auto"/>
            </w:tcBorders>
            <w:hideMark/>
          </w:tcPr>
          <w:p w14:paraId="2C1CA5F2" w14:textId="77777777" w:rsidR="00CF52AE" w:rsidRDefault="00CF52AE">
            <w:pPr>
              <w:spacing w:before="60" w:after="60"/>
              <w:rPr>
                <w:sz w:val="24"/>
                <w:szCs w:val="24"/>
                <w:lang w:eastAsia="da-DK"/>
              </w:rPr>
            </w:pPr>
            <w:r>
              <w:rPr>
                <w:sz w:val="24"/>
                <w:szCs w:val="24"/>
                <w:lang w:eastAsia="da-DK"/>
              </w:rPr>
              <w:t>Irritabilitet</w:t>
            </w:r>
            <w:r>
              <w:rPr>
                <w:sz w:val="24"/>
                <w:szCs w:val="24"/>
                <w:vertAlign w:val="superscript"/>
                <w:lang w:eastAsia="da-DK"/>
              </w:rPr>
              <w:t>3</w:t>
            </w:r>
          </w:p>
        </w:tc>
      </w:tr>
    </w:tbl>
    <w:p w14:paraId="2792AB53" w14:textId="77777777" w:rsidR="00CF52AE" w:rsidRDefault="00CF52AE" w:rsidP="00CF52AE">
      <w:pPr>
        <w:rPr>
          <w:color w:val="000000"/>
          <w:sz w:val="24"/>
          <w:szCs w:val="24"/>
        </w:rPr>
      </w:pPr>
    </w:p>
    <w:p w14:paraId="40C3574F" w14:textId="77777777" w:rsidR="00CF52AE" w:rsidRPr="00DC39FD" w:rsidRDefault="00CF52AE" w:rsidP="00CF52AE">
      <w:pPr>
        <w:pStyle w:val="Listeafsnit"/>
        <w:numPr>
          <w:ilvl w:val="0"/>
          <w:numId w:val="7"/>
        </w:numPr>
        <w:ind w:left="1276" w:hanging="425"/>
        <w:jc w:val="both"/>
        <w:rPr>
          <w:color w:val="000000"/>
          <w:sz w:val="22"/>
          <w:szCs w:val="22"/>
        </w:rPr>
      </w:pPr>
      <w:r w:rsidRPr="00DC39FD">
        <w:rPr>
          <w:color w:val="000000"/>
          <w:sz w:val="22"/>
          <w:szCs w:val="22"/>
        </w:rPr>
        <w:t>Prolaktinniveauer (patienter &lt; 18 år): &gt; 20 ug/l (&gt;869,56 pmol/l) hankøn; &gt;26 ug/l (&gt;1130,428 pmol/l) hunkøn når som helst. Mindre end 1 % af patienterne havde en stigning til et prolaktinniveau på &gt;100 ug/l.</w:t>
      </w:r>
    </w:p>
    <w:p w14:paraId="20F94878" w14:textId="77777777" w:rsidR="00CF52AE" w:rsidRPr="00DC39FD" w:rsidRDefault="00CF52AE" w:rsidP="00CF52AE">
      <w:pPr>
        <w:pStyle w:val="Listeafsnit"/>
        <w:numPr>
          <w:ilvl w:val="0"/>
          <w:numId w:val="7"/>
        </w:numPr>
        <w:ind w:left="1276" w:hanging="425"/>
        <w:jc w:val="both"/>
        <w:rPr>
          <w:color w:val="000000"/>
          <w:sz w:val="22"/>
          <w:szCs w:val="22"/>
        </w:rPr>
      </w:pPr>
      <w:r w:rsidRPr="00DC39FD">
        <w:rPr>
          <w:color w:val="000000"/>
          <w:sz w:val="22"/>
          <w:szCs w:val="22"/>
        </w:rPr>
        <w:t xml:space="preserve">Baseret på ændringer over klinisk signifikante tærskler (tilpasset fra National Institutes of Healths kriterier) eller stigninger på &gt; 20 mmHg for systolisk eller &gt; 10 mmHg for diastolisk blodtryk når som helst i to akutte (3-6 uger) placebo-kontrollerede forsøg med børn og unge. </w:t>
      </w:r>
    </w:p>
    <w:p w14:paraId="165DE41C" w14:textId="77777777" w:rsidR="00CF52AE" w:rsidRPr="00DC39FD" w:rsidRDefault="00CF52AE" w:rsidP="00CF52AE">
      <w:pPr>
        <w:pStyle w:val="Listeafsnit"/>
        <w:numPr>
          <w:ilvl w:val="0"/>
          <w:numId w:val="7"/>
        </w:numPr>
        <w:autoSpaceDE w:val="0"/>
        <w:autoSpaceDN w:val="0"/>
        <w:adjustRightInd w:val="0"/>
        <w:ind w:left="1276" w:hanging="425"/>
        <w:rPr>
          <w:color w:val="000000"/>
          <w:sz w:val="22"/>
          <w:szCs w:val="22"/>
        </w:rPr>
      </w:pPr>
      <w:r w:rsidRPr="00DC39FD">
        <w:rPr>
          <w:color w:val="000000"/>
          <w:sz w:val="22"/>
          <w:szCs w:val="22"/>
        </w:rPr>
        <w:lastRenderedPageBreak/>
        <w:t>Bemærk: Hyppigheden svarer til den, som er set hos voksne, men kan være forbundet med forskellige kliniske konsekvenser hos børn og unge sammenlignet med voksne.</w:t>
      </w:r>
    </w:p>
    <w:p w14:paraId="2B04C8B6" w14:textId="0CDF6D3A" w:rsidR="00CF52AE" w:rsidRPr="00DC39FD" w:rsidRDefault="00CF52AE" w:rsidP="00CF52AE">
      <w:pPr>
        <w:pStyle w:val="Listeafsnit"/>
        <w:numPr>
          <w:ilvl w:val="0"/>
          <w:numId w:val="7"/>
        </w:numPr>
        <w:autoSpaceDE w:val="0"/>
        <w:autoSpaceDN w:val="0"/>
        <w:adjustRightInd w:val="0"/>
        <w:ind w:left="1276" w:hanging="425"/>
        <w:jc w:val="both"/>
        <w:rPr>
          <w:color w:val="000000"/>
          <w:sz w:val="22"/>
          <w:szCs w:val="22"/>
        </w:rPr>
      </w:pPr>
      <w:r w:rsidRPr="00DC39FD">
        <w:rPr>
          <w:color w:val="000000"/>
          <w:sz w:val="22"/>
          <w:szCs w:val="22"/>
        </w:rPr>
        <w:t>Se pkt. 5.1</w:t>
      </w:r>
      <w:r w:rsidR="00DC39FD">
        <w:rPr>
          <w:color w:val="000000"/>
          <w:sz w:val="22"/>
          <w:szCs w:val="22"/>
        </w:rPr>
        <w:t>.</w:t>
      </w:r>
    </w:p>
    <w:p w14:paraId="7194ACFB" w14:textId="77777777" w:rsidR="00CF52AE" w:rsidRDefault="00CF52AE" w:rsidP="00CF52AE">
      <w:pPr>
        <w:autoSpaceDE w:val="0"/>
        <w:autoSpaceDN w:val="0"/>
        <w:adjustRightInd w:val="0"/>
        <w:rPr>
          <w:sz w:val="24"/>
          <w:szCs w:val="24"/>
          <w:lang w:eastAsia="en-GB"/>
        </w:rPr>
      </w:pPr>
    </w:p>
    <w:p w14:paraId="6FBD023B" w14:textId="77777777" w:rsidR="0067627C" w:rsidRDefault="0067627C" w:rsidP="0067627C">
      <w:pPr>
        <w:autoSpaceDE w:val="0"/>
        <w:autoSpaceDN w:val="0"/>
        <w:ind w:left="851"/>
        <w:rPr>
          <w:sz w:val="24"/>
          <w:szCs w:val="24"/>
          <w:u w:val="single"/>
        </w:rPr>
      </w:pPr>
      <w:r>
        <w:rPr>
          <w:sz w:val="24"/>
          <w:szCs w:val="24"/>
          <w:u w:val="single"/>
        </w:rPr>
        <w:t>Indberetning af formodede bivirkninger</w:t>
      </w:r>
    </w:p>
    <w:p w14:paraId="410B84C0" w14:textId="77777777" w:rsidR="0067627C" w:rsidRDefault="0067627C" w:rsidP="0067627C">
      <w:pPr>
        <w:ind w:left="851"/>
        <w:rPr>
          <w:sz w:val="24"/>
          <w:szCs w:val="24"/>
        </w:rPr>
      </w:pPr>
      <w:r>
        <w:rPr>
          <w:sz w:val="24"/>
          <w:szCs w:val="24"/>
        </w:rPr>
        <w:t>Når lægemidlet er godkendt, er indberetning af formodede bivirkninger vigtig. Det muliggør løbende overvågning af benefit/risk-forholdet for lægemidlet. Sundhedspersoner anmodes om at indberette alle formodede bivirkninger via:</w:t>
      </w:r>
    </w:p>
    <w:p w14:paraId="71F08234" w14:textId="77777777" w:rsidR="0067627C" w:rsidRDefault="0067627C" w:rsidP="0067627C">
      <w:pPr>
        <w:tabs>
          <w:tab w:val="left" w:pos="2440"/>
        </w:tabs>
        <w:ind w:left="851"/>
        <w:rPr>
          <w:sz w:val="24"/>
          <w:szCs w:val="24"/>
        </w:rPr>
      </w:pPr>
    </w:p>
    <w:p w14:paraId="32BFF788" w14:textId="77777777" w:rsidR="0067627C" w:rsidRDefault="0067627C" w:rsidP="0067627C">
      <w:pPr>
        <w:ind w:left="851"/>
        <w:rPr>
          <w:sz w:val="24"/>
          <w:szCs w:val="24"/>
        </w:rPr>
      </w:pPr>
      <w:r>
        <w:rPr>
          <w:sz w:val="24"/>
          <w:szCs w:val="24"/>
        </w:rPr>
        <w:t>Lægemiddelstyrelsen</w:t>
      </w:r>
    </w:p>
    <w:p w14:paraId="0987F2F4" w14:textId="77777777" w:rsidR="0067627C" w:rsidRDefault="0067627C" w:rsidP="0067627C">
      <w:pPr>
        <w:ind w:left="851"/>
        <w:rPr>
          <w:sz w:val="24"/>
          <w:szCs w:val="24"/>
        </w:rPr>
      </w:pPr>
      <w:r>
        <w:rPr>
          <w:sz w:val="24"/>
          <w:szCs w:val="24"/>
        </w:rPr>
        <w:t>Axel Heides Gade 1</w:t>
      </w:r>
    </w:p>
    <w:p w14:paraId="3F802640" w14:textId="77777777" w:rsidR="0067627C" w:rsidRDefault="0067627C" w:rsidP="0067627C">
      <w:pPr>
        <w:ind w:left="851"/>
        <w:rPr>
          <w:sz w:val="24"/>
          <w:szCs w:val="24"/>
        </w:rPr>
      </w:pPr>
      <w:r>
        <w:rPr>
          <w:sz w:val="24"/>
          <w:szCs w:val="24"/>
        </w:rPr>
        <w:t>DK-2300 København S</w:t>
      </w:r>
    </w:p>
    <w:p w14:paraId="32483427" w14:textId="74E92397" w:rsidR="0067627C" w:rsidRPr="00DD0624" w:rsidRDefault="0067627C" w:rsidP="0067627C">
      <w:pPr>
        <w:ind w:left="851"/>
        <w:rPr>
          <w:sz w:val="24"/>
          <w:szCs w:val="24"/>
        </w:rPr>
      </w:pPr>
      <w:r w:rsidRPr="00DD0624">
        <w:rPr>
          <w:sz w:val="24"/>
          <w:szCs w:val="24"/>
        </w:rPr>
        <w:t xml:space="preserve">Websted: </w:t>
      </w:r>
      <w:r w:rsidRPr="003C4B5C">
        <w:rPr>
          <w:sz w:val="24"/>
          <w:szCs w:val="24"/>
        </w:rPr>
        <w:t>www.meldenbivirkning.dk</w:t>
      </w:r>
    </w:p>
    <w:p w14:paraId="4822ACE5" w14:textId="77777777" w:rsidR="00CA6E27" w:rsidRPr="0067627C" w:rsidRDefault="00CA6E27" w:rsidP="00040F2E">
      <w:pPr>
        <w:autoSpaceDE w:val="0"/>
        <w:autoSpaceDN w:val="0"/>
        <w:adjustRightInd w:val="0"/>
        <w:rPr>
          <w:sz w:val="24"/>
          <w:szCs w:val="24"/>
          <w:lang w:eastAsia="en-GB"/>
        </w:rPr>
      </w:pPr>
    </w:p>
    <w:p w14:paraId="754FB171" w14:textId="77777777" w:rsidR="00040F2E" w:rsidRPr="0067627C" w:rsidRDefault="00040F2E" w:rsidP="00040F2E">
      <w:pPr>
        <w:tabs>
          <w:tab w:val="left" w:pos="851"/>
        </w:tabs>
        <w:ind w:left="851" w:hanging="851"/>
        <w:rPr>
          <w:b/>
          <w:sz w:val="24"/>
          <w:szCs w:val="24"/>
        </w:rPr>
      </w:pPr>
      <w:r w:rsidRPr="0067627C">
        <w:rPr>
          <w:b/>
          <w:sz w:val="24"/>
          <w:szCs w:val="24"/>
        </w:rPr>
        <w:t>4.9</w:t>
      </w:r>
      <w:r w:rsidRPr="0067627C">
        <w:rPr>
          <w:b/>
          <w:sz w:val="24"/>
          <w:szCs w:val="24"/>
        </w:rPr>
        <w:tab/>
        <w:t>Overdosering</w:t>
      </w:r>
    </w:p>
    <w:p w14:paraId="152BF6D1" w14:textId="77777777" w:rsidR="003C6874" w:rsidRDefault="003C6874" w:rsidP="00040F2E">
      <w:pPr>
        <w:ind w:left="851"/>
        <w:rPr>
          <w:sz w:val="24"/>
          <w:szCs w:val="24"/>
          <w:u w:val="single"/>
        </w:rPr>
      </w:pPr>
    </w:p>
    <w:p w14:paraId="0D573D9B" w14:textId="77085183" w:rsidR="00040F2E" w:rsidRPr="0067627C" w:rsidRDefault="00040F2E" w:rsidP="00040F2E">
      <w:pPr>
        <w:ind w:left="851"/>
        <w:rPr>
          <w:sz w:val="24"/>
          <w:szCs w:val="24"/>
          <w:u w:val="single"/>
        </w:rPr>
      </w:pPr>
      <w:r w:rsidRPr="0067627C">
        <w:rPr>
          <w:sz w:val="24"/>
          <w:szCs w:val="24"/>
          <w:u w:val="single"/>
        </w:rPr>
        <w:t>Symptomer</w:t>
      </w:r>
    </w:p>
    <w:p w14:paraId="66E31908" w14:textId="77777777" w:rsidR="00040F2E" w:rsidRDefault="00040F2E" w:rsidP="00040F2E">
      <w:pPr>
        <w:autoSpaceDE w:val="0"/>
        <w:autoSpaceDN w:val="0"/>
        <w:adjustRightInd w:val="0"/>
        <w:ind w:left="851"/>
        <w:rPr>
          <w:bCs/>
          <w:sz w:val="24"/>
          <w:szCs w:val="24"/>
        </w:rPr>
      </w:pPr>
      <w:r>
        <w:rPr>
          <w:bCs/>
          <w:sz w:val="24"/>
          <w:szCs w:val="24"/>
        </w:rPr>
        <w:t>Generelt var de rapporterede tegn og symptomer resultatet af en forstærkning af det aktive stofs kendte farmakologiske effekter dvs. søvnighed og sedation, takykardi og hypotension.</w:t>
      </w:r>
    </w:p>
    <w:p w14:paraId="31442AD0" w14:textId="77777777" w:rsidR="00040F2E" w:rsidRDefault="00040F2E" w:rsidP="00040F2E">
      <w:pPr>
        <w:autoSpaceDE w:val="0"/>
        <w:autoSpaceDN w:val="0"/>
        <w:adjustRightInd w:val="0"/>
        <w:rPr>
          <w:bCs/>
          <w:sz w:val="24"/>
          <w:szCs w:val="24"/>
        </w:rPr>
      </w:pPr>
    </w:p>
    <w:p w14:paraId="1F2B3E6A" w14:textId="77777777" w:rsidR="00040F2E" w:rsidRDefault="00040F2E" w:rsidP="00040F2E">
      <w:pPr>
        <w:autoSpaceDE w:val="0"/>
        <w:autoSpaceDN w:val="0"/>
        <w:adjustRightInd w:val="0"/>
        <w:ind w:left="851"/>
        <w:rPr>
          <w:bCs/>
          <w:sz w:val="24"/>
          <w:szCs w:val="24"/>
        </w:rPr>
      </w:pPr>
      <w:r>
        <w:rPr>
          <w:sz w:val="24"/>
          <w:szCs w:val="24"/>
        </w:rPr>
        <w:t xml:space="preserve">Overdosering kan medføre </w:t>
      </w:r>
      <w:r>
        <w:rPr>
          <w:bCs/>
          <w:sz w:val="24"/>
          <w:szCs w:val="24"/>
        </w:rPr>
        <w:t>QT-forlængelse, kramper, status epilepticus, rhabdomyolyse, respirationsdepression, urinretention, forvirring, delirium og/eller ophidselse, koma og død.</w:t>
      </w:r>
    </w:p>
    <w:p w14:paraId="59061B9C" w14:textId="77777777" w:rsidR="00040F2E" w:rsidRDefault="00040F2E" w:rsidP="00040F2E">
      <w:pPr>
        <w:autoSpaceDE w:val="0"/>
        <w:autoSpaceDN w:val="0"/>
        <w:adjustRightInd w:val="0"/>
        <w:rPr>
          <w:bCs/>
          <w:sz w:val="24"/>
          <w:szCs w:val="24"/>
        </w:rPr>
      </w:pPr>
    </w:p>
    <w:p w14:paraId="5A5E04DD" w14:textId="77777777" w:rsidR="00040F2E" w:rsidRDefault="00040F2E" w:rsidP="00040F2E">
      <w:pPr>
        <w:autoSpaceDE w:val="0"/>
        <w:autoSpaceDN w:val="0"/>
        <w:adjustRightInd w:val="0"/>
        <w:ind w:left="851"/>
        <w:rPr>
          <w:bCs/>
          <w:sz w:val="24"/>
          <w:szCs w:val="24"/>
        </w:rPr>
      </w:pPr>
      <w:r>
        <w:rPr>
          <w:bCs/>
          <w:sz w:val="24"/>
          <w:szCs w:val="24"/>
        </w:rPr>
        <w:t xml:space="preserve">Patienter med forudeksisterende alvorlig kardiovaskulær sygdom kan have øget risiko for at få bivirkninger af ved overdosering (se pkt. 4.4: </w:t>
      </w:r>
      <w:r>
        <w:t>Ortostatisk hypotension</w:t>
      </w:r>
      <w:r>
        <w:rPr>
          <w:bCs/>
          <w:sz w:val="24"/>
          <w:szCs w:val="24"/>
        </w:rPr>
        <w:t>).</w:t>
      </w:r>
    </w:p>
    <w:p w14:paraId="63ED8047" w14:textId="77777777" w:rsidR="00040F2E" w:rsidRDefault="00040F2E" w:rsidP="00040F2E">
      <w:pPr>
        <w:autoSpaceDE w:val="0"/>
        <w:autoSpaceDN w:val="0"/>
        <w:adjustRightInd w:val="0"/>
        <w:rPr>
          <w:bCs/>
          <w:sz w:val="24"/>
          <w:szCs w:val="24"/>
          <w:u w:val="single"/>
        </w:rPr>
      </w:pPr>
    </w:p>
    <w:p w14:paraId="295F1683" w14:textId="77777777" w:rsidR="00040F2E" w:rsidRDefault="00040F2E" w:rsidP="00040F2E">
      <w:pPr>
        <w:autoSpaceDE w:val="0"/>
        <w:autoSpaceDN w:val="0"/>
        <w:adjustRightInd w:val="0"/>
        <w:ind w:firstLine="851"/>
        <w:rPr>
          <w:bCs/>
          <w:sz w:val="24"/>
          <w:szCs w:val="24"/>
        </w:rPr>
      </w:pPr>
      <w:r>
        <w:rPr>
          <w:bCs/>
          <w:sz w:val="24"/>
          <w:szCs w:val="24"/>
          <w:u w:val="single"/>
        </w:rPr>
        <w:t>Håndtering af overdosering</w:t>
      </w:r>
    </w:p>
    <w:p w14:paraId="3FEF5696" w14:textId="60FCC9DA" w:rsidR="00040F2E" w:rsidRDefault="00040F2E" w:rsidP="00040F2E">
      <w:pPr>
        <w:autoSpaceDE w:val="0"/>
        <w:autoSpaceDN w:val="0"/>
        <w:adjustRightInd w:val="0"/>
        <w:ind w:left="851"/>
        <w:rPr>
          <w:bCs/>
          <w:sz w:val="24"/>
          <w:szCs w:val="24"/>
        </w:rPr>
      </w:pPr>
      <w:r>
        <w:rPr>
          <w:bCs/>
          <w:sz w:val="24"/>
          <w:szCs w:val="24"/>
        </w:rPr>
        <w:t xml:space="preserve">Der er ingen specifik antidot mod quetiapin. I tilfælde af alvorlige tegn bør det overvejes, om der er tale om samvirkning af flere slags </w:t>
      </w:r>
      <w:r w:rsidR="003C6874">
        <w:rPr>
          <w:bCs/>
          <w:sz w:val="24"/>
          <w:szCs w:val="24"/>
        </w:rPr>
        <w:t>lægemidler</w:t>
      </w:r>
      <w:r>
        <w:rPr>
          <w:bCs/>
          <w:sz w:val="24"/>
          <w:szCs w:val="24"/>
        </w:rPr>
        <w:t xml:space="preserve">, og intensiv behandling anbefales, herunder sikring og vedligeholdelse af åbne luftveje, sikring af tilstrækkelig ilttilførsel og ventilation, samt monitorering og understøttelse af det kardiovaskulære system. </w:t>
      </w:r>
    </w:p>
    <w:p w14:paraId="5BD99EC5" w14:textId="77777777" w:rsidR="00040F2E" w:rsidRDefault="00040F2E" w:rsidP="00040F2E">
      <w:pPr>
        <w:autoSpaceDE w:val="0"/>
        <w:autoSpaceDN w:val="0"/>
        <w:adjustRightInd w:val="0"/>
        <w:ind w:left="851"/>
        <w:rPr>
          <w:bCs/>
          <w:sz w:val="24"/>
          <w:szCs w:val="24"/>
        </w:rPr>
      </w:pPr>
    </w:p>
    <w:p w14:paraId="46ACC315" w14:textId="77777777" w:rsidR="00040F2E" w:rsidRDefault="00040F2E" w:rsidP="00040F2E">
      <w:pPr>
        <w:ind w:left="851"/>
        <w:rPr>
          <w:sz w:val="24"/>
          <w:szCs w:val="24"/>
        </w:rPr>
      </w:pPr>
      <w:r>
        <w:rPr>
          <w:sz w:val="24"/>
          <w:szCs w:val="24"/>
        </w:rPr>
        <w:t>Baseret på publiceret litteratur kan patienter med delerium og agitation samt et tydeligt antikolinergt syndrom behandles med 1-2 mg physostigmin under kontinuerligt EKG monitorering. Dette anbefales ikke som standardbehandling på grund af en potentiel negativ virkning af physostigmin på hjertets ledningsevne. Physostigmin kan anvendes, hvis der ikke er nogen EKG afvigelser. Brug ikke physostigmin i tilfælde af dysarytmier, alle former for hjerteblok eller QRS-udvidelser.</w:t>
      </w:r>
    </w:p>
    <w:p w14:paraId="6CC4DC76" w14:textId="77777777" w:rsidR="00040F2E" w:rsidRDefault="00040F2E" w:rsidP="00040F2E">
      <w:pPr>
        <w:ind w:left="851"/>
        <w:rPr>
          <w:sz w:val="24"/>
          <w:szCs w:val="24"/>
        </w:rPr>
      </w:pPr>
    </w:p>
    <w:p w14:paraId="574A80EB" w14:textId="77777777" w:rsidR="00040F2E" w:rsidRDefault="00040F2E" w:rsidP="00040F2E">
      <w:pPr>
        <w:autoSpaceDE w:val="0"/>
        <w:autoSpaceDN w:val="0"/>
        <w:adjustRightInd w:val="0"/>
        <w:ind w:left="851"/>
        <w:rPr>
          <w:bCs/>
          <w:sz w:val="24"/>
          <w:szCs w:val="24"/>
        </w:rPr>
      </w:pPr>
      <w:r>
        <w:rPr>
          <w:bCs/>
          <w:sz w:val="24"/>
          <w:szCs w:val="24"/>
        </w:rPr>
        <w:t>Selvom hindring af absorption ved overdosis ikke er undersøgt, kan maveskylning være indiceret ved alvorlig forgiftning. Om muligt bør maveskylning finde sted inden for en time efter indtagelsen. Administration af aktivt kul bør overvejes.</w:t>
      </w:r>
    </w:p>
    <w:p w14:paraId="6040A07E" w14:textId="77777777" w:rsidR="00040F2E" w:rsidRDefault="00040F2E" w:rsidP="00040F2E">
      <w:pPr>
        <w:autoSpaceDE w:val="0"/>
        <w:autoSpaceDN w:val="0"/>
        <w:adjustRightInd w:val="0"/>
        <w:rPr>
          <w:sz w:val="24"/>
          <w:szCs w:val="24"/>
        </w:rPr>
      </w:pPr>
    </w:p>
    <w:p w14:paraId="2A59FBE8" w14:textId="77777777" w:rsidR="00040F2E" w:rsidRDefault="00040F2E" w:rsidP="00040F2E">
      <w:pPr>
        <w:autoSpaceDE w:val="0"/>
        <w:autoSpaceDN w:val="0"/>
        <w:adjustRightInd w:val="0"/>
        <w:ind w:left="851"/>
        <w:rPr>
          <w:sz w:val="24"/>
          <w:szCs w:val="24"/>
        </w:rPr>
      </w:pPr>
      <w:r>
        <w:rPr>
          <w:sz w:val="24"/>
          <w:szCs w:val="24"/>
        </w:rPr>
        <w:t>I tilfælde af overdosering af quetiapin skal refraktorisk hypotension behandles med passende tiltag såsom intravenøse væsker og/eller sympatomimetiske stoffer epinephrin og dopamin skal undgås, eftersom betastimulering kan forværre hypotension i tilfælde med quetiapin-induceret alfa-blokade.</w:t>
      </w:r>
    </w:p>
    <w:p w14:paraId="5921CFF7" w14:textId="77777777" w:rsidR="00040F2E" w:rsidRDefault="00040F2E" w:rsidP="00040F2E">
      <w:pPr>
        <w:autoSpaceDE w:val="0"/>
        <w:autoSpaceDN w:val="0"/>
        <w:adjustRightInd w:val="0"/>
        <w:ind w:left="851"/>
        <w:rPr>
          <w:bCs/>
          <w:sz w:val="24"/>
          <w:szCs w:val="24"/>
        </w:rPr>
      </w:pPr>
    </w:p>
    <w:p w14:paraId="01342B06" w14:textId="77777777" w:rsidR="00040F2E" w:rsidRDefault="00040F2E" w:rsidP="00040F2E">
      <w:pPr>
        <w:autoSpaceDE w:val="0"/>
        <w:autoSpaceDN w:val="0"/>
        <w:adjustRightInd w:val="0"/>
        <w:ind w:firstLine="851"/>
        <w:rPr>
          <w:bCs/>
          <w:sz w:val="24"/>
          <w:szCs w:val="24"/>
        </w:rPr>
      </w:pPr>
      <w:r>
        <w:rPr>
          <w:bCs/>
          <w:sz w:val="24"/>
          <w:szCs w:val="24"/>
        </w:rPr>
        <w:t>Tæt lægetilsyn og monitorering bør fortsætte, indtil patienten kommer sig.</w:t>
      </w:r>
    </w:p>
    <w:p w14:paraId="4963350F" w14:textId="77777777" w:rsidR="00040F2E" w:rsidRDefault="00040F2E" w:rsidP="00040F2E">
      <w:pPr>
        <w:autoSpaceDE w:val="0"/>
        <w:autoSpaceDN w:val="0"/>
        <w:adjustRightInd w:val="0"/>
        <w:rPr>
          <w:bCs/>
          <w:sz w:val="24"/>
          <w:szCs w:val="24"/>
        </w:rPr>
      </w:pPr>
    </w:p>
    <w:p w14:paraId="7DF75CE9" w14:textId="77777777" w:rsidR="00040F2E" w:rsidRDefault="00040F2E" w:rsidP="00040F2E">
      <w:pPr>
        <w:tabs>
          <w:tab w:val="left" w:pos="851"/>
        </w:tabs>
        <w:ind w:left="851" w:hanging="851"/>
        <w:rPr>
          <w:b/>
          <w:sz w:val="24"/>
          <w:szCs w:val="24"/>
        </w:rPr>
      </w:pPr>
      <w:r>
        <w:rPr>
          <w:b/>
          <w:sz w:val="24"/>
          <w:szCs w:val="24"/>
        </w:rPr>
        <w:lastRenderedPageBreak/>
        <w:t>4.10</w:t>
      </w:r>
      <w:r>
        <w:rPr>
          <w:b/>
          <w:sz w:val="24"/>
          <w:szCs w:val="24"/>
        </w:rPr>
        <w:tab/>
        <w:t>Udlevering</w:t>
      </w:r>
    </w:p>
    <w:p w14:paraId="15B4417F" w14:textId="77777777" w:rsidR="00040F2E" w:rsidRDefault="00040F2E" w:rsidP="00040F2E">
      <w:pPr>
        <w:tabs>
          <w:tab w:val="left" w:pos="851"/>
        </w:tabs>
        <w:ind w:left="851"/>
        <w:rPr>
          <w:sz w:val="24"/>
          <w:szCs w:val="24"/>
        </w:rPr>
      </w:pPr>
      <w:r>
        <w:rPr>
          <w:sz w:val="24"/>
          <w:szCs w:val="24"/>
        </w:rPr>
        <w:t>B</w:t>
      </w:r>
    </w:p>
    <w:p w14:paraId="3F415983" w14:textId="77777777" w:rsidR="00040F2E" w:rsidRDefault="00040F2E" w:rsidP="00040F2E">
      <w:pPr>
        <w:autoSpaceDE w:val="0"/>
        <w:autoSpaceDN w:val="0"/>
        <w:adjustRightInd w:val="0"/>
        <w:rPr>
          <w:bCs/>
          <w:sz w:val="24"/>
          <w:szCs w:val="24"/>
        </w:rPr>
      </w:pPr>
    </w:p>
    <w:p w14:paraId="4913CF28" w14:textId="77777777" w:rsidR="00040F2E" w:rsidRPr="00B50DD9" w:rsidRDefault="00040F2E" w:rsidP="00040F2E">
      <w:pPr>
        <w:autoSpaceDE w:val="0"/>
        <w:autoSpaceDN w:val="0"/>
        <w:adjustRightInd w:val="0"/>
        <w:rPr>
          <w:bCs/>
          <w:sz w:val="24"/>
          <w:szCs w:val="24"/>
        </w:rPr>
      </w:pPr>
    </w:p>
    <w:p w14:paraId="17FEFFD6" w14:textId="77777777" w:rsidR="00040F2E" w:rsidRPr="00582EF9" w:rsidRDefault="00040F2E" w:rsidP="00582EF9">
      <w:pPr>
        <w:tabs>
          <w:tab w:val="left" w:pos="851"/>
        </w:tabs>
        <w:ind w:left="851" w:hanging="851"/>
        <w:rPr>
          <w:b/>
          <w:sz w:val="24"/>
          <w:szCs w:val="24"/>
        </w:rPr>
      </w:pPr>
      <w:r>
        <w:rPr>
          <w:b/>
          <w:sz w:val="24"/>
          <w:szCs w:val="24"/>
        </w:rPr>
        <w:t>5.</w:t>
      </w:r>
      <w:r>
        <w:rPr>
          <w:b/>
          <w:sz w:val="24"/>
          <w:szCs w:val="24"/>
        </w:rPr>
        <w:tab/>
        <w:t>FARMAKOLOGISKE EGENSKABER</w:t>
      </w:r>
    </w:p>
    <w:p w14:paraId="2CA9611A" w14:textId="77777777" w:rsidR="00040F2E" w:rsidRPr="003C6874" w:rsidRDefault="00040F2E" w:rsidP="00040F2E">
      <w:pPr>
        <w:tabs>
          <w:tab w:val="left" w:pos="851"/>
        </w:tabs>
        <w:autoSpaceDE w:val="0"/>
        <w:autoSpaceDN w:val="0"/>
        <w:adjustRightInd w:val="0"/>
        <w:rPr>
          <w:b/>
          <w:bCs/>
          <w:sz w:val="24"/>
          <w:szCs w:val="24"/>
          <w:lang w:eastAsia="en-GB"/>
        </w:rPr>
      </w:pPr>
    </w:p>
    <w:p w14:paraId="78FEEA4C" w14:textId="77777777" w:rsidR="00040F2E" w:rsidRPr="003C6874" w:rsidRDefault="00040F2E" w:rsidP="00040F2E">
      <w:pPr>
        <w:tabs>
          <w:tab w:val="left" w:pos="851"/>
        </w:tabs>
        <w:autoSpaceDE w:val="0"/>
        <w:autoSpaceDN w:val="0"/>
        <w:adjustRightInd w:val="0"/>
        <w:rPr>
          <w:b/>
          <w:bCs/>
          <w:sz w:val="24"/>
          <w:szCs w:val="24"/>
          <w:lang w:eastAsia="en-GB"/>
        </w:rPr>
      </w:pPr>
      <w:r w:rsidRPr="003C6874">
        <w:rPr>
          <w:b/>
          <w:bCs/>
          <w:sz w:val="24"/>
          <w:szCs w:val="24"/>
          <w:lang w:eastAsia="en-GB"/>
        </w:rPr>
        <w:t xml:space="preserve">5.1 </w:t>
      </w:r>
      <w:r w:rsidRPr="003C6874">
        <w:rPr>
          <w:b/>
          <w:bCs/>
          <w:sz w:val="24"/>
          <w:szCs w:val="24"/>
          <w:lang w:eastAsia="en-GB"/>
        </w:rPr>
        <w:tab/>
      </w:r>
      <w:r w:rsidRPr="003C6874">
        <w:rPr>
          <w:b/>
          <w:sz w:val="24"/>
          <w:szCs w:val="24"/>
        </w:rPr>
        <w:t>Farmakodynamiske egenskaber</w:t>
      </w:r>
    </w:p>
    <w:p w14:paraId="666F6D3A" w14:textId="7C28766F" w:rsidR="00582EF9" w:rsidRPr="003C6874" w:rsidRDefault="00582EF9" w:rsidP="00582EF9">
      <w:pPr>
        <w:ind w:firstLine="851"/>
        <w:jc w:val="both"/>
        <w:rPr>
          <w:sz w:val="24"/>
          <w:szCs w:val="24"/>
        </w:rPr>
      </w:pPr>
      <w:r w:rsidRPr="003C6874">
        <w:rPr>
          <w:sz w:val="24"/>
          <w:szCs w:val="24"/>
        </w:rPr>
        <w:t>Farmakoterapeutisk klassifikation: Antipsykotika, Diazepiner, oxazepiner og thiazepiner</w:t>
      </w:r>
      <w:r w:rsidR="003C6874" w:rsidRPr="003C6874">
        <w:rPr>
          <w:sz w:val="24"/>
          <w:szCs w:val="24"/>
        </w:rPr>
        <w:t>,</w:t>
      </w:r>
      <w:r w:rsidRPr="003C6874">
        <w:rPr>
          <w:sz w:val="24"/>
          <w:szCs w:val="24"/>
        </w:rPr>
        <w:t xml:space="preserve"> </w:t>
      </w:r>
    </w:p>
    <w:p w14:paraId="5BBE4194" w14:textId="77777777" w:rsidR="00040F2E" w:rsidRPr="003C6874" w:rsidRDefault="00582EF9" w:rsidP="00040F2E">
      <w:pPr>
        <w:ind w:firstLine="851"/>
        <w:jc w:val="both"/>
        <w:rPr>
          <w:sz w:val="24"/>
          <w:szCs w:val="24"/>
        </w:rPr>
      </w:pPr>
      <w:r w:rsidRPr="003C6874">
        <w:rPr>
          <w:sz w:val="24"/>
          <w:szCs w:val="24"/>
        </w:rPr>
        <w:t>ATC-kode: N05AH04.</w:t>
      </w:r>
    </w:p>
    <w:p w14:paraId="2CE6C01B" w14:textId="77777777" w:rsidR="00582EF9" w:rsidRPr="003C6874" w:rsidRDefault="00582EF9" w:rsidP="00040F2E">
      <w:pPr>
        <w:ind w:firstLine="851"/>
        <w:jc w:val="both"/>
        <w:rPr>
          <w:b/>
          <w:bCs/>
          <w:iCs/>
          <w:color w:val="000000"/>
          <w:sz w:val="24"/>
          <w:szCs w:val="24"/>
        </w:rPr>
      </w:pPr>
    </w:p>
    <w:p w14:paraId="2B649085" w14:textId="77777777" w:rsidR="00040F2E" w:rsidRPr="00C73B9E" w:rsidRDefault="00040F2E" w:rsidP="00040F2E">
      <w:pPr>
        <w:ind w:firstLine="851"/>
        <w:rPr>
          <w:color w:val="000000"/>
          <w:sz w:val="24"/>
          <w:szCs w:val="24"/>
        </w:rPr>
      </w:pPr>
      <w:r w:rsidRPr="00C73B9E">
        <w:rPr>
          <w:b/>
          <w:bCs/>
          <w:iCs/>
          <w:color w:val="000000"/>
          <w:sz w:val="24"/>
          <w:szCs w:val="24"/>
        </w:rPr>
        <w:t>Virkningsmekanisme</w:t>
      </w:r>
    </w:p>
    <w:p w14:paraId="116F850C" w14:textId="77777777" w:rsidR="00040F2E" w:rsidRDefault="00040F2E" w:rsidP="00040F2E">
      <w:pPr>
        <w:autoSpaceDE w:val="0"/>
        <w:autoSpaceDN w:val="0"/>
        <w:adjustRightInd w:val="0"/>
        <w:ind w:left="851"/>
        <w:rPr>
          <w:sz w:val="24"/>
          <w:szCs w:val="24"/>
        </w:rPr>
      </w:pPr>
      <w:r>
        <w:rPr>
          <w:sz w:val="24"/>
          <w:szCs w:val="24"/>
        </w:rPr>
        <w:t xml:space="preserve">Quetiapin er et atypisk antipsykotisk lægemiddel. Quetiapin og den aktive humane plasmametabolit norquetiapin interagerer med en bred vifte af neurotransmitterreceptorer. Quetiapin og norquetiapin udviser affinitet for serotonin (5HT2) receptorer og dopamin D1- og D2-receptorer i hjernen. Det er denne kombination af receptorantagonisme med en højere selektivitet over for 5HT2 i forhold til D2-receptorer, som menes at medvirke til de kliniske antipsykotiske egenskaber og tilbøjeligheden til få ekstrapyramidiale bivirkninger (EPS) for quetiapin sammenlignet med typiske antipsykotika. Quetiapin og norquetiapin har ikke nogen væsentlig affinitet til benzodiazepin-receptorer, men høj affinitet for histamin-og adrenerge alfa1-receptorer og moderat affinitet til adrenerge alpha2-receptorer. Quetiapin har også lav eller ingen affinitet til muskarinreceptorer, mens norquetiapin har moderat til høj affinitet til adskillige muskarinreceptorer, hvilket kan forklare den antikolinerge (muskarine) virkning. </w:t>
      </w:r>
    </w:p>
    <w:p w14:paraId="7E4FCEA9" w14:textId="77777777" w:rsidR="00040F2E" w:rsidRDefault="00040F2E" w:rsidP="00040F2E">
      <w:pPr>
        <w:autoSpaceDE w:val="0"/>
        <w:autoSpaceDN w:val="0"/>
        <w:adjustRightInd w:val="0"/>
        <w:ind w:left="851"/>
        <w:rPr>
          <w:sz w:val="24"/>
          <w:szCs w:val="24"/>
        </w:rPr>
      </w:pPr>
      <w:r>
        <w:rPr>
          <w:sz w:val="24"/>
          <w:szCs w:val="24"/>
        </w:rPr>
        <w:t>Norquetiapins hæmning af NET og delvise agonistvirkning på 5HT1A-stederne kan medvirke til quetiapins terapeutiske virkning som et antidepressivum.</w:t>
      </w:r>
    </w:p>
    <w:p w14:paraId="56B8172A" w14:textId="77777777" w:rsidR="00040F2E" w:rsidRDefault="00040F2E" w:rsidP="00040F2E">
      <w:pPr>
        <w:rPr>
          <w:b/>
          <w:bCs/>
          <w:i/>
          <w:iCs/>
          <w:color w:val="000000"/>
          <w:sz w:val="24"/>
          <w:szCs w:val="24"/>
        </w:rPr>
      </w:pPr>
    </w:p>
    <w:p w14:paraId="6F5D8424" w14:textId="77777777" w:rsidR="00040F2E" w:rsidRPr="00C73B9E" w:rsidRDefault="00040F2E" w:rsidP="00040F2E">
      <w:pPr>
        <w:ind w:firstLine="851"/>
        <w:rPr>
          <w:color w:val="000000"/>
          <w:sz w:val="24"/>
          <w:szCs w:val="24"/>
        </w:rPr>
      </w:pPr>
      <w:r w:rsidRPr="00C73B9E">
        <w:rPr>
          <w:b/>
          <w:bCs/>
          <w:iCs/>
          <w:color w:val="000000"/>
          <w:sz w:val="24"/>
          <w:szCs w:val="24"/>
        </w:rPr>
        <w:t>Farmakodynamisk effekt</w:t>
      </w:r>
    </w:p>
    <w:p w14:paraId="71A349C4" w14:textId="77777777" w:rsidR="00040F2E" w:rsidRDefault="00040F2E" w:rsidP="00040F2E">
      <w:pPr>
        <w:autoSpaceDE w:val="0"/>
        <w:autoSpaceDN w:val="0"/>
        <w:adjustRightInd w:val="0"/>
        <w:ind w:left="851"/>
        <w:rPr>
          <w:sz w:val="24"/>
          <w:szCs w:val="24"/>
        </w:rPr>
      </w:pPr>
      <w:r>
        <w:rPr>
          <w:sz w:val="24"/>
          <w:szCs w:val="24"/>
        </w:rPr>
        <w:t>Quetiapin er aktivt i tester for antipsykotisk aktivitet såsom betingede undvigereaktioner. Det blokerer også virkningen af dopaminagonister, målt enten adfærdsmæssigt eller elektrofysiologisk, og forhøjer dopamins metabolitkoncentrationer, et neurokemisk udtryk for D</w:t>
      </w:r>
      <w:r>
        <w:rPr>
          <w:sz w:val="24"/>
          <w:szCs w:val="24"/>
          <w:vertAlign w:val="subscript"/>
        </w:rPr>
        <w:t>2</w:t>
      </w:r>
      <w:r>
        <w:rPr>
          <w:sz w:val="24"/>
          <w:szCs w:val="24"/>
        </w:rPr>
        <w:t>-receptorblokering.</w:t>
      </w:r>
    </w:p>
    <w:p w14:paraId="2051EB9A" w14:textId="77777777" w:rsidR="00040F2E" w:rsidRDefault="00040F2E" w:rsidP="00040F2E">
      <w:pPr>
        <w:autoSpaceDE w:val="0"/>
        <w:autoSpaceDN w:val="0"/>
        <w:adjustRightInd w:val="0"/>
        <w:rPr>
          <w:sz w:val="24"/>
          <w:szCs w:val="24"/>
        </w:rPr>
      </w:pPr>
    </w:p>
    <w:p w14:paraId="01C82F1E" w14:textId="41E190FB" w:rsidR="00040F2E" w:rsidRDefault="00040F2E" w:rsidP="00040F2E">
      <w:pPr>
        <w:autoSpaceDE w:val="0"/>
        <w:autoSpaceDN w:val="0"/>
        <w:adjustRightInd w:val="0"/>
        <w:ind w:left="851"/>
        <w:rPr>
          <w:sz w:val="24"/>
          <w:szCs w:val="24"/>
        </w:rPr>
      </w:pPr>
      <w:r>
        <w:rPr>
          <w:sz w:val="24"/>
          <w:szCs w:val="24"/>
        </w:rPr>
        <w:t>I prækliniske tests, hvor der undersøges for EPS-tilbøjeligheden, adskiller quetiapin sig fra typiske antipsykotika og har en atypisk profil. Quetiapin forårsager ikke supersensitivitet over for dopamin D</w:t>
      </w:r>
      <w:r>
        <w:rPr>
          <w:sz w:val="24"/>
          <w:szCs w:val="24"/>
          <w:vertAlign w:val="subscript"/>
        </w:rPr>
        <w:t>2</w:t>
      </w:r>
      <w:r>
        <w:rPr>
          <w:sz w:val="24"/>
          <w:szCs w:val="24"/>
        </w:rPr>
        <w:t>-receptorer efter kronisk administration. Quetiapin forårsager kun svag katalepsi ved effektive dopamin D</w:t>
      </w:r>
      <w:r>
        <w:rPr>
          <w:sz w:val="24"/>
          <w:szCs w:val="24"/>
          <w:vertAlign w:val="subscript"/>
        </w:rPr>
        <w:t>2</w:t>
      </w:r>
      <w:r>
        <w:rPr>
          <w:sz w:val="24"/>
          <w:szCs w:val="24"/>
        </w:rPr>
        <w:t>-receptor-blokerende doser. Quetiapin udviser selektivitet for det limbiske system ved at forårsage en depolariserende blokade af de mesolimbiske, men ikke af de nigrostriatale dopamin-holdige neuroner, efter kronisk administration. Quetiapin udviser minimal tilbøjelighed til dystoni hos haloperidol-følsomme eller quetiapin-naive Cebus-aber efter akut og kronisk administration (se pkt. 4.8).</w:t>
      </w:r>
    </w:p>
    <w:p w14:paraId="77C43FE7" w14:textId="77777777" w:rsidR="00040F2E" w:rsidRDefault="00040F2E" w:rsidP="00040F2E">
      <w:pPr>
        <w:autoSpaceDE w:val="0"/>
        <w:autoSpaceDN w:val="0"/>
        <w:adjustRightInd w:val="0"/>
        <w:rPr>
          <w:sz w:val="24"/>
          <w:szCs w:val="24"/>
        </w:rPr>
      </w:pPr>
    </w:p>
    <w:p w14:paraId="3ED46EFE" w14:textId="77777777" w:rsidR="00040F2E" w:rsidRDefault="00040F2E" w:rsidP="00040F2E">
      <w:pPr>
        <w:autoSpaceDE w:val="0"/>
        <w:autoSpaceDN w:val="0"/>
        <w:adjustRightInd w:val="0"/>
        <w:ind w:firstLine="851"/>
        <w:rPr>
          <w:b/>
          <w:sz w:val="24"/>
          <w:szCs w:val="24"/>
        </w:rPr>
      </w:pPr>
      <w:r>
        <w:rPr>
          <w:b/>
          <w:sz w:val="24"/>
          <w:szCs w:val="24"/>
        </w:rPr>
        <w:t>Klinisk effekt</w:t>
      </w:r>
    </w:p>
    <w:p w14:paraId="721EED4B" w14:textId="77777777" w:rsidR="00C73B9E" w:rsidRDefault="00C73B9E" w:rsidP="00040F2E">
      <w:pPr>
        <w:autoSpaceDE w:val="0"/>
        <w:autoSpaceDN w:val="0"/>
        <w:adjustRightInd w:val="0"/>
        <w:ind w:firstLine="851"/>
        <w:rPr>
          <w:sz w:val="24"/>
          <w:szCs w:val="24"/>
          <w:u w:val="single"/>
        </w:rPr>
      </w:pPr>
    </w:p>
    <w:p w14:paraId="76B2CA3B" w14:textId="6E133681" w:rsidR="00040F2E" w:rsidRDefault="00040F2E" w:rsidP="00040F2E">
      <w:pPr>
        <w:autoSpaceDE w:val="0"/>
        <w:autoSpaceDN w:val="0"/>
        <w:adjustRightInd w:val="0"/>
        <w:ind w:firstLine="851"/>
        <w:rPr>
          <w:sz w:val="24"/>
          <w:szCs w:val="24"/>
          <w:u w:val="single"/>
        </w:rPr>
      </w:pPr>
      <w:r>
        <w:rPr>
          <w:sz w:val="24"/>
          <w:szCs w:val="24"/>
          <w:u w:val="single"/>
        </w:rPr>
        <w:t>Skizofreni</w:t>
      </w:r>
    </w:p>
    <w:p w14:paraId="44052FF8" w14:textId="25EAF20C" w:rsidR="00040F2E" w:rsidRDefault="00040F2E" w:rsidP="00040F2E">
      <w:pPr>
        <w:ind w:left="851"/>
        <w:rPr>
          <w:sz w:val="24"/>
          <w:szCs w:val="24"/>
        </w:rPr>
      </w:pPr>
      <w:r>
        <w:rPr>
          <w:sz w:val="24"/>
          <w:szCs w:val="24"/>
        </w:rPr>
        <w:t xml:space="preserve">I tre placebo-kontrollerede kliniske forsøg med skizofrene patienter, </w:t>
      </w:r>
      <w:r>
        <w:rPr>
          <w:color w:val="000000"/>
          <w:sz w:val="24"/>
          <w:szCs w:val="24"/>
        </w:rPr>
        <w:t>hvor der blev anvendt variable doser af quetiapin</w:t>
      </w:r>
      <w:r>
        <w:rPr>
          <w:sz w:val="24"/>
          <w:szCs w:val="24"/>
        </w:rPr>
        <w:t xml:space="preserve">, sås ingen forskel mellem quetiapin- og </w:t>
      </w:r>
      <w:r w:rsidR="00AD211C" w:rsidRPr="00AD211C">
        <w:rPr>
          <w:sz w:val="24"/>
          <w:szCs w:val="24"/>
        </w:rPr>
        <w:t>placebo-grupperne i forhold til hyppighed af EPS</w:t>
      </w:r>
      <w:r>
        <w:rPr>
          <w:sz w:val="24"/>
          <w:szCs w:val="24"/>
        </w:rPr>
        <w:t xml:space="preserve"> eller samtidig anvendelse af antikolinerge stoffer. </w:t>
      </w:r>
      <w:r>
        <w:rPr>
          <w:color w:val="000000"/>
          <w:sz w:val="24"/>
          <w:szCs w:val="24"/>
        </w:rPr>
        <w:t xml:space="preserve">I et placebokontrolleret forsøg, hvor faste doser af quetiapin i intervallet 75 til 750 mg om dagen blev evalueret, var der ingen tegn på en stigning i forekomsten af ekstrapyramidale symptomer eller samtidig anvendelse af antikolinergika. </w:t>
      </w:r>
      <w:r>
        <w:rPr>
          <w:sz w:val="24"/>
          <w:szCs w:val="24"/>
        </w:rPr>
        <w:t xml:space="preserve">Den langsigtede effekt af </w:t>
      </w:r>
      <w:r>
        <w:rPr>
          <w:sz w:val="24"/>
          <w:szCs w:val="24"/>
        </w:rPr>
        <w:lastRenderedPageBreak/>
        <w:t>quetiapin tabletter til forebyggelse af recidiv hos skizofrene patienter er ikke blevet kontrolleret i blindede kliniske forsøg. I open label-forsøg med skizofrene patienter var quetiapin effektivt til opretholdelse af den kliniske forbedring under kontinuerlig behandling af patienter, der indledningsvist responderede på behandlingen, hvilket peger på en langsigtet effekt.</w:t>
      </w:r>
    </w:p>
    <w:p w14:paraId="160E24B9" w14:textId="77777777" w:rsidR="00040F2E" w:rsidRDefault="00040F2E" w:rsidP="00040F2E">
      <w:pPr>
        <w:autoSpaceDE w:val="0"/>
        <w:autoSpaceDN w:val="0"/>
        <w:adjustRightInd w:val="0"/>
        <w:rPr>
          <w:sz w:val="24"/>
          <w:szCs w:val="24"/>
        </w:rPr>
      </w:pPr>
    </w:p>
    <w:p w14:paraId="37A388B3" w14:textId="77777777" w:rsidR="00040F2E" w:rsidRDefault="00040F2E" w:rsidP="00040F2E">
      <w:pPr>
        <w:ind w:firstLine="851"/>
        <w:rPr>
          <w:sz w:val="24"/>
          <w:szCs w:val="24"/>
          <w:u w:val="single"/>
        </w:rPr>
      </w:pPr>
      <w:r>
        <w:rPr>
          <w:sz w:val="24"/>
          <w:szCs w:val="24"/>
          <w:u w:val="single"/>
        </w:rPr>
        <w:t>Bipolar lidelse</w:t>
      </w:r>
    </w:p>
    <w:p w14:paraId="17C01D69" w14:textId="77777777" w:rsidR="00040F2E" w:rsidRDefault="00040F2E" w:rsidP="00040F2E">
      <w:pPr>
        <w:ind w:left="851"/>
        <w:rPr>
          <w:sz w:val="24"/>
          <w:szCs w:val="24"/>
        </w:rPr>
      </w:pPr>
      <w:r>
        <w:rPr>
          <w:sz w:val="24"/>
          <w:szCs w:val="24"/>
        </w:rPr>
        <w:t xml:space="preserve">I fire placebo-kontrollerede kliniske forsøg, der evaluerede quetiapin-doser på op til 800 mg </w:t>
      </w:r>
      <w:r>
        <w:rPr>
          <w:color w:val="000000"/>
          <w:sz w:val="24"/>
          <w:szCs w:val="24"/>
        </w:rPr>
        <w:t>til behandling af moderate til svære maniske episoder</w:t>
      </w:r>
      <w:r>
        <w:rPr>
          <w:sz w:val="24"/>
          <w:szCs w:val="24"/>
        </w:rPr>
        <w:t xml:space="preserve">, to som monoterapi og </w:t>
      </w:r>
      <w:r>
        <w:rPr>
          <w:color w:val="000000"/>
          <w:sz w:val="24"/>
          <w:szCs w:val="24"/>
        </w:rPr>
        <w:t>to med kombinationsterapi sammen med lithium eller divalproex</w:t>
      </w:r>
      <w:r>
        <w:rPr>
          <w:sz w:val="24"/>
          <w:szCs w:val="24"/>
        </w:rPr>
        <w:t>, var der ingen forskelle mellem quetiapin og placebogrupperne med hensyn til forekomsten af EPS eller samtidig anvendelse af anticholinerge stoffer.</w:t>
      </w:r>
    </w:p>
    <w:p w14:paraId="40350B94" w14:textId="77777777" w:rsidR="00040F2E" w:rsidRDefault="00040F2E" w:rsidP="00040F2E">
      <w:pPr>
        <w:autoSpaceDE w:val="0"/>
        <w:autoSpaceDN w:val="0"/>
        <w:adjustRightInd w:val="0"/>
        <w:rPr>
          <w:sz w:val="24"/>
          <w:szCs w:val="24"/>
        </w:rPr>
      </w:pPr>
    </w:p>
    <w:p w14:paraId="4E09FCB7" w14:textId="77777777" w:rsidR="00040F2E" w:rsidRDefault="00040F2E" w:rsidP="00040F2E">
      <w:pPr>
        <w:autoSpaceDE w:val="0"/>
        <w:autoSpaceDN w:val="0"/>
        <w:adjustRightInd w:val="0"/>
        <w:ind w:left="851"/>
        <w:rPr>
          <w:noProof/>
          <w:color w:val="000000"/>
          <w:sz w:val="24"/>
          <w:szCs w:val="24"/>
        </w:rPr>
      </w:pPr>
      <w:r>
        <w:rPr>
          <w:color w:val="000000"/>
          <w:sz w:val="24"/>
          <w:szCs w:val="24"/>
        </w:rPr>
        <w:t>Ved behandling af moderate til svære maniske episoder havde quetiapin en bedre effekt end placebo i forbindelse med reduktion af maniske symptomer efter 3 og 12 uger i to monoterapiforsøg.</w:t>
      </w:r>
      <w:r>
        <w:rPr>
          <w:noProof/>
          <w:color w:val="000000"/>
          <w:sz w:val="24"/>
          <w:szCs w:val="24"/>
        </w:rPr>
        <w:t xml:space="preserve"> </w:t>
      </w:r>
      <w:r>
        <w:rPr>
          <w:color w:val="000000"/>
          <w:sz w:val="24"/>
          <w:szCs w:val="24"/>
        </w:rPr>
        <w:t>Der foreligger ingen data fra langtidsforsøg til påvisning af quetiapins effekt, hvad angår forebyggelse af efterfølgende maniske eller depressive episoder.</w:t>
      </w:r>
      <w:r>
        <w:rPr>
          <w:noProof/>
          <w:color w:val="000000"/>
          <w:sz w:val="24"/>
          <w:szCs w:val="24"/>
        </w:rPr>
        <w:t xml:space="preserve"> </w:t>
      </w:r>
      <w:r>
        <w:rPr>
          <w:color w:val="000000"/>
          <w:sz w:val="24"/>
          <w:szCs w:val="24"/>
        </w:rPr>
        <w:t>Der foreligger begrænsede data om quetiapin i kombination med divalproex eller lithium ved akutte moderate til svære maniske episoder efter 3 og 6 uger. Kombinationsbehandlingen var dog veltolereret.</w:t>
      </w:r>
      <w:r>
        <w:rPr>
          <w:noProof/>
          <w:color w:val="000000"/>
          <w:sz w:val="24"/>
          <w:szCs w:val="24"/>
        </w:rPr>
        <w:t xml:space="preserve"> </w:t>
      </w:r>
      <w:r>
        <w:rPr>
          <w:color w:val="000000"/>
          <w:sz w:val="24"/>
          <w:szCs w:val="24"/>
        </w:rPr>
        <w:t>Dataene viste en additiv effekt efter 3 uger. Et andet forsøg viste ikke en additiv effekt efter 6 uger.</w:t>
      </w:r>
      <w:r>
        <w:rPr>
          <w:noProof/>
          <w:color w:val="000000"/>
          <w:sz w:val="24"/>
          <w:szCs w:val="24"/>
        </w:rPr>
        <w:t xml:space="preserve"> </w:t>
      </w:r>
    </w:p>
    <w:p w14:paraId="7030CB0D" w14:textId="77777777" w:rsidR="00040F2E" w:rsidRDefault="00040F2E" w:rsidP="00040F2E">
      <w:pPr>
        <w:autoSpaceDE w:val="0"/>
        <w:autoSpaceDN w:val="0"/>
        <w:adjustRightInd w:val="0"/>
        <w:ind w:left="851"/>
        <w:rPr>
          <w:noProof/>
          <w:color w:val="000000"/>
          <w:sz w:val="24"/>
          <w:szCs w:val="24"/>
        </w:rPr>
      </w:pPr>
    </w:p>
    <w:p w14:paraId="1AEA9202" w14:textId="77777777" w:rsidR="00040F2E" w:rsidRDefault="00040F2E" w:rsidP="00040F2E">
      <w:pPr>
        <w:autoSpaceDE w:val="0"/>
        <w:autoSpaceDN w:val="0"/>
        <w:adjustRightInd w:val="0"/>
        <w:ind w:left="851"/>
        <w:rPr>
          <w:sz w:val="24"/>
          <w:szCs w:val="24"/>
        </w:rPr>
      </w:pPr>
      <w:r>
        <w:rPr>
          <w:sz w:val="24"/>
          <w:szCs w:val="24"/>
        </w:rPr>
        <w:t>Den gennemsnitlige median-dosis hos responderende patienter sidste uge i behandlingen var cirka 600 mg/dag og ca. 85 % af de responderende lå i dosisintervallet 400-800 mg/dag.</w:t>
      </w:r>
    </w:p>
    <w:p w14:paraId="33F019F0" w14:textId="77777777" w:rsidR="00040F2E" w:rsidRDefault="00040F2E" w:rsidP="00040F2E">
      <w:pPr>
        <w:autoSpaceDE w:val="0"/>
        <w:autoSpaceDN w:val="0"/>
        <w:adjustRightInd w:val="0"/>
        <w:rPr>
          <w:sz w:val="24"/>
          <w:szCs w:val="24"/>
        </w:rPr>
      </w:pPr>
    </w:p>
    <w:p w14:paraId="1D1FE368" w14:textId="77777777" w:rsidR="00040F2E" w:rsidRDefault="00040F2E" w:rsidP="00040F2E">
      <w:pPr>
        <w:autoSpaceDE w:val="0"/>
        <w:autoSpaceDN w:val="0"/>
        <w:adjustRightInd w:val="0"/>
        <w:ind w:left="851"/>
        <w:rPr>
          <w:sz w:val="24"/>
          <w:szCs w:val="24"/>
        </w:rPr>
      </w:pPr>
      <w:r>
        <w:rPr>
          <w:sz w:val="24"/>
          <w:szCs w:val="24"/>
        </w:rPr>
        <w:t>I fire kliniske forsøg med en varighed på otte uger med patienter med moderate til svære depressive episoder inden for bipolær lidelse af type I eller II, var doser på 300 mg og 600 mg quetiapin med hurtig frigivelse signifikant bedre end placebo med hensyn til de relevante effektmål: den gennemsnitlige forbedring af MADRS og responsen, der er defineret som en forbedring i MADRS-totalscore på mindst 50 % i forhold til baseline. Der var ingen forskel på effektens omfang hos de patienter, der fik 300 mg quetiapin med hurtig frigivelse, og de, der fik en dosis på 600 mg.</w:t>
      </w:r>
    </w:p>
    <w:p w14:paraId="6B63D0BD" w14:textId="77777777" w:rsidR="00040F2E" w:rsidRDefault="00040F2E" w:rsidP="00040F2E">
      <w:pPr>
        <w:autoSpaceDE w:val="0"/>
        <w:autoSpaceDN w:val="0"/>
        <w:adjustRightInd w:val="0"/>
        <w:rPr>
          <w:sz w:val="24"/>
          <w:szCs w:val="24"/>
        </w:rPr>
      </w:pPr>
    </w:p>
    <w:p w14:paraId="6F4BD932" w14:textId="77777777" w:rsidR="00040F2E" w:rsidRDefault="00040F2E" w:rsidP="00040F2E">
      <w:pPr>
        <w:suppressAutoHyphens/>
        <w:ind w:left="851"/>
        <w:rPr>
          <w:sz w:val="24"/>
          <w:szCs w:val="24"/>
        </w:rPr>
      </w:pPr>
      <w:r>
        <w:rPr>
          <w:sz w:val="24"/>
          <w:szCs w:val="24"/>
        </w:rPr>
        <w:t>I fortsættelsesfasen i to af disse studier blev det påvist, at langvarig behandling af patienter, der responderede på 300 mg eller 600 mg quetiapin med hurtig frigivelse, var virkningsfuld sammenlignet med placebobehandling med hensyn til depressive symptomer, men ikke med hensyn til maniske symptomer.</w:t>
      </w:r>
    </w:p>
    <w:p w14:paraId="4BD83ACA" w14:textId="77777777" w:rsidR="00040F2E" w:rsidRDefault="00040F2E" w:rsidP="00040F2E">
      <w:pPr>
        <w:suppressAutoHyphens/>
        <w:ind w:left="851" w:hanging="851"/>
        <w:rPr>
          <w:sz w:val="24"/>
          <w:szCs w:val="24"/>
        </w:rPr>
      </w:pPr>
    </w:p>
    <w:p w14:paraId="41543950" w14:textId="77777777" w:rsidR="00040F2E" w:rsidRDefault="00040F2E" w:rsidP="00040F2E">
      <w:pPr>
        <w:ind w:left="851"/>
        <w:rPr>
          <w:sz w:val="24"/>
          <w:szCs w:val="24"/>
        </w:rPr>
      </w:pPr>
      <w:r>
        <w:rPr>
          <w:sz w:val="24"/>
          <w:szCs w:val="24"/>
        </w:rPr>
        <w:t>I to studier af forebyggelse af recidiv, hvor quetiapin blev vurderet i kombination med stemningsstabiliserende midler hos patienter med maniske, depressive eller blandede episoder, var kombinationen med quetiapin bedre end monoterapi med stemnings</w:t>
      </w:r>
      <w:r>
        <w:rPr>
          <w:sz w:val="24"/>
          <w:szCs w:val="24"/>
        </w:rPr>
        <w:softHyphen/>
        <w:t>stabiliserende midler med hensyn til at øge tiden til recidiv af en hvilken som helst stemningsepisode (mani, blandingstilstand eller depression). Quetiapin blev administreret to gange daglig i en samlet dosis på 400 mg til 800 mg i kombination med lithium eller valproat.</w:t>
      </w:r>
    </w:p>
    <w:p w14:paraId="57279B69" w14:textId="77777777" w:rsidR="00040F2E" w:rsidRDefault="00040F2E" w:rsidP="00040F2E">
      <w:pPr>
        <w:ind w:left="851"/>
        <w:rPr>
          <w:sz w:val="24"/>
          <w:szCs w:val="24"/>
        </w:rPr>
      </w:pPr>
    </w:p>
    <w:p w14:paraId="2581F3D2" w14:textId="436F19EF" w:rsidR="00040F2E" w:rsidRDefault="00040F2E" w:rsidP="00040F2E">
      <w:pPr>
        <w:ind w:left="851"/>
        <w:rPr>
          <w:sz w:val="24"/>
          <w:szCs w:val="24"/>
        </w:rPr>
      </w:pPr>
      <w:r>
        <w:rPr>
          <w:sz w:val="24"/>
          <w:szCs w:val="24"/>
        </w:rPr>
        <w:t xml:space="preserve">I et 6-ugers randomiseret studie af lithium og quetiapin </w:t>
      </w:r>
      <w:r w:rsidR="00AD211C">
        <w:rPr>
          <w:sz w:val="24"/>
          <w:szCs w:val="24"/>
        </w:rPr>
        <w:t xml:space="preserve">tabletter </w:t>
      </w:r>
      <w:r>
        <w:rPr>
          <w:sz w:val="24"/>
          <w:szCs w:val="24"/>
        </w:rPr>
        <w:t xml:space="preserve">kontra placebo og quetiapin </w:t>
      </w:r>
      <w:r w:rsidR="00AD211C">
        <w:rPr>
          <w:sz w:val="24"/>
          <w:szCs w:val="24"/>
        </w:rPr>
        <w:t>tabletter til</w:t>
      </w:r>
      <w:r>
        <w:rPr>
          <w:sz w:val="24"/>
          <w:szCs w:val="24"/>
        </w:rPr>
        <w:t xml:space="preserve"> voksne patienter med akut mani var der en forskel på 2,8 point i den gennemsnitlige forbedring i YMRS mellem den gruppe, der fik tilføjet lithium, og den gruppe, der fik tilføjet placebo, og en forskel på 11 % i procentdelen (79 % i gruppen, der </w:t>
      </w:r>
      <w:r>
        <w:rPr>
          <w:sz w:val="24"/>
          <w:szCs w:val="24"/>
        </w:rPr>
        <w:lastRenderedPageBreak/>
        <w:t>fik tilføjet lithium, kontra 68 % i gruppen, der fik tilføjet placebo) af respondenter (defineret som 50 % forbedring i YMRS i forhold til baseline).</w:t>
      </w:r>
    </w:p>
    <w:p w14:paraId="05738F9E" w14:textId="77777777" w:rsidR="00040F2E" w:rsidRDefault="00040F2E" w:rsidP="00040F2E">
      <w:pPr>
        <w:ind w:left="851"/>
        <w:rPr>
          <w:sz w:val="24"/>
          <w:szCs w:val="24"/>
        </w:rPr>
      </w:pPr>
    </w:p>
    <w:p w14:paraId="3D594916" w14:textId="77777777" w:rsidR="00040F2E" w:rsidRDefault="00040F2E" w:rsidP="00040F2E">
      <w:pPr>
        <w:autoSpaceDE w:val="0"/>
        <w:autoSpaceDN w:val="0"/>
        <w:adjustRightInd w:val="0"/>
        <w:ind w:left="851"/>
        <w:rPr>
          <w:sz w:val="24"/>
          <w:szCs w:val="24"/>
        </w:rPr>
      </w:pPr>
      <w:r>
        <w:rPr>
          <w:sz w:val="24"/>
          <w:szCs w:val="24"/>
        </w:rPr>
        <w:t>I en langtidsundersøgelse (op til 2 års behandling), hvor forebyggelse af recidiverende sygdomsepisoder blev evalueret hos patienter med maniske, deprimerede eller blandede stemningsepisoder, var quetiapin bedre end placebo til at øge tiden til recidiverende sygdomsepisoder for alle stemningsepisoder (maniske, blandede eller deprimerede) hos patienter med bipolær sygdom af type I. Antallet af patienter med en stemningsepisode var henholdsvis 91 (22,5 %) i quetiapingruppen, 208 (51,5 %) i placebogruppen og 95 (26,1 %) i de lithium-behandlede grupper. Ved sammenligning af fortsat quetiapinbehandling med skift til lithium hos patienter, som responderede på quetiapin, indikerer resultaterne, at et skift til lithiumbehandling ikke ser ud til at være forbundet med en øget tid til en recidiverende stemningsepisode.</w:t>
      </w:r>
    </w:p>
    <w:p w14:paraId="25559CAC" w14:textId="77777777" w:rsidR="00040F2E" w:rsidRDefault="00040F2E" w:rsidP="00040F2E">
      <w:pPr>
        <w:autoSpaceDE w:val="0"/>
        <w:autoSpaceDN w:val="0"/>
        <w:adjustRightInd w:val="0"/>
        <w:rPr>
          <w:sz w:val="24"/>
          <w:szCs w:val="24"/>
        </w:rPr>
      </w:pPr>
    </w:p>
    <w:p w14:paraId="6068377E" w14:textId="77777777" w:rsidR="00040F2E" w:rsidRDefault="00040F2E" w:rsidP="00040F2E">
      <w:pPr>
        <w:suppressAutoHyphens/>
        <w:ind w:left="851"/>
        <w:rPr>
          <w:sz w:val="24"/>
          <w:szCs w:val="24"/>
        </w:rPr>
      </w:pPr>
      <w:r>
        <w:rPr>
          <w:sz w:val="24"/>
          <w:szCs w:val="24"/>
        </w:rPr>
        <w:t>Kliniske forsøg har påvist, at quetiapin er effektivt til behandling af skizofreni og mani, når det administreres to gange daglig, selvom quetiapin har en farmakokinetisk halveringstid på ca. 7 timer. Dette understøttes yderligere af data fra et positronemissionstomografistudie (PET), hvor det blev klarlagt, at 5HT2- og D2-receptorokkupans opretholdes i op til 12 timer ved brug af quetiapin. Sikkerheden ved og effekten af doser på over 800 mg om dagen er ikke undersøgt.</w:t>
      </w:r>
    </w:p>
    <w:p w14:paraId="1925C1C8" w14:textId="77777777" w:rsidR="00040F2E" w:rsidRDefault="00040F2E" w:rsidP="00040F2E">
      <w:pPr>
        <w:autoSpaceDE w:val="0"/>
        <w:autoSpaceDN w:val="0"/>
        <w:adjustRightInd w:val="0"/>
        <w:rPr>
          <w:sz w:val="24"/>
          <w:szCs w:val="24"/>
        </w:rPr>
      </w:pPr>
    </w:p>
    <w:p w14:paraId="5887C370" w14:textId="77777777" w:rsidR="00040F2E" w:rsidRDefault="00040F2E" w:rsidP="00040F2E">
      <w:pPr>
        <w:autoSpaceDE w:val="0"/>
        <w:autoSpaceDN w:val="0"/>
        <w:adjustRightInd w:val="0"/>
        <w:ind w:firstLine="851"/>
        <w:rPr>
          <w:i/>
          <w:sz w:val="24"/>
          <w:szCs w:val="24"/>
        </w:rPr>
      </w:pPr>
      <w:r>
        <w:rPr>
          <w:i/>
          <w:sz w:val="24"/>
          <w:szCs w:val="24"/>
        </w:rPr>
        <w:t>Klinisk sikkerhed</w:t>
      </w:r>
    </w:p>
    <w:p w14:paraId="6B6178DA" w14:textId="77777777" w:rsidR="00040F2E" w:rsidRDefault="00040F2E" w:rsidP="00040F2E">
      <w:pPr>
        <w:autoSpaceDE w:val="0"/>
        <w:autoSpaceDN w:val="0"/>
        <w:adjustRightInd w:val="0"/>
        <w:ind w:left="851"/>
        <w:rPr>
          <w:sz w:val="24"/>
          <w:szCs w:val="24"/>
        </w:rPr>
      </w:pPr>
      <w:r>
        <w:rPr>
          <w:sz w:val="24"/>
          <w:szCs w:val="24"/>
        </w:rPr>
        <w:t>I placebokontrollerede, kliniske korttidsforsøg med skizofreni og bipolær mani svarede den samlede hyppighed af ekstrapyramidale symptomer til hyppigheden ved placebo (skizofreni: 7,8 % for quetiapin og 8,0 % for placebo; bipolær mani: 11,2 % for quetiapin og 11,4 % for placebo). I placebokontrollerede, kliniske korttidsforsøg med unipolar depression og bipolar depression blev der observeret en højere forekomst af ekstrapyramidale symptomer hos quetiapin-behandlede patienter sammenlignet med placebobehandlede patienter. Placebokontrollerede korttidsforsøg med bipolar depression viste en samlet hyppighed af ekstrapyramidale symptomer på 8,9 % for quetiapin sammenlignet med 3,8 % for placebo. I placebokontrollerede, kliniske korttids-monoterapiforsøg med patienter med unipolar depression var den samlede forekomst af ekstrapyramidale symptomer 5,4 % for quetiapin depotformulering og 3,2 % for placebo. I et placebokontrolleret korttids-monoterapiforsøg med ældre patienter med unipolar depression var den samlede forekomst af ekstrapyramidale symptomer 9,0 % for quetiapin depottabletter og 2,3 % for placebo. Ved såvel bipolar depression som ved unipolar depression var forekomsten af de enkelte bivirkninger (f.eks. akatisi, ekstrapyramidale symptomer, tremor, dyskinesi, dystoni, rastløshed, ufrivillige muskelsammentrækninger, psykomotorisk hyperaktivitet og muskelstivhed) ikke over 4 % i nogen af behandlingsgrupperne.</w:t>
      </w:r>
    </w:p>
    <w:p w14:paraId="156622E2" w14:textId="77777777" w:rsidR="00040F2E" w:rsidRDefault="00040F2E" w:rsidP="00040F2E">
      <w:pPr>
        <w:autoSpaceDE w:val="0"/>
        <w:autoSpaceDN w:val="0"/>
        <w:adjustRightInd w:val="0"/>
        <w:rPr>
          <w:sz w:val="24"/>
          <w:szCs w:val="24"/>
        </w:rPr>
      </w:pPr>
    </w:p>
    <w:p w14:paraId="0A54E9EF" w14:textId="77777777" w:rsidR="00040F2E" w:rsidRDefault="00040F2E" w:rsidP="00040F2E">
      <w:pPr>
        <w:autoSpaceDE w:val="0"/>
        <w:autoSpaceDN w:val="0"/>
        <w:adjustRightInd w:val="0"/>
        <w:ind w:left="851"/>
        <w:rPr>
          <w:sz w:val="24"/>
          <w:szCs w:val="24"/>
        </w:rPr>
      </w:pPr>
      <w:r>
        <w:rPr>
          <w:sz w:val="24"/>
          <w:szCs w:val="24"/>
        </w:rPr>
        <w:t>I placebokontrollerede korttidsforsøg (over 3 til 8 uger) med en fast dosis (50 mg/dag til 800 mg/dag) sås en gennemsnitlig vægtøgning hos quetiapinbehandlede patienter på 0,8 kg ved en daglig dosis på 50 mg til 1,4 kg ved 600 mg/dag (lavere vægtøgning forekom ved 800 mg/dag) sammenlignet med 0,2 kg hos placebobehandlede patienter. Procentdelen af quetiapinbehandlede patienter, hvis vægt steg med ≥7 % af legemsvægten, varierede fra 5,3 % ved 50 mg/dag til 15,5 % ved 400 mg/dag (lavere vægtøgning forekom ved daglige doser på 600 og 800 mg) sammenlignet med 3,7 % af de placebobehandlede patienter.</w:t>
      </w:r>
    </w:p>
    <w:p w14:paraId="769F2148" w14:textId="77777777" w:rsidR="00040F2E" w:rsidRDefault="00040F2E" w:rsidP="00040F2E">
      <w:pPr>
        <w:autoSpaceDE w:val="0"/>
        <w:autoSpaceDN w:val="0"/>
        <w:adjustRightInd w:val="0"/>
        <w:rPr>
          <w:sz w:val="24"/>
          <w:szCs w:val="24"/>
        </w:rPr>
      </w:pPr>
    </w:p>
    <w:p w14:paraId="51CCAE7B" w14:textId="77777777" w:rsidR="00040F2E" w:rsidRDefault="00040F2E" w:rsidP="00040F2E">
      <w:pPr>
        <w:tabs>
          <w:tab w:val="left" w:pos="709"/>
          <w:tab w:val="left" w:pos="8496"/>
        </w:tabs>
        <w:suppressAutoHyphens/>
        <w:ind w:left="851"/>
        <w:rPr>
          <w:color w:val="000000"/>
          <w:sz w:val="24"/>
          <w:szCs w:val="24"/>
        </w:rPr>
      </w:pPr>
      <w:r>
        <w:rPr>
          <w:color w:val="000000"/>
          <w:sz w:val="24"/>
          <w:szCs w:val="24"/>
        </w:rPr>
        <w:t xml:space="preserve">Et 6-ugers randomiseret studie af lithium og quetiapin-tabletter kontra placebo og quetiapin-tabletter hos voksne patienter med akut mani viste, at kombinationen af </w:t>
      </w:r>
      <w:r>
        <w:rPr>
          <w:color w:val="000000"/>
          <w:sz w:val="24"/>
          <w:szCs w:val="24"/>
        </w:rPr>
        <w:lastRenderedPageBreak/>
        <w:t xml:space="preserve">quetiapin-tabletter og lithium medfører flere bivirkninger (63 % kontra 48 % ved kombinationen af quetiapin-tabletter og placebo). Sikkerhedsresultaterne viste en højere forekomst af ekstrapyramidale symptomer, der blev indberettet hos 16,8 % af patienterne i gruppen med lithium, og hos 6,6 % i gruppen med placebo som tillægsbehandling, hvor størstedelen bestod af tremor, som blev rapporteret hos 15,6 % af patienterne i gruppen med lithium som tillægsbehandling og hos 4,9 % af gruppen med placebo som tillægsbehandling. Forekomsten af døsighed var højere i den gruppe, der fik quetiapin-tabletter med tilføjelse af lithium (12,7 %), end i den gruppe, der fik quetiapin-tabletter med tilføjelse af placebo (5,5 %).  Der var desuden en højere procentdel af patienter med vægtøgning (8 %) ved behandlingens afslutning blandt patienterne i den gruppe, der fik tilføjet lithium (≥ 7 %), end i den gruppe, der fik tilføjet placebo (4,7 %). </w:t>
      </w:r>
    </w:p>
    <w:p w14:paraId="344E911B" w14:textId="77777777" w:rsidR="00040F2E" w:rsidRDefault="00040F2E" w:rsidP="00040F2E">
      <w:pPr>
        <w:tabs>
          <w:tab w:val="left" w:pos="709"/>
          <w:tab w:val="left" w:pos="8496"/>
        </w:tabs>
        <w:suppressAutoHyphens/>
        <w:ind w:left="851"/>
        <w:rPr>
          <w:rFonts w:cs="Arial"/>
          <w:sz w:val="24"/>
          <w:szCs w:val="24"/>
        </w:rPr>
      </w:pPr>
    </w:p>
    <w:p w14:paraId="45218C47" w14:textId="77777777" w:rsidR="00040F2E" w:rsidRDefault="00040F2E" w:rsidP="00040F2E">
      <w:pPr>
        <w:autoSpaceDE w:val="0"/>
        <w:autoSpaceDN w:val="0"/>
        <w:adjustRightInd w:val="0"/>
        <w:ind w:left="851"/>
        <w:rPr>
          <w:sz w:val="24"/>
          <w:szCs w:val="24"/>
        </w:rPr>
      </w:pPr>
      <w:r>
        <w:rPr>
          <w:sz w:val="24"/>
          <w:szCs w:val="24"/>
        </w:rPr>
        <w:t>Recidivforebyggende langtidsforsøg havde en open label-periode (fra 4 til 36 uger), hvor patienterne blev behandlet med quetiapin, efterfulgt af en randomiseret afvænningsperiode, hvor patienterne blev randomiseret til quetiapin eller placebo. Hos de patienter, som blev randomiseret til quetiapin, sås en gennemsnitlig vægtforøgelse på 2,56 kg i open label-perioden, og i uge 48 i den randomiserede periode var den gennemsnitlige vægtforøgelse 3,22 kg sammenlignet med open-label baseline. Hos de patienter, der blev randomiseret til placebo, sås en gennemsnitlig vægtøgning på 2,39 kg i open label-perioden, og i uge 48 i den randomiserede periode var vægtøgningen 0,89 kg sammenlignet med open-label baseline.</w:t>
      </w:r>
    </w:p>
    <w:p w14:paraId="330F66F8" w14:textId="77777777" w:rsidR="00040F2E" w:rsidRDefault="00040F2E" w:rsidP="00040F2E">
      <w:pPr>
        <w:autoSpaceDE w:val="0"/>
        <w:autoSpaceDN w:val="0"/>
        <w:adjustRightInd w:val="0"/>
        <w:rPr>
          <w:sz w:val="24"/>
          <w:szCs w:val="24"/>
        </w:rPr>
      </w:pPr>
    </w:p>
    <w:p w14:paraId="70EE1680" w14:textId="77777777" w:rsidR="00040F2E" w:rsidRDefault="00040F2E" w:rsidP="00040F2E">
      <w:pPr>
        <w:autoSpaceDE w:val="0"/>
        <w:autoSpaceDN w:val="0"/>
        <w:adjustRightInd w:val="0"/>
        <w:ind w:left="851"/>
        <w:rPr>
          <w:sz w:val="24"/>
          <w:szCs w:val="24"/>
        </w:rPr>
      </w:pPr>
      <w:r>
        <w:rPr>
          <w:sz w:val="24"/>
          <w:szCs w:val="24"/>
        </w:rPr>
        <w:t>I placebo-kontrollerede studier med ældre patienter med demensrelateret psykose var hyppigheden af cerebrovaskulære bivirkninger pr. 100 patientår ikke højere hos quetiapin-behandlede patienter end hos placebo-behandlede patienter.</w:t>
      </w:r>
    </w:p>
    <w:p w14:paraId="78E2279B" w14:textId="77777777" w:rsidR="00040F2E" w:rsidRDefault="00040F2E" w:rsidP="00040F2E">
      <w:pPr>
        <w:autoSpaceDE w:val="0"/>
        <w:autoSpaceDN w:val="0"/>
        <w:adjustRightInd w:val="0"/>
        <w:rPr>
          <w:sz w:val="24"/>
          <w:szCs w:val="24"/>
        </w:rPr>
      </w:pPr>
    </w:p>
    <w:p w14:paraId="17164FEF" w14:textId="77777777" w:rsidR="00040F2E" w:rsidRDefault="00040F2E" w:rsidP="00040F2E">
      <w:pPr>
        <w:autoSpaceDE w:val="0"/>
        <w:autoSpaceDN w:val="0"/>
        <w:adjustRightInd w:val="0"/>
        <w:ind w:left="851"/>
        <w:rPr>
          <w:sz w:val="24"/>
          <w:szCs w:val="24"/>
        </w:rPr>
      </w:pPr>
      <w:r>
        <w:rPr>
          <w:sz w:val="24"/>
          <w:szCs w:val="24"/>
        </w:rPr>
        <w:t xml:space="preserve">I alle korterevarende placebokontrollerede kliniske monoterapiforsøg med patienter med et neutrofiltal ≥ 1,5 x </w:t>
      </w:r>
      <w:r>
        <w:rPr>
          <w:bCs/>
          <w:iCs/>
          <w:color w:val="000000"/>
          <w:sz w:val="24"/>
          <w:szCs w:val="24"/>
        </w:rPr>
        <w:t>10</w:t>
      </w:r>
      <w:r>
        <w:rPr>
          <w:bCs/>
          <w:iCs/>
          <w:color w:val="000000"/>
          <w:sz w:val="24"/>
          <w:szCs w:val="24"/>
          <w:vertAlign w:val="superscript"/>
        </w:rPr>
        <w:t>9</w:t>
      </w:r>
      <w:r>
        <w:rPr>
          <w:sz w:val="24"/>
          <w:szCs w:val="24"/>
        </w:rPr>
        <w:t xml:space="preserve">/l ved baseline var hyppigheden af mindst én forekomst af et neutrofiltal &lt;1,5 x </w:t>
      </w:r>
      <w:r>
        <w:rPr>
          <w:bCs/>
          <w:iCs/>
          <w:color w:val="000000"/>
          <w:sz w:val="24"/>
          <w:szCs w:val="24"/>
        </w:rPr>
        <w:t>10</w:t>
      </w:r>
      <w:r>
        <w:rPr>
          <w:bCs/>
          <w:iCs/>
          <w:color w:val="000000"/>
          <w:sz w:val="24"/>
          <w:szCs w:val="24"/>
          <w:vertAlign w:val="superscript"/>
        </w:rPr>
        <w:t>9</w:t>
      </w:r>
      <w:r>
        <w:rPr>
          <w:sz w:val="24"/>
          <w:szCs w:val="24"/>
        </w:rPr>
        <w:t xml:space="preserve">/l hos quetiapinbehandlede patienter 1,9 % sammenlignet med 1,5 % hos de patienter, som fik placebo. Forekomsten af ændringer til &gt;0,5 - &lt;1,0 x </w:t>
      </w:r>
      <w:r>
        <w:rPr>
          <w:bCs/>
          <w:iCs/>
          <w:color w:val="000000"/>
          <w:sz w:val="24"/>
          <w:szCs w:val="24"/>
        </w:rPr>
        <w:t>10</w:t>
      </w:r>
      <w:r>
        <w:rPr>
          <w:bCs/>
          <w:iCs/>
          <w:color w:val="000000"/>
          <w:sz w:val="24"/>
          <w:szCs w:val="24"/>
          <w:vertAlign w:val="superscript"/>
        </w:rPr>
        <w:t>9</w:t>
      </w:r>
      <w:r>
        <w:rPr>
          <w:sz w:val="24"/>
          <w:szCs w:val="24"/>
        </w:rPr>
        <w:t xml:space="preserve">/l var den samme (0,2%) hos patienter behandlet med quetiapin som hos patienter, der fik placebo. I alle kliniske forsøg (placebokontrollerede, open-label, aktiv komparator) med patienter med et neutrofiltal ≥ 1,5 x </w:t>
      </w:r>
      <w:r>
        <w:rPr>
          <w:bCs/>
          <w:iCs/>
          <w:color w:val="000000"/>
          <w:sz w:val="24"/>
          <w:szCs w:val="24"/>
        </w:rPr>
        <w:t>10</w:t>
      </w:r>
      <w:r>
        <w:rPr>
          <w:bCs/>
          <w:iCs/>
          <w:color w:val="000000"/>
          <w:sz w:val="24"/>
          <w:szCs w:val="24"/>
          <w:vertAlign w:val="superscript"/>
        </w:rPr>
        <w:t>9</w:t>
      </w:r>
      <w:r>
        <w:rPr>
          <w:sz w:val="24"/>
          <w:szCs w:val="24"/>
        </w:rPr>
        <w:t xml:space="preserve">/l ved baseline var hyppigheden af mindst ét tilfælde af et neutrofiltal &lt;1,5 x </w:t>
      </w:r>
      <w:r>
        <w:rPr>
          <w:bCs/>
          <w:iCs/>
          <w:color w:val="000000"/>
          <w:sz w:val="24"/>
          <w:szCs w:val="24"/>
        </w:rPr>
        <w:t>10</w:t>
      </w:r>
      <w:r>
        <w:rPr>
          <w:bCs/>
          <w:iCs/>
          <w:color w:val="000000"/>
          <w:sz w:val="24"/>
          <w:szCs w:val="24"/>
          <w:vertAlign w:val="superscript"/>
        </w:rPr>
        <w:t>9</w:t>
      </w:r>
      <w:r>
        <w:rPr>
          <w:sz w:val="24"/>
          <w:szCs w:val="24"/>
        </w:rPr>
        <w:t xml:space="preserve">/l 2,9 %, mens hyppigheden af mindst ét tilfælde af et neutrofiltal &lt;0,5 x </w:t>
      </w:r>
      <w:r>
        <w:rPr>
          <w:bCs/>
          <w:iCs/>
          <w:color w:val="000000"/>
          <w:sz w:val="24"/>
          <w:szCs w:val="24"/>
        </w:rPr>
        <w:t>10</w:t>
      </w:r>
      <w:r>
        <w:rPr>
          <w:bCs/>
          <w:iCs/>
          <w:color w:val="000000"/>
          <w:sz w:val="24"/>
          <w:szCs w:val="24"/>
          <w:vertAlign w:val="superscript"/>
        </w:rPr>
        <w:t>9</w:t>
      </w:r>
      <w:r>
        <w:rPr>
          <w:sz w:val="24"/>
          <w:szCs w:val="24"/>
        </w:rPr>
        <w:t>/l var 0,21 % hos quetiapinbehandlede patienter.</w:t>
      </w:r>
    </w:p>
    <w:p w14:paraId="4E054995" w14:textId="77777777" w:rsidR="00040F2E" w:rsidRDefault="00040F2E" w:rsidP="00040F2E">
      <w:pPr>
        <w:autoSpaceDE w:val="0"/>
        <w:autoSpaceDN w:val="0"/>
        <w:adjustRightInd w:val="0"/>
        <w:rPr>
          <w:sz w:val="24"/>
          <w:szCs w:val="24"/>
        </w:rPr>
      </w:pPr>
    </w:p>
    <w:p w14:paraId="3BE4B717" w14:textId="77777777" w:rsidR="00040F2E" w:rsidRDefault="00040F2E" w:rsidP="00040F2E">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rFonts w:cs="Arial"/>
          <w:sz w:val="24"/>
          <w:szCs w:val="24"/>
        </w:rPr>
      </w:pPr>
      <w:r>
        <w:rPr>
          <w:sz w:val="24"/>
        </w:rPr>
        <w:t>Behandling med quetiapin var forbundet med dosisrelaterede fald i niveauerne af thyreoideahormoner. Incidenserne af skift i niveauet af TSH var 3,2 % med quetiapin i forhold til 2,7 % med placebo. Incidensen af reciprokke potentielt klinisk signifikante skift i niveauet af både T</w:t>
      </w:r>
      <w:r>
        <w:rPr>
          <w:sz w:val="24"/>
          <w:vertAlign w:val="subscript"/>
        </w:rPr>
        <w:t>3</w:t>
      </w:r>
      <w:r>
        <w:rPr>
          <w:sz w:val="24"/>
        </w:rPr>
        <w:t xml:space="preserve"> eller T</w:t>
      </w:r>
      <w:r>
        <w:rPr>
          <w:sz w:val="24"/>
          <w:vertAlign w:val="subscript"/>
        </w:rPr>
        <w:t>4</w:t>
      </w:r>
      <w:r>
        <w:rPr>
          <w:sz w:val="24"/>
        </w:rPr>
        <w:t xml:space="preserve"> og TSH i disse forsøg var sjældne, og de observerede ændringer i thyreoideahormonniveauerne var ikke forbundet med klinisk symptomatisk hypothyroidisme.</w:t>
      </w:r>
      <w:r>
        <w:rPr>
          <w:rFonts w:cs="Arial"/>
          <w:sz w:val="24"/>
          <w:szCs w:val="24"/>
        </w:rPr>
        <w:t xml:space="preserve"> </w:t>
      </w:r>
      <w:r>
        <w:rPr>
          <w:sz w:val="24"/>
        </w:rPr>
        <w:t>Faldet i totalt og frit T</w:t>
      </w:r>
      <w:r>
        <w:rPr>
          <w:sz w:val="24"/>
          <w:vertAlign w:val="subscript"/>
        </w:rPr>
        <w:t>4</w:t>
      </w:r>
      <w:r>
        <w:rPr>
          <w:sz w:val="24"/>
        </w:rPr>
        <w:t xml:space="preserve"> var størst i de første 6 uger af behandlingen med quetiapin, og der var intet yderligere fald ved længerevarende behandling. I ca. 2/3 af alle tilfælde var seponering af behandlingen med quetiapin forbundet med en ophævelse af effekterne på totalt og frit T</w:t>
      </w:r>
      <w:r>
        <w:rPr>
          <w:sz w:val="24"/>
          <w:vertAlign w:val="subscript"/>
        </w:rPr>
        <w:t>4</w:t>
      </w:r>
      <w:r>
        <w:rPr>
          <w:sz w:val="24"/>
        </w:rPr>
        <w:t>, uafhængigt af behandlingens varighed.</w:t>
      </w:r>
    </w:p>
    <w:p w14:paraId="5050BEA7" w14:textId="77777777" w:rsidR="00040F2E" w:rsidRDefault="00040F2E" w:rsidP="00040F2E">
      <w:pPr>
        <w:autoSpaceDE w:val="0"/>
        <w:autoSpaceDN w:val="0"/>
        <w:adjustRightInd w:val="0"/>
        <w:rPr>
          <w:sz w:val="24"/>
          <w:szCs w:val="24"/>
        </w:rPr>
      </w:pPr>
    </w:p>
    <w:p w14:paraId="44AEE994" w14:textId="77777777" w:rsidR="00040F2E" w:rsidRDefault="00040F2E" w:rsidP="00040F2E">
      <w:pPr>
        <w:ind w:firstLine="851"/>
        <w:rPr>
          <w:color w:val="000000"/>
          <w:sz w:val="24"/>
          <w:szCs w:val="24"/>
          <w:u w:val="single"/>
        </w:rPr>
      </w:pPr>
      <w:r>
        <w:rPr>
          <w:color w:val="000000"/>
          <w:sz w:val="24"/>
          <w:szCs w:val="24"/>
          <w:u w:val="single"/>
        </w:rPr>
        <w:t>Katarakter/linseuklarheder</w:t>
      </w:r>
    </w:p>
    <w:p w14:paraId="0543B59A" w14:textId="77777777" w:rsidR="00040F2E" w:rsidRDefault="00040F2E" w:rsidP="00040F2E">
      <w:pPr>
        <w:ind w:left="851"/>
        <w:rPr>
          <w:color w:val="000000"/>
          <w:sz w:val="24"/>
          <w:szCs w:val="24"/>
        </w:rPr>
      </w:pPr>
      <w:r>
        <w:rPr>
          <w:color w:val="000000"/>
          <w:sz w:val="24"/>
          <w:szCs w:val="24"/>
        </w:rPr>
        <w:t xml:space="preserve">I et klinisk forsøg, som skulle evaluere quetiapins kataraktogene potentiale (200-800 mg/dag) over for risperidon (2-8 mg) hos patienter med skizofreni eller skizoaffektiv sindslidelse, var procentdelen af patienter med øget linseuklarhed ikke højere for seroquel </w:t>
      </w:r>
      <w:r>
        <w:rPr>
          <w:color w:val="000000"/>
          <w:sz w:val="24"/>
          <w:szCs w:val="24"/>
        </w:rPr>
        <w:lastRenderedPageBreak/>
        <w:t>(4 %) sammenlignet med risperidon (10 %) hos patienter, som var blevet udsat for lægemidlet i mindst 21 måneder.</w:t>
      </w:r>
    </w:p>
    <w:p w14:paraId="6E0C2473" w14:textId="77777777" w:rsidR="00CF52AE" w:rsidRDefault="00CF52AE" w:rsidP="00040F2E">
      <w:pPr>
        <w:ind w:firstLine="851"/>
        <w:rPr>
          <w:b/>
          <w:sz w:val="24"/>
        </w:rPr>
      </w:pPr>
    </w:p>
    <w:p w14:paraId="62DF4AF5" w14:textId="77777777" w:rsidR="00040F2E" w:rsidRDefault="00040F2E" w:rsidP="00040F2E">
      <w:pPr>
        <w:ind w:firstLine="851"/>
        <w:rPr>
          <w:color w:val="000000"/>
          <w:sz w:val="24"/>
          <w:szCs w:val="24"/>
        </w:rPr>
      </w:pPr>
      <w:r>
        <w:rPr>
          <w:b/>
          <w:sz w:val="24"/>
        </w:rPr>
        <w:t>Pædiatrisk population</w:t>
      </w:r>
    </w:p>
    <w:p w14:paraId="2B4B8A86" w14:textId="77777777" w:rsidR="00040F2E" w:rsidRDefault="00040F2E" w:rsidP="00040F2E">
      <w:pPr>
        <w:rPr>
          <w:color w:val="000000"/>
          <w:sz w:val="24"/>
          <w:szCs w:val="24"/>
        </w:rPr>
      </w:pPr>
    </w:p>
    <w:p w14:paraId="0C0DF147" w14:textId="77777777" w:rsidR="00040F2E" w:rsidRDefault="00040F2E" w:rsidP="00040F2E">
      <w:pPr>
        <w:ind w:left="851"/>
        <w:rPr>
          <w:i/>
          <w:sz w:val="24"/>
        </w:rPr>
      </w:pPr>
      <w:r>
        <w:rPr>
          <w:i/>
          <w:sz w:val="24"/>
        </w:rPr>
        <w:t>Klinisk virkning</w:t>
      </w:r>
    </w:p>
    <w:p w14:paraId="0DEDE5EC" w14:textId="77777777" w:rsidR="00040F2E" w:rsidRDefault="00040F2E" w:rsidP="00040F2E">
      <w:pPr>
        <w:ind w:left="851"/>
        <w:rPr>
          <w:color w:val="000000"/>
          <w:sz w:val="24"/>
          <w:szCs w:val="24"/>
        </w:rPr>
      </w:pPr>
      <w:r>
        <w:rPr>
          <w:color w:val="000000"/>
          <w:sz w:val="24"/>
          <w:szCs w:val="24"/>
        </w:rPr>
        <w:t>Quetiapins virkning og sikkerhed blev undersøgt i et 3 ugers placebo-kontrolleret studie i behandling af mani (n=284 patienter fra USA i alderen 10-17 år). Ca. 45 % af patientpopulationen havde en yderligere diagnose, ADHD. Endvidere blev der udført et 6-ugers placebo-kontrolleret studie i behandling af skizofreni (n=222 patienter i alderen 13-17 år). I begge studier blev patienter med kendt manglende respons på quetiapin ekskluderet. Behandlingen med quetiapin blev initieret med 50 mg/dag og blev på dag 2 øget til 100 mg/dag; efterfølgende blev dosis titreret til en måldosis (mani 400-600 mg/dag; skizofreni 400-800 mg/dag) i stigninger på 100 mg/dag givet to eller tre gange daglig.</w:t>
      </w:r>
    </w:p>
    <w:p w14:paraId="7A9A39E4" w14:textId="77777777" w:rsidR="00040F2E" w:rsidRDefault="00040F2E" w:rsidP="00040F2E">
      <w:pPr>
        <w:rPr>
          <w:color w:val="000000"/>
          <w:sz w:val="24"/>
          <w:szCs w:val="24"/>
        </w:rPr>
      </w:pPr>
    </w:p>
    <w:p w14:paraId="09ABD1A6" w14:textId="77777777" w:rsidR="00040F2E" w:rsidRDefault="00040F2E" w:rsidP="00040F2E">
      <w:pPr>
        <w:ind w:left="851"/>
        <w:rPr>
          <w:color w:val="000000"/>
          <w:sz w:val="24"/>
          <w:szCs w:val="24"/>
        </w:rPr>
      </w:pPr>
      <w:r>
        <w:rPr>
          <w:color w:val="000000"/>
          <w:sz w:val="24"/>
          <w:szCs w:val="24"/>
        </w:rPr>
        <w:t>I manistudiet var forskellen i LS-gennemsnitsændringen fra baseline i YMRS-totalscore (aktiv minus placebo) -5,21 for quetiapintabletter 400 mg/dag og -6,56 for quetiapin tabletter 600 mg/dag. Responsraterne (YMRS-forbedring ≥ 50 %) var 64 % for quetiapin tabletter 400 mg/dag, 58 % for 600 mg/dag og 37 % i placebogruppen.</w:t>
      </w:r>
    </w:p>
    <w:p w14:paraId="1F967D7C" w14:textId="77777777" w:rsidR="00040F2E" w:rsidRDefault="00040F2E" w:rsidP="00040F2E">
      <w:pPr>
        <w:rPr>
          <w:color w:val="000000"/>
          <w:sz w:val="24"/>
          <w:szCs w:val="24"/>
        </w:rPr>
      </w:pPr>
    </w:p>
    <w:p w14:paraId="6B58D004" w14:textId="77777777" w:rsidR="00040F2E" w:rsidRDefault="00040F2E" w:rsidP="00040F2E">
      <w:pPr>
        <w:ind w:left="851"/>
        <w:rPr>
          <w:color w:val="000000"/>
          <w:sz w:val="24"/>
          <w:szCs w:val="24"/>
        </w:rPr>
      </w:pPr>
      <w:r>
        <w:rPr>
          <w:color w:val="000000"/>
          <w:sz w:val="24"/>
          <w:szCs w:val="24"/>
        </w:rPr>
        <w:t>I skizofrenistudiet var forskellen i LS-gennemsnitsændring fra baseline i PANSS-totalscore (aktiv minus placebo) -8,16 for quetiapin tabletter 400 mg/dag og -9,29 for quetiapin tabletter 800 mg/dag. Hverken i lavdosis- (400 mg/dag) eller højdosis-</w:t>
      </w:r>
      <w:r>
        <w:rPr>
          <w:sz w:val="24"/>
          <w:szCs w:val="24"/>
        </w:rPr>
        <w:t>regimenet (800</w:t>
      </w:r>
      <w:r>
        <w:rPr>
          <w:color w:val="000000"/>
          <w:sz w:val="24"/>
          <w:szCs w:val="24"/>
        </w:rPr>
        <w:t xml:space="preserve"> mg/dag) var quetiapin overlegent i forhold til placebo med hensyn til procentdelen af patienter, som opnåede respons, defineret som en reduktion på ≥ 30 % fra baseline i PANSS-totalscore. Både mht. mani og skizofreni resulterede højere doser i numerisk lavere responsrater.</w:t>
      </w:r>
    </w:p>
    <w:p w14:paraId="49311EB7" w14:textId="77777777" w:rsidR="00040F2E" w:rsidRDefault="00040F2E" w:rsidP="00040F2E">
      <w:pPr>
        <w:ind w:left="851"/>
        <w:rPr>
          <w:color w:val="000000"/>
          <w:sz w:val="24"/>
          <w:szCs w:val="24"/>
        </w:rPr>
      </w:pPr>
    </w:p>
    <w:p w14:paraId="7C7436A8" w14:textId="77777777" w:rsidR="00040F2E" w:rsidRDefault="00040F2E" w:rsidP="00040F2E">
      <w:pPr>
        <w:ind w:left="851"/>
        <w:rPr>
          <w:color w:val="000000"/>
          <w:sz w:val="24"/>
          <w:szCs w:val="24"/>
        </w:rPr>
      </w:pPr>
      <w:r>
        <w:rPr>
          <w:color w:val="000000"/>
          <w:sz w:val="24"/>
          <w:szCs w:val="24"/>
        </w:rPr>
        <w:t>I et tredje kortvarigt, placebo-kontrolleret monoterapi-forsøg med quetiapin-depottabletter hos børn og unge patienter (10-17 år gamle) med bipolar depression blev der ikke demonstreret virkning.</w:t>
      </w:r>
    </w:p>
    <w:p w14:paraId="1161C59E" w14:textId="77777777" w:rsidR="00040F2E" w:rsidRDefault="00040F2E" w:rsidP="00040F2E">
      <w:pPr>
        <w:rPr>
          <w:color w:val="000000"/>
          <w:sz w:val="24"/>
          <w:szCs w:val="24"/>
        </w:rPr>
      </w:pPr>
    </w:p>
    <w:p w14:paraId="6EE6F82A" w14:textId="77777777" w:rsidR="00040F2E" w:rsidRDefault="00040F2E" w:rsidP="00AD211C">
      <w:pPr>
        <w:ind w:left="851"/>
        <w:rPr>
          <w:sz w:val="24"/>
          <w:szCs w:val="24"/>
        </w:rPr>
      </w:pPr>
      <w:r>
        <w:rPr>
          <w:color w:val="000000"/>
          <w:sz w:val="24"/>
          <w:szCs w:val="24"/>
        </w:rPr>
        <w:t xml:space="preserve">Der foreligger ingen data om vedligeholdelse af virkning eller </w:t>
      </w:r>
      <w:r>
        <w:rPr>
          <w:sz w:val="24"/>
          <w:szCs w:val="24"/>
        </w:rPr>
        <w:t>forebyggelse af recidiv i denne aldersgruppe.</w:t>
      </w:r>
    </w:p>
    <w:p w14:paraId="4F68FE82" w14:textId="77777777" w:rsidR="00AD211C" w:rsidRPr="00AD211C" w:rsidRDefault="00AD211C" w:rsidP="00AD211C">
      <w:pPr>
        <w:ind w:left="851"/>
        <w:rPr>
          <w:color w:val="000000"/>
          <w:sz w:val="24"/>
          <w:szCs w:val="24"/>
        </w:rPr>
      </w:pPr>
    </w:p>
    <w:p w14:paraId="09F8AF4D" w14:textId="77777777" w:rsidR="00AD211C" w:rsidRPr="00AD211C" w:rsidRDefault="00AD211C" w:rsidP="00AD211C">
      <w:pPr>
        <w:ind w:left="851"/>
        <w:rPr>
          <w:i/>
          <w:color w:val="000000"/>
          <w:sz w:val="24"/>
          <w:szCs w:val="24"/>
        </w:rPr>
      </w:pPr>
      <w:r w:rsidRPr="00AD211C">
        <w:rPr>
          <w:i/>
          <w:color w:val="000000"/>
          <w:sz w:val="24"/>
          <w:szCs w:val="24"/>
        </w:rPr>
        <w:t>Klinisk sikkerhed</w:t>
      </w:r>
    </w:p>
    <w:p w14:paraId="2469C9EF" w14:textId="77777777" w:rsidR="00AD211C" w:rsidRPr="00AD211C" w:rsidRDefault="00AD211C" w:rsidP="00AD211C">
      <w:pPr>
        <w:ind w:left="851"/>
        <w:rPr>
          <w:color w:val="000000"/>
          <w:sz w:val="24"/>
          <w:szCs w:val="24"/>
        </w:rPr>
      </w:pPr>
      <w:r w:rsidRPr="00AD211C">
        <w:rPr>
          <w:color w:val="000000"/>
          <w:sz w:val="24"/>
          <w:szCs w:val="24"/>
        </w:rPr>
        <w:t xml:space="preserve">I de kortvarige pædiatriske forsøg med quetiapin beskrevet ovenfor var hyppigheden af EPS i den aktive arm vs. placebo 12,9 % vs. 5,3 % i skizofreni-studiet, 3,6 % vs. 1,1 % i bipolar mani-studiet og 1,1 % vs. 0 % i forsøget med bipolar depression. Hyppigheden af vægtøgning ≥7 % af baseline-legemsvægten i den aktive arm vs. placebo var 17 % vs. 2,5 % i skizofreni- og bipolar mani-forsøgene og 13,7 % vs. 6,8 % i forsøget med bipolar depression. Hyppigheden af selvmordsrelaterede hændelser i den aktive arm vs. placebo var 1,4 % vs. 1,3 % i skizofreni-studiet, 1,0 % vs. 0 % i bipolar mani-studiet og 1,1 % vs. 0 % i bipolar depression-studiet. Under en forlænget opfølgningsfase efter behandlingen af forsøget med bipolar depression var der yderligere to selvmordsrelaterede hændelser hos to patienter. En af disse patienter fik quetiapin på tidspunktet for hændelsen.  </w:t>
      </w:r>
    </w:p>
    <w:p w14:paraId="30B96958" w14:textId="77777777" w:rsidR="00AD211C" w:rsidRDefault="00AD211C" w:rsidP="00AD211C">
      <w:pPr>
        <w:ind w:left="851"/>
        <w:rPr>
          <w:color w:val="000000"/>
          <w:sz w:val="24"/>
          <w:szCs w:val="24"/>
        </w:rPr>
      </w:pPr>
    </w:p>
    <w:p w14:paraId="6EF594B6" w14:textId="77777777" w:rsidR="00040F2E" w:rsidRDefault="00040F2E" w:rsidP="00AD211C">
      <w:pPr>
        <w:ind w:left="851"/>
        <w:rPr>
          <w:i/>
          <w:sz w:val="24"/>
        </w:rPr>
      </w:pPr>
      <w:r>
        <w:rPr>
          <w:i/>
          <w:sz w:val="24"/>
          <w:szCs w:val="24"/>
        </w:rPr>
        <w:t>Langsigtet sikkerhed</w:t>
      </w:r>
    </w:p>
    <w:p w14:paraId="5E5705BF" w14:textId="77777777" w:rsidR="00040F2E" w:rsidRDefault="00040F2E" w:rsidP="00040F2E">
      <w:pPr>
        <w:ind w:left="851"/>
        <w:rPr>
          <w:color w:val="000000"/>
          <w:sz w:val="24"/>
          <w:szCs w:val="24"/>
        </w:rPr>
      </w:pPr>
      <w:r>
        <w:rPr>
          <w:color w:val="000000"/>
          <w:sz w:val="24"/>
          <w:szCs w:val="24"/>
        </w:rPr>
        <w:t xml:space="preserve">En 26 ugers open-label forlængelse af de akutte forsøg (n=380 patienter) med quetiapin tabletter med en fleksibel dosering på 400-800 mg/dag tilvejebragte yderligere </w:t>
      </w:r>
      <w:r>
        <w:rPr>
          <w:color w:val="000000"/>
          <w:sz w:val="24"/>
          <w:szCs w:val="24"/>
        </w:rPr>
        <w:lastRenderedPageBreak/>
        <w:t xml:space="preserve">sikkerhedsdata. Stigninger i blodtryk blev rapporteret hos børn og unge, og øget appetit, ekstrapyramidale symptomer og forhøjelser i serumprolaktin blev rapporteret med større hyppighed hos børn og unge end hos voksne patienter (se pkt. 4.4 og 4.8). </w:t>
      </w:r>
      <w:r>
        <w:rPr>
          <w:sz w:val="24"/>
          <w:szCs w:val="24"/>
        </w:rPr>
        <w:t>Hvad angår vægtøgning, blev der efter justering for normal vækst over længere tid anvendt en stigning på mindst 0,5 standardafvigelse fra baseline i Body Mass Index (BMI) som kriterium for en klinisk signifikant ændring; 18,3 % af de patienter, der blev behandlet med quetiapin i mindst 26 uger, opfyldte dette kriterium.</w:t>
      </w:r>
    </w:p>
    <w:p w14:paraId="4B846580" w14:textId="77777777" w:rsidR="00040F2E" w:rsidRPr="00B50DD9" w:rsidRDefault="00040F2E" w:rsidP="00040F2E">
      <w:pPr>
        <w:rPr>
          <w:color w:val="000000"/>
          <w:sz w:val="24"/>
          <w:szCs w:val="24"/>
        </w:rPr>
      </w:pPr>
    </w:p>
    <w:p w14:paraId="3136B5AB"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5.2 </w:t>
      </w:r>
      <w:r w:rsidRPr="00B50DD9">
        <w:rPr>
          <w:b/>
          <w:bCs/>
          <w:sz w:val="24"/>
          <w:szCs w:val="24"/>
          <w:lang w:eastAsia="en-GB"/>
        </w:rPr>
        <w:tab/>
        <w:t>Farmakokinetiske egenskaber</w:t>
      </w:r>
    </w:p>
    <w:p w14:paraId="56AD21AE" w14:textId="77777777" w:rsidR="00AD211C" w:rsidRDefault="00AD211C" w:rsidP="00040F2E">
      <w:pPr>
        <w:ind w:left="851"/>
        <w:rPr>
          <w:sz w:val="24"/>
          <w:szCs w:val="24"/>
          <w:u w:val="single"/>
        </w:rPr>
      </w:pPr>
    </w:p>
    <w:p w14:paraId="1AE4369E" w14:textId="097488B4" w:rsidR="00040F2E" w:rsidRDefault="00040F2E" w:rsidP="00040F2E">
      <w:pPr>
        <w:ind w:left="851"/>
        <w:rPr>
          <w:sz w:val="24"/>
          <w:szCs w:val="24"/>
        </w:rPr>
      </w:pPr>
      <w:r>
        <w:rPr>
          <w:sz w:val="24"/>
          <w:szCs w:val="24"/>
          <w:u w:val="single"/>
        </w:rPr>
        <w:t>Absorption</w:t>
      </w:r>
      <w:r>
        <w:rPr>
          <w:sz w:val="24"/>
          <w:szCs w:val="24"/>
        </w:rPr>
        <w:t xml:space="preserve"> </w:t>
      </w:r>
    </w:p>
    <w:p w14:paraId="4010088A" w14:textId="77777777" w:rsidR="00040F2E" w:rsidRDefault="00040F2E" w:rsidP="00040F2E">
      <w:pPr>
        <w:ind w:left="851"/>
        <w:rPr>
          <w:sz w:val="24"/>
          <w:szCs w:val="24"/>
        </w:rPr>
      </w:pPr>
      <w:r>
        <w:rPr>
          <w:sz w:val="24"/>
          <w:szCs w:val="24"/>
        </w:rPr>
        <w:t xml:space="preserve">Quetiapin absorberes godt og metaboliseres ekstensivt efter oral administration. Quetiapins biotilgængelighed påvirkes ikke signifikant af samtidig indtagelse af mad. Steady-state peak molære koncentrationer af den aktive metabolit norquetiapin er 35 % af den, som er set for quetiapin. </w:t>
      </w:r>
    </w:p>
    <w:p w14:paraId="4224785D" w14:textId="77777777" w:rsidR="00040F2E" w:rsidRDefault="00040F2E" w:rsidP="00040F2E">
      <w:pPr>
        <w:ind w:left="851"/>
        <w:rPr>
          <w:sz w:val="24"/>
          <w:szCs w:val="24"/>
        </w:rPr>
      </w:pPr>
    </w:p>
    <w:p w14:paraId="0C2A66A6" w14:textId="77777777" w:rsidR="00040F2E" w:rsidRDefault="00040F2E" w:rsidP="00040F2E">
      <w:pPr>
        <w:ind w:left="851"/>
        <w:rPr>
          <w:sz w:val="24"/>
          <w:szCs w:val="24"/>
        </w:rPr>
      </w:pPr>
      <w:r>
        <w:rPr>
          <w:sz w:val="24"/>
          <w:szCs w:val="24"/>
        </w:rPr>
        <w:t xml:space="preserve">Farmakokinetikken af quetiapin og norquetiapin er lineær inden for det godkendte doseringsinterval. </w:t>
      </w:r>
    </w:p>
    <w:p w14:paraId="51B0A022" w14:textId="77777777" w:rsidR="00040F2E" w:rsidRDefault="00040F2E" w:rsidP="00040F2E">
      <w:pPr>
        <w:ind w:left="851"/>
        <w:rPr>
          <w:sz w:val="24"/>
          <w:u w:val="single"/>
        </w:rPr>
      </w:pPr>
    </w:p>
    <w:p w14:paraId="7FFC0A2B" w14:textId="77777777" w:rsidR="00040F2E" w:rsidRDefault="00040F2E" w:rsidP="00040F2E">
      <w:pPr>
        <w:ind w:left="851"/>
        <w:rPr>
          <w:sz w:val="24"/>
          <w:szCs w:val="24"/>
          <w:u w:val="single"/>
        </w:rPr>
      </w:pPr>
      <w:r>
        <w:rPr>
          <w:sz w:val="24"/>
          <w:szCs w:val="24"/>
          <w:u w:val="single"/>
        </w:rPr>
        <w:t>Fordeling</w:t>
      </w:r>
    </w:p>
    <w:p w14:paraId="031F2151" w14:textId="77777777" w:rsidR="00040F2E" w:rsidRDefault="00040F2E" w:rsidP="00040F2E">
      <w:pPr>
        <w:ind w:left="851"/>
        <w:rPr>
          <w:sz w:val="24"/>
          <w:szCs w:val="24"/>
        </w:rPr>
      </w:pPr>
      <w:r>
        <w:rPr>
          <w:sz w:val="24"/>
          <w:szCs w:val="24"/>
        </w:rPr>
        <w:t>Quetiapin er ca. 83 % bundet til plasmaproteiner.</w:t>
      </w:r>
    </w:p>
    <w:p w14:paraId="5C4DC01E" w14:textId="77777777" w:rsidR="00CA6E27" w:rsidRDefault="00CA6E27" w:rsidP="00040F2E">
      <w:pPr>
        <w:ind w:left="851"/>
        <w:rPr>
          <w:sz w:val="24"/>
          <w:szCs w:val="24"/>
        </w:rPr>
      </w:pPr>
    </w:p>
    <w:p w14:paraId="2DD038BC" w14:textId="77777777" w:rsidR="00040F2E" w:rsidRDefault="00040F2E" w:rsidP="00040F2E">
      <w:pPr>
        <w:ind w:left="851"/>
        <w:rPr>
          <w:sz w:val="24"/>
          <w:szCs w:val="24"/>
        </w:rPr>
      </w:pPr>
      <w:r>
        <w:rPr>
          <w:sz w:val="24"/>
          <w:szCs w:val="24"/>
          <w:u w:val="single"/>
        </w:rPr>
        <w:t>Biotransformation</w:t>
      </w:r>
      <w:r>
        <w:rPr>
          <w:sz w:val="24"/>
          <w:szCs w:val="24"/>
        </w:rPr>
        <w:t xml:space="preserve"> </w:t>
      </w:r>
    </w:p>
    <w:p w14:paraId="281D5C1D" w14:textId="77777777" w:rsidR="00040F2E" w:rsidRDefault="00040F2E" w:rsidP="00040F2E">
      <w:pPr>
        <w:ind w:left="851"/>
        <w:rPr>
          <w:sz w:val="24"/>
          <w:szCs w:val="24"/>
        </w:rPr>
      </w:pPr>
      <w:r>
        <w:rPr>
          <w:sz w:val="24"/>
          <w:szCs w:val="24"/>
        </w:rPr>
        <w:t xml:space="preserve">Quetiapin metaboliseres ekstensivt i leveren, og umetaboliseret quetiapin udgør mindre end 5 % af uomdannet lægemiddel-relateret stof i urinen eller faeces efter administration af radioaktivt mærket quetiapin. </w:t>
      </w:r>
    </w:p>
    <w:p w14:paraId="096399E2" w14:textId="77777777" w:rsidR="00040F2E" w:rsidRDefault="00040F2E" w:rsidP="00040F2E">
      <w:pPr>
        <w:ind w:left="851"/>
        <w:rPr>
          <w:sz w:val="24"/>
          <w:szCs w:val="24"/>
        </w:rPr>
      </w:pPr>
    </w:p>
    <w:p w14:paraId="4D13224E" w14:textId="77777777" w:rsidR="00040F2E" w:rsidRDefault="00040F2E" w:rsidP="00040F2E">
      <w:pPr>
        <w:ind w:left="851"/>
        <w:rPr>
          <w:sz w:val="24"/>
          <w:szCs w:val="24"/>
        </w:rPr>
      </w:pPr>
      <w:r>
        <w:rPr>
          <w:i/>
          <w:iCs/>
          <w:sz w:val="24"/>
          <w:szCs w:val="24"/>
        </w:rPr>
        <w:t>In vitro</w:t>
      </w:r>
      <w:r>
        <w:rPr>
          <w:sz w:val="24"/>
          <w:szCs w:val="24"/>
        </w:rPr>
        <w:t xml:space="preserve"> undersøgelser har fastslået, at CYP3A4 er det primære enzym, som er ansvarligt for cytochrom P450-medieret metabolisme af quetiapin. Norquetiapin dannes og elimineres primært via CYP3A4.</w:t>
      </w:r>
    </w:p>
    <w:p w14:paraId="7217F4CE" w14:textId="77777777" w:rsidR="00040F2E" w:rsidRDefault="00040F2E" w:rsidP="00040F2E">
      <w:pPr>
        <w:ind w:left="851"/>
        <w:rPr>
          <w:sz w:val="24"/>
          <w:szCs w:val="24"/>
        </w:rPr>
      </w:pPr>
    </w:p>
    <w:p w14:paraId="1C178750" w14:textId="77777777" w:rsidR="00040F2E" w:rsidRDefault="00040F2E" w:rsidP="00040F2E">
      <w:pPr>
        <w:ind w:left="851"/>
        <w:rPr>
          <w:sz w:val="24"/>
          <w:szCs w:val="24"/>
        </w:rPr>
      </w:pPr>
      <w:r>
        <w:rPr>
          <w:sz w:val="24"/>
          <w:szCs w:val="24"/>
        </w:rPr>
        <w:t>Cirka 73 % af radioaktiviteten udskilles i urinen og 21 % i fæces.</w:t>
      </w:r>
    </w:p>
    <w:p w14:paraId="4DAEC0EF" w14:textId="77777777" w:rsidR="00040F2E" w:rsidRDefault="00040F2E" w:rsidP="00040F2E">
      <w:pPr>
        <w:ind w:left="851"/>
        <w:rPr>
          <w:sz w:val="24"/>
          <w:szCs w:val="24"/>
        </w:rPr>
      </w:pPr>
    </w:p>
    <w:p w14:paraId="442C657E" w14:textId="77777777" w:rsidR="00040F2E" w:rsidRDefault="00040F2E" w:rsidP="00040F2E">
      <w:pPr>
        <w:ind w:left="851"/>
        <w:rPr>
          <w:sz w:val="24"/>
          <w:szCs w:val="24"/>
        </w:rPr>
      </w:pPr>
      <w:r>
        <w:rPr>
          <w:sz w:val="24"/>
          <w:szCs w:val="24"/>
        </w:rPr>
        <w:t xml:space="preserve">Quetiapin og adskillige af dets metabolitter (herunder norquetiapin) har vist sig at være svage inhibitorer af human cytochrom P450 1A2, 2C9, 2C19, 2D6 og 3A4 aktiviteter </w:t>
      </w:r>
      <w:r>
        <w:rPr>
          <w:i/>
          <w:sz w:val="24"/>
          <w:szCs w:val="24"/>
        </w:rPr>
        <w:t>in vitro</w:t>
      </w:r>
      <w:r>
        <w:rPr>
          <w:sz w:val="24"/>
          <w:szCs w:val="24"/>
        </w:rPr>
        <w:t xml:space="preserve">. </w:t>
      </w:r>
      <w:r>
        <w:rPr>
          <w:i/>
          <w:sz w:val="24"/>
          <w:szCs w:val="24"/>
        </w:rPr>
        <w:t>In vitro</w:t>
      </w:r>
      <w:r>
        <w:rPr>
          <w:sz w:val="24"/>
          <w:szCs w:val="24"/>
        </w:rPr>
        <w:t xml:space="preserve"> CYP-hæmning ses kun ved koncentrationer, der er ca. 5-50 gange højere end dem, der ses ved et doseringsinterval hos mennesker på 300-800 mg/dag. På basis af disse </w:t>
      </w:r>
      <w:r>
        <w:rPr>
          <w:i/>
          <w:sz w:val="24"/>
          <w:szCs w:val="24"/>
        </w:rPr>
        <w:t>in vitro</w:t>
      </w:r>
      <w:r>
        <w:rPr>
          <w:sz w:val="24"/>
          <w:szCs w:val="24"/>
        </w:rPr>
        <w:t xml:space="preserve"> resultater er det usandsynligt, at samtidig administration af quetiapin og andre lægemidler vil resultere i klinisk signifikant lægemiddelhæmning af cytochrom P450-medieret metabolisme af det andet lægemiddel. Dyrestudier tyder på, at quetiapin kan inducere cytochrom P450-enzymer. I et specifikt interaktionsstudie med psykotiske patienter sås dog ingen stigning i cytochrom P450-aktiviteten efter administration af quetiapin.</w:t>
      </w:r>
    </w:p>
    <w:p w14:paraId="763E765A" w14:textId="77777777" w:rsidR="00040F2E" w:rsidRDefault="00040F2E" w:rsidP="00040F2E">
      <w:pPr>
        <w:ind w:left="851"/>
        <w:rPr>
          <w:sz w:val="24"/>
          <w:szCs w:val="24"/>
        </w:rPr>
      </w:pPr>
    </w:p>
    <w:p w14:paraId="554F43E5" w14:textId="77777777" w:rsidR="00040F2E" w:rsidRDefault="00040F2E" w:rsidP="00040F2E">
      <w:pPr>
        <w:ind w:left="851"/>
        <w:rPr>
          <w:sz w:val="24"/>
          <w:szCs w:val="24"/>
          <w:u w:val="single"/>
        </w:rPr>
      </w:pPr>
      <w:r>
        <w:rPr>
          <w:sz w:val="24"/>
          <w:szCs w:val="24"/>
          <w:u w:val="single"/>
        </w:rPr>
        <w:t>Elimination</w:t>
      </w:r>
    </w:p>
    <w:p w14:paraId="5CEC82EE" w14:textId="77777777" w:rsidR="00040F2E" w:rsidRDefault="00040F2E" w:rsidP="00040F2E">
      <w:pPr>
        <w:ind w:left="851"/>
        <w:rPr>
          <w:sz w:val="24"/>
          <w:szCs w:val="24"/>
        </w:rPr>
      </w:pPr>
      <w:r>
        <w:rPr>
          <w:sz w:val="24"/>
          <w:szCs w:val="24"/>
        </w:rPr>
        <w:t>Eliminationshalveringstiderne af quetiapin og norquetiapin er henholdsvis ca. 7 og 12 timer. Den gennemsnitlige molære dosisfraktion af frit quetiapin og den aktive humane plasmametabolit norquetiapin er &lt;5 % udskilt i urinen.</w:t>
      </w:r>
    </w:p>
    <w:p w14:paraId="7867BD06" w14:textId="4AF1E435" w:rsidR="00AD211C" w:rsidRDefault="00AD211C">
      <w:pPr>
        <w:rPr>
          <w:sz w:val="24"/>
          <w:szCs w:val="24"/>
        </w:rPr>
      </w:pPr>
      <w:r>
        <w:rPr>
          <w:sz w:val="24"/>
          <w:szCs w:val="24"/>
        </w:rPr>
        <w:br w:type="page"/>
      </w:r>
    </w:p>
    <w:p w14:paraId="3CCC907C" w14:textId="77777777" w:rsidR="00040F2E" w:rsidRDefault="00040F2E" w:rsidP="00040F2E">
      <w:pPr>
        <w:rPr>
          <w:sz w:val="24"/>
          <w:szCs w:val="24"/>
        </w:rPr>
      </w:pPr>
    </w:p>
    <w:p w14:paraId="3ECB83D8" w14:textId="77777777" w:rsidR="00040F2E" w:rsidRPr="00AD211C" w:rsidRDefault="00040F2E" w:rsidP="00040F2E">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rFonts w:cs="Arial"/>
          <w:sz w:val="24"/>
          <w:szCs w:val="24"/>
          <w:u w:val="single"/>
        </w:rPr>
      </w:pPr>
      <w:r w:rsidRPr="00AD211C">
        <w:rPr>
          <w:sz w:val="24"/>
          <w:u w:val="single"/>
        </w:rPr>
        <w:t>Særlige populationer</w:t>
      </w:r>
    </w:p>
    <w:p w14:paraId="208DC844" w14:textId="77777777" w:rsidR="00040F2E" w:rsidRDefault="00040F2E" w:rsidP="00040F2E">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i/>
          <w:sz w:val="24"/>
        </w:rPr>
      </w:pPr>
    </w:p>
    <w:p w14:paraId="7A48A786" w14:textId="77777777" w:rsidR="00040F2E" w:rsidRPr="00AD211C" w:rsidRDefault="00040F2E" w:rsidP="00040F2E">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rFonts w:cs="Arial"/>
          <w:i/>
          <w:sz w:val="24"/>
          <w:szCs w:val="24"/>
        </w:rPr>
      </w:pPr>
      <w:r w:rsidRPr="00AD211C">
        <w:rPr>
          <w:i/>
          <w:sz w:val="24"/>
        </w:rPr>
        <w:t>Køn</w:t>
      </w:r>
    </w:p>
    <w:p w14:paraId="504FC32E" w14:textId="32E0EA5F" w:rsidR="00040F2E" w:rsidRDefault="00040F2E" w:rsidP="00040F2E">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rFonts w:cs="Arial"/>
          <w:sz w:val="24"/>
          <w:szCs w:val="24"/>
        </w:rPr>
      </w:pPr>
      <w:r>
        <w:rPr>
          <w:sz w:val="24"/>
        </w:rPr>
        <w:t xml:space="preserve">Der er ingen forskel mellem mænd og kvinder, hvad angår </w:t>
      </w:r>
      <w:r w:rsidR="00AD211C">
        <w:rPr>
          <w:sz w:val="24"/>
        </w:rPr>
        <w:t>farmako</w:t>
      </w:r>
      <w:r>
        <w:rPr>
          <w:sz w:val="24"/>
        </w:rPr>
        <w:t>kinetikken af quetiapin.</w:t>
      </w:r>
    </w:p>
    <w:p w14:paraId="1EFF8D29" w14:textId="77777777" w:rsidR="00040F2E" w:rsidRDefault="00040F2E" w:rsidP="00040F2E">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rFonts w:cs="Arial"/>
          <w:sz w:val="24"/>
          <w:szCs w:val="24"/>
        </w:rPr>
      </w:pPr>
    </w:p>
    <w:p w14:paraId="4CD72261" w14:textId="77777777" w:rsidR="00040F2E" w:rsidRPr="00AD211C" w:rsidRDefault="00040F2E" w:rsidP="00040F2E">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rFonts w:cs="Arial"/>
          <w:i/>
          <w:sz w:val="24"/>
          <w:szCs w:val="24"/>
        </w:rPr>
      </w:pPr>
      <w:r w:rsidRPr="00AD211C">
        <w:rPr>
          <w:i/>
          <w:sz w:val="24"/>
        </w:rPr>
        <w:t>Ældre</w:t>
      </w:r>
    </w:p>
    <w:p w14:paraId="744EBDD3" w14:textId="77777777" w:rsidR="00040F2E" w:rsidRDefault="00040F2E" w:rsidP="00040F2E">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rFonts w:cs="Arial"/>
          <w:sz w:val="24"/>
          <w:szCs w:val="24"/>
        </w:rPr>
      </w:pPr>
      <w:r>
        <w:rPr>
          <w:sz w:val="24"/>
        </w:rPr>
        <w:t>Den gennemsnitlige clearance af quetiapin hos ældre er ca. 30-50 % lavere end hos voksne mellem 18 og 65 år.</w:t>
      </w:r>
    </w:p>
    <w:p w14:paraId="0BD538A6" w14:textId="77777777" w:rsidR="00040F2E" w:rsidRDefault="00040F2E" w:rsidP="00040F2E">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rFonts w:cs="Arial"/>
          <w:sz w:val="24"/>
          <w:szCs w:val="24"/>
        </w:rPr>
      </w:pPr>
    </w:p>
    <w:p w14:paraId="0DEAE87D" w14:textId="77777777" w:rsidR="00040F2E" w:rsidRPr="00AD211C" w:rsidRDefault="00040F2E" w:rsidP="00040F2E">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rFonts w:cs="Arial"/>
          <w:i/>
          <w:sz w:val="24"/>
          <w:szCs w:val="24"/>
        </w:rPr>
      </w:pPr>
      <w:r w:rsidRPr="00AD211C">
        <w:rPr>
          <w:i/>
          <w:sz w:val="24"/>
        </w:rPr>
        <w:t>Patienter med nedsat nyrefunktion</w:t>
      </w:r>
    </w:p>
    <w:p w14:paraId="07E5AF06" w14:textId="77777777" w:rsidR="00040F2E" w:rsidRDefault="00040F2E" w:rsidP="00040F2E">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rFonts w:cs="Arial"/>
          <w:sz w:val="24"/>
          <w:szCs w:val="24"/>
        </w:rPr>
      </w:pPr>
      <w:r>
        <w:rPr>
          <w:sz w:val="24"/>
        </w:rPr>
        <w:t>Den gennemsnitlige plasmaclearance af quetiapin reduceres med ca. 25 % hos personer med svært nedsat nyrefunktion (kreatininclearance på under 30 ml/min./1,73 m</w:t>
      </w:r>
      <w:r>
        <w:rPr>
          <w:sz w:val="24"/>
          <w:vertAlign w:val="superscript"/>
        </w:rPr>
        <w:t>2</w:t>
      </w:r>
      <w:r>
        <w:rPr>
          <w:sz w:val="24"/>
        </w:rPr>
        <w:t xml:space="preserve">), men de individuelle clearanceværdier ligger inden for området for personer med normal nyrefunktion. </w:t>
      </w:r>
    </w:p>
    <w:p w14:paraId="117821B8" w14:textId="77777777" w:rsidR="00040F2E" w:rsidRDefault="00040F2E" w:rsidP="00040F2E">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rFonts w:cs="Arial"/>
          <w:sz w:val="24"/>
          <w:szCs w:val="24"/>
        </w:rPr>
      </w:pPr>
    </w:p>
    <w:p w14:paraId="48B24D96" w14:textId="77777777" w:rsidR="0067627C" w:rsidRPr="00AD211C" w:rsidRDefault="0067627C" w:rsidP="0067627C">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rFonts w:cs="Arial"/>
          <w:i/>
          <w:sz w:val="24"/>
          <w:szCs w:val="24"/>
        </w:rPr>
      </w:pPr>
      <w:r w:rsidRPr="00AD211C">
        <w:rPr>
          <w:i/>
          <w:sz w:val="24"/>
        </w:rPr>
        <w:t>Patienter med nedsat leverfunktion</w:t>
      </w:r>
    </w:p>
    <w:p w14:paraId="7B5740BD" w14:textId="77777777" w:rsidR="0067627C" w:rsidRDefault="0067627C" w:rsidP="0067627C">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sz w:val="24"/>
        </w:rPr>
      </w:pPr>
      <w:r>
        <w:rPr>
          <w:sz w:val="24"/>
        </w:rPr>
        <w:t xml:space="preserve">Den gennemsnitlige plasmaclearance af quetiapin falder med ca. 25 % hos personer med eksisterende nedsat leverfunktion (stabil alkoholcirrose). </w:t>
      </w:r>
    </w:p>
    <w:p w14:paraId="5D5B9D47" w14:textId="77777777" w:rsidR="0067627C" w:rsidRPr="00CF52AE" w:rsidRDefault="0067627C" w:rsidP="0067627C">
      <w:pPr>
        <w:tabs>
          <w:tab w:val="left" w:pos="270"/>
          <w:tab w:val="left" w:pos="540"/>
          <w:tab w:val="left" w:pos="1530"/>
          <w:tab w:val="left" w:pos="1980"/>
          <w:tab w:val="left" w:pos="2700"/>
          <w:tab w:val="left" w:pos="3420"/>
          <w:tab w:val="left" w:pos="4140"/>
          <w:tab w:val="left" w:pos="4860"/>
          <w:tab w:val="left" w:pos="5580"/>
          <w:tab w:val="left" w:pos="6300"/>
          <w:tab w:val="left" w:pos="7020"/>
          <w:tab w:val="left" w:pos="7740"/>
          <w:tab w:val="left" w:pos="8460"/>
          <w:tab w:val="left" w:pos="9180"/>
        </w:tabs>
        <w:ind w:left="851"/>
        <w:rPr>
          <w:rFonts w:cs="Arial"/>
          <w:sz w:val="24"/>
          <w:szCs w:val="24"/>
        </w:rPr>
      </w:pPr>
      <w:r>
        <w:rPr>
          <w:sz w:val="24"/>
        </w:rPr>
        <w:t>Da quetiapin i udtalt grad metaboliseres i leveren, forventes der højere plasmaniveauer i populationen med nedsat leverfunktion. Det kan være nødvendigt at foretage dosisjusteringer hos denne patientgruppe (se pkt. 4.2).</w:t>
      </w:r>
    </w:p>
    <w:p w14:paraId="1EAD8822" w14:textId="77777777" w:rsidR="00CA6E27" w:rsidRDefault="00CA6E27" w:rsidP="00040F2E">
      <w:pPr>
        <w:rPr>
          <w:sz w:val="24"/>
          <w:szCs w:val="24"/>
        </w:rPr>
      </w:pPr>
    </w:p>
    <w:p w14:paraId="024C43F1" w14:textId="77777777" w:rsidR="00040F2E" w:rsidRPr="00AD211C" w:rsidRDefault="00040F2E" w:rsidP="00040F2E">
      <w:pPr>
        <w:pStyle w:val="A-TableHeader"/>
        <w:keepNext w:val="0"/>
        <w:tabs>
          <w:tab w:val="left" w:pos="567"/>
        </w:tabs>
        <w:spacing w:before="0" w:after="0" w:line="260" w:lineRule="exact"/>
        <w:ind w:left="851"/>
        <w:rPr>
          <w:b w:val="0"/>
          <w:i/>
          <w:sz w:val="24"/>
          <w:lang w:val="da-DK"/>
        </w:rPr>
      </w:pPr>
      <w:r w:rsidRPr="00AD211C">
        <w:rPr>
          <w:b w:val="0"/>
          <w:i/>
          <w:sz w:val="24"/>
          <w:lang w:val="da-DK"/>
        </w:rPr>
        <w:t>Pædiatrisk population</w:t>
      </w:r>
    </w:p>
    <w:p w14:paraId="42D721E2" w14:textId="77777777" w:rsidR="00040F2E" w:rsidRDefault="00040F2E" w:rsidP="00040F2E">
      <w:pPr>
        <w:ind w:left="851"/>
        <w:rPr>
          <w:color w:val="000000"/>
          <w:sz w:val="24"/>
          <w:szCs w:val="24"/>
        </w:rPr>
      </w:pPr>
      <w:r>
        <w:rPr>
          <w:color w:val="000000"/>
          <w:sz w:val="24"/>
          <w:szCs w:val="24"/>
        </w:rPr>
        <w:t>Farmakokinetiske data blev undersøgt hos 9 børn i alderen 10-12 år og 12 unge, der var på steady-state-behandling med 400 mg quetiapin to gange daglig. Ved steady-state lignede de dosisnormaliserede plasmaniveauer af moderstoffet, quetiapin, hos børn og unge (10-17 år) generelt voksnes, selvom C</w:t>
      </w:r>
      <w:r>
        <w:rPr>
          <w:color w:val="000000"/>
          <w:sz w:val="24"/>
          <w:szCs w:val="24"/>
          <w:vertAlign w:val="subscript"/>
        </w:rPr>
        <w:t>max</w:t>
      </w:r>
      <w:r>
        <w:rPr>
          <w:color w:val="000000"/>
          <w:sz w:val="24"/>
          <w:szCs w:val="24"/>
        </w:rPr>
        <w:t xml:space="preserve"> hos børn var i den højere ende af det område, som blev observeret hos voksne. AUC og C</w:t>
      </w:r>
      <w:r>
        <w:rPr>
          <w:color w:val="000000"/>
          <w:sz w:val="24"/>
          <w:szCs w:val="24"/>
          <w:vertAlign w:val="subscript"/>
        </w:rPr>
        <w:t>max</w:t>
      </w:r>
      <w:r>
        <w:rPr>
          <w:color w:val="000000"/>
          <w:sz w:val="24"/>
          <w:szCs w:val="24"/>
        </w:rPr>
        <w:t xml:space="preserve"> for den aktive metabolit, norquetiapin, var højere, ca. henholdsvis 62 % og 49 % hos børn (10-12 år) og henholdsvis 28 % og 14 % hos unge (13-17 år) sammenlignet med voksne.</w:t>
      </w:r>
    </w:p>
    <w:p w14:paraId="523BB0D2" w14:textId="77777777" w:rsidR="00040F2E" w:rsidRPr="00B50DD9" w:rsidRDefault="00040F2E" w:rsidP="00040F2E">
      <w:pPr>
        <w:jc w:val="both"/>
        <w:rPr>
          <w:color w:val="000000"/>
          <w:sz w:val="24"/>
          <w:szCs w:val="24"/>
        </w:rPr>
      </w:pPr>
    </w:p>
    <w:p w14:paraId="56FB5156" w14:textId="77777777" w:rsidR="00040F2E" w:rsidRDefault="00040F2E" w:rsidP="00040F2E">
      <w:pPr>
        <w:tabs>
          <w:tab w:val="left" w:pos="851"/>
        </w:tabs>
        <w:ind w:left="851" w:hanging="851"/>
        <w:rPr>
          <w:b/>
          <w:sz w:val="24"/>
          <w:szCs w:val="24"/>
        </w:rPr>
      </w:pPr>
      <w:r>
        <w:rPr>
          <w:b/>
          <w:sz w:val="24"/>
          <w:szCs w:val="24"/>
        </w:rPr>
        <w:t>5.3</w:t>
      </w:r>
      <w:r>
        <w:rPr>
          <w:b/>
          <w:sz w:val="24"/>
          <w:szCs w:val="24"/>
        </w:rPr>
        <w:tab/>
      </w:r>
      <w:r w:rsidR="00582EF9">
        <w:rPr>
          <w:b/>
          <w:sz w:val="24"/>
          <w:szCs w:val="24"/>
        </w:rPr>
        <w:t>Non-</w:t>
      </w:r>
      <w:r>
        <w:rPr>
          <w:b/>
          <w:sz w:val="24"/>
          <w:szCs w:val="24"/>
        </w:rPr>
        <w:t>kliniske sikkerhedsdata</w:t>
      </w:r>
    </w:p>
    <w:p w14:paraId="026C4369" w14:textId="77777777" w:rsidR="00040F2E" w:rsidRPr="00B50DD9" w:rsidRDefault="00040F2E" w:rsidP="00040F2E">
      <w:pPr>
        <w:ind w:left="851"/>
        <w:rPr>
          <w:color w:val="000000"/>
          <w:sz w:val="24"/>
          <w:szCs w:val="24"/>
        </w:rPr>
      </w:pPr>
      <w:r w:rsidRPr="00B50DD9">
        <w:rPr>
          <w:color w:val="000000"/>
          <w:sz w:val="24"/>
          <w:szCs w:val="24"/>
        </w:rPr>
        <w:t xml:space="preserve">Der sås ingen evidens for genotoksicitet i en række </w:t>
      </w:r>
      <w:r w:rsidRPr="00B50DD9">
        <w:rPr>
          <w:i/>
          <w:color w:val="000000"/>
          <w:sz w:val="24"/>
          <w:szCs w:val="24"/>
        </w:rPr>
        <w:t>in vitro</w:t>
      </w:r>
      <w:r w:rsidRPr="00B50DD9">
        <w:rPr>
          <w:color w:val="000000"/>
          <w:sz w:val="24"/>
          <w:szCs w:val="24"/>
        </w:rPr>
        <w:t xml:space="preserve"> og </w:t>
      </w:r>
      <w:r w:rsidRPr="00B50DD9">
        <w:rPr>
          <w:i/>
          <w:color w:val="000000"/>
          <w:sz w:val="24"/>
          <w:szCs w:val="24"/>
        </w:rPr>
        <w:t>in vivo</w:t>
      </w:r>
      <w:r w:rsidRPr="00B50DD9">
        <w:rPr>
          <w:color w:val="000000"/>
          <w:sz w:val="24"/>
          <w:szCs w:val="24"/>
        </w:rPr>
        <w:t xml:space="preserve"> genotoksicitetsstudier I laboratorieforsøg med dyr sås der efter en klinisk relevant eksponering følgende bivirkninger, der endnu ikke er blevet bekræftet i kliniske langtidsforsøg.</w:t>
      </w:r>
    </w:p>
    <w:p w14:paraId="0E62CD98" w14:textId="77777777" w:rsidR="00040F2E" w:rsidRPr="00B50DD9" w:rsidRDefault="00040F2E" w:rsidP="00040F2E">
      <w:pPr>
        <w:rPr>
          <w:color w:val="000000"/>
          <w:sz w:val="24"/>
          <w:szCs w:val="24"/>
        </w:rPr>
      </w:pPr>
    </w:p>
    <w:p w14:paraId="7F75E768" w14:textId="77777777" w:rsidR="00040F2E" w:rsidRDefault="00040F2E" w:rsidP="00040F2E">
      <w:pPr>
        <w:ind w:left="851"/>
        <w:rPr>
          <w:sz w:val="24"/>
          <w:szCs w:val="24"/>
        </w:rPr>
      </w:pPr>
      <w:r>
        <w:rPr>
          <w:color w:val="000000"/>
          <w:sz w:val="24"/>
          <w:szCs w:val="24"/>
        </w:rPr>
        <w:t>Hos rotter er der observeret pigmentaflejringer i skjoldbruskkirtlen. Hos cynomolgus-aber er der observeret hypertrofi af skjoldbruskkirtlens follikelceller, en nedsættelse af T</w:t>
      </w:r>
      <w:r>
        <w:rPr>
          <w:color w:val="000000"/>
          <w:sz w:val="24"/>
          <w:szCs w:val="24"/>
          <w:vertAlign w:val="subscript"/>
        </w:rPr>
        <w:t>3</w:t>
      </w:r>
      <w:r>
        <w:rPr>
          <w:color w:val="000000"/>
          <w:sz w:val="24"/>
          <w:szCs w:val="24"/>
        </w:rPr>
        <w:t xml:space="preserve">-plasmaniveauet, fald i hæmoglobinkoncentrationen samt et fald i antallet af røde og hvide blodceller. Der er observeret linseuklarheder og katarakt hos hunde </w:t>
      </w:r>
      <w:r>
        <w:rPr>
          <w:sz w:val="24"/>
          <w:szCs w:val="24"/>
        </w:rPr>
        <w:t>(s</w:t>
      </w:r>
      <w:r>
        <w:rPr>
          <w:sz w:val="24"/>
        </w:rPr>
        <w:t>e pkt. 5.1 vedrørende katarakt/linseuklarheder).</w:t>
      </w:r>
      <w:r>
        <w:rPr>
          <w:sz w:val="24"/>
          <w:szCs w:val="24"/>
        </w:rPr>
        <w:t xml:space="preserve"> </w:t>
      </w:r>
    </w:p>
    <w:p w14:paraId="693B718C" w14:textId="77777777" w:rsidR="00040F2E" w:rsidRDefault="00040F2E" w:rsidP="00040F2E">
      <w:pPr>
        <w:ind w:left="851"/>
        <w:rPr>
          <w:sz w:val="24"/>
          <w:szCs w:val="24"/>
        </w:rPr>
      </w:pPr>
    </w:p>
    <w:p w14:paraId="287FEFF0" w14:textId="77777777" w:rsidR="00040F2E" w:rsidRDefault="00040F2E" w:rsidP="00040F2E">
      <w:pPr>
        <w:ind w:left="851"/>
        <w:rPr>
          <w:sz w:val="24"/>
          <w:szCs w:val="24"/>
        </w:rPr>
      </w:pPr>
      <w:r>
        <w:rPr>
          <w:sz w:val="24"/>
          <w:szCs w:val="24"/>
        </w:rPr>
        <w:t>I et embryoføtal toksicitetsstudie hos kaniner var den føtale incidens af carpal/tarsal bøjning øget. Denne virkning forekom i tilfælde af tydelige maternelle påvirkninger, som f.eks. reduceret vægtøgning. Disse påvirkninger var tydelige ved maternelle ekspositionsniveauer, der svarede til eller var lidt højere end niveauerne hos mennesker ved maksimal terapeutisk dosis. Relevansen af disse fund for mennesker er ukendt.</w:t>
      </w:r>
    </w:p>
    <w:p w14:paraId="4F248920" w14:textId="77777777" w:rsidR="00040F2E" w:rsidRDefault="00040F2E" w:rsidP="00040F2E">
      <w:pPr>
        <w:ind w:left="851"/>
        <w:rPr>
          <w:sz w:val="24"/>
          <w:szCs w:val="24"/>
        </w:rPr>
      </w:pPr>
    </w:p>
    <w:p w14:paraId="47AD80A5" w14:textId="77777777" w:rsidR="00040F2E" w:rsidRDefault="00040F2E" w:rsidP="00040F2E">
      <w:pPr>
        <w:ind w:left="851"/>
        <w:rPr>
          <w:color w:val="000000"/>
          <w:sz w:val="24"/>
          <w:szCs w:val="24"/>
        </w:rPr>
      </w:pPr>
      <w:r>
        <w:rPr>
          <w:sz w:val="24"/>
          <w:szCs w:val="24"/>
        </w:rPr>
        <w:lastRenderedPageBreak/>
        <w:t>I et fertilitetsstudie hos rotter så man marginal reduktion i fertilitet hos hanrotter og pseudodrægtighed, langvarige perioder med diestrus, øget precoital interval og nedsat drægtighedsrate. Disse virkninger er relateret til forhøjet prolaktinniveauer og ikke direkte relevant for mennesker på grund af artsforskelle i den hormonelle reproduktionskontrol</w:t>
      </w:r>
      <w:r>
        <w:rPr>
          <w:color w:val="000000"/>
          <w:sz w:val="24"/>
          <w:szCs w:val="24"/>
        </w:rPr>
        <w:t>.</w:t>
      </w:r>
    </w:p>
    <w:p w14:paraId="662D029F" w14:textId="77777777" w:rsidR="00040F2E" w:rsidRDefault="00040F2E" w:rsidP="00040F2E">
      <w:pPr>
        <w:jc w:val="both"/>
        <w:rPr>
          <w:color w:val="000000"/>
          <w:sz w:val="24"/>
          <w:szCs w:val="24"/>
        </w:rPr>
      </w:pPr>
    </w:p>
    <w:p w14:paraId="67CA6EF1" w14:textId="77777777" w:rsidR="00040F2E" w:rsidRPr="00B50DD9" w:rsidRDefault="00040F2E" w:rsidP="00040F2E">
      <w:pPr>
        <w:jc w:val="both"/>
        <w:rPr>
          <w:color w:val="000000"/>
          <w:sz w:val="24"/>
          <w:szCs w:val="24"/>
        </w:rPr>
      </w:pPr>
    </w:p>
    <w:p w14:paraId="5C0F03F1"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6. </w:t>
      </w:r>
      <w:r w:rsidRPr="00B50DD9">
        <w:rPr>
          <w:b/>
          <w:bCs/>
          <w:sz w:val="24"/>
          <w:szCs w:val="24"/>
          <w:lang w:eastAsia="en-GB"/>
        </w:rPr>
        <w:tab/>
        <w:t>FARMACEUTISKE OPLYSNINGER</w:t>
      </w:r>
    </w:p>
    <w:p w14:paraId="47172013" w14:textId="77777777" w:rsidR="00040F2E" w:rsidRPr="00B50DD9" w:rsidRDefault="00040F2E" w:rsidP="00040F2E">
      <w:pPr>
        <w:autoSpaceDE w:val="0"/>
        <w:autoSpaceDN w:val="0"/>
        <w:adjustRightInd w:val="0"/>
        <w:rPr>
          <w:b/>
          <w:bCs/>
          <w:sz w:val="24"/>
          <w:szCs w:val="24"/>
          <w:lang w:eastAsia="en-GB"/>
        </w:rPr>
      </w:pPr>
    </w:p>
    <w:p w14:paraId="5D36457A"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6.1 </w:t>
      </w:r>
      <w:r w:rsidRPr="00B50DD9">
        <w:rPr>
          <w:b/>
          <w:bCs/>
          <w:sz w:val="24"/>
          <w:szCs w:val="24"/>
          <w:lang w:eastAsia="en-GB"/>
        </w:rPr>
        <w:tab/>
        <w:t>Hjælpestoffer</w:t>
      </w:r>
    </w:p>
    <w:p w14:paraId="06144B97" w14:textId="77777777" w:rsidR="00040F2E" w:rsidRPr="00B50DD9" w:rsidRDefault="00040F2E" w:rsidP="00AD211C">
      <w:pPr>
        <w:autoSpaceDE w:val="0"/>
        <w:autoSpaceDN w:val="0"/>
        <w:adjustRightInd w:val="0"/>
        <w:ind w:left="851"/>
        <w:rPr>
          <w:sz w:val="24"/>
          <w:szCs w:val="24"/>
          <w:lang w:eastAsia="en-GB"/>
        </w:rPr>
      </w:pPr>
    </w:p>
    <w:p w14:paraId="28C12DE2" w14:textId="6780915B" w:rsidR="00AD211C" w:rsidRPr="00AD211C" w:rsidRDefault="00AD211C" w:rsidP="00040F2E">
      <w:pPr>
        <w:autoSpaceDE w:val="0"/>
        <w:autoSpaceDN w:val="0"/>
        <w:adjustRightInd w:val="0"/>
        <w:ind w:left="851"/>
        <w:rPr>
          <w:sz w:val="24"/>
          <w:szCs w:val="24"/>
          <w:u w:val="single"/>
          <w:lang w:eastAsia="en-GB"/>
        </w:rPr>
      </w:pPr>
      <w:r w:rsidRPr="00AD211C">
        <w:rPr>
          <w:sz w:val="24"/>
          <w:szCs w:val="24"/>
          <w:u w:val="single"/>
          <w:lang w:eastAsia="en-GB"/>
        </w:rPr>
        <w:t>Tabletkerne</w:t>
      </w:r>
    </w:p>
    <w:p w14:paraId="53A49368" w14:textId="03492947" w:rsidR="00040F2E" w:rsidRPr="00B50DD9" w:rsidRDefault="00040F2E" w:rsidP="00040F2E">
      <w:pPr>
        <w:autoSpaceDE w:val="0"/>
        <w:autoSpaceDN w:val="0"/>
        <w:adjustRightInd w:val="0"/>
        <w:ind w:left="851"/>
        <w:rPr>
          <w:sz w:val="24"/>
          <w:szCs w:val="24"/>
          <w:lang w:eastAsia="en-GB"/>
        </w:rPr>
      </w:pPr>
      <w:r w:rsidRPr="00B50DD9">
        <w:rPr>
          <w:sz w:val="24"/>
          <w:szCs w:val="24"/>
          <w:lang w:eastAsia="en-GB"/>
        </w:rPr>
        <w:t>Lactosemonohydrat</w:t>
      </w:r>
    </w:p>
    <w:p w14:paraId="6BB7D56B" w14:textId="77777777" w:rsidR="00040F2E" w:rsidRPr="00B50DD9" w:rsidRDefault="00040F2E" w:rsidP="00040F2E">
      <w:pPr>
        <w:autoSpaceDE w:val="0"/>
        <w:autoSpaceDN w:val="0"/>
        <w:adjustRightInd w:val="0"/>
        <w:ind w:left="851"/>
        <w:rPr>
          <w:sz w:val="24"/>
          <w:szCs w:val="24"/>
          <w:lang w:eastAsia="en-GB"/>
        </w:rPr>
      </w:pPr>
      <w:r w:rsidRPr="00B50DD9">
        <w:rPr>
          <w:sz w:val="24"/>
          <w:szCs w:val="24"/>
        </w:rPr>
        <w:t>Natriumstivelsesglycolat</w:t>
      </w:r>
      <w:r w:rsidRPr="00B50DD9">
        <w:rPr>
          <w:sz w:val="24"/>
          <w:szCs w:val="24"/>
          <w:lang w:eastAsia="en-GB"/>
        </w:rPr>
        <w:t xml:space="preserve"> (type A)</w:t>
      </w:r>
    </w:p>
    <w:p w14:paraId="06836582" w14:textId="77777777" w:rsidR="00040F2E" w:rsidRPr="00B50DD9" w:rsidRDefault="00040F2E" w:rsidP="00040F2E">
      <w:pPr>
        <w:autoSpaceDE w:val="0"/>
        <w:autoSpaceDN w:val="0"/>
        <w:adjustRightInd w:val="0"/>
        <w:ind w:left="851"/>
        <w:rPr>
          <w:sz w:val="24"/>
          <w:szCs w:val="24"/>
          <w:lang w:eastAsia="en-GB"/>
        </w:rPr>
      </w:pPr>
      <w:r w:rsidRPr="00B50DD9">
        <w:rPr>
          <w:sz w:val="24"/>
          <w:szCs w:val="24"/>
          <w:lang w:eastAsia="en-GB"/>
        </w:rPr>
        <w:t>Calciumhydrogenphosphatdihydrat</w:t>
      </w:r>
    </w:p>
    <w:p w14:paraId="79D9D49C" w14:textId="77777777" w:rsidR="00040F2E" w:rsidRPr="00B50DD9" w:rsidRDefault="00040F2E" w:rsidP="00040F2E">
      <w:pPr>
        <w:autoSpaceDE w:val="0"/>
        <w:autoSpaceDN w:val="0"/>
        <w:adjustRightInd w:val="0"/>
        <w:ind w:left="851"/>
        <w:rPr>
          <w:sz w:val="24"/>
          <w:szCs w:val="24"/>
          <w:lang w:eastAsia="en-GB"/>
        </w:rPr>
      </w:pPr>
      <w:r w:rsidRPr="00B50DD9">
        <w:rPr>
          <w:sz w:val="24"/>
          <w:szCs w:val="24"/>
          <w:lang w:eastAsia="en-GB"/>
        </w:rPr>
        <w:t>Povidon K 30</w:t>
      </w:r>
    </w:p>
    <w:p w14:paraId="34BE6134" w14:textId="77777777" w:rsidR="00040F2E" w:rsidRPr="00B50DD9" w:rsidRDefault="00040F2E" w:rsidP="00040F2E">
      <w:pPr>
        <w:autoSpaceDE w:val="0"/>
        <w:autoSpaceDN w:val="0"/>
        <w:adjustRightInd w:val="0"/>
        <w:ind w:left="851"/>
        <w:rPr>
          <w:sz w:val="24"/>
          <w:szCs w:val="24"/>
          <w:lang w:eastAsia="en-GB"/>
        </w:rPr>
      </w:pPr>
      <w:r w:rsidRPr="00B50DD9">
        <w:rPr>
          <w:sz w:val="24"/>
          <w:szCs w:val="24"/>
          <w:lang w:eastAsia="en-GB"/>
        </w:rPr>
        <w:t>Mikrokrystallinsk cellulose (PH 102)</w:t>
      </w:r>
    </w:p>
    <w:p w14:paraId="06A3DD8A" w14:textId="4525F553" w:rsidR="00040F2E" w:rsidRDefault="00040F2E" w:rsidP="00040F2E">
      <w:pPr>
        <w:autoSpaceDE w:val="0"/>
        <w:autoSpaceDN w:val="0"/>
        <w:adjustRightInd w:val="0"/>
        <w:ind w:left="851"/>
        <w:rPr>
          <w:sz w:val="24"/>
          <w:szCs w:val="24"/>
          <w:lang w:eastAsia="en-GB"/>
        </w:rPr>
      </w:pPr>
      <w:r w:rsidRPr="00B50DD9">
        <w:rPr>
          <w:sz w:val="24"/>
          <w:szCs w:val="24"/>
          <w:lang w:eastAsia="en-GB"/>
        </w:rPr>
        <w:t>Magnesiumstearat</w:t>
      </w:r>
    </w:p>
    <w:p w14:paraId="5C41405A" w14:textId="77777777" w:rsidR="00AD211C" w:rsidRPr="00B50DD9" w:rsidRDefault="00AD211C" w:rsidP="00040F2E">
      <w:pPr>
        <w:autoSpaceDE w:val="0"/>
        <w:autoSpaceDN w:val="0"/>
        <w:adjustRightInd w:val="0"/>
        <w:ind w:left="851"/>
        <w:rPr>
          <w:strike/>
          <w:color w:val="FF0000"/>
          <w:sz w:val="24"/>
          <w:szCs w:val="24"/>
          <w:lang w:eastAsia="en-GB"/>
        </w:rPr>
      </w:pPr>
    </w:p>
    <w:p w14:paraId="57769BD9" w14:textId="37E937D5" w:rsidR="00040F2E" w:rsidRDefault="00040F2E" w:rsidP="00040F2E">
      <w:pPr>
        <w:autoSpaceDE w:val="0"/>
        <w:autoSpaceDN w:val="0"/>
        <w:adjustRightInd w:val="0"/>
        <w:ind w:left="851"/>
        <w:rPr>
          <w:sz w:val="24"/>
          <w:szCs w:val="24"/>
          <w:u w:val="single"/>
          <w:lang w:eastAsia="en-GB"/>
        </w:rPr>
      </w:pPr>
      <w:r w:rsidRPr="00AD211C">
        <w:rPr>
          <w:sz w:val="24"/>
          <w:szCs w:val="24"/>
          <w:u w:val="single"/>
          <w:lang w:eastAsia="en-GB"/>
        </w:rPr>
        <w:t>Filmovertræk</w:t>
      </w:r>
    </w:p>
    <w:p w14:paraId="090FA5C6" w14:textId="77777777" w:rsidR="00AD211C" w:rsidRPr="00AD211C" w:rsidRDefault="00AD211C" w:rsidP="00040F2E">
      <w:pPr>
        <w:autoSpaceDE w:val="0"/>
        <w:autoSpaceDN w:val="0"/>
        <w:adjustRightInd w:val="0"/>
        <w:ind w:left="851"/>
        <w:rPr>
          <w:sz w:val="24"/>
          <w:szCs w:val="24"/>
          <w:lang w:eastAsia="en-GB"/>
        </w:rPr>
      </w:pPr>
    </w:p>
    <w:p w14:paraId="7C45ADD1" w14:textId="20055731" w:rsidR="00040F2E" w:rsidRPr="00AD211C" w:rsidRDefault="00040F2E" w:rsidP="00040F2E">
      <w:pPr>
        <w:autoSpaceDE w:val="0"/>
        <w:autoSpaceDN w:val="0"/>
        <w:adjustRightInd w:val="0"/>
        <w:ind w:left="851"/>
        <w:rPr>
          <w:i/>
          <w:sz w:val="24"/>
          <w:szCs w:val="24"/>
          <w:lang w:eastAsia="en-GB"/>
        </w:rPr>
      </w:pPr>
      <w:r w:rsidRPr="00AD211C">
        <w:rPr>
          <w:i/>
          <w:sz w:val="24"/>
          <w:szCs w:val="24"/>
          <w:lang w:eastAsia="en-GB"/>
        </w:rPr>
        <w:t>25 mg</w:t>
      </w:r>
    </w:p>
    <w:p w14:paraId="182A30E6" w14:textId="77777777" w:rsidR="00040F2E" w:rsidRPr="00B50DD9" w:rsidRDefault="00040F2E" w:rsidP="00040F2E">
      <w:pPr>
        <w:autoSpaceDE w:val="0"/>
        <w:autoSpaceDN w:val="0"/>
        <w:adjustRightInd w:val="0"/>
        <w:ind w:left="851"/>
        <w:rPr>
          <w:sz w:val="24"/>
          <w:szCs w:val="24"/>
          <w:lang w:eastAsia="en-GB"/>
        </w:rPr>
      </w:pPr>
      <w:r w:rsidRPr="00B50DD9">
        <w:rPr>
          <w:sz w:val="24"/>
          <w:szCs w:val="24"/>
          <w:lang w:eastAsia="en-GB"/>
        </w:rPr>
        <w:t xml:space="preserve">Hypromellose 6cP </w:t>
      </w:r>
    </w:p>
    <w:p w14:paraId="25A2B8B4" w14:textId="77777777" w:rsidR="00040F2E" w:rsidRPr="00B50DD9" w:rsidRDefault="00040F2E" w:rsidP="00040F2E">
      <w:pPr>
        <w:autoSpaceDE w:val="0"/>
        <w:autoSpaceDN w:val="0"/>
        <w:adjustRightInd w:val="0"/>
        <w:ind w:left="851"/>
        <w:rPr>
          <w:sz w:val="24"/>
          <w:szCs w:val="24"/>
          <w:lang w:eastAsia="en-GB"/>
        </w:rPr>
      </w:pPr>
      <w:r w:rsidRPr="00B50DD9">
        <w:rPr>
          <w:sz w:val="24"/>
          <w:szCs w:val="24"/>
          <w:lang w:eastAsia="en-GB"/>
        </w:rPr>
        <w:t xml:space="preserve">Titandioxid </w:t>
      </w:r>
    </w:p>
    <w:p w14:paraId="6E94A05D" w14:textId="77777777" w:rsidR="00040F2E" w:rsidRPr="00B50DD9" w:rsidRDefault="00040F2E" w:rsidP="00040F2E">
      <w:pPr>
        <w:autoSpaceDE w:val="0"/>
        <w:autoSpaceDN w:val="0"/>
        <w:adjustRightInd w:val="0"/>
        <w:ind w:left="851"/>
        <w:rPr>
          <w:sz w:val="24"/>
          <w:szCs w:val="24"/>
          <w:lang w:eastAsia="en-GB"/>
        </w:rPr>
      </w:pPr>
      <w:r w:rsidRPr="00B50DD9">
        <w:rPr>
          <w:sz w:val="24"/>
          <w:szCs w:val="24"/>
          <w:lang w:eastAsia="en-GB"/>
        </w:rPr>
        <w:t>Macrogol 400</w:t>
      </w:r>
    </w:p>
    <w:p w14:paraId="56D8FADB" w14:textId="77777777" w:rsidR="00040F2E" w:rsidRPr="00B50DD9" w:rsidRDefault="00040F2E" w:rsidP="00040F2E">
      <w:pPr>
        <w:autoSpaceDE w:val="0"/>
        <w:autoSpaceDN w:val="0"/>
        <w:adjustRightInd w:val="0"/>
        <w:ind w:left="851"/>
        <w:rPr>
          <w:sz w:val="24"/>
          <w:szCs w:val="24"/>
          <w:lang w:eastAsia="en-GB"/>
        </w:rPr>
      </w:pPr>
      <w:r w:rsidRPr="00B50DD9">
        <w:rPr>
          <w:sz w:val="24"/>
          <w:szCs w:val="24"/>
          <w:lang w:eastAsia="en-GB"/>
        </w:rPr>
        <w:t xml:space="preserve">Gul jernoxid </w:t>
      </w:r>
    </w:p>
    <w:p w14:paraId="5D1C9320" w14:textId="77777777" w:rsidR="00040F2E" w:rsidRPr="00B50DD9" w:rsidRDefault="00040F2E" w:rsidP="00040F2E">
      <w:pPr>
        <w:autoSpaceDE w:val="0"/>
        <w:autoSpaceDN w:val="0"/>
        <w:adjustRightInd w:val="0"/>
        <w:ind w:left="851"/>
        <w:rPr>
          <w:sz w:val="24"/>
          <w:szCs w:val="24"/>
          <w:lang w:eastAsia="en-GB"/>
        </w:rPr>
      </w:pPr>
      <w:r w:rsidRPr="00B50DD9">
        <w:rPr>
          <w:sz w:val="24"/>
          <w:szCs w:val="24"/>
          <w:lang w:eastAsia="en-GB"/>
        </w:rPr>
        <w:t xml:space="preserve">Rød jernoxid </w:t>
      </w:r>
    </w:p>
    <w:p w14:paraId="2C451E39" w14:textId="240D8B33" w:rsidR="00040F2E" w:rsidRDefault="00040F2E" w:rsidP="00040F2E">
      <w:pPr>
        <w:autoSpaceDE w:val="0"/>
        <w:autoSpaceDN w:val="0"/>
        <w:adjustRightInd w:val="0"/>
        <w:ind w:left="851"/>
        <w:rPr>
          <w:sz w:val="24"/>
          <w:szCs w:val="24"/>
          <w:lang w:eastAsia="en-GB"/>
        </w:rPr>
      </w:pPr>
    </w:p>
    <w:p w14:paraId="0138913D" w14:textId="3188D2B2" w:rsidR="00AD211C" w:rsidRPr="00284B08" w:rsidRDefault="00AD211C" w:rsidP="00AD211C">
      <w:pPr>
        <w:autoSpaceDE w:val="0"/>
        <w:autoSpaceDN w:val="0"/>
        <w:adjustRightInd w:val="0"/>
        <w:ind w:left="851"/>
        <w:rPr>
          <w:i/>
          <w:sz w:val="24"/>
          <w:szCs w:val="24"/>
          <w:lang w:val="en-US" w:eastAsia="en-GB"/>
        </w:rPr>
      </w:pPr>
      <w:r w:rsidRPr="00284B08">
        <w:rPr>
          <w:i/>
          <w:sz w:val="24"/>
          <w:szCs w:val="24"/>
          <w:lang w:val="en-US" w:eastAsia="en-GB"/>
        </w:rPr>
        <w:t>50 mg</w:t>
      </w:r>
    </w:p>
    <w:p w14:paraId="72288CA7" w14:textId="77777777" w:rsidR="00AD211C" w:rsidRPr="00284B08" w:rsidRDefault="00AD211C" w:rsidP="00AD211C">
      <w:pPr>
        <w:autoSpaceDE w:val="0"/>
        <w:autoSpaceDN w:val="0"/>
        <w:adjustRightInd w:val="0"/>
        <w:ind w:left="851"/>
        <w:rPr>
          <w:sz w:val="24"/>
          <w:szCs w:val="24"/>
          <w:lang w:val="en-US" w:eastAsia="en-GB"/>
        </w:rPr>
      </w:pPr>
      <w:r w:rsidRPr="00284B08">
        <w:rPr>
          <w:sz w:val="24"/>
          <w:szCs w:val="24"/>
          <w:lang w:val="en-US" w:eastAsia="en-GB"/>
        </w:rPr>
        <w:t xml:space="preserve">Hypromellose (E464) </w:t>
      </w:r>
    </w:p>
    <w:p w14:paraId="18A8C50D" w14:textId="77777777" w:rsidR="00AD211C" w:rsidRPr="00284B08" w:rsidRDefault="00AD211C" w:rsidP="00AD211C">
      <w:pPr>
        <w:autoSpaceDE w:val="0"/>
        <w:autoSpaceDN w:val="0"/>
        <w:adjustRightInd w:val="0"/>
        <w:ind w:left="851"/>
        <w:rPr>
          <w:sz w:val="24"/>
          <w:szCs w:val="24"/>
          <w:lang w:val="en-US" w:eastAsia="en-GB"/>
        </w:rPr>
      </w:pPr>
      <w:r w:rsidRPr="00284B08">
        <w:rPr>
          <w:sz w:val="24"/>
          <w:szCs w:val="24"/>
          <w:lang w:val="en-US" w:eastAsia="en-GB"/>
        </w:rPr>
        <w:t>Titandioxid (E171)</w:t>
      </w:r>
    </w:p>
    <w:p w14:paraId="1D9C55C6" w14:textId="77777777" w:rsidR="00AD211C" w:rsidRPr="00AD211C" w:rsidRDefault="00AD211C" w:rsidP="00AD211C">
      <w:pPr>
        <w:autoSpaceDE w:val="0"/>
        <w:autoSpaceDN w:val="0"/>
        <w:adjustRightInd w:val="0"/>
        <w:ind w:left="851"/>
        <w:rPr>
          <w:sz w:val="24"/>
          <w:szCs w:val="24"/>
          <w:lang w:val="de-DE" w:eastAsia="en-GB"/>
        </w:rPr>
      </w:pPr>
      <w:r w:rsidRPr="00AD211C">
        <w:rPr>
          <w:sz w:val="24"/>
          <w:szCs w:val="24"/>
          <w:lang w:val="de-DE" w:eastAsia="en-GB"/>
        </w:rPr>
        <w:t xml:space="preserve">Macrogol (E1521) </w:t>
      </w:r>
    </w:p>
    <w:p w14:paraId="34D67463" w14:textId="77777777" w:rsidR="00AD211C" w:rsidRPr="00284B08" w:rsidRDefault="00AD211C" w:rsidP="00040F2E">
      <w:pPr>
        <w:autoSpaceDE w:val="0"/>
        <w:autoSpaceDN w:val="0"/>
        <w:adjustRightInd w:val="0"/>
        <w:ind w:left="851"/>
        <w:rPr>
          <w:sz w:val="24"/>
          <w:szCs w:val="24"/>
          <w:lang w:val="en-US" w:eastAsia="en-GB"/>
        </w:rPr>
      </w:pPr>
    </w:p>
    <w:p w14:paraId="72A54440" w14:textId="1BBDCB2A" w:rsidR="00040F2E" w:rsidRPr="00AD211C" w:rsidRDefault="00040F2E" w:rsidP="00040F2E">
      <w:pPr>
        <w:autoSpaceDE w:val="0"/>
        <w:autoSpaceDN w:val="0"/>
        <w:adjustRightInd w:val="0"/>
        <w:ind w:left="851"/>
        <w:rPr>
          <w:i/>
          <w:sz w:val="24"/>
          <w:szCs w:val="24"/>
          <w:lang w:val="en-US" w:eastAsia="en-GB"/>
        </w:rPr>
      </w:pPr>
      <w:r w:rsidRPr="00AD211C">
        <w:rPr>
          <w:i/>
          <w:sz w:val="24"/>
          <w:szCs w:val="24"/>
          <w:lang w:val="en-US" w:eastAsia="en-GB"/>
        </w:rPr>
        <w:t>100 mg</w:t>
      </w:r>
    </w:p>
    <w:p w14:paraId="49383965" w14:textId="77777777" w:rsidR="00040F2E" w:rsidRPr="00B50DD9" w:rsidRDefault="00040F2E" w:rsidP="00040F2E">
      <w:pPr>
        <w:autoSpaceDE w:val="0"/>
        <w:autoSpaceDN w:val="0"/>
        <w:adjustRightInd w:val="0"/>
        <w:ind w:left="851"/>
        <w:rPr>
          <w:sz w:val="24"/>
          <w:szCs w:val="24"/>
          <w:lang w:val="en-US" w:eastAsia="en-GB"/>
        </w:rPr>
      </w:pPr>
      <w:r w:rsidRPr="00B50DD9">
        <w:rPr>
          <w:sz w:val="24"/>
          <w:szCs w:val="24"/>
          <w:lang w:val="en-US" w:eastAsia="en-GB"/>
        </w:rPr>
        <w:t xml:space="preserve">Hypromellose 6cP </w:t>
      </w:r>
    </w:p>
    <w:p w14:paraId="0CFEB222" w14:textId="77777777" w:rsidR="00040F2E" w:rsidRPr="00B50DD9" w:rsidRDefault="00040F2E" w:rsidP="00040F2E">
      <w:pPr>
        <w:autoSpaceDE w:val="0"/>
        <w:autoSpaceDN w:val="0"/>
        <w:adjustRightInd w:val="0"/>
        <w:ind w:left="851"/>
        <w:rPr>
          <w:sz w:val="24"/>
          <w:szCs w:val="24"/>
          <w:lang w:val="en-US" w:eastAsia="en-GB"/>
        </w:rPr>
      </w:pPr>
      <w:r w:rsidRPr="00B50DD9">
        <w:rPr>
          <w:sz w:val="24"/>
          <w:szCs w:val="24"/>
          <w:lang w:val="en-US" w:eastAsia="en-GB"/>
        </w:rPr>
        <w:t xml:space="preserve">Titandioxid </w:t>
      </w:r>
    </w:p>
    <w:p w14:paraId="22047F0C" w14:textId="77777777" w:rsidR="00040F2E" w:rsidRPr="00B50DD9" w:rsidRDefault="00040F2E" w:rsidP="00040F2E">
      <w:pPr>
        <w:autoSpaceDE w:val="0"/>
        <w:autoSpaceDN w:val="0"/>
        <w:adjustRightInd w:val="0"/>
        <w:ind w:left="851"/>
        <w:rPr>
          <w:sz w:val="24"/>
          <w:szCs w:val="24"/>
          <w:lang w:val="en-US" w:eastAsia="en-GB"/>
        </w:rPr>
      </w:pPr>
      <w:r w:rsidRPr="00B50DD9">
        <w:rPr>
          <w:sz w:val="24"/>
          <w:szCs w:val="24"/>
          <w:lang w:val="en-US" w:eastAsia="en-GB"/>
        </w:rPr>
        <w:t xml:space="preserve">Macrogol 400 </w:t>
      </w:r>
    </w:p>
    <w:p w14:paraId="218AA7C8" w14:textId="77777777" w:rsidR="00040F2E" w:rsidRPr="00B50DD9" w:rsidRDefault="00040F2E" w:rsidP="00040F2E">
      <w:pPr>
        <w:autoSpaceDE w:val="0"/>
        <w:autoSpaceDN w:val="0"/>
        <w:adjustRightInd w:val="0"/>
        <w:ind w:left="851"/>
        <w:rPr>
          <w:sz w:val="24"/>
          <w:szCs w:val="24"/>
          <w:lang w:val="en-US" w:eastAsia="en-GB"/>
        </w:rPr>
      </w:pPr>
      <w:r w:rsidRPr="00B50DD9">
        <w:rPr>
          <w:sz w:val="24"/>
          <w:szCs w:val="24"/>
          <w:lang w:val="en-US" w:eastAsia="en-GB"/>
        </w:rPr>
        <w:t xml:space="preserve">Gul jernoxid </w:t>
      </w:r>
    </w:p>
    <w:p w14:paraId="5F5374E0" w14:textId="77777777" w:rsidR="00040F2E" w:rsidRPr="00B50DD9" w:rsidRDefault="00040F2E" w:rsidP="00040F2E">
      <w:pPr>
        <w:autoSpaceDE w:val="0"/>
        <w:autoSpaceDN w:val="0"/>
        <w:adjustRightInd w:val="0"/>
        <w:ind w:left="851"/>
        <w:rPr>
          <w:sz w:val="24"/>
          <w:szCs w:val="24"/>
          <w:lang w:val="en-US" w:eastAsia="en-GB"/>
        </w:rPr>
      </w:pPr>
    </w:p>
    <w:p w14:paraId="1FB7B1AF" w14:textId="06CBCD71" w:rsidR="00040F2E" w:rsidRPr="00AD211C" w:rsidRDefault="00040F2E" w:rsidP="00040F2E">
      <w:pPr>
        <w:autoSpaceDE w:val="0"/>
        <w:autoSpaceDN w:val="0"/>
        <w:adjustRightInd w:val="0"/>
        <w:ind w:left="851"/>
        <w:rPr>
          <w:i/>
          <w:sz w:val="24"/>
          <w:szCs w:val="24"/>
          <w:lang w:val="en-US" w:eastAsia="en-GB"/>
        </w:rPr>
      </w:pPr>
      <w:r w:rsidRPr="00AD211C">
        <w:rPr>
          <w:i/>
          <w:sz w:val="24"/>
          <w:szCs w:val="24"/>
          <w:lang w:val="en-US" w:eastAsia="en-GB"/>
        </w:rPr>
        <w:t>200 mg</w:t>
      </w:r>
    </w:p>
    <w:p w14:paraId="65284729" w14:textId="77777777" w:rsidR="00040F2E" w:rsidRPr="00B50DD9" w:rsidRDefault="00040F2E" w:rsidP="00040F2E">
      <w:pPr>
        <w:autoSpaceDE w:val="0"/>
        <w:autoSpaceDN w:val="0"/>
        <w:adjustRightInd w:val="0"/>
        <w:ind w:left="851"/>
        <w:rPr>
          <w:sz w:val="24"/>
          <w:szCs w:val="24"/>
          <w:lang w:val="en-US" w:eastAsia="en-GB"/>
        </w:rPr>
      </w:pPr>
      <w:r w:rsidRPr="00B50DD9">
        <w:rPr>
          <w:sz w:val="24"/>
          <w:szCs w:val="24"/>
          <w:lang w:val="en-US" w:eastAsia="en-GB"/>
        </w:rPr>
        <w:t>Hypromellose E-5</w:t>
      </w:r>
    </w:p>
    <w:p w14:paraId="553EDFC3" w14:textId="77777777" w:rsidR="00040F2E" w:rsidRPr="00B50DD9" w:rsidRDefault="00040F2E" w:rsidP="00040F2E">
      <w:pPr>
        <w:autoSpaceDE w:val="0"/>
        <w:autoSpaceDN w:val="0"/>
        <w:adjustRightInd w:val="0"/>
        <w:ind w:left="851"/>
        <w:rPr>
          <w:sz w:val="24"/>
          <w:szCs w:val="24"/>
          <w:lang w:val="en-US" w:eastAsia="en-GB"/>
        </w:rPr>
      </w:pPr>
      <w:r w:rsidRPr="00B50DD9">
        <w:rPr>
          <w:sz w:val="24"/>
          <w:szCs w:val="24"/>
          <w:lang w:val="en-US" w:eastAsia="en-GB"/>
        </w:rPr>
        <w:t xml:space="preserve">Macrogol 400 </w:t>
      </w:r>
    </w:p>
    <w:p w14:paraId="681B1CF2" w14:textId="77777777" w:rsidR="00040F2E" w:rsidRPr="00B50DD9" w:rsidRDefault="00040F2E" w:rsidP="00040F2E">
      <w:pPr>
        <w:autoSpaceDE w:val="0"/>
        <w:autoSpaceDN w:val="0"/>
        <w:adjustRightInd w:val="0"/>
        <w:ind w:left="851"/>
        <w:rPr>
          <w:sz w:val="24"/>
          <w:szCs w:val="24"/>
          <w:lang w:val="en-US" w:eastAsia="en-GB"/>
        </w:rPr>
      </w:pPr>
      <w:r w:rsidRPr="00B50DD9">
        <w:rPr>
          <w:sz w:val="24"/>
          <w:szCs w:val="24"/>
          <w:lang w:val="en-US" w:eastAsia="en-GB"/>
        </w:rPr>
        <w:t xml:space="preserve">Titandioxid </w:t>
      </w:r>
    </w:p>
    <w:p w14:paraId="73325956" w14:textId="77777777" w:rsidR="00040F2E" w:rsidRPr="00B50DD9" w:rsidRDefault="00040F2E" w:rsidP="00040F2E">
      <w:pPr>
        <w:autoSpaceDE w:val="0"/>
        <w:autoSpaceDN w:val="0"/>
        <w:adjustRightInd w:val="0"/>
        <w:ind w:left="851"/>
        <w:rPr>
          <w:sz w:val="24"/>
          <w:szCs w:val="24"/>
          <w:lang w:val="en-US" w:eastAsia="en-GB"/>
        </w:rPr>
      </w:pPr>
    </w:p>
    <w:p w14:paraId="6D9A27E2" w14:textId="385743AB" w:rsidR="00040F2E" w:rsidRPr="00AD211C" w:rsidRDefault="00040F2E" w:rsidP="00040F2E">
      <w:pPr>
        <w:autoSpaceDE w:val="0"/>
        <w:autoSpaceDN w:val="0"/>
        <w:adjustRightInd w:val="0"/>
        <w:ind w:left="851"/>
        <w:rPr>
          <w:i/>
          <w:sz w:val="24"/>
          <w:szCs w:val="24"/>
          <w:lang w:val="en-US" w:eastAsia="en-GB"/>
        </w:rPr>
      </w:pPr>
      <w:r w:rsidRPr="00AD211C">
        <w:rPr>
          <w:i/>
          <w:sz w:val="24"/>
          <w:szCs w:val="24"/>
          <w:lang w:val="en-US" w:eastAsia="en-GB"/>
        </w:rPr>
        <w:t>300 mg</w:t>
      </w:r>
    </w:p>
    <w:p w14:paraId="4DF8FBD1" w14:textId="77777777" w:rsidR="00040F2E" w:rsidRPr="0083682F" w:rsidRDefault="00040F2E" w:rsidP="00040F2E">
      <w:pPr>
        <w:autoSpaceDE w:val="0"/>
        <w:autoSpaceDN w:val="0"/>
        <w:adjustRightInd w:val="0"/>
        <w:ind w:left="851"/>
        <w:rPr>
          <w:sz w:val="24"/>
          <w:szCs w:val="24"/>
          <w:lang w:val="en-US" w:eastAsia="en-GB"/>
        </w:rPr>
      </w:pPr>
      <w:r w:rsidRPr="0083682F">
        <w:rPr>
          <w:sz w:val="24"/>
          <w:szCs w:val="24"/>
          <w:lang w:val="en-US" w:eastAsia="en-GB"/>
        </w:rPr>
        <w:t>Hypromellose E-5</w:t>
      </w:r>
    </w:p>
    <w:p w14:paraId="63E15E5C" w14:textId="77777777" w:rsidR="00040F2E" w:rsidRPr="0083682F" w:rsidRDefault="00040F2E" w:rsidP="00040F2E">
      <w:pPr>
        <w:autoSpaceDE w:val="0"/>
        <w:autoSpaceDN w:val="0"/>
        <w:adjustRightInd w:val="0"/>
        <w:ind w:left="851"/>
        <w:rPr>
          <w:sz w:val="24"/>
          <w:szCs w:val="24"/>
          <w:lang w:val="en-US" w:eastAsia="en-GB"/>
        </w:rPr>
      </w:pPr>
      <w:r w:rsidRPr="0083682F">
        <w:rPr>
          <w:sz w:val="24"/>
          <w:szCs w:val="24"/>
          <w:lang w:val="en-US" w:eastAsia="en-GB"/>
        </w:rPr>
        <w:t xml:space="preserve">Macrogol 400 </w:t>
      </w:r>
    </w:p>
    <w:p w14:paraId="57EDDCAB" w14:textId="67AF2662" w:rsidR="00040F2E" w:rsidRDefault="00040F2E" w:rsidP="00040F2E">
      <w:pPr>
        <w:autoSpaceDE w:val="0"/>
        <w:autoSpaceDN w:val="0"/>
        <w:adjustRightInd w:val="0"/>
        <w:ind w:left="851"/>
        <w:rPr>
          <w:sz w:val="24"/>
          <w:szCs w:val="24"/>
          <w:lang w:eastAsia="en-GB"/>
        </w:rPr>
      </w:pPr>
      <w:r w:rsidRPr="00B50DD9">
        <w:rPr>
          <w:sz w:val="24"/>
          <w:szCs w:val="24"/>
          <w:lang w:eastAsia="en-GB"/>
        </w:rPr>
        <w:t>Titandioxid</w:t>
      </w:r>
    </w:p>
    <w:p w14:paraId="4560739D" w14:textId="20402B19" w:rsidR="00AD211C" w:rsidRDefault="00AD211C" w:rsidP="00040F2E">
      <w:pPr>
        <w:autoSpaceDE w:val="0"/>
        <w:autoSpaceDN w:val="0"/>
        <w:adjustRightInd w:val="0"/>
        <w:ind w:left="851"/>
        <w:rPr>
          <w:sz w:val="24"/>
          <w:szCs w:val="24"/>
          <w:lang w:eastAsia="en-GB"/>
        </w:rPr>
      </w:pPr>
    </w:p>
    <w:p w14:paraId="58C2287C" w14:textId="2AF74DE9" w:rsidR="00AD211C" w:rsidRPr="00AD211C" w:rsidRDefault="00AD211C" w:rsidP="00040F2E">
      <w:pPr>
        <w:autoSpaceDE w:val="0"/>
        <w:autoSpaceDN w:val="0"/>
        <w:adjustRightInd w:val="0"/>
        <w:ind w:left="851"/>
        <w:rPr>
          <w:i/>
          <w:sz w:val="24"/>
          <w:szCs w:val="24"/>
          <w:lang w:eastAsia="en-GB"/>
        </w:rPr>
      </w:pPr>
      <w:r w:rsidRPr="00AD211C">
        <w:rPr>
          <w:i/>
          <w:sz w:val="24"/>
          <w:szCs w:val="24"/>
          <w:lang w:eastAsia="en-GB"/>
        </w:rPr>
        <w:t>400 mg</w:t>
      </w:r>
    </w:p>
    <w:p w14:paraId="0642B7AB" w14:textId="77777777" w:rsidR="00AD211C" w:rsidRPr="00AD211C" w:rsidRDefault="00AD211C" w:rsidP="00AD211C">
      <w:pPr>
        <w:autoSpaceDE w:val="0"/>
        <w:autoSpaceDN w:val="0"/>
        <w:adjustRightInd w:val="0"/>
        <w:ind w:left="851"/>
        <w:rPr>
          <w:sz w:val="24"/>
          <w:szCs w:val="24"/>
          <w:lang w:val="de-DE" w:eastAsia="en-GB"/>
        </w:rPr>
      </w:pPr>
      <w:r w:rsidRPr="00AD211C">
        <w:rPr>
          <w:sz w:val="24"/>
          <w:szCs w:val="24"/>
          <w:lang w:val="de-DE" w:eastAsia="en-GB"/>
        </w:rPr>
        <w:t xml:space="preserve">Hypromellose (E464) </w:t>
      </w:r>
    </w:p>
    <w:p w14:paraId="488CD018" w14:textId="77777777" w:rsidR="00AD211C" w:rsidRPr="00AD211C" w:rsidRDefault="00AD211C" w:rsidP="00AD211C">
      <w:pPr>
        <w:autoSpaceDE w:val="0"/>
        <w:autoSpaceDN w:val="0"/>
        <w:adjustRightInd w:val="0"/>
        <w:ind w:left="851"/>
        <w:rPr>
          <w:sz w:val="24"/>
          <w:szCs w:val="24"/>
          <w:lang w:val="de-DE" w:eastAsia="en-GB"/>
        </w:rPr>
      </w:pPr>
      <w:r w:rsidRPr="00AD211C">
        <w:rPr>
          <w:sz w:val="24"/>
          <w:szCs w:val="24"/>
          <w:lang w:val="de-DE" w:eastAsia="en-GB"/>
        </w:rPr>
        <w:t>Titandioxid (E171)</w:t>
      </w:r>
    </w:p>
    <w:p w14:paraId="5D1812AA" w14:textId="77777777" w:rsidR="00AD211C" w:rsidRPr="00AD211C" w:rsidRDefault="00AD211C" w:rsidP="00AD211C">
      <w:pPr>
        <w:autoSpaceDE w:val="0"/>
        <w:autoSpaceDN w:val="0"/>
        <w:adjustRightInd w:val="0"/>
        <w:ind w:left="851"/>
        <w:rPr>
          <w:sz w:val="24"/>
          <w:szCs w:val="24"/>
          <w:lang w:val="de-DE" w:eastAsia="en-GB"/>
        </w:rPr>
      </w:pPr>
      <w:r w:rsidRPr="00AD211C">
        <w:rPr>
          <w:sz w:val="24"/>
          <w:szCs w:val="24"/>
          <w:lang w:val="de-DE" w:eastAsia="en-GB"/>
        </w:rPr>
        <w:lastRenderedPageBreak/>
        <w:t xml:space="preserve">Macrogol (E1521) </w:t>
      </w:r>
    </w:p>
    <w:p w14:paraId="7F90FDD0" w14:textId="77777777" w:rsidR="00AD211C" w:rsidRPr="00AD211C" w:rsidRDefault="00AD211C" w:rsidP="00AD211C">
      <w:pPr>
        <w:autoSpaceDE w:val="0"/>
        <w:autoSpaceDN w:val="0"/>
        <w:adjustRightInd w:val="0"/>
        <w:ind w:left="851"/>
        <w:rPr>
          <w:sz w:val="24"/>
          <w:szCs w:val="24"/>
          <w:lang w:val="de-DE" w:eastAsia="en-GB"/>
        </w:rPr>
      </w:pPr>
      <w:r w:rsidRPr="00AD211C">
        <w:rPr>
          <w:sz w:val="24"/>
          <w:szCs w:val="24"/>
          <w:lang w:val="de-DE" w:eastAsia="en-GB"/>
        </w:rPr>
        <w:t>Gul jernoxid (E172)</w:t>
      </w:r>
    </w:p>
    <w:p w14:paraId="5B375F84" w14:textId="77777777" w:rsidR="00040F2E" w:rsidRPr="00B50DD9" w:rsidRDefault="00040F2E" w:rsidP="00040F2E">
      <w:pPr>
        <w:autoSpaceDE w:val="0"/>
        <w:autoSpaceDN w:val="0"/>
        <w:adjustRightInd w:val="0"/>
        <w:rPr>
          <w:b/>
          <w:bCs/>
          <w:sz w:val="24"/>
          <w:szCs w:val="24"/>
          <w:lang w:eastAsia="en-GB"/>
        </w:rPr>
      </w:pPr>
    </w:p>
    <w:p w14:paraId="76582B28" w14:textId="77777777" w:rsidR="00040F2E" w:rsidRDefault="00040F2E" w:rsidP="00040F2E">
      <w:pPr>
        <w:tabs>
          <w:tab w:val="left" w:pos="851"/>
        </w:tabs>
        <w:ind w:left="851" w:hanging="851"/>
        <w:rPr>
          <w:b/>
          <w:sz w:val="24"/>
          <w:szCs w:val="24"/>
        </w:rPr>
      </w:pPr>
      <w:r>
        <w:rPr>
          <w:b/>
          <w:sz w:val="24"/>
          <w:szCs w:val="24"/>
        </w:rPr>
        <w:t>6.2</w:t>
      </w:r>
      <w:r>
        <w:rPr>
          <w:b/>
          <w:sz w:val="24"/>
          <w:szCs w:val="24"/>
        </w:rPr>
        <w:tab/>
        <w:t>Uforligeligheder</w:t>
      </w:r>
    </w:p>
    <w:p w14:paraId="2F7CA66D" w14:textId="77777777" w:rsidR="00040F2E" w:rsidRPr="00B50DD9" w:rsidRDefault="00040F2E" w:rsidP="00040F2E">
      <w:pPr>
        <w:autoSpaceDE w:val="0"/>
        <w:autoSpaceDN w:val="0"/>
        <w:adjustRightInd w:val="0"/>
        <w:ind w:firstLine="851"/>
        <w:rPr>
          <w:sz w:val="24"/>
          <w:szCs w:val="24"/>
          <w:lang w:eastAsia="en-GB"/>
        </w:rPr>
      </w:pPr>
      <w:r w:rsidRPr="00B50DD9">
        <w:rPr>
          <w:sz w:val="24"/>
          <w:szCs w:val="24"/>
          <w:lang w:eastAsia="en-GB"/>
        </w:rPr>
        <w:t>Ikke relevant.</w:t>
      </w:r>
    </w:p>
    <w:p w14:paraId="5C09780A" w14:textId="77777777" w:rsidR="00040F2E" w:rsidRPr="00B50DD9" w:rsidRDefault="00040F2E" w:rsidP="00040F2E">
      <w:pPr>
        <w:autoSpaceDE w:val="0"/>
        <w:autoSpaceDN w:val="0"/>
        <w:adjustRightInd w:val="0"/>
        <w:rPr>
          <w:b/>
          <w:bCs/>
          <w:sz w:val="24"/>
          <w:szCs w:val="24"/>
          <w:lang w:eastAsia="en-GB"/>
        </w:rPr>
      </w:pPr>
    </w:p>
    <w:p w14:paraId="724F0CAB"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6.3 </w:t>
      </w:r>
      <w:r w:rsidRPr="00B50DD9">
        <w:rPr>
          <w:b/>
          <w:bCs/>
          <w:sz w:val="24"/>
          <w:szCs w:val="24"/>
          <w:lang w:eastAsia="en-GB"/>
        </w:rPr>
        <w:tab/>
        <w:t>Opbevaringstid</w:t>
      </w:r>
    </w:p>
    <w:p w14:paraId="7A42B87F" w14:textId="77777777" w:rsidR="00F52F60" w:rsidRDefault="00F52F60" w:rsidP="00040F2E">
      <w:pPr>
        <w:autoSpaceDE w:val="0"/>
        <w:autoSpaceDN w:val="0"/>
        <w:adjustRightInd w:val="0"/>
        <w:ind w:firstLine="851"/>
        <w:rPr>
          <w:sz w:val="24"/>
          <w:szCs w:val="24"/>
          <w:lang w:eastAsia="en-GB"/>
        </w:rPr>
      </w:pPr>
    </w:p>
    <w:p w14:paraId="6CACE9B4" w14:textId="77777777" w:rsidR="00F52F60" w:rsidRPr="00F52F60" w:rsidRDefault="00F52F60" w:rsidP="00F52F60">
      <w:pPr>
        <w:pStyle w:val="ReferenceLine"/>
        <w:autoSpaceDE w:val="0"/>
        <w:autoSpaceDN w:val="0"/>
        <w:adjustRightInd w:val="0"/>
        <w:ind w:left="851"/>
        <w:rPr>
          <w:rFonts w:ascii="Times New Roman" w:hAnsi="Times New Roman"/>
          <w:noProof/>
          <w:szCs w:val="24"/>
          <w:u w:val="single"/>
          <w:lang w:val="da-DK"/>
        </w:rPr>
      </w:pPr>
      <w:r w:rsidRPr="00F52F60">
        <w:rPr>
          <w:rFonts w:ascii="Times New Roman" w:hAnsi="Times New Roman"/>
          <w:noProof/>
          <w:szCs w:val="24"/>
          <w:u w:val="single"/>
          <w:lang w:val="da-DK"/>
        </w:rPr>
        <w:t>25 mg, 100 mg, 200 mg og 400 mg</w:t>
      </w:r>
    </w:p>
    <w:p w14:paraId="5DA5F1AF" w14:textId="70EA09BD" w:rsidR="00040F2E" w:rsidRDefault="00040F2E" w:rsidP="00040F2E">
      <w:pPr>
        <w:autoSpaceDE w:val="0"/>
        <w:autoSpaceDN w:val="0"/>
        <w:adjustRightInd w:val="0"/>
        <w:ind w:firstLine="851"/>
        <w:rPr>
          <w:sz w:val="24"/>
          <w:szCs w:val="24"/>
          <w:lang w:eastAsia="en-GB"/>
        </w:rPr>
      </w:pPr>
      <w:r w:rsidRPr="00B50DD9">
        <w:rPr>
          <w:sz w:val="24"/>
          <w:szCs w:val="24"/>
          <w:lang w:eastAsia="en-GB"/>
        </w:rPr>
        <w:t>30 måneder.</w:t>
      </w:r>
    </w:p>
    <w:p w14:paraId="7865999A" w14:textId="77777777" w:rsidR="00F52F60" w:rsidRPr="00F52F60" w:rsidRDefault="00F52F60" w:rsidP="00F52F60">
      <w:pPr>
        <w:autoSpaceDE w:val="0"/>
        <w:autoSpaceDN w:val="0"/>
        <w:adjustRightInd w:val="0"/>
        <w:ind w:firstLine="851"/>
        <w:rPr>
          <w:sz w:val="24"/>
          <w:szCs w:val="24"/>
          <w:lang w:eastAsia="en-GB"/>
        </w:rPr>
      </w:pPr>
    </w:p>
    <w:p w14:paraId="6CC2A554" w14:textId="77777777" w:rsidR="00F52F60" w:rsidRPr="00F52F60" w:rsidRDefault="00F52F60" w:rsidP="00F52F60">
      <w:pPr>
        <w:autoSpaceDE w:val="0"/>
        <w:autoSpaceDN w:val="0"/>
        <w:adjustRightInd w:val="0"/>
        <w:ind w:firstLine="851"/>
        <w:rPr>
          <w:sz w:val="24"/>
          <w:szCs w:val="24"/>
          <w:u w:val="single"/>
          <w:lang w:eastAsia="en-GB"/>
        </w:rPr>
      </w:pPr>
      <w:r w:rsidRPr="00F52F60">
        <w:rPr>
          <w:sz w:val="24"/>
          <w:szCs w:val="24"/>
          <w:u w:val="single"/>
          <w:lang w:eastAsia="en-GB"/>
        </w:rPr>
        <w:t>50 mg og 400 mg</w:t>
      </w:r>
    </w:p>
    <w:p w14:paraId="024D6627" w14:textId="3383E6FA" w:rsidR="00F52F60" w:rsidRPr="00F52F60" w:rsidRDefault="00F52F60" w:rsidP="00F52F60">
      <w:pPr>
        <w:autoSpaceDE w:val="0"/>
        <w:autoSpaceDN w:val="0"/>
        <w:adjustRightInd w:val="0"/>
        <w:ind w:firstLine="851"/>
        <w:rPr>
          <w:sz w:val="24"/>
          <w:szCs w:val="24"/>
          <w:lang w:eastAsia="en-GB"/>
        </w:rPr>
      </w:pPr>
      <w:r w:rsidRPr="00F52F60">
        <w:rPr>
          <w:sz w:val="24"/>
          <w:szCs w:val="24"/>
          <w:lang w:eastAsia="en-GB"/>
        </w:rPr>
        <w:t>2 år</w:t>
      </w:r>
      <w:r>
        <w:rPr>
          <w:sz w:val="24"/>
          <w:szCs w:val="24"/>
          <w:lang w:eastAsia="en-GB"/>
        </w:rPr>
        <w:t>.</w:t>
      </w:r>
    </w:p>
    <w:p w14:paraId="26E71FD7" w14:textId="77777777" w:rsidR="00F52F60" w:rsidRPr="00B50DD9" w:rsidRDefault="00F52F60" w:rsidP="00040F2E">
      <w:pPr>
        <w:autoSpaceDE w:val="0"/>
        <w:autoSpaceDN w:val="0"/>
        <w:adjustRightInd w:val="0"/>
        <w:ind w:firstLine="851"/>
        <w:rPr>
          <w:sz w:val="24"/>
          <w:szCs w:val="24"/>
          <w:lang w:eastAsia="en-GB"/>
        </w:rPr>
      </w:pPr>
    </w:p>
    <w:p w14:paraId="1E521471"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6.4 </w:t>
      </w:r>
      <w:r w:rsidRPr="00B50DD9">
        <w:rPr>
          <w:b/>
          <w:bCs/>
          <w:sz w:val="24"/>
          <w:szCs w:val="24"/>
          <w:lang w:eastAsia="en-GB"/>
        </w:rPr>
        <w:tab/>
        <w:t>Særlige opbevaringsforhold</w:t>
      </w:r>
    </w:p>
    <w:p w14:paraId="4DE6EE52" w14:textId="77777777" w:rsidR="00040F2E" w:rsidRPr="00B50DD9" w:rsidRDefault="00040F2E" w:rsidP="00040F2E">
      <w:pPr>
        <w:autoSpaceDE w:val="0"/>
        <w:autoSpaceDN w:val="0"/>
        <w:adjustRightInd w:val="0"/>
        <w:ind w:firstLine="851"/>
        <w:rPr>
          <w:color w:val="FF0000"/>
          <w:sz w:val="24"/>
          <w:szCs w:val="24"/>
          <w:lang w:eastAsia="en-GB"/>
        </w:rPr>
      </w:pPr>
      <w:r w:rsidRPr="00B50DD9">
        <w:rPr>
          <w:noProof/>
          <w:sz w:val="24"/>
          <w:szCs w:val="24"/>
        </w:rPr>
        <w:t>Dette lægemiddel kræver ingen særlige forholdsregler vedrørende opbevaringen.</w:t>
      </w:r>
    </w:p>
    <w:p w14:paraId="2F518D44" w14:textId="77777777" w:rsidR="00040F2E" w:rsidRPr="00B50DD9" w:rsidRDefault="00040F2E" w:rsidP="00040F2E">
      <w:pPr>
        <w:autoSpaceDE w:val="0"/>
        <w:autoSpaceDN w:val="0"/>
        <w:adjustRightInd w:val="0"/>
        <w:rPr>
          <w:b/>
          <w:bCs/>
          <w:sz w:val="24"/>
          <w:szCs w:val="24"/>
          <w:lang w:eastAsia="en-GB"/>
        </w:rPr>
      </w:pPr>
    </w:p>
    <w:p w14:paraId="66A53C7F"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6.5 </w:t>
      </w:r>
      <w:r w:rsidRPr="00B50DD9">
        <w:rPr>
          <w:b/>
          <w:bCs/>
          <w:sz w:val="24"/>
          <w:szCs w:val="24"/>
          <w:lang w:eastAsia="en-GB"/>
        </w:rPr>
        <w:tab/>
        <w:t>Emballagetype</w:t>
      </w:r>
      <w:r w:rsidR="00582EF9">
        <w:rPr>
          <w:b/>
          <w:bCs/>
          <w:sz w:val="24"/>
          <w:szCs w:val="24"/>
          <w:lang w:eastAsia="en-GB"/>
        </w:rPr>
        <w:t xml:space="preserve"> </w:t>
      </w:r>
      <w:r w:rsidRPr="00B50DD9">
        <w:rPr>
          <w:b/>
          <w:bCs/>
          <w:sz w:val="24"/>
          <w:szCs w:val="24"/>
          <w:lang w:eastAsia="en-GB"/>
        </w:rPr>
        <w:t>og pakningsstørrelser</w:t>
      </w:r>
    </w:p>
    <w:p w14:paraId="5E701D8B" w14:textId="4D4C2AC1" w:rsidR="005605CE" w:rsidRDefault="00097655" w:rsidP="005605CE">
      <w:pPr>
        <w:ind w:left="851"/>
        <w:rPr>
          <w:sz w:val="24"/>
          <w:szCs w:val="24"/>
        </w:rPr>
      </w:pPr>
      <w:r w:rsidRPr="005605CE">
        <w:rPr>
          <w:sz w:val="24"/>
          <w:szCs w:val="24"/>
        </w:rPr>
        <w:t>PVC/aluminiumfolieblister</w:t>
      </w:r>
    </w:p>
    <w:p w14:paraId="64A77A93" w14:textId="08163591" w:rsidR="00097655" w:rsidRDefault="00097655" w:rsidP="005605CE">
      <w:pPr>
        <w:ind w:left="851"/>
        <w:rPr>
          <w:sz w:val="24"/>
          <w:szCs w:val="24"/>
        </w:rPr>
      </w:pPr>
    </w:p>
    <w:p w14:paraId="5711BF2F" w14:textId="284F7821" w:rsidR="00097655" w:rsidRPr="00097655" w:rsidRDefault="00097655" w:rsidP="005605CE">
      <w:pPr>
        <w:ind w:left="851"/>
        <w:rPr>
          <w:sz w:val="24"/>
          <w:szCs w:val="24"/>
          <w:u w:val="single"/>
        </w:rPr>
      </w:pPr>
      <w:r w:rsidRPr="00097655">
        <w:rPr>
          <w:sz w:val="24"/>
          <w:szCs w:val="24"/>
          <w:u w:val="single"/>
        </w:rPr>
        <w:t>Pakningsstørrelser</w:t>
      </w:r>
    </w:p>
    <w:p w14:paraId="0BC05C0A" w14:textId="77777777" w:rsidR="00097655" w:rsidRPr="005605CE" w:rsidRDefault="00097655" w:rsidP="005605CE">
      <w:pPr>
        <w:ind w:left="851"/>
        <w:rPr>
          <w:sz w:val="24"/>
          <w:szCs w:val="24"/>
        </w:rPr>
      </w:pPr>
    </w:p>
    <w:p w14:paraId="20C4556D" w14:textId="5A14AF1A" w:rsidR="005605CE" w:rsidRPr="00097655" w:rsidRDefault="005605CE" w:rsidP="005605CE">
      <w:pPr>
        <w:ind w:left="851"/>
        <w:rPr>
          <w:i/>
          <w:sz w:val="24"/>
          <w:szCs w:val="24"/>
        </w:rPr>
      </w:pPr>
      <w:r w:rsidRPr="00097655">
        <w:rPr>
          <w:i/>
          <w:sz w:val="24"/>
          <w:szCs w:val="24"/>
        </w:rPr>
        <w:t>25 mg, 100 mg, 150 mg, 200 mg og 300 mg</w:t>
      </w:r>
    </w:p>
    <w:p w14:paraId="6C0EC952" w14:textId="3F502D7E" w:rsidR="00040F2E" w:rsidRPr="00097655" w:rsidRDefault="00040F2E" w:rsidP="005605CE">
      <w:pPr>
        <w:ind w:left="851"/>
        <w:rPr>
          <w:sz w:val="24"/>
          <w:szCs w:val="24"/>
        </w:rPr>
      </w:pPr>
      <w:r w:rsidRPr="00097655">
        <w:rPr>
          <w:sz w:val="24"/>
          <w:szCs w:val="24"/>
        </w:rPr>
        <w:t>6, 7, 10, 14, 20, 28, 30, 50, 56, 60, 84, 90, 98 og 100 tabletter</w:t>
      </w:r>
      <w:r w:rsidR="00097655" w:rsidRPr="00097655">
        <w:rPr>
          <w:sz w:val="24"/>
          <w:szCs w:val="24"/>
        </w:rPr>
        <w:t>, i</w:t>
      </w:r>
      <w:r w:rsidRPr="00097655">
        <w:rPr>
          <w:sz w:val="24"/>
          <w:szCs w:val="24"/>
        </w:rPr>
        <w:t xml:space="preserve"> karton.</w:t>
      </w:r>
    </w:p>
    <w:p w14:paraId="0E4E524B" w14:textId="0BB75E92" w:rsidR="00040F2E" w:rsidRPr="00097655" w:rsidRDefault="00040F2E" w:rsidP="005605CE">
      <w:pPr>
        <w:ind w:left="851"/>
        <w:rPr>
          <w:sz w:val="24"/>
          <w:szCs w:val="24"/>
        </w:rPr>
      </w:pPr>
    </w:p>
    <w:p w14:paraId="7E12655C" w14:textId="77777777" w:rsidR="005605CE" w:rsidRPr="00097655" w:rsidRDefault="005605CE" w:rsidP="005605CE">
      <w:pPr>
        <w:ind w:left="851"/>
        <w:rPr>
          <w:i/>
          <w:sz w:val="24"/>
          <w:szCs w:val="24"/>
        </w:rPr>
      </w:pPr>
      <w:r w:rsidRPr="00097655">
        <w:rPr>
          <w:i/>
          <w:sz w:val="24"/>
          <w:szCs w:val="24"/>
        </w:rPr>
        <w:t>50 mg</w:t>
      </w:r>
    </w:p>
    <w:p w14:paraId="22C77A40" w14:textId="0FA58899" w:rsidR="005605CE" w:rsidRPr="00097655" w:rsidRDefault="005605CE" w:rsidP="005605CE">
      <w:pPr>
        <w:ind w:left="851"/>
        <w:rPr>
          <w:sz w:val="24"/>
          <w:szCs w:val="24"/>
        </w:rPr>
      </w:pPr>
      <w:r w:rsidRPr="00097655">
        <w:rPr>
          <w:sz w:val="24"/>
          <w:szCs w:val="24"/>
        </w:rPr>
        <w:t>10, 20, 30, 50, 60 og 100 tabletter.</w:t>
      </w:r>
    </w:p>
    <w:p w14:paraId="59A9BE98" w14:textId="77777777" w:rsidR="005605CE" w:rsidRPr="00097655" w:rsidRDefault="005605CE" w:rsidP="005605CE">
      <w:pPr>
        <w:ind w:left="851"/>
        <w:rPr>
          <w:sz w:val="24"/>
          <w:szCs w:val="24"/>
        </w:rPr>
      </w:pPr>
    </w:p>
    <w:p w14:paraId="6001A2C9" w14:textId="77777777" w:rsidR="005605CE" w:rsidRPr="00097655" w:rsidRDefault="005605CE" w:rsidP="005605CE">
      <w:pPr>
        <w:ind w:left="851"/>
        <w:rPr>
          <w:i/>
          <w:sz w:val="24"/>
          <w:szCs w:val="24"/>
        </w:rPr>
      </w:pPr>
      <w:r w:rsidRPr="00097655">
        <w:rPr>
          <w:i/>
          <w:sz w:val="24"/>
          <w:szCs w:val="24"/>
        </w:rPr>
        <w:t>400 mg</w:t>
      </w:r>
    </w:p>
    <w:p w14:paraId="39CEE37E" w14:textId="5F7B7577" w:rsidR="005605CE" w:rsidRPr="00097655" w:rsidRDefault="005605CE" w:rsidP="005605CE">
      <w:pPr>
        <w:ind w:left="851"/>
        <w:rPr>
          <w:sz w:val="24"/>
          <w:szCs w:val="24"/>
        </w:rPr>
      </w:pPr>
      <w:r w:rsidRPr="00097655">
        <w:rPr>
          <w:sz w:val="24"/>
          <w:szCs w:val="24"/>
        </w:rPr>
        <w:t>10, 20, 50, 60 og 100 tabletter.</w:t>
      </w:r>
    </w:p>
    <w:p w14:paraId="14B3C708" w14:textId="77777777" w:rsidR="005605CE" w:rsidRPr="00097655" w:rsidRDefault="005605CE" w:rsidP="005605CE">
      <w:pPr>
        <w:ind w:left="851"/>
        <w:rPr>
          <w:sz w:val="24"/>
          <w:szCs w:val="24"/>
        </w:rPr>
      </w:pPr>
    </w:p>
    <w:p w14:paraId="6DB7B254" w14:textId="5DD92FDC" w:rsidR="00040F2E" w:rsidRPr="005605CE" w:rsidRDefault="00040F2E" w:rsidP="005605CE">
      <w:pPr>
        <w:ind w:left="851"/>
        <w:rPr>
          <w:sz w:val="24"/>
          <w:szCs w:val="24"/>
        </w:rPr>
      </w:pPr>
      <w:r w:rsidRPr="00097655">
        <w:rPr>
          <w:sz w:val="24"/>
          <w:szCs w:val="24"/>
        </w:rPr>
        <w:t>Ikke alle pakningsstørrelser er nødvendigvis markedsført.</w:t>
      </w:r>
    </w:p>
    <w:p w14:paraId="3B412B5D" w14:textId="77777777" w:rsidR="00040F2E" w:rsidRPr="005605CE" w:rsidRDefault="00040F2E" w:rsidP="005605CE">
      <w:pPr>
        <w:ind w:left="851"/>
        <w:rPr>
          <w:b/>
          <w:bCs/>
          <w:sz w:val="24"/>
          <w:szCs w:val="24"/>
          <w:lang w:eastAsia="en-GB"/>
        </w:rPr>
      </w:pPr>
    </w:p>
    <w:p w14:paraId="4E296986"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6.6 </w:t>
      </w:r>
      <w:r w:rsidRPr="00B50DD9">
        <w:rPr>
          <w:b/>
          <w:bCs/>
          <w:sz w:val="24"/>
          <w:szCs w:val="24"/>
          <w:lang w:eastAsia="en-GB"/>
        </w:rPr>
        <w:tab/>
        <w:t xml:space="preserve">Regler for </w:t>
      </w:r>
      <w:r w:rsidR="00582EF9">
        <w:rPr>
          <w:b/>
          <w:bCs/>
          <w:sz w:val="24"/>
          <w:szCs w:val="24"/>
          <w:lang w:eastAsia="en-GB"/>
        </w:rPr>
        <w:t>bortskaffelse</w:t>
      </w:r>
      <w:r w:rsidRPr="00B50DD9">
        <w:rPr>
          <w:b/>
          <w:bCs/>
          <w:sz w:val="24"/>
          <w:szCs w:val="24"/>
          <w:lang w:eastAsia="en-GB"/>
        </w:rPr>
        <w:t xml:space="preserve"> og anden håndtering</w:t>
      </w:r>
    </w:p>
    <w:p w14:paraId="25C2123F" w14:textId="77777777" w:rsidR="00040F2E" w:rsidRPr="00B50DD9" w:rsidRDefault="00040F2E" w:rsidP="00040F2E">
      <w:pPr>
        <w:autoSpaceDE w:val="0"/>
        <w:autoSpaceDN w:val="0"/>
        <w:adjustRightInd w:val="0"/>
        <w:ind w:firstLine="851"/>
        <w:rPr>
          <w:sz w:val="24"/>
          <w:szCs w:val="24"/>
          <w:lang w:eastAsia="en-GB"/>
        </w:rPr>
      </w:pPr>
      <w:r w:rsidRPr="00B50DD9">
        <w:rPr>
          <w:sz w:val="24"/>
          <w:szCs w:val="24"/>
        </w:rPr>
        <w:t>Ingen særlige forholdsregler.</w:t>
      </w:r>
    </w:p>
    <w:p w14:paraId="2142C930" w14:textId="77777777" w:rsidR="00040F2E" w:rsidRPr="00B50DD9" w:rsidRDefault="00040F2E" w:rsidP="00040F2E">
      <w:pPr>
        <w:autoSpaceDE w:val="0"/>
        <w:autoSpaceDN w:val="0"/>
        <w:adjustRightInd w:val="0"/>
        <w:rPr>
          <w:sz w:val="24"/>
          <w:szCs w:val="24"/>
          <w:lang w:eastAsia="en-GB"/>
        </w:rPr>
      </w:pPr>
    </w:p>
    <w:p w14:paraId="1A2D0929"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7. </w:t>
      </w:r>
      <w:r w:rsidRPr="00B50DD9">
        <w:rPr>
          <w:b/>
          <w:bCs/>
          <w:sz w:val="24"/>
          <w:szCs w:val="24"/>
          <w:lang w:eastAsia="en-GB"/>
        </w:rPr>
        <w:tab/>
      </w:r>
      <w:r w:rsidRPr="00B50DD9">
        <w:rPr>
          <w:b/>
          <w:sz w:val="24"/>
          <w:szCs w:val="24"/>
        </w:rPr>
        <w:t>INDEHAVER AF MARKEDSFØRINGSTILLADELSEN</w:t>
      </w:r>
    </w:p>
    <w:p w14:paraId="4CC531C0" w14:textId="77777777" w:rsidR="00CA6E27" w:rsidRPr="00771C9E" w:rsidRDefault="00CA6E27" w:rsidP="00CA6E27">
      <w:pPr>
        <w:ind w:left="851"/>
        <w:rPr>
          <w:sz w:val="24"/>
          <w:szCs w:val="24"/>
          <w:lang w:val="en-US"/>
        </w:rPr>
      </w:pPr>
      <w:bookmarkStart w:id="1" w:name="_Hlk44060003"/>
      <w:r w:rsidRPr="00771C9E">
        <w:rPr>
          <w:sz w:val="24"/>
          <w:szCs w:val="24"/>
          <w:lang w:val="en-US"/>
        </w:rPr>
        <w:t>Accord Healthcare B.V.</w:t>
      </w:r>
    </w:p>
    <w:p w14:paraId="44127402" w14:textId="77777777" w:rsidR="00CA6E27" w:rsidRDefault="00CA6E27" w:rsidP="00CA6E27">
      <w:pPr>
        <w:ind w:left="851"/>
        <w:rPr>
          <w:sz w:val="24"/>
          <w:szCs w:val="24"/>
          <w:lang w:val="en-US"/>
        </w:rPr>
      </w:pPr>
      <w:r w:rsidRPr="00771C9E">
        <w:rPr>
          <w:sz w:val="24"/>
          <w:szCs w:val="24"/>
          <w:lang w:val="en-US"/>
        </w:rPr>
        <w:t>Winthontlaan 200</w:t>
      </w:r>
    </w:p>
    <w:p w14:paraId="12F941BA" w14:textId="77777777" w:rsidR="00CA6E27" w:rsidRDefault="00CA6E27" w:rsidP="00CA6E27">
      <w:pPr>
        <w:ind w:left="851"/>
        <w:rPr>
          <w:sz w:val="24"/>
          <w:szCs w:val="24"/>
        </w:rPr>
      </w:pPr>
      <w:r w:rsidRPr="00771C9E">
        <w:rPr>
          <w:sz w:val="24"/>
          <w:szCs w:val="24"/>
        </w:rPr>
        <w:t>3526 KV</w:t>
      </w:r>
      <w:r>
        <w:rPr>
          <w:sz w:val="24"/>
          <w:szCs w:val="24"/>
        </w:rPr>
        <w:t xml:space="preserve"> Utrecht</w:t>
      </w:r>
    </w:p>
    <w:p w14:paraId="7F5B3D9B" w14:textId="77777777" w:rsidR="00040F2E" w:rsidRPr="00AD2C2A" w:rsidRDefault="00CA6E27" w:rsidP="00CA6E27">
      <w:pPr>
        <w:autoSpaceDE w:val="0"/>
        <w:autoSpaceDN w:val="0"/>
        <w:adjustRightInd w:val="0"/>
        <w:ind w:firstLine="851"/>
        <w:rPr>
          <w:sz w:val="24"/>
          <w:szCs w:val="24"/>
        </w:rPr>
      </w:pPr>
      <w:r>
        <w:rPr>
          <w:sz w:val="24"/>
          <w:szCs w:val="24"/>
        </w:rPr>
        <w:t>Holland</w:t>
      </w:r>
      <w:bookmarkEnd w:id="1"/>
    </w:p>
    <w:p w14:paraId="6A57569F" w14:textId="77777777" w:rsidR="00040F2E" w:rsidRPr="00AD2C2A" w:rsidRDefault="00040F2E" w:rsidP="00040F2E">
      <w:pPr>
        <w:autoSpaceDE w:val="0"/>
        <w:autoSpaceDN w:val="0"/>
        <w:adjustRightInd w:val="0"/>
        <w:rPr>
          <w:b/>
          <w:bCs/>
          <w:sz w:val="24"/>
          <w:szCs w:val="24"/>
          <w:lang w:eastAsia="en-GB"/>
        </w:rPr>
      </w:pPr>
    </w:p>
    <w:p w14:paraId="33A30095" w14:textId="77777777" w:rsidR="00040F2E" w:rsidRPr="00B50DD9" w:rsidRDefault="00040F2E" w:rsidP="00040F2E">
      <w:pPr>
        <w:tabs>
          <w:tab w:val="left" w:pos="851"/>
        </w:tabs>
        <w:autoSpaceDE w:val="0"/>
        <w:autoSpaceDN w:val="0"/>
        <w:adjustRightInd w:val="0"/>
        <w:rPr>
          <w:b/>
          <w:bCs/>
          <w:sz w:val="24"/>
          <w:szCs w:val="24"/>
          <w:lang w:eastAsia="en-GB"/>
        </w:rPr>
      </w:pPr>
      <w:r w:rsidRPr="00B50DD9">
        <w:rPr>
          <w:b/>
          <w:bCs/>
          <w:sz w:val="24"/>
          <w:szCs w:val="24"/>
          <w:lang w:eastAsia="en-GB"/>
        </w:rPr>
        <w:t xml:space="preserve">8. </w:t>
      </w:r>
      <w:r w:rsidRPr="00B50DD9">
        <w:rPr>
          <w:b/>
          <w:bCs/>
          <w:sz w:val="24"/>
          <w:szCs w:val="24"/>
          <w:lang w:eastAsia="en-GB"/>
        </w:rPr>
        <w:tab/>
      </w:r>
      <w:r w:rsidRPr="00B50DD9">
        <w:rPr>
          <w:b/>
          <w:sz w:val="24"/>
          <w:szCs w:val="24"/>
        </w:rPr>
        <w:t>MARKEDSFØRINGSTILLADELSESNUMMER (</w:t>
      </w:r>
      <w:r w:rsidR="00582EF9">
        <w:rPr>
          <w:b/>
          <w:sz w:val="24"/>
          <w:szCs w:val="24"/>
        </w:rPr>
        <w:t>-</w:t>
      </w:r>
      <w:r w:rsidRPr="00B50DD9">
        <w:rPr>
          <w:b/>
          <w:sz w:val="24"/>
          <w:szCs w:val="24"/>
        </w:rPr>
        <w:t>NUMRE)</w:t>
      </w:r>
    </w:p>
    <w:p w14:paraId="0F5A2069" w14:textId="30506606" w:rsidR="00040F2E" w:rsidRDefault="00040F2E" w:rsidP="00097655">
      <w:pPr>
        <w:tabs>
          <w:tab w:val="left" w:pos="1701"/>
        </w:tabs>
        <w:autoSpaceDE w:val="0"/>
        <w:autoSpaceDN w:val="0"/>
        <w:adjustRightInd w:val="0"/>
        <w:ind w:firstLine="851"/>
        <w:rPr>
          <w:sz w:val="24"/>
          <w:szCs w:val="24"/>
          <w:lang w:eastAsia="en-GB"/>
        </w:rPr>
      </w:pPr>
      <w:r w:rsidRPr="00B50DD9">
        <w:rPr>
          <w:sz w:val="24"/>
          <w:szCs w:val="24"/>
          <w:lang w:eastAsia="en-GB"/>
        </w:rPr>
        <w:t>25 mg:</w:t>
      </w:r>
      <w:r w:rsidR="00097655">
        <w:rPr>
          <w:sz w:val="24"/>
          <w:szCs w:val="24"/>
          <w:lang w:eastAsia="en-GB"/>
        </w:rPr>
        <w:tab/>
      </w:r>
      <w:r w:rsidRPr="00B50DD9">
        <w:rPr>
          <w:sz w:val="24"/>
          <w:szCs w:val="24"/>
          <w:lang w:eastAsia="en-GB"/>
        </w:rPr>
        <w:t>45443</w:t>
      </w:r>
    </w:p>
    <w:p w14:paraId="6D0302C0" w14:textId="36B32251" w:rsidR="00097655" w:rsidRPr="00B50DD9" w:rsidRDefault="00097655" w:rsidP="00097655">
      <w:pPr>
        <w:tabs>
          <w:tab w:val="left" w:pos="1701"/>
        </w:tabs>
        <w:autoSpaceDE w:val="0"/>
        <w:autoSpaceDN w:val="0"/>
        <w:adjustRightInd w:val="0"/>
        <w:ind w:firstLine="851"/>
        <w:rPr>
          <w:sz w:val="24"/>
          <w:szCs w:val="24"/>
          <w:lang w:eastAsia="en-GB"/>
        </w:rPr>
      </w:pPr>
      <w:r>
        <w:rPr>
          <w:sz w:val="24"/>
          <w:szCs w:val="24"/>
          <w:lang w:eastAsia="en-GB"/>
        </w:rPr>
        <w:t>50 mg:</w:t>
      </w:r>
      <w:r>
        <w:rPr>
          <w:sz w:val="24"/>
          <w:szCs w:val="24"/>
          <w:lang w:eastAsia="en-GB"/>
        </w:rPr>
        <w:tab/>
        <w:t>65517</w:t>
      </w:r>
    </w:p>
    <w:p w14:paraId="0F9A0C2D" w14:textId="3711790D" w:rsidR="00040F2E" w:rsidRPr="00B50DD9" w:rsidRDefault="00040F2E" w:rsidP="00097655">
      <w:pPr>
        <w:tabs>
          <w:tab w:val="left" w:pos="1701"/>
        </w:tabs>
        <w:autoSpaceDE w:val="0"/>
        <w:autoSpaceDN w:val="0"/>
        <w:adjustRightInd w:val="0"/>
        <w:ind w:firstLine="851"/>
        <w:rPr>
          <w:sz w:val="24"/>
          <w:szCs w:val="24"/>
          <w:lang w:eastAsia="en-GB"/>
        </w:rPr>
      </w:pPr>
      <w:r w:rsidRPr="00B50DD9">
        <w:rPr>
          <w:sz w:val="24"/>
          <w:szCs w:val="24"/>
          <w:lang w:eastAsia="en-GB"/>
        </w:rPr>
        <w:t>100 mg:</w:t>
      </w:r>
      <w:r w:rsidR="00097655">
        <w:rPr>
          <w:sz w:val="24"/>
          <w:szCs w:val="24"/>
          <w:lang w:eastAsia="en-GB"/>
        </w:rPr>
        <w:tab/>
      </w:r>
      <w:r w:rsidRPr="00B50DD9">
        <w:rPr>
          <w:sz w:val="24"/>
          <w:szCs w:val="24"/>
          <w:lang w:eastAsia="en-GB"/>
        </w:rPr>
        <w:t>45444</w:t>
      </w:r>
    </w:p>
    <w:p w14:paraId="23D1DE62" w14:textId="0BB5048A" w:rsidR="00040F2E" w:rsidRPr="00B50DD9" w:rsidRDefault="00040F2E" w:rsidP="00097655">
      <w:pPr>
        <w:tabs>
          <w:tab w:val="left" w:pos="1701"/>
        </w:tabs>
        <w:autoSpaceDE w:val="0"/>
        <w:autoSpaceDN w:val="0"/>
        <w:adjustRightInd w:val="0"/>
        <w:ind w:firstLine="851"/>
        <w:rPr>
          <w:sz w:val="24"/>
          <w:szCs w:val="24"/>
          <w:lang w:eastAsia="en-GB"/>
        </w:rPr>
      </w:pPr>
      <w:r w:rsidRPr="00B50DD9">
        <w:rPr>
          <w:sz w:val="24"/>
          <w:szCs w:val="24"/>
          <w:lang w:eastAsia="en-GB"/>
        </w:rPr>
        <w:t>200 mg:</w:t>
      </w:r>
      <w:r w:rsidR="00097655">
        <w:rPr>
          <w:sz w:val="24"/>
          <w:szCs w:val="24"/>
          <w:lang w:eastAsia="en-GB"/>
        </w:rPr>
        <w:tab/>
      </w:r>
      <w:r w:rsidRPr="00B50DD9">
        <w:rPr>
          <w:sz w:val="24"/>
          <w:szCs w:val="24"/>
          <w:lang w:eastAsia="en-GB"/>
        </w:rPr>
        <w:t>45446</w:t>
      </w:r>
    </w:p>
    <w:p w14:paraId="454D2CBE" w14:textId="3D56C0FB" w:rsidR="00040F2E" w:rsidRDefault="00040F2E" w:rsidP="00097655">
      <w:pPr>
        <w:tabs>
          <w:tab w:val="left" w:pos="1701"/>
        </w:tabs>
        <w:autoSpaceDE w:val="0"/>
        <w:autoSpaceDN w:val="0"/>
        <w:adjustRightInd w:val="0"/>
        <w:ind w:firstLine="851"/>
        <w:rPr>
          <w:sz w:val="24"/>
          <w:szCs w:val="24"/>
          <w:lang w:eastAsia="en-GB"/>
        </w:rPr>
      </w:pPr>
      <w:r w:rsidRPr="00B50DD9">
        <w:rPr>
          <w:sz w:val="24"/>
          <w:szCs w:val="24"/>
          <w:lang w:eastAsia="en-GB"/>
        </w:rPr>
        <w:t>300 mg:</w:t>
      </w:r>
      <w:r w:rsidR="00097655">
        <w:rPr>
          <w:sz w:val="24"/>
          <w:szCs w:val="24"/>
          <w:lang w:eastAsia="en-GB"/>
        </w:rPr>
        <w:tab/>
      </w:r>
      <w:r w:rsidRPr="00B50DD9">
        <w:rPr>
          <w:sz w:val="24"/>
          <w:szCs w:val="24"/>
          <w:lang w:eastAsia="en-GB"/>
        </w:rPr>
        <w:t>45447</w:t>
      </w:r>
    </w:p>
    <w:p w14:paraId="432E8DF0" w14:textId="61EF4F3D" w:rsidR="00097655" w:rsidRPr="00B50DD9" w:rsidRDefault="00097655" w:rsidP="00097655">
      <w:pPr>
        <w:tabs>
          <w:tab w:val="left" w:pos="1701"/>
        </w:tabs>
        <w:autoSpaceDE w:val="0"/>
        <w:autoSpaceDN w:val="0"/>
        <w:adjustRightInd w:val="0"/>
        <w:ind w:firstLine="851"/>
        <w:rPr>
          <w:sz w:val="24"/>
          <w:szCs w:val="24"/>
          <w:lang w:eastAsia="en-GB"/>
        </w:rPr>
      </w:pPr>
      <w:r>
        <w:rPr>
          <w:sz w:val="24"/>
          <w:szCs w:val="24"/>
          <w:lang w:eastAsia="en-GB"/>
        </w:rPr>
        <w:t>400 mg:</w:t>
      </w:r>
      <w:r>
        <w:rPr>
          <w:sz w:val="24"/>
          <w:szCs w:val="24"/>
          <w:lang w:eastAsia="en-GB"/>
        </w:rPr>
        <w:tab/>
        <w:t>65518</w:t>
      </w:r>
    </w:p>
    <w:p w14:paraId="3CBA5861" w14:textId="34BFCDFF" w:rsidR="00097655" w:rsidRDefault="00097655">
      <w:pPr>
        <w:rPr>
          <w:sz w:val="24"/>
          <w:szCs w:val="24"/>
          <w:lang w:eastAsia="en-GB"/>
        </w:rPr>
      </w:pPr>
      <w:r>
        <w:rPr>
          <w:sz w:val="24"/>
          <w:szCs w:val="24"/>
          <w:lang w:eastAsia="en-GB"/>
        </w:rPr>
        <w:br w:type="page"/>
      </w:r>
    </w:p>
    <w:p w14:paraId="3D4E8CA0" w14:textId="77777777" w:rsidR="00040F2E" w:rsidRDefault="00040F2E" w:rsidP="00040F2E">
      <w:pPr>
        <w:autoSpaceDE w:val="0"/>
        <w:autoSpaceDN w:val="0"/>
        <w:adjustRightInd w:val="0"/>
        <w:rPr>
          <w:sz w:val="24"/>
          <w:szCs w:val="24"/>
          <w:lang w:eastAsia="en-GB"/>
        </w:rPr>
      </w:pPr>
    </w:p>
    <w:p w14:paraId="6D272981" w14:textId="77777777" w:rsidR="00040F2E" w:rsidRPr="00B50DD9" w:rsidRDefault="00040F2E" w:rsidP="00040F2E">
      <w:pPr>
        <w:tabs>
          <w:tab w:val="left" w:pos="851"/>
        </w:tabs>
        <w:rPr>
          <w:b/>
          <w:sz w:val="24"/>
          <w:szCs w:val="24"/>
        </w:rPr>
      </w:pPr>
      <w:r w:rsidRPr="00B50DD9">
        <w:rPr>
          <w:b/>
          <w:sz w:val="24"/>
          <w:szCs w:val="24"/>
        </w:rPr>
        <w:t>9.</w:t>
      </w:r>
      <w:r w:rsidRPr="00B50DD9">
        <w:rPr>
          <w:b/>
          <w:sz w:val="24"/>
          <w:szCs w:val="24"/>
        </w:rPr>
        <w:tab/>
        <w:t>DATO FOR FØRSTE MARKEDSFØRINGSTILLADELSE</w:t>
      </w:r>
    </w:p>
    <w:p w14:paraId="127037AC" w14:textId="3B08C8CE" w:rsidR="00040F2E" w:rsidRPr="00B50DD9" w:rsidRDefault="00040F2E" w:rsidP="00040F2E">
      <w:pPr>
        <w:tabs>
          <w:tab w:val="left" w:pos="851"/>
        </w:tabs>
        <w:rPr>
          <w:sz w:val="24"/>
          <w:szCs w:val="24"/>
        </w:rPr>
      </w:pPr>
      <w:r w:rsidRPr="00B50DD9">
        <w:rPr>
          <w:sz w:val="24"/>
          <w:szCs w:val="24"/>
        </w:rPr>
        <w:tab/>
        <w:t>2. marts 2011</w:t>
      </w:r>
      <w:r w:rsidR="00097655">
        <w:rPr>
          <w:sz w:val="24"/>
          <w:szCs w:val="24"/>
        </w:rPr>
        <w:t xml:space="preserve"> (filmovertrukne tabletter 25, 100, 200 og 300 mg)</w:t>
      </w:r>
    </w:p>
    <w:p w14:paraId="7614740F" w14:textId="77777777" w:rsidR="00040F2E" w:rsidRPr="00B50DD9" w:rsidRDefault="00040F2E" w:rsidP="00040F2E">
      <w:pPr>
        <w:tabs>
          <w:tab w:val="left" w:pos="851"/>
        </w:tabs>
        <w:rPr>
          <w:sz w:val="24"/>
          <w:szCs w:val="24"/>
        </w:rPr>
      </w:pPr>
    </w:p>
    <w:p w14:paraId="09B55498" w14:textId="77777777" w:rsidR="00040F2E" w:rsidRPr="00B50DD9" w:rsidRDefault="00040F2E" w:rsidP="00040F2E">
      <w:pPr>
        <w:tabs>
          <w:tab w:val="left" w:pos="851"/>
        </w:tabs>
        <w:rPr>
          <w:b/>
          <w:sz w:val="24"/>
          <w:szCs w:val="24"/>
        </w:rPr>
      </w:pPr>
      <w:r w:rsidRPr="00B50DD9">
        <w:rPr>
          <w:b/>
          <w:sz w:val="24"/>
          <w:szCs w:val="24"/>
        </w:rPr>
        <w:t>10.</w:t>
      </w:r>
      <w:r w:rsidRPr="00B50DD9">
        <w:rPr>
          <w:b/>
          <w:sz w:val="24"/>
          <w:szCs w:val="24"/>
        </w:rPr>
        <w:tab/>
        <w:t>DATO FOR ÆNDRING AF TEKSTEN</w:t>
      </w:r>
    </w:p>
    <w:p w14:paraId="0C7B097D" w14:textId="2996DF81" w:rsidR="009260DE" w:rsidRPr="00040F2E" w:rsidRDefault="00040F2E" w:rsidP="00CA6E27">
      <w:pPr>
        <w:tabs>
          <w:tab w:val="left" w:pos="851"/>
        </w:tabs>
      </w:pPr>
      <w:r w:rsidRPr="00B50DD9">
        <w:rPr>
          <w:sz w:val="24"/>
          <w:szCs w:val="24"/>
        </w:rPr>
        <w:tab/>
      </w:r>
      <w:r w:rsidR="00D32F9E">
        <w:rPr>
          <w:sz w:val="24"/>
          <w:szCs w:val="24"/>
        </w:rPr>
        <w:t>26. februar 2025</w:t>
      </w:r>
    </w:p>
    <w:sectPr w:rsidR="009260DE" w:rsidRPr="00040F2E" w:rsidSect="000259B9">
      <w:footerReference w:type="default" r:id="rId8"/>
      <w:pgSz w:w="11906" w:h="16838" w:code="9"/>
      <w:pgMar w:top="851" w:right="1134" w:bottom="1701" w:left="1134"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1BFBC3C5" w14:textId="77777777" w:rsidR="002E3625" w:rsidRDefault="002E3625">
      <w:r>
        <w:separator/>
      </w:r>
    </w:p>
  </w:endnote>
  <w:endnote w:type="continuationSeparator" w:id="0">
    <w:p w14:paraId="124A8A00" w14:textId="77777777" w:rsidR="002E3625" w:rsidRDefault="002E3625">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Calibri Light">
    <w:panose1 w:val="020F0302020204030204"/>
    <w:charset w:val="00"/>
    <w:family w:val="swiss"/>
    <w:pitch w:val="variable"/>
    <w:sig w:usb0="E4002EFF" w:usb1="C000247B" w:usb2="00000009" w:usb3="00000000" w:csb0="000001FF" w:csb1="00000000"/>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B43802B" w14:textId="77777777" w:rsidR="002E3625" w:rsidRDefault="002E3625">
    <w:pPr>
      <w:pStyle w:val="Sidefod"/>
      <w:pBdr>
        <w:bottom w:val="single" w:sz="6" w:space="1" w:color="auto"/>
      </w:pBdr>
    </w:pPr>
  </w:p>
  <w:p w14:paraId="5798B009" w14:textId="77777777" w:rsidR="002E3625" w:rsidRDefault="002E3625" w:rsidP="00C42586">
    <w:pPr>
      <w:pStyle w:val="Sidefod"/>
      <w:tabs>
        <w:tab w:val="clear" w:pos="4819"/>
        <w:tab w:val="left" w:pos="8505"/>
      </w:tabs>
      <w:rPr>
        <w:i/>
        <w:sz w:val="18"/>
        <w:szCs w:val="18"/>
      </w:rPr>
    </w:pPr>
  </w:p>
  <w:p w14:paraId="17A62EE0" w14:textId="0ACDC19B" w:rsidR="002E3625" w:rsidRPr="00B373D7" w:rsidRDefault="002E3625" w:rsidP="00C42586">
    <w:pPr>
      <w:pStyle w:val="Sidefod"/>
      <w:tabs>
        <w:tab w:val="clear" w:pos="4819"/>
        <w:tab w:val="left" w:pos="8505"/>
      </w:tabs>
      <w:rPr>
        <w:i/>
        <w:sz w:val="18"/>
        <w:szCs w:val="18"/>
      </w:rPr>
    </w:pPr>
    <w:r w:rsidRPr="0083682F">
      <w:rPr>
        <w:i/>
        <w:sz w:val="18"/>
        <w:szCs w:val="18"/>
      </w:rPr>
      <w:t xml:space="preserve">Quetiapin Accord, filmovertrukne tabletter 25 mg, </w:t>
    </w:r>
    <w:r w:rsidR="00284B08">
      <w:rPr>
        <w:i/>
        <w:sz w:val="18"/>
        <w:szCs w:val="18"/>
      </w:rPr>
      <w:t xml:space="preserve">50 mg, </w:t>
    </w:r>
    <w:r w:rsidRPr="0083682F">
      <w:rPr>
        <w:i/>
        <w:sz w:val="18"/>
        <w:szCs w:val="18"/>
      </w:rPr>
      <w:t>100 mg, 200 mg</w:t>
    </w:r>
    <w:r w:rsidR="00284B08">
      <w:rPr>
        <w:i/>
        <w:sz w:val="18"/>
        <w:szCs w:val="18"/>
      </w:rPr>
      <w:t>,</w:t>
    </w:r>
    <w:r w:rsidRPr="0083682F">
      <w:rPr>
        <w:i/>
        <w:sz w:val="18"/>
        <w:szCs w:val="18"/>
      </w:rPr>
      <w:t xml:space="preserve"> 300 mg</w:t>
    </w:r>
    <w:r w:rsidR="00284B08">
      <w:rPr>
        <w:i/>
        <w:sz w:val="18"/>
        <w:szCs w:val="18"/>
      </w:rPr>
      <w:t xml:space="preserve"> og 400 mg</w:t>
    </w:r>
    <w:r w:rsidRPr="00B373D7">
      <w:rPr>
        <w:i/>
        <w:sz w:val="18"/>
        <w:szCs w:val="18"/>
      </w:rPr>
      <w:tab/>
      <w:t xml:space="preserve">Side </w:t>
    </w:r>
    <w:r w:rsidRPr="00B373D7">
      <w:rPr>
        <w:rStyle w:val="Sidetal"/>
        <w:i/>
        <w:sz w:val="18"/>
        <w:szCs w:val="18"/>
      </w:rPr>
      <w:fldChar w:fldCharType="begin"/>
    </w:r>
    <w:r w:rsidRPr="00B373D7">
      <w:rPr>
        <w:rStyle w:val="Sidetal"/>
        <w:i/>
        <w:sz w:val="18"/>
        <w:szCs w:val="18"/>
      </w:rPr>
      <w:instrText xml:space="preserve"> PAGE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r w:rsidRPr="00B373D7">
      <w:rPr>
        <w:rStyle w:val="Sidetal"/>
        <w:i/>
        <w:sz w:val="18"/>
        <w:szCs w:val="18"/>
      </w:rPr>
      <w:t xml:space="preserve"> af </w:t>
    </w:r>
    <w:r w:rsidRPr="00B373D7">
      <w:rPr>
        <w:rStyle w:val="Sidetal"/>
        <w:i/>
        <w:sz w:val="18"/>
        <w:szCs w:val="18"/>
      </w:rPr>
      <w:fldChar w:fldCharType="begin"/>
    </w:r>
    <w:r w:rsidRPr="00B373D7">
      <w:rPr>
        <w:rStyle w:val="Sidetal"/>
        <w:i/>
        <w:sz w:val="18"/>
        <w:szCs w:val="18"/>
      </w:rPr>
      <w:instrText xml:space="preserve"> NUMPAGES </w:instrText>
    </w:r>
    <w:r w:rsidRPr="00B373D7">
      <w:rPr>
        <w:rStyle w:val="Sidetal"/>
        <w:i/>
        <w:sz w:val="18"/>
        <w:szCs w:val="18"/>
      </w:rPr>
      <w:fldChar w:fldCharType="separate"/>
    </w:r>
    <w:r>
      <w:rPr>
        <w:rStyle w:val="Sidetal"/>
        <w:i/>
        <w:noProof/>
        <w:sz w:val="18"/>
        <w:szCs w:val="18"/>
      </w:rPr>
      <w:t>3</w:t>
    </w:r>
    <w:r w:rsidRPr="00B373D7">
      <w:rPr>
        <w:rStyle w:val="Sidetal"/>
        <w:i/>
        <w:sz w:val="18"/>
        <w:szCs w:val="18"/>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5F1F5E3C" w14:textId="77777777" w:rsidR="002E3625" w:rsidRDefault="002E3625">
      <w:r>
        <w:separator/>
      </w:r>
    </w:p>
  </w:footnote>
  <w:footnote w:type="continuationSeparator" w:id="0">
    <w:p w14:paraId="2B91D60B" w14:textId="77777777" w:rsidR="002E3625" w:rsidRDefault="002E3625">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14C1732C"/>
    <w:multiLevelType w:val="multilevel"/>
    <w:tmpl w:val="7BE2F61C"/>
    <w:lvl w:ilvl="0">
      <w:start w:val="6"/>
      <w:numFmt w:val="decimal"/>
      <w:lvlText w:val="%1"/>
      <w:lvlJc w:val="left"/>
      <w:pPr>
        <w:tabs>
          <w:tab w:val="num" w:pos="855"/>
        </w:tabs>
        <w:ind w:left="855" w:hanging="855"/>
      </w:pPr>
    </w:lvl>
    <w:lvl w:ilvl="1">
      <w:start w:val="1"/>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1" w15:restartNumberingAfterBreak="0">
    <w:nsid w:val="18802AC0"/>
    <w:multiLevelType w:val="hybridMultilevel"/>
    <w:tmpl w:val="A192FB6A"/>
    <w:lvl w:ilvl="0" w:tplc="584E354C">
      <w:start w:val="1"/>
      <w:numFmt w:val="bullet"/>
      <w:lvlText w:val="-"/>
      <w:lvlJc w:val="left"/>
      <w:pPr>
        <w:tabs>
          <w:tab w:val="num" w:pos="3114"/>
        </w:tabs>
        <w:ind w:left="3114" w:hanging="360"/>
      </w:pPr>
      <w:rPr>
        <w:rFonts w:hAnsi="Courier New" w:hint="default"/>
        <w:sz w:val="24"/>
        <w:szCs w:val="24"/>
        <w:lang w:val="da-DK"/>
      </w:rPr>
    </w:lvl>
    <w:lvl w:ilvl="1" w:tplc="04090001">
      <w:start w:val="1"/>
      <w:numFmt w:val="bullet"/>
      <w:lvlText w:val=""/>
      <w:lvlJc w:val="left"/>
      <w:pPr>
        <w:tabs>
          <w:tab w:val="num" w:pos="3834"/>
        </w:tabs>
        <w:ind w:left="3834" w:hanging="360"/>
      </w:pPr>
      <w:rPr>
        <w:rFonts w:ascii="Symbol" w:hAnsi="Symbol" w:hint="default"/>
        <w:sz w:val="24"/>
        <w:szCs w:val="24"/>
      </w:rPr>
    </w:lvl>
    <w:lvl w:ilvl="2" w:tplc="04090005">
      <w:start w:val="1"/>
      <w:numFmt w:val="decimal"/>
      <w:lvlText w:val="%3."/>
      <w:lvlJc w:val="left"/>
      <w:pPr>
        <w:tabs>
          <w:tab w:val="num" w:pos="4554"/>
        </w:tabs>
        <w:ind w:left="4554" w:hanging="360"/>
      </w:pPr>
    </w:lvl>
    <w:lvl w:ilvl="3" w:tplc="04090001">
      <w:start w:val="1"/>
      <w:numFmt w:val="decimal"/>
      <w:lvlText w:val="%4."/>
      <w:lvlJc w:val="left"/>
      <w:pPr>
        <w:tabs>
          <w:tab w:val="num" w:pos="5274"/>
        </w:tabs>
        <w:ind w:left="5274" w:hanging="360"/>
      </w:pPr>
    </w:lvl>
    <w:lvl w:ilvl="4" w:tplc="04090003">
      <w:start w:val="1"/>
      <w:numFmt w:val="decimal"/>
      <w:lvlText w:val="%5."/>
      <w:lvlJc w:val="left"/>
      <w:pPr>
        <w:tabs>
          <w:tab w:val="num" w:pos="5994"/>
        </w:tabs>
        <w:ind w:left="5994" w:hanging="360"/>
      </w:pPr>
    </w:lvl>
    <w:lvl w:ilvl="5" w:tplc="04090005">
      <w:start w:val="1"/>
      <w:numFmt w:val="decimal"/>
      <w:lvlText w:val="%6."/>
      <w:lvlJc w:val="left"/>
      <w:pPr>
        <w:tabs>
          <w:tab w:val="num" w:pos="6714"/>
        </w:tabs>
        <w:ind w:left="6714" w:hanging="360"/>
      </w:pPr>
    </w:lvl>
    <w:lvl w:ilvl="6" w:tplc="04090001">
      <w:start w:val="1"/>
      <w:numFmt w:val="decimal"/>
      <w:lvlText w:val="%7."/>
      <w:lvlJc w:val="left"/>
      <w:pPr>
        <w:tabs>
          <w:tab w:val="num" w:pos="7434"/>
        </w:tabs>
        <w:ind w:left="7434" w:hanging="360"/>
      </w:pPr>
    </w:lvl>
    <w:lvl w:ilvl="7" w:tplc="04090003">
      <w:start w:val="1"/>
      <w:numFmt w:val="decimal"/>
      <w:lvlText w:val="%8."/>
      <w:lvlJc w:val="left"/>
      <w:pPr>
        <w:tabs>
          <w:tab w:val="num" w:pos="8154"/>
        </w:tabs>
        <w:ind w:left="8154" w:hanging="360"/>
      </w:pPr>
    </w:lvl>
    <w:lvl w:ilvl="8" w:tplc="04090005">
      <w:start w:val="1"/>
      <w:numFmt w:val="decimal"/>
      <w:lvlText w:val="%9."/>
      <w:lvlJc w:val="left"/>
      <w:pPr>
        <w:tabs>
          <w:tab w:val="num" w:pos="8874"/>
        </w:tabs>
        <w:ind w:left="8874" w:hanging="360"/>
      </w:pPr>
    </w:lvl>
  </w:abstractNum>
  <w:abstractNum w:abstractNumId="2" w15:restartNumberingAfterBreak="0">
    <w:nsid w:val="2E313724"/>
    <w:multiLevelType w:val="hybridMultilevel"/>
    <w:tmpl w:val="037AD67C"/>
    <w:lvl w:ilvl="0" w:tplc="66CE6CA4">
      <w:start w:val="1"/>
      <w:numFmt w:val="bullet"/>
      <w:lvlText w:val="o"/>
      <w:lvlJc w:val="left"/>
      <w:pPr>
        <w:tabs>
          <w:tab w:val="num" w:pos="3114"/>
        </w:tabs>
        <w:ind w:left="3114" w:hanging="360"/>
      </w:pPr>
      <w:rPr>
        <w:rFonts w:ascii="Times New Roman" w:hAnsi="Times New Roman" w:cs="Times New Roman" w:hint="default"/>
        <w:sz w:val="24"/>
        <w:szCs w:val="24"/>
      </w:rPr>
    </w:lvl>
    <w:lvl w:ilvl="1" w:tplc="04090001">
      <w:start w:val="1"/>
      <w:numFmt w:val="bullet"/>
      <w:lvlText w:val=""/>
      <w:lvlJc w:val="left"/>
      <w:pPr>
        <w:tabs>
          <w:tab w:val="num" w:pos="3834"/>
        </w:tabs>
        <w:ind w:left="3834" w:hanging="360"/>
      </w:pPr>
      <w:rPr>
        <w:rFonts w:ascii="Symbol" w:hAnsi="Symbol" w:hint="default"/>
        <w:sz w:val="24"/>
        <w:szCs w:val="24"/>
      </w:rPr>
    </w:lvl>
    <w:lvl w:ilvl="2" w:tplc="04090005">
      <w:start w:val="1"/>
      <w:numFmt w:val="decimal"/>
      <w:lvlText w:val="%3."/>
      <w:lvlJc w:val="left"/>
      <w:pPr>
        <w:tabs>
          <w:tab w:val="num" w:pos="4554"/>
        </w:tabs>
        <w:ind w:left="4554" w:hanging="360"/>
      </w:pPr>
    </w:lvl>
    <w:lvl w:ilvl="3" w:tplc="04090001">
      <w:start w:val="1"/>
      <w:numFmt w:val="decimal"/>
      <w:lvlText w:val="%4."/>
      <w:lvlJc w:val="left"/>
      <w:pPr>
        <w:tabs>
          <w:tab w:val="num" w:pos="5274"/>
        </w:tabs>
        <w:ind w:left="5274" w:hanging="360"/>
      </w:pPr>
    </w:lvl>
    <w:lvl w:ilvl="4" w:tplc="04090003">
      <w:start w:val="1"/>
      <w:numFmt w:val="decimal"/>
      <w:lvlText w:val="%5."/>
      <w:lvlJc w:val="left"/>
      <w:pPr>
        <w:tabs>
          <w:tab w:val="num" w:pos="5994"/>
        </w:tabs>
        <w:ind w:left="5994" w:hanging="360"/>
      </w:pPr>
    </w:lvl>
    <w:lvl w:ilvl="5" w:tplc="04090005">
      <w:start w:val="1"/>
      <w:numFmt w:val="decimal"/>
      <w:lvlText w:val="%6."/>
      <w:lvlJc w:val="left"/>
      <w:pPr>
        <w:tabs>
          <w:tab w:val="num" w:pos="6714"/>
        </w:tabs>
        <w:ind w:left="6714" w:hanging="360"/>
      </w:pPr>
    </w:lvl>
    <w:lvl w:ilvl="6" w:tplc="04090001">
      <w:start w:val="1"/>
      <w:numFmt w:val="decimal"/>
      <w:lvlText w:val="%7."/>
      <w:lvlJc w:val="left"/>
      <w:pPr>
        <w:tabs>
          <w:tab w:val="num" w:pos="7434"/>
        </w:tabs>
        <w:ind w:left="7434" w:hanging="360"/>
      </w:pPr>
    </w:lvl>
    <w:lvl w:ilvl="7" w:tplc="04090003">
      <w:start w:val="1"/>
      <w:numFmt w:val="decimal"/>
      <w:lvlText w:val="%8."/>
      <w:lvlJc w:val="left"/>
      <w:pPr>
        <w:tabs>
          <w:tab w:val="num" w:pos="8154"/>
        </w:tabs>
        <w:ind w:left="8154" w:hanging="360"/>
      </w:pPr>
    </w:lvl>
    <w:lvl w:ilvl="8" w:tplc="04090005">
      <w:start w:val="1"/>
      <w:numFmt w:val="decimal"/>
      <w:lvlText w:val="%9."/>
      <w:lvlJc w:val="left"/>
      <w:pPr>
        <w:tabs>
          <w:tab w:val="num" w:pos="8874"/>
        </w:tabs>
        <w:ind w:left="8874" w:hanging="360"/>
      </w:pPr>
    </w:lvl>
  </w:abstractNum>
  <w:abstractNum w:abstractNumId="3" w15:restartNumberingAfterBreak="0">
    <w:nsid w:val="3397578A"/>
    <w:multiLevelType w:val="multilevel"/>
    <w:tmpl w:val="392232EE"/>
    <w:lvl w:ilvl="0">
      <w:start w:val="5"/>
      <w:numFmt w:val="decimal"/>
      <w:lvlText w:val="%1"/>
      <w:lvlJc w:val="left"/>
      <w:pPr>
        <w:tabs>
          <w:tab w:val="num" w:pos="855"/>
        </w:tabs>
        <w:ind w:left="855" w:hanging="855"/>
      </w:pPr>
    </w:lvl>
    <w:lvl w:ilvl="1">
      <w:start w:val="3"/>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4" w15:restartNumberingAfterBreak="0">
    <w:nsid w:val="364660C3"/>
    <w:multiLevelType w:val="multilevel"/>
    <w:tmpl w:val="DAF0ED20"/>
    <w:lvl w:ilvl="0">
      <w:start w:val="5"/>
      <w:numFmt w:val="decimal"/>
      <w:lvlText w:val="%1.0"/>
      <w:lvlJc w:val="left"/>
      <w:pPr>
        <w:tabs>
          <w:tab w:val="num" w:pos="855"/>
        </w:tabs>
        <w:ind w:left="855" w:hanging="855"/>
      </w:pPr>
    </w:lvl>
    <w:lvl w:ilvl="1">
      <w:start w:val="1"/>
      <w:numFmt w:val="decimal"/>
      <w:lvlText w:val="%1.%2"/>
      <w:lvlJc w:val="left"/>
      <w:pPr>
        <w:tabs>
          <w:tab w:val="num" w:pos="2159"/>
        </w:tabs>
        <w:ind w:left="2159" w:hanging="855"/>
      </w:pPr>
    </w:lvl>
    <w:lvl w:ilvl="2">
      <w:start w:val="1"/>
      <w:numFmt w:val="decimal"/>
      <w:lvlText w:val="%1.%2.%3"/>
      <w:lvlJc w:val="left"/>
      <w:pPr>
        <w:tabs>
          <w:tab w:val="num" w:pos="3463"/>
        </w:tabs>
        <w:ind w:left="3463" w:hanging="855"/>
      </w:pPr>
    </w:lvl>
    <w:lvl w:ilvl="3">
      <w:start w:val="1"/>
      <w:numFmt w:val="decimal"/>
      <w:lvlText w:val="%1.%2.%3.%4"/>
      <w:lvlJc w:val="left"/>
      <w:pPr>
        <w:tabs>
          <w:tab w:val="num" w:pos="4767"/>
        </w:tabs>
        <w:ind w:left="4767" w:hanging="855"/>
      </w:pPr>
    </w:lvl>
    <w:lvl w:ilvl="4">
      <w:start w:val="1"/>
      <w:numFmt w:val="decimal"/>
      <w:lvlText w:val="%1.%2.%3.%4.%5"/>
      <w:lvlJc w:val="left"/>
      <w:pPr>
        <w:tabs>
          <w:tab w:val="num" w:pos="6296"/>
        </w:tabs>
        <w:ind w:left="6296" w:hanging="1080"/>
      </w:pPr>
    </w:lvl>
    <w:lvl w:ilvl="5">
      <w:start w:val="1"/>
      <w:numFmt w:val="decimal"/>
      <w:lvlText w:val="%1.%2.%3.%4.%5.%6"/>
      <w:lvlJc w:val="left"/>
      <w:pPr>
        <w:tabs>
          <w:tab w:val="num" w:pos="7600"/>
        </w:tabs>
        <w:ind w:left="7600" w:hanging="1080"/>
      </w:pPr>
    </w:lvl>
    <w:lvl w:ilvl="6">
      <w:start w:val="1"/>
      <w:numFmt w:val="decimal"/>
      <w:lvlText w:val="%1.%2.%3.%4.%5.%6.%7"/>
      <w:lvlJc w:val="left"/>
      <w:pPr>
        <w:tabs>
          <w:tab w:val="num" w:pos="9264"/>
        </w:tabs>
        <w:ind w:left="9264" w:hanging="1440"/>
      </w:pPr>
    </w:lvl>
    <w:lvl w:ilvl="7">
      <w:start w:val="1"/>
      <w:numFmt w:val="decimal"/>
      <w:lvlText w:val="%1.%2.%3.%4.%5.%6.%7.%8"/>
      <w:lvlJc w:val="left"/>
      <w:pPr>
        <w:tabs>
          <w:tab w:val="num" w:pos="10568"/>
        </w:tabs>
        <w:ind w:left="10568" w:hanging="1440"/>
      </w:pPr>
    </w:lvl>
    <w:lvl w:ilvl="8">
      <w:start w:val="1"/>
      <w:numFmt w:val="decimal"/>
      <w:lvlText w:val="%1.%2.%3.%4.%5.%6.%7.%8.%9"/>
      <w:lvlJc w:val="left"/>
      <w:pPr>
        <w:tabs>
          <w:tab w:val="num" w:pos="12232"/>
        </w:tabs>
        <w:ind w:left="12232" w:hanging="1800"/>
      </w:pPr>
    </w:lvl>
  </w:abstractNum>
  <w:abstractNum w:abstractNumId="5" w15:restartNumberingAfterBreak="0">
    <w:nsid w:val="405C5D3C"/>
    <w:multiLevelType w:val="multilevel"/>
    <w:tmpl w:val="9CBC71DC"/>
    <w:lvl w:ilvl="0">
      <w:numFmt w:val="decimal"/>
      <w:lvlText w:val="%1."/>
      <w:lvlJc w:val="left"/>
      <w:pPr>
        <w:tabs>
          <w:tab w:val="num" w:pos="855"/>
        </w:tabs>
        <w:ind w:left="855" w:hanging="855"/>
      </w:pPr>
    </w:lvl>
    <w:lvl w:ilvl="1">
      <w:start w:val="1"/>
      <w:numFmt w:val="decimal"/>
      <w:isLgl/>
      <w:lvlText w:val="%1.%2"/>
      <w:lvlJc w:val="left"/>
      <w:pPr>
        <w:tabs>
          <w:tab w:val="num" w:pos="855"/>
        </w:tabs>
        <w:ind w:left="855" w:hanging="855"/>
      </w:pPr>
      <w:rPr>
        <w:strike w:val="0"/>
        <w:dstrike w:val="0"/>
        <w:u w:val="none"/>
        <w:effect w:val="none"/>
      </w:rPr>
    </w:lvl>
    <w:lvl w:ilvl="2">
      <w:start w:val="1"/>
      <w:numFmt w:val="decimal"/>
      <w:isLgl/>
      <w:lvlText w:val="%1.%2.%3"/>
      <w:lvlJc w:val="left"/>
      <w:pPr>
        <w:tabs>
          <w:tab w:val="num" w:pos="855"/>
        </w:tabs>
        <w:ind w:left="855" w:hanging="855"/>
      </w:pPr>
      <w:rPr>
        <w:strike w:val="0"/>
        <w:dstrike w:val="0"/>
        <w:u w:val="none"/>
        <w:effect w:val="none"/>
      </w:rPr>
    </w:lvl>
    <w:lvl w:ilvl="3">
      <w:start w:val="1"/>
      <w:numFmt w:val="decimal"/>
      <w:isLgl/>
      <w:lvlText w:val="%1.%2.%3.%4"/>
      <w:lvlJc w:val="left"/>
      <w:pPr>
        <w:tabs>
          <w:tab w:val="num" w:pos="855"/>
        </w:tabs>
        <w:ind w:left="855" w:hanging="855"/>
      </w:pPr>
      <w:rPr>
        <w:strike w:val="0"/>
        <w:dstrike w:val="0"/>
        <w:u w:val="none"/>
        <w:effect w:val="none"/>
      </w:rPr>
    </w:lvl>
    <w:lvl w:ilvl="4">
      <w:start w:val="1"/>
      <w:numFmt w:val="decimal"/>
      <w:isLgl/>
      <w:lvlText w:val="%1.%2.%3.%4.%5"/>
      <w:lvlJc w:val="left"/>
      <w:pPr>
        <w:tabs>
          <w:tab w:val="num" w:pos="1080"/>
        </w:tabs>
        <w:ind w:left="1080" w:hanging="1080"/>
      </w:pPr>
      <w:rPr>
        <w:strike w:val="0"/>
        <w:dstrike w:val="0"/>
        <w:u w:val="none"/>
        <w:effect w:val="none"/>
      </w:rPr>
    </w:lvl>
    <w:lvl w:ilvl="5">
      <w:start w:val="1"/>
      <w:numFmt w:val="decimal"/>
      <w:isLgl/>
      <w:lvlText w:val="%1.%2.%3.%4.%5.%6"/>
      <w:lvlJc w:val="left"/>
      <w:pPr>
        <w:tabs>
          <w:tab w:val="num" w:pos="1080"/>
        </w:tabs>
        <w:ind w:left="1080" w:hanging="1080"/>
      </w:pPr>
      <w:rPr>
        <w:strike w:val="0"/>
        <w:dstrike w:val="0"/>
        <w:u w:val="none"/>
        <w:effect w:val="none"/>
      </w:rPr>
    </w:lvl>
    <w:lvl w:ilvl="6">
      <w:start w:val="1"/>
      <w:numFmt w:val="decimal"/>
      <w:isLgl/>
      <w:lvlText w:val="%1.%2.%3.%4.%5.%6.%7"/>
      <w:lvlJc w:val="left"/>
      <w:pPr>
        <w:tabs>
          <w:tab w:val="num" w:pos="1440"/>
        </w:tabs>
        <w:ind w:left="1440" w:hanging="1440"/>
      </w:pPr>
      <w:rPr>
        <w:strike w:val="0"/>
        <w:dstrike w:val="0"/>
        <w:u w:val="none"/>
        <w:effect w:val="none"/>
      </w:rPr>
    </w:lvl>
    <w:lvl w:ilvl="7">
      <w:start w:val="1"/>
      <w:numFmt w:val="decimal"/>
      <w:isLgl/>
      <w:lvlText w:val="%1.%2.%3.%4.%5.%6.%7.%8"/>
      <w:lvlJc w:val="left"/>
      <w:pPr>
        <w:tabs>
          <w:tab w:val="num" w:pos="1440"/>
        </w:tabs>
        <w:ind w:left="1440" w:hanging="1440"/>
      </w:pPr>
      <w:rPr>
        <w:strike w:val="0"/>
        <w:dstrike w:val="0"/>
        <w:u w:val="none"/>
        <w:effect w:val="none"/>
      </w:rPr>
    </w:lvl>
    <w:lvl w:ilvl="8">
      <w:start w:val="1"/>
      <w:numFmt w:val="decimal"/>
      <w:isLgl/>
      <w:lvlText w:val="%1.%2.%3.%4.%5.%6.%7.%8.%9"/>
      <w:lvlJc w:val="left"/>
      <w:pPr>
        <w:tabs>
          <w:tab w:val="num" w:pos="1800"/>
        </w:tabs>
        <w:ind w:left="1800" w:hanging="1800"/>
      </w:pPr>
      <w:rPr>
        <w:strike w:val="0"/>
        <w:dstrike w:val="0"/>
        <w:u w:val="none"/>
        <w:effect w:val="none"/>
      </w:rPr>
    </w:lvl>
  </w:abstractNum>
  <w:abstractNum w:abstractNumId="6" w15:restartNumberingAfterBreak="0">
    <w:nsid w:val="55542CAA"/>
    <w:multiLevelType w:val="multilevel"/>
    <w:tmpl w:val="6E481CAC"/>
    <w:lvl w:ilvl="0">
      <w:start w:val="5"/>
      <w:numFmt w:val="decimal"/>
      <w:lvlText w:val="%1."/>
      <w:lvlJc w:val="left"/>
      <w:pPr>
        <w:tabs>
          <w:tab w:val="num" w:pos="855"/>
        </w:tabs>
        <w:ind w:left="855" w:hanging="855"/>
      </w:pPr>
    </w:lvl>
    <w:lvl w:ilvl="1">
      <w:start w:val="2"/>
      <w:numFmt w:val="decimal"/>
      <w:lvlText w:val="%1.%2"/>
      <w:lvlJc w:val="left"/>
      <w:pPr>
        <w:tabs>
          <w:tab w:val="num" w:pos="855"/>
        </w:tabs>
        <w:ind w:left="855" w:hanging="855"/>
      </w:pPr>
    </w:lvl>
    <w:lvl w:ilvl="2">
      <w:start w:val="1"/>
      <w:numFmt w:val="decimal"/>
      <w:lvlText w:val="%1.%2.%3."/>
      <w:lvlJc w:val="left"/>
      <w:pPr>
        <w:tabs>
          <w:tab w:val="num" w:pos="855"/>
        </w:tabs>
        <w:ind w:left="855" w:hanging="855"/>
      </w:pPr>
    </w:lvl>
    <w:lvl w:ilvl="3">
      <w:start w:val="1"/>
      <w:numFmt w:val="decimal"/>
      <w:lvlText w:val="%1.%2.%3.%4."/>
      <w:lvlJc w:val="left"/>
      <w:pPr>
        <w:tabs>
          <w:tab w:val="num" w:pos="855"/>
        </w:tabs>
        <w:ind w:left="855" w:hanging="855"/>
      </w:pPr>
    </w:lvl>
    <w:lvl w:ilvl="4">
      <w:start w:val="1"/>
      <w:numFmt w:val="decimal"/>
      <w:lvlText w:val="%1.%2.%3.%4.%5."/>
      <w:lvlJc w:val="left"/>
      <w:pPr>
        <w:tabs>
          <w:tab w:val="num" w:pos="1080"/>
        </w:tabs>
        <w:ind w:left="1080" w:hanging="1080"/>
      </w:pPr>
    </w:lvl>
    <w:lvl w:ilvl="5">
      <w:start w:val="1"/>
      <w:numFmt w:val="decimal"/>
      <w:lvlText w:val="%1.%2.%3.%4.%5.%6."/>
      <w:lvlJc w:val="left"/>
      <w:pPr>
        <w:tabs>
          <w:tab w:val="num" w:pos="1080"/>
        </w:tabs>
        <w:ind w:left="1080" w:hanging="1080"/>
      </w:pPr>
    </w:lvl>
    <w:lvl w:ilvl="6">
      <w:start w:val="1"/>
      <w:numFmt w:val="decimal"/>
      <w:lvlText w:val="%1.%2.%3.%4.%5.%6.%7."/>
      <w:lvlJc w:val="left"/>
      <w:pPr>
        <w:tabs>
          <w:tab w:val="num" w:pos="1440"/>
        </w:tabs>
        <w:ind w:left="1440" w:hanging="1440"/>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800"/>
        </w:tabs>
        <w:ind w:left="1800" w:hanging="1800"/>
      </w:pPr>
    </w:lvl>
  </w:abstractNum>
  <w:abstractNum w:abstractNumId="7" w15:restartNumberingAfterBreak="0">
    <w:nsid w:val="66A51FB1"/>
    <w:multiLevelType w:val="hybridMultilevel"/>
    <w:tmpl w:val="C12663D4"/>
    <w:lvl w:ilvl="0" w:tplc="6A18AC34">
      <w:start w:val="1"/>
      <w:numFmt w:val="decimal"/>
      <w:lvlText w:val="(%1)"/>
      <w:lvlJc w:val="left"/>
      <w:pPr>
        <w:ind w:left="720" w:hanging="360"/>
      </w:pPr>
      <w:rPr>
        <w:rFonts w:hint="default"/>
      </w:r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abstractNum w:abstractNumId="8" w15:restartNumberingAfterBreak="0">
    <w:nsid w:val="716E571F"/>
    <w:multiLevelType w:val="hybridMultilevel"/>
    <w:tmpl w:val="117AC9D8"/>
    <w:lvl w:ilvl="0" w:tplc="0406000F">
      <w:start w:val="1"/>
      <w:numFmt w:val="decimal"/>
      <w:lvlText w:val="%1."/>
      <w:lvlJc w:val="left"/>
      <w:pPr>
        <w:ind w:left="720" w:hanging="360"/>
      </w:pPr>
    </w:lvl>
    <w:lvl w:ilvl="1" w:tplc="04060019" w:tentative="1">
      <w:start w:val="1"/>
      <w:numFmt w:val="lowerLetter"/>
      <w:lvlText w:val="%2."/>
      <w:lvlJc w:val="left"/>
      <w:pPr>
        <w:ind w:left="1440" w:hanging="360"/>
      </w:pPr>
    </w:lvl>
    <w:lvl w:ilvl="2" w:tplc="0406001B" w:tentative="1">
      <w:start w:val="1"/>
      <w:numFmt w:val="lowerRoman"/>
      <w:lvlText w:val="%3."/>
      <w:lvlJc w:val="right"/>
      <w:pPr>
        <w:ind w:left="2160" w:hanging="180"/>
      </w:pPr>
    </w:lvl>
    <w:lvl w:ilvl="3" w:tplc="0406000F" w:tentative="1">
      <w:start w:val="1"/>
      <w:numFmt w:val="decimal"/>
      <w:lvlText w:val="%4."/>
      <w:lvlJc w:val="left"/>
      <w:pPr>
        <w:ind w:left="2880" w:hanging="360"/>
      </w:pPr>
    </w:lvl>
    <w:lvl w:ilvl="4" w:tplc="04060019" w:tentative="1">
      <w:start w:val="1"/>
      <w:numFmt w:val="lowerLetter"/>
      <w:lvlText w:val="%5."/>
      <w:lvlJc w:val="left"/>
      <w:pPr>
        <w:ind w:left="3600" w:hanging="360"/>
      </w:pPr>
    </w:lvl>
    <w:lvl w:ilvl="5" w:tplc="0406001B" w:tentative="1">
      <w:start w:val="1"/>
      <w:numFmt w:val="lowerRoman"/>
      <w:lvlText w:val="%6."/>
      <w:lvlJc w:val="right"/>
      <w:pPr>
        <w:ind w:left="4320" w:hanging="180"/>
      </w:pPr>
    </w:lvl>
    <w:lvl w:ilvl="6" w:tplc="0406000F" w:tentative="1">
      <w:start w:val="1"/>
      <w:numFmt w:val="decimal"/>
      <w:lvlText w:val="%7."/>
      <w:lvlJc w:val="left"/>
      <w:pPr>
        <w:ind w:left="5040" w:hanging="360"/>
      </w:pPr>
    </w:lvl>
    <w:lvl w:ilvl="7" w:tplc="04060019" w:tentative="1">
      <w:start w:val="1"/>
      <w:numFmt w:val="lowerLetter"/>
      <w:lvlText w:val="%8."/>
      <w:lvlJc w:val="left"/>
      <w:pPr>
        <w:ind w:left="5760" w:hanging="360"/>
      </w:pPr>
    </w:lvl>
    <w:lvl w:ilvl="8" w:tplc="0406001B" w:tentative="1">
      <w:start w:val="1"/>
      <w:numFmt w:val="lowerRoman"/>
      <w:lvlText w:val="%9."/>
      <w:lvlJc w:val="right"/>
      <w:pPr>
        <w:ind w:left="6480" w:hanging="180"/>
      </w:pPr>
    </w:lvl>
  </w:abstractNum>
  <w:num w:numId="1">
    <w:abstractNumId w:val="5"/>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4"/>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5"/>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3"/>
    <w:lvlOverride w:ilvl="0">
      <w:startOverride w:val="5"/>
    </w:lvlOverride>
    <w:lvlOverride w:ilvl="1">
      <w:startOverride w:val="3"/>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0"/>
    <w:lvlOverride w:ilvl="0">
      <w:startOverride w:val="6"/>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1"/>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abstractNumId w:val="2"/>
    <w:lvlOverride w:ilvl="0"/>
    <w:lvlOverride w:ilvl="1"/>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1304"/>
  <w:hyphenationZone w:val="425"/>
  <w:displayHorizontalDrawingGridEvery w:val="0"/>
  <w:displayVerticalDrawingGridEvery w:val="0"/>
  <w:doNotUseMarginsForDrawingGridOrigin/>
  <w:noPunctuationKerning/>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0F2E"/>
    <w:rsid w:val="000259B9"/>
    <w:rsid w:val="00040F2E"/>
    <w:rsid w:val="00041491"/>
    <w:rsid w:val="00050D16"/>
    <w:rsid w:val="00074F2A"/>
    <w:rsid w:val="00097655"/>
    <w:rsid w:val="000A1CA8"/>
    <w:rsid w:val="000A466B"/>
    <w:rsid w:val="000B058C"/>
    <w:rsid w:val="000E4EE6"/>
    <w:rsid w:val="00120640"/>
    <w:rsid w:val="00143787"/>
    <w:rsid w:val="001454E2"/>
    <w:rsid w:val="00171460"/>
    <w:rsid w:val="00206CE8"/>
    <w:rsid w:val="0021526C"/>
    <w:rsid w:val="00283A2B"/>
    <w:rsid w:val="00284B08"/>
    <w:rsid w:val="002B30AD"/>
    <w:rsid w:val="002C2C01"/>
    <w:rsid w:val="002E3625"/>
    <w:rsid w:val="003A29AE"/>
    <w:rsid w:val="003A32D7"/>
    <w:rsid w:val="003B4074"/>
    <w:rsid w:val="003C4B5C"/>
    <w:rsid w:val="003C6874"/>
    <w:rsid w:val="003C769A"/>
    <w:rsid w:val="003F1838"/>
    <w:rsid w:val="0041243D"/>
    <w:rsid w:val="00442823"/>
    <w:rsid w:val="0045746C"/>
    <w:rsid w:val="0049104B"/>
    <w:rsid w:val="004E3B12"/>
    <w:rsid w:val="00532310"/>
    <w:rsid w:val="005605CE"/>
    <w:rsid w:val="00560ECC"/>
    <w:rsid w:val="00565F0F"/>
    <w:rsid w:val="00582EF9"/>
    <w:rsid w:val="00594A86"/>
    <w:rsid w:val="00596D86"/>
    <w:rsid w:val="0061479D"/>
    <w:rsid w:val="00637F5A"/>
    <w:rsid w:val="006509EB"/>
    <w:rsid w:val="006560B1"/>
    <w:rsid w:val="006756DD"/>
    <w:rsid w:val="0067627C"/>
    <w:rsid w:val="006845CF"/>
    <w:rsid w:val="00737275"/>
    <w:rsid w:val="00740EEC"/>
    <w:rsid w:val="0078011A"/>
    <w:rsid w:val="00782AF4"/>
    <w:rsid w:val="00790EE7"/>
    <w:rsid w:val="007B0A4C"/>
    <w:rsid w:val="007B6649"/>
    <w:rsid w:val="0081546F"/>
    <w:rsid w:val="0082576E"/>
    <w:rsid w:val="0083682F"/>
    <w:rsid w:val="00907F75"/>
    <w:rsid w:val="00922438"/>
    <w:rsid w:val="009260DE"/>
    <w:rsid w:val="0093258A"/>
    <w:rsid w:val="009C2D22"/>
    <w:rsid w:val="009C7BA3"/>
    <w:rsid w:val="009D1F5A"/>
    <w:rsid w:val="009E7E2D"/>
    <w:rsid w:val="00A07A23"/>
    <w:rsid w:val="00A504C3"/>
    <w:rsid w:val="00A9786E"/>
    <w:rsid w:val="00AD211C"/>
    <w:rsid w:val="00AD2389"/>
    <w:rsid w:val="00AD2C2A"/>
    <w:rsid w:val="00B003BF"/>
    <w:rsid w:val="00B373D7"/>
    <w:rsid w:val="00C36276"/>
    <w:rsid w:val="00C42586"/>
    <w:rsid w:val="00C60CCD"/>
    <w:rsid w:val="00C73B9E"/>
    <w:rsid w:val="00C84483"/>
    <w:rsid w:val="00C95551"/>
    <w:rsid w:val="00CA6E27"/>
    <w:rsid w:val="00CB20D7"/>
    <w:rsid w:val="00CF52AE"/>
    <w:rsid w:val="00D020B0"/>
    <w:rsid w:val="00D11748"/>
    <w:rsid w:val="00D32F9E"/>
    <w:rsid w:val="00D366CF"/>
    <w:rsid w:val="00DA7DCD"/>
    <w:rsid w:val="00DC39FD"/>
    <w:rsid w:val="00DD06F5"/>
    <w:rsid w:val="00DE7AAA"/>
    <w:rsid w:val="00E108AA"/>
    <w:rsid w:val="00E31812"/>
    <w:rsid w:val="00E3749A"/>
    <w:rsid w:val="00E679C8"/>
    <w:rsid w:val="00E7437F"/>
    <w:rsid w:val="00E865B8"/>
    <w:rsid w:val="00EC0B9B"/>
    <w:rsid w:val="00ED5E9F"/>
    <w:rsid w:val="00EF5C58"/>
    <w:rsid w:val="00F52F60"/>
    <w:rsid w:val="00F66D4F"/>
    <w:rsid w:val="00FB6D01"/>
    <w:rsid w:val="00FF6090"/>
  </w:rsids>
  <m:mathPr>
    <m:mathFont m:val="Cambria Math"/>
    <m:brkBin m:val="before"/>
    <m:brkBinSub m:val="--"/>
    <m:smallFrac m:val="0"/>
    <m:dispDef/>
    <m:lMargin m:val="0"/>
    <m:rMargin m:val="0"/>
    <m:defJc m:val="centerGroup"/>
    <m:wrapIndent m:val="1440"/>
    <m:intLim m:val="subSup"/>
    <m:naryLim m:val="undOvr"/>
  </m:mathPr>
  <w:themeFontLang w:val="da-DK"/>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0B7C3ED1"/>
  <w15:chartTrackingRefBased/>
  <w15:docId w15:val="{1384E3D7-AA2E-4A3F-A3B4-BF29EB84C8A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da-DK" w:eastAsia="da-DK"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uiPriority="9"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0"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0"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582EF9"/>
    <w:rPr>
      <w:sz w:val="23"/>
      <w:lang w:eastAsia="en-US"/>
    </w:rPr>
  </w:style>
  <w:style w:type="paragraph" w:styleId="Overskrift1">
    <w:name w:val="heading 1"/>
    <w:basedOn w:val="Normal"/>
    <w:next w:val="Normal"/>
    <w:qFormat/>
    <w:rsid w:val="00FB6D01"/>
    <w:pPr>
      <w:keepNext/>
      <w:spacing w:before="240" w:after="60"/>
      <w:outlineLvl w:val="0"/>
    </w:pPr>
    <w:rPr>
      <w:rFonts w:ascii="Arial" w:hAnsi="Arial"/>
      <w:b/>
      <w:kern w:val="28"/>
      <w:sz w:val="28"/>
    </w:rPr>
  </w:style>
  <w:style w:type="paragraph" w:styleId="Overskrift3">
    <w:name w:val="heading 3"/>
    <w:basedOn w:val="Normal"/>
    <w:next w:val="Normal"/>
    <w:qFormat/>
    <w:rsid w:val="00FB6D01"/>
    <w:pPr>
      <w:keepNext/>
      <w:spacing w:before="240" w:after="60"/>
      <w:outlineLvl w:val="2"/>
    </w:pPr>
    <w:rPr>
      <w:rFonts w:ascii="Arial" w:hAnsi="Arial"/>
      <w:sz w:val="24"/>
    </w:rPr>
  </w:style>
  <w:style w:type="paragraph" w:styleId="Overskrift7">
    <w:name w:val="heading 7"/>
    <w:basedOn w:val="Normal"/>
    <w:next w:val="Normal"/>
    <w:link w:val="Overskrift7Tegn"/>
    <w:qFormat/>
    <w:rsid w:val="00040F2E"/>
    <w:pPr>
      <w:keepNext/>
      <w:outlineLvl w:val="6"/>
    </w:pPr>
    <w:rPr>
      <w:b/>
      <w:sz w:val="20"/>
      <w:szCs w:val="24"/>
      <w:lang w:val="en-US"/>
    </w:rPr>
  </w:style>
  <w:style w:type="character" w:default="1" w:styleId="Standardskrifttypeiafsnit">
    <w:name w:val="Default Paragraph Font"/>
    <w:uiPriority w:val="1"/>
    <w:semiHidden/>
    <w:unhideWhenUsed/>
  </w:style>
  <w:style w:type="table" w:default="1" w:styleId="Tabel-Normal">
    <w:name w:val="Normal Table"/>
    <w:uiPriority w:val="99"/>
    <w:semiHidden/>
    <w:unhideWhenUsed/>
    <w:tblPr>
      <w:tblInd w:w="0" w:type="dxa"/>
      <w:tblCellMar>
        <w:top w:w="0" w:type="dxa"/>
        <w:left w:w="108" w:type="dxa"/>
        <w:bottom w:w="0" w:type="dxa"/>
        <w:right w:w="108" w:type="dxa"/>
      </w:tblCellMar>
    </w:tblPr>
  </w:style>
  <w:style w:type="numbering" w:default="1" w:styleId="Ingenoversigt">
    <w:name w:val="No List"/>
    <w:uiPriority w:val="99"/>
    <w:semiHidden/>
    <w:unhideWhenUsed/>
  </w:style>
  <w:style w:type="paragraph" w:styleId="Kommentartekst">
    <w:name w:val="annotation text"/>
    <w:basedOn w:val="Normal"/>
    <w:link w:val="KommentartekstTegn"/>
    <w:semiHidden/>
    <w:rsid w:val="00790EE7"/>
    <w:rPr>
      <w:sz w:val="20"/>
      <w:lang w:eastAsia="da-DK"/>
    </w:rPr>
  </w:style>
  <w:style w:type="paragraph" w:styleId="Sidehoved">
    <w:name w:val="header"/>
    <w:basedOn w:val="Normal"/>
    <w:link w:val="SidehovedTegn"/>
    <w:rsid w:val="00790EE7"/>
    <w:pPr>
      <w:tabs>
        <w:tab w:val="center" w:pos="4819"/>
        <w:tab w:val="right" w:pos="9638"/>
      </w:tabs>
    </w:pPr>
    <w:rPr>
      <w:sz w:val="24"/>
      <w:lang w:eastAsia="da-DK"/>
    </w:rPr>
  </w:style>
  <w:style w:type="paragraph" w:styleId="Titel">
    <w:name w:val="Title"/>
    <w:basedOn w:val="Normal"/>
    <w:link w:val="TitelTegn"/>
    <w:qFormat/>
    <w:rsid w:val="00790EE7"/>
    <w:pPr>
      <w:jc w:val="center"/>
    </w:pPr>
    <w:rPr>
      <w:b/>
      <w:sz w:val="24"/>
      <w:lang w:eastAsia="da-DK"/>
    </w:rPr>
  </w:style>
  <w:style w:type="character" w:styleId="Kommentarhenvisning">
    <w:name w:val="annotation reference"/>
    <w:semiHidden/>
    <w:rsid w:val="00790EE7"/>
    <w:rPr>
      <w:sz w:val="16"/>
      <w:szCs w:val="16"/>
    </w:rPr>
  </w:style>
  <w:style w:type="paragraph" w:styleId="Markeringsbobletekst">
    <w:name w:val="Balloon Text"/>
    <w:basedOn w:val="Normal"/>
    <w:semiHidden/>
    <w:rsid w:val="00790EE7"/>
    <w:rPr>
      <w:rFonts w:ascii="Tahoma" w:hAnsi="Tahoma" w:cs="Tahoma"/>
      <w:sz w:val="16"/>
      <w:szCs w:val="16"/>
    </w:rPr>
  </w:style>
  <w:style w:type="paragraph" w:styleId="Sidefod">
    <w:name w:val="footer"/>
    <w:basedOn w:val="Normal"/>
    <w:rsid w:val="00C42586"/>
    <w:pPr>
      <w:tabs>
        <w:tab w:val="center" w:pos="4819"/>
        <w:tab w:val="right" w:pos="9638"/>
      </w:tabs>
    </w:pPr>
  </w:style>
  <w:style w:type="character" w:styleId="Sidetal">
    <w:name w:val="page number"/>
    <w:basedOn w:val="Standardskrifttypeiafsnit"/>
    <w:rsid w:val="00C42586"/>
  </w:style>
  <w:style w:type="character" w:customStyle="1" w:styleId="KommentartekstTegn">
    <w:name w:val="Kommentartekst Tegn"/>
    <w:basedOn w:val="Standardskrifttypeiafsnit"/>
    <w:link w:val="Kommentartekst"/>
    <w:semiHidden/>
    <w:rsid w:val="00B003BF"/>
  </w:style>
  <w:style w:type="character" w:customStyle="1" w:styleId="SidehovedTegn">
    <w:name w:val="Sidehoved Tegn"/>
    <w:link w:val="Sidehoved"/>
    <w:rsid w:val="00B003BF"/>
    <w:rPr>
      <w:sz w:val="24"/>
    </w:rPr>
  </w:style>
  <w:style w:type="character" w:customStyle="1" w:styleId="TitelTegn">
    <w:name w:val="Titel Tegn"/>
    <w:link w:val="Titel"/>
    <w:rsid w:val="00B003BF"/>
    <w:rPr>
      <w:b/>
      <w:sz w:val="24"/>
    </w:rPr>
  </w:style>
  <w:style w:type="paragraph" w:styleId="Kommentaremne">
    <w:name w:val="annotation subject"/>
    <w:basedOn w:val="Kommentartekst"/>
    <w:next w:val="Kommentartekst"/>
    <w:link w:val="KommentaremneTegn"/>
    <w:uiPriority w:val="99"/>
    <w:semiHidden/>
    <w:unhideWhenUsed/>
    <w:rsid w:val="009260DE"/>
    <w:rPr>
      <w:b/>
      <w:bCs/>
      <w:lang w:eastAsia="en-US"/>
    </w:rPr>
  </w:style>
  <w:style w:type="character" w:customStyle="1" w:styleId="KommentaremneTegn">
    <w:name w:val="Kommentaremne Tegn"/>
    <w:basedOn w:val="KommentartekstTegn"/>
    <w:link w:val="Kommentaremne"/>
    <w:uiPriority w:val="99"/>
    <w:semiHidden/>
    <w:rsid w:val="009260DE"/>
    <w:rPr>
      <w:b/>
      <w:bCs/>
      <w:lang w:eastAsia="en-US"/>
    </w:rPr>
  </w:style>
  <w:style w:type="character" w:customStyle="1" w:styleId="Overskrift7Tegn">
    <w:name w:val="Overskrift 7 Tegn"/>
    <w:basedOn w:val="Standardskrifttypeiafsnit"/>
    <w:link w:val="Overskrift7"/>
    <w:rsid w:val="00040F2E"/>
    <w:rPr>
      <w:b/>
      <w:szCs w:val="24"/>
      <w:lang w:val="en-US" w:eastAsia="en-US"/>
    </w:rPr>
  </w:style>
  <w:style w:type="paragraph" w:customStyle="1" w:styleId="ReferenceLine">
    <w:name w:val="Reference Line"/>
    <w:basedOn w:val="Brdtekst"/>
    <w:rsid w:val="00040F2E"/>
    <w:pPr>
      <w:spacing w:after="0"/>
      <w:jc w:val="both"/>
    </w:pPr>
    <w:rPr>
      <w:rFonts w:ascii="Arial" w:hAnsi="Arial"/>
      <w:sz w:val="24"/>
      <w:lang w:val="en-GB"/>
    </w:rPr>
  </w:style>
  <w:style w:type="paragraph" w:customStyle="1" w:styleId="A-TableFootnoteText">
    <w:name w:val="A-Table Footnote Text"/>
    <w:next w:val="Normal"/>
    <w:rsid w:val="00040F2E"/>
    <w:pPr>
      <w:tabs>
        <w:tab w:val="left" w:pos="432"/>
      </w:tabs>
      <w:ind w:left="432" w:hanging="432"/>
    </w:pPr>
    <w:rPr>
      <w:lang w:val="en-GB" w:eastAsia="en-US"/>
    </w:rPr>
  </w:style>
  <w:style w:type="character" w:styleId="Hyperlink">
    <w:name w:val="Hyperlink"/>
    <w:rsid w:val="00040F2E"/>
    <w:rPr>
      <w:color w:val="000066"/>
      <w:u w:val="single"/>
    </w:rPr>
  </w:style>
  <w:style w:type="paragraph" w:styleId="Listeafsnit">
    <w:name w:val="List Paragraph"/>
    <w:basedOn w:val="Normal"/>
    <w:uiPriority w:val="34"/>
    <w:qFormat/>
    <w:rsid w:val="00040F2E"/>
    <w:pPr>
      <w:ind w:left="720"/>
      <w:contextualSpacing/>
    </w:pPr>
  </w:style>
  <w:style w:type="paragraph" w:customStyle="1" w:styleId="A-TableHeader">
    <w:name w:val="A-Table Header"/>
    <w:next w:val="Normal"/>
    <w:rsid w:val="00040F2E"/>
    <w:pPr>
      <w:keepNext/>
      <w:spacing w:before="60" w:after="60"/>
    </w:pPr>
    <w:rPr>
      <w:b/>
      <w:sz w:val="22"/>
      <w:lang w:val="en-GB" w:eastAsia="en-US"/>
    </w:rPr>
  </w:style>
  <w:style w:type="paragraph" w:styleId="Brdtekst">
    <w:name w:val="Body Text"/>
    <w:basedOn w:val="Normal"/>
    <w:link w:val="BrdtekstTegn"/>
    <w:uiPriority w:val="99"/>
    <w:semiHidden/>
    <w:unhideWhenUsed/>
    <w:rsid w:val="00040F2E"/>
    <w:pPr>
      <w:spacing w:after="120"/>
    </w:pPr>
  </w:style>
  <w:style w:type="character" w:customStyle="1" w:styleId="BrdtekstTegn">
    <w:name w:val="Brødtekst Tegn"/>
    <w:basedOn w:val="Standardskrifttypeiafsnit"/>
    <w:link w:val="Brdtekst"/>
    <w:uiPriority w:val="99"/>
    <w:semiHidden/>
    <w:rsid w:val="00040F2E"/>
    <w:rPr>
      <w:sz w:val="23"/>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66411739">
      <w:bodyDiv w:val="1"/>
      <w:marLeft w:val="0"/>
      <w:marRight w:val="0"/>
      <w:marTop w:val="0"/>
      <w:marBottom w:val="0"/>
      <w:divBdr>
        <w:top w:val="none" w:sz="0" w:space="0" w:color="auto"/>
        <w:left w:val="none" w:sz="0" w:space="0" w:color="auto"/>
        <w:bottom w:val="none" w:sz="0" w:space="0" w:color="auto"/>
        <w:right w:val="none" w:sz="0" w:space="0" w:color="auto"/>
      </w:divBdr>
    </w:div>
    <w:div w:id="283999784">
      <w:bodyDiv w:val="1"/>
      <w:marLeft w:val="0"/>
      <w:marRight w:val="0"/>
      <w:marTop w:val="0"/>
      <w:marBottom w:val="0"/>
      <w:divBdr>
        <w:top w:val="none" w:sz="0" w:space="0" w:color="auto"/>
        <w:left w:val="none" w:sz="0" w:space="0" w:color="auto"/>
        <w:bottom w:val="none" w:sz="0" w:space="0" w:color="auto"/>
        <w:right w:val="none" w:sz="0" w:space="0" w:color="auto"/>
      </w:divBdr>
    </w:div>
    <w:div w:id="586352479">
      <w:bodyDiv w:val="1"/>
      <w:marLeft w:val="0"/>
      <w:marRight w:val="0"/>
      <w:marTop w:val="0"/>
      <w:marBottom w:val="0"/>
      <w:divBdr>
        <w:top w:val="none" w:sz="0" w:space="0" w:color="auto"/>
        <w:left w:val="none" w:sz="0" w:space="0" w:color="auto"/>
        <w:bottom w:val="none" w:sz="0" w:space="0" w:color="auto"/>
        <w:right w:val="none" w:sz="0" w:space="0" w:color="auto"/>
      </w:divBdr>
    </w:div>
    <w:div w:id="155977854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jpeg"/><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tema">
  <a:themeElements>
    <a:clrScheme name="Kont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ont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ont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51</TotalTime>
  <Pages>27</Pages>
  <Words>9452</Words>
  <Characters>59790</Characters>
  <Application>Microsoft Office Word</Application>
  <DocSecurity>0</DocSecurity>
  <Lines>498</Lines>
  <Paragraphs>138</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69104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Hanne Thy Iversen</dc:creator>
  <cp:keywords/>
  <dc:description>2020121553 MT for nu også 50 mg og 400 mg</dc:description>
  <cp:lastModifiedBy>Hanne Thy Iversen</cp:lastModifiedBy>
  <cp:revision>21</cp:revision>
  <cp:lastPrinted>2012-08-22T08:53:00Z</cp:lastPrinted>
  <dcterms:created xsi:type="dcterms:W3CDTF">2024-01-08T09:13:00Z</dcterms:created>
  <dcterms:modified xsi:type="dcterms:W3CDTF">2025-02-26T09:59:00Z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NewTemplateConverted">
    <vt:lpwstr>SPC Hum.dotm</vt:lpwstr>
  </property>
  <property fmtid="{D5CDD505-2E9C-101B-9397-08002B2CF9AE}" pid="3" name="ConvertedFromMacroDocument">
    <vt:lpwstr>True</vt:lpwstr>
  </property>
</Properties>
</file>