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7D67" w14:textId="77777777" w:rsidR="009260DE" w:rsidRPr="00B62115" w:rsidRDefault="0021526C" w:rsidP="009260DE">
      <w:pPr>
        <w:rPr>
          <w:sz w:val="24"/>
          <w:szCs w:val="24"/>
        </w:rPr>
      </w:pPr>
      <w:r w:rsidRPr="00B62115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0020EA88" wp14:editId="09D20D25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B62115">
        <w:rPr>
          <w:sz w:val="24"/>
          <w:szCs w:val="24"/>
        </w:rPr>
        <w:br w:type="textWrapping" w:clear="all"/>
      </w:r>
    </w:p>
    <w:p w14:paraId="6948310D" w14:textId="4E793E5C" w:rsidR="004C1AB2" w:rsidRPr="004C1AB2" w:rsidRDefault="009260DE" w:rsidP="009260DE">
      <w:pPr>
        <w:pStyle w:val="Titel"/>
        <w:tabs>
          <w:tab w:val="right" w:pos="9356"/>
        </w:tabs>
        <w:jc w:val="left"/>
        <w:rPr>
          <w:szCs w:val="24"/>
        </w:rPr>
      </w:pPr>
      <w:r w:rsidRPr="00B62115">
        <w:rPr>
          <w:b w:val="0"/>
          <w:szCs w:val="24"/>
          <w:lang w:eastAsia="en-US"/>
        </w:rPr>
        <w:tab/>
      </w:r>
      <w:r w:rsidR="004C1AB2">
        <w:rPr>
          <w:szCs w:val="24"/>
        </w:rPr>
        <w:t>8. juli 2026</w:t>
      </w:r>
    </w:p>
    <w:p w14:paraId="585EFE4A" w14:textId="77777777" w:rsidR="009260DE" w:rsidRPr="00B62115" w:rsidRDefault="009260DE" w:rsidP="009260DE">
      <w:pPr>
        <w:pStyle w:val="Titel"/>
        <w:tabs>
          <w:tab w:val="left" w:pos="8222"/>
        </w:tabs>
        <w:jc w:val="left"/>
        <w:rPr>
          <w:b w:val="0"/>
          <w:szCs w:val="24"/>
        </w:rPr>
      </w:pPr>
    </w:p>
    <w:p w14:paraId="4F4E2F4E" w14:textId="77777777" w:rsidR="009260DE" w:rsidRPr="00B62115" w:rsidRDefault="009260DE" w:rsidP="009260DE">
      <w:pPr>
        <w:pStyle w:val="Titel"/>
        <w:jc w:val="left"/>
        <w:rPr>
          <w:b w:val="0"/>
          <w:szCs w:val="24"/>
        </w:rPr>
      </w:pPr>
    </w:p>
    <w:p w14:paraId="057995B0" w14:textId="77777777" w:rsidR="009260DE" w:rsidRPr="00B62115" w:rsidRDefault="009260DE" w:rsidP="009260DE">
      <w:pPr>
        <w:pStyle w:val="Titel"/>
        <w:jc w:val="left"/>
        <w:rPr>
          <w:b w:val="0"/>
          <w:szCs w:val="24"/>
        </w:rPr>
      </w:pPr>
    </w:p>
    <w:p w14:paraId="247025F4" w14:textId="77777777" w:rsidR="009260DE" w:rsidRPr="00B62115" w:rsidRDefault="009260DE" w:rsidP="009260DE">
      <w:pPr>
        <w:jc w:val="center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PRODUKTRESUMÉ</w:t>
      </w:r>
    </w:p>
    <w:p w14:paraId="7D6CD123" w14:textId="77777777" w:rsidR="009260DE" w:rsidRPr="00B62115" w:rsidRDefault="009260DE" w:rsidP="009260DE">
      <w:pPr>
        <w:jc w:val="center"/>
        <w:rPr>
          <w:b/>
          <w:sz w:val="24"/>
          <w:szCs w:val="24"/>
        </w:rPr>
      </w:pPr>
    </w:p>
    <w:p w14:paraId="52A02134" w14:textId="77777777" w:rsidR="009260DE" w:rsidRPr="00B62115" w:rsidRDefault="009260DE" w:rsidP="009260DE">
      <w:pPr>
        <w:jc w:val="center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for</w:t>
      </w:r>
    </w:p>
    <w:p w14:paraId="64269A89" w14:textId="77777777" w:rsidR="000B058C" w:rsidRPr="00B62115" w:rsidRDefault="000B058C" w:rsidP="009260DE">
      <w:pPr>
        <w:jc w:val="center"/>
        <w:rPr>
          <w:b/>
          <w:sz w:val="24"/>
          <w:szCs w:val="24"/>
        </w:rPr>
      </w:pPr>
    </w:p>
    <w:p w14:paraId="38036106" w14:textId="2044AA32" w:rsidR="009260DE" w:rsidRPr="00B62115" w:rsidRDefault="00F66B82" w:rsidP="009260DE">
      <w:pPr>
        <w:jc w:val="center"/>
        <w:rPr>
          <w:b/>
          <w:sz w:val="24"/>
          <w:szCs w:val="24"/>
        </w:rPr>
      </w:pPr>
      <w:proofErr w:type="spellStart"/>
      <w:r w:rsidRPr="00B62115">
        <w:rPr>
          <w:b/>
          <w:bCs/>
          <w:sz w:val="24"/>
          <w:szCs w:val="24"/>
        </w:rPr>
        <w:t>Acetylcystein</w:t>
      </w:r>
      <w:proofErr w:type="spellEnd"/>
      <w:r w:rsidRPr="00B62115">
        <w:rPr>
          <w:b/>
          <w:bCs/>
          <w:sz w:val="24"/>
          <w:szCs w:val="24"/>
        </w:rPr>
        <w:t xml:space="preserve"> "</w:t>
      </w:r>
      <w:proofErr w:type="spellStart"/>
      <w:r w:rsidRPr="00B62115">
        <w:rPr>
          <w:b/>
          <w:bCs/>
          <w:sz w:val="24"/>
          <w:szCs w:val="24"/>
        </w:rPr>
        <w:t>Pharmexon</w:t>
      </w:r>
      <w:proofErr w:type="spellEnd"/>
      <w:r w:rsidRPr="00B62115">
        <w:rPr>
          <w:b/>
          <w:bCs/>
          <w:sz w:val="24"/>
          <w:szCs w:val="24"/>
        </w:rPr>
        <w:t>", tabletter</w:t>
      </w:r>
    </w:p>
    <w:p w14:paraId="74ADE231" w14:textId="77777777" w:rsidR="009260DE" w:rsidRPr="00B62115" w:rsidRDefault="009260DE" w:rsidP="009260DE">
      <w:pPr>
        <w:jc w:val="both"/>
        <w:rPr>
          <w:sz w:val="24"/>
          <w:szCs w:val="24"/>
        </w:rPr>
      </w:pPr>
    </w:p>
    <w:p w14:paraId="4DCB68C9" w14:textId="77777777" w:rsidR="009260DE" w:rsidRPr="00B62115" w:rsidRDefault="009260DE" w:rsidP="009260DE">
      <w:pPr>
        <w:jc w:val="both"/>
        <w:rPr>
          <w:sz w:val="24"/>
          <w:szCs w:val="24"/>
        </w:rPr>
      </w:pPr>
    </w:p>
    <w:p w14:paraId="0F7FD1F2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0.</w:t>
      </w:r>
      <w:r w:rsidRPr="00B62115">
        <w:rPr>
          <w:b/>
          <w:sz w:val="24"/>
          <w:szCs w:val="24"/>
        </w:rPr>
        <w:tab/>
        <w:t>D.SP.NR.</w:t>
      </w:r>
    </w:p>
    <w:p w14:paraId="35A5EC1C" w14:textId="61F2E900" w:rsidR="009260DE" w:rsidRPr="00B62115" w:rsidRDefault="00F66B82" w:rsidP="009260DE">
      <w:pPr>
        <w:tabs>
          <w:tab w:val="left" w:pos="851"/>
        </w:tabs>
        <w:ind w:left="851"/>
        <w:rPr>
          <w:sz w:val="24"/>
          <w:szCs w:val="24"/>
        </w:rPr>
      </w:pPr>
      <w:r w:rsidRPr="00B62115">
        <w:rPr>
          <w:sz w:val="24"/>
          <w:szCs w:val="24"/>
        </w:rPr>
        <w:t>34408</w:t>
      </w:r>
    </w:p>
    <w:p w14:paraId="395FB4AE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7A34E2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1.</w:t>
      </w:r>
      <w:r w:rsidRPr="00B62115">
        <w:rPr>
          <w:b/>
          <w:sz w:val="24"/>
          <w:szCs w:val="24"/>
        </w:rPr>
        <w:tab/>
        <w:t>LÆGEMIDLETS NAVN</w:t>
      </w:r>
    </w:p>
    <w:p w14:paraId="3EF91670" w14:textId="63CC1822" w:rsidR="009260DE" w:rsidRPr="00B62115" w:rsidRDefault="00F66B82" w:rsidP="00773B8D">
      <w:pPr>
        <w:ind w:left="851"/>
        <w:rPr>
          <w:sz w:val="24"/>
          <w:szCs w:val="24"/>
        </w:rPr>
      </w:pPr>
      <w:proofErr w:type="spellStart"/>
      <w:r w:rsidRPr="00B62115">
        <w:rPr>
          <w:bCs/>
          <w:sz w:val="24"/>
          <w:szCs w:val="24"/>
        </w:rPr>
        <w:t>Acetylcystein</w:t>
      </w:r>
      <w:proofErr w:type="spellEnd"/>
      <w:r w:rsidRPr="00B62115">
        <w:rPr>
          <w:bCs/>
          <w:sz w:val="24"/>
          <w:szCs w:val="24"/>
        </w:rPr>
        <w:t xml:space="preserve"> "</w:t>
      </w:r>
      <w:proofErr w:type="spellStart"/>
      <w:r w:rsidRPr="00B62115">
        <w:rPr>
          <w:bCs/>
          <w:sz w:val="24"/>
          <w:szCs w:val="24"/>
        </w:rPr>
        <w:t>Pharmexon</w:t>
      </w:r>
      <w:proofErr w:type="spellEnd"/>
      <w:r w:rsidRPr="00B62115">
        <w:rPr>
          <w:bCs/>
          <w:sz w:val="24"/>
          <w:szCs w:val="24"/>
        </w:rPr>
        <w:t>"</w:t>
      </w:r>
    </w:p>
    <w:p w14:paraId="74DEA758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CC6C0F3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2.</w:t>
      </w:r>
      <w:r w:rsidRPr="00B62115">
        <w:rPr>
          <w:b/>
          <w:sz w:val="24"/>
          <w:szCs w:val="24"/>
        </w:rPr>
        <w:tab/>
        <w:t>KVALITATIV OG KVANTITATIV SAMMENSÆTNING</w:t>
      </w:r>
    </w:p>
    <w:p w14:paraId="5702BC40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Hver tablet indeholder 600 mg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.</w:t>
      </w:r>
    </w:p>
    <w:p w14:paraId="31FD1BA5" w14:textId="77777777" w:rsidR="00B62115" w:rsidRDefault="00B62115" w:rsidP="00773B8D">
      <w:pPr>
        <w:ind w:left="851"/>
        <w:rPr>
          <w:sz w:val="24"/>
          <w:szCs w:val="24"/>
        </w:rPr>
      </w:pPr>
    </w:p>
    <w:p w14:paraId="1EFCC6C2" w14:textId="77026582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Alle hjælpestoffer er anført under pkt. 6.1.</w:t>
      </w:r>
    </w:p>
    <w:p w14:paraId="5B58388F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27EA66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3.</w:t>
      </w:r>
      <w:r w:rsidRPr="00B62115">
        <w:rPr>
          <w:b/>
          <w:sz w:val="24"/>
          <w:szCs w:val="24"/>
        </w:rPr>
        <w:tab/>
        <w:t>LÆGEMIDDELFORM</w:t>
      </w:r>
    </w:p>
    <w:p w14:paraId="798311AB" w14:textId="6CFF4638" w:rsid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Tablet</w:t>
      </w:r>
      <w:r w:rsidR="00B62115">
        <w:rPr>
          <w:sz w:val="24"/>
          <w:szCs w:val="24"/>
        </w:rPr>
        <w:t>ter</w:t>
      </w:r>
    </w:p>
    <w:p w14:paraId="5F492B2A" w14:textId="77777777" w:rsidR="00B62115" w:rsidRPr="00F66B82" w:rsidRDefault="00B62115" w:rsidP="00773B8D">
      <w:pPr>
        <w:ind w:left="851"/>
        <w:rPr>
          <w:sz w:val="24"/>
          <w:szCs w:val="24"/>
        </w:rPr>
      </w:pPr>
    </w:p>
    <w:p w14:paraId="3449BCFD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Hvide, runde tabletter med en diameter på 12 mm.</w:t>
      </w:r>
    </w:p>
    <w:p w14:paraId="39228ADB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D35BC63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1891116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</w:t>
      </w:r>
      <w:r w:rsidRPr="00B62115">
        <w:rPr>
          <w:b/>
          <w:sz w:val="24"/>
          <w:szCs w:val="24"/>
        </w:rPr>
        <w:tab/>
        <w:t>KLINISKE OPLYSNINGER</w:t>
      </w:r>
    </w:p>
    <w:p w14:paraId="52613ADA" w14:textId="77777777" w:rsidR="009260DE" w:rsidRPr="00B62115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771BB06F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B62115">
        <w:rPr>
          <w:b/>
          <w:sz w:val="24"/>
          <w:szCs w:val="24"/>
        </w:rPr>
        <w:t>4.1</w:t>
      </w:r>
      <w:r w:rsidRPr="00B62115">
        <w:rPr>
          <w:b/>
          <w:sz w:val="24"/>
          <w:szCs w:val="24"/>
        </w:rPr>
        <w:tab/>
        <w:t>Terapeutiske indikationer</w:t>
      </w:r>
    </w:p>
    <w:p w14:paraId="4C22019D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anvendes ved sygdomme i bronkierne, hvor det er nødvendigt at nedsætte bronkiesekretets viskositet for at lette </w:t>
      </w:r>
      <w:proofErr w:type="spellStart"/>
      <w:r w:rsidRPr="00F66B82">
        <w:rPr>
          <w:sz w:val="24"/>
          <w:szCs w:val="24"/>
        </w:rPr>
        <w:t>ophostning</w:t>
      </w:r>
      <w:proofErr w:type="spellEnd"/>
      <w:r w:rsidRPr="00F66B82">
        <w:rPr>
          <w:sz w:val="24"/>
          <w:szCs w:val="24"/>
        </w:rPr>
        <w:t>.</w:t>
      </w:r>
    </w:p>
    <w:p w14:paraId="1CF500F4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E324B75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4.2</w:t>
      </w:r>
      <w:r w:rsidRPr="00B62115">
        <w:rPr>
          <w:b/>
          <w:sz w:val="24"/>
          <w:szCs w:val="24"/>
        </w:rPr>
        <w:tab/>
        <w:t xml:space="preserve">Dosering og </w:t>
      </w:r>
      <w:r w:rsidR="002C1EC0" w:rsidRPr="00B62115">
        <w:rPr>
          <w:b/>
          <w:sz w:val="24"/>
          <w:szCs w:val="24"/>
        </w:rPr>
        <w:t>administration</w:t>
      </w:r>
    </w:p>
    <w:p w14:paraId="6716498E" w14:textId="77777777" w:rsidR="00F66B82" w:rsidRPr="00F66B82" w:rsidRDefault="00F66B82" w:rsidP="00F66B82">
      <w:pPr>
        <w:tabs>
          <w:tab w:val="left" w:pos="851"/>
        </w:tabs>
        <w:ind w:left="851"/>
        <w:rPr>
          <w:sz w:val="24"/>
          <w:szCs w:val="24"/>
          <w:u w:val="single"/>
        </w:rPr>
      </w:pPr>
    </w:p>
    <w:p w14:paraId="5D10BEED" w14:textId="77777777" w:rsidR="00F66B82" w:rsidRPr="00F66B82" w:rsidRDefault="00F66B82" w:rsidP="00773B8D">
      <w:pPr>
        <w:ind w:left="851"/>
        <w:rPr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Dosering</w:t>
      </w:r>
    </w:p>
    <w:p w14:paraId="66796AFA" w14:textId="77777777" w:rsidR="00F66B82" w:rsidRPr="00F66B82" w:rsidRDefault="00F66B82" w:rsidP="00773B8D">
      <w:pPr>
        <w:ind w:left="851"/>
        <w:rPr>
          <w:sz w:val="24"/>
          <w:szCs w:val="24"/>
          <w:u w:val="single"/>
        </w:rPr>
      </w:pPr>
    </w:p>
    <w:p w14:paraId="5B09F3B4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Voksne: 1 tablet à 600 mg én gang dagligt.</w:t>
      </w:r>
    </w:p>
    <w:p w14:paraId="27D71609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0175225A" w14:textId="77777777" w:rsidR="00F66B82" w:rsidRPr="00F66B82" w:rsidRDefault="00F66B82" w:rsidP="00773B8D">
      <w:pPr>
        <w:ind w:left="851"/>
        <w:rPr>
          <w:i/>
          <w:sz w:val="24"/>
          <w:szCs w:val="24"/>
        </w:rPr>
      </w:pPr>
      <w:r w:rsidRPr="00F66B82">
        <w:rPr>
          <w:i/>
          <w:sz w:val="24"/>
          <w:szCs w:val="24"/>
        </w:rPr>
        <w:t>Særlige populationer</w:t>
      </w:r>
    </w:p>
    <w:p w14:paraId="05B38A53" w14:textId="77777777" w:rsidR="00F66B82" w:rsidRPr="00F66B82" w:rsidRDefault="00F66B82" w:rsidP="00773B8D">
      <w:pPr>
        <w:ind w:left="851"/>
        <w:rPr>
          <w:i/>
          <w:sz w:val="24"/>
          <w:szCs w:val="24"/>
        </w:rPr>
      </w:pPr>
    </w:p>
    <w:p w14:paraId="53CE4B66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Nedsat lever- eller nyrefunktion kan medføre forlænget halveringstid for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. Dosisjustering er dog ikke nødvendig hos patienter med nedsat lever- eller nyrefunktion.</w:t>
      </w:r>
    </w:p>
    <w:p w14:paraId="2C2F64B3" w14:textId="1DCC63BE" w:rsidR="00A73EB0" w:rsidRDefault="00A73E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1B399A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3136FD0C" w14:textId="77777777" w:rsidR="00F66B82" w:rsidRPr="00F66B82" w:rsidRDefault="00F66B82" w:rsidP="00773B8D">
      <w:pPr>
        <w:ind w:left="851"/>
        <w:rPr>
          <w:i/>
          <w:sz w:val="24"/>
          <w:szCs w:val="24"/>
        </w:rPr>
      </w:pPr>
      <w:r w:rsidRPr="00F66B82">
        <w:rPr>
          <w:i/>
          <w:sz w:val="24"/>
          <w:szCs w:val="24"/>
        </w:rPr>
        <w:t>Pædiatrisk population</w:t>
      </w:r>
    </w:p>
    <w:p w14:paraId="25967CEB" w14:textId="77777777" w:rsidR="00F66B82" w:rsidRPr="00F66B82" w:rsidRDefault="00F66B82" w:rsidP="00773B8D">
      <w:pPr>
        <w:ind w:left="851"/>
        <w:rPr>
          <w:i/>
          <w:iCs/>
          <w:sz w:val="24"/>
          <w:szCs w:val="24"/>
        </w:rPr>
      </w:pPr>
    </w:p>
    <w:p w14:paraId="194308C2" w14:textId="1509DF4C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Tabletten er kontraindiceret til under 2 år.</w:t>
      </w:r>
    </w:p>
    <w:p w14:paraId="3BB3B598" w14:textId="77777777" w:rsidR="00F66B82" w:rsidRPr="00F66B82" w:rsidRDefault="00F66B82" w:rsidP="00773B8D">
      <w:pPr>
        <w:ind w:left="851"/>
        <w:rPr>
          <w:sz w:val="24"/>
          <w:szCs w:val="24"/>
        </w:rPr>
      </w:pPr>
      <w:bookmarkStart w:id="0" w:name="_Hlk199764927"/>
      <w:r w:rsidRPr="00F66B82">
        <w:rPr>
          <w:sz w:val="24"/>
          <w:szCs w:val="24"/>
        </w:rPr>
        <w:t xml:space="preserve">Tabletten er ikke egnet til </w:t>
      </w:r>
      <w:bookmarkStart w:id="1" w:name="_Hlk199765212"/>
      <w:r w:rsidRPr="00F66B82">
        <w:rPr>
          <w:sz w:val="24"/>
          <w:szCs w:val="24"/>
        </w:rPr>
        <w:t>børn</w:t>
      </w:r>
      <w:bookmarkEnd w:id="1"/>
      <w:r w:rsidRPr="00F66B82">
        <w:rPr>
          <w:sz w:val="24"/>
          <w:szCs w:val="24"/>
        </w:rPr>
        <w:t xml:space="preserve">. </w:t>
      </w:r>
      <w:bookmarkStart w:id="2" w:name="_Hlk199762646"/>
      <w:r w:rsidRPr="00F66B82">
        <w:rPr>
          <w:i/>
          <w:sz w:val="24"/>
          <w:szCs w:val="24"/>
        </w:rPr>
        <w:t>Andre lægemiddelformer/-styrker kan være mere hensigtsmæssige til administration hos denne population.</w:t>
      </w:r>
    </w:p>
    <w:bookmarkEnd w:id="0"/>
    <w:bookmarkEnd w:id="2"/>
    <w:p w14:paraId="784A6E1E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5A6F764C" w14:textId="77777777" w:rsidR="00F66B82" w:rsidRPr="00F66B82" w:rsidRDefault="00F66B82" w:rsidP="00773B8D">
      <w:pPr>
        <w:ind w:left="851"/>
        <w:rPr>
          <w:sz w:val="24"/>
          <w:szCs w:val="24"/>
        </w:rPr>
      </w:pPr>
      <w:bookmarkStart w:id="3" w:name="_Hlk199762672"/>
      <w:r w:rsidRPr="00F66B82">
        <w:rPr>
          <w:sz w:val="24"/>
          <w:szCs w:val="24"/>
          <w:u w:val="single"/>
        </w:rPr>
        <w:t>Administration</w:t>
      </w:r>
    </w:p>
    <w:bookmarkEnd w:id="3"/>
    <w:p w14:paraId="659B2E68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Oral anvendelse. Tabletten skal tages med et glas vand.</w:t>
      </w:r>
    </w:p>
    <w:p w14:paraId="0D50423F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5B0A307E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Hos patienter med nedsat hosterefleks (ældre og svækkede patienter) anbefales det at tage dosis om morgenen.</w:t>
      </w:r>
    </w:p>
    <w:p w14:paraId="26ECB7B7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250B40E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4.3</w:t>
      </w:r>
      <w:r w:rsidRPr="00B62115">
        <w:rPr>
          <w:b/>
          <w:sz w:val="24"/>
          <w:szCs w:val="24"/>
        </w:rPr>
        <w:tab/>
        <w:t>Kontraindikationer</w:t>
      </w:r>
    </w:p>
    <w:p w14:paraId="52E5737E" w14:textId="77777777" w:rsidR="00F66B82" w:rsidRPr="00F66B82" w:rsidRDefault="00F66B82" w:rsidP="00773B8D">
      <w:pPr>
        <w:numPr>
          <w:ilvl w:val="0"/>
          <w:numId w:val="6"/>
        </w:numPr>
        <w:ind w:left="1276" w:hanging="425"/>
        <w:rPr>
          <w:sz w:val="24"/>
          <w:szCs w:val="24"/>
        </w:rPr>
      </w:pPr>
      <w:r w:rsidRPr="00F66B82">
        <w:rPr>
          <w:sz w:val="24"/>
          <w:szCs w:val="24"/>
        </w:rPr>
        <w:t xml:space="preserve">Overfølsomhed over for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eller over for et eller flere af hjælpestofferne anført i pkt. 6.1. </w:t>
      </w:r>
    </w:p>
    <w:p w14:paraId="478C8EAD" w14:textId="36C835CF" w:rsidR="00F66B82" w:rsidRPr="00F66B82" w:rsidRDefault="00F66B82" w:rsidP="00773B8D">
      <w:pPr>
        <w:numPr>
          <w:ilvl w:val="0"/>
          <w:numId w:val="6"/>
        </w:numPr>
        <w:ind w:left="1276" w:hanging="425"/>
        <w:rPr>
          <w:sz w:val="24"/>
          <w:szCs w:val="24"/>
        </w:rPr>
      </w:pPr>
      <w:r w:rsidRPr="00F66B82">
        <w:rPr>
          <w:sz w:val="24"/>
          <w:szCs w:val="24"/>
        </w:rPr>
        <w:t>Børn under 2 år.</w:t>
      </w:r>
    </w:p>
    <w:p w14:paraId="3D74A99C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F9B9E50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4.4</w:t>
      </w:r>
      <w:r w:rsidRPr="00B62115">
        <w:rPr>
          <w:b/>
          <w:sz w:val="24"/>
          <w:szCs w:val="24"/>
        </w:rPr>
        <w:tab/>
        <w:t>Særlige advarsler og forsigtighedsregler vedrørende brugen</w:t>
      </w:r>
    </w:p>
    <w:p w14:paraId="55664106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Mukolytika</w:t>
      </w:r>
      <w:proofErr w:type="spellEnd"/>
      <w:r w:rsidRPr="00F66B82">
        <w:rPr>
          <w:sz w:val="24"/>
          <w:szCs w:val="24"/>
        </w:rPr>
        <w:t xml:space="preserve"> kan forårsage blokering af luftvejene hos børn under 2 år. Som følge af luftvejenes karakteristika hos børn under 2 år og deres begrænsede evne til at </w:t>
      </w:r>
      <w:proofErr w:type="spellStart"/>
      <w:r w:rsidRPr="00F66B82">
        <w:rPr>
          <w:sz w:val="24"/>
          <w:szCs w:val="24"/>
        </w:rPr>
        <w:t>ekspektorere</w:t>
      </w:r>
      <w:proofErr w:type="spellEnd"/>
      <w:r w:rsidRPr="00F66B82">
        <w:rPr>
          <w:sz w:val="24"/>
          <w:szCs w:val="24"/>
        </w:rPr>
        <w:t xml:space="preserve"> slim kan </w:t>
      </w:r>
      <w:proofErr w:type="spellStart"/>
      <w:r w:rsidRPr="00F66B82">
        <w:rPr>
          <w:sz w:val="24"/>
          <w:szCs w:val="24"/>
        </w:rPr>
        <w:t>mukolytika</w:t>
      </w:r>
      <w:proofErr w:type="spellEnd"/>
      <w:r w:rsidRPr="00F66B82">
        <w:rPr>
          <w:sz w:val="24"/>
          <w:szCs w:val="24"/>
        </w:rPr>
        <w:t xml:space="preserve"> forårsage blokering af luftvejene. </w:t>
      </w:r>
      <w:proofErr w:type="spellStart"/>
      <w:r w:rsidRPr="00F66B82">
        <w:rPr>
          <w:sz w:val="24"/>
          <w:szCs w:val="24"/>
        </w:rPr>
        <w:t>Mukolytika</w:t>
      </w:r>
      <w:proofErr w:type="spellEnd"/>
      <w:r w:rsidRPr="00F66B82">
        <w:rPr>
          <w:sz w:val="24"/>
          <w:szCs w:val="24"/>
        </w:rPr>
        <w:t xml:space="preserve"> må derfor ikke anvendes hos børn under 2 år (se pkt. 4.3).</w:t>
      </w:r>
    </w:p>
    <w:p w14:paraId="4ED96436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Forsigtighed anbefales ved anvendelse af produktet hos patienter med aktivt </w:t>
      </w:r>
      <w:proofErr w:type="spellStart"/>
      <w:r w:rsidRPr="00F66B82">
        <w:rPr>
          <w:sz w:val="24"/>
          <w:szCs w:val="24"/>
        </w:rPr>
        <w:t>peptisk</w:t>
      </w:r>
      <w:proofErr w:type="spellEnd"/>
      <w:r w:rsidRPr="00F66B82">
        <w:rPr>
          <w:sz w:val="24"/>
          <w:szCs w:val="24"/>
        </w:rPr>
        <w:t xml:space="preserve"> ulcus eller tidligere </w:t>
      </w:r>
      <w:proofErr w:type="spellStart"/>
      <w:r w:rsidRPr="00F66B82">
        <w:rPr>
          <w:sz w:val="24"/>
          <w:szCs w:val="24"/>
        </w:rPr>
        <w:t>peptisk</w:t>
      </w:r>
      <w:proofErr w:type="spellEnd"/>
      <w:r w:rsidRPr="00F66B82">
        <w:rPr>
          <w:sz w:val="24"/>
          <w:szCs w:val="24"/>
        </w:rPr>
        <w:t xml:space="preserve"> ulcus, især ved samtidig administration af andre lægemidler med kendt irriterende virkning på maveslimhinden.</w:t>
      </w:r>
    </w:p>
    <w:p w14:paraId="04E64E14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Patienter med bronkial astma skal overvåges nøje under behandlingen. Hvis der forekommer </w:t>
      </w:r>
      <w:proofErr w:type="spellStart"/>
      <w:r w:rsidRPr="00F66B82">
        <w:rPr>
          <w:sz w:val="24"/>
          <w:szCs w:val="24"/>
        </w:rPr>
        <w:t>bronkospasme</w:t>
      </w:r>
      <w:proofErr w:type="spellEnd"/>
      <w:r w:rsidRPr="00F66B82">
        <w:rPr>
          <w:sz w:val="24"/>
          <w:szCs w:val="24"/>
        </w:rPr>
        <w:t xml:space="preserve">, skal behandlingen med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seponeres øjeblikkeligt, og en læge skal kontaktes.</w:t>
      </w:r>
    </w:p>
    <w:p w14:paraId="124DFC4E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54D5082A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Der er rapporteret om alvorlige hudreaktioner såsom Stevens</w:t>
      </w:r>
      <w:r w:rsidRPr="00F66B82">
        <w:rPr>
          <w:sz w:val="24"/>
          <w:szCs w:val="24"/>
        </w:rPr>
        <w:noBreakHyphen/>
        <w:t xml:space="preserve">Johnsons syndrom og </w:t>
      </w:r>
      <w:proofErr w:type="spellStart"/>
      <w:r w:rsidRPr="00F66B82">
        <w:rPr>
          <w:sz w:val="24"/>
          <w:szCs w:val="24"/>
        </w:rPr>
        <w:t>Lyells</w:t>
      </w:r>
      <w:proofErr w:type="spellEnd"/>
      <w:r w:rsidRPr="00F66B82">
        <w:rPr>
          <w:sz w:val="24"/>
          <w:szCs w:val="24"/>
        </w:rPr>
        <w:t xml:space="preserve"> syndrom, i forbindelse med brug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. De fleste af de indberettede tilfælde omfattede samtidig brug af mindst et andet lægemiddel, hvilket kan have forværret de beskrevne </w:t>
      </w:r>
      <w:proofErr w:type="spellStart"/>
      <w:r w:rsidRPr="00F66B82">
        <w:rPr>
          <w:sz w:val="24"/>
          <w:szCs w:val="24"/>
        </w:rPr>
        <w:t>mukokutane</w:t>
      </w:r>
      <w:proofErr w:type="spellEnd"/>
      <w:r w:rsidRPr="00F66B82">
        <w:rPr>
          <w:sz w:val="24"/>
          <w:szCs w:val="24"/>
        </w:rPr>
        <w:t xml:space="preserve"> virkninger. Hvis der opstår nye forandringer i hud eller slimhinder, bør lægen omgående kontaktes, og behandlingen med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omgående seponeres.</w:t>
      </w:r>
    </w:p>
    <w:p w14:paraId="0BA70635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Administration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kan, især i begyndelsen af behandlingen, gøre bronkiesekretet mere tyndtflydende og øge mængden heraf. Hvis patienten ikke er i stand til at </w:t>
      </w:r>
      <w:proofErr w:type="spellStart"/>
      <w:r w:rsidRPr="00F66B82">
        <w:rPr>
          <w:sz w:val="24"/>
          <w:szCs w:val="24"/>
        </w:rPr>
        <w:t>ekspektorere</w:t>
      </w:r>
      <w:proofErr w:type="spellEnd"/>
      <w:r w:rsidRPr="00F66B82">
        <w:rPr>
          <w:sz w:val="24"/>
          <w:szCs w:val="24"/>
        </w:rPr>
        <w:t xml:space="preserve"> effektivt, bør der udføres </w:t>
      </w:r>
      <w:proofErr w:type="spellStart"/>
      <w:r w:rsidRPr="00F66B82">
        <w:rPr>
          <w:sz w:val="24"/>
          <w:szCs w:val="24"/>
        </w:rPr>
        <w:t>postural</w:t>
      </w:r>
      <w:proofErr w:type="spellEnd"/>
      <w:r w:rsidRPr="00F66B82">
        <w:rPr>
          <w:sz w:val="24"/>
          <w:szCs w:val="24"/>
        </w:rPr>
        <w:t xml:space="preserve"> drænage og </w:t>
      </w:r>
      <w:proofErr w:type="spellStart"/>
      <w:r w:rsidRPr="00F66B82">
        <w:rPr>
          <w:sz w:val="24"/>
          <w:szCs w:val="24"/>
        </w:rPr>
        <w:t>bronkoaspiration</w:t>
      </w:r>
      <w:proofErr w:type="spellEnd"/>
      <w:r w:rsidRPr="00F66B82">
        <w:rPr>
          <w:sz w:val="24"/>
          <w:szCs w:val="24"/>
        </w:rPr>
        <w:t>.</w:t>
      </w:r>
    </w:p>
    <w:p w14:paraId="21A5D5A7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72023C8F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i moderat grad påvirke </w:t>
      </w:r>
      <w:proofErr w:type="spellStart"/>
      <w:r w:rsidRPr="00F66B82">
        <w:rPr>
          <w:sz w:val="24"/>
          <w:szCs w:val="24"/>
        </w:rPr>
        <w:t>metaboliseringen</w:t>
      </w:r>
      <w:proofErr w:type="spellEnd"/>
      <w:r w:rsidRPr="00F66B82">
        <w:rPr>
          <w:sz w:val="24"/>
          <w:szCs w:val="24"/>
        </w:rPr>
        <w:t xml:space="preserve"> af histamin. Der bør derfor udvises forsigtighed ved længerevarende behandling med produktet hos patienter med histaminintolerans, da der kan forekomme symptomer på intolerans (hovedpine, vasomotorisk </w:t>
      </w:r>
      <w:proofErr w:type="spellStart"/>
      <w:r w:rsidRPr="00F66B82">
        <w:rPr>
          <w:sz w:val="24"/>
          <w:szCs w:val="24"/>
        </w:rPr>
        <w:t>rhinitis</w:t>
      </w:r>
      <w:proofErr w:type="spellEnd"/>
      <w:r w:rsidRPr="00F66B82">
        <w:rPr>
          <w:sz w:val="24"/>
          <w:szCs w:val="24"/>
        </w:rPr>
        <w:t>, kløe).</w:t>
      </w:r>
    </w:p>
    <w:p w14:paraId="5ADA326F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7FCDA928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En svag svovllugt er ikke tegn på en ændring af produktet, men skyldes det aktive stofs særlige egenskaber.</w:t>
      </w:r>
    </w:p>
    <w:p w14:paraId="591EE37A" w14:textId="407DB105" w:rsidR="00A73EB0" w:rsidRDefault="00A73E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FCF21F" w14:textId="77777777" w:rsidR="009260DE" w:rsidRPr="00B62115" w:rsidRDefault="009260DE" w:rsidP="00773B8D">
      <w:pPr>
        <w:ind w:left="851"/>
        <w:rPr>
          <w:sz w:val="24"/>
          <w:szCs w:val="24"/>
        </w:rPr>
      </w:pPr>
    </w:p>
    <w:p w14:paraId="1109ADEB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4.5</w:t>
      </w:r>
      <w:r w:rsidRPr="00B62115">
        <w:rPr>
          <w:b/>
          <w:sz w:val="24"/>
          <w:szCs w:val="24"/>
        </w:rPr>
        <w:tab/>
        <w:t>Interaktion med andre lægemidler og andre former for interaktion</w:t>
      </w:r>
    </w:p>
    <w:p w14:paraId="5A6251B1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21B5D5DB" w14:textId="39C51FD0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Interaktion med andre lægemidler</w:t>
      </w:r>
    </w:p>
    <w:p w14:paraId="57DA00B5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Hostestillende midler og </w:t>
      </w:r>
      <w:proofErr w:type="spellStart"/>
      <w:r w:rsidRPr="00F66B82">
        <w:rPr>
          <w:sz w:val="24"/>
          <w:szCs w:val="24"/>
        </w:rPr>
        <w:t>mukolytika</w:t>
      </w:r>
      <w:proofErr w:type="spellEnd"/>
      <w:r w:rsidRPr="00F66B82">
        <w:rPr>
          <w:sz w:val="24"/>
          <w:szCs w:val="24"/>
        </w:rPr>
        <w:t xml:space="preserve"> såsom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bør ikke administreres samtidigt, da reduktionen af hosterefleksen kan medføre ophobning af bronkiesekret.</w:t>
      </w:r>
    </w:p>
    <w:p w14:paraId="615A0AE6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56611004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Aktivt kul kan reducere virkningen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som følge af nedsat absorption.</w:t>
      </w:r>
    </w:p>
    <w:p w14:paraId="64B049F5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5A123A68" w14:textId="690147CE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Samtidig indtagelse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</w:t>
      </w:r>
      <w:r w:rsidR="00816C94">
        <w:rPr>
          <w:sz w:val="24"/>
          <w:szCs w:val="24"/>
        </w:rPr>
        <w:t>"</w:t>
      </w:r>
      <w:proofErr w:type="spellStart"/>
      <w:r w:rsidR="00816C94">
        <w:rPr>
          <w:sz w:val="24"/>
          <w:szCs w:val="24"/>
        </w:rPr>
        <w:t>Pharmexon</w:t>
      </w:r>
      <w:proofErr w:type="spellEnd"/>
      <w:r w:rsidR="00816C94">
        <w:rPr>
          <w:sz w:val="24"/>
          <w:szCs w:val="24"/>
        </w:rPr>
        <w:t>"</w:t>
      </w:r>
      <w:r w:rsidRPr="00F66B82">
        <w:rPr>
          <w:sz w:val="24"/>
          <w:szCs w:val="24"/>
        </w:rPr>
        <w:t xml:space="preserve"> 600 mg tabletter og andre lægemidler anbefales ikke.</w:t>
      </w:r>
    </w:p>
    <w:p w14:paraId="08579209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228A061D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Der foreligger hidtil kun rapporter om inaktivering af antibiotika forårsaget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fra </w:t>
      </w:r>
      <w:r w:rsidRPr="00F66B82">
        <w:rPr>
          <w:i/>
          <w:iCs/>
          <w:sz w:val="24"/>
          <w:szCs w:val="24"/>
        </w:rPr>
        <w:t xml:space="preserve">in </w:t>
      </w:r>
      <w:proofErr w:type="spellStart"/>
      <w:r w:rsidRPr="00F66B82">
        <w:rPr>
          <w:i/>
          <w:iCs/>
          <w:sz w:val="24"/>
          <w:szCs w:val="24"/>
        </w:rPr>
        <w:t>vitro</w:t>
      </w:r>
      <w:proofErr w:type="spellEnd"/>
      <w:r w:rsidRPr="00F66B82">
        <w:rPr>
          <w:sz w:val="24"/>
          <w:szCs w:val="24"/>
        </w:rPr>
        <w:noBreakHyphen/>
        <w:t xml:space="preserve">studier, hvor de pågældende stoffer blev blandet direkte. Hvis behandling med perorale antibiotika er nødvendig, bør de dog administreres med et tidsinterval på mindst 2 timer fra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. </w:t>
      </w:r>
    </w:p>
    <w:p w14:paraId="24194BC5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797C981C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forstærke nitroglycerins </w:t>
      </w:r>
      <w:proofErr w:type="spellStart"/>
      <w:r w:rsidRPr="00F66B82">
        <w:rPr>
          <w:sz w:val="24"/>
          <w:szCs w:val="24"/>
        </w:rPr>
        <w:t>vasodilaterende</w:t>
      </w:r>
      <w:proofErr w:type="spellEnd"/>
      <w:r w:rsidRPr="00F66B82">
        <w:rPr>
          <w:sz w:val="24"/>
          <w:szCs w:val="24"/>
        </w:rPr>
        <w:t xml:space="preserve"> virkning. Der skal udvises forsigtighed.</w:t>
      </w:r>
    </w:p>
    <w:p w14:paraId="3BE45851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Samtidig brug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og </w:t>
      </w:r>
      <w:proofErr w:type="spellStart"/>
      <w:r w:rsidRPr="00F66B82">
        <w:rPr>
          <w:sz w:val="24"/>
          <w:szCs w:val="24"/>
        </w:rPr>
        <w:t>carbamazepin</w:t>
      </w:r>
      <w:proofErr w:type="spellEnd"/>
      <w:r w:rsidRPr="00F66B82">
        <w:rPr>
          <w:sz w:val="24"/>
          <w:szCs w:val="24"/>
        </w:rPr>
        <w:t xml:space="preserve"> kan nedsætte plasmakoncentrationen af </w:t>
      </w:r>
      <w:proofErr w:type="spellStart"/>
      <w:r w:rsidRPr="00F66B82">
        <w:rPr>
          <w:sz w:val="24"/>
          <w:szCs w:val="24"/>
        </w:rPr>
        <w:t>carbamazepin</w:t>
      </w:r>
      <w:proofErr w:type="spellEnd"/>
      <w:r w:rsidRPr="00F66B82">
        <w:rPr>
          <w:sz w:val="24"/>
          <w:szCs w:val="24"/>
        </w:rPr>
        <w:t xml:space="preserve"> og dermed øge risikoen for epileptiske anfald.</w:t>
      </w:r>
    </w:p>
    <w:p w14:paraId="4E67BB30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421CF5DD" w14:textId="08E4D90F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Pædiatrisk population</w:t>
      </w:r>
    </w:p>
    <w:p w14:paraId="6C110257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Der er kun udført interaktionsstudier hos voksne.</w:t>
      </w:r>
    </w:p>
    <w:p w14:paraId="13FB2D8C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6393A263" w14:textId="7C84F6C0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Interferens med laboratorieundersøgelser</w:t>
      </w:r>
    </w:p>
    <w:p w14:paraId="31C9A7A0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påvirke resultatet af kolorimetriske </w:t>
      </w:r>
      <w:proofErr w:type="spellStart"/>
      <w:r w:rsidRPr="00F66B82">
        <w:rPr>
          <w:sz w:val="24"/>
          <w:szCs w:val="24"/>
        </w:rPr>
        <w:t>salicylatanalyser</w:t>
      </w:r>
      <w:proofErr w:type="spellEnd"/>
      <w:r w:rsidRPr="00F66B82">
        <w:rPr>
          <w:sz w:val="24"/>
          <w:szCs w:val="24"/>
        </w:rPr>
        <w:t>.</w:t>
      </w:r>
    </w:p>
    <w:p w14:paraId="3138A6C8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563099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4.6</w:t>
      </w:r>
      <w:r w:rsidRPr="00B62115">
        <w:rPr>
          <w:b/>
          <w:sz w:val="24"/>
          <w:szCs w:val="24"/>
        </w:rPr>
        <w:tab/>
      </w:r>
      <w:r w:rsidR="0071241E" w:rsidRPr="00B62115">
        <w:rPr>
          <w:b/>
          <w:sz w:val="24"/>
          <w:szCs w:val="24"/>
        </w:rPr>
        <w:t>Fertilitet, g</w:t>
      </w:r>
      <w:r w:rsidRPr="00B62115">
        <w:rPr>
          <w:b/>
          <w:sz w:val="24"/>
          <w:szCs w:val="24"/>
        </w:rPr>
        <w:t>raviditet og amning</w:t>
      </w:r>
    </w:p>
    <w:p w14:paraId="29D2BD54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61F6EAC4" w14:textId="260F08D6" w:rsidR="00F66B82" w:rsidRPr="00F66B82" w:rsidRDefault="00F66B82" w:rsidP="00773B8D">
      <w:pPr>
        <w:ind w:left="851"/>
        <w:rPr>
          <w:iCs/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Graviditet</w:t>
      </w:r>
    </w:p>
    <w:p w14:paraId="58995C89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Der er begrænsede kliniske data fra anvendelse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til gravide kvinder. Dyreforsøg indikerer hverken direkte eller indirekte skadelige virkninger hvad angår reproduktionstoksicitet (se pkt. 5.3).</w:t>
      </w:r>
    </w:p>
    <w:p w14:paraId="0E7FCCDD" w14:textId="54F227F0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Anvendelse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</w:t>
      </w:r>
      <w:r w:rsidR="00816C94">
        <w:rPr>
          <w:sz w:val="24"/>
          <w:szCs w:val="24"/>
        </w:rPr>
        <w:t>"</w:t>
      </w:r>
      <w:proofErr w:type="spellStart"/>
      <w:r w:rsidR="00816C94">
        <w:rPr>
          <w:sz w:val="24"/>
          <w:szCs w:val="24"/>
        </w:rPr>
        <w:t>Pharmexon</w:t>
      </w:r>
      <w:proofErr w:type="spellEnd"/>
      <w:r w:rsidR="00816C94">
        <w:rPr>
          <w:sz w:val="24"/>
          <w:szCs w:val="24"/>
        </w:rPr>
        <w:t>"</w:t>
      </w:r>
      <w:r w:rsidRPr="00F66B82">
        <w:rPr>
          <w:sz w:val="24"/>
          <w:szCs w:val="24"/>
        </w:rPr>
        <w:t xml:space="preserve"> 600 mg tabletter kan overvejes, hvis det er klinisk nødvendigt.</w:t>
      </w:r>
    </w:p>
    <w:p w14:paraId="280BD456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57E2ECA3" w14:textId="14B6133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Amning</w:t>
      </w:r>
    </w:p>
    <w:p w14:paraId="379D0574" w14:textId="50D1BB24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Det er ukendt, om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/metabolitter udskilles i human mælk. </w:t>
      </w:r>
      <w:bookmarkStart w:id="4" w:name="_Hlk199754612"/>
      <w:r w:rsidRPr="00F66B82">
        <w:rPr>
          <w:sz w:val="24"/>
          <w:szCs w:val="24"/>
        </w:rPr>
        <w:t xml:space="preserve">Der er ikke set nogen påvirkning af nyfødte/spædbørn, ammet af mødre i behandling med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. En risiko for det ammede barn kan ikke udelukkes. Det skal besluttes, om amning skal ophøre eller behandling med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</w:t>
      </w:r>
      <w:r w:rsidR="00816C94">
        <w:rPr>
          <w:sz w:val="24"/>
          <w:szCs w:val="24"/>
        </w:rPr>
        <w:t>"</w:t>
      </w:r>
      <w:proofErr w:type="spellStart"/>
      <w:r w:rsidR="00816C94">
        <w:rPr>
          <w:sz w:val="24"/>
          <w:szCs w:val="24"/>
        </w:rPr>
        <w:t>Pharmexon</w:t>
      </w:r>
      <w:proofErr w:type="spellEnd"/>
      <w:r w:rsidR="00816C94">
        <w:rPr>
          <w:sz w:val="24"/>
          <w:szCs w:val="24"/>
        </w:rPr>
        <w:t>"</w:t>
      </w:r>
      <w:r w:rsidRPr="00F66B82">
        <w:rPr>
          <w:sz w:val="24"/>
          <w:szCs w:val="24"/>
        </w:rPr>
        <w:t xml:space="preserve"> seponeres, idet der tages højde for fordelene ved amning for barnet i forhold til de terapeutiske fordele for moderen.</w:t>
      </w:r>
    </w:p>
    <w:bookmarkEnd w:id="4"/>
    <w:p w14:paraId="1DE6FD9F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419C855E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Fertilitet</w:t>
      </w:r>
    </w:p>
    <w:p w14:paraId="2CB5415D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Der foreligger ingen oplysninger om </w:t>
      </w:r>
      <w:proofErr w:type="spellStart"/>
      <w:r w:rsidRPr="00F66B82">
        <w:rPr>
          <w:sz w:val="24"/>
          <w:szCs w:val="24"/>
        </w:rPr>
        <w:t>acetylcysteins</w:t>
      </w:r>
      <w:proofErr w:type="spellEnd"/>
      <w:r w:rsidRPr="00F66B82">
        <w:rPr>
          <w:sz w:val="24"/>
          <w:szCs w:val="24"/>
        </w:rPr>
        <w:t xml:space="preserve"> virkning på fertiliteten hos mennesker. Dyreforsøg ingen skadelige virkninger hvad angår menneskers fertilitet ved de anbefalede doser (se pkt. 5.3).</w:t>
      </w:r>
    </w:p>
    <w:p w14:paraId="093D410D" w14:textId="72E158EA" w:rsidR="00A73EB0" w:rsidRDefault="00A73E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1CF80D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DF5380A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4.7</w:t>
      </w:r>
      <w:r w:rsidRPr="00B62115">
        <w:rPr>
          <w:b/>
          <w:sz w:val="24"/>
          <w:szCs w:val="24"/>
        </w:rPr>
        <w:tab/>
        <w:t xml:space="preserve">Virkning på evnen til at føre motorkøretøj </w:t>
      </w:r>
      <w:r w:rsidR="0071241E" w:rsidRPr="00B62115">
        <w:rPr>
          <w:b/>
          <w:sz w:val="24"/>
          <w:szCs w:val="24"/>
        </w:rPr>
        <w:t>og</w:t>
      </w:r>
      <w:r w:rsidRPr="00B62115">
        <w:rPr>
          <w:b/>
          <w:sz w:val="24"/>
          <w:szCs w:val="24"/>
        </w:rPr>
        <w:t xml:space="preserve"> betjene maskiner</w:t>
      </w:r>
    </w:p>
    <w:p w14:paraId="1A04DF02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Ikke mærkning</w:t>
      </w:r>
    </w:p>
    <w:p w14:paraId="47EC0227" w14:textId="77777777" w:rsidR="00F66B82" w:rsidRPr="00F66B82" w:rsidRDefault="00F66B82" w:rsidP="00773B8D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påvirker ikke evnen til at føre motorkøretøj og betjene maskiner.</w:t>
      </w:r>
    </w:p>
    <w:p w14:paraId="51145535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415B563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4.8</w:t>
      </w:r>
      <w:r w:rsidRPr="00B62115">
        <w:rPr>
          <w:b/>
          <w:sz w:val="24"/>
          <w:szCs w:val="24"/>
        </w:rPr>
        <w:tab/>
        <w:t>Bivirkninger</w:t>
      </w:r>
    </w:p>
    <w:p w14:paraId="1D1A21C1" w14:textId="77777777" w:rsidR="00B62115" w:rsidRDefault="00B62115" w:rsidP="00773B8D">
      <w:pPr>
        <w:ind w:left="851"/>
        <w:rPr>
          <w:sz w:val="24"/>
          <w:szCs w:val="24"/>
          <w:u w:val="single"/>
        </w:rPr>
      </w:pPr>
    </w:p>
    <w:p w14:paraId="1A3F292A" w14:textId="68DDB949" w:rsidR="00F66B82" w:rsidRPr="00F66B82" w:rsidRDefault="00F66B82" w:rsidP="00773B8D">
      <w:pPr>
        <w:ind w:left="851"/>
        <w:rPr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Sammenfatning af sikkerhedsprofilen</w:t>
      </w:r>
    </w:p>
    <w:p w14:paraId="041AE72F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 hyppigst forekommende bivirkninger i forbindelse med oral administration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er af </w:t>
      </w:r>
      <w:proofErr w:type="spellStart"/>
      <w:r w:rsidRPr="00F66B82">
        <w:rPr>
          <w:sz w:val="24"/>
          <w:szCs w:val="24"/>
        </w:rPr>
        <w:t>gastrointestinal</w:t>
      </w:r>
      <w:proofErr w:type="spellEnd"/>
      <w:r w:rsidRPr="00F66B82">
        <w:rPr>
          <w:sz w:val="24"/>
          <w:szCs w:val="24"/>
        </w:rPr>
        <w:t xml:space="preserve"> karakter. Overfølsomhedsreaktioner, herunder </w:t>
      </w:r>
      <w:proofErr w:type="spellStart"/>
      <w:r w:rsidRPr="00F66B82">
        <w:rPr>
          <w:sz w:val="24"/>
          <w:szCs w:val="24"/>
        </w:rPr>
        <w:t>anafylaktisk</w:t>
      </w:r>
      <w:proofErr w:type="spellEnd"/>
      <w:r w:rsidRPr="00F66B82">
        <w:rPr>
          <w:sz w:val="24"/>
          <w:szCs w:val="24"/>
        </w:rPr>
        <w:t xml:space="preserve"> </w:t>
      </w:r>
      <w:proofErr w:type="spellStart"/>
      <w:r w:rsidRPr="00F66B82">
        <w:rPr>
          <w:sz w:val="24"/>
          <w:szCs w:val="24"/>
        </w:rPr>
        <w:t>shock</w:t>
      </w:r>
      <w:proofErr w:type="spellEnd"/>
      <w:r w:rsidRPr="00F66B82">
        <w:rPr>
          <w:sz w:val="24"/>
          <w:szCs w:val="24"/>
        </w:rPr>
        <w:t xml:space="preserve">, </w:t>
      </w:r>
      <w:proofErr w:type="spellStart"/>
      <w:r w:rsidRPr="00F66B82">
        <w:rPr>
          <w:sz w:val="24"/>
          <w:szCs w:val="24"/>
        </w:rPr>
        <w:t>anafylaktisk</w:t>
      </w:r>
      <w:proofErr w:type="spellEnd"/>
      <w:r w:rsidRPr="00F66B82">
        <w:rPr>
          <w:sz w:val="24"/>
          <w:szCs w:val="24"/>
        </w:rPr>
        <w:t>/</w:t>
      </w:r>
      <w:proofErr w:type="spellStart"/>
      <w:r w:rsidRPr="00F66B82">
        <w:rPr>
          <w:sz w:val="24"/>
          <w:szCs w:val="24"/>
        </w:rPr>
        <w:t>anafylaktoid</w:t>
      </w:r>
      <w:proofErr w:type="spellEnd"/>
      <w:r w:rsidRPr="00F66B82">
        <w:rPr>
          <w:sz w:val="24"/>
          <w:szCs w:val="24"/>
        </w:rPr>
        <w:t xml:space="preserve"> reaktion, </w:t>
      </w:r>
      <w:proofErr w:type="spellStart"/>
      <w:r w:rsidRPr="00F66B82">
        <w:rPr>
          <w:sz w:val="24"/>
          <w:szCs w:val="24"/>
        </w:rPr>
        <w:t>bronkospasme</w:t>
      </w:r>
      <w:proofErr w:type="spellEnd"/>
      <w:r w:rsidRPr="00F66B82">
        <w:rPr>
          <w:sz w:val="24"/>
          <w:szCs w:val="24"/>
        </w:rPr>
        <w:t xml:space="preserve">, </w:t>
      </w:r>
      <w:proofErr w:type="spellStart"/>
      <w:r w:rsidRPr="00F66B82">
        <w:rPr>
          <w:sz w:val="24"/>
          <w:szCs w:val="24"/>
        </w:rPr>
        <w:t>takykardi</w:t>
      </w:r>
      <w:proofErr w:type="spellEnd"/>
      <w:r w:rsidRPr="00F66B82">
        <w:rPr>
          <w:sz w:val="24"/>
          <w:szCs w:val="24"/>
        </w:rPr>
        <w:t xml:space="preserve">, </w:t>
      </w:r>
      <w:proofErr w:type="spellStart"/>
      <w:r w:rsidRPr="00F66B82">
        <w:rPr>
          <w:sz w:val="24"/>
          <w:szCs w:val="24"/>
        </w:rPr>
        <w:t>angioødem</w:t>
      </w:r>
      <w:proofErr w:type="spellEnd"/>
      <w:r w:rsidRPr="00F66B82">
        <w:rPr>
          <w:sz w:val="24"/>
          <w:szCs w:val="24"/>
        </w:rPr>
        <w:t xml:space="preserve">, udslæt og </w:t>
      </w:r>
      <w:proofErr w:type="spellStart"/>
      <w:r w:rsidRPr="00F66B82">
        <w:rPr>
          <w:sz w:val="24"/>
          <w:szCs w:val="24"/>
        </w:rPr>
        <w:t>pruritus</w:t>
      </w:r>
      <w:proofErr w:type="spellEnd"/>
      <w:r w:rsidRPr="00F66B82">
        <w:rPr>
          <w:sz w:val="24"/>
          <w:szCs w:val="24"/>
        </w:rPr>
        <w:t>, er rapporteret mindre hyppigt.</w:t>
      </w:r>
    </w:p>
    <w:p w14:paraId="1723AF06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4EFE2E74" w14:textId="77777777" w:rsidR="00F66B82" w:rsidRPr="00F66B82" w:rsidRDefault="00F66B82" w:rsidP="00773B8D">
      <w:pPr>
        <w:ind w:left="851"/>
        <w:rPr>
          <w:sz w:val="24"/>
          <w:szCs w:val="24"/>
        </w:rPr>
      </w:pPr>
      <w:bookmarkStart w:id="5" w:name="_Hlk205991879"/>
      <w:r w:rsidRPr="00F66B82">
        <w:rPr>
          <w:sz w:val="24"/>
          <w:szCs w:val="24"/>
          <w:u w:val="single"/>
        </w:rPr>
        <w:t>Bivirkningstabel</w:t>
      </w:r>
    </w:p>
    <w:bookmarkEnd w:id="5"/>
    <w:p w14:paraId="0848F79A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I nedenstående tabel er bivirkningerne angivet efter systemorganklasse og hyppighed (meget almindelig (≥ 1/10), almindelig (≥ 1/100 til &lt; 1/10), ikke almindelig (≥ 1/1.000 til &lt; 1/100), sjælden (≥ 1/10.000 til &lt; 1/1.000), meget sjælden (&lt; 1/10.000) og ikke kendt (kan ikke estimeres ud fra forhåndenværende data).</w:t>
      </w:r>
    </w:p>
    <w:p w14:paraId="724F9227" w14:textId="77777777" w:rsidR="00F66B82" w:rsidRPr="00F66B82" w:rsidRDefault="00F66B82" w:rsidP="00773B8D">
      <w:pPr>
        <w:ind w:left="851"/>
        <w:rPr>
          <w:sz w:val="24"/>
          <w:szCs w:val="24"/>
        </w:rPr>
      </w:pPr>
    </w:p>
    <w:p w14:paraId="71A6DFBF" w14:textId="77777777" w:rsidR="00F66B82" w:rsidRPr="00F66B82" w:rsidRDefault="00F66B82" w:rsidP="00773B8D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Inden for hver hyppighedskategori er bivirkningerne anført i rækkefølge efter aftagende alvorlighed.</w:t>
      </w:r>
    </w:p>
    <w:p w14:paraId="29E28CB6" w14:textId="77777777" w:rsidR="00F66B82" w:rsidRPr="00F66B82" w:rsidRDefault="00F66B82" w:rsidP="00F66B82">
      <w:pPr>
        <w:tabs>
          <w:tab w:val="left" w:pos="851"/>
        </w:tabs>
        <w:ind w:left="851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4"/>
        <w:gridCol w:w="2450"/>
        <w:gridCol w:w="1723"/>
        <w:gridCol w:w="1528"/>
        <w:gridCol w:w="1503"/>
      </w:tblGrid>
      <w:tr w:rsidR="00F66B82" w:rsidRPr="00F66B82" w14:paraId="78504F61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CF25D" w14:textId="77777777" w:rsidR="00F66B82" w:rsidRPr="00F66B82" w:rsidRDefault="00F66B82" w:rsidP="00773B8D">
            <w:pPr>
              <w:ind w:left="21" w:right="43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Systemorganklasse</w:t>
            </w:r>
          </w:p>
        </w:tc>
        <w:tc>
          <w:tcPr>
            <w:tcW w:w="36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AC83C" w14:textId="77777777" w:rsidR="00F66B82" w:rsidRPr="00F66B82" w:rsidRDefault="00F66B82" w:rsidP="00773B8D">
            <w:pPr>
              <w:ind w:left="89" w:right="137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Bivirkninger</w:t>
            </w:r>
          </w:p>
        </w:tc>
      </w:tr>
      <w:tr w:rsidR="00F66B82" w:rsidRPr="00F66B82" w14:paraId="5CB2151D" w14:textId="77777777" w:rsidTr="00B62115">
        <w:trPr>
          <w:trHeight w:val="69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352C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EB96B" w14:textId="77777777" w:rsidR="00F66B82" w:rsidRPr="00F66B82" w:rsidRDefault="00F66B82" w:rsidP="00773B8D">
            <w:pPr>
              <w:ind w:left="89" w:right="137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Ikke almindelig</w:t>
            </w:r>
          </w:p>
          <w:p w14:paraId="1EDC0EF2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(≥ 1/1.000 til &lt; 1/100)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621EB" w14:textId="77777777" w:rsidR="00F66B82" w:rsidRPr="00F66B82" w:rsidRDefault="00F66B82" w:rsidP="00773B8D">
            <w:pPr>
              <w:ind w:left="89" w:right="137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Sjælden</w:t>
            </w:r>
          </w:p>
          <w:p w14:paraId="66C02390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(≥ 1/10.000 til</w:t>
            </w:r>
          </w:p>
          <w:p w14:paraId="74213A6E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&lt; 1/1.000)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B761D" w14:textId="77777777" w:rsidR="00F66B82" w:rsidRPr="00F66B82" w:rsidRDefault="00F66B82" w:rsidP="00773B8D">
            <w:pPr>
              <w:ind w:left="89" w:right="137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Meget sjælden</w:t>
            </w:r>
          </w:p>
          <w:p w14:paraId="4D7EFC98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(&lt; 1/1.000)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26B1" w14:textId="77777777" w:rsidR="00F66B82" w:rsidRPr="00F66B82" w:rsidRDefault="00F66B82" w:rsidP="00773B8D">
            <w:pPr>
              <w:ind w:left="89" w:right="137"/>
              <w:rPr>
                <w:b/>
                <w:sz w:val="24"/>
                <w:szCs w:val="24"/>
              </w:rPr>
            </w:pPr>
            <w:r w:rsidRPr="00F66B82">
              <w:rPr>
                <w:b/>
                <w:sz w:val="24"/>
                <w:szCs w:val="24"/>
              </w:rPr>
              <w:t>Ikke kendt</w:t>
            </w:r>
          </w:p>
        </w:tc>
      </w:tr>
      <w:tr w:rsidR="00F66B82" w:rsidRPr="00F66B82" w14:paraId="5EF01672" w14:textId="77777777" w:rsidTr="00B62115">
        <w:trPr>
          <w:trHeight w:val="1149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D7F2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Immunsystemet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933A8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Overfølsomhed*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9E94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378FF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Anafylaktisk</w:t>
            </w:r>
            <w:proofErr w:type="spellEnd"/>
            <w:r w:rsidRPr="00F66B82">
              <w:rPr>
                <w:sz w:val="24"/>
                <w:szCs w:val="24"/>
              </w:rPr>
              <w:t xml:space="preserve"> </w:t>
            </w:r>
            <w:proofErr w:type="spellStart"/>
            <w:r w:rsidRPr="00F66B82">
              <w:rPr>
                <w:sz w:val="24"/>
                <w:szCs w:val="24"/>
              </w:rPr>
              <w:t>shock</w:t>
            </w:r>
            <w:proofErr w:type="spellEnd"/>
            <w:r w:rsidRPr="00F66B82">
              <w:rPr>
                <w:sz w:val="24"/>
                <w:szCs w:val="24"/>
              </w:rPr>
              <w:t xml:space="preserve">, </w:t>
            </w:r>
            <w:proofErr w:type="spellStart"/>
            <w:r w:rsidRPr="00F66B82">
              <w:rPr>
                <w:sz w:val="24"/>
                <w:szCs w:val="24"/>
              </w:rPr>
              <w:t>anafylaktisk</w:t>
            </w:r>
            <w:proofErr w:type="spellEnd"/>
            <w:r w:rsidRPr="00F66B82">
              <w:rPr>
                <w:sz w:val="24"/>
                <w:szCs w:val="24"/>
              </w:rPr>
              <w:t>/</w:t>
            </w:r>
          </w:p>
          <w:p w14:paraId="13459153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anafylaktoid</w:t>
            </w:r>
            <w:proofErr w:type="spellEnd"/>
            <w:r w:rsidRPr="00F66B82">
              <w:rPr>
                <w:sz w:val="24"/>
                <w:szCs w:val="24"/>
              </w:rPr>
              <w:t xml:space="preserve"> reaktion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E9F4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4349499F" w14:textId="77777777" w:rsidTr="00B62115">
        <w:trPr>
          <w:trHeight w:val="459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A0754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Nervesystemet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7FB48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Hovedpine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C3DB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AC6E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C2D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04E56B29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3958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Øre og labyrint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6C3FA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Tinnitus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33F3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BADC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4BA3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5CEDA891" w14:textId="77777777" w:rsidTr="00B62115">
        <w:trPr>
          <w:trHeight w:val="23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CA72F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Hjerte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6A51E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Takykardi</w:t>
            </w:r>
            <w:proofErr w:type="spellEnd"/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513B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1C66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5855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678A6D93" w14:textId="77777777" w:rsidTr="00B62115">
        <w:trPr>
          <w:trHeight w:val="23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ADE6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Vaskulære sygdomme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279F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DB25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41938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Hæmoragi</w:t>
            </w:r>
            <w:proofErr w:type="spellEnd"/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6013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7A37CF21" w14:textId="77777777" w:rsidTr="00B62115">
        <w:trPr>
          <w:trHeight w:val="688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94D7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Luftveje, thorax og</w:t>
            </w:r>
          </w:p>
          <w:p w14:paraId="794CE048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mediastinum</w:t>
            </w:r>
            <w:proofErr w:type="spellEnd"/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24BE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46CC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Bronkospasme</w:t>
            </w:r>
            <w:proofErr w:type="spellEnd"/>
            <w:r w:rsidRPr="00F66B82">
              <w:rPr>
                <w:sz w:val="24"/>
                <w:szCs w:val="24"/>
              </w:rPr>
              <w:t>, dyspnø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B54F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7031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326CC27B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2231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Mave-tarm-kanalen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69FB9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Stomatitis</w:t>
            </w:r>
            <w:proofErr w:type="spellEnd"/>
            <w:r w:rsidRPr="00F66B82">
              <w:rPr>
                <w:sz w:val="24"/>
                <w:szCs w:val="24"/>
              </w:rPr>
              <w:t xml:space="preserve">, </w:t>
            </w:r>
            <w:proofErr w:type="spellStart"/>
            <w:r w:rsidRPr="00F66B82">
              <w:rPr>
                <w:sz w:val="24"/>
                <w:szCs w:val="24"/>
              </w:rPr>
              <w:t>abdominalsmerter</w:t>
            </w:r>
            <w:proofErr w:type="spellEnd"/>
            <w:r w:rsidRPr="00F66B82">
              <w:rPr>
                <w:sz w:val="24"/>
                <w:szCs w:val="24"/>
              </w:rPr>
              <w:t>, kvalme, opkastning, diarré (se pkt. 4.4)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A4197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Dyspepsi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1F56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0C25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697C0F14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DB6C3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Hud og subkutane væv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914A8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 xml:space="preserve">Urticaria, udslæt, </w:t>
            </w:r>
            <w:proofErr w:type="spellStart"/>
            <w:r w:rsidRPr="00F66B82">
              <w:rPr>
                <w:sz w:val="24"/>
                <w:szCs w:val="24"/>
              </w:rPr>
              <w:t>angioødem</w:t>
            </w:r>
            <w:proofErr w:type="spellEnd"/>
            <w:r w:rsidRPr="00F66B82">
              <w:rPr>
                <w:sz w:val="24"/>
                <w:szCs w:val="24"/>
              </w:rPr>
              <w:t xml:space="preserve">, </w:t>
            </w:r>
            <w:proofErr w:type="spellStart"/>
            <w:r w:rsidRPr="00F66B82">
              <w:rPr>
                <w:sz w:val="24"/>
                <w:szCs w:val="24"/>
              </w:rPr>
              <w:t>pruritus</w:t>
            </w:r>
            <w:proofErr w:type="spellEnd"/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4541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8863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FF32B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Ansigtsødem</w:t>
            </w:r>
          </w:p>
          <w:p w14:paraId="71306ABF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 xml:space="preserve">Stevens-Johnsons syndrom, </w:t>
            </w:r>
            <w:proofErr w:type="spellStart"/>
            <w:r w:rsidRPr="00F66B82">
              <w:rPr>
                <w:sz w:val="24"/>
                <w:szCs w:val="24"/>
              </w:rPr>
              <w:t>Lyells</w:t>
            </w:r>
            <w:proofErr w:type="spellEnd"/>
            <w:r w:rsidRPr="00F66B82">
              <w:rPr>
                <w:sz w:val="24"/>
                <w:szCs w:val="24"/>
              </w:rPr>
              <w:t xml:space="preserve"> syndrom</w:t>
            </w:r>
          </w:p>
        </w:tc>
      </w:tr>
      <w:tr w:rsidR="00F66B82" w:rsidRPr="00F66B82" w14:paraId="5AAA99EA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B6F78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Almene symptomer og reaktioner på administrationsstedet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03C70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proofErr w:type="spellStart"/>
            <w:r w:rsidRPr="00F66B82">
              <w:rPr>
                <w:sz w:val="24"/>
                <w:szCs w:val="24"/>
              </w:rPr>
              <w:t>Pyreksi</w:t>
            </w:r>
            <w:proofErr w:type="spellEnd"/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7977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AFD5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63E7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</w:tr>
      <w:tr w:rsidR="00F66B82" w:rsidRPr="00F66B82" w14:paraId="5A561510" w14:textId="77777777" w:rsidTr="00B62115">
        <w:trPr>
          <w:trHeight w:val="460"/>
        </w:trPr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F8FBB" w14:textId="77777777" w:rsidR="00F66B82" w:rsidRPr="00F66B82" w:rsidRDefault="00F66B82" w:rsidP="00773B8D">
            <w:pPr>
              <w:ind w:left="21" w:right="43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Undersøgelser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9DE16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>Nedsat blodtryk (se pkt. 4.5)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D412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ADD4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E5815" w14:textId="77777777" w:rsidR="00F66B82" w:rsidRPr="00F66B82" w:rsidRDefault="00F66B82" w:rsidP="00773B8D">
            <w:pPr>
              <w:ind w:left="89" w:right="137"/>
              <w:rPr>
                <w:sz w:val="24"/>
                <w:szCs w:val="24"/>
              </w:rPr>
            </w:pPr>
            <w:r w:rsidRPr="00F66B82">
              <w:rPr>
                <w:sz w:val="24"/>
                <w:szCs w:val="24"/>
              </w:rPr>
              <w:t xml:space="preserve">Nedsat </w:t>
            </w:r>
            <w:proofErr w:type="spellStart"/>
            <w:r w:rsidRPr="00F66B82">
              <w:rPr>
                <w:sz w:val="24"/>
                <w:szCs w:val="24"/>
              </w:rPr>
              <w:t>trombocyt-aggregation</w:t>
            </w:r>
            <w:proofErr w:type="spellEnd"/>
            <w:r w:rsidRPr="00F66B82">
              <w:rPr>
                <w:sz w:val="24"/>
                <w:szCs w:val="24"/>
              </w:rPr>
              <w:t>*</w:t>
            </w:r>
          </w:p>
        </w:tc>
      </w:tr>
    </w:tbl>
    <w:p w14:paraId="3372F555" w14:textId="77777777" w:rsidR="00F66B82" w:rsidRPr="00F66B82" w:rsidRDefault="00F66B82" w:rsidP="00B62115">
      <w:pPr>
        <w:rPr>
          <w:sz w:val="24"/>
          <w:szCs w:val="24"/>
        </w:rPr>
      </w:pPr>
      <w:r w:rsidRPr="00F66B82">
        <w:rPr>
          <w:sz w:val="24"/>
          <w:szCs w:val="24"/>
        </w:rPr>
        <w:t>* Se ”Beskrivelse af udvalgte bivirkninger”</w:t>
      </w:r>
    </w:p>
    <w:p w14:paraId="5C3A94A5" w14:textId="77777777" w:rsidR="00F66B82" w:rsidRPr="00F66B82" w:rsidRDefault="00F66B82" w:rsidP="00F66B82">
      <w:pPr>
        <w:tabs>
          <w:tab w:val="left" w:pos="851"/>
        </w:tabs>
        <w:ind w:left="851"/>
        <w:rPr>
          <w:sz w:val="24"/>
          <w:szCs w:val="24"/>
        </w:rPr>
      </w:pPr>
    </w:p>
    <w:p w14:paraId="4E6564D1" w14:textId="77777777" w:rsidR="00F66B82" w:rsidRPr="00F66B82" w:rsidRDefault="00F66B82" w:rsidP="00B62115">
      <w:pPr>
        <w:ind w:left="851"/>
        <w:rPr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Beskrivelse af udvalgte bivirkninger</w:t>
      </w:r>
    </w:p>
    <w:p w14:paraId="22D98ED4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0F4919E2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Nedsat </w:t>
      </w:r>
      <w:proofErr w:type="spellStart"/>
      <w:r w:rsidRPr="00F66B82">
        <w:rPr>
          <w:sz w:val="24"/>
          <w:szCs w:val="24"/>
        </w:rPr>
        <w:t>trombocytaggregation</w:t>
      </w:r>
      <w:proofErr w:type="spellEnd"/>
      <w:r w:rsidRPr="00F66B82">
        <w:rPr>
          <w:sz w:val="24"/>
          <w:szCs w:val="24"/>
        </w:rPr>
        <w:t xml:space="preserve"> under brug af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er blevet bekræftet i flere studier. Den kliniske signifikans er endnu ikke klarlagt.</w:t>
      </w:r>
    </w:p>
    <w:p w14:paraId="0272B5CB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05B4D330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Indberetning af formodede bivirkninger</w:t>
      </w:r>
    </w:p>
    <w:p w14:paraId="051692E3" w14:textId="77777777" w:rsid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Når lægemidlet er godkendt, er indberetning af formodede bivirkninger vigtig. Det muliggør løbende overvågning af benefit/</w:t>
      </w:r>
      <w:proofErr w:type="spellStart"/>
      <w:r w:rsidRPr="00F66B82">
        <w:rPr>
          <w:sz w:val="24"/>
          <w:szCs w:val="24"/>
        </w:rPr>
        <w:t>risk</w:t>
      </w:r>
      <w:proofErr w:type="spellEnd"/>
      <w:r w:rsidRPr="00F66B82">
        <w:rPr>
          <w:sz w:val="24"/>
          <w:szCs w:val="24"/>
        </w:rPr>
        <w:t xml:space="preserve">-forholdet for lægemidlet. Sundhedspersoner anmodes om at indberette alle formodede bivirkninger via </w:t>
      </w:r>
    </w:p>
    <w:p w14:paraId="6AA8D3EC" w14:textId="77777777" w:rsidR="00B62115" w:rsidRPr="00F66B82" w:rsidRDefault="00B62115" w:rsidP="00B62115">
      <w:pPr>
        <w:ind w:left="851"/>
        <w:rPr>
          <w:sz w:val="24"/>
          <w:szCs w:val="24"/>
        </w:rPr>
      </w:pPr>
    </w:p>
    <w:p w14:paraId="4E0DCCA5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Lægemiddelstyrelsen</w:t>
      </w:r>
    </w:p>
    <w:p w14:paraId="0270BDC0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Axel Heides Gade 1</w:t>
      </w:r>
    </w:p>
    <w:p w14:paraId="3A2C193C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DK-2300 København S</w:t>
      </w:r>
    </w:p>
    <w:p w14:paraId="48D0EC43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Websted: </w:t>
      </w:r>
      <w:hyperlink r:id="rId8" w:history="1">
        <w:r w:rsidRPr="00F66B82">
          <w:rPr>
            <w:rStyle w:val="Hyperlink"/>
            <w:sz w:val="24"/>
            <w:szCs w:val="24"/>
          </w:rPr>
          <w:t>www.meldenbivirkning.dk</w:t>
        </w:r>
      </w:hyperlink>
    </w:p>
    <w:p w14:paraId="62E9AE28" w14:textId="77777777" w:rsidR="009260DE" w:rsidRPr="00B62115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39CB3136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4.9</w:t>
      </w:r>
      <w:r w:rsidRPr="00B62115">
        <w:rPr>
          <w:b/>
          <w:sz w:val="24"/>
          <w:szCs w:val="24"/>
        </w:rPr>
        <w:tab/>
        <w:t>Overdosering</w:t>
      </w:r>
    </w:p>
    <w:p w14:paraId="3C48FD1A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Raske frivillige fik 11,2 g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dagligt i tre måneder uden alvorlige bivirkninger.</w:t>
      </w:r>
    </w:p>
    <w:p w14:paraId="5722A463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670950EA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Orale doser på op til 500 mg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/kg legemsvægt blev tolereret uden symptomer på forgiftning.</w:t>
      </w:r>
    </w:p>
    <w:p w14:paraId="6B7210E0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11FE427C" w14:textId="77777777" w:rsidR="00F66B82" w:rsidRPr="00F66B82" w:rsidRDefault="00F66B82" w:rsidP="00B62115">
      <w:pPr>
        <w:ind w:left="851"/>
        <w:rPr>
          <w:iCs/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Symptomer</w:t>
      </w:r>
    </w:p>
    <w:p w14:paraId="6249521B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Overdosering kan medføre </w:t>
      </w:r>
      <w:proofErr w:type="spellStart"/>
      <w:r w:rsidRPr="00F66B82">
        <w:rPr>
          <w:sz w:val="24"/>
          <w:szCs w:val="24"/>
        </w:rPr>
        <w:t>gastrointestinale</w:t>
      </w:r>
      <w:proofErr w:type="spellEnd"/>
      <w:r w:rsidRPr="00F66B82">
        <w:rPr>
          <w:sz w:val="24"/>
          <w:szCs w:val="24"/>
        </w:rPr>
        <w:t xml:space="preserve"> symptomer såsom kvalme, opkastning og diarré.</w:t>
      </w:r>
    </w:p>
    <w:p w14:paraId="31DFC574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70A6BF57" w14:textId="77777777" w:rsidR="00F66B82" w:rsidRPr="00F66B82" w:rsidRDefault="00F66B82" w:rsidP="00B62115">
      <w:pPr>
        <w:ind w:left="851"/>
        <w:rPr>
          <w:iCs/>
          <w:sz w:val="24"/>
          <w:szCs w:val="24"/>
          <w:u w:val="single"/>
        </w:rPr>
      </w:pPr>
      <w:r w:rsidRPr="00F66B82">
        <w:rPr>
          <w:sz w:val="24"/>
          <w:szCs w:val="24"/>
          <w:u w:val="single"/>
        </w:rPr>
        <w:t>Behandling</w:t>
      </w:r>
    </w:p>
    <w:p w14:paraId="48076264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Der findes ingen specifik antidot mod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, og behandlingen er symptomatisk.</w:t>
      </w:r>
    </w:p>
    <w:p w14:paraId="01A64FA0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44969BD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4.10</w:t>
      </w:r>
      <w:r w:rsidRPr="00B62115">
        <w:rPr>
          <w:b/>
          <w:sz w:val="24"/>
          <w:szCs w:val="24"/>
        </w:rPr>
        <w:tab/>
        <w:t>Udlevering</w:t>
      </w:r>
    </w:p>
    <w:p w14:paraId="6F6A75D7" w14:textId="0684B48E" w:rsidR="009260DE" w:rsidRPr="00B62115" w:rsidRDefault="00F66B82" w:rsidP="009260DE">
      <w:pPr>
        <w:tabs>
          <w:tab w:val="left" w:pos="851"/>
        </w:tabs>
        <w:ind w:left="851"/>
        <w:rPr>
          <w:sz w:val="24"/>
          <w:szCs w:val="24"/>
        </w:rPr>
      </w:pPr>
      <w:r w:rsidRPr="00B62115">
        <w:rPr>
          <w:sz w:val="24"/>
          <w:szCs w:val="24"/>
        </w:rPr>
        <w:t>HF</w:t>
      </w:r>
    </w:p>
    <w:p w14:paraId="623799E9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A187390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7160EB6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5.</w:t>
      </w:r>
      <w:r w:rsidRPr="00B62115">
        <w:rPr>
          <w:b/>
          <w:sz w:val="24"/>
          <w:szCs w:val="24"/>
        </w:rPr>
        <w:tab/>
        <w:t>FARMAKOLOGISKE EGENSKABER</w:t>
      </w:r>
    </w:p>
    <w:p w14:paraId="543F4D2F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B80E196" w14:textId="77777777" w:rsidR="009260DE" w:rsidRPr="00B62115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5.1</w:t>
      </w:r>
      <w:r w:rsidRPr="00B62115">
        <w:rPr>
          <w:b/>
          <w:sz w:val="24"/>
          <w:szCs w:val="24"/>
        </w:rPr>
        <w:tab/>
      </w:r>
      <w:proofErr w:type="spellStart"/>
      <w:r w:rsidRPr="00B62115">
        <w:rPr>
          <w:b/>
          <w:sz w:val="24"/>
          <w:szCs w:val="24"/>
        </w:rPr>
        <w:t>Farmakodynamiske</w:t>
      </w:r>
      <w:proofErr w:type="spellEnd"/>
      <w:r w:rsidRPr="00B62115">
        <w:rPr>
          <w:b/>
          <w:sz w:val="24"/>
          <w:szCs w:val="24"/>
        </w:rPr>
        <w:t xml:space="preserve"> egenskaber</w:t>
      </w:r>
    </w:p>
    <w:p w14:paraId="6093E91F" w14:textId="5464EC0E" w:rsidR="00F66B82" w:rsidRPr="00F66B82" w:rsidRDefault="00F66B82" w:rsidP="00B62115">
      <w:pPr>
        <w:ind w:left="851"/>
        <w:rPr>
          <w:b/>
          <w:sz w:val="24"/>
          <w:szCs w:val="24"/>
        </w:rPr>
      </w:pPr>
      <w:proofErr w:type="spellStart"/>
      <w:r w:rsidRPr="00F66B82">
        <w:rPr>
          <w:sz w:val="24"/>
          <w:szCs w:val="24"/>
        </w:rPr>
        <w:t>Farmakoterapeutisk</w:t>
      </w:r>
      <w:proofErr w:type="spellEnd"/>
      <w:r w:rsidRPr="00F66B82">
        <w:rPr>
          <w:sz w:val="24"/>
          <w:szCs w:val="24"/>
        </w:rPr>
        <w:t xml:space="preserve"> klassifikation: Midler mod hoste og forkølelse</w:t>
      </w:r>
      <w:r w:rsidR="00A73EB0">
        <w:rPr>
          <w:sz w:val="24"/>
          <w:szCs w:val="24"/>
        </w:rPr>
        <w:t>,</w:t>
      </w:r>
      <w:r w:rsidRPr="00F66B82">
        <w:rPr>
          <w:sz w:val="24"/>
          <w:szCs w:val="24"/>
        </w:rPr>
        <w:t xml:space="preserve"> </w:t>
      </w:r>
      <w:proofErr w:type="spellStart"/>
      <w:r w:rsidRPr="00F66B82">
        <w:rPr>
          <w:sz w:val="24"/>
          <w:szCs w:val="24"/>
        </w:rPr>
        <w:t>Mucolytika</w:t>
      </w:r>
      <w:proofErr w:type="spellEnd"/>
      <w:r w:rsidRPr="00F66B82">
        <w:rPr>
          <w:sz w:val="24"/>
          <w:szCs w:val="24"/>
        </w:rPr>
        <w:t>, ATC</w:t>
      </w:r>
      <w:r w:rsidRPr="00F66B82">
        <w:rPr>
          <w:sz w:val="24"/>
          <w:szCs w:val="24"/>
        </w:rPr>
        <w:noBreakHyphen/>
        <w:t>kode: R05CB01</w:t>
      </w:r>
    </w:p>
    <w:p w14:paraId="256336C3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6A388AEA" w14:textId="77777777" w:rsidR="00F66B82" w:rsidRPr="00F66B82" w:rsidRDefault="00F66B82" w:rsidP="00B62115">
      <w:pPr>
        <w:ind w:left="851"/>
        <w:rPr>
          <w:i/>
          <w:sz w:val="24"/>
          <w:szCs w:val="24"/>
        </w:rPr>
      </w:pPr>
      <w:r w:rsidRPr="00F66B82">
        <w:rPr>
          <w:i/>
          <w:sz w:val="24"/>
          <w:szCs w:val="24"/>
        </w:rPr>
        <w:t xml:space="preserve">Virkningsmekanisme og </w:t>
      </w:r>
      <w:proofErr w:type="spellStart"/>
      <w:r w:rsidRPr="00F66B82">
        <w:rPr>
          <w:i/>
          <w:sz w:val="24"/>
          <w:szCs w:val="24"/>
        </w:rPr>
        <w:t>farmakodynamisk</w:t>
      </w:r>
      <w:proofErr w:type="spellEnd"/>
      <w:r w:rsidRPr="00F66B82">
        <w:rPr>
          <w:i/>
          <w:sz w:val="24"/>
          <w:szCs w:val="24"/>
        </w:rPr>
        <w:t xml:space="preserve"> virkning</w:t>
      </w:r>
    </w:p>
    <w:p w14:paraId="16361611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er et </w:t>
      </w:r>
      <w:proofErr w:type="spellStart"/>
      <w:r w:rsidRPr="00F66B82">
        <w:rPr>
          <w:sz w:val="24"/>
          <w:szCs w:val="24"/>
        </w:rPr>
        <w:t>mukolytikum</w:t>
      </w:r>
      <w:proofErr w:type="spellEnd"/>
      <w:r w:rsidRPr="00F66B82">
        <w:rPr>
          <w:sz w:val="24"/>
          <w:szCs w:val="24"/>
        </w:rPr>
        <w:t xml:space="preserve">, som nedsætter slimsekreters viskositet. Den </w:t>
      </w:r>
      <w:proofErr w:type="spellStart"/>
      <w:r w:rsidRPr="00F66B82">
        <w:rPr>
          <w:sz w:val="24"/>
          <w:szCs w:val="24"/>
        </w:rPr>
        <w:t>mukolytiske</w:t>
      </w:r>
      <w:proofErr w:type="spellEnd"/>
      <w:r w:rsidRPr="00F66B82">
        <w:rPr>
          <w:sz w:val="24"/>
          <w:szCs w:val="24"/>
        </w:rPr>
        <w:t xml:space="preserve"> virkning skyldes </w:t>
      </w:r>
      <w:proofErr w:type="spellStart"/>
      <w:r w:rsidRPr="00F66B82">
        <w:rPr>
          <w:sz w:val="24"/>
          <w:szCs w:val="24"/>
        </w:rPr>
        <w:t>depolymerisering</w:t>
      </w:r>
      <w:proofErr w:type="spellEnd"/>
      <w:r w:rsidRPr="00F66B82">
        <w:rPr>
          <w:sz w:val="24"/>
          <w:szCs w:val="24"/>
        </w:rPr>
        <w:t xml:space="preserve">, hvorved </w:t>
      </w:r>
      <w:proofErr w:type="spellStart"/>
      <w:r w:rsidRPr="00F66B82">
        <w:rPr>
          <w:sz w:val="24"/>
          <w:szCs w:val="24"/>
        </w:rPr>
        <w:t>disulfidbindinger</w:t>
      </w:r>
      <w:proofErr w:type="spellEnd"/>
      <w:r w:rsidRPr="00F66B82">
        <w:rPr>
          <w:sz w:val="24"/>
          <w:szCs w:val="24"/>
        </w:rPr>
        <w:t xml:space="preserve"> mellem makromolekyler i slimet brydes.</w:t>
      </w:r>
    </w:p>
    <w:p w14:paraId="33F94299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7C7CB8CD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Andre egenskaber omfatter reduktion af induceret </w:t>
      </w:r>
      <w:proofErr w:type="spellStart"/>
      <w:r w:rsidRPr="00F66B82">
        <w:rPr>
          <w:sz w:val="24"/>
          <w:szCs w:val="24"/>
        </w:rPr>
        <w:t>hyperplasi</w:t>
      </w:r>
      <w:proofErr w:type="spellEnd"/>
      <w:r w:rsidRPr="00F66B82">
        <w:rPr>
          <w:sz w:val="24"/>
          <w:szCs w:val="24"/>
        </w:rPr>
        <w:t xml:space="preserve"> af slimproducerende celler, øget produktion af </w:t>
      </w:r>
      <w:proofErr w:type="spellStart"/>
      <w:r w:rsidRPr="00F66B82">
        <w:rPr>
          <w:sz w:val="24"/>
          <w:szCs w:val="24"/>
        </w:rPr>
        <w:t>surfaktant</w:t>
      </w:r>
      <w:proofErr w:type="spellEnd"/>
      <w:r w:rsidRPr="00F66B82">
        <w:rPr>
          <w:sz w:val="24"/>
          <w:szCs w:val="24"/>
        </w:rPr>
        <w:t xml:space="preserve"> ved stimulation af type II-</w:t>
      </w:r>
      <w:proofErr w:type="spellStart"/>
      <w:r w:rsidRPr="00F66B82">
        <w:rPr>
          <w:sz w:val="24"/>
          <w:szCs w:val="24"/>
        </w:rPr>
        <w:t>pneumocytter</w:t>
      </w:r>
      <w:proofErr w:type="spellEnd"/>
      <w:r w:rsidRPr="00F66B82">
        <w:rPr>
          <w:sz w:val="24"/>
          <w:szCs w:val="24"/>
        </w:rPr>
        <w:t xml:space="preserve"> samt stimulation af den </w:t>
      </w:r>
      <w:proofErr w:type="spellStart"/>
      <w:r w:rsidRPr="00F66B82">
        <w:rPr>
          <w:sz w:val="24"/>
          <w:szCs w:val="24"/>
        </w:rPr>
        <w:t>mukociliære</w:t>
      </w:r>
      <w:proofErr w:type="spellEnd"/>
      <w:r w:rsidRPr="00F66B82">
        <w:rPr>
          <w:sz w:val="24"/>
          <w:szCs w:val="24"/>
        </w:rPr>
        <w:t xml:space="preserve"> aktivitet, hvilket medfører forbedret </w:t>
      </w:r>
      <w:proofErr w:type="spellStart"/>
      <w:r w:rsidRPr="00F66B82">
        <w:rPr>
          <w:sz w:val="24"/>
          <w:szCs w:val="24"/>
        </w:rPr>
        <w:t>mukociliær</w:t>
      </w:r>
      <w:proofErr w:type="spellEnd"/>
      <w:r w:rsidRPr="00F66B82">
        <w:rPr>
          <w:sz w:val="24"/>
          <w:szCs w:val="24"/>
        </w:rPr>
        <w:t xml:space="preserve"> </w:t>
      </w:r>
      <w:proofErr w:type="spellStart"/>
      <w:r w:rsidRPr="00F66B82">
        <w:rPr>
          <w:sz w:val="24"/>
          <w:szCs w:val="24"/>
        </w:rPr>
        <w:t>clearance</w:t>
      </w:r>
      <w:proofErr w:type="spellEnd"/>
      <w:r w:rsidRPr="00F66B82">
        <w:rPr>
          <w:sz w:val="24"/>
          <w:szCs w:val="24"/>
        </w:rPr>
        <w:t>.</w:t>
      </w:r>
    </w:p>
    <w:p w14:paraId="57CA8CC7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10879553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er også en </w:t>
      </w:r>
      <w:proofErr w:type="spellStart"/>
      <w:r w:rsidRPr="00F66B82">
        <w:rPr>
          <w:sz w:val="24"/>
          <w:szCs w:val="24"/>
        </w:rPr>
        <w:t>prækursor</w:t>
      </w:r>
      <w:proofErr w:type="spellEnd"/>
      <w:r w:rsidRPr="00F66B82">
        <w:rPr>
          <w:sz w:val="24"/>
          <w:szCs w:val="24"/>
        </w:rPr>
        <w:t xml:space="preserve"> for </w:t>
      </w:r>
      <w:proofErr w:type="spellStart"/>
      <w:r w:rsidRPr="00F66B82">
        <w:rPr>
          <w:sz w:val="24"/>
          <w:szCs w:val="24"/>
        </w:rPr>
        <w:t>glutathion</w:t>
      </w:r>
      <w:proofErr w:type="spellEnd"/>
      <w:r w:rsidRPr="00F66B82">
        <w:rPr>
          <w:sz w:val="24"/>
          <w:szCs w:val="24"/>
        </w:rPr>
        <w:t xml:space="preserve">, da det er et derivat af </w:t>
      </w:r>
      <w:proofErr w:type="spellStart"/>
      <w:r w:rsidRPr="00F66B82">
        <w:rPr>
          <w:sz w:val="24"/>
          <w:szCs w:val="24"/>
        </w:rPr>
        <w:t>cystein</w:t>
      </w:r>
      <w:proofErr w:type="spellEnd"/>
      <w:r w:rsidRPr="00F66B82">
        <w:rPr>
          <w:sz w:val="24"/>
          <w:szCs w:val="24"/>
        </w:rPr>
        <w:t xml:space="preserve">, som er en naturligt forekommende aminosyre. </w:t>
      </w:r>
      <w:proofErr w:type="spellStart"/>
      <w:r w:rsidRPr="00F66B82">
        <w:rPr>
          <w:sz w:val="24"/>
          <w:szCs w:val="24"/>
        </w:rPr>
        <w:t>Cystein</w:t>
      </w:r>
      <w:proofErr w:type="spellEnd"/>
      <w:r w:rsidRPr="00F66B82">
        <w:rPr>
          <w:sz w:val="24"/>
          <w:szCs w:val="24"/>
        </w:rPr>
        <w:t xml:space="preserve"> fungerer som et substrat i kroppen ved syntesen af </w:t>
      </w:r>
      <w:proofErr w:type="spellStart"/>
      <w:r w:rsidRPr="00F66B82">
        <w:rPr>
          <w:sz w:val="24"/>
          <w:szCs w:val="24"/>
        </w:rPr>
        <w:t>glutathion</w:t>
      </w:r>
      <w:proofErr w:type="spellEnd"/>
      <w:r w:rsidRPr="00F66B82">
        <w:rPr>
          <w:sz w:val="24"/>
          <w:szCs w:val="24"/>
        </w:rPr>
        <w:t>.</w:t>
      </w:r>
    </w:p>
    <w:p w14:paraId="3C783B43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6B865653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normalisere nedsatte </w:t>
      </w:r>
      <w:proofErr w:type="spellStart"/>
      <w:r w:rsidRPr="00F66B82">
        <w:rPr>
          <w:sz w:val="24"/>
          <w:szCs w:val="24"/>
        </w:rPr>
        <w:t>glutathionniveauer</w:t>
      </w:r>
      <w:proofErr w:type="spellEnd"/>
      <w:r w:rsidRPr="00F66B82">
        <w:rPr>
          <w:sz w:val="24"/>
          <w:szCs w:val="24"/>
        </w:rPr>
        <w:t xml:space="preserve"> og desuden konjugere med forskellige toksiske forbindelser.</w:t>
      </w:r>
    </w:p>
    <w:p w14:paraId="50E8D03E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E89BB1C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5.2</w:t>
      </w:r>
      <w:r w:rsidRPr="00B62115">
        <w:rPr>
          <w:b/>
          <w:sz w:val="24"/>
          <w:szCs w:val="24"/>
        </w:rPr>
        <w:tab/>
      </w:r>
      <w:proofErr w:type="spellStart"/>
      <w:r w:rsidRPr="00B62115">
        <w:rPr>
          <w:b/>
          <w:sz w:val="24"/>
          <w:szCs w:val="24"/>
        </w:rPr>
        <w:t>Farmakokinetiske</w:t>
      </w:r>
      <w:proofErr w:type="spellEnd"/>
      <w:r w:rsidRPr="00B62115">
        <w:rPr>
          <w:b/>
          <w:sz w:val="24"/>
          <w:szCs w:val="24"/>
        </w:rPr>
        <w:t xml:space="preserve"> egenskaber</w:t>
      </w:r>
    </w:p>
    <w:p w14:paraId="742DF32C" w14:textId="77777777" w:rsidR="00B62115" w:rsidRDefault="00B62115" w:rsidP="00B62115">
      <w:pPr>
        <w:ind w:left="851"/>
        <w:rPr>
          <w:sz w:val="24"/>
          <w:szCs w:val="24"/>
          <w:u w:val="single"/>
        </w:rPr>
      </w:pPr>
    </w:p>
    <w:p w14:paraId="67DB79FE" w14:textId="69D6E5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Absorption</w:t>
      </w:r>
    </w:p>
    <w:p w14:paraId="69E3E39B" w14:textId="77777777" w:rsidR="00F66B82" w:rsidRPr="00F66B82" w:rsidRDefault="00F66B82" w:rsidP="00B62115">
      <w:pPr>
        <w:ind w:left="851"/>
        <w:rPr>
          <w:sz w:val="24"/>
          <w:szCs w:val="24"/>
        </w:rPr>
      </w:pPr>
      <w:bookmarkStart w:id="6" w:name="_Hlk200106464"/>
      <w:r w:rsidRPr="00F66B82">
        <w:rPr>
          <w:sz w:val="24"/>
          <w:szCs w:val="24"/>
        </w:rPr>
        <w:t xml:space="preserve">Hos mennesker absorberes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fuldstændigt efter oral administration. På grund af </w:t>
      </w:r>
      <w:proofErr w:type="spellStart"/>
      <w:r w:rsidRPr="00F66B82">
        <w:rPr>
          <w:sz w:val="24"/>
          <w:szCs w:val="24"/>
        </w:rPr>
        <w:t>metabolisering</w:t>
      </w:r>
      <w:proofErr w:type="spellEnd"/>
      <w:r w:rsidRPr="00F66B82">
        <w:rPr>
          <w:sz w:val="24"/>
          <w:szCs w:val="24"/>
        </w:rPr>
        <w:t xml:space="preserve"> i tarmvæggen og </w:t>
      </w:r>
      <w:proofErr w:type="spellStart"/>
      <w:r w:rsidRPr="00F66B82">
        <w:rPr>
          <w:sz w:val="24"/>
          <w:szCs w:val="24"/>
        </w:rPr>
        <w:t>first</w:t>
      </w:r>
      <w:proofErr w:type="spellEnd"/>
      <w:r w:rsidRPr="00F66B82">
        <w:rPr>
          <w:sz w:val="24"/>
          <w:szCs w:val="24"/>
        </w:rPr>
        <w:t>-</w:t>
      </w:r>
      <w:proofErr w:type="spellStart"/>
      <w:r w:rsidRPr="00F66B82">
        <w:rPr>
          <w:sz w:val="24"/>
          <w:szCs w:val="24"/>
        </w:rPr>
        <w:t>pass</w:t>
      </w:r>
      <w:proofErr w:type="spellEnd"/>
      <w:r w:rsidRPr="00F66B82">
        <w:rPr>
          <w:sz w:val="24"/>
          <w:szCs w:val="24"/>
        </w:rPr>
        <w:t xml:space="preserve">-effekten dannes </w:t>
      </w:r>
      <w:proofErr w:type="spellStart"/>
      <w:r w:rsidRPr="00F66B82">
        <w:rPr>
          <w:sz w:val="24"/>
          <w:szCs w:val="24"/>
        </w:rPr>
        <w:t>cystein</w:t>
      </w:r>
      <w:proofErr w:type="spellEnd"/>
      <w:r w:rsidRPr="00F66B82">
        <w:rPr>
          <w:sz w:val="24"/>
          <w:szCs w:val="24"/>
        </w:rPr>
        <w:t xml:space="preserve"> som en aktiv metabolit, og biotilgængeligheden af oralt administreret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er meget lav (ca. 10 %). Der er ikke rapporteret forskelle mellem de forskellige lægemiddelformer, såsom tabletter, brusetabletter og granulat til oral opløsning.</w:t>
      </w:r>
    </w:p>
    <w:p w14:paraId="669FA572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bookmarkEnd w:id="6"/>
    <w:p w14:paraId="159AF516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Hos patienter med forskellige respiratoriske sygdomme eller hjertesygdomme opnås den maksimale plasmakoncentration 2</w:t>
      </w:r>
      <w:r w:rsidRPr="00F66B82">
        <w:rPr>
          <w:sz w:val="24"/>
          <w:szCs w:val="24"/>
        </w:rPr>
        <w:noBreakHyphen/>
        <w:t xml:space="preserve">4 timer efter administration og varierer mellem 2,6 og 6,3 mikrogram/ml. Niveauerne forblev på niveau med </w:t>
      </w:r>
      <w:proofErr w:type="spellStart"/>
      <w:r w:rsidRPr="00F66B82">
        <w:rPr>
          <w:sz w:val="24"/>
          <w:szCs w:val="24"/>
        </w:rPr>
        <w:t>C</w:t>
      </w:r>
      <w:r w:rsidRPr="00F66B82">
        <w:rPr>
          <w:sz w:val="24"/>
          <w:szCs w:val="24"/>
          <w:vertAlign w:val="subscript"/>
        </w:rPr>
        <w:t>max</w:t>
      </w:r>
      <w:proofErr w:type="spellEnd"/>
      <w:r w:rsidRPr="00F66B82">
        <w:rPr>
          <w:sz w:val="24"/>
          <w:szCs w:val="24"/>
        </w:rPr>
        <w:t>-værdierne i en periode på 6 timer og var stadig høje 24 timer efter administration.</w:t>
      </w:r>
    </w:p>
    <w:p w14:paraId="4BD83F33" w14:textId="77777777" w:rsidR="00B62115" w:rsidRDefault="00B62115" w:rsidP="00B62115">
      <w:pPr>
        <w:ind w:left="851"/>
        <w:rPr>
          <w:sz w:val="24"/>
          <w:szCs w:val="24"/>
          <w:u w:val="single"/>
        </w:rPr>
      </w:pPr>
    </w:p>
    <w:p w14:paraId="74B90B54" w14:textId="21D6E33C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Fordeling</w:t>
      </w:r>
    </w:p>
    <w:p w14:paraId="79F49A83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distribueres både i ikke-</w:t>
      </w:r>
      <w:proofErr w:type="spellStart"/>
      <w:r w:rsidRPr="00F66B82">
        <w:rPr>
          <w:sz w:val="24"/>
          <w:szCs w:val="24"/>
        </w:rPr>
        <w:t>metaboliseret</w:t>
      </w:r>
      <w:proofErr w:type="spellEnd"/>
      <w:r w:rsidRPr="00F66B82">
        <w:rPr>
          <w:sz w:val="24"/>
          <w:szCs w:val="24"/>
        </w:rPr>
        <w:t xml:space="preserve"> form (20 %) og i </w:t>
      </w:r>
      <w:proofErr w:type="spellStart"/>
      <w:r w:rsidRPr="00F66B82">
        <w:rPr>
          <w:sz w:val="24"/>
          <w:szCs w:val="24"/>
        </w:rPr>
        <w:t>metaboliseret</w:t>
      </w:r>
      <w:proofErr w:type="spellEnd"/>
      <w:r w:rsidRPr="00F66B82">
        <w:rPr>
          <w:sz w:val="24"/>
          <w:szCs w:val="24"/>
        </w:rPr>
        <w:t xml:space="preserve"> (aktiv) form (80 %) og findes hovedsageligt i lever, nyrer, lunger og bronkiesekret. </w:t>
      </w:r>
      <w:proofErr w:type="spellStart"/>
      <w:r w:rsidRPr="00F66B82">
        <w:rPr>
          <w:sz w:val="24"/>
          <w:szCs w:val="24"/>
        </w:rPr>
        <w:t>Acetylcysteins</w:t>
      </w:r>
      <w:proofErr w:type="spellEnd"/>
      <w:r w:rsidRPr="00F66B82">
        <w:rPr>
          <w:sz w:val="24"/>
          <w:szCs w:val="24"/>
        </w:rPr>
        <w:t xml:space="preserve"> fordelingsvolumen varierer fra 0,33 til 0,47 l/kg. Proteinbindingen er ca. 50 % fire timer efter dosering og falder til 20 % efter 12 timer.</w:t>
      </w:r>
    </w:p>
    <w:p w14:paraId="37D87D51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074C4B4B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Biotransformation</w:t>
      </w:r>
    </w:p>
    <w:p w14:paraId="14F13EEF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Efter oral administration </w:t>
      </w:r>
      <w:proofErr w:type="spellStart"/>
      <w:r w:rsidRPr="00F66B82">
        <w:rPr>
          <w:sz w:val="24"/>
          <w:szCs w:val="24"/>
        </w:rPr>
        <w:t>metaboliseres</w:t>
      </w:r>
      <w:proofErr w:type="spellEnd"/>
      <w:r w:rsidRPr="00F66B82">
        <w:rPr>
          <w:sz w:val="24"/>
          <w:szCs w:val="24"/>
        </w:rPr>
        <w:t xml:space="preserve">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hurtigt og i omfattende grad i tarmvæggen og leveren.</w:t>
      </w:r>
    </w:p>
    <w:p w14:paraId="060823A1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014B91F0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 dannede forbindelser er </w:t>
      </w:r>
      <w:proofErr w:type="spellStart"/>
      <w:r w:rsidRPr="00F66B82">
        <w:rPr>
          <w:sz w:val="24"/>
          <w:szCs w:val="24"/>
        </w:rPr>
        <w:t>cystein</w:t>
      </w:r>
      <w:proofErr w:type="spellEnd"/>
      <w:r w:rsidRPr="00F66B82">
        <w:rPr>
          <w:sz w:val="24"/>
          <w:szCs w:val="24"/>
        </w:rPr>
        <w:t xml:space="preserve">, som er den primære aktive metabolit, og </w:t>
      </w:r>
      <w:proofErr w:type="spellStart"/>
      <w:r w:rsidRPr="00F66B82">
        <w:rPr>
          <w:sz w:val="24"/>
          <w:szCs w:val="24"/>
        </w:rPr>
        <w:t>diacetylcystin</w:t>
      </w:r>
      <w:proofErr w:type="spellEnd"/>
      <w:r w:rsidRPr="00F66B82">
        <w:rPr>
          <w:sz w:val="24"/>
          <w:szCs w:val="24"/>
        </w:rPr>
        <w:t xml:space="preserve">, som er en inaktiv metabolit. Efter denne omdannelse følger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og </w:t>
      </w:r>
      <w:proofErr w:type="spellStart"/>
      <w:r w:rsidRPr="00F66B82">
        <w:rPr>
          <w:sz w:val="24"/>
          <w:szCs w:val="24"/>
        </w:rPr>
        <w:t>cystein</w:t>
      </w:r>
      <w:proofErr w:type="spellEnd"/>
      <w:r w:rsidRPr="00F66B82">
        <w:rPr>
          <w:sz w:val="24"/>
          <w:szCs w:val="24"/>
        </w:rPr>
        <w:t xml:space="preserve"> samme metaboliske vej.</w:t>
      </w:r>
    </w:p>
    <w:p w14:paraId="4B2A4B60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309A7BA4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Elimination</w:t>
      </w:r>
    </w:p>
    <w:p w14:paraId="318618BF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Renal</w:t>
      </w:r>
      <w:proofErr w:type="spellEnd"/>
      <w:r w:rsidRPr="00F66B82">
        <w:rPr>
          <w:sz w:val="24"/>
          <w:szCs w:val="24"/>
        </w:rPr>
        <w:t xml:space="preserve"> </w:t>
      </w:r>
      <w:proofErr w:type="spellStart"/>
      <w:r w:rsidRPr="00F66B82">
        <w:rPr>
          <w:sz w:val="24"/>
          <w:szCs w:val="24"/>
        </w:rPr>
        <w:t>clearance</w:t>
      </w:r>
      <w:proofErr w:type="spellEnd"/>
      <w:r w:rsidRPr="00F66B82">
        <w:rPr>
          <w:sz w:val="24"/>
          <w:szCs w:val="24"/>
        </w:rPr>
        <w:t xml:space="preserve"> kan udgøre ca. 30 % af den samlede </w:t>
      </w:r>
      <w:proofErr w:type="spellStart"/>
      <w:r w:rsidRPr="00F66B82">
        <w:rPr>
          <w:sz w:val="24"/>
          <w:szCs w:val="24"/>
        </w:rPr>
        <w:t>clearance</w:t>
      </w:r>
      <w:proofErr w:type="spellEnd"/>
      <w:r w:rsidRPr="00F66B82">
        <w:rPr>
          <w:sz w:val="24"/>
          <w:szCs w:val="24"/>
        </w:rPr>
        <w:t xml:space="preserve">. Efter oral administration er den terminale halveringstid for total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6,25 (4,59</w:t>
      </w:r>
      <w:r w:rsidRPr="00F66B82">
        <w:rPr>
          <w:sz w:val="24"/>
          <w:szCs w:val="24"/>
        </w:rPr>
        <w:noBreakHyphen/>
        <w:t>10,6) timer.</w:t>
      </w:r>
    </w:p>
    <w:p w14:paraId="00702CE2" w14:textId="77777777" w:rsidR="00F66B82" w:rsidRPr="00F66B82" w:rsidRDefault="00F66B82" w:rsidP="00B62115">
      <w:pPr>
        <w:ind w:left="851"/>
        <w:rPr>
          <w:sz w:val="24"/>
          <w:szCs w:val="24"/>
        </w:rPr>
      </w:pPr>
      <w:bookmarkStart w:id="7" w:name="_Hlk199752173"/>
      <w:r w:rsidRPr="00F66B82">
        <w:rPr>
          <w:sz w:val="24"/>
          <w:szCs w:val="24"/>
        </w:rPr>
        <w:t xml:space="preserve">Nedsat leverfunktion kan give forlænget halveringstid for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.</w:t>
      </w:r>
      <w:bookmarkEnd w:id="7"/>
    </w:p>
    <w:p w14:paraId="60EFF4F8" w14:textId="77777777" w:rsidR="008F5A3B" w:rsidRDefault="008F5A3B" w:rsidP="00B62115">
      <w:pPr>
        <w:ind w:left="851"/>
        <w:rPr>
          <w:sz w:val="24"/>
          <w:szCs w:val="24"/>
          <w:u w:val="single"/>
        </w:rPr>
      </w:pPr>
    </w:p>
    <w:p w14:paraId="6A76973E" w14:textId="60A62540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  <w:u w:val="single"/>
        </w:rPr>
        <w:t>Linearitet/non-linearitet</w:t>
      </w:r>
    </w:p>
    <w:p w14:paraId="629507C1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Acetylcysteins</w:t>
      </w:r>
      <w:proofErr w:type="spellEnd"/>
      <w:r w:rsidRPr="00F66B82">
        <w:rPr>
          <w:sz w:val="24"/>
          <w:szCs w:val="24"/>
        </w:rPr>
        <w:t xml:space="preserve"> farmakokinetik er proportional med den administrerede dosis i dosisintervallet 200</w:t>
      </w:r>
      <w:r w:rsidRPr="00F66B82">
        <w:rPr>
          <w:sz w:val="24"/>
          <w:szCs w:val="24"/>
        </w:rPr>
        <w:noBreakHyphen/>
        <w:t>3.200 mg/m</w:t>
      </w:r>
      <w:r w:rsidRPr="00F66B82">
        <w:rPr>
          <w:sz w:val="24"/>
          <w:szCs w:val="24"/>
          <w:vertAlign w:val="superscript"/>
        </w:rPr>
        <w:t>2</w:t>
      </w:r>
      <w:r w:rsidRPr="00F66B82">
        <w:rPr>
          <w:sz w:val="24"/>
          <w:szCs w:val="24"/>
        </w:rPr>
        <w:t xml:space="preserve"> for AUC og </w:t>
      </w:r>
      <w:proofErr w:type="spellStart"/>
      <w:r w:rsidRPr="00F66B82">
        <w:rPr>
          <w:sz w:val="24"/>
          <w:szCs w:val="24"/>
        </w:rPr>
        <w:t>C</w:t>
      </w:r>
      <w:r w:rsidRPr="00F66B82">
        <w:rPr>
          <w:sz w:val="24"/>
          <w:szCs w:val="24"/>
          <w:vertAlign w:val="subscript"/>
        </w:rPr>
        <w:t>max</w:t>
      </w:r>
      <w:proofErr w:type="spellEnd"/>
      <w:r w:rsidRPr="00F66B82">
        <w:rPr>
          <w:sz w:val="24"/>
          <w:szCs w:val="24"/>
        </w:rPr>
        <w:t>.</w:t>
      </w:r>
    </w:p>
    <w:p w14:paraId="11400D0E" w14:textId="3EC0AD0D" w:rsidR="00A73EB0" w:rsidRDefault="00A73EB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BBAF02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1419BAA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5.3</w:t>
      </w:r>
      <w:r w:rsidRPr="00B62115">
        <w:rPr>
          <w:b/>
          <w:sz w:val="24"/>
          <w:szCs w:val="24"/>
        </w:rPr>
        <w:tab/>
      </w:r>
      <w:r w:rsidR="00BD7931" w:rsidRPr="00B62115">
        <w:rPr>
          <w:b/>
          <w:sz w:val="24"/>
          <w:szCs w:val="24"/>
        </w:rPr>
        <w:t>Non-</w:t>
      </w:r>
      <w:r w:rsidRPr="00B62115">
        <w:rPr>
          <w:b/>
          <w:sz w:val="24"/>
          <w:szCs w:val="24"/>
        </w:rPr>
        <w:t>kliniske sikkerhedsdata</w:t>
      </w:r>
    </w:p>
    <w:p w14:paraId="7BC9CFEE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Non-kliniske data viser ingen speciel risiko for mennesker vurderet ud fra konventionelle studier af sikkerhedsfarmakologi, toksicitet efter gentagne doser, genotoksicitet samt reproduktions- og udviklingstoksicitet.</w:t>
      </w:r>
    </w:p>
    <w:p w14:paraId="083ACB89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529EF3CD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Der er ikke udført </w:t>
      </w:r>
      <w:proofErr w:type="spellStart"/>
      <w:r w:rsidRPr="00F66B82">
        <w:rPr>
          <w:sz w:val="24"/>
          <w:szCs w:val="24"/>
        </w:rPr>
        <w:t>karcinogenicitetsstudier</w:t>
      </w:r>
      <w:proofErr w:type="spellEnd"/>
      <w:r w:rsidRPr="00F66B82">
        <w:rPr>
          <w:sz w:val="24"/>
          <w:szCs w:val="24"/>
        </w:rPr>
        <w:t>.</w:t>
      </w:r>
    </w:p>
    <w:p w14:paraId="1B75C0AF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F6DC33B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0E7771E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</w:t>
      </w:r>
      <w:r w:rsidRPr="00B62115">
        <w:rPr>
          <w:b/>
          <w:sz w:val="24"/>
          <w:szCs w:val="24"/>
        </w:rPr>
        <w:tab/>
        <w:t>FARMACEUTISKE OPLYSNINGER</w:t>
      </w:r>
    </w:p>
    <w:p w14:paraId="4AD174B8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07780DF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6.1</w:t>
      </w:r>
      <w:r w:rsidRPr="00B62115">
        <w:rPr>
          <w:b/>
          <w:sz w:val="24"/>
          <w:szCs w:val="24"/>
        </w:rPr>
        <w:tab/>
        <w:t>Hjælpestoffer</w:t>
      </w:r>
    </w:p>
    <w:p w14:paraId="7FEA5B60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Crospovidon</w:t>
      </w:r>
      <w:proofErr w:type="spellEnd"/>
      <w:r w:rsidRPr="00F66B82">
        <w:rPr>
          <w:sz w:val="24"/>
          <w:szCs w:val="24"/>
        </w:rPr>
        <w:t xml:space="preserve"> (E1202)</w:t>
      </w:r>
    </w:p>
    <w:p w14:paraId="3B914861" w14:textId="77777777" w:rsidR="008F5A3B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Magnesiumstearat</w:t>
      </w:r>
      <w:proofErr w:type="spellEnd"/>
      <w:r w:rsidRPr="00F66B82">
        <w:rPr>
          <w:sz w:val="24"/>
          <w:szCs w:val="24"/>
        </w:rPr>
        <w:t xml:space="preserve"> (E572) </w:t>
      </w:r>
    </w:p>
    <w:p w14:paraId="44DA0555" w14:textId="77777777" w:rsidR="008F5A3B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Hydroxypropylcellulose</w:t>
      </w:r>
      <w:proofErr w:type="spellEnd"/>
      <w:r w:rsidRPr="00F66B82">
        <w:rPr>
          <w:sz w:val="24"/>
          <w:szCs w:val="24"/>
        </w:rPr>
        <w:t xml:space="preserve"> (E463) </w:t>
      </w:r>
    </w:p>
    <w:p w14:paraId="009F439F" w14:textId="77777777" w:rsidR="008F5A3B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Cellulose, mikrokrystallinsk (E460) </w:t>
      </w:r>
    </w:p>
    <w:p w14:paraId="5CC06FD4" w14:textId="7B0B6E9C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Siliciumdioxid (E551)</w:t>
      </w:r>
    </w:p>
    <w:p w14:paraId="54C5DE8F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5F7F58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6.2</w:t>
      </w:r>
      <w:r w:rsidRPr="00B62115">
        <w:rPr>
          <w:b/>
          <w:sz w:val="24"/>
          <w:szCs w:val="24"/>
        </w:rPr>
        <w:tab/>
        <w:t>Uforligeligheder</w:t>
      </w:r>
    </w:p>
    <w:p w14:paraId="04B433CA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kan påvirke gummi og metal, f.eks. jern, nikkel og kobber.</w:t>
      </w:r>
    </w:p>
    <w:p w14:paraId="103391C5" w14:textId="77777777" w:rsidR="00F66B82" w:rsidRPr="00F66B82" w:rsidRDefault="00F66B82" w:rsidP="00B62115">
      <w:pPr>
        <w:ind w:left="851"/>
        <w:rPr>
          <w:sz w:val="24"/>
          <w:szCs w:val="24"/>
        </w:rPr>
      </w:pPr>
    </w:p>
    <w:p w14:paraId="256BEDB0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 xml:space="preserve">Produkter, der indeholder </w:t>
      </w: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>, må ikke blandes med andre lægemidler.</w:t>
      </w:r>
    </w:p>
    <w:p w14:paraId="0A16FD38" w14:textId="77777777" w:rsidR="009260DE" w:rsidRPr="00B62115" w:rsidRDefault="009260DE" w:rsidP="00B62115">
      <w:pPr>
        <w:ind w:left="851"/>
        <w:rPr>
          <w:sz w:val="24"/>
          <w:szCs w:val="24"/>
        </w:rPr>
      </w:pPr>
    </w:p>
    <w:p w14:paraId="2EFCF56F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6.3</w:t>
      </w:r>
      <w:r w:rsidRPr="00B62115">
        <w:rPr>
          <w:b/>
          <w:sz w:val="24"/>
          <w:szCs w:val="24"/>
        </w:rPr>
        <w:tab/>
        <w:t>Opbevaringstid</w:t>
      </w:r>
    </w:p>
    <w:p w14:paraId="6C4A95F1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3 år.</w:t>
      </w:r>
    </w:p>
    <w:p w14:paraId="40F45C60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988B0E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6.4</w:t>
      </w:r>
      <w:r w:rsidRPr="00B62115">
        <w:rPr>
          <w:b/>
          <w:sz w:val="24"/>
          <w:szCs w:val="24"/>
        </w:rPr>
        <w:tab/>
        <w:t>Særlige opbevaringsforhold</w:t>
      </w:r>
    </w:p>
    <w:p w14:paraId="38D147BD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Dette lægemiddel kræver ingen særlige forholdsregler vedrørende opbevaringen.</w:t>
      </w:r>
    </w:p>
    <w:p w14:paraId="0E3435B8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3FD8527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6.5</w:t>
      </w:r>
      <w:r w:rsidRPr="00B62115">
        <w:rPr>
          <w:b/>
          <w:sz w:val="24"/>
          <w:szCs w:val="24"/>
        </w:rPr>
        <w:tab/>
        <w:t>Emballagetype og pakningsstørrelser</w:t>
      </w:r>
    </w:p>
    <w:p w14:paraId="56072C55" w14:textId="77777777" w:rsidR="00A73EB0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Acetylcystein</w:t>
      </w:r>
      <w:proofErr w:type="spellEnd"/>
      <w:r w:rsidRPr="00F66B82">
        <w:rPr>
          <w:sz w:val="24"/>
          <w:szCs w:val="24"/>
        </w:rPr>
        <w:t xml:space="preserve"> </w:t>
      </w:r>
      <w:r w:rsidR="00816C94">
        <w:rPr>
          <w:sz w:val="24"/>
          <w:szCs w:val="24"/>
        </w:rPr>
        <w:t>"</w:t>
      </w:r>
      <w:proofErr w:type="spellStart"/>
      <w:r w:rsidR="00816C94">
        <w:rPr>
          <w:sz w:val="24"/>
          <w:szCs w:val="24"/>
        </w:rPr>
        <w:t>Pharmexon</w:t>
      </w:r>
      <w:proofErr w:type="spellEnd"/>
      <w:r w:rsidR="00816C94">
        <w:rPr>
          <w:sz w:val="24"/>
          <w:szCs w:val="24"/>
        </w:rPr>
        <w:t>"</w:t>
      </w:r>
      <w:r w:rsidRPr="00F66B82">
        <w:rPr>
          <w:sz w:val="24"/>
          <w:szCs w:val="24"/>
        </w:rPr>
        <w:t xml:space="preserve"> 600 mg tabletter er pakket i </w:t>
      </w:r>
      <w:proofErr w:type="spellStart"/>
      <w:r w:rsidRPr="00F66B82">
        <w:rPr>
          <w:sz w:val="24"/>
          <w:szCs w:val="24"/>
        </w:rPr>
        <w:t>Alu</w:t>
      </w:r>
      <w:proofErr w:type="spellEnd"/>
      <w:r w:rsidRPr="00F66B82">
        <w:rPr>
          <w:sz w:val="24"/>
          <w:szCs w:val="24"/>
        </w:rPr>
        <w:t>/PE</w:t>
      </w:r>
      <w:r w:rsidRPr="00F66B82">
        <w:rPr>
          <w:sz w:val="24"/>
          <w:szCs w:val="24"/>
        </w:rPr>
        <w:noBreakHyphen/>
        <w:t>PE/</w:t>
      </w:r>
      <w:proofErr w:type="spellStart"/>
      <w:r w:rsidRPr="00F66B82">
        <w:rPr>
          <w:sz w:val="24"/>
          <w:szCs w:val="24"/>
        </w:rPr>
        <w:t>Alu</w:t>
      </w:r>
      <w:proofErr w:type="spellEnd"/>
      <w:r w:rsidRPr="00F66B82">
        <w:rPr>
          <w:sz w:val="24"/>
          <w:szCs w:val="24"/>
        </w:rPr>
        <w:t>/PA-blisterpakninger (aluminium/</w:t>
      </w:r>
      <w:proofErr w:type="spellStart"/>
      <w:r w:rsidRPr="00F66B82">
        <w:rPr>
          <w:sz w:val="24"/>
          <w:szCs w:val="24"/>
        </w:rPr>
        <w:t>polyethylen</w:t>
      </w:r>
      <w:proofErr w:type="spellEnd"/>
      <w:r w:rsidRPr="00F66B82">
        <w:rPr>
          <w:sz w:val="24"/>
          <w:szCs w:val="24"/>
        </w:rPr>
        <w:t xml:space="preserve">-aluminium). </w:t>
      </w:r>
    </w:p>
    <w:p w14:paraId="1D5FF498" w14:textId="059C3E1A" w:rsid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En æske indeholder 10, 20 eller 30 tabletter.</w:t>
      </w:r>
    </w:p>
    <w:p w14:paraId="0F7CF92A" w14:textId="77777777" w:rsidR="00A73EB0" w:rsidRDefault="00A73EB0" w:rsidP="00B62115">
      <w:pPr>
        <w:ind w:left="851"/>
        <w:rPr>
          <w:sz w:val="24"/>
          <w:szCs w:val="24"/>
        </w:rPr>
      </w:pPr>
    </w:p>
    <w:p w14:paraId="780535F7" w14:textId="18DF374E" w:rsidR="00A73EB0" w:rsidRPr="00F66B82" w:rsidRDefault="00A73EB0" w:rsidP="00B62115">
      <w:pPr>
        <w:ind w:left="851"/>
        <w:rPr>
          <w:sz w:val="24"/>
          <w:szCs w:val="24"/>
        </w:rPr>
      </w:pPr>
      <w:r w:rsidRPr="00A73EB0">
        <w:rPr>
          <w:sz w:val="24"/>
          <w:szCs w:val="24"/>
        </w:rPr>
        <w:t>Ikke alle pakningsstørrelser er nødvendigvis markedsført.</w:t>
      </w:r>
    </w:p>
    <w:p w14:paraId="36FF576E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CC9DA51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6.6</w:t>
      </w:r>
      <w:r w:rsidRPr="00B62115">
        <w:rPr>
          <w:b/>
          <w:sz w:val="24"/>
          <w:szCs w:val="24"/>
        </w:rPr>
        <w:tab/>
        <w:t xml:space="preserve">Regler for </w:t>
      </w:r>
      <w:r w:rsidR="00BD7931" w:rsidRPr="00B62115">
        <w:rPr>
          <w:b/>
          <w:sz w:val="24"/>
          <w:szCs w:val="24"/>
        </w:rPr>
        <w:t>bortskaffelse</w:t>
      </w:r>
      <w:r w:rsidRPr="00B62115">
        <w:rPr>
          <w:b/>
          <w:sz w:val="24"/>
          <w:szCs w:val="24"/>
        </w:rPr>
        <w:t xml:space="preserve"> og anden håndtering</w:t>
      </w:r>
    </w:p>
    <w:p w14:paraId="026D655F" w14:textId="77777777" w:rsidR="00F66B82" w:rsidRPr="00F66B82" w:rsidRDefault="00F66B82" w:rsidP="00B62115">
      <w:pPr>
        <w:ind w:left="851"/>
        <w:rPr>
          <w:sz w:val="24"/>
          <w:szCs w:val="24"/>
        </w:rPr>
      </w:pPr>
      <w:r w:rsidRPr="00F66B82">
        <w:rPr>
          <w:sz w:val="24"/>
          <w:szCs w:val="24"/>
        </w:rPr>
        <w:t>Ikke anvendt lægemiddel samt affald heraf skal bortskaffes i henhold til lokale retningslinjer.</w:t>
      </w:r>
    </w:p>
    <w:p w14:paraId="5698DFC8" w14:textId="77777777" w:rsidR="009260DE" w:rsidRPr="00B62115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41CDDA84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7.</w:t>
      </w:r>
      <w:r w:rsidRPr="00B62115">
        <w:rPr>
          <w:b/>
          <w:sz w:val="24"/>
          <w:szCs w:val="24"/>
        </w:rPr>
        <w:tab/>
        <w:t>INDEHAVER AF MARKEDSFØRINGSTILLADELSEN</w:t>
      </w:r>
    </w:p>
    <w:p w14:paraId="5A25025B" w14:textId="77777777" w:rsidR="00F66B82" w:rsidRPr="00F66B82" w:rsidRDefault="00F66B82" w:rsidP="00B62115">
      <w:pPr>
        <w:ind w:left="851"/>
        <w:rPr>
          <w:sz w:val="24"/>
          <w:szCs w:val="24"/>
        </w:rPr>
      </w:pPr>
      <w:proofErr w:type="spellStart"/>
      <w:r w:rsidRPr="00F66B82">
        <w:rPr>
          <w:sz w:val="24"/>
          <w:szCs w:val="24"/>
        </w:rPr>
        <w:t>Pharmexon</w:t>
      </w:r>
      <w:proofErr w:type="spellEnd"/>
      <w:r w:rsidRPr="00F66B82">
        <w:rPr>
          <w:sz w:val="24"/>
          <w:szCs w:val="24"/>
        </w:rPr>
        <w:t xml:space="preserve"> Consulting </w:t>
      </w:r>
      <w:proofErr w:type="spellStart"/>
      <w:r w:rsidRPr="00F66B82">
        <w:rPr>
          <w:sz w:val="24"/>
          <w:szCs w:val="24"/>
        </w:rPr>
        <w:t>s.r.o</w:t>
      </w:r>
      <w:proofErr w:type="spellEnd"/>
      <w:r w:rsidRPr="00F66B82">
        <w:rPr>
          <w:sz w:val="24"/>
          <w:szCs w:val="24"/>
        </w:rPr>
        <w:t>.</w:t>
      </w:r>
    </w:p>
    <w:p w14:paraId="183EA744" w14:textId="4DEF9E1D" w:rsidR="009260DE" w:rsidRPr="00B62115" w:rsidRDefault="00611BF9" w:rsidP="00B62115">
      <w:pPr>
        <w:ind w:left="851"/>
        <w:rPr>
          <w:sz w:val="24"/>
          <w:szCs w:val="24"/>
        </w:rPr>
      </w:pPr>
      <w:proofErr w:type="spellStart"/>
      <w:r w:rsidRPr="00B62115">
        <w:rPr>
          <w:sz w:val="24"/>
          <w:szCs w:val="24"/>
        </w:rPr>
        <w:t>Pitterova</w:t>
      </w:r>
      <w:proofErr w:type="spellEnd"/>
      <w:r w:rsidRPr="00B62115">
        <w:rPr>
          <w:sz w:val="24"/>
          <w:szCs w:val="24"/>
        </w:rPr>
        <w:t xml:space="preserve"> 2855/7</w:t>
      </w:r>
    </w:p>
    <w:p w14:paraId="17875B9B" w14:textId="5A03E944" w:rsidR="00611BF9" w:rsidRPr="00B62115" w:rsidRDefault="00611BF9" w:rsidP="00B62115">
      <w:pPr>
        <w:ind w:left="851"/>
        <w:rPr>
          <w:sz w:val="24"/>
          <w:szCs w:val="24"/>
        </w:rPr>
      </w:pPr>
      <w:r w:rsidRPr="00B62115">
        <w:rPr>
          <w:sz w:val="24"/>
          <w:szCs w:val="24"/>
        </w:rPr>
        <w:t>130 00 Prag</w:t>
      </w:r>
    </w:p>
    <w:p w14:paraId="47DEF8F7" w14:textId="60432B70" w:rsidR="00611BF9" w:rsidRPr="00B62115" w:rsidRDefault="00611BF9" w:rsidP="00B62115">
      <w:pPr>
        <w:ind w:left="851"/>
        <w:rPr>
          <w:sz w:val="24"/>
          <w:szCs w:val="24"/>
        </w:rPr>
      </w:pPr>
      <w:r w:rsidRPr="00B62115">
        <w:rPr>
          <w:sz w:val="24"/>
          <w:szCs w:val="24"/>
        </w:rPr>
        <w:t>Tjekkiet</w:t>
      </w:r>
    </w:p>
    <w:p w14:paraId="3FC96250" w14:textId="77777777" w:rsidR="00641C65" w:rsidRPr="00B62115" w:rsidRDefault="00641C6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BCD5C00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8.</w:t>
      </w:r>
      <w:r w:rsidRPr="00B62115">
        <w:rPr>
          <w:b/>
          <w:sz w:val="24"/>
          <w:szCs w:val="24"/>
        </w:rPr>
        <w:tab/>
        <w:t>MARKEDSFØRINGSTILLADELSESNUMMER (</w:t>
      </w:r>
      <w:r w:rsidR="00BF6243" w:rsidRPr="00B62115">
        <w:rPr>
          <w:b/>
          <w:sz w:val="24"/>
          <w:szCs w:val="24"/>
        </w:rPr>
        <w:t>-</w:t>
      </w:r>
      <w:r w:rsidRPr="00B62115">
        <w:rPr>
          <w:b/>
          <w:sz w:val="24"/>
          <w:szCs w:val="24"/>
        </w:rPr>
        <w:t>NUMRE)</w:t>
      </w:r>
    </w:p>
    <w:p w14:paraId="004F23AD" w14:textId="47673F16" w:rsidR="009260DE" w:rsidRPr="00B62115" w:rsidRDefault="00611BF9" w:rsidP="009260DE">
      <w:pPr>
        <w:tabs>
          <w:tab w:val="left" w:pos="851"/>
        </w:tabs>
        <w:ind w:left="851"/>
        <w:rPr>
          <w:sz w:val="24"/>
          <w:szCs w:val="24"/>
        </w:rPr>
      </w:pPr>
      <w:r w:rsidRPr="00B62115">
        <w:rPr>
          <w:sz w:val="24"/>
          <w:szCs w:val="24"/>
        </w:rPr>
        <w:t>73226</w:t>
      </w:r>
    </w:p>
    <w:p w14:paraId="771855BF" w14:textId="77777777" w:rsidR="009260DE" w:rsidRPr="00B62115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7B9E7F8A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9.</w:t>
      </w:r>
      <w:r w:rsidRPr="00B62115">
        <w:rPr>
          <w:b/>
          <w:sz w:val="24"/>
          <w:szCs w:val="24"/>
        </w:rPr>
        <w:tab/>
        <w:t>DATO FOR FØRSTE MARKEDSFØRINGSTILLADELSE</w:t>
      </w:r>
    </w:p>
    <w:p w14:paraId="0A8FC2CD" w14:textId="7393B098" w:rsidR="009260DE" w:rsidRPr="00B62115" w:rsidRDefault="004C1AB2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8. juli 2026</w:t>
      </w:r>
    </w:p>
    <w:p w14:paraId="4830FB14" w14:textId="77777777" w:rsidR="009260DE" w:rsidRPr="00B62115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A1D087B" w14:textId="77777777" w:rsidR="009260DE" w:rsidRPr="00B62115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B62115">
        <w:rPr>
          <w:b/>
          <w:sz w:val="24"/>
          <w:szCs w:val="24"/>
        </w:rPr>
        <w:t>10.</w:t>
      </w:r>
      <w:r w:rsidRPr="00B62115">
        <w:rPr>
          <w:b/>
          <w:sz w:val="24"/>
          <w:szCs w:val="24"/>
        </w:rPr>
        <w:tab/>
        <w:t>DATO FOR ÆNDRING AF TEKSTEN</w:t>
      </w:r>
    </w:p>
    <w:p w14:paraId="66DB24D5" w14:textId="1710EFEE" w:rsidR="009260DE" w:rsidRPr="00B62115" w:rsidRDefault="00611BF9" w:rsidP="009260DE">
      <w:pPr>
        <w:tabs>
          <w:tab w:val="left" w:pos="851"/>
        </w:tabs>
        <w:ind w:left="851"/>
        <w:rPr>
          <w:sz w:val="24"/>
          <w:szCs w:val="24"/>
        </w:rPr>
      </w:pPr>
      <w:r w:rsidRPr="00B62115">
        <w:rPr>
          <w:sz w:val="24"/>
          <w:szCs w:val="24"/>
        </w:rPr>
        <w:t>-</w:t>
      </w:r>
    </w:p>
    <w:sectPr w:rsidR="009260DE" w:rsidRPr="00B62115" w:rsidSect="000259B9">
      <w:footerReference w:type="default" r:id="rId9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7544" w14:textId="77777777" w:rsidR="00236207" w:rsidRDefault="00236207">
      <w:r>
        <w:separator/>
      </w:r>
    </w:p>
  </w:endnote>
  <w:endnote w:type="continuationSeparator" w:id="0">
    <w:p w14:paraId="3D6CF47C" w14:textId="77777777" w:rsidR="00236207" w:rsidRDefault="0023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D757" w14:textId="77777777" w:rsidR="000259B9" w:rsidRDefault="000259B9">
    <w:pPr>
      <w:pStyle w:val="Sidefod"/>
      <w:pBdr>
        <w:bottom w:val="single" w:sz="6" w:space="1" w:color="auto"/>
      </w:pBdr>
    </w:pPr>
  </w:p>
  <w:p w14:paraId="393218AC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51E93FD2" w14:textId="2459685E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987189">
      <w:rPr>
        <w:i/>
        <w:noProof/>
        <w:sz w:val="18"/>
        <w:szCs w:val="18"/>
      </w:rPr>
      <w:t>Acetylcystein Pharmexon, tabletter 600 mg.docx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5A9C" w14:textId="77777777" w:rsidR="00236207" w:rsidRDefault="00236207">
      <w:r>
        <w:separator/>
      </w:r>
    </w:p>
  </w:footnote>
  <w:footnote w:type="continuationSeparator" w:id="0">
    <w:p w14:paraId="6706F66E" w14:textId="77777777" w:rsidR="00236207" w:rsidRDefault="00236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B9676D6"/>
    <w:multiLevelType w:val="hybridMultilevel"/>
    <w:tmpl w:val="734CA72E"/>
    <w:lvl w:ilvl="0" w:tplc="0406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4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5071354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20500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0085655">
    <w:abstractNumId w:val="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8476374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011298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1170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207"/>
    <w:rsid w:val="000259B9"/>
    <w:rsid w:val="00041491"/>
    <w:rsid w:val="00050D16"/>
    <w:rsid w:val="000730CA"/>
    <w:rsid w:val="00074F2A"/>
    <w:rsid w:val="000A1CA8"/>
    <w:rsid w:val="000A466B"/>
    <w:rsid w:val="000B058C"/>
    <w:rsid w:val="000D68B0"/>
    <w:rsid w:val="000E4EE6"/>
    <w:rsid w:val="001454E2"/>
    <w:rsid w:val="00206CE8"/>
    <w:rsid w:val="0021526C"/>
    <w:rsid w:val="00236207"/>
    <w:rsid w:val="00283A2B"/>
    <w:rsid w:val="002B1BBB"/>
    <w:rsid w:val="002B30AD"/>
    <w:rsid w:val="002C1EC0"/>
    <w:rsid w:val="002C2C01"/>
    <w:rsid w:val="003A29AE"/>
    <w:rsid w:val="003A32D7"/>
    <w:rsid w:val="003B4074"/>
    <w:rsid w:val="003C769A"/>
    <w:rsid w:val="003D3A90"/>
    <w:rsid w:val="003F1838"/>
    <w:rsid w:val="003F4AD8"/>
    <w:rsid w:val="004251C1"/>
    <w:rsid w:val="0045746C"/>
    <w:rsid w:val="0049104B"/>
    <w:rsid w:val="004C1AB2"/>
    <w:rsid w:val="004E3B12"/>
    <w:rsid w:val="00532310"/>
    <w:rsid w:val="00565F0F"/>
    <w:rsid w:val="00594A86"/>
    <w:rsid w:val="00596D86"/>
    <w:rsid w:val="00611BF9"/>
    <w:rsid w:val="00637F5A"/>
    <w:rsid w:val="00641C65"/>
    <w:rsid w:val="006560B1"/>
    <w:rsid w:val="006756DD"/>
    <w:rsid w:val="0071241E"/>
    <w:rsid w:val="00737275"/>
    <w:rsid w:val="00740EEC"/>
    <w:rsid w:val="00773B8D"/>
    <w:rsid w:val="0078011A"/>
    <w:rsid w:val="00782AF4"/>
    <w:rsid w:val="00790EE7"/>
    <w:rsid w:val="007B6649"/>
    <w:rsid w:val="00816C94"/>
    <w:rsid w:val="0082576E"/>
    <w:rsid w:val="0089346F"/>
    <w:rsid w:val="008F5A3B"/>
    <w:rsid w:val="00907F75"/>
    <w:rsid w:val="009260DE"/>
    <w:rsid w:val="0093258A"/>
    <w:rsid w:val="00987189"/>
    <w:rsid w:val="009C7BA3"/>
    <w:rsid w:val="009D1F5A"/>
    <w:rsid w:val="00A10294"/>
    <w:rsid w:val="00A73EB0"/>
    <w:rsid w:val="00B003BF"/>
    <w:rsid w:val="00B373D7"/>
    <w:rsid w:val="00B55271"/>
    <w:rsid w:val="00B62115"/>
    <w:rsid w:val="00BD7931"/>
    <w:rsid w:val="00BF6243"/>
    <w:rsid w:val="00C36276"/>
    <w:rsid w:val="00C42586"/>
    <w:rsid w:val="00C45F6B"/>
    <w:rsid w:val="00C60CCD"/>
    <w:rsid w:val="00C84483"/>
    <w:rsid w:val="00C95551"/>
    <w:rsid w:val="00CB20D7"/>
    <w:rsid w:val="00D020B0"/>
    <w:rsid w:val="00D11748"/>
    <w:rsid w:val="00D237F6"/>
    <w:rsid w:val="00D34D98"/>
    <w:rsid w:val="00D366CF"/>
    <w:rsid w:val="00D93992"/>
    <w:rsid w:val="00E108AA"/>
    <w:rsid w:val="00E3749A"/>
    <w:rsid w:val="00E7437F"/>
    <w:rsid w:val="00E865B8"/>
    <w:rsid w:val="00EC0B9B"/>
    <w:rsid w:val="00ED5E9F"/>
    <w:rsid w:val="00F66B82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1758A"/>
  <w15:chartTrackingRefBased/>
  <w15:docId w15:val="{D2B05363-6323-4B33-A820-F57ADF5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uiPriority w:val="99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F66B8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6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denbivirkning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39</TotalTime>
  <Pages>8</Pages>
  <Words>1570</Words>
  <Characters>10924</Characters>
  <Application>Microsoft Office Word</Application>
  <DocSecurity>0</DocSecurity>
  <Lines>91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2025015181, MT</dc:description>
  <cp:lastModifiedBy>Gitte Jørgensen</cp:lastModifiedBy>
  <cp:revision>8</cp:revision>
  <cp:lastPrinted>2012-08-22T08:53:00Z</cp:lastPrinted>
  <dcterms:created xsi:type="dcterms:W3CDTF">2026-07-08T06:17:00Z</dcterms:created>
  <dcterms:modified xsi:type="dcterms:W3CDTF">2026-07-08T11:08:00Z</dcterms:modified>
</cp:coreProperties>
</file>