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D4389" w14:textId="77777777" w:rsidR="00EB7084" w:rsidRPr="00AF50C5" w:rsidRDefault="00EB7084" w:rsidP="007F02C9">
      <w:pPr>
        <w:tabs>
          <w:tab w:val="right" w:pos="9072"/>
        </w:tabs>
        <w:jc w:val="both"/>
        <w:rPr>
          <w:b/>
          <w:spacing w:val="-3"/>
          <w:sz w:val="24"/>
          <w:szCs w:val="24"/>
        </w:rPr>
      </w:pPr>
      <w:bookmarkStart w:id="0" w:name="_GoBack"/>
      <w:bookmarkEnd w:id="0"/>
      <w:r w:rsidRPr="00AF50C5">
        <w:rPr>
          <w:noProof/>
          <w:sz w:val="24"/>
          <w:szCs w:val="24"/>
        </w:rPr>
        <w:drawing>
          <wp:inline distT="0" distB="0" distL="0" distR="0" wp14:anchorId="20BFF55E" wp14:editId="7F34E645">
            <wp:extent cx="2432050" cy="685800"/>
            <wp:effectExtent l="0" t="0" r="6350"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050" cy="685800"/>
                    </a:xfrm>
                    <a:prstGeom prst="rect">
                      <a:avLst/>
                    </a:prstGeom>
                    <a:noFill/>
                    <a:ln>
                      <a:noFill/>
                    </a:ln>
                  </pic:spPr>
                </pic:pic>
              </a:graphicData>
            </a:graphic>
          </wp:inline>
        </w:drawing>
      </w:r>
    </w:p>
    <w:p w14:paraId="2B24B158" w14:textId="77777777" w:rsidR="00EB7084" w:rsidRPr="00AF50C5" w:rsidRDefault="00EB7084" w:rsidP="007F02C9">
      <w:pPr>
        <w:tabs>
          <w:tab w:val="left" w:pos="7230"/>
          <w:tab w:val="right" w:pos="9072"/>
        </w:tabs>
        <w:jc w:val="right"/>
        <w:rPr>
          <w:b/>
          <w:spacing w:val="-3"/>
          <w:sz w:val="24"/>
          <w:szCs w:val="24"/>
        </w:rPr>
      </w:pPr>
      <w:r w:rsidRPr="00AF50C5">
        <w:rPr>
          <w:b/>
          <w:spacing w:val="-3"/>
          <w:sz w:val="24"/>
          <w:szCs w:val="24"/>
        </w:rPr>
        <w:t>18. december 2018</w:t>
      </w:r>
    </w:p>
    <w:p w14:paraId="39B436E4" w14:textId="77777777" w:rsidR="00EB7084" w:rsidRPr="00AF50C5" w:rsidRDefault="00EB7084" w:rsidP="007F02C9">
      <w:pPr>
        <w:tabs>
          <w:tab w:val="left" w:pos="7230"/>
          <w:tab w:val="right" w:pos="9072"/>
        </w:tabs>
        <w:rPr>
          <w:b/>
          <w:spacing w:val="-3"/>
          <w:sz w:val="24"/>
          <w:szCs w:val="24"/>
        </w:rPr>
      </w:pPr>
    </w:p>
    <w:p w14:paraId="51AA8BF7" w14:textId="77777777" w:rsidR="00EB7084" w:rsidRPr="00AF50C5" w:rsidRDefault="00EB7084" w:rsidP="007F02C9">
      <w:pPr>
        <w:tabs>
          <w:tab w:val="center" w:pos="4536"/>
        </w:tabs>
        <w:rPr>
          <w:spacing w:val="-3"/>
          <w:sz w:val="24"/>
          <w:szCs w:val="24"/>
        </w:rPr>
      </w:pPr>
    </w:p>
    <w:p w14:paraId="16C852FB" w14:textId="77777777" w:rsidR="00EB7084" w:rsidRPr="00AF50C5" w:rsidRDefault="00EB7084" w:rsidP="007F02C9">
      <w:pPr>
        <w:tabs>
          <w:tab w:val="center" w:pos="4536"/>
        </w:tabs>
        <w:jc w:val="center"/>
        <w:rPr>
          <w:b/>
          <w:spacing w:val="-3"/>
          <w:sz w:val="24"/>
          <w:szCs w:val="24"/>
        </w:rPr>
      </w:pPr>
      <w:r w:rsidRPr="00AF50C5">
        <w:rPr>
          <w:b/>
          <w:spacing w:val="-3"/>
          <w:sz w:val="24"/>
          <w:szCs w:val="24"/>
        </w:rPr>
        <w:t>PRODUKTRESUMÉ</w:t>
      </w:r>
    </w:p>
    <w:p w14:paraId="1E242F44" w14:textId="77777777" w:rsidR="00EB7084" w:rsidRPr="00AF50C5" w:rsidRDefault="00EB7084" w:rsidP="007F02C9">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sz w:val="24"/>
          <w:szCs w:val="24"/>
        </w:rPr>
      </w:pPr>
    </w:p>
    <w:p w14:paraId="6D361380" w14:textId="77777777" w:rsidR="00EB7084" w:rsidRPr="00AF50C5" w:rsidRDefault="00EB7084" w:rsidP="007F02C9">
      <w:pPr>
        <w:tabs>
          <w:tab w:val="center" w:pos="4536"/>
        </w:tabs>
        <w:jc w:val="center"/>
        <w:rPr>
          <w:b/>
          <w:spacing w:val="-3"/>
          <w:sz w:val="24"/>
          <w:szCs w:val="24"/>
        </w:rPr>
      </w:pPr>
      <w:r w:rsidRPr="00AF50C5">
        <w:rPr>
          <w:b/>
          <w:spacing w:val="-3"/>
          <w:sz w:val="24"/>
          <w:szCs w:val="24"/>
        </w:rPr>
        <w:t>for</w:t>
      </w:r>
    </w:p>
    <w:p w14:paraId="4E97007F" w14:textId="77777777" w:rsidR="00EB7084" w:rsidRPr="00AF50C5" w:rsidRDefault="00EB7084" w:rsidP="007F02C9">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sz w:val="24"/>
          <w:szCs w:val="24"/>
        </w:rPr>
      </w:pPr>
    </w:p>
    <w:p w14:paraId="11FAF0AA" w14:textId="77777777" w:rsidR="00EB7084" w:rsidRPr="00AF50C5" w:rsidRDefault="00AF50C5" w:rsidP="007F02C9">
      <w:pPr>
        <w:tabs>
          <w:tab w:val="center" w:pos="4536"/>
        </w:tabs>
        <w:jc w:val="center"/>
        <w:rPr>
          <w:spacing w:val="-3"/>
          <w:sz w:val="24"/>
          <w:szCs w:val="24"/>
        </w:rPr>
      </w:pPr>
      <w:r>
        <w:rPr>
          <w:b/>
          <w:spacing w:val="-3"/>
          <w:sz w:val="24"/>
          <w:szCs w:val="24"/>
        </w:rPr>
        <w:t>Acetylcystein "SAD"</w:t>
      </w:r>
      <w:r w:rsidR="00EB7084" w:rsidRPr="00AF50C5">
        <w:rPr>
          <w:b/>
          <w:spacing w:val="-3"/>
          <w:sz w:val="24"/>
          <w:szCs w:val="24"/>
        </w:rPr>
        <w:t xml:space="preserve"> koncentrat til infusionsvæske, opløsning</w:t>
      </w:r>
    </w:p>
    <w:p w14:paraId="62EF6C24" w14:textId="77777777" w:rsidR="00EB7084" w:rsidRPr="00AF50C5" w:rsidRDefault="00EB7084" w:rsidP="007F02C9">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14:paraId="16149EBC" w14:textId="77777777" w:rsidR="00EB7084" w:rsidRPr="00AF50C5" w:rsidRDefault="00EB7084" w:rsidP="007F02C9">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14:paraId="301A5D3A" w14:textId="77777777" w:rsidR="00EB7084" w:rsidRPr="00AF50C5" w:rsidRDefault="00EB7084" w:rsidP="007F02C9">
      <w:pPr>
        <w:numPr>
          <w:ilvl w:val="0"/>
          <w:numId w:val="4"/>
        </w:numPr>
        <w:tabs>
          <w:tab w:val="clear" w:pos="855"/>
          <w:tab w:val="left" w:pos="851"/>
        </w:tabs>
        <w:rPr>
          <w:b/>
          <w:sz w:val="24"/>
          <w:szCs w:val="24"/>
        </w:rPr>
      </w:pPr>
      <w:r w:rsidRPr="00AF50C5">
        <w:rPr>
          <w:b/>
          <w:sz w:val="24"/>
          <w:szCs w:val="24"/>
        </w:rPr>
        <w:t>D.SP.NR.</w:t>
      </w:r>
    </w:p>
    <w:p w14:paraId="7E77461E" w14:textId="77777777" w:rsidR="00EB7084" w:rsidRPr="00AF50C5" w:rsidRDefault="00EB7084" w:rsidP="007F02C9">
      <w:pPr>
        <w:tabs>
          <w:tab w:val="left" w:pos="0"/>
          <w:tab w:val="left" w:pos="851"/>
        </w:tabs>
        <w:ind w:left="850" w:hanging="850"/>
        <w:jc w:val="both"/>
        <w:rPr>
          <w:spacing w:val="-3"/>
          <w:sz w:val="24"/>
          <w:szCs w:val="24"/>
        </w:rPr>
      </w:pPr>
      <w:r w:rsidRPr="00AF50C5">
        <w:rPr>
          <w:spacing w:val="-3"/>
          <w:sz w:val="24"/>
          <w:szCs w:val="24"/>
        </w:rPr>
        <w:tab/>
      </w:r>
      <w:r w:rsidR="00AF50C5">
        <w:rPr>
          <w:spacing w:val="-3"/>
          <w:sz w:val="24"/>
          <w:szCs w:val="24"/>
        </w:rPr>
        <w:t>0</w:t>
      </w:r>
      <w:r w:rsidRPr="00AF50C5">
        <w:rPr>
          <w:spacing w:val="-3"/>
          <w:sz w:val="24"/>
          <w:szCs w:val="24"/>
        </w:rPr>
        <w:t>4901</w:t>
      </w:r>
    </w:p>
    <w:p w14:paraId="40C9FB1D" w14:textId="77777777" w:rsidR="00EB7084" w:rsidRPr="00AF50C5" w:rsidRDefault="00EB7084" w:rsidP="007F02C9">
      <w:pPr>
        <w:tabs>
          <w:tab w:val="left" w:pos="0"/>
          <w:tab w:val="left" w:pos="851"/>
        </w:tabs>
        <w:jc w:val="both"/>
        <w:rPr>
          <w:spacing w:val="-3"/>
          <w:sz w:val="24"/>
          <w:szCs w:val="24"/>
        </w:rPr>
      </w:pPr>
    </w:p>
    <w:p w14:paraId="1FB35816" w14:textId="77777777" w:rsidR="00EB7084" w:rsidRPr="00AF50C5" w:rsidRDefault="00EB7084" w:rsidP="007F02C9">
      <w:pPr>
        <w:numPr>
          <w:ilvl w:val="0"/>
          <w:numId w:val="4"/>
        </w:numPr>
        <w:rPr>
          <w:b/>
          <w:sz w:val="24"/>
          <w:szCs w:val="24"/>
        </w:rPr>
      </w:pPr>
      <w:r w:rsidRPr="00AF50C5">
        <w:rPr>
          <w:b/>
          <w:sz w:val="24"/>
          <w:szCs w:val="24"/>
        </w:rPr>
        <w:t>LÆGEMIDLETS NAVN</w:t>
      </w:r>
    </w:p>
    <w:p w14:paraId="3E470195" w14:textId="77777777" w:rsidR="00EB7084" w:rsidRPr="00AF50C5" w:rsidRDefault="00EB7084" w:rsidP="007F02C9">
      <w:pPr>
        <w:tabs>
          <w:tab w:val="left" w:pos="0"/>
          <w:tab w:val="left" w:pos="851"/>
        </w:tabs>
        <w:ind w:left="850" w:hanging="850"/>
        <w:jc w:val="both"/>
        <w:rPr>
          <w:spacing w:val="-3"/>
          <w:sz w:val="24"/>
          <w:szCs w:val="24"/>
        </w:rPr>
      </w:pPr>
      <w:r w:rsidRPr="00AF50C5">
        <w:rPr>
          <w:spacing w:val="-3"/>
          <w:sz w:val="24"/>
          <w:szCs w:val="24"/>
        </w:rPr>
        <w:tab/>
      </w:r>
      <w:r w:rsidR="00AF50C5">
        <w:rPr>
          <w:spacing w:val="-3"/>
          <w:sz w:val="24"/>
          <w:szCs w:val="24"/>
        </w:rPr>
        <w:t>Acetylcystein "SAD"</w:t>
      </w:r>
    </w:p>
    <w:p w14:paraId="451496CE" w14:textId="77777777" w:rsidR="00EB7084" w:rsidRPr="00AF50C5" w:rsidRDefault="00EB7084" w:rsidP="007F02C9">
      <w:pPr>
        <w:tabs>
          <w:tab w:val="left" w:pos="0"/>
          <w:tab w:val="left" w:pos="851"/>
        </w:tabs>
        <w:jc w:val="both"/>
        <w:rPr>
          <w:spacing w:val="-3"/>
          <w:sz w:val="24"/>
          <w:szCs w:val="24"/>
        </w:rPr>
      </w:pPr>
    </w:p>
    <w:p w14:paraId="41EA4955" w14:textId="77777777" w:rsidR="00EB7084" w:rsidRPr="00AF50C5" w:rsidRDefault="00EB7084" w:rsidP="007F02C9">
      <w:pPr>
        <w:numPr>
          <w:ilvl w:val="0"/>
          <w:numId w:val="4"/>
        </w:numPr>
        <w:rPr>
          <w:b/>
          <w:sz w:val="24"/>
          <w:szCs w:val="24"/>
        </w:rPr>
      </w:pPr>
      <w:r w:rsidRPr="00AF50C5">
        <w:rPr>
          <w:b/>
          <w:sz w:val="24"/>
          <w:szCs w:val="24"/>
        </w:rPr>
        <w:t>KVALITATIV OG KVANTITATIV SAMMENSÆTNING</w:t>
      </w:r>
    </w:p>
    <w:p w14:paraId="540C1C51" w14:textId="77777777" w:rsidR="00EB7084" w:rsidRPr="00AF50C5" w:rsidRDefault="00EB7084" w:rsidP="007F02C9">
      <w:pPr>
        <w:tabs>
          <w:tab w:val="left" w:pos="0"/>
          <w:tab w:val="left" w:pos="851"/>
        </w:tabs>
        <w:ind w:left="855"/>
        <w:jc w:val="both"/>
        <w:rPr>
          <w:spacing w:val="-3"/>
          <w:sz w:val="24"/>
          <w:szCs w:val="24"/>
        </w:rPr>
      </w:pPr>
      <w:r w:rsidRPr="00AF50C5">
        <w:rPr>
          <w:spacing w:val="-3"/>
          <w:sz w:val="24"/>
          <w:szCs w:val="24"/>
        </w:rPr>
        <w:t>1 ml koncentrat til infusionsvæske indeholder 200 mg acetylcystein.</w:t>
      </w:r>
    </w:p>
    <w:p w14:paraId="6FA7327A" w14:textId="77777777" w:rsidR="00EB7084" w:rsidRPr="00AF50C5" w:rsidRDefault="00EB7084" w:rsidP="007F02C9">
      <w:pPr>
        <w:tabs>
          <w:tab w:val="left" w:pos="851"/>
        </w:tabs>
        <w:ind w:left="851"/>
        <w:rPr>
          <w:spacing w:val="-3"/>
          <w:sz w:val="24"/>
          <w:szCs w:val="24"/>
        </w:rPr>
      </w:pPr>
      <w:r w:rsidRPr="00AF50C5">
        <w:rPr>
          <w:spacing w:val="-3"/>
          <w:sz w:val="24"/>
          <w:szCs w:val="24"/>
        </w:rPr>
        <w:tab/>
      </w:r>
    </w:p>
    <w:p w14:paraId="7C487777" w14:textId="77777777" w:rsidR="00EB7084" w:rsidRPr="007F297A" w:rsidRDefault="00EB7084" w:rsidP="007F02C9">
      <w:pPr>
        <w:pStyle w:val="EMEAEnBodyText"/>
        <w:autoSpaceDE w:val="0"/>
        <w:autoSpaceDN w:val="0"/>
        <w:adjustRightInd w:val="0"/>
        <w:spacing w:before="0" w:after="0"/>
        <w:ind w:left="851"/>
        <w:rPr>
          <w:sz w:val="24"/>
          <w:szCs w:val="24"/>
          <w:u w:val="single"/>
          <w:lang w:val="da-DK"/>
        </w:rPr>
      </w:pPr>
      <w:r w:rsidRPr="007F297A">
        <w:rPr>
          <w:sz w:val="24"/>
          <w:szCs w:val="24"/>
          <w:u w:val="single"/>
          <w:lang w:val="da-DK"/>
        </w:rPr>
        <w:t>Hjælpestoffer, som behandleren skal være opmærksom på</w:t>
      </w:r>
    </w:p>
    <w:p w14:paraId="031C07E5" w14:textId="77777777" w:rsidR="00EB7084" w:rsidRPr="00AF50C5" w:rsidRDefault="00EB7084" w:rsidP="007F02C9">
      <w:pPr>
        <w:pStyle w:val="EMEAEnBodyText"/>
        <w:autoSpaceDE w:val="0"/>
        <w:autoSpaceDN w:val="0"/>
        <w:adjustRightInd w:val="0"/>
        <w:spacing w:before="0" w:after="0"/>
        <w:ind w:left="851"/>
        <w:jc w:val="left"/>
        <w:rPr>
          <w:sz w:val="24"/>
          <w:szCs w:val="24"/>
          <w:lang w:val="da-DK"/>
        </w:rPr>
      </w:pPr>
      <w:r w:rsidRPr="00AF50C5">
        <w:rPr>
          <w:sz w:val="24"/>
          <w:szCs w:val="24"/>
          <w:lang w:val="da-DK"/>
        </w:rPr>
        <w:t>Dette lægemiddel indeholder 48 mg natrium pr</w:t>
      </w:r>
      <w:r w:rsidR="007F297A">
        <w:rPr>
          <w:sz w:val="24"/>
          <w:szCs w:val="24"/>
          <w:lang w:val="da-DK"/>
        </w:rPr>
        <w:t>.</w:t>
      </w:r>
      <w:r w:rsidRPr="00AF50C5">
        <w:rPr>
          <w:sz w:val="24"/>
          <w:szCs w:val="24"/>
          <w:lang w:val="da-DK"/>
        </w:rPr>
        <w:t xml:space="preserve"> ml koncentrat til infusionsvæske (se pkt. 4.4). </w:t>
      </w:r>
    </w:p>
    <w:p w14:paraId="656792D0" w14:textId="77777777" w:rsidR="00EB7084" w:rsidRPr="00AF50C5" w:rsidRDefault="00EB7084" w:rsidP="007F02C9">
      <w:pPr>
        <w:pStyle w:val="EMEAEnBodyText"/>
        <w:autoSpaceDE w:val="0"/>
        <w:autoSpaceDN w:val="0"/>
        <w:adjustRightInd w:val="0"/>
        <w:spacing w:before="0" w:after="0"/>
        <w:ind w:left="851"/>
        <w:rPr>
          <w:sz w:val="24"/>
          <w:szCs w:val="24"/>
          <w:lang w:val="da-DK"/>
        </w:rPr>
      </w:pPr>
    </w:p>
    <w:p w14:paraId="51781F5D" w14:textId="77777777" w:rsidR="00EB7084" w:rsidRPr="00AF50C5" w:rsidRDefault="00EB7084" w:rsidP="007F02C9">
      <w:pPr>
        <w:tabs>
          <w:tab w:val="left" w:pos="567"/>
        </w:tabs>
        <w:ind w:left="851"/>
        <w:rPr>
          <w:sz w:val="24"/>
          <w:szCs w:val="24"/>
        </w:rPr>
      </w:pPr>
      <w:r w:rsidRPr="00AF50C5">
        <w:rPr>
          <w:sz w:val="24"/>
          <w:szCs w:val="24"/>
        </w:rPr>
        <w:t>Alle hjælpestoffer er anført under pkt. 6.1.</w:t>
      </w:r>
    </w:p>
    <w:p w14:paraId="08580F8D" w14:textId="77777777" w:rsidR="00EB7084" w:rsidRPr="00AF50C5" w:rsidRDefault="00EB7084" w:rsidP="007F02C9">
      <w:pPr>
        <w:tabs>
          <w:tab w:val="left" w:pos="851"/>
        </w:tabs>
        <w:rPr>
          <w:spacing w:val="-3"/>
          <w:sz w:val="24"/>
          <w:szCs w:val="24"/>
        </w:rPr>
      </w:pPr>
    </w:p>
    <w:p w14:paraId="355942C1" w14:textId="77777777" w:rsidR="00EB7084" w:rsidRPr="00AF50C5" w:rsidRDefault="00EB7084" w:rsidP="007F02C9">
      <w:pPr>
        <w:numPr>
          <w:ilvl w:val="0"/>
          <w:numId w:val="4"/>
        </w:numPr>
        <w:rPr>
          <w:b/>
          <w:sz w:val="24"/>
          <w:szCs w:val="24"/>
        </w:rPr>
      </w:pPr>
      <w:r w:rsidRPr="00AF50C5">
        <w:rPr>
          <w:b/>
          <w:sz w:val="24"/>
          <w:szCs w:val="24"/>
        </w:rPr>
        <w:t>LÆGEMIDDELFORM</w:t>
      </w:r>
    </w:p>
    <w:p w14:paraId="3C62B83C" w14:textId="77777777" w:rsidR="00EB7084" w:rsidRPr="00AF50C5" w:rsidRDefault="00EB7084" w:rsidP="007F02C9">
      <w:pPr>
        <w:tabs>
          <w:tab w:val="left" w:pos="0"/>
          <w:tab w:val="left" w:pos="851"/>
        </w:tabs>
        <w:ind w:left="850" w:hanging="850"/>
        <w:jc w:val="both"/>
        <w:rPr>
          <w:spacing w:val="-3"/>
          <w:sz w:val="24"/>
          <w:szCs w:val="24"/>
        </w:rPr>
      </w:pPr>
      <w:r w:rsidRPr="00AF50C5">
        <w:rPr>
          <w:spacing w:val="-3"/>
          <w:sz w:val="24"/>
          <w:szCs w:val="24"/>
        </w:rPr>
        <w:tab/>
        <w:t>Koncentrat til infusionsvæske, opløsning</w:t>
      </w:r>
    </w:p>
    <w:p w14:paraId="3242B2A2" w14:textId="77777777" w:rsidR="00EB7084" w:rsidRPr="00AF50C5" w:rsidRDefault="00EB7084" w:rsidP="007F02C9">
      <w:pPr>
        <w:tabs>
          <w:tab w:val="left" w:pos="0"/>
          <w:tab w:val="left" w:pos="851"/>
        </w:tabs>
        <w:jc w:val="both"/>
        <w:rPr>
          <w:spacing w:val="-3"/>
          <w:sz w:val="24"/>
          <w:szCs w:val="24"/>
        </w:rPr>
      </w:pPr>
    </w:p>
    <w:p w14:paraId="43CBCCB7" w14:textId="77777777" w:rsidR="00EB7084" w:rsidRPr="00AF50C5" w:rsidRDefault="00EB7084" w:rsidP="007F02C9">
      <w:pPr>
        <w:tabs>
          <w:tab w:val="left" w:pos="0"/>
          <w:tab w:val="left" w:pos="851"/>
        </w:tabs>
        <w:ind w:left="850" w:hanging="850"/>
        <w:jc w:val="both"/>
        <w:rPr>
          <w:b/>
          <w:spacing w:val="-3"/>
          <w:sz w:val="24"/>
          <w:szCs w:val="24"/>
        </w:rPr>
      </w:pPr>
    </w:p>
    <w:p w14:paraId="7C79567A" w14:textId="77777777" w:rsidR="00EB7084" w:rsidRPr="00AF50C5" w:rsidRDefault="00EB7084" w:rsidP="007F02C9">
      <w:pPr>
        <w:numPr>
          <w:ilvl w:val="0"/>
          <w:numId w:val="4"/>
        </w:numPr>
        <w:rPr>
          <w:b/>
          <w:sz w:val="24"/>
          <w:szCs w:val="24"/>
        </w:rPr>
      </w:pPr>
      <w:r w:rsidRPr="00AF50C5">
        <w:rPr>
          <w:b/>
          <w:sz w:val="24"/>
          <w:szCs w:val="24"/>
        </w:rPr>
        <w:t>KLINISKE OPLYSNINGER</w:t>
      </w:r>
    </w:p>
    <w:p w14:paraId="55F789E5" w14:textId="77777777" w:rsidR="00EB7084" w:rsidRPr="00AF50C5" w:rsidRDefault="00EB7084" w:rsidP="007F02C9">
      <w:pPr>
        <w:tabs>
          <w:tab w:val="left" w:pos="0"/>
          <w:tab w:val="left" w:pos="851"/>
        </w:tabs>
        <w:jc w:val="both"/>
        <w:rPr>
          <w:spacing w:val="-3"/>
          <w:sz w:val="24"/>
          <w:szCs w:val="24"/>
        </w:rPr>
      </w:pPr>
    </w:p>
    <w:p w14:paraId="1471EE89" w14:textId="77777777" w:rsidR="00EB7084" w:rsidRPr="00AF50C5" w:rsidRDefault="00EB7084" w:rsidP="007F02C9">
      <w:pPr>
        <w:numPr>
          <w:ilvl w:val="1"/>
          <w:numId w:val="4"/>
        </w:numPr>
        <w:rPr>
          <w:b/>
          <w:sz w:val="24"/>
          <w:szCs w:val="24"/>
          <w:u w:val="single"/>
        </w:rPr>
      </w:pPr>
      <w:r w:rsidRPr="00AF50C5">
        <w:rPr>
          <w:b/>
          <w:sz w:val="24"/>
          <w:szCs w:val="24"/>
        </w:rPr>
        <w:t>Terapeutiske indikationer</w:t>
      </w:r>
    </w:p>
    <w:p w14:paraId="71D8B729" w14:textId="77777777" w:rsidR="00EB7084" w:rsidRPr="00AF50C5" w:rsidRDefault="00EB7084" w:rsidP="007F02C9">
      <w:pPr>
        <w:tabs>
          <w:tab w:val="left" w:pos="0"/>
          <w:tab w:val="left" w:pos="851"/>
        </w:tabs>
        <w:ind w:left="851"/>
        <w:rPr>
          <w:spacing w:val="-3"/>
          <w:sz w:val="24"/>
          <w:szCs w:val="24"/>
        </w:rPr>
      </w:pPr>
      <w:r w:rsidRPr="00AF50C5">
        <w:rPr>
          <w:spacing w:val="-3"/>
          <w:sz w:val="24"/>
          <w:szCs w:val="24"/>
        </w:rPr>
        <w:t>Paracetamolforgiftning</w:t>
      </w:r>
    </w:p>
    <w:p w14:paraId="21F7A558" w14:textId="77777777" w:rsidR="00EB7084" w:rsidRPr="00AF50C5" w:rsidRDefault="00EB7084" w:rsidP="007F02C9">
      <w:pPr>
        <w:tabs>
          <w:tab w:val="left" w:pos="0"/>
          <w:tab w:val="left" w:pos="851"/>
        </w:tabs>
        <w:jc w:val="both"/>
        <w:rPr>
          <w:spacing w:val="-3"/>
          <w:sz w:val="24"/>
          <w:szCs w:val="24"/>
        </w:rPr>
      </w:pPr>
    </w:p>
    <w:p w14:paraId="348EE7C7" w14:textId="77777777" w:rsidR="00EB7084" w:rsidRPr="00AF50C5" w:rsidRDefault="00EB7084" w:rsidP="007F02C9">
      <w:pPr>
        <w:numPr>
          <w:ilvl w:val="1"/>
          <w:numId w:val="4"/>
        </w:numPr>
        <w:rPr>
          <w:b/>
          <w:sz w:val="24"/>
          <w:szCs w:val="24"/>
        </w:rPr>
      </w:pPr>
      <w:r w:rsidRPr="00AF50C5">
        <w:rPr>
          <w:b/>
          <w:sz w:val="24"/>
          <w:szCs w:val="24"/>
        </w:rPr>
        <w:t>Dosering og indgivelsesmåde</w:t>
      </w:r>
    </w:p>
    <w:p w14:paraId="695E89B8" w14:textId="77777777" w:rsidR="00EB7084" w:rsidRPr="00AF50C5" w:rsidRDefault="00EB7084" w:rsidP="007F02C9">
      <w:pPr>
        <w:pStyle w:val="BodyTextIndent2"/>
        <w:tabs>
          <w:tab w:val="left" w:pos="0"/>
          <w:tab w:val="left" w:pos="851"/>
        </w:tabs>
        <w:ind w:left="851"/>
        <w:jc w:val="left"/>
        <w:rPr>
          <w:color w:val="000000"/>
          <w:szCs w:val="24"/>
        </w:rPr>
      </w:pPr>
      <w:r w:rsidRPr="00AF50C5">
        <w:rPr>
          <w:color w:val="000000"/>
          <w:szCs w:val="24"/>
        </w:rPr>
        <w:t xml:space="preserve">Behandlingen indledes alene på mistanke om indtagelse af mere end terapeutisk dosis af </w:t>
      </w:r>
    </w:p>
    <w:p w14:paraId="6AD63C2C" w14:textId="77777777" w:rsidR="00EB7084" w:rsidRPr="00AF50C5" w:rsidRDefault="00EB7084" w:rsidP="007F02C9">
      <w:pPr>
        <w:pStyle w:val="BodyTextIndent2"/>
        <w:tabs>
          <w:tab w:val="left" w:pos="0"/>
          <w:tab w:val="left" w:pos="851"/>
        </w:tabs>
        <w:ind w:left="851"/>
        <w:jc w:val="left"/>
        <w:rPr>
          <w:color w:val="000000"/>
          <w:szCs w:val="24"/>
        </w:rPr>
      </w:pPr>
      <w:r w:rsidRPr="00AF50C5">
        <w:rPr>
          <w:color w:val="000000"/>
          <w:szCs w:val="24"/>
        </w:rPr>
        <w:t>paracetamol – uanset indtagelsestidspunktet. Man bør ikke afvente svar på S-paracetamol-koncentrationen. Behandlingsindikation genovervejes efter S-paracetamol taget mindst 4 timer efter tabletindtagelsen. Optimal effekt opnås ved administration inden 8-10 timer efter indtagelse af paracetamol. Acetylcystein har dog en vis effekt ved administration op til 24 timer efter paracetamolindtagelse.</w:t>
      </w:r>
    </w:p>
    <w:p w14:paraId="37CF4624" w14:textId="77777777" w:rsidR="00EB7084" w:rsidRPr="00AF50C5" w:rsidRDefault="00EB7084" w:rsidP="007F02C9">
      <w:pPr>
        <w:pStyle w:val="BodyTextIndent2"/>
        <w:tabs>
          <w:tab w:val="left" w:pos="0"/>
          <w:tab w:val="left" w:pos="851"/>
        </w:tabs>
        <w:ind w:left="851"/>
        <w:jc w:val="left"/>
        <w:rPr>
          <w:color w:val="000000"/>
          <w:szCs w:val="24"/>
        </w:rPr>
      </w:pPr>
    </w:p>
    <w:p w14:paraId="25C2AB1F" w14:textId="77777777" w:rsidR="00EB7084" w:rsidRPr="00AF50C5" w:rsidRDefault="00EB7084" w:rsidP="007F02C9">
      <w:pPr>
        <w:pStyle w:val="BodyTextIndent2"/>
        <w:tabs>
          <w:tab w:val="left" w:pos="0"/>
          <w:tab w:val="left" w:pos="851"/>
        </w:tabs>
        <w:ind w:left="851"/>
        <w:jc w:val="left"/>
        <w:rPr>
          <w:color w:val="000000"/>
          <w:szCs w:val="24"/>
        </w:rPr>
      </w:pPr>
      <w:r w:rsidRPr="00AF50C5">
        <w:rPr>
          <w:i/>
          <w:iCs/>
          <w:color w:val="000000"/>
          <w:szCs w:val="24"/>
        </w:rPr>
        <w:t>Advarsel:</w:t>
      </w:r>
      <w:r w:rsidRPr="00AF50C5">
        <w:rPr>
          <w:color w:val="000000"/>
          <w:szCs w:val="24"/>
        </w:rPr>
        <w:t xml:space="preserve"> Infusionskoncentratet må ikke gives ufortyndet. </w:t>
      </w:r>
    </w:p>
    <w:p w14:paraId="382B8826" w14:textId="77777777" w:rsidR="00EB7084" w:rsidRPr="00AF50C5" w:rsidRDefault="00EB7084" w:rsidP="007F02C9">
      <w:pPr>
        <w:pStyle w:val="BodyTextIndent2"/>
        <w:tabs>
          <w:tab w:val="left" w:pos="0"/>
          <w:tab w:val="left" w:pos="851"/>
        </w:tabs>
        <w:ind w:left="851"/>
        <w:jc w:val="left"/>
        <w:rPr>
          <w:color w:val="000000"/>
          <w:szCs w:val="24"/>
        </w:rPr>
      </w:pPr>
      <w:r w:rsidRPr="00AF50C5">
        <w:rPr>
          <w:color w:val="000000"/>
          <w:szCs w:val="24"/>
        </w:rPr>
        <w:t>Se pkt. 6.6 for fortyndingsmidler.</w:t>
      </w:r>
    </w:p>
    <w:p w14:paraId="7912E302" w14:textId="77777777" w:rsidR="00EB7084" w:rsidRPr="00AF50C5" w:rsidRDefault="00EB7084" w:rsidP="007F02C9">
      <w:pPr>
        <w:pStyle w:val="BodyTextIndent2"/>
        <w:tabs>
          <w:tab w:val="left" w:pos="0"/>
          <w:tab w:val="left" w:pos="851"/>
        </w:tabs>
        <w:ind w:left="851"/>
        <w:jc w:val="left"/>
        <w:rPr>
          <w:color w:val="000000"/>
          <w:szCs w:val="24"/>
        </w:rPr>
      </w:pPr>
    </w:p>
    <w:p w14:paraId="649BAF52" w14:textId="77777777" w:rsidR="00EB7084" w:rsidRPr="007F02C9" w:rsidRDefault="00EB7084" w:rsidP="007F02C9">
      <w:pPr>
        <w:keepNext/>
        <w:ind w:left="851"/>
        <w:rPr>
          <w:b/>
          <w:sz w:val="24"/>
          <w:szCs w:val="24"/>
          <w:u w:val="single"/>
        </w:rPr>
      </w:pPr>
      <w:r w:rsidRPr="007F02C9">
        <w:rPr>
          <w:b/>
          <w:sz w:val="24"/>
          <w:szCs w:val="24"/>
          <w:u w:val="single"/>
        </w:rPr>
        <w:lastRenderedPageBreak/>
        <w:t>Administration</w:t>
      </w:r>
    </w:p>
    <w:p w14:paraId="43A1D6B3" w14:textId="77777777" w:rsidR="00EB7084" w:rsidRPr="00AF50C5" w:rsidRDefault="00EB7084" w:rsidP="007F02C9">
      <w:pPr>
        <w:pStyle w:val="BodyTextIndent2"/>
        <w:keepNext/>
        <w:tabs>
          <w:tab w:val="left" w:pos="0"/>
          <w:tab w:val="left" w:pos="851"/>
        </w:tabs>
        <w:ind w:left="851"/>
        <w:jc w:val="left"/>
        <w:rPr>
          <w:b/>
          <w:i/>
          <w:color w:val="000000"/>
          <w:szCs w:val="24"/>
        </w:rPr>
      </w:pPr>
    </w:p>
    <w:p w14:paraId="32B658CF" w14:textId="77777777" w:rsidR="00EB7084" w:rsidRPr="007F02C9" w:rsidRDefault="00EB7084" w:rsidP="007F02C9">
      <w:pPr>
        <w:pStyle w:val="BodyTextIndent2"/>
        <w:tabs>
          <w:tab w:val="left" w:pos="0"/>
          <w:tab w:val="left" w:pos="851"/>
        </w:tabs>
        <w:ind w:left="851"/>
        <w:jc w:val="left"/>
        <w:rPr>
          <w:b/>
          <w:color w:val="000000"/>
          <w:szCs w:val="24"/>
        </w:rPr>
      </w:pPr>
      <w:r w:rsidRPr="007F02C9">
        <w:rPr>
          <w:b/>
          <w:color w:val="000000"/>
          <w:szCs w:val="24"/>
        </w:rPr>
        <w:t xml:space="preserve">Intravenøs behandling med </w:t>
      </w:r>
      <w:r w:rsidR="00AF50C5" w:rsidRPr="007F02C9">
        <w:rPr>
          <w:b/>
          <w:color w:val="000000"/>
          <w:szCs w:val="24"/>
        </w:rPr>
        <w:t>Acetylcystein "SAD"</w:t>
      </w:r>
      <w:r w:rsidRPr="007F02C9">
        <w:rPr>
          <w:b/>
          <w:color w:val="000000"/>
          <w:szCs w:val="24"/>
        </w:rPr>
        <w:t xml:space="preserve"> infusionskoncentrat 200 mg/ml</w:t>
      </w:r>
    </w:p>
    <w:p w14:paraId="1879D77E" w14:textId="77777777" w:rsidR="00EB7084" w:rsidRPr="007F02C9" w:rsidRDefault="00EB7084" w:rsidP="007F02C9">
      <w:pPr>
        <w:pStyle w:val="BodyTextIndent2"/>
        <w:tabs>
          <w:tab w:val="left" w:pos="0"/>
          <w:tab w:val="left" w:pos="851"/>
        </w:tabs>
        <w:ind w:left="851"/>
        <w:jc w:val="left"/>
        <w:rPr>
          <w:b/>
          <w:color w:val="000000"/>
          <w:szCs w:val="24"/>
          <w:lang w:val="de-DE"/>
        </w:rPr>
      </w:pPr>
      <w:r w:rsidRPr="007F02C9">
        <w:rPr>
          <w:b/>
          <w:color w:val="000000"/>
          <w:szCs w:val="24"/>
          <w:lang w:val="de-DE"/>
        </w:rPr>
        <w:t xml:space="preserve">(N-acetylcystein (NAC)) </w:t>
      </w:r>
    </w:p>
    <w:p w14:paraId="154CAB88" w14:textId="77777777" w:rsidR="00EB7084" w:rsidRPr="00AF50C5" w:rsidRDefault="00EB7084" w:rsidP="007F02C9">
      <w:pPr>
        <w:pStyle w:val="BodyTextIndent2"/>
        <w:tabs>
          <w:tab w:val="left" w:pos="0"/>
          <w:tab w:val="left" w:pos="851"/>
        </w:tabs>
        <w:ind w:left="851"/>
        <w:jc w:val="left"/>
        <w:rPr>
          <w:color w:val="000000"/>
          <w:szCs w:val="24"/>
          <w:lang w:val="de-DE"/>
        </w:rPr>
      </w:pPr>
    </w:p>
    <w:p w14:paraId="395D4112" w14:textId="77777777" w:rsidR="00EB7084" w:rsidRPr="007F02C9" w:rsidRDefault="00EB7084" w:rsidP="007F02C9">
      <w:pPr>
        <w:ind w:firstLine="851"/>
        <w:rPr>
          <w:bCs/>
          <w:sz w:val="24"/>
          <w:szCs w:val="24"/>
          <w:u w:val="single"/>
        </w:rPr>
      </w:pPr>
      <w:r w:rsidRPr="007F02C9">
        <w:rPr>
          <w:rFonts w:eastAsia="Calibri"/>
          <w:bCs/>
          <w:sz w:val="24"/>
          <w:szCs w:val="24"/>
          <w:u w:val="single"/>
        </w:rPr>
        <w:t xml:space="preserve">Voksne og børn &gt; 50 kg legemsvægt </w:t>
      </w:r>
    </w:p>
    <w:p w14:paraId="49962003" w14:textId="77777777" w:rsidR="00EB7084" w:rsidRPr="00AF50C5" w:rsidRDefault="00EB7084" w:rsidP="007F02C9">
      <w:pPr>
        <w:ind w:firstLine="851"/>
        <w:rPr>
          <w:bCs/>
          <w:sz w:val="24"/>
          <w:szCs w:val="24"/>
        </w:rPr>
      </w:pPr>
      <w:r w:rsidRPr="00AF50C5">
        <w:rPr>
          <w:bCs/>
          <w:sz w:val="24"/>
          <w:szCs w:val="24"/>
        </w:rPr>
        <w:t>Dosis gælder indtil en legemsvægt på 110 kg. Patienter der vejer mere doseres som 110 kg.</w:t>
      </w:r>
    </w:p>
    <w:p w14:paraId="1F56F014" w14:textId="77777777" w:rsidR="00EB7084" w:rsidRPr="00AF50C5" w:rsidRDefault="00EB7084" w:rsidP="007F02C9">
      <w:pPr>
        <w:ind w:firstLine="851"/>
        <w:outlineLvl w:val="2"/>
        <w:rPr>
          <w:bCs/>
          <w:sz w:val="24"/>
          <w:szCs w:val="24"/>
        </w:rPr>
      </w:pPr>
      <w:r w:rsidRPr="00AF50C5">
        <w:rPr>
          <w:bCs/>
          <w:sz w:val="24"/>
          <w:szCs w:val="24"/>
        </w:rPr>
        <w:t>Regimet følges indtil behandlingen kan stoppes i henhold til stopregel 1 eller stopregel 2.</w:t>
      </w:r>
    </w:p>
    <w:p w14:paraId="6544F2B3" w14:textId="77777777" w:rsidR="00EB7084" w:rsidRPr="00AF50C5" w:rsidRDefault="00EB7084" w:rsidP="007F02C9">
      <w:pPr>
        <w:ind w:firstLine="851"/>
        <w:outlineLvl w:val="2"/>
        <w:rPr>
          <w:sz w:val="24"/>
          <w:szCs w:val="24"/>
        </w:rPr>
      </w:pPr>
      <w:r w:rsidRPr="00AF50C5">
        <w:rPr>
          <w:i/>
          <w:iCs/>
          <w:sz w:val="24"/>
          <w:szCs w:val="24"/>
        </w:rPr>
        <w:t>Dosering 1:</w:t>
      </w:r>
      <w:r w:rsidRPr="00AF50C5">
        <w:rPr>
          <w:sz w:val="24"/>
          <w:szCs w:val="24"/>
        </w:rPr>
        <w:t xml:space="preserve"> Bolus over 4 timer: 200 mg </w:t>
      </w:r>
      <w:r w:rsidR="00AF50C5">
        <w:rPr>
          <w:sz w:val="24"/>
          <w:szCs w:val="24"/>
        </w:rPr>
        <w:t>Acetylcystein "SAD"</w:t>
      </w:r>
      <w:r w:rsidRPr="00AF50C5">
        <w:rPr>
          <w:sz w:val="24"/>
          <w:szCs w:val="24"/>
        </w:rPr>
        <w:t>/kg legemsvægt.</w:t>
      </w:r>
    </w:p>
    <w:p w14:paraId="211FA927" w14:textId="77777777" w:rsidR="00EB7084" w:rsidRPr="00AF50C5" w:rsidRDefault="00EB7084" w:rsidP="007F02C9">
      <w:pPr>
        <w:ind w:firstLine="851"/>
        <w:outlineLvl w:val="2"/>
        <w:rPr>
          <w:sz w:val="24"/>
          <w:szCs w:val="24"/>
        </w:rPr>
      </w:pPr>
      <w:r w:rsidRPr="00AF50C5">
        <w:rPr>
          <w:i/>
          <w:iCs/>
          <w:sz w:val="24"/>
          <w:szCs w:val="24"/>
        </w:rPr>
        <w:t>Dosering 2:</w:t>
      </w:r>
      <w:r w:rsidRPr="00AF50C5">
        <w:rPr>
          <w:sz w:val="24"/>
          <w:szCs w:val="24"/>
        </w:rPr>
        <w:t xml:space="preserve"> Efterbehandling over 16 timer: 100 mg </w:t>
      </w:r>
      <w:r w:rsidR="00AF50C5">
        <w:rPr>
          <w:sz w:val="24"/>
          <w:szCs w:val="24"/>
        </w:rPr>
        <w:t>Acetylcystein "SAD"</w:t>
      </w:r>
      <w:r w:rsidRPr="00AF50C5">
        <w:rPr>
          <w:sz w:val="24"/>
          <w:szCs w:val="24"/>
        </w:rPr>
        <w:t>/kg legemsvægt.</w:t>
      </w:r>
    </w:p>
    <w:p w14:paraId="56A8F4C4" w14:textId="77777777" w:rsidR="00EB7084" w:rsidRPr="00AF50C5" w:rsidRDefault="00EB7084" w:rsidP="007F02C9">
      <w:pPr>
        <w:ind w:firstLine="851"/>
        <w:rPr>
          <w:i/>
          <w:iCs/>
          <w:sz w:val="24"/>
          <w:szCs w:val="24"/>
        </w:rPr>
      </w:pPr>
    </w:p>
    <w:p w14:paraId="2AC2D480" w14:textId="77777777" w:rsidR="00EB7084" w:rsidRPr="00AF50C5" w:rsidRDefault="00EB7084" w:rsidP="007F02C9">
      <w:pPr>
        <w:ind w:firstLine="851"/>
        <w:rPr>
          <w:sz w:val="24"/>
          <w:szCs w:val="24"/>
        </w:rPr>
      </w:pPr>
      <w:r w:rsidRPr="00AF50C5">
        <w:rPr>
          <w:i/>
          <w:iCs/>
          <w:sz w:val="24"/>
          <w:szCs w:val="24"/>
        </w:rPr>
        <w:t xml:space="preserve">Stopregel 1 </w:t>
      </w:r>
    </w:p>
    <w:p w14:paraId="0F5F0F6A" w14:textId="77777777" w:rsidR="00EB7084" w:rsidRPr="00AF50C5" w:rsidRDefault="00EB7084" w:rsidP="007F02C9">
      <w:pPr>
        <w:ind w:left="851"/>
        <w:rPr>
          <w:sz w:val="24"/>
          <w:szCs w:val="24"/>
        </w:rPr>
      </w:pPr>
      <w:r w:rsidRPr="00AF50C5">
        <w:rPr>
          <w:sz w:val="24"/>
          <w:szCs w:val="24"/>
        </w:rPr>
        <w:t>Hvis der i blodprøverne efter 16 timers NAC-behandling ikke er tegn på hepatocellulær skade (P-ALAT &lt; 70 E/l) samt en P-paracetamol &lt; 0,150 mmol/l, stoppes behandlingen med NAC (dvs. efter i alt 20 timers behandling).</w:t>
      </w:r>
    </w:p>
    <w:p w14:paraId="4CDF11F9" w14:textId="77777777" w:rsidR="00EB7084" w:rsidRPr="00AF50C5" w:rsidRDefault="00EB7084" w:rsidP="007F02C9">
      <w:pPr>
        <w:ind w:left="851"/>
        <w:rPr>
          <w:sz w:val="24"/>
          <w:szCs w:val="24"/>
        </w:rPr>
      </w:pPr>
      <w:r w:rsidRPr="00AF50C5">
        <w:rPr>
          <w:sz w:val="24"/>
          <w:szCs w:val="24"/>
        </w:rPr>
        <w:t>Hvis der efter 16 timer er tegn på hepatocellulær skade (P-ALAT &gt; 70 E/l) og/eller en P-paracetamol &gt; 0,150 mmol/l fortsættes behandlingen med NAC ved gentagelse af Dosering 2.</w:t>
      </w:r>
    </w:p>
    <w:p w14:paraId="24C16DB4" w14:textId="77777777" w:rsidR="00EB7084" w:rsidRPr="00AF50C5" w:rsidRDefault="00EB7084" w:rsidP="007F02C9">
      <w:pPr>
        <w:ind w:left="851"/>
        <w:rPr>
          <w:sz w:val="24"/>
          <w:szCs w:val="24"/>
        </w:rPr>
      </w:pPr>
    </w:p>
    <w:p w14:paraId="2B9A499D" w14:textId="77777777" w:rsidR="00EB7084" w:rsidRPr="00AF50C5" w:rsidRDefault="00EB7084" w:rsidP="007F02C9">
      <w:pPr>
        <w:ind w:left="851"/>
        <w:rPr>
          <w:sz w:val="24"/>
          <w:szCs w:val="24"/>
        </w:rPr>
      </w:pPr>
      <w:r w:rsidRPr="00AF50C5">
        <w:rPr>
          <w:i/>
          <w:iCs/>
          <w:sz w:val="24"/>
          <w:szCs w:val="24"/>
        </w:rPr>
        <w:t>Stopregel 2</w:t>
      </w:r>
      <w:r w:rsidRPr="00AF50C5">
        <w:rPr>
          <w:sz w:val="24"/>
          <w:szCs w:val="24"/>
        </w:rPr>
        <w:t xml:space="preserve"> </w:t>
      </w:r>
    </w:p>
    <w:p w14:paraId="5906E0DA" w14:textId="77777777" w:rsidR="00EB7084" w:rsidRPr="00AF50C5" w:rsidRDefault="00EB7084" w:rsidP="007F02C9">
      <w:pPr>
        <w:ind w:left="851"/>
        <w:rPr>
          <w:sz w:val="24"/>
          <w:szCs w:val="24"/>
        </w:rPr>
      </w:pPr>
      <w:r w:rsidRPr="00AF50C5">
        <w:rPr>
          <w:sz w:val="24"/>
          <w:szCs w:val="24"/>
        </w:rPr>
        <w:t>Når der i 3 på hinanden følgende målinger (med mindst 8 timers interval) er stigende koagulationsfaktorer (faldende INR) eller stationært niveau og samtidig normal eller faldende P-ALAT, kan behandlingen stoppes.</w:t>
      </w:r>
    </w:p>
    <w:p w14:paraId="77ECFCB5" w14:textId="77777777" w:rsidR="00EB7084" w:rsidRPr="00AF50C5" w:rsidRDefault="00EB7084" w:rsidP="007F02C9">
      <w:pPr>
        <w:ind w:left="851"/>
        <w:rPr>
          <w:color w:val="333333"/>
          <w:sz w:val="24"/>
          <w:szCs w:val="24"/>
        </w:rPr>
      </w:pPr>
    </w:p>
    <w:p w14:paraId="59A7B313" w14:textId="77777777" w:rsidR="00EB7084" w:rsidRPr="00504734" w:rsidRDefault="00EB7084" w:rsidP="007F02C9">
      <w:pPr>
        <w:ind w:left="851"/>
        <w:rPr>
          <w:color w:val="333333"/>
          <w:sz w:val="24"/>
          <w:szCs w:val="24"/>
          <w:u w:val="single"/>
        </w:rPr>
      </w:pPr>
      <w:r w:rsidRPr="00504734">
        <w:rPr>
          <w:color w:val="333333"/>
          <w:sz w:val="24"/>
          <w:szCs w:val="24"/>
          <w:u w:val="single"/>
        </w:rPr>
        <w:t>Pædiatrisk population</w:t>
      </w:r>
    </w:p>
    <w:p w14:paraId="118DBB8B" w14:textId="77777777" w:rsidR="00504734" w:rsidRDefault="00504734" w:rsidP="007F02C9">
      <w:pPr>
        <w:ind w:left="851"/>
        <w:rPr>
          <w:rFonts w:eastAsia="Calibri"/>
          <w:b/>
          <w:bCs/>
          <w:sz w:val="24"/>
          <w:szCs w:val="24"/>
        </w:rPr>
      </w:pPr>
    </w:p>
    <w:p w14:paraId="05607C98" w14:textId="77777777" w:rsidR="00EB7084" w:rsidRPr="00504734" w:rsidRDefault="00EB7084" w:rsidP="007F02C9">
      <w:pPr>
        <w:ind w:left="851"/>
        <w:rPr>
          <w:bCs/>
          <w:i/>
          <w:sz w:val="24"/>
          <w:szCs w:val="24"/>
        </w:rPr>
      </w:pPr>
      <w:r w:rsidRPr="00504734">
        <w:rPr>
          <w:rFonts w:eastAsia="Calibri"/>
          <w:bCs/>
          <w:i/>
          <w:sz w:val="24"/>
          <w:szCs w:val="24"/>
        </w:rPr>
        <w:t>Børn &lt; 50 kg legemsvægt</w:t>
      </w:r>
    </w:p>
    <w:p w14:paraId="6198966D" w14:textId="77777777" w:rsidR="00EB7084" w:rsidRPr="00AF50C5" w:rsidRDefault="00AF50C5" w:rsidP="007F02C9">
      <w:pPr>
        <w:ind w:left="851"/>
        <w:rPr>
          <w:sz w:val="24"/>
          <w:szCs w:val="24"/>
        </w:rPr>
      </w:pPr>
      <w:r>
        <w:rPr>
          <w:sz w:val="24"/>
          <w:szCs w:val="24"/>
        </w:rPr>
        <w:t>Acetylcystein "SAD"</w:t>
      </w:r>
      <w:r w:rsidR="00EB7084" w:rsidRPr="00AF50C5">
        <w:rPr>
          <w:sz w:val="24"/>
          <w:szCs w:val="24"/>
        </w:rPr>
        <w:t xml:space="preserve"> behandling doseres som til voksne, der skal dog anvendes mindre væskemængde end til voksne for at undgå overhydrering (se tabel).</w:t>
      </w:r>
    </w:p>
    <w:p w14:paraId="35CFD12E" w14:textId="77777777" w:rsidR="00EB7084" w:rsidRPr="00AF50C5" w:rsidRDefault="00EB7084" w:rsidP="007F02C9">
      <w:pPr>
        <w:autoSpaceDE w:val="0"/>
        <w:autoSpaceDN w:val="0"/>
        <w:adjustRightInd w:val="0"/>
        <w:ind w:left="851"/>
        <w:rPr>
          <w:sz w:val="24"/>
          <w:szCs w:val="24"/>
        </w:rPr>
      </w:pPr>
    </w:p>
    <w:p w14:paraId="009895AD" w14:textId="77777777" w:rsidR="00EB7084" w:rsidRPr="00AF50C5" w:rsidRDefault="00EB7084" w:rsidP="007F02C9">
      <w:pPr>
        <w:autoSpaceDE w:val="0"/>
        <w:autoSpaceDN w:val="0"/>
        <w:adjustRightInd w:val="0"/>
        <w:ind w:left="851"/>
        <w:rPr>
          <w:sz w:val="24"/>
          <w:szCs w:val="24"/>
        </w:rPr>
      </w:pPr>
      <w:r w:rsidRPr="00AF50C5">
        <w:rPr>
          <w:sz w:val="24"/>
          <w:szCs w:val="24"/>
        </w:rPr>
        <w:t>Blandingsvejledning fremgår af tabellen.</w:t>
      </w:r>
    </w:p>
    <w:p w14:paraId="78B2B7A8" w14:textId="77777777" w:rsidR="00EB7084" w:rsidRPr="00AF50C5" w:rsidRDefault="00EB7084" w:rsidP="007F02C9">
      <w:pPr>
        <w:ind w:firstLine="851"/>
        <w:rPr>
          <w:sz w:val="24"/>
          <w:szCs w:val="24"/>
        </w:rPr>
      </w:pPr>
      <w:r w:rsidRPr="00AF50C5">
        <w:rPr>
          <w:sz w:val="24"/>
          <w:szCs w:val="24"/>
        </w:rPr>
        <w:t>Der gælder de samme stopregler for børn som for voksne.</w:t>
      </w:r>
    </w:p>
    <w:p w14:paraId="7B3C8F81" w14:textId="77777777" w:rsidR="00EB7084" w:rsidRPr="00AF50C5" w:rsidRDefault="00EB7084" w:rsidP="007F02C9">
      <w:pPr>
        <w:autoSpaceDE w:val="0"/>
        <w:autoSpaceDN w:val="0"/>
        <w:adjustRightInd w:val="0"/>
        <w:ind w:firstLine="851"/>
        <w:rPr>
          <w:b/>
          <w:bCs/>
          <w:sz w:val="24"/>
          <w:szCs w:val="24"/>
        </w:rPr>
      </w:pPr>
    </w:p>
    <w:p w14:paraId="5D5A4DC2" w14:textId="77777777" w:rsidR="00EB7084" w:rsidRPr="00AF50C5" w:rsidRDefault="00EB7084" w:rsidP="007F02C9">
      <w:pPr>
        <w:autoSpaceDE w:val="0"/>
        <w:autoSpaceDN w:val="0"/>
        <w:adjustRightInd w:val="0"/>
        <w:ind w:firstLine="851"/>
        <w:rPr>
          <w:b/>
          <w:bCs/>
          <w:sz w:val="24"/>
          <w:szCs w:val="24"/>
        </w:rPr>
      </w:pPr>
      <w:r w:rsidRPr="00AF50C5">
        <w:rPr>
          <w:b/>
          <w:bCs/>
          <w:sz w:val="24"/>
          <w:szCs w:val="24"/>
        </w:rPr>
        <w:t>Behandlingsskema for børn &lt; 50 kg (børn &gt; 50 kg følger behandlingen for voksne):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788"/>
        <w:gridCol w:w="1572"/>
        <w:gridCol w:w="1556"/>
        <w:gridCol w:w="1977"/>
      </w:tblGrid>
      <w:tr w:rsidR="00EB7084" w:rsidRPr="00AF50C5" w14:paraId="065C401C" w14:textId="77777777" w:rsidTr="00A309ED">
        <w:tc>
          <w:tcPr>
            <w:tcW w:w="1559" w:type="dxa"/>
          </w:tcPr>
          <w:p w14:paraId="6C65FC17" w14:textId="77777777" w:rsidR="00EB7084" w:rsidRPr="00AF50C5" w:rsidRDefault="00EB7084" w:rsidP="007F02C9">
            <w:pPr>
              <w:autoSpaceDE w:val="0"/>
              <w:autoSpaceDN w:val="0"/>
              <w:adjustRightInd w:val="0"/>
              <w:rPr>
                <w:b/>
                <w:bCs/>
                <w:sz w:val="24"/>
                <w:szCs w:val="24"/>
              </w:rPr>
            </w:pPr>
          </w:p>
        </w:tc>
        <w:tc>
          <w:tcPr>
            <w:tcW w:w="1968" w:type="dxa"/>
          </w:tcPr>
          <w:p w14:paraId="1F84FEC9" w14:textId="77777777" w:rsidR="00EB7084" w:rsidRPr="00AF50C5" w:rsidRDefault="00EB7084" w:rsidP="007F02C9">
            <w:pPr>
              <w:autoSpaceDE w:val="0"/>
              <w:autoSpaceDN w:val="0"/>
              <w:adjustRightInd w:val="0"/>
              <w:rPr>
                <w:b/>
                <w:bCs/>
                <w:sz w:val="24"/>
                <w:szCs w:val="24"/>
              </w:rPr>
            </w:pPr>
            <w:r w:rsidRPr="00AF50C5">
              <w:rPr>
                <w:b/>
                <w:bCs/>
                <w:sz w:val="24"/>
                <w:szCs w:val="24"/>
              </w:rPr>
              <w:t>N-acetylcystein</w:t>
            </w:r>
          </w:p>
          <w:p w14:paraId="4C2F2562" w14:textId="77777777" w:rsidR="00EB7084" w:rsidRPr="00AF50C5" w:rsidRDefault="00EB7084" w:rsidP="007F02C9">
            <w:pPr>
              <w:autoSpaceDE w:val="0"/>
              <w:autoSpaceDN w:val="0"/>
              <w:adjustRightInd w:val="0"/>
              <w:rPr>
                <w:b/>
                <w:bCs/>
                <w:sz w:val="24"/>
                <w:szCs w:val="24"/>
              </w:rPr>
            </w:pPr>
            <w:r w:rsidRPr="00AF50C5">
              <w:rPr>
                <w:b/>
                <w:bCs/>
                <w:sz w:val="24"/>
                <w:szCs w:val="24"/>
              </w:rPr>
              <w:t>(200 mg/ml)</w:t>
            </w:r>
          </w:p>
          <w:p w14:paraId="47B9FB90" w14:textId="77777777" w:rsidR="00EB7084" w:rsidRPr="00AF50C5" w:rsidRDefault="00EB7084" w:rsidP="007F02C9">
            <w:pPr>
              <w:autoSpaceDE w:val="0"/>
              <w:autoSpaceDN w:val="0"/>
              <w:adjustRightInd w:val="0"/>
              <w:rPr>
                <w:b/>
                <w:bCs/>
                <w:sz w:val="24"/>
                <w:szCs w:val="24"/>
              </w:rPr>
            </w:pPr>
            <w:r w:rsidRPr="00AF50C5">
              <w:rPr>
                <w:b/>
                <w:bCs/>
                <w:sz w:val="24"/>
                <w:szCs w:val="24"/>
              </w:rPr>
              <w:t>dosis er</w:t>
            </w:r>
          </w:p>
          <w:p w14:paraId="44F4B0C8" w14:textId="77777777" w:rsidR="00EB7084" w:rsidRPr="00AF50C5" w:rsidRDefault="00EB7084" w:rsidP="007F02C9">
            <w:pPr>
              <w:autoSpaceDE w:val="0"/>
              <w:autoSpaceDN w:val="0"/>
              <w:adjustRightInd w:val="0"/>
              <w:rPr>
                <w:b/>
                <w:bCs/>
                <w:sz w:val="24"/>
                <w:szCs w:val="24"/>
              </w:rPr>
            </w:pPr>
            <w:r w:rsidRPr="00AF50C5">
              <w:rPr>
                <w:b/>
                <w:bCs/>
                <w:sz w:val="24"/>
                <w:szCs w:val="24"/>
              </w:rPr>
              <w:t>angivet i mg</w:t>
            </w:r>
          </w:p>
          <w:p w14:paraId="7A2ED0F4" w14:textId="77777777" w:rsidR="00EB7084" w:rsidRPr="00AF50C5" w:rsidRDefault="00EB7084" w:rsidP="007F02C9">
            <w:pPr>
              <w:autoSpaceDE w:val="0"/>
              <w:autoSpaceDN w:val="0"/>
              <w:adjustRightInd w:val="0"/>
              <w:rPr>
                <w:b/>
                <w:bCs/>
                <w:sz w:val="24"/>
                <w:szCs w:val="24"/>
              </w:rPr>
            </w:pPr>
          </w:p>
        </w:tc>
        <w:tc>
          <w:tcPr>
            <w:tcW w:w="1859" w:type="dxa"/>
          </w:tcPr>
          <w:p w14:paraId="71131AD9" w14:textId="77777777" w:rsidR="00EB7084" w:rsidRPr="00AF50C5" w:rsidRDefault="00EB7084" w:rsidP="007F02C9">
            <w:pPr>
              <w:autoSpaceDE w:val="0"/>
              <w:autoSpaceDN w:val="0"/>
              <w:adjustRightInd w:val="0"/>
              <w:rPr>
                <w:b/>
                <w:bCs/>
                <w:sz w:val="24"/>
                <w:szCs w:val="24"/>
              </w:rPr>
            </w:pPr>
            <w:r w:rsidRPr="00AF50C5">
              <w:rPr>
                <w:b/>
                <w:bCs/>
                <w:sz w:val="24"/>
                <w:szCs w:val="24"/>
              </w:rPr>
              <w:t>Blanding</w:t>
            </w:r>
          </w:p>
          <w:p w14:paraId="04F9DA91" w14:textId="77777777" w:rsidR="00EB7084" w:rsidRPr="00AF50C5" w:rsidRDefault="00EB7084" w:rsidP="007F02C9">
            <w:pPr>
              <w:autoSpaceDE w:val="0"/>
              <w:autoSpaceDN w:val="0"/>
              <w:adjustRightInd w:val="0"/>
              <w:rPr>
                <w:b/>
                <w:bCs/>
                <w:sz w:val="24"/>
                <w:szCs w:val="24"/>
              </w:rPr>
            </w:pPr>
            <w:r w:rsidRPr="00AF50C5">
              <w:rPr>
                <w:b/>
                <w:bCs/>
                <w:sz w:val="24"/>
                <w:szCs w:val="24"/>
              </w:rPr>
              <w:t>(brug isotonisk</w:t>
            </w:r>
          </w:p>
          <w:p w14:paraId="0042972A" w14:textId="77777777" w:rsidR="00EB7084" w:rsidRPr="00AF50C5" w:rsidRDefault="00EB7084" w:rsidP="007F02C9">
            <w:pPr>
              <w:autoSpaceDE w:val="0"/>
              <w:autoSpaceDN w:val="0"/>
              <w:adjustRightInd w:val="0"/>
              <w:rPr>
                <w:b/>
                <w:bCs/>
                <w:sz w:val="24"/>
                <w:szCs w:val="24"/>
              </w:rPr>
            </w:pPr>
            <w:r w:rsidRPr="00AF50C5">
              <w:rPr>
                <w:b/>
                <w:bCs/>
                <w:sz w:val="24"/>
                <w:szCs w:val="24"/>
              </w:rPr>
              <w:t>glukose)</w:t>
            </w:r>
          </w:p>
          <w:p w14:paraId="15ADD95D" w14:textId="77777777" w:rsidR="00EB7084" w:rsidRPr="00AF50C5" w:rsidRDefault="00EB7084" w:rsidP="007F02C9">
            <w:pPr>
              <w:autoSpaceDE w:val="0"/>
              <w:autoSpaceDN w:val="0"/>
              <w:adjustRightInd w:val="0"/>
              <w:rPr>
                <w:b/>
                <w:bCs/>
                <w:sz w:val="24"/>
                <w:szCs w:val="24"/>
              </w:rPr>
            </w:pPr>
          </w:p>
        </w:tc>
        <w:tc>
          <w:tcPr>
            <w:tcW w:w="1560" w:type="dxa"/>
          </w:tcPr>
          <w:p w14:paraId="4978739E" w14:textId="77777777" w:rsidR="00EB7084" w:rsidRPr="00AF50C5" w:rsidRDefault="00EB7084" w:rsidP="007F02C9">
            <w:pPr>
              <w:autoSpaceDE w:val="0"/>
              <w:autoSpaceDN w:val="0"/>
              <w:adjustRightInd w:val="0"/>
              <w:rPr>
                <w:i/>
                <w:iCs/>
                <w:sz w:val="24"/>
                <w:szCs w:val="24"/>
              </w:rPr>
            </w:pPr>
            <w:r w:rsidRPr="00AF50C5">
              <w:rPr>
                <w:i/>
                <w:iCs/>
                <w:sz w:val="24"/>
                <w:szCs w:val="24"/>
              </w:rPr>
              <w:t>Færdig</w:t>
            </w:r>
          </w:p>
          <w:p w14:paraId="2CF84A66" w14:textId="77777777" w:rsidR="00EB7084" w:rsidRPr="00AF50C5" w:rsidRDefault="00EB7084" w:rsidP="007F02C9">
            <w:pPr>
              <w:autoSpaceDE w:val="0"/>
              <w:autoSpaceDN w:val="0"/>
              <w:adjustRightInd w:val="0"/>
              <w:rPr>
                <w:i/>
                <w:iCs/>
                <w:sz w:val="24"/>
                <w:szCs w:val="24"/>
              </w:rPr>
            </w:pPr>
            <w:r w:rsidRPr="00AF50C5">
              <w:rPr>
                <w:i/>
                <w:iCs/>
                <w:sz w:val="24"/>
                <w:szCs w:val="24"/>
              </w:rPr>
              <w:t>koncentration i</w:t>
            </w:r>
          </w:p>
          <w:p w14:paraId="4C4AFA7A" w14:textId="77777777" w:rsidR="00EB7084" w:rsidRPr="00AF50C5" w:rsidRDefault="00EB7084" w:rsidP="007F02C9">
            <w:pPr>
              <w:autoSpaceDE w:val="0"/>
              <w:autoSpaceDN w:val="0"/>
              <w:adjustRightInd w:val="0"/>
              <w:rPr>
                <w:i/>
                <w:iCs/>
                <w:sz w:val="24"/>
                <w:szCs w:val="24"/>
              </w:rPr>
            </w:pPr>
            <w:r w:rsidRPr="00AF50C5">
              <w:rPr>
                <w:i/>
                <w:iCs/>
                <w:sz w:val="24"/>
                <w:szCs w:val="24"/>
              </w:rPr>
              <w:t>blandingen</w:t>
            </w:r>
          </w:p>
          <w:p w14:paraId="737808D6" w14:textId="77777777" w:rsidR="00EB7084" w:rsidRPr="00AF50C5" w:rsidRDefault="00EB7084" w:rsidP="007F02C9">
            <w:pPr>
              <w:autoSpaceDE w:val="0"/>
              <w:autoSpaceDN w:val="0"/>
              <w:adjustRightInd w:val="0"/>
              <w:rPr>
                <w:b/>
                <w:bCs/>
                <w:sz w:val="24"/>
                <w:szCs w:val="24"/>
              </w:rPr>
            </w:pPr>
          </w:p>
        </w:tc>
        <w:tc>
          <w:tcPr>
            <w:tcW w:w="1701" w:type="dxa"/>
          </w:tcPr>
          <w:p w14:paraId="5EF7F6DF" w14:textId="77777777" w:rsidR="00EB7084" w:rsidRPr="00AF50C5" w:rsidRDefault="00EB7084" w:rsidP="007F02C9">
            <w:pPr>
              <w:autoSpaceDE w:val="0"/>
              <w:autoSpaceDN w:val="0"/>
              <w:adjustRightInd w:val="0"/>
              <w:rPr>
                <w:b/>
                <w:bCs/>
                <w:sz w:val="24"/>
                <w:szCs w:val="24"/>
              </w:rPr>
            </w:pPr>
            <w:r w:rsidRPr="00AF50C5">
              <w:rPr>
                <w:b/>
                <w:bCs/>
                <w:sz w:val="24"/>
                <w:szCs w:val="24"/>
              </w:rPr>
              <w:t>Indløbshastighed</w:t>
            </w:r>
          </w:p>
          <w:p w14:paraId="69C6B009" w14:textId="77777777" w:rsidR="00EB7084" w:rsidRPr="00AF50C5" w:rsidRDefault="00EB7084" w:rsidP="007F02C9">
            <w:pPr>
              <w:autoSpaceDE w:val="0"/>
              <w:autoSpaceDN w:val="0"/>
              <w:adjustRightInd w:val="0"/>
              <w:rPr>
                <w:b/>
                <w:bCs/>
                <w:sz w:val="24"/>
                <w:szCs w:val="24"/>
              </w:rPr>
            </w:pPr>
          </w:p>
        </w:tc>
      </w:tr>
      <w:tr w:rsidR="00EB7084" w:rsidRPr="00AF50C5" w14:paraId="0241FE20" w14:textId="77777777" w:rsidTr="00A309ED">
        <w:tc>
          <w:tcPr>
            <w:tcW w:w="1559" w:type="dxa"/>
          </w:tcPr>
          <w:p w14:paraId="1C1428CC" w14:textId="77777777" w:rsidR="00EB7084" w:rsidRPr="00AF50C5" w:rsidRDefault="00EB7084" w:rsidP="007F02C9">
            <w:pPr>
              <w:autoSpaceDE w:val="0"/>
              <w:autoSpaceDN w:val="0"/>
              <w:adjustRightInd w:val="0"/>
              <w:rPr>
                <w:sz w:val="24"/>
                <w:szCs w:val="24"/>
              </w:rPr>
            </w:pPr>
            <w:r w:rsidRPr="00AF50C5">
              <w:rPr>
                <w:sz w:val="24"/>
                <w:szCs w:val="24"/>
              </w:rPr>
              <w:t>Loading</w:t>
            </w:r>
          </w:p>
          <w:p w14:paraId="4C6DDD8B" w14:textId="77777777" w:rsidR="00EB7084" w:rsidRPr="00AF50C5" w:rsidRDefault="00EB7084" w:rsidP="007F02C9">
            <w:pPr>
              <w:autoSpaceDE w:val="0"/>
              <w:autoSpaceDN w:val="0"/>
              <w:adjustRightInd w:val="0"/>
              <w:rPr>
                <w:sz w:val="24"/>
                <w:szCs w:val="24"/>
              </w:rPr>
            </w:pPr>
            <w:r w:rsidRPr="00AF50C5">
              <w:rPr>
                <w:sz w:val="24"/>
                <w:szCs w:val="24"/>
              </w:rPr>
              <w:t>(time 0‐4)</w:t>
            </w:r>
          </w:p>
          <w:p w14:paraId="2DD9099E" w14:textId="77777777" w:rsidR="00EB7084" w:rsidRPr="00AF50C5" w:rsidRDefault="00EB7084" w:rsidP="007F02C9">
            <w:pPr>
              <w:autoSpaceDE w:val="0"/>
              <w:autoSpaceDN w:val="0"/>
              <w:adjustRightInd w:val="0"/>
              <w:rPr>
                <w:b/>
                <w:bCs/>
                <w:sz w:val="24"/>
                <w:szCs w:val="24"/>
              </w:rPr>
            </w:pPr>
          </w:p>
        </w:tc>
        <w:tc>
          <w:tcPr>
            <w:tcW w:w="1968" w:type="dxa"/>
          </w:tcPr>
          <w:p w14:paraId="7A52D05B" w14:textId="77777777" w:rsidR="00EB7084" w:rsidRPr="00AF50C5" w:rsidRDefault="00EB7084" w:rsidP="007F02C9">
            <w:pPr>
              <w:autoSpaceDE w:val="0"/>
              <w:autoSpaceDN w:val="0"/>
              <w:adjustRightInd w:val="0"/>
              <w:rPr>
                <w:sz w:val="24"/>
                <w:szCs w:val="24"/>
              </w:rPr>
            </w:pPr>
            <w:r w:rsidRPr="00AF50C5">
              <w:rPr>
                <w:sz w:val="24"/>
                <w:szCs w:val="24"/>
              </w:rPr>
              <w:t>200 mg/kg</w:t>
            </w:r>
          </w:p>
          <w:p w14:paraId="56102AB8" w14:textId="77777777" w:rsidR="00EB7084" w:rsidRPr="00AF50C5" w:rsidRDefault="00EB7084" w:rsidP="007F02C9">
            <w:pPr>
              <w:autoSpaceDE w:val="0"/>
              <w:autoSpaceDN w:val="0"/>
              <w:adjustRightInd w:val="0"/>
              <w:rPr>
                <w:sz w:val="24"/>
                <w:szCs w:val="24"/>
              </w:rPr>
            </w:pPr>
            <w:r w:rsidRPr="00AF50C5">
              <w:rPr>
                <w:sz w:val="24"/>
                <w:szCs w:val="24"/>
              </w:rPr>
              <w:t>gives over 4</w:t>
            </w:r>
          </w:p>
          <w:p w14:paraId="4543B1D4" w14:textId="77777777" w:rsidR="00EB7084" w:rsidRPr="00AF50C5" w:rsidRDefault="00EB7084" w:rsidP="007F02C9">
            <w:pPr>
              <w:autoSpaceDE w:val="0"/>
              <w:autoSpaceDN w:val="0"/>
              <w:adjustRightInd w:val="0"/>
              <w:rPr>
                <w:sz w:val="24"/>
                <w:szCs w:val="24"/>
              </w:rPr>
            </w:pPr>
            <w:r w:rsidRPr="00AF50C5">
              <w:rPr>
                <w:sz w:val="24"/>
                <w:szCs w:val="24"/>
              </w:rPr>
              <w:t>timer</w:t>
            </w:r>
          </w:p>
          <w:p w14:paraId="5109FBD0" w14:textId="77777777" w:rsidR="00EB7084" w:rsidRPr="00AF50C5" w:rsidRDefault="00EB7084" w:rsidP="007F02C9">
            <w:pPr>
              <w:autoSpaceDE w:val="0"/>
              <w:autoSpaceDN w:val="0"/>
              <w:adjustRightInd w:val="0"/>
              <w:rPr>
                <w:sz w:val="24"/>
                <w:szCs w:val="24"/>
              </w:rPr>
            </w:pPr>
            <w:r w:rsidRPr="00AF50C5">
              <w:rPr>
                <w:sz w:val="24"/>
                <w:szCs w:val="24"/>
              </w:rPr>
              <w:t>sv.t. 50</w:t>
            </w:r>
          </w:p>
          <w:p w14:paraId="070E46B0" w14:textId="77777777" w:rsidR="00EB7084" w:rsidRPr="00AF50C5" w:rsidRDefault="00EB7084" w:rsidP="007F02C9">
            <w:pPr>
              <w:autoSpaceDE w:val="0"/>
              <w:autoSpaceDN w:val="0"/>
              <w:adjustRightInd w:val="0"/>
              <w:rPr>
                <w:sz w:val="24"/>
                <w:szCs w:val="24"/>
              </w:rPr>
            </w:pPr>
            <w:r w:rsidRPr="00AF50C5">
              <w:rPr>
                <w:sz w:val="24"/>
                <w:szCs w:val="24"/>
              </w:rPr>
              <w:t>mg/kg/time</w:t>
            </w:r>
          </w:p>
          <w:p w14:paraId="49BA8589" w14:textId="77777777" w:rsidR="00EB7084" w:rsidRPr="00AF50C5" w:rsidRDefault="00EB7084" w:rsidP="007F02C9">
            <w:pPr>
              <w:autoSpaceDE w:val="0"/>
              <w:autoSpaceDN w:val="0"/>
              <w:adjustRightInd w:val="0"/>
              <w:rPr>
                <w:b/>
                <w:bCs/>
                <w:sz w:val="24"/>
                <w:szCs w:val="24"/>
              </w:rPr>
            </w:pPr>
          </w:p>
        </w:tc>
        <w:tc>
          <w:tcPr>
            <w:tcW w:w="1859" w:type="dxa"/>
          </w:tcPr>
          <w:p w14:paraId="13A1AA12" w14:textId="77777777" w:rsidR="00EB7084" w:rsidRPr="00AF50C5" w:rsidRDefault="00EB7084" w:rsidP="007F02C9">
            <w:pPr>
              <w:autoSpaceDE w:val="0"/>
              <w:autoSpaceDN w:val="0"/>
              <w:adjustRightInd w:val="0"/>
              <w:rPr>
                <w:sz w:val="24"/>
                <w:szCs w:val="24"/>
              </w:rPr>
            </w:pPr>
            <w:r w:rsidRPr="00AF50C5">
              <w:rPr>
                <w:sz w:val="24"/>
                <w:szCs w:val="24"/>
              </w:rPr>
              <w:t>Børn &lt; 50 kg:</w:t>
            </w:r>
          </w:p>
          <w:p w14:paraId="3C062B16" w14:textId="77777777" w:rsidR="00EB7084" w:rsidRPr="00AF50C5" w:rsidRDefault="00EB7084" w:rsidP="007F02C9">
            <w:pPr>
              <w:autoSpaceDE w:val="0"/>
              <w:autoSpaceDN w:val="0"/>
              <w:adjustRightInd w:val="0"/>
              <w:rPr>
                <w:sz w:val="24"/>
                <w:szCs w:val="24"/>
              </w:rPr>
            </w:pPr>
            <w:r w:rsidRPr="00AF50C5">
              <w:rPr>
                <w:sz w:val="24"/>
                <w:szCs w:val="24"/>
              </w:rPr>
              <w:t>10.000 mg (50</w:t>
            </w:r>
          </w:p>
          <w:p w14:paraId="53AFCDD2" w14:textId="77777777" w:rsidR="00EB7084" w:rsidRPr="00AF50C5" w:rsidRDefault="00EB7084" w:rsidP="007F02C9">
            <w:pPr>
              <w:autoSpaceDE w:val="0"/>
              <w:autoSpaceDN w:val="0"/>
              <w:adjustRightInd w:val="0"/>
              <w:rPr>
                <w:sz w:val="24"/>
                <w:szCs w:val="24"/>
              </w:rPr>
            </w:pPr>
            <w:r w:rsidRPr="00AF50C5">
              <w:rPr>
                <w:sz w:val="24"/>
                <w:szCs w:val="24"/>
              </w:rPr>
              <w:t>ml) NAC blandes</w:t>
            </w:r>
          </w:p>
          <w:p w14:paraId="1A77E189" w14:textId="77777777" w:rsidR="00EB7084" w:rsidRPr="00AF50C5" w:rsidRDefault="00EB7084" w:rsidP="007F02C9">
            <w:pPr>
              <w:autoSpaceDE w:val="0"/>
              <w:autoSpaceDN w:val="0"/>
              <w:adjustRightInd w:val="0"/>
              <w:rPr>
                <w:sz w:val="24"/>
                <w:szCs w:val="24"/>
              </w:rPr>
            </w:pPr>
            <w:r w:rsidRPr="00AF50C5">
              <w:rPr>
                <w:sz w:val="24"/>
                <w:szCs w:val="24"/>
              </w:rPr>
              <w:t>i 150 ml</w:t>
            </w:r>
          </w:p>
          <w:p w14:paraId="0413FBFF" w14:textId="77777777" w:rsidR="00EB7084" w:rsidRPr="00AF50C5" w:rsidRDefault="00EB7084" w:rsidP="007F02C9">
            <w:pPr>
              <w:autoSpaceDE w:val="0"/>
              <w:autoSpaceDN w:val="0"/>
              <w:adjustRightInd w:val="0"/>
              <w:rPr>
                <w:sz w:val="24"/>
                <w:szCs w:val="24"/>
              </w:rPr>
            </w:pPr>
            <w:r w:rsidRPr="00AF50C5">
              <w:rPr>
                <w:sz w:val="24"/>
                <w:szCs w:val="24"/>
              </w:rPr>
              <w:t>isotonisk glukose</w:t>
            </w:r>
          </w:p>
          <w:p w14:paraId="0DB71418" w14:textId="77777777" w:rsidR="00EB7084" w:rsidRPr="00AF50C5" w:rsidRDefault="00EB7084" w:rsidP="007F02C9">
            <w:pPr>
              <w:autoSpaceDE w:val="0"/>
              <w:autoSpaceDN w:val="0"/>
              <w:adjustRightInd w:val="0"/>
              <w:rPr>
                <w:b/>
                <w:bCs/>
                <w:sz w:val="24"/>
                <w:szCs w:val="24"/>
              </w:rPr>
            </w:pPr>
          </w:p>
        </w:tc>
        <w:tc>
          <w:tcPr>
            <w:tcW w:w="1560" w:type="dxa"/>
          </w:tcPr>
          <w:p w14:paraId="438AA7DF" w14:textId="77777777" w:rsidR="00EB7084" w:rsidRPr="00AF50C5" w:rsidRDefault="00EB7084" w:rsidP="007F02C9">
            <w:pPr>
              <w:autoSpaceDE w:val="0"/>
              <w:autoSpaceDN w:val="0"/>
              <w:adjustRightInd w:val="0"/>
              <w:rPr>
                <w:b/>
                <w:bCs/>
                <w:sz w:val="24"/>
                <w:szCs w:val="24"/>
              </w:rPr>
            </w:pPr>
            <w:r w:rsidRPr="00AF50C5">
              <w:rPr>
                <w:sz w:val="24"/>
                <w:szCs w:val="24"/>
                <w:lang w:val="en-US"/>
              </w:rPr>
              <w:t>50 mg/ml</w:t>
            </w:r>
          </w:p>
        </w:tc>
        <w:tc>
          <w:tcPr>
            <w:tcW w:w="1701" w:type="dxa"/>
          </w:tcPr>
          <w:p w14:paraId="3956F6F8" w14:textId="77777777" w:rsidR="00EB7084" w:rsidRPr="00AF50C5" w:rsidRDefault="00EB7084" w:rsidP="007F02C9">
            <w:pPr>
              <w:autoSpaceDE w:val="0"/>
              <w:autoSpaceDN w:val="0"/>
              <w:adjustRightInd w:val="0"/>
              <w:rPr>
                <w:sz w:val="24"/>
                <w:szCs w:val="24"/>
                <w:lang w:val="en-US"/>
              </w:rPr>
            </w:pPr>
            <w:r w:rsidRPr="00AF50C5">
              <w:rPr>
                <w:sz w:val="24"/>
                <w:szCs w:val="24"/>
                <w:lang w:val="en-US"/>
              </w:rPr>
              <w:t>1 ml/kg/time i</w:t>
            </w:r>
          </w:p>
          <w:p w14:paraId="584D6394" w14:textId="77777777" w:rsidR="00EB7084" w:rsidRPr="00AF50C5" w:rsidRDefault="00EB7084" w:rsidP="007F02C9">
            <w:pPr>
              <w:autoSpaceDE w:val="0"/>
              <w:autoSpaceDN w:val="0"/>
              <w:adjustRightInd w:val="0"/>
              <w:rPr>
                <w:sz w:val="24"/>
                <w:szCs w:val="24"/>
              </w:rPr>
            </w:pPr>
            <w:r w:rsidRPr="00AF50C5">
              <w:rPr>
                <w:sz w:val="24"/>
                <w:szCs w:val="24"/>
              </w:rPr>
              <w:t>4 timer</w:t>
            </w:r>
          </w:p>
          <w:p w14:paraId="2BF21CA7" w14:textId="77777777" w:rsidR="00EB7084" w:rsidRPr="00AF50C5" w:rsidRDefault="00EB7084" w:rsidP="007F02C9">
            <w:pPr>
              <w:autoSpaceDE w:val="0"/>
              <w:autoSpaceDN w:val="0"/>
              <w:adjustRightInd w:val="0"/>
              <w:rPr>
                <w:b/>
                <w:bCs/>
                <w:sz w:val="24"/>
                <w:szCs w:val="24"/>
              </w:rPr>
            </w:pPr>
          </w:p>
        </w:tc>
      </w:tr>
      <w:tr w:rsidR="00EB7084" w:rsidRPr="00AF50C5" w14:paraId="0B9627BC" w14:textId="77777777" w:rsidTr="00A309ED">
        <w:tc>
          <w:tcPr>
            <w:tcW w:w="1559" w:type="dxa"/>
          </w:tcPr>
          <w:p w14:paraId="38BEC1BB" w14:textId="77777777" w:rsidR="00EB7084" w:rsidRPr="00AF50C5" w:rsidRDefault="00EB7084" w:rsidP="007F02C9">
            <w:pPr>
              <w:keepNext/>
              <w:autoSpaceDE w:val="0"/>
              <w:autoSpaceDN w:val="0"/>
              <w:adjustRightInd w:val="0"/>
              <w:rPr>
                <w:sz w:val="24"/>
                <w:szCs w:val="24"/>
              </w:rPr>
            </w:pPr>
            <w:r w:rsidRPr="00AF50C5">
              <w:rPr>
                <w:sz w:val="24"/>
                <w:szCs w:val="24"/>
              </w:rPr>
              <w:lastRenderedPageBreak/>
              <w:t>Vedligeholdelse</w:t>
            </w:r>
          </w:p>
          <w:p w14:paraId="091AEDF1" w14:textId="77777777" w:rsidR="00EB7084" w:rsidRPr="00AF50C5" w:rsidRDefault="00EB7084" w:rsidP="007F02C9">
            <w:pPr>
              <w:keepNext/>
              <w:autoSpaceDE w:val="0"/>
              <w:autoSpaceDN w:val="0"/>
              <w:adjustRightInd w:val="0"/>
              <w:rPr>
                <w:sz w:val="24"/>
                <w:szCs w:val="24"/>
              </w:rPr>
            </w:pPr>
            <w:r w:rsidRPr="00AF50C5">
              <w:rPr>
                <w:sz w:val="24"/>
                <w:szCs w:val="24"/>
              </w:rPr>
              <w:t>(minimum 16 timer</w:t>
            </w:r>
          </w:p>
          <w:p w14:paraId="6926FA35" w14:textId="77777777" w:rsidR="00EB7084" w:rsidRPr="00AF50C5" w:rsidRDefault="00EB7084" w:rsidP="007F02C9">
            <w:pPr>
              <w:keepNext/>
              <w:autoSpaceDE w:val="0"/>
              <w:autoSpaceDN w:val="0"/>
              <w:adjustRightInd w:val="0"/>
              <w:rPr>
                <w:sz w:val="24"/>
                <w:szCs w:val="24"/>
              </w:rPr>
            </w:pPr>
            <w:r w:rsidRPr="00AF50C5">
              <w:rPr>
                <w:sz w:val="24"/>
                <w:szCs w:val="24"/>
              </w:rPr>
              <w:t>afhængig af</w:t>
            </w:r>
          </w:p>
          <w:p w14:paraId="1759C449" w14:textId="77777777" w:rsidR="00EB7084" w:rsidRPr="00AF50C5" w:rsidRDefault="00EB7084" w:rsidP="007F02C9">
            <w:pPr>
              <w:keepNext/>
              <w:autoSpaceDE w:val="0"/>
              <w:autoSpaceDN w:val="0"/>
              <w:adjustRightInd w:val="0"/>
              <w:rPr>
                <w:sz w:val="24"/>
                <w:szCs w:val="24"/>
              </w:rPr>
            </w:pPr>
            <w:r w:rsidRPr="00AF50C5">
              <w:rPr>
                <w:sz w:val="24"/>
                <w:szCs w:val="24"/>
              </w:rPr>
              <w:t>levertal)</w:t>
            </w:r>
          </w:p>
          <w:p w14:paraId="69CBCFC0" w14:textId="77777777" w:rsidR="00EB7084" w:rsidRPr="00AF50C5" w:rsidRDefault="00EB7084" w:rsidP="007F02C9">
            <w:pPr>
              <w:keepNext/>
              <w:autoSpaceDE w:val="0"/>
              <w:autoSpaceDN w:val="0"/>
              <w:adjustRightInd w:val="0"/>
              <w:rPr>
                <w:b/>
                <w:bCs/>
                <w:sz w:val="24"/>
                <w:szCs w:val="24"/>
              </w:rPr>
            </w:pPr>
          </w:p>
        </w:tc>
        <w:tc>
          <w:tcPr>
            <w:tcW w:w="1968" w:type="dxa"/>
          </w:tcPr>
          <w:p w14:paraId="4AEDF189" w14:textId="77777777" w:rsidR="00EB7084" w:rsidRPr="00AF50C5" w:rsidRDefault="00EB7084" w:rsidP="007F02C9">
            <w:pPr>
              <w:autoSpaceDE w:val="0"/>
              <w:autoSpaceDN w:val="0"/>
              <w:adjustRightInd w:val="0"/>
              <w:rPr>
                <w:sz w:val="24"/>
                <w:szCs w:val="24"/>
              </w:rPr>
            </w:pPr>
            <w:r w:rsidRPr="00AF50C5">
              <w:rPr>
                <w:sz w:val="24"/>
                <w:szCs w:val="24"/>
              </w:rPr>
              <w:t>100 mg/kg over</w:t>
            </w:r>
          </w:p>
          <w:p w14:paraId="2557E71E" w14:textId="77777777" w:rsidR="00EB7084" w:rsidRPr="00AF50C5" w:rsidRDefault="00EB7084" w:rsidP="007F02C9">
            <w:pPr>
              <w:autoSpaceDE w:val="0"/>
              <w:autoSpaceDN w:val="0"/>
              <w:adjustRightInd w:val="0"/>
              <w:rPr>
                <w:sz w:val="24"/>
                <w:szCs w:val="24"/>
              </w:rPr>
            </w:pPr>
            <w:r w:rsidRPr="00AF50C5">
              <w:rPr>
                <w:sz w:val="24"/>
                <w:szCs w:val="24"/>
              </w:rPr>
              <w:t>16 timer</w:t>
            </w:r>
          </w:p>
          <w:p w14:paraId="384A3547" w14:textId="77777777" w:rsidR="00EB7084" w:rsidRPr="00AF50C5" w:rsidRDefault="00EB7084" w:rsidP="007F02C9">
            <w:pPr>
              <w:autoSpaceDE w:val="0"/>
              <w:autoSpaceDN w:val="0"/>
              <w:adjustRightInd w:val="0"/>
              <w:rPr>
                <w:sz w:val="24"/>
                <w:szCs w:val="24"/>
              </w:rPr>
            </w:pPr>
            <w:r w:rsidRPr="00AF50C5">
              <w:rPr>
                <w:sz w:val="24"/>
                <w:szCs w:val="24"/>
              </w:rPr>
              <w:t>(0,50 ml/kg</w:t>
            </w:r>
          </w:p>
          <w:p w14:paraId="11EAB44C" w14:textId="77777777" w:rsidR="00EB7084" w:rsidRPr="00AF50C5" w:rsidRDefault="00EB7084" w:rsidP="007F02C9">
            <w:pPr>
              <w:autoSpaceDE w:val="0"/>
              <w:autoSpaceDN w:val="0"/>
              <w:adjustRightInd w:val="0"/>
              <w:rPr>
                <w:sz w:val="24"/>
                <w:szCs w:val="24"/>
              </w:rPr>
            </w:pPr>
            <w:r w:rsidRPr="00AF50C5">
              <w:rPr>
                <w:sz w:val="24"/>
                <w:szCs w:val="24"/>
              </w:rPr>
              <w:t>over 16 timer)</w:t>
            </w:r>
          </w:p>
          <w:p w14:paraId="7413705E" w14:textId="77777777" w:rsidR="00EB7084" w:rsidRPr="00AF50C5" w:rsidRDefault="00EB7084" w:rsidP="007F02C9">
            <w:pPr>
              <w:autoSpaceDE w:val="0"/>
              <w:autoSpaceDN w:val="0"/>
              <w:adjustRightInd w:val="0"/>
              <w:rPr>
                <w:sz w:val="24"/>
                <w:szCs w:val="24"/>
              </w:rPr>
            </w:pPr>
            <w:r w:rsidRPr="00AF50C5">
              <w:rPr>
                <w:sz w:val="24"/>
                <w:szCs w:val="24"/>
              </w:rPr>
              <w:t>sv.t. 6,25</w:t>
            </w:r>
          </w:p>
          <w:p w14:paraId="28CABF29" w14:textId="77777777" w:rsidR="00EB7084" w:rsidRPr="00AF50C5" w:rsidRDefault="00EB7084" w:rsidP="007F02C9">
            <w:pPr>
              <w:autoSpaceDE w:val="0"/>
              <w:autoSpaceDN w:val="0"/>
              <w:adjustRightInd w:val="0"/>
              <w:rPr>
                <w:sz w:val="24"/>
                <w:szCs w:val="24"/>
              </w:rPr>
            </w:pPr>
            <w:r w:rsidRPr="00AF50C5">
              <w:rPr>
                <w:sz w:val="24"/>
                <w:szCs w:val="24"/>
              </w:rPr>
              <w:t>mg/kg/time</w:t>
            </w:r>
          </w:p>
          <w:p w14:paraId="051448DC" w14:textId="77777777" w:rsidR="00EB7084" w:rsidRPr="00AF50C5" w:rsidRDefault="00EB7084" w:rsidP="007F02C9">
            <w:pPr>
              <w:autoSpaceDE w:val="0"/>
              <w:autoSpaceDN w:val="0"/>
              <w:adjustRightInd w:val="0"/>
              <w:rPr>
                <w:b/>
                <w:bCs/>
                <w:sz w:val="24"/>
                <w:szCs w:val="24"/>
              </w:rPr>
            </w:pPr>
          </w:p>
        </w:tc>
        <w:tc>
          <w:tcPr>
            <w:tcW w:w="1859" w:type="dxa"/>
          </w:tcPr>
          <w:p w14:paraId="763BE5E7" w14:textId="77777777" w:rsidR="00EB7084" w:rsidRPr="00AF50C5" w:rsidRDefault="00EB7084" w:rsidP="007F02C9">
            <w:pPr>
              <w:autoSpaceDE w:val="0"/>
              <w:autoSpaceDN w:val="0"/>
              <w:adjustRightInd w:val="0"/>
              <w:rPr>
                <w:sz w:val="24"/>
                <w:szCs w:val="24"/>
              </w:rPr>
            </w:pPr>
            <w:r w:rsidRPr="00AF50C5">
              <w:rPr>
                <w:sz w:val="24"/>
                <w:szCs w:val="24"/>
              </w:rPr>
              <w:t>Børn &lt; 50 kg:</w:t>
            </w:r>
          </w:p>
          <w:p w14:paraId="72EFC1C8" w14:textId="77777777" w:rsidR="00EB7084" w:rsidRPr="00AF50C5" w:rsidRDefault="00EB7084" w:rsidP="007F02C9">
            <w:pPr>
              <w:autoSpaceDE w:val="0"/>
              <w:autoSpaceDN w:val="0"/>
              <w:adjustRightInd w:val="0"/>
              <w:rPr>
                <w:sz w:val="24"/>
                <w:szCs w:val="24"/>
              </w:rPr>
            </w:pPr>
            <w:r w:rsidRPr="00AF50C5">
              <w:rPr>
                <w:sz w:val="24"/>
                <w:szCs w:val="24"/>
              </w:rPr>
              <w:t>3.125 mg (15,7</w:t>
            </w:r>
          </w:p>
          <w:p w14:paraId="72EA0107" w14:textId="77777777" w:rsidR="00EB7084" w:rsidRPr="00AF50C5" w:rsidRDefault="00EB7084" w:rsidP="007F02C9">
            <w:pPr>
              <w:autoSpaceDE w:val="0"/>
              <w:autoSpaceDN w:val="0"/>
              <w:adjustRightInd w:val="0"/>
              <w:rPr>
                <w:sz w:val="24"/>
                <w:szCs w:val="24"/>
              </w:rPr>
            </w:pPr>
            <w:r w:rsidRPr="00AF50C5">
              <w:rPr>
                <w:sz w:val="24"/>
                <w:szCs w:val="24"/>
              </w:rPr>
              <w:t>ml) NAC i</w:t>
            </w:r>
          </w:p>
          <w:p w14:paraId="16364EA0" w14:textId="77777777" w:rsidR="00EB7084" w:rsidRPr="00AF50C5" w:rsidRDefault="00EB7084" w:rsidP="007F02C9">
            <w:pPr>
              <w:autoSpaceDE w:val="0"/>
              <w:autoSpaceDN w:val="0"/>
              <w:adjustRightInd w:val="0"/>
              <w:rPr>
                <w:sz w:val="24"/>
                <w:szCs w:val="24"/>
              </w:rPr>
            </w:pPr>
            <w:r w:rsidRPr="00AF50C5">
              <w:rPr>
                <w:sz w:val="24"/>
                <w:szCs w:val="24"/>
              </w:rPr>
              <w:t>484,3 ml</w:t>
            </w:r>
          </w:p>
          <w:p w14:paraId="3C7304F3" w14:textId="77777777" w:rsidR="00EB7084" w:rsidRPr="00AF50C5" w:rsidRDefault="00EB7084" w:rsidP="007F02C9">
            <w:pPr>
              <w:autoSpaceDE w:val="0"/>
              <w:autoSpaceDN w:val="0"/>
              <w:adjustRightInd w:val="0"/>
              <w:rPr>
                <w:sz w:val="24"/>
                <w:szCs w:val="24"/>
              </w:rPr>
            </w:pPr>
            <w:r w:rsidRPr="00AF50C5">
              <w:rPr>
                <w:sz w:val="24"/>
                <w:szCs w:val="24"/>
              </w:rPr>
              <w:t>isotonisk glukose</w:t>
            </w:r>
          </w:p>
          <w:p w14:paraId="2391BA4B" w14:textId="77777777" w:rsidR="00EB7084" w:rsidRPr="00AF50C5" w:rsidRDefault="00EB7084" w:rsidP="007F02C9">
            <w:pPr>
              <w:autoSpaceDE w:val="0"/>
              <w:autoSpaceDN w:val="0"/>
              <w:adjustRightInd w:val="0"/>
              <w:rPr>
                <w:b/>
                <w:bCs/>
                <w:sz w:val="24"/>
                <w:szCs w:val="24"/>
              </w:rPr>
            </w:pPr>
          </w:p>
        </w:tc>
        <w:tc>
          <w:tcPr>
            <w:tcW w:w="1560" w:type="dxa"/>
          </w:tcPr>
          <w:p w14:paraId="28A484D2" w14:textId="77777777" w:rsidR="00EB7084" w:rsidRPr="00AF50C5" w:rsidRDefault="00EB7084" w:rsidP="007F02C9">
            <w:pPr>
              <w:autoSpaceDE w:val="0"/>
              <w:autoSpaceDN w:val="0"/>
              <w:adjustRightInd w:val="0"/>
              <w:rPr>
                <w:b/>
                <w:bCs/>
                <w:sz w:val="24"/>
                <w:szCs w:val="24"/>
              </w:rPr>
            </w:pPr>
            <w:r w:rsidRPr="00AF50C5">
              <w:rPr>
                <w:sz w:val="24"/>
                <w:szCs w:val="24"/>
                <w:lang w:val="en-US"/>
              </w:rPr>
              <w:t>6,25 mg/ml</w:t>
            </w:r>
          </w:p>
        </w:tc>
        <w:tc>
          <w:tcPr>
            <w:tcW w:w="1701" w:type="dxa"/>
          </w:tcPr>
          <w:p w14:paraId="4A884142" w14:textId="77777777" w:rsidR="00EB7084" w:rsidRPr="00AF50C5" w:rsidRDefault="00EB7084" w:rsidP="007F02C9">
            <w:pPr>
              <w:autoSpaceDE w:val="0"/>
              <w:autoSpaceDN w:val="0"/>
              <w:adjustRightInd w:val="0"/>
              <w:rPr>
                <w:sz w:val="24"/>
                <w:szCs w:val="24"/>
              </w:rPr>
            </w:pPr>
            <w:r w:rsidRPr="00AF50C5">
              <w:rPr>
                <w:sz w:val="24"/>
                <w:szCs w:val="24"/>
              </w:rPr>
              <w:t>1 ml/kg/time i</w:t>
            </w:r>
          </w:p>
          <w:p w14:paraId="683C5A10" w14:textId="77777777" w:rsidR="00EB7084" w:rsidRPr="00AF50C5" w:rsidRDefault="00EB7084" w:rsidP="007F02C9">
            <w:pPr>
              <w:autoSpaceDE w:val="0"/>
              <w:autoSpaceDN w:val="0"/>
              <w:adjustRightInd w:val="0"/>
              <w:rPr>
                <w:sz w:val="24"/>
                <w:szCs w:val="24"/>
              </w:rPr>
            </w:pPr>
            <w:r w:rsidRPr="00AF50C5">
              <w:rPr>
                <w:sz w:val="24"/>
                <w:szCs w:val="24"/>
              </w:rPr>
              <w:t>minimum 16</w:t>
            </w:r>
          </w:p>
          <w:p w14:paraId="6E5816E3" w14:textId="77777777" w:rsidR="00EB7084" w:rsidRPr="00AF50C5" w:rsidRDefault="00EB7084" w:rsidP="007F02C9">
            <w:pPr>
              <w:autoSpaceDE w:val="0"/>
              <w:autoSpaceDN w:val="0"/>
              <w:adjustRightInd w:val="0"/>
              <w:rPr>
                <w:sz w:val="24"/>
                <w:szCs w:val="24"/>
              </w:rPr>
            </w:pPr>
            <w:r w:rsidRPr="00AF50C5">
              <w:rPr>
                <w:sz w:val="24"/>
                <w:szCs w:val="24"/>
              </w:rPr>
              <w:t>timer</w:t>
            </w:r>
          </w:p>
          <w:p w14:paraId="44730511" w14:textId="77777777" w:rsidR="00EB7084" w:rsidRPr="00AF50C5" w:rsidRDefault="00EB7084" w:rsidP="007F02C9">
            <w:pPr>
              <w:autoSpaceDE w:val="0"/>
              <w:autoSpaceDN w:val="0"/>
              <w:adjustRightInd w:val="0"/>
              <w:rPr>
                <w:b/>
                <w:bCs/>
                <w:sz w:val="24"/>
                <w:szCs w:val="24"/>
              </w:rPr>
            </w:pPr>
          </w:p>
        </w:tc>
      </w:tr>
    </w:tbl>
    <w:p w14:paraId="1A7F0083" w14:textId="77777777" w:rsidR="00504734" w:rsidRDefault="00504734" w:rsidP="007F02C9">
      <w:pPr>
        <w:tabs>
          <w:tab w:val="left" w:pos="0"/>
          <w:tab w:val="left" w:pos="851"/>
        </w:tabs>
        <w:ind w:left="851"/>
        <w:rPr>
          <w:i/>
          <w:iCs/>
          <w:spacing w:val="-3"/>
          <w:sz w:val="24"/>
          <w:szCs w:val="24"/>
        </w:rPr>
      </w:pPr>
    </w:p>
    <w:p w14:paraId="15435152" w14:textId="77777777" w:rsidR="00504734" w:rsidRPr="00504734" w:rsidRDefault="00EB7084" w:rsidP="007F02C9">
      <w:pPr>
        <w:tabs>
          <w:tab w:val="left" w:pos="0"/>
          <w:tab w:val="left" w:pos="851"/>
        </w:tabs>
        <w:ind w:left="851"/>
        <w:rPr>
          <w:iCs/>
          <w:spacing w:val="-3"/>
          <w:sz w:val="24"/>
          <w:szCs w:val="24"/>
          <w:u w:val="single"/>
        </w:rPr>
      </w:pPr>
      <w:r w:rsidRPr="00504734">
        <w:rPr>
          <w:iCs/>
          <w:spacing w:val="-3"/>
          <w:sz w:val="24"/>
          <w:szCs w:val="24"/>
          <w:u w:val="single"/>
        </w:rPr>
        <w:t>Nedsat nyrefunktion</w:t>
      </w:r>
    </w:p>
    <w:p w14:paraId="52938550" w14:textId="77777777" w:rsidR="00EB7084" w:rsidRPr="00AF50C5" w:rsidRDefault="00EB7084" w:rsidP="007F02C9">
      <w:pPr>
        <w:tabs>
          <w:tab w:val="left" w:pos="0"/>
          <w:tab w:val="left" w:pos="851"/>
        </w:tabs>
        <w:ind w:left="851"/>
        <w:rPr>
          <w:spacing w:val="-3"/>
          <w:sz w:val="24"/>
          <w:szCs w:val="24"/>
        </w:rPr>
      </w:pPr>
      <w:r w:rsidRPr="00AF50C5">
        <w:rPr>
          <w:spacing w:val="-3"/>
          <w:sz w:val="24"/>
          <w:szCs w:val="24"/>
        </w:rPr>
        <w:t>Dosisreduktion er ikke nødvendig til patienter med mild til moderat nedsat nyrefunktion.</w:t>
      </w:r>
    </w:p>
    <w:p w14:paraId="006E35B1" w14:textId="77777777" w:rsidR="00EB7084" w:rsidRPr="00AF50C5" w:rsidRDefault="00EB7084" w:rsidP="007F02C9">
      <w:pPr>
        <w:tabs>
          <w:tab w:val="left" w:pos="0"/>
          <w:tab w:val="left" w:pos="851"/>
        </w:tabs>
        <w:ind w:left="851"/>
        <w:rPr>
          <w:spacing w:val="-3"/>
          <w:sz w:val="24"/>
          <w:szCs w:val="24"/>
        </w:rPr>
      </w:pPr>
    </w:p>
    <w:p w14:paraId="1F0E82CC" w14:textId="77777777" w:rsidR="00504734" w:rsidRPr="00504734" w:rsidRDefault="00EB7084" w:rsidP="007F02C9">
      <w:pPr>
        <w:tabs>
          <w:tab w:val="left" w:pos="0"/>
          <w:tab w:val="left" w:pos="851"/>
        </w:tabs>
        <w:ind w:left="851"/>
        <w:rPr>
          <w:iCs/>
          <w:spacing w:val="-3"/>
          <w:sz w:val="24"/>
          <w:szCs w:val="24"/>
          <w:u w:val="single"/>
        </w:rPr>
      </w:pPr>
      <w:r w:rsidRPr="00504734">
        <w:rPr>
          <w:iCs/>
          <w:spacing w:val="-3"/>
          <w:sz w:val="24"/>
          <w:szCs w:val="24"/>
          <w:u w:val="single"/>
        </w:rPr>
        <w:t>Nedsat leverfunktion</w:t>
      </w:r>
    </w:p>
    <w:p w14:paraId="0ABC8822" w14:textId="77777777" w:rsidR="00EB7084" w:rsidRPr="00AF50C5" w:rsidRDefault="00EB7084" w:rsidP="007F02C9">
      <w:pPr>
        <w:tabs>
          <w:tab w:val="left" w:pos="0"/>
          <w:tab w:val="left" w:pos="851"/>
        </w:tabs>
        <w:ind w:left="851"/>
        <w:rPr>
          <w:spacing w:val="-3"/>
          <w:sz w:val="24"/>
          <w:szCs w:val="24"/>
        </w:rPr>
      </w:pPr>
      <w:r w:rsidRPr="00AF50C5">
        <w:rPr>
          <w:spacing w:val="-3"/>
          <w:sz w:val="24"/>
          <w:szCs w:val="24"/>
        </w:rPr>
        <w:t>Dosisreduktion er ikke nødvendig til patienter med nedsat leverfunktion.</w:t>
      </w:r>
    </w:p>
    <w:p w14:paraId="7DBF2BEB" w14:textId="77777777" w:rsidR="00EB7084" w:rsidRPr="00AF50C5" w:rsidRDefault="00EB7084" w:rsidP="007F02C9">
      <w:pPr>
        <w:tabs>
          <w:tab w:val="left" w:pos="0"/>
          <w:tab w:val="left" w:pos="851"/>
        </w:tabs>
        <w:ind w:left="850" w:hanging="850"/>
        <w:jc w:val="both"/>
        <w:rPr>
          <w:spacing w:val="-3"/>
          <w:sz w:val="24"/>
          <w:szCs w:val="24"/>
        </w:rPr>
      </w:pPr>
    </w:p>
    <w:p w14:paraId="2A04DB55" w14:textId="77777777" w:rsidR="00EB7084" w:rsidRPr="00AF50C5" w:rsidRDefault="00EB7084" w:rsidP="007F02C9">
      <w:pPr>
        <w:numPr>
          <w:ilvl w:val="1"/>
          <w:numId w:val="4"/>
        </w:numPr>
        <w:rPr>
          <w:b/>
          <w:sz w:val="24"/>
          <w:szCs w:val="24"/>
        </w:rPr>
      </w:pPr>
      <w:r w:rsidRPr="00AF50C5">
        <w:rPr>
          <w:b/>
          <w:sz w:val="24"/>
          <w:szCs w:val="24"/>
        </w:rPr>
        <w:t>Kontraindikationer</w:t>
      </w:r>
    </w:p>
    <w:p w14:paraId="175F1EFA" w14:textId="77777777" w:rsidR="00EB7084" w:rsidRPr="00AF50C5" w:rsidRDefault="00EB7084" w:rsidP="007F02C9">
      <w:pPr>
        <w:numPr>
          <w:ilvl w:val="0"/>
          <w:numId w:val="8"/>
        </w:numPr>
        <w:tabs>
          <w:tab w:val="clear" w:pos="720"/>
        </w:tabs>
        <w:ind w:left="1134" w:hanging="283"/>
        <w:rPr>
          <w:sz w:val="24"/>
          <w:szCs w:val="24"/>
        </w:rPr>
      </w:pPr>
      <w:r w:rsidRPr="00AF50C5">
        <w:rPr>
          <w:sz w:val="24"/>
          <w:szCs w:val="24"/>
        </w:rPr>
        <w:t>Overfølsomhed over for det aktive stof eller over for et eller flere af hjælpestofferne anført i pkt. 6.1.</w:t>
      </w:r>
    </w:p>
    <w:p w14:paraId="37342128" w14:textId="77777777" w:rsidR="00EB7084" w:rsidRPr="00AF50C5" w:rsidRDefault="00EB7084" w:rsidP="007F02C9">
      <w:pPr>
        <w:numPr>
          <w:ilvl w:val="0"/>
          <w:numId w:val="8"/>
        </w:numPr>
        <w:tabs>
          <w:tab w:val="clear" w:pos="720"/>
        </w:tabs>
        <w:ind w:left="1134" w:hanging="283"/>
        <w:rPr>
          <w:sz w:val="24"/>
          <w:szCs w:val="24"/>
        </w:rPr>
      </w:pPr>
      <w:r w:rsidRPr="00AF50C5">
        <w:rPr>
          <w:sz w:val="24"/>
          <w:szCs w:val="24"/>
        </w:rPr>
        <w:t>Svær anafylaksi. Ved svær anafylaksi anvendes methionin.</w:t>
      </w:r>
    </w:p>
    <w:p w14:paraId="65E8C82E" w14:textId="77777777" w:rsidR="00EB7084" w:rsidRPr="00AF50C5" w:rsidRDefault="00EB7084" w:rsidP="007F02C9">
      <w:pPr>
        <w:tabs>
          <w:tab w:val="left" w:pos="0"/>
          <w:tab w:val="left" w:pos="851"/>
        </w:tabs>
        <w:jc w:val="both"/>
        <w:rPr>
          <w:spacing w:val="-3"/>
          <w:sz w:val="24"/>
          <w:szCs w:val="24"/>
        </w:rPr>
      </w:pPr>
    </w:p>
    <w:p w14:paraId="2E5485F2" w14:textId="77777777" w:rsidR="00EB7084" w:rsidRPr="00AF50C5" w:rsidRDefault="00EB7084" w:rsidP="007F02C9">
      <w:pPr>
        <w:numPr>
          <w:ilvl w:val="1"/>
          <w:numId w:val="4"/>
        </w:numPr>
        <w:rPr>
          <w:b/>
          <w:sz w:val="24"/>
          <w:szCs w:val="24"/>
        </w:rPr>
      </w:pPr>
      <w:r w:rsidRPr="00AF50C5">
        <w:rPr>
          <w:b/>
          <w:sz w:val="24"/>
          <w:szCs w:val="24"/>
        </w:rPr>
        <w:t>Særlige advarsler og forsigtighedsregler vedrørende brugen</w:t>
      </w:r>
    </w:p>
    <w:p w14:paraId="7BA36AB4" w14:textId="77777777" w:rsidR="00EB7084" w:rsidRPr="00AF50C5" w:rsidRDefault="00EB7084" w:rsidP="007F02C9">
      <w:pPr>
        <w:pStyle w:val="BodyTextIndent"/>
        <w:ind w:left="851" w:firstLine="0"/>
        <w:jc w:val="left"/>
        <w:rPr>
          <w:szCs w:val="24"/>
        </w:rPr>
      </w:pPr>
      <w:r w:rsidRPr="00AF50C5">
        <w:rPr>
          <w:szCs w:val="24"/>
        </w:rPr>
        <w:t>Forsigtighed ved behandling af patienter med astma eller med bronkospasmer i anamnesen.</w:t>
      </w:r>
    </w:p>
    <w:p w14:paraId="47417AC5" w14:textId="77777777" w:rsidR="00EB7084" w:rsidRPr="00AF50C5" w:rsidRDefault="00EB7084" w:rsidP="007F02C9">
      <w:pPr>
        <w:pStyle w:val="BodyTextIndent"/>
        <w:ind w:left="851" w:firstLine="0"/>
        <w:jc w:val="left"/>
        <w:rPr>
          <w:szCs w:val="24"/>
        </w:rPr>
      </w:pPr>
    </w:p>
    <w:p w14:paraId="360FA950" w14:textId="77777777" w:rsidR="00EB7084" w:rsidRPr="00425F3F" w:rsidRDefault="00EB7084" w:rsidP="007F02C9">
      <w:pPr>
        <w:suppressAutoHyphens/>
        <w:ind w:left="851"/>
        <w:rPr>
          <w:noProof/>
          <w:sz w:val="24"/>
          <w:szCs w:val="24"/>
          <w:u w:val="single"/>
        </w:rPr>
      </w:pPr>
      <w:r w:rsidRPr="00425F3F">
        <w:rPr>
          <w:noProof/>
          <w:sz w:val="24"/>
          <w:szCs w:val="24"/>
          <w:u w:val="single"/>
        </w:rPr>
        <w:t>Pædiatrisk population</w:t>
      </w:r>
    </w:p>
    <w:p w14:paraId="11DF426C" w14:textId="77777777" w:rsidR="00EB7084" w:rsidRPr="00AF50C5" w:rsidRDefault="00EB7084" w:rsidP="007F02C9">
      <w:pPr>
        <w:pStyle w:val="BodyTextIndent"/>
        <w:ind w:left="851" w:firstLine="0"/>
        <w:jc w:val="left"/>
        <w:rPr>
          <w:szCs w:val="24"/>
        </w:rPr>
      </w:pPr>
      <w:r w:rsidRPr="00AF50C5">
        <w:rPr>
          <w:szCs w:val="24"/>
        </w:rPr>
        <w:t>Ved behandling af børn bør volumen af infusionsvæske beregnes ud fra barnets vægt og alder for at undgå et for stort væskeindtag (se punkt 4.2).</w:t>
      </w:r>
    </w:p>
    <w:p w14:paraId="3D03F357" w14:textId="77777777" w:rsidR="00EB7084" w:rsidRPr="00AF50C5" w:rsidRDefault="00EB7084" w:rsidP="007F02C9">
      <w:pPr>
        <w:pStyle w:val="BodyTextIndent"/>
        <w:ind w:left="851" w:firstLine="0"/>
        <w:jc w:val="left"/>
        <w:rPr>
          <w:szCs w:val="24"/>
        </w:rPr>
      </w:pPr>
      <w:r w:rsidRPr="00AF50C5">
        <w:rPr>
          <w:szCs w:val="24"/>
        </w:rPr>
        <w:t>Behandlingen medfører ofte i sig selv et mindre fald i PP.</w:t>
      </w:r>
    </w:p>
    <w:p w14:paraId="5B9B1CBB" w14:textId="77777777" w:rsidR="00EB7084" w:rsidRPr="00AF50C5" w:rsidRDefault="00EB7084" w:rsidP="007F02C9">
      <w:pPr>
        <w:pStyle w:val="BodyTextIndent"/>
        <w:ind w:left="851" w:firstLine="0"/>
        <w:jc w:val="left"/>
        <w:rPr>
          <w:szCs w:val="24"/>
        </w:rPr>
      </w:pPr>
    </w:p>
    <w:p w14:paraId="68AA20C0" w14:textId="77777777" w:rsidR="00EB7084" w:rsidRPr="00AF50C5" w:rsidRDefault="00EB7084" w:rsidP="007F02C9">
      <w:pPr>
        <w:suppressAutoHyphens/>
        <w:ind w:left="851"/>
        <w:rPr>
          <w:noProof/>
          <w:sz w:val="24"/>
          <w:szCs w:val="24"/>
        </w:rPr>
      </w:pPr>
      <w:r w:rsidRPr="00AF50C5">
        <w:rPr>
          <w:noProof/>
          <w:sz w:val="24"/>
          <w:szCs w:val="24"/>
          <w:u w:val="single"/>
        </w:rPr>
        <w:t>Hjælpestoffer</w:t>
      </w:r>
    </w:p>
    <w:p w14:paraId="61B75863" w14:textId="77777777" w:rsidR="00EB7084" w:rsidRPr="00AF50C5" w:rsidRDefault="00EB7084" w:rsidP="007F02C9">
      <w:pPr>
        <w:pStyle w:val="BodyTextIndent"/>
        <w:ind w:left="851" w:firstLine="0"/>
        <w:jc w:val="left"/>
        <w:rPr>
          <w:szCs w:val="24"/>
        </w:rPr>
      </w:pPr>
      <w:r w:rsidRPr="00AF50C5">
        <w:rPr>
          <w:szCs w:val="24"/>
        </w:rPr>
        <w:t>Dette lægemiddel indeholder 48 mg natrium pr ml koncentrat til infusionsvæske. Dette svarer til 2,4</w:t>
      </w:r>
      <w:r w:rsidR="005F5354">
        <w:rPr>
          <w:szCs w:val="24"/>
        </w:rPr>
        <w:t xml:space="preserve"> %</w:t>
      </w:r>
      <w:r w:rsidRPr="00AF50C5">
        <w:rPr>
          <w:szCs w:val="24"/>
        </w:rPr>
        <w:t xml:space="preserve"> af den WHO anbefalede maximale daglige indtagelse af 2 g natrium for en voksen.</w:t>
      </w:r>
    </w:p>
    <w:p w14:paraId="51C6CAB8" w14:textId="77777777" w:rsidR="00EB7084" w:rsidRPr="00AF50C5" w:rsidRDefault="00EB7084" w:rsidP="007F02C9">
      <w:pPr>
        <w:pStyle w:val="BodyTextIndent"/>
        <w:ind w:left="851" w:firstLine="0"/>
        <w:jc w:val="left"/>
        <w:rPr>
          <w:szCs w:val="24"/>
        </w:rPr>
      </w:pPr>
    </w:p>
    <w:p w14:paraId="525BDF3E" w14:textId="77777777" w:rsidR="00EB7084" w:rsidRPr="00AF50C5" w:rsidRDefault="00EB7084" w:rsidP="007F02C9">
      <w:pPr>
        <w:numPr>
          <w:ilvl w:val="1"/>
          <w:numId w:val="4"/>
        </w:numPr>
        <w:rPr>
          <w:b/>
          <w:sz w:val="24"/>
          <w:szCs w:val="24"/>
        </w:rPr>
      </w:pPr>
      <w:r w:rsidRPr="00AF50C5">
        <w:rPr>
          <w:b/>
          <w:sz w:val="24"/>
          <w:szCs w:val="24"/>
        </w:rPr>
        <w:t>Interaktion med andre lægemidler og andre former for interaktion</w:t>
      </w:r>
    </w:p>
    <w:p w14:paraId="299024AB" w14:textId="77777777" w:rsidR="005F5354" w:rsidRDefault="005F5354" w:rsidP="007F02C9">
      <w:pPr>
        <w:pStyle w:val="BodyTextIndent"/>
        <w:ind w:left="1702" w:hanging="851"/>
        <w:jc w:val="left"/>
        <w:rPr>
          <w:i/>
          <w:iCs/>
          <w:szCs w:val="24"/>
        </w:rPr>
      </w:pPr>
    </w:p>
    <w:p w14:paraId="19DB711E" w14:textId="77777777" w:rsidR="00EB7084" w:rsidRPr="005D1FE7" w:rsidRDefault="00EB7084" w:rsidP="007F02C9">
      <w:pPr>
        <w:pStyle w:val="BodyTextIndent"/>
        <w:ind w:left="1702" w:hanging="851"/>
        <w:jc w:val="left"/>
        <w:rPr>
          <w:iCs/>
          <w:szCs w:val="24"/>
          <w:u w:val="single"/>
        </w:rPr>
      </w:pPr>
      <w:r w:rsidRPr="005D1FE7">
        <w:rPr>
          <w:iCs/>
          <w:szCs w:val="24"/>
          <w:u w:val="single"/>
        </w:rPr>
        <w:t>Glycerylnitrat</w:t>
      </w:r>
    </w:p>
    <w:p w14:paraId="128F39D5" w14:textId="77777777" w:rsidR="005D1FE7" w:rsidRDefault="005D1FE7" w:rsidP="007F02C9">
      <w:pPr>
        <w:pStyle w:val="BodyTextIndent"/>
        <w:ind w:left="1702" w:hanging="851"/>
        <w:jc w:val="left"/>
        <w:rPr>
          <w:szCs w:val="24"/>
        </w:rPr>
      </w:pPr>
    </w:p>
    <w:p w14:paraId="1BAA611F" w14:textId="77777777" w:rsidR="00EB7084" w:rsidRPr="005D1FE7" w:rsidRDefault="00EB7084" w:rsidP="007F02C9">
      <w:pPr>
        <w:pStyle w:val="BodyTextIndent"/>
        <w:ind w:left="1702" w:hanging="851"/>
        <w:jc w:val="left"/>
        <w:rPr>
          <w:i/>
          <w:szCs w:val="24"/>
        </w:rPr>
      </w:pPr>
      <w:r w:rsidRPr="005D1FE7">
        <w:rPr>
          <w:i/>
          <w:szCs w:val="24"/>
        </w:rPr>
        <w:t>Mulig mekanisme</w:t>
      </w:r>
    </w:p>
    <w:p w14:paraId="725C9356" w14:textId="77777777" w:rsidR="00EB7084" w:rsidRPr="00AF50C5" w:rsidRDefault="00EB7084" w:rsidP="007F02C9">
      <w:pPr>
        <w:pStyle w:val="BodyTextIndent"/>
        <w:ind w:left="851" w:firstLine="0"/>
        <w:jc w:val="left"/>
        <w:rPr>
          <w:szCs w:val="24"/>
        </w:rPr>
      </w:pPr>
      <w:r w:rsidRPr="00AF50C5">
        <w:rPr>
          <w:szCs w:val="24"/>
        </w:rPr>
        <w:t>Nitraters vasodilaterende effekt beror på en øgning af cyklisk guanosinmonophosphat gennem en interaktion med sulfhydryl-grupper. Acetylcystein er en doner af sulfhydryl-grupper og kan derfor øge effekten af glycerylnitrat.</w:t>
      </w:r>
    </w:p>
    <w:p w14:paraId="648D4978" w14:textId="77777777" w:rsidR="00EB7084" w:rsidRPr="00AF50C5" w:rsidRDefault="00EB7084" w:rsidP="007F02C9">
      <w:pPr>
        <w:pStyle w:val="BodyTextIndent"/>
        <w:ind w:left="1702" w:hanging="851"/>
        <w:jc w:val="left"/>
        <w:rPr>
          <w:szCs w:val="24"/>
        </w:rPr>
      </w:pPr>
    </w:p>
    <w:p w14:paraId="1B486AEB" w14:textId="77777777" w:rsidR="00EB7084" w:rsidRPr="005D1FE7" w:rsidRDefault="00EB7084" w:rsidP="007F02C9">
      <w:pPr>
        <w:pStyle w:val="BodyTextIndent"/>
        <w:ind w:left="1702" w:hanging="851"/>
        <w:jc w:val="left"/>
        <w:rPr>
          <w:i/>
          <w:szCs w:val="24"/>
        </w:rPr>
      </w:pPr>
      <w:r w:rsidRPr="005D1FE7">
        <w:rPr>
          <w:i/>
          <w:szCs w:val="24"/>
        </w:rPr>
        <w:t>Effekt</w:t>
      </w:r>
    </w:p>
    <w:p w14:paraId="443A898B" w14:textId="77777777" w:rsidR="00EB7084" w:rsidRPr="00AF50C5" w:rsidRDefault="00EB7084" w:rsidP="007F02C9">
      <w:pPr>
        <w:pStyle w:val="BodyTextIndent"/>
        <w:ind w:left="851" w:firstLine="0"/>
        <w:jc w:val="left"/>
        <w:rPr>
          <w:szCs w:val="24"/>
        </w:rPr>
      </w:pPr>
      <w:r w:rsidRPr="00AF50C5">
        <w:rPr>
          <w:szCs w:val="24"/>
        </w:rPr>
        <w:t xml:space="preserve">Signifikant hypotension og øget temporal arteriedilation, men reduceret forekomst af akut myokardieinfarkt (AMI) hos patienter med ustabil angina pectoris. </w:t>
      </w:r>
    </w:p>
    <w:p w14:paraId="14BB80FA" w14:textId="77777777" w:rsidR="00EB7084" w:rsidRPr="00AF50C5" w:rsidRDefault="00EB7084" w:rsidP="007F02C9">
      <w:pPr>
        <w:pStyle w:val="BodyTextIndent"/>
        <w:ind w:left="1702" w:hanging="851"/>
        <w:jc w:val="left"/>
        <w:rPr>
          <w:szCs w:val="24"/>
        </w:rPr>
      </w:pPr>
      <w:r w:rsidRPr="00AF50C5">
        <w:rPr>
          <w:szCs w:val="24"/>
        </w:rPr>
        <w:t>Patienten bør oplyses om øget risiko for hovedpine.</w:t>
      </w:r>
    </w:p>
    <w:p w14:paraId="784FA460" w14:textId="77777777" w:rsidR="00EB7084" w:rsidRPr="00AF50C5" w:rsidRDefault="00EB7084" w:rsidP="007F02C9">
      <w:pPr>
        <w:tabs>
          <w:tab w:val="left" w:pos="0"/>
          <w:tab w:val="left" w:pos="851"/>
        </w:tabs>
        <w:ind w:left="850" w:hanging="850"/>
        <w:jc w:val="both"/>
        <w:rPr>
          <w:spacing w:val="-3"/>
          <w:sz w:val="24"/>
          <w:szCs w:val="24"/>
        </w:rPr>
      </w:pPr>
      <w:r w:rsidRPr="00AF50C5">
        <w:rPr>
          <w:spacing w:val="-3"/>
          <w:sz w:val="24"/>
          <w:szCs w:val="24"/>
        </w:rPr>
        <w:t xml:space="preserve"> </w:t>
      </w:r>
      <w:r w:rsidRPr="00AF50C5">
        <w:rPr>
          <w:spacing w:val="-3"/>
          <w:sz w:val="24"/>
          <w:szCs w:val="24"/>
        </w:rPr>
        <w:tab/>
      </w:r>
    </w:p>
    <w:p w14:paraId="2261E180" w14:textId="77777777" w:rsidR="00EB7084" w:rsidRPr="00AF50C5" w:rsidRDefault="00EB7084" w:rsidP="007F02C9">
      <w:pPr>
        <w:numPr>
          <w:ilvl w:val="1"/>
          <w:numId w:val="4"/>
        </w:numPr>
        <w:rPr>
          <w:b/>
          <w:sz w:val="24"/>
          <w:szCs w:val="24"/>
        </w:rPr>
      </w:pPr>
      <w:r w:rsidRPr="00AF50C5">
        <w:rPr>
          <w:b/>
          <w:sz w:val="24"/>
          <w:szCs w:val="24"/>
        </w:rPr>
        <w:t>Graviditet og amning</w:t>
      </w:r>
    </w:p>
    <w:p w14:paraId="2014B143" w14:textId="77777777" w:rsidR="0035533D" w:rsidRDefault="0035533D" w:rsidP="007F02C9">
      <w:pPr>
        <w:tabs>
          <w:tab w:val="left" w:pos="0"/>
        </w:tabs>
        <w:ind w:left="851"/>
        <w:rPr>
          <w:b/>
          <w:spacing w:val="-3"/>
          <w:sz w:val="24"/>
          <w:szCs w:val="24"/>
        </w:rPr>
      </w:pPr>
    </w:p>
    <w:p w14:paraId="54E10EF0" w14:textId="77777777" w:rsidR="00EB7084" w:rsidRPr="0035533D" w:rsidRDefault="00EB7084" w:rsidP="007F02C9">
      <w:pPr>
        <w:tabs>
          <w:tab w:val="left" w:pos="0"/>
        </w:tabs>
        <w:ind w:left="851"/>
        <w:rPr>
          <w:spacing w:val="-3"/>
          <w:sz w:val="24"/>
          <w:szCs w:val="24"/>
          <w:u w:val="single"/>
        </w:rPr>
      </w:pPr>
      <w:r w:rsidRPr="0035533D">
        <w:rPr>
          <w:spacing w:val="-3"/>
          <w:sz w:val="24"/>
          <w:szCs w:val="24"/>
          <w:u w:val="single"/>
        </w:rPr>
        <w:t>Graviditet</w:t>
      </w:r>
    </w:p>
    <w:p w14:paraId="5906DE7C" w14:textId="77777777" w:rsidR="00EB7084" w:rsidRPr="00AF50C5" w:rsidRDefault="00EB7084" w:rsidP="007F02C9">
      <w:pPr>
        <w:tabs>
          <w:tab w:val="left" w:pos="0"/>
        </w:tabs>
        <w:ind w:left="851"/>
        <w:rPr>
          <w:spacing w:val="-3"/>
          <w:sz w:val="24"/>
          <w:szCs w:val="24"/>
        </w:rPr>
      </w:pPr>
      <w:r w:rsidRPr="00AF50C5">
        <w:rPr>
          <w:spacing w:val="-3"/>
          <w:sz w:val="24"/>
          <w:szCs w:val="24"/>
        </w:rPr>
        <w:t xml:space="preserve">Data for anvendelse af </w:t>
      </w:r>
      <w:r w:rsidR="00AF50C5">
        <w:rPr>
          <w:spacing w:val="-3"/>
          <w:sz w:val="24"/>
          <w:szCs w:val="24"/>
        </w:rPr>
        <w:t>Acetylcystein "SAD"</w:t>
      </w:r>
      <w:r w:rsidRPr="00AF50C5">
        <w:rPr>
          <w:spacing w:val="-3"/>
          <w:sz w:val="24"/>
          <w:szCs w:val="24"/>
        </w:rPr>
        <w:t xml:space="preserve"> hos gravide med paracetamolforgiftning indikerer ingen skadelig virkning på graviditeten eller fostret/det nyfødte barns sundhedstilstand. Der foreligger på nuværende tidspunkt ikke andre relevante epidemiologiske data. Dyreforsøg viser ikke direkte eller indirekte skadelige virkninger på graviditeten, den embryonale/føtale udvikling, fødslen eller den postnatale udvikling. </w:t>
      </w:r>
    </w:p>
    <w:p w14:paraId="779217F4" w14:textId="77777777" w:rsidR="00EB7084" w:rsidRPr="00AF50C5" w:rsidRDefault="00EB7084" w:rsidP="007F02C9">
      <w:pPr>
        <w:tabs>
          <w:tab w:val="left" w:pos="0"/>
        </w:tabs>
        <w:ind w:left="851"/>
        <w:rPr>
          <w:spacing w:val="-3"/>
          <w:sz w:val="24"/>
          <w:szCs w:val="24"/>
        </w:rPr>
      </w:pPr>
    </w:p>
    <w:p w14:paraId="3AADF4D6" w14:textId="77777777" w:rsidR="00EB7084" w:rsidRPr="00AF50C5" w:rsidRDefault="00EB7084" w:rsidP="007F02C9">
      <w:pPr>
        <w:tabs>
          <w:tab w:val="left" w:pos="0"/>
        </w:tabs>
        <w:ind w:left="851"/>
        <w:rPr>
          <w:spacing w:val="-3"/>
          <w:sz w:val="24"/>
          <w:szCs w:val="24"/>
        </w:rPr>
      </w:pPr>
      <w:r w:rsidRPr="00AF50C5">
        <w:rPr>
          <w:spacing w:val="-3"/>
          <w:sz w:val="24"/>
          <w:szCs w:val="24"/>
        </w:rPr>
        <w:t xml:space="preserve">Klinisk erfaring indikerer at </w:t>
      </w:r>
      <w:r w:rsidR="00AF50C5">
        <w:rPr>
          <w:spacing w:val="-3"/>
          <w:sz w:val="24"/>
          <w:szCs w:val="24"/>
        </w:rPr>
        <w:t>Acetylcystein "SAD"</w:t>
      </w:r>
      <w:r w:rsidRPr="00AF50C5">
        <w:rPr>
          <w:spacing w:val="-3"/>
          <w:sz w:val="24"/>
          <w:szCs w:val="24"/>
        </w:rPr>
        <w:t xml:space="preserve"> kan anvendes til gravide med paracetamolforgiftning. Acetylcystein passerer placenta. Acetylcysteinbehandling synes at have en beskyttende effekt for både moderen og fosteret.</w:t>
      </w:r>
    </w:p>
    <w:p w14:paraId="3E967FB2" w14:textId="77777777" w:rsidR="00EB7084" w:rsidRPr="00AF50C5" w:rsidRDefault="00EB7084" w:rsidP="007F02C9">
      <w:pPr>
        <w:tabs>
          <w:tab w:val="left" w:pos="0"/>
          <w:tab w:val="left" w:pos="851"/>
        </w:tabs>
        <w:ind w:left="851"/>
        <w:rPr>
          <w:i/>
          <w:spacing w:val="-3"/>
          <w:sz w:val="24"/>
          <w:szCs w:val="24"/>
        </w:rPr>
      </w:pPr>
    </w:p>
    <w:p w14:paraId="2EADB438" w14:textId="77777777" w:rsidR="00EB7084" w:rsidRPr="0035533D" w:rsidRDefault="00EB7084" w:rsidP="007F02C9">
      <w:pPr>
        <w:keepNext/>
        <w:tabs>
          <w:tab w:val="left" w:pos="0"/>
        </w:tabs>
        <w:ind w:left="851"/>
        <w:rPr>
          <w:spacing w:val="-3"/>
          <w:sz w:val="24"/>
          <w:szCs w:val="24"/>
          <w:u w:val="single"/>
        </w:rPr>
      </w:pPr>
      <w:r w:rsidRPr="0035533D">
        <w:rPr>
          <w:spacing w:val="-3"/>
          <w:sz w:val="24"/>
          <w:szCs w:val="24"/>
          <w:u w:val="single"/>
        </w:rPr>
        <w:t xml:space="preserve">Amning </w:t>
      </w:r>
    </w:p>
    <w:p w14:paraId="58E7990A" w14:textId="77777777" w:rsidR="00EB7084" w:rsidRPr="00AF50C5" w:rsidRDefault="00EB7084" w:rsidP="007F02C9">
      <w:pPr>
        <w:tabs>
          <w:tab w:val="left" w:pos="0"/>
        </w:tabs>
        <w:ind w:left="851"/>
        <w:rPr>
          <w:spacing w:val="-3"/>
          <w:sz w:val="24"/>
          <w:szCs w:val="24"/>
        </w:rPr>
      </w:pPr>
      <w:r w:rsidRPr="00AF50C5">
        <w:rPr>
          <w:spacing w:val="-3"/>
          <w:sz w:val="24"/>
          <w:szCs w:val="24"/>
        </w:rPr>
        <w:t>Der er begrænset information om acetylcysteins udskillelse i modermælk hos mennesker og dyr. Det kan ikke udelukkes, at amning medfører en risiko for barnet. En vurdering af, om behandlingen skal seponeres, eller amningen skal ophøre, bør afveje fordelene for moderen med fordelene ved amning for barnet.</w:t>
      </w:r>
    </w:p>
    <w:p w14:paraId="47E70686" w14:textId="77777777" w:rsidR="00EB7084" w:rsidRPr="00AF50C5" w:rsidRDefault="00EB7084" w:rsidP="007F02C9">
      <w:pPr>
        <w:tabs>
          <w:tab w:val="left" w:pos="0"/>
        </w:tabs>
        <w:ind w:left="851"/>
        <w:rPr>
          <w:spacing w:val="-3"/>
          <w:sz w:val="24"/>
          <w:szCs w:val="24"/>
        </w:rPr>
      </w:pPr>
    </w:p>
    <w:p w14:paraId="04F2201F" w14:textId="77777777" w:rsidR="00EB7084" w:rsidRPr="00AF50C5" w:rsidRDefault="00EB7084" w:rsidP="007F02C9">
      <w:pPr>
        <w:numPr>
          <w:ilvl w:val="1"/>
          <w:numId w:val="4"/>
        </w:numPr>
        <w:rPr>
          <w:b/>
          <w:sz w:val="24"/>
          <w:szCs w:val="24"/>
        </w:rPr>
      </w:pPr>
      <w:r w:rsidRPr="00AF50C5">
        <w:rPr>
          <w:b/>
          <w:sz w:val="24"/>
          <w:szCs w:val="24"/>
        </w:rPr>
        <w:t>Virkninger på evnen til at føre motorkøretøj eller betjene maskiner</w:t>
      </w:r>
    </w:p>
    <w:p w14:paraId="57C6E5C8" w14:textId="77777777" w:rsidR="00EB7084" w:rsidRPr="00AF50C5" w:rsidRDefault="00EB7084" w:rsidP="007F02C9">
      <w:pPr>
        <w:pStyle w:val="BodyTextIndent"/>
        <w:ind w:left="851" w:firstLine="0"/>
        <w:jc w:val="left"/>
        <w:rPr>
          <w:szCs w:val="24"/>
        </w:rPr>
      </w:pPr>
      <w:r w:rsidRPr="00AF50C5">
        <w:rPr>
          <w:szCs w:val="24"/>
        </w:rPr>
        <w:t>Ikke mærkning.</w:t>
      </w:r>
    </w:p>
    <w:p w14:paraId="0469FD0E" w14:textId="77777777" w:rsidR="00EB7084" w:rsidRPr="00AF50C5" w:rsidRDefault="00AF50C5" w:rsidP="007F02C9">
      <w:pPr>
        <w:pStyle w:val="BodyTextIndent"/>
        <w:ind w:left="851" w:firstLine="0"/>
        <w:jc w:val="left"/>
        <w:rPr>
          <w:szCs w:val="24"/>
        </w:rPr>
      </w:pPr>
      <w:r>
        <w:rPr>
          <w:szCs w:val="24"/>
        </w:rPr>
        <w:t>Acetylcystein "SAD"</w:t>
      </w:r>
      <w:r w:rsidR="00EB7084" w:rsidRPr="00AF50C5">
        <w:rPr>
          <w:szCs w:val="24"/>
        </w:rPr>
        <w:t xml:space="preserve"> påvirker ikke eller kun i ubetydelig grad evnen til at føre motorkøretøj eller betjene maskiner.</w:t>
      </w:r>
    </w:p>
    <w:p w14:paraId="711DBBEE" w14:textId="77777777" w:rsidR="00EB7084" w:rsidRPr="00AF50C5" w:rsidRDefault="00EB7084" w:rsidP="007F02C9">
      <w:pPr>
        <w:pStyle w:val="BodyTextIndent"/>
        <w:ind w:left="851" w:firstLine="0"/>
        <w:jc w:val="left"/>
        <w:rPr>
          <w:szCs w:val="24"/>
        </w:rPr>
      </w:pPr>
    </w:p>
    <w:p w14:paraId="1CBF7BFE" w14:textId="77777777" w:rsidR="00EB7084" w:rsidRPr="00AF50C5" w:rsidRDefault="00EB7084" w:rsidP="007F02C9">
      <w:pPr>
        <w:numPr>
          <w:ilvl w:val="1"/>
          <w:numId w:val="4"/>
        </w:numPr>
        <w:rPr>
          <w:b/>
          <w:sz w:val="24"/>
          <w:szCs w:val="24"/>
        </w:rPr>
      </w:pPr>
      <w:r w:rsidRPr="00AF50C5">
        <w:rPr>
          <w:b/>
          <w:sz w:val="24"/>
          <w:szCs w:val="24"/>
        </w:rPr>
        <w:t>Bivirkninger</w:t>
      </w:r>
    </w:p>
    <w:p w14:paraId="790493B7" w14:textId="77777777" w:rsidR="00EB7084" w:rsidRPr="00AF50C5" w:rsidRDefault="00EB7084" w:rsidP="007F02C9">
      <w:pPr>
        <w:ind w:left="851"/>
        <w:rPr>
          <w:spacing w:val="-3"/>
          <w:sz w:val="24"/>
          <w:szCs w:val="24"/>
        </w:rPr>
      </w:pPr>
    </w:p>
    <w:tbl>
      <w:tblPr>
        <w:tblW w:w="880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6"/>
        <w:gridCol w:w="4972"/>
      </w:tblGrid>
      <w:tr w:rsidR="00EB7084" w:rsidRPr="00AF50C5" w14:paraId="512D0F91" w14:textId="77777777" w:rsidTr="00A309ED">
        <w:trPr>
          <w:trHeight w:val="519"/>
        </w:trPr>
        <w:tc>
          <w:tcPr>
            <w:tcW w:w="3836" w:type="dxa"/>
          </w:tcPr>
          <w:p w14:paraId="3FA3C885" w14:textId="77777777" w:rsidR="00EB7084" w:rsidRPr="00AF50C5" w:rsidRDefault="00EB7084" w:rsidP="007F02C9">
            <w:pPr>
              <w:rPr>
                <w:b/>
                <w:sz w:val="24"/>
                <w:szCs w:val="24"/>
              </w:rPr>
            </w:pPr>
            <w:r w:rsidRPr="00AF50C5">
              <w:rPr>
                <w:b/>
                <w:sz w:val="24"/>
                <w:szCs w:val="24"/>
              </w:rPr>
              <w:t xml:space="preserve">Undersøgelser  </w:t>
            </w:r>
          </w:p>
          <w:p w14:paraId="095065AB" w14:textId="77777777" w:rsidR="00EB7084" w:rsidRPr="00AF50C5" w:rsidRDefault="00EB7084" w:rsidP="007F02C9">
            <w:pPr>
              <w:rPr>
                <w:strike/>
                <w:sz w:val="24"/>
                <w:szCs w:val="24"/>
              </w:rPr>
            </w:pPr>
            <w:r w:rsidRPr="00AF50C5">
              <w:rPr>
                <w:sz w:val="24"/>
                <w:szCs w:val="24"/>
              </w:rPr>
              <w:t>Sj</w:t>
            </w:r>
            <w:r w:rsidRPr="00AF50C5">
              <w:rPr>
                <w:sz w:val="24"/>
                <w:szCs w:val="24"/>
                <w:lang w:val="el-GR"/>
              </w:rPr>
              <w:t>æ</w:t>
            </w:r>
            <w:r w:rsidRPr="00AF50C5">
              <w:rPr>
                <w:sz w:val="24"/>
                <w:szCs w:val="24"/>
              </w:rPr>
              <w:t>lden</w:t>
            </w:r>
            <w:r w:rsidRPr="00AF50C5">
              <w:rPr>
                <w:sz w:val="24"/>
                <w:szCs w:val="24"/>
                <w:lang w:val="el-GR"/>
              </w:rPr>
              <w:t xml:space="preserve"> (</w:t>
            </w:r>
            <w:r w:rsidR="00283CF4" w:rsidRPr="00BF5D71">
              <w:rPr>
                <w:rFonts w:ascii="Symbol" w:hAnsi="Symbol"/>
                <w:szCs w:val="24"/>
              </w:rPr>
              <w:t></w:t>
            </w:r>
            <w:r w:rsidRPr="00AF50C5">
              <w:rPr>
                <w:sz w:val="24"/>
                <w:szCs w:val="24"/>
                <w:lang w:val="el-GR"/>
              </w:rPr>
              <w:t>1/10</w:t>
            </w:r>
            <w:r w:rsidRPr="00AF50C5">
              <w:rPr>
                <w:sz w:val="24"/>
                <w:szCs w:val="24"/>
              </w:rPr>
              <w:t>.</w:t>
            </w:r>
            <w:r w:rsidRPr="00AF50C5">
              <w:rPr>
                <w:sz w:val="24"/>
                <w:szCs w:val="24"/>
                <w:lang w:val="el-GR"/>
              </w:rPr>
              <w:t>000</w:t>
            </w:r>
            <w:r w:rsidRPr="00AF50C5">
              <w:rPr>
                <w:sz w:val="24"/>
                <w:szCs w:val="24"/>
              </w:rPr>
              <w:t xml:space="preserve"> til</w:t>
            </w:r>
            <w:r w:rsidRPr="00AF50C5">
              <w:rPr>
                <w:sz w:val="24"/>
                <w:szCs w:val="24"/>
                <w:lang w:val="el-GR"/>
              </w:rPr>
              <w:t xml:space="preserve"> </w:t>
            </w:r>
            <w:r w:rsidRPr="00AF50C5">
              <w:rPr>
                <w:sz w:val="24"/>
                <w:szCs w:val="24"/>
              </w:rPr>
              <w:t>&lt;</w:t>
            </w:r>
            <w:r w:rsidRPr="00AF50C5">
              <w:rPr>
                <w:sz w:val="24"/>
                <w:szCs w:val="24"/>
                <w:lang w:val="el-GR"/>
              </w:rPr>
              <w:t>1/1</w:t>
            </w:r>
            <w:r w:rsidRPr="00AF50C5">
              <w:rPr>
                <w:sz w:val="24"/>
                <w:szCs w:val="24"/>
              </w:rPr>
              <w:t>.</w:t>
            </w:r>
            <w:r w:rsidRPr="00AF50C5">
              <w:rPr>
                <w:sz w:val="24"/>
                <w:szCs w:val="24"/>
                <w:lang w:val="el-GR"/>
              </w:rPr>
              <w:t>000)</w:t>
            </w:r>
          </w:p>
          <w:p w14:paraId="6C59124E" w14:textId="77777777" w:rsidR="00EB7084" w:rsidRPr="00AF50C5" w:rsidRDefault="00EB7084" w:rsidP="007F02C9">
            <w:pPr>
              <w:rPr>
                <w:b/>
                <w:sz w:val="24"/>
                <w:szCs w:val="24"/>
              </w:rPr>
            </w:pPr>
          </w:p>
        </w:tc>
        <w:tc>
          <w:tcPr>
            <w:tcW w:w="4972" w:type="dxa"/>
          </w:tcPr>
          <w:p w14:paraId="30203B97" w14:textId="77777777" w:rsidR="00EB7084" w:rsidRPr="00AF50C5" w:rsidRDefault="00EB7084" w:rsidP="007F02C9">
            <w:pPr>
              <w:rPr>
                <w:sz w:val="24"/>
                <w:szCs w:val="24"/>
              </w:rPr>
            </w:pPr>
          </w:p>
          <w:p w14:paraId="5F9AD011" w14:textId="77777777" w:rsidR="00EB7084" w:rsidRPr="00AF50C5" w:rsidRDefault="00EB7084" w:rsidP="007F02C9">
            <w:pPr>
              <w:rPr>
                <w:sz w:val="24"/>
                <w:szCs w:val="24"/>
              </w:rPr>
            </w:pPr>
            <w:r w:rsidRPr="00AF50C5">
              <w:rPr>
                <w:sz w:val="24"/>
                <w:szCs w:val="24"/>
              </w:rPr>
              <w:t>Nedsat serum-carbamid.</w:t>
            </w:r>
          </w:p>
        </w:tc>
      </w:tr>
      <w:tr w:rsidR="00EB7084" w:rsidRPr="00AF50C5" w14:paraId="13D24362" w14:textId="77777777" w:rsidTr="00A309ED">
        <w:trPr>
          <w:trHeight w:val="533"/>
        </w:trPr>
        <w:tc>
          <w:tcPr>
            <w:tcW w:w="3836" w:type="dxa"/>
            <w:tcBorders>
              <w:bottom w:val="single" w:sz="4" w:space="0" w:color="auto"/>
            </w:tcBorders>
          </w:tcPr>
          <w:p w14:paraId="48BAFD06" w14:textId="77777777" w:rsidR="00EB7084" w:rsidRPr="00AF50C5" w:rsidRDefault="00EB7084" w:rsidP="007F02C9">
            <w:pPr>
              <w:rPr>
                <w:b/>
                <w:sz w:val="24"/>
                <w:szCs w:val="24"/>
              </w:rPr>
            </w:pPr>
            <w:r w:rsidRPr="00AF50C5">
              <w:rPr>
                <w:b/>
                <w:sz w:val="24"/>
                <w:szCs w:val="24"/>
              </w:rPr>
              <w:t>Hjerte</w:t>
            </w:r>
          </w:p>
          <w:p w14:paraId="4889B6BB" w14:textId="77777777" w:rsidR="00EB7084" w:rsidRPr="00AF50C5" w:rsidRDefault="00EB7084" w:rsidP="007F02C9">
            <w:pPr>
              <w:rPr>
                <w:strike/>
                <w:sz w:val="24"/>
                <w:szCs w:val="24"/>
              </w:rPr>
            </w:pPr>
            <w:r w:rsidRPr="00AF50C5">
              <w:rPr>
                <w:sz w:val="24"/>
                <w:szCs w:val="24"/>
              </w:rPr>
              <w:t>Sj</w:t>
            </w:r>
            <w:r w:rsidRPr="00AF50C5">
              <w:rPr>
                <w:sz w:val="24"/>
                <w:szCs w:val="24"/>
                <w:lang w:val="el-GR"/>
              </w:rPr>
              <w:t>æ</w:t>
            </w:r>
            <w:r w:rsidRPr="00AF50C5">
              <w:rPr>
                <w:sz w:val="24"/>
                <w:szCs w:val="24"/>
              </w:rPr>
              <w:t>lden</w:t>
            </w:r>
            <w:r w:rsidRPr="00AF50C5">
              <w:rPr>
                <w:sz w:val="24"/>
                <w:szCs w:val="24"/>
                <w:lang w:val="el-GR"/>
              </w:rPr>
              <w:t xml:space="preserve"> (</w:t>
            </w:r>
            <w:r w:rsidR="00C924FF" w:rsidRPr="00BF5D71">
              <w:rPr>
                <w:rFonts w:ascii="Symbol" w:hAnsi="Symbol"/>
                <w:szCs w:val="24"/>
              </w:rPr>
              <w:t></w:t>
            </w:r>
            <w:r w:rsidRPr="00AF50C5">
              <w:rPr>
                <w:sz w:val="24"/>
                <w:szCs w:val="24"/>
                <w:lang w:val="el-GR"/>
              </w:rPr>
              <w:t>1/10</w:t>
            </w:r>
            <w:r w:rsidRPr="00AF50C5">
              <w:rPr>
                <w:sz w:val="24"/>
                <w:szCs w:val="24"/>
              </w:rPr>
              <w:t>.</w:t>
            </w:r>
            <w:r w:rsidRPr="00AF50C5">
              <w:rPr>
                <w:sz w:val="24"/>
                <w:szCs w:val="24"/>
                <w:lang w:val="el-GR"/>
              </w:rPr>
              <w:t>000</w:t>
            </w:r>
            <w:r w:rsidRPr="00AF50C5">
              <w:rPr>
                <w:sz w:val="24"/>
                <w:szCs w:val="24"/>
              </w:rPr>
              <w:t xml:space="preserve"> til</w:t>
            </w:r>
            <w:r w:rsidRPr="00AF50C5">
              <w:rPr>
                <w:sz w:val="24"/>
                <w:szCs w:val="24"/>
                <w:lang w:val="el-GR"/>
              </w:rPr>
              <w:t xml:space="preserve"> </w:t>
            </w:r>
            <w:r w:rsidRPr="00AF50C5">
              <w:rPr>
                <w:sz w:val="24"/>
                <w:szCs w:val="24"/>
              </w:rPr>
              <w:t>&lt;</w:t>
            </w:r>
            <w:r w:rsidRPr="00AF50C5">
              <w:rPr>
                <w:sz w:val="24"/>
                <w:szCs w:val="24"/>
                <w:lang w:val="el-GR"/>
              </w:rPr>
              <w:t>1/1</w:t>
            </w:r>
            <w:r w:rsidRPr="00AF50C5">
              <w:rPr>
                <w:sz w:val="24"/>
                <w:szCs w:val="24"/>
              </w:rPr>
              <w:t>.</w:t>
            </w:r>
            <w:r w:rsidRPr="00AF50C5">
              <w:rPr>
                <w:sz w:val="24"/>
                <w:szCs w:val="24"/>
                <w:lang w:val="el-GR"/>
              </w:rPr>
              <w:t>000)</w:t>
            </w:r>
          </w:p>
          <w:p w14:paraId="6633FED2" w14:textId="77777777" w:rsidR="00EB7084" w:rsidRPr="00AF50C5" w:rsidRDefault="00EB7084" w:rsidP="007F02C9">
            <w:pPr>
              <w:rPr>
                <w:b/>
                <w:sz w:val="24"/>
                <w:szCs w:val="24"/>
              </w:rPr>
            </w:pPr>
          </w:p>
        </w:tc>
        <w:tc>
          <w:tcPr>
            <w:tcW w:w="4972" w:type="dxa"/>
            <w:tcBorders>
              <w:bottom w:val="single" w:sz="4" w:space="0" w:color="auto"/>
            </w:tcBorders>
          </w:tcPr>
          <w:p w14:paraId="73C3A4CA" w14:textId="77777777" w:rsidR="00EB7084" w:rsidRPr="00AF50C5" w:rsidRDefault="00EB7084" w:rsidP="007F02C9">
            <w:pPr>
              <w:rPr>
                <w:sz w:val="24"/>
                <w:szCs w:val="24"/>
              </w:rPr>
            </w:pPr>
          </w:p>
          <w:p w14:paraId="3395C5CE" w14:textId="77777777" w:rsidR="00EB7084" w:rsidRPr="00AF50C5" w:rsidRDefault="00EB7084" w:rsidP="007F02C9">
            <w:pPr>
              <w:rPr>
                <w:sz w:val="24"/>
                <w:szCs w:val="24"/>
              </w:rPr>
            </w:pPr>
            <w:r w:rsidRPr="00AF50C5">
              <w:rPr>
                <w:sz w:val="24"/>
                <w:szCs w:val="24"/>
              </w:rPr>
              <w:t>Takykardi, hjertestop, cyanose.</w:t>
            </w:r>
          </w:p>
        </w:tc>
      </w:tr>
      <w:tr w:rsidR="00EB7084" w:rsidRPr="00AF50C5" w14:paraId="1B35B388" w14:textId="77777777" w:rsidTr="00A309ED">
        <w:trPr>
          <w:trHeight w:val="533"/>
        </w:trPr>
        <w:tc>
          <w:tcPr>
            <w:tcW w:w="3836" w:type="dxa"/>
          </w:tcPr>
          <w:p w14:paraId="046FCE63" w14:textId="77777777" w:rsidR="00EB7084" w:rsidRPr="00AF50C5" w:rsidRDefault="00EB7084" w:rsidP="007F02C9">
            <w:pPr>
              <w:rPr>
                <w:b/>
                <w:sz w:val="24"/>
                <w:szCs w:val="24"/>
              </w:rPr>
            </w:pPr>
            <w:r w:rsidRPr="00AF50C5">
              <w:rPr>
                <w:b/>
                <w:sz w:val="24"/>
                <w:szCs w:val="24"/>
              </w:rPr>
              <w:t xml:space="preserve">Blod og lymfesystem  </w:t>
            </w:r>
          </w:p>
          <w:p w14:paraId="504D5FE4" w14:textId="77777777" w:rsidR="00EB7084" w:rsidRPr="00AF50C5" w:rsidRDefault="00EB7084" w:rsidP="007F02C9">
            <w:pPr>
              <w:ind w:right="-108"/>
              <w:rPr>
                <w:sz w:val="24"/>
                <w:szCs w:val="24"/>
              </w:rPr>
            </w:pPr>
            <w:r w:rsidRPr="00AF50C5">
              <w:rPr>
                <w:sz w:val="24"/>
                <w:szCs w:val="24"/>
              </w:rPr>
              <w:t>Meget almindelig (</w:t>
            </w:r>
            <w:r w:rsidR="00C924FF" w:rsidRPr="00BF5D71">
              <w:rPr>
                <w:rFonts w:ascii="Symbol" w:hAnsi="Symbol"/>
                <w:szCs w:val="24"/>
              </w:rPr>
              <w:t></w:t>
            </w:r>
            <w:r w:rsidRPr="00AF50C5">
              <w:rPr>
                <w:sz w:val="24"/>
                <w:szCs w:val="24"/>
              </w:rPr>
              <w:t>1/10)</w:t>
            </w:r>
          </w:p>
          <w:p w14:paraId="436482F2" w14:textId="77777777" w:rsidR="00EB7084" w:rsidRPr="00AF50C5" w:rsidRDefault="00EB7084" w:rsidP="007F02C9">
            <w:pPr>
              <w:ind w:right="-108"/>
              <w:rPr>
                <w:b/>
                <w:bCs/>
                <w:sz w:val="24"/>
                <w:szCs w:val="24"/>
              </w:rPr>
            </w:pPr>
          </w:p>
          <w:p w14:paraId="020064F2" w14:textId="77777777" w:rsidR="00EB7084" w:rsidRPr="00AF50C5" w:rsidRDefault="00EB7084" w:rsidP="007F02C9">
            <w:pPr>
              <w:rPr>
                <w:b/>
                <w:sz w:val="24"/>
                <w:szCs w:val="24"/>
              </w:rPr>
            </w:pPr>
            <w:r w:rsidRPr="00AF50C5">
              <w:rPr>
                <w:sz w:val="24"/>
                <w:szCs w:val="24"/>
              </w:rPr>
              <w:t>Sj</w:t>
            </w:r>
            <w:r w:rsidRPr="00AF50C5">
              <w:rPr>
                <w:sz w:val="24"/>
                <w:szCs w:val="24"/>
                <w:lang w:val="el-GR"/>
              </w:rPr>
              <w:t>æ</w:t>
            </w:r>
            <w:r w:rsidRPr="00AF50C5">
              <w:rPr>
                <w:sz w:val="24"/>
                <w:szCs w:val="24"/>
              </w:rPr>
              <w:t>lden</w:t>
            </w:r>
            <w:r w:rsidRPr="00AF50C5">
              <w:rPr>
                <w:sz w:val="24"/>
                <w:szCs w:val="24"/>
                <w:lang w:val="el-GR"/>
              </w:rPr>
              <w:t xml:space="preserve"> (</w:t>
            </w:r>
            <w:r w:rsidR="00C924FF" w:rsidRPr="00BF5D71">
              <w:rPr>
                <w:rFonts w:ascii="Symbol" w:hAnsi="Symbol"/>
                <w:szCs w:val="24"/>
              </w:rPr>
              <w:t></w:t>
            </w:r>
            <w:r w:rsidRPr="00AF50C5">
              <w:rPr>
                <w:sz w:val="24"/>
                <w:szCs w:val="24"/>
                <w:lang w:val="el-GR"/>
              </w:rPr>
              <w:t>1/10</w:t>
            </w:r>
            <w:r w:rsidRPr="00AF50C5">
              <w:rPr>
                <w:sz w:val="24"/>
                <w:szCs w:val="24"/>
              </w:rPr>
              <w:t>.</w:t>
            </w:r>
            <w:r w:rsidRPr="00AF50C5">
              <w:rPr>
                <w:sz w:val="24"/>
                <w:szCs w:val="24"/>
                <w:lang w:val="el-GR"/>
              </w:rPr>
              <w:t>000</w:t>
            </w:r>
            <w:r w:rsidRPr="00AF50C5">
              <w:rPr>
                <w:sz w:val="24"/>
                <w:szCs w:val="24"/>
              </w:rPr>
              <w:t xml:space="preserve"> til</w:t>
            </w:r>
            <w:r w:rsidRPr="00AF50C5">
              <w:rPr>
                <w:sz w:val="24"/>
                <w:szCs w:val="24"/>
                <w:lang w:val="el-GR"/>
              </w:rPr>
              <w:t xml:space="preserve"> </w:t>
            </w:r>
            <w:r w:rsidRPr="00AF50C5">
              <w:rPr>
                <w:sz w:val="24"/>
                <w:szCs w:val="24"/>
              </w:rPr>
              <w:t>&lt;</w:t>
            </w:r>
            <w:r w:rsidRPr="00AF50C5">
              <w:rPr>
                <w:sz w:val="24"/>
                <w:szCs w:val="24"/>
                <w:lang w:val="el-GR"/>
              </w:rPr>
              <w:t>1/1</w:t>
            </w:r>
            <w:r w:rsidRPr="00AF50C5">
              <w:rPr>
                <w:sz w:val="24"/>
                <w:szCs w:val="24"/>
              </w:rPr>
              <w:t>.</w:t>
            </w:r>
            <w:r w:rsidRPr="00AF50C5">
              <w:rPr>
                <w:sz w:val="24"/>
                <w:szCs w:val="24"/>
                <w:lang w:val="el-GR"/>
              </w:rPr>
              <w:t>000)</w:t>
            </w:r>
          </w:p>
        </w:tc>
        <w:tc>
          <w:tcPr>
            <w:tcW w:w="4972" w:type="dxa"/>
          </w:tcPr>
          <w:p w14:paraId="642D4206" w14:textId="77777777" w:rsidR="00EB7084" w:rsidRPr="00AF50C5" w:rsidRDefault="00EB7084" w:rsidP="007F02C9">
            <w:pPr>
              <w:rPr>
                <w:sz w:val="24"/>
                <w:szCs w:val="24"/>
              </w:rPr>
            </w:pPr>
          </w:p>
          <w:p w14:paraId="374ABD2B" w14:textId="77777777" w:rsidR="00EB7084" w:rsidRPr="00AF50C5" w:rsidRDefault="00EB7084" w:rsidP="007F02C9">
            <w:pPr>
              <w:rPr>
                <w:sz w:val="24"/>
                <w:szCs w:val="24"/>
              </w:rPr>
            </w:pPr>
            <w:r w:rsidRPr="00AF50C5">
              <w:rPr>
                <w:sz w:val="24"/>
                <w:szCs w:val="24"/>
              </w:rPr>
              <w:t>Nedsat protrombintid.</w:t>
            </w:r>
          </w:p>
          <w:p w14:paraId="4947F50F" w14:textId="77777777" w:rsidR="00EB7084" w:rsidRPr="00AF50C5" w:rsidRDefault="00EB7084" w:rsidP="007F02C9">
            <w:pPr>
              <w:rPr>
                <w:sz w:val="24"/>
                <w:szCs w:val="24"/>
              </w:rPr>
            </w:pPr>
          </w:p>
          <w:p w14:paraId="68912381" w14:textId="77777777" w:rsidR="00EB7084" w:rsidRPr="00AF50C5" w:rsidRDefault="00EB7084" w:rsidP="007F02C9">
            <w:pPr>
              <w:rPr>
                <w:sz w:val="24"/>
                <w:szCs w:val="24"/>
              </w:rPr>
            </w:pPr>
            <w:r w:rsidRPr="00AF50C5">
              <w:rPr>
                <w:sz w:val="24"/>
                <w:szCs w:val="24"/>
              </w:rPr>
              <w:t>Trombocytopeni, purpura.</w:t>
            </w:r>
          </w:p>
          <w:p w14:paraId="230BEAA6" w14:textId="77777777" w:rsidR="00EB7084" w:rsidRPr="00AF50C5" w:rsidRDefault="00EB7084" w:rsidP="007F02C9">
            <w:pPr>
              <w:rPr>
                <w:sz w:val="24"/>
                <w:szCs w:val="24"/>
              </w:rPr>
            </w:pPr>
          </w:p>
        </w:tc>
      </w:tr>
      <w:tr w:rsidR="00EB7084" w:rsidRPr="00AF50C5" w14:paraId="62B63064" w14:textId="77777777" w:rsidTr="00A309ED">
        <w:trPr>
          <w:trHeight w:val="533"/>
        </w:trPr>
        <w:tc>
          <w:tcPr>
            <w:tcW w:w="3836" w:type="dxa"/>
          </w:tcPr>
          <w:p w14:paraId="763517FC" w14:textId="77777777" w:rsidR="00EB7084" w:rsidRPr="00AF50C5" w:rsidRDefault="00EB7084" w:rsidP="007F02C9">
            <w:pPr>
              <w:rPr>
                <w:b/>
                <w:sz w:val="24"/>
                <w:szCs w:val="24"/>
              </w:rPr>
            </w:pPr>
            <w:r w:rsidRPr="00AF50C5">
              <w:rPr>
                <w:b/>
                <w:sz w:val="24"/>
                <w:szCs w:val="24"/>
              </w:rPr>
              <w:t xml:space="preserve">Nervesystemet  </w:t>
            </w:r>
          </w:p>
          <w:p w14:paraId="6DE6057F" w14:textId="77777777" w:rsidR="00EB7084" w:rsidRPr="00AF50C5" w:rsidRDefault="00EB7084" w:rsidP="007F02C9">
            <w:pPr>
              <w:rPr>
                <w:b/>
                <w:sz w:val="24"/>
                <w:szCs w:val="24"/>
              </w:rPr>
            </w:pPr>
            <w:r w:rsidRPr="00AF50C5">
              <w:rPr>
                <w:sz w:val="24"/>
                <w:szCs w:val="24"/>
              </w:rPr>
              <w:t>Sj</w:t>
            </w:r>
            <w:r w:rsidRPr="00AF50C5">
              <w:rPr>
                <w:sz w:val="24"/>
                <w:szCs w:val="24"/>
                <w:lang w:val="el-GR"/>
              </w:rPr>
              <w:t>æ</w:t>
            </w:r>
            <w:r w:rsidRPr="00AF50C5">
              <w:rPr>
                <w:sz w:val="24"/>
                <w:szCs w:val="24"/>
              </w:rPr>
              <w:t>lden</w:t>
            </w:r>
            <w:r w:rsidRPr="00AF50C5">
              <w:rPr>
                <w:sz w:val="24"/>
                <w:szCs w:val="24"/>
                <w:lang w:val="el-GR"/>
              </w:rPr>
              <w:t xml:space="preserve"> (</w:t>
            </w:r>
            <w:r w:rsidR="00C924FF" w:rsidRPr="00BF5D71">
              <w:rPr>
                <w:rFonts w:ascii="Symbol" w:hAnsi="Symbol"/>
                <w:szCs w:val="24"/>
              </w:rPr>
              <w:t></w:t>
            </w:r>
            <w:r w:rsidRPr="00AF50C5">
              <w:rPr>
                <w:sz w:val="24"/>
                <w:szCs w:val="24"/>
                <w:lang w:val="el-GR"/>
              </w:rPr>
              <w:t>1/10</w:t>
            </w:r>
            <w:r w:rsidRPr="00AF50C5">
              <w:rPr>
                <w:sz w:val="24"/>
                <w:szCs w:val="24"/>
              </w:rPr>
              <w:t>.</w:t>
            </w:r>
            <w:r w:rsidRPr="00AF50C5">
              <w:rPr>
                <w:sz w:val="24"/>
                <w:szCs w:val="24"/>
                <w:lang w:val="el-GR"/>
              </w:rPr>
              <w:t>000</w:t>
            </w:r>
            <w:r w:rsidRPr="00AF50C5">
              <w:rPr>
                <w:sz w:val="24"/>
                <w:szCs w:val="24"/>
              </w:rPr>
              <w:t xml:space="preserve"> til</w:t>
            </w:r>
            <w:r w:rsidRPr="00AF50C5">
              <w:rPr>
                <w:sz w:val="24"/>
                <w:szCs w:val="24"/>
                <w:lang w:val="el-GR"/>
              </w:rPr>
              <w:t xml:space="preserve"> </w:t>
            </w:r>
            <w:r w:rsidRPr="00AF50C5">
              <w:rPr>
                <w:sz w:val="24"/>
                <w:szCs w:val="24"/>
              </w:rPr>
              <w:t>&lt;</w:t>
            </w:r>
            <w:r w:rsidRPr="00AF50C5">
              <w:rPr>
                <w:sz w:val="24"/>
                <w:szCs w:val="24"/>
                <w:lang w:val="el-GR"/>
              </w:rPr>
              <w:t>1/1</w:t>
            </w:r>
            <w:r w:rsidRPr="00AF50C5">
              <w:rPr>
                <w:sz w:val="24"/>
                <w:szCs w:val="24"/>
              </w:rPr>
              <w:t>.</w:t>
            </w:r>
            <w:r w:rsidRPr="00AF50C5">
              <w:rPr>
                <w:sz w:val="24"/>
                <w:szCs w:val="24"/>
                <w:lang w:val="el-GR"/>
              </w:rPr>
              <w:t>000)</w:t>
            </w:r>
          </w:p>
        </w:tc>
        <w:tc>
          <w:tcPr>
            <w:tcW w:w="4972" w:type="dxa"/>
          </w:tcPr>
          <w:p w14:paraId="2C6DC928" w14:textId="77777777" w:rsidR="00EB7084" w:rsidRPr="00AF50C5" w:rsidRDefault="00EB7084" w:rsidP="007F02C9">
            <w:pPr>
              <w:rPr>
                <w:sz w:val="24"/>
                <w:szCs w:val="24"/>
              </w:rPr>
            </w:pPr>
          </w:p>
          <w:p w14:paraId="0ACACC4A" w14:textId="77777777" w:rsidR="00EB7084" w:rsidRPr="00AF50C5" w:rsidRDefault="00EB7084" w:rsidP="007F02C9">
            <w:pPr>
              <w:rPr>
                <w:sz w:val="24"/>
                <w:szCs w:val="24"/>
              </w:rPr>
            </w:pPr>
            <w:r w:rsidRPr="00AF50C5">
              <w:rPr>
                <w:sz w:val="24"/>
                <w:szCs w:val="24"/>
              </w:rPr>
              <w:t>Synkoper, epileptiske anfald.</w:t>
            </w:r>
          </w:p>
          <w:p w14:paraId="210BF4AC" w14:textId="77777777" w:rsidR="00EB7084" w:rsidRPr="00AF50C5" w:rsidRDefault="00EB7084" w:rsidP="007F02C9">
            <w:pPr>
              <w:rPr>
                <w:sz w:val="24"/>
                <w:szCs w:val="24"/>
              </w:rPr>
            </w:pPr>
          </w:p>
        </w:tc>
      </w:tr>
      <w:tr w:rsidR="00EB7084" w:rsidRPr="00AF50C5" w14:paraId="460D7A6C" w14:textId="77777777" w:rsidTr="00A309ED">
        <w:trPr>
          <w:trHeight w:val="533"/>
        </w:trPr>
        <w:tc>
          <w:tcPr>
            <w:tcW w:w="3836" w:type="dxa"/>
          </w:tcPr>
          <w:p w14:paraId="026B583B" w14:textId="77777777" w:rsidR="00EB7084" w:rsidRPr="00AF50C5" w:rsidRDefault="00EB7084" w:rsidP="007F02C9">
            <w:pPr>
              <w:rPr>
                <w:b/>
                <w:sz w:val="24"/>
                <w:szCs w:val="24"/>
              </w:rPr>
            </w:pPr>
            <w:r w:rsidRPr="00AF50C5">
              <w:rPr>
                <w:b/>
                <w:sz w:val="24"/>
                <w:szCs w:val="24"/>
              </w:rPr>
              <w:t>Øjne</w:t>
            </w:r>
          </w:p>
          <w:p w14:paraId="6B247220" w14:textId="77777777" w:rsidR="00EB7084" w:rsidRPr="00AF50C5" w:rsidRDefault="00EB7084" w:rsidP="007F02C9">
            <w:pPr>
              <w:rPr>
                <w:sz w:val="24"/>
                <w:szCs w:val="24"/>
              </w:rPr>
            </w:pPr>
            <w:r w:rsidRPr="00AF50C5">
              <w:rPr>
                <w:sz w:val="24"/>
                <w:szCs w:val="24"/>
              </w:rPr>
              <w:t>Almindelig (</w:t>
            </w:r>
            <w:r w:rsidR="00C924FF" w:rsidRPr="00BF5D71">
              <w:rPr>
                <w:rFonts w:ascii="Symbol" w:hAnsi="Symbol"/>
                <w:szCs w:val="24"/>
              </w:rPr>
              <w:t></w:t>
            </w:r>
            <w:r w:rsidRPr="00AF50C5">
              <w:rPr>
                <w:sz w:val="24"/>
                <w:szCs w:val="24"/>
              </w:rPr>
              <w:t>1/100 til &lt;1/10)</w:t>
            </w:r>
          </w:p>
          <w:p w14:paraId="703B1349" w14:textId="77777777" w:rsidR="00EB7084" w:rsidRPr="00AF50C5" w:rsidRDefault="00EB7084" w:rsidP="007F02C9">
            <w:pPr>
              <w:rPr>
                <w:b/>
                <w:bCs/>
                <w:sz w:val="24"/>
                <w:szCs w:val="24"/>
              </w:rPr>
            </w:pPr>
          </w:p>
          <w:p w14:paraId="255FCA63" w14:textId="77777777" w:rsidR="00EB7084" w:rsidRPr="00AF50C5" w:rsidRDefault="00EB7084" w:rsidP="007F02C9">
            <w:pPr>
              <w:rPr>
                <w:b/>
                <w:i/>
                <w:sz w:val="24"/>
                <w:szCs w:val="24"/>
              </w:rPr>
            </w:pPr>
            <w:r w:rsidRPr="00AF50C5">
              <w:rPr>
                <w:sz w:val="24"/>
                <w:szCs w:val="24"/>
              </w:rPr>
              <w:t xml:space="preserve">Meget sjælden (&lt;1/10.000) </w:t>
            </w:r>
          </w:p>
          <w:p w14:paraId="66E3FCF9" w14:textId="77777777" w:rsidR="00EB7084" w:rsidRPr="00AF50C5" w:rsidRDefault="00EB7084" w:rsidP="007F02C9">
            <w:pPr>
              <w:rPr>
                <w:b/>
                <w:sz w:val="24"/>
                <w:szCs w:val="24"/>
              </w:rPr>
            </w:pPr>
          </w:p>
        </w:tc>
        <w:tc>
          <w:tcPr>
            <w:tcW w:w="4972" w:type="dxa"/>
          </w:tcPr>
          <w:p w14:paraId="536CC176" w14:textId="77777777" w:rsidR="00EB7084" w:rsidRPr="00AF50C5" w:rsidRDefault="00EB7084" w:rsidP="007F02C9">
            <w:pPr>
              <w:rPr>
                <w:sz w:val="24"/>
                <w:szCs w:val="24"/>
              </w:rPr>
            </w:pPr>
          </w:p>
          <w:p w14:paraId="0E46A004" w14:textId="77777777" w:rsidR="00EB7084" w:rsidRPr="00AF50C5" w:rsidRDefault="00EB7084" w:rsidP="007F02C9">
            <w:pPr>
              <w:rPr>
                <w:sz w:val="24"/>
                <w:szCs w:val="24"/>
              </w:rPr>
            </w:pPr>
            <w:r w:rsidRPr="00AF50C5">
              <w:rPr>
                <w:sz w:val="24"/>
                <w:szCs w:val="24"/>
              </w:rPr>
              <w:t>Øjensmerter.</w:t>
            </w:r>
          </w:p>
          <w:p w14:paraId="46756C41" w14:textId="77777777" w:rsidR="00EB7084" w:rsidRPr="00AF50C5" w:rsidRDefault="00EB7084" w:rsidP="007F02C9">
            <w:pPr>
              <w:rPr>
                <w:sz w:val="24"/>
                <w:szCs w:val="24"/>
              </w:rPr>
            </w:pPr>
          </w:p>
          <w:p w14:paraId="21C6D94D" w14:textId="77777777" w:rsidR="00EB7084" w:rsidRPr="00AF50C5" w:rsidRDefault="00EB7084" w:rsidP="007F02C9">
            <w:pPr>
              <w:rPr>
                <w:sz w:val="24"/>
                <w:szCs w:val="24"/>
              </w:rPr>
            </w:pPr>
            <w:r w:rsidRPr="00AF50C5">
              <w:rPr>
                <w:sz w:val="24"/>
                <w:szCs w:val="24"/>
              </w:rPr>
              <w:t>Blindhed, sløret syn.</w:t>
            </w:r>
          </w:p>
          <w:p w14:paraId="648B10B9" w14:textId="77777777" w:rsidR="00EB7084" w:rsidRPr="00AF50C5" w:rsidRDefault="00EB7084" w:rsidP="007F02C9">
            <w:pPr>
              <w:rPr>
                <w:sz w:val="24"/>
                <w:szCs w:val="24"/>
              </w:rPr>
            </w:pPr>
          </w:p>
        </w:tc>
      </w:tr>
      <w:tr w:rsidR="00EB7084" w:rsidRPr="00AF50C5" w14:paraId="1BF46313" w14:textId="77777777" w:rsidTr="00A309ED">
        <w:trPr>
          <w:trHeight w:val="533"/>
        </w:trPr>
        <w:tc>
          <w:tcPr>
            <w:tcW w:w="3836" w:type="dxa"/>
          </w:tcPr>
          <w:p w14:paraId="0E1E6CAF" w14:textId="77777777" w:rsidR="00EB7084" w:rsidRPr="00AF50C5" w:rsidRDefault="00EB7084" w:rsidP="007F02C9">
            <w:pPr>
              <w:rPr>
                <w:b/>
                <w:sz w:val="24"/>
                <w:szCs w:val="24"/>
              </w:rPr>
            </w:pPr>
            <w:r w:rsidRPr="00AF50C5">
              <w:rPr>
                <w:b/>
                <w:sz w:val="24"/>
                <w:szCs w:val="24"/>
              </w:rPr>
              <w:t xml:space="preserve">Luftveje, thorax og mediastinum  </w:t>
            </w:r>
          </w:p>
          <w:p w14:paraId="403C3B2F" w14:textId="77777777" w:rsidR="00EB7084" w:rsidRPr="00AF50C5" w:rsidRDefault="00EB7084" w:rsidP="007F02C9">
            <w:pPr>
              <w:rPr>
                <w:sz w:val="24"/>
                <w:szCs w:val="24"/>
              </w:rPr>
            </w:pPr>
            <w:r w:rsidRPr="00AF50C5">
              <w:rPr>
                <w:sz w:val="24"/>
                <w:szCs w:val="24"/>
              </w:rPr>
              <w:t>Almindelig (</w:t>
            </w:r>
            <w:r w:rsidR="00C924FF" w:rsidRPr="00BF5D71">
              <w:rPr>
                <w:rFonts w:ascii="Symbol" w:hAnsi="Symbol"/>
                <w:szCs w:val="24"/>
              </w:rPr>
              <w:t></w:t>
            </w:r>
            <w:r w:rsidRPr="00AF50C5">
              <w:rPr>
                <w:sz w:val="24"/>
                <w:szCs w:val="24"/>
              </w:rPr>
              <w:t>1/100 til &lt;1/10)</w:t>
            </w:r>
          </w:p>
          <w:p w14:paraId="61B74A19" w14:textId="77777777" w:rsidR="00EB7084" w:rsidRPr="00AF50C5" w:rsidRDefault="00EB7084" w:rsidP="007F02C9">
            <w:pPr>
              <w:rPr>
                <w:b/>
                <w:sz w:val="24"/>
                <w:szCs w:val="24"/>
              </w:rPr>
            </w:pPr>
          </w:p>
          <w:p w14:paraId="4FA27A9F" w14:textId="77777777" w:rsidR="00EB7084" w:rsidRPr="00AF50C5" w:rsidRDefault="00EB7084" w:rsidP="007F02C9">
            <w:pPr>
              <w:rPr>
                <w:strike/>
                <w:sz w:val="24"/>
                <w:szCs w:val="24"/>
              </w:rPr>
            </w:pPr>
            <w:r w:rsidRPr="00AF50C5">
              <w:rPr>
                <w:sz w:val="24"/>
                <w:szCs w:val="24"/>
              </w:rPr>
              <w:t>Sj</w:t>
            </w:r>
            <w:r w:rsidRPr="00AF50C5">
              <w:rPr>
                <w:sz w:val="24"/>
                <w:szCs w:val="24"/>
                <w:lang w:val="el-GR"/>
              </w:rPr>
              <w:t>æ</w:t>
            </w:r>
            <w:r w:rsidRPr="00AF50C5">
              <w:rPr>
                <w:sz w:val="24"/>
                <w:szCs w:val="24"/>
              </w:rPr>
              <w:t>lden</w:t>
            </w:r>
            <w:r w:rsidRPr="00AF50C5">
              <w:rPr>
                <w:sz w:val="24"/>
                <w:szCs w:val="24"/>
                <w:lang w:val="el-GR"/>
              </w:rPr>
              <w:t xml:space="preserve"> (</w:t>
            </w:r>
            <w:r w:rsidR="00C924FF" w:rsidRPr="00BF5D71">
              <w:rPr>
                <w:rFonts w:ascii="Symbol" w:hAnsi="Symbol"/>
                <w:szCs w:val="24"/>
              </w:rPr>
              <w:t></w:t>
            </w:r>
            <w:r w:rsidRPr="00AF50C5">
              <w:rPr>
                <w:sz w:val="24"/>
                <w:szCs w:val="24"/>
                <w:lang w:val="el-GR"/>
              </w:rPr>
              <w:t>1/10</w:t>
            </w:r>
            <w:r w:rsidRPr="00AF50C5">
              <w:rPr>
                <w:sz w:val="24"/>
                <w:szCs w:val="24"/>
              </w:rPr>
              <w:t>.</w:t>
            </w:r>
            <w:r w:rsidRPr="00AF50C5">
              <w:rPr>
                <w:sz w:val="24"/>
                <w:szCs w:val="24"/>
                <w:lang w:val="el-GR"/>
              </w:rPr>
              <w:t>000</w:t>
            </w:r>
            <w:r w:rsidRPr="00AF50C5">
              <w:rPr>
                <w:sz w:val="24"/>
                <w:szCs w:val="24"/>
              </w:rPr>
              <w:t xml:space="preserve"> til</w:t>
            </w:r>
            <w:r w:rsidRPr="00AF50C5">
              <w:rPr>
                <w:sz w:val="24"/>
                <w:szCs w:val="24"/>
                <w:lang w:val="el-GR"/>
              </w:rPr>
              <w:t xml:space="preserve"> </w:t>
            </w:r>
            <w:r w:rsidRPr="00AF50C5">
              <w:rPr>
                <w:sz w:val="24"/>
                <w:szCs w:val="24"/>
              </w:rPr>
              <w:t>&lt;</w:t>
            </w:r>
            <w:r w:rsidRPr="00AF50C5">
              <w:rPr>
                <w:sz w:val="24"/>
                <w:szCs w:val="24"/>
                <w:lang w:val="el-GR"/>
              </w:rPr>
              <w:t>1/1</w:t>
            </w:r>
            <w:r w:rsidRPr="00AF50C5">
              <w:rPr>
                <w:sz w:val="24"/>
                <w:szCs w:val="24"/>
              </w:rPr>
              <w:t>.</w:t>
            </w:r>
            <w:r w:rsidRPr="00AF50C5">
              <w:rPr>
                <w:sz w:val="24"/>
                <w:szCs w:val="24"/>
                <w:lang w:val="el-GR"/>
              </w:rPr>
              <w:t>000)</w:t>
            </w:r>
          </w:p>
          <w:p w14:paraId="274701ED" w14:textId="77777777" w:rsidR="00EB7084" w:rsidRPr="00AF50C5" w:rsidRDefault="00EB7084" w:rsidP="007F02C9">
            <w:pPr>
              <w:rPr>
                <w:b/>
                <w:sz w:val="24"/>
                <w:szCs w:val="24"/>
              </w:rPr>
            </w:pPr>
          </w:p>
        </w:tc>
        <w:tc>
          <w:tcPr>
            <w:tcW w:w="4972" w:type="dxa"/>
          </w:tcPr>
          <w:p w14:paraId="6A21A49B" w14:textId="77777777" w:rsidR="00EB7084" w:rsidRPr="00AF50C5" w:rsidRDefault="00EB7084" w:rsidP="007F02C9">
            <w:pPr>
              <w:rPr>
                <w:sz w:val="24"/>
                <w:szCs w:val="24"/>
              </w:rPr>
            </w:pPr>
          </w:p>
          <w:p w14:paraId="27B4C166" w14:textId="77777777" w:rsidR="00EB7084" w:rsidRPr="00AF50C5" w:rsidRDefault="00EB7084" w:rsidP="007F02C9">
            <w:pPr>
              <w:rPr>
                <w:sz w:val="24"/>
                <w:szCs w:val="24"/>
              </w:rPr>
            </w:pPr>
            <w:r w:rsidRPr="00AF50C5">
              <w:rPr>
                <w:sz w:val="24"/>
                <w:szCs w:val="24"/>
              </w:rPr>
              <w:t>Bronkospasmer, vejrtrækningsproblemer.</w:t>
            </w:r>
          </w:p>
          <w:p w14:paraId="5C6C3FE4" w14:textId="77777777" w:rsidR="00EB7084" w:rsidRPr="00AF50C5" w:rsidRDefault="00EB7084" w:rsidP="007F02C9">
            <w:pPr>
              <w:rPr>
                <w:sz w:val="24"/>
                <w:szCs w:val="24"/>
              </w:rPr>
            </w:pPr>
          </w:p>
          <w:p w14:paraId="3FDC05DD" w14:textId="77777777" w:rsidR="00EB7084" w:rsidRPr="00AF50C5" w:rsidRDefault="00EB7084" w:rsidP="007F02C9">
            <w:pPr>
              <w:rPr>
                <w:sz w:val="24"/>
                <w:szCs w:val="24"/>
              </w:rPr>
            </w:pPr>
            <w:r w:rsidRPr="00AF50C5">
              <w:rPr>
                <w:sz w:val="24"/>
                <w:szCs w:val="24"/>
              </w:rPr>
              <w:t>Hoste, hivende åndedræt (stridor), respirationsstop.</w:t>
            </w:r>
          </w:p>
          <w:p w14:paraId="76D9C8AC" w14:textId="77777777" w:rsidR="00EB7084" w:rsidRPr="00AF50C5" w:rsidRDefault="00EB7084" w:rsidP="007F02C9">
            <w:pPr>
              <w:rPr>
                <w:sz w:val="24"/>
                <w:szCs w:val="24"/>
              </w:rPr>
            </w:pPr>
          </w:p>
        </w:tc>
      </w:tr>
      <w:tr w:rsidR="00EB7084" w:rsidRPr="00AF50C5" w14:paraId="2AC6E962" w14:textId="77777777" w:rsidTr="00A309ED">
        <w:trPr>
          <w:trHeight w:val="533"/>
        </w:trPr>
        <w:tc>
          <w:tcPr>
            <w:tcW w:w="3836" w:type="dxa"/>
          </w:tcPr>
          <w:p w14:paraId="09899BA9" w14:textId="77777777" w:rsidR="00EB7084" w:rsidRPr="00AF50C5" w:rsidRDefault="00EB7084" w:rsidP="007F02C9">
            <w:pPr>
              <w:rPr>
                <w:b/>
                <w:sz w:val="24"/>
                <w:szCs w:val="24"/>
              </w:rPr>
            </w:pPr>
            <w:r w:rsidRPr="00AF50C5">
              <w:rPr>
                <w:b/>
                <w:sz w:val="24"/>
                <w:szCs w:val="24"/>
              </w:rPr>
              <w:t>Mave-tarm</w:t>
            </w:r>
            <w:r w:rsidR="0035533D">
              <w:rPr>
                <w:b/>
                <w:sz w:val="24"/>
                <w:szCs w:val="24"/>
              </w:rPr>
              <w:t>-</w:t>
            </w:r>
            <w:r w:rsidRPr="00AF50C5">
              <w:rPr>
                <w:b/>
                <w:sz w:val="24"/>
                <w:szCs w:val="24"/>
              </w:rPr>
              <w:t xml:space="preserve">kanalen  </w:t>
            </w:r>
          </w:p>
          <w:p w14:paraId="7F254801" w14:textId="77777777" w:rsidR="00EB7084" w:rsidRPr="00AF50C5" w:rsidRDefault="00EB7084" w:rsidP="007F02C9">
            <w:pPr>
              <w:rPr>
                <w:sz w:val="24"/>
                <w:szCs w:val="24"/>
              </w:rPr>
            </w:pPr>
            <w:r w:rsidRPr="00AF50C5">
              <w:rPr>
                <w:sz w:val="24"/>
                <w:szCs w:val="24"/>
              </w:rPr>
              <w:t>Ikke kendt (kan ikke estimeres ud fra forhåndenværende data)</w:t>
            </w:r>
          </w:p>
          <w:p w14:paraId="5448559C" w14:textId="77777777" w:rsidR="00EB7084" w:rsidRPr="00AF50C5" w:rsidRDefault="00EB7084" w:rsidP="007F02C9">
            <w:pPr>
              <w:rPr>
                <w:b/>
                <w:sz w:val="24"/>
                <w:szCs w:val="24"/>
              </w:rPr>
            </w:pPr>
          </w:p>
        </w:tc>
        <w:tc>
          <w:tcPr>
            <w:tcW w:w="4972" w:type="dxa"/>
          </w:tcPr>
          <w:p w14:paraId="76091643" w14:textId="77777777" w:rsidR="00EB7084" w:rsidRPr="00AF50C5" w:rsidRDefault="00EB7084" w:rsidP="007F02C9">
            <w:pPr>
              <w:rPr>
                <w:sz w:val="24"/>
                <w:szCs w:val="24"/>
              </w:rPr>
            </w:pPr>
          </w:p>
          <w:p w14:paraId="55A80B50" w14:textId="77777777" w:rsidR="00EB7084" w:rsidRPr="00AF50C5" w:rsidRDefault="00EB7084" w:rsidP="007F02C9">
            <w:pPr>
              <w:rPr>
                <w:sz w:val="24"/>
                <w:szCs w:val="24"/>
              </w:rPr>
            </w:pPr>
            <w:r w:rsidRPr="00AF50C5">
              <w:rPr>
                <w:sz w:val="24"/>
                <w:szCs w:val="24"/>
              </w:rPr>
              <w:t>Kvalme, opkastning, diaré.</w:t>
            </w:r>
          </w:p>
        </w:tc>
      </w:tr>
      <w:tr w:rsidR="00EB7084" w:rsidRPr="00AF50C5" w14:paraId="5FEFF416" w14:textId="77777777" w:rsidTr="00A309ED">
        <w:trPr>
          <w:trHeight w:val="533"/>
        </w:trPr>
        <w:tc>
          <w:tcPr>
            <w:tcW w:w="3836" w:type="dxa"/>
          </w:tcPr>
          <w:p w14:paraId="2BF42EF7" w14:textId="77777777" w:rsidR="00EB7084" w:rsidRPr="00AF50C5" w:rsidRDefault="00EB7084" w:rsidP="007F02C9">
            <w:pPr>
              <w:keepNext/>
              <w:rPr>
                <w:b/>
                <w:sz w:val="24"/>
                <w:szCs w:val="24"/>
              </w:rPr>
            </w:pPr>
            <w:r w:rsidRPr="00AF50C5">
              <w:rPr>
                <w:b/>
                <w:sz w:val="24"/>
                <w:szCs w:val="24"/>
              </w:rPr>
              <w:t xml:space="preserve">Hud og subkutant væv </w:t>
            </w:r>
          </w:p>
          <w:p w14:paraId="51BA95D1" w14:textId="77777777" w:rsidR="00EB7084" w:rsidRPr="00AF50C5" w:rsidRDefault="00EB7084" w:rsidP="007F02C9">
            <w:pPr>
              <w:rPr>
                <w:sz w:val="24"/>
                <w:szCs w:val="24"/>
              </w:rPr>
            </w:pPr>
            <w:r w:rsidRPr="00AF50C5">
              <w:rPr>
                <w:sz w:val="24"/>
                <w:szCs w:val="24"/>
              </w:rPr>
              <w:t>Almindelig (</w:t>
            </w:r>
            <w:r w:rsidR="00310316" w:rsidRPr="00BF5D71">
              <w:rPr>
                <w:rFonts w:ascii="Symbol" w:hAnsi="Symbol"/>
                <w:szCs w:val="24"/>
              </w:rPr>
              <w:t></w:t>
            </w:r>
            <w:r w:rsidRPr="00AF50C5">
              <w:rPr>
                <w:sz w:val="24"/>
                <w:szCs w:val="24"/>
              </w:rPr>
              <w:t>1/100 til &lt;1/10)</w:t>
            </w:r>
          </w:p>
          <w:p w14:paraId="7E1255D4" w14:textId="77777777" w:rsidR="00EB7084" w:rsidRPr="00AF50C5" w:rsidRDefault="00EB7084" w:rsidP="007F02C9">
            <w:pPr>
              <w:tabs>
                <w:tab w:val="left" w:pos="1528"/>
              </w:tabs>
              <w:rPr>
                <w:sz w:val="24"/>
                <w:szCs w:val="24"/>
              </w:rPr>
            </w:pPr>
          </w:p>
          <w:p w14:paraId="20739D3B" w14:textId="77777777" w:rsidR="00EB7084" w:rsidRPr="00AF50C5" w:rsidRDefault="00EB7084" w:rsidP="007F02C9">
            <w:pPr>
              <w:rPr>
                <w:sz w:val="24"/>
                <w:szCs w:val="24"/>
              </w:rPr>
            </w:pPr>
            <w:r w:rsidRPr="00AF50C5">
              <w:rPr>
                <w:sz w:val="24"/>
                <w:szCs w:val="24"/>
              </w:rPr>
              <w:t>Ikke kendt (kan ikke estimeres ud fra forhåndenværende data)</w:t>
            </w:r>
          </w:p>
          <w:p w14:paraId="0E63939D" w14:textId="77777777" w:rsidR="00EB7084" w:rsidRPr="00AF50C5" w:rsidRDefault="00EB7084" w:rsidP="007F02C9">
            <w:pPr>
              <w:rPr>
                <w:b/>
                <w:sz w:val="24"/>
                <w:szCs w:val="24"/>
              </w:rPr>
            </w:pPr>
          </w:p>
        </w:tc>
        <w:tc>
          <w:tcPr>
            <w:tcW w:w="4972" w:type="dxa"/>
          </w:tcPr>
          <w:p w14:paraId="1D22A3D6" w14:textId="77777777" w:rsidR="00EB7084" w:rsidRPr="00AF50C5" w:rsidRDefault="00EB7084" w:rsidP="007F02C9">
            <w:pPr>
              <w:rPr>
                <w:sz w:val="24"/>
                <w:szCs w:val="24"/>
              </w:rPr>
            </w:pPr>
          </w:p>
          <w:p w14:paraId="54F40C40" w14:textId="77777777" w:rsidR="00EB7084" w:rsidRPr="00AF50C5" w:rsidRDefault="00EB7084" w:rsidP="007F02C9">
            <w:pPr>
              <w:rPr>
                <w:sz w:val="24"/>
                <w:szCs w:val="24"/>
              </w:rPr>
            </w:pPr>
            <w:r w:rsidRPr="00AF50C5">
              <w:rPr>
                <w:sz w:val="24"/>
                <w:szCs w:val="24"/>
              </w:rPr>
              <w:t>Angioødem, hududslæt, urticaria.</w:t>
            </w:r>
          </w:p>
          <w:p w14:paraId="3186E657" w14:textId="77777777" w:rsidR="00EB7084" w:rsidRPr="00AF50C5" w:rsidRDefault="00EB7084" w:rsidP="007F02C9">
            <w:pPr>
              <w:rPr>
                <w:sz w:val="24"/>
                <w:szCs w:val="24"/>
              </w:rPr>
            </w:pPr>
          </w:p>
          <w:p w14:paraId="1F3F7172" w14:textId="77777777" w:rsidR="00EB7084" w:rsidRPr="00AF50C5" w:rsidRDefault="00EB7084" w:rsidP="007F02C9">
            <w:pPr>
              <w:rPr>
                <w:sz w:val="24"/>
                <w:szCs w:val="24"/>
              </w:rPr>
            </w:pPr>
            <w:r w:rsidRPr="00AF50C5">
              <w:rPr>
                <w:sz w:val="24"/>
                <w:szCs w:val="24"/>
              </w:rPr>
              <w:t>Rødmen, kløe.</w:t>
            </w:r>
          </w:p>
        </w:tc>
      </w:tr>
      <w:tr w:rsidR="00EB7084" w:rsidRPr="00AF50C5" w14:paraId="7926A9D4" w14:textId="77777777" w:rsidTr="00A309ED">
        <w:trPr>
          <w:trHeight w:val="533"/>
        </w:trPr>
        <w:tc>
          <w:tcPr>
            <w:tcW w:w="3836" w:type="dxa"/>
          </w:tcPr>
          <w:p w14:paraId="1373C962" w14:textId="77777777" w:rsidR="00EB7084" w:rsidRPr="00AF50C5" w:rsidRDefault="00EB7084" w:rsidP="007F02C9">
            <w:pPr>
              <w:rPr>
                <w:b/>
                <w:sz w:val="24"/>
                <w:szCs w:val="24"/>
              </w:rPr>
            </w:pPr>
            <w:r w:rsidRPr="00AF50C5">
              <w:rPr>
                <w:b/>
                <w:sz w:val="24"/>
                <w:szCs w:val="24"/>
              </w:rPr>
              <w:t xml:space="preserve">Knogler, led, muskler og bindevæv </w:t>
            </w:r>
          </w:p>
          <w:p w14:paraId="5C0182D3" w14:textId="77777777" w:rsidR="00EB7084" w:rsidRPr="00AF50C5" w:rsidRDefault="00EB7084" w:rsidP="007F02C9">
            <w:pPr>
              <w:rPr>
                <w:strike/>
                <w:sz w:val="24"/>
                <w:szCs w:val="24"/>
              </w:rPr>
            </w:pPr>
            <w:r w:rsidRPr="00AF50C5">
              <w:rPr>
                <w:sz w:val="24"/>
                <w:szCs w:val="24"/>
              </w:rPr>
              <w:t>Sj</w:t>
            </w:r>
            <w:r w:rsidRPr="00AF50C5">
              <w:rPr>
                <w:sz w:val="24"/>
                <w:szCs w:val="24"/>
                <w:lang w:val="el-GR"/>
              </w:rPr>
              <w:t>æ</w:t>
            </w:r>
            <w:r w:rsidRPr="00AF50C5">
              <w:rPr>
                <w:sz w:val="24"/>
                <w:szCs w:val="24"/>
              </w:rPr>
              <w:t>lden</w:t>
            </w:r>
            <w:r w:rsidRPr="00AF50C5">
              <w:rPr>
                <w:sz w:val="24"/>
                <w:szCs w:val="24"/>
                <w:lang w:val="el-GR"/>
              </w:rPr>
              <w:t xml:space="preserve"> (</w:t>
            </w:r>
            <w:r w:rsidR="00310316" w:rsidRPr="00BF5D71">
              <w:rPr>
                <w:rFonts w:ascii="Symbol" w:hAnsi="Symbol"/>
                <w:szCs w:val="24"/>
              </w:rPr>
              <w:t></w:t>
            </w:r>
            <w:r w:rsidRPr="00AF50C5">
              <w:rPr>
                <w:sz w:val="24"/>
                <w:szCs w:val="24"/>
                <w:lang w:val="el-GR"/>
              </w:rPr>
              <w:t>1/10</w:t>
            </w:r>
            <w:r w:rsidRPr="00AF50C5">
              <w:rPr>
                <w:sz w:val="24"/>
                <w:szCs w:val="24"/>
              </w:rPr>
              <w:t>.</w:t>
            </w:r>
            <w:r w:rsidRPr="00AF50C5">
              <w:rPr>
                <w:sz w:val="24"/>
                <w:szCs w:val="24"/>
                <w:lang w:val="el-GR"/>
              </w:rPr>
              <w:t>000</w:t>
            </w:r>
            <w:r w:rsidRPr="00AF50C5">
              <w:rPr>
                <w:sz w:val="24"/>
                <w:szCs w:val="24"/>
              </w:rPr>
              <w:t xml:space="preserve"> til</w:t>
            </w:r>
            <w:r w:rsidRPr="00AF50C5">
              <w:rPr>
                <w:sz w:val="24"/>
                <w:szCs w:val="24"/>
                <w:lang w:val="el-GR"/>
              </w:rPr>
              <w:t xml:space="preserve"> </w:t>
            </w:r>
            <w:r w:rsidRPr="00AF50C5">
              <w:rPr>
                <w:sz w:val="24"/>
                <w:szCs w:val="24"/>
              </w:rPr>
              <w:t>&lt;</w:t>
            </w:r>
            <w:r w:rsidRPr="00AF50C5">
              <w:rPr>
                <w:sz w:val="24"/>
                <w:szCs w:val="24"/>
                <w:lang w:val="el-GR"/>
              </w:rPr>
              <w:t>1/1</w:t>
            </w:r>
            <w:r w:rsidRPr="00AF50C5">
              <w:rPr>
                <w:sz w:val="24"/>
                <w:szCs w:val="24"/>
              </w:rPr>
              <w:t>.</w:t>
            </w:r>
            <w:r w:rsidRPr="00AF50C5">
              <w:rPr>
                <w:sz w:val="24"/>
                <w:szCs w:val="24"/>
                <w:lang w:val="el-GR"/>
              </w:rPr>
              <w:t>000)</w:t>
            </w:r>
          </w:p>
          <w:p w14:paraId="4104CAC5" w14:textId="77777777" w:rsidR="00EB7084" w:rsidRPr="00AF50C5" w:rsidRDefault="00EB7084" w:rsidP="007F02C9">
            <w:pPr>
              <w:rPr>
                <w:b/>
                <w:sz w:val="24"/>
                <w:szCs w:val="24"/>
              </w:rPr>
            </w:pPr>
          </w:p>
        </w:tc>
        <w:tc>
          <w:tcPr>
            <w:tcW w:w="4972" w:type="dxa"/>
          </w:tcPr>
          <w:p w14:paraId="6FE3B38B" w14:textId="77777777" w:rsidR="00EB7084" w:rsidRPr="00AF50C5" w:rsidRDefault="00EB7084" w:rsidP="007F02C9">
            <w:pPr>
              <w:rPr>
                <w:sz w:val="24"/>
                <w:szCs w:val="24"/>
              </w:rPr>
            </w:pPr>
          </w:p>
          <w:p w14:paraId="0D6BBC62" w14:textId="77777777" w:rsidR="00EB7084" w:rsidRPr="00AF50C5" w:rsidRDefault="00EB7084" w:rsidP="007F02C9">
            <w:pPr>
              <w:rPr>
                <w:sz w:val="24"/>
                <w:szCs w:val="24"/>
              </w:rPr>
            </w:pPr>
            <w:r w:rsidRPr="00AF50C5">
              <w:rPr>
                <w:sz w:val="24"/>
                <w:szCs w:val="24"/>
              </w:rPr>
              <w:t>Artralgi, artropati.</w:t>
            </w:r>
          </w:p>
        </w:tc>
      </w:tr>
      <w:tr w:rsidR="00EB7084" w:rsidRPr="00AF50C5" w14:paraId="4D899F7B" w14:textId="77777777" w:rsidTr="00A309ED">
        <w:trPr>
          <w:trHeight w:val="273"/>
        </w:trPr>
        <w:tc>
          <w:tcPr>
            <w:tcW w:w="3836" w:type="dxa"/>
          </w:tcPr>
          <w:p w14:paraId="5B4E2CFD" w14:textId="77777777" w:rsidR="00EB7084" w:rsidRPr="00AF50C5" w:rsidRDefault="00EB7084" w:rsidP="007F02C9">
            <w:pPr>
              <w:rPr>
                <w:b/>
                <w:sz w:val="24"/>
                <w:szCs w:val="24"/>
              </w:rPr>
            </w:pPr>
            <w:r w:rsidRPr="00AF50C5">
              <w:rPr>
                <w:b/>
                <w:sz w:val="24"/>
                <w:szCs w:val="24"/>
              </w:rPr>
              <w:t xml:space="preserve">Vaskulære sygdomme   </w:t>
            </w:r>
          </w:p>
          <w:p w14:paraId="6120D33B" w14:textId="77777777" w:rsidR="00EB7084" w:rsidRPr="00AF50C5" w:rsidRDefault="00EB7084" w:rsidP="007F02C9">
            <w:pPr>
              <w:rPr>
                <w:sz w:val="24"/>
                <w:szCs w:val="24"/>
              </w:rPr>
            </w:pPr>
            <w:r w:rsidRPr="00AF50C5">
              <w:rPr>
                <w:sz w:val="24"/>
                <w:szCs w:val="24"/>
              </w:rPr>
              <w:t>Almindelig (</w:t>
            </w:r>
            <w:r w:rsidR="00310316" w:rsidRPr="00BF5D71">
              <w:rPr>
                <w:rFonts w:ascii="Symbol" w:hAnsi="Symbol"/>
                <w:szCs w:val="24"/>
              </w:rPr>
              <w:t></w:t>
            </w:r>
            <w:r w:rsidRPr="00AF50C5">
              <w:rPr>
                <w:sz w:val="24"/>
                <w:szCs w:val="24"/>
              </w:rPr>
              <w:t>1/100 til &lt;1/10)</w:t>
            </w:r>
          </w:p>
          <w:p w14:paraId="435458CC" w14:textId="77777777" w:rsidR="00EB7084" w:rsidRPr="00AF50C5" w:rsidRDefault="00EB7084" w:rsidP="007F02C9">
            <w:pPr>
              <w:rPr>
                <w:b/>
                <w:sz w:val="24"/>
                <w:szCs w:val="24"/>
              </w:rPr>
            </w:pPr>
          </w:p>
          <w:p w14:paraId="15DF6633" w14:textId="77777777" w:rsidR="00EB7084" w:rsidRPr="00AF50C5" w:rsidRDefault="00EB7084" w:rsidP="007F02C9">
            <w:pPr>
              <w:rPr>
                <w:sz w:val="24"/>
                <w:szCs w:val="24"/>
              </w:rPr>
            </w:pPr>
            <w:r w:rsidRPr="00AF50C5">
              <w:rPr>
                <w:sz w:val="24"/>
                <w:szCs w:val="24"/>
              </w:rPr>
              <w:t>Ikke kendt (kan ikke estimeres ud fra forhåndenværende data)</w:t>
            </w:r>
          </w:p>
          <w:p w14:paraId="36606F12" w14:textId="77777777" w:rsidR="00EB7084" w:rsidRPr="00AF50C5" w:rsidRDefault="00EB7084" w:rsidP="007F02C9">
            <w:pPr>
              <w:rPr>
                <w:b/>
                <w:sz w:val="24"/>
                <w:szCs w:val="24"/>
              </w:rPr>
            </w:pPr>
          </w:p>
        </w:tc>
        <w:tc>
          <w:tcPr>
            <w:tcW w:w="4972" w:type="dxa"/>
          </w:tcPr>
          <w:p w14:paraId="2C91D663" w14:textId="77777777" w:rsidR="00EB7084" w:rsidRPr="00AF50C5" w:rsidRDefault="00EB7084" w:rsidP="007F02C9">
            <w:pPr>
              <w:rPr>
                <w:sz w:val="24"/>
                <w:szCs w:val="24"/>
              </w:rPr>
            </w:pPr>
          </w:p>
          <w:p w14:paraId="71DA6D6D" w14:textId="77777777" w:rsidR="00EB7084" w:rsidRPr="00AF50C5" w:rsidRDefault="00EB7084" w:rsidP="007F02C9">
            <w:pPr>
              <w:rPr>
                <w:sz w:val="24"/>
                <w:szCs w:val="24"/>
              </w:rPr>
            </w:pPr>
            <w:r w:rsidRPr="00AF50C5">
              <w:rPr>
                <w:sz w:val="24"/>
                <w:szCs w:val="24"/>
              </w:rPr>
              <w:t>Hypotension, vasodilation.</w:t>
            </w:r>
          </w:p>
          <w:p w14:paraId="63A4EA27" w14:textId="77777777" w:rsidR="00EB7084" w:rsidRPr="00AF50C5" w:rsidRDefault="00EB7084" w:rsidP="007F02C9">
            <w:pPr>
              <w:rPr>
                <w:sz w:val="24"/>
                <w:szCs w:val="24"/>
              </w:rPr>
            </w:pPr>
          </w:p>
          <w:p w14:paraId="48B7C83D" w14:textId="77777777" w:rsidR="00EB7084" w:rsidRPr="00AF50C5" w:rsidRDefault="00EB7084" w:rsidP="007F02C9">
            <w:pPr>
              <w:rPr>
                <w:sz w:val="24"/>
                <w:szCs w:val="24"/>
              </w:rPr>
            </w:pPr>
            <w:r w:rsidRPr="00AF50C5">
              <w:rPr>
                <w:sz w:val="24"/>
                <w:szCs w:val="24"/>
              </w:rPr>
              <w:t>Hypertension.</w:t>
            </w:r>
          </w:p>
        </w:tc>
      </w:tr>
      <w:tr w:rsidR="00EB7084" w:rsidRPr="00AF50C5" w14:paraId="441FD1D4" w14:textId="77777777" w:rsidTr="00A309ED">
        <w:trPr>
          <w:trHeight w:val="146"/>
        </w:trPr>
        <w:tc>
          <w:tcPr>
            <w:tcW w:w="3836" w:type="dxa"/>
            <w:tcBorders>
              <w:bottom w:val="single" w:sz="4" w:space="0" w:color="auto"/>
            </w:tcBorders>
          </w:tcPr>
          <w:p w14:paraId="33B80AED" w14:textId="77777777" w:rsidR="00EB7084" w:rsidRPr="00AF50C5" w:rsidRDefault="00EB7084" w:rsidP="007F02C9">
            <w:pPr>
              <w:rPr>
                <w:b/>
                <w:sz w:val="24"/>
                <w:szCs w:val="24"/>
              </w:rPr>
            </w:pPr>
            <w:r w:rsidRPr="00AF50C5">
              <w:rPr>
                <w:b/>
                <w:sz w:val="24"/>
                <w:szCs w:val="24"/>
              </w:rPr>
              <w:t xml:space="preserve">Almene symptomer og reaktioner på administrationsstedet   </w:t>
            </w:r>
          </w:p>
          <w:p w14:paraId="3687E663" w14:textId="77777777" w:rsidR="00EB7084" w:rsidRPr="00AF50C5" w:rsidRDefault="00EB7084" w:rsidP="007F02C9">
            <w:pPr>
              <w:rPr>
                <w:sz w:val="24"/>
                <w:szCs w:val="24"/>
              </w:rPr>
            </w:pPr>
            <w:r w:rsidRPr="00AF50C5">
              <w:rPr>
                <w:sz w:val="24"/>
                <w:szCs w:val="24"/>
              </w:rPr>
              <w:t>Ikke kendt (kan ikke estimeres ud fra forhåndenværende data)</w:t>
            </w:r>
          </w:p>
          <w:p w14:paraId="169E37F6" w14:textId="77777777" w:rsidR="00EB7084" w:rsidRPr="00AF50C5" w:rsidRDefault="00EB7084" w:rsidP="007F02C9">
            <w:pPr>
              <w:rPr>
                <w:b/>
                <w:sz w:val="24"/>
                <w:szCs w:val="24"/>
              </w:rPr>
            </w:pPr>
          </w:p>
        </w:tc>
        <w:tc>
          <w:tcPr>
            <w:tcW w:w="4972" w:type="dxa"/>
            <w:tcBorders>
              <w:bottom w:val="single" w:sz="4" w:space="0" w:color="auto"/>
            </w:tcBorders>
          </w:tcPr>
          <w:p w14:paraId="4ED5A398" w14:textId="77777777" w:rsidR="00EB7084" w:rsidRPr="00AF50C5" w:rsidRDefault="00EB7084" w:rsidP="007F02C9">
            <w:pPr>
              <w:rPr>
                <w:sz w:val="24"/>
                <w:szCs w:val="24"/>
              </w:rPr>
            </w:pPr>
          </w:p>
          <w:p w14:paraId="74F1E624" w14:textId="77777777" w:rsidR="00EB7084" w:rsidRPr="00AF50C5" w:rsidRDefault="00EB7084" w:rsidP="007F02C9">
            <w:pPr>
              <w:rPr>
                <w:sz w:val="24"/>
                <w:szCs w:val="24"/>
              </w:rPr>
            </w:pPr>
          </w:p>
          <w:p w14:paraId="7F16F0CE" w14:textId="77777777" w:rsidR="00EB7084" w:rsidRPr="00AF50C5" w:rsidRDefault="00EB7084" w:rsidP="007F02C9">
            <w:pPr>
              <w:rPr>
                <w:sz w:val="24"/>
                <w:szCs w:val="24"/>
              </w:rPr>
            </w:pPr>
            <w:r w:rsidRPr="00AF50C5">
              <w:rPr>
                <w:sz w:val="24"/>
                <w:szCs w:val="24"/>
              </w:rPr>
              <w:t>Der kan forekomme reaktioner ved injektionsstedet som brystsmerter, utilpashed, forhøjet temperatur.</w:t>
            </w:r>
          </w:p>
          <w:p w14:paraId="2E21073F" w14:textId="77777777" w:rsidR="00EB7084" w:rsidRPr="00AF50C5" w:rsidRDefault="00EB7084" w:rsidP="007F02C9">
            <w:pPr>
              <w:rPr>
                <w:sz w:val="24"/>
                <w:szCs w:val="24"/>
              </w:rPr>
            </w:pPr>
          </w:p>
        </w:tc>
      </w:tr>
      <w:tr w:rsidR="00EB7084" w:rsidRPr="00AF50C5" w14:paraId="7200FF60" w14:textId="77777777" w:rsidTr="00A309ED">
        <w:trPr>
          <w:trHeight w:val="146"/>
        </w:trPr>
        <w:tc>
          <w:tcPr>
            <w:tcW w:w="3836" w:type="dxa"/>
          </w:tcPr>
          <w:p w14:paraId="13C198F8" w14:textId="77777777" w:rsidR="00EB7084" w:rsidRPr="00AF50C5" w:rsidRDefault="00EB7084" w:rsidP="007F02C9">
            <w:pPr>
              <w:rPr>
                <w:b/>
                <w:sz w:val="24"/>
                <w:szCs w:val="24"/>
              </w:rPr>
            </w:pPr>
            <w:r w:rsidRPr="00AF50C5">
              <w:rPr>
                <w:b/>
                <w:sz w:val="24"/>
                <w:szCs w:val="24"/>
              </w:rPr>
              <w:t xml:space="preserve">Immunsystemet   </w:t>
            </w:r>
          </w:p>
          <w:p w14:paraId="05162B9A" w14:textId="77777777" w:rsidR="00EB7084" w:rsidRPr="00AF50C5" w:rsidRDefault="00EB7084" w:rsidP="007F02C9">
            <w:pPr>
              <w:rPr>
                <w:b/>
                <w:bCs/>
                <w:sz w:val="24"/>
                <w:szCs w:val="24"/>
              </w:rPr>
            </w:pPr>
            <w:r w:rsidRPr="00AF50C5">
              <w:rPr>
                <w:sz w:val="24"/>
                <w:szCs w:val="24"/>
              </w:rPr>
              <w:t>Almindelig (</w:t>
            </w:r>
            <w:r w:rsidR="00310316" w:rsidRPr="00BF5D71">
              <w:rPr>
                <w:rFonts w:ascii="Symbol" w:hAnsi="Symbol"/>
                <w:szCs w:val="24"/>
              </w:rPr>
              <w:t></w:t>
            </w:r>
            <w:r w:rsidRPr="00AF50C5">
              <w:rPr>
                <w:sz w:val="24"/>
                <w:szCs w:val="24"/>
              </w:rPr>
              <w:t>1/100 til &lt;1/10)</w:t>
            </w:r>
          </w:p>
          <w:p w14:paraId="3E936DB1" w14:textId="77777777" w:rsidR="00EB7084" w:rsidRPr="00AF50C5" w:rsidRDefault="00EB7084" w:rsidP="007F02C9">
            <w:pPr>
              <w:rPr>
                <w:b/>
                <w:sz w:val="24"/>
                <w:szCs w:val="24"/>
              </w:rPr>
            </w:pPr>
          </w:p>
        </w:tc>
        <w:tc>
          <w:tcPr>
            <w:tcW w:w="4972" w:type="dxa"/>
          </w:tcPr>
          <w:p w14:paraId="38E3E25D" w14:textId="77777777" w:rsidR="00EB7084" w:rsidRPr="00AF50C5" w:rsidRDefault="00EB7084" w:rsidP="007F02C9">
            <w:pPr>
              <w:rPr>
                <w:sz w:val="24"/>
                <w:szCs w:val="24"/>
              </w:rPr>
            </w:pPr>
          </w:p>
          <w:p w14:paraId="196FD311" w14:textId="77777777" w:rsidR="00EB7084" w:rsidRPr="00AF50C5" w:rsidRDefault="00EB7084" w:rsidP="007F02C9">
            <w:pPr>
              <w:rPr>
                <w:sz w:val="24"/>
                <w:szCs w:val="24"/>
              </w:rPr>
            </w:pPr>
            <w:r w:rsidRPr="00AF50C5">
              <w:rPr>
                <w:sz w:val="24"/>
                <w:szCs w:val="24"/>
              </w:rPr>
              <w:t>Anafylaksi, hypersensibilitetsreaktioner.</w:t>
            </w:r>
          </w:p>
        </w:tc>
      </w:tr>
      <w:tr w:rsidR="00EB7084" w:rsidRPr="00AF50C5" w14:paraId="1E4669E6" w14:textId="77777777" w:rsidTr="00A309ED">
        <w:trPr>
          <w:trHeight w:val="146"/>
        </w:trPr>
        <w:tc>
          <w:tcPr>
            <w:tcW w:w="3836" w:type="dxa"/>
          </w:tcPr>
          <w:p w14:paraId="2B51FBAA" w14:textId="77777777" w:rsidR="00EB7084" w:rsidRPr="00AF50C5" w:rsidRDefault="00EB7084" w:rsidP="007F02C9">
            <w:pPr>
              <w:rPr>
                <w:b/>
                <w:sz w:val="24"/>
                <w:szCs w:val="24"/>
              </w:rPr>
            </w:pPr>
            <w:r w:rsidRPr="00AF50C5">
              <w:rPr>
                <w:b/>
                <w:sz w:val="24"/>
                <w:szCs w:val="24"/>
              </w:rPr>
              <w:t xml:space="preserve">Lever og galdeveje   </w:t>
            </w:r>
          </w:p>
          <w:p w14:paraId="033070EB" w14:textId="77777777" w:rsidR="00EB7084" w:rsidRPr="00AF50C5" w:rsidRDefault="00EB7084" w:rsidP="007F02C9">
            <w:pPr>
              <w:rPr>
                <w:strike/>
                <w:sz w:val="24"/>
                <w:szCs w:val="24"/>
              </w:rPr>
            </w:pPr>
            <w:r w:rsidRPr="00AF50C5">
              <w:rPr>
                <w:sz w:val="24"/>
                <w:szCs w:val="24"/>
              </w:rPr>
              <w:t>Sj</w:t>
            </w:r>
            <w:r w:rsidRPr="00AF50C5">
              <w:rPr>
                <w:sz w:val="24"/>
                <w:szCs w:val="24"/>
                <w:lang w:val="el-GR"/>
              </w:rPr>
              <w:t>æ</w:t>
            </w:r>
            <w:r w:rsidRPr="00AF50C5">
              <w:rPr>
                <w:sz w:val="24"/>
                <w:szCs w:val="24"/>
              </w:rPr>
              <w:t>lden</w:t>
            </w:r>
            <w:r w:rsidRPr="00AF50C5">
              <w:rPr>
                <w:sz w:val="24"/>
                <w:szCs w:val="24"/>
                <w:lang w:val="el-GR"/>
              </w:rPr>
              <w:t xml:space="preserve"> (</w:t>
            </w:r>
            <w:r w:rsidR="00310316" w:rsidRPr="00BF5D71">
              <w:rPr>
                <w:rFonts w:ascii="Symbol" w:hAnsi="Symbol"/>
                <w:szCs w:val="24"/>
              </w:rPr>
              <w:t></w:t>
            </w:r>
            <w:r w:rsidRPr="00AF50C5">
              <w:rPr>
                <w:sz w:val="24"/>
                <w:szCs w:val="24"/>
                <w:lang w:val="el-GR"/>
              </w:rPr>
              <w:t>1/10</w:t>
            </w:r>
            <w:r w:rsidRPr="00AF50C5">
              <w:rPr>
                <w:sz w:val="24"/>
                <w:szCs w:val="24"/>
              </w:rPr>
              <w:t>.</w:t>
            </w:r>
            <w:r w:rsidRPr="00AF50C5">
              <w:rPr>
                <w:sz w:val="24"/>
                <w:szCs w:val="24"/>
                <w:lang w:val="el-GR"/>
              </w:rPr>
              <w:t>000</w:t>
            </w:r>
            <w:r w:rsidRPr="00AF50C5">
              <w:rPr>
                <w:sz w:val="24"/>
                <w:szCs w:val="24"/>
              </w:rPr>
              <w:t xml:space="preserve"> til</w:t>
            </w:r>
            <w:r w:rsidRPr="00AF50C5">
              <w:rPr>
                <w:sz w:val="24"/>
                <w:szCs w:val="24"/>
                <w:lang w:val="el-GR"/>
              </w:rPr>
              <w:t xml:space="preserve"> </w:t>
            </w:r>
            <w:r w:rsidRPr="00AF50C5">
              <w:rPr>
                <w:sz w:val="24"/>
                <w:szCs w:val="24"/>
              </w:rPr>
              <w:t>&lt;</w:t>
            </w:r>
            <w:r w:rsidRPr="00AF50C5">
              <w:rPr>
                <w:sz w:val="24"/>
                <w:szCs w:val="24"/>
                <w:lang w:val="el-GR"/>
              </w:rPr>
              <w:t>1/1</w:t>
            </w:r>
            <w:r w:rsidRPr="00AF50C5">
              <w:rPr>
                <w:sz w:val="24"/>
                <w:szCs w:val="24"/>
              </w:rPr>
              <w:t>.</w:t>
            </w:r>
            <w:r w:rsidRPr="00AF50C5">
              <w:rPr>
                <w:sz w:val="24"/>
                <w:szCs w:val="24"/>
                <w:lang w:val="el-GR"/>
              </w:rPr>
              <w:t>000)</w:t>
            </w:r>
          </w:p>
          <w:p w14:paraId="746897C6" w14:textId="77777777" w:rsidR="00EB7084" w:rsidRPr="00AF50C5" w:rsidRDefault="00EB7084" w:rsidP="007F02C9">
            <w:pPr>
              <w:rPr>
                <w:b/>
                <w:sz w:val="24"/>
                <w:szCs w:val="24"/>
              </w:rPr>
            </w:pPr>
          </w:p>
        </w:tc>
        <w:tc>
          <w:tcPr>
            <w:tcW w:w="4972" w:type="dxa"/>
          </w:tcPr>
          <w:p w14:paraId="6B936DCE" w14:textId="77777777" w:rsidR="00EB7084" w:rsidRPr="00AF50C5" w:rsidRDefault="00EB7084" w:rsidP="007F02C9">
            <w:pPr>
              <w:rPr>
                <w:sz w:val="24"/>
                <w:szCs w:val="24"/>
              </w:rPr>
            </w:pPr>
          </w:p>
          <w:p w14:paraId="11E877BE" w14:textId="77777777" w:rsidR="00EB7084" w:rsidRPr="00AF50C5" w:rsidRDefault="00EB7084" w:rsidP="007F02C9">
            <w:pPr>
              <w:rPr>
                <w:sz w:val="24"/>
                <w:szCs w:val="24"/>
              </w:rPr>
            </w:pPr>
            <w:r w:rsidRPr="00AF50C5">
              <w:rPr>
                <w:sz w:val="24"/>
                <w:szCs w:val="24"/>
              </w:rPr>
              <w:t>Nedbrydelse af leveren.</w:t>
            </w:r>
          </w:p>
        </w:tc>
      </w:tr>
      <w:tr w:rsidR="00EB7084" w:rsidRPr="00AF50C5" w14:paraId="7CE328AF" w14:textId="77777777" w:rsidTr="00A309ED">
        <w:trPr>
          <w:trHeight w:val="146"/>
        </w:trPr>
        <w:tc>
          <w:tcPr>
            <w:tcW w:w="3836" w:type="dxa"/>
          </w:tcPr>
          <w:p w14:paraId="0E596709" w14:textId="77777777" w:rsidR="00EB7084" w:rsidRPr="00AF50C5" w:rsidRDefault="00EB7084" w:rsidP="007F02C9">
            <w:pPr>
              <w:rPr>
                <w:b/>
                <w:sz w:val="24"/>
                <w:szCs w:val="24"/>
              </w:rPr>
            </w:pPr>
            <w:r w:rsidRPr="00AF50C5">
              <w:rPr>
                <w:b/>
                <w:sz w:val="24"/>
                <w:szCs w:val="24"/>
              </w:rPr>
              <w:t xml:space="preserve">Psykiske forstyrrelser   </w:t>
            </w:r>
          </w:p>
          <w:p w14:paraId="16D28CE1" w14:textId="77777777" w:rsidR="00EB7084" w:rsidRPr="00AF50C5" w:rsidRDefault="00EB7084" w:rsidP="007F02C9">
            <w:pPr>
              <w:rPr>
                <w:strike/>
                <w:sz w:val="24"/>
                <w:szCs w:val="24"/>
              </w:rPr>
            </w:pPr>
            <w:r w:rsidRPr="00AF50C5">
              <w:rPr>
                <w:sz w:val="24"/>
                <w:szCs w:val="24"/>
              </w:rPr>
              <w:t>Sj</w:t>
            </w:r>
            <w:r w:rsidRPr="00AF50C5">
              <w:rPr>
                <w:sz w:val="24"/>
                <w:szCs w:val="24"/>
                <w:lang w:val="el-GR"/>
              </w:rPr>
              <w:t>æ</w:t>
            </w:r>
            <w:r w:rsidRPr="00AF50C5">
              <w:rPr>
                <w:sz w:val="24"/>
                <w:szCs w:val="24"/>
              </w:rPr>
              <w:t>lden</w:t>
            </w:r>
            <w:r w:rsidRPr="00AF50C5">
              <w:rPr>
                <w:sz w:val="24"/>
                <w:szCs w:val="24"/>
                <w:lang w:val="el-GR"/>
              </w:rPr>
              <w:t xml:space="preserve"> (</w:t>
            </w:r>
            <w:r w:rsidR="00310316" w:rsidRPr="00BF5D71">
              <w:rPr>
                <w:rFonts w:ascii="Symbol" w:hAnsi="Symbol"/>
                <w:szCs w:val="24"/>
              </w:rPr>
              <w:t></w:t>
            </w:r>
            <w:r w:rsidRPr="00AF50C5">
              <w:rPr>
                <w:sz w:val="24"/>
                <w:szCs w:val="24"/>
                <w:lang w:val="el-GR"/>
              </w:rPr>
              <w:t>1/10</w:t>
            </w:r>
            <w:r w:rsidRPr="00AF50C5">
              <w:rPr>
                <w:sz w:val="24"/>
                <w:szCs w:val="24"/>
              </w:rPr>
              <w:t>.</w:t>
            </w:r>
            <w:r w:rsidRPr="00AF50C5">
              <w:rPr>
                <w:sz w:val="24"/>
                <w:szCs w:val="24"/>
                <w:lang w:val="el-GR"/>
              </w:rPr>
              <w:t>000</w:t>
            </w:r>
            <w:r w:rsidRPr="00AF50C5">
              <w:rPr>
                <w:sz w:val="24"/>
                <w:szCs w:val="24"/>
              </w:rPr>
              <w:t xml:space="preserve"> til</w:t>
            </w:r>
            <w:r w:rsidRPr="00AF50C5">
              <w:rPr>
                <w:sz w:val="24"/>
                <w:szCs w:val="24"/>
                <w:lang w:val="el-GR"/>
              </w:rPr>
              <w:t xml:space="preserve"> </w:t>
            </w:r>
            <w:r w:rsidRPr="00AF50C5">
              <w:rPr>
                <w:sz w:val="24"/>
                <w:szCs w:val="24"/>
              </w:rPr>
              <w:t>&lt;</w:t>
            </w:r>
            <w:r w:rsidRPr="00AF50C5">
              <w:rPr>
                <w:sz w:val="24"/>
                <w:szCs w:val="24"/>
                <w:lang w:val="el-GR"/>
              </w:rPr>
              <w:t>1/1</w:t>
            </w:r>
            <w:r w:rsidRPr="00AF50C5">
              <w:rPr>
                <w:sz w:val="24"/>
                <w:szCs w:val="24"/>
              </w:rPr>
              <w:t>.</w:t>
            </w:r>
            <w:r w:rsidRPr="00AF50C5">
              <w:rPr>
                <w:sz w:val="24"/>
                <w:szCs w:val="24"/>
                <w:lang w:val="el-GR"/>
              </w:rPr>
              <w:t>000)</w:t>
            </w:r>
          </w:p>
          <w:p w14:paraId="26734797" w14:textId="77777777" w:rsidR="00EB7084" w:rsidRPr="00AF50C5" w:rsidRDefault="00EB7084" w:rsidP="007F02C9">
            <w:pPr>
              <w:rPr>
                <w:b/>
                <w:sz w:val="24"/>
                <w:szCs w:val="24"/>
              </w:rPr>
            </w:pPr>
          </w:p>
        </w:tc>
        <w:tc>
          <w:tcPr>
            <w:tcW w:w="4972" w:type="dxa"/>
          </w:tcPr>
          <w:p w14:paraId="2F8E3A02" w14:textId="77777777" w:rsidR="00EB7084" w:rsidRPr="00AF50C5" w:rsidRDefault="00EB7084" w:rsidP="007F02C9">
            <w:pPr>
              <w:rPr>
                <w:sz w:val="24"/>
                <w:szCs w:val="24"/>
              </w:rPr>
            </w:pPr>
          </w:p>
          <w:p w14:paraId="7E542382" w14:textId="77777777" w:rsidR="00EB7084" w:rsidRPr="00AF50C5" w:rsidRDefault="00EB7084" w:rsidP="007F02C9">
            <w:pPr>
              <w:rPr>
                <w:sz w:val="24"/>
                <w:szCs w:val="24"/>
              </w:rPr>
            </w:pPr>
            <w:r w:rsidRPr="00AF50C5">
              <w:rPr>
                <w:sz w:val="24"/>
                <w:szCs w:val="24"/>
              </w:rPr>
              <w:t>Angst.</w:t>
            </w:r>
          </w:p>
        </w:tc>
      </w:tr>
    </w:tbl>
    <w:p w14:paraId="319CC885" w14:textId="77777777" w:rsidR="00EB7084" w:rsidRPr="00AF50C5" w:rsidRDefault="00EB7084" w:rsidP="007F02C9">
      <w:pPr>
        <w:ind w:left="851"/>
        <w:rPr>
          <w:sz w:val="24"/>
          <w:szCs w:val="24"/>
        </w:rPr>
      </w:pPr>
    </w:p>
    <w:p w14:paraId="66C57566" w14:textId="77777777" w:rsidR="00EB7084" w:rsidRPr="00AF50C5" w:rsidRDefault="00EB7084" w:rsidP="007F02C9">
      <w:pPr>
        <w:ind w:left="851"/>
        <w:rPr>
          <w:spacing w:val="-3"/>
          <w:sz w:val="24"/>
          <w:szCs w:val="24"/>
        </w:rPr>
      </w:pPr>
      <w:r w:rsidRPr="00AF50C5">
        <w:rPr>
          <w:spacing w:val="-3"/>
          <w:sz w:val="24"/>
          <w:szCs w:val="24"/>
        </w:rPr>
        <w:t xml:space="preserve">Patienten bør monitoreres med henblik på udvikling af allergiske og egentlige anafylaktiske reaktioner. Behandlingen med acetylcystein fortsættes dog uanset bivirkninger, idet bivirkningerne behandles som anført nedenfor. I tilfælde af livstruende bivirkninger skiftes behandlingen til L-methionin. </w:t>
      </w:r>
    </w:p>
    <w:p w14:paraId="4035B727" w14:textId="77777777" w:rsidR="00EB7084" w:rsidRPr="00AF50C5" w:rsidRDefault="00EB7084" w:rsidP="007F02C9">
      <w:pPr>
        <w:ind w:left="851"/>
        <w:rPr>
          <w:sz w:val="24"/>
          <w:szCs w:val="24"/>
        </w:rPr>
      </w:pPr>
    </w:p>
    <w:p w14:paraId="67C018A0" w14:textId="77777777" w:rsidR="00EB7084" w:rsidRPr="00AF50C5" w:rsidRDefault="00EB7084" w:rsidP="007F02C9">
      <w:pPr>
        <w:ind w:left="851"/>
        <w:rPr>
          <w:sz w:val="24"/>
          <w:szCs w:val="24"/>
        </w:rPr>
      </w:pPr>
      <w:r w:rsidRPr="00AF50C5">
        <w:rPr>
          <w:sz w:val="24"/>
          <w:szCs w:val="24"/>
        </w:rPr>
        <w:t>Hypokaliæmi og EKG-forandringer er set under paracetamolforgiftning. Det anbefales derfor at monitorere serum-kalium under behandlingen.</w:t>
      </w:r>
    </w:p>
    <w:p w14:paraId="4F7D9A93" w14:textId="77777777" w:rsidR="00EB7084" w:rsidRPr="00AF50C5" w:rsidRDefault="00EB7084" w:rsidP="007F02C9">
      <w:pPr>
        <w:ind w:left="851"/>
        <w:rPr>
          <w:sz w:val="24"/>
          <w:szCs w:val="24"/>
        </w:rPr>
      </w:pPr>
    </w:p>
    <w:p w14:paraId="209FDB30" w14:textId="77777777" w:rsidR="00EB7084" w:rsidRPr="00AF50C5" w:rsidRDefault="00EB7084" w:rsidP="007F02C9">
      <w:pPr>
        <w:autoSpaceDE w:val="0"/>
        <w:autoSpaceDN w:val="0"/>
        <w:adjustRightInd w:val="0"/>
        <w:ind w:left="851"/>
        <w:rPr>
          <w:sz w:val="24"/>
          <w:szCs w:val="24"/>
          <w:u w:val="single"/>
        </w:rPr>
      </w:pPr>
      <w:r w:rsidRPr="00AF50C5">
        <w:rPr>
          <w:sz w:val="24"/>
          <w:szCs w:val="24"/>
          <w:u w:val="single"/>
        </w:rPr>
        <w:t>Indberetning af formodede bivirkninger</w:t>
      </w:r>
    </w:p>
    <w:p w14:paraId="2FA8757D" w14:textId="77777777" w:rsidR="00EB7084" w:rsidRPr="00AF50C5" w:rsidRDefault="00EB7084" w:rsidP="007F02C9">
      <w:pPr>
        <w:autoSpaceDE w:val="0"/>
        <w:autoSpaceDN w:val="0"/>
        <w:adjustRightInd w:val="0"/>
        <w:ind w:left="851"/>
        <w:rPr>
          <w:noProof/>
          <w:sz w:val="24"/>
          <w:szCs w:val="24"/>
        </w:rPr>
      </w:pPr>
      <w:r w:rsidRPr="00AF50C5">
        <w:rPr>
          <w:noProof/>
          <w:sz w:val="24"/>
          <w:szCs w:val="24"/>
        </w:rPr>
        <w:t>Når lægemidlet er godkendt, er indberetning af formodede bivirkninger vigtig.</w:t>
      </w:r>
      <w:r w:rsidRPr="00AF50C5">
        <w:rPr>
          <w:sz w:val="24"/>
          <w:szCs w:val="24"/>
        </w:rPr>
        <w:t xml:space="preserve"> </w:t>
      </w:r>
      <w:r w:rsidRPr="00AF50C5">
        <w:rPr>
          <w:noProof/>
          <w:sz w:val="24"/>
          <w:szCs w:val="24"/>
        </w:rPr>
        <w:t>Det muliggør løbende overvågning af benefit/risk-forholdet for lægemidlet.</w:t>
      </w:r>
      <w:r w:rsidRPr="00AF50C5">
        <w:rPr>
          <w:sz w:val="24"/>
          <w:szCs w:val="24"/>
        </w:rPr>
        <w:t xml:space="preserve"> </w:t>
      </w:r>
      <w:r w:rsidRPr="00AF50C5">
        <w:rPr>
          <w:noProof/>
          <w:sz w:val="24"/>
          <w:szCs w:val="24"/>
        </w:rPr>
        <w:t xml:space="preserve">Læger og sundhedspersonale anmodes om at indberette alle formodede bivirkninger via: </w:t>
      </w:r>
    </w:p>
    <w:p w14:paraId="6CB006F6" w14:textId="77777777" w:rsidR="00EB7084" w:rsidRPr="00AF50C5" w:rsidRDefault="00EB7084" w:rsidP="007F02C9">
      <w:pPr>
        <w:autoSpaceDE w:val="0"/>
        <w:autoSpaceDN w:val="0"/>
        <w:adjustRightInd w:val="0"/>
        <w:ind w:left="851"/>
        <w:rPr>
          <w:sz w:val="24"/>
          <w:szCs w:val="24"/>
        </w:rPr>
      </w:pPr>
    </w:p>
    <w:p w14:paraId="3808014E" w14:textId="77777777" w:rsidR="00EB7084" w:rsidRPr="00AF50C5" w:rsidRDefault="00EB7084" w:rsidP="007F02C9">
      <w:pPr>
        <w:autoSpaceDE w:val="0"/>
        <w:autoSpaceDN w:val="0"/>
        <w:adjustRightInd w:val="0"/>
        <w:ind w:left="851"/>
        <w:rPr>
          <w:noProof/>
          <w:sz w:val="24"/>
          <w:szCs w:val="24"/>
        </w:rPr>
      </w:pPr>
      <w:r w:rsidRPr="00AF50C5">
        <w:rPr>
          <w:noProof/>
          <w:sz w:val="24"/>
          <w:szCs w:val="24"/>
        </w:rPr>
        <w:t>Lægemiddelstyrelsen</w:t>
      </w:r>
    </w:p>
    <w:p w14:paraId="2626E395" w14:textId="77777777" w:rsidR="00EB7084" w:rsidRPr="00AF50C5" w:rsidRDefault="00EB7084" w:rsidP="007F02C9">
      <w:pPr>
        <w:autoSpaceDE w:val="0"/>
        <w:autoSpaceDN w:val="0"/>
        <w:adjustRightInd w:val="0"/>
        <w:ind w:left="851"/>
        <w:rPr>
          <w:noProof/>
          <w:sz w:val="24"/>
          <w:szCs w:val="24"/>
        </w:rPr>
      </w:pPr>
      <w:r w:rsidRPr="00AF50C5">
        <w:rPr>
          <w:noProof/>
          <w:sz w:val="24"/>
          <w:szCs w:val="24"/>
        </w:rPr>
        <w:t>Axel Heides Gade 1</w:t>
      </w:r>
    </w:p>
    <w:p w14:paraId="3CF5813A" w14:textId="77777777" w:rsidR="00EB7084" w:rsidRPr="00AF50C5" w:rsidRDefault="00EB7084" w:rsidP="007F02C9">
      <w:pPr>
        <w:autoSpaceDE w:val="0"/>
        <w:autoSpaceDN w:val="0"/>
        <w:adjustRightInd w:val="0"/>
        <w:ind w:left="851"/>
        <w:rPr>
          <w:noProof/>
          <w:sz w:val="24"/>
          <w:szCs w:val="24"/>
        </w:rPr>
      </w:pPr>
      <w:r w:rsidRPr="00AF50C5">
        <w:rPr>
          <w:noProof/>
          <w:sz w:val="24"/>
          <w:szCs w:val="24"/>
        </w:rPr>
        <w:t>DK-2300 København S</w:t>
      </w:r>
    </w:p>
    <w:p w14:paraId="316B6D75" w14:textId="77777777" w:rsidR="00EB7084" w:rsidRPr="00AF50C5" w:rsidRDefault="00EB7084" w:rsidP="007F02C9">
      <w:pPr>
        <w:autoSpaceDE w:val="0"/>
        <w:autoSpaceDN w:val="0"/>
        <w:adjustRightInd w:val="0"/>
        <w:ind w:left="851"/>
        <w:rPr>
          <w:noProof/>
          <w:sz w:val="24"/>
          <w:szCs w:val="24"/>
          <w:lang w:val="en-US"/>
        </w:rPr>
      </w:pPr>
      <w:r w:rsidRPr="00AF50C5">
        <w:rPr>
          <w:noProof/>
          <w:sz w:val="24"/>
          <w:szCs w:val="24"/>
          <w:lang w:val="en-US"/>
        </w:rPr>
        <w:t>Websted: www.meldenbivirkning.dk</w:t>
      </w:r>
    </w:p>
    <w:p w14:paraId="0152DDC0" w14:textId="77777777" w:rsidR="00EB7084" w:rsidRPr="00AF50C5" w:rsidRDefault="00EB7084" w:rsidP="007F02C9">
      <w:pPr>
        <w:autoSpaceDE w:val="0"/>
        <w:autoSpaceDN w:val="0"/>
        <w:adjustRightInd w:val="0"/>
        <w:ind w:left="851"/>
        <w:rPr>
          <w:noProof/>
          <w:sz w:val="24"/>
          <w:szCs w:val="24"/>
          <w:lang w:val="en-US"/>
        </w:rPr>
      </w:pPr>
      <w:r w:rsidRPr="00AF50C5">
        <w:rPr>
          <w:noProof/>
          <w:sz w:val="24"/>
          <w:szCs w:val="24"/>
          <w:lang w:val="en-US"/>
        </w:rPr>
        <w:t>E-mail: dkma@dkma.dk</w:t>
      </w:r>
    </w:p>
    <w:p w14:paraId="6311C3B9" w14:textId="77777777" w:rsidR="00EB7084" w:rsidRPr="00AF50C5" w:rsidRDefault="00EB7084" w:rsidP="007F02C9">
      <w:pPr>
        <w:ind w:left="850"/>
        <w:jc w:val="both"/>
        <w:rPr>
          <w:spacing w:val="-3"/>
          <w:sz w:val="24"/>
          <w:szCs w:val="24"/>
          <w:lang w:val="en-US"/>
        </w:rPr>
      </w:pPr>
    </w:p>
    <w:p w14:paraId="3B8E7A28" w14:textId="77777777" w:rsidR="00EB7084" w:rsidRPr="00AF50C5" w:rsidRDefault="00EB7084" w:rsidP="007F02C9">
      <w:pPr>
        <w:numPr>
          <w:ilvl w:val="1"/>
          <w:numId w:val="4"/>
        </w:numPr>
        <w:rPr>
          <w:b/>
          <w:sz w:val="24"/>
          <w:szCs w:val="24"/>
        </w:rPr>
      </w:pPr>
      <w:r w:rsidRPr="00AF50C5">
        <w:rPr>
          <w:b/>
          <w:sz w:val="24"/>
          <w:szCs w:val="24"/>
        </w:rPr>
        <w:t>Overdosering</w:t>
      </w:r>
    </w:p>
    <w:p w14:paraId="63F12FB0" w14:textId="77777777" w:rsidR="00EB7084" w:rsidRPr="00AF50C5" w:rsidRDefault="00EB7084" w:rsidP="007F02C9">
      <w:pPr>
        <w:ind w:left="851"/>
        <w:rPr>
          <w:sz w:val="24"/>
          <w:szCs w:val="24"/>
        </w:rPr>
      </w:pPr>
      <w:r w:rsidRPr="00AF50C5">
        <w:rPr>
          <w:sz w:val="24"/>
          <w:szCs w:val="24"/>
        </w:rPr>
        <w:t xml:space="preserve">Der er en teoretisk risiko for hepatisk encefalopati. Der er rapporter om at overdosering med acetylcystein medfører de samme anafylaktiske reaktioner, om end i en mere udtalt i grad, som nævnt i punkt 4.8. </w:t>
      </w:r>
    </w:p>
    <w:p w14:paraId="36BF6701" w14:textId="77777777" w:rsidR="00EB7084" w:rsidRPr="00AF50C5" w:rsidRDefault="00EB7084" w:rsidP="007F02C9">
      <w:pPr>
        <w:ind w:left="851"/>
        <w:rPr>
          <w:sz w:val="24"/>
          <w:szCs w:val="24"/>
        </w:rPr>
      </w:pPr>
    </w:p>
    <w:p w14:paraId="67DF52B3" w14:textId="77777777" w:rsidR="00EB7084" w:rsidRPr="00AF50C5" w:rsidRDefault="00EB7084" w:rsidP="007F02C9">
      <w:pPr>
        <w:pStyle w:val="BodyTextIndent2"/>
        <w:tabs>
          <w:tab w:val="left" w:pos="0"/>
          <w:tab w:val="left" w:pos="851"/>
        </w:tabs>
        <w:rPr>
          <w:szCs w:val="24"/>
        </w:rPr>
      </w:pPr>
      <w:r w:rsidRPr="00AF50C5">
        <w:rPr>
          <w:szCs w:val="24"/>
        </w:rPr>
        <w:t>De anafylaktiske reaktioner behandles på almindelig vis med pausering af NAC infusionen og antihistaminer eller kortikosteroider. Der findes ikke nogen antidot mod acetylcystein.</w:t>
      </w:r>
    </w:p>
    <w:p w14:paraId="7D7485D9" w14:textId="77777777" w:rsidR="00EB7084" w:rsidRPr="00AF50C5" w:rsidRDefault="00EB7084" w:rsidP="007F02C9">
      <w:pPr>
        <w:pStyle w:val="BodyTextIndent2"/>
        <w:tabs>
          <w:tab w:val="left" w:pos="0"/>
          <w:tab w:val="left" w:pos="851"/>
        </w:tabs>
        <w:rPr>
          <w:szCs w:val="24"/>
        </w:rPr>
      </w:pPr>
    </w:p>
    <w:p w14:paraId="7A3FDA74" w14:textId="77777777" w:rsidR="00EB7084" w:rsidRPr="00AF50C5" w:rsidRDefault="00EB7084" w:rsidP="007F02C9">
      <w:pPr>
        <w:numPr>
          <w:ilvl w:val="1"/>
          <w:numId w:val="4"/>
        </w:numPr>
        <w:rPr>
          <w:b/>
          <w:sz w:val="24"/>
          <w:szCs w:val="24"/>
        </w:rPr>
      </w:pPr>
      <w:r w:rsidRPr="00AF50C5">
        <w:rPr>
          <w:b/>
          <w:sz w:val="24"/>
          <w:szCs w:val="24"/>
        </w:rPr>
        <w:t>Udlevering</w:t>
      </w:r>
    </w:p>
    <w:p w14:paraId="7EAC8175" w14:textId="77777777" w:rsidR="00EB7084" w:rsidRPr="00AF50C5" w:rsidRDefault="00EB7084" w:rsidP="007F02C9">
      <w:pPr>
        <w:tabs>
          <w:tab w:val="left" w:pos="0"/>
          <w:tab w:val="left" w:pos="851"/>
        </w:tabs>
        <w:ind w:left="850" w:hanging="850"/>
        <w:jc w:val="both"/>
        <w:rPr>
          <w:spacing w:val="-3"/>
          <w:sz w:val="24"/>
          <w:szCs w:val="24"/>
        </w:rPr>
      </w:pPr>
      <w:r w:rsidRPr="00AF50C5">
        <w:rPr>
          <w:spacing w:val="-3"/>
          <w:sz w:val="24"/>
          <w:szCs w:val="24"/>
        </w:rPr>
        <w:tab/>
        <w:t>B</w:t>
      </w:r>
    </w:p>
    <w:p w14:paraId="3AEF664E" w14:textId="77777777" w:rsidR="00EB7084" w:rsidRPr="00AF50C5" w:rsidRDefault="00EB7084" w:rsidP="007F02C9">
      <w:pPr>
        <w:tabs>
          <w:tab w:val="left" w:pos="0"/>
          <w:tab w:val="left" w:pos="851"/>
        </w:tabs>
        <w:ind w:left="850" w:hanging="850"/>
        <w:jc w:val="both"/>
        <w:rPr>
          <w:b/>
          <w:spacing w:val="-3"/>
          <w:sz w:val="24"/>
          <w:szCs w:val="24"/>
        </w:rPr>
      </w:pPr>
    </w:p>
    <w:p w14:paraId="0D34A178" w14:textId="77777777" w:rsidR="00EB7084" w:rsidRPr="00AF50C5" w:rsidRDefault="00EB7084" w:rsidP="007F02C9">
      <w:pPr>
        <w:tabs>
          <w:tab w:val="left" w:pos="0"/>
          <w:tab w:val="left" w:pos="851"/>
        </w:tabs>
        <w:ind w:left="850" w:hanging="850"/>
        <w:jc w:val="both"/>
        <w:rPr>
          <w:b/>
          <w:spacing w:val="-3"/>
          <w:sz w:val="24"/>
          <w:szCs w:val="24"/>
        </w:rPr>
      </w:pPr>
    </w:p>
    <w:p w14:paraId="372337FC" w14:textId="77777777" w:rsidR="00EB7084" w:rsidRPr="00AF50C5" w:rsidRDefault="00EB7084" w:rsidP="007F02C9">
      <w:pPr>
        <w:numPr>
          <w:ilvl w:val="0"/>
          <w:numId w:val="4"/>
        </w:numPr>
        <w:rPr>
          <w:b/>
          <w:sz w:val="24"/>
          <w:szCs w:val="24"/>
        </w:rPr>
      </w:pPr>
      <w:r w:rsidRPr="00AF50C5">
        <w:rPr>
          <w:b/>
          <w:sz w:val="24"/>
          <w:szCs w:val="24"/>
        </w:rPr>
        <w:t>FARMAKOLOGISKE EGENSKABER</w:t>
      </w:r>
    </w:p>
    <w:p w14:paraId="5D278BA6" w14:textId="77777777" w:rsidR="00EB7084" w:rsidRPr="00AF50C5" w:rsidRDefault="00EB7084" w:rsidP="007F02C9">
      <w:pPr>
        <w:tabs>
          <w:tab w:val="left" w:pos="0"/>
          <w:tab w:val="left" w:pos="851"/>
        </w:tabs>
        <w:jc w:val="both"/>
        <w:rPr>
          <w:b/>
          <w:spacing w:val="-3"/>
          <w:sz w:val="24"/>
          <w:szCs w:val="24"/>
        </w:rPr>
      </w:pPr>
    </w:p>
    <w:p w14:paraId="5125359F" w14:textId="77777777" w:rsidR="00EB7084" w:rsidRPr="00AF50C5" w:rsidRDefault="00EB7084" w:rsidP="007F02C9">
      <w:pPr>
        <w:numPr>
          <w:ilvl w:val="0"/>
          <w:numId w:val="5"/>
        </w:numPr>
        <w:rPr>
          <w:b/>
          <w:sz w:val="24"/>
          <w:szCs w:val="24"/>
          <w:lang w:val="de-DE"/>
        </w:rPr>
      </w:pPr>
      <w:r w:rsidRPr="00AF50C5">
        <w:rPr>
          <w:b/>
          <w:sz w:val="24"/>
          <w:szCs w:val="24"/>
          <w:lang w:val="de-DE"/>
        </w:rPr>
        <w:t>Terapeutisk klassifikation</w:t>
      </w:r>
    </w:p>
    <w:p w14:paraId="1B86F832" w14:textId="77777777" w:rsidR="00EB7084" w:rsidRPr="00AF50C5" w:rsidRDefault="00EB7084" w:rsidP="007F02C9">
      <w:pPr>
        <w:tabs>
          <w:tab w:val="left" w:pos="0"/>
          <w:tab w:val="left" w:pos="851"/>
        </w:tabs>
        <w:ind w:left="855"/>
        <w:rPr>
          <w:spacing w:val="-3"/>
          <w:sz w:val="24"/>
          <w:szCs w:val="24"/>
          <w:lang w:val="de-DE"/>
        </w:rPr>
      </w:pPr>
      <w:r w:rsidRPr="00AF50C5">
        <w:rPr>
          <w:spacing w:val="-3"/>
          <w:sz w:val="24"/>
          <w:szCs w:val="24"/>
          <w:lang w:val="de-DE"/>
        </w:rPr>
        <w:t>ATC</w:t>
      </w:r>
      <w:r w:rsidR="0035533D">
        <w:rPr>
          <w:spacing w:val="-3"/>
          <w:sz w:val="24"/>
          <w:szCs w:val="24"/>
          <w:lang w:val="de-DE"/>
        </w:rPr>
        <w:t>-kode</w:t>
      </w:r>
      <w:r w:rsidRPr="00AF50C5">
        <w:rPr>
          <w:spacing w:val="-3"/>
          <w:sz w:val="24"/>
          <w:szCs w:val="24"/>
          <w:lang w:val="de-DE"/>
        </w:rPr>
        <w:t>: V 03 AB 23</w:t>
      </w:r>
      <w:r w:rsidR="0035533D">
        <w:rPr>
          <w:spacing w:val="-3"/>
          <w:sz w:val="24"/>
          <w:szCs w:val="24"/>
          <w:lang w:val="de-DE"/>
        </w:rPr>
        <w:t xml:space="preserve">. </w:t>
      </w:r>
      <w:r w:rsidRPr="00AF50C5">
        <w:rPr>
          <w:spacing w:val="-3"/>
          <w:sz w:val="24"/>
          <w:szCs w:val="24"/>
          <w:lang w:val="de-DE"/>
        </w:rPr>
        <w:t>Antidoter.</w:t>
      </w:r>
    </w:p>
    <w:p w14:paraId="23EC4B11" w14:textId="77777777" w:rsidR="00EB7084" w:rsidRPr="00AF50C5" w:rsidRDefault="00EB7084" w:rsidP="007F02C9">
      <w:pPr>
        <w:tabs>
          <w:tab w:val="left" w:pos="0"/>
          <w:tab w:val="left" w:pos="851"/>
        </w:tabs>
        <w:jc w:val="both"/>
        <w:rPr>
          <w:spacing w:val="-3"/>
          <w:sz w:val="24"/>
          <w:szCs w:val="24"/>
          <w:lang w:val="de-DE"/>
        </w:rPr>
      </w:pPr>
    </w:p>
    <w:p w14:paraId="3B0887CB" w14:textId="77777777" w:rsidR="00EB7084" w:rsidRPr="00AF50C5" w:rsidRDefault="00EB7084" w:rsidP="007F02C9">
      <w:pPr>
        <w:numPr>
          <w:ilvl w:val="1"/>
          <w:numId w:val="5"/>
        </w:numPr>
        <w:tabs>
          <w:tab w:val="clear" w:pos="2159"/>
          <w:tab w:val="num" w:pos="851"/>
        </w:tabs>
        <w:ind w:hanging="2159"/>
        <w:rPr>
          <w:b/>
          <w:sz w:val="24"/>
          <w:szCs w:val="24"/>
        </w:rPr>
      </w:pPr>
      <w:r w:rsidRPr="00AF50C5">
        <w:rPr>
          <w:b/>
          <w:sz w:val="24"/>
          <w:szCs w:val="24"/>
        </w:rPr>
        <w:t>Farmakodynamiske egenskaber</w:t>
      </w:r>
    </w:p>
    <w:p w14:paraId="514E4E90" w14:textId="77777777" w:rsidR="0035533D" w:rsidRDefault="0035533D" w:rsidP="007F02C9">
      <w:pPr>
        <w:pStyle w:val="BodyTextIndent"/>
        <w:ind w:firstLine="1"/>
        <w:jc w:val="left"/>
        <w:rPr>
          <w:bCs/>
          <w:noProof/>
          <w:szCs w:val="24"/>
        </w:rPr>
      </w:pPr>
    </w:p>
    <w:p w14:paraId="4428BFA8" w14:textId="77777777" w:rsidR="00EB7084" w:rsidRPr="0035533D" w:rsidRDefault="00EB7084" w:rsidP="007F02C9">
      <w:pPr>
        <w:pStyle w:val="BodyTextIndent"/>
        <w:ind w:firstLine="1"/>
        <w:jc w:val="left"/>
        <w:rPr>
          <w:szCs w:val="24"/>
          <w:u w:val="single"/>
        </w:rPr>
      </w:pPr>
      <w:r w:rsidRPr="0035533D">
        <w:rPr>
          <w:bCs/>
          <w:noProof/>
          <w:szCs w:val="24"/>
          <w:u w:val="single"/>
        </w:rPr>
        <w:t>Virkningsmekanisme</w:t>
      </w:r>
    </w:p>
    <w:p w14:paraId="6A4D6599" w14:textId="77777777" w:rsidR="00EB7084" w:rsidRPr="00AF50C5" w:rsidRDefault="00EB7084" w:rsidP="007F02C9">
      <w:pPr>
        <w:pStyle w:val="BodyTextIndent"/>
        <w:ind w:firstLine="1"/>
        <w:jc w:val="left"/>
        <w:rPr>
          <w:rStyle w:val="afsnitspacer"/>
          <w:szCs w:val="24"/>
        </w:rPr>
      </w:pPr>
      <w:r w:rsidRPr="00AF50C5">
        <w:rPr>
          <w:szCs w:val="24"/>
        </w:rPr>
        <w:t>Acetylcystein er det N-acetylerede derivat af aminosyren cystein.</w:t>
      </w:r>
      <w:r w:rsidRPr="00AF50C5">
        <w:rPr>
          <w:rStyle w:val="afsnitspacer"/>
          <w:szCs w:val="24"/>
        </w:rPr>
        <w:t xml:space="preserve"> </w:t>
      </w:r>
    </w:p>
    <w:p w14:paraId="363F890E" w14:textId="77777777" w:rsidR="00EB7084" w:rsidRPr="00AF50C5" w:rsidRDefault="00EB7084" w:rsidP="007F02C9">
      <w:pPr>
        <w:tabs>
          <w:tab w:val="left" w:pos="0"/>
          <w:tab w:val="left" w:pos="851"/>
        </w:tabs>
        <w:ind w:left="850" w:hanging="850"/>
        <w:rPr>
          <w:spacing w:val="-3"/>
          <w:sz w:val="24"/>
          <w:szCs w:val="24"/>
        </w:rPr>
      </w:pPr>
      <w:r w:rsidRPr="00AF50C5">
        <w:rPr>
          <w:rStyle w:val="afsnitspacer"/>
          <w:sz w:val="24"/>
          <w:szCs w:val="24"/>
        </w:rPr>
        <w:tab/>
        <w:t xml:space="preserve">Forgiftning med paracetamol medfører dannelse af en arylerende cytotoksisk metabolit, som uskadeliggøres ved konjugering til glutathion. </w:t>
      </w:r>
      <w:r w:rsidRPr="00AF50C5">
        <w:rPr>
          <w:spacing w:val="-3"/>
          <w:sz w:val="24"/>
          <w:szCs w:val="24"/>
        </w:rPr>
        <w:t xml:space="preserve">Ved indgift af meget høje doser paracetamol tømmes lageret af glutathion, så inaktiveringen af den cytotoksiske metabolit til sidst nedsættes. Samtidig øges metaboliseringen af paracetamol via alternative veje. </w:t>
      </w:r>
    </w:p>
    <w:p w14:paraId="3E79BC32" w14:textId="77777777" w:rsidR="00EB7084" w:rsidRPr="00AF50C5" w:rsidRDefault="00EB7084" w:rsidP="007F02C9">
      <w:pPr>
        <w:tabs>
          <w:tab w:val="left" w:pos="0"/>
          <w:tab w:val="left" w:pos="851"/>
        </w:tabs>
        <w:ind w:left="850"/>
        <w:rPr>
          <w:spacing w:val="-3"/>
          <w:sz w:val="24"/>
          <w:szCs w:val="24"/>
        </w:rPr>
      </w:pPr>
      <w:r w:rsidRPr="00AF50C5">
        <w:rPr>
          <w:spacing w:val="-3"/>
          <w:sz w:val="24"/>
          <w:szCs w:val="24"/>
        </w:rPr>
        <w:tab/>
        <w:t xml:space="preserve">Acetylcystein menes at beskytte leveren ved at genskabe/bibeholde glutathion eller ved at virke, som et alternativt substrat for konjugeringen af den cytotoksiske metabolit. </w:t>
      </w:r>
    </w:p>
    <w:p w14:paraId="5F35A965" w14:textId="77777777" w:rsidR="00EB7084" w:rsidRPr="00AF50C5" w:rsidRDefault="00EB7084" w:rsidP="007F02C9">
      <w:pPr>
        <w:tabs>
          <w:tab w:val="left" w:pos="0"/>
          <w:tab w:val="left" w:pos="851"/>
        </w:tabs>
        <w:ind w:left="850"/>
        <w:rPr>
          <w:spacing w:val="-3"/>
          <w:sz w:val="24"/>
          <w:szCs w:val="24"/>
        </w:rPr>
      </w:pPr>
    </w:p>
    <w:p w14:paraId="28B082BA" w14:textId="77777777" w:rsidR="00EB7084" w:rsidRPr="00AF50C5" w:rsidRDefault="00EB7084" w:rsidP="007F02C9">
      <w:pPr>
        <w:tabs>
          <w:tab w:val="left" w:pos="851"/>
        </w:tabs>
        <w:rPr>
          <w:b/>
          <w:sz w:val="24"/>
          <w:szCs w:val="24"/>
        </w:rPr>
      </w:pPr>
      <w:r w:rsidRPr="00AF50C5">
        <w:rPr>
          <w:b/>
          <w:sz w:val="24"/>
          <w:szCs w:val="24"/>
        </w:rPr>
        <w:t>5.2</w:t>
      </w:r>
      <w:r w:rsidRPr="00AF50C5">
        <w:rPr>
          <w:b/>
          <w:sz w:val="24"/>
          <w:szCs w:val="24"/>
        </w:rPr>
        <w:tab/>
        <w:t>Farmakokinetiske egenskaber</w:t>
      </w:r>
    </w:p>
    <w:p w14:paraId="1693D6CA" w14:textId="77777777" w:rsidR="00133A1B" w:rsidRDefault="00133A1B" w:rsidP="007F02C9">
      <w:pPr>
        <w:pStyle w:val="BodyTextIndent2"/>
        <w:jc w:val="left"/>
        <w:rPr>
          <w:iCs/>
          <w:szCs w:val="24"/>
          <w:u w:val="single"/>
        </w:rPr>
      </w:pPr>
    </w:p>
    <w:p w14:paraId="40A3C638" w14:textId="77777777" w:rsidR="00EB7084" w:rsidRPr="00AF50C5" w:rsidRDefault="00EB7084" w:rsidP="007F02C9">
      <w:pPr>
        <w:pStyle w:val="BodyTextIndent2"/>
        <w:jc w:val="left"/>
        <w:rPr>
          <w:iCs/>
          <w:szCs w:val="24"/>
          <w:u w:val="single"/>
        </w:rPr>
      </w:pPr>
      <w:r w:rsidRPr="00AF50C5">
        <w:rPr>
          <w:iCs/>
          <w:szCs w:val="24"/>
          <w:u w:val="single"/>
        </w:rPr>
        <w:t>Fordeling</w:t>
      </w:r>
    </w:p>
    <w:p w14:paraId="65F82D14" w14:textId="77777777" w:rsidR="00EB7084" w:rsidRPr="00AF50C5" w:rsidRDefault="00EB7084" w:rsidP="007F02C9">
      <w:pPr>
        <w:pStyle w:val="BodyTextIndent2"/>
        <w:jc w:val="left"/>
        <w:rPr>
          <w:szCs w:val="24"/>
        </w:rPr>
      </w:pPr>
      <w:r w:rsidRPr="00AF50C5">
        <w:rPr>
          <w:szCs w:val="24"/>
        </w:rPr>
        <w:t>Proteinbinding er 20-50</w:t>
      </w:r>
      <w:r w:rsidR="005F5354">
        <w:rPr>
          <w:szCs w:val="24"/>
        </w:rPr>
        <w:t xml:space="preserve"> %</w:t>
      </w:r>
      <w:r w:rsidRPr="00AF50C5">
        <w:rPr>
          <w:szCs w:val="24"/>
        </w:rPr>
        <w:t xml:space="preserve"> efter i.v. administration. Maksimum på ca. 50</w:t>
      </w:r>
      <w:r w:rsidR="005F5354">
        <w:rPr>
          <w:szCs w:val="24"/>
        </w:rPr>
        <w:t xml:space="preserve"> %</w:t>
      </w:r>
      <w:r w:rsidRPr="00AF50C5">
        <w:rPr>
          <w:szCs w:val="24"/>
        </w:rPr>
        <w:t xml:space="preserve"> efter 4 timer og minimum på ca. 20</w:t>
      </w:r>
      <w:r w:rsidR="005F5354">
        <w:rPr>
          <w:szCs w:val="24"/>
        </w:rPr>
        <w:t xml:space="preserve"> %</w:t>
      </w:r>
      <w:r w:rsidRPr="00AF50C5">
        <w:rPr>
          <w:szCs w:val="24"/>
        </w:rPr>
        <w:t xml:space="preserve"> efter 12 timer. Acetylcystein passerer placenta.</w:t>
      </w:r>
    </w:p>
    <w:p w14:paraId="7CE65731" w14:textId="77777777" w:rsidR="00EB7084" w:rsidRPr="00AF50C5" w:rsidRDefault="00EB7084" w:rsidP="007F02C9">
      <w:pPr>
        <w:pStyle w:val="BodyTextIndent2"/>
        <w:jc w:val="left"/>
        <w:rPr>
          <w:szCs w:val="24"/>
        </w:rPr>
      </w:pPr>
    </w:p>
    <w:p w14:paraId="2BABE777" w14:textId="77777777" w:rsidR="00EB7084" w:rsidRPr="00AF50C5" w:rsidRDefault="00EB7084" w:rsidP="007F02C9">
      <w:pPr>
        <w:pStyle w:val="BodyTextIndent2"/>
        <w:jc w:val="left"/>
        <w:rPr>
          <w:szCs w:val="24"/>
          <w:u w:val="single"/>
        </w:rPr>
      </w:pPr>
      <w:r w:rsidRPr="00AF50C5">
        <w:rPr>
          <w:szCs w:val="24"/>
          <w:u w:val="single"/>
        </w:rPr>
        <w:t>Biotransformation</w:t>
      </w:r>
    </w:p>
    <w:p w14:paraId="7CDB9306" w14:textId="77777777" w:rsidR="00EB7084" w:rsidRPr="00AF50C5" w:rsidRDefault="00EB7084" w:rsidP="007F02C9">
      <w:pPr>
        <w:pStyle w:val="BodyTextIndent2"/>
        <w:jc w:val="left"/>
        <w:rPr>
          <w:szCs w:val="24"/>
        </w:rPr>
      </w:pPr>
      <w:r w:rsidRPr="00AF50C5">
        <w:rPr>
          <w:szCs w:val="24"/>
        </w:rPr>
        <w:t xml:space="preserve">Hurtig og omfattende metabolisering i leveren og i tyndtarmens væg. </w:t>
      </w:r>
    </w:p>
    <w:p w14:paraId="0EA4425F" w14:textId="77777777" w:rsidR="00EB7084" w:rsidRPr="00AF50C5" w:rsidRDefault="00EB7084" w:rsidP="007F02C9">
      <w:pPr>
        <w:pStyle w:val="BodyTextIndent2"/>
        <w:jc w:val="left"/>
        <w:rPr>
          <w:szCs w:val="24"/>
        </w:rPr>
      </w:pPr>
    </w:p>
    <w:p w14:paraId="4E92ED49" w14:textId="77777777" w:rsidR="00EB7084" w:rsidRPr="00AF50C5" w:rsidRDefault="00EB7084" w:rsidP="007F02C9">
      <w:pPr>
        <w:pStyle w:val="BodyTextIndent2"/>
        <w:jc w:val="left"/>
        <w:rPr>
          <w:iCs/>
          <w:szCs w:val="24"/>
          <w:u w:val="single"/>
        </w:rPr>
      </w:pPr>
      <w:r w:rsidRPr="00AF50C5">
        <w:rPr>
          <w:iCs/>
          <w:szCs w:val="24"/>
          <w:u w:val="single"/>
        </w:rPr>
        <w:t>Elimination</w:t>
      </w:r>
    </w:p>
    <w:p w14:paraId="75A5DAE4" w14:textId="77777777" w:rsidR="00EB7084" w:rsidRPr="00AF50C5" w:rsidRDefault="00EB7084" w:rsidP="007F02C9">
      <w:pPr>
        <w:pStyle w:val="BodyTextIndent2"/>
        <w:jc w:val="left"/>
        <w:rPr>
          <w:szCs w:val="24"/>
        </w:rPr>
      </w:pPr>
      <w:r w:rsidRPr="00AF50C5">
        <w:rPr>
          <w:szCs w:val="24"/>
        </w:rPr>
        <w:t>Acetylcystein udskilles hovedsageligt via nyrerne, mens kun en lille del udskilles via fæces.</w:t>
      </w:r>
      <w:r w:rsidRPr="00AF50C5">
        <w:rPr>
          <w:i/>
          <w:iCs/>
          <w:szCs w:val="24"/>
        </w:rPr>
        <w:t xml:space="preserve"> </w:t>
      </w:r>
      <w:r w:rsidRPr="00AF50C5">
        <w:rPr>
          <w:szCs w:val="24"/>
        </w:rPr>
        <w:t xml:space="preserve">Halveringstiden er 2-3 timer. </w:t>
      </w:r>
    </w:p>
    <w:p w14:paraId="76CB40B4" w14:textId="77777777" w:rsidR="00EB7084" w:rsidRPr="00AF50C5" w:rsidRDefault="00EB7084" w:rsidP="007F02C9">
      <w:pPr>
        <w:tabs>
          <w:tab w:val="left" w:pos="0"/>
          <w:tab w:val="left" w:pos="851"/>
        </w:tabs>
        <w:ind w:left="850" w:hanging="850"/>
        <w:jc w:val="both"/>
        <w:rPr>
          <w:spacing w:val="-3"/>
          <w:sz w:val="24"/>
          <w:szCs w:val="24"/>
        </w:rPr>
      </w:pPr>
      <w:r w:rsidRPr="00AF50C5">
        <w:rPr>
          <w:spacing w:val="-3"/>
          <w:sz w:val="24"/>
          <w:szCs w:val="24"/>
        </w:rPr>
        <w:t xml:space="preserve"> </w:t>
      </w:r>
    </w:p>
    <w:p w14:paraId="6E7E3E89" w14:textId="77777777" w:rsidR="00EB7084" w:rsidRPr="00AF50C5" w:rsidRDefault="00EB7084" w:rsidP="007F02C9">
      <w:pPr>
        <w:numPr>
          <w:ilvl w:val="1"/>
          <w:numId w:val="6"/>
        </w:numPr>
        <w:rPr>
          <w:b/>
          <w:sz w:val="24"/>
          <w:szCs w:val="24"/>
        </w:rPr>
      </w:pPr>
      <w:r w:rsidRPr="00AF50C5">
        <w:rPr>
          <w:b/>
          <w:sz w:val="24"/>
          <w:szCs w:val="24"/>
        </w:rPr>
        <w:t>Prækliniske sikkerhedsdata</w:t>
      </w:r>
    </w:p>
    <w:p w14:paraId="7C32056D" w14:textId="77777777" w:rsidR="00EB7084" w:rsidRPr="00AF50C5" w:rsidRDefault="00EB7084" w:rsidP="007F02C9">
      <w:pPr>
        <w:pStyle w:val="BodyTextIndent"/>
        <w:rPr>
          <w:szCs w:val="24"/>
        </w:rPr>
      </w:pPr>
      <w:r w:rsidRPr="00AF50C5">
        <w:rPr>
          <w:szCs w:val="24"/>
        </w:rPr>
        <w:tab/>
        <w:t>Ingen oplysninger.</w:t>
      </w:r>
    </w:p>
    <w:p w14:paraId="260729F3" w14:textId="77777777" w:rsidR="00EB7084" w:rsidRPr="00AF50C5" w:rsidRDefault="00EB7084" w:rsidP="007F02C9">
      <w:pPr>
        <w:tabs>
          <w:tab w:val="left" w:pos="0"/>
          <w:tab w:val="left" w:pos="851"/>
        </w:tabs>
        <w:jc w:val="both"/>
        <w:rPr>
          <w:spacing w:val="-3"/>
          <w:sz w:val="24"/>
          <w:szCs w:val="24"/>
        </w:rPr>
      </w:pPr>
    </w:p>
    <w:p w14:paraId="7BE112C9" w14:textId="77777777" w:rsidR="00EB7084" w:rsidRPr="00AF50C5" w:rsidRDefault="00EB7084" w:rsidP="007F02C9">
      <w:pPr>
        <w:tabs>
          <w:tab w:val="left" w:pos="0"/>
          <w:tab w:val="left" w:pos="851"/>
        </w:tabs>
        <w:ind w:left="850" w:hanging="850"/>
        <w:jc w:val="both"/>
        <w:rPr>
          <w:b/>
          <w:spacing w:val="-3"/>
          <w:sz w:val="24"/>
          <w:szCs w:val="24"/>
        </w:rPr>
      </w:pPr>
    </w:p>
    <w:p w14:paraId="049A9C1D" w14:textId="77777777" w:rsidR="00EB7084" w:rsidRPr="00AF50C5" w:rsidRDefault="00EB7084" w:rsidP="007F02C9">
      <w:pPr>
        <w:tabs>
          <w:tab w:val="left" w:pos="851"/>
        </w:tabs>
        <w:rPr>
          <w:b/>
          <w:sz w:val="24"/>
          <w:szCs w:val="24"/>
        </w:rPr>
      </w:pPr>
      <w:r w:rsidRPr="00AF50C5">
        <w:rPr>
          <w:b/>
          <w:sz w:val="24"/>
          <w:szCs w:val="24"/>
        </w:rPr>
        <w:t>6.</w:t>
      </w:r>
      <w:r w:rsidRPr="00AF50C5">
        <w:rPr>
          <w:b/>
          <w:sz w:val="24"/>
          <w:szCs w:val="24"/>
        </w:rPr>
        <w:tab/>
        <w:t>FARMACEUTISKE OPLYSNINGER</w:t>
      </w:r>
    </w:p>
    <w:p w14:paraId="3A63B803" w14:textId="77777777" w:rsidR="00EB7084" w:rsidRPr="00AF50C5" w:rsidRDefault="00EB7084" w:rsidP="007F02C9">
      <w:pPr>
        <w:tabs>
          <w:tab w:val="left" w:pos="0"/>
          <w:tab w:val="left" w:pos="851"/>
        </w:tabs>
        <w:jc w:val="both"/>
        <w:rPr>
          <w:spacing w:val="-3"/>
          <w:sz w:val="24"/>
          <w:szCs w:val="24"/>
        </w:rPr>
      </w:pPr>
    </w:p>
    <w:p w14:paraId="1E971CC4" w14:textId="77777777" w:rsidR="00EB7084" w:rsidRPr="00AF50C5" w:rsidRDefault="00EB7084" w:rsidP="007F02C9">
      <w:pPr>
        <w:numPr>
          <w:ilvl w:val="1"/>
          <w:numId w:val="7"/>
        </w:numPr>
        <w:rPr>
          <w:b/>
          <w:sz w:val="24"/>
          <w:szCs w:val="24"/>
        </w:rPr>
      </w:pPr>
      <w:r w:rsidRPr="00AF50C5">
        <w:rPr>
          <w:b/>
          <w:sz w:val="24"/>
          <w:szCs w:val="24"/>
        </w:rPr>
        <w:t>Hjælpestoffer</w:t>
      </w:r>
    </w:p>
    <w:p w14:paraId="26373E3B" w14:textId="77777777" w:rsidR="00133A1B" w:rsidRDefault="00EB7084" w:rsidP="00133A1B">
      <w:pPr>
        <w:tabs>
          <w:tab w:val="left" w:pos="851"/>
        </w:tabs>
        <w:ind w:left="855"/>
        <w:jc w:val="both"/>
        <w:rPr>
          <w:spacing w:val="-3"/>
          <w:sz w:val="24"/>
          <w:szCs w:val="24"/>
        </w:rPr>
      </w:pPr>
      <w:r w:rsidRPr="00AF50C5">
        <w:rPr>
          <w:spacing w:val="-3"/>
          <w:sz w:val="24"/>
          <w:szCs w:val="24"/>
        </w:rPr>
        <w:t>Dinatriumedetat</w:t>
      </w:r>
    </w:p>
    <w:p w14:paraId="305B2BA9" w14:textId="77777777" w:rsidR="00133A1B" w:rsidRDefault="00133A1B" w:rsidP="00133A1B">
      <w:pPr>
        <w:tabs>
          <w:tab w:val="left" w:pos="851"/>
        </w:tabs>
        <w:ind w:left="850"/>
        <w:jc w:val="both"/>
        <w:rPr>
          <w:spacing w:val="-3"/>
          <w:sz w:val="24"/>
          <w:szCs w:val="24"/>
        </w:rPr>
      </w:pPr>
      <w:r>
        <w:rPr>
          <w:spacing w:val="-3"/>
          <w:sz w:val="24"/>
          <w:szCs w:val="24"/>
        </w:rPr>
        <w:t>N</w:t>
      </w:r>
      <w:r w:rsidR="00EB7084" w:rsidRPr="00AF50C5">
        <w:rPr>
          <w:spacing w:val="-3"/>
          <w:sz w:val="24"/>
          <w:szCs w:val="24"/>
        </w:rPr>
        <w:t>atriumhydroxid</w:t>
      </w:r>
    </w:p>
    <w:p w14:paraId="34A6BE26" w14:textId="77777777" w:rsidR="00EB7084" w:rsidRPr="00AF50C5" w:rsidRDefault="00133A1B" w:rsidP="00133A1B">
      <w:pPr>
        <w:tabs>
          <w:tab w:val="left" w:pos="851"/>
        </w:tabs>
        <w:ind w:left="850"/>
        <w:jc w:val="both"/>
        <w:rPr>
          <w:spacing w:val="-3"/>
          <w:sz w:val="24"/>
          <w:szCs w:val="24"/>
        </w:rPr>
      </w:pPr>
      <w:r>
        <w:rPr>
          <w:spacing w:val="-3"/>
          <w:sz w:val="24"/>
          <w:szCs w:val="24"/>
        </w:rPr>
        <w:t>V</w:t>
      </w:r>
      <w:r w:rsidR="00EB7084" w:rsidRPr="00AF50C5">
        <w:rPr>
          <w:spacing w:val="-3"/>
          <w:sz w:val="24"/>
          <w:szCs w:val="24"/>
        </w:rPr>
        <w:t>and til injektionsvæsker</w:t>
      </w:r>
    </w:p>
    <w:p w14:paraId="7BD983C7" w14:textId="77777777" w:rsidR="00EB7084" w:rsidRPr="00AF50C5" w:rsidRDefault="00EB7084" w:rsidP="00133A1B">
      <w:pPr>
        <w:tabs>
          <w:tab w:val="left" w:pos="851"/>
        </w:tabs>
        <w:ind w:left="850"/>
        <w:jc w:val="both"/>
        <w:rPr>
          <w:spacing w:val="-3"/>
          <w:sz w:val="24"/>
          <w:szCs w:val="24"/>
        </w:rPr>
      </w:pPr>
    </w:p>
    <w:p w14:paraId="62A17089" w14:textId="77777777" w:rsidR="00EB7084" w:rsidRPr="00AF50C5" w:rsidRDefault="00EB7084" w:rsidP="007F02C9">
      <w:pPr>
        <w:numPr>
          <w:ilvl w:val="1"/>
          <w:numId w:val="7"/>
        </w:numPr>
        <w:rPr>
          <w:b/>
          <w:sz w:val="24"/>
          <w:szCs w:val="24"/>
        </w:rPr>
      </w:pPr>
      <w:r w:rsidRPr="00AF50C5">
        <w:rPr>
          <w:b/>
          <w:sz w:val="24"/>
          <w:szCs w:val="24"/>
        </w:rPr>
        <w:t>Uforligeligheder</w:t>
      </w:r>
    </w:p>
    <w:p w14:paraId="666732BA" w14:textId="77777777" w:rsidR="00EB7084" w:rsidRPr="00AF50C5" w:rsidRDefault="00EB7084" w:rsidP="007F02C9">
      <w:pPr>
        <w:pStyle w:val="BodyTextIndent2"/>
        <w:rPr>
          <w:szCs w:val="24"/>
        </w:rPr>
      </w:pPr>
      <w:r w:rsidRPr="00AF50C5">
        <w:rPr>
          <w:szCs w:val="24"/>
        </w:rPr>
        <w:t>Ikke relevant.</w:t>
      </w:r>
    </w:p>
    <w:p w14:paraId="2011E62F" w14:textId="77777777" w:rsidR="00EB7084" w:rsidRPr="00AF50C5" w:rsidRDefault="00EB7084" w:rsidP="007F02C9">
      <w:pPr>
        <w:tabs>
          <w:tab w:val="left" w:pos="0"/>
          <w:tab w:val="left" w:pos="851"/>
        </w:tabs>
        <w:jc w:val="both"/>
        <w:rPr>
          <w:spacing w:val="-3"/>
          <w:sz w:val="24"/>
          <w:szCs w:val="24"/>
        </w:rPr>
      </w:pPr>
    </w:p>
    <w:p w14:paraId="69B86007" w14:textId="77777777" w:rsidR="00EB7084" w:rsidRPr="00AF50C5" w:rsidRDefault="00EB7084" w:rsidP="007F02C9">
      <w:pPr>
        <w:numPr>
          <w:ilvl w:val="1"/>
          <w:numId w:val="7"/>
        </w:numPr>
        <w:rPr>
          <w:b/>
          <w:sz w:val="24"/>
          <w:szCs w:val="24"/>
        </w:rPr>
      </w:pPr>
      <w:r w:rsidRPr="00AF50C5">
        <w:rPr>
          <w:b/>
          <w:sz w:val="24"/>
          <w:szCs w:val="24"/>
        </w:rPr>
        <w:t>Opbevaringstid</w:t>
      </w:r>
    </w:p>
    <w:p w14:paraId="6148ED45" w14:textId="77777777" w:rsidR="00EB7084" w:rsidRPr="00AF50C5" w:rsidRDefault="00EB7084" w:rsidP="007F02C9">
      <w:pPr>
        <w:tabs>
          <w:tab w:val="left" w:pos="0"/>
          <w:tab w:val="left" w:pos="851"/>
        </w:tabs>
        <w:ind w:left="850" w:hanging="850"/>
        <w:jc w:val="both"/>
        <w:rPr>
          <w:spacing w:val="-3"/>
          <w:sz w:val="24"/>
          <w:szCs w:val="24"/>
        </w:rPr>
      </w:pPr>
      <w:r w:rsidRPr="00AF50C5">
        <w:rPr>
          <w:spacing w:val="-3"/>
          <w:sz w:val="24"/>
          <w:szCs w:val="24"/>
        </w:rPr>
        <w:tab/>
        <w:t>2 år.</w:t>
      </w:r>
    </w:p>
    <w:p w14:paraId="45C34C27" w14:textId="77777777" w:rsidR="00EB7084" w:rsidRPr="00AF50C5" w:rsidRDefault="00EB7084" w:rsidP="007F02C9">
      <w:pPr>
        <w:tabs>
          <w:tab w:val="left" w:pos="0"/>
          <w:tab w:val="left" w:pos="851"/>
        </w:tabs>
        <w:jc w:val="both"/>
        <w:rPr>
          <w:spacing w:val="-3"/>
          <w:sz w:val="24"/>
          <w:szCs w:val="24"/>
        </w:rPr>
      </w:pPr>
    </w:p>
    <w:p w14:paraId="704D5712" w14:textId="77777777" w:rsidR="00EB7084" w:rsidRPr="00AF50C5" w:rsidRDefault="00EB7084" w:rsidP="007F02C9">
      <w:pPr>
        <w:numPr>
          <w:ilvl w:val="1"/>
          <w:numId w:val="7"/>
        </w:numPr>
        <w:rPr>
          <w:b/>
          <w:sz w:val="24"/>
          <w:szCs w:val="24"/>
        </w:rPr>
      </w:pPr>
      <w:r w:rsidRPr="00AF50C5">
        <w:rPr>
          <w:b/>
          <w:sz w:val="24"/>
          <w:szCs w:val="24"/>
        </w:rPr>
        <w:t>Særlige opbevaringsforhold</w:t>
      </w:r>
    </w:p>
    <w:p w14:paraId="621244C0" w14:textId="77777777" w:rsidR="00EB7084" w:rsidRPr="00AF50C5" w:rsidRDefault="00EB7084" w:rsidP="007F02C9">
      <w:pPr>
        <w:tabs>
          <w:tab w:val="left" w:pos="0"/>
          <w:tab w:val="left" w:pos="851"/>
        </w:tabs>
        <w:ind w:left="855"/>
        <w:jc w:val="both"/>
        <w:rPr>
          <w:spacing w:val="-3"/>
          <w:sz w:val="24"/>
          <w:szCs w:val="24"/>
        </w:rPr>
      </w:pPr>
      <w:r w:rsidRPr="00AF50C5">
        <w:rPr>
          <w:spacing w:val="-3"/>
          <w:sz w:val="24"/>
          <w:szCs w:val="24"/>
        </w:rPr>
        <w:t xml:space="preserve">Ingen særlige opbevaringsbetingelser. </w:t>
      </w:r>
    </w:p>
    <w:p w14:paraId="71E45349" w14:textId="77777777" w:rsidR="00EB7084" w:rsidRPr="00AF50C5" w:rsidRDefault="00EB7084" w:rsidP="007F02C9">
      <w:pPr>
        <w:tabs>
          <w:tab w:val="left" w:pos="0"/>
          <w:tab w:val="left" w:pos="851"/>
        </w:tabs>
        <w:jc w:val="both"/>
        <w:rPr>
          <w:spacing w:val="-3"/>
          <w:sz w:val="24"/>
          <w:szCs w:val="24"/>
        </w:rPr>
      </w:pPr>
    </w:p>
    <w:p w14:paraId="5F5C1A0B" w14:textId="77777777" w:rsidR="00EB7084" w:rsidRPr="00AF50C5" w:rsidRDefault="00EB7084" w:rsidP="007F02C9">
      <w:pPr>
        <w:numPr>
          <w:ilvl w:val="1"/>
          <w:numId w:val="7"/>
        </w:numPr>
        <w:rPr>
          <w:b/>
          <w:sz w:val="24"/>
          <w:szCs w:val="24"/>
        </w:rPr>
      </w:pPr>
      <w:r w:rsidRPr="00AF50C5">
        <w:rPr>
          <w:b/>
          <w:sz w:val="24"/>
          <w:szCs w:val="24"/>
        </w:rPr>
        <w:t>Emballagetyper og pakningsstørrelser</w:t>
      </w:r>
    </w:p>
    <w:p w14:paraId="6B600204" w14:textId="77777777" w:rsidR="00EB7084" w:rsidRPr="00AF50C5" w:rsidRDefault="00EB7084" w:rsidP="007F02C9">
      <w:pPr>
        <w:tabs>
          <w:tab w:val="left" w:pos="0"/>
          <w:tab w:val="left" w:pos="851"/>
        </w:tabs>
        <w:ind w:left="855"/>
        <w:jc w:val="both"/>
        <w:rPr>
          <w:spacing w:val="-3"/>
          <w:sz w:val="24"/>
          <w:szCs w:val="24"/>
        </w:rPr>
      </w:pPr>
      <w:r w:rsidRPr="00AF50C5">
        <w:rPr>
          <w:spacing w:val="-3"/>
          <w:sz w:val="24"/>
          <w:szCs w:val="24"/>
        </w:rPr>
        <w:t>Glasinfusionsbeholder (100 ml), glastype I, Ph.Eur.</w:t>
      </w:r>
    </w:p>
    <w:p w14:paraId="5D3A547A" w14:textId="77777777" w:rsidR="00EB7084" w:rsidRPr="00AF50C5" w:rsidRDefault="00EB7084" w:rsidP="007F02C9">
      <w:pPr>
        <w:tabs>
          <w:tab w:val="left" w:pos="0"/>
          <w:tab w:val="left" w:pos="851"/>
        </w:tabs>
        <w:ind w:left="855"/>
        <w:jc w:val="both"/>
        <w:rPr>
          <w:spacing w:val="-3"/>
          <w:sz w:val="24"/>
          <w:szCs w:val="24"/>
        </w:rPr>
      </w:pPr>
      <w:r w:rsidRPr="00AF50C5">
        <w:rPr>
          <w:spacing w:val="-3"/>
          <w:sz w:val="24"/>
          <w:szCs w:val="24"/>
        </w:rPr>
        <w:t>Glasinfusionsbeholder (100 ml), glastype II, Ph.Eur.</w:t>
      </w:r>
    </w:p>
    <w:p w14:paraId="21C7C46F" w14:textId="77777777" w:rsidR="00EB7084" w:rsidRPr="00AF50C5" w:rsidRDefault="00EB7084" w:rsidP="007F02C9">
      <w:pPr>
        <w:suppressAutoHyphens/>
        <w:ind w:left="851"/>
        <w:rPr>
          <w:sz w:val="24"/>
          <w:szCs w:val="24"/>
        </w:rPr>
      </w:pPr>
    </w:p>
    <w:p w14:paraId="07C79053" w14:textId="77777777" w:rsidR="00EB7084" w:rsidRPr="00AF50C5" w:rsidRDefault="00EB7084" w:rsidP="007F02C9">
      <w:pPr>
        <w:suppressAutoHyphens/>
        <w:ind w:left="851"/>
        <w:rPr>
          <w:sz w:val="24"/>
          <w:szCs w:val="24"/>
        </w:rPr>
      </w:pPr>
      <w:r w:rsidRPr="00AF50C5">
        <w:rPr>
          <w:sz w:val="24"/>
          <w:szCs w:val="24"/>
        </w:rPr>
        <w:t>Pakningsstørrelser:</w:t>
      </w:r>
      <w:r w:rsidR="00133A1B">
        <w:rPr>
          <w:sz w:val="24"/>
          <w:szCs w:val="24"/>
        </w:rPr>
        <w:t xml:space="preserve"> </w:t>
      </w:r>
      <w:r w:rsidRPr="00AF50C5">
        <w:rPr>
          <w:sz w:val="24"/>
          <w:szCs w:val="24"/>
        </w:rPr>
        <w:t>100 ml</w:t>
      </w:r>
      <w:r w:rsidR="00133A1B">
        <w:rPr>
          <w:sz w:val="24"/>
          <w:szCs w:val="24"/>
        </w:rPr>
        <w:t>.</w:t>
      </w:r>
    </w:p>
    <w:p w14:paraId="0DF863E6" w14:textId="77777777" w:rsidR="00EB7084" w:rsidRPr="00AF50C5" w:rsidRDefault="00EB7084" w:rsidP="007F02C9">
      <w:pPr>
        <w:suppressAutoHyphens/>
        <w:ind w:left="851"/>
        <w:rPr>
          <w:sz w:val="24"/>
          <w:szCs w:val="24"/>
        </w:rPr>
      </w:pPr>
      <w:r w:rsidRPr="00AF50C5">
        <w:rPr>
          <w:sz w:val="24"/>
          <w:szCs w:val="24"/>
        </w:rPr>
        <w:t>Ikke alle pakninger er nødvendigvis markedsført.</w:t>
      </w:r>
    </w:p>
    <w:p w14:paraId="0D1D1452" w14:textId="77777777" w:rsidR="00EB7084" w:rsidRPr="00AF50C5" w:rsidRDefault="00EB7084" w:rsidP="007F02C9">
      <w:pPr>
        <w:tabs>
          <w:tab w:val="left" w:pos="0"/>
          <w:tab w:val="left" w:pos="851"/>
        </w:tabs>
        <w:jc w:val="both"/>
        <w:rPr>
          <w:spacing w:val="-3"/>
          <w:sz w:val="24"/>
          <w:szCs w:val="24"/>
        </w:rPr>
      </w:pPr>
    </w:p>
    <w:p w14:paraId="2FA1563F" w14:textId="77777777" w:rsidR="00EB7084" w:rsidRPr="00AF50C5" w:rsidRDefault="00EB7084" w:rsidP="007F02C9">
      <w:pPr>
        <w:numPr>
          <w:ilvl w:val="1"/>
          <w:numId w:val="7"/>
        </w:numPr>
        <w:rPr>
          <w:b/>
          <w:sz w:val="24"/>
          <w:szCs w:val="24"/>
        </w:rPr>
      </w:pPr>
      <w:r w:rsidRPr="00AF50C5">
        <w:rPr>
          <w:b/>
          <w:sz w:val="24"/>
          <w:szCs w:val="24"/>
        </w:rPr>
        <w:t>Regler for destruktion og anden håndtering</w:t>
      </w:r>
    </w:p>
    <w:p w14:paraId="5B767B2A" w14:textId="77777777" w:rsidR="00EB7084" w:rsidRPr="00AF50C5" w:rsidRDefault="00EB7084" w:rsidP="007F02C9">
      <w:pPr>
        <w:tabs>
          <w:tab w:val="left" w:pos="0"/>
          <w:tab w:val="left" w:pos="851"/>
        </w:tabs>
        <w:ind w:left="855"/>
        <w:jc w:val="both"/>
        <w:rPr>
          <w:b/>
          <w:spacing w:val="-3"/>
          <w:sz w:val="24"/>
          <w:szCs w:val="24"/>
        </w:rPr>
      </w:pPr>
      <w:r w:rsidRPr="00AF50C5">
        <w:rPr>
          <w:spacing w:val="-3"/>
          <w:sz w:val="24"/>
          <w:szCs w:val="24"/>
        </w:rPr>
        <w:t>Kan blandes med isotonisk glukose-opløsning og isotonisk NaCl-opløsning.</w:t>
      </w:r>
      <w:r w:rsidRPr="00AF50C5">
        <w:rPr>
          <w:b/>
          <w:spacing w:val="-3"/>
          <w:sz w:val="24"/>
          <w:szCs w:val="24"/>
        </w:rPr>
        <w:t xml:space="preserve"> </w:t>
      </w:r>
    </w:p>
    <w:p w14:paraId="6B5FD0A6" w14:textId="77777777" w:rsidR="00EB7084" w:rsidRPr="00AF50C5" w:rsidRDefault="00EB7084" w:rsidP="007F02C9">
      <w:pPr>
        <w:tabs>
          <w:tab w:val="left" w:pos="0"/>
          <w:tab w:val="left" w:pos="851"/>
        </w:tabs>
        <w:jc w:val="both"/>
        <w:rPr>
          <w:spacing w:val="-3"/>
          <w:sz w:val="24"/>
          <w:szCs w:val="24"/>
        </w:rPr>
      </w:pPr>
    </w:p>
    <w:p w14:paraId="55D45AB4" w14:textId="77777777" w:rsidR="00EB7084" w:rsidRPr="00AF50C5" w:rsidRDefault="00EB7084" w:rsidP="007F02C9">
      <w:pPr>
        <w:tabs>
          <w:tab w:val="left" w:pos="0"/>
          <w:tab w:val="left" w:pos="851"/>
        </w:tabs>
        <w:jc w:val="both"/>
        <w:rPr>
          <w:spacing w:val="-3"/>
          <w:sz w:val="24"/>
          <w:szCs w:val="24"/>
        </w:rPr>
      </w:pPr>
      <w:r w:rsidRPr="00AF50C5">
        <w:rPr>
          <w:spacing w:val="-3"/>
          <w:sz w:val="24"/>
          <w:szCs w:val="24"/>
        </w:rPr>
        <w:tab/>
        <w:t>Ikke anvendt lægemiddel samt affald heraf bør destrueres i henhold til lokale retningslinjer.</w:t>
      </w:r>
    </w:p>
    <w:p w14:paraId="4EA88288" w14:textId="77777777" w:rsidR="00EB7084" w:rsidRPr="00AF50C5" w:rsidRDefault="00EB7084" w:rsidP="007F02C9">
      <w:pPr>
        <w:tabs>
          <w:tab w:val="left" w:pos="0"/>
          <w:tab w:val="left" w:pos="851"/>
        </w:tabs>
        <w:jc w:val="both"/>
        <w:rPr>
          <w:spacing w:val="-3"/>
          <w:sz w:val="24"/>
          <w:szCs w:val="24"/>
        </w:rPr>
      </w:pPr>
    </w:p>
    <w:p w14:paraId="31A47EC3" w14:textId="77777777" w:rsidR="00EB7084" w:rsidRPr="00AF50C5" w:rsidRDefault="00EB7084" w:rsidP="007F02C9">
      <w:pPr>
        <w:tabs>
          <w:tab w:val="left" w:pos="851"/>
        </w:tabs>
        <w:rPr>
          <w:b/>
          <w:sz w:val="24"/>
          <w:szCs w:val="24"/>
        </w:rPr>
      </w:pPr>
      <w:r w:rsidRPr="00AF50C5">
        <w:rPr>
          <w:b/>
          <w:sz w:val="24"/>
          <w:szCs w:val="24"/>
        </w:rPr>
        <w:t>7.</w:t>
      </w:r>
      <w:r w:rsidRPr="00AF50C5">
        <w:rPr>
          <w:b/>
          <w:sz w:val="24"/>
          <w:szCs w:val="24"/>
        </w:rPr>
        <w:tab/>
        <w:t>INDEHAVER Af MARKEDSFØRINGSTILLADELSEN</w:t>
      </w:r>
    </w:p>
    <w:p w14:paraId="0E9FD323" w14:textId="77777777" w:rsidR="00EB7084" w:rsidRPr="00AF50C5" w:rsidRDefault="00EB7084" w:rsidP="007F02C9">
      <w:pPr>
        <w:tabs>
          <w:tab w:val="left" w:pos="0"/>
          <w:tab w:val="left" w:pos="851"/>
          <w:tab w:val="left" w:pos="1502"/>
          <w:tab w:val="left" w:pos="3101"/>
          <w:tab w:val="left" w:pos="4013"/>
        </w:tabs>
        <w:ind w:left="850" w:hanging="850"/>
        <w:jc w:val="both"/>
        <w:rPr>
          <w:spacing w:val="-3"/>
          <w:sz w:val="24"/>
          <w:szCs w:val="24"/>
        </w:rPr>
      </w:pPr>
      <w:r w:rsidRPr="00AF50C5">
        <w:rPr>
          <w:spacing w:val="-3"/>
          <w:sz w:val="24"/>
          <w:szCs w:val="24"/>
        </w:rPr>
        <w:tab/>
        <w:t xml:space="preserve">Amgros I/S </w:t>
      </w:r>
    </w:p>
    <w:p w14:paraId="2473A674" w14:textId="77777777" w:rsidR="00EB7084" w:rsidRPr="00AF50C5" w:rsidRDefault="00EB7084" w:rsidP="007F02C9">
      <w:pPr>
        <w:tabs>
          <w:tab w:val="left" w:pos="0"/>
          <w:tab w:val="left" w:pos="851"/>
          <w:tab w:val="left" w:pos="1502"/>
          <w:tab w:val="left" w:pos="3101"/>
          <w:tab w:val="left" w:pos="4013"/>
        </w:tabs>
        <w:ind w:left="850" w:hanging="850"/>
        <w:jc w:val="both"/>
        <w:rPr>
          <w:spacing w:val="-3"/>
          <w:sz w:val="24"/>
          <w:szCs w:val="24"/>
        </w:rPr>
      </w:pPr>
      <w:r w:rsidRPr="00AF50C5">
        <w:rPr>
          <w:spacing w:val="-3"/>
          <w:sz w:val="24"/>
          <w:szCs w:val="24"/>
        </w:rPr>
        <w:tab/>
      </w:r>
      <w:r w:rsidRPr="00AF50C5">
        <w:rPr>
          <w:spacing w:val="-3"/>
          <w:sz w:val="24"/>
          <w:szCs w:val="24"/>
        </w:rPr>
        <w:tab/>
        <w:t>Dampfærgevej 22</w:t>
      </w:r>
    </w:p>
    <w:p w14:paraId="03C58796" w14:textId="77777777" w:rsidR="00EB7084" w:rsidRPr="00AF50C5" w:rsidRDefault="00EB7084" w:rsidP="007F02C9">
      <w:pPr>
        <w:tabs>
          <w:tab w:val="left" w:pos="0"/>
          <w:tab w:val="left" w:pos="851"/>
        </w:tabs>
        <w:ind w:left="850" w:hanging="850"/>
        <w:jc w:val="both"/>
        <w:rPr>
          <w:spacing w:val="-3"/>
          <w:sz w:val="24"/>
          <w:szCs w:val="24"/>
        </w:rPr>
      </w:pPr>
      <w:r w:rsidRPr="00AF50C5">
        <w:rPr>
          <w:spacing w:val="-3"/>
          <w:sz w:val="24"/>
          <w:szCs w:val="24"/>
        </w:rPr>
        <w:tab/>
        <w:t xml:space="preserve">Postbox 2593 </w:t>
      </w:r>
    </w:p>
    <w:p w14:paraId="4BEF37FE" w14:textId="77777777" w:rsidR="00EB7084" w:rsidRPr="00AF50C5" w:rsidRDefault="00EB7084" w:rsidP="007F02C9">
      <w:pPr>
        <w:tabs>
          <w:tab w:val="left" w:pos="0"/>
          <w:tab w:val="left" w:pos="851"/>
        </w:tabs>
        <w:ind w:left="850" w:hanging="850"/>
        <w:jc w:val="both"/>
        <w:rPr>
          <w:spacing w:val="-3"/>
          <w:sz w:val="24"/>
          <w:szCs w:val="24"/>
        </w:rPr>
      </w:pPr>
      <w:r w:rsidRPr="00AF50C5">
        <w:rPr>
          <w:spacing w:val="-3"/>
          <w:sz w:val="24"/>
          <w:szCs w:val="24"/>
        </w:rPr>
        <w:tab/>
        <w:t>2100 København Ø</w:t>
      </w:r>
      <w:r w:rsidRPr="00AF50C5">
        <w:rPr>
          <w:spacing w:val="-3"/>
          <w:sz w:val="24"/>
          <w:szCs w:val="24"/>
        </w:rPr>
        <w:tab/>
      </w:r>
    </w:p>
    <w:p w14:paraId="3343F573" w14:textId="77777777" w:rsidR="00EB7084" w:rsidRPr="00AF50C5" w:rsidRDefault="00EB7084" w:rsidP="007F02C9">
      <w:pPr>
        <w:tabs>
          <w:tab w:val="left" w:pos="0"/>
          <w:tab w:val="left" w:pos="851"/>
        </w:tabs>
        <w:jc w:val="both"/>
        <w:rPr>
          <w:spacing w:val="-3"/>
          <w:sz w:val="24"/>
          <w:szCs w:val="24"/>
        </w:rPr>
      </w:pPr>
    </w:p>
    <w:p w14:paraId="512BFF03" w14:textId="77777777" w:rsidR="00EB7084" w:rsidRPr="00AF50C5" w:rsidRDefault="00EB7084" w:rsidP="007F02C9">
      <w:pPr>
        <w:tabs>
          <w:tab w:val="left" w:pos="851"/>
        </w:tabs>
        <w:rPr>
          <w:b/>
          <w:sz w:val="24"/>
          <w:szCs w:val="24"/>
        </w:rPr>
      </w:pPr>
      <w:r w:rsidRPr="00AF50C5">
        <w:rPr>
          <w:b/>
          <w:sz w:val="24"/>
          <w:szCs w:val="24"/>
        </w:rPr>
        <w:t>8.</w:t>
      </w:r>
      <w:r w:rsidRPr="00AF50C5">
        <w:rPr>
          <w:b/>
          <w:sz w:val="24"/>
          <w:szCs w:val="24"/>
        </w:rPr>
        <w:tab/>
        <w:t xml:space="preserve">MARKEDSFØRINGSTILLADELSESNUMMER </w:t>
      </w:r>
    </w:p>
    <w:p w14:paraId="1FE305CF" w14:textId="77777777" w:rsidR="00EB7084" w:rsidRPr="00AF50C5" w:rsidRDefault="00EB7084" w:rsidP="007F02C9">
      <w:pPr>
        <w:tabs>
          <w:tab w:val="left" w:pos="0"/>
          <w:tab w:val="left" w:pos="851"/>
        </w:tabs>
        <w:jc w:val="both"/>
        <w:rPr>
          <w:spacing w:val="-3"/>
          <w:sz w:val="24"/>
          <w:szCs w:val="24"/>
        </w:rPr>
      </w:pPr>
      <w:r w:rsidRPr="00AF50C5">
        <w:rPr>
          <w:spacing w:val="-3"/>
          <w:sz w:val="24"/>
          <w:szCs w:val="24"/>
        </w:rPr>
        <w:tab/>
      </w:r>
      <w:r w:rsidR="00F22238">
        <w:rPr>
          <w:spacing w:val="-3"/>
          <w:sz w:val="24"/>
          <w:szCs w:val="24"/>
        </w:rPr>
        <w:t>0</w:t>
      </w:r>
      <w:r w:rsidRPr="00AF50C5">
        <w:rPr>
          <w:spacing w:val="-3"/>
          <w:sz w:val="24"/>
          <w:szCs w:val="24"/>
        </w:rPr>
        <w:t>8591</w:t>
      </w:r>
    </w:p>
    <w:p w14:paraId="6362A95E" w14:textId="77777777" w:rsidR="00EB7084" w:rsidRPr="00AF50C5" w:rsidRDefault="00EB7084" w:rsidP="007F02C9">
      <w:pPr>
        <w:rPr>
          <w:sz w:val="24"/>
          <w:szCs w:val="24"/>
        </w:rPr>
      </w:pPr>
    </w:p>
    <w:p w14:paraId="5B086CD0" w14:textId="77777777" w:rsidR="00EB7084" w:rsidRPr="00AF50C5" w:rsidRDefault="00EB7084" w:rsidP="007F02C9">
      <w:pPr>
        <w:tabs>
          <w:tab w:val="left" w:pos="851"/>
        </w:tabs>
        <w:rPr>
          <w:b/>
          <w:sz w:val="24"/>
          <w:szCs w:val="24"/>
        </w:rPr>
      </w:pPr>
      <w:r w:rsidRPr="00AF50C5">
        <w:rPr>
          <w:b/>
          <w:sz w:val="24"/>
          <w:szCs w:val="24"/>
        </w:rPr>
        <w:t>9.</w:t>
      </w:r>
      <w:r w:rsidRPr="00AF50C5">
        <w:rPr>
          <w:b/>
          <w:sz w:val="24"/>
          <w:szCs w:val="24"/>
        </w:rPr>
        <w:tab/>
        <w:t>DATO FOR FØRSTE MARKEDSFØRINGSTILLADELSE</w:t>
      </w:r>
    </w:p>
    <w:p w14:paraId="6D435674" w14:textId="77777777" w:rsidR="00EB7084" w:rsidRPr="00AF50C5" w:rsidRDefault="00EB7084" w:rsidP="007F02C9">
      <w:pPr>
        <w:ind w:left="851" w:hanging="851"/>
        <w:rPr>
          <w:sz w:val="24"/>
          <w:szCs w:val="24"/>
        </w:rPr>
      </w:pPr>
      <w:r w:rsidRPr="00AF50C5">
        <w:rPr>
          <w:sz w:val="24"/>
          <w:szCs w:val="24"/>
        </w:rPr>
        <w:tab/>
        <w:t>2. februar 1987</w:t>
      </w:r>
    </w:p>
    <w:p w14:paraId="4B5899C0" w14:textId="77777777" w:rsidR="00EB7084" w:rsidRPr="00AF50C5" w:rsidRDefault="00EB7084" w:rsidP="007F02C9">
      <w:pPr>
        <w:ind w:left="851" w:hanging="851"/>
        <w:rPr>
          <w:sz w:val="24"/>
          <w:szCs w:val="24"/>
        </w:rPr>
      </w:pPr>
    </w:p>
    <w:p w14:paraId="210F2D19" w14:textId="77777777" w:rsidR="00EB7084" w:rsidRPr="00AF50C5" w:rsidRDefault="00EB7084" w:rsidP="007F02C9">
      <w:pPr>
        <w:tabs>
          <w:tab w:val="left" w:pos="851"/>
        </w:tabs>
        <w:rPr>
          <w:b/>
          <w:sz w:val="24"/>
          <w:szCs w:val="24"/>
        </w:rPr>
      </w:pPr>
      <w:r w:rsidRPr="00AF50C5">
        <w:rPr>
          <w:b/>
          <w:sz w:val="24"/>
          <w:szCs w:val="24"/>
        </w:rPr>
        <w:t>10.</w:t>
      </w:r>
      <w:r w:rsidRPr="00AF50C5">
        <w:rPr>
          <w:b/>
          <w:sz w:val="24"/>
          <w:szCs w:val="24"/>
        </w:rPr>
        <w:tab/>
        <w:t>DATO FOR ÆNDRING AF TEKSTEN</w:t>
      </w:r>
    </w:p>
    <w:p w14:paraId="5E41E375" w14:textId="77777777" w:rsidR="0003527F" w:rsidRPr="00AF50C5" w:rsidRDefault="00EB7084" w:rsidP="00F22238">
      <w:pPr>
        <w:ind w:left="851" w:hanging="851"/>
        <w:rPr>
          <w:sz w:val="24"/>
          <w:szCs w:val="24"/>
        </w:rPr>
      </w:pPr>
      <w:r w:rsidRPr="00AF50C5">
        <w:rPr>
          <w:sz w:val="24"/>
          <w:szCs w:val="24"/>
        </w:rPr>
        <w:tab/>
      </w:r>
      <w:r w:rsidRPr="00AF50C5">
        <w:rPr>
          <w:spacing w:val="-3"/>
          <w:sz w:val="24"/>
          <w:szCs w:val="24"/>
        </w:rPr>
        <w:t>18. december 2018</w:t>
      </w:r>
    </w:p>
    <w:sectPr w:rsidR="0003527F" w:rsidRPr="00AF50C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18B8E" w14:textId="77777777" w:rsidR="00EB7084" w:rsidRDefault="00EB7084">
      <w:r>
        <w:separator/>
      </w:r>
    </w:p>
  </w:endnote>
  <w:endnote w:type="continuationSeparator" w:id="0">
    <w:p w14:paraId="04635079" w14:textId="77777777" w:rsidR="00EB7084" w:rsidRDefault="00EB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B58B0" w14:textId="77777777" w:rsidR="008C575A" w:rsidRDefault="008C575A">
    <w:pPr>
      <w:pStyle w:val="Footer"/>
      <w:pBdr>
        <w:bottom w:val="single" w:sz="6" w:space="1" w:color="auto"/>
      </w:pBdr>
      <w:tabs>
        <w:tab w:val="clear" w:pos="4819"/>
        <w:tab w:val="left" w:pos="8647"/>
      </w:tabs>
      <w:rPr>
        <w:i/>
        <w:snapToGrid w:val="0"/>
        <w:sz w:val="18"/>
      </w:rPr>
    </w:pPr>
  </w:p>
  <w:p w14:paraId="69261F1E" w14:textId="77777777" w:rsidR="008C575A" w:rsidRDefault="008C575A">
    <w:pPr>
      <w:pStyle w:val="Footer"/>
      <w:tabs>
        <w:tab w:val="clear" w:pos="4819"/>
        <w:tab w:val="left" w:pos="8647"/>
      </w:tabs>
      <w:rPr>
        <w:i/>
        <w:snapToGrid w:val="0"/>
        <w:sz w:val="18"/>
      </w:rPr>
    </w:pPr>
  </w:p>
  <w:p w14:paraId="7684B12A" w14:textId="77777777" w:rsidR="008C575A" w:rsidRDefault="008C575A">
    <w:pPr>
      <w:pStyle w:val="Footer"/>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AF50C5">
      <w:rPr>
        <w:i/>
        <w:noProof/>
        <w:snapToGrid w:val="0"/>
        <w:sz w:val="18"/>
      </w:rPr>
      <w:t>Acetylcystein SAD, koncentrat til infusionsvæske, opløsning 200 g-L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1A88" w14:textId="77777777" w:rsidR="008C575A" w:rsidRDefault="008C575A">
    <w:pPr>
      <w:pStyle w:val="Footer"/>
      <w:pBdr>
        <w:bottom w:val="single" w:sz="6" w:space="1" w:color="auto"/>
      </w:pBdr>
      <w:tabs>
        <w:tab w:val="clear" w:pos="4819"/>
        <w:tab w:val="left" w:pos="8647"/>
      </w:tabs>
      <w:rPr>
        <w:i/>
        <w:snapToGrid w:val="0"/>
        <w:sz w:val="18"/>
      </w:rPr>
    </w:pPr>
  </w:p>
  <w:p w14:paraId="3233AE38" w14:textId="77777777" w:rsidR="008C575A" w:rsidRDefault="008C575A">
    <w:pPr>
      <w:pStyle w:val="Footer"/>
      <w:tabs>
        <w:tab w:val="clear" w:pos="4819"/>
        <w:tab w:val="left" w:pos="8647"/>
      </w:tabs>
      <w:rPr>
        <w:i/>
        <w:snapToGrid w:val="0"/>
        <w:sz w:val="18"/>
      </w:rPr>
    </w:pPr>
  </w:p>
  <w:p w14:paraId="03AF79E2" w14:textId="77777777" w:rsidR="008C575A" w:rsidRDefault="008C575A">
    <w:pPr>
      <w:pStyle w:val="Footer"/>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AF50C5">
      <w:rPr>
        <w:i/>
        <w:noProof/>
        <w:snapToGrid w:val="0"/>
        <w:sz w:val="18"/>
      </w:rPr>
      <w:t>Acetylcystein SAD, koncentrat til infusionsvæske, opløsning 200 g-L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2DE14" w14:textId="77777777" w:rsidR="00EB7084" w:rsidRDefault="00EB7084">
      <w:r>
        <w:separator/>
      </w:r>
    </w:p>
  </w:footnote>
  <w:footnote w:type="continuationSeparator" w:id="0">
    <w:p w14:paraId="5364AB6A" w14:textId="77777777" w:rsidR="00EB7084" w:rsidRDefault="00EB7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232F6" w14:textId="77777777" w:rsidR="008C575A" w:rsidRDefault="008C575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AA9FF" w14:textId="77777777" w:rsidR="008C575A" w:rsidRDefault="008C575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rPr>
        <w:rFonts w:hint="default"/>
      </w:rPr>
    </w:lvl>
    <w:lvl w:ilvl="1">
      <w:start w:val="1"/>
      <w:numFmt w:val="decimal"/>
      <w:lvlText w:val="%1.%2"/>
      <w:lvlJc w:val="left"/>
      <w:pPr>
        <w:tabs>
          <w:tab w:val="num" w:pos="2159"/>
        </w:tabs>
        <w:ind w:left="2159" w:hanging="855"/>
      </w:pPr>
      <w:rPr>
        <w:rFonts w:hint="default"/>
      </w:rPr>
    </w:lvl>
    <w:lvl w:ilvl="2">
      <w:start w:val="1"/>
      <w:numFmt w:val="decimal"/>
      <w:lvlText w:val="%1.%2.%3"/>
      <w:lvlJc w:val="left"/>
      <w:pPr>
        <w:tabs>
          <w:tab w:val="num" w:pos="3463"/>
        </w:tabs>
        <w:ind w:left="3463" w:hanging="855"/>
      </w:pPr>
      <w:rPr>
        <w:rFonts w:hint="default"/>
      </w:rPr>
    </w:lvl>
    <w:lvl w:ilvl="3">
      <w:start w:val="1"/>
      <w:numFmt w:val="decimal"/>
      <w:lvlText w:val="%1.%2.%3.%4"/>
      <w:lvlJc w:val="left"/>
      <w:pPr>
        <w:tabs>
          <w:tab w:val="num" w:pos="4767"/>
        </w:tabs>
        <w:ind w:left="4767" w:hanging="855"/>
      </w:pPr>
      <w:rPr>
        <w:rFonts w:hint="default"/>
      </w:rPr>
    </w:lvl>
    <w:lvl w:ilvl="4">
      <w:start w:val="1"/>
      <w:numFmt w:val="decimal"/>
      <w:lvlText w:val="%1.%2.%3.%4.%5"/>
      <w:lvlJc w:val="left"/>
      <w:pPr>
        <w:tabs>
          <w:tab w:val="num" w:pos="6296"/>
        </w:tabs>
        <w:ind w:left="6296" w:hanging="1080"/>
      </w:pPr>
      <w:rPr>
        <w:rFonts w:hint="default"/>
      </w:rPr>
    </w:lvl>
    <w:lvl w:ilvl="5">
      <w:start w:val="1"/>
      <w:numFmt w:val="decimal"/>
      <w:lvlText w:val="%1.%2.%3.%4.%5.%6"/>
      <w:lvlJc w:val="left"/>
      <w:pPr>
        <w:tabs>
          <w:tab w:val="num" w:pos="7600"/>
        </w:tabs>
        <w:ind w:left="7600" w:hanging="1080"/>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3" w15:restartNumberingAfterBreak="0">
    <w:nsid w:val="39D43D86"/>
    <w:multiLevelType w:val="hybridMultilevel"/>
    <w:tmpl w:val="EB70CCF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u w:val="none"/>
      </w:rPr>
    </w:lvl>
    <w:lvl w:ilvl="2">
      <w:start w:val="1"/>
      <w:numFmt w:val="decimal"/>
      <w:isLgl/>
      <w:lvlText w:val="%1.%2.%3"/>
      <w:lvlJc w:val="left"/>
      <w:pPr>
        <w:tabs>
          <w:tab w:val="num" w:pos="855"/>
        </w:tabs>
        <w:ind w:left="855" w:hanging="855"/>
      </w:pPr>
      <w:rPr>
        <w:rFonts w:hint="default"/>
        <w:u w:val="none"/>
      </w:rPr>
    </w:lvl>
    <w:lvl w:ilvl="3">
      <w:start w:val="1"/>
      <w:numFmt w:val="decimal"/>
      <w:isLgl/>
      <w:lvlText w:val="%1.%2.%3.%4"/>
      <w:lvlJc w:val="left"/>
      <w:pPr>
        <w:tabs>
          <w:tab w:val="num" w:pos="855"/>
        </w:tabs>
        <w:ind w:left="855" w:hanging="855"/>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7"/>
  </w:num>
  <w:num w:numId="2">
    <w:abstractNumId w:val="5"/>
  </w:num>
  <w:num w:numId="3">
    <w:abstractNumId w:val="6"/>
  </w:num>
  <w:num w:numId="4">
    <w:abstractNumId w:val="4"/>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84"/>
    <w:rsid w:val="00031F27"/>
    <w:rsid w:val="0003527F"/>
    <w:rsid w:val="000607B8"/>
    <w:rsid w:val="00065C7D"/>
    <w:rsid w:val="00083C60"/>
    <w:rsid w:val="00090F32"/>
    <w:rsid w:val="000C6CD4"/>
    <w:rsid w:val="00133A1B"/>
    <w:rsid w:val="001458BB"/>
    <w:rsid w:val="00145ECF"/>
    <w:rsid w:val="001577E4"/>
    <w:rsid w:val="001858CA"/>
    <w:rsid w:val="001A7631"/>
    <w:rsid w:val="001C4AEF"/>
    <w:rsid w:val="001C525F"/>
    <w:rsid w:val="001D3CC5"/>
    <w:rsid w:val="0023582A"/>
    <w:rsid w:val="00255A0B"/>
    <w:rsid w:val="00283CF4"/>
    <w:rsid w:val="00295F4C"/>
    <w:rsid w:val="002D22D8"/>
    <w:rsid w:val="00310316"/>
    <w:rsid w:val="00322BDE"/>
    <w:rsid w:val="00331A74"/>
    <w:rsid w:val="0035533D"/>
    <w:rsid w:val="003718A9"/>
    <w:rsid w:val="003F0FBB"/>
    <w:rsid w:val="003F4F73"/>
    <w:rsid w:val="00404760"/>
    <w:rsid w:val="00406EE7"/>
    <w:rsid w:val="00407013"/>
    <w:rsid w:val="00425F3F"/>
    <w:rsid w:val="00454C52"/>
    <w:rsid w:val="00472DBB"/>
    <w:rsid w:val="004A62CC"/>
    <w:rsid w:val="004F3E1A"/>
    <w:rsid w:val="004F5D17"/>
    <w:rsid w:val="004F74AA"/>
    <w:rsid w:val="00504734"/>
    <w:rsid w:val="0054382B"/>
    <w:rsid w:val="00565A74"/>
    <w:rsid w:val="00570CA6"/>
    <w:rsid w:val="005B0036"/>
    <w:rsid w:val="005B4CB5"/>
    <w:rsid w:val="005D1FE7"/>
    <w:rsid w:val="005F5354"/>
    <w:rsid w:val="005F5831"/>
    <w:rsid w:val="006545E4"/>
    <w:rsid w:val="00662012"/>
    <w:rsid w:val="00666B01"/>
    <w:rsid w:val="006B1539"/>
    <w:rsid w:val="006B669C"/>
    <w:rsid w:val="006F5621"/>
    <w:rsid w:val="0072489B"/>
    <w:rsid w:val="00785822"/>
    <w:rsid w:val="007B17FB"/>
    <w:rsid w:val="007E2A00"/>
    <w:rsid w:val="007F02C9"/>
    <w:rsid w:val="007F297A"/>
    <w:rsid w:val="008010F2"/>
    <w:rsid w:val="0088674B"/>
    <w:rsid w:val="008C575A"/>
    <w:rsid w:val="008E689D"/>
    <w:rsid w:val="008F6A14"/>
    <w:rsid w:val="009202AE"/>
    <w:rsid w:val="00991594"/>
    <w:rsid w:val="009D66C6"/>
    <w:rsid w:val="00A075E0"/>
    <w:rsid w:val="00A33254"/>
    <w:rsid w:val="00A33BC7"/>
    <w:rsid w:val="00A96525"/>
    <w:rsid w:val="00AB5B72"/>
    <w:rsid w:val="00AE29E5"/>
    <w:rsid w:val="00AE5757"/>
    <w:rsid w:val="00AF50C5"/>
    <w:rsid w:val="00B25EB8"/>
    <w:rsid w:val="00B83183"/>
    <w:rsid w:val="00BB1239"/>
    <w:rsid w:val="00BC634B"/>
    <w:rsid w:val="00BC7A0B"/>
    <w:rsid w:val="00BF2AE0"/>
    <w:rsid w:val="00C4149B"/>
    <w:rsid w:val="00C41819"/>
    <w:rsid w:val="00C479BF"/>
    <w:rsid w:val="00C84C5B"/>
    <w:rsid w:val="00C924FF"/>
    <w:rsid w:val="00D8602C"/>
    <w:rsid w:val="00DA4B7C"/>
    <w:rsid w:val="00DD5980"/>
    <w:rsid w:val="00DD6D71"/>
    <w:rsid w:val="00DF32BE"/>
    <w:rsid w:val="00E14F0A"/>
    <w:rsid w:val="00E3667A"/>
    <w:rsid w:val="00E879C5"/>
    <w:rsid w:val="00EB5778"/>
    <w:rsid w:val="00EB7084"/>
    <w:rsid w:val="00EE5253"/>
    <w:rsid w:val="00F22238"/>
    <w:rsid w:val="00F37237"/>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3E1FC"/>
  <w15:chartTrackingRefBased/>
  <w15:docId w15:val="{ECB73260-51EA-464F-8DBA-13CD3F22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F0A"/>
    <w:rPr>
      <w:sz w:val="23"/>
      <w:lang w:eastAsia="en-US"/>
    </w:rPr>
  </w:style>
  <w:style w:type="paragraph" w:styleId="Heading1">
    <w:name w:val="heading 1"/>
    <w:basedOn w:val="Normal"/>
    <w:next w:val="Normal"/>
    <w:qFormat/>
    <w:rsid w:val="00E14F0A"/>
    <w:pPr>
      <w:keepNext/>
      <w:spacing w:before="240" w:after="60"/>
      <w:outlineLvl w:val="0"/>
    </w:pPr>
    <w:rPr>
      <w:rFonts w:ascii="Arial" w:hAnsi="Arial"/>
      <w:b/>
      <w:kern w:val="28"/>
      <w:sz w:val="28"/>
    </w:rPr>
  </w:style>
  <w:style w:type="paragraph" w:styleId="Heading3">
    <w:name w:val="heading 3"/>
    <w:basedOn w:val="Normal"/>
    <w:next w:val="Normal"/>
    <w:qFormat/>
    <w:rsid w:val="00E14F0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32BE"/>
    <w:pPr>
      <w:tabs>
        <w:tab w:val="center" w:pos="4819"/>
        <w:tab w:val="right" w:pos="9638"/>
      </w:tabs>
    </w:pPr>
    <w:rPr>
      <w:sz w:val="24"/>
      <w:lang w:eastAsia="da-DK"/>
    </w:rPr>
  </w:style>
  <w:style w:type="paragraph" w:styleId="Footer">
    <w:name w:val="footer"/>
    <w:basedOn w:val="Normal"/>
    <w:rsid w:val="00DF32BE"/>
    <w:pPr>
      <w:tabs>
        <w:tab w:val="center" w:pos="4819"/>
        <w:tab w:val="right" w:pos="9638"/>
      </w:tabs>
    </w:pPr>
    <w:rPr>
      <w:sz w:val="24"/>
      <w:lang w:eastAsia="da-DK"/>
    </w:rPr>
  </w:style>
  <w:style w:type="character" w:styleId="CommentReference">
    <w:name w:val="annotation reference"/>
    <w:semiHidden/>
    <w:rsid w:val="00DF32BE"/>
    <w:rPr>
      <w:sz w:val="16"/>
      <w:szCs w:val="16"/>
    </w:rPr>
  </w:style>
  <w:style w:type="paragraph" w:styleId="CommentText">
    <w:name w:val="annotation text"/>
    <w:basedOn w:val="Normal"/>
    <w:link w:val="CommentTextChar"/>
    <w:semiHidden/>
    <w:rsid w:val="00DF32BE"/>
    <w:rPr>
      <w:sz w:val="20"/>
      <w:lang w:eastAsia="da-DK"/>
    </w:rPr>
  </w:style>
  <w:style w:type="paragraph" w:styleId="BalloonText">
    <w:name w:val="Balloon Text"/>
    <w:basedOn w:val="Normal"/>
    <w:semiHidden/>
    <w:rsid w:val="00DF32BE"/>
    <w:rPr>
      <w:rFonts w:ascii="Tahoma" w:hAnsi="Tahoma" w:cs="Tahoma"/>
      <w:sz w:val="16"/>
      <w:szCs w:val="16"/>
    </w:rPr>
  </w:style>
  <w:style w:type="paragraph" w:styleId="CommentSubject">
    <w:name w:val="annotation subject"/>
    <w:basedOn w:val="CommentText"/>
    <w:next w:val="CommentText"/>
    <w:semiHidden/>
    <w:rsid w:val="001577E4"/>
    <w:rPr>
      <w:b/>
      <w:bCs/>
      <w:lang w:eastAsia="en-US"/>
    </w:rPr>
  </w:style>
  <w:style w:type="character" w:customStyle="1" w:styleId="CommentTextChar">
    <w:name w:val="Comment Text Char"/>
    <w:basedOn w:val="DefaultParagraphFont"/>
    <w:link w:val="CommentText"/>
    <w:semiHidden/>
    <w:rsid w:val="00FA66E4"/>
  </w:style>
  <w:style w:type="character" w:customStyle="1" w:styleId="HeaderChar">
    <w:name w:val="Header Char"/>
    <w:link w:val="Header"/>
    <w:rsid w:val="00FA66E4"/>
    <w:rPr>
      <w:sz w:val="24"/>
    </w:rPr>
  </w:style>
  <w:style w:type="character" w:styleId="PlaceholderText">
    <w:name w:val="Placeholder Text"/>
    <w:basedOn w:val="DefaultParagraphFont"/>
    <w:uiPriority w:val="99"/>
    <w:semiHidden/>
    <w:rsid w:val="00090F32"/>
    <w:rPr>
      <w:color w:val="808080"/>
    </w:rPr>
  </w:style>
  <w:style w:type="paragraph" w:styleId="BodyTextIndent">
    <w:name w:val="Body Text Indent"/>
    <w:basedOn w:val="Normal"/>
    <w:link w:val="BodyTextIndentChar"/>
    <w:rsid w:val="00EB7084"/>
    <w:pPr>
      <w:tabs>
        <w:tab w:val="left" w:pos="0"/>
        <w:tab w:val="left" w:pos="851"/>
      </w:tabs>
      <w:ind w:left="850" w:hanging="850"/>
      <w:jc w:val="both"/>
    </w:pPr>
    <w:rPr>
      <w:spacing w:val="-3"/>
      <w:sz w:val="24"/>
      <w:lang w:eastAsia="da-DK"/>
    </w:rPr>
  </w:style>
  <w:style w:type="character" w:customStyle="1" w:styleId="BodyTextIndentChar">
    <w:name w:val="Body Text Indent Char"/>
    <w:basedOn w:val="DefaultParagraphFont"/>
    <w:link w:val="BodyTextIndent"/>
    <w:rsid w:val="00EB7084"/>
    <w:rPr>
      <w:spacing w:val="-3"/>
      <w:sz w:val="24"/>
    </w:rPr>
  </w:style>
  <w:style w:type="paragraph" w:styleId="BodyTextIndent2">
    <w:name w:val="Body Text Indent 2"/>
    <w:basedOn w:val="Normal"/>
    <w:link w:val="BodyTextIndent2Char"/>
    <w:rsid w:val="00EB7084"/>
    <w:pPr>
      <w:ind w:left="850"/>
      <w:jc w:val="both"/>
    </w:pPr>
    <w:rPr>
      <w:spacing w:val="-3"/>
      <w:sz w:val="24"/>
      <w:lang w:eastAsia="da-DK"/>
    </w:rPr>
  </w:style>
  <w:style w:type="character" w:customStyle="1" w:styleId="BodyTextIndent2Char">
    <w:name w:val="Body Text Indent 2 Char"/>
    <w:basedOn w:val="DefaultParagraphFont"/>
    <w:link w:val="BodyTextIndent2"/>
    <w:rsid w:val="00EB7084"/>
    <w:rPr>
      <w:spacing w:val="-3"/>
      <w:sz w:val="24"/>
    </w:rPr>
  </w:style>
  <w:style w:type="character" w:customStyle="1" w:styleId="afsnitspacer">
    <w:name w:val="afsnitspacer"/>
    <w:basedOn w:val="DefaultParagraphFont"/>
    <w:rsid w:val="00EB7084"/>
  </w:style>
  <w:style w:type="paragraph" w:customStyle="1" w:styleId="EMEAEnBodyText">
    <w:name w:val="EMEA En Body Text"/>
    <w:basedOn w:val="Normal"/>
    <w:rsid w:val="00EB7084"/>
    <w:pPr>
      <w:spacing w:before="120" w:after="120"/>
      <w:jc w:val="both"/>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SPC_Tools.dotm</Template>
  <TotalTime>0</TotalTime>
  <Pages>1</Pages>
  <Words>1554</Words>
  <Characters>9480</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Amternes Lægemiddel</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Filnavn korrigeret (og layout mv. tilrettet) - Hanne Thy Iversen : 06-02-2020 17:02_x000d_
_x000d_
2018102817_x000d_
SPC pkt. 2, 4.2, 4.3, 4.4, 4.8, 5.1, 5.2, 6.5</dc:description>
  <cp:lastModifiedBy>Nils Boje</cp:lastModifiedBy>
  <cp:revision>2</cp:revision>
  <dcterms:created xsi:type="dcterms:W3CDTF">2020-02-10T01:05:00Z</dcterms:created>
  <dcterms:modified xsi:type="dcterms:W3CDTF">2020-02-10T01:05:00Z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ies>
</file>