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778F2"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97A9C51" wp14:editId="2FCBA6D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D27A44C" w14:textId="77777777" w:rsidR="009260DE" w:rsidRPr="00C84483" w:rsidRDefault="009260DE" w:rsidP="009260DE">
      <w:pPr>
        <w:pStyle w:val="Titel"/>
        <w:tabs>
          <w:tab w:val="right" w:pos="9356"/>
        </w:tabs>
        <w:jc w:val="left"/>
        <w:rPr>
          <w:b w:val="0"/>
          <w:szCs w:val="24"/>
          <w:lang w:eastAsia="en-US"/>
        </w:rPr>
      </w:pPr>
    </w:p>
    <w:p w14:paraId="64D6BCEB" w14:textId="5100DDD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45A12">
        <w:rPr>
          <w:szCs w:val="24"/>
        </w:rPr>
        <w:t>10. januar 2025</w:t>
      </w:r>
    </w:p>
    <w:p w14:paraId="1D1A5DE3" w14:textId="77777777" w:rsidR="009260DE" w:rsidRPr="00C84483" w:rsidRDefault="009260DE" w:rsidP="009260DE">
      <w:pPr>
        <w:pStyle w:val="Titel"/>
        <w:tabs>
          <w:tab w:val="left" w:pos="8222"/>
        </w:tabs>
        <w:jc w:val="left"/>
        <w:rPr>
          <w:b w:val="0"/>
          <w:szCs w:val="24"/>
        </w:rPr>
      </w:pPr>
    </w:p>
    <w:p w14:paraId="17909121" w14:textId="77777777" w:rsidR="009260DE" w:rsidRPr="00C84483" w:rsidRDefault="009260DE" w:rsidP="009260DE">
      <w:pPr>
        <w:pStyle w:val="Titel"/>
        <w:jc w:val="left"/>
        <w:rPr>
          <w:b w:val="0"/>
          <w:szCs w:val="24"/>
        </w:rPr>
      </w:pPr>
    </w:p>
    <w:p w14:paraId="201C534A" w14:textId="77777777" w:rsidR="009260DE" w:rsidRPr="00C84483" w:rsidRDefault="009260DE" w:rsidP="009260DE">
      <w:pPr>
        <w:pStyle w:val="Titel"/>
        <w:jc w:val="left"/>
        <w:rPr>
          <w:b w:val="0"/>
          <w:szCs w:val="24"/>
        </w:rPr>
      </w:pPr>
    </w:p>
    <w:p w14:paraId="79B40F7A" w14:textId="77777777" w:rsidR="009260DE" w:rsidRPr="00C84483" w:rsidRDefault="009260DE" w:rsidP="009260DE">
      <w:pPr>
        <w:jc w:val="center"/>
        <w:rPr>
          <w:b/>
          <w:sz w:val="24"/>
          <w:szCs w:val="24"/>
        </w:rPr>
      </w:pPr>
      <w:r w:rsidRPr="00C84483">
        <w:rPr>
          <w:b/>
          <w:sz w:val="24"/>
          <w:szCs w:val="24"/>
        </w:rPr>
        <w:t>PRODUKTRESUMÉ</w:t>
      </w:r>
    </w:p>
    <w:p w14:paraId="0BC2B41C" w14:textId="77777777" w:rsidR="009260DE" w:rsidRPr="00C84483" w:rsidRDefault="009260DE" w:rsidP="009260DE">
      <w:pPr>
        <w:jc w:val="center"/>
        <w:rPr>
          <w:b/>
          <w:sz w:val="24"/>
          <w:szCs w:val="24"/>
        </w:rPr>
      </w:pPr>
    </w:p>
    <w:p w14:paraId="47844228" w14:textId="77777777" w:rsidR="009260DE" w:rsidRDefault="009260DE" w:rsidP="009260DE">
      <w:pPr>
        <w:jc w:val="center"/>
        <w:rPr>
          <w:b/>
          <w:sz w:val="24"/>
          <w:szCs w:val="24"/>
        </w:rPr>
      </w:pPr>
      <w:r w:rsidRPr="00C84483">
        <w:rPr>
          <w:b/>
          <w:sz w:val="24"/>
          <w:szCs w:val="24"/>
        </w:rPr>
        <w:t>for</w:t>
      </w:r>
    </w:p>
    <w:p w14:paraId="37EAC3E9" w14:textId="77777777" w:rsidR="000B058C" w:rsidRPr="00C84483" w:rsidRDefault="000B058C" w:rsidP="009260DE">
      <w:pPr>
        <w:jc w:val="center"/>
        <w:rPr>
          <w:b/>
          <w:sz w:val="24"/>
          <w:szCs w:val="24"/>
        </w:rPr>
      </w:pPr>
    </w:p>
    <w:p w14:paraId="446A9125" w14:textId="77777777" w:rsidR="009260DE" w:rsidRPr="00C84483" w:rsidRDefault="0038488E" w:rsidP="009260DE">
      <w:pPr>
        <w:jc w:val="center"/>
        <w:rPr>
          <w:b/>
          <w:sz w:val="24"/>
          <w:szCs w:val="24"/>
        </w:rPr>
      </w:pPr>
      <w:r>
        <w:rPr>
          <w:b/>
          <w:sz w:val="24"/>
          <w:szCs w:val="24"/>
        </w:rPr>
        <w:t>Acetylcysteine "Macure", koncentrat til infusionsvæske, opløsning</w:t>
      </w:r>
    </w:p>
    <w:p w14:paraId="474F0791" w14:textId="77777777" w:rsidR="009260DE" w:rsidRPr="00C84483" w:rsidRDefault="009260DE" w:rsidP="009260DE">
      <w:pPr>
        <w:jc w:val="both"/>
        <w:rPr>
          <w:sz w:val="24"/>
          <w:szCs w:val="24"/>
        </w:rPr>
      </w:pPr>
    </w:p>
    <w:p w14:paraId="3DE21852" w14:textId="77777777" w:rsidR="009260DE" w:rsidRPr="00C84483" w:rsidRDefault="009260DE" w:rsidP="009260DE">
      <w:pPr>
        <w:jc w:val="both"/>
        <w:rPr>
          <w:sz w:val="24"/>
          <w:szCs w:val="24"/>
        </w:rPr>
      </w:pPr>
    </w:p>
    <w:p w14:paraId="25CBE90B"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AB80A03" w14:textId="543139E6" w:rsidR="009260DE" w:rsidRPr="00C84483" w:rsidRDefault="00CE00B7" w:rsidP="009260DE">
      <w:pPr>
        <w:tabs>
          <w:tab w:val="left" w:pos="851"/>
        </w:tabs>
        <w:ind w:left="851"/>
        <w:rPr>
          <w:sz w:val="24"/>
          <w:szCs w:val="24"/>
        </w:rPr>
      </w:pPr>
      <w:r>
        <w:rPr>
          <w:sz w:val="24"/>
          <w:szCs w:val="24"/>
        </w:rPr>
        <w:t>33482</w:t>
      </w:r>
    </w:p>
    <w:p w14:paraId="2164E5B7" w14:textId="77777777" w:rsidR="009260DE" w:rsidRPr="00C84483" w:rsidRDefault="009260DE" w:rsidP="009260DE">
      <w:pPr>
        <w:tabs>
          <w:tab w:val="left" w:pos="851"/>
        </w:tabs>
        <w:ind w:left="851"/>
        <w:rPr>
          <w:sz w:val="24"/>
          <w:szCs w:val="24"/>
        </w:rPr>
      </w:pPr>
    </w:p>
    <w:p w14:paraId="36CD620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036FB32" w14:textId="7D68B190" w:rsidR="009260DE" w:rsidRPr="00C84483" w:rsidRDefault="00CE00B7" w:rsidP="009260DE">
      <w:pPr>
        <w:tabs>
          <w:tab w:val="left" w:pos="851"/>
        </w:tabs>
        <w:ind w:left="851"/>
        <w:rPr>
          <w:sz w:val="24"/>
          <w:szCs w:val="24"/>
        </w:rPr>
      </w:pPr>
      <w:r>
        <w:rPr>
          <w:sz w:val="24"/>
          <w:szCs w:val="24"/>
        </w:rPr>
        <w:t>Acetylcysteine "Macure"</w:t>
      </w:r>
    </w:p>
    <w:p w14:paraId="584F4D4F" w14:textId="77777777" w:rsidR="009260DE" w:rsidRPr="00C84483" w:rsidRDefault="009260DE" w:rsidP="009260DE">
      <w:pPr>
        <w:tabs>
          <w:tab w:val="left" w:pos="851"/>
        </w:tabs>
        <w:ind w:left="851"/>
        <w:rPr>
          <w:sz w:val="24"/>
          <w:szCs w:val="24"/>
        </w:rPr>
      </w:pPr>
    </w:p>
    <w:p w14:paraId="7555A69D"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2A6877F" w14:textId="77777777" w:rsidR="003B58B4" w:rsidRPr="003B58B4" w:rsidRDefault="003B58B4" w:rsidP="003B58B4">
      <w:pPr>
        <w:tabs>
          <w:tab w:val="left" w:pos="851"/>
        </w:tabs>
        <w:ind w:left="851"/>
        <w:rPr>
          <w:sz w:val="24"/>
          <w:szCs w:val="24"/>
        </w:rPr>
      </w:pPr>
      <w:r w:rsidRPr="003B58B4">
        <w:rPr>
          <w:sz w:val="24"/>
          <w:szCs w:val="24"/>
        </w:rPr>
        <w:t>1 ml indeholder 200 mg acetylcystein.</w:t>
      </w:r>
    </w:p>
    <w:p w14:paraId="49A8C616" w14:textId="77777777" w:rsidR="003B58B4" w:rsidRPr="003B58B4" w:rsidRDefault="003B58B4" w:rsidP="003B58B4">
      <w:pPr>
        <w:tabs>
          <w:tab w:val="left" w:pos="851"/>
        </w:tabs>
        <w:ind w:left="851"/>
        <w:rPr>
          <w:sz w:val="24"/>
          <w:szCs w:val="24"/>
        </w:rPr>
      </w:pPr>
      <w:r w:rsidRPr="003B58B4">
        <w:rPr>
          <w:sz w:val="24"/>
          <w:szCs w:val="24"/>
        </w:rPr>
        <w:t>Et hætteglas med 20 ml indeholder 4 g acetylcystein.</w:t>
      </w:r>
    </w:p>
    <w:p w14:paraId="6AC4279D" w14:textId="77777777" w:rsidR="003B58B4" w:rsidRPr="003B58B4" w:rsidRDefault="003B58B4" w:rsidP="003B58B4">
      <w:pPr>
        <w:tabs>
          <w:tab w:val="left" w:pos="851"/>
        </w:tabs>
        <w:ind w:left="851"/>
        <w:rPr>
          <w:sz w:val="24"/>
          <w:szCs w:val="24"/>
        </w:rPr>
      </w:pPr>
      <w:r w:rsidRPr="003B58B4">
        <w:rPr>
          <w:sz w:val="24"/>
          <w:szCs w:val="24"/>
        </w:rPr>
        <w:t>Et hætteglas med 30 ml indeholder 6 g acetylcystein.</w:t>
      </w:r>
    </w:p>
    <w:p w14:paraId="023098EA" w14:textId="77777777" w:rsidR="003B58B4" w:rsidRPr="003B58B4" w:rsidRDefault="003B58B4" w:rsidP="003B58B4">
      <w:pPr>
        <w:tabs>
          <w:tab w:val="left" w:pos="851"/>
        </w:tabs>
        <w:ind w:left="851"/>
        <w:rPr>
          <w:sz w:val="24"/>
          <w:szCs w:val="24"/>
        </w:rPr>
      </w:pPr>
    </w:p>
    <w:p w14:paraId="1D670B9F" w14:textId="5BB727CC" w:rsidR="003B58B4" w:rsidRPr="003B58B4" w:rsidRDefault="003B58B4" w:rsidP="003B58B4">
      <w:pPr>
        <w:tabs>
          <w:tab w:val="left" w:pos="851"/>
        </w:tabs>
        <w:ind w:left="851"/>
        <w:rPr>
          <w:sz w:val="24"/>
          <w:szCs w:val="24"/>
          <w:u w:val="single"/>
        </w:rPr>
      </w:pPr>
      <w:r w:rsidRPr="003B58B4">
        <w:rPr>
          <w:sz w:val="24"/>
          <w:szCs w:val="24"/>
          <w:u w:val="single"/>
        </w:rPr>
        <w:t>Hjælpestof, som behandleren skal være opmærksom på</w:t>
      </w:r>
    </w:p>
    <w:p w14:paraId="1535989A" w14:textId="77777777" w:rsidR="003B58B4" w:rsidRPr="003B58B4" w:rsidRDefault="003B58B4" w:rsidP="003B58B4">
      <w:pPr>
        <w:tabs>
          <w:tab w:val="left" w:pos="851"/>
        </w:tabs>
        <w:ind w:left="851"/>
        <w:rPr>
          <w:sz w:val="24"/>
          <w:szCs w:val="24"/>
        </w:rPr>
      </w:pPr>
      <w:r w:rsidRPr="003B58B4">
        <w:rPr>
          <w:sz w:val="24"/>
          <w:szCs w:val="24"/>
        </w:rPr>
        <w:t>20 ml indeholder 566 mg natrium.</w:t>
      </w:r>
    </w:p>
    <w:p w14:paraId="442BFB26" w14:textId="77777777" w:rsidR="003B58B4" w:rsidRPr="003B58B4" w:rsidRDefault="003B58B4" w:rsidP="003B58B4">
      <w:pPr>
        <w:tabs>
          <w:tab w:val="left" w:pos="851"/>
        </w:tabs>
        <w:ind w:left="851"/>
        <w:rPr>
          <w:sz w:val="24"/>
          <w:szCs w:val="24"/>
        </w:rPr>
      </w:pPr>
      <w:r w:rsidRPr="003B58B4">
        <w:rPr>
          <w:sz w:val="24"/>
          <w:szCs w:val="24"/>
        </w:rPr>
        <w:t>30 ml indeholder 849 mg natrium.</w:t>
      </w:r>
    </w:p>
    <w:p w14:paraId="664ECB47" w14:textId="77777777" w:rsidR="003B58B4" w:rsidRPr="003B58B4" w:rsidRDefault="003B58B4" w:rsidP="003B58B4">
      <w:pPr>
        <w:tabs>
          <w:tab w:val="left" w:pos="851"/>
        </w:tabs>
        <w:ind w:left="851"/>
        <w:rPr>
          <w:sz w:val="24"/>
          <w:szCs w:val="24"/>
        </w:rPr>
      </w:pPr>
    </w:p>
    <w:p w14:paraId="77D940E6" w14:textId="77777777" w:rsidR="003B58B4" w:rsidRPr="003B58B4" w:rsidRDefault="003B58B4" w:rsidP="003B58B4">
      <w:pPr>
        <w:tabs>
          <w:tab w:val="left" w:pos="851"/>
        </w:tabs>
        <w:ind w:left="851"/>
        <w:rPr>
          <w:sz w:val="24"/>
          <w:szCs w:val="24"/>
        </w:rPr>
      </w:pPr>
      <w:r w:rsidRPr="003B58B4">
        <w:rPr>
          <w:sz w:val="24"/>
          <w:szCs w:val="24"/>
        </w:rPr>
        <w:t>Alle hjælpestoffer er anført under pkt. 6.1.</w:t>
      </w:r>
    </w:p>
    <w:p w14:paraId="19A551BD" w14:textId="77777777" w:rsidR="009260DE" w:rsidRPr="00C84483" w:rsidRDefault="009260DE" w:rsidP="009260DE">
      <w:pPr>
        <w:tabs>
          <w:tab w:val="left" w:pos="851"/>
        </w:tabs>
        <w:ind w:left="851"/>
        <w:rPr>
          <w:sz w:val="24"/>
          <w:szCs w:val="24"/>
        </w:rPr>
      </w:pPr>
    </w:p>
    <w:p w14:paraId="763D6E5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479FB45" w14:textId="4ABBC94C" w:rsidR="003B58B4" w:rsidRDefault="003B58B4" w:rsidP="003B58B4">
      <w:pPr>
        <w:tabs>
          <w:tab w:val="left" w:pos="851"/>
        </w:tabs>
        <w:ind w:left="851"/>
        <w:rPr>
          <w:sz w:val="24"/>
          <w:szCs w:val="24"/>
        </w:rPr>
      </w:pPr>
      <w:r w:rsidRPr="003B58B4">
        <w:rPr>
          <w:sz w:val="24"/>
          <w:szCs w:val="24"/>
        </w:rPr>
        <w:t>Koncentrat til infusionsvæske, opløsning</w:t>
      </w:r>
    </w:p>
    <w:p w14:paraId="2126460C" w14:textId="77777777" w:rsidR="003B58B4" w:rsidRPr="003B58B4" w:rsidRDefault="003B58B4" w:rsidP="003B58B4">
      <w:pPr>
        <w:tabs>
          <w:tab w:val="left" w:pos="851"/>
        </w:tabs>
        <w:ind w:left="851"/>
        <w:rPr>
          <w:sz w:val="24"/>
          <w:szCs w:val="24"/>
        </w:rPr>
      </w:pPr>
    </w:p>
    <w:p w14:paraId="76A93D6F" w14:textId="77777777" w:rsidR="003B58B4" w:rsidRPr="003B58B4" w:rsidRDefault="003B58B4" w:rsidP="003B58B4">
      <w:pPr>
        <w:tabs>
          <w:tab w:val="left" w:pos="851"/>
        </w:tabs>
        <w:ind w:left="851"/>
        <w:rPr>
          <w:sz w:val="24"/>
          <w:szCs w:val="24"/>
        </w:rPr>
      </w:pPr>
      <w:r w:rsidRPr="003B58B4">
        <w:rPr>
          <w:sz w:val="24"/>
          <w:szCs w:val="24"/>
        </w:rPr>
        <w:t>Klar, farveløs infusionsvæske, opløsning.</w:t>
      </w:r>
    </w:p>
    <w:p w14:paraId="0E975181" w14:textId="77777777" w:rsidR="009260DE" w:rsidRPr="00C84483" w:rsidRDefault="009260DE" w:rsidP="009260DE">
      <w:pPr>
        <w:tabs>
          <w:tab w:val="left" w:pos="851"/>
        </w:tabs>
        <w:ind w:left="851"/>
        <w:rPr>
          <w:sz w:val="24"/>
          <w:szCs w:val="24"/>
        </w:rPr>
      </w:pPr>
    </w:p>
    <w:p w14:paraId="5E1E860C" w14:textId="77777777" w:rsidR="009260DE" w:rsidRPr="00C84483" w:rsidRDefault="009260DE" w:rsidP="009260DE">
      <w:pPr>
        <w:tabs>
          <w:tab w:val="left" w:pos="851"/>
        </w:tabs>
        <w:ind w:left="851"/>
        <w:rPr>
          <w:sz w:val="24"/>
          <w:szCs w:val="24"/>
        </w:rPr>
      </w:pPr>
    </w:p>
    <w:p w14:paraId="54095F70"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69F26CE" w14:textId="77777777" w:rsidR="009260DE" w:rsidRPr="00C84483" w:rsidRDefault="009260DE" w:rsidP="009260DE">
      <w:pPr>
        <w:tabs>
          <w:tab w:val="left" w:pos="851"/>
        </w:tabs>
        <w:ind w:left="851"/>
        <w:rPr>
          <w:b/>
          <w:sz w:val="24"/>
          <w:szCs w:val="24"/>
        </w:rPr>
      </w:pPr>
    </w:p>
    <w:p w14:paraId="22A05B8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765FD1E" w14:textId="77777777" w:rsidR="003B58B4" w:rsidRPr="003B58B4" w:rsidRDefault="003B58B4" w:rsidP="003B58B4">
      <w:pPr>
        <w:tabs>
          <w:tab w:val="left" w:pos="851"/>
        </w:tabs>
        <w:ind w:left="851"/>
        <w:rPr>
          <w:sz w:val="24"/>
          <w:szCs w:val="24"/>
        </w:rPr>
      </w:pPr>
      <w:r w:rsidRPr="003B58B4">
        <w:rPr>
          <w:sz w:val="24"/>
          <w:szCs w:val="24"/>
        </w:rPr>
        <w:t>Antidot ved overdosis af paracetamol.</w:t>
      </w:r>
    </w:p>
    <w:p w14:paraId="46F0C2AF" w14:textId="77777777" w:rsidR="009260DE" w:rsidRPr="00C84483" w:rsidRDefault="009260DE" w:rsidP="009260DE">
      <w:pPr>
        <w:tabs>
          <w:tab w:val="left" w:pos="851"/>
        </w:tabs>
        <w:ind w:left="851"/>
        <w:rPr>
          <w:sz w:val="24"/>
          <w:szCs w:val="24"/>
        </w:rPr>
      </w:pPr>
    </w:p>
    <w:p w14:paraId="1D699043"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74EBEA0" w14:textId="77777777" w:rsidR="003B58B4" w:rsidRPr="003B58B4" w:rsidRDefault="003B58B4" w:rsidP="003B58B4">
      <w:pPr>
        <w:pStyle w:val="Normalindrykning"/>
        <w:spacing w:after="0"/>
        <w:ind w:left="851"/>
        <w:rPr>
          <w:sz w:val="24"/>
          <w:szCs w:val="24"/>
        </w:rPr>
      </w:pPr>
      <w:r w:rsidRPr="003B58B4">
        <w:rPr>
          <w:sz w:val="24"/>
          <w:szCs w:val="24"/>
        </w:rPr>
        <w:t xml:space="preserve">Behandlingen kan indledes ved mistanke om indtagelse af mere end den terapeutiske dosis af paracetamol – uanset indtagelsestidspunktet og uafhængigt af svaret på S-paracetamolkoncentrationen. </w:t>
      </w:r>
    </w:p>
    <w:p w14:paraId="02F3E9EE" w14:textId="77777777" w:rsidR="003B58B4" w:rsidRPr="003B58B4" w:rsidRDefault="003B58B4" w:rsidP="003B58B4">
      <w:pPr>
        <w:pStyle w:val="Normalindrykning"/>
        <w:spacing w:after="0"/>
        <w:ind w:left="851"/>
        <w:rPr>
          <w:sz w:val="24"/>
          <w:szCs w:val="24"/>
        </w:rPr>
      </w:pPr>
      <w:r w:rsidRPr="003B58B4">
        <w:rPr>
          <w:sz w:val="24"/>
          <w:szCs w:val="24"/>
        </w:rPr>
        <w:lastRenderedPageBreak/>
        <w:t>Optimal effekt af acetylcystein opnås ved administration inden for 8</w:t>
      </w:r>
      <w:r w:rsidRPr="003B58B4">
        <w:rPr>
          <w:sz w:val="24"/>
          <w:szCs w:val="24"/>
        </w:rPr>
        <w:noBreakHyphen/>
        <w:t xml:space="preserve">10 timer efter indtagelse af paracetamol. Acetylcystein har vist effekt ved administration op til 24 timer efter indtagelse af paracetamol. </w:t>
      </w:r>
    </w:p>
    <w:p w14:paraId="6261EEDB" w14:textId="77777777" w:rsidR="003B58B4" w:rsidRPr="003B58B4" w:rsidRDefault="003B58B4" w:rsidP="003B58B4">
      <w:pPr>
        <w:pStyle w:val="Normalindrykning"/>
        <w:spacing w:after="0"/>
        <w:ind w:left="851"/>
        <w:rPr>
          <w:sz w:val="24"/>
          <w:szCs w:val="24"/>
        </w:rPr>
      </w:pPr>
    </w:p>
    <w:p w14:paraId="62152585" w14:textId="77777777" w:rsidR="003B58B4" w:rsidRPr="003B58B4" w:rsidRDefault="003B58B4" w:rsidP="003B58B4">
      <w:pPr>
        <w:pStyle w:val="Normalindrykning"/>
        <w:spacing w:after="0"/>
        <w:ind w:left="851"/>
        <w:rPr>
          <w:sz w:val="24"/>
          <w:szCs w:val="24"/>
        </w:rPr>
      </w:pPr>
      <w:r w:rsidRPr="003B58B4">
        <w:rPr>
          <w:i/>
          <w:sz w:val="24"/>
          <w:szCs w:val="24"/>
        </w:rPr>
        <w:t xml:space="preserve">Advarsel: </w:t>
      </w:r>
      <w:r w:rsidRPr="003B58B4">
        <w:rPr>
          <w:sz w:val="24"/>
          <w:szCs w:val="24"/>
        </w:rPr>
        <w:t>Infusionskoncentratet må ikke gives ufortyndet.</w:t>
      </w:r>
    </w:p>
    <w:p w14:paraId="604D479D" w14:textId="77777777" w:rsidR="003B58B4" w:rsidRPr="003B58B4" w:rsidRDefault="003B58B4" w:rsidP="003B58B4">
      <w:pPr>
        <w:pStyle w:val="Normalindrykning"/>
        <w:spacing w:after="0"/>
        <w:ind w:left="851"/>
        <w:rPr>
          <w:sz w:val="24"/>
          <w:szCs w:val="24"/>
        </w:rPr>
      </w:pPr>
      <w:r w:rsidRPr="003B58B4">
        <w:rPr>
          <w:sz w:val="24"/>
          <w:szCs w:val="24"/>
        </w:rPr>
        <w:t>Se pkt. 6.6 for fortyndingsmidler.</w:t>
      </w:r>
    </w:p>
    <w:p w14:paraId="0FC14C3F" w14:textId="77777777" w:rsidR="003B58B4" w:rsidRPr="003B58B4" w:rsidRDefault="003B58B4" w:rsidP="003B58B4">
      <w:pPr>
        <w:pStyle w:val="Normalindrykning"/>
        <w:spacing w:after="0"/>
        <w:ind w:left="851"/>
        <w:rPr>
          <w:sz w:val="24"/>
          <w:szCs w:val="24"/>
          <w:lang w:eastAsia="zh-CN"/>
        </w:rPr>
      </w:pPr>
    </w:p>
    <w:p w14:paraId="0596CA2F" w14:textId="77777777" w:rsidR="003B58B4" w:rsidRPr="003B58B4" w:rsidRDefault="003B58B4" w:rsidP="003B58B4">
      <w:pPr>
        <w:pStyle w:val="Normalindrykning"/>
        <w:spacing w:after="0"/>
        <w:ind w:left="851"/>
        <w:rPr>
          <w:b/>
          <w:bCs/>
          <w:sz w:val="24"/>
          <w:szCs w:val="24"/>
          <w:u w:val="single"/>
        </w:rPr>
      </w:pPr>
      <w:r w:rsidRPr="003B58B4">
        <w:rPr>
          <w:b/>
          <w:sz w:val="24"/>
          <w:szCs w:val="24"/>
          <w:u w:val="single"/>
        </w:rPr>
        <w:t>Administration</w:t>
      </w:r>
    </w:p>
    <w:p w14:paraId="04D71085" w14:textId="77777777" w:rsidR="003B58B4" w:rsidRPr="003B58B4" w:rsidRDefault="003B58B4" w:rsidP="003B58B4">
      <w:pPr>
        <w:pStyle w:val="Normalindrykning"/>
        <w:spacing w:after="0"/>
        <w:ind w:left="851"/>
        <w:rPr>
          <w:b/>
          <w:bCs/>
          <w:sz w:val="24"/>
          <w:szCs w:val="24"/>
        </w:rPr>
      </w:pPr>
    </w:p>
    <w:p w14:paraId="49A16E92" w14:textId="77777777" w:rsidR="003B58B4" w:rsidRPr="003B58B4" w:rsidRDefault="003B58B4" w:rsidP="003B58B4">
      <w:pPr>
        <w:pStyle w:val="Normalindrykning"/>
        <w:spacing w:after="0"/>
        <w:ind w:left="851"/>
        <w:rPr>
          <w:b/>
          <w:bCs/>
          <w:sz w:val="24"/>
          <w:szCs w:val="24"/>
        </w:rPr>
      </w:pPr>
      <w:r w:rsidRPr="003B58B4">
        <w:rPr>
          <w:b/>
          <w:sz w:val="24"/>
          <w:szCs w:val="24"/>
        </w:rPr>
        <w:t>Intravenøs behandling med Acetylcysteine "Macure"</w:t>
      </w:r>
    </w:p>
    <w:p w14:paraId="511BAFFA" w14:textId="77777777" w:rsidR="003B58B4" w:rsidRPr="003B58B4" w:rsidRDefault="003B58B4" w:rsidP="003B58B4">
      <w:pPr>
        <w:pStyle w:val="Normalindrykning"/>
        <w:spacing w:after="0"/>
        <w:ind w:left="851"/>
        <w:rPr>
          <w:sz w:val="24"/>
          <w:szCs w:val="24"/>
          <w:lang w:eastAsia="zh-CN"/>
        </w:rPr>
      </w:pPr>
    </w:p>
    <w:p w14:paraId="2E3AFAF7" w14:textId="77777777" w:rsidR="003B58B4" w:rsidRPr="003B58B4" w:rsidRDefault="003B58B4" w:rsidP="003B58B4">
      <w:pPr>
        <w:pStyle w:val="Normalindrykning"/>
        <w:spacing w:after="0"/>
        <w:ind w:left="851"/>
        <w:rPr>
          <w:sz w:val="24"/>
          <w:szCs w:val="24"/>
          <w:u w:val="single"/>
        </w:rPr>
      </w:pPr>
      <w:r w:rsidRPr="003B58B4">
        <w:rPr>
          <w:sz w:val="24"/>
          <w:szCs w:val="24"/>
          <w:u w:val="single"/>
        </w:rPr>
        <w:t>Voksne og børn &gt; 50 kg kropsvægt</w:t>
      </w:r>
    </w:p>
    <w:p w14:paraId="27BA93D9" w14:textId="77777777" w:rsidR="003B58B4" w:rsidRPr="003B58B4" w:rsidRDefault="003B58B4" w:rsidP="003B58B4">
      <w:pPr>
        <w:pStyle w:val="Normalindrykning"/>
        <w:spacing w:after="0"/>
        <w:ind w:left="851"/>
        <w:rPr>
          <w:sz w:val="24"/>
          <w:szCs w:val="24"/>
        </w:rPr>
      </w:pPr>
      <w:r w:rsidRPr="003B58B4">
        <w:rPr>
          <w:sz w:val="24"/>
          <w:szCs w:val="24"/>
        </w:rPr>
        <w:t>Doseringsregimet gælder indtil en kropsvægt på 110 kg. Patienter, der vejer mere end 110 kg, doseres som 110 kg. Doseringsregimet følges, indtil behandlingen kan stoppes i henhold til stopregel 1 eller stopregel 2.</w:t>
      </w:r>
    </w:p>
    <w:p w14:paraId="3BC6B590" w14:textId="77777777" w:rsidR="003B58B4" w:rsidRPr="003B58B4" w:rsidRDefault="003B58B4" w:rsidP="003B58B4">
      <w:pPr>
        <w:pStyle w:val="Normalindrykning"/>
        <w:spacing w:after="0"/>
        <w:ind w:left="851"/>
        <w:rPr>
          <w:sz w:val="24"/>
          <w:szCs w:val="24"/>
          <w:lang w:eastAsia="zh-CN"/>
        </w:rPr>
      </w:pPr>
    </w:p>
    <w:p w14:paraId="513024F6" w14:textId="77777777" w:rsidR="003B58B4" w:rsidRPr="003B58B4" w:rsidRDefault="003B58B4" w:rsidP="003B58B4">
      <w:pPr>
        <w:pStyle w:val="Normalindrykning"/>
        <w:spacing w:after="0"/>
        <w:ind w:left="851"/>
        <w:rPr>
          <w:sz w:val="24"/>
          <w:szCs w:val="24"/>
        </w:rPr>
      </w:pPr>
      <w:r w:rsidRPr="003B58B4">
        <w:rPr>
          <w:i/>
          <w:sz w:val="24"/>
          <w:szCs w:val="24"/>
        </w:rPr>
        <w:t>Dosering 1</w:t>
      </w:r>
      <w:r w:rsidRPr="003B58B4">
        <w:rPr>
          <w:sz w:val="24"/>
          <w:szCs w:val="24"/>
        </w:rPr>
        <w:t>: Bolus i 4 timer: 200 mg acetylcystein/kg kropsvægt.</w:t>
      </w:r>
    </w:p>
    <w:p w14:paraId="3F06CE6E" w14:textId="77777777" w:rsidR="003B58B4" w:rsidRPr="003B58B4" w:rsidRDefault="003B58B4" w:rsidP="003B58B4">
      <w:pPr>
        <w:pStyle w:val="Normalindrykning"/>
        <w:spacing w:after="0"/>
        <w:ind w:left="851"/>
        <w:rPr>
          <w:sz w:val="24"/>
          <w:szCs w:val="24"/>
        </w:rPr>
      </w:pPr>
      <w:r w:rsidRPr="003B58B4">
        <w:rPr>
          <w:i/>
          <w:sz w:val="24"/>
          <w:szCs w:val="24"/>
        </w:rPr>
        <w:t>Dosering 2</w:t>
      </w:r>
      <w:r w:rsidRPr="003B58B4">
        <w:rPr>
          <w:sz w:val="24"/>
          <w:szCs w:val="24"/>
        </w:rPr>
        <w:t xml:space="preserve">: Kontinuerlig behandling i 16 timer: 100 mg acetylcystein/kg kropsvægt. </w:t>
      </w:r>
    </w:p>
    <w:p w14:paraId="032A1C5E" w14:textId="77777777" w:rsidR="003B58B4" w:rsidRPr="003B58B4" w:rsidRDefault="003B58B4" w:rsidP="003B58B4">
      <w:pPr>
        <w:pStyle w:val="Normalindrykning"/>
        <w:spacing w:after="0"/>
        <w:ind w:left="851"/>
        <w:rPr>
          <w:sz w:val="24"/>
          <w:szCs w:val="24"/>
        </w:rPr>
      </w:pPr>
      <w:r w:rsidRPr="003B58B4">
        <w:rPr>
          <w:sz w:val="24"/>
          <w:szCs w:val="24"/>
        </w:rPr>
        <w:t>Klargøringsanvisninger er anført i tabellen.</w:t>
      </w:r>
    </w:p>
    <w:p w14:paraId="018F03CA" w14:textId="77777777" w:rsidR="003B58B4" w:rsidRDefault="003B58B4" w:rsidP="003B58B4">
      <w:pPr>
        <w:pStyle w:val="Normalindrykning"/>
        <w:spacing w:after="0"/>
        <w:ind w:left="0"/>
        <w:rPr>
          <w:szCs w:val="22"/>
          <w:lang w:eastAsia="zh-CN"/>
        </w:rPr>
      </w:pPr>
    </w:p>
    <w:p w14:paraId="6691145B" w14:textId="77777777" w:rsidR="003B58B4" w:rsidRPr="003B58B4" w:rsidRDefault="003B58B4" w:rsidP="003B58B4">
      <w:pPr>
        <w:pStyle w:val="Normalindrykning"/>
        <w:spacing w:after="0"/>
        <w:ind w:left="851"/>
        <w:rPr>
          <w:b/>
          <w:sz w:val="24"/>
          <w:szCs w:val="24"/>
        </w:rPr>
      </w:pPr>
      <w:r w:rsidRPr="003B58B4">
        <w:rPr>
          <w:b/>
          <w:sz w:val="24"/>
          <w:szCs w:val="24"/>
        </w:rPr>
        <w:t>Doseringsskema for voksne</w:t>
      </w:r>
    </w:p>
    <w:tbl>
      <w:tblPr>
        <w:tblW w:w="849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7"/>
        <w:gridCol w:w="2862"/>
        <w:gridCol w:w="2821"/>
      </w:tblGrid>
      <w:tr w:rsidR="003B58B4" w14:paraId="60E32B8E" w14:textId="77777777" w:rsidTr="003B58B4">
        <w:trPr>
          <w:trHeight w:val="820"/>
        </w:trPr>
        <w:tc>
          <w:tcPr>
            <w:tcW w:w="5669" w:type="dxa"/>
            <w:gridSpan w:val="2"/>
            <w:tcBorders>
              <w:top w:val="single" w:sz="4" w:space="0" w:color="000000"/>
              <w:left w:val="single" w:sz="4" w:space="0" w:color="000000"/>
              <w:bottom w:val="single" w:sz="4" w:space="0" w:color="000000"/>
              <w:right w:val="single" w:sz="4" w:space="0" w:color="000000"/>
            </w:tcBorders>
            <w:hideMark/>
          </w:tcPr>
          <w:p w14:paraId="66C6CBD4" w14:textId="77777777" w:rsidR="003B58B4" w:rsidRDefault="003B58B4">
            <w:pPr>
              <w:widowControl w:val="0"/>
              <w:autoSpaceDE w:val="0"/>
              <w:autoSpaceDN w:val="0"/>
              <w:rPr>
                <w:rFonts w:eastAsia="Calibri"/>
                <w:szCs w:val="22"/>
              </w:rPr>
            </w:pPr>
            <w:r>
              <w:t>Ordination af acetylcystein til voksne</w:t>
            </w:r>
          </w:p>
          <w:p w14:paraId="73867CDF" w14:textId="77777777" w:rsidR="003B58B4" w:rsidRDefault="003B58B4">
            <w:pPr>
              <w:widowControl w:val="0"/>
              <w:autoSpaceDE w:val="0"/>
              <w:autoSpaceDN w:val="0"/>
              <w:rPr>
                <w:rFonts w:eastAsia="Calibri"/>
                <w:szCs w:val="22"/>
              </w:rPr>
            </w:pPr>
            <w:r>
              <w:t>(hvert hætteglas = 200 mg/ml acetylcystein)</w:t>
            </w:r>
          </w:p>
        </w:tc>
        <w:tc>
          <w:tcPr>
            <w:tcW w:w="2821" w:type="dxa"/>
            <w:tcBorders>
              <w:top w:val="single" w:sz="4" w:space="0" w:color="000000"/>
              <w:left w:val="single" w:sz="4" w:space="0" w:color="000000"/>
              <w:bottom w:val="single" w:sz="4" w:space="0" w:color="000000"/>
              <w:right w:val="single" w:sz="4" w:space="0" w:color="000000"/>
            </w:tcBorders>
            <w:hideMark/>
          </w:tcPr>
          <w:p w14:paraId="097176B1" w14:textId="77777777" w:rsidR="003B58B4" w:rsidRDefault="003B58B4">
            <w:pPr>
              <w:widowControl w:val="0"/>
              <w:autoSpaceDE w:val="0"/>
              <w:autoSpaceDN w:val="0"/>
              <w:rPr>
                <w:rFonts w:eastAsia="Calibri"/>
                <w:szCs w:val="22"/>
              </w:rPr>
            </w:pPr>
            <w:r>
              <w:t>Sæt ring om den korrekte vægt, dosering og volumen</w:t>
            </w:r>
          </w:p>
        </w:tc>
      </w:tr>
      <w:tr w:rsidR="003B58B4" w14:paraId="7289E293"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060ADCD4" w14:textId="77777777" w:rsidR="003B58B4" w:rsidRDefault="003B58B4">
            <w:pPr>
              <w:widowControl w:val="0"/>
              <w:autoSpaceDE w:val="0"/>
              <w:autoSpaceDN w:val="0"/>
              <w:jc w:val="center"/>
              <w:rPr>
                <w:rFonts w:eastAsia="Calibri"/>
                <w:szCs w:val="22"/>
              </w:rPr>
            </w:pPr>
            <w:r>
              <w:t>Regime</w:t>
            </w:r>
          </w:p>
        </w:tc>
        <w:tc>
          <w:tcPr>
            <w:tcW w:w="2862" w:type="dxa"/>
            <w:tcBorders>
              <w:top w:val="single" w:sz="4" w:space="0" w:color="000000"/>
              <w:left w:val="single" w:sz="4" w:space="0" w:color="000000"/>
              <w:bottom w:val="single" w:sz="4" w:space="0" w:color="000000"/>
              <w:right w:val="single" w:sz="4" w:space="0" w:color="000000"/>
            </w:tcBorders>
            <w:hideMark/>
          </w:tcPr>
          <w:p w14:paraId="69C65641" w14:textId="77777777" w:rsidR="003B58B4" w:rsidRDefault="003B58B4">
            <w:pPr>
              <w:widowControl w:val="0"/>
              <w:autoSpaceDE w:val="0"/>
              <w:autoSpaceDN w:val="0"/>
              <w:jc w:val="center"/>
              <w:rPr>
                <w:rFonts w:eastAsia="Calibri"/>
                <w:szCs w:val="22"/>
              </w:rPr>
            </w:pPr>
            <w:r>
              <w:t>Dosering 1</w:t>
            </w:r>
          </w:p>
        </w:tc>
        <w:tc>
          <w:tcPr>
            <w:tcW w:w="2821" w:type="dxa"/>
            <w:tcBorders>
              <w:top w:val="single" w:sz="4" w:space="0" w:color="000000"/>
              <w:left w:val="single" w:sz="4" w:space="0" w:color="000000"/>
              <w:bottom w:val="single" w:sz="4" w:space="0" w:color="000000"/>
              <w:right w:val="single" w:sz="4" w:space="0" w:color="000000"/>
            </w:tcBorders>
            <w:hideMark/>
          </w:tcPr>
          <w:p w14:paraId="78E7E004" w14:textId="77777777" w:rsidR="003B58B4" w:rsidRDefault="003B58B4">
            <w:pPr>
              <w:widowControl w:val="0"/>
              <w:autoSpaceDE w:val="0"/>
              <w:autoSpaceDN w:val="0"/>
              <w:jc w:val="center"/>
              <w:rPr>
                <w:rFonts w:eastAsia="Calibri"/>
                <w:szCs w:val="22"/>
              </w:rPr>
            </w:pPr>
            <w:r>
              <w:t>Dosering 2</w:t>
            </w:r>
          </w:p>
        </w:tc>
      </w:tr>
      <w:tr w:rsidR="003B58B4" w14:paraId="677B554C"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2EC61B9D" w14:textId="77777777" w:rsidR="003B58B4" w:rsidRDefault="003B58B4">
            <w:pPr>
              <w:widowControl w:val="0"/>
              <w:autoSpaceDE w:val="0"/>
              <w:autoSpaceDN w:val="0"/>
              <w:jc w:val="center"/>
              <w:rPr>
                <w:rFonts w:eastAsia="Calibri"/>
                <w:szCs w:val="22"/>
              </w:rPr>
            </w:pPr>
            <w:r>
              <w:t>Infusion</w:t>
            </w:r>
          </w:p>
        </w:tc>
        <w:tc>
          <w:tcPr>
            <w:tcW w:w="2862" w:type="dxa"/>
            <w:tcBorders>
              <w:top w:val="single" w:sz="4" w:space="0" w:color="000000"/>
              <w:left w:val="single" w:sz="4" w:space="0" w:color="000000"/>
              <w:bottom w:val="single" w:sz="4" w:space="0" w:color="000000"/>
              <w:right w:val="single" w:sz="4" w:space="0" w:color="000000"/>
            </w:tcBorders>
            <w:hideMark/>
          </w:tcPr>
          <w:p w14:paraId="011E1368" w14:textId="77777777" w:rsidR="003B58B4" w:rsidRDefault="003B58B4">
            <w:pPr>
              <w:widowControl w:val="0"/>
              <w:autoSpaceDE w:val="0"/>
              <w:autoSpaceDN w:val="0"/>
              <w:jc w:val="center"/>
              <w:rPr>
                <w:rFonts w:eastAsia="Calibri"/>
                <w:szCs w:val="22"/>
                <w:lang w:val="nb-NO"/>
              </w:rPr>
            </w:pPr>
            <w:r>
              <w:rPr>
                <w:lang w:val="nb-NO"/>
              </w:rPr>
              <w:t>Samlet volumen på 500 ml (solvens + acetylcystein)</w:t>
            </w:r>
          </w:p>
        </w:tc>
        <w:tc>
          <w:tcPr>
            <w:tcW w:w="2821" w:type="dxa"/>
            <w:tcBorders>
              <w:top w:val="single" w:sz="4" w:space="0" w:color="000000"/>
              <w:left w:val="single" w:sz="4" w:space="0" w:color="000000"/>
              <w:bottom w:val="single" w:sz="4" w:space="0" w:color="000000"/>
              <w:right w:val="single" w:sz="4" w:space="0" w:color="000000"/>
            </w:tcBorders>
            <w:hideMark/>
          </w:tcPr>
          <w:p w14:paraId="79DB2730" w14:textId="77777777" w:rsidR="003B58B4" w:rsidRDefault="003B58B4">
            <w:pPr>
              <w:widowControl w:val="0"/>
              <w:autoSpaceDE w:val="0"/>
              <w:autoSpaceDN w:val="0"/>
              <w:jc w:val="center"/>
              <w:rPr>
                <w:rFonts w:eastAsia="Calibri"/>
                <w:szCs w:val="22"/>
                <w:lang w:val="nb-NO"/>
              </w:rPr>
            </w:pPr>
            <w:r>
              <w:rPr>
                <w:lang w:val="nb-NO"/>
              </w:rPr>
              <w:t>Samlet volumen på 1.000 ml (solvens + acetylcystein)</w:t>
            </w:r>
          </w:p>
        </w:tc>
      </w:tr>
      <w:tr w:rsidR="003B58B4" w14:paraId="7A731551"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0184298B" w14:textId="77777777" w:rsidR="003B58B4" w:rsidRDefault="003B58B4">
            <w:pPr>
              <w:widowControl w:val="0"/>
              <w:autoSpaceDE w:val="0"/>
              <w:autoSpaceDN w:val="0"/>
              <w:jc w:val="center"/>
              <w:rPr>
                <w:rFonts w:eastAsia="Calibri"/>
                <w:szCs w:val="22"/>
              </w:rPr>
            </w:pPr>
            <w:r>
              <w:t>Infusionens varighed</w:t>
            </w:r>
          </w:p>
        </w:tc>
        <w:tc>
          <w:tcPr>
            <w:tcW w:w="2862" w:type="dxa"/>
            <w:tcBorders>
              <w:top w:val="single" w:sz="4" w:space="0" w:color="000000"/>
              <w:left w:val="single" w:sz="4" w:space="0" w:color="000000"/>
              <w:bottom w:val="single" w:sz="4" w:space="0" w:color="000000"/>
              <w:right w:val="single" w:sz="4" w:space="0" w:color="000000"/>
            </w:tcBorders>
            <w:hideMark/>
          </w:tcPr>
          <w:p w14:paraId="463A604F" w14:textId="77777777" w:rsidR="003B58B4" w:rsidRDefault="003B58B4">
            <w:pPr>
              <w:widowControl w:val="0"/>
              <w:autoSpaceDE w:val="0"/>
              <w:autoSpaceDN w:val="0"/>
              <w:jc w:val="center"/>
              <w:rPr>
                <w:rFonts w:eastAsia="Calibri"/>
                <w:szCs w:val="22"/>
              </w:rPr>
            </w:pPr>
            <w:r>
              <w:t>0</w:t>
            </w:r>
            <w:r>
              <w:noBreakHyphen/>
              <w:t>4 timer</w:t>
            </w:r>
          </w:p>
        </w:tc>
        <w:tc>
          <w:tcPr>
            <w:tcW w:w="2821" w:type="dxa"/>
            <w:tcBorders>
              <w:top w:val="single" w:sz="4" w:space="0" w:color="000000"/>
              <w:left w:val="single" w:sz="4" w:space="0" w:color="000000"/>
              <w:bottom w:val="single" w:sz="4" w:space="0" w:color="000000"/>
              <w:right w:val="single" w:sz="4" w:space="0" w:color="000000"/>
            </w:tcBorders>
            <w:hideMark/>
          </w:tcPr>
          <w:p w14:paraId="488D93FC" w14:textId="77777777" w:rsidR="003B58B4" w:rsidRDefault="003B58B4">
            <w:pPr>
              <w:widowControl w:val="0"/>
              <w:autoSpaceDE w:val="0"/>
              <w:autoSpaceDN w:val="0"/>
              <w:jc w:val="center"/>
              <w:rPr>
                <w:rFonts w:eastAsia="Calibri"/>
                <w:szCs w:val="22"/>
              </w:rPr>
            </w:pPr>
            <w:r>
              <w:t>16 timer</w:t>
            </w:r>
          </w:p>
        </w:tc>
      </w:tr>
      <w:tr w:rsidR="003B58B4" w14:paraId="44EC5C9A"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2C05BE69" w14:textId="77777777" w:rsidR="003B58B4" w:rsidRDefault="003B58B4">
            <w:pPr>
              <w:widowControl w:val="0"/>
              <w:autoSpaceDE w:val="0"/>
              <w:autoSpaceDN w:val="0"/>
              <w:jc w:val="center"/>
              <w:rPr>
                <w:rFonts w:eastAsia="Calibri"/>
                <w:szCs w:val="22"/>
              </w:rPr>
            </w:pPr>
            <w:r>
              <w:t>Dosis</w:t>
            </w:r>
          </w:p>
        </w:tc>
        <w:tc>
          <w:tcPr>
            <w:tcW w:w="2862" w:type="dxa"/>
            <w:tcBorders>
              <w:top w:val="single" w:sz="4" w:space="0" w:color="000000"/>
              <w:left w:val="single" w:sz="4" w:space="0" w:color="000000"/>
              <w:bottom w:val="single" w:sz="4" w:space="0" w:color="000000"/>
              <w:right w:val="single" w:sz="4" w:space="0" w:color="000000"/>
            </w:tcBorders>
            <w:hideMark/>
          </w:tcPr>
          <w:p w14:paraId="736690E4" w14:textId="77777777" w:rsidR="003B58B4" w:rsidRDefault="003B58B4">
            <w:pPr>
              <w:widowControl w:val="0"/>
              <w:autoSpaceDE w:val="0"/>
              <w:autoSpaceDN w:val="0"/>
              <w:jc w:val="center"/>
              <w:rPr>
                <w:rFonts w:eastAsia="Calibri"/>
                <w:szCs w:val="22"/>
              </w:rPr>
            </w:pPr>
            <w:r>
              <w:t>200 mg</w:t>
            </w:r>
          </w:p>
          <w:p w14:paraId="40D1775C" w14:textId="77777777" w:rsidR="003B58B4" w:rsidRDefault="003B58B4">
            <w:pPr>
              <w:widowControl w:val="0"/>
              <w:autoSpaceDE w:val="0"/>
              <w:autoSpaceDN w:val="0"/>
              <w:jc w:val="center"/>
              <w:rPr>
                <w:rFonts w:eastAsia="Calibri"/>
                <w:szCs w:val="22"/>
              </w:rPr>
            </w:pPr>
            <w:r>
              <w:t>pr. kg legemsvægt</w:t>
            </w:r>
          </w:p>
        </w:tc>
        <w:tc>
          <w:tcPr>
            <w:tcW w:w="2821" w:type="dxa"/>
            <w:tcBorders>
              <w:top w:val="single" w:sz="4" w:space="0" w:color="000000"/>
              <w:left w:val="single" w:sz="4" w:space="0" w:color="000000"/>
              <w:bottom w:val="single" w:sz="4" w:space="0" w:color="000000"/>
              <w:right w:val="single" w:sz="4" w:space="0" w:color="000000"/>
            </w:tcBorders>
            <w:hideMark/>
          </w:tcPr>
          <w:p w14:paraId="3EDCDA11" w14:textId="77777777" w:rsidR="003B58B4" w:rsidRDefault="003B58B4">
            <w:pPr>
              <w:widowControl w:val="0"/>
              <w:autoSpaceDE w:val="0"/>
              <w:autoSpaceDN w:val="0"/>
              <w:jc w:val="center"/>
              <w:rPr>
                <w:rFonts w:eastAsia="Calibri"/>
                <w:szCs w:val="22"/>
              </w:rPr>
            </w:pPr>
            <w:r>
              <w:t>100 mg</w:t>
            </w:r>
          </w:p>
          <w:p w14:paraId="39A68941" w14:textId="77777777" w:rsidR="003B58B4" w:rsidRDefault="003B58B4">
            <w:pPr>
              <w:widowControl w:val="0"/>
              <w:autoSpaceDE w:val="0"/>
              <w:autoSpaceDN w:val="0"/>
              <w:jc w:val="center"/>
              <w:rPr>
                <w:rFonts w:eastAsia="Calibri"/>
                <w:szCs w:val="22"/>
              </w:rPr>
            </w:pPr>
            <w:r>
              <w:t>pr. kg legemsvægt</w:t>
            </w:r>
          </w:p>
        </w:tc>
      </w:tr>
      <w:tr w:rsidR="003B58B4" w14:paraId="34402424"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3AA95F8E" w14:textId="77777777" w:rsidR="003B58B4" w:rsidRDefault="003B58B4">
            <w:pPr>
              <w:widowControl w:val="0"/>
              <w:autoSpaceDE w:val="0"/>
              <w:autoSpaceDN w:val="0"/>
              <w:jc w:val="center"/>
              <w:rPr>
                <w:rFonts w:eastAsia="Calibri"/>
                <w:szCs w:val="22"/>
              </w:rPr>
            </w:pPr>
            <w:r>
              <w:t>Patientens vægt (kg)</w:t>
            </w:r>
          </w:p>
        </w:tc>
        <w:tc>
          <w:tcPr>
            <w:tcW w:w="2862" w:type="dxa"/>
            <w:tcBorders>
              <w:top w:val="single" w:sz="4" w:space="0" w:color="000000"/>
              <w:left w:val="single" w:sz="4" w:space="0" w:color="000000"/>
              <w:bottom w:val="single" w:sz="4" w:space="0" w:color="000000"/>
              <w:right w:val="single" w:sz="4" w:space="0" w:color="000000"/>
            </w:tcBorders>
            <w:hideMark/>
          </w:tcPr>
          <w:p w14:paraId="0EC39BBD" w14:textId="77777777" w:rsidR="003B58B4" w:rsidRDefault="003B58B4">
            <w:pPr>
              <w:widowControl w:val="0"/>
              <w:autoSpaceDE w:val="0"/>
              <w:autoSpaceDN w:val="0"/>
              <w:jc w:val="center"/>
              <w:rPr>
                <w:rFonts w:eastAsia="Calibri"/>
                <w:szCs w:val="22"/>
                <w:vertAlign w:val="superscript"/>
              </w:rPr>
            </w:pPr>
            <w:r>
              <w:t>Hætteglasvolumen (ml)</w:t>
            </w:r>
            <w:r>
              <w:rPr>
                <w:vertAlign w:val="superscript"/>
              </w:rPr>
              <w:t>1</w:t>
            </w:r>
          </w:p>
        </w:tc>
        <w:tc>
          <w:tcPr>
            <w:tcW w:w="2821" w:type="dxa"/>
            <w:tcBorders>
              <w:top w:val="single" w:sz="4" w:space="0" w:color="000000"/>
              <w:left w:val="single" w:sz="4" w:space="0" w:color="000000"/>
              <w:bottom w:val="single" w:sz="4" w:space="0" w:color="000000"/>
              <w:right w:val="single" w:sz="4" w:space="0" w:color="000000"/>
            </w:tcBorders>
            <w:hideMark/>
          </w:tcPr>
          <w:p w14:paraId="013A4A47" w14:textId="77777777" w:rsidR="003B58B4" w:rsidRDefault="003B58B4">
            <w:pPr>
              <w:widowControl w:val="0"/>
              <w:autoSpaceDE w:val="0"/>
              <w:autoSpaceDN w:val="0"/>
              <w:jc w:val="center"/>
              <w:rPr>
                <w:rFonts w:eastAsia="Calibri"/>
                <w:szCs w:val="22"/>
              </w:rPr>
            </w:pPr>
            <w:r>
              <w:t>Hætteglasvolumen (ml)</w:t>
            </w:r>
          </w:p>
        </w:tc>
      </w:tr>
      <w:tr w:rsidR="003B58B4" w14:paraId="34F91327"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1BB74236" w14:textId="77777777" w:rsidR="003B58B4" w:rsidRDefault="003B58B4">
            <w:pPr>
              <w:widowControl w:val="0"/>
              <w:autoSpaceDE w:val="0"/>
              <w:autoSpaceDN w:val="0"/>
              <w:jc w:val="center"/>
              <w:rPr>
                <w:rFonts w:eastAsia="Calibri"/>
                <w:szCs w:val="22"/>
              </w:rPr>
            </w:pPr>
            <w:r>
              <w:t>40</w:t>
            </w:r>
            <w:r>
              <w:noBreakHyphen/>
              <w:t>49</w:t>
            </w:r>
          </w:p>
        </w:tc>
        <w:tc>
          <w:tcPr>
            <w:tcW w:w="2862" w:type="dxa"/>
            <w:tcBorders>
              <w:top w:val="single" w:sz="4" w:space="0" w:color="000000"/>
              <w:left w:val="single" w:sz="4" w:space="0" w:color="000000"/>
              <w:bottom w:val="single" w:sz="4" w:space="0" w:color="000000"/>
              <w:right w:val="single" w:sz="4" w:space="0" w:color="000000"/>
            </w:tcBorders>
            <w:hideMark/>
          </w:tcPr>
          <w:p w14:paraId="6073DB62" w14:textId="77777777" w:rsidR="003B58B4" w:rsidRDefault="003B58B4">
            <w:pPr>
              <w:widowControl w:val="0"/>
              <w:autoSpaceDE w:val="0"/>
              <w:autoSpaceDN w:val="0"/>
              <w:jc w:val="center"/>
              <w:rPr>
                <w:rFonts w:eastAsia="Calibri"/>
                <w:szCs w:val="22"/>
              </w:rPr>
            </w:pPr>
            <w:r>
              <w:t>45</w:t>
            </w:r>
          </w:p>
        </w:tc>
        <w:tc>
          <w:tcPr>
            <w:tcW w:w="2821" w:type="dxa"/>
            <w:tcBorders>
              <w:top w:val="single" w:sz="4" w:space="0" w:color="000000"/>
              <w:left w:val="single" w:sz="4" w:space="0" w:color="000000"/>
              <w:bottom w:val="single" w:sz="4" w:space="0" w:color="000000"/>
              <w:right w:val="single" w:sz="4" w:space="0" w:color="000000"/>
            </w:tcBorders>
            <w:hideMark/>
          </w:tcPr>
          <w:p w14:paraId="57B424EA" w14:textId="77777777" w:rsidR="003B58B4" w:rsidRDefault="003B58B4">
            <w:pPr>
              <w:widowControl w:val="0"/>
              <w:autoSpaceDE w:val="0"/>
              <w:autoSpaceDN w:val="0"/>
              <w:jc w:val="center"/>
              <w:rPr>
                <w:rFonts w:eastAsia="Calibri"/>
                <w:szCs w:val="22"/>
              </w:rPr>
            </w:pPr>
            <w:r>
              <w:t>22,5</w:t>
            </w:r>
          </w:p>
        </w:tc>
      </w:tr>
      <w:tr w:rsidR="003B58B4" w14:paraId="3209A9DB"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52609975" w14:textId="77777777" w:rsidR="003B58B4" w:rsidRDefault="003B58B4">
            <w:pPr>
              <w:widowControl w:val="0"/>
              <w:autoSpaceDE w:val="0"/>
              <w:autoSpaceDN w:val="0"/>
              <w:jc w:val="center"/>
              <w:rPr>
                <w:rFonts w:eastAsia="Calibri"/>
                <w:szCs w:val="22"/>
              </w:rPr>
            </w:pPr>
            <w:r>
              <w:t>50</w:t>
            </w:r>
            <w:r>
              <w:noBreakHyphen/>
              <w:t>59</w:t>
            </w:r>
          </w:p>
        </w:tc>
        <w:tc>
          <w:tcPr>
            <w:tcW w:w="2862" w:type="dxa"/>
            <w:tcBorders>
              <w:top w:val="single" w:sz="4" w:space="0" w:color="000000"/>
              <w:left w:val="single" w:sz="4" w:space="0" w:color="000000"/>
              <w:bottom w:val="single" w:sz="4" w:space="0" w:color="000000"/>
              <w:right w:val="single" w:sz="4" w:space="0" w:color="000000"/>
            </w:tcBorders>
            <w:hideMark/>
          </w:tcPr>
          <w:p w14:paraId="5EEBF29F" w14:textId="77777777" w:rsidR="003B58B4" w:rsidRDefault="003B58B4">
            <w:pPr>
              <w:widowControl w:val="0"/>
              <w:autoSpaceDE w:val="0"/>
              <w:autoSpaceDN w:val="0"/>
              <w:jc w:val="center"/>
              <w:rPr>
                <w:rFonts w:eastAsia="Calibri"/>
                <w:szCs w:val="22"/>
              </w:rPr>
            </w:pPr>
            <w:r>
              <w:t>55</w:t>
            </w:r>
          </w:p>
        </w:tc>
        <w:tc>
          <w:tcPr>
            <w:tcW w:w="2821" w:type="dxa"/>
            <w:tcBorders>
              <w:top w:val="single" w:sz="4" w:space="0" w:color="000000"/>
              <w:left w:val="single" w:sz="4" w:space="0" w:color="000000"/>
              <w:bottom w:val="single" w:sz="4" w:space="0" w:color="000000"/>
              <w:right w:val="single" w:sz="4" w:space="0" w:color="000000"/>
            </w:tcBorders>
            <w:hideMark/>
          </w:tcPr>
          <w:p w14:paraId="1CC7A4CA" w14:textId="77777777" w:rsidR="003B58B4" w:rsidRDefault="003B58B4">
            <w:pPr>
              <w:widowControl w:val="0"/>
              <w:autoSpaceDE w:val="0"/>
              <w:autoSpaceDN w:val="0"/>
              <w:jc w:val="center"/>
              <w:rPr>
                <w:rFonts w:eastAsia="Calibri"/>
                <w:szCs w:val="22"/>
              </w:rPr>
            </w:pPr>
            <w:r>
              <w:t>27,5</w:t>
            </w:r>
          </w:p>
        </w:tc>
      </w:tr>
      <w:tr w:rsidR="003B58B4" w14:paraId="0072661D"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37C6138C" w14:textId="77777777" w:rsidR="003B58B4" w:rsidRDefault="003B58B4">
            <w:pPr>
              <w:widowControl w:val="0"/>
              <w:autoSpaceDE w:val="0"/>
              <w:autoSpaceDN w:val="0"/>
              <w:jc w:val="center"/>
              <w:rPr>
                <w:rFonts w:eastAsia="Calibri"/>
                <w:szCs w:val="22"/>
              </w:rPr>
            </w:pPr>
            <w:r>
              <w:t>60</w:t>
            </w:r>
            <w:r>
              <w:noBreakHyphen/>
              <w:t>69</w:t>
            </w:r>
          </w:p>
        </w:tc>
        <w:tc>
          <w:tcPr>
            <w:tcW w:w="2862" w:type="dxa"/>
            <w:tcBorders>
              <w:top w:val="single" w:sz="4" w:space="0" w:color="000000"/>
              <w:left w:val="single" w:sz="4" w:space="0" w:color="000000"/>
              <w:bottom w:val="single" w:sz="4" w:space="0" w:color="000000"/>
              <w:right w:val="single" w:sz="4" w:space="0" w:color="000000"/>
            </w:tcBorders>
            <w:hideMark/>
          </w:tcPr>
          <w:p w14:paraId="44E8A54B" w14:textId="77777777" w:rsidR="003B58B4" w:rsidRDefault="003B58B4">
            <w:pPr>
              <w:widowControl w:val="0"/>
              <w:autoSpaceDE w:val="0"/>
              <w:autoSpaceDN w:val="0"/>
              <w:jc w:val="center"/>
              <w:rPr>
                <w:rFonts w:eastAsia="Calibri"/>
                <w:szCs w:val="22"/>
              </w:rPr>
            </w:pPr>
            <w:r>
              <w:t>65</w:t>
            </w:r>
          </w:p>
        </w:tc>
        <w:tc>
          <w:tcPr>
            <w:tcW w:w="2821" w:type="dxa"/>
            <w:tcBorders>
              <w:top w:val="single" w:sz="4" w:space="0" w:color="000000"/>
              <w:left w:val="single" w:sz="4" w:space="0" w:color="000000"/>
              <w:bottom w:val="single" w:sz="4" w:space="0" w:color="000000"/>
              <w:right w:val="single" w:sz="4" w:space="0" w:color="000000"/>
            </w:tcBorders>
            <w:hideMark/>
          </w:tcPr>
          <w:p w14:paraId="2C1A1A5F" w14:textId="77777777" w:rsidR="003B58B4" w:rsidRDefault="003B58B4">
            <w:pPr>
              <w:widowControl w:val="0"/>
              <w:autoSpaceDE w:val="0"/>
              <w:autoSpaceDN w:val="0"/>
              <w:jc w:val="center"/>
              <w:rPr>
                <w:rFonts w:eastAsia="Calibri"/>
                <w:szCs w:val="22"/>
              </w:rPr>
            </w:pPr>
            <w:r>
              <w:t>32,5</w:t>
            </w:r>
          </w:p>
        </w:tc>
      </w:tr>
      <w:tr w:rsidR="003B58B4" w14:paraId="67892AC1"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3FC41178" w14:textId="77777777" w:rsidR="003B58B4" w:rsidRDefault="003B58B4">
            <w:pPr>
              <w:widowControl w:val="0"/>
              <w:autoSpaceDE w:val="0"/>
              <w:autoSpaceDN w:val="0"/>
              <w:jc w:val="center"/>
              <w:rPr>
                <w:rFonts w:eastAsia="Calibri"/>
                <w:szCs w:val="22"/>
              </w:rPr>
            </w:pPr>
            <w:r>
              <w:t>70</w:t>
            </w:r>
            <w:r>
              <w:noBreakHyphen/>
              <w:t>79</w:t>
            </w:r>
          </w:p>
        </w:tc>
        <w:tc>
          <w:tcPr>
            <w:tcW w:w="2862" w:type="dxa"/>
            <w:tcBorders>
              <w:top w:val="single" w:sz="4" w:space="0" w:color="000000"/>
              <w:left w:val="single" w:sz="4" w:space="0" w:color="000000"/>
              <w:bottom w:val="single" w:sz="4" w:space="0" w:color="000000"/>
              <w:right w:val="single" w:sz="4" w:space="0" w:color="000000"/>
            </w:tcBorders>
            <w:hideMark/>
          </w:tcPr>
          <w:p w14:paraId="5FDF0581" w14:textId="77777777" w:rsidR="003B58B4" w:rsidRDefault="003B58B4">
            <w:pPr>
              <w:widowControl w:val="0"/>
              <w:autoSpaceDE w:val="0"/>
              <w:autoSpaceDN w:val="0"/>
              <w:jc w:val="center"/>
              <w:rPr>
                <w:rFonts w:eastAsia="Calibri"/>
                <w:szCs w:val="22"/>
              </w:rPr>
            </w:pPr>
            <w:r>
              <w:t>75</w:t>
            </w:r>
          </w:p>
        </w:tc>
        <w:tc>
          <w:tcPr>
            <w:tcW w:w="2821" w:type="dxa"/>
            <w:tcBorders>
              <w:top w:val="single" w:sz="4" w:space="0" w:color="000000"/>
              <w:left w:val="single" w:sz="4" w:space="0" w:color="000000"/>
              <w:bottom w:val="single" w:sz="4" w:space="0" w:color="000000"/>
              <w:right w:val="single" w:sz="4" w:space="0" w:color="000000"/>
            </w:tcBorders>
            <w:hideMark/>
          </w:tcPr>
          <w:p w14:paraId="09E31429" w14:textId="77777777" w:rsidR="003B58B4" w:rsidRDefault="003B58B4">
            <w:pPr>
              <w:widowControl w:val="0"/>
              <w:autoSpaceDE w:val="0"/>
              <w:autoSpaceDN w:val="0"/>
              <w:jc w:val="center"/>
              <w:rPr>
                <w:rFonts w:eastAsia="Calibri"/>
                <w:szCs w:val="22"/>
              </w:rPr>
            </w:pPr>
            <w:r>
              <w:t>37,5</w:t>
            </w:r>
          </w:p>
        </w:tc>
      </w:tr>
      <w:tr w:rsidR="003B58B4" w14:paraId="6DB0381A"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143A215B" w14:textId="77777777" w:rsidR="003B58B4" w:rsidRDefault="003B58B4">
            <w:pPr>
              <w:widowControl w:val="0"/>
              <w:autoSpaceDE w:val="0"/>
              <w:autoSpaceDN w:val="0"/>
              <w:jc w:val="center"/>
              <w:rPr>
                <w:rFonts w:eastAsia="Calibri"/>
                <w:szCs w:val="22"/>
              </w:rPr>
            </w:pPr>
            <w:r>
              <w:t>80</w:t>
            </w:r>
            <w:r>
              <w:noBreakHyphen/>
              <w:t>89</w:t>
            </w:r>
          </w:p>
        </w:tc>
        <w:tc>
          <w:tcPr>
            <w:tcW w:w="2862" w:type="dxa"/>
            <w:tcBorders>
              <w:top w:val="single" w:sz="4" w:space="0" w:color="000000"/>
              <w:left w:val="single" w:sz="4" w:space="0" w:color="000000"/>
              <w:bottom w:val="single" w:sz="4" w:space="0" w:color="000000"/>
              <w:right w:val="single" w:sz="4" w:space="0" w:color="000000"/>
            </w:tcBorders>
            <w:hideMark/>
          </w:tcPr>
          <w:p w14:paraId="151E6179" w14:textId="77777777" w:rsidR="003B58B4" w:rsidRDefault="003B58B4">
            <w:pPr>
              <w:widowControl w:val="0"/>
              <w:autoSpaceDE w:val="0"/>
              <w:autoSpaceDN w:val="0"/>
              <w:jc w:val="center"/>
              <w:rPr>
                <w:rFonts w:eastAsia="Calibri"/>
                <w:szCs w:val="22"/>
              </w:rPr>
            </w:pPr>
            <w:r>
              <w:t>85</w:t>
            </w:r>
          </w:p>
        </w:tc>
        <w:tc>
          <w:tcPr>
            <w:tcW w:w="2821" w:type="dxa"/>
            <w:tcBorders>
              <w:top w:val="single" w:sz="4" w:space="0" w:color="000000"/>
              <w:left w:val="single" w:sz="4" w:space="0" w:color="000000"/>
              <w:bottom w:val="single" w:sz="4" w:space="0" w:color="000000"/>
              <w:right w:val="single" w:sz="4" w:space="0" w:color="000000"/>
            </w:tcBorders>
            <w:hideMark/>
          </w:tcPr>
          <w:p w14:paraId="498E2863" w14:textId="77777777" w:rsidR="003B58B4" w:rsidRDefault="003B58B4">
            <w:pPr>
              <w:widowControl w:val="0"/>
              <w:autoSpaceDE w:val="0"/>
              <w:autoSpaceDN w:val="0"/>
              <w:jc w:val="center"/>
              <w:rPr>
                <w:rFonts w:eastAsia="Calibri"/>
                <w:szCs w:val="22"/>
              </w:rPr>
            </w:pPr>
            <w:r>
              <w:t>42,5</w:t>
            </w:r>
          </w:p>
        </w:tc>
      </w:tr>
      <w:tr w:rsidR="003B58B4" w14:paraId="3B75F149"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1C652AFE" w14:textId="77777777" w:rsidR="003B58B4" w:rsidRDefault="003B58B4">
            <w:pPr>
              <w:widowControl w:val="0"/>
              <w:autoSpaceDE w:val="0"/>
              <w:autoSpaceDN w:val="0"/>
              <w:jc w:val="center"/>
              <w:rPr>
                <w:rFonts w:eastAsia="Calibri"/>
                <w:szCs w:val="22"/>
              </w:rPr>
            </w:pPr>
            <w:r>
              <w:t>90</w:t>
            </w:r>
            <w:r>
              <w:noBreakHyphen/>
              <w:t>99</w:t>
            </w:r>
          </w:p>
        </w:tc>
        <w:tc>
          <w:tcPr>
            <w:tcW w:w="2862" w:type="dxa"/>
            <w:tcBorders>
              <w:top w:val="single" w:sz="4" w:space="0" w:color="000000"/>
              <w:left w:val="single" w:sz="4" w:space="0" w:color="000000"/>
              <w:bottom w:val="single" w:sz="4" w:space="0" w:color="000000"/>
              <w:right w:val="single" w:sz="4" w:space="0" w:color="000000"/>
            </w:tcBorders>
            <w:hideMark/>
          </w:tcPr>
          <w:p w14:paraId="702F1B53" w14:textId="77777777" w:rsidR="003B58B4" w:rsidRDefault="003B58B4">
            <w:pPr>
              <w:widowControl w:val="0"/>
              <w:autoSpaceDE w:val="0"/>
              <w:autoSpaceDN w:val="0"/>
              <w:jc w:val="center"/>
              <w:rPr>
                <w:rFonts w:eastAsia="Calibri"/>
                <w:szCs w:val="22"/>
              </w:rPr>
            </w:pPr>
            <w:r>
              <w:t>95</w:t>
            </w:r>
          </w:p>
        </w:tc>
        <w:tc>
          <w:tcPr>
            <w:tcW w:w="2821" w:type="dxa"/>
            <w:tcBorders>
              <w:top w:val="single" w:sz="4" w:space="0" w:color="000000"/>
              <w:left w:val="single" w:sz="4" w:space="0" w:color="000000"/>
              <w:bottom w:val="single" w:sz="4" w:space="0" w:color="000000"/>
              <w:right w:val="single" w:sz="4" w:space="0" w:color="000000"/>
            </w:tcBorders>
            <w:hideMark/>
          </w:tcPr>
          <w:p w14:paraId="5A38432D" w14:textId="77777777" w:rsidR="003B58B4" w:rsidRDefault="003B58B4">
            <w:pPr>
              <w:widowControl w:val="0"/>
              <w:autoSpaceDE w:val="0"/>
              <w:autoSpaceDN w:val="0"/>
              <w:jc w:val="center"/>
              <w:rPr>
                <w:rFonts w:eastAsia="Calibri"/>
                <w:szCs w:val="22"/>
              </w:rPr>
            </w:pPr>
            <w:r>
              <w:t>47,5</w:t>
            </w:r>
          </w:p>
        </w:tc>
      </w:tr>
      <w:tr w:rsidR="003B58B4" w14:paraId="56707337"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36B6527D" w14:textId="77777777" w:rsidR="003B58B4" w:rsidRDefault="003B58B4">
            <w:pPr>
              <w:widowControl w:val="0"/>
              <w:autoSpaceDE w:val="0"/>
              <w:autoSpaceDN w:val="0"/>
              <w:jc w:val="center"/>
              <w:rPr>
                <w:rFonts w:eastAsia="Calibri"/>
                <w:szCs w:val="22"/>
              </w:rPr>
            </w:pPr>
            <w:r>
              <w:t>100</w:t>
            </w:r>
            <w:r>
              <w:noBreakHyphen/>
              <w:t>110</w:t>
            </w:r>
          </w:p>
        </w:tc>
        <w:tc>
          <w:tcPr>
            <w:tcW w:w="2862" w:type="dxa"/>
            <w:tcBorders>
              <w:top w:val="single" w:sz="4" w:space="0" w:color="000000"/>
              <w:left w:val="single" w:sz="4" w:space="0" w:color="000000"/>
              <w:bottom w:val="single" w:sz="4" w:space="0" w:color="000000"/>
              <w:right w:val="single" w:sz="4" w:space="0" w:color="000000"/>
            </w:tcBorders>
            <w:hideMark/>
          </w:tcPr>
          <w:p w14:paraId="0B875E81" w14:textId="77777777" w:rsidR="003B58B4" w:rsidRDefault="003B58B4">
            <w:pPr>
              <w:widowControl w:val="0"/>
              <w:autoSpaceDE w:val="0"/>
              <w:autoSpaceDN w:val="0"/>
              <w:jc w:val="center"/>
              <w:rPr>
                <w:rFonts w:eastAsia="Calibri"/>
                <w:szCs w:val="22"/>
              </w:rPr>
            </w:pPr>
            <w:r>
              <w:t>105</w:t>
            </w:r>
          </w:p>
        </w:tc>
        <w:tc>
          <w:tcPr>
            <w:tcW w:w="2821" w:type="dxa"/>
            <w:tcBorders>
              <w:top w:val="single" w:sz="4" w:space="0" w:color="000000"/>
              <w:left w:val="single" w:sz="4" w:space="0" w:color="000000"/>
              <w:bottom w:val="single" w:sz="4" w:space="0" w:color="000000"/>
              <w:right w:val="single" w:sz="4" w:space="0" w:color="000000"/>
            </w:tcBorders>
            <w:hideMark/>
          </w:tcPr>
          <w:p w14:paraId="63412D37" w14:textId="77777777" w:rsidR="003B58B4" w:rsidRDefault="003B58B4">
            <w:pPr>
              <w:widowControl w:val="0"/>
              <w:autoSpaceDE w:val="0"/>
              <w:autoSpaceDN w:val="0"/>
              <w:jc w:val="center"/>
              <w:rPr>
                <w:rFonts w:eastAsia="Calibri"/>
                <w:szCs w:val="22"/>
              </w:rPr>
            </w:pPr>
            <w:r>
              <w:t>52,5</w:t>
            </w:r>
          </w:p>
        </w:tc>
      </w:tr>
      <w:tr w:rsidR="003B58B4" w14:paraId="76DFD3F3" w14:textId="77777777" w:rsidTr="003B58B4">
        <w:tc>
          <w:tcPr>
            <w:tcW w:w="2807" w:type="dxa"/>
            <w:tcBorders>
              <w:top w:val="single" w:sz="4" w:space="0" w:color="000000"/>
              <w:left w:val="single" w:sz="4" w:space="0" w:color="000000"/>
              <w:bottom w:val="single" w:sz="4" w:space="0" w:color="000000"/>
              <w:right w:val="single" w:sz="4" w:space="0" w:color="000000"/>
            </w:tcBorders>
            <w:hideMark/>
          </w:tcPr>
          <w:p w14:paraId="3300F5D3" w14:textId="77777777" w:rsidR="003B58B4" w:rsidRDefault="003B58B4">
            <w:pPr>
              <w:widowControl w:val="0"/>
              <w:autoSpaceDE w:val="0"/>
              <w:autoSpaceDN w:val="0"/>
              <w:jc w:val="center"/>
              <w:rPr>
                <w:rFonts w:eastAsia="Calibri"/>
                <w:szCs w:val="22"/>
              </w:rPr>
            </w:pPr>
            <w:r>
              <w:t>&gt; 110 (maks. dosis)</w:t>
            </w:r>
          </w:p>
        </w:tc>
        <w:tc>
          <w:tcPr>
            <w:tcW w:w="2862" w:type="dxa"/>
            <w:tcBorders>
              <w:top w:val="single" w:sz="4" w:space="0" w:color="000000"/>
              <w:left w:val="single" w:sz="4" w:space="0" w:color="000000"/>
              <w:bottom w:val="single" w:sz="4" w:space="0" w:color="000000"/>
              <w:right w:val="single" w:sz="4" w:space="0" w:color="000000"/>
            </w:tcBorders>
            <w:hideMark/>
          </w:tcPr>
          <w:p w14:paraId="46E36842" w14:textId="77777777" w:rsidR="003B58B4" w:rsidRDefault="003B58B4">
            <w:pPr>
              <w:widowControl w:val="0"/>
              <w:autoSpaceDE w:val="0"/>
              <w:autoSpaceDN w:val="0"/>
              <w:jc w:val="center"/>
              <w:rPr>
                <w:rFonts w:eastAsia="Calibri"/>
                <w:szCs w:val="22"/>
              </w:rPr>
            </w:pPr>
            <w:r>
              <w:t>105</w:t>
            </w:r>
          </w:p>
        </w:tc>
        <w:tc>
          <w:tcPr>
            <w:tcW w:w="2821" w:type="dxa"/>
            <w:tcBorders>
              <w:top w:val="single" w:sz="4" w:space="0" w:color="000000"/>
              <w:left w:val="single" w:sz="4" w:space="0" w:color="000000"/>
              <w:bottom w:val="single" w:sz="4" w:space="0" w:color="000000"/>
              <w:right w:val="single" w:sz="4" w:space="0" w:color="000000"/>
            </w:tcBorders>
            <w:hideMark/>
          </w:tcPr>
          <w:p w14:paraId="1D238631" w14:textId="77777777" w:rsidR="003B58B4" w:rsidRDefault="003B58B4">
            <w:pPr>
              <w:widowControl w:val="0"/>
              <w:autoSpaceDE w:val="0"/>
              <w:autoSpaceDN w:val="0"/>
              <w:jc w:val="center"/>
              <w:rPr>
                <w:rFonts w:eastAsia="Calibri"/>
                <w:szCs w:val="22"/>
              </w:rPr>
            </w:pPr>
            <w:r>
              <w:t>52,5</w:t>
            </w:r>
          </w:p>
        </w:tc>
      </w:tr>
    </w:tbl>
    <w:p w14:paraId="03D2FC6E" w14:textId="77777777" w:rsidR="003B58B4" w:rsidRDefault="003B58B4" w:rsidP="003B58B4">
      <w:pPr>
        <w:pStyle w:val="Normalindrykning"/>
        <w:tabs>
          <w:tab w:val="left" w:pos="709"/>
        </w:tabs>
        <w:spacing w:after="0"/>
        <w:ind w:left="851"/>
        <w:rPr>
          <w:szCs w:val="22"/>
        </w:rPr>
      </w:pPr>
      <w:r>
        <w:rPr>
          <w:vertAlign w:val="superscript"/>
        </w:rPr>
        <w:t>1</w:t>
      </w:r>
      <w:r>
        <w:t xml:space="preserve"> Dosisberegningerne er baseret på vægten i midten af intervallet.</w:t>
      </w:r>
    </w:p>
    <w:p w14:paraId="502AB1D8" w14:textId="77777777" w:rsidR="003B58B4" w:rsidRPr="003B58B4" w:rsidRDefault="003B58B4" w:rsidP="003B58B4">
      <w:pPr>
        <w:pStyle w:val="Normalindrykning"/>
        <w:spacing w:after="0"/>
        <w:ind w:left="851"/>
        <w:rPr>
          <w:sz w:val="24"/>
          <w:szCs w:val="24"/>
          <w:lang w:eastAsia="zh-CN"/>
        </w:rPr>
      </w:pPr>
    </w:p>
    <w:p w14:paraId="10F599EB" w14:textId="77777777" w:rsidR="003B58B4" w:rsidRPr="003B58B4" w:rsidRDefault="003B58B4" w:rsidP="003B58B4">
      <w:pPr>
        <w:pStyle w:val="Normalindrykning"/>
        <w:spacing w:after="0"/>
        <w:ind w:left="851"/>
        <w:rPr>
          <w:i/>
          <w:iCs/>
          <w:sz w:val="24"/>
          <w:szCs w:val="24"/>
        </w:rPr>
      </w:pPr>
      <w:r w:rsidRPr="003B58B4">
        <w:rPr>
          <w:i/>
          <w:sz w:val="24"/>
          <w:szCs w:val="24"/>
        </w:rPr>
        <w:t>Stopregel 1</w:t>
      </w:r>
    </w:p>
    <w:p w14:paraId="391E75CF" w14:textId="77777777" w:rsidR="003B58B4" w:rsidRPr="003B58B4" w:rsidRDefault="003B58B4" w:rsidP="003B58B4">
      <w:pPr>
        <w:pStyle w:val="Normalindrykning"/>
        <w:spacing w:after="0"/>
        <w:ind w:left="851"/>
        <w:rPr>
          <w:sz w:val="24"/>
          <w:szCs w:val="24"/>
        </w:rPr>
      </w:pPr>
      <w:r w:rsidRPr="003B58B4">
        <w:rPr>
          <w:sz w:val="24"/>
          <w:szCs w:val="24"/>
        </w:rPr>
        <w:t>Hvis der ikke er nogen tegn på hepatocellulær skade (P-ALAT &lt; 70 E/l) i blodprøverne efter 16 timers acetylcysteinbehandling, og P-paracetamol er &lt; 0,150 mmol/l, stoppes behandlingen med acetylcystein (dvs. efter i alt 20 timers behandling).</w:t>
      </w:r>
    </w:p>
    <w:p w14:paraId="609A4AD5" w14:textId="77777777" w:rsidR="003B58B4" w:rsidRPr="003B58B4" w:rsidRDefault="003B58B4" w:rsidP="003B58B4">
      <w:pPr>
        <w:pStyle w:val="Normalindrykning"/>
        <w:spacing w:after="0"/>
        <w:ind w:left="851"/>
        <w:rPr>
          <w:sz w:val="24"/>
          <w:szCs w:val="24"/>
          <w:lang w:eastAsia="zh-CN"/>
        </w:rPr>
      </w:pPr>
    </w:p>
    <w:p w14:paraId="1A35B5E8" w14:textId="77777777" w:rsidR="003B58B4" w:rsidRPr="003B58B4" w:rsidRDefault="003B58B4" w:rsidP="003B58B4">
      <w:pPr>
        <w:pStyle w:val="Normalindrykning"/>
        <w:spacing w:after="0"/>
        <w:ind w:left="851"/>
        <w:rPr>
          <w:sz w:val="24"/>
          <w:szCs w:val="24"/>
        </w:rPr>
      </w:pPr>
      <w:r w:rsidRPr="003B58B4">
        <w:rPr>
          <w:sz w:val="24"/>
          <w:szCs w:val="24"/>
        </w:rPr>
        <w:t xml:space="preserve">Hvis der er tegn på hepatocellulær skade (P-ALAT &gt; 70 E/l) efter 16 timers acetylcysteinbehandling, og/eller P-paracetamol &gt; 0,150 mmol/l, fortsættes behandlingen med acetylcystein ved at gentage ”dosering 2”. </w:t>
      </w:r>
    </w:p>
    <w:p w14:paraId="199047AC" w14:textId="41C0A992" w:rsidR="003B58B4" w:rsidRDefault="003B58B4">
      <w:pPr>
        <w:rPr>
          <w:rFonts w:eastAsia="SimSun"/>
          <w:sz w:val="24"/>
          <w:szCs w:val="24"/>
          <w:lang w:eastAsia="zh-CN"/>
        </w:rPr>
      </w:pPr>
      <w:r>
        <w:rPr>
          <w:sz w:val="24"/>
          <w:szCs w:val="24"/>
          <w:lang w:eastAsia="zh-CN"/>
        </w:rPr>
        <w:br w:type="page"/>
      </w:r>
    </w:p>
    <w:p w14:paraId="17361BAF" w14:textId="77777777" w:rsidR="003B58B4" w:rsidRPr="003B58B4" w:rsidRDefault="003B58B4" w:rsidP="003B58B4">
      <w:pPr>
        <w:pStyle w:val="Normalindrykning"/>
        <w:spacing w:after="0"/>
        <w:ind w:left="851"/>
        <w:rPr>
          <w:sz w:val="24"/>
          <w:szCs w:val="24"/>
          <w:lang w:eastAsia="zh-CN"/>
        </w:rPr>
      </w:pPr>
    </w:p>
    <w:p w14:paraId="4F1A4269" w14:textId="77777777" w:rsidR="003B58B4" w:rsidRPr="003B58B4" w:rsidRDefault="003B58B4" w:rsidP="003B58B4">
      <w:pPr>
        <w:pStyle w:val="Normalindrykning"/>
        <w:spacing w:after="0"/>
        <w:ind w:left="851"/>
        <w:rPr>
          <w:i/>
          <w:iCs/>
          <w:sz w:val="24"/>
          <w:szCs w:val="24"/>
        </w:rPr>
      </w:pPr>
      <w:r w:rsidRPr="003B58B4">
        <w:rPr>
          <w:i/>
          <w:sz w:val="24"/>
          <w:szCs w:val="24"/>
        </w:rPr>
        <w:t>Stopregel 2</w:t>
      </w:r>
    </w:p>
    <w:p w14:paraId="3D72A770" w14:textId="77777777" w:rsidR="003B58B4" w:rsidRPr="003B58B4" w:rsidRDefault="003B58B4" w:rsidP="003B58B4">
      <w:pPr>
        <w:pStyle w:val="Normalindrykning"/>
        <w:spacing w:after="0"/>
        <w:ind w:left="851"/>
        <w:rPr>
          <w:sz w:val="24"/>
          <w:szCs w:val="24"/>
        </w:rPr>
      </w:pPr>
      <w:r w:rsidRPr="003B58B4">
        <w:rPr>
          <w:sz w:val="24"/>
          <w:szCs w:val="24"/>
        </w:rPr>
        <w:t>Når der i 3 på hinanden følgende målinger (med mindst 8 timers interval) er stigende koagulationsfaktor (faldende INR) eller stationært niveau og samtidig normal eller faldende P-ALAT, kan behandlingen stoppes.</w:t>
      </w:r>
    </w:p>
    <w:p w14:paraId="728E3FBD" w14:textId="77777777" w:rsidR="003B58B4" w:rsidRPr="003B58B4" w:rsidRDefault="003B58B4" w:rsidP="003B58B4">
      <w:pPr>
        <w:pStyle w:val="Normalindrykning"/>
        <w:spacing w:after="0"/>
        <w:ind w:left="851"/>
        <w:rPr>
          <w:sz w:val="24"/>
          <w:szCs w:val="24"/>
          <w:u w:val="single"/>
          <w:lang w:eastAsia="zh-CN"/>
        </w:rPr>
      </w:pPr>
    </w:p>
    <w:p w14:paraId="56301D82" w14:textId="77777777" w:rsidR="003B58B4" w:rsidRPr="003B58B4" w:rsidRDefault="003B58B4" w:rsidP="003B58B4">
      <w:pPr>
        <w:pStyle w:val="Normalindrykning"/>
        <w:spacing w:after="0"/>
        <w:ind w:left="851"/>
        <w:rPr>
          <w:sz w:val="24"/>
          <w:szCs w:val="24"/>
          <w:u w:val="single"/>
        </w:rPr>
      </w:pPr>
      <w:r w:rsidRPr="003B58B4">
        <w:rPr>
          <w:sz w:val="24"/>
          <w:szCs w:val="24"/>
          <w:u w:val="single"/>
        </w:rPr>
        <w:t>Pædiatrisk population</w:t>
      </w:r>
    </w:p>
    <w:p w14:paraId="135487A9" w14:textId="77777777" w:rsidR="003B58B4" w:rsidRDefault="003B58B4" w:rsidP="003B58B4">
      <w:pPr>
        <w:pStyle w:val="Normalindrykning"/>
        <w:spacing w:after="0"/>
        <w:ind w:left="851"/>
        <w:rPr>
          <w:i/>
          <w:sz w:val="24"/>
          <w:szCs w:val="24"/>
        </w:rPr>
      </w:pPr>
    </w:p>
    <w:p w14:paraId="0EE8FB24" w14:textId="11D0D3A8" w:rsidR="003B58B4" w:rsidRPr="003B58B4" w:rsidRDefault="003B58B4" w:rsidP="003B58B4">
      <w:pPr>
        <w:pStyle w:val="Normalindrykning"/>
        <w:spacing w:after="0"/>
        <w:ind w:left="851"/>
        <w:rPr>
          <w:i/>
          <w:iCs/>
          <w:sz w:val="24"/>
          <w:szCs w:val="24"/>
        </w:rPr>
      </w:pPr>
      <w:r w:rsidRPr="003B58B4">
        <w:rPr>
          <w:i/>
          <w:sz w:val="24"/>
          <w:szCs w:val="24"/>
        </w:rPr>
        <w:t>Børn &lt; 50 kg legemsvægt</w:t>
      </w:r>
    </w:p>
    <w:p w14:paraId="1AF751AC" w14:textId="77777777" w:rsidR="003B58B4" w:rsidRPr="003B58B4" w:rsidRDefault="003B58B4" w:rsidP="003B58B4">
      <w:pPr>
        <w:pStyle w:val="Normalindrykning"/>
        <w:spacing w:after="0"/>
        <w:ind w:left="851"/>
        <w:rPr>
          <w:sz w:val="24"/>
          <w:szCs w:val="24"/>
        </w:rPr>
      </w:pPr>
      <w:r w:rsidRPr="003B58B4">
        <w:rPr>
          <w:sz w:val="24"/>
          <w:szCs w:val="24"/>
        </w:rPr>
        <w:t xml:space="preserve">Dosis af Acetylcysteine "Macure" er den samme som til voksne. Der skal dog anvendes en mindre væskemængde end til voksne for at undgå overhydrering (se tabel). </w:t>
      </w:r>
    </w:p>
    <w:p w14:paraId="1D04F2CD" w14:textId="77777777" w:rsidR="003B58B4" w:rsidRPr="003B58B4" w:rsidRDefault="003B58B4" w:rsidP="003B58B4">
      <w:pPr>
        <w:pStyle w:val="Normalindrykning"/>
        <w:spacing w:after="0"/>
        <w:ind w:left="851"/>
        <w:rPr>
          <w:sz w:val="24"/>
          <w:szCs w:val="24"/>
        </w:rPr>
      </w:pPr>
    </w:p>
    <w:p w14:paraId="61E3689B" w14:textId="77777777" w:rsidR="003B58B4" w:rsidRPr="003B58B4" w:rsidRDefault="003B58B4" w:rsidP="003B58B4">
      <w:pPr>
        <w:pStyle w:val="Normalindrykning"/>
        <w:spacing w:after="0"/>
        <w:ind w:left="851"/>
        <w:rPr>
          <w:sz w:val="24"/>
          <w:szCs w:val="24"/>
        </w:rPr>
      </w:pPr>
      <w:r w:rsidRPr="003B58B4">
        <w:rPr>
          <w:sz w:val="24"/>
          <w:szCs w:val="24"/>
        </w:rPr>
        <w:t>Klargøringsanvisninger er anført i tabellen.</w:t>
      </w:r>
    </w:p>
    <w:p w14:paraId="6C30DCBF" w14:textId="77777777" w:rsidR="003B58B4" w:rsidRPr="003B58B4" w:rsidRDefault="003B58B4" w:rsidP="003B58B4">
      <w:pPr>
        <w:pStyle w:val="Normalindrykning"/>
        <w:spacing w:after="0"/>
        <w:ind w:left="851"/>
        <w:rPr>
          <w:sz w:val="24"/>
          <w:szCs w:val="24"/>
        </w:rPr>
      </w:pPr>
      <w:r w:rsidRPr="003B58B4">
        <w:rPr>
          <w:sz w:val="24"/>
          <w:szCs w:val="24"/>
        </w:rPr>
        <w:t>Der gælder de samme stopregler for børn som for voksne.</w:t>
      </w:r>
    </w:p>
    <w:p w14:paraId="29916E72" w14:textId="77777777" w:rsidR="003B58B4" w:rsidRDefault="003B58B4" w:rsidP="003B58B4">
      <w:pPr>
        <w:pStyle w:val="Normalindrykning"/>
        <w:spacing w:after="0"/>
        <w:ind w:left="0"/>
        <w:rPr>
          <w:szCs w:val="22"/>
        </w:rPr>
      </w:pPr>
    </w:p>
    <w:p w14:paraId="4B46C3FC" w14:textId="0E6E3809" w:rsidR="003B58B4" w:rsidRPr="003B58B4" w:rsidRDefault="003B58B4" w:rsidP="003B58B4">
      <w:pPr>
        <w:pStyle w:val="Normalindrykning"/>
        <w:spacing w:after="0"/>
        <w:ind w:left="142"/>
        <w:rPr>
          <w:b/>
          <w:bCs/>
          <w:sz w:val="24"/>
          <w:szCs w:val="24"/>
        </w:rPr>
      </w:pPr>
      <w:r w:rsidRPr="003B58B4">
        <w:rPr>
          <w:b/>
          <w:sz w:val="24"/>
          <w:szCs w:val="24"/>
        </w:rPr>
        <w:t>Behandlingsregime for børn &lt; 50 kg (børn &gt; 50 kg følger behandlingen for voksne)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52"/>
        <w:gridCol w:w="1365"/>
        <w:gridCol w:w="2087"/>
        <w:gridCol w:w="1989"/>
      </w:tblGrid>
      <w:tr w:rsidR="003B58B4" w14:paraId="4873D81F" w14:textId="77777777" w:rsidTr="003B58B4">
        <w:tc>
          <w:tcPr>
            <w:tcW w:w="1985" w:type="dxa"/>
            <w:tcBorders>
              <w:top w:val="single" w:sz="4" w:space="0" w:color="auto"/>
              <w:left w:val="single" w:sz="4" w:space="0" w:color="auto"/>
              <w:bottom w:val="single" w:sz="4" w:space="0" w:color="auto"/>
              <w:right w:val="single" w:sz="4" w:space="0" w:color="auto"/>
            </w:tcBorders>
          </w:tcPr>
          <w:p w14:paraId="74D979B4" w14:textId="77777777" w:rsidR="003B58B4" w:rsidRDefault="003B58B4">
            <w:pPr>
              <w:pStyle w:val="Normalindrykning"/>
              <w:spacing w:after="0"/>
              <w:ind w:left="0"/>
              <w:rPr>
                <w:szCs w:val="22"/>
              </w:rPr>
            </w:pPr>
          </w:p>
        </w:tc>
        <w:tc>
          <w:tcPr>
            <w:tcW w:w="1752" w:type="dxa"/>
            <w:tcBorders>
              <w:top w:val="single" w:sz="4" w:space="0" w:color="auto"/>
              <w:left w:val="single" w:sz="4" w:space="0" w:color="auto"/>
              <w:bottom w:val="single" w:sz="4" w:space="0" w:color="auto"/>
              <w:right w:val="single" w:sz="4" w:space="0" w:color="auto"/>
            </w:tcBorders>
            <w:hideMark/>
          </w:tcPr>
          <w:p w14:paraId="561EE274" w14:textId="77777777" w:rsidR="003B58B4" w:rsidRDefault="003B58B4">
            <w:pPr>
              <w:pStyle w:val="Normalindrykning"/>
              <w:spacing w:after="0"/>
              <w:ind w:left="0"/>
              <w:rPr>
                <w:b/>
                <w:bCs/>
                <w:szCs w:val="22"/>
                <w:lang w:val="nb-NO"/>
              </w:rPr>
            </w:pPr>
            <w:r>
              <w:rPr>
                <w:b/>
                <w:lang w:val="nb-NO"/>
              </w:rPr>
              <w:t>N-acetylcystein (200 mg/ml) dosis i mg</w:t>
            </w:r>
          </w:p>
        </w:tc>
        <w:tc>
          <w:tcPr>
            <w:tcW w:w="1365" w:type="dxa"/>
            <w:tcBorders>
              <w:top w:val="single" w:sz="4" w:space="0" w:color="auto"/>
              <w:left w:val="single" w:sz="4" w:space="0" w:color="auto"/>
              <w:bottom w:val="single" w:sz="4" w:space="0" w:color="auto"/>
              <w:right w:val="single" w:sz="4" w:space="0" w:color="auto"/>
            </w:tcBorders>
            <w:hideMark/>
          </w:tcPr>
          <w:p w14:paraId="79E263EA" w14:textId="77777777" w:rsidR="003B58B4" w:rsidRDefault="003B58B4">
            <w:pPr>
              <w:pStyle w:val="Normalindrykning"/>
              <w:spacing w:after="0"/>
              <w:ind w:left="0"/>
              <w:rPr>
                <w:b/>
                <w:bCs/>
                <w:szCs w:val="22"/>
              </w:rPr>
            </w:pPr>
            <w:r>
              <w:rPr>
                <w:b/>
              </w:rPr>
              <w:t>Fortynding</w:t>
            </w:r>
          </w:p>
          <w:p w14:paraId="7D1FF7CC" w14:textId="77777777" w:rsidR="003B58B4" w:rsidRDefault="003B58B4">
            <w:pPr>
              <w:pStyle w:val="Normalindrykning"/>
              <w:spacing w:after="0"/>
              <w:ind w:left="0"/>
              <w:rPr>
                <w:b/>
                <w:bCs/>
                <w:szCs w:val="22"/>
              </w:rPr>
            </w:pPr>
            <w:r>
              <w:rPr>
                <w:b/>
              </w:rPr>
              <w:t>(isotonisk glucose)</w:t>
            </w:r>
          </w:p>
        </w:tc>
        <w:tc>
          <w:tcPr>
            <w:tcW w:w="2087" w:type="dxa"/>
            <w:tcBorders>
              <w:top w:val="single" w:sz="4" w:space="0" w:color="auto"/>
              <w:left w:val="single" w:sz="4" w:space="0" w:color="auto"/>
              <w:bottom w:val="single" w:sz="4" w:space="0" w:color="auto"/>
              <w:right w:val="single" w:sz="4" w:space="0" w:color="auto"/>
            </w:tcBorders>
            <w:hideMark/>
          </w:tcPr>
          <w:p w14:paraId="4E724D9C" w14:textId="77777777" w:rsidR="003B58B4" w:rsidRDefault="003B58B4">
            <w:pPr>
              <w:pStyle w:val="Normalindrykning"/>
              <w:spacing w:after="0"/>
              <w:ind w:left="0"/>
              <w:rPr>
                <w:i/>
                <w:iCs/>
                <w:szCs w:val="22"/>
              </w:rPr>
            </w:pPr>
            <w:r>
              <w:rPr>
                <w:i/>
              </w:rPr>
              <w:t>Færdig koncentration i infusionsopløsningen</w:t>
            </w:r>
          </w:p>
        </w:tc>
        <w:tc>
          <w:tcPr>
            <w:tcW w:w="1989" w:type="dxa"/>
            <w:tcBorders>
              <w:top w:val="single" w:sz="4" w:space="0" w:color="auto"/>
              <w:left w:val="single" w:sz="4" w:space="0" w:color="auto"/>
              <w:bottom w:val="single" w:sz="4" w:space="0" w:color="auto"/>
              <w:right w:val="single" w:sz="4" w:space="0" w:color="auto"/>
            </w:tcBorders>
            <w:hideMark/>
          </w:tcPr>
          <w:p w14:paraId="1218474C" w14:textId="77777777" w:rsidR="003B58B4" w:rsidRDefault="003B58B4">
            <w:pPr>
              <w:pStyle w:val="Normalindrykning"/>
              <w:spacing w:after="0"/>
              <w:ind w:left="0"/>
              <w:rPr>
                <w:b/>
                <w:bCs/>
                <w:szCs w:val="22"/>
              </w:rPr>
            </w:pPr>
            <w:r>
              <w:rPr>
                <w:b/>
              </w:rPr>
              <w:t>Infusionshastighed</w:t>
            </w:r>
          </w:p>
        </w:tc>
      </w:tr>
      <w:tr w:rsidR="003B58B4" w14:paraId="7281E797" w14:textId="77777777" w:rsidTr="003B58B4">
        <w:tc>
          <w:tcPr>
            <w:tcW w:w="1985" w:type="dxa"/>
            <w:tcBorders>
              <w:top w:val="single" w:sz="4" w:space="0" w:color="auto"/>
              <w:left w:val="single" w:sz="4" w:space="0" w:color="auto"/>
              <w:bottom w:val="single" w:sz="4" w:space="0" w:color="auto"/>
              <w:right w:val="single" w:sz="4" w:space="0" w:color="auto"/>
            </w:tcBorders>
            <w:hideMark/>
          </w:tcPr>
          <w:p w14:paraId="1F36E8DE" w14:textId="77777777" w:rsidR="003B58B4" w:rsidRDefault="003B58B4">
            <w:pPr>
              <w:pStyle w:val="Normalindrykning"/>
              <w:spacing w:after="0"/>
              <w:ind w:left="0"/>
              <w:rPr>
                <w:szCs w:val="22"/>
              </w:rPr>
            </w:pPr>
            <w:r>
              <w:t>Loading (0</w:t>
            </w:r>
            <w:r>
              <w:noBreakHyphen/>
              <w:t>4 timer)</w:t>
            </w:r>
          </w:p>
        </w:tc>
        <w:tc>
          <w:tcPr>
            <w:tcW w:w="1752" w:type="dxa"/>
            <w:tcBorders>
              <w:top w:val="single" w:sz="4" w:space="0" w:color="auto"/>
              <w:left w:val="single" w:sz="4" w:space="0" w:color="auto"/>
              <w:bottom w:val="single" w:sz="4" w:space="0" w:color="auto"/>
              <w:right w:val="single" w:sz="4" w:space="0" w:color="auto"/>
            </w:tcBorders>
            <w:hideMark/>
          </w:tcPr>
          <w:p w14:paraId="18904AB1" w14:textId="77777777" w:rsidR="003B58B4" w:rsidRDefault="003B58B4">
            <w:pPr>
              <w:pStyle w:val="Normalindrykning"/>
              <w:spacing w:after="0"/>
              <w:ind w:left="0"/>
              <w:rPr>
                <w:szCs w:val="22"/>
              </w:rPr>
            </w:pPr>
            <w:r>
              <w:t>200 mg/kg infunderet over 4 timer (50 mg/kg/t)</w:t>
            </w:r>
          </w:p>
        </w:tc>
        <w:tc>
          <w:tcPr>
            <w:tcW w:w="1365" w:type="dxa"/>
            <w:tcBorders>
              <w:top w:val="single" w:sz="4" w:space="0" w:color="auto"/>
              <w:left w:val="single" w:sz="4" w:space="0" w:color="auto"/>
              <w:bottom w:val="single" w:sz="4" w:space="0" w:color="auto"/>
              <w:right w:val="single" w:sz="4" w:space="0" w:color="auto"/>
            </w:tcBorders>
            <w:hideMark/>
          </w:tcPr>
          <w:p w14:paraId="728E2B0F" w14:textId="77777777" w:rsidR="003B58B4" w:rsidRDefault="003B58B4">
            <w:pPr>
              <w:pStyle w:val="Normalindrykning"/>
              <w:spacing w:after="0"/>
              <w:ind w:left="0"/>
              <w:rPr>
                <w:szCs w:val="22"/>
              </w:rPr>
            </w:pPr>
            <w:r>
              <w:t>Børn &lt; 50 kg: 10.000 mg (50 ml) acetylcystein fortyndes i 150 ml isotonisk glucose</w:t>
            </w:r>
          </w:p>
        </w:tc>
        <w:tc>
          <w:tcPr>
            <w:tcW w:w="2087" w:type="dxa"/>
            <w:tcBorders>
              <w:top w:val="single" w:sz="4" w:space="0" w:color="auto"/>
              <w:left w:val="single" w:sz="4" w:space="0" w:color="auto"/>
              <w:bottom w:val="single" w:sz="4" w:space="0" w:color="auto"/>
              <w:right w:val="single" w:sz="4" w:space="0" w:color="auto"/>
            </w:tcBorders>
            <w:hideMark/>
          </w:tcPr>
          <w:p w14:paraId="5316D895" w14:textId="77777777" w:rsidR="003B58B4" w:rsidRDefault="003B58B4">
            <w:pPr>
              <w:pStyle w:val="Normalindrykning"/>
              <w:spacing w:after="0"/>
              <w:ind w:left="0"/>
              <w:rPr>
                <w:szCs w:val="22"/>
              </w:rPr>
            </w:pPr>
            <w:r>
              <w:t>50 mg/ml</w:t>
            </w:r>
          </w:p>
        </w:tc>
        <w:tc>
          <w:tcPr>
            <w:tcW w:w="1989" w:type="dxa"/>
            <w:tcBorders>
              <w:top w:val="single" w:sz="4" w:space="0" w:color="auto"/>
              <w:left w:val="single" w:sz="4" w:space="0" w:color="auto"/>
              <w:bottom w:val="single" w:sz="4" w:space="0" w:color="auto"/>
              <w:right w:val="single" w:sz="4" w:space="0" w:color="auto"/>
            </w:tcBorders>
            <w:hideMark/>
          </w:tcPr>
          <w:p w14:paraId="2E7FA8F7" w14:textId="77777777" w:rsidR="003B58B4" w:rsidRDefault="003B58B4">
            <w:pPr>
              <w:pStyle w:val="Normalindrykning"/>
              <w:spacing w:after="0"/>
              <w:ind w:left="0"/>
              <w:rPr>
                <w:szCs w:val="22"/>
              </w:rPr>
            </w:pPr>
            <w:r>
              <w:t>1 ml/kg/t i 4 timer</w:t>
            </w:r>
          </w:p>
        </w:tc>
      </w:tr>
      <w:tr w:rsidR="003B58B4" w14:paraId="07007F40" w14:textId="77777777" w:rsidTr="003B58B4">
        <w:tc>
          <w:tcPr>
            <w:tcW w:w="1985" w:type="dxa"/>
            <w:tcBorders>
              <w:top w:val="single" w:sz="4" w:space="0" w:color="auto"/>
              <w:left w:val="single" w:sz="4" w:space="0" w:color="auto"/>
              <w:bottom w:val="single" w:sz="4" w:space="0" w:color="auto"/>
              <w:right w:val="single" w:sz="4" w:space="0" w:color="auto"/>
            </w:tcBorders>
            <w:hideMark/>
          </w:tcPr>
          <w:p w14:paraId="7C9E8037" w14:textId="77777777" w:rsidR="003B58B4" w:rsidRDefault="003B58B4">
            <w:pPr>
              <w:pStyle w:val="Normalindrykning"/>
              <w:spacing w:after="0"/>
              <w:ind w:left="0"/>
              <w:rPr>
                <w:szCs w:val="22"/>
              </w:rPr>
            </w:pPr>
            <w:r>
              <w:t>Vedligeholdelse (min. 16 timer afhængigt af resultater af leverfunktions tests)</w:t>
            </w:r>
          </w:p>
        </w:tc>
        <w:tc>
          <w:tcPr>
            <w:tcW w:w="1752" w:type="dxa"/>
            <w:tcBorders>
              <w:top w:val="single" w:sz="4" w:space="0" w:color="auto"/>
              <w:left w:val="single" w:sz="4" w:space="0" w:color="auto"/>
              <w:bottom w:val="single" w:sz="4" w:space="0" w:color="auto"/>
              <w:right w:val="single" w:sz="4" w:space="0" w:color="auto"/>
            </w:tcBorders>
            <w:hideMark/>
          </w:tcPr>
          <w:p w14:paraId="67A9C1A1" w14:textId="77777777" w:rsidR="003B58B4" w:rsidRDefault="003B58B4">
            <w:pPr>
              <w:pStyle w:val="Normalindrykning"/>
              <w:spacing w:after="0"/>
              <w:ind w:left="0"/>
              <w:rPr>
                <w:szCs w:val="22"/>
              </w:rPr>
            </w:pPr>
            <w:r>
              <w:t>100 mg/kg i 16 timer (0,50 ml/kg i 16 timer) = 6,25 mg/kg/t</w:t>
            </w:r>
          </w:p>
        </w:tc>
        <w:tc>
          <w:tcPr>
            <w:tcW w:w="1365" w:type="dxa"/>
            <w:tcBorders>
              <w:top w:val="single" w:sz="4" w:space="0" w:color="auto"/>
              <w:left w:val="single" w:sz="4" w:space="0" w:color="auto"/>
              <w:bottom w:val="single" w:sz="4" w:space="0" w:color="auto"/>
              <w:right w:val="single" w:sz="4" w:space="0" w:color="auto"/>
            </w:tcBorders>
            <w:hideMark/>
          </w:tcPr>
          <w:p w14:paraId="76761CDE" w14:textId="77777777" w:rsidR="003B58B4" w:rsidRDefault="003B58B4">
            <w:pPr>
              <w:pStyle w:val="Normalindrykning"/>
              <w:spacing w:after="0"/>
              <w:ind w:left="0"/>
              <w:rPr>
                <w:szCs w:val="22"/>
              </w:rPr>
            </w:pPr>
            <w:r>
              <w:t>Børn &lt; 50 kg: 3,125 mg (15,7 ml) acetylcystein i 484,3 ml isotonisk glucose</w:t>
            </w:r>
          </w:p>
        </w:tc>
        <w:tc>
          <w:tcPr>
            <w:tcW w:w="2087" w:type="dxa"/>
            <w:tcBorders>
              <w:top w:val="single" w:sz="4" w:space="0" w:color="auto"/>
              <w:left w:val="single" w:sz="4" w:space="0" w:color="auto"/>
              <w:bottom w:val="single" w:sz="4" w:space="0" w:color="auto"/>
              <w:right w:val="single" w:sz="4" w:space="0" w:color="auto"/>
            </w:tcBorders>
            <w:hideMark/>
          </w:tcPr>
          <w:p w14:paraId="2C3E799E" w14:textId="77777777" w:rsidR="003B58B4" w:rsidRDefault="003B58B4">
            <w:pPr>
              <w:pStyle w:val="Normalindrykning"/>
              <w:spacing w:after="0"/>
              <w:ind w:left="0"/>
              <w:rPr>
                <w:szCs w:val="22"/>
              </w:rPr>
            </w:pPr>
            <w:r>
              <w:t>6,25 mg/ml</w:t>
            </w:r>
          </w:p>
        </w:tc>
        <w:tc>
          <w:tcPr>
            <w:tcW w:w="1989" w:type="dxa"/>
            <w:tcBorders>
              <w:top w:val="single" w:sz="4" w:space="0" w:color="auto"/>
              <w:left w:val="single" w:sz="4" w:space="0" w:color="auto"/>
              <w:bottom w:val="single" w:sz="4" w:space="0" w:color="auto"/>
              <w:right w:val="single" w:sz="4" w:space="0" w:color="auto"/>
            </w:tcBorders>
            <w:hideMark/>
          </w:tcPr>
          <w:p w14:paraId="73CC7DBC" w14:textId="77777777" w:rsidR="003B58B4" w:rsidRDefault="003B58B4">
            <w:pPr>
              <w:pStyle w:val="Normalindrykning"/>
              <w:spacing w:after="0"/>
              <w:ind w:left="0"/>
              <w:rPr>
                <w:szCs w:val="22"/>
              </w:rPr>
            </w:pPr>
            <w:r>
              <w:t>1 mg/kg/t i min. 16 timer.</w:t>
            </w:r>
          </w:p>
        </w:tc>
      </w:tr>
    </w:tbl>
    <w:p w14:paraId="391E67BB" w14:textId="77777777" w:rsidR="003B58B4" w:rsidRDefault="003B58B4" w:rsidP="003B58B4">
      <w:pPr>
        <w:pStyle w:val="Normalindrykning"/>
        <w:spacing w:after="0"/>
        <w:ind w:left="0"/>
        <w:rPr>
          <w:szCs w:val="22"/>
          <w:u w:val="single"/>
          <w:lang w:val="nb-NO" w:eastAsia="zh-CN"/>
        </w:rPr>
      </w:pPr>
    </w:p>
    <w:p w14:paraId="5E7E5496" w14:textId="77777777" w:rsidR="003B58B4" w:rsidRPr="003B58B4" w:rsidRDefault="003B58B4" w:rsidP="003B58B4">
      <w:pPr>
        <w:pStyle w:val="Normalindrykning"/>
        <w:spacing w:after="0"/>
        <w:ind w:left="851"/>
        <w:rPr>
          <w:sz w:val="24"/>
          <w:szCs w:val="24"/>
          <w:u w:val="single"/>
        </w:rPr>
      </w:pPr>
      <w:r w:rsidRPr="003B58B4">
        <w:rPr>
          <w:sz w:val="24"/>
          <w:szCs w:val="24"/>
          <w:u w:val="single"/>
        </w:rPr>
        <w:t>Nedsat nyrefunktion</w:t>
      </w:r>
    </w:p>
    <w:p w14:paraId="2F7FEEA9" w14:textId="77777777" w:rsidR="003B58B4" w:rsidRPr="003B58B4" w:rsidRDefault="003B58B4" w:rsidP="003B58B4">
      <w:pPr>
        <w:pStyle w:val="Normalindrykning"/>
        <w:spacing w:after="0"/>
        <w:ind w:left="851"/>
        <w:rPr>
          <w:sz w:val="24"/>
          <w:szCs w:val="24"/>
        </w:rPr>
      </w:pPr>
      <w:r w:rsidRPr="003B58B4">
        <w:rPr>
          <w:sz w:val="24"/>
          <w:szCs w:val="24"/>
        </w:rPr>
        <w:t xml:space="preserve">Dosisreduktion er ikke nødvendig for patienter med mild til moderat nedsat nyrefunktion. </w:t>
      </w:r>
      <w:r w:rsidRPr="003B58B4">
        <w:rPr>
          <w:sz w:val="24"/>
          <w:szCs w:val="24"/>
          <w:lang w:eastAsia="da-DK"/>
        </w:rPr>
        <w:t>Der foreligger ingen data, som kan fastslå, om en dosisjustering er nødvendig hos patienter med svært nedsat nyrefunktion</w:t>
      </w:r>
      <w:r w:rsidRPr="003B58B4">
        <w:rPr>
          <w:iCs/>
          <w:sz w:val="24"/>
          <w:szCs w:val="24"/>
        </w:rPr>
        <w:t>.</w:t>
      </w:r>
    </w:p>
    <w:p w14:paraId="59F3A003" w14:textId="77777777" w:rsidR="003B58B4" w:rsidRPr="003B58B4" w:rsidRDefault="003B58B4" w:rsidP="003B58B4">
      <w:pPr>
        <w:pStyle w:val="Normalindrykning"/>
        <w:spacing w:after="0"/>
        <w:ind w:left="851"/>
        <w:rPr>
          <w:sz w:val="24"/>
          <w:szCs w:val="24"/>
        </w:rPr>
      </w:pPr>
    </w:p>
    <w:p w14:paraId="724E6C07" w14:textId="77777777" w:rsidR="003B58B4" w:rsidRPr="003B58B4" w:rsidRDefault="003B58B4" w:rsidP="003B58B4">
      <w:pPr>
        <w:pStyle w:val="Normalindrykning"/>
        <w:spacing w:after="0"/>
        <w:ind w:left="851"/>
        <w:rPr>
          <w:sz w:val="24"/>
          <w:szCs w:val="24"/>
          <w:u w:val="single"/>
        </w:rPr>
      </w:pPr>
      <w:r w:rsidRPr="003B58B4">
        <w:rPr>
          <w:sz w:val="24"/>
          <w:szCs w:val="24"/>
          <w:u w:val="single"/>
        </w:rPr>
        <w:t>Nedsat leverfunktion</w:t>
      </w:r>
    </w:p>
    <w:p w14:paraId="459339AF" w14:textId="77777777" w:rsidR="003B58B4" w:rsidRPr="003B58B4" w:rsidRDefault="003B58B4" w:rsidP="003B58B4">
      <w:pPr>
        <w:pStyle w:val="Normalindrykning"/>
        <w:spacing w:after="0"/>
        <w:ind w:left="851"/>
        <w:rPr>
          <w:sz w:val="24"/>
          <w:szCs w:val="24"/>
        </w:rPr>
      </w:pPr>
      <w:r w:rsidRPr="003B58B4">
        <w:rPr>
          <w:sz w:val="24"/>
          <w:szCs w:val="24"/>
        </w:rPr>
        <w:t xml:space="preserve">Dosisreduktion er ikke nødvendig for patienter med nedsat leverfunktion. </w:t>
      </w:r>
    </w:p>
    <w:p w14:paraId="3C18D334" w14:textId="77777777" w:rsidR="003B58B4" w:rsidRPr="003B58B4" w:rsidRDefault="003B58B4" w:rsidP="003B58B4">
      <w:pPr>
        <w:pStyle w:val="Normalindrykning"/>
        <w:spacing w:after="0"/>
        <w:ind w:left="851"/>
        <w:rPr>
          <w:sz w:val="24"/>
          <w:szCs w:val="24"/>
        </w:rPr>
      </w:pPr>
    </w:p>
    <w:p w14:paraId="1F6B498F" w14:textId="77777777" w:rsidR="003B58B4" w:rsidRPr="003B58B4" w:rsidRDefault="003B58B4" w:rsidP="003B58B4">
      <w:pPr>
        <w:pStyle w:val="Normalindrykning"/>
        <w:spacing w:after="0"/>
        <w:ind w:left="851"/>
        <w:rPr>
          <w:sz w:val="24"/>
          <w:szCs w:val="24"/>
        </w:rPr>
      </w:pPr>
      <w:r w:rsidRPr="003B58B4">
        <w:rPr>
          <w:i/>
          <w:sz w:val="24"/>
          <w:szCs w:val="24"/>
        </w:rPr>
        <w:t>Det faktiske dosisregime bør justeres i henhold til lokale standarder.</w:t>
      </w:r>
    </w:p>
    <w:p w14:paraId="4DA58EF2" w14:textId="77777777" w:rsidR="009260DE" w:rsidRPr="003B58B4" w:rsidRDefault="009260DE" w:rsidP="003B58B4">
      <w:pPr>
        <w:tabs>
          <w:tab w:val="left" w:pos="851"/>
        </w:tabs>
        <w:ind w:left="851"/>
        <w:rPr>
          <w:sz w:val="24"/>
          <w:szCs w:val="24"/>
        </w:rPr>
      </w:pPr>
    </w:p>
    <w:p w14:paraId="6369B67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4EF42A4" w14:textId="77777777" w:rsidR="00E66D1F" w:rsidRPr="00E66D1F" w:rsidRDefault="00E66D1F" w:rsidP="00E66D1F">
      <w:pPr>
        <w:tabs>
          <w:tab w:val="left" w:pos="851"/>
        </w:tabs>
        <w:ind w:left="851"/>
        <w:rPr>
          <w:sz w:val="24"/>
          <w:szCs w:val="24"/>
        </w:rPr>
      </w:pPr>
      <w:r w:rsidRPr="00E66D1F">
        <w:rPr>
          <w:sz w:val="24"/>
          <w:szCs w:val="24"/>
        </w:rPr>
        <w:t>Overfølsomhed over for det aktive stof eller over for et eller flere af hjælpestofferne anført i pkt. 6.1.</w:t>
      </w:r>
    </w:p>
    <w:p w14:paraId="516E1079" w14:textId="109B295A" w:rsidR="00E66D1F" w:rsidRDefault="00E66D1F">
      <w:pPr>
        <w:rPr>
          <w:sz w:val="24"/>
          <w:szCs w:val="24"/>
        </w:rPr>
      </w:pPr>
      <w:r>
        <w:rPr>
          <w:sz w:val="24"/>
          <w:szCs w:val="24"/>
        </w:rPr>
        <w:br w:type="page"/>
      </w:r>
    </w:p>
    <w:p w14:paraId="2B8E274E" w14:textId="77777777" w:rsidR="009260DE" w:rsidRPr="00C84483" w:rsidRDefault="009260DE" w:rsidP="009260DE">
      <w:pPr>
        <w:tabs>
          <w:tab w:val="left" w:pos="851"/>
        </w:tabs>
        <w:ind w:left="851"/>
        <w:rPr>
          <w:sz w:val="24"/>
          <w:szCs w:val="24"/>
        </w:rPr>
      </w:pPr>
    </w:p>
    <w:p w14:paraId="067ACDAC"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7B707B9" w14:textId="77777777" w:rsidR="00E66D1F" w:rsidRPr="00E66D1F" w:rsidRDefault="00E66D1F" w:rsidP="00E66D1F">
      <w:pPr>
        <w:tabs>
          <w:tab w:val="left" w:pos="851"/>
        </w:tabs>
        <w:ind w:left="851"/>
        <w:rPr>
          <w:sz w:val="24"/>
          <w:szCs w:val="24"/>
        </w:rPr>
      </w:pPr>
      <w:r w:rsidRPr="00E66D1F">
        <w:rPr>
          <w:sz w:val="24"/>
          <w:szCs w:val="24"/>
        </w:rPr>
        <w:t>Den intravenøse administration af acetylcystein bør finde sted under streng lægelig overvågning. Risikoen for bivirkninger som følge af intravenøs infusion af acetylcystein er højere, hvis lægemidlet administreres i for store mængder og/eller for hurtigt.</w:t>
      </w:r>
    </w:p>
    <w:p w14:paraId="43B0459C" w14:textId="77777777" w:rsidR="00E66D1F" w:rsidRPr="00E66D1F" w:rsidRDefault="00E66D1F" w:rsidP="00E66D1F">
      <w:pPr>
        <w:tabs>
          <w:tab w:val="left" w:pos="851"/>
        </w:tabs>
        <w:ind w:left="851"/>
        <w:rPr>
          <w:sz w:val="24"/>
          <w:szCs w:val="24"/>
        </w:rPr>
      </w:pPr>
      <w:r w:rsidRPr="00E66D1F">
        <w:rPr>
          <w:sz w:val="24"/>
          <w:szCs w:val="24"/>
        </w:rPr>
        <w:t>Administrer som anført i pkt. 4.2.</w:t>
      </w:r>
    </w:p>
    <w:p w14:paraId="5C6B3FD2" w14:textId="77777777" w:rsidR="00E66D1F" w:rsidRPr="00E66D1F" w:rsidRDefault="00E66D1F" w:rsidP="00E66D1F">
      <w:pPr>
        <w:tabs>
          <w:tab w:val="left" w:pos="851"/>
        </w:tabs>
        <w:ind w:left="851"/>
        <w:rPr>
          <w:sz w:val="24"/>
          <w:szCs w:val="24"/>
        </w:rPr>
      </w:pPr>
      <w:r w:rsidRPr="00E66D1F">
        <w:rPr>
          <w:sz w:val="24"/>
          <w:szCs w:val="24"/>
        </w:rPr>
        <w:t>Administration af acetylcystein bør ikke påvirke anvendelsen af andre terapeutiske foranstaltninger (ventrikelskylning, administration af adsorbenter).</w:t>
      </w:r>
    </w:p>
    <w:p w14:paraId="197C4670" w14:textId="77777777" w:rsidR="00E66D1F" w:rsidRPr="00E66D1F" w:rsidRDefault="00E66D1F" w:rsidP="00E66D1F">
      <w:pPr>
        <w:tabs>
          <w:tab w:val="left" w:pos="851"/>
        </w:tabs>
        <w:ind w:left="851"/>
        <w:rPr>
          <w:sz w:val="24"/>
          <w:szCs w:val="24"/>
        </w:rPr>
      </w:pPr>
    </w:p>
    <w:p w14:paraId="4FA706C9" w14:textId="77777777" w:rsidR="00E66D1F" w:rsidRPr="00E66D1F" w:rsidRDefault="00E66D1F" w:rsidP="00E66D1F">
      <w:pPr>
        <w:tabs>
          <w:tab w:val="left" w:pos="851"/>
        </w:tabs>
        <w:ind w:left="851"/>
        <w:rPr>
          <w:sz w:val="24"/>
          <w:szCs w:val="24"/>
          <w:u w:val="single"/>
        </w:rPr>
      </w:pPr>
      <w:r w:rsidRPr="00E66D1F">
        <w:rPr>
          <w:sz w:val="24"/>
          <w:szCs w:val="24"/>
          <w:u w:val="single"/>
        </w:rPr>
        <w:t>Anafylaktiske reaktioner</w:t>
      </w:r>
    </w:p>
    <w:p w14:paraId="55BC2D87" w14:textId="77777777" w:rsidR="00E66D1F" w:rsidRPr="00E66D1F" w:rsidRDefault="00E66D1F" w:rsidP="00E66D1F">
      <w:pPr>
        <w:tabs>
          <w:tab w:val="left" w:pos="851"/>
        </w:tabs>
        <w:ind w:left="851"/>
        <w:rPr>
          <w:sz w:val="24"/>
          <w:szCs w:val="24"/>
        </w:rPr>
      </w:pPr>
      <w:r w:rsidRPr="00E66D1F">
        <w:rPr>
          <w:sz w:val="24"/>
          <w:szCs w:val="24"/>
        </w:rPr>
        <w:t xml:space="preserve">Anafylaktiske reaktioner/overfølsomhedsreaktioner kan forekomme med acetylcystein, især ved den første </w:t>
      </w:r>
      <w:r w:rsidRPr="00E66D1F">
        <w:rPr>
          <w:i/>
          <w:iCs/>
          <w:sz w:val="24"/>
          <w:szCs w:val="24"/>
        </w:rPr>
        <w:t>loading</w:t>
      </w:r>
      <w:r w:rsidRPr="00E66D1F">
        <w:rPr>
          <w:sz w:val="24"/>
          <w:szCs w:val="24"/>
        </w:rPr>
        <w:t>-dosis. Patienten bør overvåges tæt for tegn på en anafylaktisk reaktion i denne periode. Der har i sjældne tilfælde været rapporter om dødsfald.</w:t>
      </w:r>
    </w:p>
    <w:p w14:paraId="2F2B6C16" w14:textId="77777777" w:rsidR="00E66D1F" w:rsidRPr="00E66D1F" w:rsidRDefault="00E66D1F" w:rsidP="00E66D1F">
      <w:pPr>
        <w:tabs>
          <w:tab w:val="left" w:pos="851"/>
        </w:tabs>
        <w:ind w:left="851"/>
        <w:rPr>
          <w:sz w:val="24"/>
          <w:szCs w:val="24"/>
        </w:rPr>
      </w:pPr>
      <w:r w:rsidRPr="00E66D1F">
        <w:rPr>
          <w:sz w:val="24"/>
          <w:szCs w:val="24"/>
        </w:rPr>
        <w:t>Anafylaktiske reaktioner/overfølsomhedsreaktioner på acetylcystein forekommer sædvanligvis mellem 15 og 60 minutter efter infusionens start. I mange tilfælde fortager bivirkningerne sig, efter at infusionen er stoppet. Et antihistamin kan være nødvendigt, og i nogle tilfælde er kortikosteroider nødvendige.</w:t>
      </w:r>
    </w:p>
    <w:p w14:paraId="2FDE4BE1" w14:textId="77777777" w:rsidR="00E66D1F" w:rsidRPr="00E66D1F" w:rsidRDefault="00E66D1F" w:rsidP="00E66D1F">
      <w:pPr>
        <w:tabs>
          <w:tab w:val="left" w:pos="851"/>
        </w:tabs>
        <w:ind w:left="851"/>
        <w:rPr>
          <w:sz w:val="24"/>
          <w:szCs w:val="24"/>
        </w:rPr>
      </w:pPr>
      <w:r w:rsidRPr="00E66D1F">
        <w:rPr>
          <w:sz w:val="24"/>
          <w:szCs w:val="24"/>
        </w:rPr>
        <w:t>De fleste anafylaktiske reaktioner kan behandles ved midlertidig afbrydelse af acetylcysteininfusionen, administration af understøttende behandling og genoptagelse af infusionen med en lavere infusionshastighed.</w:t>
      </w:r>
    </w:p>
    <w:p w14:paraId="7E11BFF1" w14:textId="77777777" w:rsidR="00E66D1F" w:rsidRPr="00E66D1F" w:rsidRDefault="00E66D1F" w:rsidP="00E66D1F">
      <w:pPr>
        <w:tabs>
          <w:tab w:val="left" w:pos="851"/>
        </w:tabs>
        <w:ind w:left="851"/>
        <w:rPr>
          <w:sz w:val="24"/>
          <w:szCs w:val="24"/>
        </w:rPr>
      </w:pPr>
    </w:p>
    <w:p w14:paraId="09FD6C27" w14:textId="77777777" w:rsidR="00E66D1F" w:rsidRPr="00E66D1F" w:rsidRDefault="00E66D1F" w:rsidP="00E66D1F">
      <w:pPr>
        <w:tabs>
          <w:tab w:val="left" w:pos="851"/>
        </w:tabs>
        <w:ind w:left="851"/>
        <w:rPr>
          <w:sz w:val="24"/>
          <w:szCs w:val="24"/>
          <w:u w:val="single"/>
        </w:rPr>
      </w:pPr>
      <w:r w:rsidRPr="00E66D1F">
        <w:rPr>
          <w:sz w:val="24"/>
          <w:szCs w:val="24"/>
          <w:u w:val="single"/>
        </w:rPr>
        <w:t>Bronkial astma</w:t>
      </w:r>
    </w:p>
    <w:p w14:paraId="5A2AC159" w14:textId="77777777" w:rsidR="00E66D1F" w:rsidRPr="00E66D1F" w:rsidRDefault="00E66D1F" w:rsidP="00E66D1F">
      <w:pPr>
        <w:tabs>
          <w:tab w:val="left" w:pos="851"/>
        </w:tabs>
        <w:ind w:left="851"/>
        <w:rPr>
          <w:sz w:val="24"/>
          <w:szCs w:val="24"/>
        </w:rPr>
      </w:pPr>
      <w:r w:rsidRPr="00E66D1F">
        <w:rPr>
          <w:sz w:val="24"/>
          <w:szCs w:val="24"/>
        </w:rPr>
        <w:t>Der er evidens for, at patienter med atopi og astma i anamnesen, kan have forhøjet risiko for at udvikle en anafylaktisk reaktion.</w:t>
      </w:r>
    </w:p>
    <w:p w14:paraId="3548617A" w14:textId="77777777" w:rsidR="00E66D1F" w:rsidRPr="00E66D1F" w:rsidRDefault="00E66D1F" w:rsidP="00E66D1F">
      <w:pPr>
        <w:tabs>
          <w:tab w:val="left" w:pos="851"/>
        </w:tabs>
        <w:ind w:left="851"/>
        <w:rPr>
          <w:sz w:val="24"/>
          <w:szCs w:val="24"/>
        </w:rPr>
      </w:pPr>
      <w:r w:rsidRPr="00E66D1F">
        <w:rPr>
          <w:sz w:val="24"/>
          <w:szCs w:val="24"/>
        </w:rPr>
        <w:t>Patienter med bronkial astma skal derfor overvåges nøje under behandlingen. Hvis der forekommer bronkospasme, skal behandlingen stoppes øjeblikkeligt, og en læge skal kontaktes.</w:t>
      </w:r>
    </w:p>
    <w:p w14:paraId="34D05F9C" w14:textId="77777777" w:rsidR="00E66D1F" w:rsidRPr="00E66D1F" w:rsidRDefault="00E66D1F" w:rsidP="00E66D1F">
      <w:pPr>
        <w:tabs>
          <w:tab w:val="left" w:pos="851"/>
        </w:tabs>
        <w:ind w:left="851"/>
        <w:rPr>
          <w:sz w:val="24"/>
          <w:szCs w:val="24"/>
        </w:rPr>
      </w:pPr>
    </w:p>
    <w:p w14:paraId="38F0B8CB" w14:textId="77777777" w:rsidR="00E66D1F" w:rsidRPr="00E66D1F" w:rsidRDefault="00E66D1F" w:rsidP="00E66D1F">
      <w:pPr>
        <w:tabs>
          <w:tab w:val="left" w:pos="851"/>
        </w:tabs>
        <w:ind w:left="851"/>
        <w:rPr>
          <w:sz w:val="24"/>
          <w:szCs w:val="24"/>
        </w:rPr>
      </w:pPr>
      <w:r w:rsidRPr="00E66D1F">
        <w:rPr>
          <w:sz w:val="24"/>
          <w:szCs w:val="24"/>
          <w:u w:val="single"/>
        </w:rPr>
        <w:t>Alvorlige hudreaktioner</w:t>
      </w:r>
    </w:p>
    <w:p w14:paraId="05EE046A" w14:textId="77777777" w:rsidR="00E66D1F" w:rsidRPr="00E66D1F" w:rsidRDefault="00E66D1F" w:rsidP="00E66D1F">
      <w:pPr>
        <w:tabs>
          <w:tab w:val="left" w:pos="851"/>
        </w:tabs>
        <w:ind w:left="851"/>
        <w:rPr>
          <w:sz w:val="24"/>
          <w:szCs w:val="24"/>
        </w:rPr>
      </w:pPr>
      <w:r w:rsidRPr="00E66D1F">
        <w:rPr>
          <w:sz w:val="24"/>
          <w:szCs w:val="24"/>
        </w:rPr>
        <w:t>Der har i meget sjældne tilfælde været rapporter om alvorlige hudreaktioner som Stevens-Johnsons syndrom og toksisk epidermal nekrolyse med en tidsmæssig forbindelse til anvendelse af acetylcystein. I de fleste tilfælde kunne mindst et andet mistænkt lægemiddel identificeres, som med større sandsynlighed var årsagen til det mukokutane syndrom. Patienten bør derfor overvåges tæt og passende foranstaltninger iværksættes, hvis der forekommer nye forandringer i hud eller slimhinder.</w:t>
      </w:r>
    </w:p>
    <w:p w14:paraId="172C009F" w14:textId="77777777" w:rsidR="00E66D1F" w:rsidRPr="00E66D1F" w:rsidRDefault="00E66D1F" w:rsidP="00E66D1F">
      <w:pPr>
        <w:tabs>
          <w:tab w:val="left" w:pos="851"/>
        </w:tabs>
        <w:ind w:left="851"/>
        <w:rPr>
          <w:sz w:val="24"/>
          <w:szCs w:val="24"/>
          <w:u w:val="single"/>
        </w:rPr>
      </w:pPr>
    </w:p>
    <w:p w14:paraId="0E208A63" w14:textId="77777777" w:rsidR="00E66D1F" w:rsidRPr="00E66D1F" w:rsidRDefault="00E66D1F" w:rsidP="00E66D1F">
      <w:pPr>
        <w:tabs>
          <w:tab w:val="left" w:pos="851"/>
        </w:tabs>
        <w:ind w:left="851"/>
        <w:rPr>
          <w:sz w:val="24"/>
          <w:szCs w:val="24"/>
          <w:u w:val="single"/>
        </w:rPr>
      </w:pPr>
      <w:r w:rsidRPr="00E66D1F">
        <w:rPr>
          <w:sz w:val="24"/>
          <w:szCs w:val="24"/>
          <w:u w:val="single"/>
        </w:rPr>
        <w:t>Væske og elektrolytter</w:t>
      </w:r>
    </w:p>
    <w:p w14:paraId="1169BB67" w14:textId="77777777" w:rsidR="00E66D1F" w:rsidRPr="00E66D1F" w:rsidRDefault="00E66D1F" w:rsidP="00E66D1F">
      <w:pPr>
        <w:tabs>
          <w:tab w:val="left" w:pos="851"/>
        </w:tabs>
        <w:ind w:left="851"/>
        <w:rPr>
          <w:sz w:val="24"/>
          <w:szCs w:val="24"/>
        </w:rPr>
      </w:pPr>
      <w:r w:rsidRPr="00E66D1F">
        <w:rPr>
          <w:sz w:val="24"/>
          <w:szCs w:val="24"/>
        </w:rPr>
        <w:t>Der skal udvises forsigtighed ved administration af antidotkoncentrationer til patienter med en kropsvægt på under 40 kg på grund af risiko for overhydrering, som kan resultere i hyponatriæmi, krampeanfald og død.</w:t>
      </w:r>
    </w:p>
    <w:p w14:paraId="2047242E" w14:textId="77777777" w:rsidR="00E66D1F" w:rsidRPr="00E66D1F" w:rsidRDefault="00E66D1F" w:rsidP="00E66D1F">
      <w:pPr>
        <w:tabs>
          <w:tab w:val="left" w:pos="851"/>
        </w:tabs>
        <w:ind w:left="851"/>
        <w:rPr>
          <w:sz w:val="24"/>
          <w:szCs w:val="24"/>
          <w:u w:val="single"/>
        </w:rPr>
      </w:pPr>
    </w:p>
    <w:p w14:paraId="6443B04E" w14:textId="77777777" w:rsidR="00E66D1F" w:rsidRPr="00E66D1F" w:rsidRDefault="00E66D1F" w:rsidP="00E66D1F">
      <w:pPr>
        <w:tabs>
          <w:tab w:val="left" w:pos="851"/>
        </w:tabs>
        <w:ind w:left="851"/>
        <w:rPr>
          <w:sz w:val="24"/>
          <w:szCs w:val="24"/>
          <w:u w:val="single"/>
        </w:rPr>
      </w:pPr>
      <w:r w:rsidRPr="00E66D1F">
        <w:rPr>
          <w:sz w:val="24"/>
          <w:szCs w:val="24"/>
          <w:u w:val="single"/>
        </w:rPr>
        <w:t>Koagulation</w:t>
      </w:r>
    </w:p>
    <w:p w14:paraId="13CF9800" w14:textId="77777777" w:rsidR="00E66D1F" w:rsidRPr="00E66D1F" w:rsidRDefault="00E66D1F" w:rsidP="00E66D1F">
      <w:pPr>
        <w:tabs>
          <w:tab w:val="left" w:pos="851"/>
        </w:tabs>
        <w:ind w:left="851"/>
        <w:rPr>
          <w:sz w:val="24"/>
          <w:szCs w:val="24"/>
        </w:rPr>
      </w:pPr>
      <w:r w:rsidRPr="00E66D1F">
        <w:rPr>
          <w:sz w:val="24"/>
          <w:szCs w:val="24"/>
        </w:rPr>
        <w:t>Høje doser af intravenøst administreret acetylcystein kan have en indvirkning på protrombintiden og relaterede parametre (INR).</w:t>
      </w:r>
    </w:p>
    <w:p w14:paraId="1E06EE8D" w14:textId="77777777" w:rsidR="00E66D1F" w:rsidRPr="00E66D1F" w:rsidRDefault="00E66D1F" w:rsidP="00E66D1F">
      <w:pPr>
        <w:tabs>
          <w:tab w:val="left" w:pos="851"/>
        </w:tabs>
        <w:ind w:left="851"/>
        <w:rPr>
          <w:sz w:val="24"/>
          <w:szCs w:val="24"/>
        </w:rPr>
      </w:pPr>
    </w:p>
    <w:p w14:paraId="0AFA53B1" w14:textId="77777777" w:rsidR="00E66D1F" w:rsidRPr="00E66D1F" w:rsidRDefault="00E66D1F" w:rsidP="00E66D1F">
      <w:pPr>
        <w:tabs>
          <w:tab w:val="left" w:pos="851"/>
        </w:tabs>
        <w:ind w:left="851"/>
        <w:rPr>
          <w:sz w:val="24"/>
          <w:szCs w:val="24"/>
          <w:u w:val="single"/>
        </w:rPr>
      </w:pPr>
      <w:r w:rsidRPr="00E66D1F">
        <w:rPr>
          <w:sz w:val="24"/>
          <w:szCs w:val="24"/>
          <w:u w:val="single"/>
        </w:rPr>
        <w:t xml:space="preserve">Hjælpestoffer </w:t>
      </w:r>
    </w:p>
    <w:p w14:paraId="4069772E" w14:textId="77777777" w:rsidR="00E66D1F" w:rsidRPr="00E66D1F" w:rsidRDefault="00E66D1F" w:rsidP="00E66D1F">
      <w:pPr>
        <w:tabs>
          <w:tab w:val="left" w:pos="851"/>
        </w:tabs>
        <w:ind w:left="851"/>
        <w:rPr>
          <w:sz w:val="24"/>
          <w:szCs w:val="24"/>
        </w:rPr>
      </w:pPr>
      <w:r w:rsidRPr="00E66D1F">
        <w:rPr>
          <w:sz w:val="24"/>
          <w:szCs w:val="24"/>
        </w:rPr>
        <w:t>Dette lægemiddel indeholder 566 mg natrium pr. 20 ml hætteglas, svarende til 28,3 % af den WHO-anbefalede maksimale daglige indtagelse af 2 g natrium for en voksen, eller 849 mg natrium pr. 30 ml hætteglas, svarende til 42,45 % af den WHO-anbefalede daglige indtagelse af 2 g natrium for en voksen.</w:t>
      </w:r>
    </w:p>
    <w:p w14:paraId="290DFD4C" w14:textId="77777777" w:rsidR="00E66D1F" w:rsidRPr="00E66D1F" w:rsidRDefault="00E66D1F" w:rsidP="00E66D1F">
      <w:pPr>
        <w:tabs>
          <w:tab w:val="left" w:pos="851"/>
        </w:tabs>
        <w:ind w:left="851"/>
        <w:rPr>
          <w:sz w:val="24"/>
          <w:szCs w:val="24"/>
        </w:rPr>
      </w:pPr>
    </w:p>
    <w:p w14:paraId="18BB216E" w14:textId="77777777" w:rsidR="00E66D1F" w:rsidRPr="00E66D1F" w:rsidRDefault="00E66D1F" w:rsidP="00E66D1F">
      <w:pPr>
        <w:tabs>
          <w:tab w:val="left" w:pos="851"/>
        </w:tabs>
        <w:ind w:left="851"/>
        <w:rPr>
          <w:sz w:val="24"/>
          <w:szCs w:val="24"/>
        </w:rPr>
      </w:pPr>
      <w:r w:rsidRPr="00E66D1F">
        <w:rPr>
          <w:sz w:val="24"/>
          <w:szCs w:val="24"/>
        </w:rPr>
        <w:lastRenderedPageBreak/>
        <w:t>Acetylcystein har også mukolytiske egenskaber. På grund af de fysiologiske forhold i luftvejene hos børn under 2 år kan evnen til at hoste slim op være begrænset, hvilket kan føre til obstruktion af luftvejene. Om nødvendigt iværksættes passende foranstaltninger.</w:t>
      </w:r>
    </w:p>
    <w:p w14:paraId="62C8834F" w14:textId="77777777" w:rsidR="009260DE" w:rsidRPr="00C84483" w:rsidRDefault="009260DE" w:rsidP="009260DE">
      <w:pPr>
        <w:tabs>
          <w:tab w:val="left" w:pos="851"/>
        </w:tabs>
        <w:ind w:left="851"/>
        <w:rPr>
          <w:sz w:val="24"/>
          <w:szCs w:val="24"/>
        </w:rPr>
      </w:pPr>
    </w:p>
    <w:p w14:paraId="41626BA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70F111F" w14:textId="77777777" w:rsidR="00E66D1F" w:rsidRDefault="00E66D1F" w:rsidP="00E66D1F">
      <w:pPr>
        <w:tabs>
          <w:tab w:val="left" w:pos="851"/>
        </w:tabs>
        <w:ind w:left="851"/>
        <w:rPr>
          <w:sz w:val="24"/>
          <w:szCs w:val="24"/>
          <w:u w:val="single"/>
        </w:rPr>
      </w:pPr>
    </w:p>
    <w:p w14:paraId="5BECF1C1" w14:textId="13999C54" w:rsidR="00E66D1F" w:rsidRPr="00E66D1F" w:rsidRDefault="00E66D1F" w:rsidP="00E66D1F">
      <w:pPr>
        <w:tabs>
          <w:tab w:val="left" w:pos="851"/>
        </w:tabs>
        <w:ind w:left="851"/>
        <w:rPr>
          <w:sz w:val="24"/>
          <w:szCs w:val="24"/>
          <w:u w:val="single"/>
        </w:rPr>
      </w:pPr>
      <w:r w:rsidRPr="00E66D1F">
        <w:rPr>
          <w:sz w:val="24"/>
          <w:szCs w:val="24"/>
          <w:u w:val="single"/>
        </w:rPr>
        <w:t>Interaktion med andre lægemidler</w:t>
      </w:r>
    </w:p>
    <w:p w14:paraId="2C0351D4" w14:textId="77777777" w:rsidR="00E66D1F" w:rsidRPr="00E66D1F" w:rsidRDefault="00E66D1F" w:rsidP="00E66D1F">
      <w:pPr>
        <w:tabs>
          <w:tab w:val="left" w:pos="851"/>
        </w:tabs>
        <w:ind w:left="851"/>
        <w:rPr>
          <w:sz w:val="24"/>
          <w:szCs w:val="24"/>
        </w:rPr>
      </w:pPr>
      <w:r w:rsidRPr="00E66D1F">
        <w:rPr>
          <w:sz w:val="24"/>
          <w:szCs w:val="24"/>
        </w:rPr>
        <w:t>Opløsning af acetylcystein sammen med andre lægemidler anbefales ikke.</w:t>
      </w:r>
    </w:p>
    <w:p w14:paraId="16670E41" w14:textId="77777777" w:rsidR="00E66D1F" w:rsidRPr="00E66D1F" w:rsidRDefault="00E66D1F" w:rsidP="00E66D1F">
      <w:pPr>
        <w:tabs>
          <w:tab w:val="left" w:pos="851"/>
        </w:tabs>
        <w:ind w:left="851"/>
        <w:rPr>
          <w:sz w:val="24"/>
          <w:szCs w:val="24"/>
        </w:rPr>
      </w:pPr>
      <w:r w:rsidRPr="00E66D1F">
        <w:rPr>
          <w:sz w:val="24"/>
          <w:szCs w:val="24"/>
        </w:rPr>
        <w:t xml:space="preserve">Forudgående blanding af acetylcystein og antibiotika bør undgås på grund af potentiel </w:t>
      </w:r>
      <w:r w:rsidRPr="00E66D1F">
        <w:rPr>
          <w:i/>
          <w:sz w:val="24"/>
          <w:szCs w:val="24"/>
        </w:rPr>
        <w:t>in vitro</w:t>
      </w:r>
      <w:r w:rsidRPr="00E66D1F">
        <w:rPr>
          <w:sz w:val="24"/>
          <w:szCs w:val="24"/>
        </w:rPr>
        <w:t>-inaktivering af antibiotika (især ß-lactamantibiotika).</w:t>
      </w:r>
    </w:p>
    <w:p w14:paraId="0A9A9E18" w14:textId="77777777" w:rsidR="00E66D1F" w:rsidRPr="00E66D1F" w:rsidRDefault="00E66D1F" w:rsidP="00E66D1F">
      <w:pPr>
        <w:tabs>
          <w:tab w:val="left" w:pos="851"/>
        </w:tabs>
        <w:ind w:left="851"/>
        <w:rPr>
          <w:sz w:val="24"/>
          <w:szCs w:val="24"/>
        </w:rPr>
      </w:pPr>
    </w:p>
    <w:p w14:paraId="68AFC752" w14:textId="77777777" w:rsidR="00E66D1F" w:rsidRPr="00E66D1F" w:rsidRDefault="00E66D1F" w:rsidP="00E66D1F">
      <w:pPr>
        <w:tabs>
          <w:tab w:val="left" w:pos="851"/>
        </w:tabs>
        <w:ind w:left="851"/>
        <w:rPr>
          <w:sz w:val="24"/>
          <w:szCs w:val="24"/>
        </w:rPr>
      </w:pPr>
      <w:r w:rsidRPr="00E66D1F">
        <w:rPr>
          <w:sz w:val="24"/>
          <w:szCs w:val="24"/>
        </w:rPr>
        <w:t>Det er eftervist at samtidig brug af nitroglycerin og acetylcystein kan føre til signifikant hypotension og dilatation af temporalarterien. Hvis samtidig brug af acetylcystein og nitroglycerin er nødvendig, bør patienterne overvåges for indtræden af hypotension (dette kan være alvorligt) og advares om potentiel hovedpine.</w:t>
      </w:r>
    </w:p>
    <w:p w14:paraId="3A7E955E" w14:textId="77777777" w:rsidR="00E66D1F" w:rsidRPr="00E66D1F" w:rsidRDefault="00E66D1F" w:rsidP="00E66D1F">
      <w:pPr>
        <w:tabs>
          <w:tab w:val="left" w:pos="851"/>
        </w:tabs>
        <w:ind w:left="851"/>
        <w:rPr>
          <w:sz w:val="24"/>
          <w:szCs w:val="24"/>
        </w:rPr>
      </w:pPr>
    </w:p>
    <w:p w14:paraId="2535054D" w14:textId="77777777" w:rsidR="00E66D1F" w:rsidRPr="00E66D1F" w:rsidRDefault="00E66D1F" w:rsidP="00E66D1F">
      <w:pPr>
        <w:tabs>
          <w:tab w:val="left" w:pos="851"/>
        </w:tabs>
        <w:ind w:left="851"/>
        <w:rPr>
          <w:sz w:val="24"/>
          <w:szCs w:val="24"/>
          <w:u w:val="single"/>
        </w:rPr>
      </w:pPr>
      <w:r w:rsidRPr="00E66D1F">
        <w:rPr>
          <w:sz w:val="24"/>
          <w:szCs w:val="24"/>
          <w:u w:val="single"/>
        </w:rPr>
        <w:t>Interaktion med laboratorieresultater</w:t>
      </w:r>
    </w:p>
    <w:p w14:paraId="7E191FC1" w14:textId="77777777" w:rsidR="00E66D1F" w:rsidRPr="00E66D1F" w:rsidRDefault="00E66D1F" w:rsidP="00E66D1F">
      <w:pPr>
        <w:tabs>
          <w:tab w:val="left" w:pos="851"/>
        </w:tabs>
        <w:ind w:left="851"/>
        <w:rPr>
          <w:sz w:val="24"/>
          <w:szCs w:val="24"/>
        </w:rPr>
      </w:pPr>
      <w:r w:rsidRPr="00E66D1F">
        <w:rPr>
          <w:sz w:val="24"/>
          <w:szCs w:val="24"/>
        </w:rPr>
        <w:t>Acetylcystein kan påvirke resultatet af kolorimetriske salicylatanalyser.</w:t>
      </w:r>
    </w:p>
    <w:p w14:paraId="24E42594" w14:textId="77777777" w:rsidR="00E66D1F" w:rsidRPr="00E66D1F" w:rsidRDefault="00E66D1F" w:rsidP="00E66D1F">
      <w:pPr>
        <w:tabs>
          <w:tab w:val="left" w:pos="851"/>
        </w:tabs>
        <w:ind w:left="851"/>
        <w:rPr>
          <w:sz w:val="24"/>
          <w:szCs w:val="24"/>
        </w:rPr>
      </w:pPr>
    </w:p>
    <w:p w14:paraId="5F8258FC" w14:textId="77777777" w:rsidR="00E66D1F" w:rsidRPr="00E66D1F" w:rsidRDefault="00E66D1F" w:rsidP="00E66D1F">
      <w:pPr>
        <w:tabs>
          <w:tab w:val="left" w:pos="851"/>
        </w:tabs>
        <w:ind w:left="851"/>
        <w:rPr>
          <w:sz w:val="24"/>
          <w:szCs w:val="24"/>
        </w:rPr>
      </w:pPr>
      <w:r w:rsidRPr="00E66D1F">
        <w:rPr>
          <w:sz w:val="24"/>
          <w:szCs w:val="24"/>
        </w:rPr>
        <w:t>Ved høje doser kan acetylcystein forhøje urinudskillelsen af samtidigt administrerede metaller (f.eks. aurothiomalat).</w:t>
      </w:r>
    </w:p>
    <w:p w14:paraId="269C9A8F" w14:textId="77777777" w:rsidR="00E66D1F" w:rsidRPr="00E66D1F" w:rsidRDefault="00E66D1F" w:rsidP="00E66D1F">
      <w:pPr>
        <w:tabs>
          <w:tab w:val="left" w:pos="851"/>
        </w:tabs>
        <w:ind w:left="851"/>
        <w:rPr>
          <w:sz w:val="24"/>
          <w:szCs w:val="24"/>
        </w:rPr>
      </w:pPr>
    </w:p>
    <w:p w14:paraId="60E21FB6" w14:textId="77777777" w:rsidR="00E66D1F" w:rsidRPr="00E66D1F" w:rsidRDefault="00E66D1F" w:rsidP="00E66D1F">
      <w:pPr>
        <w:tabs>
          <w:tab w:val="left" w:pos="851"/>
        </w:tabs>
        <w:ind w:left="851"/>
        <w:rPr>
          <w:sz w:val="24"/>
          <w:szCs w:val="24"/>
        </w:rPr>
      </w:pPr>
      <w:r w:rsidRPr="00E66D1F">
        <w:rPr>
          <w:sz w:val="24"/>
          <w:szCs w:val="24"/>
        </w:rPr>
        <w:t>Acetylcystein kan påvirke resultatet af urinprøver for ketoner.</w:t>
      </w:r>
    </w:p>
    <w:p w14:paraId="6D58F986" w14:textId="77777777" w:rsidR="009260DE" w:rsidRPr="00C84483" w:rsidRDefault="009260DE" w:rsidP="009260DE">
      <w:pPr>
        <w:tabs>
          <w:tab w:val="left" w:pos="851"/>
        </w:tabs>
        <w:ind w:left="851"/>
        <w:rPr>
          <w:sz w:val="24"/>
          <w:szCs w:val="24"/>
        </w:rPr>
      </w:pPr>
    </w:p>
    <w:p w14:paraId="0969731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290A337" w14:textId="77777777" w:rsidR="00E66D1F" w:rsidRPr="00E66D1F" w:rsidRDefault="00E66D1F" w:rsidP="00E66D1F">
      <w:pPr>
        <w:tabs>
          <w:tab w:val="left" w:pos="851"/>
        </w:tabs>
        <w:ind w:left="851"/>
        <w:rPr>
          <w:sz w:val="24"/>
          <w:szCs w:val="24"/>
        </w:rPr>
      </w:pPr>
    </w:p>
    <w:p w14:paraId="71D24227" w14:textId="77777777" w:rsidR="00E66D1F" w:rsidRPr="00E66D1F" w:rsidRDefault="00E66D1F" w:rsidP="00E66D1F">
      <w:pPr>
        <w:tabs>
          <w:tab w:val="left" w:pos="851"/>
        </w:tabs>
        <w:ind w:left="851"/>
        <w:rPr>
          <w:sz w:val="24"/>
          <w:szCs w:val="24"/>
          <w:u w:val="single"/>
        </w:rPr>
      </w:pPr>
      <w:r w:rsidRPr="00E66D1F">
        <w:rPr>
          <w:sz w:val="24"/>
          <w:szCs w:val="24"/>
          <w:u w:val="single"/>
        </w:rPr>
        <w:t>Graviditet</w:t>
      </w:r>
    </w:p>
    <w:p w14:paraId="2A40D5D2" w14:textId="77777777" w:rsidR="00E66D1F" w:rsidRPr="00E66D1F" w:rsidRDefault="00E66D1F" w:rsidP="00E66D1F">
      <w:pPr>
        <w:tabs>
          <w:tab w:val="left" w:pos="851"/>
        </w:tabs>
        <w:ind w:left="851"/>
        <w:rPr>
          <w:sz w:val="24"/>
          <w:szCs w:val="24"/>
        </w:rPr>
      </w:pPr>
      <w:r w:rsidRPr="00E66D1F">
        <w:rPr>
          <w:sz w:val="24"/>
          <w:szCs w:val="24"/>
        </w:rPr>
        <w:t>Der foreligger begrænsede data fra anvendelse af acetylcystein til gravide kvinder. Dyrestudier indikerer hverken direkte eller indirekte skadelige virkninger, hvad angår reproduktionstoksicitet (se pkt. 5.3).</w:t>
      </w:r>
    </w:p>
    <w:p w14:paraId="14579250" w14:textId="77777777" w:rsidR="00E66D1F" w:rsidRPr="00E66D1F" w:rsidRDefault="00E66D1F" w:rsidP="00E66D1F">
      <w:pPr>
        <w:tabs>
          <w:tab w:val="left" w:pos="851"/>
        </w:tabs>
        <w:ind w:left="851"/>
        <w:rPr>
          <w:sz w:val="24"/>
          <w:szCs w:val="24"/>
        </w:rPr>
      </w:pPr>
      <w:r w:rsidRPr="00E66D1F">
        <w:rPr>
          <w:sz w:val="24"/>
          <w:szCs w:val="24"/>
        </w:rPr>
        <w:t>Acetylcystein krydser placentabarrieren. Begrænsede data fra anvendelse af høje doser af acetylcystein til behandling af akut paracetamoloverdosis tyder dog ikke på nogen risiko for graviditeten.</w:t>
      </w:r>
    </w:p>
    <w:p w14:paraId="7E94C34D" w14:textId="77777777" w:rsidR="00E66D1F" w:rsidRPr="00E66D1F" w:rsidRDefault="00E66D1F" w:rsidP="00E66D1F">
      <w:pPr>
        <w:tabs>
          <w:tab w:val="left" w:pos="851"/>
        </w:tabs>
        <w:ind w:left="851"/>
        <w:rPr>
          <w:sz w:val="24"/>
          <w:szCs w:val="24"/>
        </w:rPr>
      </w:pPr>
      <w:r w:rsidRPr="00E66D1F">
        <w:rPr>
          <w:sz w:val="24"/>
          <w:szCs w:val="24"/>
        </w:rPr>
        <w:t>Acetylcystein kan om nødvendigt anvendes ved paracetamolforgiftning under graviditet.</w:t>
      </w:r>
    </w:p>
    <w:p w14:paraId="2C1562AD" w14:textId="77777777" w:rsidR="00E66D1F" w:rsidRPr="00E66D1F" w:rsidRDefault="00E66D1F" w:rsidP="00E66D1F">
      <w:pPr>
        <w:tabs>
          <w:tab w:val="left" w:pos="851"/>
        </w:tabs>
        <w:ind w:left="851"/>
        <w:rPr>
          <w:sz w:val="24"/>
          <w:szCs w:val="24"/>
        </w:rPr>
      </w:pPr>
    </w:p>
    <w:p w14:paraId="4B774A82" w14:textId="77777777" w:rsidR="00E66D1F" w:rsidRPr="00E66D1F" w:rsidRDefault="00E66D1F" w:rsidP="00E66D1F">
      <w:pPr>
        <w:tabs>
          <w:tab w:val="left" w:pos="851"/>
        </w:tabs>
        <w:ind w:left="851"/>
        <w:rPr>
          <w:sz w:val="24"/>
          <w:szCs w:val="24"/>
          <w:u w:val="single"/>
        </w:rPr>
      </w:pPr>
      <w:r w:rsidRPr="00E66D1F">
        <w:rPr>
          <w:sz w:val="24"/>
          <w:szCs w:val="24"/>
          <w:u w:val="single"/>
        </w:rPr>
        <w:t>Amning</w:t>
      </w:r>
    </w:p>
    <w:p w14:paraId="3A7237E4" w14:textId="77777777" w:rsidR="00E66D1F" w:rsidRPr="00E66D1F" w:rsidRDefault="00E66D1F" w:rsidP="00E66D1F">
      <w:pPr>
        <w:tabs>
          <w:tab w:val="left" w:pos="851"/>
        </w:tabs>
        <w:ind w:left="851"/>
        <w:rPr>
          <w:sz w:val="24"/>
          <w:szCs w:val="24"/>
        </w:rPr>
      </w:pPr>
      <w:r w:rsidRPr="00E66D1F">
        <w:rPr>
          <w:sz w:val="24"/>
          <w:szCs w:val="24"/>
        </w:rPr>
        <w:t>Der forventes ingen virkninger på ammede spædbørn under brug af acetylcystein. Amning anbefales dog ikke under forgiftning.</w:t>
      </w:r>
    </w:p>
    <w:p w14:paraId="4AD6F76D" w14:textId="77777777" w:rsidR="00E66D1F" w:rsidRPr="00E66D1F" w:rsidRDefault="00E66D1F" w:rsidP="00E66D1F">
      <w:pPr>
        <w:tabs>
          <w:tab w:val="left" w:pos="851"/>
        </w:tabs>
        <w:ind w:left="851"/>
        <w:rPr>
          <w:sz w:val="24"/>
          <w:szCs w:val="24"/>
        </w:rPr>
      </w:pPr>
    </w:p>
    <w:p w14:paraId="33DEE305" w14:textId="77777777" w:rsidR="00E66D1F" w:rsidRPr="00E66D1F" w:rsidRDefault="00E66D1F" w:rsidP="00E66D1F">
      <w:pPr>
        <w:tabs>
          <w:tab w:val="left" w:pos="851"/>
        </w:tabs>
        <w:ind w:left="851"/>
        <w:rPr>
          <w:sz w:val="24"/>
          <w:szCs w:val="24"/>
          <w:u w:val="single"/>
        </w:rPr>
      </w:pPr>
      <w:r w:rsidRPr="00E66D1F">
        <w:rPr>
          <w:sz w:val="24"/>
          <w:szCs w:val="24"/>
          <w:u w:val="single"/>
        </w:rPr>
        <w:t>Fertilitet</w:t>
      </w:r>
    </w:p>
    <w:p w14:paraId="08B8092B" w14:textId="77777777" w:rsidR="00E66D1F" w:rsidRPr="00E66D1F" w:rsidRDefault="00E66D1F" w:rsidP="00E66D1F">
      <w:pPr>
        <w:tabs>
          <w:tab w:val="left" w:pos="851"/>
        </w:tabs>
        <w:ind w:left="851"/>
        <w:rPr>
          <w:sz w:val="24"/>
          <w:szCs w:val="24"/>
        </w:rPr>
      </w:pPr>
      <w:r w:rsidRPr="00E66D1F">
        <w:rPr>
          <w:sz w:val="24"/>
          <w:szCs w:val="24"/>
        </w:rPr>
        <w:t>Der foreligger ingen kendte data vedrørende acetylcysteins indvirkning på fertiliteten hos mennesker. Dyrestudier har ikke vist nogen skadelige virkninger på menneskers fertilitet ved de anbefalede doser (se pkt. 5.3)</w:t>
      </w:r>
    </w:p>
    <w:p w14:paraId="7A80CA6D" w14:textId="77777777" w:rsidR="009260DE" w:rsidRPr="00C84483" w:rsidRDefault="009260DE" w:rsidP="009260DE">
      <w:pPr>
        <w:tabs>
          <w:tab w:val="left" w:pos="851"/>
        </w:tabs>
        <w:ind w:left="851"/>
        <w:rPr>
          <w:sz w:val="24"/>
          <w:szCs w:val="24"/>
        </w:rPr>
      </w:pPr>
    </w:p>
    <w:p w14:paraId="39E2A94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7845E4F" w14:textId="26CAB02A" w:rsidR="009260DE" w:rsidRDefault="005E769E" w:rsidP="009260DE">
      <w:pPr>
        <w:tabs>
          <w:tab w:val="left" w:pos="851"/>
        </w:tabs>
        <w:ind w:left="851"/>
        <w:rPr>
          <w:sz w:val="24"/>
          <w:szCs w:val="24"/>
        </w:rPr>
      </w:pPr>
      <w:r>
        <w:rPr>
          <w:sz w:val="24"/>
          <w:szCs w:val="24"/>
        </w:rPr>
        <w:t>Ikke mærkning.</w:t>
      </w:r>
    </w:p>
    <w:p w14:paraId="71039BDB" w14:textId="77777777" w:rsidR="005E769E" w:rsidRPr="005E769E" w:rsidRDefault="005E769E" w:rsidP="005E769E">
      <w:pPr>
        <w:tabs>
          <w:tab w:val="left" w:pos="851"/>
        </w:tabs>
        <w:ind w:left="851"/>
        <w:rPr>
          <w:sz w:val="24"/>
          <w:szCs w:val="24"/>
        </w:rPr>
      </w:pPr>
      <w:r w:rsidRPr="005E769E">
        <w:rPr>
          <w:sz w:val="24"/>
          <w:szCs w:val="24"/>
        </w:rPr>
        <w:t>Acetylcysteine "Macure" har ingen kendt påvirkning på evnen til at føre motorkøretøj og betjene maskiner.</w:t>
      </w:r>
    </w:p>
    <w:p w14:paraId="3C22D6EA" w14:textId="5E78095D" w:rsidR="009D3CC7" w:rsidRDefault="009D3CC7">
      <w:pPr>
        <w:rPr>
          <w:sz w:val="24"/>
          <w:szCs w:val="24"/>
        </w:rPr>
      </w:pPr>
      <w:r>
        <w:rPr>
          <w:sz w:val="24"/>
          <w:szCs w:val="24"/>
        </w:rPr>
        <w:br w:type="page"/>
      </w:r>
    </w:p>
    <w:p w14:paraId="3E0C30B8" w14:textId="77777777" w:rsidR="009260DE" w:rsidRPr="00C84483" w:rsidRDefault="009260DE" w:rsidP="009260DE">
      <w:pPr>
        <w:tabs>
          <w:tab w:val="left" w:pos="851"/>
        </w:tabs>
        <w:ind w:left="851"/>
        <w:rPr>
          <w:sz w:val="24"/>
          <w:szCs w:val="24"/>
        </w:rPr>
      </w:pPr>
    </w:p>
    <w:p w14:paraId="1F9B9D29"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5C8B7F7" w14:textId="77777777" w:rsidR="009D3CC7" w:rsidRPr="009D3CC7" w:rsidRDefault="009D3CC7" w:rsidP="009D3CC7">
      <w:pPr>
        <w:pStyle w:val="Normalindrykning"/>
        <w:spacing w:after="0"/>
        <w:ind w:left="851"/>
        <w:rPr>
          <w:sz w:val="24"/>
          <w:szCs w:val="24"/>
          <w:lang w:eastAsia="zh-CN"/>
        </w:rPr>
      </w:pPr>
    </w:p>
    <w:p w14:paraId="70464336" w14:textId="77777777" w:rsidR="009D3CC7" w:rsidRPr="009D3CC7" w:rsidRDefault="009D3CC7" w:rsidP="009D3CC7">
      <w:pPr>
        <w:pStyle w:val="Normalindrykning"/>
        <w:spacing w:after="0"/>
        <w:ind w:left="851"/>
        <w:rPr>
          <w:sz w:val="24"/>
          <w:szCs w:val="24"/>
          <w:u w:val="single"/>
        </w:rPr>
      </w:pPr>
      <w:r w:rsidRPr="009D3CC7">
        <w:rPr>
          <w:sz w:val="24"/>
          <w:szCs w:val="24"/>
          <w:u w:val="single"/>
        </w:rPr>
        <w:t>Resumé af sikkerhedsprofil</w:t>
      </w:r>
    </w:p>
    <w:p w14:paraId="528D6F91" w14:textId="77777777" w:rsidR="009D3CC7" w:rsidRPr="009D3CC7" w:rsidRDefault="009D3CC7" w:rsidP="009D3CC7">
      <w:pPr>
        <w:pStyle w:val="Normalindrykning"/>
        <w:spacing w:after="0"/>
        <w:ind w:left="851"/>
        <w:rPr>
          <w:sz w:val="24"/>
          <w:szCs w:val="24"/>
        </w:rPr>
      </w:pPr>
      <w:r w:rsidRPr="009D3CC7">
        <w:rPr>
          <w:sz w:val="24"/>
          <w:szCs w:val="24"/>
        </w:rPr>
        <w:t>Bivirkningerne ved acetylcystein er hovedsageligt anafylaktiske og vedrører overfølsomhed: Urticaria, hududslæt, pruritus og dyspnø er de hyppigste symptomer.</w:t>
      </w:r>
    </w:p>
    <w:p w14:paraId="16FDFEBF" w14:textId="77777777" w:rsidR="009D3CC7" w:rsidRPr="009D3CC7" w:rsidRDefault="009D3CC7" w:rsidP="009D3CC7">
      <w:pPr>
        <w:pStyle w:val="Normalindrykning"/>
        <w:spacing w:after="0"/>
        <w:ind w:left="851"/>
        <w:rPr>
          <w:sz w:val="24"/>
          <w:szCs w:val="24"/>
          <w:lang w:eastAsia="zh-CN"/>
        </w:rPr>
      </w:pPr>
    </w:p>
    <w:p w14:paraId="29229C89" w14:textId="77777777" w:rsidR="009D3CC7" w:rsidRPr="009D3CC7" w:rsidRDefault="009D3CC7" w:rsidP="009D3CC7">
      <w:pPr>
        <w:pStyle w:val="Normalindrykning"/>
        <w:spacing w:after="0"/>
        <w:ind w:left="851"/>
        <w:rPr>
          <w:sz w:val="24"/>
          <w:szCs w:val="24"/>
          <w:u w:val="single"/>
        </w:rPr>
      </w:pPr>
      <w:r w:rsidRPr="009D3CC7">
        <w:rPr>
          <w:sz w:val="24"/>
          <w:szCs w:val="24"/>
          <w:u w:val="single"/>
        </w:rPr>
        <w:t>Liste over bivirkninger i tabelform</w:t>
      </w:r>
    </w:p>
    <w:p w14:paraId="2FDC019F" w14:textId="3CCD23C1" w:rsidR="009D3CC7" w:rsidRDefault="009D3CC7" w:rsidP="009D3CC7">
      <w:pPr>
        <w:pStyle w:val="Normalindrykning"/>
        <w:spacing w:after="0"/>
        <w:ind w:left="851"/>
        <w:rPr>
          <w:sz w:val="24"/>
          <w:szCs w:val="24"/>
        </w:rPr>
      </w:pPr>
      <w:r w:rsidRPr="009D3CC7">
        <w:rPr>
          <w:sz w:val="24"/>
          <w:szCs w:val="24"/>
        </w:rPr>
        <w:t>Bivirkningerne i nedenstående tabel er indberettet efter markedsføring, og bivirkningerne er anført efter systemorganklasse. Hyppigheden kan ikke estimeres ud fra forhåndenværende data.</w:t>
      </w:r>
    </w:p>
    <w:p w14:paraId="24E17756" w14:textId="77777777" w:rsidR="009D3CC7" w:rsidRPr="009D3CC7" w:rsidRDefault="009D3CC7" w:rsidP="009D3CC7">
      <w:pPr>
        <w:pStyle w:val="Normalindrykning"/>
        <w:spacing w:after="0"/>
        <w:ind w:left="851"/>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865"/>
      </w:tblGrid>
      <w:tr w:rsidR="009D3CC7" w14:paraId="27FD3F35"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2637000A" w14:textId="77777777" w:rsidR="009D3CC7" w:rsidRDefault="009D3CC7">
            <w:pPr>
              <w:pStyle w:val="Normalindrykning"/>
              <w:spacing w:after="0"/>
              <w:ind w:left="0"/>
              <w:rPr>
                <w:szCs w:val="22"/>
              </w:rPr>
            </w:pPr>
            <w:r>
              <w:t>Systemorganklasse</w:t>
            </w:r>
          </w:p>
        </w:tc>
        <w:tc>
          <w:tcPr>
            <w:tcW w:w="4865" w:type="dxa"/>
            <w:tcBorders>
              <w:top w:val="single" w:sz="4" w:space="0" w:color="auto"/>
              <w:left w:val="single" w:sz="4" w:space="0" w:color="auto"/>
              <w:bottom w:val="single" w:sz="4" w:space="0" w:color="auto"/>
              <w:right w:val="single" w:sz="4" w:space="0" w:color="auto"/>
            </w:tcBorders>
            <w:hideMark/>
          </w:tcPr>
          <w:p w14:paraId="270939DB" w14:textId="77777777" w:rsidR="009D3CC7" w:rsidRDefault="009D3CC7">
            <w:pPr>
              <w:pStyle w:val="Normalindrykning"/>
              <w:spacing w:after="0"/>
              <w:ind w:left="0"/>
              <w:rPr>
                <w:szCs w:val="22"/>
              </w:rPr>
            </w:pPr>
            <w:r>
              <w:t>Bivirkning - hyppighed ikke kendt*</w:t>
            </w:r>
          </w:p>
        </w:tc>
      </w:tr>
      <w:tr w:rsidR="009D3CC7" w14:paraId="187303C5"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396E9405" w14:textId="77777777" w:rsidR="009D3CC7" w:rsidRDefault="009D3CC7">
            <w:pPr>
              <w:pStyle w:val="Normalindrykning"/>
              <w:spacing w:after="0"/>
              <w:ind w:left="0"/>
              <w:rPr>
                <w:szCs w:val="22"/>
              </w:rPr>
            </w:pPr>
            <w:r>
              <w:t>Blod og lymfesystem</w:t>
            </w:r>
          </w:p>
        </w:tc>
        <w:tc>
          <w:tcPr>
            <w:tcW w:w="4865" w:type="dxa"/>
            <w:tcBorders>
              <w:top w:val="single" w:sz="4" w:space="0" w:color="auto"/>
              <w:left w:val="single" w:sz="4" w:space="0" w:color="auto"/>
              <w:bottom w:val="single" w:sz="4" w:space="0" w:color="auto"/>
              <w:right w:val="single" w:sz="4" w:space="0" w:color="auto"/>
            </w:tcBorders>
            <w:hideMark/>
          </w:tcPr>
          <w:p w14:paraId="62314D65" w14:textId="77777777" w:rsidR="009D3CC7" w:rsidRDefault="009D3CC7">
            <w:pPr>
              <w:pStyle w:val="Normalindrykning"/>
              <w:spacing w:after="0"/>
              <w:ind w:left="0"/>
              <w:rPr>
                <w:szCs w:val="22"/>
              </w:rPr>
            </w:pPr>
            <w:r>
              <w:t>Trombocytopeni</w:t>
            </w:r>
          </w:p>
        </w:tc>
      </w:tr>
      <w:tr w:rsidR="009D3CC7" w14:paraId="51F9CDC8"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0F645B82" w14:textId="77777777" w:rsidR="009D3CC7" w:rsidRDefault="009D3CC7">
            <w:pPr>
              <w:pStyle w:val="Normalindrykning"/>
              <w:spacing w:after="0"/>
              <w:ind w:left="0"/>
              <w:rPr>
                <w:szCs w:val="22"/>
              </w:rPr>
            </w:pPr>
            <w:r>
              <w:t>Immunsystemet</w:t>
            </w:r>
          </w:p>
        </w:tc>
        <w:tc>
          <w:tcPr>
            <w:tcW w:w="4865" w:type="dxa"/>
            <w:tcBorders>
              <w:top w:val="single" w:sz="4" w:space="0" w:color="auto"/>
              <w:left w:val="single" w:sz="4" w:space="0" w:color="auto"/>
              <w:bottom w:val="single" w:sz="4" w:space="0" w:color="auto"/>
              <w:right w:val="single" w:sz="4" w:space="0" w:color="auto"/>
            </w:tcBorders>
            <w:hideMark/>
          </w:tcPr>
          <w:p w14:paraId="181753E2" w14:textId="77777777" w:rsidR="009D3CC7" w:rsidRDefault="009D3CC7">
            <w:pPr>
              <w:pStyle w:val="Normalindrykning"/>
              <w:spacing w:after="0"/>
              <w:ind w:left="0"/>
              <w:rPr>
                <w:szCs w:val="22"/>
              </w:rPr>
            </w:pPr>
            <w:r>
              <w:t>Anafylaktisk shock, anafylaktisk/anafylaktoid reaktion, overfølsomhed</w:t>
            </w:r>
          </w:p>
        </w:tc>
      </w:tr>
      <w:tr w:rsidR="009D3CC7" w14:paraId="3F9A1FE0"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775852D6" w14:textId="77777777" w:rsidR="009D3CC7" w:rsidRDefault="009D3CC7">
            <w:pPr>
              <w:pStyle w:val="Normalindrykning"/>
              <w:spacing w:after="0"/>
              <w:ind w:left="0"/>
              <w:rPr>
                <w:szCs w:val="22"/>
              </w:rPr>
            </w:pPr>
            <w:r>
              <w:t>Det endokrine system</w:t>
            </w:r>
          </w:p>
        </w:tc>
        <w:tc>
          <w:tcPr>
            <w:tcW w:w="4865" w:type="dxa"/>
            <w:tcBorders>
              <w:top w:val="single" w:sz="4" w:space="0" w:color="auto"/>
              <w:left w:val="single" w:sz="4" w:space="0" w:color="auto"/>
              <w:bottom w:val="single" w:sz="4" w:space="0" w:color="auto"/>
              <w:right w:val="single" w:sz="4" w:space="0" w:color="auto"/>
            </w:tcBorders>
            <w:hideMark/>
          </w:tcPr>
          <w:p w14:paraId="126ECC23" w14:textId="77777777" w:rsidR="009D3CC7" w:rsidRDefault="009D3CC7">
            <w:pPr>
              <w:pStyle w:val="Normalindrykning"/>
              <w:spacing w:after="0"/>
              <w:ind w:left="0"/>
              <w:rPr>
                <w:szCs w:val="22"/>
              </w:rPr>
            </w:pPr>
            <w:r>
              <w:t>Perspiration, fald i urea i blodet, acidose, cyanose</w:t>
            </w:r>
          </w:p>
        </w:tc>
      </w:tr>
      <w:tr w:rsidR="009D3CC7" w14:paraId="7802BA68"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16C5A0F4" w14:textId="77777777" w:rsidR="009D3CC7" w:rsidRDefault="009D3CC7">
            <w:pPr>
              <w:pStyle w:val="Normalindrykning"/>
              <w:spacing w:after="0"/>
              <w:ind w:left="0"/>
              <w:rPr>
                <w:szCs w:val="22"/>
              </w:rPr>
            </w:pPr>
            <w:r>
              <w:t>Psykiske forstyrrelser</w:t>
            </w:r>
          </w:p>
        </w:tc>
        <w:tc>
          <w:tcPr>
            <w:tcW w:w="4865" w:type="dxa"/>
            <w:tcBorders>
              <w:top w:val="single" w:sz="4" w:space="0" w:color="auto"/>
              <w:left w:val="single" w:sz="4" w:space="0" w:color="auto"/>
              <w:bottom w:val="single" w:sz="4" w:space="0" w:color="auto"/>
              <w:right w:val="single" w:sz="4" w:space="0" w:color="auto"/>
            </w:tcBorders>
            <w:hideMark/>
          </w:tcPr>
          <w:p w14:paraId="36BC7C8B" w14:textId="77777777" w:rsidR="009D3CC7" w:rsidRDefault="009D3CC7">
            <w:pPr>
              <w:pStyle w:val="Normalindrykning"/>
              <w:spacing w:after="0"/>
              <w:ind w:left="0"/>
              <w:rPr>
                <w:szCs w:val="22"/>
              </w:rPr>
            </w:pPr>
            <w:r>
              <w:t>Angst</w:t>
            </w:r>
          </w:p>
        </w:tc>
      </w:tr>
      <w:tr w:rsidR="009D3CC7" w14:paraId="6FFF3F5A"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1BB626CA" w14:textId="77777777" w:rsidR="009D3CC7" w:rsidRDefault="009D3CC7">
            <w:pPr>
              <w:pStyle w:val="Normalindrykning"/>
              <w:spacing w:after="0"/>
              <w:ind w:left="0"/>
              <w:rPr>
                <w:szCs w:val="22"/>
              </w:rPr>
            </w:pPr>
            <w:r>
              <w:t>Nervesystemet</w:t>
            </w:r>
          </w:p>
        </w:tc>
        <w:tc>
          <w:tcPr>
            <w:tcW w:w="4865" w:type="dxa"/>
            <w:tcBorders>
              <w:top w:val="single" w:sz="4" w:space="0" w:color="auto"/>
              <w:left w:val="single" w:sz="4" w:space="0" w:color="auto"/>
              <w:bottom w:val="single" w:sz="4" w:space="0" w:color="auto"/>
              <w:right w:val="single" w:sz="4" w:space="0" w:color="auto"/>
            </w:tcBorders>
            <w:hideMark/>
          </w:tcPr>
          <w:p w14:paraId="35FAC25D" w14:textId="77777777" w:rsidR="009D3CC7" w:rsidRDefault="009D3CC7">
            <w:pPr>
              <w:pStyle w:val="Normalindrykning"/>
              <w:spacing w:after="0"/>
              <w:ind w:left="0"/>
              <w:rPr>
                <w:szCs w:val="22"/>
              </w:rPr>
            </w:pPr>
            <w:r>
              <w:t>Smerter i ansigt eller øjne, generaliserede kramper</w:t>
            </w:r>
          </w:p>
        </w:tc>
      </w:tr>
      <w:tr w:rsidR="009D3CC7" w14:paraId="73E39209"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2E2E4A2B" w14:textId="77777777" w:rsidR="009D3CC7" w:rsidRDefault="009D3CC7">
            <w:pPr>
              <w:pStyle w:val="Normalindrykning"/>
              <w:spacing w:after="0"/>
              <w:ind w:left="0"/>
              <w:rPr>
                <w:szCs w:val="22"/>
              </w:rPr>
            </w:pPr>
            <w:r>
              <w:t>Øjne</w:t>
            </w:r>
          </w:p>
        </w:tc>
        <w:tc>
          <w:tcPr>
            <w:tcW w:w="4865" w:type="dxa"/>
            <w:tcBorders>
              <w:top w:val="single" w:sz="4" w:space="0" w:color="auto"/>
              <w:left w:val="single" w:sz="4" w:space="0" w:color="auto"/>
              <w:bottom w:val="single" w:sz="4" w:space="0" w:color="auto"/>
              <w:right w:val="single" w:sz="4" w:space="0" w:color="auto"/>
            </w:tcBorders>
            <w:hideMark/>
          </w:tcPr>
          <w:p w14:paraId="40E031CE" w14:textId="77777777" w:rsidR="009D3CC7" w:rsidRDefault="009D3CC7">
            <w:pPr>
              <w:pStyle w:val="Normalindrykning"/>
              <w:spacing w:after="0"/>
              <w:ind w:left="0"/>
              <w:rPr>
                <w:szCs w:val="22"/>
              </w:rPr>
            </w:pPr>
            <w:r>
              <w:t>Fremstående øjne, sløret syn</w:t>
            </w:r>
          </w:p>
        </w:tc>
      </w:tr>
      <w:tr w:rsidR="009D3CC7" w14:paraId="43D79162"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7C665A2D" w14:textId="77777777" w:rsidR="009D3CC7" w:rsidRDefault="009D3CC7">
            <w:pPr>
              <w:pStyle w:val="Normalindrykning"/>
              <w:spacing w:after="0"/>
              <w:ind w:left="0"/>
              <w:rPr>
                <w:szCs w:val="22"/>
              </w:rPr>
            </w:pPr>
            <w:r>
              <w:t>Hjerte</w:t>
            </w:r>
          </w:p>
        </w:tc>
        <w:tc>
          <w:tcPr>
            <w:tcW w:w="4865" w:type="dxa"/>
            <w:tcBorders>
              <w:top w:val="single" w:sz="4" w:space="0" w:color="auto"/>
              <w:left w:val="single" w:sz="4" w:space="0" w:color="auto"/>
              <w:bottom w:val="single" w:sz="4" w:space="0" w:color="auto"/>
              <w:right w:val="single" w:sz="4" w:space="0" w:color="auto"/>
            </w:tcBorders>
            <w:hideMark/>
          </w:tcPr>
          <w:p w14:paraId="7D9E7ABD" w14:textId="77777777" w:rsidR="009D3CC7" w:rsidRDefault="009D3CC7">
            <w:pPr>
              <w:pStyle w:val="Normalindrykning"/>
              <w:spacing w:after="0"/>
              <w:ind w:left="0"/>
              <w:rPr>
                <w:szCs w:val="22"/>
              </w:rPr>
            </w:pPr>
            <w:r>
              <w:t>Bradykardi, takykardi</w:t>
            </w:r>
          </w:p>
        </w:tc>
      </w:tr>
      <w:tr w:rsidR="009D3CC7" w14:paraId="751C1116"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3FF125A8" w14:textId="77777777" w:rsidR="009D3CC7" w:rsidRDefault="009D3CC7">
            <w:pPr>
              <w:pStyle w:val="Normalindrykning"/>
              <w:spacing w:after="0"/>
              <w:ind w:left="0"/>
              <w:rPr>
                <w:color w:val="000000"/>
                <w:szCs w:val="22"/>
              </w:rPr>
            </w:pPr>
            <w:r>
              <w:rPr>
                <w:color w:val="000000"/>
              </w:rPr>
              <w:t>Vaskulære sygdomme</w:t>
            </w:r>
          </w:p>
        </w:tc>
        <w:tc>
          <w:tcPr>
            <w:tcW w:w="4865" w:type="dxa"/>
            <w:tcBorders>
              <w:top w:val="single" w:sz="4" w:space="0" w:color="auto"/>
              <w:left w:val="single" w:sz="4" w:space="0" w:color="auto"/>
              <w:bottom w:val="single" w:sz="4" w:space="0" w:color="auto"/>
              <w:right w:val="single" w:sz="4" w:space="0" w:color="auto"/>
            </w:tcBorders>
            <w:hideMark/>
          </w:tcPr>
          <w:p w14:paraId="213E7BB2" w14:textId="77777777" w:rsidR="009D3CC7" w:rsidRDefault="009D3CC7">
            <w:pPr>
              <w:pStyle w:val="Normalindrykning"/>
              <w:spacing w:after="0"/>
              <w:ind w:left="0"/>
              <w:rPr>
                <w:color w:val="000000"/>
                <w:szCs w:val="22"/>
              </w:rPr>
            </w:pPr>
            <w:r>
              <w:rPr>
                <w:color w:val="000000"/>
              </w:rPr>
              <w:t>Hypertension, vasodilatation, rødme, besvimelse</w:t>
            </w:r>
          </w:p>
        </w:tc>
      </w:tr>
      <w:tr w:rsidR="009D3CC7" w14:paraId="0BF9CC94"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50C86663" w14:textId="77777777" w:rsidR="009D3CC7" w:rsidRDefault="009D3CC7">
            <w:pPr>
              <w:pStyle w:val="Normalindrykning"/>
              <w:spacing w:after="0"/>
              <w:ind w:left="0"/>
              <w:rPr>
                <w:szCs w:val="22"/>
              </w:rPr>
            </w:pPr>
            <w:r>
              <w:t>Luftveje, thorax og mediastinum</w:t>
            </w:r>
          </w:p>
        </w:tc>
        <w:tc>
          <w:tcPr>
            <w:tcW w:w="4865" w:type="dxa"/>
            <w:tcBorders>
              <w:top w:val="single" w:sz="4" w:space="0" w:color="auto"/>
              <w:left w:val="single" w:sz="4" w:space="0" w:color="auto"/>
              <w:bottom w:val="single" w:sz="4" w:space="0" w:color="auto"/>
              <w:right w:val="single" w:sz="4" w:space="0" w:color="auto"/>
            </w:tcBorders>
            <w:hideMark/>
          </w:tcPr>
          <w:p w14:paraId="330CC54C" w14:textId="77777777" w:rsidR="009D3CC7" w:rsidRDefault="009D3CC7">
            <w:pPr>
              <w:pStyle w:val="Normalindrykning"/>
              <w:spacing w:after="0"/>
              <w:ind w:left="0"/>
              <w:rPr>
                <w:szCs w:val="22"/>
              </w:rPr>
            </w:pPr>
            <w:r>
              <w:t>Hoste, smerter i eller trykkende fornemmelse for brystet, respirations- eller hjertestop, stridor, bronkospasme, dyspnø</w:t>
            </w:r>
          </w:p>
        </w:tc>
      </w:tr>
      <w:tr w:rsidR="009D3CC7" w14:paraId="75AD46C6"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092A06B0" w14:textId="77777777" w:rsidR="009D3CC7" w:rsidRDefault="009D3CC7">
            <w:pPr>
              <w:pStyle w:val="Normalindrykning"/>
              <w:spacing w:after="0"/>
              <w:ind w:left="0"/>
              <w:rPr>
                <w:szCs w:val="22"/>
              </w:rPr>
            </w:pPr>
            <w:r>
              <w:t>Mave-tarm-kanalen</w:t>
            </w:r>
          </w:p>
        </w:tc>
        <w:tc>
          <w:tcPr>
            <w:tcW w:w="4865" w:type="dxa"/>
            <w:tcBorders>
              <w:top w:val="single" w:sz="4" w:space="0" w:color="auto"/>
              <w:left w:val="single" w:sz="4" w:space="0" w:color="auto"/>
              <w:bottom w:val="single" w:sz="4" w:space="0" w:color="auto"/>
              <w:right w:val="single" w:sz="4" w:space="0" w:color="auto"/>
            </w:tcBorders>
            <w:hideMark/>
          </w:tcPr>
          <w:p w14:paraId="2C4F34E7" w14:textId="77777777" w:rsidR="009D3CC7" w:rsidRDefault="009D3CC7">
            <w:pPr>
              <w:pStyle w:val="Normalindrykning"/>
              <w:spacing w:after="0"/>
              <w:ind w:left="0"/>
              <w:rPr>
                <w:szCs w:val="22"/>
              </w:rPr>
            </w:pPr>
            <w:r>
              <w:t>Opkastning, kvalme</w:t>
            </w:r>
          </w:p>
        </w:tc>
      </w:tr>
      <w:tr w:rsidR="009D3CC7" w14:paraId="2FB39D5B"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1381175D" w14:textId="77777777" w:rsidR="009D3CC7" w:rsidRDefault="009D3CC7">
            <w:pPr>
              <w:pStyle w:val="Normalindrykning"/>
              <w:spacing w:after="0"/>
              <w:ind w:left="0"/>
              <w:rPr>
                <w:szCs w:val="22"/>
              </w:rPr>
            </w:pPr>
            <w:r>
              <w:t>Lever og galdeveje</w:t>
            </w:r>
          </w:p>
        </w:tc>
        <w:tc>
          <w:tcPr>
            <w:tcW w:w="4865" w:type="dxa"/>
            <w:tcBorders>
              <w:top w:val="single" w:sz="4" w:space="0" w:color="auto"/>
              <w:left w:val="single" w:sz="4" w:space="0" w:color="auto"/>
              <w:bottom w:val="single" w:sz="4" w:space="0" w:color="auto"/>
              <w:right w:val="single" w:sz="4" w:space="0" w:color="auto"/>
            </w:tcBorders>
            <w:hideMark/>
          </w:tcPr>
          <w:p w14:paraId="5A6A00F5" w14:textId="77777777" w:rsidR="009D3CC7" w:rsidRDefault="009D3CC7">
            <w:pPr>
              <w:pStyle w:val="Normalindrykning"/>
              <w:spacing w:after="0"/>
              <w:ind w:left="0"/>
              <w:rPr>
                <w:szCs w:val="22"/>
              </w:rPr>
            </w:pPr>
            <w:r>
              <w:t>Fald i leverfunktion</w:t>
            </w:r>
          </w:p>
        </w:tc>
      </w:tr>
      <w:tr w:rsidR="009D3CC7" w14:paraId="36A821AF"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18A88A8C" w14:textId="77777777" w:rsidR="009D3CC7" w:rsidRDefault="009D3CC7">
            <w:pPr>
              <w:pStyle w:val="Normalindrykning"/>
              <w:spacing w:after="0"/>
              <w:ind w:left="0"/>
              <w:rPr>
                <w:szCs w:val="22"/>
              </w:rPr>
            </w:pPr>
            <w:r>
              <w:t>Hud og subkutane væv</w:t>
            </w:r>
          </w:p>
        </w:tc>
        <w:tc>
          <w:tcPr>
            <w:tcW w:w="4865" w:type="dxa"/>
            <w:tcBorders>
              <w:top w:val="single" w:sz="4" w:space="0" w:color="auto"/>
              <w:left w:val="single" w:sz="4" w:space="0" w:color="auto"/>
              <w:bottom w:val="single" w:sz="4" w:space="0" w:color="auto"/>
              <w:right w:val="single" w:sz="4" w:space="0" w:color="auto"/>
            </w:tcBorders>
            <w:hideMark/>
          </w:tcPr>
          <w:p w14:paraId="14D7D236" w14:textId="77777777" w:rsidR="009D3CC7" w:rsidRDefault="009D3CC7">
            <w:pPr>
              <w:pStyle w:val="Normalindrykning"/>
              <w:spacing w:after="0"/>
              <w:ind w:left="0"/>
              <w:rPr>
                <w:szCs w:val="22"/>
              </w:rPr>
            </w:pPr>
            <w:r>
              <w:t>Angioødem, urticaria, rødme, hududslæt, pruritus</w:t>
            </w:r>
          </w:p>
        </w:tc>
      </w:tr>
      <w:tr w:rsidR="009D3CC7" w14:paraId="64CD0735"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6B20F5A9" w14:textId="77777777" w:rsidR="009D3CC7" w:rsidRDefault="009D3CC7">
            <w:pPr>
              <w:pStyle w:val="Normalindrykning"/>
              <w:spacing w:after="0"/>
              <w:ind w:left="0"/>
              <w:rPr>
                <w:szCs w:val="22"/>
              </w:rPr>
            </w:pPr>
            <w:r>
              <w:t>Knogler, led, muskler og bindevæv</w:t>
            </w:r>
          </w:p>
        </w:tc>
        <w:tc>
          <w:tcPr>
            <w:tcW w:w="4865" w:type="dxa"/>
            <w:tcBorders>
              <w:top w:val="single" w:sz="4" w:space="0" w:color="auto"/>
              <w:left w:val="single" w:sz="4" w:space="0" w:color="auto"/>
              <w:bottom w:val="single" w:sz="4" w:space="0" w:color="auto"/>
              <w:right w:val="single" w:sz="4" w:space="0" w:color="auto"/>
            </w:tcBorders>
            <w:hideMark/>
          </w:tcPr>
          <w:p w14:paraId="6A7D5259" w14:textId="77777777" w:rsidR="009D3CC7" w:rsidRDefault="009D3CC7">
            <w:pPr>
              <w:pStyle w:val="Normalindrykning"/>
              <w:spacing w:after="0"/>
              <w:ind w:left="0"/>
              <w:rPr>
                <w:szCs w:val="22"/>
              </w:rPr>
            </w:pPr>
            <w:r>
              <w:t>Artropati, artralgi</w:t>
            </w:r>
          </w:p>
        </w:tc>
      </w:tr>
      <w:tr w:rsidR="009D3CC7" w14:paraId="71C301BD"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289A6528" w14:textId="77777777" w:rsidR="009D3CC7" w:rsidRDefault="009D3CC7">
            <w:pPr>
              <w:pStyle w:val="Normalindrykning"/>
              <w:spacing w:after="0"/>
              <w:ind w:left="0"/>
              <w:rPr>
                <w:szCs w:val="22"/>
              </w:rPr>
            </w:pPr>
            <w:r>
              <w:t>Almene symptomer og reaktioner på administrationsstedet</w:t>
            </w:r>
          </w:p>
        </w:tc>
        <w:tc>
          <w:tcPr>
            <w:tcW w:w="4865" w:type="dxa"/>
            <w:tcBorders>
              <w:top w:val="single" w:sz="4" w:space="0" w:color="auto"/>
              <w:left w:val="single" w:sz="4" w:space="0" w:color="auto"/>
              <w:bottom w:val="single" w:sz="4" w:space="0" w:color="auto"/>
              <w:right w:val="single" w:sz="4" w:space="0" w:color="auto"/>
            </w:tcBorders>
            <w:hideMark/>
          </w:tcPr>
          <w:p w14:paraId="46276E65" w14:textId="77777777" w:rsidR="009D3CC7" w:rsidRDefault="009D3CC7">
            <w:pPr>
              <w:pStyle w:val="Normalindrykning"/>
              <w:spacing w:after="0"/>
              <w:ind w:left="0"/>
              <w:rPr>
                <w:szCs w:val="22"/>
              </w:rPr>
            </w:pPr>
            <w:r>
              <w:t>Overfølsomhedsreaktioner, utilpashed, temperaturstigning, ekstravasation, reaktioner på injektionsstedet, ansigtsødem</w:t>
            </w:r>
          </w:p>
        </w:tc>
      </w:tr>
      <w:tr w:rsidR="009D3CC7" w14:paraId="74E23986" w14:textId="77777777" w:rsidTr="009D3CC7">
        <w:tc>
          <w:tcPr>
            <w:tcW w:w="2790" w:type="dxa"/>
            <w:tcBorders>
              <w:top w:val="single" w:sz="4" w:space="0" w:color="auto"/>
              <w:left w:val="single" w:sz="4" w:space="0" w:color="auto"/>
              <w:bottom w:val="single" w:sz="4" w:space="0" w:color="auto"/>
              <w:right w:val="single" w:sz="4" w:space="0" w:color="auto"/>
            </w:tcBorders>
            <w:hideMark/>
          </w:tcPr>
          <w:p w14:paraId="6126A2D3" w14:textId="77777777" w:rsidR="009D3CC7" w:rsidRDefault="009D3CC7">
            <w:pPr>
              <w:pStyle w:val="Normalindrykning"/>
              <w:spacing w:after="0"/>
              <w:ind w:left="0"/>
              <w:rPr>
                <w:szCs w:val="22"/>
              </w:rPr>
            </w:pPr>
            <w:r>
              <w:t>Undersøgelser</w:t>
            </w:r>
          </w:p>
        </w:tc>
        <w:tc>
          <w:tcPr>
            <w:tcW w:w="4865" w:type="dxa"/>
            <w:tcBorders>
              <w:top w:val="single" w:sz="4" w:space="0" w:color="auto"/>
              <w:left w:val="single" w:sz="4" w:space="0" w:color="auto"/>
              <w:bottom w:val="single" w:sz="4" w:space="0" w:color="auto"/>
              <w:right w:val="single" w:sz="4" w:space="0" w:color="auto"/>
            </w:tcBorders>
            <w:hideMark/>
          </w:tcPr>
          <w:p w14:paraId="22415989" w14:textId="77777777" w:rsidR="009D3CC7" w:rsidRDefault="009D3CC7">
            <w:pPr>
              <w:pStyle w:val="Normalindrykning"/>
              <w:spacing w:after="0"/>
              <w:ind w:left="0"/>
              <w:rPr>
                <w:szCs w:val="22"/>
              </w:rPr>
            </w:pPr>
            <w:r>
              <w:t>Fald i blodtryk</w:t>
            </w:r>
          </w:p>
          <w:p w14:paraId="4014B14A" w14:textId="77777777" w:rsidR="009D3CC7" w:rsidRDefault="009D3CC7">
            <w:pPr>
              <w:pStyle w:val="Normalindrykning"/>
              <w:spacing w:after="0"/>
              <w:ind w:left="0"/>
              <w:rPr>
                <w:szCs w:val="22"/>
              </w:rPr>
            </w:pPr>
            <w:r>
              <w:t>Forlænget protrombintid</w:t>
            </w:r>
          </w:p>
        </w:tc>
      </w:tr>
    </w:tbl>
    <w:p w14:paraId="25C5BB20" w14:textId="77777777" w:rsidR="009D3CC7" w:rsidRPr="009D3CC7" w:rsidRDefault="009D3CC7" w:rsidP="009D3CC7">
      <w:pPr>
        <w:pStyle w:val="Normalindrykning"/>
        <w:spacing w:after="0"/>
        <w:ind w:left="851"/>
        <w:rPr>
          <w:sz w:val="20"/>
        </w:rPr>
      </w:pPr>
      <w:r w:rsidRPr="009D3CC7">
        <w:rPr>
          <w:sz w:val="20"/>
        </w:rPr>
        <w:t>*Ikke kendt: kan ikke estimeres ud fra forhåndenværende data</w:t>
      </w:r>
    </w:p>
    <w:p w14:paraId="2DA86E67" w14:textId="77777777" w:rsidR="009D3CC7" w:rsidRPr="009D3CC7" w:rsidRDefault="009D3CC7" w:rsidP="009D3CC7">
      <w:pPr>
        <w:pStyle w:val="Normalindrykning"/>
        <w:spacing w:after="0"/>
        <w:ind w:left="851"/>
        <w:rPr>
          <w:sz w:val="20"/>
        </w:rPr>
      </w:pPr>
      <w:r w:rsidRPr="009D3CC7">
        <w:rPr>
          <w:sz w:val="20"/>
        </w:rPr>
        <w:t>Vasodilatation og rødme er “normale” farmakologiske virkninger af høje doser acetylcystein.</w:t>
      </w:r>
    </w:p>
    <w:p w14:paraId="31A02C9A" w14:textId="77777777" w:rsidR="009D3CC7" w:rsidRPr="009D3CC7" w:rsidRDefault="009D3CC7" w:rsidP="009D3CC7">
      <w:pPr>
        <w:pStyle w:val="Normalindrykning"/>
        <w:spacing w:after="0"/>
        <w:ind w:left="851"/>
        <w:rPr>
          <w:sz w:val="24"/>
          <w:szCs w:val="24"/>
          <w:lang w:eastAsia="zh-CN"/>
        </w:rPr>
      </w:pPr>
    </w:p>
    <w:p w14:paraId="68DBD8D9" w14:textId="77777777" w:rsidR="009D3CC7" w:rsidRPr="009D3CC7" w:rsidRDefault="009D3CC7" w:rsidP="009D3CC7">
      <w:pPr>
        <w:pStyle w:val="Normalindrykning"/>
        <w:spacing w:after="0"/>
        <w:ind w:left="851"/>
        <w:rPr>
          <w:sz w:val="24"/>
          <w:szCs w:val="24"/>
          <w:u w:val="single"/>
        </w:rPr>
      </w:pPr>
      <w:r w:rsidRPr="009D3CC7">
        <w:rPr>
          <w:sz w:val="24"/>
          <w:szCs w:val="24"/>
          <w:u w:val="single"/>
        </w:rPr>
        <w:t>Beskrivelse af udvalgte bivirkninger</w:t>
      </w:r>
    </w:p>
    <w:p w14:paraId="551AF2EB" w14:textId="77777777" w:rsidR="009D3CC7" w:rsidRPr="009D3CC7" w:rsidRDefault="009D3CC7" w:rsidP="009D3CC7">
      <w:pPr>
        <w:pStyle w:val="Normalindrykning"/>
        <w:spacing w:after="0"/>
        <w:ind w:left="851"/>
        <w:rPr>
          <w:sz w:val="24"/>
          <w:szCs w:val="24"/>
        </w:rPr>
      </w:pPr>
      <w:r w:rsidRPr="009D3CC7">
        <w:rPr>
          <w:sz w:val="24"/>
          <w:szCs w:val="24"/>
        </w:rPr>
        <w:t>Der er rapporteret flere alvorlige anafylaktiske reaktioner/overfølsomhedsreaktioner, hvor patienter udviklede angioødem, bronkospasme, takykardi og hypotension. Anvendelse af intravenøs acetylcystein som antidot til overdosis af paracetamol har i sjældne tilfælde resulteret i dødsfald.</w:t>
      </w:r>
    </w:p>
    <w:p w14:paraId="05E60567" w14:textId="77777777" w:rsidR="009D3CC7" w:rsidRPr="009D3CC7" w:rsidRDefault="009D3CC7" w:rsidP="009D3CC7">
      <w:pPr>
        <w:pStyle w:val="Normalindrykning"/>
        <w:spacing w:after="0"/>
        <w:ind w:left="851"/>
        <w:rPr>
          <w:sz w:val="24"/>
          <w:szCs w:val="24"/>
        </w:rPr>
      </w:pPr>
      <w:r w:rsidRPr="009D3CC7">
        <w:rPr>
          <w:sz w:val="24"/>
          <w:szCs w:val="24"/>
        </w:rPr>
        <w:t>Et fald i trombocytaggregationen i forbindelse med acetylcystein er bekræftet i forskellige studier. Den kliniske betydning af dette er endnu ikke klarlagt.</w:t>
      </w:r>
    </w:p>
    <w:p w14:paraId="646A06B3" w14:textId="77777777" w:rsidR="009D3CC7" w:rsidRPr="009D3CC7" w:rsidRDefault="009D3CC7" w:rsidP="009D3CC7">
      <w:pPr>
        <w:pStyle w:val="Normalindrykning"/>
        <w:spacing w:after="0"/>
        <w:ind w:left="851"/>
        <w:rPr>
          <w:sz w:val="24"/>
          <w:szCs w:val="24"/>
        </w:rPr>
      </w:pPr>
      <w:r w:rsidRPr="009D3CC7">
        <w:rPr>
          <w:sz w:val="24"/>
          <w:szCs w:val="24"/>
        </w:rPr>
        <w:t>Overfølsomhedsreaktioner som generaliseret erytematøst udslæt, kløe, kvalme, svimmelhed og svær staktåndethed med bronkospasme og takykardi er rapporteret i forbindelse med intravenøs anvendelse af acetylcystein som antidot ved paracetamolforgiftning.</w:t>
      </w:r>
    </w:p>
    <w:p w14:paraId="528FE967" w14:textId="77777777" w:rsidR="009D3CC7" w:rsidRPr="009D3CC7" w:rsidRDefault="009D3CC7" w:rsidP="009D3CC7">
      <w:pPr>
        <w:pStyle w:val="Normalindrykning"/>
        <w:spacing w:after="0"/>
        <w:ind w:left="851"/>
        <w:rPr>
          <w:sz w:val="24"/>
          <w:szCs w:val="24"/>
          <w:lang w:eastAsia="zh-CN"/>
        </w:rPr>
      </w:pPr>
    </w:p>
    <w:p w14:paraId="75F9EF3A" w14:textId="77777777" w:rsidR="009D3CC7" w:rsidRPr="009D3CC7" w:rsidRDefault="009D3CC7" w:rsidP="009D3CC7">
      <w:pPr>
        <w:pStyle w:val="Normalindrykning"/>
        <w:spacing w:after="0"/>
        <w:ind w:left="851"/>
        <w:rPr>
          <w:sz w:val="24"/>
          <w:szCs w:val="24"/>
          <w:u w:val="single"/>
        </w:rPr>
      </w:pPr>
      <w:r w:rsidRPr="009D3CC7">
        <w:rPr>
          <w:sz w:val="24"/>
          <w:szCs w:val="24"/>
          <w:u w:val="single"/>
        </w:rPr>
        <w:t>Indberetning af formodede bivirkninger</w:t>
      </w:r>
    </w:p>
    <w:p w14:paraId="22C8B95A" w14:textId="0CFC9CE7" w:rsidR="009D3CC7" w:rsidRDefault="009D3CC7" w:rsidP="009D3CC7">
      <w:pPr>
        <w:pStyle w:val="Normalindrykning"/>
        <w:spacing w:after="0"/>
        <w:ind w:left="851"/>
        <w:rPr>
          <w:szCs w:val="22"/>
          <w:lang w:eastAsia="zh-CN"/>
        </w:rPr>
      </w:pPr>
      <w:r w:rsidRPr="009D3CC7">
        <w:rPr>
          <w:sz w:val="24"/>
          <w:szCs w:val="24"/>
        </w:rPr>
        <w:t xml:space="preserve">Når lægemidlet er godkendt, er indberetning af formodede bivirkninger vigtig. Det muliggør løbende overvågning af benefit/risk-forholdet for lægemidlet. Sundhedspersoner </w:t>
      </w:r>
      <w:r w:rsidRPr="009D3CC7">
        <w:rPr>
          <w:sz w:val="24"/>
          <w:szCs w:val="24"/>
        </w:rPr>
        <w:lastRenderedPageBreak/>
        <w:t>anmodes om at indberette alle formodede bivirkninger via</w:t>
      </w:r>
      <w:r>
        <w:rPr>
          <w:sz w:val="24"/>
          <w:szCs w:val="24"/>
        </w:rPr>
        <w:t>:</w:t>
      </w:r>
      <w:r w:rsidRPr="009D3CC7">
        <w:rPr>
          <w:sz w:val="24"/>
          <w:szCs w:val="24"/>
        </w:rPr>
        <w:br/>
      </w:r>
      <w:r w:rsidRPr="009D3CC7">
        <w:rPr>
          <w:sz w:val="24"/>
          <w:szCs w:val="24"/>
        </w:rPr>
        <w:br/>
        <w:t>Lægemiddelstyrelsen</w:t>
      </w:r>
      <w:r w:rsidRPr="009D3CC7">
        <w:rPr>
          <w:sz w:val="24"/>
          <w:szCs w:val="24"/>
        </w:rPr>
        <w:br/>
        <w:t>Axel Heides Gade 1</w:t>
      </w:r>
      <w:r w:rsidRPr="009D3CC7">
        <w:rPr>
          <w:sz w:val="24"/>
          <w:szCs w:val="24"/>
        </w:rPr>
        <w:br/>
        <w:t>DK-2300 København S</w:t>
      </w:r>
      <w:r w:rsidRPr="009D3CC7">
        <w:rPr>
          <w:sz w:val="24"/>
          <w:szCs w:val="24"/>
        </w:rPr>
        <w:br/>
        <w:t>Websted: www.meldenbivirkning.dk</w:t>
      </w:r>
    </w:p>
    <w:p w14:paraId="16B2CD50" w14:textId="77777777" w:rsidR="009260DE" w:rsidRPr="00A10294" w:rsidRDefault="009260DE" w:rsidP="00A10294">
      <w:pPr>
        <w:tabs>
          <w:tab w:val="left" w:pos="851"/>
        </w:tabs>
        <w:ind w:left="851"/>
        <w:rPr>
          <w:sz w:val="24"/>
          <w:szCs w:val="24"/>
        </w:rPr>
      </w:pPr>
    </w:p>
    <w:p w14:paraId="647B3034"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99EA6E5" w14:textId="77777777" w:rsidR="007A3B23" w:rsidRDefault="007A3B23" w:rsidP="007A3B23">
      <w:pPr>
        <w:tabs>
          <w:tab w:val="left" w:pos="851"/>
        </w:tabs>
        <w:ind w:left="851"/>
        <w:rPr>
          <w:sz w:val="24"/>
          <w:szCs w:val="24"/>
          <w:u w:val="single"/>
        </w:rPr>
      </w:pPr>
    </w:p>
    <w:p w14:paraId="0BFB0BD8" w14:textId="6C59BC6E" w:rsidR="007A3B23" w:rsidRPr="007A3B23" w:rsidRDefault="007A3B23" w:rsidP="007A3B23">
      <w:pPr>
        <w:tabs>
          <w:tab w:val="left" w:pos="851"/>
        </w:tabs>
        <w:ind w:left="851"/>
        <w:rPr>
          <w:sz w:val="24"/>
          <w:szCs w:val="24"/>
          <w:u w:val="single"/>
        </w:rPr>
      </w:pPr>
      <w:r w:rsidRPr="007A3B23">
        <w:rPr>
          <w:sz w:val="24"/>
          <w:szCs w:val="24"/>
          <w:u w:val="single"/>
        </w:rPr>
        <w:t>Symptomer</w:t>
      </w:r>
    </w:p>
    <w:p w14:paraId="39022600" w14:textId="5003990F" w:rsidR="007A3B23" w:rsidRPr="007A3B23" w:rsidRDefault="007A3B23" w:rsidP="007A3B23">
      <w:pPr>
        <w:tabs>
          <w:tab w:val="left" w:pos="851"/>
        </w:tabs>
        <w:ind w:left="851"/>
        <w:rPr>
          <w:sz w:val="24"/>
          <w:szCs w:val="24"/>
        </w:rPr>
      </w:pPr>
      <w:r w:rsidRPr="007A3B23">
        <w:rPr>
          <w:sz w:val="24"/>
          <w:szCs w:val="24"/>
        </w:rPr>
        <w:t xml:space="preserve">Efter intravenøs administration af en overdosis kan der ud over kvalme, svimmelhed og opkastning forekomme virkninger, som ligner en </w:t>
      </w:r>
      <w:r w:rsidR="00714553">
        <w:rPr>
          <w:sz w:val="24"/>
          <w:szCs w:val="24"/>
        </w:rPr>
        <w:t>"</w:t>
      </w:r>
      <w:r w:rsidRPr="007A3B23">
        <w:rPr>
          <w:sz w:val="24"/>
          <w:szCs w:val="24"/>
        </w:rPr>
        <w:t>anfaylaktisk</w:t>
      </w:r>
      <w:r w:rsidR="00714553">
        <w:rPr>
          <w:sz w:val="24"/>
          <w:szCs w:val="24"/>
        </w:rPr>
        <w:t>"</w:t>
      </w:r>
      <w:r w:rsidRPr="007A3B23">
        <w:rPr>
          <w:sz w:val="24"/>
          <w:szCs w:val="24"/>
        </w:rPr>
        <w:t xml:space="preserve"> reaktion, f.eks. rhinoré, urticaria, angiødem, bronkospasme og hypotension, som anført i pkt. 4.8 Bivirkninger, men de kan være kraftigere.</w:t>
      </w:r>
    </w:p>
    <w:p w14:paraId="2278A13F" w14:textId="77777777" w:rsidR="007A3B23" w:rsidRPr="007A3B23" w:rsidRDefault="007A3B23" w:rsidP="007A3B23">
      <w:pPr>
        <w:tabs>
          <w:tab w:val="left" w:pos="851"/>
        </w:tabs>
        <w:ind w:left="851"/>
        <w:rPr>
          <w:sz w:val="24"/>
          <w:szCs w:val="24"/>
        </w:rPr>
      </w:pPr>
    </w:p>
    <w:p w14:paraId="08CEC029" w14:textId="77777777" w:rsidR="007A3B23" w:rsidRPr="007A3B23" w:rsidRDefault="007A3B23" w:rsidP="007A3B23">
      <w:pPr>
        <w:tabs>
          <w:tab w:val="left" w:pos="851"/>
        </w:tabs>
        <w:ind w:left="851"/>
        <w:rPr>
          <w:sz w:val="24"/>
          <w:szCs w:val="24"/>
          <w:u w:val="single"/>
        </w:rPr>
      </w:pPr>
      <w:r w:rsidRPr="007A3B23">
        <w:rPr>
          <w:sz w:val="24"/>
          <w:szCs w:val="24"/>
          <w:u w:val="single"/>
        </w:rPr>
        <w:t>Behandling</w:t>
      </w:r>
    </w:p>
    <w:p w14:paraId="7EAEA94D" w14:textId="77777777" w:rsidR="007A3B23" w:rsidRPr="007A3B23" w:rsidRDefault="007A3B23" w:rsidP="007A3B23">
      <w:pPr>
        <w:tabs>
          <w:tab w:val="left" w:pos="851"/>
        </w:tabs>
        <w:ind w:left="851"/>
        <w:rPr>
          <w:sz w:val="24"/>
          <w:szCs w:val="24"/>
        </w:rPr>
      </w:pPr>
      <w:r w:rsidRPr="007A3B23">
        <w:rPr>
          <w:sz w:val="24"/>
          <w:szCs w:val="24"/>
        </w:rPr>
        <w:t>Behandlingen af overdosering er baseret på ophør af administration af infusionen samt symptombehandling og genoplivning. Der er ingen specifik antidot; acetylcystein er dialyserbart.</w:t>
      </w:r>
    </w:p>
    <w:p w14:paraId="2EA3DC7F" w14:textId="77777777" w:rsidR="009260DE" w:rsidRPr="00C84483" w:rsidRDefault="009260DE" w:rsidP="009260DE">
      <w:pPr>
        <w:tabs>
          <w:tab w:val="left" w:pos="851"/>
        </w:tabs>
        <w:ind w:left="851"/>
        <w:rPr>
          <w:sz w:val="24"/>
          <w:szCs w:val="24"/>
        </w:rPr>
      </w:pPr>
    </w:p>
    <w:p w14:paraId="5F4EBD5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AC29E33" w14:textId="4DF58B5B" w:rsidR="009260DE" w:rsidRPr="00C84483" w:rsidRDefault="00714553" w:rsidP="009260DE">
      <w:pPr>
        <w:tabs>
          <w:tab w:val="left" w:pos="851"/>
        </w:tabs>
        <w:ind w:left="851"/>
        <w:rPr>
          <w:sz w:val="24"/>
          <w:szCs w:val="24"/>
        </w:rPr>
      </w:pPr>
      <w:r>
        <w:rPr>
          <w:sz w:val="24"/>
          <w:szCs w:val="24"/>
        </w:rPr>
        <w:t>B</w:t>
      </w:r>
    </w:p>
    <w:p w14:paraId="473C0470" w14:textId="77777777" w:rsidR="009260DE" w:rsidRPr="00C84483" w:rsidRDefault="009260DE" w:rsidP="009260DE">
      <w:pPr>
        <w:tabs>
          <w:tab w:val="left" w:pos="851"/>
        </w:tabs>
        <w:ind w:left="851"/>
        <w:rPr>
          <w:sz w:val="24"/>
          <w:szCs w:val="24"/>
        </w:rPr>
      </w:pPr>
    </w:p>
    <w:p w14:paraId="64830478" w14:textId="77777777" w:rsidR="009260DE" w:rsidRPr="00C84483" w:rsidRDefault="009260DE" w:rsidP="009260DE">
      <w:pPr>
        <w:tabs>
          <w:tab w:val="left" w:pos="851"/>
        </w:tabs>
        <w:ind w:left="851"/>
        <w:rPr>
          <w:sz w:val="24"/>
          <w:szCs w:val="24"/>
        </w:rPr>
      </w:pPr>
    </w:p>
    <w:p w14:paraId="114F49E3"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9D23839" w14:textId="77777777" w:rsidR="009260DE" w:rsidRPr="00C84483" w:rsidRDefault="009260DE" w:rsidP="009260DE">
      <w:pPr>
        <w:tabs>
          <w:tab w:val="left" w:pos="851"/>
        </w:tabs>
        <w:ind w:left="851"/>
        <w:rPr>
          <w:sz w:val="24"/>
          <w:szCs w:val="24"/>
        </w:rPr>
      </w:pPr>
    </w:p>
    <w:p w14:paraId="00C3A360"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F3F57FC" w14:textId="537B72BA" w:rsidR="00913552" w:rsidRDefault="00913552" w:rsidP="00913552">
      <w:pPr>
        <w:tabs>
          <w:tab w:val="left" w:pos="851"/>
        </w:tabs>
        <w:ind w:left="851"/>
        <w:rPr>
          <w:sz w:val="24"/>
          <w:szCs w:val="24"/>
        </w:rPr>
      </w:pPr>
      <w:r w:rsidRPr="00913552">
        <w:rPr>
          <w:sz w:val="24"/>
          <w:szCs w:val="24"/>
        </w:rPr>
        <w:t>Farmakoterapeutisk klassifikation: Antidoter, ATC-kode: V03AB23</w:t>
      </w:r>
      <w:r>
        <w:rPr>
          <w:sz w:val="24"/>
          <w:szCs w:val="24"/>
        </w:rPr>
        <w:t>.</w:t>
      </w:r>
    </w:p>
    <w:p w14:paraId="41ED2AAD" w14:textId="77777777" w:rsidR="00913552" w:rsidRPr="00913552" w:rsidRDefault="00913552" w:rsidP="00913552">
      <w:pPr>
        <w:tabs>
          <w:tab w:val="left" w:pos="851"/>
        </w:tabs>
        <w:ind w:left="851"/>
        <w:rPr>
          <w:sz w:val="24"/>
          <w:szCs w:val="24"/>
        </w:rPr>
      </w:pPr>
    </w:p>
    <w:p w14:paraId="5C1F1B8A" w14:textId="77777777" w:rsidR="00913552" w:rsidRPr="00913552" w:rsidRDefault="00913552" w:rsidP="00913552">
      <w:pPr>
        <w:tabs>
          <w:tab w:val="left" w:pos="851"/>
        </w:tabs>
        <w:ind w:left="851"/>
        <w:rPr>
          <w:sz w:val="24"/>
          <w:szCs w:val="24"/>
        </w:rPr>
      </w:pPr>
      <w:r w:rsidRPr="00913552">
        <w:rPr>
          <w:sz w:val="24"/>
          <w:szCs w:val="24"/>
        </w:rPr>
        <w:t>Acetylcystein er en antidot.</w:t>
      </w:r>
    </w:p>
    <w:p w14:paraId="3070516E" w14:textId="77777777" w:rsidR="00913552" w:rsidRPr="00913552" w:rsidRDefault="00913552" w:rsidP="00913552">
      <w:pPr>
        <w:tabs>
          <w:tab w:val="left" w:pos="851"/>
        </w:tabs>
        <w:ind w:left="851"/>
        <w:rPr>
          <w:sz w:val="24"/>
          <w:szCs w:val="24"/>
        </w:rPr>
      </w:pPr>
      <w:r w:rsidRPr="00913552">
        <w:rPr>
          <w:sz w:val="24"/>
          <w:szCs w:val="24"/>
        </w:rPr>
        <w:t>Acetylcystein reducerer levertoksiciteten af NAPQI (N-acetyl-p-benzoquinon-imin), den meget reaktive intermediære metabolit, efter indtagelse af høj dosis paracetamol med følgende mekanismer:</w:t>
      </w:r>
    </w:p>
    <w:p w14:paraId="2EAB0F78" w14:textId="77777777" w:rsidR="00913552" w:rsidRPr="00913552" w:rsidRDefault="00913552" w:rsidP="00913552">
      <w:pPr>
        <w:numPr>
          <w:ilvl w:val="0"/>
          <w:numId w:val="6"/>
        </w:numPr>
        <w:tabs>
          <w:tab w:val="left" w:pos="851"/>
        </w:tabs>
        <w:ind w:left="1134" w:hanging="283"/>
        <w:rPr>
          <w:sz w:val="24"/>
          <w:szCs w:val="24"/>
        </w:rPr>
      </w:pPr>
      <w:r w:rsidRPr="00913552">
        <w:rPr>
          <w:sz w:val="24"/>
          <w:szCs w:val="24"/>
        </w:rPr>
        <w:t>Acetylcystein er en prækursor i syntesen af glutathion og opretholder derfor glutathionniveauet i cellerne på et niveau, som er tilstrækkeligt til at inaktivere NAPQI. Det antages, at dette er den vigtigste mekanisme, hvilket betyder, at acetylcystein virker i de tidlige stadier af paracetamolforgiftning med en gavnlig virkning hos patienter, der behandles inden for 8</w:t>
      </w:r>
      <w:r w:rsidRPr="00913552">
        <w:rPr>
          <w:sz w:val="24"/>
          <w:szCs w:val="24"/>
        </w:rPr>
        <w:noBreakHyphen/>
        <w:t>10 timer efter overdosen.</w:t>
      </w:r>
    </w:p>
    <w:p w14:paraId="737D4775" w14:textId="77777777" w:rsidR="00913552" w:rsidRPr="00913552" w:rsidRDefault="00913552" w:rsidP="00913552">
      <w:pPr>
        <w:numPr>
          <w:ilvl w:val="0"/>
          <w:numId w:val="6"/>
        </w:numPr>
        <w:tabs>
          <w:tab w:val="left" w:pos="851"/>
        </w:tabs>
        <w:ind w:left="1134" w:hanging="283"/>
        <w:rPr>
          <w:sz w:val="24"/>
          <w:szCs w:val="24"/>
        </w:rPr>
      </w:pPr>
      <w:r w:rsidRPr="00913552">
        <w:rPr>
          <w:sz w:val="24"/>
          <w:szCs w:val="24"/>
        </w:rPr>
        <w:t>Hvis acetylcysteinbehandlingen iværksættes mere end 8</w:t>
      </w:r>
      <w:r w:rsidRPr="00913552">
        <w:rPr>
          <w:sz w:val="24"/>
          <w:szCs w:val="24"/>
        </w:rPr>
        <w:noBreakHyphen/>
        <w:t xml:space="preserve">10 timer efter paracetamoloverdosen, mindskes virkningen progressivt ved tilstedeværelse af hepatotoksicitet (baseret på serumindikatorer), afhængigt af intervallet mellem overdosen og behandlingsstart. </w:t>
      </w:r>
    </w:p>
    <w:p w14:paraId="282B3DAE" w14:textId="77777777" w:rsidR="00913552" w:rsidRPr="00913552" w:rsidRDefault="00913552" w:rsidP="00913552">
      <w:pPr>
        <w:numPr>
          <w:ilvl w:val="0"/>
          <w:numId w:val="6"/>
        </w:numPr>
        <w:tabs>
          <w:tab w:val="left" w:pos="851"/>
        </w:tabs>
        <w:ind w:left="1134" w:hanging="283"/>
        <w:rPr>
          <w:sz w:val="24"/>
          <w:szCs w:val="24"/>
        </w:rPr>
      </w:pPr>
      <w:r w:rsidRPr="00913552">
        <w:rPr>
          <w:sz w:val="24"/>
          <w:szCs w:val="24"/>
        </w:rPr>
        <w:t>Acetylcystein er stadig virksomt, hvis det anvendes inden for 12 timer efter indtagelse af paracetamol, når det meste af analgetikummet er omdannet til sin reaktive metabolit. Acetylcystein menes at virke på dette stadie ved at reducere oxiderede thiolgrupper i nøgleenzymer.</w:t>
      </w:r>
    </w:p>
    <w:p w14:paraId="1DE9FE86" w14:textId="77777777" w:rsidR="00913552" w:rsidRPr="00913552" w:rsidRDefault="00913552" w:rsidP="00913552">
      <w:pPr>
        <w:tabs>
          <w:tab w:val="left" w:pos="851"/>
        </w:tabs>
        <w:ind w:left="851"/>
        <w:rPr>
          <w:sz w:val="24"/>
          <w:szCs w:val="24"/>
        </w:rPr>
      </w:pPr>
    </w:p>
    <w:p w14:paraId="34D62B01" w14:textId="77777777" w:rsidR="00913552" w:rsidRPr="00913552" w:rsidRDefault="00913552" w:rsidP="00913552">
      <w:pPr>
        <w:tabs>
          <w:tab w:val="left" w:pos="851"/>
        </w:tabs>
        <w:ind w:left="851"/>
        <w:rPr>
          <w:sz w:val="24"/>
          <w:szCs w:val="24"/>
        </w:rPr>
      </w:pPr>
      <w:r w:rsidRPr="00913552">
        <w:rPr>
          <w:sz w:val="24"/>
          <w:szCs w:val="24"/>
        </w:rPr>
        <w:t xml:space="preserve">Der er nu evidens for, at acetylcystein stadig har en gavnlig virkning, hvis det gives inden for 24 timer efter en overdosis. På dette fremskredne stadie af paracetamols hepatotoksicitet ligger acetylcysteins gavnlige virkning i at forbedre systematisk </w:t>
      </w:r>
      <w:r w:rsidRPr="00913552">
        <w:rPr>
          <w:sz w:val="24"/>
          <w:szCs w:val="24"/>
        </w:rPr>
        <w:lastRenderedPageBreak/>
        <w:t>hæmodynamik og oxygentransport, men den underliggende mekanisme for, hvordan det sker, er endnu ikke klarlagt.</w:t>
      </w:r>
    </w:p>
    <w:p w14:paraId="1DBFF789" w14:textId="77777777" w:rsidR="009260DE" w:rsidRPr="00C84483" w:rsidRDefault="009260DE" w:rsidP="009260DE">
      <w:pPr>
        <w:tabs>
          <w:tab w:val="left" w:pos="851"/>
        </w:tabs>
        <w:ind w:left="851"/>
        <w:rPr>
          <w:sz w:val="24"/>
          <w:szCs w:val="24"/>
        </w:rPr>
      </w:pPr>
    </w:p>
    <w:p w14:paraId="688811D1"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CFB735D" w14:textId="77777777" w:rsidR="00913552" w:rsidRPr="00913552" w:rsidRDefault="00913552" w:rsidP="00913552">
      <w:pPr>
        <w:tabs>
          <w:tab w:val="left" w:pos="851"/>
        </w:tabs>
        <w:ind w:left="851"/>
        <w:rPr>
          <w:sz w:val="24"/>
          <w:szCs w:val="24"/>
        </w:rPr>
      </w:pPr>
    </w:p>
    <w:p w14:paraId="758574BF" w14:textId="77777777" w:rsidR="00913552" w:rsidRPr="00913552" w:rsidRDefault="00913552" w:rsidP="00913552">
      <w:pPr>
        <w:tabs>
          <w:tab w:val="left" w:pos="851"/>
        </w:tabs>
        <w:ind w:left="851"/>
        <w:rPr>
          <w:sz w:val="24"/>
          <w:szCs w:val="24"/>
          <w:u w:val="single"/>
        </w:rPr>
      </w:pPr>
      <w:r w:rsidRPr="00913552">
        <w:rPr>
          <w:sz w:val="24"/>
          <w:szCs w:val="24"/>
          <w:u w:val="single"/>
        </w:rPr>
        <w:t>Fordeling</w:t>
      </w:r>
    </w:p>
    <w:p w14:paraId="1BDCCBE9" w14:textId="77777777" w:rsidR="00913552" w:rsidRPr="00913552" w:rsidRDefault="00913552" w:rsidP="00913552">
      <w:pPr>
        <w:tabs>
          <w:tab w:val="left" w:pos="851"/>
        </w:tabs>
        <w:ind w:left="851"/>
        <w:rPr>
          <w:sz w:val="24"/>
          <w:szCs w:val="24"/>
        </w:rPr>
      </w:pPr>
      <w:r w:rsidRPr="00913552">
        <w:rPr>
          <w:sz w:val="24"/>
          <w:szCs w:val="24"/>
        </w:rPr>
        <w:t>Acetylcystein fordeles i umetaboliseret form (20 %) og i metaboliseret (aktiv) form (80 %) og findes hovedsageligt i lever, nyrer, lunger og bronkiesekret. Acetylcysteins fordelingsvolumen varierer fra 0,33 til 0,47 l/kg. Cirka 50 % er proteinbundet efter fire timer, og dette falder til 20 % efter 12 timer.</w:t>
      </w:r>
    </w:p>
    <w:p w14:paraId="00875B54" w14:textId="77777777" w:rsidR="00913552" w:rsidRPr="00913552" w:rsidRDefault="00913552" w:rsidP="00913552">
      <w:pPr>
        <w:tabs>
          <w:tab w:val="left" w:pos="851"/>
        </w:tabs>
        <w:ind w:left="851"/>
        <w:rPr>
          <w:sz w:val="24"/>
          <w:szCs w:val="24"/>
        </w:rPr>
      </w:pPr>
      <w:r w:rsidRPr="00913552">
        <w:rPr>
          <w:sz w:val="24"/>
          <w:szCs w:val="24"/>
        </w:rPr>
        <w:t>Der foreligger ingen oplysninger om, hvorvidt acetylcystein kan krydse blod-hjerne-barrieren, eller om det udskilles i modermælken hos mennesker. Acetylcystein krydser placentabarrieren.</w:t>
      </w:r>
    </w:p>
    <w:p w14:paraId="63C74309" w14:textId="77777777" w:rsidR="00913552" w:rsidRPr="00913552" w:rsidRDefault="00913552" w:rsidP="00913552">
      <w:pPr>
        <w:tabs>
          <w:tab w:val="left" w:pos="851"/>
        </w:tabs>
        <w:ind w:left="851"/>
        <w:rPr>
          <w:sz w:val="24"/>
          <w:szCs w:val="24"/>
        </w:rPr>
      </w:pPr>
    </w:p>
    <w:p w14:paraId="6E639FD6" w14:textId="77777777" w:rsidR="00913552" w:rsidRPr="00913552" w:rsidRDefault="00913552" w:rsidP="00913552">
      <w:pPr>
        <w:tabs>
          <w:tab w:val="left" w:pos="851"/>
        </w:tabs>
        <w:ind w:left="851"/>
        <w:rPr>
          <w:sz w:val="24"/>
          <w:szCs w:val="24"/>
          <w:u w:val="single"/>
        </w:rPr>
      </w:pPr>
      <w:r w:rsidRPr="00913552">
        <w:rPr>
          <w:sz w:val="24"/>
          <w:szCs w:val="24"/>
          <w:u w:val="single"/>
        </w:rPr>
        <w:t>Biotransformation</w:t>
      </w:r>
    </w:p>
    <w:p w14:paraId="7EF7CBCD" w14:textId="77777777" w:rsidR="00913552" w:rsidRPr="00913552" w:rsidRDefault="00913552" w:rsidP="00913552">
      <w:pPr>
        <w:tabs>
          <w:tab w:val="left" w:pos="851"/>
        </w:tabs>
        <w:ind w:left="851"/>
        <w:rPr>
          <w:sz w:val="24"/>
          <w:szCs w:val="24"/>
        </w:rPr>
      </w:pPr>
      <w:r w:rsidRPr="00913552">
        <w:rPr>
          <w:sz w:val="24"/>
          <w:szCs w:val="24"/>
        </w:rPr>
        <w:t>Efter oral anvendelse gennemgår acetylcystein en hurtig og omfattende metabolisering i tarmvæggen og leveren. De resulterende elementer er: cystein, den aktive hovedmetabolit, og diacetylcystin, en inaktiv metabolit. Efter denne transformationsfase deler acetylcystein og cystein den samme metaboliske vej.</w:t>
      </w:r>
    </w:p>
    <w:p w14:paraId="03526971" w14:textId="77777777" w:rsidR="00913552" w:rsidRPr="00913552" w:rsidRDefault="00913552" w:rsidP="00913552">
      <w:pPr>
        <w:tabs>
          <w:tab w:val="left" w:pos="851"/>
        </w:tabs>
        <w:ind w:left="851"/>
        <w:rPr>
          <w:sz w:val="24"/>
          <w:szCs w:val="24"/>
        </w:rPr>
      </w:pPr>
    </w:p>
    <w:p w14:paraId="0BA3D22B" w14:textId="77777777" w:rsidR="00913552" w:rsidRPr="00913552" w:rsidRDefault="00913552" w:rsidP="00913552">
      <w:pPr>
        <w:tabs>
          <w:tab w:val="left" w:pos="851"/>
        </w:tabs>
        <w:ind w:left="851"/>
        <w:rPr>
          <w:sz w:val="24"/>
          <w:szCs w:val="24"/>
          <w:u w:val="single"/>
        </w:rPr>
      </w:pPr>
      <w:r w:rsidRPr="00913552">
        <w:rPr>
          <w:sz w:val="24"/>
          <w:szCs w:val="24"/>
          <w:u w:val="single"/>
        </w:rPr>
        <w:t>Elimination</w:t>
      </w:r>
    </w:p>
    <w:p w14:paraId="26C2855B" w14:textId="77777777" w:rsidR="00913552" w:rsidRPr="00913552" w:rsidRDefault="00913552" w:rsidP="00913552">
      <w:pPr>
        <w:tabs>
          <w:tab w:val="left" w:pos="851"/>
        </w:tabs>
        <w:ind w:left="851"/>
        <w:rPr>
          <w:sz w:val="24"/>
          <w:szCs w:val="24"/>
        </w:rPr>
      </w:pPr>
      <w:r w:rsidRPr="00913552">
        <w:rPr>
          <w:sz w:val="24"/>
          <w:szCs w:val="24"/>
        </w:rPr>
        <w:t>Efter en enkelt intravenøs dosis af acetylcystein, udviser plasmaniveauerne af total acetylcystein et poly-eksponentielt fald med en halveringstid (T</w:t>
      </w:r>
      <w:r w:rsidRPr="00913552">
        <w:rPr>
          <w:sz w:val="24"/>
          <w:szCs w:val="24"/>
          <w:vertAlign w:val="subscript"/>
        </w:rPr>
        <w:t>½</w:t>
      </w:r>
      <w:r w:rsidRPr="00913552">
        <w:rPr>
          <w:sz w:val="24"/>
          <w:szCs w:val="24"/>
        </w:rPr>
        <w:t>) på 5,6 timer. Den renale clearance er fastlagt til 0,11 l/t/kg og kan være ca. 30 % af den samlede kropsclearance.</w:t>
      </w:r>
    </w:p>
    <w:p w14:paraId="0F82B457" w14:textId="77777777" w:rsidR="00913552" w:rsidRPr="00913552" w:rsidRDefault="00913552" w:rsidP="00913552">
      <w:pPr>
        <w:tabs>
          <w:tab w:val="left" w:pos="851"/>
        </w:tabs>
        <w:ind w:left="851"/>
        <w:rPr>
          <w:sz w:val="24"/>
          <w:szCs w:val="24"/>
        </w:rPr>
      </w:pPr>
    </w:p>
    <w:p w14:paraId="244D325B" w14:textId="77777777" w:rsidR="00913552" w:rsidRPr="00913552" w:rsidRDefault="00913552" w:rsidP="00913552">
      <w:pPr>
        <w:tabs>
          <w:tab w:val="left" w:pos="851"/>
        </w:tabs>
        <w:ind w:left="851"/>
        <w:rPr>
          <w:sz w:val="24"/>
          <w:szCs w:val="24"/>
        </w:rPr>
      </w:pPr>
      <w:r w:rsidRPr="00913552">
        <w:rPr>
          <w:sz w:val="24"/>
          <w:szCs w:val="24"/>
          <w:u w:val="single"/>
        </w:rPr>
        <w:t>Linearitet/non-linearitet</w:t>
      </w:r>
    </w:p>
    <w:p w14:paraId="4091867E" w14:textId="77777777" w:rsidR="00913552" w:rsidRPr="00913552" w:rsidRDefault="00913552" w:rsidP="00913552">
      <w:pPr>
        <w:tabs>
          <w:tab w:val="left" w:pos="851"/>
        </w:tabs>
        <w:ind w:left="851"/>
        <w:rPr>
          <w:sz w:val="24"/>
          <w:szCs w:val="24"/>
        </w:rPr>
      </w:pPr>
      <w:r w:rsidRPr="00913552">
        <w:rPr>
          <w:sz w:val="24"/>
          <w:szCs w:val="24"/>
        </w:rPr>
        <w:t>Acetylcysteins farmakokinetik er proportional med den administrerede dosis i dosisintervallet 200 til 3.200 mg/m</w:t>
      </w:r>
      <w:r w:rsidRPr="00913552">
        <w:rPr>
          <w:sz w:val="24"/>
          <w:szCs w:val="24"/>
          <w:vertAlign w:val="superscript"/>
        </w:rPr>
        <w:t>2</w:t>
      </w:r>
      <w:r w:rsidRPr="00913552">
        <w:rPr>
          <w:sz w:val="24"/>
          <w:szCs w:val="24"/>
        </w:rPr>
        <w:t xml:space="preserve"> for AUC og C</w:t>
      </w:r>
      <w:r w:rsidRPr="00913552">
        <w:rPr>
          <w:sz w:val="24"/>
          <w:szCs w:val="24"/>
          <w:vertAlign w:val="subscript"/>
        </w:rPr>
        <w:t>max</w:t>
      </w:r>
      <w:r w:rsidRPr="00913552">
        <w:rPr>
          <w:sz w:val="24"/>
          <w:szCs w:val="24"/>
        </w:rPr>
        <w:t>.</w:t>
      </w:r>
    </w:p>
    <w:p w14:paraId="29E15F29" w14:textId="77777777" w:rsidR="00913552" w:rsidRPr="00913552" w:rsidRDefault="00913552" w:rsidP="00913552">
      <w:pPr>
        <w:tabs>
          <w:tab w:val="left" w:pos="851"/>
        </w:tabs>
        <w:ind w:left="851"/>
        <w:rPr>
          <w:sz w:val="24"/>
          <w:szCs w:val="24"/>
        </w:rPr>
      </w:pPr>
    </w:p>
    <w:p w14:paraId="460C7FB6" w14:textId="5C5BC9A9" w:rsidR="00913552" w:rsidRPr="00913552" w:rsidRDefault="00913552" w:rsidP="00913552">
      <w:pPr>
        <w:tabs>
          <w:tab w:val="left" w:pos="851"/>
        </w:tabs>
        <w:ind w:left="851"/>
        <w:rPr>
          <w:sz w:val="24"/>
          <w:szCs w:val="24"/>
          <w:u w:val="single"/>
        </w:rPr>
      </w:pPr>
      <w:r w:rsidRPr="00913552">
        <w:rPr>
          <w:sz w:val="24"/>
          <w:szCs w:val="24"/>
          <w:u w:val="single"/>
        </w:rPr>
        <w:t>Særlige populationer</w:t>
      </w:r>
    </w:p>
    <w:p w14:paraId="688C3E75" w14:textId="77777777" w:rsidR="00913552" w:rsidRPr="00913552" w:rsidRDefault="00913552" w:rsidP="00913552">
      <w:pPr>
        <w:tabs>
          <w:tab w:val="left" w:pos="851"/>
        </w:tabs>
        <w:ind w:left="851"/>
        <w:rPr>
          <w:sz w:val="24"/>
          <w:szCs w:val="24"/>
        </w:rPr>
      </w:pPr>
    </w:p>
    <w:p w14:paraId="67450A6F" w14:textId="77777777" w:rsidR="00913552" w:rsidRPr="00913552" w:rsidRDefault="00913552" w:rsidP="00913552">
      <w:pPr>
        <w:tabs>
          <w:tab w:val="left" w:pos="851"/>
        </w:tabs>
        <w:ind w:left="851"/>
        <w:rPr>
          <w:i/>
          <w:sz w:val="24"/>
          <w:szCs w:val="24"/>
        </w:rPr>
      </w:pPr>
      <w:r w:rsidRPr="00913552">
        <w:rPr>
          <w:i/>
          <w:sz w:val="24"/>
          <w:szCs w:val="24"/>
        </w:rPr>
        <w:t>Nedsat leverfunktion</w:t>
      </w:r>
    </w:p>
    <w:p w14:paraId="5EAE2ECC" w14:textId="77777777" w:rsidR="00913552" w:rsidRPr="00913552" w:rsidRDefault="00913552" w:rsidP="00913552">
      <w:pPr>
        <w:tabs>
          <w:tab w:val="left" w:pos="851"/>
        </w:tabs>
        <w:ind w:left="851"/>
        <w:rPr>
          <w:sz w:val="24"/>
          <w:szCs w:val="24"/>
        </w:rPr>
      </w:pPr>
      <w:r w:rsidRPr="00913552">
        <w:rPr>
          <w:sz w:val="24"/>
          <w:szCs w:val="24"/>
        </w:rPr>
        <w:t>Hos patienter med svært nedsat leverfunktion som følge af alkoholcirrose (Child-Pugh-score på 7</w:t>
      </w:r>
      <w:r w:rsidRPr="00913552">
        <w:rPr>
          <w:sz w:val="24"/>
          <w:szCs w:val="24"/>
        </w:rPr>
        <w:noBreakHyphen/>
        <w:t>13) eller moderat nedsat leverfunktion som følge af primær eller sekundær biliær cirrose (Child-Pugh-score 5</w:t>
      </w:r>
      <w:r w:rsidRPr="00913552">
        <w:rPr>
          <w:sz w:val="24"/>
          <w:szCs w:val="24"/>
        </w:rPr>
        <w:noBreakHyphen/>
        <w:t>7), steg T</w:t>
      </w:r>
      <w:r w:rsidRPr="00913552">
        <w:rPr>
          <w:sz w:val="24"/>
          <w:szCs w:val="24"/>
          <w:vertAlign w:val="subscript"/>
        </w:rPr>
        <w:t>½</w:t>
      </w:r>
      <w:r w:rsidRPr="00913552">
        <w:rPr>
          <w:sz w:val="24"/>
          <w:szCs w:val="24"/>
        </w:rPr>
        <w:t xml:space="preserve"> med 80 %, mens eliminationshastigheden faldt med 30 % i forhold til kontrolgruppen.</w:t>
      </w:r>
    </w:p>
    <w:p w14:paraId="5B462638" w14:textId="77777777" w:rsidR="00913552" w:rsidRPr="00913552" w:rsidRDefault="00913552" w:rsidP="00913552">
      <w:pPr>
        <w:tabs>
          <w:tab w:val="left" w:pos="851"/>
        </w:tabs>
        <w:ind w:left="851"/>
        <w:rPr>
          <w:sz w:val="24"/>
          <w:szCs w:val="24"/>
          <w:u w:val="single"/>
        </w:rPr>
      </w:pPr>
    </w:p>
    <w:p w14:paraId="2D351194" w14:textId="77777777" w:rsidR="00913552" w:rsidRPr="00913552" w:rsidRDefault="00913552" w:rsidP="00913552">
      <w:pPr>
        <w:tabs>
          <w:tab w:val="left" w:pos="851"/>
        </w:tabs>
        <w:ind w:left="851"/>
        <w:rPr>
          <w:i/>
          <w:sz w:val="24"/>
          <w:szCs w:val="24"/>
        </w:rPr>
      </w:pPr>
      <w:r w:rsidRPr="00913552">
        <w:rPr>
          <w:i/>
          <w:sz w:val="24"/>
          <w:szCs w:val="24"/>
        </w:rPr>
        <w:t>Nedsat nyrefunktion</w:t>
      </w:r>
    </w:p>
    <w:p w14:paraId="67F02F6F" w14:textId="77777777" w:rsidR="00913552" w:rsidRPr="00913552" w:rsidRDefault="00913552" w:rsidP="00913552">
      <w:pPr>
        <w:tabs>
          <w:tab w:val="left" w:pos="851"/>
        </w:tabs>
        <w:ind w:left="851"/>
        <w:rPr>
          <w:sz w:val="24"/>
          <w:szCs w:val="24"/>
        </w:rPr>
      </w:pPr>
      <w:r w:rsidRPr="00913552">
        <w:rPr>
          <w:sz w:val="24"/>
          <w:szCs w:val="24"/>
        </w:rPr>
        <w:t>Der foreligger ingen kendte farmakokinetiske data hos patienter med nedsat nyrefunktion.</w:t>
      </w:r>
    </w:p>
    <w:p w14:paraId="045898E8" w14:textId="77777777" w:rsidR="00913552" w:rsidRPr="00913552" w:rsidRDefault="00913552" w:rsidP="00913552">
      <w:pPr>
        <w:tabs>
          <w:tab w:val="left" w:pos="851"/>
        </w:tabs>
        <w:ind w:left="851"/>
        <w:rPr>
          <w:sz w:val="24"/>
          <w:szCs w:val="24"/>
        </w:rPr>
      </w:pPr>
    </w:p>
    <w:p w14:paraId="55EEBF1E" w14:textId="77777777" w:rsidR="00913552" w:rsidRPr="00913552" w:rsidRDefault="00913552" w:rsidP="00913552">
      <w:pPr>
        <w:tabs>
          <w:tab w:val="left" w:pos="851"/>
        </w:tabs>
        <w:ind w:left="851"/>
        <w:rPr>
          <w:i/>
          <w:sz w:val="24"/>
          <w:szCs w:val="24"/>
        </w:rPr>
      </w:pPr>
      <w:r w:rsidRPr="00913552">
        <w:rPr>
          <w:i/>
          <w:sz w:val="24"/>
          <w:szCs w:val="24"/>
        </w:rPr>
        <w:t>Pædiatriske patienter</w:t>
      </w:r>
    </w:p>
    <w:p w14:paraId="4326BCA3" w14:textId="77777777" w:rsidR="00913552" w:rsidRPr="00913552" w:rsidRDefault="00913552" w:rsidP="00913552">
      <w:pPr>
        <w:tabs>
          <w:tab w:val="left" w:pos="851"/>
        </w:tabs>
        <w:ind w:left="851"/>
        <w:rPr>
          <w:sz w:val="24"/>
          <w:szCs w:val="24"/>
        </w:rPr>
      </w:pPr>
      <w:r w:rsidRPr="00913552">
        <w:rPr>
          <w:sz w:val="24"/>
          <w:szCs w:val="24"/>
        </w:rPr>
        <w:t>Acetylcysteins gennemsnitlige halveringstid er længere hos nyfødte (11 timer) end hos voksne (5,6 timer). Der foreligger ingen oplysninger for andre aldersgrupper.</w:t>
      </w:r>
    </w:p>
    <w:p w14:paraId="401F91C8" w14:textId="77777777" w:rsidR="00913552" w:rsidRPr="00913552" w:rsidRDefault="00913552" w:rsidP="00913552">
      <w:pPr>
        <w:tabs>
          <w:tab w:val="left" w:pos="851"/>
        </w:tabs>
        <w:ind w:left="851"/>
        <w:rPr>
          <w:sz w:val="24"/>
          <w:szCs w:val="24"/>
        </w:rPr>
      </w:pPr>
    </w:p>
    <w:p w14:paraId="40D68D73"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BA08A65" w14:textId="77777777" w:rsidR="00913552" w:rsidRPr="00913552" w:rsidRDefault="00913552" w:rsidP="00913552">
      <w:pPr>
        <w:tabs>
          <w:tab w:val="left" w:pos="851"/>
        </w:tabs>
        <w:ind w:left="851"/>
        <w:rPr>
          <w:sz w:val="24"/>
          <w:szCs w:val="24"/>
        </w:rPr>
      </w:pPr>
      <w:r w:rsidRPr="00913552">
        <w:rPr>
          <w:sz w:val="24"/>
          <w:szCs w:val="24"/>
        </w:rPr>
        <w:t>Non-kliniske data viser ingen speciel risiko for mennesker vurderet ud fra konventionelle studier af sikkerhedsfarmakologi, toksicitet efter gentagne doser, genotoksicitet, karcinogent potentiale samt reproduktions- og udviklingstoksicitet.</w:t>
      </w:r>
    </w:p>
    <w:p w14:paraId="6CE35EE6" w14:textId="77777777" w:rsidR="009260DE" w:rsidRPr="00C84483" w:rsidRDefault="009260DE" w:rsidP="009260DE">
      <w:pPr>
        <w:tabs>
          <w:tab w:val="left" w:pos="851"/>
        </w:tabs>
        <w:ind w:left="851"/>
        <w:rPr>
          <w:sz w:val="24"/>
          <w:szCs w:val="24"/>
        </w:rPr>
      </w:pPr>
    </w:p>
    <w:p w14:paraId="69BC7D3D" w14:textId="587CBAC2" w:rsidR="00913552" w:rsidRDefault="00913552">
      <w:pPr>
        <w:rPr>
          <w:sz w:val="24"/>
          <w:szCs w:val="24"/>
        </w:rPr>
      </w:pPr>
      <w:r>
        <w:rPr>
          <w:sz w:val="24"/>
          <w:szCs w:val="24"/>
        </w:rPr>
        <w:br w:type="page"/>
      </w:r>
    </w:p>
    <w:p w14:paraId="44158D14" w14:textId="77777777" w:rsidR="009260DE" w:rsidRPr="00C84483" w:rsidRDefault="009260DE" w:rsidP="009260DE">
      <w:pPr>
        <w:tabs>
          <w:tab w:val="left" w:pos="851"/>
        </w:tabs>
        <w:ind w:left="851"/>
        <w:rPr>
          <w:sz w:val="24"/>
          <w:szCs w:val="24"/>
        </w:rPr>
      </w:pPr>
    </w:p>
    <w:p w14:paraId="7F1D7C46"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93597F2" w14:textId="77777777" w:rsidR="009260DE" w:rsidRPr="00BA09F1" w:rsidRDefault="009260DE" w:rsidP="009260DE">
      <w:pPr>
        <w:tabs>
          <w:tab w:val="left" w:pos="851"/>
        </w:tabs>
        <w:ind w:left="851"/>
        <w:rPr>
          <w:sz w:val="24"/>
          <w:szCs w:val="24"/>
        </w:rPr>
      </w:pPr>
    </w:p>
    <w:p w14:paraId="0812E4FA"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61AE8D3" w14:textId="77777777" w:rsidR="00913552" w:rsidRPr="00913552" w:rsidRDefault="00913552" w:rsidP="00913552">
      <w:pPr>
        <w:tabs>
          <w:tab w:val="left" w:pos="851"/>
        </w:tabs>
        <w:ind w:left="851"/>
        <w:rPr>
          <w:sz w:val="24"/>
          <w:szCs w:val="24"/>
        </w:rPr>
      </w:pPr>
      <w:r w:rsidRPr="00913552">
        <w:rPr>
          <w:sz w:val="24"/>
          <w:szCs w:val="24"/>
        </w:rPr>
        <w:t>Dinatriumedetat</w:t>
      </w:r>
    </w:p>
    <w:p w14:paraId="7162C0CA" w14:textId="77777777" w:rsidR="00913552" w:rsidRPr="00913552" w:rsidRDefault="00913552" w:rsidP="00913552">
      <w:pPr>
        <w:tabs>
          <w:tab w:val="left" w:pos="851"/>
        </w:tabs>
        <w:ind w:left="851"/>
        <w:rPr>
          <w:sz w:val="24"/>
          <w:szCs w:val="24"/>
        </w:rPr>
      </w:pPr>
      <w:r w:rsidRPr="00913552">
        <w:rPr>
          <w:sz w:val="24"/>
          <w:szCs w:val="24"/>
        </w:rPr>
        <w:t>Natriumhydroxid</w:t>
      </w:r>
    </w:p>
    <w:p w14:paraId="748AF2ED" w14:textId="77777777" w:rsidR="00913552" w:rsidRPr="00913552" w:rsidRDefault="00913552" w:rsidP="00913552">
      <w:pPr>
        <w:tabs>
          <w:tab w:val="left" w:pos="851"/>
        </w:tabs>
        <w:ind w:left="851"/>
        <w:rPr>
          <w:sz w:val="24"/>
          <w:szCs w:val="24"/>
        </w:rPr>
      </w:pPr>
      <w:r w:rsidRPr="00913552">
        <w:rPr>
          <w:sz w:val="24"/>
          <w:szCs w:val="24"/>
        </w:rPr>
        <w:t>Vand til injektionsvæsker</w:t>
      </w:r>
    </w:p>
    <w:p w14:paraId="52C22646" w14:textId="77777777" w:rsidR="009260DE" w:rsidRPr="00C84483" w:rsidRDefault="009260DE" w:rsidP="009260DE">
      <w:pPr>
        <w:tabs>
          <w:tab w:val="left" w:pos="851"/>
        </w:tabs>
        <w:ind w:left="851"/>
        <w:rPr>
          <w:sz w:val="24"/>
          <w:szCs w:val="24"/>
        </w:rPr>
      </w:pPr>
    </w:p>
    <w:p w14:paraId="7D4329D6"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40D2692" w14:textId="77777777" w:rsidR="00913552" w:rsidRPr="00913552" w:rsidRDefault="00913552" w:rsidP="00913552">
      <w:pPr>
        <w:tabs>
          <w:tab w:val="left" w:pos="851"/>
        </w:tabs>
        <w:ind w:left="851"/>
        <w:rPr>
          <w:sz w:val="24"/>
          <w:szCs w:val="24"/>
        </w:rPr>
      </w:pPr>
      <w:r w:rsidRPr="00913552">
        <w:rPr>
          <w:sz w:val="24"/>
          <w:szCs w:val="24"/>
        </w:rPr>
        <w:t>Til administration af lægemidlet anbefales det at anvende indgivelsessystemer og -komponenter af glas, silikone og plastik.</w:t>
      </w:r>
    </w:p>
    <w:p w14:paraId="678D99BC" w14:textId="77777777" w:rsidR="00913552" w:rsidRPr="00913552" w:rsidRDefault="00913552" w:rsidP="00913552">
      <w:pPr>
        <w:tabs>
          <w:tab w:val="left" w:pos="851"/>
        </w:tabs>
        <w:ind w:left="851"/>
        <w:rPr>
          <w:sz w:val="24"/>
          <w:szCs w:val="24"/>
        </w:rPr>
      </w:pPr>
      <w:r w:rsidRPr="00913552">
        <w:rPr>
          <w:sz w:val="24"/>
          <w:szCs w:val="24"/>
        </w:rPr>
        <w:t>Dette lægemiddel må ikke blandes med andre lægemidler end dem, der er anført under pkt. 6.6.</w:t>
      </w:r>
    </w:p>
    <w:p w14:paraId="3E4FB450" w14:textId="77777777" w:rsidR="00913552" w:rsidRPr="00913552" w:rsidRDefault="00913552" w:rsidP="00913552">
      <w:pPr>
        <w:tabs>
          <w:tab w:val="left" w:pos="851"/>
        </w:tabs>
        <w:ind w:left="851"/>
        <w:rPr>
          <w:sz w:val="24"/>
          <w:szCs w:val="24"/>
        </w:rPr>
      </w:pPr>
      <w:r w:rsidRPr="00913552">
        <w:rPr>
          <w:sz w:val="24"/>
          <w:szCs w:val="24"/>
        </w:rPr>
        <w:t xml:space="preserve">Acetylcysteins inaktivering af antibiotika er foreløbig kun rapporteret i </w:t>
      </w:r>
      <w:r w:rsidRPr="00913552">
        <w:rPr>
          <w:i/>
          <w:sz w:val="24"/>
          <w:szCs w:val="24"/>
        </w:rPr>
        <w:t>in vitro</w:t>
      </w:r>
      <w:r w:rsidRPr="00913552">
        <w:rPr>
          <w:sz w:val="24"/>
          <w:szCs w:val="24"/>
        </w:rPr>
        <w:t>-studier, hvor stofferne blev blandet direkte.</w:t>
      </w:r>
    </w:p>
    <w:p w14:paraId="3052FC75" w14:textId="77777777" w:rsidR="009260DE" w:rsidRPr="00C84483" w:rsidRDefault="009260DE" w:rsidP="009260DE">
      <w:pPr>
        <w:tabs>
          <w:tab w:val="left" w:pos="851"/>
        </w:tabs>
        <w:ind w:left="851"/>
        <w:rPr>
          <w:sz w:val="24"/>
          <w:szCs w:val="24"/>
        </w:rPr>
      </w:pPr>
    </w:p>
    <w:p w14:paraId="7AABDA2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A3170F9" w14:textId="77777777" w:rsidR="00913552" w:rsidRPr="00913552" w:rsidRDefault="00913552" w:rsidP="00913552">
      <w:pPr>
        <w:tabs>
          <w:tab w:val="left" w:pos="851"/>
        </w:tabs>
        <w:ind w:left="851"/>
        <w:rPr>
          <w:sz w:val="24"/>
          <w:szCs w:val="24"/>
        </w:rPr>
      </w:pPr>
      <w:r w:rsidRPr="00913552">
        <w:rPr>
          <w:sz w:val="24"/>
          <w:szCs w:val="24"/>
        </w:rPr>
        <w:t>3 år.</w:t>
      </w:r>
    </w:p>
    <w:p w14:paraId="75C7C35D" w14:textId="77777777" w:rsidR="00913552" w:rsidRPr="00913552" w:rsidRDefault="00913552" w:rsidP="00913552">
      <w:pPr>
        <w:tabs>
          <w:tab w:val="left" w:pos="851"/>
        </w:tabs>
        <w:ind w:left="851"/>
        <w:rPr>
          <w:sz w:val="24"/>
          <w:szCs w:val="24"/>
        </w:rPr>
      </w:pPr>
    </w:p>
    <w:p w14:paraId="0B9ECEDC" w14:textId="77777777" w:rsidR="00913552" w:rsidRPr="00913552" w:rsidRDefault="00913552" w:rsidP="00913552">
      <w:pPr>
        <w:tabs>
          <w:tab w:val="left" w:pos="851"/>
        </w:tabs>
        <w:ind w:left="851"/>
        <w:rPr>
          <w:sz w:val="24"/>
          <w:szCs w:val="24"/>
        </w:rPr>
      </w:pPr>
      <w:r w:rsidRPr="00913552">
        <w:rPr>
          <w:sz w:val="24"/>
          <w:szCs w:val="24"/>
        </w:rPr>
        <w:t>Produktet bør anvendes straks efter åbning.</w:t>
      </w:r>
    </w:p>
    <w:p w14:paraId="66727C00" w14:textId="77777777" w:rsidR="00913552" w:rsidRPr="00913552" w:rsidRDefault="00913552" w:rsidP="00913552">
      <w:pPr>
        <w:tabs>
          <w:tab w:val="left" w:pos="851"/>
        </w:tabs>
        <w:ind w:left="851"/>
        <w:rPr>
          <w:sz w:val="24"/>
          <w:szCs w:val="24"/>
        </w:rPr>
      </w:pPr>
      <w:r w:rsidRPr="00913552">
        <w:rPr>
          <w:sz w:val="24"/>
          <w:szCs w:val="24"/>
        </w:rPr>
        <w:t>Der er påvist kemisk og fysisk stabilitet under brug mellem 4 mg/ml og 58,7 mg/ml i 24 timer ved 25 °C.</w:t>
      </w:r>
    </w:p>
    <w:p w14:paraId="510C010A" w14:textId="77777777" w:rsidR="00913552" w:rsidRPr="00913552" w:rsidRDefault="00913552" w:rsidP="00913552">
      <w:pPr>
        <w:tabs>
          <w:tab w:val="left" w:pos="851"/>
        </w:tabs>
        <w:ind w:left="851"/>
        <w:rPr>
          <w:sz w:val="24"/>
          <w:szCs w:val="24"/>
        </w:rPr>
      </w:pPr>
      <w:r w:rsidRPr="00913552">
        <w:rPr>
          <w:sz w:val="24"/>
          <w:szCs w:val="24"/>
        </w:rPr>
        <w:t>Ud fra et mikrobiologisk synspunkt bør præparatet anvendes straks, medmindre metoden til åbning/rekonstitution/fortynding udelukker risiko for mikrobiel kontaminering. Hvis det ikke bruges straks, er opbevaringstider og betingelser under brug brugerens ansvar.</w:t>
      </w:r>
    </w:p>
    <w:p w14:paraId="41746374" w14:textId="77777777" w:rsidR="009260DE" w:rsidRPr="00C84483" w:rsidRDefault="009260DE" w:rsidP="009260DE">
      <w:pPr>
        <w:tabs>
          <w:tab w:val="left" w:pos="851"/>
        </w:tabs>
        <w:ind w:left="851"/>
        <w:rPr>
          <w:sz w:val="24"/>
          <w:szCs w:val="24"/>
        </w:rPr>
      </w:pPr>
    </w:p>
    <w:p w14:paraId="29183CA6"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A92FB77" w14:textId="7ABC4599" w:rsidR="00913552" w:rsidRDefault="00913552" w:rsidP="00913552">
      <w:pPr>
        <w:tabs>
          <w:tab w:val="left" w:pos="851"/>
        </w:tabs>
        <w:ind w:left="851"/>
        <w:rPr>
          <w:sz w:val="24"/>
          <w:szCs w:val="24"/>
        </w:rPr>
      </w:pPr>
      <w:r w:rsidRPr="00913552">
        <w:rPr>
          <w:sz w:val="24"/>
          <w:szCs w:val="24"/>
        </w:rPr>
        <w:t>Dette lægemiddel kræver ingen særlige forholdsregler vedrørende opbevaringen.</w:t>
      </w:r>
    </w:p>
    <w:p w14:paraId="23C6FE09" w14:textId="77777777" w:rsidR="00913552" w:rsidRPr="00913552" w:rsidRDefault="00913552" w:rsidP="00913552">
      <w:pPr>
        <w:tabs>
          <w:tab w:val="left" w:pos="851"/>
        </w:tabs>
        <w:ind w:left="851"/>
        <w:rPr>
          <w:sz w:val="24"/>
          <w:szCs w:val="24"/>
        </w:rPr>
      </w:pPr>
    </w:p>
    <w:p w14:paraId="63C5DF6B" w14:textId="77777777" w:rsidR="00913552" w:rsidRPr="00913552" w:rsidRDefault="00913552" w:rsidP="00913552">
      <w:pPr>
        <w:tabs>
          <w:tab w:val="left" w:pos="851"/>
        </w:tabs>
        <w:ind w:left="851"/>
        <w:rPr>
          <w:sz w:val="24"/>
          <w:szCs w:val="24"/>
        </w:rPr>
      </w:pPr>
      <w:r w:rsidRPr="00913552">
        <w:rPr>
          <w:sz w:val="24"/>
          <w:szCs w:val="24"/>
        </w:rPr>
        <w:t>Opbevaringsforhold efter fortynding af lægemidlet, se pkt. 6.3.</w:t>
      </w:r>
    </w:p>
    <w:p w14:paraId="79383ED7" w14:textId="77777777" w:rsidR="009260DE" w:rsidRPr="00C84483" w:rsidRDefault="009260DE" w:rsidP="009260DE">
      <w:pPr>
        <w:tabs>
          <w:tab w:val="left" w:pos="851"/>
        </w:tabs>
        <w:ind w:left="851"/>
        <w:rPr>
          <w:sz w:val="24"/>
          <w:szCs w:val="24"/>
        </w:rPr>
      </w:pPr>
    </w:p>
    <w:p w14:paraId="7DCFBCA8"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361926E" w14:textId="77777777" w:rsidR="00133CF0" w:rsidRPr="00133CF0" w:rsidRDefault="00133CF0" w:rsidP="00133CF0">
      <w:pPr>
        <w:tabs>
          <w:tab w:val="left" w:pos="851"/>
        </w:tabs>
        <w:ind w:left="851"/>
        <w:rPr>
          <w:sz w:val="24"/>
          <w:szCs w:val="24"/>
        </w:rPr>
      </w:pPr>
    </w:p>
    <w:p w14:paraId="5F8DB235" w14:textId="58218CD0" w:rsidR="00133CF0" w:rsidRPr="00133CF0" w:rsidRDefault="00133CF0" w:rsidP="00133CF0">
      <w:pPr>
        <w:tabs>
          <w:tab w:val="left" w:pos="851"/>
        </w:tabs>
        <w:ind w:left="851"/>
        <w:rPr>
          <w:sz w:val="24"/>
          <w:szCs w:val="24"/>
          <w:u w:val="single"/>
        </w:rPr>
      </w:pPr>
      <w:r w:rsidRPr="00133CF0">
        <w:rPr>
          <w:sz w:val="24"/>
          <w:szCs w:val="24"/>
          <w:u w:val="single"/>
        </w:rPr>
        <w:t>4 g/20 ml</w:t>
      </w:r>
    </w:p>
    <w:p w14:paraId="213B3C36" w14:textId="59FA8AD2" w:rsidR="00133CF0" w:rsidRPr="00133CF0" w:rsidRDefault="00133CF0" w:rsidP="00133CF0">
      <w:pPr>
        <w:tabs>
          <w:tab w:val="left" w:pos="851"/>
        </w:tabs>
        <w:ind w:left="851"/>
        <w:rPr>
          <w:sz w:val="24"/>
          <w:szCs w:val="24"/>
        </w:rPr>
      </w:pPr>
      <w:r w:rsidRPr="00133CF0">
        <w:rPr>
          <w:sz w:val="24"/>
          <w:szCs w:val="24"/>
        </w:rPr>
        <w:t xml:space="preserve">Hætteglas af farveløst type-I glas forseglet med en grå ETFE-coatet bromobutylgummiprop og aluminiumsforsegling med en </w:t>
      </w:r>
      <w:r w:rsidRPr="005F5CD6">
        <w:rPr>
          <w:i/>
          <w:sz w:val="24"/>
          <w:szCs w:val="24"/>
        </w:rPr>
        <w:t>rød</w:t>
      </w:r>
      <w:r w:rsidRPr="00133CF0">
        <w:rPr>
          <w:sz w:val="24"/>
          <w:szCs w:val="24"/>
        </w:rPr>
        <w:t xml:space="preserve"> polypropylenplastikknap med acetylcystein 200 mg pr. ml.</w:t>
      </w:r>
    </w:p>
    <w:p w14:paraId="7881AA92" w14:textId="77777777" w:rsidR="00133CF0" w:rsidRPr="00133CF0" w:rsidRDefault="00133CF0" w:rsidP="00133CF0">
      <w:pPr>
        <w:tabs>
          <w:tab w:val="left" w:pos="851"/>
        </w:tabs>
        <w:ind w:left="851"/>
        <w:rPr>
          <w:sz w:val="24"/>
          <w:szCs w:val="24"/>
        </w:rPr>
      </w:pPr>
    </w:p>
    <w:p w14:paraId="4C21682C" w14:textId="4BEA5AD9" w:rsidR="00133CF0" w:rsidRPr="00133CF0" w:rsidRDefault="00133CF0" w:rsidP="00133CF0">
      <w:pPr>
        <w:tabs>
          <w:tab w:val="left" w:pos="851"/>
        </w:tabs>
        <w:ind w:left="851"/>
        <w:rPr>
          <w:sz w:val="24"/>
          <w:szCs w:val="24"/>
          <w:u w:val="single"/>
        </w:rPr>
      </w:pPr>
      <w:r w:rsidRPr="00133CF0">
        <w:rPr>
          <w:sz w:val="24"/>
          <w:szCs w:val="24"/>
          <w:u w:val="single"/>
        </w:rPr>
        <w:t>6 g/30 ml</w:t>
      </w:r>
    </w:p>
    <w:p w14:paraId="2179A3C5" w14:textId="22C71FF3" w:rsidR="00133CF0" w:rsidRPr="00133CF0" w:rsidRDefault="00133CF0" w:rsidP="00133CF0">
      <w:pPr>
        <w:tabs>
          <w:tab w:val="left" w:pos="851"/>
        </w:tabs>
        <w:ind w:left="851"/>
        <w:rPr>
          <w:sz w:val="24"/>
          <w:szCs w:val="24"/>
        </w:rPr>
      </w:pPr>
      <w:r w:rsidRPr="00133CF0">
        <w:rPr>
          <w:sz w:val="24"/>
          <w:szCs w:val="24"/>
        </w:rPr>
        <w:t xml:space="preserve">Hætteglas af farveløst type-I glas forseglet med en grå ETFE-coatet bromobutylgummiprop og aluminiumsforsegling med en </w:t>
      </w:r>
      <w:r w:rsidRPr="005F5CD6">
        <w:rPr>
          <w:i/>
          <w:sz w:val="24"/>
          <w:szCs w:val="24"/>
        </w:rPr>
        <w:t>grøn</w:t>
      </w:r>
      <w:r w:rsidRPr="00133CF0">
        <w:rPr>
          <w:sz w:val="24"/>
          <w:szCs w:val="24"/>
        </w:rPr>
        <w:t xml:space="preserve"> polypropylenplastikknap med acetylcystein 200 mg pr. ml.</w:t>
      </w:r>
    </w:p>
    <w:p w14:paraId="528C7270" w14:textId="77777777" w:rsidR="00133CF0" w:rsidRPr="00133CF0" w:rsidRDefault="00133CF0" w:rsidP="00133CF0">
      <w:pPr>
        <w:tabs>
          <w:tab w:val="left" w:pos="851"/>
        </w:tabs>
        <w:ind w:left="851"/>
        <w:rPr>
          <w:sz w:val="24"/>
          <w:szCs w:val="24"/>
        </w:rPr>
      </w:pPr>
    </w:p>
    <w:p w14:paraId="710F2387" w14:textId="38A630FC" w:rsidR="00133CF0" w:rsidRPr="00133CF0" w:rsidRDefault="00133CF0" w:rsidP="00133CF0">
      <w:pPr>
        <w:tabs>
          <w:tab w:val="left" w:pos="851"/>
        </w:tabs>
        <w:ind w:left="851"/>
        <w:rPr>
          <w:sz w:val="24"/>
          <w:szCs w:val="24"/>
          <w:u w:val="single"/>
        </w:rPr>
      </w:pPr>
      <w:r w:rsidRPr="00133CF0">
        <w:rPr>
          <w:sz w:val="24"/>
          <w:szCs w:val="24"/>
          <w:u w:val="single"/>
        </w:rPr>
        <w:t>Pakningsstørrelser</w:t>
      </w:r>
    </w:p>
    <w:p w14:paraId="6CD2E102" w14:textId="3B7C94C4" w:rsidR="00133CF0" w:rsidRPr="00133CF0" w:rsidRDefault="00133CF0" w:rsidP="00133CF0">
      <w:pPr>
        <w:tabs>
          <w:tab w:val="left" w:pos="851"/>
        </w:tabs>
        <w:ind w:left="851"/>
        <w:rPr>
          <w:sz w:val="24"/>
          <w:szCs w:val="24"/>
        </w:rPr>
      </w:pPr>
      <w:r w:rsidRPr="00133CF0">
        <w:rPr>
          <w:sz w:val="24"/>
          <w:szCs w:val="24"/>
        </w:rPr>
        <w:t xml:space="preserve">4 g/20 ml: 1×20 ml </w:t>
      </w:r>
      <w:r>
        <w:rPr>
          <w:sz w:val="24"/>
          <w:szCs w:val="24"/>
        </w:rPr>
        <w:t>og</w:t>
      </w:r>
      <w:r w:rsidRPr="00133CF0">
        <w:rPr>
          <w:sz w:val="24"/>
          <w:szCs w:val="24"/>
        </w:rPr>
        <w:t xml:space="preserve"> 4×20 ml hætteglas</w:t>
      </w:r>
      <w:r>
        <w:rPr>
          <w:sz w:val="24"/>
          <w:szCs w:val="24"/>
        </w:rPr>
        <w:t>.</w:t>
      </w:r>
    </w:p>
    <w:p w14:paraId="710F0A60" w14:textId="07D6C4D8" w:rsidR="00133CF0" w:rsidRPr="00133CF0" w:rsidRDefault="00133CF0" w:rsidP="00133CF0">
      <w:pPr>
        <w:tabs>
          <w:tab w:val="left" w:pos="851"/>
        </w:tabs>
        <w:ind w:left="851"/>
        <w:rPr>
          <w:sz w:val="24"/>
          <w:szCs w:val="24"/>
        </w:rPr>
      </w:pPr>
      <w:r w:rsidRPr="00133CF0">
        <w:rPr>
          <w:sz w:val="24"/>
          <w:szCs w:val="24"/>
        </w:rPr>
        <w:t xml:space="preserve">6 g/30 ml: 1×30 ml </w:t>
      </w:r>
      <w:r>
        <w:rPr>
          <w:sz w:val="24"/>
          <w:szCs w:val="24"/>
        </w:rPr>
        <w:t>og</w:t>
      </w:r>
      <w:r w:rsidRPr="00133CF0">
        <w:rPr>
          <w:sz w:val="24"/>
          <w:szCs w:val="24"/>
        </w:rPr>
        <w:t xml:space="preserve"> 4×30 ml hætteglas</w:t>
      </w:r>
      <w:r>
        <w:rPr>
          <w:sz w:val="24"/>
          <w:szCs w:val="24"/>
        </w:rPr>
        <w:t>.</w:t>
      </w:r>
    </w:p>
    <w:p w14:paraId="690E006E" w14:textId="77777777" w:rsidR="00133CF0" w:rsidRPr="00133CF0" w:rsidRDefault="00133CF0" w:rsidP="00133CF0">
      <w:pPr>
        <w:tabs>
          <w:tab w:val="left" w:pos="851"/>
        </w:tabs>
        <w:ind w:left="851"/>
        <w:rPr>
          <w:sz w:val="24"/>
          <w:szCs w:val="24"/>
        </w:rPr>
      </w:pPr>
    </w:p>
    <w:p w14:paraId="59336A08" w14:textId="77777777" w:rsidR="00133CF0" w:rsidRPr="00133CF0" w:rsidRDefault="00133CF0" w:rsidP="00133CF0">
      <w:pPr>
        <w:tabs>
          <w:tab w:val="left" w:pos="851"/>
        </w:tabs>
        <w:ind w:left="851"/>
        <w:rPr>
          <w:sz w:val="24"/>
          <w:szCs w:val="24"/>
        </w:rPr>
      </w:pPr>
      <w:r w:rsidRPr="00133CF0">
        <w:rPr>
          <w:sz w:val="24"/>
          <w:szCs w:val="24"/>
        </w:rPr>
        <w:t>Ikke alle pakningsstørrelser er nødvendigvis markedsført.</w:t>
      </w:r>
    </w:p>
    <w:p w14:paraId="0B581241" w14:textId="070164D4" w:rsidR="00A962AE" w:rsidRDefault="00A962AE">
      <w:pPr>
        <w:rPr>
          <w:sz w:val="24"/>
          <w:szCs w:val="24"/>
        </w:rPr>
      </w:pPr>
      <w:r>
        <w:rPr>
          <w:sz w:val="24"/>
          <w:szCs w:val="24"/>
        </w:rPr>
        <w:br w:type="page"/>
      </w:r>
    </w:p>
    <w:p w14:paraId="5B85CD3D" w14:textId="77777777" w:rsidR="009260DE" w:rsidRPr="00C84483" w:rsidRDefault="009260DE" w:rsidP="009260DE">
      <w:pPr>
        <w:tabs>
          <w:tab w:val="left" w:pos="851"/>
        </w:tabs>
        <w:ind w:left="851"/>
        <w:rPr>
          <w:sz w:val="24"/>
          <w:szCs w:val="24"/>
        </w:rPr>
      </w:pPr>
    </w:p>
    <w:p w14:paraId="4CC11071"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09D44B6" w14:textId="77777777" w:rsidR="00A962AE" w:rsidRDefault="00A962AE" w:rsidP="00A962AE">
      <w:pPr>
        <w:tabs>
          <w:tab w:val="left" w:pos="851"/>
        </w:tabs>
        <w:ind w:left="851"/>
        <w:rPr>
          <w:i/>
          <w:sz w:val="24"/>
          <w:szCs w:val="24"/>
        </w:rPr>
      </w:pPr>
    </w:p>
    <w:p w14:paraId="7071D55B" w14:textId="371F8E27" w:rsidR="00A962AE" w:rsidRPr="00A962AE" w:rsidRDefault="00A962AE" w:rsidP="00A962AE">
      <w:pPr>
        <w:tabs>
          <w:tab w:val="left" w:pos="851"/>
        </w:tabs>
        <w:ind w:left="851"/>
        <w:rPr>
          <w:sz w:val="24"/>
          <w:szCs w:val="24"/>
          <w:u w:val="single"/>
        </w:rPr>
      </w:pPr>
      <w:r w:rsidRPr="00A962AE">
        <w:rPr>
          <w:sz w:val="24"/>
          <w:szCs w:val="24"/>
          <w:u w:val="single"/>
        </w:rPr>
        <w:t>Solvenser</w:t>
      </w:r>
    </w:p>
    <w:p w14:paraId="5A12FECA" w14:textId="3C61CC17" w:rsidR="00A962AE" w:rsidRPr="00A962AE" w:rsidRDefault="00A962AE" w:rsidP="00A962AE">
      <w:pPr>
        <w:tabs>
          <w:tab w:val="left" w:pos="851"/>
        </w:tabs>
        <w:ind w:left="851"/>
        <w:rPr>
          <w:sz w:val="24"/>
          <w:szCs w:val="24"/>
        </w:rPr>
      </w:pPr>
      <w:r w:rsidRPr="00A962AE">
        <w:rPr>
          <w:sz w:val="24"/>
          <w:szCs w:val="24"/>
        </w:rPr>
        <w:t>Acetylcystein skal fortyndes til intravenøs infusion med 5 % glucoseopløsning, 10 % glucoseopløsning, 0,9 % natriumchloridopløsning (fysiologisk saltvand) eller 5 % glucose- og 0,9 % natriumchloridopløsning. Det volumen</w:t>
      </w:r>
      <w:r>
        <w:rPr>
          <w:sz w:val="24"/>
          <w:szCs w:val="24"/>
        </w:rPr>
        <w:t>,</w:t>
      </w:r>
      <w:r w:rsidRPr="00A962AE">
        <w:rPr>
          <w:sz w:val="24"/>
          <w:szCs w:val="24"/>
        </w:rPr>
        <w:t xml:space="preserve"> der skal anvendes, er anført i pkt. 4.2. Den fortyndede opløsning er transparent, farveløs eller let violet med en let svovlagtig lugt.</w:t>
      </w:r>
    </w:p>
    <w:p w14:paraId="25C5799B" w14:textId="77777777" w:rsidR="00A962AE" w:rsidRPr="00A962AE" w:rsidRDefault="00A962AE" w:rsidP="00A962AE">
      <w:pPr>
        <w:tabs>
          <w:tab w:val="left" w:pos="851"/>
        </w:tabs>
        <w:ind w:left="851"/>
        <w:rPr>
          <w:sz w:val="24"/>
          <w:szCs w:val="24"/>
        </w:rPr>
      </w:pPr>
    </w:p>
    <w:p w14:paraId="23D6EA34" w14:textId="77777777" w:rsidR="00A962AE" w:rsidRPr="00A962AE" w:rsidRDefault="00A962AE" w:rsidP="00A962AE">
      <w:pPr>
        <w:tabs>
          <w:tab w:val="left" w:pos="851"/>
        </w:tabs>
        <w:ind w:left="851"/>
        <w:rPr>
          <w:sz w:val="24"/>
          <w:szCs w:val="24"/>
        </w:rPr>
      </w:pPr>
      <w:r w:rsidRPr="00A962AE">
        <w:rPr>
          <w:sz w:val="24"/>
          <w:szCs w:val="24"/>
        </w:rPr>
        <w:t>Ikke anvendt lægemiddel samt affald heraf skal bortskaffes i henhold til lokale retningslinjer.</w:t>
      </w:r>
    </w:p>
    <w:p w14:paraId="20468FC6" w14:textId="77777777" w:rsidR="009260DE" w:rsidRPr="00C84483" w:rsidRDefault="009260DE" w:rsidP="000730CA">
      <w:pPr>
        <w:tabs>
          <w:tab w:val="left" w:pos="851"/>
        </w:tabs>
        <w:ind w:left="851"/>
        <w:rPr>
          <w:sz w:val="24"/>
          <w:szCs w:val="24"/>
        </w:rPr>
      </w:pPr>
    </w:p>
    <w:p w14:paraId="4E0664D6"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DAFE044" w14:textId="77777777" w:rsidR="00A962AE" w:rsidRPr="00A962AE" w:rsidRDefault="00A962AE" w:rsidP="00A962AE">
      <w:pPr>
        <w:tabs>
          <w:tab w:val="left" w:pos="851"/>
        </w:tabs>
        <w:ind w:left="851"/>
        <w:rPr>
          <w:sz w:val="24"/>
          <w:szCs w:val="24"/>
        </w:rPr>
      </w:pPr>
      <w:r w:rsidRPr="00A962AE">
        <w:rPr>
          <w:sz w:val="24"/>
          <w:szCs w:val="24"/>
        </w:rPr>
        <w:t>Macure Pharma ApS</w:t>
      </w:r>
    </w:p>
    <w:p w14:paraId="2F3B58EF" w14:textId="77777777" w:rsidR="00A962AE" w:rsidRPr="00A962AE" w:rsidRDefault="00A962AE" w:rsidP="00A962AE">
      <w:pPr>
        <w:tabs>
          <w:tab w:val="left" w:pos="851"/>
        </w:tabs>
        <w:ind w:left="851"/>
        <w:rPr>
          <w:bCs/>
          <w:sz w:val="24"/>
          <w:szCs w:val="24"/>
        </w:rPr>
      </w:pPr>
      <w:r w:rsidRPr="00A962AE">
        <w:rPr>
          <w:sz w:val="24"/>
          <w:szCs w:val="24"/>
        </w:rPr>
        <w:t>Hejrevej 39</w:t>
      </w:r>
    </w:p>
    <w:p w14:paraId="12CFA690" w14:textId="77777777" w:rsidR="00A962AE" w:rsidRPr="00A962AE" w:rsidRDefault="00A962AE" w:rsidP="00A962AE">
      <w:pPr>
        <w:tabs>
          <w:tab w:val="left" w:pos="851"/>
        </w:tabs>
        <w:ind w:left="851"/>
        <w:rPr>
          <w:sz w:val="24"/>
          <w:szCs w:val="24"/>
        </w:rPr>
      </w:pPr>
      <w:r w:rsidRPr="00A962AE">
        <w:rPr>
          <w:sz w:val="24"/>
          <w:szCs w:val="24"/>
        </w:rPr>
        <w:t>2400 København NV</w:t>
      </w:r>
    </w:p>
    <w:p w14:paraId="3EE3C9A2" w14:textId="77777777" w:rsidR="009260DE" w:rsidRDefault="009260DE" w:rsidP="009260DE">
      <w:pPr>
        <w:tabs>
          <w:tab w:val="left" w:pos="851"/>
        </w:tabs>
        <w:ind w:left="851"/>
        <w:rPr>
          <w:sz w:val="24"/>
          <w:szCs w:val="24"/>
        </w:rPr>
      </w:pPr>
    </w:p>
    <w:p w14:paraId="635E3A6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0F33306" w14:textId="4C21DACF" w:rsidR="009260DE" w:rsidRPr="00C84483" w:rsidRDefault="00A962AE" w:rsidP="009260DE">
      <w:pPr>
        <w:tabs>
          <w:tab w:val="left" w:pos="851"/>
        </w:tabs>
        <w:ind w:left="851"/>
        <w:rPr>
          <w:sz w:val="24"/>
          <w:szCs w:val="24"/>
        </w:rPr>
      </w:pPr>
      <w:r>
        <w:rPr>
          <w:sz w:val="24"/>
          <w:szCs w:val="24"/>
        </w:rPr>
        <w:t>69657</w:t>
      </w:r>
    </w:p>
    <w:p w14:paraId="7CF92A18" w14:textId="77777777" w:rsidR="009260DE" w:rsidRPr="00C84483" w:rsidRDefault="009260DE" w:rsidP="009260DE">
      <w:pPr>
        <w:tabs>
          <w:tab w:val="left" w:pos="851"/>
        </w:tabs>
        <w:ind w:left="851"/>
        <w:jc w:val="both"/>
        <w:rPr>
          <w:sz w:val="24"/>
          <w:szCs w:val="24"/>
        </w:rPr>
      </w:pPr>
    </w:p>
    <w:p w14:paraId="7DD0CE6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E8B5701" w14:textId="6604063B" w:rsidR="009260DE" w:rsidRPr="00C84483" w:rsidRDefault="00245A12" w:rsidP="009260DE">
      <w:pPr>
        <w:tabs>
          <w:tab w:val="left" w:pos="851"/>
        </w:tabs>
        <w:ind w:left="851"/>
        <w:rPr>
          <w:sz w:val="24"/>
          <w:szCs w:val="24"/>
        </w:rPr>
      </w:pPr>
      <w:r>
        <w:rPr>
          <w:sz w:val="24"/>
          <w:szCs w:val="24"/>
        </w:rPr>
        <w:t>10. januar 2025</w:t>
      </w:r>
    </w:p>
    <w:p w14:paraId="52959881" w14:textId="77777777" w:rsidR="009260DE" w:rsidRPr="00C84483" w:rsidRDefault="009260DE" w:rsidP="009260DE">
      <w:pPr>
        <w:tabs>
          <w:tab w:val="left" w:pos="851"/>
        </w:tabs>
        <w:ind w:left="851"/>
        <w:rPr>
          <w:sz w:val="24"/>
          <w:szCs w:val="24"/>
        </w:rPr>
      </w:pPr>
    </w:p>
    <w:p w14:paraId="5008703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EC5E8A3" w14:textId="29CD1315" w:rsidR="009260DE" w:rsidRPr="00C84483" w:rsidRDefault="00A962AE"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A5A83" w14:textId="77777777" w:rsidR="0038488E" w:rsidRDefault="0038488E">
      <w:r>
        <w:separator/>
      </w:r>
    </w:p>
  </w:endnote>
  <w:endnote w:type="continuationSeparator" w:id="0">
    <w:p w14:paraId="0DD2A686" w14:textId="77777777" w:rsidR="0038488E" w:rsidRDefault="0038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4A96" w14:textId="77777777" w:rsidR="000259B9" w:rsidRDefault="000259B9">
    <w:pPr>
      <w:pStyle w:val="Sidefod"/>
      <w:pBdr>
        <w:bottom w:val="single" w:sz="6" w:space="1" w:color="auto"/>
      </w:pBdr>
    </w:pPr>
  </w:p>
  <w:p w14:paraId="2CB00F38" w14:textId="77777777" w:rsidR="000259B9" w:rsidRDefault="000259B9" w:rsidP="00C42586">
    <w:pPr>
      <w:pStyle w:val="Sidefod"/>
      <w:tabs>
        <w:tab w:val="clear" w:pos="4819"/>
        <w:tab w:val="left" w:pos="8505"/>
      </w:tabs>
      <w:rPr>
        <w:i/>
        <w:sz w:val="18"/>
        <w:szCs w:val="18"/>
      </w:rPr>
    </w:pPr>
  </w:p>
  <w:p w14:paraId="7944B00E" w14:textId="6C52C76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B58B4">
      <w:rPr>
        <w:i/>
        <w:noProof/>
        <w:sz w:val="18"/>
        <w:szCs w:val="18"/>
      </w:rPr>
      <w:t>Acetylcysteine Macure, koncentrat til infusionsvæske, opløsning 200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89250" w14:textId="77777777" w:rsidR="0038488E" w:rsidRDefault="0038488E">
      <w:r>
        <w:separator/>
      </w:r>
    </w:p>
  </w:footnote>
  <w:footnote w:type="continuationSeparator" w:id="0">
    <w:p w14:paraId="0F5A227A" w14:textId="77777777" w:rsidR="0038488E" w:rsidRDefault="00384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2071E6D"/>
    <w:multiLevelType w:val="hybridMultilevel"/>
    <w:tmpl w:val="F934CEC0"/>
    <w:lvl w:ilvl="0" w:tplc="8520B69A">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8E"/>
    <w:rsid w:val="000259B9"/>
    <w:rsid w:val="00041491"/>
    <w:rsid w:val="00050D16"/>
    <w:rsid w:val="000730CA"/>
    <w:rsid w:val="00074F2A"/>
    <w:rsid w:val="000A1CA8"/>
    <w:rsid w:val="000A466B"/>
    <w:rsid w:val="000B058C"/>
    <w:rsid w:val="000D68B0"/>
    <w:rsid w:val="000E4EE6"/>
    <w:rsid w:val="00133CF0"/>
    <w:rsid w:val="001454E2"/>
    <w:rsid w:val="00206CE8"/>
    <w:rsid w:val="0021526C"/>
    <w:rsid w:val="00245A12"/>
    <w:rsid w:val="00283A2B"/>
    <w:rsid w:val="002B30AD"/>
    <w:rsid w:val="002C1EC0"/>
    <w:rsid w:val="002C2C01"/>
    <w:rsid w:val="0038488E"/>
    <w:rsid w:val="003A29AE"/>
    <w:rsid w:val="003A32D7"/>
    <w:rsid w:val="003B4074"/>
    <w:rsid w:val="003B58B4"/>
    <w:rsid w:val="003C769A"/>
    <w:rsid w:val="003D3A90"/>
    <w:rsid w:val="003F1838"/>
    <w:rsid w:val="004251C1"/>
    <w:rsid w:val="0045746C"/>
    <w:rsid w:val="0049104B"/>
    <w:rsid w:val="004E3B12"/>
    <w:rsid w:val="00532310"/>
    <w:rsid w:val="00565F0F"/>
    <w:rsid w:val="00594A86"/>
    <w:rsid w:val="00596D86"/>
    <w:rsid w:val="005E769E"/>
    <w:rsid w:val="005F5CD6"/>
    <w:rsid w:val="00637F5A"/>
    <w:rsid w:val="00641C65"/>
    <w:rsid w:val="006560B1"/>
    <w:rsid w:val="006756DD"/>
    <w:rsid w:val="0071241E"/>
    <w:rsid w:val="00714553"/>
    <w:rsid w:val="00737275"/>
    <w:rsid w:val="00740EEC"/>
    <w:rsid w:val="0078011A"/>
    <w:rsid w:val="00782AF4"/>
    <w:rsid w:val="00790EE7"/>
    <w:rsid w:val="007A3B23"/>
    <w:rsid w:val="007B6649"/>
    <w:rsid w:val="0082576E"/>
    <w:rsid w:val="0089346F"/>
    <w:rsid w:val="00907F75"/>
    <w:rsid w:val="00913552"/>
    <w:rsid w:val="009260DE"/>
    <w:rsid w:val="0093258A"/>
    <w:rsid w:val="009C7BA3"/>
    <w:rsid w:val="009D1F5A"/>
    <w:rsid w:val="009D3CC7"/>
    <w:rsid w:val="00A10294"/>
    <w:rsid w:val="00A962AE"/>
    <w:rsid w:val="00B003BF"/>
    <w:rsid w:val="00B373D7"/>
    <w:rsid w:val="00B55271"/>
    <w:rsid w:val="00BD7931"/>
    <w:rsid w:val="00BF6243"/>
    <w:rsid w:val="00C36276"/>
    <w:rsid w:val="00C42586"/>
    <w:rsid w:val="00C45F6B"/>
    <w:rsid w:val="00C60CCD"/>
    <w:rsid w:val="00C84483"/>
    <w:rsid w:val="00C95551"/>
    <w:rsid w:val="00CB20D7"/>
    <w:rsid w:val="00CE00B7"/>
    <w:rsid w:val="00D020B0"/>
    <w:rsid w:val="00D11748"/>
    <w:rsid w:val="00D237F6"/>
    <w:rsid w:val="00D34D98"/>
    <w:rsid w:val="00D366CF"/>
    <w:rsid w:val="00D93992"/>
    <w:rsid w:val="00E108AA"/>
    <w:rsid w:val="00E3749A"/>
    <w:rsid w:val="00E66D1F"/>
    <w:rsid w:val="00E7437F"/>
    <w:rsid w:val="00E865B8"/>
    <w:rsid w:val="00EC0B9B"/>
    <w:rsid w:val="00ED5E9F"/>
    <w:rsid w:val="00F66D4F"/>
    <w:rsid w:val="00F90B4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ADE43"/>
  <w15:chartTrackingRefBased/>
  <w15:docId w15:val="{DEE557AD-C42A-40CD-AD39-CDC8DCDF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3B58B4"/>
    <w:pPr>
      <w:spacing w:after="120"/>
      <w:ind w:left="720"/>
    </w:pPr>
    <w:rPr>
      <w:rFonts w:eastAsia="SimSu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09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321327">
      <w:bodyDiv w:val="1"/>
      <w:marLeft w:val="0"/>
      <w:marRight w:val="0"/>
      <w:marTop w:val="0"/>
      <w:marBottom w:val="0"/>
      <w:divBdr>
        <w:top w:val="none" w:sz="0" w:space="0" w:color="auto"/>
        <w:left w:val="none" w:sz="0" w:space="0" w:color="auto"/>
        <w:bottom w:val="none" w:sz="0" w:space="0" w:color="auto"/>
        <w:right w:val="none" w:sz="0" w:space="0" w:color="auto"/>
      </w:divBdr>
    </w:div>
    <w:div w:id="218901820">
      <w:bodyDiv w:val="1"/>
      <w:marLeft w:val="0"/>
      <w:marRight w:val="0"/>
      <w:marTop w:val="0"/>
      <w:marBottom w:val="0"/>
      <w:divBdr>
        <w:top w:val="none" w:sz="0" w:space="0" w:color="auto"/>
        <w:left w:val="none" w:sz="0" w:space="0" w:color="auto"/>
        <w:bottom w:val="none" w:sz="0" w:space="0" w:color="auto"/>
        <w:right w:val="none" w:sz="0" w:space="0" w:color="auto"/>
      </w:divBdr>
    </w:div>
    <w:div w:id="225343349">
      <w:bodyDiv w:val="1"/>
      <w:marLeft w:val="0"/>
      <w:marRight w:val="0"/>
      <w:marTop w:val="0"/>
      <w:marBottom w:val="0"/>
      <w:divBdr>
        <w:top w:val="none" w:sz="0" w:space="0" w:color="auto"/>
        <w:left w:val="none" w:sz="0" w:space="0" w:color="auto"/>
        <w:bottom w:val="none" w:sz="0" w:space="0" w:color="auto"/>
        <w:right w:val="none" w:sz="0" w:space="0" w:color="auto"/>
      </w:divBdr>
    </w:div>
    <w:div w:id="258953340">
      <w:bodyDiv w:val="1"/>
      <w:marLeft w:val="0"/>
      <w:marRight w:val="0"/>
      <w:marTop w:val="0"/>
      <w:marBottom w:val="0"/>
      <w:divBdr>
        <w:top w:val="none" w:sz="0" w:space="0" w:color="auto"/>
        <w:left w:val="none" w:sz="0" w:space="0" w:color="auto"/>
        <w:bottom w:val="none" w:sz="0" w:space="0" w:color="auto"/>
        <w:right w:val="none" w:sz="0" w:space="0" w:color="auto"/>
      </w:divBdr>
    </w:div>
    <w:div w:id="264465862">
      <w:bodyDiv w:val="1"/>
      <w:marLeft w:val="0"/>
      <w:marRight w:val="0"/>
      <w:marTop w:val="0"/>
      <w:marBottom w:val="0"/>
      <w:divBdr>
        <w:top w:val="none" w:sz="0" w:space="0" w:color="auto"/>
        <w:left w:val="none" w:sz="0" w:space="0" w:color="auto"/>
        <w:bottom w:val="none" w:sz="0" w:space="0" w:color="auto"/>
        <w:right w:val="none" w:sz="0" w:space="0" w:color="auto"/>
      </w:divBdr>
    </w:div>
    <w:div w:id="271941256">
      <w:bodyDiv w:val="1"/>
      <w:marLeft w:val="0"/>
      <w:marRight w:val="0"/>
      <w:marTop w:val="0"/>
      <w:marBottom w:val="0"/>
      <w:divBdr>
        <w:top w:val="none" w:sz="0" w:space="0" w:color="auto"/>
        <w:left w:val="none" w:sz="0" w:space="0" w:color="auto"/>
        <w:bottom w:val="none" w:sz="0" w:space="0" w:color="auto"/>
        <w:right w:val="none" w:sz="0" w:space="0" w:color="auto"/>
      </w:divBdr>
    </w:div>
    <w:div w:id="355933410">
      <w:bodyDiv w:val="1"/>
      <w:marLeft w:val="0"/>
      <w:marRight w:val="0"/>
      <w:marTop w:val="0"/>
      <w:marBottom w:val="0"/>
      <w:divBdr>
        <w:top w:val="none" w:sz="0" w:space="0" w:color="auto"/>
        <w:left w:val="none" w:sz="0" w:space="0" w:color="auto"/>
        <w:bottom w:val="none" w:sz="0" w:space="0" w:color="auto"/>
        <w:right w:val="none" w:sz="0" w:space="0" w:color="auto"/>
      </w:divBdr>
    </w:div>
    <w:div w:id="367268796">
      <w:bodyDiv w:val="1"/>
      <w:marLeft w:val="0"/>
      <w:marRight w:val="0"/>
      <w:marTop w:val="0"/>
      <w:marBottom w:val="0"/>
      <w:divBdr>
        <w:top w:val="none" w:sz="0" w:space="0" w:color="auto"/>
        <w:left w:val="none" w:sz="0" w:space="0" w:color="auto"/>
        <w:bottom w:val="none" w:sz="0" w:space="0" w:color="auto"/>
        <w:right w:val="none" w:sz="0" w:space="0" w:color="auto"/>
      </w:divBdr>
    </w:div>
    <w:div w:id="367528397">
      <w:bodyDiv w:val="1"/>
      <w:marLeft w:val="0"/>
      <w:marRight w:val="0"/>
      <w:marTop w:val="0"/>
      <w:marBottom w:val="0"/>
      <w:divBdr>
        <w:top w:val="none" w:sz="0" w:space="0" w:color="auto"/>
        <w:left w:val="none" w:sz="0" w:space="0" w:color="auto"/>
        <w:bottom w:val="none" w:sz="0" w:space="0" w:color="auto"/>
        <w:right w:val="none" w:sz="0" w:space="0" w:color="auto"/>
      </w:divBdr>
    </w:div>
    <w:div w:id="440564704">
      <w:bodyDiv w:val="1"/>
      <w:marLeft w:val="0"/>
      <w:marRight w:val="0"/>
      <w:marTop w:val="0"/>
      <w:marBottom w:val="0"/>
      <w:divBdr>
        <w:top w:val="none" w:sz="0" w:space="0" w:color="auto"/>
        <w:left w:val="none" w:sz="0" w:space="0" w:color="auto"/>
        <w:bottom w:val="none" w:sz="0" w:space="0" w:color="auto"/>
        <w:right w:val="none" w:sz="0" w:space="0" w:color="auto"/>
      </w:divBdr>
    </w:div>
    <w:div w:id="498933741">
      <w:bodyDiv w:val="1"/>
      <w:marLeft w:val="0"/>
      <w:marRight w:val="0"/>
      <w:marTop w:val="0"/>
      <w:marBottom w:val="0"/>
      <w:divBdr>
        <w:top w:val="none" w:sz="0" w:space="0" w:color="auto"/>
        <w:left w:val="none" w:sz="0" w:space="0" w:color="auto"/>
        <w:bottom w:val="none" w:sz="0" w:space="0" w:color="auto"/>
        <w:right w:val="none" w:sz="0" w:space="0" w:color="auto"/>
      </w:divBdr>
    </w:div>
    <w:div w:id="503933789">
      <w:bodyDiv w:val="1"/>
      <w:marLeft w:val="0"/>
      <w:marRight w:val="0"/>
      <w:marTop w:val="0"/>
      <w:marBottom w:val="0"/>
      <w:divBdr>
        <w:top w:val="none" w:sz="0" w:space="0" w:color="auto"/>
        <w:left w:val="none" w:sz="0" w:space="0" w:color="auto"/>
        <w:bottom w:val="none" w:sz="0" w:space="0" w:color="auto"/>
        <w:right w:val="none" w:sz="0" w:space="0" w:color="auto"/>
      </w:divBdr>
    </w:div>
    <w:div w:id="517698843">
      <w:bodyDiv w:val="1"/>
      <w:marLeft w:val="0"/>
      <w:marRight w:val="0"/>
      <w:marTop w:val="0"/>
      <w:marBottom w:val="0"/>
      <w:divBdr>
        <w:top w:val="none" w:sz="0" w:space="0" w:color="auto"/>
        <w:left w:val="none" w:sz="0" w:space="0" w:color="auto"/>
        <w:bottom w:val="none" w:sz="0" w:space="0" w:color="auto"/>
        <w:right w:val="none" w:sz="0" w:space="0" w:color="auto"/>
      </w:divBdr>
    </w:div>
    <w:div w:id="639262196">
      <w:bodyDiv w:val="1"/>
      <w:marLeft w:val="0"/>
      <w:marRight w:val="0"/>
      <w:marTop w:val="0"/>
      <w:marBottom w:val="0"/>
      <w:divBdr>
        <w:top w:val="none" w:sz="0" w:space="0" w:color="auto"/>
        <w:left w:val="none" w:sz="0" w:space="0" w:color="auto"/>
        <w:bottom w:val="none" w:sz="0" w:space="0" w:color="auto"/>
        <w:right w:val="none" w:sz="0" w:space="0" w:color="auto"/>
      </w:divBdr>
    </w:div>
    <w:div w:id="653140821">
      <w:bodyDiv w:val="1"/>
      <w:marLeft w:val="0"/>
      <w:marRight w:val="0"/>
      <w:marTop w:val="0"/>
      <w:marBottom w:val="0"/>
      <w:divBdr>
        <w:top w:val="none" w:sz="0" w:space="0" w:color="auto"/>
        <w:left w:val="none" w:sz="0" w:space="0" w:color="auto"/>
        <w:bottom w:val="none" w:sz="0" w:space="0" w:color="auto"/>
        <w:right w:val="none" w:sz="0" w:space="0" w:color="auto"/>
      </w:divBdr>
    </w:div>
    <w:div w:id="708383804">
      <w:bodyDiv w:val="1"/>
      <w:marLeft w:val="0"/>
      <w:marRight w:val="0"/>
      <w:marTop w:val="0"/>
      <w:marBottom w:val="0"/>
      <w:divBdr>
        <w:top w:val="none" w:sz="0" w:space="0" w:color="auto"/>
        <w:left w:val="none" w:sz="0" w:space="0" w:color="auto"/>
        <w:bottom w:val="none" w:sz="0" w:space="0" w:color="auto"/>
        <w:right w:val="none" w:sz="0" w:space="0" w:color="auto"/>
      </w:divBdr>
    </w:div>
    <w:div w:id="708408632">
      <w:bodyDiv w:val="1"/>
      <w:marLeft w:val="0"/>
      <w:marRight w:val="0"/>
      <w:marTop w:val="0"/>
      <w:marBottom w:val="0"/>
      <w:divBdr>
        <w:top w:val="none" w:sz="0" w:space="0" w:color="auto"/>
        <w:left w:val="none" w:sz="0" w:space="0" w:color="auto"/>
        <w:bottom w:val="none" w:sz="0" w:space="0" w:color="auto"/>
        <w:right w:val="none" w:sz="0" w:space="0" w:color="auto"/>
      </w:divBdr>
    </w:div>
    <w:div w:id="761879407">
      <w:bodyDiv w:val="1"/>
      <w:marLeft w:val="0"/>
      <w:marRight w:val="0"/>
      <w:marTop w:val="0"/>
      <w:marBottom w:val="0"/>
      <w:divBdr>
        <w:top w:val="none" w:sz="0" w:space="0" w:color="auto"/>
        <w:left w:val="none" w:sz="0" w:space="0" w:color="auto"/>
        <w:bottom w:val="none" w:sz="0" w:space="0" w:color="auto"/>
        <w:right w:val="none" w:sz="0" w:space="0" w:color="auto"/>
      </w:divBdr>
    </w:div>
    <w:div w:id="813520273">
      <w:bodyDiv w:val="1"/>
      <w:marLeft w:val="0"/>
      <w:marRight w:val="0"/>
      <w:marTop w:val="0"/>
      <w:marBottom w:val="0"/>
      <w:divBdr>
        <w:top w:val="none" w:sz="0" w:space="0" w:color="auto"/>
        <w:left w:val="none" w:sz="0" w:space="0" w:color="auto"/>
        <w:bottom w:val="none" w:sz="0" w:space="0" w:color="auto"/>
        <w:right w:val="none" w:sz="0" w:space="0" w:color="auto"/>
      </w:divBdr>
    </w:div>
    <w:div w:id="862938377">
      <w:bodyDiv w:val="1"/>
      <w:marLeft w:val="0"/>
      <w:marRight w:val="0"/>
      <w:marTop w:val="0"/>
      <w:marBottom w:val="0"/>
      <w:divBdr>
        <w:top w:val="none" w:sz="0" w:space="0" w:color="auto"/>
        <w:left w:val="none" w:sz="0" w:space="0" w:color="auto"/>
        <w:bottom w:val="none" w:sz="0" w:space="0" w:color="auto"/>
        <w:right w:val="none" w:sz="0" w:space="0" w:color="auto"/>
      </w:divBdr>
    </w:div>
    <w:div w:id="1055742143">
      <w:bodyDiv w:val="1"/>
      <w:marLeft w:val="0"/>
      <w:marRight w:val="0"/>
      <w:marTop w:val="0"/>
      <w:marBottom w:val="0"/>
      <w:divBdr>
        <w:top w:val="none" w:sz="0" w:space="0" w:color="auto"/>
        <w:left w:val="none" w:sz="0" w:space="0" w:color="auto"/>
        <w:bottom w:val="none" w:sz="0" w:space="0" w:color="auto"/>
        <w:right w:val="none" w:sz="0" w:space="0" w:color="auto"/>
      </w:divBdr>
    </w:div>
    <w:div w:id="1179582882">
      <w:bodyDiv w:val="1"/>
      <w:marLeft w:val="0"/>
      <w:marRight w:val="0"/>
      <w:marTop w:val="0"/>
      <w:marBottom w:val="0"/>
      <w:divBdr>
        <w:top w:val="none" w:sz="0" w:space="0" w:color="auto"/>
        <w:left w:val="none" w:sz="0" w:space="0" w:color="auto"/>
        <w:bottom w:val="none" w:sz="0" w:space="0" w:color="auto"/>
        <w:right w:val="none" w:sz="0" w:space="0" w:color="auto"/>
      </w:divBdr>
    </w:div>
    <w:div w:id="1188181594">
      <w:bodyDiv w:val="1"/>
      <w:marLeft w:val="0"/>
      <w:marRight w:val="0"/>
      <w:marTop w:val="0"/>
      <w:marBottom w:val="0"/>
      <w:divBdr>
        <w:top w:val="none" w:sz="0" w:space="0" w:color="auto"/>
        <w:left w:val="none" w:sz="0" w:space="0" w:color="auto"/>
        <w:bottom w:val="none" w:sz="0" w:space="0" w:color="auto"/>
        <w:right w:val="none" w:sz="0" w:space="0" w:color="auto"/>
      </w:divBdr>
    </w:div>
    <w:div w:id="1360814292">
      <w:bodyDiv w:val="1"/>
      <w:marLeft w:val="0"/>
      <w:marRight w:val="0"/>
      <w:marTop w:val="0"/>
      <w:marBottom w:val="0"/>
      <w:divBdr>
        <w:top w:val="none" w:sz="0" w:space="0" w:color="auto"/>
        <w:left w:val="none" w:sz="0" w:space="0" w:color="auto"/>
        <w:bottom w:val="none" w:sz="0" w:space="0" w:color="auto"/>
        <w:right w:val="none" w:sz="0" w:space="0" w:color="auto"/>
      </w:divBdr>
    </w:div>
    <w:div w:id="1373993315">
      <w:bodyDiv w:val="1"/>
      <w:marLeft w:val="0"/>
      <w:marRight w:val="0"/>
      <w:marTop w:val="0"/>
      <w:marBottom w:val="0"/>
      <w:divBdr>
        <w:top w:val="none" w:sz="0" w:space="0" w:color="auto"/>
        <w:left w:val="none" w:sz="0" w:space="0" w:color="auto"/>
        <w:bottom w:val="none" w:sz="0" w:space="0" w:color="auto"/>
        <w:right w:val="none" w:sz="0" w:space="0" w:color="auto"/>
      </w:divBdr>
    </w:div>
    <w:div w:id="1406801787">
      <w:bodyDiv w:val="1"/>
      <w:marLeft w:val="0"/>
      <w:marRight w:val="0"/>
      <w:marTop w:val="0"/>
      <w:marBottom w:val="0"/>
      <w:divBdr>
        <w:top w:val="none" w:sz="0" w:space="0" w:color="auto"/>
        <w:left w:val="none" w:sz="0" w:space="0" w:color="auto"/>
        <w:bottom w:val="none" w:sz="0" w:space="0" w:color="auto"/>
        <w:right w:val="none" w:sz="0" w:space="0" w:color="auto"/>
      </w:divBdr>
    </w:div>
    <w:div w:id="1482380198">
      <w:bodyDiv w:val="1"/>
      <w:marLeft w:val="0"/>
      <w:marRight w:val="0"/>
      <w:marTop w:val="0"/>
      <w:marBottom w:val="0"/>
      <w:divBdr>
        <w:top w:val="none" w:sz="0" w:space="0" w:color="auto"/>
        <w:left w:val="none" w:sz="0" w:space="0" w:color="auto"/>
        <w:bottom w:val="none" w:sz="0" w:space="0" w:color="auto"/>
        <w:right w:val="none" w:sz="0" w:space="0" w:color="auto"/>
      </w:divBdr>
    </w:div>
    <w:div w:id="1675760656">
      <w:bodyDiv w:val="1"/>
      <w:marLeft w:val="0"/>
      <w:marRight w:val="0"/>
      <w:marTop w:val="0"/>
      <w:marBottom w:val="0"/>
      <w:divBdr>
        <w:top w:val="none" w:sz="0" w:space="0" w:color="auto"/>
        <w:left w:val="none" w:sz="0" w:space="0" w:color="auto"/>
        <w:bottom w:val="none" w:sz="0" w:space="0" w:color="auto"/>
        <w:right w:val="none" w:sz="0" w:space="0" w:color="auto"/>
      </w:divBdr>
    </w:div>
    <w:div w:id="1735278715">
      <w:bodyDiv w:val="1"/>
      <w:marLeft w:val="0"/>
      <w:marRight w:val="0"/>
      <w:marTop w:val="0"/>
      <w:marBottom w:val="0"/>
      <w:divBdr>
        <w:top w:val="none" w:sz="0" w:space="0" w:color="auto"/>
        <w:left w:val="none" w:sz="0" w:space="0" w:color="auto"/>
        <w:bottom w:val="none" w:sz="0" w:space="0" w:color="auto"/>
        <w:right w:val="none" w:sz="0" w:space="0" w:color="auto"/>
      </w:divBdr>
    </w:div>
    <w:div w:id="1740832793">
      <w:bodyDiv w:val="1"/>
      <w:marLeft w:val="0"/>
      <w:marRight w:val="0"/>
      <w:marTop w:val="0"/>
      <w:marBottom w:val="0"/>
      <w:divBdr>
        <w:top w:val="none" w:sz="0" w:space="0" w:color="auto"/>
        <w:left w:val="none" w:sz="0" w:space="0" w:color="auto"/>
        <w:bottom w:val="none" w:sz="0" w:space="0" w:color="auto"/>
        <w:right w:val="none" w:sz="0" w:space="0" w:color="auto"/>
      </w:divBdr>
    </w:div>
    <w:div w:id="1742217518">
      <w:bodyDiv w:val="1"/>
      <w:marLeft w:val="0"/>
      <w:marRight w:val="0"/>
      <w:marTop w:val="0"/>
      <w:marBottom w:val="0"/>
      <w:divBdr>
        <w:top w:val="none" w:sz="0" w:space="0" w:color="auto"/>
        <w:left w:val="none" w:sz="0" w:space="0" w:color="auto"/>
        <w:bottom w:val="none" w:sz="0" w:space="0" w:color="auto"/>
        <w:right w:val="none" w:sz="0" w:space="0" w:color="auto"/>
      </w:divBdr>
    </w:div>
    <w:div w:id="1743988400">
      <w:bodyDiv w:val="1"/>
      <w:marLeft w:val="0"/>
      <w:marRight w:val="0"/>
      <w:marTop w:val="0"/>
      <w:marBottom w:val="0"/>
      <w:divBdr>
        <w:top w:val="none" w:sz="0" w:space="0" w:color="auto"/>
        <w:left w:val="none" w:sz="0" w:space="0" w:color="auto"/>
        <w:bottom w:val="none" w:sz="0" w:space="0" w:color="auto"/>
        <w:right w:val="none" w:sz="0" w:space="0" w:color="auto"/>
      </w:divBdr>
    </w:div>
    <w:div w:id="1760909933">
      <w:bodyDiv w:val="1"/>
      <w:marLeft w:val="0"/>
      <w:marRight w:val="0"/>
      <w:marTop w:val="0"/>
      <w:marBottom w:val="0"/>
      <w:divBdr>
        <w:top w:val="none" w:sz="0" w:space="0" w:color="auto"/>
        <w:left w:val="none" w:sz="0" w:space="0" w:color="auto"/>
        <w:bottom w:val="none" w:sz="0" w:space="0" w:color="auto"/>
        <w:right w:val="none" w:sz="0" w:space="0" w:color="auto"/>
      </w:divBdr>
    </w:div>
    <w:div w:id="1822884339">
      <w:bodyDiv w:val="1"/>
      <w:marLeft w:val="0"/>
      <w:marRight w:val="0"/>
      <w:marTop w:val="0"/>
      <w:marBottom w:val="0"/>
      <w:divBdr>
        <w:top w:val="none" w:sz="0" w:space="0" w:color="auto"/>
        <w:left w:val="none" w:sz="0" w:space="0" w:color="auto"/>
        <w:bottom w:val="none" w:sz="0" w:space="0" w:color="auto"/>
        <w:right w:val="none" w:sz="0" w:space="0" w:color="auto"/>
      </w:divBdr>
    </w:div>
    <w:div w:id="1827359373">
      <w:bodyDiv w:val="1"/>
      <w:marLeft w:val="0"/>
      <w:marRight w:val="0"/>
      <w:marTop w:val="0"/>
      <w:marBottom w:val="0"/>
      <w:divBdr>
        <w:top w:val="none" w:sz="0" w:space="0" w:color="auto"/>
        <w:left w:val="none" w:sz="0" w:space="0" w:color="auto"/>
        <w:bottom w:val="none" w:sz="0" w:space="0" w:color="auto"/>
        <w:right w:val="none" w:sz="0" w:space="0" w:color="auto"/>
      </w:divBdr>
    </w:div>
    <w:div w:id="1942562215">
      <w:bodyDiv w:val="1"/>
      <w:marLeft w:val="0"/>
      <w:marRight w:val="0"/>
      <w:marTop w:val="0"/>
      <w:marBottom w:val="0"/>
      <w:divBdr>
        <w:top w:val="none" w:sz="0" w:space="0" w:color="auto"/>
        <w:left w:val="none" w:sz="0" w:space="0" w:color="auto"/>
        <w:bottom w:val="none" w:sz="0" w:space="0" w:color="auto"/>
        <w:right w:val="none" w:sz="0" w:space="0" w:color="auto"/>
      </w:divBdr>
    </w:div>
    <w:div w:id="1952086336">
      <w:bodyDiv w:val="1"/>
      <w:marLeft w:val="0"/>
      <w:marRight w:val="0"/>
      <w:marTop w:val="0"/>
      <w:marBottom w:val="0"/>
      <w:divBdr>
        <w:top w:val="none" w:sz="0" w:space="0" w:color="auto"/>
        <w:left w:val="none" w:sz="0" w:space="0" w:color="auto"/>
        <w:bottom w:val="none" w:sz="0" w:space="0" w:color="auto"/>
        <w:right w:val="none" w:sz="0" w:space="0" w:color="auto"/>
      </w:divBdr>
    </w:div>
    <w:div w:id="2014263408">
      <w:bodyDiv w:val="1"/>
      <w:marLeft w:val="0"/>
      <w:marRight w:val="0"/>
      <w:marTop w:val="0"/>
      <w:marBottom w:val="0"/>
      <w:divBdr>
        <w:top w:val="none" w:sz="0" w:space="0" w:color="auto"/>
        <w:left w:val="none" w:sz="0" w:space="0" w:color="auto"/>
        <w:bottom w:val="none" w:sz="0" w:space="0" w:color="auto"/>
        <w:right w:val="none" w:sz="0" w:space="0" w:color="auto"/>
      </w:divBdr>
    </w:div>
    <w:div w:id="2031568388">
      <w:bodyDiv w:val="1"/>
      <w:marLeft w:val="0"/>
      <w:marRight w:val="0"/>
      <w:marTop w:val="0"/>
      <w:marBottom w:val="0"/>
      <w:divBdr>
        <w:top w:val="none" w:sz="0" w:space="0" w:color="auto"/>
        <w:left w:val="none" w:sz="0" w:space="0" w:color="auto"/>
        <w:bottom w:val="none" w:sz="0" w:space="0" w:color="auto"/>
        <w:right w:val="none" w:sz="0" w:space="0" w:color="auto"/>
      </w:divBdr>
    </w:div>
    <w:div w:id="20788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18</TotalTime>
  <Pages>10</Pages>
  <Words>2537</Words>
  <Characters>16812</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2023053314 mt</dc:description>
  <cp:lastModifiedBy>Hanne Thy Iversen</cp:lastModifiedBy>
  <cp:revision>13</cp:revision>
  <cp:lastPrinted>2012-08-22T08:53:00Z</cp:lastPrinted>
  <dcterms:created xsi:type="dcterms:W3CDTF">2025-01-09T12:26:00Z</dcterms:created>
  <dcterms:modified xsi:type="dcterms:W3CDTF">2025-01-10T12:22:00Z</dcterms:modified>
</cp:coreProperties>
</file>