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2CDA3" w14:textId="2A8F3EFD" w:rsidR="009260DE" w:rsidRPr="00560CEF" w:rsidRDefault="0021526C" w:rsidP="00560CEF">
      <w:pPr>
        <w:rPr>
          <w:b/>
          <w:sz w:val="24"/>
          <w:szCs w:val="24"/>
        </w:rPr>
      </w:pPr>
      <w:r w:rsidRPr="00560CEF">
        <w:rPr>
          <w:noProof/>
          <w:sz w:val="24"/>
          <w:szCs w:val="24"/>
          <w:lang w:eastAsia="da-DK"/>
        </w:rPr>
        <w:drawing>
          <wp:anchor distT="0" distB="0" distL="114300" distR="114300" simplePos="0" relativeHeight="251658240" behindDoc="0" locked="0" layoutInCell="1" allowOverlap="1" wp14:anchorId="27937BF9" wp14:editId="6007C82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60CEF">
        <w:rPr>
          <w:sz w:val="24"/>
          <w:szCs w:val="24"/>
        </w:rPr>
        <w:br w:type="textWrapping" w:clear="all"/>
      </w:r>
    </w:p>
    <w:p w14:paraId="7A77D089" w14:textId="1B444BAC" w:rsidR="009260DE" w:rsidRPr="00560CEF" w:rsidRDefault="009260DE" w:rsidP="009260DE">
      <w:pPr>
        <w:pStyle w:val="Titel"/>
        <w:tabs>
          <w:tab w:val="right" w:pos="9356"/>
        </w:tabs>
        <w:jc w:val="left"/>
        <w:rPr>
          <w:b w:val="0"/>
          <w:szCs w:val="24"/>
          <w:lang w:eastAsia="en-US"/>
        </w:rPr>
      </w:pPr>
      <w:r w:rsidRPr="00560CEF">
        <w:rPr>
          <w:b w:val="0"/>
          <w:szCs w:val="24"/>
          <w:lang w:eastAsia="en-US"/>
        </w:rPr>
        <w:tab/>
      </w:r>
      <w:r w:rsidR="005C7A26">
        <w:rPr>
          <w:szCs w:val="24"/>
        </w:rPr>
        <w:t>6. januar 2025</w:t>
      </w:r>
    </w:p>
    <w:p w14:paraId="3B99ADF6" w14:textId="259F88E0" w:rsidR="009260DE" w:rsidRDefault="009260DE" w:rsidP="009260DE">
      <w:pPr>
        <w:pStyle w:val="Titel"/>
        <w:jc w:val="left"/>
        <w:rPr>
          <w:b w:val="0"/>
          <w:szCs w:val="24"/>
        </w:rPr>
      </w:pPr>
    </w:p>
    <w:p w14:paraId="7452BF5B" w14:textId="77777777" w:rsidR="007913D6" w:rsidRPr="00560CEF" w:rsidRDefault="007913D6" w:rsidP="009260DE">
      <w:pPr>
        <w:pStyle w:val="Titel"/>
        <w:jc w:val="left"/>
        <w:rPr>
          <w:b w:val="0"/>
          <w:szCs w:val="24"/>
        </w:rPr>
      </w:pPr>
    </w:p>
    <w:p w14:paraId="11B3983A" w14:textId="77777777" w:rsidR="009260DE" w:rsidRPr="00560CEF" w:rsidRDefault="009260DE" w:rsidP="009260DE">
      <w:pPr>
        <w:pStyle w:val="Titel"/>
        <w:jc w:val="left"/>
        <w:rPr>
          <w:b w:val="0"/>
          <w:szCs w:val="24"/>
        </w:rPr>
      </w:pPr>
    </w:p>
    <w:p w14:paraId="31E3A517" w14:textId="77777777" w:rsidR="009260DE" w:rsidRPr="00560CEF" w:rsidRDefault="009260DE" w:rsidP="009260DE">
      <w:pPr>
        <w:jc w:val="center"/>
        <w:rPr>
          <w:b/>
          <w:sz w:val="24"/>
          <w:szCs w:val="24"/>
        </w:rPr>
      </w:pPr>
      <w:r w:rsidRPr="00560CEF">
        <w:rPr>
          <w:b/>
          <w:sz w:val="24"/>
          <w:szCs w:val="24"/>
        </w:rPr>
        <w:t>PRODUKTRESUMÉ</w:t>
      </w:r>
    </w:p>
    <w:p w14:paraId="054129CB" w14:textId="77777777" w:rsidR="009260DE" w:rsidRPr="00560CEF" w:rsidRDefault="009260DE" w:rsidP="009260DE">
      <w:pPr>
        <w:jc w:val="center"/>
        <w:rPr>
          <w:b/>
          <w:sz w:val="24"/>
          <w:szCs w:val="24"/>
        </w:rPr>
      </w:pPr>
    </w:p>
    <w:p w14:paraId="2FECFA55" w14:textId="31514F30" w:rsidR="009260DE" w:rsidRPr="00560CEF" w:rsidRDefault="00C23CDD" w:rsidP="00C23CDD">
      <w:pPr>
        <w:tabs>
          <w:tab w:val="left" w:pos="550"/>
          <w:tab w:val="center" w:pos="4819"/>
        </w:tabs>
        <w:rPr>
          <w:b/>
          <w:sz w:val="24"/>
          <w:szCs w:val="24"/>
        </w:rPr>
      </w:pPr>
      <w:r>
        <w:rPr>
          <w:b/>
          <w:sz w:val="24"/>
          <w:szCs w:val="24"/>
        </w:rPr>
        <w:tab/>
      </w:r>
      <w:r>
        <w:rPr>
          <w:b/>
          <w:sz w:val="24"/>
          <w:szCs w:val="24"/>
        </w:rPr>
        <w:tab/>
      </w:r>
      <w:r w:rsidR="009260DE" w:rsidRPr="00560CEF">
        <w:rPr>
          <w:b/>
          <w:sz w:val="24"/>
          <w:szCs w:val="24"/>
        </w:rPr>
        <w:t>for</w:t>
      </w:r>
    </w:p>
    <w:p w14:paraId="314C6173" w14:textId="77777777" w:rsidR="000B058C" w:rsidRPr="00560CEF" w:rsidRDefault="000B058C" w:rsidP="009260DE">
      <w:pPr>
        <w:jc w:val="center"/>
        <w:rPr>
          <w:b/>
          <w:sz w:val="24"/>
          <w:szCs w:val="24"/>
        </w:rPr>
      </w:pPr>
    </w:p>
    <w:p w14:paraId="5A43590F" w14:textId="03FDD3D2" w:rsidR="009260DE" w:rsidRPr="00560CEF" w:rsidRDefault="00FD4813" w:rsidP="009260DE">
      <w:pPr>
        <w:jc w:val="center"/>
        <w:rPr>
          <w:b/>
          <w:sz w:val="24"/>
          <w:szCs w:val="24"/>
        </w:rPr>
      </w:pPr>
      <w:proofErr w:type="spellStart"/>
      <w:r w:rsidRPr="00560CEF">
        <w:rPr>
          <w:b/>
          <w:sz w:val="24"/>
          <w:szCs w:val="24"/>
        </w:rPr>
        <w:t>Aciclovir</w:t>
      </w:r>
      <w:proofErr w:type="spellEnd"/>
      <w:r w:rsidRPr="00560CEF">
        <w:rPr>
          <w:b/>
          <w:sz w:val="24"/>
          <w:szCs w:val="24"/>
        </w:rPr>
        <w:t xml:space="preserve"> "</w:t>
      </w:r>
      <w:proofErr w:type="spellStart"/>
      <w:r w:rsidRPr="00560CEF">
        <w:rPr>
          <w:b/>
          <w:sz w:val="24"/>
          <w:szCs w:val="24"/>
        </w:rPr>
        <w:t>Accord</w:t>
      </w:r>
      <w:proofErr w:type="spellEnd"/>
      <w:r w:rsidRPr="00560CEF">
        <w:rPr>
          <w:b/>
          <w:sz w:val="24"/>
          <w:szCs w:val="24"/>
        </w:rPr>
        <w:t>", koncentrat</w:t>
      </w:r>
      <w:r w:rsidR="00234EA5" w:rsidRPr="00560CEF">
        <w:rPr>
          <w:b/>
          <w:sz w:val="24"/>
          <w:szCs w:val="24"/>
        </w:rPr>
        <w:t xml:space="preserve"> til infusionsvæske, opløsning</w:t>
      </w:r>
    </w:p>
    <w:p w14:paraId="64BC7DF2" w14:textId="77777777" w:rsidR="009260DE" w:rsidRPr="00560CEF" w:rsidRDefault="009260DE" w:rsidP="009260DE">
      <w:pPr>
        <w:jc w:val="both"/>
        <w:rPr>
          <w:sz w:val="24"/>
          <w:szCs w:val="24"/>
        </w:rPr>
      </w:pPr>
    </w:p>
    <w:p w14:paraId="2E38A387" w14:textId="77777777" w:rsidR="009260DE" w:rsidRPr="00560CEF" w:rsidRDefault="009260DE" w:rsidP="009260DE">
      <w:pPr>
        <w:jc w:val="both"/>
        <w:rPr>
          <w:sz w:val="24"/>
          <w:szCs w:val="24"/>
        </w:rPr>
      </w:pPr>
    </w:p>
    <w:p w14:paraId="4DE63A20" w14:textId="77777777" w:rsidR="009260DE" w:rsidRPr="00560CEF" w:rsidRDefault="009260DE" w:rsidP="009260DE">
      <w:pPr>
        <w:tabs>
          <w:tab w:val="left" w:pos="851"/>
        </w:tabs>
        <w:ind w:left="851" w:hanging="851"/>
        <w:rPr>
          <w:b/>
          <w:sz w:val="24"/>
          <w:szCs w:val="24"/>
        </w:rPr>
      </w:pPr>
      <w:r w:rsidRPr="00560CEF">
        <w:rPr>
          <w:b/>
          <w:sz w:val="24"/>
          <w:szCs w:val="24"/>
        </w:rPr>
        <w:t>0.</w:t>
      </w:r>
      <w:r w:rsidRPr="00560CEF">
        <w:rPr>
          <w:b/>
          <w:sz w:val="24"/>
          <w:szCs w:val="24"/>
        </w:rPr>
        <w:tab/>
        <w:t>D.SP.NR.</w:t>
      </w:r>
    </w:p>
    <w:p w14:paraId="1450AD6D" w14:textId="7F7F39EA" w:rsidR="009260DE" w:rsidRPr="00560CEF" w:rsidRDefault="00234EA5" w:rsidP="009260DE">
      <w:pPr>
        <w:tabs>
          <w:tab w:val="left" w:pos="851"/>
        </w:tabs>
        <w:ind w:left="851"/>
        <w:rPr>
          <w:sz w:val="24"/>
          <w:szCs w:val="24"/>
        </w:rPr>
      </w:pPr>
      <w:r w:rsidRPr="00560CEF">
        <w:rPr>
          <w:sz w:val="24"/>
          <w:szCs w:val="24"/>
        </w:rPr>
        <w:t>31386</w:t>
      </w:r>
    </w:p>
    <w:p w14:paraId="7619F33B" w14:textId="77777777" w:rsidR="009260DE" w:rsidRPr="00560CEF" w:rsidRDefault="009260DE" w:rsidP="009260DE">
      <w:pPr>
        <w:tabs>
          <w:tab w:val="left" w:pos="851"/>
        </w:tabs>
        <w:ind w:left="851"/>
        <w:rPr>
          <w:sz w:val="24"/>
          <w:szCs w:val="24"/>
        </w:rPr>
      </w:pPr>
    </w:p>
    <w:p w14:paraId="5C9506F5" w14:textId="77777777" w:rsidR="009260DE" w:rsidRPr="00560CEF" w:rsidRDefault="009260DE" w:rsidP="009260DE">
      <w:pPr>
        <w:tabs>
          <w:tab w:val="left" w:pos="851"/>
        </w:tabs>
        <w:ind w:left="851" w:hanging="851"/>
        <w:rPr>
          <w:b/>
          <w:sz w:val="24"/>
          <w:szCs w:val="24"/>
        </w:rPr>
      </w:pPr>
      <w:r w:rsidRPr="00560CEF">
        <w:rPr>
          <w:b/>
          <w:sz w:val="24"/>
          <w:szCs w:val="24"/>
        </w:rPr>
        <w:t>1.</w:t>
      </w:r>
      <w:r w:rsidRPr="00560CEF">
        <w:rPr>
          <w:b/>
          <w:sz w:val="24"/>
          <w:szCs w:val="24"/>
        </w:rPr>
        <w:tab/>
        <w:t>LÆGEMIDLETS NAVN</w:t>
      </w:r>
    </w:p>
    <w:p w14:paraId="5C38CDD4" w14:textId="6C606CC5" w:rsidR="009260DE" w:rsidRPr="00560CEF" w:rsidRDefault="00234EA5" w:rsidP="009260DE">
      <w:pPr>
        <w:tabs>
          <w:tab w:val="left" w:pos="851"/>
        </w:tabs>
        <w:ind w:left="851"/>
        <w:rPr>
          <w:sz w:val="24"/>
          <w:szCs w:val="24"/>
        </w:rPr>
      </w:pPr>
      <w:proofErr w:type="spellStart"/>
      <w:r w:rsidRPr="00560CEF">
        <w:rPr>
          <w:sz w:val="24"/>
          <w:szCs w:val="24"/>
        </w:rPr>
        <w:t>Aciclovir</w:t>
      </w:r>
      <w:proofErr w:type="spellEnd"/>
      <w:r w:rsidRPr="00560CEF">
        <w:rPr>
          <w:sz w:val="24"/>
          <w:szCs w:val="24"/>
        </w:rPr>
        <w:t xml:space="preserve"> "</w:t>
      </w:r>
      <w:proofErr w:type="spellStart"/>
      <w:r w:rsidRPr="00560CEF">
        <w:rPr>
          <w:sz w:val="24"/>
          <w:szCs w:val="24"/>
        </w:rPr>
        <w:t>Accord</w:t>
      </w:r>
      <w:proofErr w:type="spellEnd"/>
      <w:r w:rsidRPr="00560CEF">
        <w:rPr>
          <w:sz w:val="24"/>
          <w:szCs w:val="24"/>
        </w:rPr>
        <w:t>"</w:t>
      </w:r>
    </w:p>
    <w:p w14:paraId="0A3D1C47" w14:textId="77777777" w:rsidR="009260DE" w:rsidRPr="00560CEF" w:rsidRDefault="009260DE" w:rsidP="009260DE">
      <w:pPr>
        <w:tabs>
          <w:tab w:val="left" w:pos="851"/>
        </w:tabs>
        <w:ind w:left="851"/>
        <w:rPr>
          <w:sz w:val="24"/>
          <w:szCs w:val="24"/>
        </w:rPr>
      </w:pPr>
    </w:p>
    <w:p w14:paraId="65729699" w14:textId="77777777" w:rsidR="009260DE" w:rsidRPr="00560CEF" w:rsidRDefault="009260DE" w:rsidP="009260DE">
      <w:pPr>
        <w:tabs>
          <w:tab w:val="left" w:pos="851"/>
        </w:tabs>
        <w:ind w:left="851" w:hanging="851"/>
        <w:rPr>
          <w:b/>
          <w:sz w:val="24"/>
          <w:szCs w:val="24"/>
        </w:rPr>
      </w:pPr>
      <w:r w:rsidRPr="00560CEF">
        <w:rPr>
          <w:b/>
          <w:sz w:val="24"/>
          <w:szCs w:val="24"/>
        </w:rPr>
        <w:t>2.</w:t>
      </w:r>
      <w:r w:rsidRPr="00560CEF">
        <w:rPr>
          <w:b/>
          <w:sz w:val="24"/>
          <w:szCs w:val="24"/>
        </w:rPr>
        <w:tab/>
        <w:t>KVALITATIV OG KVANTITATIV SAMMENSÆTNING</w:t>
      </w:r>
    </w:p>
    <w:p w14:paraId="434AAC0D" w14:textId="19219EA0" w:rsidR="00814C97" w:rsidRDefault="00814C97" w:rsidP="002820CE">
      <w:pPr>
        <w:pStyle w:val="EMEAEnBodyText"/>
        <w:autoSpaceDE w:val="0"/>
        <w:autoSpaceDN w:val="0"/>
        <w:adjustRightInd w:val="0"/>
        <w:spacing w:before="0" w:after="0"/>
        <w:ind w:left="851"/>
        <w:jc w:val="left"/>
        <w:rPr>
          <w:sz w:val="24"/>
          <w:szCs w:val="24"/>
        </w:rPr>
      </w:pPr>
      <w:r w:rsidRPr="00560CEF">
        <w:rPr>
          <w:sz w:val="24"/>
          <w:szCs w:val="24"/>
        </w:rPr>
        <w:t xml:space="preserve">Hver ml indeholder 25 mg </w:t>
      </w:r>
      <w:proofErr w:type="spellStart"/>
      <w:r w:rsidRPr="00560CEF">
        <w:rPr>
          <w:sz w:val="24"/>
          <w:szCs w:val="24"/>
        </w:rPr>
        <w:t>aciclovir</w:t>
      </w:r>
      <w:proofErr w:type="spellEnd"/>
      <w:r w:rsidRPr="00560CEF">
        <w:rPr>
          <w:sz w:val="24"/>
          <w:szCs w:val="24"/>
        </w:rPr>
        <w:t xml:space="preserve"> (som natriumsalt)</w:t>
      </w:r>
      <w:r w:rsidR="0037296C">
        <w:rPr>
          <w:sz w:val="24"/>
          <w:szCs w:val="24"/>
        </w:rPr>
        <w:t>.</w:t>
      </w:r>
    </w:p>
    <w:p w14:paraId="39CF2E5A" w14:textId="77777777" w:rsidR="0037296C" w:rsidRPr="00560CEF" w:rsidRDefault="0037296C" w:rsidP="002820CE">
      <w:pPr>
        <w:pStyle w:val="EMEAEnBodyText"/>
        <w:autoSpaceDE w:val="0"/>
        <w:autoSpaceDN w:val="0"/>
        <w:adjustRightInd w:val="0"/>
        <w:spacing w:before="0" w:after="0"/>
        <w:ind w:left="851"/>
        <w:jc w:val="left"/>
        <w:rPr>
          <w:sz w:val="24"/>
          <w:szCs w:val="24"/>
        </w:rPr>
      </w:pPr>
    </w:p>
    <w:p w14:paraId="22B75347" w14:textId="77777777" w:rsidR="00814C97" w:rsidRPr="00560CEF" w:rsidRDefault="00814C97" w:rsidP="002820CE">
      <w:pPr>
        <w:pStyle w:val="EMEAEnBodyText"/>
        <w:autoSpaceDE w:val="0"/>
        <w:autoSpaceDN w:val="0"/>
        <w:adjustRightInd w:val="0"/>
        <w:spacing w:before="0" w:after="0"/>
        <w:ind w:left="851"/>
        <w:jc w:val="left"/>
        <w:rPr>
          <w:sz w:val="24"/>
          <w:szCs w:val="24"/>
        </w:rPr>
      </w:pPr>
      <w:r w:rsidRPr="00560CEF">
        <w:rPr>
          <w:sz w:val="24"/>
          <w:szCs w:val="24"/>
        </w:rPr>
        <w:t xml:space="preserve">Hvert hætteglas med 10 ml koncentrat indeholder 250 mg </w:t>
      </w:r>
      <w:proofErr w:type="spellStart"/>
      <w:r w:rsidRPr="00560CEF">
        <w:rPr>
          <w:sz w:val="24"/>
          <w:szCs w:val="24"/>
        </w:rPr>
        <w:t>aciclovir</w:t>
      </w:r>
      <w:proofErr w:type="spellEnd"/>
      <w:r w:rsidRPr="00560CEF">
        <w:rPr>
          <w:sz w:val="24"/>
          <w:szCs w:val="24"/>
        </w:rPr>
        <w:t xml:space="preserve"> (som natriumsalt).</w:t>
      </w:r>
    </w:p>
    <w:p w14:paraId="6E029B7D" w14:textId="77777777" w:rsidR="00814C97" w:rsidRPr="00560CEF" w:rsidRDefault="00814C97" w:rsidP="002820CE">
      <w:pPr>
        <w:pStyle w:val="EMEAEnBodyText"/>
        <w:autoSpaceDE w:val="0"/>
        <w:autoSpaceDN w:val="0"/>
        <w:adjustRightInd w:val="0"/>
        <w:spacing w:before="0" w:after="0"/>
        <w:ind w:left="851"/>
        <w:jc w:val="left"/>
        <w:rPr>
          <w:sz w:val="24"/>
          <w:szCs w:val="24"/>
        </w:rPr>
      </w:pPr>
      <w:r w:rsidRPr="00560CEF">
        <w:rPr>
          <w:sz w:val="24"/>
          <w:szCs w:val="24"/>
        </w:rPr>
        <w:t xml:space="preserve">Hvert hætteglas med 20 ml koncentrat indeholder 500 mg </w:t>
      </w:r>
      <w:proofErr w:type="spellStart"/>
      <w:r w:rsidRPr="00560CEF">
        <w:rPr>
          <w:sz w:val="24"/>
          <w:szCs w:val="24"/>
        </w:rPr>
        <w:t>aciclovir</w:t>
      </w:r>
      <w:proofErr w:type="spellEnd"/>
      <w:r w:rsidRPr="00560CEF">
        <w:rPr>
          <w:sz w:val="24"/>
          <w:szCs w:val="24"/>
        </w:rPr>
        <w:t xml:space="preserve"> (som natriumsalt).</w:t>
      </w:r>
    </w:p>
    <w:p w14:paraId="7513FC4C" w14:textId="77777777" w:rsidR="00814C97" w:rsidRPr="00560CEF" w:rsidRDefault="00814C97" w:rsidP="002820CE">
      <w:pPr>
        <w:pStyle w:val="EMEAEnBodyText"/>
        <w:autoSpaceDE w:val="0"/>
        <w:autoSpaceDN w:val="0"/>
        <w:adjustRightInd w:val="0"/>
        <w:spacing w:before="0" w:after="0"/>
        <w:ind w:left="851"/>
        <w:jc w:val="left"/>
        <w:rPr>
          <w:sz w:val="24"/>
          <w:szCs w:val="24"/>
        </w:rPr>
      </w:pPr>
      <w:r w:rsidRPr="00560CEF">
        <w:rPr>
          <w:sz w:val="24"/>
          <w:szCs w:val="24"/>
        </w:rPr>
        <w:t xml:space="preserve">Hvert hætteglas med 40 ml koncentrat indeholder 1 g </w:t>
      </w:r>
      <w:proofErr w:type="spellStart"/>
      <w:r w:rsidRPr="00560CEF">
        <w:rPr>
          <w:sz w:val="24"/>
          <w:szCs w:val="24"/>
        </w:rPr>
        <w:t>aciclovir</w:t>
      </w:r>
      <w:proofErr w:type="spellEnd"/>
      <w:r w:rsidRPr="00560CEF">
        <w:rPr>
          <w:sz w:val="24"/>
          <w:szCs w:val="24"/>
        </w:rPr>
        <w:t xml:space="preserve"> (som natriumsalt).</w:t>
      </w:r>
    </w:p>
    <w:p w14:paraId="1AC2F369" w14:textId="77777777" w:rsidR="00814C97" w:rsidRPr="00560CEF" w:rsidRDefault="00814C97" w:rsidP="002820CE">
      <w:pPr>
        <w:ind w:left="851"/>
        <w:rPr>
          <w:sz w:val="24"/>
          <w:szCs w:val="24"/>
        </w:rPr>
      </w:pPr>
    </w:p>
    <w:p w14:paraId="4400CA1A" w14:textId="5C31FE72" w:rsidR="00814C97" w:rsidRPr="00560CEF" w:rsidRDefault="00814C97" w:rsidP="002820CE">
      <w:pPr>
        <w:pStyle w:val="EMEAEnBodyText"/>
        <w:autoSpaceDE w:val="0"/>
        <w:autoSpaceDN w:val="0"/>
        <w:adjustRightInd w:val="0"/>
        <w:spacing w:before="0" w:after="0"/>
        <w:ind w:left="851"/>
        <w:jc w:val="left"/>
        <w:rPr>
          <w:iCs/>
          <w:sz w:val="24"/>
          <w:szCs w:val="24"/>
          <w:u w:val="single"/>
        </w:rPr>
      </w:pPr>
      <w:r w:rsidRPr="00560CEF">
        <w:rPr>
          <w:sz w:val="24"/>
          <w:szCs w:val="24"/>
          <w:u w:val="single"/>
        </w:rPr>
        <w:t>Hjælpestof, som behandleren skal være opmærksom på</w:t>
      </w:r>
    </w:p>
    <w:p w14:paraId="6D5621CE" w14:textId="37E2C5FF" w:rsidR="00814C97" w:rsidRPr="00560CEF" w:rsidRDefault="00814C97" w:rsidP="002820CE">
      <w:pPr>
        <w:ind w:left="851"/>
        <w:rPr>
          <w:sz w:val="24"/>
          <w:szCs w:val="24"/>
        </w:rPr>
      </w:pPr>
      <w:r w:rsidRPr="00560CEF">
        <w:rPr>
          <w:sz w:val="24"/>
          <w:szCs w:val="24"/>
        </w:rPr>
        <w:t>Hver ml opløsning indeholder 2,67 mg natrium (ca. 0,116 mmol)</w:t>
      </w:r>
      <w:r w:rsidR="0037296C">
        <w:rPr>
          <w:sz w:val="24"/>
          <w:szCs w:val="24"/>
        </w:rPr>
        <w:t>.</w:t>
      </w:r>
    </w:p>
    <w:p w14:paraId="1C5BDE4A" w14:textId="77777777" w:rsidR="00814C97" w:rsidRPr="00560CEF" w:rsidRDefault="00814C97" w:rsidP="002820CE">
      <w:pPr>
        <w:ind w:left="851"/>
        <w:rPr>
          <w:sz w:val="24"/>
          <w:szCs w:val="24"/>
        </w:rPr>
      </w:pPr>
    </w:p>
    <w:p w14:paraId="0B6B7981" w14:textId="77777777" w:rsidR="00814C97" w:rsidRPr="00560CEF" w:rsidRDefault="00814C97" w:rsidP="002820CE">
      <w:pPr>
        <w:ind w:left="851"/>
        <w:rPr>
          <w:sz w:val="24"/>
          <w:szCs w:val="24"/>
        </w:rPr>
      </w:pPr>
      <w:r w:rsidRPr="00560CEF">
        <w:rPr>
          <w:sz w:val="24"/>
          <w:szCs w:val="24"/>
        </w:rPr>
        <w:t>Alle hjælpestoffer er anført under pkt. 6.1.</w:t>
      </w:r>
    </w:p>
    <w:p w14:paraId="741946D6" w14:textId="77777777" w:rsidR="009260DE" w:rsidRPr="00560CEF" w:rsidRDefault="009260DE" w:rsidP="009260DE">
      <w:pPr>
        <w:tabs>
          <w:tab w:val="left" w:pos="851"/>
        </w:tabs>
        <w:ind w:left="851"/>
        <w:rPr>
          <w:sz w:val="24"/>
          <w:szCs w:val="24"/>
        </w:rPr>
      </w:pPr>
    </w:p>
    <w:p w14:paraId="08BF8857" w14:textId="77777777" w:rsidR="009260DE" w:rsidRPr="00560CEF" w:rsidRDefault="009260DE" w:rsidP="009260DE">
      <w:pPr>
        <w:tabs>
          <w:tab w:val="left" w:pos="851"/>
        </w:tabs>
        <w:ind w:left="851" w:hanging="851"/>
        <w:rPr>
          <w:b/>
          <w:sz w:val="24"/>
          <w:szCs w:val="24"/>
        </w:rPr>
      </w:pPr>
      <w:r w:rsidRPr="00560CEF">
        <w:rPr>
          <w:b/>
          <w:sz w:val="24"/>
          <w:szCs w:val="24"/>
        </w:rPr>
        <w:t>3.</w:t>
      </w:r>
      <w:r w:rsidRPr="00560CEF">
        <w:rPr>
          <w:b/>
          <w:sz w:val="24"/>
          <w:szCs w:val="24"/>
        </w:rPr>
        <w:tab/>
        <w:t>LÆGEMIDDELFORM</w:t>
      </w:r>
    </w:p>
    <w:p w14:paraId="6720CC1D" w14:textId="57BD802C" w:rsidR="00814C97" w:rsidRDefault="00814C97" w:rsidP="002820CE">
      <w:pPr>
        <w:ind w:left="851"/>
        <w:rPr>
          <w:sz w:val="24"/>
          <w:szCs w:val="24"/>
        </w:rPr>
      </w:pPr>
      <w:r w:rsidRPr="00560CEF">
        <w:rPr>
          <w:sz w:val="24"/>
          <w:szCs w:val="24"/>
        </w:rPr>
        <w:t>Koncentrat til infusionsvæske, opløsning</w:t>
      </w:r>
    </w:p>
    <w:p w14:paraId="1BEB096E" w14:textId="77777777" w:rsidR="0037296C" w:rsidRPr="00560CEF" w:rsidRDefault="0037296C" w:rsidP="002820CE">
      <w:pPr>
        <w:ind w:left="851"/>
        <w:rPr>
          <w:sz w:val="24"/>
          <w:szCs w:val="24"/>
        </w:rPr>
      </w:pPr>
    </w:p>
    <w:p w14:paraId="0638A246" w14:textId="77777777" w:rsidR="0037296C" w:rsidRDefault="00814C97" w:rsidP="002820CE">
      <w:pPr>
        <w:tabs>
          <w:tab w:val="left" w:pos="1304"/>
        </w:tabs>
        <w:autoSpaceDE w:val="0"/>
        <w:autoSpaceDN w:val="0"/>
        <w:adjustRightInd w:val="0"/>
        <w:ind w:left="851"/>
        <w:rPr>
          <w:color w:val="000000"/>
          <w:sz w:val="24"/>
          <w:szCs w:val="24"/>
        </w:rPr>
      </w:pPr>
      <w:r w:rsidRPr="00560CEF">
        <w:rPr>
          <w:color w:val="000000"/>
          <w:sz w:val="24"/>
          <w:szCs w:val="24"/>
        </w:rPr>
        <w:t>Klar, farveløs eller næsten farveløs opløsning fyldt i et hætteglas.</w:t>
      </w:r>
    </w:p>
    <w:p w14:paraId="704375B5" w14:textId="32807C98" w:rsidR="00814C97" w:rsidRPr="00560CEF" w:rsidRDefault="00814C97" w:rsidP="002820CE">
      <w:pPr>
        <w:tabs>
          <w:tab w:val="left" w:pos="1304"/>
        </w:tabs>
        <w:autoSpaceDE w:val="0"/>
        <w:autoSpaceDN w:val="0"/>
        <w:adjustRightInd w:val="0"/>
        <w:ind w:left="851"/>
        <w:rPr>
          <w:sz w:val="24"/>
          <w:szCs w:val="24"/>
        </w:rPr>
      </w:pPr>
      <w:r w:rsidRPr="00560CEF">
        <w:rPr>
          <w:color w:val="000000"/>
          <w:sz w:val="24"/>
          <w:szCs w:val="24"/>
        </w:rPr>
        <w:t>Ved visuel inspektion under passende betingelser bør opløsningen være praktisk taget fri for fremmede partikler.</w:t>
      </w:r>
    </w:p>
    <w:p w14:paraId="6707A6A6" w14:textId="77777777" w:rsidR="00814C97" w:rsidRPr="00560CEF" w:rsidRDefault="00814C97" w:rsidP="002820CE">
      <w:pPr>
        <w:ind w:left="851"/>
        <w:rPr>
          <w:sz w:val="24"/>
          <w:szCs w:val="24"/>
        </w:rPr>
      </w:pPr>
    </w:p>
    <w:p w14:paraId="2B911EEC" w14:textId="77777777" w:rsidR="00814C97" w:rsidRPr="00560CEF" w:rsidRDefault="00814C97" w:rsidP="002820CE">
      <w:pPr>
        <w:ind w:left="851"/>
        <w:rPr>
          <w:sz w:val="24"/>
          <w:szCs w:val="24"/>
        </w:rPr>
      </w:pPr>
      <w:r w:rsidRPr="00560CEF">
        <w:rPr>
          <w:sz w:val="24"/>
          <w:szCs w:val="24"/>
        </w:rPr>
        <w:t>pH-værdien mellem 10,7 og 11,7.</w:t>
      </w:r>
    </w:p>
    <w:p w14:paraId="0404DF83" w14:textId="77777777" w:rsidR="009260DE" w:rsidRPr="00560CEF" w:rsidRDefault="009260DE" w:rsidP="009260DE">
      <w:pPr>
        <w:tabs>
          <w:tab w:val="left" w:pos="851"/>
        </w:tabs>
        <w:ind w:left="851"/>
        <w:rPr>
          <w:sz w:val="24"/>
          <w:szCs w:val="24"/>
        </w:rPr>
      </w:pPr>
    </w:p>
    <w:p w14:paraId="49FF4BED" w14:textId="77777777" w:rsidR="009260DE" w:rsidRPr="00560CEF" w:rsidRDefault="009260DE" w:rsidP="002820CE">
      <w:pPr>
        <w:ind w:left="851"/>
        <w:rPr>
          <w:sz w:val="24"/>
          <w:szCs w:val="24"/>
        </w:rPr>
      </w:pPr>
    </w:p>
    <w:p w14:paraId="6210AACC" w14:textId="77777777" w:rsidR="009260DE" w:rsidRPr="00560CEF" w:rsidRDefault="009260DE" w:rsidP="009260DE">
      <w:pPr>
        <w:tabs>
          <w:tab w:val="left" w:pos="851"/>
        </w:tabs>
        <w:ind w:left="851" w:hanging="851"/>
        <w:rPr>
          <w:b/>
          <w:sz w:val="24"/>
          <w:szCs w:val="24"/>
        </w:rPr>
      </w:pPr>
      <w:r w:rsidRPr="00560CEF">
        <w:rPr>
          <w:b/>
          <w:sz w:val="24"/>
          <w:szCs w:val="24"/>
        </w:rPr>
        <w:t>4.</w:t>
      </w:r>
      <w:r w:rsidRPr="00560CEF">
        <w:rPr>
          <w:b/>
          <w:sz w:val="24"/>
          <w:szCs w:val="24"/>
        </w:rPr>
        <w:tab/>
        <w:t>KLINISKE OPLYSNINGER</w:t>
      </w:r>
    </w:p>
    <w:p w14:paraId="34753CEF" w14:textId="77777777" w:rsidR="009260DE" w:rsidRPr="00560CEF" w:rsidRDefault="009260DE" w:rsidP="009260DE">
      <w:pPr>
        <w:tabs>
          <w:tab w:val="left" w:pos="851"/>
        </w:tabs>
        <w:ind w:left="851"/>
        <w:rPr>
          <w:b/>
          <w:sz w:val="24"/>
          <w:szCs w:val="24"/>
        </w:rPr>
      </w:pPr>
    </w:p>
    <w:p w14:paraId="10AF7B16" w14:textId="77777777" w:rsidR="009260DE" w:rsidRPr="00560CEF" w:rsidRDefault="009260DE" w:rsidP="009260DE">
      <w:pPr>
        <w:tabs>
          <w:tab w:val="left" w:pos="851"/>
        </w:tabs>
        <w:ind w:left="851" w:hanging="851"/>
        <w:rPr>
          <w:b/>
          <w:sz w:val="24"/>
          <w:szCs w:val="24"/>
          <w:u w:val="single"/>
        </w:rPr>
      </w:pPr>
      <w:r w:rsidRPr="00560CEF">
        <w:rPr>
          <w:b/>
          <w:sz w:val="24"/>
          <w:szCs w:val="24"/>
        </w:rPr>
        <w:t>4.1</w:t>
      </w:r>
      <w:r w:rsidRPr="00560CEF">
        <w:rPr>
          <w:b/>
          <w:sz w:val="24"/>
          <w:szCs w:val="24"/>
        </w:rPr>
        <w:tab/>
        <w:t>Terapeutiske indikationer</w:t>
      </w:r>
    </w:p>
    <w:p w14:paraId="5ACD8F00" w14:textId="7F5AF365" w:rsidR="00814C97" w:rsidRPr="00560CEF" w:rsidRDefault="00814C97" w:rsidP="002820CE">
      <w:pPr>
        <w:ind w:left="851"/>
        <w:rPr>
          <w:sz w:val="24"/>
          <w:szCs w:val="24"/>
        </w:rPr>
      </w:pPr>
      <w:proofErr w:type="spellStart"/>
      <w:r w:rsidRPr="00560CEF">
        <w:rPr>
          <w:sz w:val="24"/>
          <w:szCs w:val="24"/>
        </w:rPr>
        <w:t>Aciclovir</w:t>
      </w:r>
      <w:proofErr w:type="spellEnd"/>
      <w:r w:rsidRPr="00560CEF">
        <w:rPr>
          <w:sz w:val="24"/>
          <w:szCs w:val="24"/>
        </w:rPr>
        <w:t xml:space="preserve"> </w:t>
      </w:r>
      <w:r w:rsidR="00560CEF">
        <w:rPr>
          <w:sz w:val="24"/>
          <w:szCs w:val="24"/>
        </w:rPr>
        <w:t>"</w:t>
      </w:r>
      <w:proofErr w:type="spellStart"/>
      <w:r w:rsidR="00560CEF">
        <w:rPr>
          <w:sz w:val="24"/>
          <w:szCs w:val="24"/>
        </w:rPr>
        <w:t>Accord</w:t>
      </w:r>
      <w:proofErr w:type="spellEnd"/>
      <w:r w:rsidR="00560CEF">
        <w:rPr>
          <w:sz w:val="24"/>
          <w:szCs w:val="24"/>
        </w:rPr>
        <w:t>"</w:t>
      </w:r>
      <w:r w:rsidRPr="00560CEF">
        <w:rPr>
          <w:sz w:val="24"/>
          <w:szCs w:val="24"/>
        </w:rPr>
        <w:t xml:space="preserve"> er indiceret til:</w:t>
      </w:r>
    </w:p>
    <w:p w14:paraId="1AF3D097" w14:textId="77777777" w:rsidR="00814C97" w:rsidRPr="00560CEF" w:rsidRDefault="00814C97" w:rsidP="002E576E">
      <w:pPr>
        <w:pStyle w:val="Listeafsnit"/>
        <w:numPr>
          <w:ilvl w:val="0"/>
          <w:numId w:val="6"/>
        </w:numPr>
        <w:tabs>
          <w:tab w:val="clear" w:pos="567"/>
        </w:tabs>
        <w:spacing w:line="240" w:lineRule="auto"/>
        <w:ind w:left="1134" w:hanging="283"/>
        <w:rPr>
          <w:sz w:val="24"/>
          <w:szCs w:val="24"/>
        </w:rPr>
      </w:pPr>
      <w:r w:rsidRPr="00560CEF">
        <w:rPr>
          <w:sz w:val="24"/>
          <w:szCs w:val="24"/>
        </w:rPr>
        <w:t xml:space="preserve">behandling og profylakse af herpes </w:t>
      </w:r>
      <w:proofErr w:type="spellStart"/>
      <w:r w:rsidRPr="00560CEF">
        <w:rPr>
          <w:sz w:val="24"/>
          <w:szCs w:val="24"/>
        </w:rPr>
        <w:t>simplex</w:t>
      </w:r>
      <w:proofErr w:type="spellEnd"/>
      <w:r w:rsidRPr="00560CEF">
        <w:rPr>
          <w:sz w:val="24"/>
          <w:szCs w:val="24"/>
        </w:rPr>
        <w:t xml:space="preserve">-infektioner </w:t>
      </w:r>
    </w:p>
    <w:p w14:paraId="1695DF50" w14:textId="77777777" w:rsidR="00814C97" w:rsidRPr="00560CEF" w:rsidRDefault="00814C97" w:rsidP="002E576E">
      <w:pPr>
        <w:pStyle w:val="Listeafsnit"/>
        <w:numPr>
          <w:ilvl w:val="0"/>
          <w:numId w:val="7"/>
        </w:numPr>
        <w:tabs>
          <w:tab w:val="clear" w:pos="567"/>
        </w:tabs>
        <w:spacing w:line="240" w:lineRule="auto"/>
        <w:ind w:left="1418" w:hanging="284"/>
        <w:rPr>
          <w:sz w:val="24"/>
          <w:szCs w:val="24"/>
        </w:rPr>
      </w:pPr>
      <w:r w:rsidRPr="00560CEF">
        <w:rPr>
          <w:sz w:val="24"/>
          <w:szCs w:val="24"/>
        </w:rPr>
        <w:t>hos patienter, der får knoglemarvstransplantationer</w:t>
      </w:r>
    </w:p>
    <w:p w14:paraId="0EA4CB38" w14:textId="77777777" w:rsidR="00814C97" w:rsidRPr="00560CEF" w:rsidRDefault="00814C97" w:rsidP="002E576E">
      <w:pPr>
        <w:pStyle w:val="Listeafsnit"/>
        <w:numPr>
          <w:ilvl w:val="0"/>
          <w:numId w:val="7"/>
        </w:numPr>
        <w:tabs>
          <w:tab w:val="clear" w:pos="567"/>
        </w:tabs>
        <w:spacing w:line="240" w:lineRule="auto"/>
        <w:ind w:left="1418" w:hanging="284"/>
        <w:rPr>
          <w:sz w:val="24"/>
          <w:szCs w:val="24"/>
        </w:rPr>
      </w:pPr>
      <w:r w:rsidRPr="00560CEF">
        <w:rPr>
          <w:sz w:val="24"/>
          <w:szCs w:val="24"/>
        </w:rPr>
        <w:t>under remissionsinduktion af patienter med akut leukæmi</w:t>
      </w:r>
    </w:p>
    <w:p w14:paraId="32931BAD" w14:textId="77777777" w:rsidR="00814C97" w:rsidRPr="00560CEF" w:rsidRDefault="00814C97" w:rsidP="002E576E">
      <w:pPr>
        <w:pStyle w:val="Listeafsnit"/>
        <w:numPr>
          <w:ilvl w:val="0"/>
          <w:numId w:val="8"/>
        </w:numPr>
        <w:tabs>
          <w:tab w:val="clear" w:pos="567"/>
        </w:tabs>
        <w:spacing w:line="240" w:lineRule="auto"/>
        <w:ind w:left="1134" w:hanging="283"/>
        <w:rPr>
          <w:sz w:val="24"/>
          <w:szCs w:val="24"/>
        </w:rPr>
      </w:pPr>
      <w:r w:rsidRPr="00560CEF">
        <w:rPr>
          <w:sz w:val="24"/>
          <w:szCs w:val="24"/>
        </w:rPr>
        <w:lastRenderedPageBreak/>
        <w:t xml:space="preserve">behandling af </w:t>
      </w:r>
    </w:p>
    <w:p w14:paraId="50998D5E" w14:textId="77777777" w:rsidR="00814C97" w:rsidRPr="00560CEF" w:rsidRDefault="00814C97" w:rsidP="002E576E">
      <w:pPr>
        <w:pStyle w:val="Listeafsnit"/>
        <w:numPr>
          <w:ilvl w:val="0"/>
          <w:numId w:val="9"/>
        </w:numPr>
        <w:tabs>
          <w:tab w:val="clear" w:pos="567"/>
        </w:tabs>
        <w:spacing w:line="240" w:lineRule="auto"/>
        <w:ind w:left="1418" w:hanging="284"/>
        <w:rPr>
          <w:sz w:val="24"/>
          <w:szCs w:val="24"/>
        </w:rPr>
      </w:pPr>
      <w:r w:rsidRPr="00560CEF">
        <w:rPr>
          <w:sz w:val="24"/>
          <w:szCs w:val="24"/>
        </w:rPr>
        <w:t xml:space="preserve">primære og recidiverende </w:t>
      </w:r>
      <w:proofErr w:type="spellStart"/>
      <w:r w:rsidRPr="00560CEF">
        <w:rPr>
          <w:sz w:val="24"/>
          <w:szCs w:val="24"/>
        </w:rPr>
        <w:t>varicella</w:t>
      </w:r>
      <w:proofErr w:type="spellEnd"/>
      <w:r w:rsidRPr="00560CEF">
        <w:rPr>
          <w:sz w:val="24"/>
          <w:szCs w:val="24"/>
        </w:rPr>
        <w:t xml:space="preserve"> </w:t>
      </w:r>
      <w:proofErr w:type="spellStart"/>
      <w:r w:rsidRPr="00560CEF">
        <w:rPr>
          <w:sz w:val="24"/>
          <w:szCs w:val="24"/>
        </w:rPr>
        <w:t>zoster</w:t>
      </w:r>
      <w:proofErr w:type="spellEnd"/>
      <w:r w:rsidRPr="00560CEF">
        <w:rPr>
          <w:sz w:val="24"/>
          <w:szCs w:val="24"/>
        </w:rPr>
        <w:t xml:space="preserve">-infektioner hos immunkompromitterede patienter </w:t>
      </w:r>
    </w:p>
    <w:p w14:paraId="2DD140F7" w14:textId="77777777" w:rsidR="00814C97" w:rsidRPr="00560CEF" w:rsidRDefault="00814C97" w:rsidP="002E576E">
      <w:pPr>
        <w:pStyle w:val="Listeafsnit"/>
        <w:numPr>
          <w:ilvl w:val="0"/>
          <w:numId w:val="9"/>
        </w:numPr>
        <w:tabs>
          <w:tab w:val="clear" w:pos="567"/>
        </w:tabs>
        <w:spacing w:line="240" w:lineRule="auto"/>
        <w:ind w:left="1418" w:hanging="284"/>
        <w:rPr>
          <w:sz w:val="24"/>
          <w:szCs w:val="24"/>
        </w:rPr>
      </w:pPr>
      <w:r w:rsidRPr="00560CEF">
        <w:rPr>
          <w:sz w:val="24"/>
          <w:szCs w:val="24"/>
        </w:rPr>
        <w:t xml:space="preserve">svær helvedesild (recidiverende </w:t>
      </w:r>
      <w:proofErr w:type="spellStart"/>
      <w:r w:rsidRPr="00560CEF">
        <w:rPr>
          <w:sz w:val="24"/>
          <w:szCs w:val="24"/>
        </w:rPr>
        <w:t>varicella</w:t>
      </w:r>
      <w:proofErr w:type="spellEnd"/>
      <w:r w:rsidRPr="00560CEF">
        <w:rPr>
          <w:sz w:val="24"/>
          <w:szCs w:val="24"/>
        </w:rPr>
        <w:t xml:space="preserve"> </w:t>
      </w:r>
      <w:proofErr w:type="spellStart"/>
      <w:r w:rsidRPr="00560CEF">
        <w:rPr>
          <w:sz w:val="24"/>
          <w:szCs w:val="24"/>
        </w:rPr>
        <w:t>zoster</w:t>
      </w:r>
      <w:proofErr w:type="spellEnd"/>
      <w:r w:rsidRPr="00560CEF">
        <w:rPr>
          <w:sz w:val="24"/>
          <w:szCs w:val="24"/>
        </w:rPr>
        <w:t>-infektioner) hos patienter med normalt immunforsvar.</w:t>
      </w:r>
    </w:p>
    <w:p w14:paraId="4FB61A32" w14:textId="77777777" w:rsidR="00814C97" w:rsidRPr="00560CEF" w:rsidRDefault="00814C97" w:rsidP="002E576E">
      <w:pPr>
        <w:pStyle w:val="Listeafsnit"/>
        <w:numPr>
          <w:ilvl w:val="0"/>
          <w:numId w:val="9"/>
        </w:numPr>
        <w:tabs>
          <w:tab w:val="clear" w:pos="567"/>
        </w:tabs>
        <w:spacing w:line="240" w:lineRule="auto"/>
        <w:ind w:left="1418" w:hanging="284"/>
        <w:rPr>
          <w:sz w:val="24"/>
          <w:szCs w:val="24"/>
        </w:rPr>
      </w:pPr>
      <w:r w:rsidRPr="00560CEF">
        <w:rPr>
          <w:sz w:val="24"/>
          <w:szCs w:val="24"/>
        </w:rPr>
        <w:t xml:space="preserve">svær initial herpes </w:t>
      </w:r>
      <w:proofErr w:type="spellStart"/>
      <w:r w:rsidRPr="00560CEF">
        <w:rPr>
          <w:sz w:val="24"/>
          <w:szCs w:val="24"/>
        </w:rPr>
        <w:t>genitalis</w:t>
      </w:r>
      <w:proofErr w:type="spellEnd"/>
    </w:p>
    <w:p w14:paraId="1817E189" w14:textId="77777777" w:rsidR="00814C97" w:rsidRPr="00560CEF" w:rsidRDefault="00814C97" w:rsidP="002E576E">
      <w:pPr>
        <w:pStyle w:val="Listeafsnit"/>
        <w:numPr>
          <w:ilvl w:val="0"/>
          <w:numId w:val="9"/>
        </w:numPr>
        <w:tabs>
          <w:tab w:val="clear" w:pos="567"/>
        </w:tabs>
        <w:spacing w:line="240" w:lineRule="auto"/>
        <w:ind w:left="1418" w:hanging="284"/>
        <w:rPr>
          <w:sz w:val="24"/>
          <w:szCs w:val="24"/>
        </w:rPr>
      </w:pPr>
      <w:r w:rsidRPr="00560CEF">
        <w:rPr>
          <w:sz w:val="24"/>
          <w:szCs w:val="24"/>
        </w:rPr>
        <w:t xml:space="preserve">herpes </w:t>
      </w:r>
      <w:proofErr w:type="spellStart"/>
      <w:r w:rsidRPr="00560CEF">
        <w:rPr>
          <w:sz w:val="24"/>
          <w:szCs w:val="24"/>
        </w:rPr>
        <w:t>simplex</w:t>
      </w:r>
      <w:proofErr w:type="spellEnd"/>
      <w:r w:rsidRPr="00560CEF">
        <w:rPr>
          <w:sz w:val="24"/>
          <w:szCs w:val="24"/>
        </w:rPr>
        <w:t xml:space="preserve"> </w:t>
      </w:r>
      <w:proofErr w:type="spellStart"/>
      <w:r w:rsidRPr="00560CEF">
        <w:rPr>
          <w:sz w:val="24"/>
          <w:szCs w:val="24"/>
        </w:rPr>
        <w:t>encephalitis</w:t>
      </w:r>
      <w:proofErr w:type="spellEnd"/>
    </w:p>
    <w:p w14:paraId="6733F16D" w14:textId="77777777" w:rsidR="00814C97" w:rsidRPr="00560CEF" w:rsidRDefault="00814C97" w:rsidP="002E576E">
      <w:pPr>
        <w:pStyle w:val="Listeafsnit"/>
        <w:numPr>
          <w:ilvl w:val="0"/>
          <w:numId w:val="9"/>
        </w:numPr>
        <w:tabs>
          <w:tab w:val="clear" w:pos="567"/>
        </w:tabs>
        <w:spacing w:line="240" w:lineRule="auto"/>
        <w:ind w:left="1418" w:hanging="284"/>
        <w:rPr>
          <w:sz w:val="24"/>
          <w:szCs w:val="24"/>
        </w:rPr>
      </w:pPr>
      <w:r w:rsidRPr="00560CEF">
        <w:rPr>
          <w:sz w:val="24"/>
          <w:szCs w:val="24"/>
        </w:rPr>
        <w:t>neonatal herpes-infektion</w:t>
      </w:r>
    </w:p>
    <w:p w14:paraId="3F44A1E6" w14:textId="77777777" w:rsidR="009260DE" w:rsidRPr="00560CEF" w:rsidRDefault="009260DE" w:rsidP="009260DE">
      <w:pPr>
        <w:tabs>
          <w:tab w:val="left" w:pos="851"/>
        </w:tabs>
        <w:ind w:left="851"/>
        <w:rPr>
          <w:sz w:val="24"/>
          <w:szCs w:val="24"/>
        </w:rPr>
      </w:pPr>
    </w:p>
    <w:p w14:paraId="4703D8E2" w14:textId="6ECD86EB" w:rsidR="009260DE" w:rsidRPr="00560CEF" w:rsidRDefault="009260DE" w:rsidP="009260DE">
      <w:pPr>
        <w:tabs>
          <w:tab w:val="left" w:pos="851"/>
        </w:tabs>
        <w:ind w:left="851" w:hanging="851"/>
        <w:rPr>
          <w:b/>
          <w:sz w:val="24"/>
          <w:szCs w:val="24"/>
        </w:rPr>
      </w:pPr>
      <w:r w:rsidRPr="00560CEF">
        <w:rPr>
          <w:b/>
          <w:sz w:val="24"/>
          <w:szCs w:val="24"/>
        </w:rPr>
        <w:t>4.2</w:t>
      </w:r>
      <w:r w:rsidRPr="00560CEF">
        <w:rPr>
          <w:b/>
          <w:sz w:val="24"/>
          <w:szCs w:val="24"/>
        </w:rPr>
        <w:tab/>
        <w:t xml:space="preserve">Dosering og </w:t>
      </w:r>
      <w:r w:rsidR="00272715">
        <w:rPr>
          <w:b/>
          <w:sz w:val="24"/>
          <w:szCs w:val="24"/>
        </w:rPr>
        <w:t>administration</w:t>
      </w:r>
    </w:p>
    <w:p w14:paraId="519C6F2E" w14:textId="2CADAF1D" w:rsidR="00814C97" w:rsidRPr="00560CEF" w:rsidRDefault="00814C97" w:rsidP="002820CE">
      <w:pPr>
        <w:ind w:left="851"/>
        <w:rPr>
          <w:sz w:val="24"/>
          <w:szCs w:val="24"/>
        </w:rPr>
      </w:pPr>
      <w:proofErr w:type="spellStart"/>
      <w:r w:rsidRPr="00560CEF">
        <w:rPr>
          <w:sz w:val="24"/>
          <w:szCs w:val="24"/>
        </w:rPr>
        <w:t>Aciclovir</w:t>
      </w:r>
      <w:proofErr w:type="spellEnd"/>
      <w:r w:rsidRPr="00560CEF">
        <w:rPr>
          <w:sz w:val="24"/>
          <w:szCs w:val="24"/>
        </w:rPr>
        <w:t xml:space="preserve"> </w:t>
      </w:r>
      <w:r w:rsidR="00560CEF">
        <w:rPr>
          <w:sz w:val="24"/>
          <w:szCs w:val="24"/>
        </w:rPr>
        <w:t>"</w:t>
      </w:r>
      <w:proofErr w:type="spellStart"/>
      <w:r w:rsidR="00560CEF">
        <w:rPr>
          <w:sz w:val="24"/>
          <w:szCs w:val="24"/>
        </w:rPr>
        <w:t>Accord</w:t>
      </w:r>
      <w:proofErr w:type="spellEnd"/>
      <w:r w:rsidR="00560CEF">
        <w:rPr>
          <w:sz w:val="24"/>
          <w:szCs w:val="24"/>
        </w:rPr>
        <w:t>"</w:t>
      </w:r>
      <w:r w:rsidRPr="00560CEF">
        <w:rPr>
          <w:sz w:val="24"/>
          <w:szCs w:val="24"/>
        </w:rPr>
        <w:t xml:space="preserve"> bør kun indgives ved langsom intravenøs infusion i 1 time. </w:t>
      </w:r>
      <w:proofErr w:type="spellStart"/>
      <w:r w:rsidRPr="00560CEF">
        <w:rPr>
          <w:sz w:val="24"/>
          <w:szCs w:val="24"/>
        </w:rPr>
        <w:t>Aciclovir</w:t>
      </w:r>
      <w:proofErr w:type="spellEnd"/>
      <w:r w:rsidRPr="00560CEF">
        <w:rPr>
          <w:sz w:val="24"/>
          <w:szCs w:val="24"/>
        </w:rPr>
        <w:t xml:space="preserve"> </w:t>
      </w:r>
      <w:r w:rsidR="00560CEF">
        <w:rPr>
          <w:sz w:val="24"/>
          <w:szCs w:val="24"/>
        </w:rPr>
        <w:t>"</w:t>
      </w:r>
      <w:proofErr w:type="spellStart"/>
      <w:r w:rsidR="00560CEF">
        <w:rPr>
          <w:sz w:val="24"/>
          <w:szCs w:val="24"/>
        </w:rPr>
        <w:t>Accord</w:t>
      </w:r>
      <w:proofErr w:type="spellEnd"/>
      <w:r w:rsidR="00560CEF">
        <w:rPr>
          <w:sz w:val="24"/>
          <w:szCs w:val="24"/>
        </w:rPr>
        <w:t>"</w:t>
      </w:r>
      <w:r w:rsidRPr="00560CEF">
        <w:rPr>
          <w:sz w:val="24"/>
          <w:szCs w:val="24"/>
        </w:rPr>
        <w:t xml:space="preserve"> må aldrig gives som en </w:t>
      </w:r>
      <w:proofErr w:type="spellStart"/>
      <w:r w:rsidRPr="00560CEF">
        <w:rPr>
          <w:sz w:val="24"/>
          <w:szCs w:val="24"/>
        </w:rPr>
        <w:t>bolusinjektion</w:t>
      </w:r>
      <w:proofErr w:type="spellEnd"/>
      <w:r w:rsidRPr="00560CEF">
        <w:rPr>
          <w:sz w:val="24"/>
          <w:szCs w:val="24"/>
        </w:rPr>
        <w:t xml:space="preserve"> (se også pkt. 6.6).</w:t>
      </w:r>
    </w:p>
    <w:p w14:paraId="79621C30" w14:textId="77777777" w:rsidR="00814C97" w:rsidRPr="00560CEF" w:rsidRDefault="00814C97" w:rsidP="002820CE">
      <w:pPr>
        <w:ind w:left="851"/>
        <w:rPr>
          <w:bCs/>
          <w:iCs/>
          <w:sz w:val="24"/>
          <w:szCs w:val="24"/>
        </w:rPr>
      </w:pPr>
    </w:p>
    <w:p w14:paraId="43E04D88" w14:textId="77777777" w:rsidR="00814C97" w:rsidRPr="00560CEF" w:rsidRDefault="00814C97" w:rsidP="002820CE">
      <w:pPr>
        <w:ind w:left="851"/>
        <w:rPr>
          <w:bCs/>
          <w:iCs/>
          <w:sz w:val="24"/>
          <w:szCs w:val="24"/>
          <w:u w:val="single"/>
        </w:rPr>
      </w:pPr>
      <w:r w:rsidRPr="00560CEF">
        <w:rPr>
          <w:bCs/>
          <w:iCs/>
          <w:sz w:val="24"/>
          <w:szCs w:val="24"/>
          <w:u w:val="single"/>
        </w:rPr>
        <w:t xml:space="preserve">Behandlingsvarighed </w:t>
      </w:r>
    </w:p>
    <w:p w14:paraId="0F0B2A0F" w14:textId="7A5FDE7D" w:rsidR="00814C97" w:rsidRPr="00560CEF" w:rsidRDefault="00814C97" w:rsidP="002820CE">
      <w:pPr>
        <w:ind w:left="851"/>
        <w:rPr>
          <w:bCs/>
          <w:iCs/>
          <w:sz w:val="24"/>
          <w:szCs w:val="24"/>
        </w:rPr>
      </w:pPr>
      <w:r w:rsidRPr="00560CEF">
        <w:rPr>
          <w:sz w:val="24"/>
          <w:szCs w:val="24"/>
        </w:rPr>
        <w:t xml:space="preserve">Behandling af patienter med herpes </w:t>
      </w:r>
      <w:proofErr w:type="spellStart"/>
      <w:r w:rsidRPr="00560CEF">
        <w:rPr>
          <w:sz w:val="24"/>
          <w:szCs w:val="24"/>
        </w:rPr>
        <w:t>simplex</w:t>
      </w:r>
      <w:proofErr w:type="spellEnd"/>
      <w:r w:rsidRPr="00560CEF">
        <w:rPr>
          <w:sz w:val="24"/>
          <w:szCs w:val="24"/>
        </w:rPr>
        <w:t xml:space="preserve"> </w:t>
      </w:r>
      <w:proofErr w:type="spellStart"/>
      <w:r w:rsidRPr="00560CEF">
        <w:rPr>
          <w:sz w:val="24"/>
          <w:szCs w:val="24"/>
        </w:rPr>
        <w:t>encephalitis</w:t>
      </w:r>
      <w:proofErr w:type="spellEnd"/>
      <w:r w:rsidRPr="00560CEF">
        <w:rPr>
          <w:sz w:val="24"/>
          <w:szCs w:val="24"/>
        </w:rPr>
        <w:t xml:space="preserve"> varer 10 dage med </w:t>
      </w:r>
      <w:proofErr w:type="spellStart"/>
      <w:r w:rsidRPr="00560CEF">
        <w:rPr>
          <w:sz w:val="24"/>
          <w:szCs w:val="24"/>
        </w:rPr>
        <w:t>Aciclovir</w:t>
      </w:r>
      <w:proofErr w:type="spellEnd"/>
      <w:r w:rsidRPr="00560CEF">
        <w:rPr>
          <w:sz w:val="24"/>
          <w:szCs w:val="24"/>
        </w:rPr>
        <w:t xml:space="preserve"> </w:t>
      </w:r>
      <w:r w:rsidR="00560CEF">
        <w:rPr>
          <w:sz w:val="24"/>
          <w:szCs w:val="24"/>
        </w:rPr>
        <w:t>"</w:t>
      </w:r>
      <w:proofErr w:type="spellStart"/>
      <w:r w:rsidR="00560CEF">
        <w:rPr>
          <w:sz w:val="24"/>
          <w:szCs w:val="24"/>
        </w:rPr>
        <w:t>Accord</w:t>
      </w:r>
      <w:proofErr w:type="spellEnd"/>
      <w:r w:rsidR="00560CEF">
        <w:rPr>
          <w:sz w:val="24"/>
          <w:szCs w:val="24"/>
        </w:rPr>
        <w:t>"</w:t>
      </w:r>
      <w:r w:rsidRPr="00560CEF">
        <w:rPr>
          <w:sz w:val="24"/>
          <w:szCs w:val="24"/>
        </w:rPr>
        <w:t xml:space="preserve">. Behandling af patienter med neonatal herpes-infektion varer sædvanligvis 14-21 dage med </w:t>
      </w:r>
      <w:proofErr w:type="spellStart"/>
      <w:r w:rsidRPr="00560CEF">
        <w:rPr>
          <w:sz w:val="24"/>
          <w:szCs w:val="24"/>
        </w:rPr>
        <w:t>Aciclovir</w:t>
      </w:r>
      <w:proofErr w:type="spellEnd"/>
      <w:r w:rsidRPr="00560CEF">
        <w:rPr>
          <w:sz w:val="24"/>
          <w:szCs w:val="24"/>
        </w:rPr>
        <w:t xml:space="preserve"> </w:t>
      </w:r>
      <w:r w:rsidR="00560CEF">
        <w:rPr>
          <w:sz w:val="24"/>
          <w:szCs w:val="24"/>
        </w:rPr>
        <w:t>"</w:t>
      </w:r>
      <w:proofErr w:type="spellStart"/>
      <w:r w:rsidR="00560CEF">
        <w:rPr>
          <w:sz w:val="24"/>
          <w:szCs w:val="24"/>
        </w:rPr>
        <w:t>Accord</w:t>
      </w:r>
      <w:proofErr w:type="spellEnd"/>
      <w:r w:rsidR="00560CEF">
        <w:rPr>
          <w:sz w:val="24"/>
          <w:szCs w:val="24"/>
        </w:rPr>
        <w:t>"</w:t>
      </w:r>
      <w:r w:rsidRPr="00560CEF">
        <w:rPr>
          <w:sz w:val="24"/>
          <w:szCs w:val="24"/>
        </w:rPr>
        <w:t>.</w:t>
      </w:r>
    </w:p>
    <w:p w14:paraId="3A593826" w14:textId="77777777" w:rsidR="00814C97" w:rsidRPr="00560CEF" w:rsidRDefault="00814C97" w:rsidP="002820CE">
      <w:pPr>
        <w:ind w:left="851"/>
        <w:rPr>
          <w:bCs/>
          <w:iCs/>
          <w:sz w:val="24"/>
          <w:szCs w:val="24"/>
        </w:rPr>
      </w:pPr>
    </w:p>
    <w:p w14:paraId="0BCBD436" w14:textId="2ADD6718" w:rsidR="00814C97" w:rsidRPr="00560CEF" w:rsidRDefault="00814C97" w:rsidP="002820CE">
      <w:pPr>
        <w:ind w:left="851"/>
        <w:rPr>
          <w:bCs/>
          <w:iCs/>
          <w:sz w:val="24"/>
          <w:szCs w:val="24"/>
        </w:rPr>
      </w:pPr>
      <w:r w:rsidRPr="00560CEF">
        <w:rPr>
          <w:sz w:val="24"/>
          <w:szCs w:val="24"/>
        </w:rPr>
        <w:t xml:space="preserve">Behandling af patienter med andre herpes </w:t>
      </w:r>
      <w:proofErr w:type="spellStart"/>
      <w:r w:rsidRPr="00560CEF">
        <w:rPr>
          <w:sz w:val="24"/>
          <w:szCs w:val="24"/>
        </w:rPr>
        <w:t>simplex</w:t>
      </w:r>
      <w:proofErr w:type="spellEnd"/>
      <w:r w:rsidRPr="00560CEF">
        <w:rPr>
          <w:sz w:val="24"/>
          <w:szCs w:val="24"/>
        </w:rPr>
        <w:t xml:space="preserve">-infektioner og patienter med herpes </w:t>
      </w:r>
      <w:proofErr w:type="spellStart"/>
      <w:r w:rsidRPr="00560CEF">
        <w:rPr>
          <w:sz w:val="24"/>
          <w:szCs w:val="24"/>
        </w:rPr>
        <w:t>zoster</w:t>
      </w:r>
      <w:proofErr w:type="spellEnd"/>
      <w:r w:rsidRPr="00560CEF">
        <w:rPr>
          <w:sz w:val="24"/>
          <w:szCs w:val="24"/>
        </w:rPr>
        <w:t xml:space="preserve"> varer sædvanligvis 5 dage med </w:t>
      </w:r>
      <w:proofErr w:type="spellStart"/>
      <w:r w:rsidRPr="00560CEF">
        <w:rPr>
          <w:sz w:val="24"/>
          <w:szCs w:val="24"/>
        </w:rPr>
        <w:t>Aciclovir</w:t>
      </w:r>
      <w:proofErr w:type="spellEnd"/>
      <w:r w:rsidRPr="00560CEF">
        <w:rPr>
          <w:sz w:val="24"/>
          <w:szCs w:val="24"/>
        </w:rPr>
        <w:t xml:space="preserve"> </w:t>
      </w:r>
      <w:r w:rsidR="00560CEF">
        <w:rPr>
          <w:sz w:val="24"/>
          <w:szCs w:val="24"/>
        </w:rPr>
        <w:t>"</w:t>
      </w:r>
      <w:proofErr w:type="spellStart"/>
      <w:r w:rsidR="00560CEF">
        <w:rPr>
          <w:sz w:val="24"/>
          <w:szCs w:val="24"/>
        </w:rPr>
        <w:t>Accord</w:t>
      </w:r>
      <w:proofErr w:type="spellEnd"/>
      <w:r w:rsidR="00560CEF">
        <w:rPr>
          <w:sz w:val="24"/>
          <w:szCs w:val="24"/>
        </w:rPr>
        <w:t>"</w:t>
      </w:r>
      <w:r w:rsidRPr="00560CEF">
        <w:rPr>
          <w:sz w:val="24"/>
          <w:szCs w:val="24"/>
        </w:rPr>
        <w:t>. Behandlingsvarigheden hos disse patienter afhænger dog af patientens tilstand og behandlingsrespons.</w:t>
      </w:r>
    </w:p>
    <w:p w14:paraId="2598DD42" w14:textId="77777777" w:rsidR="00814C97" w:rsidRPr="00560CEF" w:rsidRDefault="00814C97" w:rsidP="002820CE">
      <w:pPr>
        <w:ind w:left="851"/>
        <w:rPr>
          <w:bCs/>
          <w:iCs/>
          <w:sz w:val="24"/>
          <w:szCs w:val="24"/>
        </w:rPr>
      </w:pPr>
    </w:p>
    <w:p w14:paraId="746CE4F2" w14:textId="560B3294" w:rsidR="00814C97" w:rsidRPr="00560CEF" w:rsidRDefault="00814C97" w:rsidP="002820CE">
      <w:pPr>
        <w:ind w:left="851"/>
        <w:rPr>
          <w:bCs/>
          <w:iCs/>
          <w:sz w:val="24"/>
          <w:szCs w:val="24"/>
        </w:rPr>
      </w:pPr>
      <w:r w:rsidRPr="00560CEF">
        <w:rPr>
          <w:sz w:val="24"/>
          <w:szCs w:val="24"/>
        </w:rPr>
        <w:t xml:space="preserve">Varigheden af profylaktisk indgift af </w:t>
      </w:r>
      <w:proofErr w:type="spellStart"/>
      <w:r w:rsidRPr="00560CEF">
        <w:rPr>
          <w:sz w:val="24"/>
          <w:szCs w:val="24"/>
        </w:rPr>
        <w:t>Aciclovir</w:t>
      </w:r>
      <w:proofErr w:type="spellEnd"/>
      <w:r w:rsidRPr="00560CEF">
        <w:rPr>
          <w:sz w:val="24"/>
          <w:szCs w:val="24"/>
        </w:rPr>
        <w:t xml:space="preserve"> </w:t>
      </w:r>
      <w:r w:rsidR="00560CEF">
        <w:rPr>
          <w:sz w:val="24"/>
          <w:szCs w:val="24"/>
        </w:rPr>
        <w:t>"</w:t>
      </w:r>
      <w:proofErr w:type="spellStart"/>
      <w:r w:rsidR="00560CEF">
        <w:rPr>
          <w:sz w:val="24"/>
          <w:szCs w:val="24"/>
        </w:rPr>
        <w:t>Accord</w:t>
      </w:r>
      <w:proofErr w:type="spellEnd"/>
      <w:r w:rsidR="00560CEF">
        <w:rPr>
          <w:sz w:val="24"/>
          <w:szCs w:val="24"/>
        </w:rPr>
        <w:t>"</w:t>
      </w:r>
      <w:r w:rsidRPr="00560CEF">
        <w:rPr>
          <w:sz w:val="24"/>
          <w:szCs w:val="24"/>
        </w:rPr>
        <w:t xml:space="preserve"> er bestemt af varigheden af risikoperioden.</w:t>
      </w:r>
    </w:p>
    <w:p w14:paraId="10980C0E" w14:textId="77777777" w:rsidR="00814C97" w:rsidRPr="00560CEF" w:rsidRDefault="00814C97" w:rsidP="002820CE">
      <w:pPr>
        <w:ind w:left="851"/>
        <w:rPr>
          <w:bCs/>
          <w:iCs/>
          <w:sz w:val="24"/>
          <w:szCs w:val="24"/>
        </w:rPr>
      </w:pPr>
    </w:p>
    <w:p w14:paraId="612CC9C5" w14:textId="518505F2" w:rsidR="00814C97" w:rsidRPr="00560CEF" w:rsidRDefault="00272715" w:rsidP="002820CE">
      <w:pPr>
        <w:ind w:left="851"/>
        <w:rPr>
          <w:bCs/>
          <w:iCs/>
          <w:sz w:val="24"/>
          <w:szCs w:val="24"/>
        </w:rPr>
      </w:pPr>
      <w:r w:rsidRPr="00272715">
        <w:rPr>
          <w:bCs/>
          <w:iCs/>
          <w:sz w:val="24"/>
          <w:szCs w:val="24"/>
          <w:u w:val="single"/>
        </w:rPr>
        <w:t>Dosering til voksne og unge &gt;12 år</w:t>
      </w:r>
      <w:r>
        <w:rPr>
          <w:bCs/>
          <w:iCs/>
          <w:sz w:val="24"/>
          <w:szCs w:val="24"/>
          <w:u w:val="single"/>
        </w:rPr>
        <w:br/>
      </w:r>
      <w:r w:rsidR="00814C97" w:rsidRPr="00560CEF">
        <w:rPr>
          <w:sz w:val="24"/>
          <w:szCs w:val="24"/>
        </w:rPr>
        <w:t xml:space="preserve">Til patienter med herpes </w:t>
      </w:r>
      <w:proofErr w:type="spellStart"/>
      <w:r w:rsidR="00814C97" w:rsidRPr="00560CEF">
        <w:rPr>
          <w:sz w:val="24"/>
          <w:szCs w:val="24"/>
        </w:rPr>
        <w:t>simplex</w:t>
      </w:r>
      <w:proofErr w:type="spellEnd"/>
      <w:r w:rsidR="00814C97" w:rsidRPr="00560CEF">
        <w:rPr>
          <w:sz w:val="24"/>
          <w:szCs w:val="24"/>
        </w:rPr>
        <w:t xml:space="preserve">-infektioner (med normalt eller mangelfuldt immunforsvar) eller </w:t>
      </w:r>
      <w:proofErr w:type="spellStart"/>
      <w:r w:rsidR="00814C97" w:rsidRPr="00560CEF">
        <w:rPr>
          <w:sz w:val="24"/>
          <w:szCs w:val="24"/>
        </w:rPr>
        <w:t>varicella</w:t>
      </w:r>
      <w:proofErr w:type="spellEnd"/>
      <w:r w:rsidR="00814C97" w:rsidRPr="00560CEF">
        <w:rPr>
          <w:sz w:val="24"/>
          <w:szCs w:val="24"/>
        </w:rPr>
        <w:t xml:space="preserve"> </w:t>
      </w:r>
      <w:proofErr w:type="spellStart"/>
      <w:r w:rsidR="00814C97" w:rsidRPr="00560CEF">
        <w:rPr>
          <w:sz w:val="24"/>
          <w:szCs w:val="24"/>
        </w:rPr>
        <w:t>zoster</w:t>
      </w:r>
      <w:proofErr w:type="spellEnd"/>
      <w:r w:rsidR="00814C97" w:rsidRPr="00560CEF">
        <w:rPr>
          <w:sz w:val="24"/>
          <w:szCs w:val="24"/>
        </w:rPr>
        <w:t xml:space="preserve">-infektioner (med normalt immunforsvar) gives </w:t>
      </w:r>
      <w:proofErr w:type="spellStart"/>
      <w:r w:rsidR="00814C97" w:rsidRPr="00560CEF">
        <w:rPr>
          <w:sz w:val="24"/>
          <w:szCs w:val="24"/>
        </w:rPr>
        <w:t>Aciclovir</w:t>
      </w:r>
      <w:proofErr w:type="spellEnd"/>
      <w:r w:rsidR="00814C97" w:rsidRPr="00560CEF">
        <w:rPr>
          <w:sz w:val="24"/>
          <w:szCs w:val="24"/>
        </w:rPr>
        <w:t xml:space="preserve"> </w:t>
      </w:r>
      <w:r w:rsidR="00560CEF">
        <w:rPr>
          <w:sz w:val="24"/>
          <w:szCs w:val="24"/>
        </w:rPr>
        <w:t>"</w:t>
      </w:r>
      <w:proofErr w:type="spellStart"/>
      <w:r w:rsidR="00560CEF">
        <w:rPr>
          <w:sz w:val="24"/>
          <w:szCs w:val="24"/>
        </w:rPr>
        <w:t>Accord</w:t>
      </w:r>
      <w:proofErr w:type="spellEnd"/>
      <w:r w:rsidR="00560CEF">
        <w:rPr>
          <w:sz w:val="24"/>
          <w:szCs w:val="24"/>
        </w:rPr>
        <w:t>"</w:t>
      </w:r>
      <w:r w:rsidR="00814C97" w:rsidRPr="00560CEF">
        <w:rPr>
          <w:sz w:val="24"/>
          <w:szCs w:val="24"/>
        </w:rPr>
        <w:t xml:space="preserve"> i doser på 5 mg/kg legemsvægt hver 8. time til patienter med normal nyrefunktion.</w:t>
      </w:r>
    </w:p>
    <w:p w14:paraId="0E458753" w14:textId="77777777" w:rsidR="00814C97" w:rsidRPr="00560CEF" w:rsidRDefault="00814C97" w:rsidP="002820CE">
      <w:pPr>
        <w:ind w:left="851"/>
        <w:rPr>
          <w:bCs/>
          <w:iCs/>
          <w:sz w:val="24"/>
          <w:szCs w:val="24"/>
        </w:rPr>
      </w:pPr>
    </w:p>
    <w:p w14:paraId="1C653F31" w14:textId="7B75F698" w:rsidR="00814C97" w:rsidRPr="00560CEF" w:rsidRDefault="00814C97" w:rsidP="002820CE">
      <w:pPr>
        <w:ind w:left="851"/>
        <w:rPr>
          <w:bCs/>
          <w:iCs/>
          <w:sz w:val="24"/>
          <w:szCs w:val="24"/>
        </w:rPr>
      </w:pPr>
      <w:r w:rsidRPr="00560CEF">
        <w:rPr>
          <w:sz w:val="24"/>
          <w:szCs w:val="24"/>
        </w:rPr>
        <w:t xml:space="preserve">Til immunkompromitterede patienter med </w:t>
      </w:r>
      <w:proofErr w:type="spellStart"/>
      <w:r w:rsidRPr="00560CEF">
        <w:rPr>
          <w:sz w:val="24"/>
          <w:szCs w:val="24"/>
        </w:rPr>
        <w:t>varicella</w:t>
      </w:r>
      <w:proofErr w:type="spellEnd"/>
      <w:r w:rsidRPr="00560CEF">
        <w:rPr>
          <w:sz w:val="24"/>
          <w:szCs w:val="24"/>
        </w:rPr>
        <w:t xml:space="preserve"> </w:t>
      </w:r>
      <w:proofErr w:type="spellStart"/>
      <w:r w:rsidRPr="00560CEF">
        <w:rPr>
          <w:sz w:val="24"/>
          <w:szCs w:val="24"/>
        </w:rPr>
        <w:t>zoster</w:t>
      </w:r>
      <w:proofErr w:type="spellEnd"/>
      <w:r w:rsidRPr="00560CEF">
        <w:rPr>
          <w:sz w:val="24"/>
          <w:szCs w:val="24"/>
        </w:rPr>
        <w:t xml:space="preserve">-infektioner og til patienter med herpes </w:t>
      </w:r>
      <w:proofErr w:type="spellStart"/>
      <w:r w:rsidRPr="00560CEF">
        <w:rPr>
          <w:sz w:val="24"/>
          <w:szCs w:val="24"/>
        </w:rPr>
        <w:t>simplex</w:t>
      </w:r>
      <w:proofErr w:type="spellEnd"/>
      <w:r w:rsidRPr="00560CEF">
        <w:rPr>
          <w:sz w:val="24"/>
          <w:szCs w:val="24"/>
        </w:rPr>
        <w:t xml:space="preserve"> </w:t>
      </w:r>
      <w:proofErr w:type="spellStart"/>
      <w:r w:rsidRPr="00560CEF">
        <w:rPr>
          <w:sz w:val="24"/>
          <w:szCs w:val="24"/>
        </w:rPr>
        <w:t>encephalitis</w:t>
      </w:r>
      <w:proofErr w:type="spellEnd"/>
      <w:r w:rsidRPr="00560CEF">
        <w:rPr>
          <w:sz w:val="24"/>
          <w:szCs w:val="24"/>
        </w:rPr>
        <w:t xml:space="preserve"> gives </w:t>
      </w:r>
      <w:proofErr w:type="spellStart"/>
      <w:r w:rsidRPr="00560CEF">
        <w:rPr>
          <w:sz w:val="24"/>
          <w:szCs w:val="24"/>
        </w:rPr>
        <w:t>Aciclovir</w:t>
      </w:r>
      <w:proofErr w:type="spellEnd"/>
      <w:r w:rsidRPr="00560CEF">
        <w:rPr>
          <w:sz w:val="24"/>
          <w:szCs w:val="24"/>
        </w:rPr>
        <w:t xml:space="preserve"> </w:t>
      </w:r>
      <w:r w:rsidR="00560CEF">
        <w:rPr>
          <w:sz w:val="24"/>
          <w:szCs w:val="24"/>
        </w:rPr>
        <w:t>"</w:t>
      </w:r>
      <w:proofErr w:type="spellStart"/>
      <w:r w:rsidR="00560CEF">
        <w:rPr>
          <w:sz w:val="24"/>
          <w:szCs w:val="24"/>
        </w:rPr>
        <w:t>Accord</w:t>
      </w:r>
      <w:proofErr w:type="spellEnd"/>
      <w:r w:rsidR="00560CEF">
        <w:rPr>
          <w:sz w:val="24"/>
          <w:szCs w:val="24"/>
        </w:rPr>
        <w:t>"</w:t>
      </w:r>
      <w:r w:rsidRPr="00560CEF">
        <w:rPr>
          <w:sz w:val="24"/>
          <w:szCs w:val="24"/>
        </w:rPr>
        <w:t xml:space="preserve"> i doser på 10 mg/kg legemsvægt hver 8. time til patienter med normal nyrefunktion.</w:t>
      </w:r>
    </w:p>
    <w:p w14:paraId="7335EB94" w14:textId="77777777" w:rsidR="00814C97" w:rsidRPr="00560CEF" w:rsidRDefault="00814C97" w:rsidP="002820CE">
      <w:pPr>
        <w:ind w:left="851"/>
        <w:rPr>
          <w:bCs/>
          <w:iCs/>
          <w:sz w:val="24"/>
          <w:szCs w:val="24"/>
        </w:rPr>
      </w:pPr>
    </w:p>
    <w:p w14:paraId="7E0AF270" w14:textId="77777777" w:rsidR="00272715" w:rsidRPr="000359C9" w:rsidRDefault="00272715" w:rsidP="00272715">
      <w:pPr>
        <w:ind w:left="851"/>
        <w:rPr>
          <w:bCs/>
          <w:iCs/>
          <w:sz w:val="24"/>
          <w:szCs w:val="24"/>
          <w:u w:val="single"/>
        </w:rPr>
      </w:pPr>
      <w:r w:rsidRPr="000359C9">
        <w:rPr>
          <w:bCs/>
          <w:iCs/>
          <w:sz w:val="24"/>
          <w:szCs w:val="24"/>
          <w:u w:val="single"/>
        </w:rPr>
        <w:t xml:space="preserve">Dosering til nyfødte, spædbørn og børn </w:t>
      </w:r>
      <w:r w:rsidRPr="00903B12">
        <w:rPr>
          <w:sz w:val="24"/>
          <w:szCs w:val="24"/>
          <w:u w:val="single"/>
        </w:rPr>
        <w:sym w:font="Symbol" w:char="F0A3"/>
      </w:r>
      <w:r w:rsidRPr="00903B12">
        <w:rPr>
          <w:sz w:val="24"/>
          <w:szCs w:val="24"/>
          <w:u w:val="single"/>
        </w:rPr>
        <w:t>12 år</w:t>
      </w:r>
    </w:p>
    <w:p w14:paraId="0503BAD6" w14:textId="77777777" w:rsidR="00272715" w:rsidRPr="00903B12" w:rsidRDefault="00272715" w:rsidP="00272715">
      <w:pPr>
        <w:ind w:left="851"/>
        <w:rPr>
          <w:sz w:val="24"/>
          <w:szCs w:val="24"/>
        </w:rPr>
      </w:pPr>
      <w:r w:rsidRPr="00903B12">
        <w:rPr>
          <w:sz w:val="24"/>
          <w:szCs w:val="24"/>
        </w:rPr>
        <w:t xml:space="preserve">Dosis af </w:t>
      </w:r>
      <w:proofErr w:type="spellStart"/>
      <w:r w:rsidRPr="00903B12">
        <w:rPr>
          <w:sz w:val="24"/>
          <w:szCs w:val="24"/>
        </w:rPr>
        <w:t>Aciclovir</w:t>
      </w:r>
      <w:proofErr w:type="spellEnd"/>
      <w:r w:rsidRPr="00903B12">
        <w:rPr>
          <w:sz w:val="24"/>
          <w:szCs w:val="24"/>
        </w:rPr>
        <w:t xml:space="preserve"> </w:t>
      </w:r>
      <w:r w:rsidRPr="000359C9">
        <w:rPr>
          <w:sz w:val="24"/>
          <w:szCs w:val="24"/>
        </w:rPr>
        <w:t>"</w:t>
      </w:r>
      <w:proofErr w:type="spellStart"/>
      <w:r w:rsidRPr="00903B12">
        <w:rPr>
          <w:sz w:val="24"/>
          <w:szCs w:val="24"/>
        </w:rPr>
        <w:t>Accord</w:t>
      </w:r>
      <w:proofErr w:type="spellEnd"/>
      <w:r w:rsidRPr="000359C9">
        <w:rPr>
          <w:sz w:val="24"/>
          <w:szCs w:val="24"/>
        </w:rPr>
        <w:t>"</w:t>
      </w:r>
      <w:r w:rsidRPr="00903B12">
        <w:rPr>
          <w:sz w:val="24"/>
          <w:szCs w:val="24"/>
        </w:rPr>
        <w:t xml:space="preserve"> til nyfødte og børn kan beregnes på baggrund af legemsvægten.</w:t>
      </w:r>
    </w:p>
    <w:p w14:paraId="7B2358DD" w14:textId="7062A945" w:rsidR="00272715" w:rsidRDefault="00272715" w:rsidP="00272715">
      <w:pPr>
        <w:ind w:left="851" w:hanging="851"/>
        <w:rPr>
          <w:sz w:val="24"/>
          <w:szCs w:val="24"/>
        </w:rPr>
      </w:pPr>
    </w:p>
    <w:p w14:paraId="123F1145" w14:textId="77777777" w:rsidR="000C59C6" w:rsidRPr="00973D29" w:rsidRDefault="000C59C6" w:rsidP="000C59C6">
      <w:pPr>
        <w:ind w:left="851"/>
        <w:rPr>
          <w:bCs/>
          <w:iCs/>
          <w:szCs w:val="22"/>
        </w:rPr>
      </w:pPr>
      <w:r>
        <w:rPr>
          <w:bCs/>
          <w:iCs/>
          <w:szCs w:val="22"/>
        </w:rPr>
        <w:t>Til</w:t>
      </w:r>
      <w:r w:rsidRPr="00FB1649">
        <w:rPr>
          <w:bCs/>
          <w:iCs/>
          <w:szCs w:val="22"/>
        </w:rPr>
        <w:t xml:space="preserve"> børn med herpes </w:t>
      </w:r>
      <w:proofErr w:type="spellStart"/>
      <w:r w:rsidRPr="00FB1649">
        <w:rPr>
          <w:bCs/>
          <w:iCs/>
          <w:szCs w:val="22"/>
        </w:rPr>
        <w:t>simplex</w:t>
      </w:r>
      <w:proofErr w:type="spellEnd"/>
      <w:r w:rsidRPr="00FB1649">
        <w:rPr>
          <w:bCs/>
          <w:iCs/>
          <w:szCs w:val="22"/>
        </w:rPr>
        <w:t>-infektioner</w:t>
      </w:r>
      <w:r w:rsidRPr="00973D29">
        <w:rPr>
          <w:bCs/>
          <w:iCs/>
          <w:szCs w:val="22"/>
        </w:rPr>
        <w:t xml:space="preserve"> (</w:t>
      </w:r>
      <w:r w:rsidRPr="00FB1649">
        <w:rPr>
          <w:bCs/>
          <w:iCs/>
          <w:szCs w:val="22"/>
        </w:rPr>
        <w:t>med normalt eller mangelfuldt immunforsvar</w:t>
      </w:r>
      <w:r w:rsidRPr="00973D29">
        <w:rPr>
          <w:bCs/>
          <w:iCs/>
          <w:szCs w:val="22"/>
        </w:rPr>
        <w:t xml:space="preserve">) </w:t>
      </w:r>
      <w:r w:rsidRPr="00FB1649">
        <w:rPr>
          <w:bCs/>
          <w:iCs/>
          <w:szCs w:val="22"/>
        </w:rPr>
        <w:t xml:space="preserve">og </w:t>
      </w:r>
      <w:r>
        <w:rPr>
          <w:bCs/>
          <w:iCs/>
          <w:szCs w:val="22"/>
        </w:rPr>
        <w:t>til</w:t>
      </w:r>
      <w:r w:rsidRPr="00FB1649">
        <w:rPr>
          <w:bCs/>
          <w:iCs/>
          <w:szCs w:val="22"/>
        </w:rPr>
        <w:t xml:space="preserve"> børn med </w:t>
      </w:r>
      <w:proofErr w:type="spellStart"/>
      <w:r w:rsidRPr="00FB1649">
        <w:rPr>
          <w:bCs/>
          <w:iCs/>
          <w:szCs w:val="22"/>
        </w:rPr>
        <w:t>varicella</w:t>
      </w:r>
      <w:proofErr w:type="spellEnd"/>
      <w:r w:rsidRPr="00FB1649">
        <w:rPr>
          <w:bCs/>
          <w:iCs/>
          <w:szCs w:val="22"/>
        </w:rPr>
        <w:t xml:space="preserve"> </w:t>
      </w:r>
      <w:proofErr w:type="spellStart"/>
      <w:r w:rsidRPr="00FB1649">
        <w:rPr>
          <w:bCs/>
          <w:iCs/>
          <w:szCs w:val="22"/>
        </w:rPr>
        <w:t>zoster</w:t>
      </w:r>
      <w:proofErr w:type="spellEnd"/>
      <w:r w:rsidRPr="00FB1649">
        <w:rPr>
          <w:bCs/>
          <w:iCs/>
          <w:szCs w:val="22"/>
        </w:rPr>
        <w:t>-infektioner</w:t>
      </w:r>
      <w:r w:rsidRPr="00973D29">
        <w:rPr>
          <w:bCs/>
          <w:iCs/>
          <w:szCs w:val="22"/>
        </w:rPr>
        <w:t xml:space="preserve"> (</w:t>
      </w:r>
      <w:r>
        <w:rPr>
          <w:bCs/>
          <w:iCs/>
          <w:szCs w:val="22"/>
        </w:rPr>
        <w:t>med</w:t>
      </w:r>
      <w:r w:rsidRPr="00973D29">
        <w:rPr>
          <w:bCs/>
          <w:iCs/>
          <w:szCs w:val="22"/>
        </w:rPr>
        <w:t xml:space="preserve"> normal</w:t>
      </w:r>
      <w:r>
        <w:rPr>
          <w:bCs/>
          <w:iCs/>
          <w:szCs w:val="22"/>
        </w:rPr>
        <w:t xml:space="preserve">t immunforsvar) gives </w:t>
      </w:r>
      <w:proofErr w:type="spellStart"/>
      <w:r>
        <w:rPr>
          <w:bCs/>
          <w:iCs/>
          <w:szCs w:val="22"/>
        </w:rPr>
        <w:t>Aciclovir</w:t>
      </w:r>
      <w:proofErr w:type="spellEnd"/>
      <w:r>
        <w:rPr>
          <w:bCs/>
          <w:iCs/>
          <w:szCs w:val="22"/>
        </w:rPr>
        <w:t xml:space="preserve"> ”</w:t>
      </w:r>
      <w:proofErr w:type="spellStart"/>
      <w:r>
        <w:rPr>
          <w:bCs/>
          <w:iCs/>
          <w:szCs w:val="22"/>
        </w:rPr>
        <w:t>Accord</w:t>
      </w:r>
      <w:proofErr w:type="spellEnd"/>
      <w:r>
        <w:rPr>
          <w:bCs/>
          <w:iCs/>
          <w:szCs w:val="22"/>
        </w:rPr>
        <w:t xml:space="preserve">” i doser på </w:t>
      </w:r>
      <w:r w:rsidRPr="00973D29">
        <w:rPr>
          <w:bCs/>
          <w:iCs/>
          <w:szCs w:val="22"/>
        </w:rPr>
        <w:t>10</w:t>
      </w:r>
      <w:r>
        <w:rPr>
          <w:bCs/>
          <w:iCs/>
          <w:szCs w:val="22"/>
        </w:rPr>
        <w:t> </w:t>
      </w:r>
      <w:r w:rsidRPr="00973D29">
        <w:rPr>
          <w:bCs/>
          <w:iCs/>
          <w:szCs w:val="22"/>
        </w:rPr>
        <w:t xml:space="preserve">mg/kg </w:t>
      </w:r>
      <w:r>
        <w:rPr>
          <w:bCs/>
          <w:iCs/>
          <w:szCs w:val="22"/>
        </w:rPr>
        <w:t>legemsvægt hver 8. time til børn med normal nyrefunktion</w:t>
      </w:r>
      <w:r w:rsidRPr="00973D29">
        <w:rPr>
          <w:bCs/>
          <w:iCs/>
          <w:szCs w:val="22"/>
        </w:rPr>
        <w:t>.</w:t>
      </w:r>
    </w:p>
    <w:p w14:paraId="18862FFA" w14:textId="77777777" w:rsidR="000C59C6" w:rsidRPr="00973D29" w:rsidRDefault="000C59C6" w:rsidP="000C59C6">
      <w:pPr>
        <w:rPr>
          <w:bCs/>
          <w:iCs/>
          <w:szCs w:val="22"/>
        </w:rPr>
      </w:pPr>
    </w:p>
    <w:p w14:paraId="6EEB4E3A" w14:textId="77777777" w:rsidR="000C59C6" w:rsidRPr="00973D29" w:rsidRDefault="000C59C6" w:rsidP="000C59C6">
      <w:pPr>
        <w:ind w:left="851"/>
        <w:rPr>
          <w:bCs/>
          <w:iCs/>
          <w:szCs w:val="22"/>
        </w:rPr>
      </w:pPr>
      <w:r w:rsidRPr="00FB1649">
        <w:rPr>
          <w:bCs/>
          <w:iCs/>
          <w:szCs w:val="22"/>
        </w:rPr>
        <w:t xml:space="preserve">Til immunkompromitterede børn med </w:t>
      </w:r>
      <w:proofErr w:type="spellStart"/>
      <w:r w:rsidRPr="00FB1649">
        <w:rPr>
          <w:bCs/>
          <w:iCs/>
          <w:szCs w:val="22"/>
        </w:rPr>
        <w:t>varicella</w:t>
      </w:r>
      <w:proofErr w:type="spellEnd"/>
      <w:r w:rsidRPr="00FB1649">
        <w:rPr>
          <w:bCs/>
          <w:iCs/>
          <w:szCs w:val="22"/>
        </w:rPr>
        <w:t xml:space="preserve"> </w:t>
      </w:r>
      <w:proofErr w:type="spellStart"/>
      <w:r w:rsidRPr="00FB1649">
        <w:rPr>
          <w:bCs/>
          <w:iCs/>
          <w:szCs w:val="22"/>
        </w:rPr>
        <w:t>zoster</w:t>
      </w:r>
      <w:proofErr w:type="spellEnd"/>
      <w:r w:rsidRPr="00FB1649">
        <w:rPr>
          <w:bCs/>
          <w:iCs/>
          <w:szCs w:val="22"/>
        </w:rPr>
        <w:t xml:space="preserve">-infektioner og til børn med </w:t>
      </w:r>
      <w:r w:rsidRPr="00973D29">
        <w:rPr>
          <w:bCs/>
          <w:iCs/>
          <w:szCs w:val="22"/>
        </w:rPr>
        <w:t xml:space="preserve">with herpes </w:t>
      </w:r>
      <w:proofErr w:type="spellStart"/>
      <w:r w:rsidRPr="00973D29">
        <w:rPr>
          <w:bCs/>
          <w:iCs/>
          <w:szCs w:val="22"/>
        </w:rPr>
        <w:t>simplex</w:t>
      </w:r>
      <w:proofErr w:type="spellEnd"/>
      <w:r w:rsidRPr="00FB1649">
        <w:rPr>
          <w:bCs/>
          <w:iCs/>
          <w:szCs w:val="22"/>
        </w:rPr>
        <w:t xml:space="preserve"> </w:t>
      </w:r>
      <w:proofErr w:type="spellStart"/>
      <w:r w:rsidRPr="00FB1649">
        <w:rPr>
          <w:bCs/>
          <w:iCs/>
          <w:szCs w:val="22"/>
        </w:rPr>
        <w:t>encephalitis</w:t>
      </w:r>
      <w:proofErr w:type="spellEnd"/>
      <w:r w:rsidRPr="00FB1649">
        <w:rPr>
          <w:bCs/>
          <w:iCs/>
          <w:szCs w:val="22"/>
        </w:rPr>
        <w:t xml:space="preserve">-infektioner gives </w:t>
      </w:r>
      <w:proofErr w:type="spellStart"/>
      <w:r w:rsidRPr="00FB1649">
        <w:rPr>
          <w:bCs/>
          <w:iCs/>
          <w:szCs w:val="22"/>
        </w:rPr>
        <w:t>Aciclovir</w:t>
      </w:r>
      <w:proofErr w:type="spellEnd"/>
      <w:r w:rsidRPr="00FB1649">
        <w:rPr>
          <w:bCs/>
          <w:iCs/>
          <w:szCs w:val="22"/>
        </w:rPr>
        <w:t xml:space="preserve"> “</w:t>
      </w:r>
      <w:proofErr w:type="spellStart"/>
      <w:r w:rsidRPr="00FB1649">
        <w:rPr>
          <w:bCs/>
          <w:iCs/>
          <w:szCs w:val="22"/>
        </w:rPr>
        <w:t>Accord</w:t>
      </w:r>
      <w:proofErr w:type="spellEnd"/>
      <w:r w:rsidRPr="00FB1649">
        <w:rPr>
          <w:bCs/>
          <w:iCs/>
          <w:szCs w:val="22"/>
        </w:rPr>
        <w:t xml:space="preserve">” i doser på </w:t>
      </w:r>
      <w:r w:rsidRPr="00973D29">
        <w:rPr>
          <w:bCs/>
          <w:iCs/>
          <w:szCs w:val="22"/>
        </w:rPr>
        <w:t>20</w:t>
      </w:r>
      <w:r>
        <w:rPr>
          <w:bCs/>
          <w:iCs/>
          <w:szCs w:val="22"/>
        </w:rPr>
        <w:t> </w:t>
      </w:r>
      <w:r w:rsidRPr="00973D29">
        <w:rPr>
          <w:bCs/>
          <w:iCs/>
          <w:szCs w:val="22"/>
        </w:rPr>
        <w:t xml:space="preserve">mg/kg </w:t>
      </w:r>
      <w:r>
        <w:rPr>
          <w:bCs/>
          <w:iCs/>
          <w:szCs w:val="22"/>
        </w:rPr>
        <w:t>legemsvægt hver 8. time til børn med normal nyrefunktion</w:t>
      </w:r>
      <w:r w:rsidRPr="00973D29">
        <w:rPr>
          <w:bCs/>
          <w:iCs/>
          <w:szCs w:val="22"/>
        </w:rPr>
        <w:t>.</w:t>
      </w:r>
    </w:p>
    <w:p w14:paraId="5425010D" w14:textId="77777777" w:rsidR="000C59C6" w:rsidRPr="00973D29" w:rsidRDefault="000C59C6" w:rsidP="000C59C6">
      <w:pPr>
        <w:rPr>
          <w:bCs/>
          <w:iCs/>
          <w:szCs w:val="22"/>
        </w:rPr>
      </w:pPr>
    </w:p>
    <w:p w14:paraId="2AA644D6" w14:textId="77777777" w:rsidR="000C59C6" w:rsidRPr="00C15D92" w:rsidRDefault="000C59C6" w:rsidP="000C59C6">
      <w:pPr>
        <w:ind w:left="851"/>
        <w:rPr>
          <w:bCs/>
          <w:iCs/>
          <w:szCs w:val="22"/>
        </w:rPr>
      </w:pPr>
      <w:r w:rsidRPr="00FB1649">
        <w:rPr>
          <w:bCs/>
          <w:iCs/>
          <w:szCs w:val="22"/>
        </w:rPr>
        <w:t xml:space="preserve">Til patienter med nedsat nyrefunktion skal </w:t>
      </w:r>
      <w:proofErr w:type="spellStart"/>
      <w:r w:rsidRPr="00FB1649">
        <w:rPr>
          <w:bCs/>
          <w:iCs/>
          <w:szCs w:val="22"/>
        </w:rPr>
        <w:t>aciclovirdosen</w:t>
      </w:r>
      <w:proofErr w:type="spellEnd"/>
      <w:r w:rsidRPr="00FB1649">
        <w:rPr>
          <w:bCs/>
          <w:iCs/>
          <w:szCs w:val="22"/>
        </w:rPr>
        <w:t xml:space="preserve"> justeres efter graden af </w:t>
      </w:r>
      <w:r>
        <w:rPr>
          <w:bCs/>
          <w:iCs/>
          <w:szCs w:val="22"/>
        </w:rPr>
        <w:t>nyre</w:t>
      </w:r>
      <w:r w:rsidRPr="00FB1649">
        <w:rPr>
          <w:bCs/>
          <w:iCs/>
          <w:szCs w:val="22"/>
        </w:rPr>
        <w:t>funktionsnedsættelse</w:t>
      </w:r>
      <w:r w:rsidRPr="00973D29">
        <w:rPr>
          <w:bCs/>
          <w:iCs/>
          <w:szCs w:val="22"/>
        </w:rPr>
        <w:t xml:space="preserve"> (se</w:t>
      </w:r>
      <w:r w:rsidRPr="00FB1649">
        <w:rPr>
          <w:bCs/>
          <w:iCs/>
          <w:szCs w:val="22"/>
        </w:rPr>
        <w:t xml:space="preserve"> “Dosering til patienter med nedsat nyrefunktion</w:t>
      </w:r>
      <w:r w:rsidRPr="00973D29">
        <w:rPr>
          <w:bCs/>
          <w:iCs/>
          <w:szCs w:val="22"/>
        </w:rPr>
        <w:t>”).</w:t>
      </w:r>
    </w:p>
    <w:p w14:paraId="1404ABCA" w14:textId="77777777" w:rsidR="000C59C6" w:rsidRPr="00903B12" w:rsidRDefault="000C59C6" w:rsidP="00272715">
      <w:pPr>
        <w:ind w:left="851" w:hanging="851"/>
        <w:rPr>
          <w:sz w:val="24"/>
          <w:szCs w:val="24"/>
        </w:rPr>
      </w:pPr>
    </w:p>
    <w:p w14:paraId="16150E2C" w14:textId="77777777" w:rsidR="00272715" w:rsidRPr="00903B12" w:rsidRDefault="00272715" w:rsidP="00272715">
      <w:pPr>
        <w:ind w:left="851"/>
        <w:rPr>
          <w:sz w:val="24"/>
          <w:szCs w:val="24"/>
        </w:rPr>
      </w:pPr>
      <w:r w:rsidRPr="00903B12">
        <w:rPr>
          <w:sz w:val="24"/>
          <w:szCs w:val="24"/>
        </w:rPr>
        <w:t xml:space="preserve">Den anbefalede behandling for kendt eller formodet neonatal herpes er </w:t>
      </w:r>
      <w:proofErr w:type="spellStart"/>
      <w:r w:rsidRPr="00903B12">
        <w:rPr>
          <w:sz w:val="24"/>
          <w:szCs w:val="24"/>
        </w:rPr>
        <w:t>Aciclovir</w:t>
      </w:r>
      <w:proofErr w:type="spellEnd"/>
      <w:r w:rsidRPr="00903B12">
        <w:rPr>
          <w:sz w:val="24"/>
          <w:szCs w:val="24"/>
        </w:rPr>
        <w:t xml:space="preserve"> </w:t>
      </w:r>
      <w:r w:rsidRPr="000359C9">
        <w:rPr>
          <w:sz w:val="24"/>
          <w:szCs w:val="24"/>
        </w:rPr>
        <w:t>"</w:t>
      </w:r>
      <w:proofErr w:type="spellStart"/>
      <w:r w:rsidRPr="00903B12">
        <w:rPr>
          <w:sz w:val="24"/>
          <w:szCs w:val="24"/>
        </w:rPr>
        <w:t>Accord</w:t>
      </w:r>
      <w:proofErr w:type="spellEnd"/>
      <w:r w:rsidRPr="000359C9">
        <w:rPr>
          <w:sz w:val="24"/>
          <w:szCs w:val="24"/>
        </w:rPr>
        <w:t>"</w:t>
      </w:r>
      <w:r w:rsidRPr="00903B12">
        <w:rPr>
          <w:sz w:val="24"/>
          <w:szCs w:val="24"/>
        </w:rPr>
        <w:t xml:space="preserve"> i doser på 20 mg/kg legemsvægt hver 8. time i 21 dage ved dissemineret sygdom og </w:t>
      </w:r>
      <w:r w:rsidRPr="00903B12">
        <w:rPr>
          <w:sz w:val="24"/>
          <w:szCs w:val="24"/>
        </w:rPr>
        <w:lastRenderedPageBreak/>
        <w:t xml:space="preserve">sygdomme i CNS, eller i 14 dage for sygdom, som er begrænset til hud og slimhinder. Patienter med nedsat nyrefunktion kræver en passende modificeret dosis i henhold til graden af nedsættelsen (se </w:t>
      </w:r>
      <w:r>
        <w:rPr>
          <w:sz w:val="24"/>
          <w:szCs w:val="24"/>
        </w:rPr>
        <w:t>”</w:t>
      </w:r>
      <w:r w:rsidRPr="00903B12">
        <w:rPr>
          <w:sz w:val="24"/>
          <w:szCs w:val="24"/>
        </w:rPr>
        <w:t>Dosering til patienter med nedsat nyrefunktion</w:t>
      </w:r>
      <w:r>
        <w:rPr>
          <w:sz w:val="24"/>
          <w:szCs w:val="24"/>
        </w:rPr>
        <w:t>”</w:t>
      </w:r>
      <w:r w:rsidRPr="00903B12">
        <w:rPr>
          <w:sz w:val="24"/>
          <w:szCs w:val="24"/>
        </w:rPr>
        <w:t>).</w:t>
      </w:r>
    </w:p>
    <w:p w14:paraId="40CD7970" w14:textId="77777777" w:rsidR="00272715" w:rsidRPr="00903B12" w:rsidRDefault="00272715" w:rsidP="00272715">
      <w:pPr>
        <w:ind w:left="851"/>
        <w:rPr>
          <w:sz w:val="24"/>
          <w:szCs w:val="24"/>
        </w:rPr>
      </w:pPr>
    </w:p>
    <w:p w14:paraId="25B89428" w14:textId="77777777" w:rsidR="00272715" w:rsidRPr="00903B12" w:rsidRDefault="00272715" w:rsidP="00272715">
      <w:pPr>
        <w:ind w:left="851"/>
        <w:rPr>
          <w:sz w:val="24"/>
          <w:szCs w:val="24"/>
          <w:u w:val="single"/>
        </w:rPr>
      </w:pPr>
      <w:r w:rsidRPr="00903B12">
        <w:rPr>
          <w:sz w:val="24"/>
          <w:szCs w:val="24"/>
          <w:u w:val="single"/>
        </w:rPr>
        <w:t>Dosering til ældre patienter (&gt;65 år)</w:t>
      </w:r>
    </w:p>
    <w:p w14:paraId="35188D89" w14:textId="77777777" w:rsidR="00272715" w:rsidRPr="00903B12" w:rsidRDefault="00272715" w:rsidP="00272715">
      <w:pPr>
        <w:ind w:left="851"/>
        <w:rPr>
          <w:sz w:val="24"/>
          <w:szCs w:val="24"/>
        </w:rPr>
      </w:pPr>
      <w:r w:rsidRPr="00903B12">
        <w:rPr>
          <w:sz w:val="24"/>
          <w:szCs w:val="24"/>
        </w:rPr>
        <w:t xml:space="preserve">Muligheden for nedsat nyrefunktion hos ældre må overvejes, og dosis skal justeres tilsvarende (Se </w:t>
      </w:r>
      <w:r>
        <w:rPr>
          <w:sz w:val="24"/>
          <w:szCs w:val="24"/>
        </w:rPr>
        <w:t>”</w:t>
      </w:r>
      <w:r w:rsidRPr="00903B12">
        <w:rPr>
          <w:sz w:val="24"/>
          <w:szCs w:val="24"/>
        </w:rPr>
        <w:t>Dosering til patienter med nedsat nyrefunktion</w:t>
      </w:r>
      <w:r>
        <w:rPr>
          <w:sz w:val="24"/>
          <w:szCs w:val="24"/>
        </w:rPr>
        <w:t>”</w:t>
      </w:r>
      <w:r w:rsidRPr="00903B12">
        <w:rPr>
          <w:sz w:val="24"/>
          <w:szCs w:val="24"/>
        </w:rPr>
        <w:t>). Tilstrækkelig hydrering skal opretholdes.</w:t>
      </w:r>
    </w:p>
    <w:p w14:paraId="09FA93CB" w14:textId="1D890F24" w:rsidR="00272715" w:rsidRPr="00903B12" w:rsidRDefault="00272715" w:rsidP="000C59C6">
      <w:pPr>
        <w:rPr>
          <w:sz w:val="24"/>
          <w:szCs w:val="24"/>
          <w:highlight w:val="yellow"/>
        </w:rPr>
      </w:pPr>
    </w:p>
    <w:p w14:paraId="6D04901C" w14:textId="77777777" w:rsidR="00272715" w:rsidRPr="00903B12" w:rsidRDefault="00272715" w:rsidP="00272715">
      <w:pPr>
        <w:ind w:left="851"/>
        <w:rPr>
          <w:sz w:val="24"/>
          <w:szCs w:val="24"/>
          <w:u w:val="single"/>
        </w:rPr>
      </w:pPr>
      <w:r w:rsidRPr="00903B12">
        <w:rPr>
          <w:sz w:val="24"/>
          <w:szCs w:val="24"/>
          <w:u w:val="single"/>
        </w:rPr>
        <w:t>Dosering til patienter med nedsat nyrefunktion</w:t>
      </w:r>
    </w:p>
    <w:p w14:paraId="6319794E" w14:textId="77777777" w:rsidR="00272715" w:rsidRPr="00903B12" w:rsidRDefault="00272715" w:rsidP="00272715">
      <w:pPr>
        <w:ind w:left="851"/>
        <w:rPr>
          <w:sz w:val="24"/>
          <w:szCs w:val="24"/>
        </w:rPr>
      </w:pPr>
      <w:r w:rsidRPr="00903B12">
        <w:rPr>
          <w:sz w:val="24"/>
          <w:szCs w:val="24"/>
        </w:rPr>
        <w:t xml:space="preserve">Der tilrådes forsigtighed ved administration af </w:t>
      </w:r>
      <w:proofErr w:type="spellStart"/>
      <w:r w:rsidRPr="00903B12">
        <w:rPr>
          <w:sz w:val="24"/>
          <w:szCs w:val="24"/>
        </w:rPr>
        <w:t>Aciclovir</w:t>
      </w:r>
      <w:proofErr w:type="spellEnd"/>
      <w:r w:rsidRPr="00903B12">
        <w:rPr>
          <w:sz w:val="24"/>
          <w:szCs w:val="24"/>
        </w:rPr>
        <w:t xml:space="preserve"> </w:t>
      </w:r>
      <w:r w:rsidRPr="006D2105">
        <w:rPr>
          <w:sz w:val="24"/>
          <w:szCs w:val="24"/>
        </w:rPr>
        <w:t>"</w:t>
      </w:r>
      <w:proofErr w:type="spellStart"/>
      <w:r w:rsidRPr="00903B12">
        <w:rPr>
          <w:sz w:val="24"/>
          <w:szCs w:val="24"/>
        </w:rPr>
        <w:t>Accord</w:t>
      </w:r>
      <w:proofErr w:type="spellEnd"/>
      <w:r w:rsidRPr="006D2105">
        <w:rPr>
          <w:sz w:val="24"/>
          <w:szCs w:val="24"/>
        </w:rPr>
        <w:t>"</w:t>
      </w:r>
      <w:r w:rsidRPr="00903B12">
        <w:rPr>
          <w:sz w:val="24"/>
          <w:szCs w:val="24"/>
        </w:rPr>
        <w:t xml:space="preserve"> til patienter med nedsat nyrefunktion. Tilstrækkelig hydrering skal opretholdes.</w:t>
      </w:r>
    </w:p>
    <w:p w14:paraId="634F9E58" w14:textId="77777777" w:rsidR="00272715" w:rsidRDefault="00272715" w:rsidP="00272715">
      <w:pPr>
        <w:ind w:left="851"/>
      </w:pPr>
    </w:p>
    <w:p w14:paraId="007A7D39" w14:textId="77777777" w:rsidR="00272715" w:rsidRPr="00903B12" w:rsidRDefault="00272715" w:rsidP="00272715">
      <w:pPr>
        <w:ind w:left="851"/>
        <w:rPr>
          <w:sz w:val="24"/>
          <w:szCs w:val="24"/>
        </w:rPr>
      </w:pPr>
      <w:r w:rsidRPr="00903B12">
        <w:rPr>
          <w:sz w:val="24"/>
          <w:szCs w:val="24"/>
        </w:rPr>
        <w:t xml:space="preserve">Dosisjustering til patienter med nedsat nyrefunktion er baseret på </w:t>
      </w:r>
      <w:proofErr w:type="spellStart"/>
      <w:r w:rsidRPr="00903B12">
        <w:rPr>
          <w:sz w:val="24"/>
          <w:szCs w:val="24"/>
        </w:rPr>
        <w:t>kreatininclearance</w:t>
      </w:r>
      <w:proofErr w:type="spellEnd"/>
      <w:r w:rsidRPr="00903B12">
        <w:rPr>
          <w:sz w:val="24"/>
          <w:szCs w:val="24"/>
        </w:rPr>
        <w:t>, i enheder på ml/min for voksne og unge, og i enheder på ml/min/1,73 m</w:t>
      </w:r>
      <w:r w:rsidRPr="00903B12">
        <w:rPr>
          <w:sz w:val="24"/>
          <w:szCs w:val="24"/>
          <w:vertAlign w:val="superscript"/>
        </w:rPr>
        <w:t xml:space="preserve">2 </w:t>
      </w:r>
      <w:r w:rsidRPr="00903B12">
        <w:rPr>
          <w:sz w:val="24"/>
          <w:szCs w:val="24"/>
        </w:rPr>
        <w:t>for nyfødte og børn under 13 år. Følgende justeringer i dosering foreslås:</w:t>
      </w:r>
    </w:p>
    <w:p w14:paraId="31234F88" w14:textId="77777777" w:rsidR="000C59C6" w:rsidRDefault="000C59C6" w:rsidP="000C59C6">
      <w:pPr>
        <w:tabs>
          <w:tab w:val="left" w:pos="1304"/>
        </w:tabs>
        <w:rPr>
          <w:b/>
          <w:bCs/>
          <w:iCs/>
          <w:sz w:val="24"/>
          <w:szCs w:val="24"/>
        </w:rPr>
      </w:pPr>
    </w:p>
    <w:p w14:paraId="33676793" w14:textId="20FD5144" w:rsidR="000C59C6" w:rsidRPr="00560CEF" w:rsidRDefault="000C59C6" w:rsidP="000C59C6">
      <w:pPr>
        <w:tabs>
          <w:tab w:val="left" w:pos="1304"/>
        </w:tabs>
        <w:rPr>
          <w:b/>
          <w:bCs/>
          <w:iCs/>
          <w:sz w:val="24"/>
          <w:szCs w:val="24"/>
        </w:rPr>
      </w:pPr>
      <w:r w:rsidRPr="00560CEF">
        <w:rPr>
          <w:b/>
          <w:bCs/>
          <w:iCs/>
          <w:sz w:val="24"/>
          <w:szCs w:val="24"/>
        </w:rPr>
        <w:t xml:space="preserve">Tabel 1: </w:t>
      </w:r>
      <w:r>
        <w:rPr>
          <w:b/>
          <w:bCs/>
          <w:iCs/>
          <w:sz w:val="24"/>
          <w:szCs w:val="24"/>
        </w:rPr>
        <w:t>Anbefalede d</w:t>
      </w:r>
      <w:r w:rsidRPr="00560CEF">
        <w:rPr>
          <w:b/>
          <w:bCs/>
          <w:iCs/>
          <w:sz w:val="24"/>
          <w:szCs w:val="24"/>
        </w:rPr>
        <w:t xml:space="preserve">osisjusteringer til voksne og </w:t>
      </w:r>
      <w:r>
        <w:rPr>
          <w:b/>
          <w:bCs/>
          <w:iCs/>
          <w:sz w:val="24"/>
          <w:szCs w:val="24"/>
        </w:rPr>
        <w:t>unge</w:t>
      </w:r>
      <w:r w:rsidRPr="00560CEF">
        <w:rPr>
          <w:b/>
          <w:bCs/>
          <w:iCs/>
          <w:sz w:val="24"/>
          <w:szCs w:val="24"/>
        </w:rPr>
        <w:t xml:space="preserve"> over 12 år med nedsat nyrefunktion</w:t>
      </w:r>
      <w:r>
        <w:rPr>
          <w:b/>
          <w:bCs/>
          <w:iCs/>
          <w:szCs w:val="22"/>
        </w:rPr>
        <w:t xml:space="preserve"> til behandling af </w:t>
      </w:r>
      <w:r w:rsidRPr="003C41E2">
        <w:rPr>
          <w:b/>
          <w:bCs/>
          <w:iCs/>
          <w:szCs w:val="22"/>
        </w:rPr>
        <w:t xml:space="preserve">herpes </w:t>
      </w:r>
      <w:proofErr w:type="spellStart"/>
      <w:r w:rsidRPr="003C41E2">
        <w:rPr>
          <w:b/>
          <w:bCs/>
          <w:iCs/>
          <w:szCs w:val="22"/>
        </w:rPr>
        <w:t>simplex</w:t>
      </w:r>
      <w:proofErr w:type="spellEnd"/>
      <w:r>
        <w:rPr>
          <w:b/>
          <w:bCs/>
          <w:iCs/>
          <w:szCs w:val="22"/>
        </w:rPr>
        <w:t>- eller</w:t>
      </w:r>
      <w:r w:rsidRPr="003C41E2">
        <w:rPr>
          <w:b/>
          <w:bCs/>
          <w:iCs/>
          <w:szCs w:val="22"/>
        </w:rPr>
        <w:t xml:space="preserve"> </w:t>
      </w:r>
      <w:proofErr w:type="spellStart"/>
      <w:r>
        <w:rPr>
          <w:b/>
          <w:bCs/>
          <w:iCs/>
          <w:szCs w:val="22"/>
        </w:rPr>
        <w:t>varicella</w:t>
      </w:r>
      <w:proofErr w:type="spellEnd"/>
      <w:r>
        <w:rPr>
          <w:b/>
          <w:bCs/>
          <w:iCs/>
          <w:szCs w:val="22"/>
        </w:rPr>
        <w:t xml:space="preserve"> </w:t>
      </w:r>
      <w:proofErr w:type="spellStart"/>
      <w:r>
        <w:rPr>
          <w:b/>
          <w:bCs/>
          <w:iCs/>
          <w:szCs w:val="22"/>
        </w:rPr>
        <w:t>zoster</w:t>
      </w:r>
      <w:proofErr w:type="spellEnd"/>
      <w:r>
        <w:rPr>
          <w:b/>
          <w:bCs/>
          <w:iCs/>
          <w:szCs w:val="22"/>
        </w:rPr>
        <w:t>-virusinfektioner</w:t>
      </w:r>
    </w:p>
    <w:p w14:paraId="7924882E" w14:textId="77777777" w:rsidR="00814C97" w:rsidRPr="00560CEF" w:rsidRDefault="00814C97" w:rsidP="00814C97">
      <w:pPr>
        <w:tabs>
          <w:tab w:val="left" w:pos="1304"/>
        </w:tabs>
        <w:rPr>
          <w:bCs/>
          <w:iCs/>
          <w:sz w:val="24"/>
          <w:szCs w:val="24"/>
        </w:rPr>
      </w:pPr>
    </w:p>
    <w:tbl>
      <w:tblPr>
        <w:tblStyle w:val="Tabel-Gitter"/>
        <w:tblW w:w="7104" w:type="pct"/>
        <w:tblInd w:w="0" w:type="dxa"/>
        <w:tblLook w:val="04A0" w:firstRow="1" w:lastRow="0" w:firstColumn="1" w:lastColumn="0" w:noHBand="0" w:noVBand="1"/>
      </w:tblPr>
      <w:tblGrid>
        <w:gridCol w:w="1523"/>
        <w:gridCol w:w="4052"/>
        <w:gridCol w:w="4052"/>
        <w:gridCol w:w="4052"/>
      </w:tblGrid>
      <w:tr w:rsidR="000C59C6" w:rsidRPr="00437023" w14:paraId="3D8DAA1A" w14:textId="77777777" w:rsidTr="00FB1649">
        <w:tc>
          <w:tcPr>
            <w:tcW w:w="557" w:type="pct"/>
            <w:tcBorders>
              <w:top w:val="single" w:sz="4" w:space="0" w:color="auto"/>
              <w:left w:val="single" w:sz="4" w:space="0" w:color="auto"/>
              <w:bottom w:val="single" w:sz="4" w:space="0" w:color="auto"/>
              <w:right w:val="single" w:sz="4" w:space="0" w:color="auto"/>
            </w:tcBorders>
            <w:hideMark/>
          </w:tcPr>
          <w:p w14:paraId="177C542A" w14:textId="77777777" w:rsidR="000C59C6" w:rsidRPr="00560CEF" w:rsidRDefault="000C59C6" w:rsidP="00FB1649">
            <w:pPr>
              <w:tabs>
                <w:tab w:val="left" w:pos="1304"/>
              </w:tabs>
              <w:rPr>
                <w:b/>
                <w:bCs/>
                <w:iCs/>
                <w:sz w:val="24"/>
                <w:szCs w:val="24"/>
              </w:rPr>
            </w:pPr>
            <w:proofErr w:type="spellStart"/>
            <w:r w:rsidRPr="00560CEF">
              <w:rPr>
                <w:b/>
                <w:bCs/>
                <w:iCs/>
                <w:sz w:val="24"/>
                <w:szCs w:val="24"/>
              </w:rPr>
              <w:t>Kreatinin-clearance</w:t>
            </w:r>
            <w:proofErr w:type="spellEnd"/>
          </w:p>
        </w:tc>
        <w:tc>
          <w:tcPr>
            <w:tcW w:w="1481" w:type="pct"/>
            <w:tcBorders>
              <w:top w:val="single" w:sz="4" w:space="0" w:color="auto"/>
              <w:left w:val="single" w:sz="4" w:space="0" w:color="auto"/>
              <w:bottom w:val="single" w:sz="4" w:space="0" w:color="auto"/>
              <w:right w:val="single" w:sz="4" w:space="0" w:color="auto"/>
            </w:tcBorders>
            <w:hideMark/>
          </w:tcPr>
          <w:p w14:paraId="17B588F5" w14:textId="77777777" w:rsidR="000C59C6" w:rsidRPr="00560CEF" w:rsidRDefault="000C59C6" w:rsidP="00FB1649">
            <w:pPr>
              <w:tabs>
                <w:tab w:val="left" w:pos="1304"/>
              </w:tabs>
              <w:rPr>
                <w:b/>
                <w:bCs/>
                <w:iCs/>
                <w:sz w:val="24"/>
                <w:szCs w:val="24"/>
              </w:rPr>
            </w:pPr>
            <w:r w:rsidRPr="00560CEF">
              <w:rPr>
                <w:b/>
                <w:bCs/>
                <w:iCs/>
                <w:sz w:val="24"/>
                <w:szCs w:val="24"/>
              </w:rPr>
              <w:t>Dosering</w:t>
            </w:r>
            <w:r>
              <w:rPr>
                <w:b/>
                <w:bCs/>
                <w:iCs/>
                <w:sz w:val="24"/>
                <w:szCs w:val="24"/>
              </w:rPr>
              <w:t xml:space="preserve"> til herpes </w:t>
            </w:r>
            <w:proofErr w:type="spellStart"/>
            <w:r>
              <w:rPr>
                <w:b/>
                <w:bCs/>
                <w:iCs/>
                <w:sz w:val="24"/>
                <w:szCs w:val="24"/>
              </w:rPr>
              <w:t>simplex</w:t>
            </w:r>
            <w:proofErr w:type="spellEnd"/>
            <w:r>
              <w:rPr>
                <w:b/>
                <w:bCs/>
                <w:iCs/>
                <w:sz w:val="24"/>
                <w:szCs w:val="24"/>
              </w:rPr>
              <w:t xml:space="preserve">-infektioner eller </w:t>
            </w:r>
            <w:proofErr w:type="spellStart"/>
            <w:r>
              <w:rPr>
                <w:b/>
                <w:bCs/>
                <w:iCs/>
                <w:sz w:val="24"/>
                <w:szCs w:val="24"/>
              </w:rPr>
              <w:t>varicella</w:t>
            </w:r>
            <w:proofErr w:type="spellEnd"/>
            <w:r>
              <w:rPr>
                <w:b/>
                <w:bCs/>
                <w:iCs/>
                <w:sz w:val="24"/>
                <w:szCs w:val="24"/>
              </w:rPr>
              <w:t xml:space="preserve"> </w:t>
            </w:r>
            <w:proofErr w:type="spellStart"/>
            <w:r>
              <w:rPr>
                <w:b/>
                <w:bCs/>
                <w:iCs/>
                <w:sz w:val="24"/>
                <w:szCs w:val="24"/>
              </w:rPr>
              <w:t>zoster</w:t>
            </w:r>
            <w:proofErr w:type="spellEnd"/>
          </w:p>
        </w:tc>
        <w:tc>
          <w:tcPr>
            <w:tcW w:w="1481" w:type="pct"/>
            <w:tcBorders>
              <w:top w:val="single" w:sz="4" w:space="0" w:color="auto"/>
              <w:left w:val="single" w:sz="4" w:space="0" w:color="auto"/>
              <w:bottom w:val="single" w:sz="4" w:space="0" w:color="auto"/>
              <w:right w:val="single" w:sz="4" w:space="0" w:color="auto"/>
            </w:tcBorders>
          </w:tcPr>
          <w:p w14:paraId="2A53CD3C" w14:textId="77777777" w:rsidR="000C59C6" w:rsidRPr="00C15D92" w:rsidRDefault="000C59C6" w:rsidP="00FB1649">
            <w:pPr>
              <w:tabs>
                <w:tab w:val="left" w:pos="1304"/>
              </w:tabs>
              <w:rPr>
                <w:b/>
                <w:bCs/>
                <w:iCs/>
                <w:sz w:val="24"/>
                <w:szCs w:val="24"/>
              </w:rPr>
            </w:pPr>
            <w:r w:rsidRPr="00FB1649">
              <w:rPr>
                <w:b/>
                <w:bCs/>
                <w:iCs/>
                <w:szCs w:val="22"/>
              </w:rPr>
              <w:t>Dosering til</w:t>
            </w:r>
            <w:r w:rsidRPr="00C15D92">
              <w:rPr>
                <w:b/>
                <w:bCs/>
                <w:iCs/>
                <w:szCs w:val="22"/>
              </w:rPr>
              <w:t xml:space="preserve"> herpes </w:t>
            </w:r>
            <w:proofErr w:type="spellStart"/>
            <w:r w:rsidRPr="00C15D92">
              <w:rPr>
                <w:b/>
                <w:bCs/>
                <w:iCs/>
                <w:szCs w:val="22"/>
              </w:rPr>
              <w:t>simplex</w:t>
            </w:r>
            <w:proofErr w:type="spellEnd"/>
            <w:r w:rsidRPr="00C15D92">
              <w:rPr>
                <w:b/>
                <w:bCs/>
                <w:iCs/>
                <w:szCs w:val="22"/>
              </w:rPr>
              <w:t xml:space="preserve"> </w:t>
            </w:r>
            <w:proofErr w:type="spellStart"/>
            <w:r w:rsidRPr="00C15D92">
              <w:rPr>
                <w:b/>
                <w:bCs/>
                <w:iCs/>
                <w:szCs w:val="22"/>
              </w:rPr>
              <w:t>encephalitis</w:t>
            </w:r>
            <w:proofErr w:type="spellEnd"/>
            <w:r w:rsidRPr="00C15D92">
              <w:rPr>
                <w:b/>
                <w:bCs/>
                <w:iCs/>
                <w:szCs w:val="22"/>
              </w:rPr>
              <w:t xml:space="preserve"> </w:t>
            </w:r>
            <w:r w:rsidRPr="00FB1649">
              <w:rPr>
                <w:b/>
                <w:bCs/>
                <w:iCs/>
                <w:szCs w:val="22"/>
              </w:rPr>
              <w:t xml:space="preserve">eller immunkompromitterede patienter med </w:t>
            </w:r>
            <w:proofErr w:type="spellStart"/>
            <w:r w:rsidRPr="00C15D92">
              <w:rPr>
                <w:b/>
                <w:bCs/>
                <w:iCs/>
                <w:szCs w:val="22"/>
              </w:rPr>
              <w:t>varicella</w:t>
            </w:r>
            <w:proofErr w:type="spellEnd"/>
            <w:r w:rsidRPr="00C15D92">
              <w:rPr>
                <w:b/>
                <w:bCs/>
                <w:iCs/>
                <w:szCs w:val="22"/>
              </w:rPr>
              <w:t xml:space="preserve"> </w:t>
            </w:r>
            <w:proofErr w:type="spellStart"/>
            <w:r w:rsidRPr="00C15D92">
              <w:rPr>
                <w:b/>
                <w:bCs/>
                <w:iCs/>
                <w:szCs w:val="22"/>
              </w:rPr>
              <w:t>zoster</w:t>
            </w:r>
            <w:proofErr w:type="spellEnd"/>
          </w:p>
        </w:tc>
        <w:tc>
          <w:tcPr>
            <w:tcW w:w="1481" w:type="pct"/>
            <w:tcBorders>
              <w:top w:val="single" w:sz="4" w:space="0" w:color="auto"/>
              <w:left w:val="single" w:sz="4" w:space="0" w:color="auto"/>
              <w:bottom w:val="single" w:sz="4" w:space="0" w:color="auto"/>
              <w:right w:val="single" w:sz="4" w:space="0" w:color="auto"/>
            </w:tcBorders>
          </w:tcPr>
          <w:p w14:paraId="6BF55368" w14:textId="77777777" w:rsidR="000C59C6" w:rsidRPr="00437023" w:rsidRDefault="000C59C6" w:rsidP="00FB1649">
            <w:pPr>
              <w:tabs>
                <w:tab w:val="left" w:pos="1304"/>
              </w:tabs>
              <w:rPr>
                <w:b/>
                <w:bCs/>
                <w:iCs/>
                <w:sz w:val="24"/>
                <w:szCs w:val="24"/>
              </w:rPr>
            </w:pPr>
          </w:p>
        </w:tc>
      </w:tr>
      <w:tr w:rsidR="000C59C6" w:rsidRPr="00437023" w14:paraId="7E28C906" w14:textId="77777777" w:rsidTr="00FB1649">
        <w:tc>
          <w:tcPr>
            <w:tcW w:w="557" w:type="pct"/>
            <w:tcBorders>
              <w:top w:val="single" w:sz="4" w:space="0" w:color="auto"/>
              <w:left w:val="single" w:sz="4" w:space="0" w:color="auto"/>
              <w:bottom w:val="single" w:sz="4" w:space="0" w:color="auto"/>
              <w:right w:val="single" w:sz="4" w:space="0" w:color="auto"/>
            </w:tcBorders>
            <w:hideMark/>
          </w:tcPr>
          <w:p w14:paraId="7EC381E1" w14:textId="77777777" w:rsidR="000C59C6" w:rsidRPr="00560CEF" w:rsidRDefault="000C59C6" w:rsidP="00FB1649">
            <w:pPr>
              <w:tabs>
                <w:tab w:val="left" w:pos="1304"/>
              </w:tabs>
              <w:rPr>
                <w:bCs/>
                <w:iCs/>
                <w:sz w:val="24"/>
                <w:szCs w:val="24"/>
              </w:rPr>
            </w:pPr>
            <w:r w:rsidRPr="00560CEF">
              <w:rPr>
                <w:sz w:val="24"/>
                <w:szCs w:val="24"/>
              </w:rPr>
              <w:t>25 til 50 ml/min</w:t>
            </w:r>
          </w:p>
        </w:tc>
        <w:tc>
          <w:tcPr>
            <w:tcW w:w="1481" w:type="pct"/>
            <w:tcBorders>
              <w:top w:val="single" w:sz="4" w:space="0" w:color="auto"/>
              <w:left w:val="single" w:sz="4" w:space="0" w:color="auto"/>
              <w:bottom w:val="single" w:sz="4" w:space="0" w:color="auto"/>
              <w:right w:val="single" w:sz="4" w:space="0" w:color="auto"/>
            </w:tcBorders>
            <w:hideMark/>
          </w:tcPr>
          <w:p w14:paraId="2D5A9E29" w14:textId="77777777" w:rsidR="000C59C6" w:rsidRPr="00560CEF" w:rsidRDefault="000C59C6" w:rsidP="00FB1649">
            <w:pPr>
              <w:tabs>
                <w:tab w:val="left" w:pos="1304"/>
              </w:tabs>
              <w:rPr>
                <w:bCs/>
                <w:iCs/>
                <w:sz w:val="24"/>
                <w:szCs w:val="24"/>
              </w:rPr>
            </w:pPr>
            <w:r w:rsidRPr="00560CEF">
              <w:rPr>
                <w:sz w:val="24"/>
                <w:szCs w:val="24"/>
              </w:rPr>
              <w:t>5</w:t>
            </w:r>
            <w:r>
              <w:rPr>
                <w:sz w:val="24"/>
                <w:szCs w:val="24"/>
              </w:rPr>
              <w:t> </w:t>
            </w:r>
            <w:r w:rsidRPr="00560CEF">
              <w:rPr>
                <w:sz w:val="24"/>
                <w:szCs w:val="24"/>
              </w:rPr>
              <w:t>mg/kg legemsvægt gives hver 12. time.</w:t>
            </w:r>
          </w:p>
        </w:tc>
        <w:tc>
          <w:tcPr>
            <w:tcW w:w="1481" w:type="pct"/>
            <w:tcBorders>
              <w:top w:val="single" w:sz="4" w:space="0" w:color="auto"/>
              <w:left w:val="single" w:sz="4" w:space="0" w:color="auto"/>
              <w:bottom w:val="single" w:sz="4" w:space="0" w:color="auto"/>
              <w:right w:val="single" w:sz="4" w:space="0" w:color="auto"/>
            </w:tcBorders>
          </w:tcPr>
          <w:p w14:paraId="08724378" w14:textId="77777777" w:rsidR="000C59C6" w:rsidRPr="00C15D92" w:rsidRDefault="000C59C6" w:rsidP="00FB1649">
            <w:pPr>
              <w:tabs>
                <w:tab w:val="left" w:pos="1304"/>
              </w:tabs>
              <w:rPr>
                <w:sz w:val="24"/>
                <w:szCs w:val="24"/>
              </w:rPr>
            </w:pPr>
            <w:r w:rsidRPr="00FB1649">
              <w:rPr>
                <w:bCs/>
                <w:iCs/>
                <w:szCs w:val="22"/>
              </w:rPr>
              <w:t>10 mg/kg legemsvægt gives hver 12. time</w:t>
            </w:r>
          </w:p>
        </w:tc>
        <w:tc>
          <w:tcPr>
            <w:tcW w:w="1481" w:type="pct"/>
            <w:tcBorders>
              <w:top w:val="single" w:sz="4" w:space="0" w:color="auto"/>
              <w:left w:val="single" w:sz="4" w:space="0" w:color="auto"/>
              <w:bottom w:val="single" w:sz="4" w:space="0" w:color="auto"/>
              <w:right w:val="single" w:sz="4" w:space="0" w:color="auto"/>
            </w:tcBorders>
          </w:tcPr>
          <w:p w14:paraId="22930B64" w14:textId="77777777" w:rsidR="000C59C6" w:rsidRPr="004A08EB" w:rsidRDefault="000C59C6" w:rsidP="00FB1649">
            <w:pPr>
              <w:tabs>
                <w:tab w:val="left" w:pos="1304"/>
              </w:tabs>
              <w:rPr>
                <w:sz w:val="24"/>
                <w:szCs w:val="24"/>
              </w:rPr>
            </w:pPr>
          </w:p>
        </w:tc>
      </w:tr>
      <w:tr w:rsidR="000C59C6" w:rsidRPr="00437023" w14:paraId="117EF4DD" w14:textId="77777777" w:rsidTr="00FB1649">
        <w:tc>
          <w:tcPr>
            <w:tcW w:w="557" w:type="pct"/>
            <w:tcBorders>
              <w:top w:val="single" w:sz="4" w:space="0" w:color="auto"/>
              <w:left w:val="single" w:sz="4" w:space="0" w:color="auto"/>
              <w:bottom w:val="single" w:sz="4" w:space="0" w:color="auto"/>
              <w:right w:val="single" w:sz="4" w:space="0" w:color="auto"/>
            </w:tcBorders>
            <w:hideMark/>
          </w:tcPr>
          <w:p w14:paraId="7DB4F93E" w14:textId="77777777" w:rsidR="000C59C6" w:rsidRPr="00560CEF" w:rsidRDefault="000C59C6" w:rsidP="00FB1649">
            <w:pPr>
              <w:tabs>
                <w:tab w:val="left" w:pos="1304"/>
              </w:tabs>
              <w:rPr>
                <w:bCs/>
                <w:iCs/>
                <w:sz w:val="24"/>
                <w:szCs w:val="24"/>
              </w:rPr>
            </w:pPr>
            <w:r w:rsidRPr="00560CEF">
              <w:rPr>
                <w:sz w:val="24"/>
                <w:szCs w:val="24"/>
              </w:rPr>
              <w:t>10 til 25 ml/min</w:t>
            </w:r>
          </w:p>
        </w:tc>
        <w:tc>
          <w:tcPr>
            <w:tcW w:w="1481" w:type="pct"/>
            <w:tcBorders>
              <w:top w:val="single" w:sz="4" w:space="0" w:color="auto"/>
              <w:left w:val="single" w:sz="4" w:space="0" w:color="auto"/>
              <w:bottom w:val="single" w:sz="4" w:space="0" w:color="auto"/>
              <w:right w:val="single" w:sz="4" w:space="0" w:color="auto"/>
            </w:tcBorders>
            <w:hideMark/>
          </w:tcPr>
          <w:p w14:paraId="22CAA85A" w14:textId="77777777" w:rsidR="000C59C6" w:rsidRPr="00560CEF" w:rsidRDefault="000C59C6" w:rsidP="00FB1649">
            <w:pPr>
              <w:tabs>
                <w:tab w:val="left" w:pos="1304"/>
              </w:tabs>
              <w:rPr>
                <w:bCs/>
                <w:iCs/>
                <w:sz w:val="24"/>
                <w:szCs w:val="24"/>
              </w:rPr>
            </w:pPr>
            <w:r w:rsidRPr="00560CEF">
              <w:rPr>
                <w:sz w:val="24"/>
                <w:szCs w:val="24"/>
              </w:rPr>
              <w:t>5</w:t>
            </w:r>
            <w:r>
              <w:rPr>
                <w:sz w:val="24"/>
                <w:szCs w:val="24"/>
              </w:rPr>
              <w:t> </w:t>
            </w:r>
            <w:r w:rsidRPr="00560CEF">
              <w:rPr>
                <w:sz w:val="24"/>
                <w:szCs w:val="24"/>
              </w:rPr>
              <w:t>mg/kg legemsvægt gives hver 24. time.</w:t>
            </w:r>
          </w:p>
        </w:tc>
        <w:tc>
          <w:tcPr>
            <w:tcW w:w="1481" w:type="pct"/>
            <w:tcBorders>
              <w:top w:val="single" w:sz="4" w:space="0" w:color="auto"/>
              <w:left w:val="single" w:sz="4" w:space="0" w:color="auto"/>
              <w:bottom w:val="single" w:sz="4" w:space="0" w:color="auto"/>
              <w:right w:val="single" w:sz="4" w:space="0" w:color="auto"/>
            </w:tcBorders>
          </w:tcPr>
          <w:p w14:paraId="53A93CAA" w14:textId="77777777" w:rsidR="000C59C6" w:rsidRPr="00C15D92" w:rsidRDefault="000C59C6" w:rsidP="00FB1649">
            <w:pPr>
              <w:tabs>
                <w:tab w:val="left" w:pos="1304"/>
              </w:tabs>
              <w:rPr>
                <w:sz w:val="24"/>
                <w:szCs w:val="24"/>
              </w:rPr>
            </w:pPr>
            <w:r w:rsidRPr="00FB1649">
              <w:rPr>
                <w:bCs/>
                <w:iCs/>
                <w:szCs w:val="22"/>
              </w:rPr>
              <w:t>10 mg/kg legemsvægt gives hver 24. time</w:t>
            </w:r>
          </w:p>
        </w:tc>
        <w:tc>
          <w:tcPr>
            <w:tcW w:w="1481" w:type="pct"/>
            <w:tcBorders>
              <w:top w:val="single" w:sz="4" w:space="0" w:color="auto"/>
              <w:left w:val="single" w:sz="4" w:space="0" w:color="auto"/>
              <w:bottom w:val="single" w:sz="4" w:space="0" w:color="auto"/>
              <w:right w:val="single" w:sz="4" w:space="0" w:color="auto"/>
            </w:tcBorders>
          </w:tcPr>
          <w:p w14:paraId="1E8939E6" w14:textId="77777777" w:rsidR="000C59C6" w:rsidRPr="004A08EB" w:rsidRDefault="000C59C6" w:rsidP="00FB1649">
            <w:pPr>
              <w:tabs>
                <w:tab w:val="left" w:pos="1304"/>
              </w:tabs>
              <w:rPr>
                <w:sz w:val="24"/>
                <w:szCs w:val="24"/>
              </w:rPr>
            </w:pPr>
          </w:p>
        </w:tc>
      </w:tr>
      <w:tr w:rsidR="000C59C6" w:rsidRPr="00437023" w14:paraId="28D3E467" w14:textId="77777777" w:rsidTr="00FB1649">
        <w:tc>
          <w:tcPr>
            <w:tcW w:w="557" w:type="pct"/>
            <w:tcBorders>
              <w:top w:val="single" w:sz="4" w:space="0" w:color="auto"/>
              <w:left w:val="single" w:sz="4" w:space="0" w:color="auto"/>
              <w:bottom w:val="single" w:sz="4" w:space="0" w:color="auto"/>
              <w:right w:val="single" w:sz="4" w:space="0" w:color="auto"/>
            </w:tcBorders>
            <w:hideMark/>
          </w:tcPr>
          <w:p w14:paraId="4E8480A0" w14:textId="77777777" w:rsidR="000C59C6" w:rsidRPr="00560CEF" w:rsidRDefault="000C59C6" w:rsidP="00FB1649">
            <w:pPr>
              <w:tabs>
                <w:tab w:val="left" w:pos="1304"/>
              </w:tabs>
              <w:rPr>
                <w:bCs/>
                <w:iCs/>
                <w:sz w:val="24"/>
                <w:szCs w:val="24"/>
              </w:rPr>
            </w:pPr>
            <w:r w:rsidRPr="00560CEF">
              <w:rPr>
                <w:sz w:val="24"/>
                <w:szCs w:val="24"/>
              </w:rPr>
              <w:t>0 til 10 ml/min</w:t>
            </w:r>
          </w:p>
        </w:tc>
        <w:tc>
          <w:tcPr>
            <w:tcW w:w="1481" w:type="pct"/>
            <w:tcBorders>
              <w:top w:val="single" w:sz="4" w:space="0" w:color="auto"/>
              <w:left w:val="single" w:sz="4" w:space="0" w:color="auto"/>
              <w:bottom w:val="single" w:sz="4" w:space="0" w:color="auto"/>
              <w:right w:val="single" w:sz="4" w:space="0" w:color="auto"/>
            </w:tcBorders>
            <w:hideMark/>
          </w:tcPr>
          <w:p w14:paraId="4C4758C2" w14:textId="77777777" w:rsidR="000C59C6" w:rsidRPr="00560CEF" w:rsidRDefault="000C59C6" w:rsidP="00FB1649">
            <w:pPr>
              <w:tabs>
                <w:tab w:val="left" w:pos="1304"/>
              </w:tabs>
              <w:rPr>
                <w:bCs/>
                <w:iCs/>
                <w:sz w:val="24"/>
                <w:szCs w:val="24"/>
              </w:rPr>
            </w:pPr>
            <w:r>
              <w:rPr>
                <w:sz w:val="24"/>
                <w:szCs w:val="24"/>
              </w:rPr>
              <w:t>2,</w:t>
            </w:r>
            <w:r w:rsidRPr="00560CEF">
              <w:rPr>
                <w:sz w:val="24"/>
                <w:szCs w:val="24"/>
              </w:rPr>
              <w:t>5</w:t>
            </w:r>
            <w:r>
              <w:rPr>
                <w:sz w:val="24"/>
                <w:szCs w:val="24"/>
              </w:rPr>
              <w:t> </w:t>
            </w:r>
            <w:r w:rsidRPr="00560CEF">
              <w:rPr>
                <w:sz w:val="24"/>
                <w:szCs w:val="24"/>
              </w:rPr>
              <w:t>mg/kg legemsvægt gives hver 24. time.</w:t>
            </w:r>
          </w:p>
        </w:tc>
        <w:tc>
          <w:tcPr>
            <w:tcW w:w="1481" w:type="pct"/>
            <w:tcBorders>
              <w:top w:val="single" w:sz="4" w:space="0" w:color="auto"/>
              <w:left w:val="single" w:sz="4" w:space="0" w:color="auto"/>
              <w:bottom w:val="single" w:sz="4" w:space="0" w:color="auto"/>
              <w:right w:val="single" w:sz="4" w:space="0" w:color="auto"/>
            </w:tcBorders>
          </w:tcPr>
          <w:p w14:paraId="6824F420" w14:textId="77777777" w:rsidR="000C59C6" w:rsidRPr="00C15D92" w:rsidRDefault="000C59C6" w:rsidP="00FB1649">
            <w:pPr>
              <w:tabs>
                <w:tab w:val="left" w:pos="1304"/>
              </w:tabs>
              <w:rPr>
                <w:sz w:val="24"/>
                <w:szCs w:val="24"/>
              </w:rPr>
            </w:pPr>
            <w:r w:rsidRPr="00FB1649">
              <w:rPr>
                <w:bCs/>
                <w:iCs/>
                <w:szCs w:val="22"/>
              </w:rPr>
              <w:t>5 mg/kg legemsvægt gives hver 24. time</w:t>
            </w:r>
          </w:p>
        </w:tc>
        <w:tc>
          <w:tcPr>
            <w:tcW w:w="1481" w:type="pct"/>
            <w:tcBorders>
              <w:top w:val="single" w:sz="4" w:space="0" w:color="auto"/>
              <w:left w:val="single" w:sz="4" w:space="0" w:color="auto"/>
              <w:bottom w:val="single" w:sz="4" w:space="0" w:color="auto"/>
              <w:right w:val="single" w:sz="4" w:space="0" w:color="auto"/>
            </w:tcBorders>
          </w:tcPr>
          <w:p w14:paraId="6CB64DCF" w14:textId="77777777" w:rsidR="000C59C6" w:rsidRPr="004A08EB" w:rsidRDefault="000C59C6" w:rsidP="00FB1649">
            <w:pPr>
              <w:tabs>
                <w:tab w:val="left" w:pos="1304"/>
              </w:tabs>
              <w:rPr>
                <w:sz w:val="24"/>
                <w:szCs w:val="24"/>
              </w:rPr>
            </w:pPr>
          </w:p>
        </w:tc>
      </w:tr>
      <w:tr w:rsidR="000C59C6" w:rsidRPr="00437023" w14:paraId="46D76DD3" w14:textId="77777777" w:rsidTr="00FB1649">
        <w:tc>
          <w:tcPr>
            <w:tcW w:w="557" w:type="pct"/>
            <w:tcBorders>
              <w:top w:val="single" w:sz="4" w:space="0" w:color="auto"/>
              <w:left w:val="single" w:sz="4" w:space="0" w:color="auto"/>
              <w:bottom w:val="single" w:sz="4" w:space="0" w:color="auto"/>
              <w:right w:val="single" w:sz="4" w:space="0" w:color="auto"/>
            </w:tcBorders>
            <w:hideMark/>
          </w:tcPr>
          <w:p w14:paraId="63EE13F7" w14:textId="77777777" w:rsidR="000C59C6" w:rsidRPr="00560CEF" w:rsidRDefault="000C59C6" w:rsidP="00FB1649">
            <w:pPr>
              <w:tabs>
                <w:tab w:val="left" w:pos="1304"/>
              </w:tabs>
              <w:rPr>
                <w:bCs/>
                <w:iCs/>
                <w:sz w:val="24"/>
                <w:szCs w:val="24"/>
              </w:rPr>
            </w:pPr>
            <w:r w:rsidRPr="00560CEF">
              <w:rPr>
                <w:sz w:val="24"/>
                <w:szCs w:val="24"/>
              </w:rPr>
              <w:t>Patienter i hæmodialyse</w:t>
            </w:r>
          </w:p>
        </w:tc>
        <w:tc>
          <w:tcPr>
            <w:tcW w:w="1481" w:type="pct"/>
            <w:tcBorders>
              <w:top w:val="single" w:sz="4" w:space="0" w:color="auto"/>
              <w:left w:val="single" w:sz="4" w:space="0" w:color="auto"/>
              <w:bottom w:val="single" w:sz="4" w:space="0" w:color="auto"/>
              <w:right w:val="single" w:sz="4" w:space="0" w:color="auto"/>
            </w:tcBorders>
            <w:hideMark/>
          </w:tcPr>
          <w:p w14:paraId="3F80CEAF" w14:textId="77777777" w:rsidR="000C59C6" w:rsidRPr="00560CEF" w:rsidRDefault="000C59C6" w:rsidP="00FB1649">
            <w:pPr>
              <w:tabs>
                <w:tab w:val="left" w:pos="1304"/>
              </w:tabs>
              <w:rPr>
                <w:bCs/>
                <w:iCs/>
                <w:sz w:val="24"/>
                <w:szCs w:val="24"/>
              </w:rPr>
            </w:pPr>
            <w:r>
              <w:rPr>
                <w:sz w:val="24"/>
                <w:szCs w:val="24"/>
              </w:rPr>
              <w:t>2,</w:t>
            </w:r>
            <w:r w:rsidRPr="00560CEF">
              <w:rPr>
                <w:sz w:val="24"/>
                <w:szCs w:val="24"/>
              </w:rPr>
              <w:t>5</w:t>
            </w:r>
            <w:r>
              <w:rPr>
                <w:sz w:val="24"/>
                <w:szCs w:val="24"/>
              </w:rPr>
              <w:t> </w:t>
            </w:r>
            <w:r w:rsidRPr="00560CEF">
              <w:rPr>
                <w:sz w:val="24"/>
                <w:szCs w:val="24"/>
              </w:rPr>
              <w:t>mg/kg legemsvægt gives hver 24. time efter dialyse</w:t>
            </w:r>
          </w:p>
        </w:tc>
        <w:tc>
          <w:tcPr>
            <w:tcW w:w="1481" w:type="pct"/>
            <w:tcBorders>
              <w:top w:val="single" w:sz="4" w:space="0" w:color="auto"/>
              <w:left w:val="single" w:sz="4" w:space="0" w:color="auto"/>
              <w:bottom w:val="single" w:sz="4" w:space="0" w:color="auto"/>
              <w:right w:val="single" w:sz="4" w:space="0" w:color="auto"/>
            </w:tcBorders>
          </w:tcPr>
          <w:p w14:paraId="4B85F540" w14:textId="77777777" w:rsidR="000C59C6" w:rsidRPr="00C15D92" w:rsidRDefault="000C59C6" w:rsidP="00FB1649">
            <w:pPr>
              <w:tabs>
                <w:tab w:val="left" w:pos="1304"/>
              </w:tabs>
              <w:rPr>
                <w:sz w:val="24"/>
                <w:szCs w:val="24"/>
              </w:rPr>
            </w:pPr>
            <w:r w:rsidRPr="00FB1649">
              <w:rPr>
                <w:bCs/>
                <w:iCs/>
                <w:szCs w:val="22"/>
              </w:rPr>
              <w:t>5 mg/kg legemsvægt gives hver 24. time efter dialyse</w:t>
            </w:r>
          </w:p>
        </w:tc>
        <w:tc>
          <w:tcPr>
            <w:tcW w:w="1481" w:type="pct"/>
            <w:tcBorders>
              <w:top w:val="single" w:sz="4" w:space="0" w:color="auto"/>
              <w:left w:val="single" w:sz="4" w:space="0" w:color="auto"/>
              <w:bottom w:val="single" w:sz="4" w:space="0" w:color="auto"/>
              <w:right w:val="single" w:sz="4" w:space="0" w:color="auto"/>
            </w:tcBorders>
          </w:tcPr>
          <w:p w14:paraId="6D1E84BE" w14:textId="77777777" w:rsidR="000C59C6" w:rsidRPr="00437023" w:rsidRDefault="000C59C6" w:rsidP="00FB1649">
            <w:pPr>
              <w:tabs>
                <w:tab w:val="left" w:pos="1304"/>
              </w:tabs>
              <w:rPr>
                <w:sz w:val="24"/>
                <w:szCs w:val="24"/>
              </w:rPr>
            </w:pPr>
          </w:p>
        </w:tc>
      </w:tr>
    </w:tbl>
    <w:p w14:paraId="68419A51" w14:textId="77777777" w:rsidR="000C59C6" w:rsidRPr="00FB1649" w:rsidRDefault="000C59C6" w:rsidP="000C59C6">
      <w:pPr>
        <w:tabs>
          <w:tab w:val="left" w:pos="1304"/>
        </w:tabs>
        <w:rPr>
          <w:iCs/>
          <w:szCs w:val="22"/>
        </w:rPr>
      </w:pPr>
      <w:r w:rsidRPr="00FB1649">
        <w:rPr>
          <w:iCs/>
          <w:szCs w:val="22"/>
        </w:rPr>
        <w:t xml:space="preserve">Dosisjustering er ikke nødvendigt til patienter med </w:t>
      </w:r>
      <w:proofErr w:type="spellStart"/>
      <w:r>
        <w:rPr>
          <w:iCs/>
          <w:szCs w:val="22"/>
        </w:rPr>
        <w:t>kreatinin</w:t>
      </w:r>
      <w:r w:rsidRPr="00B53331">
        <w:rPr>
          <w:iCs/>
          <w:szCs w:val="22"/>
        </w:rPr>
        <w:t>clearance</w:t>
      </w:r>
      <w:proofErr w:type="spellEnd"/>
      <w:r w:rsidRPr="00B53331">
        <w:rPr>
          <w:iCs/>
          <w:szCs w:val="22"/>
        </w:rPr>
        <w:t xml:space="preserve"> </w:t>
      </w:r>
      <w:r>
        <w:rPr>
          <w:iCs/>
          <w:szCs w:val="22"/>
        </w:rPr>
        <w:t xml:space="preserve">over </w:t>
      </w:r>
      <w:r w:rsidRPr="00B53331">
        <w:rPr>
          <w:iCs/>
          <w:szCs w:val="22"/>
        </w:rPr>
        <w:t>50</w:t>
      </w:r>
      <w:r>
        <w:rPr>
          <w:iCs/>
          <w:szCs w:val="22"/>
        </w:rPr>
        <w:t> </w:t>
      </w:r>
      <w:r w:rsidRPr="00B53331">
        <w:rPr>
          <w:iCs/>
          <w:szCs w:val="22"/>
        </w:rPr>
        <w:t>ml/min.</w:t>
      </w:r>
    </w:p>
    <w:p w14:paraId="37CA170D" w14:textId="77777777" w:rsidR="000C59C6" w:rsidRPr="00B53331" w:rsidRDefault="000C59C6" w:rsidP="000C59C6">
      <w:pPr>
        <w:tabs>
          <w:tab w:val="left" w:pos="1304"/>
        </w:tabs>
        <w:rPr>
          <w:b/>
          <w:bCs/>
          <w:iCs/>
          <w:sz w:val="24"/>
          <w:szCs w:val="24"/>
        </w:rPr>
      </w:pPr>
    </w:p>
    <w:p w14:paraId="5EE330B4" w14:textId="4CD04135" w:rsidR="000C59C6" w:rsidRPr="00560CEF" w:rsidRDefault="000C59C6" w:rsidP="000C59C6">
      <w:pPr>
        <w:tabs>
          <w:tab w:val="left" w:pos="1304"/>
        </w:tabs>
        <w:rPr>
          <w:bCs/>
          <w:iCs/>
          <w:sz w:val="24"/>
          <w:szCs w:val="24"/>
        </w:rPr>
      </w:pPr>
      <w:r w:rsidRPr="00272715">
        <w:rPr>
          <w:b/>
          <w:bCs/>
          <w:iCs/>
          <w:sz w:val="24"/>
          <w:szCs w:val="24"/>
        </w:rPr>
        <w:t>Tabel 2: Anbefalede dosisjusteringer til nyfødte, spædbørn og børn op til 12 år med nedsat nyrefunktion</w:t>
      </w:r>
      <w:r>
        <w:rPr>
          <w:b/>
          <w:bCs/>
          <w:iCs/>
          <w:szCs w:val="22"/>
        </w:rPr>
        <w:t xml:space="preserve"> til behandling af </w:t>
      </w:r>
      <w:r w:rsidRPr="003C41E2">
        <w:rPr>
          <w:b/>
          <w:bCs/>
          <w:iCs/>
          <w:szCs w:val="22"/>
        </w:rPr>
        <w:t xml:space="preserve">herpes </w:t>
      </w:r>
      <w:proofErr w:type="spellStart"/>
      <w:r w:rsidRPr="003C41E2">
        <w:rPr>
          <w:b/>
          <w:bCs/>
          <w:iCs/>
          <w:szCs w:val="22"/>
        </w:rPr>
        <w:t>simplex</w:t>
      </w:r>
      <w:proofErr w:type="spellEnd"/>
      <w:r>
        <w:rPr>
          <w:b/>
          <w:bCs/>
          <w:iCs/>
          <w:szCs w:val="22"/>
        </w:rPr>
        <w:t>-</w:t>
      </w:r>
      <w:r w:rsidRPr="003C41E2">
        <w:rPr>
          <w:b/>
          <w:bCs/>
          <w:iCs/>
          <w:szCs w:val="22"/>
        </w:rPr>
        <w:t xml:space="preserve"> </w:t>
      </w:r>
      <w:r>
        <w:rPr>
          <w:b/>
          <w:bCs/>
          <w:iCs/>
          <w:szCs w:val="22"/>
        </w:rPr>
        <w:t>elle</w:t>
      </w:r>
      <w:r w:rsidRPr="003C41E2">
        <w:rPr>
          <w:b/>
          <w:bCs/>
          <w:iCs/>
          <w:szCs w:val="22"/>
        </w:rPr>
        <w:t xml:space="preserve">r </w:t>
      </w:r>
      <w:proofErr w:type="spellStart"/>
      <w:r w:rsidRPr="003C41E2">
        <w:rPr>
          <w:b/>
          <w:bCs/>
          <w:iCs/>
          <w:szCs w:val="22"/>
        </w:rPr>
        <w:t>varicella</w:t>
      </w:r>
      <w:proofErr w:type="spellEnd"/>
      <w:r w:rsidRPr="003C41E2">
        <w:rPr>
          <w:b/>
          <w:bCs/>
          <w:iCs/>
          <w:szCs w:val="22"/>
        </w:rPr>
        <w:t xml:space="preserve"> </w:t>
      </w:r>
      <w:proofErr w:type="spellStart"/>
      <w:r w:rsidRPr="003C41E2">
        <w:rPr>
          <w:b/>
          <w:bCs/>
          <w:iCs/>
          <w:szCs w:val="22"/>
        </w:rPr>
        <w:t>zoster</w:t>
      </w:r>
      <w:proofErr w:type="spellEnd"/>
      <w:r>
        <w:rPr>
          <w:b/>
          <w:bCs/>
          <w:iCs/>
          <w:szCs w:val="22"/>
        </w:rPr>
        <w:t>-virusinfektioner</w:t>
      </w:r>
    </w:p>
    <w:p w14:paraId="040285F9" w14:textId="0FB9DC35" w:rsidR="00814C97" w:rsidRPr="00560CEF" w:rsidRDefault="00814C97" w:rsidP="00814C97">
      <w:pPr>
        <w:tabs>
          <w:tab w:val="left" w:pos="1304"/>
        </w:tabs>
        <w:rPr>
          <w:bCs/>
          <w:iCs/>
          <w:sz w:val="24"/>
          <w:szCs w:val="24"/>
        </w:rPr>
      </w:pPr>
    </w:p>
    <w:tbl>
      <w:tblPr>
        <w:tblStyle w:val="Tabel-Gitter"/>
        <w:tblW w:w="7104" w:type="pct"/>
        <w:tblInd w:w="0" w:type="dxa"/>
        <w:tblLook w:val="04A0" w:firstRow="1" w:lastRow="0" w:firstColumn="1" w:lastColumn="0" w:noHBand="0" w:noVBand="1"/>
      </w:tblPr>
      <w:tblGrid>
        <w:gridCol w:w="1523"/>
        <w:gridCol w:w="4052"/>
        <w:gridCol w:w="4052"/>
        <w:gridCol w:w="4052"/>
      </w:tblGrid>
      <w:tr w:rsidR="000C59C6" w:rsidRPr="006A363A" w14:paraId="762517A1" w14:textId="77777777" w:rsidTr="00FB1649">
        <w:tc>
          <w:tcPr>
            <w:tcW w:w="557" w:type="pct"/>
            <w:tcBorders>
              <w:top w:val="single" w:sz="4" w:space="0" w:color="auto"/>
              <w:left w:val="single" w:sz="4" w:space="0" w:color="auto"/>
              <w:bottom w:val="single" w:sz="4" w:space="0" w:color="auto"/>
              <w:right w:val="single" w:sz="4" w:space="0" w:color="auto"/>
            </w:tcBorders>
            <w:hideMark/>
          </w:tcPr>
          <w:p w14:paraId="7D6C4C98" w14:textId="77777777" w:rsidR="000C59C6" w:rsidRPr="00560CEF" w:rsidRDefault="000C59C6" w:rsidP="00FB1649">
            <w:pPr>
              <w:tabs>
                <w:tab w:val="left" w:pos="1304"/>
              </w:tabs>
              <w:rPr>
                <w:b/>
                <w:bCs/>
                <w:iCs/>
                <w:sz w:val="24"/>
                <w:szCs w:val="24"/>
              </w:rPr>
            </w:pPr>
            <w:proofErr w:type="spellStart"/>
            <w:r w:rsidRPr="00560CEF">
              <w:rPr>
                <w:b/>
                <w:bCs/>
                <w:iCs/>
                <w:sz w:val="24"/>
                <w:szCs w:val="24"/>
              </w:rPr>
              <w:t>Kreatinin-clearance</w:t>
            </w:r>
            <w:proofErr w:type="spellEnd"/>
          </w:p>
        </w:tc>
        <w:tc>
          <w:tcPr>
            <w:tcW w:w="1481" w:type="pct"/>
            <w:tcBorders>
              <w:top w:val="single" w:sz="4" w:space="0" w:color="auto"/>
              <w:left w:val="single" w:sz="4" w:space="0" w:color="auto"/>
              <w:bottom w:val="single" w:sz="4" w:space="0" w:color="auto"/>
              <w:right w:val="single" w:sz="4" w:space="0" w:color="auto"/>
            </w:tcBorders>
            <w:hideMark/>
          </w:tcPr>
          <w:p w14:paraId="3EC35410" w14:textId="77777777" w:rsidR="000C59C6" w:rsidRPr="00FB1649" w:rsidRDefault="000C59C6" w:rsidP="00FB1649">
            <w:pPr>
              <w:rPr>
                <w:b/>
                <w:bCs/>
                <w:iCs/>
                <w:szCs w:val="22"/>
                <w:lang w:val="en-US"/>
              </w:rPr>
            </w:pPr>
            <w:proofErr w:type="spellStart"/>
            <w:r w:rsidRPr="00FB1649">
              <w:rPr>
                <w:b/>
                <w:bCs/>
                <w:iCs/>
                <w:sz w:val="24"/>
                <w:szCs w:val="24"/>
                <w:lang w:val="en-US"/>
              </w:rPr>
              <w:t>Dosis</w:t>
            </w:r>
            <w:proofErr w:type="spellEnd"/>
            <w:r w:rsidRPr="00FB1649">
              <w:rPr>
                <w:b/>
                <w:bCs/>
                <w:iCs/>
                <w:szCs w:val="22"/>
                <w:lang w:val="en-US"/>
              </w:rPr>
              <w:t xml:space="preserve"> </w:t>
            </w:r>
            <w:proofErr w:type="spellStart"/>
            <w:r w:rsidRPr="00FB1649">
              <w:rPr>
                <w:b/>
                <w:bCs/>
                <w:iCs/>
                <w:szCs w:val="22"/>
                <w:lang w:val="en-US"/>
              </w:rPr>
              <w:t>til</w:t>
            </w:r>
            <w:proofErr w:type="spellEnd"/>
            <w:r w:rsidRPr="00FB1649">
              <w:rPr>
                <w:b/>
                <w:bCs/>
                <w:iCs/>
                <w:szCs w:val="22"/>
                <w:lang w:val="en-US"/>
              </w:rPr>
              <w:t xml:space="preserve"> herpes simplex</w:t>
            </w:r>
            <w:r>
              <w:rPr>
                <w:b/>
                <w:bCs/>
                <w:iCs/>
                <w:szCs w:val="22"/>
                <w:lang w:val="en-US"/>
              </w:rPr>
              <w:t>-</w:t>
            </w:r>
          </w:p>
          <w:p w14:paraId="667CB291" w14:textId="77777777" w:rsidR="000C59C6" w:rsidRPr="00FB1649" w:rsidRDefault="000C59C6" w:rsidP="00FB1649">
            <w:pPr>
              <w:tabs>
                <w:tab w:val="left" w:pos="1304"/>
              </w:tabs>
              <w:rPr>
                <w:b/>
                <w:bCs/>
                <w:iCs/>
                <w:sz w:val="24"/>
                <w:szCs w:val="24"/>
                <w:lang w:val="en-US"/>
              </w:rPr>
            </w:pPr>
            <w:r w:rsidRPr="00FB1649">
              <w:rPr>
                <w:b/>
                <w:bCs/>
                <w:iCs/>
                <w:szCs w:val="22"/>
                <w:lang w:val="en-US"/>
              </w:rPr>
              <w:t xml:space="preserve">infection </w:t>
            </w:r>
            <w:proofErr w:type="spellStart"/>
            <w:r>
              <w:rPr>
                <w:b/>
                <w:bCs/>
                <w:iCs/>
                <w:szCs w:val="22"/>
                <w:lang w:val="en-US"/>
              </w:rPr>
              <w:t>eller</w:t>
            </w:r>
            <w:proofErr w:type="spellEnd"/>
            <w:r w:rsidRPr="00FB1649">
              <w:rPr>
                <w:b/>
                <w:bCs/>
                <w:iCs/>
                <w:szCs w:val="22"/>
                <w:lang w:val="en-US"/>
              </w:rPr>
              <w:t xml:space="preserve"> varicella zoster</w:t>
            </w:r>
          </w:p>
        </w:tc>
        <w:tc>
          <w:tcPr>
            <w:tcW w:w="1481" w:type="pct"/>
            <w:tcBorders>
              <w:top w:val="single" w:sz="4" w:space="0" w:color="auto"/>
              <w:left w:val="single" w:sz="4" w:space="0" w:color="auto"/>
              <w:bottom w:val="single" w:sz="4" w:space="0" w:color="auto"/>
              <w:right w:val="single" w:sz="4" w:space="0" w:color="auto"/>
            </w:tcBorders>
          </w:tcPr>
          <w:p w14:paraId="58DB4CD3" w14:textId="77777777" w:rsidR="000C59C6" w:rsidRPr="00FB1649" w:rsidRDefault="000C59C6" w:rsidP="00FB1649">
            <w:pPr>
              <w:rPr>
                <w:b/>
                <w:bCs/>
                <w:iCs/>
                <w:sz w:val="24"/>
                <w:szCs w:val="24"/>
              </w:rPr>
            </w:pPr>
            <w:r w:rsidRPr="00C15D92">
              <w:rPr>
                <w:b/>
                <w:bCs/>
                <w:iCs/>
                <w:szCs w:val="22"/>
              </w:rPr>
              <w:t>Dos</w:t>
            </w:r>
            <w:r w:rsidRPr="00FB1649">
              <w:rPr>
                <w:b/>
                <w:bCs/>
                <w:iCs/>
                <w:szCs w:val="22"/>
              </w:rPr>
              <w:t>is til</w:t>
            </w:r>
            <w:r w:rsidRPr="00C15D92">
              <w:rPr>
                <w:b/>
                <w:bCs/>
                <w:iCs/>
                <w:szCs w:val="22"/>
              </w:rPr>
              <w:t xml:space="preserve"> herpes </w:t>
            </w:r>
            <w:proofErr w:type="spellStart"/>
            <w:r w:rsidRPr="00C15D92">
              <w:rPr>
                <w:b/>
                <w:bCs/>
                <w:iCs/>
                <w:szCs w:val="22"/>
              </w:rPr>
              <w:t>simplex</w:t>
            </w:r>
            <w:proofErr w:type="spellEnd"/>
            <w:r w:rsidRPr="00C15D92">
              <w:rPr>
                <w:b/>
                <w:bCs/>
                <w:iCs/>
                <w:szCs w:val="22"/>
              </w:rPr>
              <w:t xml:space="preserve"> </w:t>
            </w:r>
            <w:proofErr w:type="spellStart"/>
            <w:r w:rsidRPr="00C15D92">
              <w:rPr>
                <w:b/>
                <w:bCs/>
                <w:iCs/>
                <w:szCs w:val="22"/>
              </w:rPr>
              <w:t>encephalitis</w:t>
            </w:r>
            <w:proofErr w:type="spellEnd"/>
            <w:r w:rsidRPr="00C15D92">
              <w:rPr>
                <w:b/>
                <w:bCs/>
                <w:iCs/>
                <w:szCs w:val="22"/>
              </w:rPr>
              <w:t xml:space="preserve"> </w:t>
            </w:r>
            <w:r w:rsidRPr="00FB1649">
              <w:rPr>
                <w:b/>
                <w:bCs/>
                <w:iCs/>
                <w:szCs w:val="22"/>
              </w:rPr>
              <w:t>elle</w:t>
            </w:r>
            <w:r w:rsidRPr="00C15D92">
              <w:rPr>
                <w:b/>
                <w:bCs/>
                <w:iCs/>
                <w:szCs w:val="22"/>
              </w:rPr>
              <w:t xml:space="preserve">r </w:t>
            </w:r>
            <w:r w:rsidRPr="00FB1649">
              <w:rPr>
                <w:b/>
                <w:bCs/>
                <w:iCs/>
                <w:szCs w:val="22"/>
              </w:rPr>
              <w:t xml:space="preserve">immunkompromitterede patienter med </w:t>
            </w:r>
            <w:proofErr w:type="spellStart"/>
            <w:r w:rsidRPr="00C15D92">
              <w:rPr>
                <w:b/>
                <w:bCs/>
                <w:iCs/>
                <w:szCs w:val="22"/>
              </w:rPr>
              <w:t>varicella</w:t>
            </w:r>
            <w:proofErr w:type="spellEnd"/>
            <w:r w:rsidRPr="00C15D92">
              <w:rPr>
                <w:b/>
                <w:bCs/>
                <w:iCs/>
                <w:szCs w:val="22"/>
              </w:rPr>
              <w:t xml:space="preserve"> </w:t>
            </w:r>
            <w:proofErr w:type="spellStart"/>
            <w:r w:rsidRPr="00C15D92">
              <w:rPr>
                <w:b/>
                <w:bCs/>
                <w:iCs/>
                <w:szCs w:val="22"/>
              </w:rPr>
              <w:t>zoster</w:t>
            </w:r>
            <w:proofErr w:type="spellEnd"/>
          </w:p>
        </w:tc>
        <w:tc>
          <w:tcPr>
            <w:tcW w:w="1481" w:type="pct"/>
            <w:tcBorders>
              <w:top w:val="single" w:sz="4" w:space="0" w:color="auto"/>
              <w:left w:val="single" w:sz="4" w:space="0" w:color="auto"/>
              <w:bottom w:val="single" w:sz="4" w:space="0" w:color="auto"/>
              <w:right w:val="single" w:sz="4" w:space="0" w:color="auto"/>
            </w:tcBorders>
          </w:tcPr>
          <w:p w14:paraId="701F26EC" w14:textId="77777777" w:rsidR="000C59C6" w:rsidRPr="006A363A" w:rsidRDefault="000C59C6" w:rsidP="00FB1649">
            <w:pPr>
              <w:tabs>
                <w:tab w:val="left" w:pos="1304"/>
              </w:tabs>
              <w:rPr>
                <w:b/>
                <w:bCs/>
                <w:iCs/>
                <w:sz w:val="24"/>
                <w:szCs w:val="24"/>
              </w:rPr>
            </w:pPr>
          </w:p>
        </w:tc>
      </w:tr>
      <w:tr w:rsidR="000C59C6" w:rsidRPr="006A363A" w14:paraId="36355EC0" w14:textId="77777777" w:rsidTr="00FB1649">
        <w:tc>
          <w:tcPr>
            <w:tcW w:w="557" w:type="pct"/>
            <w:tcBorders>
              <w:top w:val="single" w:sz="4" w:space="0" w:color="auto"/>
              <w:left w:val="single" w:sz="4" w:space="0" w:color="auto"/>
              <w:bottom w:val="single" w:sz="4" w:space="0" w:color="auto"/>
              <w:right w:val="single" w:sz="4" w:space="0" w:color="auto"/>
            </w:tcBorders>
            <w:hideMark/>
          </w:tcPr>
          <w:p w14:paraId="08086AE9" w14:textId="77777777" w:rsidR="000C59C6" w:rsidRPr="00560CEF" w:rsidRDefault="000C59C6" w:rsidP="00FB1649">
            <w:pPr>
              <w:tabs>
                <w:tab w:val="left" w:pos="1304"/>
              </w:tabs>
              <w:rPr>
                <w:bCs/>
                <w:iCs/>
                <w:sz w:val="24"/>
                <w:szCs w:val="24"/>
              </w:rPr>
            </w:pPr>
            <w:r w:rsidRPr="00560CEF">
              <w:rPr>
                <w:sz w:val="24"/>
                <w:szCs w:val="24"/>
              </w:rPr>
              <w:t>25 til 50 ml/min/1,73</w:t>
            </w:r>
            <w:r>
              <w:rPr>
                <w:sz w:val="24"/>
                <w:szCs w:val="24"/>
              </w:rPr>
              <w:t xml:space="preserve"> </w:t>
            </w:r>
            <w:r w:rsidRPr="00560CEF">
              <w:rPr>
                <w:sz w:val="24"/>
                <w:szCs w:val="24"/>
              </w:rPr>
              <w:t>m</w:t>
            </w:r>
            <w:r w:rsidRPr="00560CEF">
              <w:rPr>
                <w:sz w:val="24"/>
                <w:szCs w:val="24"/>
                <w:vertAlign w:val="superscript"/>
              </w:rPr>
              <w:t>2</w:t>
            </w:r>
          </w:p>
        </w:tc>
        <w:tc>
          <w:tcPr>
            <w:tcW w:w="1481" w:type="pct"/>
            <w:tcBorders>
              <w:top w:val="single" w:sz="4" w:space="0" w:color="auto"/>
              <w:left w:val="single" w:sz="4" w:space="0" w:color="auto"/>
              <w:bottom w:val="single" w:sz="4" w:space="0" w:color="auto"/>
              <w:right w:val="single" w:sz="4" w:space="0" w:color="auto"/>
            </w:tcBorders>
            <w:hideMark/>
          </w:tcPr>
          <w:p w14:paraId="45FA2404" w14:textId="77777777" w:rsidR="000C59C6" w:rsidRPr="00560CEF" w:rsidRDefault="000C59C6" w:rsidP="00FB1649">
            <w:pPr>
              <w:tabs>
                <w:tab w:val="left" w:pos="1304"/>
              </w:tabs>
              <w:rPr>
                <w:bCs/>
                <w:iCs/>
                <w:sz w:val="24"/>
                <w:szCs w:val="24"/>
              </w:rPr>
            </w:pPr>
            <w:r>
              <w:rPr>
                <w:sz w:val="24"/>
                <w:szCs w:val="24"/>
              </w:rPr>
              <w:t>1</w:t>
            </w:r>
            <w:r w:rsidRPr="00560CEF">
              <w:rPr>
                <w:sz w:val="24"/>
                <w:szCs w:val="24"/>
              </w:rPr>
              <w:t>0</w:t>
            </w:r>
            <w:r>
              <w:rPr>
                <w:sz w:val="24"/>
                <w:szCs w:val="24"/>
              </w:rPr>
              <w:t> </w:t>
            </w:r>
            <w:r w:rsidRPr="00560CEF">
              <w:rPr>
                <w:sz w:val="24"/>
                <w:szCs w:val="24"/>
              </w:rPr>
              <w:t xml:space="preserve">mg/kg legemsvægt </w:t>
            </w:r>
            <w:r>
              <w:rPr>
                <w:sz w:val="24"/>
                <w:szCs w:val="24"/>
              </w:rPr>
              <w:t>2 gange dagligt</w:t>
            </w:r>
          </w:p>
        </w:tc>
        <w:tc>
          <w:tcPr>
            <w:tcW w:w="1481" w:type="pct"/>
            <w:tcBorders>
              <w:top w:val="single" w:sz="4" w:space="0" w:color="auto"/>
              <w:left w:val="single" w:sz="4" w:space="0" w:color="auto"/>
              <w:bottom w:val="single" w:sz="4" w:space="0" w:color="auto"/>
              <w:right w:val="single" w:sz="4" w:space="0" w:color="auto"/>
            </w:tcBorders>
          </w:tcPr>
          <w:p w14:paraId="28449036" w14:textId="77777777" w:rsidR="000C59C6" w:rsidRPr="00C15D92" w:rsidRDefault="000C59C6" w:rsidP="00FB1649">
            <w:pPr>
              <w:tabs>
                <w:tab w:val="left" w:pos="1304"/>
              </w:tabs>
              <w:rPr>
                <w:sz w:val="24"/>
                <w:szCs w:val="24"/>
              </w:rPr>
            </w:pPr>
            <w:r w:rsidRPr="00FB1649">
              <w:rPr>
                <w:bCs/>
                <w:iCs/>
                <w:szCs w:val="22"/>
              </w:rPr>
              <w:t>20 mg/kg legemsvægt 2 gange dagligt</w:t>
            </w:r>
          </w:p>
        </w:tc>
        <w:tc>
          <w:tcPr>
            <w:tcW w:w="1481" w:type="pct"/>
            <w:tcBorders>
              <w:top w:val="single" w:sz="4" w:space="0" w:color="auto"/>
              <w:left w:val="single" w:sz="4" w:space="0" w:color="auto"/>
              <w:bottom w:val="single" w:sz="4" w:space="0" w:color="auto"/>
              <w:right w:val="single" w:sz="4" w:space="0" w:color="auto"/>
            </w:tcBorders>
          </w:tcPr>
          <w:p w14:paraId="695D2A87" w14:textId="77777777" w:rsidR="000C59C6" w:rsidRPr="00DD5874" w:rsidRDefault="000C59C6" w:rsidP="00FB1649">
            <w:pPr>
              <w:tabs>
                <w:tab w:val="left" w:pos="1304"/>
              </w:tabs>
              <w:rPr>
                <w:sz w:val="24"/>
                <w:szCs w:val="24"/>
              </w:rPr>
            </w:pPr>
          </w:p>
        </w:tc>
      </w:tr>
      <w:tr w:rsidR="000C59C6" w:rsidRPr="006A363A" w14:paraId="5A18CD68" w14:textId="77777777" w:rsidTr="00FB1649">
        <w:tc>
          <w:tcPr>
            <w:tcW w:w="557" w:type="pct"/>
            <w:tcBorders>
              <w:top w:val="single" w:sz="4" w:space="0" w:color="auto"/>
              <w:left w:val="single" w:sz="4" w:space="0" w:color="auto"/>
              <w:bottom w:val="single" w:sz="4" w:space="0" w:color="auto"/>
              <w:right w:val="single" w:sz="4" w:space="0" w:color="auto"/>
            </w:tcBorders>
            <w:hideMark/>
          </w:tcPr>
          <w:p w14:paraId="3880C032" w14:textId="77777777" w:rsidR="000C59C6" w:rsidRPr="00560CEF" w:rsidRDefault="000C59C6" w:rsidP="00FB1649">
            <w:pPr>
              <w:tabs>
                <w:tab w:val="left" w:pos="1304"/>
              </w:tabs>
              <w:rPr>
                <w:bCs/>
                <w:iCs/>
                <w:sz w:val="24"/>
                <w:szCs w:val="24"/>
              </w:rPr>
            </w:pPr>
            <w:r w:rsidRPr="00560CEF">
              <w:rPr>
                <w:sz w:val="24"/>
                <w:szCs w:val="24"/>
              </w:rPr>
              <w:t>10 til 25 ml/min/1,73</w:t>
            </w:r>
            <w:r>
              <w:rPr>
                <w:sz w:val="24"/>
                <w:szCs w:val="24"/>
              </w:rPr>
              <w:t xml:space="preserve"> </w:t>
            </w:r>
            <w:r w:rsidRPr="00560CEF">
              <w:rPr>
                <w:sz w:val="24"/>
                <w:szCs w:val="24"/>
              </w:rPr>
              <w:t>m</w:t>
            </w:r>
            <w:r w:rsidRPr="00560CEF">
              <w:rPr>
                <w:sz w:val="24"/>
                <w:szCs w:val="24"/>
                <w:vertAlign w:val="superscript"/>
              </w:rPr>
              <w:t>2</w:t>
            </w:r>
          </w:p>
        </w:tc>
        <w:tc>
          <w:tcPr>
            <w:tcW w:w="1481" w:type="pct"/>
            <w:tcBorders>
              <w:top w:val="single" w:sz="4" w:space="0" w:color="auto"/>
              <w:left w:val="single" w:sz="4" w:space="0" w:color="auto"/>
              <w:bottom w:val="single" w:sz="4" w:space="0" w:color="auto"/>
              <w:right w:val="single" w:sz="4" w:space="0" w:color="auto"/>
            </w:tcBorders>
            <w:hideMark/>
          </w:tcPr>
          <w:p w14:paraId="3E5A0CD7" w14:textId="77777777" w:rsidR="000C59C6" w:rsidRPr="00560CEF" w:rsidRDefault="000C59C6" w:rsidP="00FB1649">
            <w:pPr>
              <w:tabs>
                <w:tab w:val="left" w:pos="1304"/>
              </w:tabs>
              <w:rPr>
                <w:bCs/>
                <w:iCs/>
                <w:sz w:val="24"/>
                <w:szCs w:val="24"/>
              </w:rPr>
            </w:pPr>
            <w:r>
              <w:rPr>
                <w:sz w:val="24"/>
                <w:szCs w:val="24"/>
              </w:rPr>
              <w:t>5 </w:t>
            </w:r>
            <w:r w:rsidRPr="00560CEF">
              <w:rPr>
                <w:sz w:val="24"/>
                <w:szCs w:val="24"/>
              </w:rPr>
              <w:t xml:space="preserve">mg/kg legemsvægt </w:t>
            </w:r>
            <w:r>
              <w:rPr>
                <w:sz w:val="24"/>
                <w:szCs w:val="24"/>
              </w:rPr>
              <w:t>2 gange dagligt</w:t>
            </w:r>
          </w:p>
        </w:tc>
        <w:tc>
          <w:tcPr>
            <w:tcW w:w="1481" w:type="pct"/>
            <w:tcBorders>
              <w:top w:val="single" w:sz="4" w:space="0" w:color="auto"/>
              <w:left w:val="single" w:sz="4" w:space="0" w:color="auto"/>
              <w:bottom w:val="single" w:sz="4" w:space="0" w:color="auto"/>
              <w:right w:val="single" w:sz="4" w:space="0" w:color="auto"/>
            </w:tcBorders>
          </w:tcPr>
          <w:p w14:paraId="1FAB634F" w14:textId="77777777" w:rsidR="000C59C6" w:rsidRPr="00C15D92" w:rsidRDefault="000C59C6" w:rsidP="00FB1649">
            <w:pPr>
              <w:tabs>
                <w:tab w:val="left" w:pos="1304"/>
              </w:tabs>
              <w:rPr>
                <w:sz w:val="24"/>
                <w:szCs w:val="24"/>
              </w:rPr>
            </w:pPr>
            <w:r w:rsidRPr="00FB1649">
              <w:rPr>
                <w:bCs/>
                <w:iCs/>
                <w:szCs w:val="22"/>
              </w:rPr>
              <w:t>10 mg/kg legemsvægt to gange dagligt</w:t>
            </w:r>
          </w:p>
        </w:tc>
        <w:tc>
          <w:tcPr>
            <w:tcW w:w="1481" w:type="pct"/>
            <w:tcBorders>
              <w:top w:val="single" w:sz="4" w:space="0" w:color="auto"/>
              <w:left w:val="single" w:sz="4" w:space="0" w:color="auto"/>
              <w:bottom w:val="single" w:sz="4" w:space="0" w:color="auto"/>
              <w:right w:val="single" w:sz="4" w:space="0" w:color="auto"/>
            </w:tcBorders>
          </w:tcPr>
          <w:p w14:paraId="0D0D80F4" w14:textId="77777777" w:rsidR="000C59C6" w:rsidRPr="00DD5874" w:rsidRDefault="000C59C6" w:rsidP="00FB1649">
            <w:pPr>
              <w:tabs>
                <w:tab w:val="left" w:pos="1304"/>
              </w:tabs>
              <w:rPr>
                <w:sz w:val="24"/>
                <w:szCs w:val="24"/>
              </w:rPr>
            </w:pPr>
          </w:p>
        </w:tc>
      </w:tr>
      <w:tr w:rsidR="000C59C6" w:rsidRPr="006A363A" w14:paraId="723BF52D" w14:textId="77777777" w:rsidTr="00FB1649">
        <w:trPr>
          <w:trHeight w:val="332"/>
        </w:trPr>
        <w:tc>
          <w:tcPr>
            <w:tcW w:w="557" w:type="pct"/>
            <w:tcBorders>
              <w:top w:val="single" w:sz="4" w:space="0" w:color="auto"/>
              <w:left w:val="single" w:sz="4" w:space="0" w:color="auto"/>
              <w:bottom w:val="single" w:sz="4" w:space="0" w:color="auto"/>
              <w:right w:val="single" w:sz="4" w:space="0" w:color="auto"/>
            </w:tcBorders>
            <w:hideMark/>
          </w:tcPr>
          <w:p w14:paraId="048CF48A" w14:textId="77777777" w:rsidR="000C59C6" w:rsidRPr="00560CEF" w:rsidRDefault="000C59C6" w:rsidP="00FB1649">
            <w:pPr>
              <w:tabs>
                <w:tab w:val="left" w:pos="1304"/>
              </w:tabs>
              <w:rPr>
                <w:bCs/>
                <w:iCs/>
                <w:sz w:val="24"/>
                <w:szCs w:val="24"/>
              </w:rPr>
            </w:pPr>
            <w:r w:rsidRPr="00560CEF">
              <w:rPr>
                <w:sz w:val="24"/>
                <w:szCs w:val="24"/>
              </w:rPr>
              <w:t>0 til 10 ml/min/1,73</w:t>
            </w:r>
            <w:r>
              <w:rPr>
                <w:sz w:val="24"/>
                <w:szCs w:val="24"/>
              </w:rPr>
              <w:t xml:space="preserve"> </w:t>
            </w:r>
            <w:r w:rsidRPr="00560CEF">
              <w:rPr>
                <w:sz w:val="24"/>
                <w:szCs w:val="24"/>
              </w:rPr>
              <w:t>m</w:t>
            </w:r>
            <w:r w:rsidRPr="00560CEF">
              <w:rPr>
                <w:sz w:val="24"/>
                <w:szCs w:val="24"/>
                <w:vertAlign w:val="superscript"/>
              </w:rPr>
              <w:t>2</w:t>
            </w:r>
          </w:p>
        </w:tc>
        <w:tc>
          <w:tcPr>
            <w:tcW w:w="1481" w:type="pct"/>
            <w:tcBorders>
              <w:top w:val="single" w:sz="4" w:space="0" w:color="auto"/>
              <w:left w:val="single" w:sz="4" w:space="0" w:color="auto"/>
              <w:bottom w:val="single" w:sz="4" w:space="0" w:color="auto"/>
              <w:right w:val="single" w:sz="4" w:space="0" w:color="auto"/>
            </w:tcBorders>
            <w:hideMark/>
          </w:tcPr>
          <w:p w14:paraId="2E8DF8DF" w14:textId="77777777" w:rsidR="000C59C6" w:rsidRPr="00560CEF" w:rsidRDefault="000C59C6" w:rsidP="00FB1649">
            <w:pPr>
              <w:tabs>
                <w:tab w:val="left" w:pos="1304"/>
              </w:tabs>
              <w:rPr>
                <w:bCs/>
                <w:iCs/>
                <w:sz w:val="24"/>
                <w:szCs w:val="24"/>
              </w:rPr>
            </w:pPr>
            <w:r>
              <w:rPr>
                <w:sz w:val="24"/>
                <w:szCs w:val="24"/>
              </w:rPr>
              <w:t>2,5 </w:t>
            </w:r>
            <w:r w:rsidRPr="00560CEF">
              <w:rPr>
                <w:sz w:val="24"/>
                <w:szCs w:val="24"/>
              </w:rPr>
              <w:t xml:space="preserve">mg/kg legemsvægt </w:t>
            </w:r>
            <w:r>
              <w:rPr>
                <w:sz w:val="24"/>
                <w:szCs w:val="24"/>
              </w:rPr>
              <w:t>2 gange dagligt</w:t>
            </w:r>
          </w:p>
        </w:tc>
        <w:tc>
          <w:tcPr>
            <w:tcW w:w="1481" w:type="pct"/>
            <w:tcBorders>
              <w:top w:val="single" w:sz="4" w:space="0" w:color="auto"/>
              <w:left w:val="single" w:sz="4" w:space="0" w:color="auto"/>
              <w:bottom w:val="single" w:sz="4" w:space="0" w:color="auto"/>
              <w:right w:val="single" w:sz="4" w:space="0" w:color="auto"/>
            </w:tcBorders>
          </w:tcPr>
          <w:p w14:paraId="17915955" w14:textId="77777777" w:rsidR="000C59C6" w:rsidRPr="00C15D92" w:rsidRDefault="000C59C6" w:rsidP="00FB1649">
            <w:pPr>
              <w:tabs>
                <w:tab w:val="left" w:pos="1304"/>
              </w:tabs>
              <w:rPr>
                <w:sz w:val="24"/>
                <w:szCs w:val="24"/>
              </w:rPr>
            </w:pPr>
            <w:r w:rsidRPr="00FB1649">
              <w:rPr>
                <w:bCs/>
                <w:iCs/>
                <w:szCs w:val="22"/>
              </w:rPr>
              <w:t>5 mg/kg legemsvægt to gange dagligt</w:t>
            </w:r>
          </w:p>
        </w:tc>
        <w:tc>
          <w:tcPr>
            <w:tcW w:w="1481" w:type="pct"/>
            <w:tcBorders>
              <w:top w:val="single" w:sz="4" w:space="0" w:color="auto"/>
              <w:left w:val="single" w:sz="4" w:space="0" w:color="auto"/>
              <w:bottom w:val="single" w:sz="4" w:space="0" w:color="auto"/>
              <w:right w:val="single" w:sz="4" w:space="0" w:color="auto"/>
            </w:tcBorders>
          </w:tcPr>
          <w:p w14:paraId="3E1CCEF2" w14:textId="77777777" w:rsidR="000C59C6" w:rsidRPr="00DD5874" w:rsidRDefault="000C59C6" w:rsidP="00FB1649">
            <w:pPr>
              <w:tabs>
                <w:tab w:val="left" w:pos="1304"/>
              </w:tabs>
              <w:rPr>
                <w:sz w:val="24"/>
                <w:szCs w:val="24"/>
              </w:rPr>
            </w:pPr>
          </w:p>
        </w:tc>
      </w:tr>
      <w:tr w:rsidR="000C59C6" w:rsidRPr="006A363A" w14:paraId="38A8DE41" w14:textId="77777777" w:rsidTr="00FB1649">
        <w:tc>
          <w:tcPr>
            <w:tcW w:w="557" w:type="pct"/>
            <w:tcBorders>
              <w:top w:val="single" w:sz="4" w:space="0" w:color="auto"/>
              <w:left w:val="single" w:sz="4" w:space="0" w:color="auto"/>
              <w:bottom w:val="single" w:sz="4" w:space="0" w:color="auto"/>
              <w:right w:val="single" w:sz="4" w:space="0" w:color="auto"/>
            </w:tcBorders>
            <w:hideMark/>
          </w:tcPr>
          <w:p w14:paraId="0139A255" w14:textId="77777777" w:rsidR="000C59C6" w:rsidRPr="00560CEF" w:rsidRDefault="000C59C6" w:rsidP="00FB1649">
            <w:pPr>
              <w:tabs>
                <w:tab w:val="left" w:pos="1304"/>
              </w:tabs>
              <w:rPr>
                <w:bCs/>
                <w:iCs/>
                <w:sz w:val="24"/>
                <w:szCs w:val="24"/>
              </w:rPr>
            </w:pPr>
            <w:r w:rsidRPr="00560CEF">
              <w:rPr>
                <w:sz w:val="24"/>
                <w:szCs w:val="24"/>
              </w:rPr>
              <w:t>Patienter i hæmodialyse</w:t>
            </w:r>
          </w:p>
        </w:tc>
        <w:tc>
          <w:tcPr>
            <w:tcW w:w="1481" w:type="pct"/>
            <w:tcBorders>
              <w:top w:val="single" w:sz="4" w:space="0" w:color="auto"/>
              <w:left w:val="single" w:sz="4" w:space="0" w:color="auto"/>
              <w:bottom w:val="single" w:sz="4" w:space="0" w:color="auto"/>
              <w:right w:val="single" w:sz="4" w:space="0" w:color="auto"/>
            </w:tcBorders>
            <w:hideMark/>
          </w:tcPr>
          <w:p w14:paraId="1B154869" w14:textId="77777777" w:rsidR="000C59C6" w:rsidRPr="00560CEF" w:rsidRDefault="000C59C6" w:rsidP="00FB1649">
            <w:pPr>
              <w:tabs>
                <w:tab w:val="left" w:pos="1304"/>
              </w:tabs>
              <w:rPr>
                <w:bCs/>
                <w:iCs/>
                <w:sz w:val="24"/>
                <w:szCs w:val="24"/>
              </w:rPr>
            </w:pPr>
            <w:r>
              <w:rPr>
                <w:sz w:val="24"/>
                <w:szCs w:val="24"/>
              </w:rPr>
              <w:t>2,5</w:t>
            </w:r>
            <w:r w:rsidRPr="00560CEF">
              <w:rPr>
                <w:sz w:val="24"/>
                <w:szCs w:val="24"/>
              </w:rPr>
              <w:t xml:space="preserve"> mg/kg legemsvægt </w:t>
            </w:r>
            <w:r>
              <w:rPr>
                <w:sz w:val="24"/>
                <w:szCs w:val="24"/>
              </w:rPr>
              <w:t>2 gange dagligt</w:t>
            </w:r>
            <w:r w:rsidRPr="00560CEF" w:rsidDel="00FE08D9">
              <w:rPr>
                <w:sz w:val="24"/>
                <w:szCs w:val="24"/>
              </w:rPr>
              <w:t xml:space="preserve"> </w:t>
            </w:r>
            <w:r w:rsidRPr="00560CEF">
              <w:rPr>
                <w:sz w:val="24"/>
                <w:szCs w:val="24"/>
              </w:rPr>
              <w:t>efter dialyse</w:t>
            </w:r>
          </w:p>
        </w:tc>
        <w:tc>
          <w:tcPr>
            <w:tcW w:w="1481" w:type="pct"/>
            <w:tcBorders>
              <w:top w:val="single" w:sz="4" w:space="0" w:color="auto"/>
              <w:left w:val="single" w:sz="4" w:space="0" w:color="auto"/>
              <w:bottom w:val="single" w:sz="4" w:space="0" w:color="auto"/>
              <w:right w:val="single" w:sz="4" w:space="0" w:color="auto"/>
            </w:tcBorders>
          </w:tcPr>
          <w:p w14:paraId="1A879A19" w14:textId="77777777" w:rsidR="000C59C6" w:rsidRPr="00C15D92" w:rsidRDefault="000C59C6" w:rsidP="00FB1649">
            <w:pPr>
              <w:tabs>
                <w:tab w:val="left" w:pos="1304"/>
              </w:tabs>
              <w:rPr>
                <w:sz w:val="24"/>
                <w:szCs w:val="24"/>
              </w:rPr>
            </w:pPr>
            <w:r w:rsidRPr="00FB1649">
              <w:rPr>
                <w:bCs/>
                <w:iCs/>
                <w:szCs w:val="22"/>
              </w:rPr>
              <w:t>5 mg/kg legemsvægt to gange dagligt</w:t>
            </w:r>
          </w:p>
        </w:tc>
        <w:tc>
          <w:tcPr>
            <w:tcW w:w="1481" w:type="pct"/>
            <w:tcBorders>
              <w:top w:val="single" w:sz="4" w:space="0" w:color="auto"/>
              <w:left w:val="single" w:sz="4" w:space="0" w:color="auto"/>
              <w:bottom w:val="single" w:sz="4" w:space="0" w:color="auto"/>
              <w:right w:val="single" w:sz="4" w:space="0" w:color="auto"/>
            </w:tcBorders>
          </w:tcPr>
          <w:p w14:paraId="5F2F67AA" w14:textId="77777777" w:rsidR="000C59C6" w:rsidRPr="00DD5874" w:rsidRDefault="000C59C6" w:rsidP="00FB1649">
            <w:pPr>
              <w:tabs>
                <w:tab w:val="left" w:pos="1304"/>
              </w:tabs>
              <w:rPr>
                <w:sz w:val="24"/>
                <w:szCs w:val="24"/>
              </w:rPr>
            </w:pPr>
          </w:p>
        </w:tc>
      </w:tr>
    </w:tbl>
    <w:p w14:paraId="17647AE0" w14:textId="77777777" w:rsidR="000C59C6" w:rsidRPr="00FB1649" w:rsidRDefault="000C59C6" w:rsidP="000C59C6">
      <w:pPr>
        <w:tabs>
          <w:tab w:val="left" w:pos="851"/>
        </w:tabs>
        <w:ind w:left="851"/>
        <w:rPr>
          <w:bCs/>
          <w:iCs/>
          <w:szCs w:val="22"/>
        </w:rPr>
      </w:pPr>
      <w:r w:rsidRPr="00FB1649">
        <w:rPr>
          <w:bCs/>
          <w:iCs/>
          <w:szCs w:val="22"/>
        </w:rPr>
        <w:lastRenderedPageBreak/>
        <w:t xml:space="preserve">Dosisjustering er ikke nødvendig til patienter med </w:t>
      </w:r>
      <w:proofErr w:type="spellStart"/>
      <w:r w:rsidRPr="00FB1649">
        <w:rPr>
          <w:bCs/>
          <w:iCs/>
          <w:szCs w:val="22"/>
        </w:rPr>
        <w:t>kreatininclearance</w:t>
      </w:r>
      <w:proofErr w:type="spellEnd"/>
      <w:r w:rsidRPr="00FB1649">
        <w:rPr>
          <w:bCs/>
          <w:iCs/>
          <w:szCs w:val="22"/>
        </w:rPr>
        <w:t xml:space="preserve"> over </w:t>
      </w:r>
      <w:r w:rsidRPr="006A363A">
        <w:rPr>
          <w:bCs/>
          <w:iCs/>
          <w:szCs w:val="22"/>
        </w:rPr>
        <w:t>50</w:t>
      </w:r>
      <w:r>
        <w:rPr>
          <w:bCs/>
          <w:iCs/>
          <w:szCs w:val="22"/>
        </w:rPr>
        <w:t> </w:t>
      </w:r>
      <w:r w:rsidRPr="006A363A">
        <w:rPr>
          <w:bCs/>
          <w:iCs/>
          <w:szCs w:val="22"/>
        </w:rPr>
        <w:t>ml/min.</w:t>
      </w:r>
    </w:p>
    <w:p w14:paraId="61694AE5" w14:textId="77777777" w:rsidR="00C71B80" w:rsidRDefault="00C71B80" w:rsidP="009260DE">
      <w:pPr>
        <w:tabs>
          <w:tab w:val="left" w:pos="851"/>
        </w:tabs>
        <w:ind w:left="851"/>
        <w:rPr>
          <w:sz w:val="24"/>
          <w:szCs w:val="24"/>
        </w:rPr>
      </w:pPr>
    </w:p>
    <w:p w14:paraId="597A0809" w14:textId="77777777" w:rsidR="009260DE" w:rsidRPr="00560CEF" w:rsidRDefault="009260DE" w:rsidP="009260DE">
      <w:pPr>
        <w:tabs>
          <w:tab w:val="left" w:pos="851"/>
        </w:tabs>
        <w:ind w:left="851" w:hanging="851"/>
        <w:rPr>
          <w:b/>
          <w:sz w:val="24"/>
          <w:szCs w:val="24"/>
        </w:rPr>
      </w:pPr>
      <w:r w:rsidRPr="00560CEF">
        <w:rPr>
          <w:b/>
          <w:sz w:val="24"/>
          <w:szCs w:val="24"/>
        </w:rPr>
        <w:t>4.3</w:t>
      </w:r>
      <w:r w:rsidRPr="00560CEF">
        <w:rPr>
          <w:b/>
          <w:sz w:val="24"/>
          <w:szCs w:val="24"/>
        </w:rPr>
        <w:tab/>
        <w:t>Kontraindikationer</w:t>
      </w:r>
    </w:p>
    <w:p w14:paraId="04160FF2" w14:textId="77777777" w:rsidR="00814C97" w:rsidRPr="00560CEF" w:rsidRDefault="00814C97" w:rsidP="002820CE">
      <w:pPr>
        <w:ind w:left="851"/>
        <w:rPr>
          <w:bCs/>
          <w:iCs/>
          <w:sz w:val="24"/>
          <w:szCs w:val="24"/>
        </w:rPr>
      </w:pPr>
      <w:r w:rsidRPr="00560CEF">
        <w:rPr>
          <w:sz w:val="24"/>
          <w:szCs w:val="24"/>
        </w:rPr>
        <w:t>Overfølsomhed over for de aktive stoffer eller over for et eller flere af hjælpestofferne anført i pkt. 6.1.</w:t>
      </w:r>
    </w:p>
    <w:p w14:paraId="5B4D354D" w14:textId="77777777" w:rsidR="009260DE" w:rsidRPr="00560CEF" w:rsidRDefault="009260DE" w:rsidP="009260DE">
      <w:pPr>
        <w:tabs>
          <w:tab w:val="left" w:pos="851"/>
        </w:tabs>
        <w:ind w:left="851"/>
        <w:rPr>
          <w:sz w:val="24"/>
          <w:szCs w:val="24"/>
        </w:rPr>
      </w:pPr>
    </w:p>
    <w:p w14:paraId="3C02A5F0" w14:textId="77777777" w:rsidR="009260DE" w:rsidRPr="00560CEF" w:rsidRDefault="009260DE" w:rsidP="009260DE">
      <w:pPr>
        <w:tabs>
          <w:tab w:val="left" w:pos="851"/>
        </w:tabs>
        <w:ind w:left="851" w:hanging="851"/>
        <w:rPr>
          <w:b/>
          <w:sz w:val="24"/>
          <w:szCs w:val="24"/>
        </w:rPr>
      </w:pPr>
      <w:r w:rsidRPr="00560CEF">
        <w:rPr>
          <w:b/>
          <w:sz w:val="24"/>
          <w:szCs w:val="24"/>
        </w:rPr>
        <w:t>4.4</w:t>
      </w:r>
      <w:r w:rsidRPr="00560CEF">
        <w:rPr>
          <w:b/>
          <w:sz w:val="24"/>
          <w:szCs w:val="24"/>
        </w:rPr>
        <w:tab/>
        <w:t>Særlige advarsler og forsigtighedsregler vedrørende brugen</w:t>
      </w:r>
    </w:p>
    <w:p w14:paraId="0B336F30" w14:textId="77777777" w:rsidR="00542014" w:rsidRPr="00560CEF" w:rsidRDefault="00542014" w:rsidP="002820CE">
      <w:pPr>
        <w:ind w:left="851"/>
        <w:rPr>
          <w:bCs/>
          <w:iCs/>
          <w:sz w:val="24"/>
          <w:szCs w:val="24"/>
        </w:rPr>
      </w:pPr>
      <w:r w:rsidRPr="00560CEF">
        <w:rPr>
          <w:sz w:val="24"/>
          <w:szCs w:val="24"/>
        </w:rPr>
        <w:t xml:space="preserve">Den intravenøse dosis må kun gives som infusion over et tidsrum på en time for at forhindre udfældning af </w:t>
      </w:r>
      <w:proofErr w:type="spellStart"/>
      <w:r w:rsidRPr="00560CEF">
        <w:rPr>
          <w:sz w:val="24"/>
          <w:szCs w:val="24"/>
        </w:rPr>
        <w:t>aciclovir</w:t>
      </w:r>
      <w:proofErr w:type="spellEnd"/>
      <w:r w:rsidRPr="00560CEF">
        <w:rPr>
          <w:sz w:val="24"/>
          <w:szCs w:val="24"/>
        </w:rPr>
        <w:t xml:space="preserve"> i nyrerne. Hurtige injektioner eller </w:t>
      </w:r>
      <w:proofErr w:type="spellStart"/>
      <w:r w:rsidRPr="00560CEF">
        <w:rPr>
          <w:sz w:val="24"/>
          <w:szCs w:val="24"/>
        </w:rPr>
        <w:t>bolus</w:t>
      </w:r>
      <w:proofErr w:type="spellEnd"/>
      <w:r w:rsidRPr="00560CEF">
        <w:rPr>
          <w:sz w:val="24"/>
          <w:szCs w:val="24"/>
        </w:rPr>
        <w:t>-injektioner skal undgås.</w:t>
      </w:r>
    </w:p>
    <w:p w14:paraId="4F3D348A" w14:textId="77777777" w:rsidR="00542014" w:rsidRPr="00560CEF" w:rsidRDefault="00542014" w:rsidP="002820CE">
      <w:pPr>
        <w:ind w:left="851"/>
        <w:rPr>
          <w:bCs/>
          <w:iCs/>
          <w:sz w:val="24"/>
          <w:szCs w:val="24"/>
        </w:rPr>
      </w:pPr>
    </w:p>
    <w:p w14:paraId="7A15837F" w14:textId="456C1EF6" w:rsidR="00542014" w:rsidRPr="00560CEF" w:rsidRDefault="00542014" w:rsidP="002820CE">
      <w:pPr>
        <w:ind w:left="851"/>
        <w:rPr>
          <w:bCs/>
          <w:iCs/>
          <w:sz w:val="24"/>
          <w:szCs w:val="24"/>
        </w:rPr>
      </w:pPr>
      <w:proofErr w:type="spellStart"/>
      <w:r w:rsidRPr="00560CEF">
        <w:rPr>
          <w:sz w:val="24"/>
          <w:szCs w:val="24"/>
        </w:rPr>
        <w:t>Aciclovir</w:t>
      </w:r>
      <w:proofErr w:type="spellEnd"/>
      <w:r w:rsidRPr="00560CEF">
        <w:rPr>
          <w:sz w:val="24"/>
          <w:szCs w:val="24"/>
        </w:rPr>
        <w:t xml:space="preserve"> udskilles ved </w:t>
      </w:r>
      <w:proofErr w:type="spellStart"/>
      <w:r w:rsidRPr="00560CEF">
        <w:rPr>
          <w:sz w:val="24"/>
          <w:szCs w:val="24"/>
        </w:rPr>
        <w:t>renal</w:t>
      </w:r>
      <w:proofErr w:type="spellEnd"/>
      <w:r w:rsidRPr="00560CEF">
        <w:rPr>
          <w:sz w:val="24"/>
          <w:szCs w:val="24"/>
        </w:rPr>
        <w:t xml:space="preserve"> </w:t>
      </w:r>
      <w:proofErr w:type="spellStart"/>
      <w:r w:rsidRPr="00560CEF">
        <w:rPr>
          <w:sz w:val="24"/>
          <w:szCs w:val="24"/>
        </w:rPr>
        <w:t>clearance</w:t>
      </w:r>
      <w:proofErr w:type="spellEnd"/>
      <w:r w:rsidRPr="00560CEF">
        <w:rPr>
          <w:sz w:val="24"/>
          <w:szCs w:val="24"/>
        </w:rPr>
        <w:t xml:space="preserve">, hvorfor dosis skal reduceres til patienter med nedsat nyrefunktion. Muligheden for nedsat nyrefunktion hos ældre må overvejes, og dosis skal justeres tilsvarende (se pkt. 4.2). Disse patientgrupper har en større risiko for at udvikle neurologiske bivirkninger og bør derfor nøje overvåges for tegn på disse bivirkninger. Disse bivirkninger var sædvanligvis reversible i de indberettede tilfælde og forsvandt, så snart behandlingen med </w:t>
      </w:r>
      <w:proofErr w:type="spellStart"/>
      <w:r w:rsidRPr="00560CEF">
        <w:rPr>
          <w:sz w:val="24"/>
          <w:szCs w:val="24"/>
        </w:rPr>
        <w:t>Aciclovir</w:t>
      </w:r>
      <w:proofErr w:type="spellEnd"/>
      <w:r w:rsidRPr="00560CEF">
        <w:rPr>
          <w:sz w:val="24"/>
          <w:szCs w:val="24"/>
        </w:rPr>
        <w:t xml:space="preserve"> </w:t>
      </w:r>
      <w:r w:rsidR="00560CEF">
        <w:rPr>
          <w:sz w:val="24"/>
          <w:szCs w:val="24"/>
        </w:rPr>
        <w:t>"</w:t>
      </w:r>
      <w:proofErr w:type="spellStart"/>
      <w:r w:rsidR="00560CEF">
        <w:rPr>
          <w:sz w:val="24"/>
          <w:szCs w:val="24"/>
        </w:rPr>
        <w:t>Accord</w:t>
      </w:r>
      <w:proofErr w:type="spellEnd"/>
      <w:r w:rsidR="00560CEF">
        <w:rPr>
          <w:sz w:val="24"/>
          <w:szCs w:val="24"/>
        </w:rPr>
        <w:t>"</w:t>
      </w:r>
      <w:r w:rsidRPr="00560CEF">
        <w:rPr>
          <w:sz w:val="24"/>
          <w:szCs w:val="24"/>
        </w:rPr>
        <w:t xml:space="preserve"> blev seponeret (se pkt. 4.8).</w:t>
      </w:r>
    </w:p>
    <w:p w14:paraId="26629886" w14:textId="77777777" w:rsidR="00542014" w:rsidRPr="00560CEF" w:rsidRDefault="00542014" w:rsidP="002820CE">
      <w:pPr>
        <w:ind w:left="851"/>
        <w:rPr>
          <w:bCs/>
          <w:iCs/>
          <w:sz w:val="24"/>
          <w:szCs w:val="24"/>
        </w:rPr>
      </w:pPr>
    </w:p>
    <w:p w14:paraId="2F820A0C" w14:textId="589E78E6" w:rsidR="00542014" w:rsidRPr="00560CEF" w:rsidRDefault="00542014" w:rsidP="002820CE">
      <w:pPr>
        <w:ind w:left="851"/>
        <w:rPr>
          <w:bCs/>
          <w:iCs/>
          <w:sz w:val="24"/>
          <w:szCs w:val="24"/>
        </w:rPr>
      </w:pPr>
      <w:r w:rsidRPr="00560CEF">
        <w:rPr>
          <w:sz w:val="24"/>
          <w:szCs w:val="24"/>
        </w:rPr>
        <w:t xml:space="preserve">Der skal sikres god væskebalance til patienter, der behandles med </w:t>
      </w:r>
      <w:proofErr w:type="spellStart"/>
      <w:r w:rsidRPr="00560CEF">
        <w:rPr>
          <w:sz w:val="24"/>
          <w:szCs w:val="24"/>
        </w:rPr>
        <w:t>Aciclovir</w:t>
      </w:r>
      <w:proofErr w:type="spellEnd"/>
      <w:r w:rsidRPr="00560CEF">
        <w:rPr>
          <w:sz w:val="24"/>
          <w:szCs w:val="24"/>
        </w:rPr>
        <w:t xml:space="preserve"> </w:t>
      </w:r>
      <w:r w:rsidR="00560CEF">
        <w:rPr>
          <w:sz w:val="24"/>
          <w:szCs w:val="24"/>
        </w:rPr>
        <w:t>"</w:t>
      </w:r>
      <w:proofErr w:type="spellStart"/>
      <w:r w:rsidR="00560CEF">
        <w:rPr>
          <w:sz w:val="24"/>
          <w:szCs w:val="24"/>
        </w:rPr>
        <w:t>Accord</w:t>
      </w:r>
      <w:proofErr w:type="spellEnd"/>
      <w:r w:rsidR="00560CEF">
        <w:rPr>
          <w:sz w:val="24"/>
          <w:szCs w:val="24"/>
        </w:rPr>
        <w:t>"</w:t>
      </w:r>
      <w:r w:rsidRPr="00560CEF">
        <w:rPr>
          <w:sz w:val="24"/>
          <w:szCs w:val="24"/>
        </w:rPr>
        <w:t xml:space="preserve">. Hos patienter, der får højere doser </w:t>
      </w:r>
      <w:proofErr w:type="spellStart"/>
      <w:r w:rsidRPr="00560CEF">
        <w:rPr>
          <w:sz w:val="24"/>
          <w:szCs w:val="24"/>
        </w:rPr>
        <w:t>Aciclovir</w:t>
      </w:r>
      <w:proofErr w:type="spellEnd"/>
      <w:r w:rsidRPr="00560CEF">
        <w:rPr>
          <w:sz w:val="24"/>
          <w:szCs w:val="24"/>
        </w:rPr>
        <w:t xml:space="preserve"> </w:t>
      </w:r>
      <w:r w:rsidR="00560CEF">
        <w:rPr>
          <w:sz w:val="24"/>
          <w:szCs w:val="24"/>
        </w:rPr>
        <w:t>"</w:t>
      </w:r>
      <w:proofErr w:type="spellStart"/>
      <w:r w:rsidR="00560CEF">
        <w:rPr>
          <w:sz w:val="24"/>
          <w:szCs w:val="24"/>
        </w:rPr>
        <w:t>Accord</w:t>
      </w:r>
      <w:proofErr w:type="spellEnd"/>
      <w:r w:rsidR="00560CEF">
        <w:rPr>
          <w:sz w:val="24"/>
          <w:szCs w:val="24"/>
        </w:rPr>
        <w:t>"</w:t>
      </w:r>
      <w:r w:rsidRPr="00560CEF">
        <w:rPr>
          <w:sz w:val="24"/>
          <w:szCs w:val="24"/>
        </w:rPr>
        <w:t xml:space="preserve"> (f.eks. for herpes </w:t>
      </w:r>
      <w:proofErr w:type="spellStart"/>
      <w:r w:rsidRPr="00560CEF">
        <w:rPr>
          <w:sz w:val="24"/>
          <w:szCs w:val="24"/>
        </w:rPr>
        <w:t>encephalitis</w:t>
      </w:r>
      <w:proofErr w:type="spellEnd"/>
      <w:r w:rsidRPr="00560CEF">
        <w:rPr>
          <w:sz w:val="24"/>
          <w:szCs w:val="24"/>
        </w:rPr>
        <w:t>), bør der tages specifik vare på nyrefunktionen, særligt når patienten er dehydreret eller har nedsat nyrefunktion.</w:t>
      </w:r>
    </w:p>
    <w:p w14:paraId="2AC83F22" w14:textId="77777777" w:rsidR="00542014" w:rsidRPr="00560CEF" w:rsidRDefault="00542014" w:rsidP="002820CE">
      <w:pPr>
        <w:ind w:left="851"/>
        <w:rPr>
          <w:bCs/>
          <w:iCs/>
          <w:sz w:val="24"/>
          <w:szCs w:val="24"/>
        </w:rPr>
      </w:pPr>
    </w:p>
    <w:p w14:paraId="5F2ACDD9" w14:textId="77777777" w:rsidR="00542014" w:rsidRPr="00560CEF" w:rsidRDefault="00542014" w:rsidP="002820CE">
      <w:pPr>
        <w:ind w:left="851"/>
        <w:rPr>
          <w:bCs/>
          <w:iCs/>
          <w:sz w:val="24"/>
          <w:szCs w:val="24"/>
        </w:rPr>
      </w:pPr>
      <w:r w:rsidRPr="00560CEF">
        <w:rPr>
          <w:sz w:val="24"/>
          <w:szCs w:val="24"/>
        </w:rPr>
        <w:t xml:space="preserve">Samtidig brug af andre </w:t>
      </w:r>
      <w:proofErr w:type="spellStart"/>
      <w:r w:rsidRPr="00560CEF">
        <w:rPr>
          <w:sz w:val="24"/>
          <w:szCs w:val="24"/>
        </w:rPr>
        <w:t>nefrotoksiske</w:t>
      </w:r>
      <w:proofErr w:type="spellEnd"/>
      <w:r w:rsidRPr="00560CEF">
        <w:rPr>
          <w:sz w:val="24"/>
          <w:szCs w:val="24"/>
        </w:rPr>
        <w:t xml:space="preserve"> lægemidler øger risikoen for nedsat nyrefunktion. Forsigtighed tilrådes, når intravenøs </w:t>
      </w:r>
      <w:proofErr w:type="spellStart"/>
      <w:r w:rsidRPr="00560CEF">
        <w:rPr>
          <w:sz w:val="24"/>
          <w:szCs w:val="24"/>
        </w:rPr>
        <w:t>aciclovir</w:t>
      </w:r>
      <w:proofErr w:type="spellEnd"/>
      <w:r w:rsidRPr="00560CEF">
        <w:rPr>
          <w:sz w:val="24"/>
          <w:szCs w:val="24"/>
        </w:rPr>
        <w:t xml:space="preserve"> gives i kombination med </w:t>
      </w:r>
      <w:proofErr w:type="spellStart"/>
      <w:r w:rsidRPr="00560CEF">
        <w:rPr>
          <w:sz w:val="24"/>
          <w:szCs w:val="24"/>
        </w:rPr>
        <w:t>nefrotoksiske</w:t>
      </w:r>
      <w:proofErr w:type="spellEnd"/>
      <w:r w:rsidRPr="00560CEF">
        <w:rPr>
          <w:sz w:val="24"/>
          <w:szCs w:val="24"/>
        </w:rPr>
        <w:t xml:space="preserve"> lægemidler.</w:t>
      </w:r>
    </w:p>
    <w:p w14:paraId="0827D726" w14:textId="77777777" w:rsidR="00542014" w:rsidRPr="00560CEF" w:rsidRDefault="00542014" w:rsidP="002820CE">
      <w:pPr>
        <w:ind w:left="851"/>
        <w:rPr>
          <w:bCs/>
          <w:iCs/>
          <w:sz w:val="24"/>
          <w:szCs w:val="24"/>
        </w:rPr>
      </w:pPr>
    </w:p>
    <w:p w14:paraId="7B75940F" w14:textId="3D3E3CC3" w:rsidR="00542014" w:rsidRPr="00560CEF" w:rsidRDefault="00542014" w:rsidP="002820CE">
      <w:pPr>
        <w:ind w:left="851"/>
        <w:rPr>
          <w:bCs/>
          <w:iCs/>
          <w:sz w:val="24"/>
          <w:szCs w:val="24"/>
        </w:rPr>
      </w:pPr>
      <w:r w:rsidRPr="00560CEF">
        <w:rPr>
          <w:sz w:val="24"/>
          <w:szCs w:val="24"/>
        </w:rPr>
        <w:t xml:space="preserve">Langvarige eller gentagne forløb med </w:t>
      </w:r>
      <w:proofErr w:type="spellStart"/>
      <w:r w:rsidRPr="00560CEF">
        <w:rPr>
          <w:sz w:val="24"/>
          <w:szCs w:val="24"/>
        </w:rPr>
        <w:t>aciclovir</w:t>
      </w:r>
      <w:proofErr w:type="spellEnd"/>
      <w:r w:rsidRPr="00560CEF">
        <w:rPr>
          <w:sz w:val="24"/>
          <w:szCs w:val="24"/>
        </w:rPr>
        <w:t xml:space="preserve"> hos svært immunkompromitterede patienter kan resultere i selektion af virusstammer med nedsat følsomhed, som ikke længere responderer på behandling med </w:t>
      </w:r>
      <w:proofErr w:type="spellStart"/>
      <w:r w:rsidRPr="00560CEF">
        <w:rPr>
          <w:sz w:val="24"/>
          <w:szCs w:val="24"/>
        </w:rPr>
        <w:t>aciclovir</w:t>
      </w:r>
      <w:proofErr w:type="spellEnd"/>
      <w:r w:rsidRPr="00560CEF">
        <w:rPr>
          <w:sz w:val="24"/>
          <w:szCs w:val="24"/>
        </w:rPr>
        <w:t xml:space="preserve"> (se pkt</w:t>
      </w:r>
      <w:r w:rsidR="00B518AC">
        <w:rPr>
          <w:sz w:val="24"/>
          <w:szCs w:val="24"/>
        </w:rPr>
        <w:t>.</w:t>
      </w:r>
      <w:r w:rsidRPr="00560CEF">
        <w:rPr>
          <w:sz w:val="24"/>
          <w:szCs w:val="24"/>
        </w:rPr>
        <w:t xml:space="preserve"> 5.1).</w:t>
      </w:r>
    </w:p>
    <w:p w14:paraId="68BDF9AF" w14:textId="77777777" w:rsidR="00542014" w:rsidRPr="00560CEF" w:rsidRDefault="00542014" w:rsidP="002820CE">
      <w:pPr>
        <w:ind w:left="851"/>
        <w:rPr>
          <w:bCs/>
          <w:iCs/>
          <w:sz w:val="24"/>
          <w:szCs w:val="24"/>
        </w:rPr>
      </w:pPr>
    </w:p>
    <w:p w14:paraId="5B20A0B0" w14:textId="77777777" w:rsidR="00542014" w:rsidRPr="00560CEF" w:rsidRDefault="00542014" w:rsidP="002820CE">
      <w:pPr>
        <w:ind w:left="851"/>
        <w:rPr>
          <w:bCs/>
          <w:iCs/>
          <w:sz w:val="24"/>
          <w:szCs w:val="24"/>
        </w:rPr>
      </w:pPr>
      <w:r w:rsidRPr="00560CEF">
        <w:rPr>
          <w:sz w:val="24"/>
          <w:szCs w:val="24"/>
        </w:rPr>
        <w:t xml:space="preserve">Hos overvægtige patienter, som får intravenøs </w:t>
      </w:r>
      <w:proofErr w:type="spellStart"/>
      <w:r w:rsidRPr="00560CEF">
        <w:rPr>
          <w:sz w:val="24"/>
          <w:szCs w:val="24"/>
        </w:rPr>
        <w:t>aciclovir</w:t>
      </w:r>
      <w:proofErr w:type="spellEnd"/>
      <w:r w:rsidRPr="00560CEF">
        <w:rPr>
          <w:sz w:val="24"/>
          <w:szCs w:val="24"/>
        </w:rPr>
        <w:t xml:space="preserve"> baseret på deres aktuelle legemsvægt, kan der opnås højere plasmakoncentrationer (se pkt. 5.2). Det bør derfor overvejes at reducere dosis hos overvægtige patienter og især hos patienter med nedsat nyrefunktion eller ældre.</w:t>
      </w:r>
    </w:p>
    <w:p w14:paraId="0DC17248" w14:textId="77777777" w:rsidR="00542014" w:rsidRPr="00560CEF" w:rsidRDefault="00542014" w:rsidP="002820CE">
      <w:pPr>
        <w:ind w:left="851"/>
        <w:rPr>
          <w:bCs/>
          <w:iCs/>
          <w:sz w:val="24"/>
          <w:szCs w:val="24"/>
        </w:rPr>
      </w:pPr>
    </w:p>
    <w:p w14:paraId="5149EEAD" w14:textId="77777777" w:rsidR="00542014" w:rsidRPr="00560CEF" w:rsidRDefault="00542014" w:rsidP="002820CE">
      <w:pPr>
        <w:ind w:left="851"/>
        <w:rPr>
          <w:bCs/>
          <w:iCs/>
          <w:sz w:val="24"/>
          <w:szCs w:val="24"/>
        </w:rPr>
      </w:pPr>
      <w:r w:rsidRPr="00560CEF">
        <w:rPr>
          <w:sz w:val="24"/>
          <w:szCs w:val="24"/>
        </w:rPr>
        <w:t xml:space="preserve">Dette lægemiddel indeholder 26,7 mg natrium pr. 10 ml hætteglas, svarende til 1,41 % af WHO’s anbefalede maksimale daglige indtag på 2 g natrium for en voksen. Dette lægemiddel indeholder 53,4 mg natrium pr. 20 ml hætteglas, svarende til 2,82 % af WHO’s anbefalede maksimale daglige indtag på 2 g natrium til en voksen. Dette lægemiddel indeholder 106,8 mg natrium pr. 40 ml hætteglas, svarende til 5,65 % af WHO’s anbefalede maksimale daglige indtag på 2 g natrium til en voksen. </w:t>
      </w:r>
    </w:p>
    <w:p w14:paraId="64E5B88B" w14:textId="77777777" w:rsidR="009260DE" w:rsidRPr="00560CEF" w:rsidRDefault="009260DE" w:rsidP="009260DE">
      <w:pPr>
        <w:tabs>
          <w:tab w:val="left" w:pos="851"/>
        </w:tabs>
        <w:ind w:left="851"/>
        <w:rPr>
          <w:sz w:val="24"/>
          <w:szCs w:val="24"/>
        </w:rPr>
      </w:pPr>
    </w:p>
    <w:p w14:paraId="5BE5A6B4" w14:textId="77777777" w:rsidR="009260DE" w:rsidRPr="00560CEF" w:rsidRDefault="009260DE" w:rsidP="009260DE">
      <w:pPr>
        <w:tabs>
          <w:tab w:val="left" w:pos="851"/>
        </w:tabs>
        <w:ind w:left="851" w:hanging="851"/>
        <w:rPr>
          <w:b/>
          <w:sz w:val="24"/>
          <w:szCs w:val="24"/>
        </w:rPr>
      </w:pPr>
      <w:r w:rsidRPr="00560CEF">
        <w:rPr>
          <w:b/>
          <w:sz w:val="24"/>
          <w:szCs w:val="24"/>
        </w:rPr>
        <w:t>4.5</w:t>
      </w:r>
      <w:r w:rsidRPr="00560CEF">
        <w:rPr>
          <w:b/>
          <w:sz w:val="24"/>
          <w:szCs w:val="24"/>
        </w:rPr>
        <w:tab/>
        <w:t>Interaktion med andre lægemidler og andre former for interaktion</w:t>
      </w:r>
    </w:p>
    <w:p w14:paraId="34A1CD35" w14:textId="77777777" w:rsidR="00542014" w:rsidRPr="00560CEF" w:rsidRDefault="00542014" w:rsidP="002820CE">
      <w:pPr>
        <w:ind w:left="851"/>
        <w:rPr>
          <w:bCs/>
          <w:iCs/>
          <w:sz w:val="24"/>
          <w:szCs w:val="24"/>
        </w:rPr>
      </w:pPr>
      <w:proofErr w:type="spellStart"/>
      <w:r w:rsidRPr="00560CEF">
        <w:rPr>
          <w:sz w:val="24"/>
          <w:szCs w:val="24"/>
        </w:rPr>
        <w:t>Aciclovir</w:t>
      </w:r>
      <w:proofErr w:type="spellEnd"/>
      <w:r w:rsidRPr="00560CEF">
        <w:rPr>
          <w:sz w:val="24"/>
          <w:szCs w:val="24"/>
        </w:rPr>
        <w:t xml:space="preserve"> udskilles hovedsageligt </w:t>
      </w:r>
      <w:proofErr w:type="spellStart"/>
      <w:r w:rsidRPr="00560CEF">
        <w:rPr>
          <w:sz w:val="24"/>
          <w:szCs w:val="24"/>
        </w:rPr>
        <w:t>renalt</w:t>
      </w:r>
      <w:proofErr w:type="spellEnd"/>
      <w:r w:rsidRPr="00560CEF">
        <w:rPr>
          <w:sz w:val="24"/>
          <w:szCs w:val="24"/>
        </w:rPr>
        <w:t xml:space="preserve"> som </w:t>
      </w:r>
      <w:proofErr w:type="spellStart"/>
      <w:r w:rsidRPr="00560CEF">
        <w:rPr>
          <w:sz w:val="24"/>
          <w:szCs w:val="24"/>
        </w:rPr>
        <w:t>uomdannet</w:t>
      </w:r>
      <w:proofErr w:type="spellEnd"/>
      <w:r w:rsidRPr="00560CEF">
        <w:rPr>
          <w:sz w:val="24"/>
          <w:szCs w:val="24"/>
        </w:rPr>
        <w:t xml:space="preserve"> stof ved aktiv </w:t>
      </w:r>
      <w:proofErr w:type="spellStart"/>
      <w:r w:rsidRPr="00560CEF">
        <w:rPr>
          <w:sz w:val="24"/>
          <w:szCs w:val="24"/>
        </w:rPr>
        <w:t>tubulær</w:t>
      </w:r>
      <w:proofErr w:type="spellEnd"/>
      <w:r w:rsidRPr="00560CEF">
        <w:rPr>
          <w:sz w:val="24"/>
          <w:szCs w:val="24"/>
        </w:rPr>
        <w:t xml:space="preserve"> sekretion. Samtidigt administrerede lægemidler, som konkurrerer med denne mekanisme, kan øge plasmakoncentrationen af </w:t>
      </w:r>
      <w:proofErr w:type="spellStart"/>
      <w:r w:rsidRPr="00560CEF">
        <w:rPr>
          <w:sz w:val="24"/>
          <w:szCs w:val="24"/>
        </w:rPr>
        <w:t>aciclovir</w:t>
      </w:r>
      <w:proofErr w:type="spellEnd"/>
      <w:r w:rsidRPr="00560CEF">
        <w:rPr>
          <w:sz w:val="24"/>
          <w:szCs w:val="24"/>
        </w:rPr>
        <w:t xml:space="preserve">. </w:t>
      </w:r>
      <w:proofErr w:type="spellStart"/>
      <w:r w:rsidRPr="00560CEF">
        <w:rPr>
          <w:sz w:val="24"/>
          <w:szCs w:val="24"/>
        </w:rPr>
        <w:t>Probenecid</w:t>
      </w:r>
      <w:proofErr w:type="spellEnd"/>
      <w:r w:rsidRPr="00560CEF">
        <w:rPr>
          <w:sz w:val="24"/>
          <w:szCs w:val="24"/>
        </w:rPr>
        <w:t xml:space="preserve"> og </w:t>
      </w:r>
      <w:proofErr w:type="spellStart"/>
      <w:r w:rsidRPr="00560CEF">
        <w:rPr>
          <w:sz w:val="24"/>
          <w:szCs w:val="24"/>
        </w:rPr>
        <w:t>cimetidin</w:t>
      </w:r>
      <w:proofErr w:type="spellEnd"/>
      <w:r w:rsidRPr="00560CEF">
        <w:rPr>
          <w:sz w:val="24"/>
          <w:szCs w:val="24"/>
        </w:rPr>
        <w:t xml:space="preserve"> øger AUC for </w:t>
      </w:r>
      <w:proofErr w:type="spellStart"/>
      <w:r w:rsidRPr="00560CEF">
        <w:rPr>
          <w:sz w:val="24"/>
          <w:szCs w:val="24"/>
        </w:rPr>
        <w:t>aciclovir</w:t>
      </w:r>
      <w:proofErr w:type="spellEnd"/>
      <w:r w:rsidRPr="00560CEF">
        <w:rPr>
          <w:sz w:val="24"/>
          <w:szCs w:val="24"/>
        </w:rPr>
        <w:t xml:space="preserve"> ved denne mekanisme og nedsætter den </w:t>
      </w:r>
      <w:proofErr w:type="spellStart"/>
      <w:r w:rsidRPr="00560CEF">
        <w:rPr>
          <w:sz w:val="24"/>
          <w:szCs w:val="24"/>
        </w:rPr>
        <w:t>renale</w:t>
      </w:r>
      <w:proofErr w:type="spellEnd"/>
      <w:r w:rsidRPr="00560CEF">
        <w:rPr>
          <w:sz w:val="24"/>
          <w:szCs w:val="24"/>
        </w:rPr>
        <w:t xml:space="preserve"> </w:t>
      </w:r>
      <w:proofErr w:type="spellStart"/>
      <w:r w:rsidRPr="00560CEF">
        <w:rPr>
          <w:sz w:val="24"/>
          <w:szCs w:val="24"/>
        </w:rPr>
        <w:t>clearance</w:t>
      </w:r>
      <w:proofErr w:type="spellEnd"/>
      <w:r w:rsidRPr="00560CEF">
        <w:rPr>
          <w:sz w:val="24"/>
          <w:szCs w:val="24"/>
        </w:rPr>
        <w:t xml:space="preserve">. På grund af </w:t>
      </w:r>
      <w:proofErr w:type="spellStart"/>
      <w:r w:rsidRPr="00560CEF">
        <w:rPr>
          <w:sz w:val="24"/>
          <w:szCs w:val="24"/>
        </w:rPr>
        <w:t>aciclovirs</w:t>
      </w:r>
      <w:proofErr w:type="spellEnd"/>
      <w:r w:rsidRPr="00560CEF">
        <w:rPr>
          <w:sz w:val="24"/>
          <w:szCs w:val="24"/>
        </w:rPr>
        <w:t xml:space="preserve"> store terapeutiske indeks er det ikke nødvendigt at justere doseringen.</w:t>
      </w:r>
    </w:p>
    <w:p w14:paraId="3E4A3DA6" w14:textId="77777777" w:rsidR="00542014" w:rsidRPr="00560CEF" w:rsidRDefault="00542014" w:rsidP="002820CE">
      <w:pPr>
        <w:ind w:left="851"/>
        <w:rPr>
          <w:bCs/>
          <w:iCs/>
          <w:sz w:val="24"/>
          <w:szCs w:val="24"/>
        </w:rPr>
      </w:pPr>
    </w:p>
    <w:p w14:paraId="412BE983" w14:textId="77777777" w:rsidR="00542014" w:rsidRPr="00560CEF" w:rsidRDefault="00542014" w:rsidP="002820CE">
      <w:pPr>
        <w:ind w:left="851"/>
        <w:rPr>
          <w:bCs/>
          <w:iCs/>
          <w:sz w:val="24"/>
          <w:szCs w:val="24"/>
        </w:rPr>
      </w:pPr>
      <w:r w:rsidRPr="00560CEF">
        <w:rPr>
          <w:sz w:val="24"/>
          <w:szCs w:val="24"/>
        </w:rPr>
        <w:lastRenderedPageBreak/>
        <w:t xml:space="preserve">Hos patienter, der får intravenøs </w:t>
      </w:r>
      <w:proofErr w:type="spellStart"/>
      <w:r w:rsidRPr="00560CEF">
        <w:rPr>
          <w:sz w:val="24"/>
          <w:szCs w:val="24"/>
        </w:rPr>
        <w:t>aciclovir</w:t>
      </w:r>
      <w:proofErr w:type="spellEnd"/>
      <w:r w:rsidRPr="00560CEF">
        <w:rPr>
          <w:sz w:val="24"/>
          <w:szCs w:val="24"/>
        </w:rPr>
        <w:t xml:space="preserve">, er forsigtighed påkrævet ved samtidig administration af lægemidler, der konkurrerer med </w:t>
      </w:r>
      <w:proofErr w:type="spellStart"/>
      <w:r w:rsidRPr="00560CEF">
        <w:rPr>
          <w:sz w:val="24"/>
          <w:szCs w:val="24"/>
        </w:rPr>
        <w:t>aciclovir</w:t>
      </w:r>
      <w:proofErr w:type="spellEnd"/>
      <w:r w:rsidRPr="00560CEF">
        <w:rPr>
          <w:sz w:val="24"/>
          <w:szCs w:val="24"/>
        </w:rPr>
        <w:t xml:space="preserve"> om udskillelse, på grund af potentialet for forhøjede plasmaniveauer af det ene eller begge lægemidler eller deres metabolitter. Der er påvist forhøjelser af </w:t>
      </w:r>
      <w:proofErr w:type="spellStart"/>
      <w:r w:rsidRPr="00560CEF">
        <w:rPr>
          <w:sz w:val="24"/>
          <w:szCs w:val="24"/>
        </w:rPr>
        <w:t>aciclovirs</w:t>
      </w:r>
      <w:proofErr w:type="spellEnd"/>
      <w:r w:rsidRPr="00560CEF">
        <w:rPr>
          <w:sz w:val="24"/>
          <w:szCs w:val="24"/>
        </w:rPr>
        <w:t xml:space="preserve"> plasma-AUC og af den inaktive metabolit </w:t>
      </w:r>
      <w:proofErr w:type="spellStart"/>
      <w:r w:rsidRPr="00560CEF">
        <w:rPr>
          <w:sz w:val="24"/>
          <w:szCs w:val="24"/>
        </w:rPr>
        <w:t>mycophenolatmofetil</w:t>
      </w:r>
      <w:proofErr w:type="spellEnd"/>
      <w:r w:rsidRPr="00560CEF">
        <w:rPr>
          <w:sz w:val="24"/>
          <w:szCs w:val="24"/>
        </w:rPr>
        <w:t>, et immunsupprimerende middel, der anvendes til transplantationspatienter, når lægemidlerne administreres sammen.</w:t>
      </w:r>
    </w:p>
    <w:p w14:paraId="4CAA291F" w14:textId="77777777" w:rsidR="00542014" w:rsidRPr="00560CEF" w:rsidRDefault="00542014" w:rsidP="002820CE">
      <w:pPr>
        <w:ind w:left="851"/>
        <w:rPr>
          <w:bCs/>
          <w:iCs/>
          <w:sz w:val="24"/>
          <w:szCs w:val="24"/>
        </w:rPr>
      </w:pPr>
    </w:p>
    <w:p w14:paraId="36F85EA2" w14:textId="77777777" w:rsidR="00542014" w:rsidRPr="00560CEF" w:rsidRDefault="00542014" w:rsidP="002820CE">
      <w:pPr>
        <w:ind w:left="851"/>
        <w:rPr>
          <w:bCs/>
          <w:iCs/>
          <w:sz w:val="24"/>
          <w:szCs w:val="24"/>
        </w:rPr>
      </w:pPr>
      <w:r w:rsidRPr="00560CEF">
        <w:rPr>
          <w:sz w:val="24"/>
          <w:szCs w:val="24"/>
        </w:rPr>
        <w:t xml:space="preserve">Hvis </w:t>
      </w:r>
      <w:proofErr w:type="spellStart"/>
      <w:r w:rsidRPr="00272715">
        <w:rPr>
          <w:b/>
          <w:sz w:val="24"/>
          <w:szCs w:val="24"/>
        </w:rPr>
        <w:t>lithium</w:t>
      </w:r>
      <w:proofErr w:type="spellEnd"/>
      <w:r w:rsidRPr="00560CEF">
        <w:rPr>
          <w:sz w:val="24"/>
          <w:szCs w:val="24"/>
        </w:rPr>
        <w:t xml:space="preserve"> administreres samtidigt med høje doser intravenøst </w:t>
      </w:r>
      <w:proofErr w:type="spellStart"/>
      <w:r w:rsidRPr="00560CEF">
        <w:rPr>
          <w:sz w:val="24"/>
          <w:szCs w:val="24"/>
        </w:rPr>
        <w:t>aciclovir</w:t>
      </w:r>
      <w:proofErr w:type="spellEnd"/>
      <w:r w:rsidRPr="00560CEF">
        <w:rPr>
          <w:sz w:val="24"/>
          <w:szCs w:val="24"/>
        </w:rPr>
        <w:t>, skal serum-</w:t>
      </w:r>
      <w:proofErr w:type="spellStart"/>
      <w:r w:rsidRPr="00560CEF">
        <w:rPr>
          <w:sz w:val="24"/>
          <w:szCs w:val="24"/>
        </w:rPr>
        <w:t>lithium</w:t>
      </w:r>
      <w:proofErr w:type="spellEnd"/>
      <w:r w:rsidRPr="00560CEF">
        <w:rPr>
          <w:sz w:val="24"/>
          <w:szCs w:val="24"/>
        </w:rPr>
        <w:t xml:space="preserve"> koncentrationer monitoreres nøje på grund af risiko for </w:t>
      </w:r>
      <w:proofErr w:type="spellStart"/>
      <w:r w:rsidRPr="00560CEF">
        <w:rPr>
          <w:sz w:val="24"/>
          <w:szCs w:val="24"/>
        </w:rPr>
        <w:t>lithiumtoksisitet</w:t>
      </w:r>
      <w:proofErr w:type="spellEnd"/>
    </w:p>
    <w:p w14:paraId="7153348E" w14:textId="77777777" w:rsidR="00542014" w:rsidRPr="00560CEF" w:rsidRDefault="00542014" w:rsidP="002820CE">
      <w:pPr>
        <w:ind w:left="851"/>
        <w:rPr>
          <w:bCs/>
          <w:iCs/>
          <w:sz w:val="24"/>
          <w:szCs w:val="24"/>
        </w:rPr>
      </w:pPr>
    </w:p>
    <w:p w14:paraId="20142546" w14:textId="74240F98" w:rsidR="00542014" w:rsidRPr="00560CEF" w:rsidRDefault="00542014" w:rsidP="002820CE">
      <w:pPr>
        <w:ind w:left="851"/>
        <w:rPr>
          <w:bCs/>
          <w:iCs/>
          <w:sz w:val="24"/>
          <w:szCs w:val="24"/>
        </w:rPr>
      </w:pPr>
      <w:r w:rsidRPr="00560CEF">
        <w:rPr>
          <w:sz w:val="24"/>
          <w:szCs w:val="24"/>
        </w:rPr>
        <w:t xml:space="preserve">Der er også behov for omhu (med kontrol af ændringer i nyrefunktionen), såfremt intravenøst </w:t>
      </w:r>
      <w:proofErr w:type="spellStart"/>
      <w:r w:rsidRPr="00560CEF">
        <w:rPr>
          <w:sz w:val="24"/>
          <w:szCs w:val="24"/>
        </w:rPr>
        <w:t>aciclovir</w:t>
      </w:r>
      <w:proofErr w:type="spellEnd"/>
      <w:r w:rsidRPr="00560CEF">
        <w:rPr>
          <w:sz w:val="24"/>
          <w:szCs w:val="24"/>
        </w:rPr>
        <w:t xml:space="preserve"> gives samtidig med lægemidler, der påvirker andre forhold eller nyrernes fysiologi (f</w:t>
      </w:r>
      <w:r w:rsidR="00C71B80">
        <w:rPr>
          <w:sz w:val="24"/>
          <w:szCs w:val="24"/>
        </w:rPr>
        <w:t>.eks.</w:t>
      </w:r>
      <w:r w:rsidRPr="00560CEF">
        <w:rPr>
          <w:sz w:val="24"/>
          <w:szCs w:val="24"/>
        </w:rPr>
        <w:t xml:space="preserve"> </w:t>
      </w:r>
      <w:proofErr w:type="spellStart"/>
      <w:r w:rsidRPr="00560CEF">
        <w:rPr>
          <w:sz w:val="24"/>
          <w:szCs w:val="24"/>
        </w:rPr>
        <w:t>ciclosporin</w:t>
      </w:r>
      <w:proofErr w:type="spellEnd"/>
      <w:r w:rsidRPr="00560CEF">
        <w:rPr>
          <w:sz w:val="24"/>
          <w:szCs w:val="24"/>
        </w:rPr>
        <w:t xml:space="preserve">, </w:t>
      </w:r>
      <w:proofErr w:type="spellStart"/>
      <w:r w:rsidRPr="00560CEF">
        <w:rPr>
          <w:sz w:val="24"/>
          <w:szCs w:val="24"/>
        </w:rPr>
        <w:t>tacrolimus</w:t>
      </w:r>
      <w:proofErr w:type="spellEnd"/>
      <w:r w:rsidRPr="00560CEF">
        <w:rPr>
          <w:sz w:val="24"/>
          <w:szCs w:val="24"/>
        </w:rPr>
        <w:t>).</w:t>
      </w:r>
    </w:p>
    <w:p w14:paraId="3FE6A14E" w14:textId="77777777" w:rsidR="00542014" w:rsidRPr="00560CEF" w:rsidRDefault="00542014" w:rsidP="00542014">
      <w:pPr>
        <w:tabs>
          <w:tab w:val="left" w:pos="1304"/>
        </w:tabs>
        <w:rPr>
          <w:bCs/>
          <w:iCs/>
          <w:sz w:val="24"/>
          <w:szCs w:val="24"/>
        </w:rPr>
      </w:pPr>
    </w:p>
    <w:p w14:paraId="0DC713FE" w14:textId="04A9265C" w:rsidR="00542014" w:rsidRPr="00560CEF" w:rsidRDefault="00542014" w:rsidP="002820CE">
      <w:pPr>
        <w:ind w:left="851"/>
        <w:rPr>
          <w:bCs/>
          <w:iCs/>
          <w:sz w:val="24"/>
          <w:szCs w:val="24"/>
        </w:rPr>
      </w:pPr>
      <w:r w:rsidRPr="00560CEF">
        <w:rPr>
          <w:sz w:val="24"/>
          <w:szCs w:val="24"/>
        </w:rPr>
        <w:t xml:space="preserve">Et eksperimentelt forsøg med fem mandlige forsøgspersoner indikerer, at samtidig behandling med </w:t>
      </w:r>
      <w:proofErr w:type="spellStart"/>
      <w:r w:rsidRPr="00560CEF">
        <w:rPr>
          <w:sz w:val="24"/>
          <w:szCs w:val="24"/>
        </w:rPr>
        <w:t>aciclovir</w:t>
      </w:r>
      <w:proofErr w:type="spellEnd"/>
      <w:r w:rsidRPr="00560CEF">
        <w:rPr>
          <w:sz w:val="24"/>
          <w:szCs w:val="24"/>
        </w:rPr>
        <w:t xml:space="preserve"> øger AUC af samlede indgivne mængde </w:t>
      </w:r>
      <w:proofErr w:type="spellStart"/>
      <w:r w:rsidRPr="00560CEF">
        <w:rPr>
          <w:bCs/>
          <w:i/>
          <w:iCs/>
          <w:sz w:val="24"/>
          <w:szCs w:val="24"/>
        </w:rPr>
        <w:t>theophyllin</w:t>
      </w:r>
      <w:proofErr w:type="spellEnd"/>
      <w:r w:rsidRPr="00560CEF">
        <w:rPr>
          <w:sz w:val="24"/>
          <w:szCs w:val="24"/>
        </w:rPr>
        <w:t> med ca. 50</w:t>
      </w:r>
      <w:r w:rsidR="00B518AC">
        <w:rPr>
          <w:sz w:val="24"/>
          <w:szCs w:val="24"/>
        </w:rPr>
        <w:t> </w:t>
      </w:r>
      <w:r w:rsidRPr="00560CEF">
        <w:rPr>
          <w:sz w:val="24"/>
          <w:szCs w:val="24"/>
        </w:rPr>
        <w:t xml:space="preserve">%. Det anbefales at måle plasmakoncentrationer under samtidig behandling med </w:t>
      </w:r>
      <w:proofErr w:type="spellStart"/>
      <w:r w:rsidRPr="00560CEF">
        <w:rPr>
          <w:sz w:val="24"/>
          <w:szCs w:val="24"/>
        </w:rPr>
        <w:t>aciclovir</w:t>
      </w:r>
      <w:proofErr w:type="spellEnd"/>
      <w:r w:rsidRPr="00560CEF">
        <w:rPr>
          <w:sz w:val="24"/>
          <w:szCs w:val="24"/>
        </w:rPr>
        <w:t>.</w:t>
      </w:r>
    </w:p>
    <w:p w14:paraId="70353529" w14:textId="77777777" w:rsidR="009260DE" w:rsidRPr="00560CEF" w:rsidRDefault="009260DE" w:rsidP="009260DE">
      <w:pPr>
        <w:tabs>
          <w:tab w:val="left" w:pos="851"/>
        </w:tabs>
        <w:ind w:left="851"/>
        <w:rPr>
          <w:sz w:val="24"/>
          <w:szCs w:val="24"/>
        </w:rPr>
      </w:pPr>
    </w:p>
    <w:p w14:paraId="444562E0" w14:textId="6BA6234B" w:rsidR="009260DE" w:rsidRPr="00560CEF" w:rsidRDefault="009260DE" w:rsidP="009260DE">
      <w:pPr>
        <w:tabs>
          <w:tab w:val="left" w:pos="851"/>
        </w:tabs>
        <w:ind w:left="851" w:hanging="851"/>
        <w:rPr>
          <w:b/>
          <w:sz w:val="24"/>
          <w:szCs w:val="24"/>
        </w:rPr>
      </w:pPr>
      <w:r w:rsidRPr="00560CEF">
        <w:rPr>
          <w:b/>
          <w:sz w:val="24"/>
          <w:szCs w:val="24"/>
        </w:rPr>
        <w:t>4.6</w:t>
      </w:r>
      <w:r w:rsidRPr="00560CEF">
        <w:rPr>
          <w:b/>
          <w:sz w:val="24"/>
          <w:szCs w:val="24"/>
        </w:rPr>
        <w:tab/>
      </w:r>
      <w:r w:rsidR="000C59C6">
        <w:rPr>
          <w:b/>
          <w:sz w:val="24"/>
          <w:szCs w:val="24"/>
        </w:rPr>
        <w:t>Fertilitet, g</w:t>
      </w:r>
      <w:r w:rsidRPr="00560CEF">
        <w:rPr>
          <w:b/>
          <w:sz w:val="24"/>
          <w:szCs w:val="24"/>
        </w:rPr>
        <w:t>raviditet og amning</w:t>
      </w:r>
    </w:p>
    <w:p w14:paraId="276D4C6E" w14:textId="77777777" w:rsidR="00506E8A" w:rsidRDefault="00506E8A" w:rsidP="002820CE">
      <w:pPr>
        <w:ind w:left="851"/>
        <w:rPr>
          <w:sz w:val="24"/>
          <w:szCs w:val="24"/>
          <w:u w:val="single"/>
        </w:rPr>
      </w:pPr>
    </w:p>
    <w:p w14:paraId="7BB00C6C" w14:textId="64979CF5" w:rsidR="00542014" w:rsidRPr="00560CEF" w:rsidRDefault="00542014" w:rsidP="002820CE">
      <w:pPr>
        <w:ind w:left="851"/>
        <w:rPr>
          <w:sz w:val="24"/>
          <w:szCs w:val="24"/>
          <w:u w:val="single"/>
        </w:rPr>
      </w:pPr>
      <w:r w:rsidRPr="00560CEF">
        <w:rPr>
          <w:sz w:val="24"/>
          <w:szCs w:val="24"/>
          <w:u w:val="single"/>
        </w:rPr>
        <w:t>Fertilitet</w:t>
      </w:r>
    </w:p>
    <w:p w14:paraId="55736617" w14:textId="77777777" w:rsidR="00542014" w:rsidRPr="00560CEF" w:rsidRDefault="00542014" w:rsidP="002820CE">
      <w:pPr>
        <w:ind w:left="851"/>
        <w:rPr>
          <w:sz w:val="24"/>
          <w:szCs w:val="24"/>
        </w:rPr>
      </w:pPr>
      <w:r w:rsidRPr="00560CEF">
        <w:rPr>
          <w:sz w:val="24"/>
          <w:szCs w:val="24"/>
        </w:rPr>
        <w:t xml:space="preserve">Der foreligger ingen oplysninger om </w:t>
      </w:r>
      <w:proofErr w:type="spellStart"/>
      <w:r w:rsidRPr="00560CEF">
        <w:rPr>
          <w:sz w:val="24"/>
          <w:szCs w:val="24"/>
        </w:rPr>
        <w:t>aciclovirs</w:t>
      </w:r>
      <w:proofErr w:type="spellEnd"/>
      <w:r w:rsidRPr="00560CEF">
        <w:rPr>
          <w:sz w:val="24"/>
          <w:szCs w:val="24"/>
        </w:rPr>
        <w:t xml:space="preserve"> påvirkning af human fertilitet.</w:t>
      </w:r>
    </w:p>
    <w:p w14:paraId="3F172300" w14:textId="77777777" w:rsidR="00542014" w:rsidRPr="00560CEF" w:rsidRDefault="00542014" w:rsidP="002820CE">
      <w:pPr>
        <w:ind w:left="851"/>
        <w:rPr>
          <w:sz w:val="24"/>
          <w:szCs w:val="24"/>
        </w:rPr>
      </w:pPr>
      <w:r w:rsidRPr="00560CEF">
        <w:rPr>
          <w:sz w:val="24"/>
          <w:szCs w:val="24"/>
        </w:rPr>
        <w:t xml:space="preserve">I et forsøg med 20 mandlige patienter med normale spermtal, hvor </w:t>
      </w:r>
      <w:proofErr w:type="spellStart"/>
      <w:r w:rsidRPr="00560CEF">
        <w:rPr>
          <w:sz w:val="24"/>
          <w:szCs w:val="24"/>
        </w:rPr>
        <w:t>aciclovir</w:t>
      </w:r>
      <w:proofErr w:type="spellEnd"/>
      <w:r w:rsidRPr="00560CEF">
        <w:rPr>
          <w:sz w:val="24"/>
          <w:szCs w:val="24"/>
        </w:rPr>
        <w:t xml:space="preserve"> blev givet oralt i doser på op til 1 g dagligt i op til 6 måneder har det ikke vist sig at have nogen klinisk signifikant virkning på spermtal, </w:t>
      </w:r>
      <w:proofErr w:type="spellStart"/>
      <w:r w:rsidRPr="00560CEF">
        <w:rPr>
          <w:sz w:val="24"/>
          <w:szCs w:val="24"/>
        </w:rPr>
        <w:t>motilitet</w:t>
      </w:r>
      <w:proofErr w:type="spellEnd"/>
      <w:r w:rsidRPr="00560CEF">
        <w:rPr>
          <w:sz w:val="24"/>
          <w:szCs w:val="24"/>
        </w:rPr>
        <w:t xml:space="preserve"> eller morfologi (se pkt. 5.2).</w:t>
      </w:r>
    </w:p>
    <w:p w14:paraId="75A68F1D" w14:textId="77777777" w:rsidR="00542014" w:rsidRPr="00560CEF" w:rsidRDefault="00542014" w:rsidP="002820CE">
      <w:pPr>
        <w:ind w:left="851"/>
        <w:rPr>
          <w:sz w:val="24"/>
          <w:szCs w:val="24"/>
        </w:rPr>
      </w:pPr>
    </w:p>
    <w:p w14:paraId="11CD3CC1" w14:textId="77777777" w:rsidR="00542014" w:rsidRPr="00560CEF" w:rsidRDefault="00542014" w:rsidP="002820CE">
      <w:pPr>
        <w:tabs>
          <w:tab w:val="left" w:pos="1304"/>
        </w:tabs>
        <w:ind w:left="851"/>
        <w:rPr>
          <w:noProof/>
          <w:sz w:val="24"/>
          <w:szCs w:val="24"/>
        </w:rPr>
      </w:pPr>
      <w:r w:rsidRPr="00560CEF">
        <w:rPr>
          <w:sz w:val="24"/>
          <w:szCs w:val="24"/>
          <w:u w:val="single"/>
        </w:rPr>
        <w:t>Graviditet</w:t>
      </w:r>
    </w:p>
    <w:p w14:paraId="09A07D47" w14:textId="77777777" w:rsidR="00542014" w:rsidRPr="00560CEF" w:rsidRDefault="00542014" w:rsidP="002820CE">
      <w:pPr>
        <w:ind w:left="851"/>
        <w:rPr>
          <w:noProof/>
          <w:sz w:val="24"/>
          <w:szCs w:val="24"/>
        </w:rPr>
      </w:pPr>
      <w:r w:rsidRPr="00560CEF">
        <w:rPr>
          <w:sz w:val="24"/>
          <w:szCs w:val="24"/>
        </w:rPr>
        <w:t xml:space="preserve">Der er utilstrækkelige data fra anvendelse af intravenøst </w:t>
      </w:r>
      <w:proofErr w:type="spellStart"/>
      <w:r w:rsidRPr="00560CEF">
        <w:rPr>
          <w:sz w:val="24"/>
          <w:szCs w:val="24"/>
        </w:rPr>
        <w:t>aciclovir</w:t>
      </w:r>
      <w:proofErr w:type="spellEnd"/>
      <w:r w:rsidRPr="00560CEF">
        <w:rPr>
          <w:sz w:val="24"/>
          <w:szCs w:val="24"/>
        </w:rPr>
        <w:t xml:space="preserve"> til gravide kvinder. Data fra oral anvendelse af </w:t>
      </w:r>
      <w:proofErr w:type="spellStart"/>
      <w:r w:rsidRPr="00560CEF">
        <w:rPr>
          <w:sz w:val="24"/>
          <w:szCs w:val="24"/>
        </w:rPr>
        <w:t>aciclovir</w:t>
      </w:r>
      <w:proofErr w:type="spellEnd"/>
      <w:r w:rsidRPr="00560CEF">
        <w:rPr>
          <w:sz w:val="24"/>
          <w:szCs w:val="24"/>
        </w:rPr>
        <w:t xml:space="preserve"> hos et stort antal gravide kvinder indikerer ingen misdannelser eller </w:t>
      </w:r>
      <w:proofErr w:type="spellStart"/>
      <w:r w:rsidRPr="00560CEF">
        <w:rPr>
          <w:sz w:val="24"/>
          <w:szCs w:val="24"/>
        </w:rPr>
        <w:t>føtal</w:t>
      </w:r>
      <w:proofErr w:type="spellEnd"/>
      <w:r w:rsidRPr="00560CEF">
        <w:rPr>
          <w:sz w:val="24"/>
          <w:szCs w:val="24"/>
        </w:rPr>
        <w:t xml:space="preserve">/neonatal toksicitet af </w:t>
      </w:r>
      <w:proofErr w:type="spellStart"/>
      <w:r w:rsidRPr="00560CEF">
        <w:rPr>
          <w:sz w:val="24"/>
          <w:szCs w:val="24"/>
        </w:rPr>
        <w:t>aciclovir</w:t>
      </w:r>
      <w:proofErr w:type="spellEnd"/>
      <w:r w:rsidRPr="00560CEF">
        <w:rPr>
          <w:sz w:val="24"/>
          <w:szCs w:val="24"/>
        </w:rPr>
        <w:t xml:space="preserve">. Dyreforsøg har påvist reproduktionstoksicitet (se pkt. 5.3). Den potentielle risiko for mennesker er ukendt, men sandsynligvis lav. Så vidt vides er der ingen fare ved kortvarig brug af </w:t>
      </w:r>
      <w:proofErr w:type="spellStart"/>
      <w:r w:rsidRPr="00560CEF">
        <w:rPr>
          <w:sz w:val="24"/>
          <w:szCs w:val="24"/>
        </w:rPr>
        <w:t>aciclovir</w:t>
      </w:r>
      <w:proofErr w:type="spellEnd"/>
      <w:r w:rsidRPr="00560CEF">
        <w:rPr>
          <w:sz w:val="24"/>
          <w:szCs w:val="24"/>
        </w:rPr>
        <w:t xml:space="preserve"> ved alvorlige indikationer. Anvendelse af </w:t>
      </w:r>
      <w:proofErr w:type="spellStart"/>
      <w:r w:rsidRPr="00560CEF">
        <w:rPr>
          <w:sz w:val="24"/>
          <w:szCs w:val="24"/>
        </w:rPr>
        <w:t>aciclovir</w:t>
      </w:r>
      <w:proofErr w:type="spellEnd"/>
      <w:r w:rsidRPr="00560CEF">
        <w:rPr>
          <w:sz w:val="24"/>
          <w:szCs w:val="24"/>
        </w:rPr>
        <w:t xml:space="preserve"> til gravide kvinder bør kun overvejes, hvis den forventede fordel for moderen opvejer enhver mulig risiko hos fostret.</w:t>
      </w:r>
    </w:p>
    <w:p w14:paraId="6CF2B301" w14:textId="77777777" w:rsidR="00542014" w:rsidRPr="00560CEF" w:rsidRDefault="00542014" w:rsidP="002820CE">
      <w:pPr>
        <w:ind w:left="851"/>
        <w:rPr>
          <w:sz w:val="24"/>
          <w:szCs w:val="24"/>
        </w:rPr>
      </w:pPr>
    </w:p>
    <w:p w14:paraId="35CA1FA1" w14:textId="77777777" w:rsidR="00542014" w:rsidRPr="00560CEF" w:rsidRDefault="00542014" w:rsidP="002820CE">
      <w:pPr>
        <w:tabs>
          <w:tab w:val="left" w:pos="1304"/>
        </w:tabs>
        <w:ind w:left="851"/>
        <w:rPr>
          <w:noProof/>
          <w:sz w:val="24"/>
          <w:szCs w:val="24"/>
          <w:u w:val="single"/>
        </w:rPr>
      </w:pPr>
      <w:r w:rsidRPr="00560CEF">
        <w:rPr>
          <w:sz w:val="24"/>
          <w:szCs w:val="24"/>
          <w:u w:val="single"/>
        </w:rPr>
        <w:t>Amning</w:t>
      </w:r>
    </w:p>
    <w:p w14:paraId="262C3D7B" w14:textId="77777777" w:rsidR="00542014" w:rsidRPr="00560CEF" w:rsidRDefault="00542014" w:rsidP="002820CE">
      <w:pPr>
        <w:ind w:left="851"/>
        <w:rPr>
          <w:noProof/>
          <w:sz w:val="24"/>
          <w:szCs w:val="24"/>
        </w:rPr>
      </w:pPr>
      <w:proofErr w:type="spellStart"/>
      <w:r w:rsidRPr="00560CEF">
        <w:rPr>
          <w:sz w:val="24"/>
          <w:szCs w:val="24"/>
        </w:rPr>
        <w:t>Aciclovir</w:t>
      </w:r>
      <w:proofErr w:type="spellEnd"/>
      <w:r w:rsidRPr="00560CEF">
        <w:rPr>
          <w:sz w:val="24"/>
          <w:szCs w:val="24"/>
        </w:rPr>
        <w:t xml:space="preserve"> udskilles i human mælk i begrænsede mængder. Den maksimale mængde, som spædbarnet kan indtage via modermælken, er kun en lille procentdel af den tilladte dosis til spædbørn. Der er derfor ingen indvendinger mod amning under kortvarig behandling. Ved langvarig brug anbefales det at afbryde amning.</w:t>
      </w:r>
    </w:p>
    <w:p w14:paraId="50856234" w14:textId="77777777" w:rsidR="009260DE" w:rsidRPr="00560CEF" w:rsidRDefault="009260DE" w:rsidP="009260DE">
      <w:pPr>
        <w:tabs>
          <w:tab w:val="left" w:pos="851"/>
        </w:tabs>
        <w:ind w:left="851"/>
        <w:rPr>
          <w:sz w:val="24"/>
          <w:szCs w:val="24"/>
        </w:rPr>
      </w:pPr>
    </w:p>
    <w:p w14:paraId="2815495F" w14:textId="67E799F6" w:rsidR="009260DE" w:rsidRPr="00560CEF" w:rsidRDefault="009260DE" w:rsidP="009260DE">
      <w:pPr>
        <w:tabs>
          <w:tab w:val="left" w:pos="851"/>
        </w:tabs>
        <w:ind w:left="851" w:hanging="851"/>
        <w:rPr>
          <w:b/>
          <w:sz w:val="24"/>
          <w:szCs w:val="24"/>
        </w:rPr>
      </w:pPr>
      <w:r w:rsidRPr="00560CEF">
        <w:rPr>
          <w:b/>
          <w:sz w:val="24"/>
          <w:szCs w:val="24"/>
        </w:rPr>
        <w:t>4.7</w:t>
      </w:r>
      <w:r w:rsidRPr="00560CEF">
        <w:rPr>
          <w:b/>
          <w:sz w:val="24"/>
          <w:szCs w:val="24"/>
        </w:rPr>
        <w:tab/>
        <w:t xml:space="preserve">Virkning på evnen til at føre motorkøretøj </w:t>
      </w:r>
      <w:r w:rsidR="00272715">
        <w:rPr>
          <w:b/>
          <w:sz w:val="24"/>
          <w:szCs w:val="24"/>
        </w:rPr>
        <w:t>og</w:t>
      </w:r>
      <w:r w:rsidRPr="00560CEF">
        <w:rPr>
          <w:b/>
          <w:sz w:val="24"/>
          <w:szCs w:val="24"/>
        </w:rPr>
        <w:t xml:space="preserve"> betjene maskiner</w:t>
      </w:r>
    </w:p>
    <w:p w14:paraId="3375BFA5" w14:textId="77777777" w:rsidR="00542014" w:rsidRPr="00560CEF" w:rsidRDefault="00542014" w:rsidP="002820CE">
      <w:pPr>
        <w:ind w:left="851"/>
        <w:rPr>
          <w:sz w:val="24"/>
          <w:szCs w:val="24"/>
        </w:rPr>
      </w:pPr>
      <w:r w:rsidRPr="00560CEF">
        <w:rPr>
          <w:sz w:val="24"/>
          <w:szCs w:val="24"/>
        </w:rPr>
        <w:t>Ikke mærkning.</w:t>
      </w:r>
    </w:p>
    <w:p w14:paraId="4745E04D" w14:textId="77777777" w:rsidR="00542014" w:rsidRPr="00560CEF" w:rsidRDefault="00542014" w:rsidP="002820CE">
      <w:pPr>
        <w:ind w:left="851"/>
        <w:rPr>
          <w:sz w:val="24"/>
          <w:szCs w:val="24"/>
        </w:rPr>
      </w:pPr>
      <w:r w:rsidRPr="00560CEF">
        <w:rPr>
          <w:sz w:val="24"/>
          <w:szCs w:val="24"/>
        </w:rPr>
        <w:t xml:space="preserve">Intravenøs </w:t>
      </w:r>
      <w:proofErr w:type="spellStart"/>
      <w:r w:rsidRPr="00560CEF">
        <w:rPr>
          <w:sz w:val="24"/>
          <w:szCs w:val="24"/>
        </w:rPr>
        <w:t>aciclovir</w:t>
      </w:r>
      <w:proofErr w:type="spellEnd"/>
      <w:r w:rsidRPr="00560CEF">
        <w:rPr>
          <w:sz w:val="24"/>
          <w:szCs w:val="24"/>
        </w:rPr>
        <w:t xml:space="preserve"> til infusion anvendes sædvanligvis til en patientpopulation på hospitaler og oplysninger om evnen til at føre motorkøretøj og betjene maskiner er sædvanligvis ikke relevant. Der er ikke foretaget undersøgelser af </w:t>
      </w:r>
      <w:proofErr w:type="spellStart"/>
      <w:r w:rsidRPr="00560CEF">
        <w:rPr>
          <w:sz w:val="24"/>
          <w:szCs w:val="24"/>
        </w:rPr>
        <w:t>aciclovirs</w:t>
      </w:r>
      <w:proofErr w:type="spellEnd"/>
      <w:r w:rsidRPr="00560CEF">
        <w:rPr>
          <w:sz w:val="24"/>
          <w:szCs w:val="24"/>
        </w:rPr>
        <w:t xml:space="preserve"> indflydelse på evnen til at føre motorkøretøj og betjene maskiner.</w:t>
      </w:r>
    </w:p>
    <w:p w14:paraId="119635DC" w14:textId="77777777" w:rsidR="009260DE" w:rsidRPr="00560CEF" w:rsidRDefault="009260DE" w:rsidP="009260DE">
      <w:pPr>
        <w:tabs>
          <w:tab w:val="left" w:pos="851"/>
        </w:tabs>
        <w:ind w:left="851"/>
        <w:rPr>
          <w:sz w:val="24"/>
          <w:szCs w:val="24"/>
        </w:rPr>
      </w:pPr>
    </w:p>
    <w:p w14:paraId="040F0A0D" w14:textId="77777777" w:rsidR="009260DE" w:rsidRPr="00560CEF" w:rsidRDefault="009260DE" w:rsidP="000C59C6">
      <w:pPr>
        <w:keepNext/>
        <w:tabs>
          <w:tab w:val="left" w:pos="851"/>
        </w:tabs>
        <w:ind w:left="851" w:hanging="851"/>
        <w:rPr>
          <w:b/>
          <w:sz w:val="24"/>
          <w:szCs w:val="24"/>
        </w:rPr>
      </w:pPr>
      <w:r w:rsidRPr="00560CEF">
        <w:rPr>
          <w:b/>
          <w:sz w:val="24"/>
          <w:szCs w:val="24"/>
        </w:rPr>
        <w:lastRenderedPageBreak/>
        <w:t>4.8</w:t>
      </w:r>
      <w:r w:rsidRPr="00560CEF">
        <w:rPr>
          <w:b/>
          <w:sz w:val="24"/>
          <w:szCs w:val="24"/>
        </w:rPr>
        <w:tab/>
        <w:t>Bivirkninger</w:t>
      </w:r>
    </w:p>
    <w:p w14:paraId="726FA5B0" w14:textId="77777777" w:rsidR="00542014" w:rsidRPr="00560CEF" w:rsidRDefault="00542014" w:rsidP="002820CE">
      <w:pPr>
        <w:ind w:left="851"/>
        <w:rPr>
          <w:sz w:val="24"/>
          <w:szCs w:val="24"/>
        </w:rPr>
      </w:pPr>
      <w:r w:rsidRPr="00560CEF">
        <w:rPr>
          <w:sz w:val="24"/>
          <w:szCs w:val="24"/>
        </w:rPr>
        <w:t>Hyppighedskategorierne forbundet med nedenstående bivirkninger er estimater. For de fleste bivirkninger var der ikke passende tilgængelige data til estimering af forekomst. Derudover kan bivirkninger variere i deres forekomst afhængigt af indikationen.</w:t>
      </w:r>
    </w:p>
    <w:p w14:paraId="403448F9" w14:textId="77777777" w:rsidR="00542014" w:rsidRPr="00560CEF" w:rsidRDefault="00542014" w:rsidP="002820CE">
      <w:pPr>
        <w:ind w:left="851"/>
        <w:rPr>
          <w:sz w:val="24"/>
          <w:szCs w:val="24"/>
        </w:rPr>
      </w:pPr>
    </w:p>
    <w:p w14:paraId="30E051FF" w14:textId="77777777" w:rsidR="00542014" w:rsidRPr="00560CEF" w:rsidRDefault="00542014" w:rsidP="002820CE">
      <w:pPr>
        <w:ind w:left="851"/>
        <w:rPr>
          <w:sz w:val="24"/>
          <w:szCs w:val="24"/>
        </w:rPr>
      </w:pPr>
      <w:r w:rsidRPr="00560CEF">
        <w:rPr>
          <w:sz w:val="24"/>
          <w:szCs w:val="24"/>
        </w:rPr>
        <w:t>Hyppigheden af bivirkninger er klassificeret i følgende kategorier: Meget almindelig (≥1/10), almindelig (≥1/100 til &lt;1/10), ikke almindelig (≥1/1.000 til &lt;1/100), sjælden (≥1/10.000 til &lt;1/1.000) og meget sjælden (&lt;1/10.000).</w:t>
      </w:r>
    </w:p>
    <w:p w14:paraId="28B67FCD" w14:textId="77777777" w:rsidR="00542014" w:rsidRPr="00560CEF" w:rsidRDefault="00542014" w:rsidP="002820CE">
      <w:pPr>
        <w:ind w:left="851"/>
        <w:rPr>
          <w:sz w:val="24"/>
          <w:szCs w:val="24"/>
        </w:rPr>
      </w:pPr>
    </w:p>
    <w:p w14:paraId="7C519EFB" w14:textId="6382B524" w:rsidR="00542014" w:rsidRPr="00560CEF" w:rsidRDefault="00542014" w:rsidP="002820CE">
      <w:pPr>
        <w:ind w:left="851"/>
        <w:rPr>
          <w:sz w:val="24"/>
          <w:szCs w:val="24"/>
        </w:rPr>
      </w:pPr>
      <w:r w:rsidRPr="00560CEF">
        <w:rPr>
          <w:sz w:val="24"/>
          <w:szCs w:val="24"/>
          <w:u w:val="single"/>
        </w:rPr>
        <w:t>Blod- og lymfesystem</w:t>
      </w:r>
    </w:p>
    <w:p w14:paraId="624CF646" w14:textId="4E36CECA" w:rsidR="00542014" w:rsidRPr="00560CEF" w:rsidRDefault="00542014" w:rsidP="002820CE">
      <w:pPr>
        <w:ind w:left="851"/>
        <w:rPr>
          <w:sz w:val="24"/>
          <w:szCs w:val="24"/>
        </w:rPr>
      </w:pPr>
      <w:r w:rsidRPr="00560CEF">
        <w:rPr>
          <w:sz w:val="24"/>
          <w:szCs w:val="24"/>
        </w:rPr>
        <w:t xml:space="preserve">Ikke almindelig: </w:t>
      </w:r>
      <w:r w:rsidR="00362000">
        <w:rPr>
          <w:sz w:val="24"/>
          <w:szCs w:val="24"/>
        </w:rPr>
        <w:t>F</w:t>
      </w:r>
      <w:r w:rsidRPr="00560CEF">
        <w:rPr>
          <w:sz w:val="24"/>
          <w:szCs w:val="24"/>
        </w:rPr>
        <w:t xml:space="preserve">ald i hæmatologiske værdier (anæmi, </w:t>
      </w:r>
      <w:proofErr w:type="spellStart"/>
      <w:r w:rsidRPr="00560CEF">
        <w:rPr>
          <w:sz w:val="24"/>
          <w:szCs w:val="24"/>
        </w:rPr>
        <w:t>trombocytopeni</w:t>
      </w:r>
      <w:proofErr w:type="spellEnd"/>
      <w:r w:rsidRPr="00560CEF">
        <w:rPr>
          <w:sz w:val="24"/>
          <w:szCs w:val="24"/>
        </w:rPr>
        <w:t xml:space="preserve">, </w:t>
      </w:r>
      <w:proofErr w:type="spellStart"/>
      <w:r w:rsidRPr="00560CEF">
        <w:rPr>
          <w:sz w:val="24"/>
          <w:szCs w:val="24"/>
        </w:rPr>
        <w:t>leukopeni</w:t>
      </w:r>
      <w:proofErr w:type="spellEnd"/>
      <w:r w:rsidRPr="00560CEF">
        <w:rPr>
          <w:sz w:val="24"/>
          <w:szCs w:val="24"/>
        </w:rPr>
        <w:t>).</w:t>
      </w:r>
    </w:p>
    <w:p w14:paraId="3D90B545" w14:textId="77777777" w:rsidR="00542014" w:rsidRPr="00560CEF" w:rsidRDefault="00542014" w:rsidP="002820CE">
      <w:pPr>
        <w:ind w:left="851"/>
        <w:rPr>
          <w:sz w:val="24"/>
          <w:szCs w:val="24"/>
          <w:u w:val="single"/>
        </w:rPr>
      </w:pPr>
    </w:p>
    <w:p w14:paraId="7386E9BC" w14:textId="286C1AF8" w:rsidR="00542014" w:rsidRPr="00560CEF" w:rsidRDefault="00542014" w:rsidP="002820CE">
      <w:pPr>
        <w:ind w:left="851"/>
        <w:rPr>
          <w:sz w:val="24"/>
          <w:szCs w:val="24"/>
        </w:rPr>
      </w:pPr>
      <w:r w:rsidRPr="00560CEF">
        <w:rPr>
          <w:sz w:val="24"/>
          <w:szCs w:val="24"/>
          <w:u w:val="single"/>
        </w:rPr>
        <w:t>Immunsystemet</w:t>
      </w:r>
    </w:p>
    <w:p w14:paraId="19C1D10D" w14:textId="706089EC" w:rsidR="00542014" w:rsidRPr="00560CEF" w:rsidRDefault="00542014" w:rsidP="002820CE">
      <w:pPr>
        <w:ind w:left="851"/>
        <w:rPr>
          <w:sz w:val="24"/>
          <w:szCs w:val="24"/>
        </w:rPr>
      </w:pPr>
      <w:r w:rsidRPr="00560CEF">
        <w:rPr>
          <w:sz w:val="24"/>
          <w:szCs w:val="24"/>
        </w:rPr>
        <w:t xml:space="preserve">Meget sjælden: </w:t>
      </w:r>
      <w:r w:rsidR="00362000">
        <w:rPr>
          <w:sz w:val="24"/>
          <w:szCs w:val="24"/>
        </w:rPr>
        <w:t>A</w:t>
      </w:r>
      <w:r w:rsidRPr="00560CEF">
        <w:rPr>
          <w:sz w:val="24"/>
          <w:szCs w:val="24"/>
        </w:rPr>
        <w:t>nafylaksi.</w:t>
      </w:r>
    </w:p>
    <w:p w14:paraId="3B7DAE06" w14:textId="77777777" w:rsidR="00542014" w:rsidRPr="00560CEF" w:rsidRDefault="00542014" w:rsidP="002820CE">
      <w:pPr>
        <w:ind w:left="851"/>
        <w:rPr>
          <w:sz w:val="24"/>
          <w:szCs w:val="24"/>
          <w:u w:val="single"/>
        </w:rPr>
      </w:pPr>
    </w:p>
    <w:p w14:paraId="5F89EEE6" w14:textId="56535D5B" w:rsidR="00542014" w:rsidRPr="00560CEF" w:rsidRDefault="00542014" w:rsidP="002820CE">
      <w:pPr>
        <w:ind w:left="851"/>
        <w:rPr>
          <w:sz w:val="24"/>
          <w:szCs w:val="24"/>
        </w:rPr>
      </w:pPr>
      <w:r w:rsidRPr="00560CEF">
        <w:rPr>
          <w:sz w:val="24"/>
          <w:szCs w:val="24"/>
          <w:u w:val="single"/>
        </w:rPr>
        <w:t>Psykiske forstyrrelser og nervesystemet</w:t>
      </w:r>
    </w:p>
    <w:p w14:paraId="499EDBC6" w14:textId="5E1A2A0B" w:rsidR="00542014" w:rsidRPr="00560CEF" w:rsidRDefault="00542014" w:rsidP="002820CE">
      <w:pPr>
        <w:ind w:left="851"/>
        <w:rPr>
          <w:sz w:val="24"/>
          <w:szCs w:val="24"/>
        </w:rPr>
      </w:pPr>
      <w:r w:rsidRPr="00560CEF">
        <w:rPr>
          <w:sz w:val="24"/>
          <w:szCs w:val="24"/>
        </w:rPr>
        <w:t xml:space="preserve">Meget sjælden: </w:t>
      </w:r>
      <w:r w:rsidR="00362000">
        <w:rPr>
          <w:sz w:val="24"/>
          <w:szCs w:val="24"/>
        </w:rPr>
        <w:t>H</w:t>
      </w:r>
      <w:r w:rsidRPr="00560CEF">
        <w:rPr>
          <w:sz w:val="24"/>
          <w:szCs w:val="24"/>
        </w:rPr>
        <w:t xml:space="preserve">ovedpine, svimmelhed, agitation, forvirring, </w:t>
      </w:r>
      <w:proofErr w:type="spellStart"/>
      <w:r w:rsidRPr="00560CEF">
        <w:rPr>
          <w:sz w:val="24"/>
          <w:szCs w:val="24"/>
        </w:rPr>
        <w:t>tremor</w:t>
      </w:r>
      <w:proofErr w:type="spellEnd"/>
      <w:r w:rsidRPr="00560CEF">
        <w:rPr>
          <w:sz w:val="24"/>
          <w:szCs w:val="24"/>
        </w:rPr>
        <w:t xml:space="preserve">, </w:t>
      </w:r>
      <w:proofErr w:type="spellStart"/>
      <w:r w:rsidRPr="00560CEF">
        <w:rPr>
          <w:sz w:val="24"/>
          <w:szCs w:val="24"/>
        </w:rPr>
        <w:t>ataksi</w:t>
      </w:r>
      <w:proofErr w:type="spellEnd"/>
      <w:r w:rsidRPr="00560CEF">
        <w:rPr>
          <w:sz w:val="24"/>
          <w:szCs w:val="24"/>
        </w:rPr>
        <w:t xml:space="preserve">, </w:t>
      </w:r>
      <w:proofErr w:type="spellStart"/>
      <w:r w:rsidRPr="00560CEF">
        <w:rPr>
          <w:sz w:val="24"/>
          <w:szCs w:val="24"/>
        </w:rPr>
        <w:t>dysartri</w:t>
      </w:r>
      <w:proofErr w:type="spellEnd"/>
      <w:r w:rsidRPr="00560CEF">
        <w:rPr>
          <w:sz w:val="24"/>
          <w:szCs w:val="24"/>
        </w:rPr>
        <w:t>, hallucinationer, psykotiske symptomer, kramper, døsighed, encefalopati, koma.</w:t>
      </w:r>
    </w:p>
    <w:p w14:paraId="6E621C2F" w14:textId="77777777" w:rsidR="00542014" w:rsidRPr="00560CEF" w:rsidRDefault="00542014" w:rsidP="002820CE">
      <w:pPr>
        <w:ind w:left="851"/>
        <w:rPr>
          <w:sz w:val="24"/>
          <w:szCs w:val="24"/>
        </w:rPr>
      </w:pPr>
    </w:p>
    <w:p w14:paraId="44E02E6F" w14:textId="77777777" w:rsidR="00542014" w:rsidRPr="00560CEF" w:rsidRDefault="00542014" w:rsidP="002820CE">
      <w:pPr>
        <w:ind w:left="851"/>
        <w:rPr>
          <w:sz w:val="24"/>
          <w:szCs w:val="24"/>
        </w:rPr>
      </w:pPr>
      <w:r w:rsidRPr="00560CEF">
        <w:rPr>
          <w:sz w:val="24"/>
          <w:szCs w:val="24"/>
        </w:rPr>
        <w:t xml:space="preserve">Ovenstående bivirkninger er generelt reversible og er sædvanligvis indberettet hos patienter med nedsat nyrefunktion eller med andre </w:t>
      </w:r>
      <w:proofErr w:type="spellStart"/>
      <w:r w:rsidRPr="00560CEF">
        <w:rPr>
          <w:sz w:val="24"/>
          <w:szCs w:val="24"/>
        </w:rPr>
        <w:t>prædispositionerede</w:t>
      </w:r>
      <w:proofErr w:type="spellEnd"/>
      <w:r w:rsidRPr="00560CEF">
        <w:rPr>
          <w:sz w:val="24"/>
          <w:szCs w:val="24"/>
        </w:rPr>
        <w:t xml:space="preserve"> faktorer (se pkt. 4.4). </w:t>
      </w:r>
    </w:p>
    <w:p w14:paraId="67623FCC" w14:textId="77777777" w:rsidR="00542014" w:rsidRPr="00560CEF" w:rsidRDefault="00542014" w:rsidP="002820CE">
      <w:pPr>
        <w:ind w:left="851"/>
        <w:rPr>
          <w:sz w:val="24"/>
          <w:szCs w:val="24"/>
          <w:u w:val="single"/>
        </w:rPr>
      </w:pPr>
    </w:p>
    <w:p w14:paraId="3F366F65" w14:textId="57314DEA" w:rsidR="00542014" w:rsidRPr="00560CEF" w:rsidRDefault="00542014" w:rsidP="002820CE">
      <w:pPr>
        <w:ind w:left="851"/>
        <w:rPr>
          <w:sz w:val="24"/>
          <w:szCs w:val="24"/>
        </w:rPr>
      </w:pPr>
      <w:proofErr w:type="spellStart"/>
      <w:r w:rsidRPr="00560CEF">
        <w:rPr>
          <w:sz w:val="24"/>
          <w:szCs w:val="24"/>
          <w:u w:val="single"/>
        </w:rPr>
        <w:t>Vaskulære</w:t>
      </w:r>
      <w:proofErr w:type="spellEnd"/>
      <w:r w:rsidRPr="00560CEF">
        <w:rPr>
          <w:sz w:val="24"/>
          <w:szCs w:val="24"/>
          <w:u w:val="single"/>
        </w:rPr>
        <w:t xml:space="preserve"> sygdomme</w:t>
      </w:r>
    </w:p>
    <w:p w14:paraId="265C39F4" w14:textId="22EE7CDA" w:rsidR="00542014" w:rsidRPr="00560CEF" w:rsidRDefault="00542014" w:rsidP="002820CE">
      <w:pPr>
        <w:ind w:left="851"/>
        <w:rPr>
          <w:sz w:val="24"/>
          <w:szCs w:val="24"/>
        </w:rPr>
      </w:pPr>
      <w:r w:rsidRPr="00560CEF">
        <w:rPr>
          <w:sz w:val="24"/>
          <w:szCs w:val="24"/>
        </w:rPr>
        <w:t xml:space="preserve">Almindelig: </w:t>
      </w:r>
      <w:proofErr w:type="spellStart"/>
      <w:r w:rsidR="00362000">
        <w:rPr>
          <w:sz w:val="24"/>
          <w:szCs w:val="24"/>
        </w:rPr>
        <w:t>P</w:t>
      </w:r>
      <w:r w:rsidRPr="00560CEF">
        <w:rPr>
          <w:sz w:val="24"/>
          <w:szCs w:val="24"/>
        </w:rPr>
        <w:t>hlebitis</w:t>
      </w:r>
      <w:proofErr w:type="spellEnd"/>
      <w:r w:rsidRPr="00560CEF">
        <w:rPr>
          <w:sz w:val="24"/>
          <w:szCs w:val="24"/>
        </w:rPr>
        <w:t>.</w:t>
      </w:r>
    </w:p>
    <w:p w14:paraId="3B280B53" w14:textId="77777777" w:rsidR="00542014" w:rsidRPr="00560CEF" w:rsidRDefault="00542014" w:rsidP="002820CE">
      <w:pPr>
        <w:ind w:left="851"/>
        <w:rPr>
          <w:sz w:val="24"/>
          <w:szCs w:val="24"/>
        </w:rPr>
      </w:pPr>
    </w:p>
    <w:p w14:paraId="0A474626" w14:textId="1986EC64" w:rsidR="00542014" w:rsidRPr="00560CEF" w:rsidRDefault="00542014" w:rsidP="002820CE">
      <w:pPr>
        <w:ind w:left="851"/>
        <w:rPr>
          <w:sz w:val="24"/>
          <w:szCs w:val="24"/>
        </w:rPr>
      </w:pPr>
      <w:r w:rsidRPr="00560CEF">
        <w:rPr>
          <w:sz w:val="24"/>
          <w:szCs w:val="24"/>
          <w:u w:val="single"/>
        </w:rPr>
        <w:t xml:space="preserve">Luftveje, thorax og </w:t>
      </w:r>
      <w:proofErr w:type="spellStart"/>
      <w:r w:rsidRPr="00560CEF">
        <w:rPr>
          <w:sz w:val="24"/>
          <w:szCs w:val="24"/>
          <w:u w:val="single"/>
        </w:rPr>
        <w:t>mediastinum</w:t>
      </w:r>
      <w:proofErr w:type="spellEnd"/>
    </w:p>
    <w:p w14:paraId="6B5ACEDB" w14:textId="3BF35C8B" w:rsidR="00542014" w:rsidRPr="00560CEF" w:rsidRDefault="00542014" w:rsidP="002820CE">
      <w:pPr>
        <w:ind w:left="851"/>
        <w:rPr>
          <w:sz w:val="24"/>
          <w:szCs w:val="24"/>
        </w:rPr>
      </w:pPr>
      <w:r w:rsidRPr="00560CEF">
        <w:rPr>
          <w:sz w:val="24"/>
          <w:szCs w:val="24"/>
        </w:rPr>
        <w:t xml:space="preserve">Meget sjælden: </w:t>
      </w:r>
      <w:r w:rsidR="00362000">
        <w:rPr>
          <w:sz w:val="24"/>
          <w:szCs w:val="24"/>
        </w:rPr>
        <w:t>D</w:t>
      </w:r>
      <w:r w:rsidRPr="00560CEF">
        <w:rPr>
          <w:sz w:val="24"/>
          <w:szCs w:val="24"/>
        </w:rPr>
        <w:t>yspnø.</w:t>
      </w:r>
    </w:p>
    <w:p w14:paraId="15BEAA76" w14:textId="77777777" w:rsidR="00542014" w:rsidRPr="00560CEF" w:rsidRDefault="00542014" w:rsidP="002820CE">
      <w:pPr>
        <w:ind w:left="851"/>
        <w:rPr>
          <w:sz w:val="24"/>
          <w:szCs w:val="24"/>
        </w:rPr>
      </w:pPr>
    </w:p>
    <w:p w14:paraId="4E9E30EE" w14:textId="52A1D37B" w:rsidR="00542014" w:rsidRPr="00560CEF" w:rsidRDefault="00542014" w:rsidP="002820CE">
      <w:pPr>
        <w:ind w:left="851"/>
        <w:rPr>
          <w:sz w:val="24"/>
          <w:szCs w:val="24"/>
        </w:rPr>
      </w:pPr>
      <w:r w:rsidRPr="00560CEF">
        <w:rPr>
          <w:sz w:val="24"/>
          <w:szCs w:val="24"/>
          <w:u w:val="single"/>
        </w:rPr>
        <w:t>Mave-tarm-kanalen</w:t>
      </w:r>
    </w:p>
    <w:p w14:paraId="25C7FFEA" w14:textId="53A56F64" w:rsidR="00542014" w:rsidRPr="00560CEF" w:rsidRDefault="00542014" w:rsidP="002820CE">
      <w:pPr>
        <w:ind w:left="851"/>
        <w:rPr>
          <w:sz w:val="24"/>
          <w:szCs w:val="24"/>
        </w:rPr>
      </w:pPr>
      <w:r w:rsidRPr="00560CEF">
        <w:rPr>
          <w:sz w:val="24"/>
          <w:szCs w:val="24"/>
        </w:rPr>
        <w:t xml:space="preserve">Almindelig: </w:t>
      </w:r>
      <w:r w:rsidR="00362000">
        <w:rPr>
          <w:sz w:val="24"/>
          <w:szCs w:val="24"/>
        </w:rPr>
        <w:t>K</w:t>
      </w:r>
      <w:r w:rsidRPr="00560CEF">
        <w:rPr>
          <w:sz w:val="24"/>
          <w:szCs w:val="24"/>
        </w:rPr>
        <w:t>valme, opkastning.</w:t>
      </w:r>
    </w:p>
    <w:p w14:paraId="04B18B9A" w14:textId="3A4EF6D1" w:rsidR="00542014" w:rsidRPr="00560CEF" w:rsidRDefault="00542014" w:rsidP="002820CE">
      <w:pPr>
        <w:ind w:left="851"/>
        <w:rPr>
          <w:sz w:val="24"/>
          <w:szCs w:val="24"/>
        </w:rPr>
      </w:pPr>
      <w:r w:rsidRPr="00560CEF">
        <w:rPr>
          <w:sz w:val="24"/>
          <w:szCs w:val="24"/>
        </w:rPr>
        <w:t xml:space="preserve">Meget sjælden: </w:t>
      </w:r>
      <w:r w:rsidR="00362000">
        <w:rPr>
          <w:sz w:val="24"/>
          <w:szCs w:val="24"/>
        </w:rPr>
        <w:t>D</w:t>
      </w:r>
      <w:r w:rsidRPr="00560CEF">
        <w:rPr>
          <w:sz w:val="24"/>
          <w:szCs w:val="24"/>
        </w:rPr>
        <w:t>iarré, mavesmerter.</w:t>
      </w:r>
    </w:p>
    <w:p w14:paraId="2A455363" w14:textId="77777777" w:rsidR="00542014" w:rsidRPr="00560CEF" w:rsidRDefault="00542014" w:rsidP="002820CE">
      <w:pPr>
        <w:ind w:left="851"/>
        <w:rPr>
          <w:sz w:val="24"/>
          <w:szCs w:val="24"/>
          <w:u w:val="single"/>
        </w:rPr>
      </w:pPr>
    </w:p>
    <w:p w14:paraId="409CB888" w14:textId="0AE6C860" w:rsidR="00542014" w:rsidRPr="00560CEF" w:rsidRDefault="00542014" w:rsidP="002820CE">
      <w:pPr>
        <w:ind w:left="851"/>
        <w:rPr>
          <w:sz w:val="24"/>
          <w:szCs w:val="24"/>
        </w:rPr>
      </w:pPr>
      <w:r w:rsidRPr="00560CEF">
        <w:rPr>
          <w:sz w:val="24"/>
          <w:szCs w:val="24"/>
          <w:u w:val="single"/>
        </w:rPr>
        <w:t>Lever og galdeveje</w:t>
      </w:r>
    </w:p>
    <w:p w14:paraId="576022C1" w14:textId="26F2AD57" w:rsidR="00542014" w:rsidRPr="00560CEF" w:rsidRDefault="00542014" w:rsidP="002820CE">
      <w:pPr>
        <w:ind w:left="851"/>
        <w:rPr>
          <w:sz w:val="24"/>
          <w:szCs w:val="24"/>
        </w:rPr>
      </w:pPr>
      <w:r w:rsidRPr="00560CEF">
        <w:rPr>
          <w:sz w:val="24"/>
          <w:szCs w:val="24"/>
        </w:rPr>
        <w:t xml:space="preserve">Almindelig: </w:t>
      </w:r>
      <w:r w:rsidR="00362000">
        <w:rPr>
          <w:sz w:val="24"/>
          <w:szCs w:val="24"/>
        </w:rPr>
        <w:t>R</w:t>
      </w:r>
      <w:r w:rsidRPr="00560CEF">
        <w:rPr>
          <w:sz w:val="24"/>
          <w:szCs w:val="24"/>
        </w:rPr>
        <w:t>eversible stigninger i leverrelaterede enzymer.</w:t>
      </w:r>
    </w:p>
    <w:p w14:paraId="1E222ECA" w14:textId="0900ABB8" w:rsidR="00542014" w:rsidRPr="00560CEF" w:rsidRDefault="00542014" w:rsidP="002820CE">
      <w:pPr>
        <w:ind w:left="851"/>
        <w:rPr>
          <w:sz w:val="24"/>
          <w:szCs w:val="24"/>
        </w:rPr>
      </w:pPr>
      <w:r w:rsidRPr="00560CEF">
        <w:rPr>
          <w:sz w:val="24"/>
          <w:szCs w:val="24"/>
        </w:rPr>
        <w:t xml:space="preserve">Meget sjælden: </w:t>
      </w:r>
      <w:r w:rsidR="00362000">
        <w:rPr>
          <w:sz w:val="24"/>
          <w:szCs w:val="24"/>
        </w:rPr>
        <w:t>R</w:t>
      </w:r>
      <w:r w:rsidRPr="00560CEF">
        <w:rPr>
          <w:sz w:val="24"/>
          <w:szCs w:val="24"/>
        </w:rPr>
        <w:t>eversible stigninger i bilirubin, gulsot og hepatitis.</w:t>
      </w:r>
    </w:p>
    <w:p w14:paraId="2069CBB5" w14:textId="77777777" w:rsidR="00542014" w:rsidRPr="00560CEF" w:rsidRDefault="00542014" w:rsidP="002820CE">
      <w:pPr>
        <w:ind w:left="851"/>
        <w:rPr>
          <w:sz w:val="24"/>
          <w:szCs w:val="24"/>
          <w:u w:val="single"/>
        </w:rPr>
      </w:pPr>
    </w:p>
    <w:p w14:paraId="15B8ADCE" w14:textId="2113AD29" w:rsidR="00542014" w:rsidRPr="00560CEF" w:rsidRDefault="00542014" w:rsidP="002820CE">
      <w:pPr>
        <w:ind w:left="851"/>
        <w:rPr>
          <w:sz w:val="24"/>
          <w:szCs w:val="24"/>
        </w:rPr>
      </w:pPr>
      <w:r w:rsidRPr="00560CEF">
        <w:rPr>
          <w:sz w:val="24"/>
          <w:szCs w:val="24"/>
          <w:u w:val="single"/>
        </w:rPr>
        <w:t>Hud og subkutane væv</w:t>
      </w:r>
    </w:p>
    <w:p w14:paraId="68F08383" w14:textId="1A36D1B1" w:rsidR="00542014" w:rsidRPr="00560CEF" w:rsidRDefault="00542014" w:rsidP="002820CE">
      <w:pPr>
        <w:ind w:left="851"/>
        <w:rPr>
          <w:sz w:val="24"/>
          <w:szCs w:val="24"/>
        </w:rPr>
      </w:pPr>
      <w:r w:rsidRPr="00560CEF">
        <w:rPr>
          <w:sz w:val="24"/>
          <w:szCs w:val="24"/>
        </w:rPr>
        <w:t xml:space="preserve">Almindelig: </w:t>
      </w:r>
      <w:proofErr w:type="spellStart"/>
      <w:r w:rsidR="00362000">
        <w:rPr>
          <w:sz w:val="24"/>
          <w:szCs w:val="24"/>
        </w:rPr>
        <w:t>P</w:t>
      </w:r>
      <w:r w:rsidRPr="00560CEF">
        <w:rPr>
          <w:sz w:val="24"/>
          <w:szCs w:val="24"/>
        </w:rPr>
        <w:t>ruritus</w:t>
      </w:r>
      <w:proofErr w:type="spellEnd"/>
      <w:r w:rsidRPr="00560CEF">
        <w:rPr>
          <w:sz w:val="24"/>
          <w:szCs w:val="24"/>
        </w:rPr>
        <w:t xml:space="preserve">, </w:t>
      </w:r>
      <w:proofErr w:type="spellStart"/>
      <w:r w:rsidRPr="00560CEF">
        <w:rPr>
          <w:sz w:val="24"/>
          <w:szCs w:val="24"/>
        </w:rPr>
        <w:t>urticaria</w:t>
      </w:r>
      <w:proofErr w:type="spellEnd"/>
      <w:r w:rsidRPr="00560CEF">
        <w:rPr>
          <w:sz w:val="24"/>
          <w:szCs w:val="24"/>
        </w:rPr>
        <w:t>, udslæt (herunder fotosensitivitet)</w:t>
      </w:r>
    </w:p>
    <w:p w14:paraId="6DF223F6" w14:textId="4A4DADDC" w:rsidR="00542014" w:rsidRPr="00560CEF" w:rsidRDefault="00542014" w:rsidP="002820CE">
      <w:pPr>
        <w:ind w:left="851"/>
        <w:rPr>
          <w:sz w:val="24"/>
          <w:szCs w:val="24"/>
        </w:rPr>
      </w:pPr>
      <w:r w:rsidRPr="00560CEF">
        <w:rPr>
          <w:sz w:val="24"/>
          <w:szCs w:val="24"/>
        </w:rPr>
        <w:t xml:space="preserve">Meget sjælden: </w:t>
      </w:r>
      <w:proofErr w:type="spellStart"/>
      <w:r w:rsidR="00DB45F8">
        <w:rPr>
          <w:sz w:val="24"/>
          <w:szCs w:val="24"/>
        </w:rPr>
        <w:t>A</w:t>
      </w:r>
      <w:r w:rsidRPr="00560CEF">
        <w:rPr>
          <w:sz w:val="24"/>
          <w:szCs w:val="24"/>
        </w:rPr>
        <w:t>ngioødem</w:t>
      </w:r>
      <w:proofErr w:type="spellEnd"/>
      <w:r w:rsidRPr="00560CEF">
        <w:rPr>
          <w:sz w:val="24"/>
          <w:szCs w:val="24"/>
        </w:rPr>
        <w:t>.</w:t>
      </w:r>
    </w:p>
    <w:p w14:paraId="7D5A795E" w14:textId="77777777" w:rsidR="00542014" w:rsidRPr="00560CEF" w:rsidRDefault="00542014" w:rsidP="002820CE">
      <w:pPr>
        <w:ind w:left="851"/>
        <w:rPr>
          <w:sz w:val="24"/>
          <w:szCs w:val="24"/>
          <w:u w:val="single"/>
        </w:rPr>
      </w:pPr>
    </w:p>
    <w:p w14:paraId="12EF05A9" w14:textId="253AEFE6" w:rsidR="00542014" w:rsidRPr="00506E8A" w:rsidRDefault="00542014" w:rsidP="00506E8A">
      <w:pPr>
        <w:ind w:left="851"/>
        <w:rPr>
          <w:sz w:val="24"/>
          <w:szCs w:val="24"/>
          <w:u w:val="single"/>
        </w:rPr>
      </w:pPr>
      <w:r w:rsidRPr="00506E8A">
        <w:rPr>
          <w:sz w:val="24"/>
          <w:szCs w:val="24"/>
          <w:u w:val="single"/>
        </w:rPr>
        <w:t>Nyrer og urinveje</w:t>
      </w:r>
    </w:p>
    <w:p w14:paraId="76B8D745" w14:textId="0E4A9C8B" w:rsidR="00542014" w:rsidRPr="00560CEF" w:rsidRDefault="00542014" w:rsidP="002820CE">
      <w:pPr>
        <w:ind w:left="851"/>
        <w:rPr>
          <w:sz w:val="24"/>
          <w:szCs w:val="24"/>
        </w:rPr>
      </w:pPr>
      <w:r w:rsidRPr="00560CEF">
        <w:rPr>
          <w:sz w:val="24"/>
          <w:szCs w:val="24"/>
        </w:rPr>
        <w:t xml:space="preserve">Almindelig: </w:t>
      </w:r>
      <w:r w:rsidR="00DB45F8">
        <w:rPr>
          <w:sz w:val="24"/>
          <w:szCs w:val="24"/>
        </w:rPr>
        <w:t>S</w:t>
      </w:r>
      <w:r w:rsidRPr="00560CEF">
        <w:rPr>
          <w:sz w:val="24"/>
          <w:szCs w:val="24"/>
        </w:rPr>
        <w:t xml:space="preserve">tigning i blodurinstof og </w:t>
      </w:r>
      <w:proofErr w:type="spellStart"/>
      <w:r w:rsidRPr="00560CEF">
        <w:rPr>
          <w:sz w:val="24"/>
          <w:szCs w:val="24"/>
        </w:rPr>
        <w:t>kreatinin</w:t>
      </w:r>
      <w:proofErr w:type="spellEnd"/>
      <w:r w:rsidRPr="00560CEF">
        <w:rPr>
          <w:sz w:val="24"/>
          <w:szCs w:val="24"/>
        </w:rPr>
        <w:t>.</w:t>
      </w:r>
    </w:p>
    <w:p w14:paraId="2C2758B8" w14:textId="77777777" w:rsidR="00542014" w:rsidRPr="00560CEF" w:rsidRDefault="00542014" w:rsidP="002820CE">
      <w:pPr>
        <w:ind w:left="851"/>
        <w:rPr>
          <w:sz w:val="24"/>
          <w:szCs w:val="24"/>
        </w:rPr>
      </w:pPr>
    </w:p>
    <w:p w14:paraId="7C835EFC" w14:textId="77777777" w:rsidR="00542014" w:rsidRPr="00560CEF" w:rsidRDefault="00542014" w:rsidP="002820CE">
      <w:pPr>
        <w:ind w:left="851"/>
        <w:rPr>
          <w:sz w:val="24"/>
          <w:szCs w:val="24"/>
        </w:rPr>
      </w:pPr>
      <w:r w:rsidRPr="00560CEF">
        <w:rPr>
          <w:sz w:val="24"/>
          <w:szCs w:val="24"/>
        </w:rPr>
        <w:t xml:space="preserve">Hurtige stigninger i blodurinstof og </w:t>
      </w:r>
      <w:proofErr w:type="spellStart"/>
      <w:r w:rsidRPr="00560CEF">
        <w:rPr>
          <w:sz w:val="24"/>
          <w:szCs w:val="24"/>
        </w:rPr>
        <w:t>kreatininniveauer</w:t>
      </w:r>
      <w:proofErr w:type="spellEnd"/>
      <w:r w:rsidRPr="00560CEF">
        <w:rPr>
          <w:sz w:val="24"/>
          <w:szCs w:val="24"/>
        </w:rPr>
        <w:t xml:space="preserve"> antages at være relateret til de maksimale plasmaniveauer og patientens væskebalance. For at undgå denne virkning bør lægemidlet ikke gives som en intravenøs </w:t>
      </w:r>
      <w:proofErr w:type="spellStart"/>
      <w:r w:rsidRPr="00560CEF">
        <w:rPr>
          <w:sz w:val="24"/>
          <w:szCs w:val="24"/>
        </w:rPr>
        <w:t>bolusinjektion</w:t>
      </w:r>
      <w:proofErr w:type="spellEnd"/>
      <w:r w:rsidRPr="00560CEF">
        <w:rPr>
          <w:sz w:val="24"/>
          <w:szCs w:val="24"/>
        </w:rPr>
        <w:t>, men ved langsom infusion over en times tid.</w:t>
      </w:r>
    </w:p>
    <w:p w14:paraId="56DFE913" w14:textId="77777777" w:rsidR="00542014" w:rsidRPr="00560CEF" w:rsidRDefault="00542014" w:rsidP="002820CE">
      <w:pPr>
        <w:ind w:left="851"/>
        <w:rPr>
          <w:sz w:val="24"/>
          <w:szCs w:val="24"/>
        </w:rPr>
      </w:pPr>
    </w:p>
    <w:p w14:paraId="66FD5DBC" w14:textId="20B4F9F2" w:rsidR="00542014" w:rsidRPr="00560CEF" w:rsidRDefault="00542014" w:rsidP="002820CE">
      <w:pPr>
        <w:ind w:left="851"/>
        <w:rPr>
          <w:sz w:val="24"/>
          <w:szCs w:val="24"/>
        </w:rPr>
      </w:pPr>
      <w:r w:rsidRPr="00560CEF">
        <w:rPr>
          <w:sz w:val="24"/>
          <w:szCs w:val="24"/>
        </w:rPr>
        <w:t xml:space="preserve">Meget sjælden: </w:t>
      </w:r>
      <w:r w:rsidR="00DB45F8">
        <w:rPr>
          <w:sz w:val="24"/>
          <w:szCs w:val="24"/>
        </w:rPr>
        <w:t>N</w:t>
      </w:r>
      <w:r w:rsidRPr="00560CEF">
        <w:rPr>
          <w:sz w:val="24"/>
          <w:szCs w:val="24"/>
        </w:rPr>
        <w:t>edsat nyrefunktion, akut nyresvigt og nyresmerter.</w:t>
      </w:r>
    </w:p>
    <w:p w14:paraId="2101DB5A" w14:textId="77777777" w:rsidR="00542014" w:rsidRPr="00560CEF" w:rsidRDefault="00542014" w:rsidP="002820CE">
      <w:pPr>
        <w:ind w:left="851"/>
        <w:rPr>
          <w:sz w:val="24"/>
          <w:szCs w:val="24"/>
        </w:rPr>
      </w:pPr>
    </w:p>
    <w:p w14:paraId="5F48CE4E" w14:textId="77777777" w:rsidR="00542014" w:rsidRPr="00560CEF" w:rsidRDefault="00542014" w:rsidP="002820CE">
      <w:pPr>
        <w:ind w:left="851"/>
        <w:rPr>
          <w:sz w:val="24"/>
          <w:szCs w:val="24"/>
        </w:rPr>
      </w:pPr>
      <w:r w:rsidRPr="00560CEF">
        <w:rPr>
          <w:sz w:val="24"/>
          <w:szCs w:val="24"/>
        </w:rPr>
        <w:lastRenderedPageBreak/>
        <w:t xml:space="preserve">Der skal opretholdes tilstrækkelig væskebalance. Nedsat nyrefunktion reagerer sædvanligvis hurtigt på </w:t>
      </w:r>
      <w:proofErr w:type="spellStart"/>
      <w:r w:rsidRPr="00560CEF">
        <w:rPr>
          <w:sz w:val="24"/>
          <w:szCs w:val="24"/>
        </w:rPr>
        <w:t>rehydrering</w:t>
      </w:r>
      <w:proofErr w:type="spellEnd"/>
      <w:r w:rsidRPr="00560CEF">
        <w:rPr>
          <w:sz w:val="24"/>
          <w:szCs w:val="24"/>
        </w:rPr>
        <w:t xml:space="preserve"> af patienten og/eller dosisreduktion eller </w:t>
      </w:r>
      <w:proofErr w:type="spellStart"/>
      <w:r w:rsidRPr="00560CEF">
        <w:rPr>
          <w:sz w:val="24"/>
          <w:szCs w:val="24"/>
        </w:rPr>
        <w:t>seponering</w:t>
      </w:r>
      <w:proofErr w:type="spellEnd"/>
      <w:r w:rsidRPr="00560CEF">
        <w:rPr>
          <w:sz w:val="24"/>
          <w:szCs w:val="24"/>
        </w:rPr>
        <w:t xml:space="preserve"> af lægemidlet. Der kan dog forekomme progression til akut nyresvigt i ekstraordinære tilfælde.</w:t>
      </w:r>
    </w:p>
    <w:p w14:paraId="071F7289" w14:textId="77777777" w:rsidR="00542014" w:rsidRPr="00560CEF" w:rsidRDefault="00542014" w:rsidP="002820CE">
      <w:pPr>
        <w:ind w:left="851"/>
        <w:rPr>
          <w:sz w:val="24"/>
          <w:szCs w:val="24"/>
        </w:rPr>
      </w:pPr>
    </w:p>
    <w:p w14:paraId="5C79B055" w14:textId="77777777" w:rsidR="00542014" w:rsidRPr="00560CEF" w:rsidRDefault="00542014" w:rsidP="002820CE">
      <w:pPr>
        <w:ind w:left="851"/>
        <w:rPr>
          <w:sz w:val="24"/>
          <w:szCs w:val="24"/>
        </w:rPr>
      </w:pPr>
      <w:r w:rsidRPr="00560CEF">
        <w:rPr>
          <w:sz w:val="24"/>
          <w:szCs w:val="24"/>
        </w:rPr>
        <w:t xml:space="preserve">Nyresmerter kan være forbundet med nyresvigt og </w:t>
      </w:r>
      <w:proofErr w:type="spellStart"/>
      <w:r w:rsidRPr="00560CEF">
        <w:rPr>
          <w:sz w:val="24"/>
          <w:szCs w:val="24"/>
        </w:rPr>
        <w:t>krystalluri</w:t>
      </w:r>
      <w:proofErr w:type="spellEnd"/>
      <w:r w:rsidRPr="00560CEF">
        <w:rPr>
          <w:sz w:val="24"/>
          <w:szCs w:val="24"/>
        </w:rPr>
        <w:t>.</w:t>
      </w:r>
    </w:p>
    <w:p w14:paraId="436EA06B" w14:textId="77777777" w:rsidR="00542014" w:rsidRPr="00560CEF" w:rsidRDefault="00542014" w:rsidP="002820CE">
      <w:pPr>
        <w:ind w:left="851"/>
        <w:rPr>
          <w:sz w:val="24"/>
          <w:szCs w:val="24"/>
        </w:rPr>
      </w:pPr>
    </w:p>
    <w:p w14:paraId="060D0629" w14:textId="59E56A97" w:rsidR="00542014" w:rsidRPr="00560CEF" w:rsidRDefault="00542014" w:rsidP="002820CE">
      <w:pPr>
        <w:ind w:left="851"/>
        <w:rPr>
          <w:sz w:val="24"/>
          <w:szCs w:val="24"/>
        </w:rPr>
      </w:pPr>
      <w:r w:rsidRPr="00560CEF">
        <w:rPr>
          <w:sz w:val="24"/>
          <w:szCs w:val="24"/>
          <w:u w:val="single"/>
        </w:rPr>
        <w:t>Almene symptomer og reaktioner på administrationsstedet</w:t>
      </w:r>
    </w:p>
    <w:p w14:paraId="3CB20BD7" w14:textId="77777777" w:rsidR="00542014" w:rsidRPr="00560CEF" w:rsidRDefault="00542014" w:rsidP="002820CE">
      <w:pPr>
        <w:ind w:left="851"/>
        <w:rPr>
          <w:sz w:val="24"/>
          <w:szCs w:val="24"/>
        </w:rPr>
      </w:pPr>
      <w:r w:rsidRPr="00560CEF">
        <w:rPr>
          <w:sz w:val="24"/>
          <w:szCs w:val="24"/>
        </w:rPr>
        <w:t>Meget sjælden: træthed, feber, lokale inflammationsreaktioner.</w:t>
      </w:r>
    </w:p>
    <w:p w14:paraId="157D12BF" w14:textId="77777777" w:rsidR="00542014" w:rsidRPr="00560CEF" w:rsidRDefault="00542014" w:rsidP="002820CE">
      <w:pPr>
        <w:ind w:left="851"/>
        <w:rPr>
          <w:sz w:val="24"/>
          <w:szCs w:val="24"/>
        </w:rPr>
      </w:pPr>
    </w:p>
    <w:p w14:paraId="7A44E27B" w14:textId="77777777" w:rsidR="00542014" w:rsidRPr="00560CEF" w:rsidRDefault="00542014" w:rsidP="002820CE">
      <w:pPr>
        <w:ind w:left="851"/>
        <w:rPr>
          <w:sz w:val="24"/>
          <w:szCs w:val="24"/>
        </w:rPr>
      </w:pPr>
      <w:r w:rsidRPr="00560CEF">
        <w:rPr>
          <w:sz w:val="24"/>
          <w:szCs w:val="24"/>
        </w:rPr>
        <w:t xml:space="preserve">Alvorlige lokale inflammationsreaktioner kan somme tider føre til beskadigelse af huden efter utilsigtet infusion af </w:t>
      </w:r>
      <w:proofErr w:type="spellStart"/>
      <w:r w:rsidRPr="00560CEF">
        <w:rPr>
          <w:sz w:val="24"/>
          <w:szCs w:val="24"/>
        </w:rPr>
        <w:t>aciclovir</w:t>
      </w:r>
      <w:proofErr w:type="spellEnd"/>
      <w:r w:rsidRPr="00560CEF">
        <w:rPr>
          <w:sz w:val="24"/>
          <w:szCs w:val="24"/>
        </w:rPr>
        <w:t xml:space="preserve"> i ekstracellulært væv.</w:t>
      </w:r>
    </w:p>
    <w:p w14:paraId="3FB17242" w14:textId="77777777" w:rsidR="00542014" w:rsidRPr="00560CEF" w:rsidRDefault="00542014" w:rsidP="002820CE">
      <w:pPr>
        <w:ind w:left="851"/>
        <w:rPr>
          <w:sz w:val="24"/>
          <w:szCs w:val="24"/>
        </w:rPr>
      </w:pPr>
    </w:p>
    <w:p w14:paraId="15792545" w14:textId="77777777" w:rsidR="00542014" w:rsidRPr="00560CEF" w:rsidRDefault="00542014" w:rsidP="002820CE">
      <w:pPr>
        <w:autoSpaceDE w:val="0"/>
        <w:autoSpaceDN w:val="0"/>
        <w:adjustRightInd w:val="0"/>
        <w:ind w:left="851"/>
        <w:rPr>
          <w:sz w:val="24"/>
          <w:szCs w:val="24"/>
          <w:u w:val="single"/>
        </w:rPr>
      </w:pPr>
      <w:r w:rsidRPr="00560CEF">
        <w:rPr>
          <w:sz w:val="24"/>
          <w:szCs w:val="24"/>
          <w:u w:val="single"/>
        </w:rPr>
        <w:t>Indberetning af formodede bivirkninger</w:t>
      </w:r>
    </w:p>
    <w:p w14:paraId="639792FE" w14:textId="0B9AF4B1" w:rsidR="00542014" w:rsidRDefault="00542014" w:rsidP="002820CE">
      <w:pPr>
        <w:autoSpaceDE w:val="0"/>
        <w:autoSpaceDN w:val="0"/>
        <w:adjustRightInd w:val="0"/>
        <w:ind w:left="851"/>
        <w:rPr>
          <w:sz w:val="24"/>
          <w:szCs w:val="24"/>
        </w:rPr>
      </w:pPr>
      <w:r w:rsidRPr="00560CEF">
        <w:rPr>
          <w:sz w:val="24"/>
          <w:szCs w:val="24"/>
        </w:rPr>
        <w:t>Når lægemidlet er godkendt, er indberetning af formodede bivirkninger vigtig. Det muliggør løbende overvågning af benefit/</w:t>
      </w:r>
      <w:proofErr w:type="spellStart"/>
      <w:r w:rsidRPr="00560CEF">
        <w:rPr>
          <w:sz w:val="24"/>
          <w:szCs w:val="24"/>
        </w:rPr>
        <w:t>risk</w:t>
      </w:r>
      <w:proofErr w:type="spellEnd"/>
      <w:r w:rsidRPr="00560CEF">
        <w:rPr>
          <w:sz w:val="24"/>
          <w:szCs w:val="24"/>
        </w:rPr>
        <w:t>-forholdet for lægemidlet. Sundhedspersoner anmodes om at indberette alle formodede bivirkninger via</w:t>
      </w:r>
      <w:r w:rsidR="00DB45F8">
        <w:rPr>
          <w:sz w:val="24"/>
          <w:szCs w:val="24"/>
        </w:rPr>
        <w:t>:</w:t>
      </w:r>
    </w:p>
    <w:p w14:paraId="52A9D77B" w14:textId="77777777" w:rsidR="00DB45F8" w:rsidRPr="00560CEF" w:rsidRDefault="00DB45F8" w:rsidP="002820CE">
      <w:pPr>
        <w:autoSpaceDE w:val="0"/>
        <w:autoSpaceDN w:val="0"/>
        <w:adjustRightInd w:val="0"/>
        <w:ind w:left="851"/>
        <w:rPr>
          <w:sz w:val="24"/>
          <w:szCs w:val="24"/>
        </w:rPr>
      </w:pPr>
    </w:p>
    <w:p w14:paraId="48EF0CB0" w14:textId="77777777" w:rsidR="00542014" w:rsidRPr="00560CEF" w:rsidRDefault="00542014" w:rsidP="002820CE">
      <w:pPr>
        <w:autoSpaceDE w:val="0"/>
        <w:autoSpaceDN w:val="0"/>
        <w:adjustRightInd w:val="0"/>
        <w:ind w:left="851"/>
        <w:rPr>
          <w:sz w:val="24"/>
          <w:szCs w:val="24"/>
        </w:rPr>
      </w:pPr>
      <w:r w:rsidRPr="00560CEF">
        <w:rPr>
          <w:sz w:val="24"/>
          <w:szCs w:val="24"/>
        </w:rPr>
        <w:t>Lægemiddelstyrelsen</w:t>
      </w:r>
    </w:p>
    <w:p w14:paraId="15C6A3CA" w14:textId="77777777" w:rsidR="00542014" w:rsidRPr="00560CEF" w:rsidRDefault="00542014" w:rsidP="002820CE">
      <w:pPr>
        <w:autoSpaceDE w:val="0"/>
        <w:autoSpaceDN w:val="0"/>
        <w:adjustRightInd w:val="0"/>
        <w:ind w:left="851"/>
        <w:rPr>
          <w:sz w:val="24"/>
          <w:szCs w:val="24"/>
        </w:rPr>
      </w:pPr>
      <w:r w:rsidRPr="00560CEF">
        <w:rPr>
          <w:sz w:val="24"/>
          <w:szCs w:val="24"/>
        </w:rPr>
        <w:t>Axel Heides Gade 1</w:t>
      </w:r>
    </w:p>
    <w:p w14:paraId="00864CC9" w14:textId="77777777" w:rsidR="00542014" w:rsidRPr="00560CEF" w:rsidRDefault="00542014" w:rsidP="002820CE">
      <w:pPr>
        <w:autoSpaceDE w:val="0"/>
        <w:autoSpaceDN w:val="0"/>
        <w:adjustRightInd w:val="0"/>
        <w:ind w:left="851"/>
        <w:rPr>
          <w:sz w:val="24"/>
          <w:szCs w:val="24"/>
        </w:rPr>
      </w:pPr>
      <w:r w:rsidRPr="00560CEF">
        <w:rPr>
          <w:sz w:val="24"/>
          <w:szCs w:val="24"/>
        </w:rPr>
        <w:t>DK-2300 København S</w:t>
      </w:r>
    </w:p>
    <w:p w14:paraId="3B3C6AAD" w14:textId="514DDA4E" w:rsidR="00542014" w:rsidRPr="00560CEF" w:rsidRDefault="00542014" w:rsidP="002820CE">
      <w:pPr>
        <w:autoSpaceDE w:val="0"/>
        <w:autoSpaceDN w:val="0"/>
        <w:adjustRightInd w:val="0"/>
        <w:ind w:left="851"/>
        <w:rPr>
          <w:noProof/>
          <w:sz w:val="24"/>
          <w:szCs w:val="24"/>
        </w:rPr>
      </w:pPr>
      <w:r w:rsidRPr="00560CEF">
        <w:rPr>
          <w:sz w:val="24"/>
          <w:szCs w:val="24"/>
        </w:rPr>
        <w:t xml:space="preserve">Websted: </w:t>
      </w:r>
      <w:r w:rsidRPr="00DB45F8">
        <w:rPr>
          <w:sz w:val="24"/>
          <w:szCs w:val="24"/>
        </w:rPr>
        <w:t>www.meldenbivirkning.dk</w:t>
      </w:r>
      <w:r w:rsidRPr="00560CEF">
        <w:rPr>
          <w:sz w:val="24"/>
          <w:szCs w:val="24"/>
        </w:rPr>
        <w:t xml:space="preserve"> </w:t>
      </w:r>
    </w:p>
    <w:p w14:paraId="59EB78D7" w14:textId="77777777" w:rsidR="009260DE" w:rsidRPr="00560CEF" w:rsidRDefault="009260DE" w:rsidP="009260DE">
      <w:pPr>
        <w:pStyle w:val="Sidehoved"/>
        <w:tabs>
          <w:tab w:val="left" w:pos="851"/>
        </w:tabs>
        <w:ind w:left="851"/>
        <w:rPr>
          <w:szCs w:val="24"/>
        </w:rPr>
      </w:pPr>
    </w:p>
    <w:p w14:paraId="3987AE71" w14:textId="77777777" w:rsidR="009260DE" w:rsidRPr="00560CEF" w:rsidRDefault="009260DE" w:rsidP="009260DE">
      <w:pPr>
        <w:tabs>
          <w:tab w:val="left" w:pos="851"/>
        </w:tabs>
        <w:ind w:left="851" w:hanging="851"/>
        <w:rPr>
          <w:b/>
          <w:sz w:val="24"/>
          <w:szCs w:val="24"/>
        </w:rPr>
      </w:pPr>
      <w:r w:rsidRPr="00560CEF">
        <w:rPr>
          <w:b/>
          <w:sz w:val="24"/>
          <w:szCs w:val="24"/>
        </w:rPr>
        <w:t>4.9</w:t>
      </w:r>
      <w:r w:rsidRPr="00560CEF">
        <w:rPr>
          <w:b/>
          <w:sz w:val="24"/>
          <w:szCs w:val="24"/>
        </w:rPr>
        <w:tab/>
        <w:t>Overdosering</w:t>
      </w:r>
    </w:p>
    <w:p w14:paraId="2D4E15E3" w14:textId="77777777" w:rsidR="00542014" w:rsidRPr="00560CEF" w:rsidRDefault="00542014" w:rsidP="002820CE">
      <w:pPr>
        <w:autoSpaceDE w:val="0"/>
        <w:autoSpaceDN w:val="0"/>
        <w:adjustRightInd w:val="0"/>
        <w:ind w:left="851"/>
        <w:rPr>
          <w:noProof/>
          <w:sz w:val="24"/>
          <w:szCs w:val="24"/>
        </w:rPr>
      </w:pPr>
      <w:r w:rsidRPr="00560CEF">
        <w:rPr>
          <w:sz w:val="24"/>
          <w:szCs w:val="24"/>
        </w:rPr>
        <w:t xml:space="preserve">Overdosering af intravenøst </w:t>
      </w:r>
      <w:proofErr w:type="spellStart"/>
      <w:r w:rsidRPr="00560CEF">
        <w:rPr>
          <w:sz w:val="24"/>
          <w:szCs w:val="24"/>
        </w:rPr>
        <w:t>aciclovir</w:t>
      </w:r>
      <w:proofErr w:type="spellEnd"/>
      <w:r w:rsidRPr="00560CEF">
        <w:rPr>
          <w:sz w:val="24"/>
          <w:szCs w:val="24"/>
        </w:rPr>
        <w:t xml:space="preserve"> har medført stigninger i </w:t>
      </w:r>
      <w:proofErr w:type="spellStart"/>
      <w:r w:rsidRPr="00560CEF">
        <w:rPr>
          <w:sz w:val="24"/>
          <w:szCs w:val="24"/>
        </w:rPr>
        <w:t>serumcreatinin</w:t>
      </w:r>
      <w:proofErr w:type="spellEnd"/>
      <w:r w:rsidRPr="00560CEF">
        <w:rPr>
          <w:sz w:val="24"/>
          <w:szCs w:val="24"/>
        </w:rPr>
        <w:t xml:space="preserve">, </w:t>
      </w:r>
      <w:proofErr w:type="spellStart"/>
      <w:r w:rsidRPr="00560CEF">
        <w:rPr>
          <w:sz w:val="24"/>
          <w:szCs w:val="24"/>
        </w:rPr>
        <w:t>blodureanitrogen</w:t>
      </w:r>
      <w:proofErr w:type="spellEnd"/>
      <w:r w:rsidRPr="00560CEF">
        <w:rPr>
          <w:sz w:val="24"/>
          <w:szCs w:val="24"/>
        </w:rPr>
        <w:t xml:space="preserve"> (BUN) og efterfølgende nyresvigt. Neurologiske påvirkninger, herunder forvirring, hallucinationer, agitation, kramper og koma er ligeledes beskrevet i forbindelse med overdosering.</w:t>
      </w:r>
    </w:p>
    <w:p w14:paraId="27AA61A2" w14:textId="77777777" w:rsidR="00542014" w:rsidRPr="00560CEF" w:rsidRDefault="00542014" w:rsidP="002820CE">
      <w:pPr>
        <w:autoSpaceDE w:val="0"/>
        <w:autoSpaceDN w:val="0"/>
        <w:adjustRightInd w:val="0"/>
        <w:ind w:left="851"/>
        <w:rPr>
          <w:noProof/>
          <w:sz w:val="24"/>
          <w:szCs w:val="24"/>
        </w:rPr>
      </w:pPr>
    </w:p>
    <w:p w14:paraId="4E705838" w14:textId="77777777" w:rsidR="00542014" w:rsidRPr="00560CEF" w:rsidRDefault="00542014" w:rsidP="002820CE">
      <w:pPr>
        <w:autoSpaceDE w:val="0"/>
        <w:autoSpaceDN w:val="0"/>
        <w:adjustRightInd w:val="0"/>
        <w:ind w:left="851"/>
        <w:rPr>
          <w:sz w:val="24"/>
          <w:szCs w:val="24"/>
        </w:rPr>
      </w:pPr>
      <w:r w:rsidRPr="00560CEF">
        <w:rPr>
          <w:sz w:val="24"/>
          <w:szCs w:val="24"/>
        </w:rPr>
        <w:t xml:space="preserve">Patienter skal overvåges nøje for tegn på toksicitet. Hæmodialyse øger markant fjernelsen af </w:t>
      </w:r>
      <w:proofErr w:type="spellStart"/>
      <w:r w:rsidRPr="00560CEF">
        <w:rPr>
          <w:sz w:val="24"/>
          <w:szCs w:val="24"/>
        </w:rPr>
        <w:t>aciclovir</w:t>
      </w:r>
      <w:proofErr w:type="spellEnd"/>
      <w:r w:rsidRPr="00560CEF">
        <w:rPr>
          <w:sz w:val="24"/>
          <w:szCs w:val="24"/>
        </w:rPr>
        <w:t xml:space="preserve"> fra blodet og det skal derfor betragtes som en behandlingsmulighed i forbindelse med overdosering af dette lægemiddel.</w:t>
      </w:r>
    </w:p>
    <w:p w14:paraId="07DF7753" w14:textId="77777777" w:rsidR="009260DE" w:rsidRPr="00560CEF" w:rsidRDefault="009260DE" w:rsidP="009260DE">
      <w:pPr>
        <w:tabs>
          <w:tab w:val="left" w:pos="851"/>
        </w:tabs>
        <w:ind w:left="851"/>
        <w:rPr>
          <w:sz w:val="24"/>
          <w:szCs w:val="24"/>
        </w:rPr>
      </w:pPr>
    </w:p>
    <w:p w14:paraId="22F1697F" w14:textId="77777777" w:rsidR="009260DE" w:rsidRPr="00560CEF" w:rsidRDefault="009260DE" w:rsidP="009260DE">
      <w:pPr>
        <w:tabs>
          <w:tab w:val="left" w:pos="851"/>
        </w:tabs>
        <w:ind w:left="851" w:hanging="851"/>
        <w:rPr>
          <w:b/>
          <w:sz w:val="24"/>
          <w:szCs w:val="24"/>
        </w:rPr>
      </w:pPr>
      <w:r w:rsidRPr="00560CEF">
        <w:rPr>
          <w:b/>
          <w:sz w:val="24"/>
          <w:szCs w:val="24"/>
        </w:rPr>
        <w:t>4.10</w:t>
      </w:r>
      <w:r w:rsidRPr="00560CEF">
        <w:rPr>
          <w:b/>
          <w:sz w:val="24"/>
          <w:szCs w:val="24"/>
        </w:rPr>
        <w:tab/>
        <w:t>Udlevering</w:t>
      </w:r>
    </w:p>
    <w:p w14:paraId="2268E569" w14:textId="454F42AD" w:rsidR="009260DE" w:rsidRPr="00560CEF" w:rsidRDefault="00BE4750" w:rsidP="009260DE">
      <w:pPr>
        <w:tabs>
          <w:tab w:val="left" w:pos="851"/>
        </w:tabs>
        <w:ind w:left="851"/>
        <w:rPr>
          <w:sz w:val="24"/>
          <w:szCs w:val="24"/>
        </w:rPr>
      </w:pPr>
      <w:r w:rsidRPr="00560CEF">
        <w:rPr>
          <w:sz w:val="24"/>
          <w:szCs w:val="24"/>
        </w:rPr>
        <w:t>B</w:t>
      </w:r>
    </w:p>
    <w:p w14:paraId="2D35B06E" w14:textId="77777777" w:rsidR="009260DE" w:rsidRPr="00560CEF" w:rsidRDefault="009260DE" w:rsidP="009260DE">
      <w:pPr>
        <w:tabs>
          <w:tab w:val="left" w:pos="851"/>
        </w:tabs>
        <w:ind w:left="851"/>
        <w:rPr>
          <w:sz w:val="24"/>
          <w:szCs w:val="24"/>
        </w:rPr>
      </w:pPr>
    </w:p>
    <w:p w14:paraId="7FBE4A24" w14:textId="77777777" w:rsidR="009260DE" w:rsidRPr="00560CEF" w:rsidRDefault="009260DE" w:rsidP="009260DE">
      <w:pPr>
        <w:tabs>
          <w:tab w:val="left" w:pos="851"/>
        </w:tabs>
        <w:ind w:left="851"/>
        <w:rPr>
          <w:sz w:val="24"/>
          <w:szCs w:val="24"/>
        </w:rPr>
      </w:pPr>
    </w:p>
    <w:p w14:paraId="2D4ADD66" w14:textId="11F8B881" w:rsidR="00542014" w:rsidRPr="00560CEF" w:rsidRDefault="009260DE" w:rsidP="000C59C6">
      <w:pPr>
        <w:tabs>
          <w:tab w:val="left" w:pos="851"/>
        </w:tabs>
        <w:ind w:left="851" w:hanging="851"/>
        <w:rPr>
          <w:sz w:val="24"/>
          <w:szCs w:val="24"/>
          <w:lang w:eastAsia="da-DK"/>
        </w:rPr>
      </w:pPr>
      <w:r w:rsidRPr="00560CEF">
        <w:rPr>
          <w:b/>
          <w:sz w:val="24"/>
          <w:szCs w:val="24"/>
        </w:rPr>
        <w:t>5.</w:t>
      </w:r>
      <w:r w:rsidRPr="00560CEF">
        <w:rPr>
          <w:b/>
          <w:sz w:val="24"/>
          <w:szCs w:val="24"/>
        </w:rPr>
        <w:tab/>
        <w:t>FARMAKOLOGISKE EGENSKABER</w:t>
      </w:r>
    </w:p>
    <w:p w14:paraId="4146485D" w14:textId="77777777" w:rsidR="009260DE" w:rsidRPr="00560CEF" w:rsidRDefault="009260DE" w:rsidP="009260DE">
      <w:pPr>
        <w:tabs>
          <w:tab w:val="left" w:pos="851"/>
        </w:tabs>
        <w:ind w:left="851"/>
        <w:rPr>
          <w:sz w:val="24"/>
          <w:szCs w:val="24"/>
        </w:rPr>
      </w:pPr>
    </w:p>
    <w:p w14:paraId="4052F239" w14:textId="77777777" w:rsidR="009260DE" w:rsidRPr="00560CEF" w:rsidRDefault="009260DE" w:rsidP="009260DE">
      <w:pPr>
        <w:tabs>
          <w:tab w:val="num" w:pos="851"/>
        </w:tabs>
        <w:ind w:left="851" w:hanging="851"/>
        <w:rPr>
          <w:b/>
          <w:sz w:val="24"/>
          <w:szCs w:val="24"/>
        </w:rPr>
      </w:pPr>
      <w:r w:rsidRPr="00560CEF">
        <w:rPr>
          <w:b/>
          <w:sz w:val="24"/>
          <w:szCs w:val="24"/>
        </w:rPr>
        <w:t>5.1</w:t>
      </w:r>
      <w:r w:rsidRPr="00560CEF">
        <w:rPr>
          <w:b/>
          <w:sz w:val="24"/>
          <w:szCs w:val="24"/>
        </w:rPr>
        <w:tab/>
      </w:r>
      <w:proofErr w:type="spellStart"/>
      <w:r w:rsidRPr="00560CEF">
        <w:rPr>
          <w:b/>
          <w:sz w:val="24"/>
          <w:szCs w:val="24"/>
        </w:rPr>
        <w:t>Farmakodynamiske</w:t>
      </w:r>
      <w:proofErr w:type="spellEnd"/>
      <w:r w:rsidRPr="00560CEF">
        <w:rPr>
          <w:b/>
          <w:sz w:val="24"/>
          <w:szCs w:val="24"/>
        </w:rPr>
        <w:t xml:space="preserve"> egenskaber</w:t>
      </w:r>
    </w:p>
    <w:p w14:paraId="5751AAEE" w14:textId="34626EFD" w:rsidR="000C59C6" w:rsidRDefault="000C59C6" w:rsidP="002820CE">
      <w:pPr>
        <w:autoSpaceDE w:val="0"/>
        <w:autoSpaceDN w:val="0"/>
        <w:adjustRightInd w:val="0"/>
        <w:ind w:left="851"/>
        <w:rPr>
          <w:sz w:val="24"/>
          <w:szCs w:val="24"/>
        </w:rPr>
      </w:pPr>
      <w:proofErr w:type="spellStart"/>
      <w:r>
        <w:rPr>
          <w:sz w:val="24"/>
          <w:szCs w:val="24"/>
        </w:rPr>
        <w:t>Farmakoterapeutisk</w:t>
      </w:r>
      <w:proofErr w:type="spellEnd"/>
      <w:r>
        <w:rPr>
          <w:sz w:val="24"/>
          <w:szCs w:val="24"/>
        </w:rPr>
        <w:t xml:space="preserve"> klassifikation:</w:t>
      </w:r>
      <w:r w:rsidRPr="000C59C6">
        <w:t xml:space="preserve"> </w:t>
      </w:r>
      <w:r w:rsidRPr="000C59C6">
        <w:rPr>
          <w:sz w:val="24"/>
          <w:szCs w:val="24"/>
        </w:rPr>
        <w:t xml:space="preserve">Direkte virkende antivirale midler. </w:t>
      </w:r>
      <w:proofErr w:type="spellStart"/>
      <w:r w:rsidRPr="000C59C6">
        <w:rPr>
          <w:sz w:val="24"/>
          <w:szCs w:val="24"/>
        </w:rPr>
        <w:t>Nucleosider</w:t>
      </w:r>
      <w:proofErr w:type="spellEnd"/>
      <w:r w:rsidRPr="000C59C6">
        <w:rPr>
          <w:sz w:val="24"/>
          <w:szCs w:val="24"/>
        </w:rPr>
        <w:t xml:space="preserve"> og </w:t>
      </w:r>
      <w:proofErr w:type="spellStart"/>
      <w:r w:rsidRPr="000C59C6">
        <w:rPr>
          <w:sz w:val="24"/>
          <w:szCs w:val="24"/>
        </w:rPr>
        <w:t>nucleotider</w:t>
      </w:r>
      <w:proofErr w:type="spellEnd"/>
      <w:r w:rsidRPr="000C59C6">
        <w:rPr>
          <w:sz w:val="24"/>
          <w:szCs w:val="24"/>
        </w:rPr>
        <w:t xml:space="preserve"> </w:t>
      </w:r>
      <w:proofErr w:type="spellStart"/>
      <w:r w:rsidRPr="000C59C6">
        <w:rPr>
          <w:sz w:val="24"/>
          <w:szCs w:val="24"/>
        </w:rPr>
        <w:t>excl</w:t>
      </w:r>
      <w:proofErr w:type="spellEnd"/>
      <w:r w:rsidRPr="000C59C6">
        <w:rPr>
          <w:sz w:val="24"/>
          <w:szCs w:val="24"/>
        </w:rPr>
        <w:t xml:space="preserve">. revers </w:t>
      </w:r>
      <w:proofErr w:type="spellStart"/>
      <w:r w:rsidRPr="000C59C6">
        <w:rPr>
          <w:sz w:val="24"/>
          <w:szCs w:val="24"/>
        </w:rPr>
        <w:t>transcriptase-hæmmere</w:t>
      </w:r>
      <w:proofErr w:type="spellEnd"/>
      <w:r>
        <w:rPr>
          <w:sz w:val="24"/>
          <w:szCs w:val="24"/>
        </w:rPr>
        <w:t xml:space="preserve">, </w:t>
      </w:r>
      <w:r w:rsidRPr="00560CEF">
        <w:rPr>
          <w:sz w:val="24"/>
          <w:szCs w:val="24"/>
        </w:rPr>
        <w:t>ATC-kode: J05AB01</w:t>
      </w:r>
      <w:r>
        <w:rPr>
          <w:sz w:val="24"/>
          <w:szCs w:val="24"/>
        </w:rPr>
        <w:t>.</w:t>
      </w:r>
    </w:p>
    <w:p w14:paraId="78793024" w14:textId="5E394D27" w:rsidR="00542014" w:rsidRPr="00560CEF" w:rsidRDefault="00272715" w:rsidP="002820CE">
      <w:pPr>
        <w:autoSpaceDE w:val="0"/>
        <w:autoSpaceDN w:val="0"/>
        <w:adjustRightInd w:val="0"/>
        <w:ind w:left="851"/>
        <w:rPr>
          <w:sz w:val="24"/>
          <w:szCs w:val="24"/>
        </w:rPr>
      </w:pPr>
      <w:r>
        <w:rPr>
          <w:sz w:val="24"/>
          <w:szCs w:val="24"/>
        </w:rPr>
        <w:br/>
      </w:r>
      <w:r w:rsidRPr="00272715">
        <w:rPr>
          <w:sz w:val="24"/>
          <w:szCs w:val="24"/>
          <w:u w:val="single"/>
        </w:rPr>
        <w:t>Virkningsmekanisme</w:t>
      </w:r>
      <w:r>
        <w:rPr>
          <w:sz w:val="24"/>
          <w:szCs w:val="24"/>
        </w:rPr>
        <w:br/>
      </w:r>
      <w:proofErr w:type="spellStart"/>
      <w:r w:rsidR="00542014" w:rsidRPr="00560CEF">
        <w:rPr>
          <w:sz w:val="24"/>
          <w:szCs w:val="24"/>
        </w:rPr>
        <w:t>Aciclovir</w:t>
      </w:r>
      <w:proofErr w:type="spellEnd"/>
      <w:r w:rsidR="00542014" w:rsidRPr="00560CEF">
        <w:rPr>
          <w:sz w:val="24"/>
          <w:szCs w:val="24"/>
        </w:rPr>
        <w:t xml:space="preserve"> er en syntetisk </w:t>
      </w:r>
      <w:proofErr w:type="spellStart"/>
      <w:r w:rsidR="00542014" w:rsidRPr="00560CEF">
        <w:rPr>
          <w:sz w:val="24"/>
          <w:szCs w:val="24"/>
        </w:rPr>
        <w:t>purinukleosid</w:t>
      </w:r>
      <w:proofErr w:type="spellEnd"/>
      <w:r w:rsidR="00542014" w:rsidRPr="00560CEF">
        <w:rPr>
          <w:sz w:val="24"/>
          <w:szCs w:val="24"/>
        </w:rPr>
        <w:t xml:space="preserve">-analog med </w:t>
      </w:r>
      <w:r w:rsidR="00542014" w:rsidRPr="00560CEF">
        <w:rPr>
          <w:i/>
          <w:iCs/>
          <w:sz w:val="24"/>
          <w:szCs w:val="24"/>
        </w:rPr>
        <w:t xml:space="preserve">in </w:t>
      </w:r>
      <w:proofErr w:type="spellStart"/>
      <w:r w:rsidR="00542014" w:rsidRPr="00560CEF">
        <w:rPr>
          <w:i/>
          <w:iCs/>
          <w:sz w:val="24"/>
          <w:szCs w:val="24"/>
        </w:rPr>
        <w:t>vitro</w:t>
      </w:r>
      <w:proofErr w:type="spellEnd"/>
      <w:r w:rsidR="00542014" w:rsidRPr="00560CEF">
        <w:rPr>
          <w:sz w:val="24"/>
          <w:szCs w:val="24"/>
        </w:rPr>
        <w:t xml:space="preserve"> og </w:t>
      </w:r>
      <w:r w:rsidR="00542014" w:rsidRPr="00560CEF">
        <w:rPr>
          <w:i/>
          <w:iCs/>
          <w:sz w:val="24"/>
          <w:szCs w:val="24"/>
        </w:rPr>
        <w:t xml:space="preserve">in </w:t>
      </w:r>
      <w:proofErr w:type="spellStart"/>
      <w:r w:rsidR="00542014" w:rsidRPr="00560CEF">
        <w:rPr>
          <w:i/>
          <w:iCs/>
          <w:sz w:val="24"/>
          <w:szCs w:val="24"/>
        </w:rPr>
        <w:t>vivo</w:t>
      </w:r>
      <w:proofErr w:type="spellEnd"/>
      <w:r w:rsidR="00542014" w:rsidRPr="00560CEF">
        <w:rPr>
          <w:sz w:val="24"/>
          <w:szCs w:val="24"/>
        </w:rPr>
        <w:t xml:space="preserve"> hæmmende aktivitet over for humane herpesvira, inklusive herpes </w:t>
      </w:r>
      <w:proofErr w:type="spellStart"/>
      <w:r w:rsidR="00542014" w:rsidRPr="00560CEF">
        <w:rPr>
          <w:sz w:val="24"/>
          <w:szCs w:val="24"/>
        </w:rPr>
        <w:t>simplex</w:t>
      </w:r>
      <w:proofErr w:type="spellEnd"/>
      <w:r w:rsidR="00542014" w:rsidRPr="00560CEF">
        <w:rPr>
          <w:sz w:val="24"/>
          <w:szCs w:val="24"/>
        </w:rPr>
        <w:t xml:space="preserve">-virus type 1 og 2 og </w:t>
      </w:r>
      <w:proofErr w:type="spellStart"/>
      <w:r w:rsidR="00542014" w:rsidRPr="00560CEF">
        <w:rPr>
          <w:sz w:val="24"/>
          <w:szCs w:val="24"/>
        </w:rPr>
        <w:t>varicella</w:t>
      </w:r>
      <w:proofErr w:type="spellEnd"/>
      <w:r w:rsidR="00542014" w:rsidRPr="00560CEF">
        <w:rPr>
          <w:sz w:val="24"/>
          <w:szCs w:val="24"/>
        </w:rPr>
        <w:t xml:space="preserve"> </w:t>
      </w:r>
      <w:proofErr w:type="spellStart"/>
      <w:r w:rsidR="00542014" w:rsidRPr="00560CEF">
        <w:rPr>
          <w:sz w:val="24"/>
          <w:szCs w:val="24"/>
        </w:rPr>
        <w:t>zoster</w:t>
      </w:r>
      <w:proofErr w:type="spellEnd"/>
      <w:r w:rsidR="00542014" w:rsidRPr="00560CEF">
        <w:rPr>
          <w:sz w:val="24"/>
          <w:szCs w:val="24"/>
        </w:rPr>
        <w:t xml:space="preserve">-virus (VZV), </w:t>
      </w:r>
      <w:proofErr w:type="spellStart"/>
      <w:r w:rsidR="00542014" w:rsidRPr="00560CEF">
        <w:rPr>
          <w:sz w:val="24"/>
          <w:szCs w:val="24"/>
        </w:rPr>
        <w:t>Epstein</w:t>
      </w:r>
      <w:proofErr w:type="spellEnd"/>
      <w:r w:rsidR="00542014" w:rsidRPr="00560CEF">
        <w:rPr>
          <w:sz w:val="24"/>
          <w:szCs w:val="24"/>
        </w:rPr>
        <w:t xml:space="preserve"> Barr virus (EBV) og </w:t>
      </w:r>
      <w:proofErr w:type="spellStart"/>
      <w:r w:rsidR="00542014" w:rsidRPr="00560CEF">
        <w:rPr>
          <w:sz w:val="24"/>
          <w:szCs w:val="24"/>
        </w:rPr>
        <w:t>cytomegalovirus</w:t>
      </w:r>
      <w:proofErr w:type="spellEnd"/>
      <w:r w:rsidR="00542014" w:rsidRPr="00560CEF">
        <w:rPr>
          <w:sz w:val="24"/>
          <w:szCs w:val="24"/>
        </w:rPr>
        <w:t xml:space="preserve"> (CMV). Ved celledyrkning har </w:t>
      </w:r>
      <w:proofErr w:type="spellStart"/>
      <w:r w:rsidR="00542014" w:rsidRPr="00560CEF">
        <w:rPr>
          <w:sz w:val="24"/>
          <w:szCs w:val="24"/>
        </w:rPr>
        <w:t>aciclovir</w:t>
      </w:r>
      <w:proofErr w:type="spellEnd"/>
      <w:r w:rsidR="00542014" w:rsidRPr="00560CEF">
        <w:rPr>
          <w:sz w:val="24"/>
          <w:szCs w:val="24"/>
        </w:rPr>
        <w:t xml:space="preserve"> den største antivirale aktivitet over for HSV-1, efterfulgt (i faldende grad af potens) af HSV-2, VZV, EBV og CMV.</w:t>
      </w:r>
    </w:p>
    <w:p w14:paraId="5C38D55B" w14:textId="77777777" w:rsidR="00542014" w:rsidRPr="00560CEF" w:rsidRDefault="00542014" w:rsidP="002820CE">
      <w:pPr>
        <w:autoSpaceDE w:val="0"/>
        <w:autoSpaceDN w:val="0"/>
        <w:adjustRightInd w:val="0"/>
        <w:ind w:left="851"/>
        <w:rPr>
          <w:sz w:val="24"/>
          <w:szCs w:val="24"/>
        </w:rPr>
      </w:pPr>
    </w:p>
    <w:p w14:paraId="0B5DDCB4" w14:textId="25B3AC86" w:rsidR="00542014" w:rsidRDefault="00542014" w:rsidP="002820CE">
      <w:pPr>
        <w:autoSpaceDE w:val="0"/>
        <w:autoSpaceDN w:val="0"/>
        <w:adjustRightInd w:val="0"/>
        <w:ind w:left="851"/>
        <w:rPr>
          <w:sz w:val="24"/>
          <w:szCs w:val="24"/>
        </w:rPr>
      </w:pPr>
      <w:proofErr w:type="spellStart"/>
      <w:r w:rsidRPr="00560CEF">
        <w:rPr>
          <w:sz w:val="24"/>
          <w:szCs w:val="24"/>
        </w:rPr>
        <w:lastRenderedPageBreak/>
        <w:t>Aciclovirs</w:t>
      </w:r>
      <w:proofErr w:type="spellEnd"/>
      <w:r w:rsidRPr="00560CEF">
        <w:rPr>
          <w:sz w:val="24"/>
          <w:szCs w:val="24"/>
        </w:rPr>
        <w:t xml:space="preserve"> hæmmende aktivitet over for HSV-1, HSV-2, VZV og EBV er yderst selektiv. Enzymet </w:t>
      </w:r>
      <w:proofErr w:type="spellStart"/>
      <w:r w:rsidRPr="00560CEF">
        <w:rPr>
          <w:sz w:val="24"/>
          <w:szCs w:val="24"/>
        </w:rPr>
        <w:t>thymidinkinase</w:t>
      </w:r>
      <w:proofErr w:type="spellEnd"/>
      <w:r w:rsidRPr="00560CEF">
        <w:rPr>
          <w:sz w:val="24"/>
          <w:szCs w:val="24"/>
        </w:rPr>
        <w:t xml:space="preserve"> (TK) i normale, </w:t>
      </w:r>
      <w:proofErr w:type="spellStart"/>
      <w:r w:rsidRPr="00560CEF">
        <w:rPr>
          <w:sz w:val="24"/>
          <w:szCs w:val="24"/>
        </w:rPr>
        <w:t>uinficerede</w:t>
      </w:r>
      <w:proofErr w:type="spellEnd"/>
      <w:r w:rsidRPr="00560CEF">
        <w:rPr>
          <w:sz w:val="24"/>
          <w:szCs w:val="24"/>
        </w:rPr>
        <w:t xml:space="preserve"> celler anvender ikke </w:t>
      </w:r>
      <w:proofErr w:type="spellStart"/>
      <w:r w:rsidRPr="00560CEF">
        <w:rPr>
          <w:sz w:val="24"/>
          <w:szCs w:val="24"/>
        </w:rPr>
        <w:t>aciclovir</w:t>
      </w:r>
      <w:proofErr w:type="spellEnd"/>
      <w:r w:rsidRPr="00560CEF">
        <w:rPr>
          <w:sz w:val="24"/>
          <w:szCs w:val="24"/>
        </w:rPr>
        <w:t xml:space="preserve"> effektivt som et substrat, hvorfor toksicitet over for værtsceller hos pattedyr er lav; TK kodet med HSV, VZV og EBV konverterer dog </w:t>
      </w:r>
      <w:proofErr w:type="spellStart"/>
      <w:r w:rsidRPr="00560CEF">
        <w:rPr>
          <w:sz w:val="24"/>
          <w:szCs w:val="24"/>
        </w:rPr>
        <w:t>aciclovir</w:t>
      </w:r>
      <w:proofErr w:type="spellEnd"/>
      <w:r w:rsidRPr="00560CEF">
        <w:rPr>
          <w:sz w:val="24"/>
          <w:szCs w:val="24"/>
        </w:rPr>
        <w:t xml:space="preserve"> til </w:t>
      </w:r>
      <w:proofErr w:type="spellStart"/>
      <w:r w:rsidRPr="00560CEF">
        <w:rPr>
          <w:sz w:val="24"/>
          <w:szCs w:val="24"/>
        </w:rPr>
        <w:t>aciclovirmonofosfat</w:t>
      </w:r>
      <w:proofErr w:type="spellEnd"/>
      <w:r w:rsidRPr="00560CEF">
        <w:rPr>
          <w:sz w:val="24"/>
          <w:szCs w:val="24"/>
        </w:rPr>
        <w:t xml:space="preserve">, en </w:t>
      </w:r>
      <w:proofErr w:type="spellStart"/>
      <w:r w:rsidRPr="00560CEF">
        <w:rPr>
          <w:sz w:val="24"/>
          <w:szCs w:val="24"/>
        </w:rPr>
        <w:t>nukleosid</w:t>
      </w:r>
      <w:proofErr w:type="spellEnd"/>
      <w:r w:rsidRPr="00560CEF">
        <w:rPr>
          <w:sz w:val="24"/>
          <w:szCs w:val="24"/>
        </w:rPr>
        <w:t xml:space="preserve">-analog, som yderligere konverteres til </w:t>
      </w:r>
      <w:proofErr w:type="spellStart"/>
      <w:r w:rsidRPr="00560CEF">
        <w:rPr>
          <w:sz w:val="24"/>
          <w:szCs w:val="24"/>
        </w:rPr>
        <w:t>difosfat</w:t>
      </w:r>
      <w:proofErr w:type="spellEnd"/>
      <w:r w:rsidRPr="00560CEF">
        <w:rPr>
          <w:sz w:val="24"/>
          <w:szCs w:val="24"/>
        </w:rPr>
        <w:t xml:space="preserve"> og endelig til trifosfat af cellulære enzymer. </w:t>
      </w:r>
      <w:proofErr w:type="spellStart"/>
      <w:r w:rsidRPr="00560CEF">
        <w:rPr>
          <w:sz w:val="24"/>
          <w:szCs w:val="24"/>
        </w:rPr>
        <w:t>Aciclovirtrifosfat</w:t>
      </w:r>
      <w:proofErr w:type="spellEnd"/>
      <w:r w:rsidRPr="00560CEF">
        <w:rPr>
          <w:sz w:val="24"/>
          <w:szCs w:val="24"/>
        </w:rPr>
        <w:t xml:space="preserve"> forstyrrer aktiviteten i DNA-polymerase og hæmmer replikationen af viral DNA ved at blive inkorporeret i det virale DNA, hvilket resulterer i </w:t>
      </w:r>
      <w:proofErr w:type="spellStart"/>
      <w:r w:rsidRPr="00560CEF">
        <w:rPr>
          <w:sz w:val="24"/>
          <w:szCs w:val="24"/>
        </w:rPr>
        <w:t>terminering</w:t>
      </w:r>
      <w:proofErr w:type="spellEnd"/>
      <w:r w:rsidRPr="00560CEF">
        <w:rPr>
          <w:sz w:val="24"/>
          <w:szCs w:val="24"/>
        </w:rPr>
        <w:t xml:space="preserve"> af den virale DNA-kæde.</w:t>
      </w:r>
    </w:p>
    <w:p w14:paraId="78EE5C21" w14:textId="77777777" w:rsidR="000C59C6" w:rsidRDefault="000C59C6" w:rsidP="002820CE">
      <w:pPr>
        <w:autoSpaceDE w:val="0"/>
        <w:autoSpaceDN w:val="0"/>
        <w:adjustRightInd w:val="0"/>
        <w:ind w:left="851"/>
        <w:rPr>
          <w:sz w:val="24"/>
          <w:szCs w:val="24"/>
        </w:rPr>
      </w:pPr>
    </w:p>
    <w:p w14:paraId="21568D97" w14:textId="77777777" w:rsidR="000C59C6" w:rsidRPr="000C59C6" w:rsidRDefault="000C59C6" w:rsidP="000C59C6">
      <w:pPr>
        <w:autoSpaceDE w:val="0"/>
        <w:autoSpaceDN w:val="0"/>
        <w:adjustRightInd w:val="0"/>
        <w:ind w:left="851"/>
        <w:rPr>
          <w:sz w:val="24"/>
          <w:szCs w:val="22"/>
        </w:rPr>
      </w:pPr>
      <w:r w:rsidRPr="000C59C6">
        <w:rPr>
          <w:sz w:val="24"/>
          <w:szCs w:val="22"/>
        </w:rPr>
        <w:t>Resistensmekanisme</w:t>
      </w:r>
    </w:p>
    <w:p w14:paraId="10829F51" w14:textId="77777777" w:rsidR="000C59C6" w:rsidRPr="000C59C6" w:rsidRDefault="000C59C6" w:rsidP="000C59C6">
      <w:pPr>
        <w:autoSpaceDE w:val="0"/>
        <w:autoSpaceDN w:val="0"/>
        <w:adjustRightInd w:val="0"/>
        <w:ind w:left="851"/>
        <w:rPr>
          <w:sz w:val="24"/>
          <w:szCs w:val="22"/>
        </w:rPr>
      </w:pPr>
      <w:r w:rsidRPr="000C59C6">
        <w:rPr>
          <w:sz w:val="24"/>
          <w:szCs w:val="22"/>
        </w:rPr>
        <w:t>Resistens skyldes sædvanligvis en TK-</w:t>
      </w:r>
      <w:proofErr w:type="spellStart"/>
      <w:r w:rsidRPr="000C59C6">
        <w:rPr>
          <w:sz w:val="24"/>
          <w:szCs w:val="22"/>
        </w:rPr>
        <w:t>deficient</w:t>
      </w:r>
      <w:proofErr w:type="spellEnd"/>
      <w:r w:rsidRPr="000C59C6">
        <w:rPr>
          <w:sz w:val="24"/>
          <w:szCs w:val="22"/>
        </w:rPr>
        <w:t xml:space="preserve"> fænotype, men der har også været rapporter om ændringer i viral TK eller viral DNA-polymerase.</w:t>
      </w:r>
    </w:p>
    <w:p w14:paraId="7E26A882" w14:textId="77777777" w:rsidR="000C59C6" w:rsidRPr="000C59C6" w:rsidRDefault="000C59C6" w:rsidP="000C59C6">
      <w:pPr>
        <w:autoSpaceDE w:val="0"/>
        <w:autoSpaceDN w:val="0"/>
        <w:adjustRightInd w:val="0"/>
        <w:rPr>
          <w:sz w:val="24"/>
          <w:szCs w:val="22"/>
        </w:rPr>
      </w:pPr>
    </w:p>
    <w:p w14:paraId="2C1B8B5F" w14:textId="77777777" w:rsidR="000C59C6" w:rsidRPr="000C59C6" w:rsidRDefault="000C59C6" w:rsidP="000C59C6">
      <w:pPr>
        <w:autoSpaceDE w:val="0"/>
        <w:autoSpaceDN w:val="0"/>
        <w:adjustRightInd w:val="0"/>
        <w:ind w:left="851"/>
        <w:rPr>
          <w:sz w:val="24"/>
          <w:szCs w:val="22"/>
        </w:rPr>
      </w:pPr>
      <w:r w:rsidRPr="000C59C6">
        <w:rPr>
          <w:sz w:val="24"/>
          <w:szCs w:val="22"/>
        </w:rPr>
        <w:t>Følsomhed</w:t>
      </w:r>
    </w:p>
    <w:p w14:paraId="37BE9700" w14:textId="77777777" w:rsidR="000C59C6" w:rsidRPr="000C59C6" w:rsidRDefault="000C59C6" w:rsidP="000C59C6">
      <w:pPr>
        <w:autoSpaceDE w:val="0"/>
        <w:autoSpaceDN w:val="0"/>
        <w:adjustRightInd w:val="0"/>
        <w:ind w:left="851"/>
        <w:rPr>
          <w:sz w:val="24"/>
          <w:szCs w:val="22"/>
        </w:rPr>
      </w:pPr>
      <w:r w:rsidRPr="000C59C6">
        <w:rPr>
          <w:sz w:val="24"/>
          <w:szCs w:val="22"/>
        </w:rPr>
        <w:t xml:space="preserve">Længerevarende eller gentagne behandlingsforløb med </w:t>
      </w:r>
      <w:proofErr w:type="spellStart"/>
      <w:r w:rsidRPr="000C59C6">
        <w:rPr>
          <w:sz w:val="24"/>
          <w:szCs w:val="22"/>
        </w:rPr>
        <w:t>aciclovir</w:t>
      </w:r>
      <w:proofErr w:type="spellEnd"/>
      <w:r w:rsidRPr="000C59C6">
        <w:rPr>
          <w:sz w:val="24"/>
          <w:szCs w:val="22"/>
        </w:rPr>
        <w:t xml:space="preserve"> hos svært immunkompromitterede patienter kan føre til selektion af virus med nedsat følsomhed, som ikke længere responderer på behandling med </w:t>
      </w:r>
      <w:proofErr w:type="spellStart"/>
      <w:r w:rsidRPr="000C59C6">
        <w:rPr>
          <w:sz w:val="24"/>
        </w:rPr>
        <w:t>aciclovir</w:t>
      </w:r>
      <w:proofErr w:type="spellEnd"/>
      <w:r w:rsidRPr="000C59C6">
        <w:rPr>
          <w:sz w:val="24"/>
          <w:szCs w:val="22"/>
        </w:rPr>
        <w:t xml:space="preserve">. In </w:t>
      </w:r>
      <w:proofErr w:type="spellStart"/>
      <w:r w:rsidRPr="000C59C6">
        <w:rPr>
          <w:sz w:val="24"/>
          <w:szCs w:val="22"/>
        </w:rPr>
        <w:t>vitro</w:t>
      </w:r>
      <w:proofErr w:type="spellEnd"/>
      <w:r w:rsidRPr="000C59C6">
        <w:rPr>
          <w:sz w:val="24"/>
          <w:szCs w:val="22"/>
        </w:rPr>
        <w:t xml:space="preserve">-eksponering af herpes </w:t>
      </w:r>
      <w:proofErr w:type="spellStart"/>
      <w:r w:rsidRPr="000C59C6">
        <w:rPr>
          <w:sz w:val="24"/>
          <w:szCs w:val="22"/>
        </w:rPr>
        <w:t>simplex</w:t>
      </w:r>
      <w:proofErr w:type="spellEnd"/>
      <w:r w:rsidRPr="000C59C6">
        <w:rPr>
          <w:sz w:val="24"/>
          <w:szCs w:val="22"/>
        </w:rPr>
        <w:t xml:space="preserve">- virus for </w:t>
      </w:r>
      <w:proofErr w:type="spellStart"/>
      <w:r w:rsidRPr="000C59C6">
        <w:rPr>
          <w:sz w:val="24"/>
        </w:rPr>
        <w:t>aciclovir</w:t>
      </w:r>
      <w:proofErr w:type="spellEnd"/>
      <w:r w:rsidRPr="000C59C6">
        <w:rPr>
          <w:sz w:val="24"/>
          <w:szCs w:val="22"/>
        </w:rPr>
        <w:t xml:space="preserve"> kan også føre til fremkomst af mindre følsomme stammer. Forholdet mellem in </w:t>
      </w:r>
      <w:proofErr w:type="spellStart"/>
      <w:r w:rsidRPr="000C59C6">
        <w:rPr>
          <w:sz w:val="24"/>
          <w:szCs w:val="22"/>
        </w:rPr>
        <w:t>vitro</w:t>
      </w:r>
      <w:proofErr w:type="spellEnd"/>
      <w:r w:rsidRPr="000C59C6">
        <w:rPr>
          <w:sz w:val="24"/>
          <w:szCs w:val="22"/>
        </w:rPr>
        <w:t>-følsomhed af HSV-</w:t>
      </w:r>
      <w:proofErr w:type="spellStart"/>
      <w:r w:rsidRPr="000C59C6">
        <w:rPr>
          <w:sz w:val="24"/>
          <w:szCs w:val="22"/>
        </w:rPr>
        <w:t>isolater</w:t>
      </w:r>
      <w:proofErr w:type="spellEnd"/>
      <w:r w:rsidRPr="000C59C6">
        <w:rPr>
          <w:sz w:val="24"/>
          <w:szCs w:val="22"/>
        </w:rPr>
        <w:t xml:space="preserve"> og klinisk respons på behandling med </w:t>
      </w:r>
      <w:proofErr w:type="spellStart"/>
      <w:r w:rsidRPr="000C59C6">
        <w:rPr>
          <w:sz w:val="24"/>
        </w:rPr>
        <w:t>aciclovir</w:t>
      </w:r>
      <w:proofErr w:type="spellEnd"/>
      <w:r w:rsidRPr="000C59C6">
        <w:rPr>
          <w:sz w:val="24"/>
          <w:szCs w:val="22"/>
        </w:rPr>
        <w:t xml:space="preserve"> er ikke klarlagt.</w:t>
      </w:r>
    </w:p>
    <w:p w14:paraId="6BEAB29F" w14:textId="77777777" w:rsidR="009260DE" w:rsidRPr="00560CEF" w:rsidRDefault="009260DE" w:rsidP="000C59C6">
      <w:pPr>
        <w:tabs>
          <w:tab w:val="left" w:pos="851"/>
        </w:tabs>
        <w:rPr>
          <w:sz w:val="24"/>
          <w:szCs w:val="24"/>
        </w:rPr>
      </w:pPr>
    </w:p>
    <w:p w14:paraId="25D37559" w14:textId="77777777" w:rsidR="009260DE" w:rsidRPr="00560CEF" w:rsidRDefault="009260DE" w:rsidP="009260DE">
      <w:pPr>
        <w:tabs>
          <w:tab w:val="left" w:pos="851"/>
        </w:tabs>
        <w:ind w:left="851" w:hanging="851"/>
        <w:rPr>
          <w:b/>
          <w:sz w:val="24"/>
          <w:szCs w:val="24"/>
        </w:rPr>
      </w:pPr>
      <w:r w:rsidRPr="00560CEF">
        <w:rPr>
          <w:b/>
          <w:sz w:val="24"/>
          <w:szCs w:val="24"/>
        </w:rPr>
        <w:t>5.2</w:t>
      </w:r>
      <w:r w:rsidRPr="00560CEF">
        <w:rPr>
          <w:b/>
          <w:sz w:val="24"/>
          <w:szCs w:val="24"/>
        </w:rPr>
        <w:tab/>
      </w:r>
      <w:proofErr w:type="spellStart"/>
      <w:r w:rsidRPr="00560CEF">
        <w:rPr>
          <w:b/>
          <w:sz w:val="24"/>
          <w:szCs w:val="24"/>
        </w:rPr>
        <w:t>Farmakokinetiske</w:t>
      </w:r>
      <w:proofErr w:type="spellEnd"/>
      <w:r w:rsidRPr="00560CEF">
        <w:rPr>
          <w:b/>
          <w:sz w:val="24"/>
          <w:szCs w:val="24"/>
        </w:rPr>
        <w:t xml:space="preserve"> egenskaber</w:t>
      </w:r>
    </w:p>
    <w:p w14:paraId="40BA43C5" w14:textId="77777777" w:rsidR="009504B9" w:rsidRDefault="009504B9" w:rsidP="002820CE">
      <w:pPr>
        <w:autoSpaceDE w:val="0"/>
        <w:autoSpaceDN w:val="0"/>
        <w:adjustRightInd w:val="0"/>
        <w:ind w:left="851"/>
        <w:rPr>
          <w:sz w:val="24"/>
          <w:szCs w:val="24"/>
          <w:u w:val="single"/>
        </w:rPr>
      </w:pPr>
    </w:p>
    <w:p w14:paraId="065FD7EA" w14:textId="77777777" w:rsidR="00272715" w:rsidRPr="00560CEF" w:rsidRDefault="00272715" w:rsidP="00272715">
      <w:pPr>
        <w:autoSpaceDE w:val="0"/>
        <w:autoSpaceDN w:val="0"/>
        <w:adjustRightInd w:val="0"/>
        <w:ind w:left="851"/>
        <w:rPr>
          <w:sz w:val="24"/>
          <w:szCs w:val="24"/>
          <w:u w:val="single"/>
        </w:rPr>
      </w:pPr>
      <w:r w:rsidRPr="00560CEF">
        <w:rPr>
          <w:sz w:val="24"/>
          <w:szCs w:val="24"/>
          <w:u w:val="single"/>
        </w:rPr>
        <w:t>Absorption</w:t>
      </w:r>
    </w:p>
    <w:p w14:paraId="25EAE57B" w14:textId="77777777" w:rsidR="00272715" w:rsidRPr="005E68EA" w:rsidRDefault="00272715" w:rsidP="00272715">
      <w:pPr>
        <w:numPr>
          <w:ilvl w:val="12"/>
          <w:numId w:val="0"/>
        </w:numPr>
        <w:ind w:left="851" w:right="-2"/>
        <w:rPr>
          <w:sz w:val="24"/>
          <w:szCs w:val="24"/>
        </w:rPr>
      </w:pPr>
      <w:r w:rsidRPr="005E68EA">
        <w:rPr>
          <w:sz w:val="24"/>
          <w:szCs w:val="24"/>
        </w:rPr>
        <w:t xml:space="preserve">Hos voksne var gennemsnitlige </w:t>
      </w:r>
      <w:proofErr w:type="spellStart"/>
      <w:r w:rsidRPr="00903B12">
        <w:rPr>
          <w:i/>
          <w:iCs/>
          <w:sz w:val="24"/>
          <w:szCs w:val="24"/>
        </w:rPr>
        <w:t>steady</w:t>
      </w:r>
      <w:proofErr w:type="spellEnd"/>
      <w:r w:rsidRPr="00903B12">
        <w:rPr>
          <w:i/>
          <w:iCs/>
          <w:sz w:val="24"/>
          <w:szCs w:val="24"/>
        </w:rPr>
        <w:t xml:space="preserve"> </w:t>
      </w:r>
      <w:proofErr w:type="spellStart"/>
      <w:r w:rsidRPr="00903B12">
        <w:rPr>
          <w:i/>
          <w:iCs/>
          <w:sz w:val="24"/>
          <w:szCs w:val="24"/>
        </w:rPr>
        <w:t>state</w:t>
      </w:r>
      <w:proofErr w:type="spellEnd"/>
      <w:r w:rsidRPr="00903B12">
        <w:rPr>
          <w:sz w:val="24"/>
          <w:szCs w:val="24"/>
        </w:rPr>
        <w:t xml:space="preserve"> maksimal plasmakoncentration (</w:t>
      </w:r>
      <w:proofErr w:type="spellStart"/>
      <w:r w:rsidRPr="00903B12">
        <w:rPr>
          <w:sz w:val="24"/>
          <w:szCs w:val="24"/>
        </w:rPr>
        <w:t>C</w:t>
      </w:r>
      <w:r w:rsidRPr="00903B12">
        <w:rPr>
          <w:sz w:val="24"/>
          <w:szCs w:val="24"/>
          <w:vertAlign w:val="superscript"/>
        </w:rPr>
        <w:t>ss</w:t>
      </w:r>
      <w:r w:rsidRPr="00903B12">
        <w:rPr>
          <w:sz w:val="24"/>
          <w:szCs w:val="24"/>
          <w:vertAlign w:val="subscript"/>
        </w:rPr>
        <w:t>max</w:t>
      </w:r>
      <w:proofErr w:type="spellEnd"/>
      <w:r w:rsidRPr="00903B12">
        <w:rPr>
          <w:sz w:val="24"/>
          <w:szCs w:val="24"/>
        </w:rPr>
        <w:t xml:space="preserve">) efter 1 times infusion af </w:t>
      </w:r>
      <w:r w:rsidRPr="005E68EA">
        <w:rPr>
          <w:sz w:val="24"/>
          <w:szCs w:val="24"/>
        </w:rPr>
        <w:t xml:space="preserve">2,5 mg/kg, 5 mg/kg, 10 mg/kg og 15 mg/kg 22,7 mikromolær (5,1 mikrogram/ml), 43,6 mikromolær (9,8 mikrogram/ml), hhv. 92 mikromolær (20,7 mikrogram/ml) og 105 mikromolær (23,6 mikrogram/ml). De tilsvarende </w:t>
      </w:r>
      <w:r w:rsidRPr="00903B12">
        <w:rPr>
          <w:sz w:val="24"/>
          <w:szCs w:val="24"/>
        </w:rPr>
        <w:t>dalkoncentrationer (</w:t>
      </w:r>
      <w:proofErr w:type="spellStart"/>
      <w:r w:rsidRPr="00903B12">
        <w:rPr>
          <w:sz w:val="24"/>
          <w:szCs w:val="24"/>
        </w:rPr>
        <w:t>C</w:t>
      </w:r>
      <w:r w:rsidRPr="00903B12">
        <w:rPr>
          <w:sz w:val="24"/>
          <w:szCs w:val="24"/>
          <w:vertAlign w:val="superscript"/>
        </w:rPr>
        <w:t>ss</w:t>
      </w:r>
      <w:r w:rsidRPr="00903B12">
        <w:rPr>
          <w:sz w:val="24"/>
          <w:szCs w:val="24"/>
          <w:vertAlign w:val="subscript"/>
        </w:rPr>
        <w:t>min</w:t>
      </w:r>
      <w:proofErr w:type="spellEnd"/>
      <w:r w:rsidRPr="00903B12">
        <w:rPr>
          <w:sz w:val="24"/>
          <w:szCs w:val="24"/>
        </w:rPr>
        <w:t xml:space="preserve">) </w:t>
      </w:r>
      <w:r w:rsidRPr="005E68EA">
        <w:rPr>
          <w:sz w:val="24"/>
          <w:szCs w:val="24"/>
        </w:rPr>
        <w:t xml:space="preserve">7 timer senere var hhv. 2,2 mikromolær (0,5 mikrogram/ml), 3,1 mikromolær (0,7 mikrogram/ml), 10,2 mikromolær (2,3 mikrogram/ml) og 8,8 mikromolær (2,0 mikrogram/ml). Hos børn over 1 år blev der observeret tilsvarende gennemsnitlige </w:t>
      </w:r>
      <w:r w:rsidRPr="00903B12">
        <w:rPr>
          <w:sz w:val="24"/>
          <w:szCs w:val="24"/>
        </w:rPr>
        <w:t>maksimale kon</w:t>
      </w:r>
      <w:r w:rsidRPr="00903B12">
        <w:rPr>
          <w:sz w:val="24"/>
          <w:szCs w:val="24"/>
        </w:rPr>
        <w:softHyphen/>
        <w:t>centrationer (</w:t>
      </w:r>
      <w:proofErr w:type="spellStart"/>
      <w:r w:rsidRPr="00903B12">
        <w:rPr>
          <w:sz w:val="24"/>
          <w:szCs w:val="24"/>
        </w:rPr>
        <w:t>C</w:t>
      </w:r>
      <w:r w:rsidRPr="00903B12">
        <w:rPr>
          <w:sz w:val="24"/>
          <w:szCs w:val="24"/>
          <w:vertAlign w:val="superscript"/>
        </w:rPr>
        <w:t>ss</w:t>
      </w:r>
      <w:r w:rsidRPr="00903B12">
        <w:rPr>
          <w:sz w:val="24"/>
          <w:szCs w:val="24"/>
          <w:vertAlign w:val="subscript"/>
        </w:rPr>
        <w:t>max</w:t>
      </w:r>
      <w:proofErr w:type="spellEnd"/>
      <w:r w:rsidRPr="00903B12">
        <w:rPr>
          <w:sz w:val="24"/>
          <w:szCs w:val="24"/>
        </w:rPr>
        <w:t>) og dalkoncentrationer (</w:t>
      </w:r>
      <w:proofErr w:type="spellStart"/>
      <w:r w:rsidRPr="00903B12">
        <w:rPr>
          <w:sz w:val="24"/>
          <w:szCs w:val="24"/>
        </w:rPr>
        <w:t>C</w:t>
      </w:r>
      <w:r w:rsidRPr="00903B12">
        <w:rPr>
          <w:sz w:val="24"/>
          <w:szCs w:val="24"/>
          <w:vertAlign w:val="superscript"/>
        </w:rPr>
        <w:t>ss</w:t>
      </w:r>
      <w:r w:rsidRPr="00903B12">
        <w:rPr>
          <w:sz w:val="24"/>
          <w:szCs w:val="24"/>
          <w:vertAlign w:val="subscript"/>
        </w:rPr>
        <w:t>min</w:t>
      </w:r>
      <w:proofErr w:type="spellEnd"/>
      <w:r w:rsidRPr="00903B12">
        <w:rPr>
          <w:sz w:val="24"/>
          <w:szCs w:val="24"/>
        </w:rPr>
        <w:t>)</w:t>
      </w:r>
      <w:r w:rsidRPr="005E68EA">
        <w:rPr>
          <w:sz w:val="24"/>
          <w:szCs w:val="24"/>
        </w:rPr>
        <w:t>, når en dosis på 250 mg/m</w:t>
      </w:r>
      <w:r w:rsidRPr="00903B12">
        <w:rPr>
          <w:sz w:val="24"/>
          <w:szCs w:val="24"/>
          <w:vertAlign w:val="superscript"/>
        </w:rPr>
        <w:t>2</w:t>
      </w:r>
      <w:r w:rsidRPr="005E68EA">
        <w:rPr>
          <w:sz w:val="24"/>
          <w:szCs w:val="24"/>
        </w:rPr>
        <w:t xml:space="preserve"> blev erstattet med 5 mg/kg og en dosis på 500 mg/m</w:t>
      </w:r>
      <w:r w:rsidRPr="00903B12">
        <w:rPr>
          <w:sz w:val="24"/>
          <w:szCs w:val="24"/>
          <w:vertAlign w:val="superscript"/>
        </w:rPr>
        <w:t>2</w:t>
      </w:r>
      <w:r w:rsidRPr="005E68EA">
        <w:rPr>
          <w:sz w:val="24"/>
          <w:szCs w:val="24"/>
        </w:rPr>
        <w:t xml:space="preserve"> blev erstattet af 10 mg/kg. Hos nyfødte (0-3 måneders alderen) behandlet med doser på 10 mg/kg administreret ved infusion over en periode på 1 time hver 8. time blev </w:t>
      </w:r>
      <w:proofErr w:type="spellStart"/>
      <w:r w:rsidRPr="00903B12">
        <w:rPr>
          <w:sz w:val="24"/>
          <w:szCs w:val="24"/>
        </w:rPr>
        <w:t>C</w:t>
      </w:r>
      <w:r w:rsidRPr="00903B12">
        <w:rPr>
          <w:sz w:val="24"/>
          <w:szCs w:val="24"/>
          <w:vertAlign w:val="superscript"/>
        </w:rPr>
        <w:t>ss</w:t>
      </w:r>
      <w:r w:rsidRPr="00903B12">
        <w:rPr>
          <w:sz w:val="24"/>
          <w:szCs w:val="24"/>
          <w:vertAlign w:val="subscript"/>
        </w:rPr>
        <w:t>max</w:t>
      </w:r>
      <w:proofErr w:type="spellEnd"/>
      <w:r w:rsidRPr="005E68EA">
        <w:rPr>
          <w:sz w:val="24"/>
          <w:szCs w:val="24"/>
        </w:rPr>
        <w:t xml:space="preserve"> fundet at være 61,2 mikromolær (13,8 mikrogram/ml) og </w:t>
      </w:r>
      <w:proofErr w:type="spellStart"/>
      <w:r w:rsidRPr="00903B12">
        <w:rPr>
          <w:sz w:val="24"/>
          <w:szCs w:val="24"/>
        </w:rPr>
        <w:t>C</w:t>
      </w:r>
      <w:r w:rsidRPr="00903B12">
        <w:rPr>
          <w:sz w:val="24"/>
          <w:szCs w:val="24"/>
          <w:vertAlign w:val="superscript"/>
        </w:rPr>
        <w:t>ss</w:t>
      </w:r>
      <w:r w:rsidRPr="00903B12">
        <w:rPr>
          <w:sz w:val="24"/>
          <w:szCs w:val="24"/>
          <w:vertAlign w:val="subscript"/>
        </w:rPr>
        <w:t>min</w:t>
      </w:r>
      <w:proofErr w:type="spellEnd"/>
      <w:r w:rsidRPr="005E68EA">
        <w:rPr>
          <w:sz w:val="24"/>
          <w:szCs w:val="24"/>
        </w:rPr>
        <w:t xml:space="preserve"> at være 10,1 mikromolær (2,3 mikrogram/ml). En separat gruppe af nyfødte behandlet med 15 mg/kg hver 8. time viste næsten dosisproportionale stigninger med en </w:t>
      </w:r>
      <w:proofErr w:type="spellStart"/>
      <w:r w:rsidRPr="00903B12">
        <w:rPr>
          <w:sz w:val="24"/>
          <w:szCs w:val="24"/>
        </w:rPr>
        <w:t>C</w:t>
      </w:r>
      <w:r w:rsidRPr="00903B12">
        <w:rPr>
          <w:sz w:val="24"/>
          <w:szCs w:val="24"/>
          <w:vertAlign w:val="subscript"/>
        </w:rPr>
        <w:t>max</w:t>
      </w:r>
      <w:proofErr w:type="spellEnd"/>
      <w:r w:rsidRPr="005E68EA">
        <w:rPr>
          <w:sz w:val="24"/>
          <w:szCs w:val="24"/>
        </w:rPr>
        <w:t xml:space="preserve"> på 83,5 mikromolær (18,8 mikrogram/ml) og </w:t>
      </w:r>
      <w:proofErr w:type="spellStart"/>
      <w:r w:rsidRPr="00903B12">
        <w:rPr>
          <w:sz w:val="24"/>
          <w:szCs w:val="24"/>
        </w:rPr>
        <w:t>C</w:t>
      </w:r>
      <w:r w:rsidRPr="00903B12">
        <w:rPr>
          <w:sz w:val="24"/>
          <w:szCs w:val="24"/>
          <w:vertAlign w:val="subscript"/>
        </w:rPr>
        <w:t>min</w:t>
      </w:r>
      <w:proofErr w:type="spellEnd"/>
      <w:r w:rsidRPr="005E68EA">
        <w:rPr>
          <w:sz w:val="24"/>
          <w:szCs w:val="24"/>
        </w:rPr>
        <w:t xml:space="preserve"> på 14,1 mikromolær (3,2 mikrogram/ml).</w:t>
      </w:r>
    </w:p>
    <w:p w14:paraId="3F725F5F" w14:textId="77777777" w:rsidR="00272715" w:rsidRPr="001C6FDB" w:rsidRDefault="00272715" w:rsidP="00272715">
      <w:pPr>
        <w:numPr>
          <w:ilvl w:val="12"/>
          <w:numId w:val="0"/>
        </w:numPr>
        <w:ind w:left="851" w:right="-2"/>
        <w:rPr>
          <w:sz w:val="24"/>
          <w:szCs w:val="24"/>
        </w:rPr>
      </w:pPr>
    </w:p>
    <w:p w14:paraId="21C1A87D" w14:textId="77777777" w:rsidR="00272715" w:rsidRPr="00903B12" w:rsidRDefault="00272715" w:rsidP="00272715">
      <w:pPr>
        <w:numPr>
          <w:ilvl w:val="12"/>
          <w:numId w:val="0"/>
        </w:numPr>
        <w:ind w:left="851" w:right="-2"/>
        <w:rPr>
          <w:sz w:val="24"/>
          <w:szCs w:val="24"/>
          <w:u w:val="single"/>
        </w:rPr>
      </w:pPr>
      <w:r w:rsidRPr="00903B12">
        <w:rPr>
          <w:sz w:val="24"/>
          <w:szCs w:val="24"/>
          <w:u w:val="single"/>
        </w:rPr>
        <w:t>Fordeling</w:t>
      </w:r>
    </w:p>
    <w:p w14:paraId="1D69893F" w14:textId="77777777" w:rsidR="00272715" w:rsidRPr="000D65B5" w:rsidRDefault="00272715" w:rsidP="00272715">
      <w:pPr>
        <w:numPr>
          <w:ilvl w:val="12"/>
          <w:numId w:val="0"/>
        </w:numPr>
        <w:ind w:left="851" w:right="-2"/>
        <w:rPr>
          <w:sz w:val="24"/>
          <w:szCs w:val="24"/>
        </w:rPr>
      </w:pPr>
      <w:r w:rsidRPr="000D65B5">
        <w:rPr>
          <w:sz w:val="24"/>
          <w:szCs w:val="24"/>
        </w:rPr>
        <w:t xml:space="preserve">Det gennemsnitlige fordelingsvolumen på 26 l indikerer, at </w:t>
      </w:r>
      <w:proofErr w:type="spellStart"/>
      <w:r w:rsidRPr="000D65B5">
        <w:rPr>
          <w:sz w:val="24"/>
          <w:szCs w:val="24"/>
        </w:rPr>
        <w:t>aciclovir</w:t>
      </w:r>
      <w:proofErr w:type="spellEnd"/>
      <w:r w:rsidRPr="000D65B5">
        <w:rPr>
          <w:sz w:val="24"/>
          <w:szCs w:val="24"/>
        </w:rPr>
        <w:t xml:space="preserve"> fordeles i hele kropsvandet. Tilsyneladende værdier efter oral administration (</w:t>
      </w:r>
      <w:proofErr w:type="spellStart"/>
      <w:r w:rsidRPr="000D65B5">
        <w:rPr>
          <w:sz w:val="24"/>
          <w:szCs w:val="24"/>
        </w:rPr>
        <w:t>Vd</w:t>
      </w:r>
      <w:proofErr w:type="spellEnd"/>
      <w:r w:rsidRPr="000D65B5">
        <w:rPr>
          <w:sz w:val="24"/>
          <w:szCs w:val="24"/>
        </w:rPr>
        <w:t xml:space="preserve">/F) varierede fra 2,3 til 17,8 l/kg. </w:t>
      </w:r>
      <w:r w:rsidRPr="00903B12">
        <w:rPr>
          <w:sz w:val="24"/>
          <w:szCs w:val="24"/>
        </w:rPr>
        <w:t>Plasmaproteinbinding er relativt lav (9-33</w:t>
      </w:r>
      <w:r>
        <w:rPr>
          <w:sz w:val="24"/>
          <w:szCs w:val="24"/>
        </w:rPr>
        <w:t xml:space="preserve"> </w:t>
      </w:r>
      <w:r w:rsidRPr="00903B12">
        <w:rPr>
          <w:sz w:val="24"/>
          <w:szCs w:val="24"/>
        </w:rPr>
        <w:t xml:space="preserve">%), og </w:t>
      </w:r>
      <w:r>
        <w:rPr>
          <w:sz w:val="24"/>
          <w:szCs w:val="24"/>
        </w:rPr>
        <w:t xml:space="preserve">der forventes ikke </w:t>
      </w:r>
      <w:r w:rsidRPr="00903B12">
        <w:rPr>
          <w:sz w:val="24"/>
          <w:szCs w:val="24"/>
        </w:rPr>
        <w:t>lægemiddelinteraktioner, som involverer fortrængning på bindingsstedet</w:t>
      </w:r>
      <w:r w:rsidRPr="000D65B5">
        <w:rPr>
          <w:sz w:val="24"/>
          <w:szCs w:val="24"/>
        </w:rPr>
        <w:t xml:space="preserve">. </w:t>
      </w:r>
      <w:r w:rsidRPr="00903B12">
        <w:rPr>
          <w:sz w:val="24"/>
          <w:szCs w:val="24"/>
        </w:rPr>
        <w:t>Niveauer i cerebrospinalvæske er cirka 50 % af tilsvarende plasmaniveauer</w:t>
      </w:r>
      <w:r w:rsidRPr="000D65B5">
        <w:rPr>
          <w:sz w:val="24"/>
          <w:szCs w:val="24"/>
        </w:rPr>
        <w:t xml:space="preserve"> ved </w:t>
      </w:r>
      <w:proofErr w:type="spellStart"/>
      <w:r w:rsidRPr="00903B12">
        <w:rPr>
          <w:i/>
          <w:iCs/>
          <w:sz w:val="24"/>
          <w:szCs w:val="24"/>
        </w:rPr>
        <w:t>steady-state</w:t>
      </w:r>
      <w:proofErr w:type="spellEnd"/>
      <w:r w:rsidRPr="000D65B5">
        <w:rPr>
          <w:sz w:val="24"/>
          <w:szCs w:val="24"/>
        </w:rPr>
        <w:t>.</w:t>
      </w:r>
    </w:p>
    <w:p w14:paraId="74C2F473" w14:textId="77777777" w:rsidR="00272715" w:rsidRPr="001C6FDB" w:rsidRDefault="00272715" w:rsidP="00272715">
      <w:pPr>
        <w:numPr>
          <w:ilvl w:val="12"/>
          <w:numId w:val="0"/>
        </w:numPr>
        <w:ind w:left="851" w:right="-2"/>
        <w:rPr>
          <w:sz w:val="24"/>
          <w:szCs w:val="24"/>
        </w:rPr>
      </w:pPr>
    </w:p>
    <w:p w14:paraId="7628D350" w14:textId="77777777" w:rsidR="00272715" w:rsidRPr="00903B12" w:rsidRDefault="00272715" w:rsidP="00272715">
      <w:pPr>
        <w:numPr>
          <w:ilvl w:val="12"/>
          <w:numId w:val="0"/>
        </w:numPr>
        <w:ind w:left="851" w:right="-2"/>
        <w:rPr>
          <w:sz w:val="24"/>
          <w:szCs w:val="24"/>
          <w:u w:val="single"/>
        </w:rPr>
      </w:pPr>
      <w:r w:rsidRPr="00903B12">
        <w:rPr>
          <w:sz w:val="24"/>
          <w:szCs w:val="24"/>
          <w:u w:val="single"/>
        </w:rPr>
        <w:t>Metabolisme</w:t>
      </w:r>
    </w:p>
    <w:p w14:paraId="173FA7DD" w14:textId="77777777" w:rsidR="00272715" w:rsidRPr="001C6FDB" w:rsidRDefault="00272715" w:rsidP="00272715">
      <w:pPr>
        <w:numPr>
          <w:ilvl w:val="12"/>
          <w:numId w:val="0"/>
        </w:numPr>
        <w:ind w:left="851" w:right="-2"/>
        <w:rPr>
          <w:sz w:val="24"/>
          <w:szCs w:val="24"/>
        </w:rPr>
      </w:pPr>
      <w:proofErr w:type="spellStart"/>
      <w:r w:rsidRPr="001C6FDB">
        <w:rPr>
          <w:sz w:val="24"/>
          <w:szCs w:val="24"/>
        </w:rPr>
        <w:t>Aciclovir</w:t>
      </w:r>
      <w:proofErr w:type="spellEnd"/>
      <w:r w:rsidRPr="001C6FDB">
        <w:rPr>
          <w:sz w:val="24"/>
          <w:szCs w:val="24"/>
        </w:rPr>
        <w:t xml:space="preserve"> udskilles overvejende uændret via nyrerne. Den eneste kendte urinmetabolit er 9-carboxymethoxymethylguanin og udgør 10-15 % af den dosis, der udskilles i urinen.</w:t>
      </w:r>
    </w:p>
    <w:p w14:paraId="0017903F" w14:textId="77777777" w:rsidR="00272715" w:rsidRPr="001C6FDB" w:rsidRDefault="00272715" w:rsidP="00272715">
      <w:pPr>
        <w:numPr>
          <w:ilvl w:val="12"/>
          <w:numId w:val="0"/>
        </w:numPr>
        <w:ind w:left="851" w:right="-2"/>
        <w:rPr>
          <w:sz w:val="24"/>
          <w:szCs w:val="24"/>
        </w:rPr>
      </w:pPr>
    </w:p>
    <w:p w14:paraId="230574E4" w14:textId="77777777" w:rsidR="00272715" w:rsidRPr="00903B12" w:rsidRDefault="00272715" w:rsidP="00272715">
      <w:pPr>
        <w:numPr>
          <w:ilvl w:val="12"/>
          <w:numId w:val="0"/>
        </w:numPr>
        <w:ind w:left="851" w:right="-2"/>
        <w:rPr>
          <w:sz w:val="24"/>
          <w:szCs w:val="24"/>
          <w:u w:val="single"/>
        </w:rPr>
      </w:pPr>
      <w:r w:rsidRPr="00903B12">
        <w:rPr>
          <w:sz w:val="24"/>
          <w:szCs w:val="24"/>
          <w:u w:val="single"/>
        </w:rPr>
        <w:lastRenderedPageBreak/>
        <w:t>Elimination</w:t>
      </w:r>
    </w:p>
    <w:p w14:paraId="2362048E" w14:textId="77777777" w:rsidR="00272715" w:rsidRPr="001C6FDB" w:rsidRDefault="00272715" w:rsidP="00272715">
      <w:pPr>
        <w:numPr>
          <w:ilvl w:val="12"/>
          <w:numId w:val="0"/>
        </w:numPr>
        <w:ind w:left="851" w:right="-2"/>
        <w:rPr>
          <w:sz w:val="24"/>
          <w:szCs w:val="24"/>
        </w:rPr>
      </w:pPr>
      <w:r w:rsidRPr="001C6FDB">
        <w:rPr>
          <w:sz w:val="24"/>
          <w:szCs w:val="24"/>
        </w:rPr>
        <w:t xml:space="preserve">Halveringstiden for </w:t>
      </w:r>
      <w:proofErr w:type="spellStart"/>
      <w:r w:rsidRPr="001C6FDB">
        <w:rPr>
          <w:sz w:val="24"/>
          <w:szCs w:val="24"/>
        </w:rPr>
        <w:t>aciclovir</w:t>
      </w:r>
      <w:proofErr w:type="spellEnd"/>
      <w:r w:rsidRPr="001C6FDB">
        <w:rPr>
          <w:sz w:val="24"/>
          <w:szCs w:val="24"/>
        </w:rPr>
        <w:t xml:space="preserve"> hos voksne patienter med normal nyrefunktion er ca. 2,9 timer. Efter intravenøs administration udskilles det meste af lægemidlet uændret </w:t>
      </w:r>
      <w:r>
        <w:rPr>
          <w:sz w:val="24"/>
          <w:szCs w:val="24"/>
        </w:rPr>
        <w:t>i nyrerne</w:t>
      </w:r>
      <w:r w:rsidRPr="001C6FDB">
        <w:rPr>
          <w:sz w:val="24"/>
          <w:szCs w:val="24"/>
        </w:rPr>
        <w:t xml:space="preserve">. </w:t>
      </w:r>
      <w:proofErr w:type="spellStart"/>
      <w:r>
        <w:rPr>
          <w:sz w:val="24"/>
          <w:szCs w:val="24"/>
        </w:rPr>
        <w:t>Aciclovirs</w:t>
      </w:r>
      <w:proofErr w:type="spellEnd"/>
      <w:r>
        <w:rPr>
          <w:sz w:val="24"/>
          <w:szCs w:val="24"/>
        </w:rPr>
        <w:t xml:space="preserve"> </w:t>
      </w:r>
      <w:proofErr w:type="spellStart"/>
      <w:r>
        <w:rPr>
          <w:sz w:val="24"/>
          <w:szCs w:val="24"/>
        </w:rPr>
        <w:t>r</w:t>
      </w:r>
      <w:r w:rsidRPr="001C6FDB">
        <w:rPr>
          <w:sz w:val="24"/>
          <w:szCs w:val="24"/>
        </w:rPr>
        <w:t>enal</w:t>
      </w:r>
      <w:r>
        <w:rPr>
          <w:sz w:val="24"/>
          <w:szCs w:val="24"/>
        </w:rPr>
        <w:t>e</w:t>
      </w:r>
      <w:proofErr w:type="spellEnd"/>
      <w:r w:rsidRPr="001C6FDB">
        <w:rPr>
          <w:sz w:val="24"/>
          <w:szCs w:val="24"/>
        </w:rPr>
        <w:t xml:space="preserve"> </w:t>
      </w:r>
      <w:proofErr w:type="spellStart"/>
      <w:r w:rsidRPr="001C6FDB">
        <w:rPr>
          <w:sz w:val="24"/>
          <w:szCs w:val="24"/>
        </w:rPr>
        <w:t>clearance</w:t>
      </w:r>
      <w:proofErr w:type="spellEnd"/>
      <w:r w:rsidRPr="001C6FDB">
        <w:rPr>
          <w:sz w:val="24"/>
          <w:szCs w:val="24"/>
        </w:rPr>
        <w:t xml:space="preserve"> er væsentligt større end </w:t>
      </w:r>
      <w:proofErr w:type="spellStart"/>
      <w:r w:rsidRPr="001C6FDB">
        <w:rPr>
          <w:sz w:val="24"/>
          <w:szCs w:val="24"/>
        </w:rPr>
        <w:t>kreatininclearance</w:t>
      </w:r>
      <w:r>
        <w:rPr>
          <w:sz w:val="24"/>
          <w:szCs w:val="24"/>
        </w:rPr>
        <w:t>n</w:t>
      </w:r>
      <w:proofErr w:type="spellEnd"/>
      <w:r w:rsidRPr="001C6FDB">
        <w:rPr>
          <w:sz w:val="24"/>
          <w:szCs w:val="24"/>
        </w:rPr>
        <w:t xml:space="preserve">, hvilket indikerer, at </w:t>
      </w:r>
      <w:proofErr w:type="spellStart"/>
      <w:r w:rsidRPr="001C6FDB">
        <w:rPr>
          <w:sz w:val="24"/>
          <w:szCs w:val="24"/>
        </w:rPr>
        <w:t>tubulær</w:t>
      </w:r>
      <w:proofErr w:type="spellEnd"/>
      <w:r w:rsidRPr="001C6FDB">
        <w:rPr>
          <w:sz w:val="24"/>
          <w:szCs w:val="24"/>
        </w:rPr>
        <w:t xml:space="preserve"> sekretion ud over </w:t>
      </w:r>
      <w:proofErr w:type="spellStart"/>
      <w:r w:rsidRPr="001C6FDB">
        <w:rPr>
          <w:sz w:val="24"/>
          <w:szCs w:val="24"/>
        </w:rPr>
        <w:t>glomerulær</w:t>
      </w:r>
      <w:proofErr w:type="spellEnd"/>
      <w:r w:rsidRPr="001C6FDB">
        <w:rPr>
          <w:sz w:val="24"/>
          <w:szCs w:val="24"/>
        </w:rPr>
        <w:t xml:space="preserve"> filtration bidrager til </w:t>
      </w:r>
      <w:proofErr w:type="spellStart"/>
      <w:r w:rsidRPr="001C6FDB">
        <w:rPr>
          <w:sz w:val="24"/>
          <w:szCs w:val="24"/>
        </w:rPr>
        <w:t>renal</w:t>
      </w:r>
      <w:proofErr w:type="spellEnd"/>
      <w:r w:rsidRPr="001C6FDB">
        <w:rPr>
          <w:sz w:val="24"/>
          <w:szCs w:val="24"/>
        </w:rPr>
        <w:t xml:space="preserve"> elimination af lægemidlet. 9-carboxymethoxymethylguanin er den eneste signifikante metabolit af </w:t>
      </w:r>
      <w:proofErr w:type="spellStart"/>
      <w:r w:rsidRPr="001C6FDB">
        <w:rPr>
          <w:sz w:val="24"/>
          <w:szCs w:val="24"/>
        </w:rPr>
        <w:t>aciclovir</w:t>
      </w:r>
      <w:proofErr w:type="spellEnd"/>
      <w:r w:rsidRPr="001C6FDB">
        <w:rPr>
          <w:sz w:val="24"/>
          <w:szCs w:val="24"/>
        </w:rPr>
        <w:t xml:space="preserve"> og tegner sig for 10-15 % af den dosis, der udskilles i urinen.</w:t>
      </w:r>
    </w:p>
    <w:p w14:paraId="025585C5" w14:textId="77777777" w:rsidR="00272715" w:rsidRPr="001C6FDB" w:rsidRDefault="00272715" w:rsidP="00272715">
      <w:pPr>
        <w:numPr>
          <w:ilvl w:val="12"/>
          <w:numId w:val="0"/>
        </w:numPr>
        <w:ind w:left="851" w:right="-2"/>
        <w:rPr>
          <w:sz w:val="24"/>
          <w:szCs w:val="24"/>
        </w:rPr>
      </w:pPr>
    </w:p>
    <w:p w14:paraId="25F9834D" w14:textId="77777777" w:rsidR="00272715" w:rsidRPr="001C6FDB" w:rsidRDefault="00272715" w:rsidP="00272715">
      <w:pPr>
        <w:numPr>
          <w:ilvl w:val="12"/>
          <w:numId w:val="0"/>
        </w:numPr>
        <w:ind w:left="851" w:right="-2"/>
        <w:rPr>
          <w:sz w:val="24"/>
          <w:szCs w:val="24"/>
        </w:rPr>
      </w:pPr>
      <w:r w:rsidRPr="001C6FDB">
        <w:rPr>
          <w:sz w:val="24"/>
          <w:szCs w:val="24"/>
        </w:rPr>
        <w:t>Hos nyfødte (i alderen 0-3 måneder)</w:t>
      </w:r>
      <w:r>
        <w:rPr>
          <w:sz w:val="24"/>
          <w:szCs w:val="24"/>
        </w:rPr>
        <w:t>, der blev</w:t>
      </w:r>
      <w:r w:rsidRPr="001C6FDB">
        <w:rPr>
          <w:sz w:val="24"/>
          <w:szCs w:val="24"/>
        </w:rPr>
        <w:t xml:space="preserve"> behandlet med 10 mg/kg </w:t>
      </w:r>
      <w:proofErr w:type="spellStart"/>
      <w:r w:rsidRPr="001C6FDB">
        <w:rPr>
          <w:sz w:val="24"/>
          <w:szCs w:val="24"/>
        </w:rPr>
        <w:t>aciclovir</w:t>
      </w:r>
      <w:proofErr w:type="spellEnd"/>
      <w:r>
        <w:rPr>
          <w:sz w:val="24"/>
          <w:szCs w:val="24"/>
        </w:rPr>
        <w:t>,</w:t>
      </w:r>
      <w:r w:rsidRPr="001C6FDB">
        <w:rPr>
          <w:sz w:val="24"/>
          <w:szCs w:val="24"/>
        </w:rPr>
        <w:t xml:space="preserve"> var plasmahalveringstiden 3,8 timer.</w:t>
      </w:r>
    </w:p>
    <w:p w14:paraId="702EE54F" w14:textId="77777777" w:rsidR="00272715" w:rsidRPr="001C6FDB" w:rsidRDefault="00272715" w:rsidP="00272715">
      <w:pPr>
        <w:numPr>
          <w:ilvl w:val="12"/>
          <w:numId w:val="0"/>
        </w:numPr>
        <w:ind w:left="851" w:right="-2"/>
        <w:rPr>
          <w:sz w:val="24"/>
          <w:szCs w:val="24"/>
        </w:rPr>
      </w:pPr>
    </w:p>
    <w:p w14:paraId="521FEB5A" w14:textId="77777777" w:rsidR="00272715" w:rsidRPr="00903B12" w:rsidRDefault="00272715" w:rsidP="000C59C6">
      <w:pPr>
        <w:keepNext/>
        <w:numPr>
          <w:ilvl w:val="12"/>
          <w:numId w:val="0"/>
        </w:numPr>
        <w:ind w:left="851" w:right="-2"/>
        <w:rPr>
          <w:sz w:val="24"/>
          <w:szCs w:val="24"/>
          <w:u w:val="single"/>
        </w:rPr>
      </w:pPr>
      <w:r w:rsidRPr="00903B12">
        <w:rPr>
          <w:sz w:val="24"/>
          <w:szCs w:val="24"/>
          <w:u w:val="single"/>
        </w:rPr>
        <w:t>Særlige patientgrupper</w:t>
      </w:r>
    </w:p>
    <w:p w14:paraId="2D94CC04" w14:textId="77777777" w:rsidR="00272715" w:rsidRPr="001C7722" w:rsidRDefault="00272715" w:rsidP="00272715">
      <w:pPr>
        <w:numPr>
          <w:ilvl w:val="12"/>
          <w:numId w:val="0"/>
        </w:numPr>
        <w:ind w:left="851" w:right="-2"/>
        <w:rPr>
          <w:sz w:val="24"/>
          <w:szCs w:val="24"/>
        </w:rPr>
      </w:pPr>
      <w:r w:rsidRPr="001C7722">
        <w:rPr>
          <w:sz w:val="24"/>
          <w:szCs w:val="24"/>
        </w:rPr>
        <w:t xml:space="preserve">Hos ældre falder den totale </w:t>
      </w:r>
      <w:proofErr w:type="spellStart"/>
      <w:r w:rsidRPr="001C7722">
        <w:rPr>
          <w:sz w:val="24"/>
          <w:szCs w:val="24"/>
        </w:rPr>
        <w:t>kropsclearance</w:t>
      </w:r>
      <w:proofErr w:type="spellEnd"/>
      <w:r w:rsidRPr="001C7722">
        <w:rPr>
          <w:sz w:val="24"/>
          <w:szCs w:val="24"/>
        </w:rPr>
        <w:t xml:space="preserve"> med stigende alder og er forbundet med fald i </w:t>
      </w:r>
      <w:proofErr w:type="spellStart"/>
      <w:r w:rsidRPr="001C7722">
        <w:rPr>
          <w:sz w:val="24"/>
          <w:szCs w:val="24"/>
        </w:rPr>
        <w:t>kreatininclearance</w:t>
      </w:r>
      <w:proofErr w:type="spellEnd"/>
      <w:r w:rsidRPr="001C7722">
        <w:rPr>
          <w:sz w:val="24"/>
          <w:szCs w:val="24"/>
        </w:rPr>
        <w:t>, selvom der er ringe ændring i den terminale plasmahalveringstid.</w:t>
      </w:r>
    </w:p>
    <w:p w14:paraId="406373A5" w14:textId="77777777" w:rsidR="00272715" w:rsidRPr="001C7722" w:rsidRDefault="00272715" w:rsidP="00272715">
      <w:pPr>
        <w:numPr>
          <w:ilvl w:val="12"/>
          <w:numId w:val="0"/>
        </w:numPr>
        <w:ind w:left="851" w:right="-2"/>
        <w:rPr>
          <w:sz w:val="24"/>
          <w:szCs w:val="24"/>
        </w:rPr>
      </w:pPr>
    </w:p>
    <w:p w14:paraId="425851A4" w14:textId="77777777" w:rsidR="00272715" w:rsidRPr="001C7722" w:rsidRDefault="00272715" w:rsidP="00272715">
      <w:pPr>
        <w:numPr>
          <w:ilvl w:val="12"/>
          <w:numId w:val="0"/>
        </w:numPr>
        <w:ind w:left="851" w:right="-2"/>
        <w:rPr>
          <w:sz w:val="24"/>
          <w:szCs w:val="24"/>
        </w:rPr>
      </w:pPr>
      <w:r w:rsidRPr="001C7722">
        <w:rPr>
          <w:sz w:val="24"/>
          <w:szCs w:val="24"/>
        </w:rPr>
        <w:t xml:space="preserve">Hos patienter med kronisk nyresvigt blev den gennemsnitlige terminale halveringstid fundet til 19,5 timer. Den gennemsnitlige halveringstid for </w:t>
      </w:r>
      <w:proofErr w:type="spellStart"/>
      <w:r w:rsidRPr="001C7722">
        <w:rPr>
          <w:sz w:val="24"/>
          <w:szCs w:val="24"/>
        </w:rPr>
        <w:t>aciclovir</w:t>
      </w:r>
      <w:proofErr w:type="spellEnd"/>
      <w:r w:rsidRPr="001C7722">
        <w:rPr>
          <w:sz w:val="24"/>
          <w:szCs w:val="24"/>
        </w:rPr>
        <w:t xml:space="preserve"> under hæmodialyse var 5,7 timer. </w:t>
      </w:r>
      <w:proofErr w:type="spellStart"/>
      <w:r>
        <w:rPr>
          <w:sz w:val="24"/>
          <w:szCs w:val="24"/>
        </w:rPr>
        <w:t>Aciclovirs</w:t>
      </w:r>
      <w:proofErr w:type="spellEnd"/>
      <w:r>
        <w:rPr>
          <w:sz w:val="24"/>
          <w:szCs w:val="24"/>
        </w:rPr>
        <w:t xml:space="preserve"> p</w:t>
      </w:r>
      <w:r w:rsidRPr="00903B12">
        <w:rPr>
          <w:sz w:val="24"/>
          <w:szCs w:val="24"/>
        </w:rPr>
        <w:t>lasmakoncen</w:t>
      </w:r>
      <w:r w:rsidRPr="00903B12">
        <w:rPr>
          <w:sz w:val="24"/>
          <w:szCs w:val="24"/>
        </w:rPr>
        <w:softHyphen/>
        <w:t xml:space="preserve">trationer </w:t>
      </w:r>
      <w:r w:rsidRPr="001C7722">
        <w:rPr>
          <w:sz w:val="24"/>
          <w:szCs w:val="24"/>
        </w:rPr>
        <w:t>faldt ca. 60</w:t>
      </w:r>
      <w:r>
        <w:rPr>
          <w:sz w:val="24"/>
          <w:szCs w:val="24"/>
        </w:rPr>
        <w:t xml:space="preserve"> </w:t>
      </w:r>
      <w:r w:rsidRPr="001C7722">
        <w:rPr>
          <w:sz w:val="24"/>
          <w:szCs w:val="24"/>
        </w:rPr>
        <w:t>% under dialyse.</w:t>
      </w:r>
    </w:p>
    <w:p w14:paraId="5140CC1B" w14:textId="77777777" w:rsidR="00272715" w:rsidRDefault="00272715" w:rsidP="00272715">
      <w:pPr>
        <w:numPr>
          <w:ilvl w:val="12"/>
          <w:numId w:val="0"/>
        </w:numPr>
        <w:ind w:left="851" w:right="-2"/>
        <w:rPr>
          <w:sz w:val="24"/>
          <w:szCs w:val="24"/>
        </w:rPr>
      </w:pPr>
    </w:p>
    <w:p w14:paraId="3DE3053F" w14:textId="77777777" w:rsidR="00272715" w:rsidRDefault="00272715" w:rsidP="00272715">
      <w:pPr>
        <w:numPr>
          <w:ilvl w:val="12"/>
          <w:numId w:val="0"/>
        </w:numPr>
        <w:ind w:left="851" w:right="-2"/>
        <w:rPr>
          <w:sz w:val="24"/>
          <w:szCs w:val="24"/>
        </w:rPr>
      </w:pPr>
      <w:r w:rsidRPr="00F401DD">
        <w:rPr>
          <w:sz w:val="24"/>
          <w:szCs w:val="24"/>
        </w:rPr>
        <w:t xml:space="preserve">Overvægtige patienter, </w:t>
      </w:r>
      <w:r>
        <w:rPr>
          <w:sz w:val="24"/>
          <w:szCs w:val="24"/>
        </w:rPr>
        <w:t>der</w:t>
      </w:r>
      <w:r w:rsidRPr="00F401DD">
        <w:rPr>
          <w:sz w:val="24"/>
          <w:szCs w:val="24"/>
        </w:rPr>
        <w:t xml:space="preserve"> fik intravenøse doser af </w:t>
      </w:r>
      <w:proofErr w:type="spellStart"/>
      <w:r w:rsidRPr="00F401DD">
        <w:rPr>
          <w:sz w:val="24"/>
          <w:szCs w:val="24"/>
        </w:rPr>
        <w:t>aciclovir</w:t>
      </w:r>
      <w:proofErr w:type="spellEnd"/>
      <w:r w:rsidRPr="00F401DD">
        <w:rPr>
          <w:sz w:val="24"/>
          <w:szCs w:val="24"/>
        </w:rPr>
        <w:t xml:space="preserve"> baseret på den samlede </w:t>
      </w:r>
      <w:r>
        <w:rPr>
          <w:sz w:val="24"/>
          <w:szCs w:val="24"/>
        </w:rPr>
        <w:t>legem</w:t>
      </w:r>
      <w:r w:rsidRPr="00F401DD">
        <w:rPr>
          <w:sz w:val="24"/>
          <w:szCs w:val="24"/>
        </w:rPr>
        <w:t xml:space="preserve">svægt, havde højere maksimale koncentrationer end patienter med normal </w:t>
      </w:r>
      <w:r>
        <w:rPr>
          <w:sz w:val="24"/>
          <w:szCs w:val="24"/>
        </w:rPr>
        <w:t>legem</w:t>
      </w:r>
      <w:r w:rsidRPr="00F401DD">
        <w:rPr>
          <w:sz w:val="24"/>
          <w:szCs w:val="24"/>
        </w:rPr>
        <w:t xml:space="preserve">svægt, der fik en dosis baseret på den samlede </w:t>
      </w:r>
      <w:r>
        <w:rPr>
          <w:sz w:val="24"/>
          <w:szCs w:val="24"/>
        </w:rPr>
        <w:t>legem</w:t>
      </w:r>
      <w:r w:rsidRPr="00F401DD">
        <w:rPr>
          <w:sz w:val="24"/>
          <w:szCs w:val="24"/>
        </w:rPr>
        <w:t xml:space="preserve">svægt. Hos sygeligt overvægtige patienter (n=7), som fik intravenøse doser af </w:t>
      </w:r>
      <w:proofErr w:type="spellStart"/>
      <w:r w:rsidRPr="00F401DD">
        <w:rPr>
          <w:sz w:val="24"/>
          <w:szCs w:val="24"/>
        </w:rPr>
        <w:t>aciclovir</w:t>
      </w:r>
      <w:proofErr w:type="spellEnd"/>
      <w:r w:rsidRPr="00F401DD">
        <w:rPr>
          <w:sz w:val="24"/>
          <w:szCs w:val="24"/>
        </w:rPr>
        <w:t xml:space="preserve"> baseret på ideel </w:t>
      </w:r>
      <w:r>
        <w:rPr>
          <w:sz w:val="24"/>
          <w:szCs w:val="24"/>
        </w:rPr>
        <w:t>legem</w:t>
      </w:r>
      <w:r w:rsidRPr="00F401DD">
        <w:rPr>
          <w:sz w:val="24"/>
          <w:szCs w:val="24"/>
        </w:rPr>
        <w:t xml:space="preserve">svægt frem for total </w:t>
      </w:r>
      <w:r>
        <w:rPr>
          <w:sz w:val="24"/>
          <w:szCs w:val="24"/>
        </w:rPr>
        <w:t>legem</w:t>
      </w:r>
      <w:r w:rsidRPr="00F401DD">
        <w:rPr>
          <w:sz w:val="24"/>
          <w:szCs w:val="24"/>
        </w:rPr>
        <w:t xml:space="preserve">svægt, var </w:t>
      </w:r>
      <w:r>
        <w:rPr>
          <w:sz w:val="24"/>
          <w:szCs w:val="24"/>
        </w:rPr>
        <w:t xml:space="preserve">maksimale </w:t>
      </w:r>
      <w:r w:rsidRPr="00F401DD">
        <w:rPr>
          <w:sz w:val="24"/>
          <w:szCs w:val="24"/>
        </w:rPr>
        <w:t xml:space="preserve">koncentrationer dog 29,3 % lavere end hos patienter med normal </w:t>
      </w:r>
      <w:r>
        <w:rPr>
          <w:sz w:val="24"/>
          <w:szCs w:val="24"/>
        </w:rPr>
        <w:t>legem</w:t>
      </w:r>
      <w:r w:rsidRPr="00F401DD">
        <w:rPr>
          <w:sz w:val="24"/>
          <w:szCs w:val="24"/>
        </w:rPr>
        <w:t xml:space="preserve">svægt, der fik en dosis baseret på total </w:t>
      </w:r>
      <w:r>
        <w:rPr>
          <w:sz w:val="24"/>
          <w:szCs w:val="24"/>
        </w:rPr>
        <w:t>legem</w:t>
      </w:r>
      <w:r w:rsidRPr="00F401DD">
        <w:rPr>
          <w:sz w:val="24"/>
          <w:szCs w:val="24"/>
        </w:rPr>
        <w:t xml:space="preserve">svægt. Konsekvenserne af de lavere </w:t>
      </w:r>
      <w:r>
        <w:rPr>
          <w:sz w:val="24"/>
          <w:szCs w:val="24"/>
        </w:rPr>
        <w:t xml:space="preserve">maksimale </w:t>
      </w:r>
      <w:r w:rsidRPr="00F401DD">
        <w:rPr>
          <w:sz w:val="24"/>
          <w:szCs w:val="24"/>
        </w:rPr>
        <w:t>koncentrationer med hensyn til effektivitet er ukendte.</w:t>
      </w:r>
    </w:p>
    <w:p w14:paraId="71893D61" w14:textId="77777777" w:rsidR="009260DE" w:rsidRPr="00560CEF" w:rsidRDefault="009260DE" w:rsidP="009260DE">
      <w:pPr>
        <w:tabs>
          <w:tab w:val="left" w:pos="851"/>
        </w:tabs>
        <w:ind w:left="851"/>
        <w:rPr>
          <w:sz w:val="24"/>
          <w:szCs w:val="24"/>
        </w:rPr>
      </w:pPr>
    </w:p>
    <w:p w14:paraId="3904A21B" w14:textId="7701F654" w:rsidR="009260DE" w:rsidRPr="00560CEF" w:rsidRDefault="009260DE" w:rsidP="009260DE">
      <w:pPr>
        <w:tabs>
          <w:tab w:val="left" w:pos="851"/>
        </w:tabs>
        <w:ind w:left="851" w:hanging="851"/>
        <w:rPr>
          <w:b/>
          <w:sz w:val="24"/>
          <w:szCs w:val="24"/>
        </w:rPr>
      </w:pPr>
      <w:r w:rsidRPr="00560CEF">
        <w:rPr>
          <w:b/>
          <w:sz w:val="24"/>
          <w:szCs w:val="24"/>
        </w:rPr>
        <w:t>5.3</w:t>
      </w:r>
      <w:r w:rsidRPr="00560CEF">
        <w:rPr>
          <w:b/>
          <w:sz w:val="24"/>
          <w:szCs w:val="24"/>
        </w:rPr>
        <w:tab/>
      </w:r>
      <w:r w:rsidR="00272715">
        <w:rPr>
          <w:b/>
          <w:sz w:val="24"/>
          <w:szCs w:val="24"/>
        </w:rPr>
        <w:t>Non-</w:t>
      </w:r>
      <w:r w:rsidRPr="00560CEF">
        <w:rPr>
          <w:b/>
          <w:sz w:val="24"/>
          <w:szCs w:val="24"/>
        </w:rPr>
        <w:t>kliniske sikkerhedsdata</w:t>
      </w:r>
    </w:p>
    <w:p w14:paraId="3A55A58C" w14:textId="77777777" w:rsidR="00C82C73" w:rsidRDefault="00C82C73" w:rsidP="002820CE">
      <w:pPr>
        <w:autoSpaceDE w:val="0"/>
        <w:autoSpaceDN w:val="0"/>
        <w:adjustRightInd w:val="0"/>
        <w:ind w:left="851"/>
        <w:rPr>
          <w:sz w:val="24"/>
          <w:szCs w:val="24"/>
          <w:u w:val="single"/>
        </w:rPr>
      </w:pPr>
    </w:p>
    <w:p w14:paraId="7DC584D2" w14:textId="05F24535" w:rsidR="00542014" w:rsidRPr="00560CEF" w:rsidRDefault="00542014" w:rsidP="002820CE">
      <w:pPr>
        <w:autoSpaceDE w:val="0"/>
        <w:autoSpaceDN w:val="0"/>
        <w:adjustRightInd w:val="0"/>
        <w:ind w:left="851"/>
        <w:rPr>
          <w:sz w:val="24"/>
          <w:szCs w:val="24"/>
        </w:rPr>
      </w:pPr>
      <w:proofErr w:type="spellStart"/>
      <w:r w:rsidRPr="00560CEF">
        <w:rPr>
          <w:sz w:val="24"/>
          <w:szCs w:val="24"/>
          <w:u w:val="single"/>
        </w:rPr>
        <w:t>Mutagenicitet</w:t>
      </w:r>
      <w:proofErr w:type="spellEnd"/>
    </w:p>
    <w:p w14:paraId="1D8570FD" w14:textId="77777777" w:rsidR="00542014" w:rsidRPr="00560CEF" w:rsidRDefault="00542014" w:rsidP="002820CE">
      <w:pPr>
        <w:autoSpaceDE w:val="0"/>
        <w:autoSpaceDN w:val="0"/>
        <w:adjustRightInd w:val="0"/>
        <w:ind w:left="851"/>
        <w:rPr>
          <w:sz w:val="24"/>
          <w:szCs w:val="24"/>
        </w:rPr>
      </w:pPr>
      <w:r w:rsidRPr="00560CEF">
        <w:rPr>
          <w:sz w:val="24"/>
          <w:szCs w:val="24"/>
        </w:rPr>
        <w:t xml:space="preserve">Resultaterne af en lang række </w:t>
      </w:r>
      <w:proofErr w:type="spellStart"/>
      <w:r w:rsidRPr="00560CEF">
        <w:rPr>
          <w:sz w:val="24"/>
          <w:szCs w:val="24"/>
        </w:rPr>
        <w:t>mutagenicitetstest</w:t>
      </w:r>
      <w:proofErr w:type="spellEnd"/>
      <w:r w:rsidRPr="00560CEF">
        <w:rPr>
          <w:sz w:val="24"/>
          <w:szCs w:val="24"/>
        </w:rPr>
        <w:t xml:space="preserve"> </w:t>
      </w:r>
      <w:r w:rsidRPr="00560CEF">
        <w:rPr>
          <w:i/>
          <w:iCs/>
          <w:sz w:val="24"/>
          <w:szCs w:val="24"/>
        </w:rPr>
        <w:t xml:space="preserve">in </w:t>
      </w:r>
      <w:proofErr w:type="spellStart"/>
      <w:r w:rsidRPr="00560CEF">
        <w:rPr>
          <w:i/>
          <w:iCs/>
          <w:sz w:val="24"/>
          <w:szCs w:val="24"/>
        </w:rPr>
        <w:t>vitro</w:t>
      </w:r>
      <w:proofErr w:type="spellEnd"/>
      <w:r w:rsidRPr="00560CEF">
        <w:rPr>
          <w:sz w:val="24"/>
          <w:szCs w:val="24"/>
        </w:rPr>
        <w:t xml:space="preserve"> og </w:t>
      </w:r>
      <w:r w:rsidRPr="00560CEF">
        <w:rPr>
          <w:i/>
          <w:iCs/>
          <w:sz w:val="24"/>
          <w:szCs w:val="24"/>
        </w:rPr>
        <w:t xml:space="preserve">in </w:t>
      </w:r>
      <w:proofErr w:type="spellStart"/>
      <w:r w:rsidRPr="00560CEF">
        <w:rPr>
          <w:i/>
          <w:iCs/>
          <w:sz w:val="24"/>
          <w:szCs w:val="24"/>
        </w:rPr>
        <w:t>vivo</w:t>
      </w:r>
      <w:proofErr w:type="spellEnd"/>
      <w:r w:rsidRPr="00560CEF">
        <w:rPr>
          <w:sz w:val="24"/>
          <w:szCs w:val="24"/>
        </w:rPr>
        <w:t xml:space="preserve"> tyder på, at </w:t>
      </w:r>
      <w:proofErr w:type="spellStart"/>
      <w:r w:rsidRPr="00560CEF">
        <w:rPr>
          <w:sz w:val="24"/>
          <w:szCs w:val="24"/>
        </w:rPr>
        <w:t>aciclovir</w:t>
      </w:r>
      <w:proofErr w:type="spellEnd"/>
      <w:r w:rsidRPr="00560CEF">
        <w:rPr>
          <w:sz w:val="24"/>
          <w:szCs w:val="24"/>
        </w:rPr>
        <w:t xml:space="preserve"> sandsynligvis ikke udgør nogen genetisk risiko for mennesker.</w:t>
      </w:r>
    </w:p>
    <w:p w14:paraId="234C67C3" w14:textId="77777777" w:rsidR="00542014" w:rsidRPr="00560CEF" w:rsidRDefault="00542014" w:rsidP="002820CE">
      <w:pPr>
        <w:autoSpaceDE w:val="0"/>
        <w:autoSpaceDN w:val="0"/>
        <w:adjustRightInd w:val="0"/>
        <w:ind w:left="851"/>
        <w:rPr>
          <w:sz w:val="24"/>
          <w:szCs w:val="24"/>
        </w:rPr>
      </w:pPr>
    </w:p>
    <w:p w14:paraId="4535731D" w14:textId="77777777" w:rsidR="00542014" w:rsidRPr="00560CEF" w:rsidRDefault="00542014" w:rsidP="002820CE">
      <w:pPr>
        <w:autoSpaceDE w:val="0"/>
        <w:autoSpaceDN w:val="0"/>
        <w:adjustRightInd w:val="0"/>
        <w:ind w:left="851"/>
        <w:rPr>
          <w:sz w:val="24"/>
          <w:szCs w:val="24"/>
        </w:rPr>
      </w:pPr>
      <w:proofErr w:type="spellStart"/>
      <w:r w:rsidRPr="00560CEF">
        <w:rPr>
          <w:sz w:val="24"/>
          <w:szCs w:val="24"/>
          <w:u w:val="single"/>
        </w:rPr>
        <w:t>Karcinogenicitet</w:t>
      </w:r>
      <w:proofErr w:type="spellEnd"/>
    </w:p>
    <w:p w14:paraId="2E8E001E" w14:textId="77777777" w:rsidR="00542014" w:rsidRPr="00560CEF" w:rsidRDefault="00542014" w:rsidP="002820CE">
      <w:pPr>
        <w:autoSpaceDE w:val="0"/>
        <w:autoSpaceDN w:val="0"/>
        <w:adjustRightInd w:val="0"/>
        <w:ind w:left="851"/>
        <w:rPr>
          <w:sz w:val="24"/>
          <w:szCs w:val="24"/>
        </w:rPr>
      </w:pPr>
      <w:r w:rsidRPr="00560CEF">
        <w:rPr>
          <w:sz w:val="24"/>
          <w:szCs w:val="24"/>
        </w:rPr>
        <w:t xml:space="preserve">Der blev ikke fundet </w:t>
      </w:r>
      <w:proofErr w:type="spellStart"/>
      <w:r w:rsidRPr="00560CEF">
        <w:rPr>
          <w:sz w:val="24"/>
          <w:szCs w:val="24"/>
        </w:rPr>
        <w:t>karcinogene</w:t>
      </w:r>
      <w:proofErr w:type="spellEnd"/>
      <w:r w:rsidRPr="00560CEF">
        <w:rPr>
          <w:sz w:val="24"/>
          <w:szCs w:val="24"/>
        </w:rPr>
        <w:t xml:space="preserve"> virkninger af </w:t>
      </w:r>
      <w:proofErr w:type="spellStart"/>
      <w:r w:rsidRPr="00560CEF">
        <w:rPr>
          <w:sz w:val="24"/>
          <w:szCs w:val="24"/>
        </w:rPr>
        <w:t>aciclovir</w:t>
      </w:r>
      <w:proofErr w:type="spellEnd"/>
      <w:r w:rsidRPr="00560CEF">
        <w:rPr>
          <w:sz w:val="24"/>
          <w:szCs w:val="24"/>
        </w:rPr>
        <w:t xml:space="preserve"> i langtidsundersøgelser på rotter og mus.</w:t>
      </w:r>
    </w:p>
    <w:p w14:paraId="18A75DE9" w14:textId="77777777" w:rsidR="00542014" w:rsidRPr="00560CEF" w:rsidRDefault="00542014" w:rsidP="002820CE">
      <w:pPr>
        <w:autoSpaceDE w:val="0"/>
        <w:autoSpaceDN w:val="0"/>
        <w:adjustRightInd w:val="0"/>
        <w:ind w:left="851"/>
        <w:rPr>
          <w:sz w:val="24"/>
          <w:szCs w:val="24"/>
          <w:u w:val="single"/>
        </w:rPr>
      </w:pPr>
    </w:p>
    <w:p w14:paraId="67CA7368" w14:textId="7F14FE1F" w:rsidR="00542014" w:rsidRPr="00560CEF" w:rsidRDefault="00542014" w:rsidP="002820CE">
      <w:pPr>
        <w:autoSpaceDE w:val="0"/>
        <w:autoSpaceDN w:val="0"/>
        <w:adjustRightInd w:val="0"/>
        <w:ind w:left="851"/>
        <w:rPr>
          <w:sz w:val="24"/>
          <w:szCs w:val="24"/>
        </w:rPr>
      </w:pPr>
      <w:proofErr w:type="spellStart"/>
      <w:r w:rsidRPr="00560CEF">
        <w:rPr>
          <w:sz w:val="24"/>
          <w:szCs w:val="24"/>
          <w:u w:val="single"/>
        </w:rPr>
        <w:t>Teratogenicitet</w:t>
      </w:r>
      <w:proofErr w:type="spellEnd"/>
    </w:p>
    <w:p w14:paraId="5CBA4CB9" w14:textId="77777777" w:rsidR="00542014" w:rsidRPr="00560CEF" w:rsidRDefault="00542014" w:rsidP="002820CE">
      <w:pPr>
        <w:autoSpaceDE w:val="0"/>
        <w:autoSpaceDN w:val="0"/>
        <w:adjustRightInd w:val="0"/>
        <w:ind w:left="851"/>
        <w:rPr>
          <w:sz w:val="24"/>
          <w:szCs w:val="24"/>
        </w:rPr>
      </w:pPr>
      <w:r w:rsidRPr="00560CEF">
        <w:rPr>
          <w:sz w:val="24"/>
          <w:szCs w:val="24"/>
        </w:rPr>
        <w:t xml:space="preserve">Systemisk indgivelse af </w:t>
      </w:r>
      <w:proofErr w:type="spellStart"/>
      <w:r w:rsidRPr="00560CEF">
        <w:rPr>
          <w:sz w:val="24"/>
          <w:szCs w:val="24"/>
        </w:rPr>
        <w:t>aciclovir</w:t>
      </w:r>
      <w:proofErr w:type="spellEnd"/>
      <w:r w:rsidRPr="00560CEF">
        <w:rPr>
          <w:sz w:val="24"/>
          <w:szCs w:val="24"/>
        </w:rPr>
        <w:t xml:space="preserve"> ved internationalt accepterede standardtests frembragte ikke embryotoksiske eller </w:t>
      </w:r>
      <w:proofErr w:type="spellStart"/>
      <w:r w:rsidRPr="00560CEF">
        <w:rPr>
          <w:sz w:val="24"/>
          <w:szCs w:val="24"/>
        </w:rPr>
        <w:t>teratogene</w:t>
      </w:r>
      <w:proofErr w:type="spellEnd"/>
      <w:r w:rsidRPr="00560CEF">
        <w:rPr>
          <w:sz w:val="24"/>
          <w:szCs w:val="24"/>
        </w:rPr>
        <w:t xml:space="preserve"> virkninger på kaniner, rotter eller mus.</w:t>
      </w:r>
    </w:p>
    <w:p w14:paraId="721E3D48" w14:textId="77777777" w:rsidR="00542014" w:rsidRPr="00560CEF" w:rsidRDefault="00542014" w:rsidP="002820CE">
      <w:pPr>
        <w:autoSpaceDE w:val="0"/>
        <w:autoSpaceDN w:val="0"/>
        <w:adjustRightInd w:val="0"/>
        <w:ind w:left="851"/>
        <w:rPr>
          <w:sz w:val="24"/>
          <w:szCs w:val="24"/>
        </w:rPr>
      </w:pPr>
    </w:p>
    <w:p w14:paraId="0D21D876" w14:textId="77777777" w:rsidR="00542014" w:rsidRPr="00560CEF" w:rsidRDefault="00542014" w:rsidP="002820CE">
      <w:pPr>
        <w:autoSpaceDE w:val="0"/>
        <w:autoSpaceDN w:val="0"/>
        <w:adjustRightInd w:val="0"/>
        <w:ind w:left="851"/>
        <w:rPr>
          <w:sz w:val="24"/>
          <w:szCs w:val="24"/>
        </w:rPr>
      </w:pPr>
      <w:r w:rsidRPr="00560CEF">
        <w:rPr>
          <w:sz w:val="24"/>
          <w:szCs w:val="24"/>
        </w:rPr>
        <w:t xml:space="preserve">I en ikke-standard test på rotter ses </w:t>
      </w:r>
      <w:proofErr w:type="spellStart"/>
      <w:r w:rsidRPr="00560CEF">
        <w:rPr>
          <w:sz w:val="24"/>
          <w:szCs w:val="24"/>
        </w:rPr>
        <w:t>føtale</w:t>
      </w:r>
      <w:proofErr w:type="spellEnd"/>
      <w:r w:rsidRPr="00560CEF">
        <w:rPr>
          <w:sz w:val="24"/>
          <w:szCs w:val="24"/>
        </w:rPr>
        <w:t xml:space="preserve"> </w:t>
      </w:r>
      <w:proofErr w:type="spellStart"/>
      <w:r w:rsidRPr="00560CEF">
        <w:rPr>
          <w:sz w:val="24"/>
          <w:szCs w:val="24"/>
        </w:rPr>
        <w:t>abnormaliteter</w:t>
      </w:r>
      <w:proofErr w:type="spellEnd"/>
      <w:r w:rsidRPr="00560CEF">
        <w:rPr>
          <w:sz w:val="24"/>
          <w:szCs w:val="24"/>
        </w:rPr>
        <w:t xml:space="preserve">, men kun efter så høje subkutane doser, at der opstod </w:t>
      </w:r>
      <w:proofErr w:type="spellStart"/>
      <w:r w:rsidRPr="00560CEF">
        <w:rPr>
          <w:sz w:val="24"/>
          <w:szCs w:val="24"/>
        </w:rPr>
        <w:t>maternel</w:t>
      </w:r>
      <w:proofErr w:type="spellEnd"/>
      <w:r w:rsidRPr="00560CEF">
        <w:rPr>
          <w:sz w:val="24"/>
          <w:szCs w:val="24"/>
        </w:rPr>
        <w:t xml:space="preserve"> toksicitet. Den kliniske relevans af disse fund er ukendt.</w:t>
      </w:r>
    </w:p>
    <w:p w14:paraId="6679F085" w14:textId="77777777" w:rsidR="00542014" w:rsidRPr="00560CEF" w:rsidRDefault="00542014" w:rsidP="002820CE">
      <w:pPr>
        <w:autoSpaceDE w:val="0"/>
        <w:autoSpaceDN w:val="0"/>
        <w:adjustRightInd w:val="0"/>
        <w:ind w:left="851"/>
        <w:rPr>
          <w:sz w:val="24"/>
          <w:szCs w:val="24"/>
          <w:u w:val="single"/>
        </w:rPr>
      </w:pPr>
    </w:p>
    <w:p w14:paraId="6F0D0D5C" w14:textId="6365F474" w:rsidR="00542014" w:rsidRPr="00560CEF" w:rsidRDefault="00542014" w:rsidP="002820CE">
      <w:pPr>
        <w:autoSpaceDE w:val="0"/>
        <w:autoSpaceDN w:val="0"/>
        <w:adjustRightInd w:val="0"/>
        <w:ind w:left="851"/>
        <w:rPr>
          <w:sz w:val="24"/>
          <w:szCs w:val="24"/>
        </w:rPr>
      </w:pPr>
      <w:r w:rsidRPr="00560CEF">
        <w:rPr>
          <w:sz w:val="24"/>
          <w:szCs w:val="24"/>
          <w:u w:val="single"/>
        </w:rPr>
        <w:t>Fertilitet</w:t>
      </w:r>
    </w:p>
    <w:p w14:paraId="62C6639A" w14:textId="77777777" w:rsidR="00542014" w:rsidRPr="00560CEF" w:rsidRDefault="00542014" w:rsidP="002820CE">
      <w:pPr>
        <w:autoSpaceDE w:val="0"/>
        <w:autoSpaceDN w:val="0"/>
        <w:adjustRightInd w:val="0"/>
        <w:ind w:left="851"/>
        <w:rPr>
          <w:sz w:val="24"/>
          <w:szCs w:val="24"/>
        </w:rPr>
      </w:pPr>
      <w:r w:rsidRPr="00560CEF">
        <w:rPr>
          <w:sz w:val="24"/>
          <w:szCs w:val="24"/>
        </w:rPr>
        <w:t xml:space="preserve">Hovedsagelig reversible bivirkninger på </w:t>
      </w:r>
      <w:proofErr w:type="spellStart"/>
      <w:r w:rsidRPr="00560CEF">
        <w:rPr>
          <w:sz w:val="24"/>
          <w:szCs w:val="24"/>
        </w:rPr>
        <w:t>spermatogenesen</w:t>
      </w:r>
      <w:proofErr w:type="spellEnd"/>
      <w:r w:rsidRPr="00560CEF">
        <w:rPr>
          <w:sz w:val="24"/>
          <w:szCs w:val="24"/>
        </w:rPr>
        <w:t xml:space="preserve"> i forbindelse med samlet toksicitet hos rotter og hunde er kun blevet indberettet ved </w:t>
      </w:r>
      <w:proofErr w:type="spellStart"/>
      <w:r w:rsidRPr="00560CEF">
        <w:rPr>
          <w:sz w:val="24"/>
          <w:szCs w:val="24"/>
        </w:rPr>
        <w:t>aciclovirdoser</w:t>
      </w:r>
      <w:proofErr w:type="spellEnd"/>
      <w:r w:rsidRPr="00560CEF">
        <w:rPr>
          <w:sz w:val="24"/>
          <w:szCs w:val="24"/>
        </w:rPr>
        <w:t xml:space="preserve">, der langt overskrider dem, der anvendes terapeutisk. To-generationsundersøgelser på mus afslørede ingen virkning af (oralt administreret) </w:t>
      </w:r>
      <w:proofErr w:type="spellStart"/>
      <w:r w:rsidRPr="00560CEF">
        <w:rPr>
          <w:sz w:val="24"/>
          <w:szCs w:val="24"/>
        </w:rPr>
        <w:t>aciclovir</w:t>
      </w:r>
      <w:proofErr w:type="spellEnd"/>
      <w:r w:rsidRPr="00560CEF">
        <w:rPr>
          <w:sz w:val="24"/>
          <w:szCs w:val="24"/>
        </w:rPr>
        <w:t xml:space="preserve"> på fertilitet.</w:t>
      </w:r>
    </w:p>
    <w:p w14:paraId="019DC84F" w14:textId="77777777" w:rsidR="009260DE" w:rsidRPr="00560CEF" w:rsidRDefault="009260DE" w:rsidP="009260DE">
      <w:pPr>
        <w:tabs>
          <w:tab w:val="left" w:pos="851"/>
        </w:tabs>
        <w:ind w:left="851"/>
        <w:rPr>
          <w:sz w:val="24"/>
          <w:szCs w:val="24"/>
        </w:rPr>
      </w:pPr>
    </w:p>
    <w:p w14:paraId="1D1A1D80" w14:textId="77777777" w:rsidR="009260DE" w:rsidRPr="00560CEF" w:rsidRDefault="009260DE" w:rsidP="009260DE">
      <w:pPr>
        <w:tabs>
          <w:tab w:val="left" w:pos="851"/>
        </w:tabs>
        <w:ind w:left="851"/>
        <w:rPr>
          <w:sz w:val="24"/>
          <w:szCs w:val="24"/>
        </w:rPr>
      </w:pPr>
    </w:p>
    <w:p w14:paraId="0DEA74B7" w14:textId="77777777" w:rsidR="009260DE" w:rsidRPr="00560CEF" w:rsidRDefault="009260DE" w:rsidP="009260DE">
      <w:pPr>
        <w:tabs>
          <w:tab w:val="left" w:pos="851"/>
        </w:tabs>
        <w:ind w:left="851" w:hanging="851"/>
        <w:rPr>
          <w:b/>
          <w:sz w:val="24"/>
          <w:szCs w:val="24"/>
        </w:rPr>
      </w:pPr>
      <w:r w:rsidRPr="00560CEF">
        <w:rPr>
          <w:b/>
          <w:sz w:val="24"/>
          <w:szCs w:val="24"/>
        </w:rPr>
        <w:t>6.</w:t>
      </w:r>
      <w:r w:rsidRPr="00560CEF">
        <w:rPr>
          <w:b/>
          <w:sz w:val="24"/>
          <w:szCs w:val="24"/>
        </w:rPr>
        <w:tab/>
        <w:t>FARMACEUTISKE OPLYSNINGER</w:t>
      </w:r>
    </w:p>
    <w:p w14:paraId="768C402B" w14:textId="77777777" w:rsidR="009260DE" w:rsidRPr="00560CEF" w:rsidRDefault="009260DE" w:rsidP="009260DE">
      <w:pPr>
        <w:tabs>
          <w:tab w:val="left" w:pos="851"/>
        </w:tabs>
        <w:ind w:left="851"/>
        <w:rPr>
          <w:sz w:val="24"/>
          <w:szCs w:val="24"/>
        </w:rPr>
      </w:pPr>
    </w:p>
    <w:p w14:paraId="7D86B634" w14:textId="77777777" w:rsidR="009260DE" w:rsidRPr="00560CEF" w:rsidRDefault="009260DE" w:rsidP="009260DE">
      <w:pPr>
        <w:tabs>
          <w:tab w:val="left" w:pos="851"/>
        </w:tabs>
        <w:ind w:left="851" w:hanging="851"/>
        <w:rPr>
          <w:b/>
          <w:sz w:val="24"/>
          <w:szCs w:val="24"/>
        </w:rPr>
      </w:pPr>
      <w:r w:rsidRPr="00560CEF">
        <w:rPr>
          <w:b/>
          <w:sz w:val="24"/>
          <w:szCs w:val="24"/>
        </w:rPr>
        <w:t>6.1</w:t>
      </w:r>
      <w:r w:rsidRPr="00560CEF">
        <w:rPr>
          <w:b/>
          <w:sz w:val="24"/>
          <w:szCs w:val="24"/>
        </w:rPr>
        <w:tab/>
        <w:t>Hjælpestoffer</w:t>
      </w:r>
    </w:p>
    <w:p w14:paraId="25D5EC22" w14:textId="77777777" w:rsidR="00542014" w:rsidRPr="00560CEF" w:rsidRDefault="00542014" w:rsidP="002820CE">
      <w:pPr>
        <w:autoSpaceDE w:val="0"/>
        <w:autoSpaceDN w:val="0"/>
        <w:adjustRightInd w:val="0"/>
        <w:ind w:left="851"/>
        <w:rPr>
          <w:noProof/>
          <w:sz w:val="24"/>
          <w:szCs w:val="24"/>
        </w:rPr>
      </w:pPr>
      <w:r w:rsidRPr="00560CEF">
        <w:rPr>
          <w:sz w:val="24"/>
          <w:szCs w:val="24"/>
        </w:rPr>
        <w:t>Natriumhydroxid (til pH-justering)</w:t>
      </w:r>
    </w:p>
    <w:p w14:paraId="1AD0AD4B" w14:textId="77777777" w:rsidR="00542014" w:rsidRPr="00560CEF" w:rsidRDefault="00542014" w:rsidP="002820CE">
      <w:pPr>
        <w:autoSpaceDE w:val="0"/>
        <w:autoSpaceDN w:val="0"/>
        <w:adjustRightInd w:val="0"/>
        <w:ind w:left="851"/>
        <w:rPr>
          <w:noProof/>
          <w:sz w:val="24"/>
          <w:szCs w:val="24"/>
        </w:rPr>
      </w:pPr>
      <w:r w:rsidRPr="00560CEF">
        <w:rPr>
          <w:sz w:val="24"/>
          <w:szCs w:val="24"/>
        </w:rPr>
        <w:t>Saltsyre, koncentreret (til pH-justering)</w:t>
      </w:r>
    </w:p>
    <w:p w14:paraId="5294E106" w14:textId="77777777" w:rsidR="00542014" w:rsidRPr="00560CEF" w:rsidRDefault="00542014" w:rsidP="002820CE">
      <w:pPr>
        <w:autoSpaceDE w:val="0"/>
        <w:autoSpaceDN w:val="0"/>
        <w:adjustRightInd w:val="0"/>
        <w:ind w:left="851"/>
        <w:rPr>
          <w:noProof/>
          <w:sz w:val="24"/>
          <w:szCs w:val="24"/>
        </w:rPr>
      </w:pPr>
      <w:r w:rsidRPr="00560CEF">
        <w:rPr>
          <w:sz w:val="24"/>
          <w:szCs w:val="24"/>
        </w:rPr>
        <w:t>Vand til injektionsvæsker</w:t>
      </w:r>
    </w:p>
    <w:p w14:paraId="54649528" w14:textId="77777777" w:rsidR="009260DE" w:rsidRPr="00560CEF" w:rsidRDefault="009260DE" w:rsidP="009260DE">
      <w:pPr>
        <w:tabs>
          <w:tab w:val="left" w:pos="851"/>
        </w:tabs>
        <w:ind w:left="851"/>
        <w:rPr>
          <w:sz w:val="24"/>
          <w:szCs w:val="24"/>
        </w:rPr>
      </w:pPr>
    </w:p>
    <w:p w14:paraId="31BAF566" w14:textId="77777777" w:rsidR="009260DE" w:rsidRPr="00560CEF" w:rsidRDefault="009260DE" w:rsidP="009260DE">
      <w:pPr>
        <w:tabs>
          <w:tab w:val="left" w:pos="851"/>
        </w:tabs>
        <w:ind w:left="851" w:hanging="851"/>
        <w:rPr>
          <w:b/>
          <w:sz w:val="24"/>
          <w:szCs w:val="24"/>
        </w:rPr>
      </w:pPr>
      <w:r w:rsidRPr="00560CEF">
        <w:rPr>
          <w:b/>
          <w:sz w:val="24"/>
          <w:szCs w:val="24"/>
        </w:rPr>
        <w:t>6.2</w:t>
      </w:r>
      <w:r w:rsidRPr="00560CEF">
        <w:rPr>
          <w:b/>
          <w:sz w:val="24"/>
          <w:szCs w:val="24"/>
        </w:rPr>
        <w:tab/>
        <w:t>Uforligeligheder</w:t>
      </w:r>
    </w:p>
    <w:p w14:paraId="0F4313DD" w14:textId="77777777" w:rsidR="00542014" w:rsidRPr="00560CEF" w:rsidRDefault="00542014" w:rsidP="002820CE">
      <w:pPr>
        <w:autoSpaceDE w:val="0"/>
        <w:autoSpaceDN w:val="0"/>
        <w:adjustRightInd w:val="0"/>
        <w:ind w:left="851"/>
        <w:rPr>
          <w:sz w:val="24"/>
          <w:szCs w:val="24"/>
        </w:rPr>
      </w:pPr>
      <w:r w:rsidRPr="00560CEF">
        <w:rPr>
          <w:sz w:val="24"/>
          <w:szCs w:val="24"/>
        </w:rPr>
        <w:t>Dette lægemiddel må ikke anvendes samtidig med andre lægemidler, med undtagelse af de, der er nævnt i pkt. 6.6.</w:t>
      </w:r>
    </w:p>
    <w:p w14:paraId="000A8F43" w14:textId="77777777" w:rsidR="009260DE" w:rsidRPr="00560CEF" w:rsidRDefault="009260DE" w:rsidP="009260DE">
      <w:pPr>
        <w:tabs>
          <w:tab w:val="left" w:pos="851"/>
        </w:tabs>
        <w:ind w:left="851"/>
        <w:rPr>
          <w:sz w:val="24"/>
          <w:szCs w:val="24"/>
        </w:rPr>
      </w:pPr>
    </w:p>
    <w:p w14:paraId="3026B7B6" w14:textId="77777777" w:rsidR="009260DE" w:rsidRPr="00560CEF" w:rsidRDefault="009260DE" w:rsidP="009260DE">
      <w:pPr>
        <w:tabs>
          <w:tab w:val="left" w:pos="851"/>
        </w:tabs>
        <w:ind w:left="851" w:hanging="851"/>
        <w:rPr>
          <w:b/>
          <w:sz w:val="24"/>
          <w:szCs w:val="24"/>
        </w:rPr>
      </w:pPr>
      <w:r w:rsidRPr="00560CEF">
        <w:rPr>
          <w:b/>
          <w:sz w:val="24"/>
          <w:szCs w:val="24"/>
        </w:rPr>
        <w:t>6.3</w:t>
      </w:r>
      <w:r w:rsidRPr="00560CEF">
        <w:rPr>
          <w:b/>
          <w:sz w:val="24"/>
          <w:szCs w:val="24"/>
        </w:rPr>
        <w:tab/>
        <w:t>Opbevaringstid</w:t>
      </w:r>
    </w:p>
    <w:p w14:paraId="6332C532" w14:textId="76082F0B" w:rsidR="00542014" w:rsidRPr="00560CEF" w:rsidRDefault="00542014" w:rsidP="002820CE">
      <w:pPr>
        <w:ind w:left="851"/>
        <w:rPr>
          <w:sz w:val="24"/>
          <w:szCs w:val="24"/>
        </w:rPr>
      </w:pPr>
      <w:r w:rsidRPr="00560CEF">
        <w:rPr>
          <w:sz w:val="24"/>
          <w:szCs w:val="24"/>
        </w:rPr>
        <w:t>18 måneder.</w:t>
      </w:r>
    </w:p>
    <w:p w14:paraId="2DC3F538" w14:textId="77777777" w:rsidR="00542014" w:rsidRPr="00560CEF" w:rsidRDefault="00542014" w:rsidP="002820CE">
      <w:pPr>
        <w:autoSpaceDE w:val="0"/>
        <w:autoSpaceDN w:val="0"/>
        <w:adjustRightInd w:val="0"/>
        <w:ind w:left="851"/>
        <w:rPr>
          <w:sz w:val="24"/>
          <w:szCs w:val="24"/>
        </w:rPr>
      </w:pPr>
    </w:p>
    <w:p w14:paraId="51A3336B" w14:textId="336B1165" w:rsidR="00542014" w:rsidRPr="00560CEF" w:rsidRDefault="00542014" w:rsidP="002820CE">
      <w:pPr>
        <w:ind w:left="851"/>
        <w:rPr>
          <w:color w:val="000000"/>
          <w:sz w:val="24"/>
          <w:szCs w:val="24"/>
          <w:lang w:eastAsia="da-DK"/>
        </w:rPr>
      </w:pPr>
      <w:r w:rsidRPr="00560CEF">
        <w:rPr>
          <w:color w:val="000000"/>
          <w:sz w:val="24"/>
          <w:szCs w:val="24"/>
          <w:lang w:eastAsia="da-DK"/>
        </w:rPr>
        <w:t xml:space="preserve">Kemisk og fysisk stabilitet efter åbning og fortynding er dokumenteret </w:t>
      </w:r>
      <w:r w:rsidRPr="00560CEF">
        <w:rPr>
          <w:sz w:val="24"/>
          <w:szCs w:val="24"/>
        </w:rPr>
        <w:t>i 24 timer ved 20-25</w:t>
      </w:r>
      <w:r w:rsidR="00C61C69">
        <w:rPr>
          <w:sz w:val="24"/>
          <w:szCs w:val="24"/>
        </w:rPr>
        <w:t xml:space="preserve"> </w:t>
      </w:r>
      <w:r w:rsidRPr="00560CEF">
        <w:rPr>
          <w:sz w:val="24"/>
          <w:szCs w:val="24"/>
        </w:rPr>
        <w:t xml:space="preserve">°C. </w:t>
      </w:r>
      <w:r w:rsidRPr="00560CEF">
        <w:rPr>
          <w:color w:val="000000"/>
          <w:sz w:val="24"/>
          <w:szCs w:val="24"/>
          <w:lang w:eastAsia="da-DK"/>
        </w:rPr>
        <w:t xml:space="preserve">Ud fra et mikrobiologisk synspunkt skal præparatet bruges med det samme. Anvendelse af andre opbevaringstider og -betingelser er på brugerens eget ansvar. Når </w:t>
      </w:r>
      <w:proofErr w:type="spellStart"/>
      <w:r w:rsidRPr="00560CEF">
        <w:rPr>
          <w:color w:val="000000"/>
          <w:sz w:val="24"/>
          <w:szCs w:val="24"/>
          <w:lang w:eastAsia="da-DK"/>
        </w:rPr>
        <w:t>rekonstitutionen</w:t>
      </w:r>
      <w:proofErr w:type="spellEnd"/>
      <w:r w:rsidRPr="00560CEF">
        <w:rPr>
          <w:color w:val="000000"/>
          <w:sz w:val="24"/>
          <w:szCs w:val="24"/>
          <w:lang w:eastAsia="da-DK"/>
        </w:rPr>
        <w:t xml:space="preserve"> er udført under kontrollerede og validerede aseptiske betingelser, må opbevaring af præparatet må ikke overstige 24 timer ved temperaturer under </w:t>
      </w:r>
      <w:r w:rsidRPr="00560CEF">
        <w:rPr>
          <w:sz w:val="24"/>
          <w:szCs w:val="24"/>
        </w:rPr>
        <w:t>25</w:t>
      </w:r>
      <w:r w:rsidR="007B2EF9">
        <w:rPr>
          <w:sz w:val="24"/>
          <w:szCs w:val="24"/>
        </w:rPr>
        <w:t xml:space="preserve"> </w:t>
      </w:r>
      <w:r w:rsidRPr="00560CEF">
        <w:rPr>
          <w:sz w:val="24"/>
          <w:szCs w:val="24"/>
        </w:rPr>
        <w:t>°C</w:t>
      </w:r>
      <w:r w:rsidRPr="00560CEF">
        <w:rPr>
          <w:color w:val="000000"/>
          <w:sz w:val="24"/>
          <w:szCs w:val="24"/>
          <w:lang w:eastAsia="da-DK"/>
        </w:rPr>
        <w:t>.</w:t>
      </w:r>
    </w:p>
    <w:p w14:paraId="7CF8740C" w14:textId="77777777" w:rsidR="00542014" w:rsidRPr="00560CEF" w:rsidRDefault="00542014" w:rsidP="002820CE">
      <w:pPr>
        <w:autoSpaceDE w:val="0"/>
        <w:autoSpaceDN w:val="0"/>
        <w:adjustRightInd w:val="0"/>
        <w:ind w:left="851"/>
        <w:rPr>
          <w:sz w:val="24"/>
          <w:szCs w:val="24"/>
        </w:rPr>
      </w:pPr>
    </w:p>
    <w:p w14:paraId="56FCC98C" w14:textId="3ACDFE20" w:rsidR="004C46CA" w:rsidRDefault="00542014" w:rsidP="000C59C6">
      <w:pPr>
        <w:autoSpaceDE w:val="0"/>
        <w:autoSpaceDN w:val="0"/>
        <w:adjustRightInd w:val="0"/>
        <w:ind w:left="851"/>
        <w:rPr>
          <w:sz w:val="24"/>
          <w:szCs w:val="24"/>
        </w:rPr>
      </w:pPr>
      <w:r w:rsidRPr="00560CEF">
        <w:rPr>
          <w:sz w:val="24"/>
          <w:szCs w:val="24"/>
        </w:rPr>
        <w:t>Advarsel: Der er forskel i holdbarhed efter åbning ved fortynding af lignende godkendte produkter.</w:t>
      </w:r>
    </w:p>
    <w:p w14:paraId="517ECB0F" w14:textId="77777777" w:rsidR="009260DE" w:rsidRPr="00560CEF" w:rsidRDefault="009260DE" w:rsidP="009260DE">
      <w:pPr>
        <w:tabs>
          <w:tab w:val="left" w:pos="851"/>
        </w:tabs>
        <w:ind w:left="851"/>
        <w:rPr>
          <w:sz w:val="24"/>
          <w:szCs w:val="24"/>
        </w:rPr>
      </w:pPr>
    </w:p>
    <w:p w14:paraId="3ACCF2CD" w14:textId="77777777" w:rsidR="009260DE" w:rsidRPr="00560CEF" w:rsidRDefault="009260DE" w:rsidP="009260DE">
      <w:pPr>
        <w:tabs>
          <w:tab w:val="left" w:pos="851"/>
        </w:tabs>
        <w:ind w:left="851" w:hanging="851"/>
        <w:rPr>
          <w:b/>
          <w:sz w:val="24"/>
          <w:szCs w:val="24"/>
        </w:rPr>
      </w:pPr>
      <w:r w:rsidRPr="00560CEF">
        <w:rPr>
          <w:b/>
          <w:sz w:val="24"/>
          <w:szCs w:val="24"/>
        </w:rPr>
        <w:t>6.4</w:t>
      </w:r>
      <w:r w:rsidRPr="00560CEF">
        <w:rPr>
          <w:b/>
          <w:sz w:val="24"/>
          <w:szCs w:val="24"/>
        </w:rPr>
        <w:tab/>
        <w:t>Særlige opbevaringsforhold</w:t>
      </w:r>
    </w:p>
    <w:p w14:paraId="5FFC5327" w14:textId="0795A0C9" w:rsidR="00542014" w:rsidRPr="00560CEF" w:rsidRDefault="00542014" w:rsidP="002820CE">
      <w:pPr>
        <w:ind w:left="851"/>
        <w:rPr>
          <w:noProof/>
          <w:sz w:val="24"/>
          <w:szCs w:val="24"/>
        </w:rPr>
      </w:pPr>
      <w:r w:rsidRPr="00560CEF">
        <w:rPr>
          <w:sz w:val="24"/>
          <w:szCs w:val="24"/>
        </w:rPr>
        <w:t>Opbevares under 25</w:t>
      </w:r>
      <w:r w:rsidR="00C61C69">
        <w:rPr>
          <w:sz w:val="24"/>
          <w:szCs w:val="24"/>
        </w:rPr>
        <w:t xml:space="preserve"> </w:t>
      </w:r>
      <w:r w:rsidRPr="00560CEF">
        <w:rPr>
          <w:sz w:val="24"/>
          <w:szCs w:val="24"/>
        </w:rPr>
        <w:t>°C.</w:t>
      </w:r>
    </w:p>
    <w:p w14:paraId="771632C9" w14:textId="77777777" w:rsidR="009260DE" w:rsidRPr="00560CEF" w:rsidRDefault="009260DE" w:rsidP="009260DE">
      <w:pPr>
        <w:tabs>
          <w:tab w:val="left" w:pos="851"/>
        </w:tabs>
        <w:ind w:left="851"/>
        <w:rPr>
          <w:sz w:val="24"/>
          <w:szCs w:val="24"/>
        </w:rPr>
      </w:pPr>
    </w:p>
    <w:p w14:paraId="29A74806" w14:textId="6B515AD1" w:rsidR="009260DE" w:rsidRPr="00560CEF" w:rsidRDefault="009260DE" w:rsidP="009260DE">
      <w:pPr>
        <w:tabs>
          <w:tab w:val="left" w:pos="851"/>
        </w:tabs>
        <w:ind w:left="851" w:hanging="851"/>
        <w:rPr>
          <w:b/>
          <w:sz w:val="24"/>
          <w:szCs w:val="24"/>
        </w:rPr>
      </w:pPr>
      <w:r w:rsidRPr="00560CEF">
        <w:rPr>
          <w:b/>
          <w:sz w:val="24"/>
          <w:szCs w:val="24"/>
        </w:rPr>
        <w:t>6.5</w:t>
      </w:r>
      <w:r w:rsidRPr="00560CEF">
        <w:rPr>
          <w:b/>
          <w:sz w:val="24"/>
          <w:szCs w:val="24"/>
        </w:rPr>
        <w:tab/>
        <w:t>Emballagetype og pakningsstørrelser</w:t>
      </w:r>
    </w:p>
    <w:p w14:paraId="1B43B071" w14:textId="77777777" w:rsidR="00FD1AE0" w:rsidRPr="00560CEF" w:rsidRDefault="00FD1AE0" w:rsidP="002820CE">
      <w:pPr>
        <w:autoSpaceDE w:val="0"/>
        <w:autoSpaceDN w:val="0"/>
        <w:adjustRightInd w:val="0"/>
        <w:ind w:left="851"/>
        <w:rPr>
          <w:sz w:val="24"/>
          <w:szCs w:val="24"/>
        </w:rPr>
      </w:pPr>
      <w:r w:rsidRPr="00560CEF">
        <w:rPr>
          <w:sz w:val="24"/>
          <w:szCs w:val="24"/>
        </w:rPr>
        <w:t>Klart hætteglas á 10, 20 eller 50 ml (med påfyldningsmængder på hhv. 10, 20 og 40 ml), gummiprop og flip-</w:t>
      </w:r>
      <w:proofErr w:type="spellStart"/>
      <w:r w:rsidRPr="00560CEF">
        <w:rPr>
          <w:sz w:val="24"/>
          <w:szCs w:val="24"/>
        </w:rPr>
        <w:t>off</w:t>
      </w:r>
      <w:proofErr w:type="spellEnd"/>
      <w:r w:rsidRPr="00560CEF">
        <w:rPr>
          <w:sz w:val="24"/>
          <w:szCs w:val="24"/>
        </w:rPr>
        <w:t xml:space="preserve"> aluminiumsforsegling.</w:t>
      </w:r>
    </w:p>
    <w:p w14:paraId="0ED4B1DA" w14:textId="77777777" w:rsidR="00FD1AE0" w:rsidRPr="00560CEF" w:rsidRDefault="00FD1AE0" w:rsidP="002820CE">
      <w:pPr>
        <w:autoSpaceDE w:val="0"/>
        <w:autoSpaceDN w:val="0"/>
        <w:adjustRightInd w:val="0"/>
        <w:ind w:left="851"/>
        <w:rPr>
          <w:noProof/>
          <w:sz w:val="24"/>
          <w:szCs w:val="24"/>
        </w:rPr>
      </w:pPr>
    </w:p>
    <w:p w14:paraId="10B7A0A9" w14:textId="74148A50" w:rsidR="00FD1AE0" w:rsidRPr="00560CEF" w:rsidRDefault="00FD1AE0" w:rsidP="002820CE">
      <w:pPr>
        <w:autoSpaceDE w:val="0"/>
        <w:autoSpaceDN w:val="0"/>
        <w:adjustRightInd w:val="0"/>
        <w:ind w:left="851"/>
        <w:rPr>
          <w:sz w:val="24"/>
          <w:szCs w:val="24"/>
        </w:rPr>
      </w:pPr>
      <w:r w:rsidRPr="00560CEF">
        <w:rPr>
          <w:sz w:val="24"/>
          <w:szCs w:val="24"/>
        </w:rPr>
        <w:t xml:space="preserve">Pakningsstørrelser: 1 hætteglas, 5 hætteglas </w:t>
      </w:r>
      <w:r w:rsidR="004C46CA">
        <w:rPr>
          <w:sz w:val="24"/>
          <w:szCs w:val="24"/>
        </w:rPr>
        <w:t>og</w:t>
      </w:r>
      <w:r w:rsidRPr="00560CEF">
        <w:rPr>
          <w:sz w:val="24"/>
          <w:szCs w:val="24"/>
        </w:rPr>
        <w:t xml:space="preserve"> 10 hætteglas.</w:t>
      </w:r>
    </w:p>
    <w:p w14:paraId="6F9B2A2A" w14:textId="77777777" w:rsidR="00FD1AE0" w:rsidRPr="00560CEF" w:rsidRDefault="00FD1AE0" w:rsidP="002820CE">
      <w:pPr>
        <w:autoSpaceDE w:val="0"/>
        <w:autoSpaceDN w:val="0"/>
        <w:adjustRightInd w:val="0"/>
        <w:ind w:left="851"/>
        <w:rPr>
          <w:noProof/>
          <w:sz w:val="24"/>
          <w:szCs w:val="24"/>
        </w:rPr>
      </w:pPr>
    </w:p>
    <w:p w14:paraId="2EAD84FF" w14:textId="77777777" w:rsidR="00FD1AE0" w:rsidRPr="00560CEF" w:rsidRDefault="00FD1AE0" w:rsidP="002820CE">
      <w:pPr>
        <w:numPr>
          <w:ilvl w:val="12"/>
          <w:numId w:val="0"/>
        </w:numPr>
        <w:ind w:left="851" w:right="-2"/>
        <w:rPr>
          <w:noProof/>
          <w:sz w:val="24"/>
          <w:szCs w:val="24"/>
        </w:rPr>
      </w:pPr>
      <w:r w:rsidRPr="00560CEF">
        <w:rPr>
          <w:sz w:val="24"/>
          <w:szCs w:val="24"/>
        </w:rPr>
        <w:t>Ikke alle pakningsstørrelser er nødvendigvis markedsført.</w:t>
      </w:r>
    </w:p>
    <w:p w14:paraId="655F613F" w14:textId="77777777" w:rsidR="009260DE" w:rsidRPr="00560CEF" w:rsidRDefault="009260DE" w:rsidP="009260DE">
      <w:pPr>
        <w:tabs>
          <w:tab w:val="left" w:pos="851"/>
        </w:tabs>
        <w:ind w:left="851"/>
        <w:rPr>
          <w:sz w:val="24"/>
          <w:szCs w:val="24"/>
        </w:rPr>
      </w:pPr>
    </w:p>
    <w:p w14:paraId="1722985D" w14:textId="268CE56C" w:rsidR="009260DE" w:rsidRPr="00560CEF" w:rsidRDefault="009260DE" w:rsidP="009260DE">
      <w:pPr>
        <w:tabs>
          <w:tab w:val="left" w:pos="851"/>
        </w:tabs>
        <w:ind w:left="851" w:hanging="851"/>
        <w:rPr>
          <w:b/>
          <w:sz w:val="24"/>
          <w:szCs w:val="24"/>
        </w:rPr>
      </w:pPr>
      <w:r w:rsidRPr="00560CEF">
        <w:rPr>
          <w:b/>
          <w:sz w:val="24"/>
          <w:szCs w:val="24"/>
        </w:rPr>
        <w:t>6.6</w:t>
      </w:r>
      <w:r w:rsidRPr="00560CEF">
        <w:rPr>
          <w:b/>
          <w:sz w:val="24"/>
          <w:szCs w:val="24"/>
        </w:rPr>
        <w:tab/>
        <w:t xml:space="preserve">Regler for </w:t>
      </w:r>
      <w:r w:rsidR="00272715">
        <w:rPr>
          <w:b/>
          <w:sz w:val="24"/>
          <w:szCs w:val="24"/>
        </w:rPr>
        <w:t>bortskaffelse</w:t>
      </w:r>
      <w:r w:rsidRPr="00560CEF">
        <w:rPr>
          <w:b/>
          <w:sz w:val="24"/>
          <w:szCs w:val="24"/>
        </w:rPr>
        <w:t xml:space="preserve"> og anden håndtering</w:t>
      </w:r>
    </w:p>
    <w:p w14:paraId="594607C9" w14:textId="77777777" w:rsidR="00FD1AE0" w:rsidRPr="00560CEF" w:rsidRDefault="00FD1AE0" w:rsidP="002820CE">
      <w:pPr>
        <w:ind w:left="851"/>
        <w:rPr>
          <w:sz w:val="24"/>
          <w:szCs w:val="24"/>
        </w:rPr>
      </w:pPr>
      <w:r w:rsidRPr="00560CEF">
        <w:rPr>
          <w:sz w:val="24"/>
          <w:szCs w:val="24"/>
        </w:rPr>
        <w:t>Kun til engangsbrug. Al ubrugt opløsning skal bortskaffes. Ikke anvendt lægemiddel samt affald heraf skal bortskaffes i henhold til lokale retningslinjer.</w:t>
      </w:r>
    </w:p>
    <w:p w14:paraId="6EA58DAC" w14:textId="77777777" w:rsidR="00FD1AE0" w:rsidRPr="00560CEF" w:rsidRDefault="00FD1AE0" w:rsidP="002820CE">
      <w:pPr>
        <w:ind w:left="851"/>
        <w:rPr>
          <w:sz w:val="24"/>
          <w:szCs w:val="24"/>
        </w:rPr>
      </w:pPr>
    </w:p>
    <w:p w14:paraId="6038EFA7" w14:textId="77777777" w:rsidR="00FD1AE0" w:rsidRPr="00560CEF" w:rsidRDefault="00FD1AE0" w:rsidP="002820CE">
      <w:pPr>
        <w:ind w:left="851"/>
        <w:rPr>
          <w:sz w:val="24"/>
          <w:szCs w:val="24"/>
        </w:rPr>
      </w:pPr>
      <w:r w:rsidRPr="00560CEF">
        <w:rPr>
          <w:sz w:val="24"/>
          <w:szCs w:val="24"/>
        </w:rPr>
        <w:t xml:space="preserve">Ud fra den beregnede dosis fastslås passende styrke og antal hætteglas, der skal anvendes, </w:t>
      </w:r>
    </w:p>
    <w:p w14:paraId="034EB05D" w14:textId="77777777" w:rsidR="00FD1AE0" w:rsidRPr="00560CEF" w:rsidRDefault="00FD1AE0" w:rsidP="002820CE">
      <w:pPr>
        <w:ind w:left="851"/>
        <w:rPr>
          <w:sz w:val="24"/>
          <w:szCs w:val="24"/>
        </w:rPr>
      </w:pPr>
    </w:p>
    <w:p w14:paraId="7CD09954" w14:textId="77777777" w:rsidR="00FD1AE0" w:rsidRPr="00560CEF" w:rsidRDefault="00FD1AE0" w:rsidP="002820CE">
      <w:pPr>
        <w:ind w:left="851"/>
        <w:rPr>
          <w:sz w:val="24"/>
          <w:szCs w:val="24"/>
        </w:rPr>
      </w:pPr>
      <w:r w:rsidRPr="00560CEF">
        <w:rPr>
          <w:sz w:val="24"/>
          <w:szCs w:val="24"/>
          <w:u w:val="single"/>
        </w:rPr>
        <w:t>Indgivelse</w:t>
      </w:r>
    </w:p>
    <w:p w14:paraId="69971889" w14:textId="1BD53F2F" w:rsidR="00FD1AE0" w:rsidRPr="00560CEF" w:rsidRDefault="00FD1AE0" w:rsidP="002820CE">
      <w:pPr>
        <w:ind w:left="851"/>
        <w:rPr>
          <w:sz w:val="24"/>
          <w:szCs w:val="24"/>
        </w:rPr>
      </w:pPr>
      <w:r w:rsidRPr="00560CEF">
        <w:rPr>
          <w:sz w:val="24"/>
          <w:szCs w:val="24"/>
        </w:rPr>
        <w:t xml:space="preserve">Den påkrævede dosis </w:t>
      </w:r>
      <w:proofErr w:type="spellStart"/>
      <w:r w:rsidRPr="00560CEF">
        <w:rPr>
          <w:sz w:val="24"/>
          <w:szCs w:val="24"/>
        </w:rPr>
        <w:t>aciclovir</w:t>
      </w:r>
      <w:proofErr w:type="spellEnd"/>
      <w:r w:rsidRPr="00560CEF">
        <w:rPr>
          <w:sz w:val="24"/>
          <w:szCs w:val="24"/>
        </w:rPr>
        <w:t xml:space="preserve"> bør administreres ved langsom intravenøs infusion over en times tid. </w:t>
      </w:r>
      <w:proofErr w:type="spellStart"/>
      <w:r w:rsidRPr="00560CEF">
        <w:rPr>
          <w:sz w:val="24"/>
          <w:szCs w:val="24"/>
        </w:rPr>
        <w:t>Aciclovir</w:t>
      </w:r>
      <w:proofErr w:type="spellEnd"/>
      <w:r w:rsidRPr="00560CEF">
        <w:rPr>
          <w:sz w:val="24"/>
          <w:szCs w:val="24"/>
        </w:rPr>
        <w:t xml:space="preserve"> </w:t>
      </w:r>
      <w:r w:rsidR="00560CEF">
        <w:rPr>
          <w:sz w:val="24"/>
          <w:szCs w:val="24"/>
        </w:rPr>
        <w:t>"</w:t>
      </w:r>
      <w:proofErr w:type="spellStart"/>
      <w:r w:rsidR="00560CEF">
        <w:rPr>
          <w:sz w:val="24"/>
          <w:szCs w:val="24"/>
        </w:rPr>
        <w:t>Accord</w:t>
      </w:r>
      <w:proofErr w:type="spellEnd"/>
      <w:r w:rsidR="00560CEF">
        <w:rPr>
          <w:sz w:val="24"/>
          <w:szCs w:val="24"/>
        </w:rPr>
        <w:t>"</w:t>
      </w:r>
      <w:r w:rsidRPr="00560CEF">
        <w:rPr>
          <w:sz w:val="24"/>
          <w:szCs w:val="24"/>
        </w:rPr>
        <w:t xml:space="preserve"> kan indgives med en infusionspumpe med kontrolleret hastighed.</w:t>
      </w:r>
    </w:p>
    <w:p w14:paraId="64953BA0" w14:textId="77777777" w:rsidR="00FD1AE0" w:rsidRPr="00560CEF" w:rsidRDefault="00FD1AE0" w:rsidP="002820CE">
      <w:pPr>
        <w:ind w:left="851"/>
        <w:rPr>
          <w:sz w:val="24"/>
          <w:szCs w:val="24"/>
        </w:rPr>
      </w:pPr>
    </w:p>
    <w:p w14:paraId="4C1D4CA1" w14:textId="2F2D9973" w:rsidR="00FD1AE0" w:rsidRPr="00560CEF" w:rsidRDefault="00FD1AE0" w:rsidP="002820CE">
      <w:pPr>
        <w:ind w:left="851"/>
        <w:rPr>
          <w:sz w:val="24"/>
          <w:szCs w:val="24"/>
        </w:rPr>
      </w:pPr>
      <w:r w:rsidRPr="00560CEF">
        <w:rPr>
          <w:sz w:val="24"/>
          <w:szCs w:val="24"/>
        </w:rPr>
        <w:t xml:space="preserve">Alternativt kan </w:t>
      </w:r>
      <w:proofErr w:type="spellStart"/>
      <w:r w:rsidRPr="00560CEF">
        <w:rPr>
          <w:sz w:val="24"/>
          <w:szCs w:val="24"/>
        </w:rPr>
        <w:t>Aciclovir</w:t>
      </w:r>
      <w:proofErr w:type="spellEnd"/>
      <w:r w:rsidRPr="00560CEF">
        <w:rPr>
          <w:sz w:val="24"/>
          <w:szCs w:val="24"/>
        </w:rPr>
        <w:t xml:space="preserve"> </w:t>
      </w:r>
      <w:r w:rsidR="00560CEF">
        <w:rPr>
          <w:sz w:val="24"/>
          <w:szCs w:val="24"/>
        </w:rPr>
        <w:t>"</w:t>
      </w:r>
      <w:proofErr w:type="spellStart"/>
      <w:r w:rsidR="00560CEF">
        <w:rPr>
          <w:sz w:val="24"/>
          <w:szCs w:val="24"/>
        </w:rPr>
        <w:t>Accord</w:t>
      </w:r>
      <w:proofErr w:type="spellEnd"/>
      <w:r w:rsidR="00560CEF">
        <w:rPr>
          <w:sz w:val="24"/>
          <w:szCs w:val="24"/>
        </w:rPr>
        <w:t>"</w:t>
      </w:r>
      <w:r w:rsidRPr="00560CEF">
        <w:rPr>
          <w:sz w:val="24"/>
          <w:szCs w:val="24"/>
        </w:rPr>
        <w:t xml:space="preserve"> fortyndes yderligere til opnåelse af en </w:t>
      </w:r>
      <w:proofErr w:type="spellStart"/>
      <w:r w:rsidRPr="00560CEF">
        <w:rPr>
          <w:sz w:val="24"/>
          <w:szCs w:val="24"/>
        </w:rPr>
        <w:t>aciclovir</w:t>
      </w:r>
      <w:proofErr w:type="spellEnd"/>
      <w:r w:rsidRPr="00560CEF">
        <w:rPr>
          <w:sz w:val="24"/>
          <w:szCs w:val="24"/>
        </w:rPr>
        <w:t>-koncentration på højst 5 mg/ml (0,5 % w/v) til indgivelse ved infusion.</w:t>
      </w:r>
    </w:p>
    <w:p w14:paraId="1B119EB9" w14:textId="77777777" w:rsidR="00FD1AE0" w:rsidRPr="00560CEF" w:rsidRDefault="00FD1AE0" w:rsidP="002820CE">
      <w:pPr>
        <w:ind w:left="851"/>
        <w:rPr>
          <w:sz w:val="24"/>
          <w:szCs w:val="24"/>
        </w:rPr>
      </w:pPr>
    </w:p>
    <w:p w14:paraId="0E02D7B5" w14:textId="469670B8" w:rsidR="00FD1AE0" w:rsidRPr="00560CEF" w:rsidRDefault="00FD1AE0" w:rsidP="002820CE">
      <w:pPr>
        <w:ind w:left="851"/>
        <w:rPr>
          <w:sz w:val="24"/>
          <w:szCs w:val="24"/>
        </w:rPr>
      </w:pPr>
      <w:r w:rsidRPr="00560CEF">
        <w:rPr>
          <w:sz w:val="24"/>
          <w:szCs w:val="24"/>
        </w:rPr>
        <w:t xml:space="preserve">Tilsæt den påkrævede mængde </w:t>
      </w:r>
      <w:proofErr w:type="spellStart"/>
      <w:r w:rsidRPr="00560CEF">
        <w:rPr>
          <w:sz w:val="24"/>
          <w:szCs w:val="24"/>
        </w:rPr>
        <w:t>Aciclovir</w:t>
      </w:r>
      <w:proofErr w:type="spellEnd"/>
      <w:r w:rsidRPr="00560CEF">
        <w:rPr>
          <w:sz w:val="24"/>
          <w:szCs w:val="24"/>
        </w:rPr>
        <w:t xml:space="preserve"> </w:t>
      </w:r>
      <w:r w:rsidR="00560CEF">
        <w:rPr>
          <w:sz w:val="24"/>
          <w:szCs w:val="24"/>
        </w:rPr>
        <w:t>"</w:t>
      </w:r>
      <w:proofErr w:type="spellStart"/>
      <w:r w:rsidR="00560CEF">
        <w:rPr>
          <w:sz w:val="24"/>
          <w:szCs w:val="24"/>
        </w:rPr>
        <w:t>Accord</w:t>
      </w:r>
      <w:proofErr w:type="spellEnd"/>
      <w:r w:rsidR="00560CEF">
        <w:rPr>
          <w:sz w:val="24"/>
          <w:szCs w:val="24"/>
        </w:rPr>
        <w:t>"</w:t>
      </w:r>
      <w:r w:rsidRPr="00560CEF">
        <w:rPr>
          <w:sz w:val="24"/>
          <w:szCs w:val="24"/>
        </w:rPr>
        <w:t xml:space="preserve"> til den valgte infusionsopløsning, som anbefalet nedenfor, og ryst godt for at sikre tilstrækkelig blanding.</w:t>
      </w:r>
    </w:p>
    <w:p w14:paraId="1E19EC95" w14:textId="77777777" w:rsidR="00FD1AE0" w:rsidRPr="00560CEF" w:rsidRDefault="00FD1AE0" w:rsidP="002820CE">
      <w:pPr>
        <w:ind w:left="851"/>
        <w:rPr>
          <w:sz w:val="24"/>
          <w:szCs w:val="24"/>
        </w:rPr>
      </w:pPr>
    </w:p>
    <w:p w14:paraId="6395E1F3" w14:textId="77777777" w:rsidR="00FD1AE0" w:rsidRPr="00560CEF" w:rsidRDefault="00FD1AE0" w:rsidP="002820CE">
      <w:pPr>
        <w:ind w:left="851"/>
        <w:rPr>
          <w:sz w:val="24"/>
          <w:szCs w:val="24"/>
        </w:rPr>
      </w:pPr>
      <w:r w:rsidRPr="00560CEF">
        <w:rPr>
          <w:sz w:val="24"/>
          <w:szCs w:val="24"/>
        </w:rPr>
        <w:t xml:space="preserve">Til børn og nyfødte, hvor det er tilrådeligt at holde mængden af infusionsvæske på et minimum, anbefales det, at fortynding sker på basis af 4 ml opløsning (100 mg </w:t>
      </w:r>
      <w:proofErr w:type="spellStart"/>
      <w:r w:rsidRPr="00560CEF">
        <w:rPr>
          <w:sz w:val="24"/>
          <w:szCs w:val="24"/>
        </w:rPr>
        <w:t>aciclovir</w:t>
      </w:r>
      <w:proofErr w:type="spellEnd"/>
      <w:r w:rsidRPr="00560CEF">
        <w:rPr>
          <w:sz w:val="24"/>
          <w:szCs w:val="24"/>
        </w:rPr>
        <w:t>) tilsat til 20 ml infusionsvæske.</w:t>
      </w:r>
    </w:p>
    <w:p w14:paraId="080A0E9B" w14:textId="77777777" w:rsidR="00FD1AE0" w:rsidRPr="00560CEF" w:rsidRDefault="00FD1AE0" w:rsidP="002820CE">
      <w:pPr>
        <w:ind w:left="851"/>
        <w:rPr>
          <w:sz w:val="24"/>
          <w:szCs w:val="24"/>
        </w:rPr>
      </w:pPr>
    </w:p>
    <w:p w14:paraId="7D6707BF" w14:textId="1C66F351" w:rsidR="00FD1AE0" w:rsidRDefault="00FD1AE0" w:rsidP="002820CE">
      <w:pPr>
        <w:ind w:left="851"/>
        <w:rPr>
          <w:sz w:val="24"/>
          <w:szCs w:val="24"/>
        </w:rPr>
      </w:pPr>
      <w:r w:rsidRPr="00560CEF">
        <w:rPr>
          <w:sz w:val="24"/>
          <w:szCs w:val="24"/>
        </w:rPr>
        <w:t xml:space="preserve">Til voksne anbefales anvendelse af infusionsposer indeholdende 100 ml infusionsvæske, selv hvis dette vil give en koncentration af </w:t>
      </w:r>
      <w:proofErr w:type="spellStart"/>
      <w:r w:rsidRPr="00560CEF">
        <w:rPr>
          <w:sz w:val="24"/>
          <w:szCs w:val="24"/>
        </w:rPr>
        <w:t>aciclovir</w:t>
      </w:r>
      <w:proofErr w:type="spellEnd"/>
      <w:r w:rsidRPr="00560CEF">
        <w:rPr>
          <w:sz w:val="24"/>
          <w:szCs w:val="24"/>
        </w:rPr>
        <w:t xml:space="preserve">, der er markant under 0,5 % w/v. Således kan en 100 ml infusionspose anvendes til enhver dosis mellem 250 mg og 500 mg </w:t>
      </w:r>
      <w:proofErr w:type="spellStart"/>
      <w:r w:rsidRPr="00560CEF">
        <w:rPr>
          <w:sz w:val="24"/>
          <w:szCs w:val="24"/>
        </w:rPr>
        <w:t>aciclovir</w:t>
      </w:r>
      <w:proofErr w:type="spellEnd"/>
      <w:r w:rsidRPr="00560CEF">
        <w:rPr>
          <w:sz w:val="24"/>
          <w:szCs w:val="24"/>
        </w:rPr>
        <w:t xml:space="preserve"> (10 og 20 ml opløsning), mens der skal anvendes 2 poser til doser mellem 500 og 1000 mg.</w:t>
      </w:r>
    </w:p>
    <w:p w14:paraId="34913475" w14:textId="77777777" w:rsidR="00C82C73" w:rsidRPr="00560CEF" w:rsidRDefault="00C82C73" w:rsidP="002820CE">
      <w:pPr>
        <w:ind w:left="851"/>
        <w:rPr>
          <w:sz w:val="24"/>
          <w:szCs w:val="24"/>
        </w:rPr>
      </w:pPr>
    </w:p>
    <w:p w14:paraId="74A115AE" w14:textId="77777777" w:rsidR="00FD1AE0" w:rsidRPr="00560CEF" w:rsidRDefault="00FD1AE0" w:rsidP="002820CE">
      <w:pPr>
        <w:ind w:left="851"/>
        <w:rPr>
          <w:sz w:val="24"/>
          <w:szCs w:val="24"/>
        </w:rPr>
      </w:pPr>
      <w:r w:rsidRPr="00560CEF">
        <w:rPr>
          <w:sz w:val="24"/>
          <w:szCs w:val="24"/>
        </w:rPr>
        <w:t xml:space="preserve">Ved fortynding i henhold til de anbefalede dosisregimer er </w:t>
      </w:r>
      <w:proofErr w:type="spellStart"/>
      <w:r w:rsidRPr="00560CEF">
        <w:rPr>
          <w:sz w:val="24"/>
          <w:szCs w:val="24"/>
        </w:rPr>
        <w:t>aciclovir</w:t>
      </w:r>
      <w:proofErr w:type="spellEnd"/>
      <w:r w:rsidRPr="00560CEF">
        <w:rPr>
          <w:sz w:val="24"/>
          <w:szCs w:val="24"/>
        </w:rPr>
        <w:t xml:space="preserve"> forligeligt med følgende infusionsvæsker og er stabilt i op til 24 timer ved temperaturer under 25°C:</w:t>
      </w:r>
    </w:p>
    <w:p w14:paraId="6FBC1102" w14:textId="35985D1F" w:rsidR="00FD1AE0" w:rsidRPr="00E020B0" w:rsidRDefault="00FD1AE0" w:rsidP="00E020B0">
      <w:pPr>
        <w:pStyle w:val="Listeafsnit"/>
        <w:numPr>
          <w:ilvl w:val="0"/>
          <w:numId w:val="10"/>
        </w:numPr>
        <w:tabs>
          <w:tab w:val="clear" w:pos="567"/>
          <w:tab w:val="left" w:pos="851"/>
        </w:tabs>
        <w:ind w:left="1134" w:hanging="283"/>
        <w:rPr>
          <w:sz w:val="24"/>
          <w:szCs w:val="24"/>
        </w:rPr>
      </w:pPr>
      <w:proofErr w:type="spellStart"/>
      <w:r w:rsidRPr="00E020B0">
        <w:rPr>
          <w:sz w:val="24"/>
          <w:szCs w:val="24"/>
        </w:rPr>
        <w:t>Natriumchlorid</w:t>
      </w:r>
      <w:proofErr w:type="spellEnd"/>
      <w:r w:rsidRPr="00E020B0">
        <w:rPr>
          <w:sz w:val="24"/>
          <w:szCs w:val="24"/>
        </w:rPr>
        <w:t xml:space="preserve"> 4,5 mg/ml (0,45 % w/v) og 9,0 mg/ml (0,9 % w/v) til intravenøs infusion</w:t>
      </w:r>
      <w:r w:rsidR="00E020B0" w:rsidRPr="00E020B0">
        <w:rPr>
          <w:sz w:val="24"/>
          <w:szCs w:val="24"/>
        </w:rPr>
        <w:t>.</w:t>
      </w:r>
    </w:p>
    <w:p w14:paraId="1CE57FDA" w14:textId="7A45A502" w:rsidR="00FD1AE0" w:rsidRPr="00E020B0" w:rsidRDefault="00FD1AE0" w:rsidP="00E020B0">
      <w:pPr>
        <w:pStyle w:val="Listeafsnit"/>
        <w:numPr>
          <w:ilvl w:val="0"/>
          <w:numId w:val="10"/>
        </w:numPr>
        <w:tabs>
          <w:tab w:val="clear" w:pos="567"/>
          <w:tab w:val="left" w:pos="851"/>
        </w:tabs>
        <w:ind w:left="1134" w:hanging="283"/>
        <w:rPr>
          <w:sz w:val="24"/>
          <w:szCs w:val="24"/>
        </w:rPr>
      </w:pPr>
      <w:proofErr w:type="spellStart"/>
      <w:r w:rsidRPr="00E020B0">
        <w:rPr>
          <w:sz w:val="24"/>
          <w:szCs w:val="24"/>
        </w:rPr>
        <w:t>Natriumchlorid</w:t>
      </w:r>
      <w:proofErr w:type="spellEnd"/>
      <w:r w:rsidRPr="00E020B0">
        <w:rPr>
          <w:sz w:val="24"/>
          <w:szCs w:val="24"/>
        </w:rPr>
        <w:t xml:space="preserve"> 1,8 mg/ml (0,18 % w/v) + </w:t>
      </w:r>
      <w:proofErr w:type="spellStart"/>
      <w:r w:rsidRPr="00E020B0">
        <w:rPr>
          <w:sz w:val="24"/>
          <w:szCs w:val="24"/>
        </w:rPr>
        <w:t>glucose</w:t>
      </w:r>
      <w:proofErr w:type="spellEnd"/>
      <w:r w:rsidRPr="00E020B0">
        <w:rPr>
          <w:sz w:val="24"/>
          <w:szCs w:val="24"/>
        </w:rPr>
        <w:t xml:space="preserve"> 40 mg/ml (4 % w/v) til intravenøs infusion</w:t>
      </w:r>
      <w:r w:rsidR="00E020B0" w:rsidRPr="00E020B0">
        <w:rPr>
          <w:sz w:val="24"/>
          <w:szCs w:val="24"/>
        </w:rPr>
        <w:t>.</w:t>
      </w:r>
    </w:p>
    <w:p w14:paraId="2B668711" w14:textId="6BB628B2" w:rsidR="00FD1AE0" w:rsidRPr="00E020B0" w:rsidRDefault="00FD1AE0" w:rsidP="00E020B0">
      <w:pPr>
        <w:pStyle w:val="Listeafsnit"/>
        <w:numPr>
          <w:ilvl w:val="0"/>
          <w:numId w:val="10"/>
        </w:numPr>
        <w:tabs>
          <w:tab w:val="clear" w:pos="567"/>
          <w:tab w:val="left" w:pos="851"/>
        </w:tabs>
        <w:ind w:left="1134" w:hanging="283"/>
        <w:rPr>
          <w:sz w:val="24"/>
          <w:szCs w:val="24"/>
        </w:rPr>
      </w:pPr>
      <w:proofErr w:type="spellStart"/>
      <w:r w:rsidRPr="00E020B0">
        <w:rPr>
          <w:sz w:val="24"/>
          <w:szCs w:val="24"/>
        </w:rPr>
        <w:t>Natriumchlorid</w:t>
      </w:r>
      <w:proofErr w:type="spellEnd"/>
      <w:r w:rsidRPr="00E020B0">
        <w:rPr>
          <w:sz w:val="24"/>
          <w:szCs w:val="24"/>
        </w:rPr>
        <w:t xml:space="preserve"> 4,5 mg/ml (0,45% w/v) + </w:t>
      </w:r>
      <w:proofErr w:type="spellStart"/>
      <w:r w:rsidRPr="00E020B0">
        <w:rPr>
          <w:sz w:val="24"/>
          <w:szCs w:val="24"/>
        </w:rPr>
        <w:t>glucose</w:t>
      </w:r>
      <w:proofErr w:type="spellEnd"/>
      <w:r w:rsidRPr="00E020B0">
        <w:rPr>
          <w:sz w:val="24"/>
          <w:szCs w:val="24"/>
        </w:rPr>
        <w:t xml:space="preserve"> 25 mg/ml (2,5% w/v) til intravenøs infusion</w:t>
      </w:r>
      <w:r w:rsidR="00E020B0" w:rsidRPr="00E020B0">
        <w:rPr>
          <w:sz w:val="24"/>
          <w:szCs w:val="24"/>
        </w:rPr>
        <w:t>.</w:t>
      </w:r>
    </w:p>
    <w:p w14:paraId="17586BD9" w14:textId="77777777" w:rsidR="00FD1AE0" w:rsidRPr="00E020B0" w:rsidRDefault="00FD1AE0" w:rsidP="00E020B0">
      <w:pPr>
        <w:pStyle w:val="Listeafsnit"/>
        <w:numPr>
          <w:ilvl w:val="0"/>
          <w:numId w:val="10"/>
        </w:numPr>
        <w:tabs>
          <w:tab w:val="clear" w:pos="567"/>
          <w:tab w:val="left" w:pos="851"/>
        </w:tabs>
        <w:ind w:left="1134" w:hanging="283"/>
        <w:rPr>
          <w:sz w:val="24"/>
          <w:szCs w:val="24"/>
        </w:rPr>
      </w:pPr>
      <w:proofErr w:type="spellStart"/>
      <w:r w:rsidRPr="00E020B0">
        <w:rPr>
          <w:sz w:val="24"/>
          <w:szCs w:val="24"/>
        </w:rPr>
        <w:t>Natriumlactat</w:t>
      </w:r>
      <w:proofErr w:type="spellEnd"/>
      <w:r w:rsidRPr="00E020B0">
        <w:rPr>
          <w:sz w:val="24"/>
          <w:szCs w:val="24"/>
        </w:rPr>
        <w:t>-blanding til intravenøs infusion (Hartmanns opløsning).</w:t>
      </w:r>
    </w:p>
    <w:p w14:paraId="362E210D" w14:textId="77777777" w:rsidR="00FD1AE0" w:rsidRPr="00560CEF" w:rsidRDefault="00FD1AE0" w:rsidP="002820CE">
      <w:pPr>
        <w:ind w:left="851"/>
        <w:rPr>
          <w:sz w:val="24"/>
          <w:szCs w:val="24"/>
        </w:rPr>
      </w:pPr>
    </w:p>
    <w:p w14:paraId="22B6B290" w14:textId="419648AA" w:rsidR="00FD1AE0" w:rsidRPr="00560CEF" w:rsidRDefault="00FD1AE0" w:rsidP="002820CE">
      <w:pPr>
        <w:ind w:left="851"/>
        <w:rPr>
          <w:sz w:val="24"/>
          <w:szCs w:val="24"/>
        </w:rPr>
      </w:pPr>
      <w:r w:rsidRPr="00560CEF">
        <w:rPr>
          <w:sz w:val="24"/>
          <w:szCs w:val="24"/>
        </w:rPr>
        <w:t xml:space="preserve">Ved fortynding af </w:t>
      </w:r>
      <w:proofErr w:type="spellStart"/>
      <w:r w:rsidRPr="00560CEF">
        <w:rPr>
          <w:sz w:val="24"/>
          <w:szCs w:val="24"/>
        </w:rPr>
        <w:t>Aciclovir</w:t>
      </w:r>
      <w:proofErr w:type="spellEnd"/>
      <w:r w:rsidRPr="00560CEF">
        <w:rPr>
          <w:sz w:val="24"/>
          <w:szCs w:val="24"/>
        </w:rPr>
        <w:t xml:space="preserve"> </w:t>
      </w:r>
      <w:r w:rsidR="00560CEF">
        <w:rPr>
          <w:sz w:val="24"/>
          <w:szCs w:val="24"/>
        </w:rPr>
        <w:t>"</w:t>
      </w:r>
      <w:proofErr w:type="spellStart"/>
      <w:r w:rsidR="00560CEF">
        <w:rPr>
          <w:sz w:val="24"/>
          <w:szCs w:val="24"/>
        </w:rPr>
        <w:t>Accord</w:t>
      </w:r>
      <w:proofErr w:type="spellEnd"/>
      <w:r w:rsidR="00560CEF">
        <w:rPr>
          <w:sz w:val="24"/>
          <w:szCs w:val="24"/>
        </w:rPr>
        <w:t>"</w:t>
      </w:r>
      <w:r w:rsidRPr="00560CEF">
        <w:rPr>
          <w:sz w:val="24"/>
          <w:szCs w:val="24"/>
        </w:rPr>
        <w:t xml:space="preserve"> i henhold til ovenstående fås en </w:t>
      </w:r>
      <w:proofErr w:type="spellStart"/>
      <w:r w:rsidRPr="00560CEF">
        <w:rPr>
          <w:sz w:val="24"/>
          <w:szCs w:val="24"/>
        </w:rPr>
        <w:t>aciclovir</w:t>
      </w:r>
      <w:r w:rsidR="00C82C73">
        <w:rPr>
          <w:sz w:val="24"/>
          <w:szCs w:val="24"/>
        </w:rPr>
        <w:softHyphen/>
      </w:r>
      <w:r w:rsidRPr="00560CEF">
        <w:rPr>
          <w:sz w:val="24"/>
          <w:szCs w:val="24"/>
        </w:rPr>
        <w:t>koncentration</w:t>
      </w:r>
      <w:proofErr w:type="spellEnd"/>
      <w:r w:rsidRPr="00560CEF">
        <w:rPr>
          <w:sz w:val="24"/>
          <w:szCs w:val="24"/>
        </w:rPr>
        <w:t xml:space="preserve"> på højst 0,5 % w/v.</w:t>
      </w:r>
    </w:p>
    <w:p w14:paraId="55ECF2B0" w14:textId="77777777" w:rsidR="00FD1AE0" w:rsidRPr="00560CEF" w:rsidRDefault="00FD1AE0" w:rsidP="002820CE">
      <w:pPr>
        <w:ind w:left="851"/>
        <w:rPr>
          <w:sz w:val="24"/>
          <w:szCs w:val="24"/>
        </w:rPr>
      </w:pPr>
    </w:p>
    <w:p w14:paraId="7E272280" w14:textId="77777777" w:rsidR="00FD1AE0" w:rsidRPr="00560CEF" w:rsidRDefault="00FD1AE0" w:rsidP="002820CE">
      <w:pPr>
        <w:ind w:left="851"/>
        <w:rPr>
          <w:sz w:val="24"/>
          <w:szCs w:val="24"/>
        </w:rPr>
      </w:pPr>
      <w:r w:rsidRPr="00560CEF">
        <w:rPr>
          <w:sz w:val="24"/>
          <w:szCs w:val="24"/>
        </w:rPr>
        <w:t>Fortynding skal udføres under fulde aseptiske forhold, umiddelbart før brug, da lægemidlet ikke er tilsat antimikrobielt konserveringsmiddel. Ikke anvendt lægemiddel skal bortskaffes.</w:t>
      </w:r>
    </w:p>
    <w:p w14:paraId="3E637D2A" w14:textId="77777777" w:rsidR="00FD1AE0" w:rsidRPr="00560CEF" w:rsidRDefault="00FD1AE0" w:rsidP="002820CE">
      <w:pPr>
        <w:ind w:left="851"/>
        <w:rPr>
          <w:sz w:val="24"/>
          <w:szCs w:val="24"/>
        </w:rPr>
      </w:pPr>
    </w:p>
    <w:p w14:paraId="09C5870F" w14:textId="77777777" w:rsidR="00FD1AE0" w:rsidRPr="00560CEF" w:rsidRDefault="00FD1AE0" w:rsidP="002820CE">
      <w:pPr>
        <w:ind w:left="851"/>
        <w:rPr>
          <w:sz w:val="24"/>
          <w:szCs w:val="24"/>
        </w:rPr>
      </w:pPr>
      <w:r w:rsidRPr="00560CEF">
        <w:rPr>
          <w:sz w:val="24"/>
          <w:szCs w:val="24"/>
        </w:rPr>
        <w:t>Hvis der forekommer synlig uklarhed eller krystaldannelse i opløsningen før eller efter infusion, skal præparatet kasseres.</w:t>
      </w:r>
    </w:p>
    <w:p w14:paraId="79DAF2E8" w14:textId="77777777" w:rsidR="00FD1AE0" w:rsidRPr="00560CEF" w:rsidRDefault="00FD1AE0" w:rsidP="002820CE">
      <w:pPr>
        <w:ind w:left="851"/>
        <w:rPr>
          <w:sz w:val="24"/>
          <w:szCs w:val="24"/>
          <w:lang w:val="nl-NL"/>
        </w:rPr>
      </w:pPr>
    </w:p>
    <w:p w14:paraId="5FA5B1C7" w14:textId="77777777" w:rsidR="00FD1AE0" w:rsidRPr="00560CEF" w:rsidRDefault="00FD1AE0" w:rsidP="002820CE">
      <w:pPr>
        <w:ind w:left="851"/>
        <w:rPr>
          <w:sz w:val="24"/>
          <w:szCs w:val="24"/>
        </w:rPr>
      </w:pPr>
      <w:r w:rsidRPr="00560CEF">
        <w:rPr>
          <w:sz w:val="24"/>
          <w:szCs w:val="24"/>
        </w:rPr>
        <w:t>Der er påvist forligelighed med polypropylen (PP)-sprøjter, non-</w:t>
      </w:r>
      <w:proofErr w:type="spellStart"/>
      <w:r w:rsidRPr="00560CEF">
        <w:rPr>
          <w:sz w:val="24"/>
          <w:szCs w:val="24"/>
        </w:rPr>
        <w:t>polyvinylchlorid</w:t>
      </w:r>
      <w:proofErr w:type="spellEnd"/>
      <w:r w:rsidRPr="00560CEF">
        <w:rPr>
          <w:sz w:val="24"/>
          <w:szCs w:val="24"/>
        </w:rPr>
        <w:t xml:space="preserve"> (PVC)-IV indgivelsessæt, non-</w:t>
      </w:r>
      <w:proofErr w:type="spellStart"/>
      <w:r w:rsidRPr="00560CEF">
        <w:rPr>
          <w:sz w:val="24"/>
          <w:szCs w:val="24"/>
        </w:rPr>
        <w:t>polyvinylchlorid</w:t>
      </w:r>
      <w:proofErr w:type="spellEnd"/>
      <w:r w:rsidRPr="00560CEF">
        <w:rPr>
          <w:sz w:val="24"/>
          <w:szCs w:val="24"/>
        </w:rPr>
        <w:t xml:space="preserve"> (PVC) infusionsposer.</w:t>
      </w:r>
    </w:p>
    <w:p w14:paraId="04FB43A5" w14:textId="77777777" w:rsidR="009260DE" w:rsidRPr="00560CEF" w:rsidRDefault="009260DE" w:rsidP="009260DE">
      <w:pPr>
        <w:tabs>
          <w:tab w:val="left" w:pos="851"/>
        </w:tabs>
        <w:ind w:left="851"/>
        <w:jc w:val="both"/>
        <w:rPr>
          <w:sz w:val="24"/>
          <w:szCs w:val="24"/>
        </w:rPr>
      </w:pPr>
    </w:p>
    <w:p w14:paraId="365EBF3F" w14:textId="77777777" w:rsidR="009260DE" w:rsidRPr="00560CEF" w:rsidRDefault="009260DE" w:rsidP="009260DE">
      <w:pPr>
        <w:tabs>
          <w:tab w:val="left" w:pos="851"/>
        </w:tabs>
        <w:ind w:left="851" w:hanging="851"/>
        <w:rPr>
          <w:b/>
          <w:sz w:val="24"/>
          <w:szCs w:val="24"/>
        </w:rPr>
      </w:pPr>
      <w:r w:rsidRPr="00560CEF">
        <w:rPr>
          <w:b/>
          <w:sz w:val="24"/>
          <w:szCs w:val="24"/>
        </w:rPr>
        <w:t>7.</w:t>
      </w:r>
      <w:r w:rsidRPr="00560CEF">
        <w:rPr>
          <w:b/>
          <w:sz w:val="24"/>
          <w:szCs w:val="24"/>
        </w:rPr>
        <w:tab/>
        <w:t>INDEHAVER AF MARKEDSFØRINGSTILLADELSEN</w:t>
      </w:r>
    </w:p>
    <w:p w14:paraId="12DF07F0" w14:textId="31492682" w:rsidR="00FD1AE0" w:rsidRPr="00560CEF" w:rsidRDefault="00560CEF" w:rsidP="002820CE">
      <w:pPr>
        <w:ind w:left="851"/>
        <w:rPr>
          <w:sz w:val="24"/>
          <w:szCs w:val="24"/>
        </w:rPr>
      </w:pPr>
      <w:bookmarkStart w:id="0" w:name="_Hlk7529309"/>
      <w:bookmarkStart w:id="1" w:name="_Hlk7529384"/>
      <w:proofErr w:type="spellStart"/>
      <w:r>
        <w:rPr>
          <w:sz w:val="24"/>
          <w:szCs w:val="24"/>
        </w:rPr>
        <w:t>Accord</w:t>
      </w:r>
      <w:proofErr w:type="spellEnd"/>
      <w:r w:rsidR="00FD1AE0" w:rsidRPr="00560CEF">
        <w:rPr>
          <w:sz w:val="24"/>
          <w:szCs w:val="24"/>
        </w:rPr>
        <w:t xml:space="preserve"> Healthcare B.V.</w:t>
      </w:r>
    </w:p>
    <w:p w14:paraId="11403657" w14:textId="77777777" w:rsidR="00FD1AE0" w:rsidRPr="00560CEF" w:rsidRDefault="00FD1AE0" w:rsidP="002820CE">
      <w:pPr>
        <w:ind w:left="851"/>
        <w:rPr>
          <w:sz w:val="24"/>
          <w:szCs w:val="24"/>
        </w:rPr>
      </w:pPr>
      <w:proofErr w:type="spellStart"/>
      <w:r w:rsidRPr="00560CEF">
        <w:rPr>
          <w:sz w:val="24"/>
          <w:szCs w:val="24"/>
        </w:rPr>
        <w:t>Winthontlaan</w:t>
      </w:r>
      <w:proofErr w:type="spellEnd"/>
      <w:r w:rsidRPr="00560CEF">
        <w:rPr>
          <w:sz w:val="24"/>
          <w:szCs w:val="24"/>
        </w:rPr>
        <w:t xml:space="preserve"> 200</w:t>
      </w:r>
    </w:p>
    <w:p w14:paraId="67716B43" w14:textId="77777777" w:rsidR="00FD1AE0" w:rsidRPr="00560CEF" w:rsidRDefault="00FD1AE0" w:rsidP="002820CE">
      <w:pPr>
        <w:ind w:left="851"/>
        <w:rPr>
          <w:sz w:val="24"/>
          <w:szCs w:val="24"/>
        </w:rPr>
      </w:pPr>
      <w:r w:rsidRPr="00560CEF">
        <w:rPr>
          <w:sz w:val="24"/>
          <w:szCs w:val="24"/>
        </w:rPr>
        <w:t>3526 KV Utrecht</w:t>
      </w:r>
    </w:p>
    <w:bookmarkEnd w:id="0"/>
    <w:p w14:paraId="052CEA5F" w14:textId="77777777" w:rsidR="00FD1AE0" w:rsidRPr="00560CEF" w:rsidRDefault="00FD1AE0" w:rsidP="002820CE">
      <w:pPr>
        <w:ind w:left="851"/>
        <w:rPr>
          <w:sz w:val="24"/>
          <w:szCs w:val="24"/>
        </w:rPr>
      </w:pPr>
      <w:r w:rsidRPr="00560CEF">
        <w:rPr>
          <w:sz w:val="24"/>
          <w:szCs w:val="24"/>
        </w:rPr>
        <w:t>Holland</w:t>
      </w:r>
    </w:p>
    <w:bookmarkEnd w:id="1"/>
    <w:p w14:paraId="671A396D" w14:textId="77777777" w:rsidR="009260DE" w:rsidRPr="00560CEF" w:rsidRDefault="009260DE" w:rsidP="009260DE">
      <w:pPr>
        <w:tabs>
          <w:tab w:val="left" w:pos="851"/>
        </w:tabs>
        <w:ind w:left="851"/>
        <w:rPr>
          <w:sz w:val="24"/>
          <w:szCs w:val="24"/>
        </w:rPr>
      </w:pPr>
    </w:p>
    <w:p w14:paraId="741A0BB2" w14:textId="2B15F572" w:rsidR="009260DE" w:rsidRPr="00560CEF" w:rsidRDefault="009260DE" w:rsidP="009260DE">
      <w:pPr>
        <w:tabs>
          <w:tab w:val="left" w:pos="851"/>
        </w:tabs>
        <w:ind w:left="851" w:hanging="851"/>
        <w:rPr>
          <w:b/>
          <w:sz w:val="24"/>
          <w:szCs w:val="24"/>
        </w:rPr>
      </w:pPr>
      <w:r w:rsidRPr="00560CEF">
        <w:rPr>
          <w:b/>
          <w:sz w:val="24"/>
          <w:szCs w:val="24"/>
        </w:rPr>
        <w:t>8.</w:t>
      </w:r>
      <w:r w:rsidRPr="00560CEF">
        <w:rPr>
          <w:b/>
          <w:sz w:val="24"/>
          <w:szCs w:val="24"/>
        </w:rPr>
        <w:tab/>
        <w:t>MARKEDSFØRINGSTILLADELSESNUMMER (</w:t>
      </w:r>
      <w:r w:rsidR="000C59C6">
        <w:rPr>
          <w:b/>
          <w:sz w:val="24"/>
          <w:szCs w:val="24"/>
        </w:rPr>
        <w:t>-</w:t>
      </w:r>
      <w:r w:rsidRPr="00560CEF">
        <w:rPr>
          <w:b/>
          <w:sz w:val="24"/>
          <w:szCs w:val="24"/>
        </w:rPr>
        <w:t>NUMRE)</w:t>
      </w:r>
    </w:p>
    <w:p w14:paraId="263FAA98" w14:textId="07E073EF" w:rsidR="009260DE" w:rsidRPr="00560CEF" w:rsidRDefault="00BE4750" w:rsidP="009260DE">
      <w:pPr>
        <w:tabs>
          <w:tab w:val="left" w:pos="851"/>
        </w:tabs>
        <w:ind w:left="851"/>
        <w:rPr>
          <w:sz w:val="24"/>
          <w:szCs w:val="24"/>
        </w:rPr>
      </w:pPr>
      <w:r w:rsidRPr="00560CEF">
        <w:rPr>
          <w:sz w:val="24"/>
          <w:szCs w:val="24"/>
        </w:rPr>
        <w:t>61879</w:t>
      </w:r>
    </w:p>
    <w:p w14:paraId="738057AA" w14:textId="77777777" w:rsidR="009260DE" w:rsidRPr="00560CEF" w:rsidRDefault="009260DE" w:rsidP="009260DE">
      <w:pPr>
        <w:tabs>
          <w:tab w:val="left" w:pos="851"/>
        </w:tabs>
        <w:ind w:left="851"/>
        <w:jc w:val="both"/>
        <w:rPr>
          <w:sz w:val="24"/>
          <w:szCs w:val="24"/>
        </w:rPr>
      </w:pPr>
    </w:p>
    <w:p w14:paraId="1DB01BC8" w14:textId="77777777" w:rsidR="009260DE" w:rsidRPr="00560CEF" w:rsidRDefault="009260DE" w:rsidP="009260DE">
      <w:pPr>
        <w:tabs>
          <w:tab w:val="left" w:pos="851"/>
        </w:tabs>
        <w:ind w:left="851" w:hanging="851"/>
        <w:rPr>
          <w:b/>
          <w:sz w:val="24"/>
          <w:szCs w:val="24"/>
        </w:rPr>
      </w:pPr>
      <w:r w:rsidRPr="00560CEF">
        <w:rPr>
          <w:b/>
          <w:sz w:val="24"/>
          <w:szCs w:val="24"/>
        </w:rPr>
        <w:t>9.</w:t>
      </w:r>
      <w:r w:rsidRPr="00560CEF">
        <w:rPr>
          <w:b/>
          <w:sz w:val="24"/>
          <w:szCs w:val="24"/>
        </w:rPr>
        <w:tab/>
        <w:t>DATO FOR FØRSTE MARKEDSFØRINGSTILLADELSE</w:t>
      </w:r>
    </w:p>
    <w:p w14:paraId="0826876D" w14:textId="7BAE606E" w:rsidR="009260DE" w:rsidRPr="00560CEF" w:rsidRDefault="009504B9" w:rsidP="009260DE">
      <w:pPr>
        <w:tabs>
          <w:tab w:val="left" w:pos="851"/>
        </w:tabs>
        <w:ind w:left="851"/>
        <w:rPr>
          <w:sz w:val="24"/>
          <w:szCs w:val="24"/>
        </w:rPr>
      </w:pPr>
      <w:r>
        <w:rPr>
          <w:sz w:val="24"/>
          <w:szCs w:val="24"/>
        </w:rPr>
        <w:t>11. maj 2020</w:t>
      </w:r>
    </w:p>
    <w:p w14:paraId="492603D0" w14:textId="77777777" w:rsidR="009260DE" w:rsidRPr="00560CEF" w:rsidRDefault="009260DE" w:rsidP="009260DE">
      <w:pPr>
        <w:tabs>
          <w:tab w:val="left" w:pos="851"/>
        </w:tabs>
        <w:ind w:left="851"/>
        <w:rPr>
          <w:sz w:val="24"/>
          <w:szCs w:val="24"/>
        </w:rPr>
      </w:pPr>
    </w:p>
    <w:p w14:paraId="526D2AA3" w14:textId="77777777" w:rsidR="009260DE" w:rsidRPr="00560CEF" w:rsidRDefault="009260DE" w:rsidP="009260DE">
      <w:pPr>
        <w:tabs>
          <w:tab w:val="left" w:pos="851"/>
        </w:tabs>
        <w:ind w:left="851" w:hanging="851"/>
        <w:rPr>
          <w:b/>
          <w:sz w:val="24"/>
          <w:szCs w:val="24"/>
        </w:rPr>
      </w:pPr>
      <w:r w:rsidRPr="00560CEF">
        <w:rPr>
          <w:b/>
          <w:sz w:val="24"/>
          <w:szCs w:val="24"/>
        </w:rPr>
        <w:t>10.</w:t>
      </w:r>
      <w:r w:rsidRPr="00560CEF">
        <w:rPr>
          <w:b/>
          <w:sz w:val="24"/>
          <w:szCs w:val="24"/>
        </w:rPr>
        <w:tab/>
        <w:t>DATO FOR ÆNDRING AF TEKSTEN</w:t>
      </w:r>
    </w:p>
    <w:p w14:paraId="41099485" w14:textId="150767D5" w:rsidR="009260DE" w:rsidRPr="00560CEF" w:rsidRDefault="005C7A26" w:rsidP="009260DE">
      <w:pPr>
        <w:tabs>
          <w:tab w:val="left" w:pos="851"/>
        </w:tabs>
        <w:ind w:left="851"/>
        <w:rPr>
          <w:sz w:val="24"/>
          <w:szCs w:val="24"/>
        </w:rPr>
      </w:pPr>
      <w:r>
        <w:rPr>
          <w:sz w:val="24"/>
          <w:szCs w:val="24"/>
        </w:rPr>
        <w:t>6. januar 2025</w:t>
      </w:r>
      <w:bookmarkStart w:id="2" w:name="_GoBack"/>
      <w:bookmarkEnd w:id="2"/>
    </w:p>
    <w:sectPr w:rsidR="009260DE" w:rsidRPr="00560CE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4B0E7" w14:textId="77777777" w:rsidR="00824092" w:rsidRDefault="00824092">
      <w:r>
        <w:separator/>
      </w:r>
    </w:p>
  </w:endnote>
  <w:endnote w:type="continuationSeparator" w:id="0">
    <w:p w14:paraId="27D8ACB2" w14:textId="77777777" w:rsidR="00824092" w:rsidRDefault="0082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5FE98" w14:textId="77777777" w:rsidR="000259B9" w:rsidRDefault="000259B9">
    <w:pPr>
      <w:pStyle w:val="Sidefod"/>
      <w:pBdr>
        <w:bottom w:val="single" w:sz="6" w:space="1" w:color="auto"/>
      </w:pBdr>
    </w:pPr>
  </w:p>
  <w:p w14:paraId="7D24F584" w14:textId="77777777" w:rsidR="000259B9" w:rsidRDefault="000259B9" w:rsidP="00C42586">
    <w:pPr>
      <w:pStyle w:val="Sidefod"/>
      <w:tabs>
        <w:tab w:val="clear" w:pos="4819"/>
        <w:tab w:val="left" w:pos="8505"/>
      </w:tabs>
      <w:rPr>
        <w:i/>
        <w:sz w:val="18"/>
        <w:szCs w:val="18"/>
      </w:rPr>
    </w:pPr>
  </w:p>
  <w:p w14:paraId="0DEBC32A" w14:textId="0DD8C108"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45AC3">
      <w:rPr>
        <w:i/>
        <w:noProof/>
        <w:sz w:val="18"/>
        <w:szCs w:val="18"/>
      </w:rPr>
      <w:t>Aciclovir Accord, koncentrat til infusionsvæske, opløsning 25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78730" w14:textId="77777777" w:rsidR="00824092" w:rsidRDefault="00824092">
      <w:r>
        <w:separator/>
      </w:r>
    </w:p>
  </w:footnote>
  <w:footnote w:type="continuationSeparator" w:id="0">
    <w:p w14:paraId="6D45D4E3" w14:textId="77777777" w:rsidR="00824092" w:rsidRDefault="00824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147"/>
    <w:multiLevelType w:val="hybridMultilevel"/>
    <w:tmpl w:val="CAD6F4C0"/>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9914031"/>
    <w:multiLevelType w:val="hybridMultilevel"/>
    <w:tmpl w:val="A0D8E562"/>
    <w:lvl w:ilvl="0" w:tplc="5A5CF712">
      <w:start w:val="1"/>
      <w:numFmt w:val="bullet"/>
      <w:lvlText w:val="-"/>
      <w:lvlJc w:val="left"/>
      <w:pPr>
        <w:ind w:left="1080" w:hanging="360"/>
      </w:pPr>
      <w:rPr>
        <w:rFonts w:ascii="Courier New" w:hAnsi="Courier New" w:cs="Times New Roman"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6433EF7"/>
    <w:multiLevelType w:val="hybridMultilevel"/>
    <w:tmpl w:val="A78E76F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5FE2979"/>
    <w:multiLevelType w:val="hybridMultilevel"/>
    <w:tmpl w:val="8048BA2E"/>
    <w:lvl w:ilvl="0" w:tplc="CE029B36">
      <w:start w:val="1"/>
      <w:numFmt w:val="bullet"/>
      <w:lvlText w:val="-"/>
      <w:lvlJc w:val="left"/>
      <w:pPr>
        <w:ind w:left="1152" w:hanging="360"/>
      </w:pPr>
      <w:rPr>
        <w:rFonts w:ascii="Times New Roman" w:hAnsi="Times New Roman" w:cs="Times New Roman" w:hint="default"/>
      </w:rPr>
    </w:lvl>
    <w:lvl w:ilvl="1" w:tplc="04060003">
      <w:start w:val="1"/>
      <w:numFmt w:val="bullet"/>
      <w:lvlText w:val="o"/>
      <w:lvlJc w:val="left"/>
      <w:pPr>
        <w:ind w:left="1872" w:hanging="360"/>
      </w:pPr>
      <w:rPr>
        <w:rFonts w:ascii="Courier New" w:hAnsi="Courier New" w:cs="Courier New" w:hint="default"/>
      </w:rPr>
    </w:lvl>
    <w:lvl w:ilvl="2" w:tplc="04060005">
      <w:start w:val="1"/>
      <w:numFmt w:val="bullet"/>
      <w:lvlText w:val=""/>
      <w:lvlJc w:val="left"/>
      <w:pPr>
        <w:ind w:left="2592" w:hanging="360"/>
      </w:pPr>
      <w:rPr>
        <w:rFonts w:ascii="Wingdings" w:hAnsi="Wingdings" w:hint="default"/>
      </w:rPr>
    </w:lvl>
    <w:lvl w:ilvl="3" w:tplc="04060001">
      <w:start w:val="1"/>
      <w:numFmt w:val="bullet"/>
      <w:lvlText w:val=""/>
      <w:lvlJc w:val="left"/>
      <w:pPr>
        <w:ind w:left="3312" w:hanging="360"/>
      </w:pPr>
      <w:rPr>
        <w:rFonts w:ascii="Symbol" w:hAnsi="Symbol" w:hint="default"/>
      </w:rPr>
    </w:lvl>
    <w:lvl w:ilvl="4" w:tplc="04060003">
      <w:start w:val="1"/>
      <w:numFmt w:val="bullet"/>
      <w:lvlText w:val="o"/>
      <w:lvlJc w:val="left"/>
      <w:pPr>
        <w:ind w:left="4032" w:hanging="360"/>
      </w:pPr>
      <w:rPr>
        <w:rFonts w:ascii="Courier New" w:hAnsi="Courier New" w:cs="Courier New" w:hint="default"/>
      </w:rPr>
    </w:lvl>
    <w:lvl w:ilvl="5" w:tplc="04060005">
      <w:start w:val="1"/>
      <w:numFmt w:val="bullet"/>
      <w:lvlText w:val=""/>
      <w:lvlJc w:val="left"/>
      <w:pPr>
        <w:ind w:left="4752" w:hanging="360"/>
      </w:pPr>
      <w:rPr>
        <w:rFonts w:ascii="Wingdings" w:hAnsi="Wingdings" w:hint="default"/>
      </w:rPr>
    </w:lvl>
    <w:lvl w:ilvl="6" w:tplc="04060001">
      <w:start w:val="1"/>
      <w:numFmt w:val="bullet"/>
      <w:lvlText w:val=""/>
      <w:lvlJc w:val="left"/>
      <w:pPr>
        <w:ind w:left="5472" w:hanging="360"/>
      </w:pPr>
      <w:rPr>
        <w:rFonts w:ascii="Symbol" w:hAnsi="Symbol" w:hint="default"/>
      </w:rPr>
    </w:lvl>
    <w:lvl w:ilvl="7" w:tplc="04060003">
      <w:start w:val="1"/>
      <w:numFmt w:val="bullet"/>
      <w:lvlText w:val="o"/>
      <w:lvlJc w:val="left"/>
      <w:pPr>
        <w:ind w:left="6192" w:hanging="360"/>
      </w:pPr>
      <w:rPr>
        <w:rFonts w:ascii="Courier New" w:hAnsi="Courier New" w:cs="Courier New" w:hint="default"/>
      </w:rPr>
    </w:lvl>
    <w:lvl w:ilvl="8" w:tplc="04060005">
      <w:start w:val="1"/>
      <w:numFmt w:val="bullet"/>
      <w:lvlText w:val=""/>
      <w:lvlJc w:val="left"/>
      <w:pPr>
        <w:ind w:left="6912" w:hanging="360"/>
      </w:pPr>
      <w:rPr>
        <w:rFonts w:ascii="Wingdings" w:hAnsi="Wingdings" w:hint="default"/>
      </w:rPr>
    </w:lvl>
  </w:abstractNum>
  <w:abstractNum w:abstractNumId="9" w15:restartNumberingAfterBreak="0">
    <w:nsid w:val="603C1905"/>
    <w:multiLevelType w:val="hybridMultilevel"/>
    <w:tmpl w:val="2354C096"/>
    <w:lvl w:ilvl="0" w:tplc="CE029B36">
      <w:start w:val="1"/>
      <w:numFmt w:val="bullet"/>
      <w:lvlText w:val="-"/>
      <w:lvlJc w:val="left"/>
      <w:pPr>
        <w:ind w:left="720" w:hanging="360"/>
      </w:pPr>
      <w:rPr>
        <w:rFonts w:ascii="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92"/>
    <w:rsid w:val="000259B9"/>
    <w:rsid w:val="00041491"/>
    <w:rsid w:val="00050D16"/>
    <w:rsid w:val="00074F2A"/>
    <w:rsid w:val="000A1CA8"/>
    <w:rsid w:val="000A466B"/>
    <w:rsid w:val="000B058C"/>
    <w:rsid w:val="000C59C6"/>
    <w:rsid w:val="000E4EE6"/>
    <w:rsid w:val="001454E2"/>
    <w:rsid w:val="001E61BE"/>
    <w:rsid w:val="00206CE8"/>
    <w:rsid w:val="0021526C"/>
    <w:rsid w:val="00234EA5"/>
    <w:rsid w:val="00272715"/>
    <w:rsid w:val="002820CE"/>
    <w:rsid w:val="00283A2B"/>
    <w:rsid w:val="002B30AD"/>
    <w:rsid w:val="002C2C01"/>
    <w:rsid w:val="002E576E"/>
    <w:rsid w:val="00362000"/>
    <w:rsid w:val="0037296C"/>
    <w:rsid w:val="003A29AE"/>
    <w:rsid w:val="003A32D7"/>
    <w:rsid w:val="003B4074"/>
    <w:rsid w:val="003C769A"/>
    <w:rsid w:val="003F1838"/>
    <w:rsid w:val="0045746C"/>
    <w:rsid w:val="0049104B"/>
    <w:rsid w:val="004978EE"/>
    <w:rsid w:val="004C46CA"/>
    <w:rsid w:val="004E3B12"/>
    <w:rsid w:val="00506E8A"/>
    <w:rsid w:val="00532310"/>
    <w:rsid w:val="00542014"/>
    <w:rsid w:val="00560CEF"/>
    <w:rsid w:val="00565F0F"/>
    <w:rsid w:val="00594A86"/>
    <w:rsid w:val="00596D86"/>
    <w:rsid w:val="005C7A26"/>
    <w:rsid w:val="00637F5A"/>
    <w:rsid w:val="006560B1"/>
    <w:rsid w:val="006756DD"/>
    <w:rsid w:val="00687715"/>
    <w:rsid w:val="00737275"/>
    <w:rsid w:val="00740EEC"/>
    <w:rsid w:val="0078011A"/>
    <w:rsid w:val="00782AF4"/>
    <w:rsid w:val="00790EE7"/>
    <w:rsid w:val="007913D6"/>
    <w:rsid w:val="007B2EF9"/>
    <w:rsid w:val="007B6649"/>
    <w:rsid w:val="00811EA2"/>
    <w:rsid w:val="00814C97"/>
    <w:rsid w:val="00824092"/>
    <w:rsid w:val="0082576E"/>
    <w:rsid w:val="00907F75"/>
    <w:rsid w:val="009260DE"/>
    <w:rsid w:val="0093258A"/>
    <w:rsid w:val="009504B9"/>
    <w:rsid w:val="009C7BA3"/>
    <w:rsid w:val="009D1F5A"/>
    <w:rsid w:val="00B003BF"/>
    <w:rsid w:val="00B373D7"/>
    <w:rsid w:val="00B45AC3"/>
    <w:rsid w:val="00B518AC"/>
    <w:rsid w:val="00BE4750"/>
    <w:rsid w:val="00C23CDD"/>
    <w:rsid w:val="00C36276"/>
    <w:rsid w:val="00C42586"/>
    <w:rsid w:val="00C60CCD"/>
    <w:rsid w:val="00C61C69"/>
    <w:rsid w:val="00C71B80"/>
    <w:rsid w:val="00C82C73"/>
    <w:rsid w:val="00C84483"/>
    <w:rsid w:val="00C95551"/>
    <w:rsid w:val="00CB20D7"/>
    <w:rsid w:val="00CF34FF"/>
    <w:rsid w:val="00D020B0"/>
    <w:rsid w:val="00D11748"/>
    <w:rsid w:val="00D366CF"/>
    <w:rsid w:val="00DB45F8"/>
    <w:rsid w:val="00E020B0"/>
    <w:rsid w:val="00E108AA"/>
    <w:rsid w:val="00E3749A"/>
    <w:rsid w:val="00E7437F"/>
    <w:rsid w:val="00E865B8"/>
    <w:rsid w:val="00EC0B9B"/>
    <w:rsid w:val="00ED5E9F"/>
    <w:rsid w:val="00F66D4F"/>
    <w:rsid w:val="00FB6D01"/>
    <w:rsid w:val="00FD1AE0"/>
    <w:rsid w:val="00FD48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BA30A"/>
  <w15:chartTrackingRefBased/>
  <w15:docId w15:val="{7D894302-0227-48D1-BB1B-23A6BE6A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814C97"/>
    <w:pPr>
      <w:spacing w:before="120" w:after="120"/>
      <w:jc w:val="both"/>
    </w:pPr>
    <w:rPr>
      <w:sz w:val="22"/>
    </w:rPr>
  </w:style>
  <w:style w:type="paragraph" w:styleId="Listeafsnit">
    <w:name w:val="List Paragraph"/>
    <w:basedOn w:val="Normal"/>
    <w:uiPriority w:val="34"/>
    <w:qFormat/>
    <w:rsid w:val="00814C97"/>
    <w:pPr>
      <w:tabs>
        <w:tab w:val="left" w:pos="567"/>
      </w:tabs>
      <w:spacing w:line="260" w:lineRule="exact"/>
      <w:ind w:left="720"/>
      <w:contextualSpacing/>
    </w:pPr>
    <w:rPr>
      <w:sz w:val="22"/>
    </w:rPr>
  </w:style>
  <w:style w:type="table" w:styleId="Tabel-Gitter">
    <w:name w:val="Table Grid"/>
    <w:basedOn w:val="Tabel-Normal"/>
    <w:rsid w:val="00814C97"/>
    <w:rPr>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5420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4157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4312593">
      <w:bodyDiv w:val="1"/>
      <w:marLeft w:val="0"/>
      <w:marRight w:val="0"/>
      <w:marTop w:val="0"/>
      <w:marBottom w:val="0"/>
      <w:divBdr>
        <w:top w:val="none" w:sz="0" w:space="0" w:color="auto"/>
        <w:left w:val="none" w:sz="0" w:space="0" w:color="auto"/>
        <w:bottom w:val="none" w:sz="0" w:space="0" w:color="auto"/>
        <w:right w:val="none" w:sz="0" w:space="0" w:color="auto"/>
      </w:divBdr>
    </w:div>
    <w:div w:id="332071607">
      <w:bodyDiv w:val="1"/>
      <w:marLeft w:val="0"/>
      <w:marRight w:val="0"/>
      <w:marTop w:val="0"/>
      <w:marBottom w:val="0"/>
      <w:divBdr>
        <w:top w:val="none" w:sz="0" w:space="0" w:color="auto"/>
        <w:left w:val="none" w:sz="0" w:space="0" w:color="auto"/>
        <w:bottom w:val="none" w:sz="0" w:space="0" w:color="auto"/>
        <w:right w:val="none" w:sz="0" w:space="0" w:color="auto"/>
      </w:divBdr>
    </w:div>
    <w:div w:id="350182026">
      <w:bodyDiv w:val="1"/>
      <w:marLeft w:val="0"/>
      <w:marRight w:val="0"/>
      <w:marTop w:val="0"/>
      <w:marBottom w:val="0"/>
      <w:divBdr>
        <w:top w:val="none" w:sz="0" w:space="0" w:color="auto"/>
        <w:left w:val="none" w:sz="0" w:space="0" w:color="auto"/>
        <w:bottom w:val="none" w:sz="0" w:space="0" w:color="auto"/>
        <w:right w:val="none" w:sz="0" w:space="0" w:color="auto"/>
      </w:divBdr>
    </w:div>
    <w:div w:id="356976022">
      <w:bodyDiv w:val="1"/>
      <w:marLeft w:val="0"/>
      <w:marRight w:val="0"/>
      <w:marTop w:val="0"/>
      <w:marBottom w:val="0"/>
      <w:divBdr>
        <w:top w:val="none" w:sz="0" w:space="0" w:color="auto"/>
        <w:left w:val="none" w:sz="0" w:space="0" w:color="auto"/>
        <w:bottom w:val="none" w:sz="0" w:space="0" w:color="auto"/>
        <w:right w:val="none" w:sz="0" w:space="0" w:color="auto"/>
      </w:divBdr>
    </w:div>
    <w:div w:id="506137739">
      <w:bodyDiv w:val="1"/>
      <w:marLeft w:val="0"/>
      <w:marRight w:val="0"/>
      <w:marTop w:val="0"/>
      <w:marBottom w:val="0"/>
      <w:divBdr>
        <w:top w:val="none" w:sz="0" w:space="0" w:color="auto"/>
        <w:left w:val="none" w:sz="0" w:space="0" w:color="auto"/>
        <w:bottom w:val="none" w:sz="0" w:space="0" w:color="auto"/>
        <w:right w:val="none" w:sz="0" w:space="0" w:color="auto"/>
      </w:divBdr>
    </w:div>
    <w:div w:id="544029989">
      <w:bodyDiv w:val="1"/>
      <w:marLeft w:val="0"/>
      <w:marRight w:val="0"/>
      <w:marTop w:val="0"/>
      <w:marBottom w:val="0"/>
      <w:divBdr>
        <w:top w:val="none" w:sz="0" w:space="0" w:color="auto"/>
        <w:left w:val="none" w:sz="0" w:space="0" w:color="auto"/>
        <w:bottom w:val="none" w:sz="0" w:space="0" w:color="auto"/>
        <w:right w:val="none" w:sz="0" w:space="0" w:color="auto"/>
      </w:divBdr>
    </w:div>
    <w:div w:id="579172949">
      <w:bodyDiv w:val="1"/>
      <w:marLeft w:val="0"/>
      <w:marRight w:val="0"/>
      <w:marTop w:val="0"/>
      <w:marBottom w:val="0"/>
      <w:divBdr>
        <w:top w:val="none" w:sz="0" w:space="0" w:color="auto"/>
        <w:left w:val="none" w:sz="0" w:space="0" w:color="auto"/>
        <w:bottom w:val="none" w:sz="0" w:space="0" w:color="auto"/>
        <w:right w:val="none" w:sz="0" w:space="0" w:color="auto"/>
      </w:divBdr>
    </w:div>
    <w:div w:id="591936573">
      <w:bodyDiv w:val="1"/>
      <w:marLeft w:val="0"/>
      <w:marRight w:val="0"/>
      <w:marTop w:val="0"/>
      <w:marBottom w:val="0"/>
      <w:divBdr>
        <w:top w:val="none" w:sz="0" w:space="0" w:color="auto"/>
        <w:left w:val="none" w:sz="0" w:space="0" w:color="auto"/>
        <w:bottom w:val="none" w:sz="0" w:space="0" w:color="auto"/>
        <w:right w:val="none" w:sz="0" w:space="0" w:color="auto"/>
      </w:divBdr>
    </w:div>
    <w:div w:id="667441377">
      <w:bodyDiv w:val="1"/>
      <w:marLeft w:val="0"/>
      <w:marRight w:val="0"/>
      <w:marTop w:val="0"/>
      <w:marBottom w:val="0"/>
      <w:divBdr>
        <w:top w:val="none" w:sz="0" w:space="0" w:color="auto"/>
        <w:left w:val="none" w:sz="0" w:space="0" w:color="auto"/>
        <w:bottom w:val="none" w:sz="0" w:space="0" w:color="auto"/>
        <w:right w:val="none" w:sz="0" w:space="0" w:color="auto"/>
      </w:divBdr>
    </w:div>
    <w:div w:id="710687457">
      <w:bodyDiv w:val="1"/>
      <w:marLeft w:val="0"/>
      <w:marRight w:val="0"/>
      <w:marTop w:val="0"/>
      <w:marBottom w:val="0"/>
      <w:divBdr>
        <w:top w:val="none" w:sz="0" w:space="0" w:color="auto"/>
        <w:left w:val="none" w:sz="0" w:space="0" w:color="auto"/>
        <w:bottom w:val="none" w:sz="0" w:space="0" w:color="auto"/>
        <w:right w:val="none" w:sz="0" w:space="0" w:color="auto"/>
      </w:divBdr>
    </w:div>
    <w:div w:id="792749686">
      <w:bodyDiv w:val="1"/>
      <w:marLeft w:val="0"/>
      <w:marRight w:val="0"/>
      <w:marTop w:val="0"/>
      <w:marBottom w:val="0"/>
      <w:divBdr>
        <w:top w:val="none" w:sz="0" w:space="0" w:color="auto"/>
        <w:left w:val="none" w:sz="0" w:space="0" w:color="auto"/>
        <w:bottom w:val="none" w:sz="0" w:space="0" w:color="auto"/>
        <w:right w:val="none" w:sz="0" w:space="0" w:color="auto"/>
      </w:divBdr>
    </w:div>
    <w:div w:id="1025447212">
      <w:bodyDiv w:val="1"/>
      <w:marLeft w:val="0"/>
      <w:marRight w:val="0"/>
      <w:marTop w:val="0"/>
      <w:marBottom w:val="0"/>
      <w:divBdr>
        <w:top w:val="none" w:sz="0" w:space="0" w:color="auto"/>
        <w:left w:val="none" w:sz="0" w:space="0" w:color="auto"/>
        <w:bottom w:val="none" w:sz="0" w:space="0" w:color="auto"/>
        <w:right w:val="none" w:sz="0" w:space="0" w:color="auto"/>
      </w:divBdr>
    </w:div>
    <w:div w:id="1274703041">
      <w:bodyDiv w:val="1"/>
      <w:marLeft w:val="0"/>
      <w:marRight w:val="0"/>
      <w:marTop w:val="0"/>
      <w:marBottom w:val="0"/>
      <w:divBdr>
        <w:top w:val="none" w:sz="0" w:space="0" w:color="auto"/>
        <w:left w:val="none" w:sz="0" w:space="0" w:color="auto"/>
        <w:bottom w:val="none" w:sz="0" w:space="0" w:color="auto"/>
        <w:right w:val="none" w:sz="0" w:space="0" w:color="auto"/>
      </w:divBdr>
    </w:div>
    <w:div w:id="1546256881">
      <w:bodyDiv w:val="1"/>
      <w:marLeft w:val="0"/>
      <w:marRight w:val="0"/>
      <w:marTop w:val="0"/>
      <w:marBottom w:val="0"/>
      <w:divBdr>
        <w:top w:val="none" w:sz="0" w:space="0" w:color="auto"/>
        <w:left w:val="none" w:sz="0" w:space="0" w:color="auto"/>
        <w:bottom w:val="none" w:sz="0" w:space="0" w:color="auto"/>
        <w:right w:val="none" w:sz="0" w:space="0" w:color="auto"/>
      </w:divBdr>
    </w:div>
    <w:div w:id="1643847224">
      <w:bodyDiv w:val="1"/>
      <w:marLeft w:val="0"/>
      <w:marRight w:val="0"/>
      <w:marTop w:val="0"/>
      <w:marBottom w:val="0"/>
      <w:divBdr>
        <w:top w:val="none" w:sz="0" w:space="0" w:color="auto"/>
        <w:left w:val="none" w:sz="0" w:space="0" w:color="auto"/>
        <w:bottom w:val="none" w:sz="0" w:space="0" w:color="auto"/>
        <w:right w:val="none" w:sz="0" w:space="0" w:color="auto"/>
      </w:divBdr>
    </w:div>
    <w:div w:id="1649094702">
      <w:bodyDiv w:val="1"/>
      <w:marLeft w:val="0"/>
      <w:marRight w:val="0"/>
      <w:marTop w:val="0"/>
      <w:marBottom w:val="0"/>
      <w:divBdr>
        <w:top w:val="none" w:sz="0" w:space="0" w:color="auto"/>
        <w:left w:val="none" w:sz="0" w:space="0" w:color="auto"/>
        <w:bottom w:val="none" w:sz="0" w:space="0" w:color="auto"/>
        <w:right w:val="none" w:sz="0" w:space="0" w:color="auto"/>
      </w:divBdr>
    </w:div>
    <w:div w:id="1794713779">
      <w:bodyDiv w:val="1"/>
      <w:marLeft w:val="0"/>
      <w:marRight w:val="0"/>
      <w:marTop w:val="0"/>
      <w:marBottom w:val="0"/>
      <w:divBdr>
        <w:top w:val="none" w:sz="0" w:space="0" w:color="auto"/>
        <w:left w:val="none" w:sz="0" w:space="0" w:color="auto"/>
        <w:bottom w:val="none" w:sz="0" w:space="0" w:color="auto"/>
        <w:right w:val="none" w:sz="0" w:space="0" w:color="auto"/>
      </w:divBdr>
    </w:div>
    <w:div w:id="1829398380">
      <w:bodyDiv w:val="1"/>
      <w:marLeft w:val="0"/>
      <w:marRight w:val="0"/>
      <w:marTop w:val="0"/>
      <w:marBottom w:val="0"/>
      <w:divBdr>
        <w:top w:val="none" w:sz="0" w:space="0" w:color="auto"/>
        <w:left w:val="none" w:sz="0" w:space="0" w:color="auto"/>
        <w:bottom w:val="none" w:sz="0" w:space="0" w:color="auto"/>
        <w:right w:val="none" w:sz="0" w:space="0" w:color="auto"/>
      </w:divBdr>
    </w:div>
    <w:div w:id="1973049535">
      <w:bodyDiv w:val="1"/>
      <w:marLeft w:val="0"/>
      <w:marRight w:val="0"/>
      <w:marTop w:val="0"/>
      <w:marBottom w:val="0"/>
      <w:divBdr>
        <w:top w:val="none" w:sz="0" w:space="0" w:color="auto"/>
        <w:left w:val="none" w:sz="0" w:space="0" w:color="auto"/>
        <w:bottom w:val="none" w:sz="0" w:space="0" w:color="auto"/>
        <w:right w:val="none" w:sz="0" w:space="0" w:color="auto"/>
      </w:divBdr>
    </w:div>
    <w:div w:id="2089109992">
      <w:bodyDiv w:val="1"/>
      <w:marLeft w:val="0"/>
      <w:marRight w:val="0"/>
      <w:marTop w:val="0"/>
      <w:marBottom w:val="0"/>
      <w:divBdr>
        <w:top w:val="none" w:sz="0" w:space="0" w:color="auto"/>
        <w:left w:val="none" w:sz="0" w:space="0" w:color="auto"/>
        <w:bottom w:val="none" w:sz="0" w:space="0" w:color="auto"/>
        <w:right w:val="none" w:sz="0" w:space="0" w:color="auto"/>
      </w:divBdr>
    </w:div>
    <w:div w:id="2101292903">
      <w:bodyDiv w:val="1"/>
      <w:marLeft w:val="0"/>
      <w:marRight w:val="0"/>
      <w:marTop w:val="0"/>
      <w:marBottom w:val="0"/>
      <w:divBdr>
        <w:top w:val="none" w:sz="0" w:space="0" w:color="auto"/>
        <w:left w:val="none" w:sz="0" w:space="0" w:color="auto"/>
        <w:bottom w:val="none" w:sz="0" w:space="0" w:color="auto"/>
        <w:right w:val="none" w:sz="0" w:space="0" w:color="auto"/>
      </w:divBdr>
    </w:div>
    <w:div w:id="212920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3489</Words>
  <Characters>22340</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2024020434  - pkt. 4.2, 5.1, _x000d_
</dc:description>
  <cp:lastModifiedBy>Line Aaboe Würtz</cp:lastModifiedBy>
  <cp:revision>4</cp:revision>
  <cp:lastPrinted>2012-08-22T08:53:00Z</cp:lastPrinted>
  <dcterms:created xsi:type="dcterms:W3CDTF">2024-12-20T04:02:00Z</dcterms:created>
  <dcterms:modified xsi:type="dcterms:W3CDTF">2025-01-06T02:01:00Z</dcterms:modified>
</cp:coreProperties>
</file>