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AF89F" w14:textId="1F47785A" w:rsidR="009260DE" w:rsidRPr="001F31FB" w:rsidRDefault="0021526C" w:rsidP="001F31FB">
      <w:pPr>
        <w:rPr>
          <w:b/>
          <w:sz w:val="24"/>
          <w:szCs w:val="24"/>
        </w:rPr>
      </w:pPr>
      <w:bookmarkStart w:id="0" w:name="_GoBack"/>
      <w:bookmarkEnd w:id="0"/>
      <w:r w:rsidRPr="001F31FB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35D376A6" wp14:editId="0C7B7CF3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1F31FB">
        <w:rPr>
          <w:sz w:val="24"/>
          <w:szCs w:val="24"/>
        </w:rPr>
        <w:br w:type="textWrapping" w:clear="all"/>
      </w:r>
    </w:p>
    <w:p w14:paraId="64F0D136" w14:textId="77B0083A" w:rsidR="009260DE" w:rsidRPr="001F31FB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1F31FB">
        <w:rPr>
          <w:b w:val="0"/>
          <w:szCs w:val="24"/>
          <w:lang w:eastAsia="en-US"/>
        </w:rPr>
        <w:tab/>
      </w:r>
      <w:r w:rsidR="00DC00EA">
        <w:rPr>
          <w:szCs w:val="24"/>
        </w:rPr>
        <w:t>7. januar 2025</w:t>
      </w:r>
    </w:p>
    <w:p w14:paraId="05970293" w14:textId="77777777" w:rsidR="009260DE" w:rsidRPr="001F31FB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0D4A81D8" w14:textId="77777777" w:rsidR="009260DE" w:rsidRPr="001F31FB" w:rsidRDefault="009260DE" w:rsidP="009260DE">
      <w:pPr>
        <w:pStyle w:val="Titel"/>
        <w:jc w:val="left"/>
        <w:rPr>
          <w:b w:val="0"/>
          <w:szCs w:val="24"/>
        </w:rPr>
      </w:pPr>
    </w:p>
    <w:p w14:paraId="7E63F709" w14:textId="77777777" w:rsidR="009260DE" w:rsidRPr="001F31FB" w:rsidRDefault="009260DE" w:rsidP="009260DE">
      <w:pPr>
        <w:pStyle w:val="Titel"/>
        <w:jc w:val="left"/>
        <w:rPr>
          <w:b w:val="0"/>
          <w:szCs w:val="24"/>
        </w:rPr>
      </w:pPr>
    </w:p>
    <w:p w14:paraId="5C08FD9E" w14:textId="77777777" w:rsidR="009260DE" w:rsidRPr="001F31FB" w:rsidRDefault="009260DE" w:rsidP="009260DE">
      <w:pPr>
        <w:jc w:val="center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PRODUKTRESUMÉ</w:t>
      </w:r>
    </w:p>
    <w:p w14:paraId="5FF67F39" w14:textId="77777777" w:rsidR="009260DE" w:rsidRPr="001F31FB" w:rsidRDefault="009260DE" w:rsidP="009260DE">
      <w:pPr>
        <w:jc w:val="center"/>
        <w:rPr>
          <w:b/>
          <w:sz w:val="24"/>
          <w:szCs w:val="24"/>
        </w:rPr>
      </w:pPr>
    </w:p>
    <w:p w14:paraId="0E7B8BF8" w14:textId="77777777" w:rsidR="009260DE" w:rsidRPr="001F31FB" w:rsidRDefault="009260DE" w:rsidP="009260DE">
      <w:pPr>
        <w:jc w:val="center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for</w:t>
      </w:r>
    </w:p>
    <w:p w14:paraId="34B56FE7" w14:textId="77777777" w:rsidR="000B058C" w:rsidRPr="001F31FB" w:rsidRDefault="000B058C" w:rsidP="009260DE">
      <w:pPr>
        <w:jc w:val="center"/>
        <w:rPr>
          <w:b/>
          <w:sz w:val="24"/>
          <w:szCs w:val="24"/>
        </w:rPr>
      </w:pPr>
    </w:p>
    <w:p w14:paraId="2F92BD59" w14:textId="01BE9C83" w:rsidR="009260DE" w:rsidRPr="001F31FB" w:rsidRDefault="00F92414" w:rsidP="009260DE">
      <w:pPr>
        <w:jc w:val="center"/>
        <w:rPr>
          <w:b/>
          <w:sz w:val="24"/>
          <w:szCs w:val="24"/>
        </w:rPr>
      </w:pPr>
      <w:proofErr w:type="spellStart"/>
      <w:r w:rsidRPr="001F31FB">
        <w:rPr>
          <w:b/>
          <w:sz w:val="24"/>
          <w:szCs w:val="24"/>
        </w:rPr>
        <w:t>Aciclovir</w:t>
      </w:r>
      <w:proofErr w:type="spellEnd"/>
      <w:r w:rsidRPr="001F31FB">
        <w:rPr>
          <w:b/>
          <w:sz w:val="24"/>
          <w:szCs w:val="24"/>
        </w:rPr>
        <w:t xml:space="preserve"> "Noridem", pulver til infusionsvæske, opløsning</w:t>
      </w:r>
    </w:p>
    <w:p w14:paraId="2B76BD4D" w14:textId="77777777" w:rsidR="009260DE" w:rsidRPr="001F31FB" w:rsidRDefault="009260DE" w:rsidP="009260DE">
      <w:pPr>
        <w:jc w:val="both"/>
        <w:rPr>
          <w:sz w:val="24"/>
          <w:szCs w:val="24"/>
        </w:rPr>
      </w:pPr>
    </w:p>
    <w:p w14:paraId="0548EEC5" w14:textId="77777777" w:rsidR="009260DE" w:rsidRPr="001F31FB" w:rsidRDefault="009260DE" w:rsidP="009260DE">
      <w:pPr>
        <w:jc w:val="both"/>
        <w:rPr>
          <w:sz w:val="24"/>
          <w:szCs w:val="24"/>
        </w:rPr>
      </w:pPr>
    </w:p>
    <w:p w14:paraId="59FCAD18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0.</w:t>
      </w:r>
      <w:r w:rsidRPr="001F31FB">
        <w:rPr>
          <w:b/>
          <w:sz w:val="24"/>
          <w:szCs w:val="24"/>
        </w:rPr>
        <w:tab/>
        <w:t>D.SP.NR.</w:t>
      </w:r>
    </w:p>
    <w:p w14:paraId="4D894E08" w14:textId="60622FD6" w:rsidR="009260DE" w:rsidRPr="001F31FB" w:rsidRDefault="00F92414" w:rsidP="009260DE">
      <w:pPr>
        <w:tabs>
          <w:tab w:val="left" w:pos="851"/>
        </w:tabs>
        <w:ind w:left="851"/>
        <w:rPr>
          <w:sz w:val="24"/>
          <w:szCs w:val="24"/>
        </w:rPr>
      </w:pPr>
      <w:r w:rsidRPr="001F31FB">
        <w:rPr>
          <w:sz w:val="24"/>
          <w:szCs w:val="24"/>
        </w:rPr>
        <w:t>34135</w:t>
      </w:r>
    </w:p>
    <w:p w14:paraId="27835A5B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52E198A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1.</w:t>
      </w:r>
      <w:r w:rsidRPr="001F31FB">
        <w:rPr>
          <w:b/>
          <w:sz w:val="24"/>
          <w:szCs w:val="24"/>
        </w:rPr>
        <w:tab/>
        <w:t>LÆGEMIDLETS NAVN</w:t>
      </w:r>
    </w:p>
    <w:p w14:paraId="0496C417" w14:textId="5376DB95" w:rsidR="009260DE" w:rsidRPr="001F31FB" w:rsidRDefault="00F92414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"Noridem"</w:t>
      </w:r>
    </w:p>
    <w:p w14:paraId="26ED4AB3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8576C2C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2.</w:t>
      </w:r>
      <w:r w:rsidRPr="001F31FB">
        <w:rPr>
          <w:b/>
          <w:sz w:val="24"/>
          <w:szCs w:val="24"/>
        </w:rPr>
        <w:tab/>
        <w:t>KVALITATIV OG KVANTITATIV SAMMENSÆTNING</w:t>
      </w:r>
    </w:p>
    <w:p w14:paraId="2BAEC85D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Hvert hætteglas indeholder 250 mg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(som natriumsalt).</w:t>
      </w:r>
    </w:p>
    <w:p w14:paraId="6B494F74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Hvert hætteglas indeholder 500 mg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(som natriumsalt).</w:t>
      </w:r>
    </w:p>
    <w:p w14:paraId="767A13C4" w14:textId="77777777" w:rsidR="0026765F" w:rsidRPr="001F31FB" w:rsidRDefault="0026765F" w:rsidP="001F31FB">
      <w:pPr>
        <w:ind w:left="851"/>
        <w:rPr>
          <w:sz w:val="24"/>
          <w:szCs w:val="24"/>
        </w:rPr>
      </w:pPr>
    </w:p>
    <w:p w14:paraId="44554582" w14:textId="77777777" w:rsidR="0026765F" w:rsidRPr="001F31FB" w:rsidRDefault="0026765F" w:rsidP="001F31FB">
      <w:pPr>
        <w:ind w:left="851"/>
        <w:rPr>
          <w:color w:val="000000"/>
          <w:sz w:val="24"/>
          <w:szCs w:val="24"/>
          <w:lang w:bidi="en-US"/>
        </w:rPr>
      </w:pPr>
      <w:r w:rsidRPr="001F31FB">
        <w:rPr>
          <w:sz w:val="24"/>
          <w:szCs w:val="24"/>
          <w:u w:val="single"/>
        </w:rPr>
        <w:t>Hjælpestof(fer), som behandleren skal være opmærksom på</w:t>
      </w:r>
    </w:p>
    <w:p w14:paraId="16585715" w14:textId="77777777" w:rsidR="0026765F" w:rsidRPr="001F31FB" w:rsidRDefault="0026765F" w:rsidP="001F31FB">
      <w:pPr>
        <w:ind w:left="851"/>
        <w:rPr>
          <w:rFonts w:eastAsia="Calibri"/>
          <w:sz w:val="24"/>
          <w:szCs w:val="24"/>
        </w:rPr>
      </w:pPr>
      <w:r w:rsidRPr="001F31FB">
        <w:rPr>
          <w:sz w:val="24"/>
          <w:szCs w:val="24"/>
        </w:rPr>
        <w:t xml:space="preserve">Dette lægemiddel indeholder 1,14 mmol (eller 26,1 mg) natrium pr. hætteglas. </w:t>
      </w:r>
    </w:p>
    <w:p w14:paraId="561185B6" w14:textId="77777777" w:rsidR="0026765F" w:rsidRPr="001F31FB" w:rsidRDefault="0026765F" w:rsidP="001F31FB">
      <w:pPr>
        <w:ind w:left="851"/>
        <w:rPr>
          <w:rFonts w:eastAsia="Calibri"/>
          <w:sz w:val="24"/>
          <w:szCs w:val="24"/>
        </w:rPr>
      </w:pPr>
      <w:r w:rsidRPr="001F31FB">
        <w:rPr>
          <w:sz w:val="24"/>
          <w:szCs w:val="24"/>
        </w:rPr>
        <w:t xml:space="preserve">Dette lægemiddel indeholder 2,27 mmol (eller 52,2 mg) natrium pr. hætteglas.  </w:t>
      </w:r>
    </w:p>
    <w:p w14:paraId="79438316" w14:textId="77777777" w:rsidR="0026765F" w:rsidRPr="001F31FB" w:rsidRDefault="0026765F" w:rsidP="001F31FB">
      <w:pPr>
        <w:ind w:left="851"/>
        <w:rPr>
          <w:rFonts w:eastAsia="Courier New"/>
          <w:sz w:val="24"/>
          <w:szCs w:val="24"/>
        </w:rPr>
      </w:pPr>
    </w:p>
    <w:p w14:paraId="2E08D961" w14:textId="77777777" w:rsidR="0026765F" w:rsidRPr="001F31FB" w:rsidRDefault="0026765F" w:rsidP="001F31FB">
      <w:pPr>
        <w:ind w:left="851"/>
        <w:rPr>
          <w:color w:val="000000"/>
          <w:sz w:val="24"/>
          <w:szCs w:val="24"/>
          <w:lang w:bidi="en-US"/>
        </w:rPr>
      </w:pPr>
      <w:r w:rsidRPr="001F31FB">
        <w:rPr>
          <w:sz w:val="24"/>
          <w:szCs w:val="24"/>
        </w:rPr>
        <w:t>Alle hjælpestoffer er anført under pkt. 6.1.</w:t>
      </w:r>
    </w:p>
    <w:p w14:paraId="73561BE0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97847ED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3.</w:t>
      </w:r>
      <w:r w:rsidRPr="001F31FB">
        <w:rPr>
          <w:b/>
          <w:sz w:val="24"/>
          <w:szCs w:val="24"/>
        </w:rPr>
        <w:tab/>
        <w:t>LÆGEMIDDELFORM</w:t>
      </w:r>
    </w:p>
    <w:p w14:paraId="608751CF" w14:textId="462F1ECE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Pulver til infusionsvæske, opløsning</w:t>
      </w:r>
    </w:p>
    <w:p w14:paraId="425A649D" w14:textId="77777777" w:rsidR="0026765F" w:rsidRPr="001F31FB" w:rsidRDefault="0026765F" w:rsidP="001F31FB">
      <w:pPr>
        <w:ind w:left="851"/>
        <w:rPr>
          <w:sz w:val="24"/>
          <w:szCs w:val="24"/>
        </w:rPr>
      </w:pPr>
    </w:p>
    <w:p w14:paraId="20D2C2E3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Hvidt til råhvidt pulver. </w:t>
      </w:r>
    </w:p>
    <w:p w14:paraId="1E994ECB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A707F8F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8DA8B88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4.</w:t>
      </w:r>
      <w:r w:rsidRPr="001F31FB">
        <w:rPr>
          <w:b/>
          <w:sz w:val="24"/>
          <w:szCs w:val="24"/>
        </w:rPr>
        <w:tab/>
        <w:t>KLINISKE OPLYSNINGER</w:t>
      </w:r>
    </w:p>
    <w:p w14:paraId="0327C08B" w14:textId="77777777" w:rsidR="009260DE" w:rsidRPr="001F31FB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271249B2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1F31FB">
        <w:rPr>
          <w:b/>
          <w:sz w:val="24"/>
          <w:szCs w:val="24"/>
        </w:rPr>
        <w:t>4.1</w:t>
      </w:r>
      <w:r w:rsidRPr="001F31FB">
        <w:rPr>
          <w:b/>
          <w:sz w:val="24"/>
          <w:szCs w:val="24"/>
        </w:rPr>
        <w:tab/>
        <w:t>Terapeutiske indikationer</w:t>
      </w:r>
    </w:p>
    <w:p w14:paraId="005F8473" w14:textId="6688A510" w:rsidR="0026765F" w:rsidRDefault="0026765F" w:rsidP="001F31FB">
      <w:pPr>
        <w:ind w:left="851"/>
        <w:rPr>
          <w:sz w:val="24"/>
          <w:szCs w:val="24"/>
        </w:rPr>
      </w:pP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</w:t>
      </w:r>
      <w:r w:rsidR="00415E2D">
        <w:rPr>
          <w:sz w:val="24"/>
          <w:szCs w:val="24"/>
        </w:rPr>
        <w:t>"Noridem"</w:t>
      </w:r>
      <w:r w:rsidRPr="001F31FB">
        <w:rPr>
          <w:sz w:val="24"/>
          <w:szCs w:val="24"/>
        </w:rPr>
        <w:t xml:space="preserve"> er indiceret hos immunsupprimerede patienter til behandling af:</w:t>
      </w:r>
    </w:p>
    <w:p w14:paraId="4501441E" w14:textId="77777777" w:rsidR="00D84EB2" w:rsidRPr="001F31FB" w:rsidRDefault="00D84EB2" w:rsidP="001F31FB">
      <w:pPr>
        <w:ind w:left="851"/>
        <w:rPr>
          <w:bCs/>
          <w:sz w:val="24"/>
          <w:szCs w:val="24"/>
        </w:rPr>
      </w:pPr>
    </w:p>
    <w:p w14:paraId="6B68DAB5" w14:textId="5EA33DF2" w:rsidR="0026765F" w:rsidRPr="00D84EB2" w:rsidRDefault="0026765F" w:rsidP="00D84EB2">
      <w:pPr>
        <w:pStyle w:val="Listeafsnit"/>
        <w:numPr>
          <w:ilvl w:val="0"/>
          <w:numId w:val="10"/>
        </w:numPr>
        <w:ind w:left="1276" w:hanging="425"/>
        <w:rPr>
          <w:rFonts w:ascii="Times New Roman" w:eastAsia="Verdana" w:hAnsi="Times New Roman" w:cs="Times New Roman"/>
          <w:lang w:val="sv-SE"/>
        </w:rPr>
      </w:pPr>
      <w:r w:rsidRPr="00D84EB2">
        <w:rPr>
          <w:rFonts w:ascii="Times New Roman" w:hAnsi="Times New Roman" w:cs="Times New Roman"/>
          <w:lang w:val="sv-SE"/>
        </w:rPr>
        <w:t xml:space="preserve">Infektioner med </w:t>
      </w:r>
      <w:proofErr w:type="spellStart"/>
      <w:r w:rsidRPr="00D84EB2">
        <w:rPr>
          <w:rFonts w:ascii="Times New Roman" w:hAnsi="Times New Roman" w:cs="Times New Roman"/>
          <w:i/>
          <w:lang w:val="sv-SE"/>
        </w:rPr>
        <w:t>varicella</w:t>
      </w:r>
      <w:proofErr w:type="spellEnd"/>
      <w:r w:rsidRPr="00D84EB2">
        <w:rPr>
          <w:rFonts w:ascii="Times New Roman" w:hAnsi="Times New Roman" w:cs="Times New Roman"/>
          <w:i/>
          <w:lang w:val="sv-SE"/>
        </w:rPr>
        <w:t> </w:t>
      </w:r>
      <w:proofErr w:type="spellStart"/>
      <w:r w:rsidRPr="00D84EB2">
        <w:rPr>
          <w:rFonts w:ascii="Times New Roman" w:hAnsi="Times New Roman" w:cs="Times New Roman"/>
          <w:i/>
          <w:lang w:val="sv-SE"/>
        </w:rPr>
        <w:t>zoster</w:t>
      </w:r>
      <w:proofErr w:type="spellEnd"/>
      <w:r w:rsidRPr="00D84EB2">
        <w:rPr>
          <w:rFonts w:ascii="Times New Roman" w:hAnsi="Times New Roman" w:cs="Times New Roman"/>
          <w:lang w:val="sv-SE"/>
        </w:rPr>
        <w:t>-virus (VZV)</w:t>
      </w:r>
    </w:p>
    <w:p w14:paraId="309B5508" w14:textId="45F52AB5" w:rsidR="0026765F" w:rsidRPr="00D84EB2" w:rsidRDefault="0026765F" w:rsidP="00D84EB2">
      <w:pPr>
        <w:pStyle w:val="Listeafsnit"/>
        <w:numPr>
          <w:ilvl w:val="0"/>
          <w:numId w:val="10"/>
        </w:numPr>
        <w:ind w:left="1276" w:hanging="425"/>
        <w:rPr>
          <w:rFonts w:ascii="Times New Roman" w:hAnsi="Times New Roman" w:cs="Times New Roman"/>
        </w:rPr>
      </w:pPr>
      <w:r w:rsidRPr="00D84EB2">
        <w:rPr>
          <w:rFonts w:ascii="Times New Roman" w:hAnsi="Times New Roman" w:cs="Times New Roman"/>
        </w:rPr>
        <w:t xml:space="preserve">Infektioner med </w:t>
      </w:r>
      <w:r w:rsidRPr="00D84EB2">
        <w:rPr>
          <w:rFonts w:ascii="Times New Roman" w:hAnsi="Times New Roman" w:cs="Times New Roman"/>
          <w:i/>
        </w:rPr>
        <w:t>herpes </w:t>
      </w:r>
      <w:proofErr w:type="spellStart"/>
      <w:r w:rsidRPr="00D84EB2">
        <w:rPr>
          <w:rFonts w:ascii="Times New Roman" w:hAnsi="Times New Roman" w:cs="Times New Roman"/>
          <w:i/>
        </w:rPr>
        <w:t>simplex</w:t>
      </w:r>
      <w:proofErr w:type="spellEnd"/>
      <w:r w:rsidRPr="00D84EB2">
        <w:rPr>
          <w:rFonts w:ascii="Times New Roman" w:hAnsi="Times New Roman" w:cs="Times New Roman"/>
        </w:rPr>
        <w:t>-virus (HSV)</w:t>
      </w:r>
    </w:p>
    <w:p w14:paraId="5219DEC2" w14:textId="77777777" w:rsidR="0026765F" w:rsidRPr="001F31FB" w:rsidRDefault="0026765F" w:rsidP="001F31FB">
      <w:pPr>
        <w:ind w:left="851"/>
        <w:rPr>
          <w:sz w:val="24"/>
          <w:szCs w:val="24"/>
        </w:rPr>
      </w:pPr>
    </w:p>
    <w:p w14:paraId="4583A3EC" w14:textId="33F5C7E1" w:rsidR="0026765F" w:rsidRPr="001F31FB" w:rsidRDefault="0026765F" w:rsidP="001F31FB">
      <w:pPr>
        <w:ind w:left="851"/>
        <w:rPr>
          <w:sz w:val="24"/>
          <w:szCs w:val="24"/>
        </w:rPr>
      </w:pP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</w:t>
      </w:r>
      <w:r w:rsidR="00415E2D">
        <w:rPr>
          <w:sz w:val="24"/>
          <w:szCs w:val="24"/>
        </w:rPr>
        <w:t>"Noridem"</w:t>
      </w:r>
      <w:r w:rsidRPr="001F31FB">
        <w:rPr>
          <w:sz w:val="24"/>
          <w:szCs w:val="24"/>
        </w:rPr>
        <w:t xml:space="preserve"> er indiceret hos immunkompetente patienter til behandling af:</w:t>
      </w:r>
    </w:p>
    <w:p w14:paraId="58827671" w14:textId="77777777" w:rsidR="00D84EB2" w:rsidRDefault="00D84EB2" w:rsidP="001F31FB">
      <w:pPr>
        <w:ind w:left="851"/>
        <w:rPr>
          <w:sz w:val="24"/>
          <w:szCs w:val="24"/>
          <w:u w:val="single"/>
        </w:rPr>
      </w:pPr>
    </w:p>
    <w:p w14:paraId="663480B4" w14:textId="28EE4965" w:rsidR="0026765F" w:rsidRPr="001F31FB" w:rsidRDefault="0026765F" w:rsidP="001F31FB">
      <w:pPr>
        <w:ind w:left="851"/>
        <w:rPr>
          <w:iCs/>
          <w:sz w:val="24"/>
          <w:szCs w:val="24"/>
          <w:u w:val="single"/>
        </w:rPr>
      </w:pPr>
      <w:r w:rsidRPr="001F31FB">
        <w:rPr>
          <w:sz w:val="24"/>
          <w:szCs w:val="24"/>
          <w:u w:val="single"/>
        </w:rPr>
        <w:t>VZV-infektioner</w:t>
      </w:r>
    </w:p>
    <w:p w14:paraId="39B070D6" w14:textId="77777777" w:rsidR="00D84EB2" w:rsidRDefault="00D84EB2" w:rsidP="001F31FB">
      <w:pPr>
        <w:ind w:left="851"/>
        <w:rPr>
          <w:sz w:val="24"/>
          <w:szCs w:val="24"/>
        </w:rPr>
      </w:pPr>
    </w:p>
    <w:p w14:paraId="073A6FC8" w14:textId="2006A338" w:rsidR="0026765F" w:rsidRPr="00D84EB2" w:rsidRDefault="0026765F" w:rsidP="00D84EB2">
      <w:pPr>
        <w:pStyle w:val="Listeafsnit"/>
        <w:numPr>
          <w:ilvl w:val="0"/>
          <w:numId w:val="11"/>
        </w:numPr>
        <w:ind w:left="1276" w:hanging="425"/>
        <w:rPr>
          <w:rFonts w:ascii="Times New Roman" w:hAnsi="Times New Roman" w:cs="Times New Roman"/>
          <w:i/>
          <w:iCs/>
          <w:u w:val="single"/>
        </w:rPr>
      </w:pPr>
      <w:r w:rsidRPr="00D84EB2">
        <w:rPr>
          <w:rFonts w:ascii="Times New Roman" w:hAnsi="Times New Roman" w:cs="Times New Roman"/>
        </w:rPr>
        <w:t xml:space="preserve">Alvorlig herpes </w:t>
      </w:r>
      <w:proofErr w:type="spellStart"/>
      <w:r w:rsidRPr="00D84EB2">
        <w:rPr>
          <w:rFonts w:ascii="Times New Roman" w:hAnsi="Times New Roman" w:cs="Times New Roman"/>
        </w:rPr>
        <w:t>zoster</w:t>
      </w:r>
      <w:proofErr w:type="spellEnd"/>
      <w:r w:rsidRPr="00D84EB2">
        <w:rPr>
          <w:rFonts w:ascii="Times New Roman" w:hAnsi="Times New Roman" w:cs="Times New Roman"/>
        </w:rPr>
        <w:t xml:space="preserve"> på grund af omfanget af læsioner eller disses progressionsevne</w:t>
      </w:r>
    </w:p>
    <w:p w14:paraId="67DEFED5" w14:textId="77777777" w:rsidR="0026765F" w:rsidRPr="00D84EB2" w:rsidRDefault="0026765F" w:rsidP="00D84EB2">
      <w:pPr>
        <w:pStyle w:val="Listeafsnit"/>
        <w:numPr>
          <w:ilvl w:val="0"/>
          <w:numId w:val="11"/>
        </w:numPr>
        <w:ind w:left="1276" w:hanging="425"/>
        <w:rPr>
          <w:rFonts w:ascii="Times New Roman" w:hAnsi="Times New Roman" w:cs="Times New Roman"/>
          <w:i/>
          <w:iCs/>
          <w:u w:val="single"/>
        </w:rPr>
      </w:pPr>
      <w:r w:rsidRPr="00D84EB2">
        <w:rPr>
          <w:rFonts w:ascii="Times New Roman" w:hAnsi="Times New Roman" w:cs="Times New Roman"/>
        </w:rPr>
        <w:lastRenderedPageBreak/>
        <w:t>Skoldkopper hos gravide kvinder, hvor udslættet opstår 8</w:t>
      </w:r>
      <w:r w:rsidRPr="00D84EB2">
        <w:rPr>
          <w:rFonts w:ascii="Times New Roman" w:hAnsi="Times New Roman" w:cs="Times New Roman"/>
        </w:rPr>
        <w:noBreakHyphen/>
        <w:t>10 dage før fødslen</w:t>
      </w:r>
    </w:p>
    <w:p w14:paraId="70E30D8A" w14:textId="77777777" w:rsidR="0026765F" w:rsidRPr="00D84EB2" w:rsidRDefault="0026765F" w:rsidP="00D84EB2">
      <w:pPr>
        <w:pStyle w:val="Listeafsnit"/>
        <w:numPr>
          <w:ilvl w:val="0"/>
          <w:numId w:val="11"/>
        </w:numPr>
        <w:ind w:left="1276" w:hanging="425"/>
        <w:rPr>
          <w:rFonts w:ascii="Times New Roman" w:hAnsi="Times New Roman" w:cs="Times New Roman"/>
          <w:i/>
          <w:iCs/>
          <w:u w:val="single"/>
        </w:rPr>
      </w:pPr>
      <w:proofErr w:type="spellStart"/>
      <w:r w:rsidRPr="00D84EB2">
        <w:rPr>
          <w:rFonts w:ascii="Times New Roman" w:hAnsi="Times New Roman" w:cs="Times New Roman"/>
        </w:rPr>
        <w:t>Varicella</w:t>
      </w:r>
      <w:proofErr w:type="spellEnd"/>
      <w:r w:rsidRPr="00D84EB2">
        <w:rPr>
          <w:rFonts w:ascii="Times New Roman" w:hAnsi="Times New Roman" w:cs="Times New Roman"/>
        </w:rPr>
        <w:t xml:space="preserve"> hos nyfødte</w:t>
      </w:r>
    </w:p>
    <w:p w14:paraId="518B5101" w14:textId="77777777" w:rsidR="0026765F" w:rsidRPr="00D84EB2" w:rsidRDefault="0026765F" w:rsidP="00D84EB2">
      <w:pPr>
        <w:pStyle w:val="Listeafsnit"/>
        <w:numPr>
          <w:ilvl w:val="0"/>
          <w:numId w:val="11"/>
        </w:numPr>
        <w:ind w:left="1276" w:hanging="425"/>
        <w:rPr>
          <w:rFonts w:ascii="Times New Roman" w:hAnsi="Times New Roman" w:cs="Times New Roman"/>
          <w:i/>
          <w:iCs/>
          <w:u w:val="single"/>
        </w:rPr>
      </w:pPr>
      <w:r w:rsidRPr="00D84EB2">
        <w:rPr>
          <w:rFonts w:ascii="Times New Roman" w:hAnsi="Times New Roman" w:cs="Times New Roman"/>
        </w:rPr>
        <w:t>Behandling af nyfødte før udslæt, hvis moderen fik skoldkopper inden for 5 dage før og 2 dage efter fødslen</w:t>
      </w:r>
    </w:p>
    <w:p w14:paraId="68AF8687" w14:textId="77777777" w:rsidR="0026765F" w:rsidRPr="00D84EB2" w:rsidRDefault="0026765F" w:rsidP="00D84EB2">
      <w:pPr>
        <w:pStyle w:val="Listeafsnit"/>
        <w:numPr>
          <w:ilvl w:val="0"/>
          <w:numId w:val="11"/>
        </w:numPr>
        <w:ind w:left="1276" w:hanging="425"/>
        <w:rPr>
          <w:rFonts w:ascii="Times New Roman" w:hAnsi="Times New Roman" w:cs="Times New Roman"/>
          <w:i/>
          <w:iCs/>
          <w:u w:val="single"/>
        </w:rPr>
      </w:pPr>
      <w:r w:rsidRPr="00D84EB2">
        <w:rPr>
          <w:rFonts w:ascii="Times New Roman" w:hAnsi="Times New Roman" w:cs="Times New Roman"/>
        </w:rPr>
        <w:t>Alvorlige former for skoldkopper hos børn under 1 år</w:t>
      </w:r>
    </w:p>
    <w:p w14:paraId="30C8C9DA" w14:textId="77777777" w:rsidR="0026765F" w:rsidRPr="00D84EB2" w:rsidRDefault="0026765F" w:rsidP="00D84EB2">
      <w:pPr>
        <w:pStyle w:val="Listeafsnit"/>
        <w:numPr>
          <w:ilvl w:val="0"/>
          <w:numId w:val="11"/>
        </w:numPr>
        <w:ind w:left="1276" w:hanging="425"/>
        <w:rPr>
          <w:rFonts w:ascii="Times New Roman" w:hAnsi="Times New Roman" w:cs="Times New Roman"/>
          <w:i/>
          <w:iCs/>
          <w:u w:val="single"/>
        </w:rPr>
      </w:pPr>
      <w:r w:rsidRPr="00D84EB2">
        <w:rPr>
          <w:rFonts w:ascii="Times New Roman" w:hAnsi="Times New Roman" w:cs="Times New Roman"/>
        </w:rPr>
        <w:t xml:space="preserve">Komplicerede skoldkopper, særligt </w:t>
      </w:r>
      <w:proofErr w:type="spellStart"/>
      <w:r w:rsidRPr="00D84EB2">
        <w:rPr>
          <w:rFonts w:ascii="Times New Roman" w:hAnsi="Times New Roman" w:cs="Times New Roman"/>
        </w:rPr>
        <w:t>varicellapneumoni</w:t>
      </w:r>
      <w:proofErr w:type="spellEnd"/>
      <w:r w:rsidRPr="00D84EB2">
        <w:rPr>
          <w:rFonts w:ascii="Times New Roman" w:hAnsi="Times New Roman" w:cs="Times New Roman"/>
        </w:rPr>
        <w:t>.</w:t>
      </w:r>
    </w:p>
    <w:p w14:paraId="59E466D3" w14:textId="77777777" w:rsidR="00D84EB2" w:rsidRDefault="00D84EB2" w:rsidP="001F31FB">
      <w:pPr>
        <w:ind w:left="851"/>
        <w:rPr>
          <w:sz w:val="24"/>
          <w:szCs w:val="24"/>
          <w:u w:val="single"/>
        </w:rPr>
      </w:pPr>
    </w:p>
    <w:p w14:paraId="21F47DC0" w14:textId="267B0E68" w:rsidR="0026765F" w:rsidRPr="001F31FB" w:rsidRDefault="0026765F" w:rsidP="001F31FB">
      <w:pPr>
        <w:ind w:left="851"/>
        <w:rPr>
          <w:iCs/>
          <w:sz w:val="24"/>
          <w:szCs w:val="24"/>
          <w:u w:val="single"/>
        </w:rPr>
      </w:pPr>
      <w:r w:rsidRPr="001F31FB">
        <w:rPr>
          <w:sz w:val="24"/>
          <w:szCs w:val="24"/>
          <w:u w:val="single"/>
        </w:rPr>
        <w:t>HSV-infektioner</w:t>
      </w:r>
    </w:p>
    <w:p w14:paraId="627CD8A6" w14:textId="77777777" w:rsidR="00D84EB2" w:rsidRDefault="00D84EB2" w:rsidP="001F31FB">
      <w:pPr>
        <w:ind w:left="851"/>
        <w:rPr>
          <w:sz w:val="24"/>
          <w:szCs w:val="24"/>
        </w:rPr>
      </w:pPr>
    </w:p>
    <w:p w14:paraId="3B88E227" w14:textId="2A498B97" w:rsidR="0026765F" w:rsidRPr="00D84EB2" w:rsidRDefault="0026765F" w:rsidP="00D84EB2">
      <w:pPr>
        <w:pStyle w:val="Listeafsnit"/>
        <w:numPr>
          <w:ilvl w:val="0"/>
          <w:numId w:val="12"/>
        </w:numPr>
        <w:ind w:left="1276" w:hanging="425"/>
        <w:rPr>
          <w:rFonts w:ascii="Times New Roman" w:hAnsi="Times New Roman" w:cs="Times New Roman"/>
          <w:i/>
          <w:u w:val="single"/>
        </w:rPr>
      </w:pPr>
      <w:r w:rsidRPr="00D84EB2">
        <w:rPr>
          <w:rFonts w:ascii="Times New Roman" w:hAnsi="Times New Roman" w:cs="Times New Roman"/>
        </w:rPr>
        <w:t xml:space="preserve">Svær primær herpes </w:t>
      </w:r>
      <w:proofErr w:type="spellStart"/>
      <w:r w:rsidRPr="00D84EB2">
        <w:rPr>
          <w:rFonts w:ascii="Times New Roman" w:hAnsi="Times New Roman" w:cs="Times New Roman"/>
        </w:rPr>
        <w:t>genitalis</w:t>
      </w:r>
      <w:proofErr w:type="spellEnd"/>
      <w:r w:rsidRPr="00D84EB2">
        <w:rPr>
          <w:rFonts w:ascii="Times New Roman" w:hAnsi="Times New Roman" w:cs="Times New Roman"/>
        </w:rPr>
        <w:t>-infektion</w:t>
      </w:r>
    </w:p>
    <w:p w14:paraId="0D58BCE0" w14:textId="77777777" w:rsidR="0026765F" w:rsidRPr="00D84EB2" w:rsidRDefault="0026765F" w:rsidP="00D84EB2">
      <w:pPr>
        <w:pStyle w:val="Listeafsnit"/>
        <w:numPr>
          <w:ilvl w:val="0"/>
          <w:numId w:val="12"/>
        </w:numPr>
        <w:ind w:left="1276" w:hanging="425"/>
        <w:rPr>
          <w:rFonts w:ascii="Times New Roman" w:hAnsi="Times New Roman" w:cs="Times New Roman"/>
        </w:rPr>
      </w:pPr>
      <w:r w:rsidRPr="00D84EB2">
        <w:rPr>
          <w:rFonts w:ascii="Times New Roman" w:hAnsi="Times New Roman" w:cs="Times New Roman"/>
        </w:rPr>
        <w:t xml:space="preserve">Behandling af akut </w:t>
      </w:r>
      <w:proofErr w:type="spellStart"/>
      <w:r w:rsidRPr="00D84EB2">
        <w:rPr>
          <w:rFonts w:ascii="Times New Roman" w:hAnsi="Times New Roman" w:cs="Times New Roman"/>
        </w:rPr>
        <w:t>herpetisk</w:t>
      </w:r>
      <w:proofErr w:type="spellEnd"/>
      <w:r w:rsidRPr="00D84EB2">
        <w:rPr>
          <w:rFonts w:ascii="Times New Roman" w:hAnsi="Times New Roman" w:cs="Times New Roman"/>
        </w:rPr>
        <w:t xml:space="preserve"> </w:t>
      </w:r>
      <w:proofErr w:type="spellStart"/>
      <w:r w:rsidRPr="00D84EB2">
        <w:rPr>
          <w:rFonts w:ascii="Times New Roman" w:hAnsi="Times New Roman" w:cs="Times New Roman"/>
        </w:rPr>
        <w:t>gingivostomatitis</w:t>
      </w:r>
      <w:proofErr w:type="spellEnd"/>
      <w:r w:rsidRPr="00D84EB2">
        <w:rPr>
          <w:rFonts w:ascii="Times New Roman" w:hAnsi="Times New Roman" w:cs="Times New Roman"/>
        </w:rPr>
        <w:t xml:space="preserve">, hvor funktionelt ubehag gør oral behandling umulig </w:t>
      </w:r>
    </w:p>
    <w:p w14:paraId="20529486" w14:textId="77777777" w:rsidR="0026765F" w:rsidRPr="00D84EB2" w:rsidRDefault="0026765F" w:rsidP="00D84EB2">
      <w:pPr>
        <w:pStyle w:val="Listeafsnit"/>
        <w:numPr>
          <w:ilvl w:val="0"/>
          <w:numId w:val="12"/>
        </w:numPr>
        <w:ind w:left="1276" w:hanging="425"/>
        <w:rPr>
          <w:rFonts w:ascii="Times New Roman" w:hAnsi="Times New Roman" w:cs="Times New Roman"/>
          <w:i/>
          <w:iCs/>
          <w:u w:val="single"/>
        </w:rPr>
      </w:pPr>
      <w:proofErr w:type="spellStart"/>
      <w:r w:rsidRPr="00D84EB2">
        <w:rPr>
          <w:rFonts w:ascii="Times New Roman" w:hAnsi="Times New Roman" w:cs="Times New Roman"/>
        </w:rPr>
        <w:t>Kaposi-Juliusberg-dermatitis</w:t>
      </w:r>
      <w:proofErr w:type="spellEnd"/>
      <w:r w:rsidRPr="00D84EB2">
        <w:rPr>
          <w:rFonts w:ascii="Times New Roman" w:hAnsi="Times New Roman" w:cs="Times New Roman"/>
        </w:rPr>
        <w:t xml:space="preserve"> (</w:t>
      </w:r>
      <w:proofErr w:type="spellStart"/>
      <w:r w:rsidRPr="00D84EB2">
        <w:rPr>
          <w:rFonts w:ascii="Times New Roman" w:hAnsi="Times New Roman" w:cs="Times New Roman"/>
        </w:rPr>
        <w:t>eczema</w:t>
      </w:r>
      <w:proofErr w:type="spellEnd"/>
      <w:r w:rsidRPr="00D84EB2">
        <w:rPr>
          <w:rFonts w:ascii="Times New Roman" w:hAnsi="Times New Roman" w:cs="Times New Roman"/>
        </w:rPr>
        <w:t xml:space="preserve"> </w:t>
      </w:r>
      <w:proofErr w:type="spellStart"/>
      <w:r w:rsidRPr="00D84EB2">
        <w:rPr>
          <w:rFonts w:ascii="Times New Roman" w:hAnsi="Times New Roman" w:cs="Times New Roman"/>
        </w:rPr>
        <w:t>herpeticum</w:t>
      </w:r>
      <w:proofErr w:type="spellEnd"/>
      <w:r w:rsidRPr="00D84EB2">
        <w:rPr>
          <w:rFonts w:ascii="Times New Roman" w:hAnsi="Times New Roman" w:cs="Times New Roman"/>
        </w:rPr>
        <w:t>)</w:t>
      </w:r>
    </w:p>
    <w:p w14:paraId="1B18A688" w14:textId="77777777" w:rsidR="0026765F" w:rsidRPr="00D84EB2" w:rsidRDefault="0026765F" w:rsidP="00D84EB2">
      <w:pPr>
        <w:pStyle w:val="Listeafsnit"/>
        <w:numPr>
          <w:ilvl w:val="0"/>
          <w:numId w:val="12"/>
        </w:numPr>
        <w:ind w:left="1276" w:hanging="425"/>
        <w:rPr>
          <w:rFonts w:ascii="Times New Roman" w:hAnsi="Times New Roman" w:cs="Times New Roman"/>
          <w:i/>
          <w:iCs/>
          <w:u w:val="single"/>
        </w:rPr>
      </w:pPr>
      <w:r w:rsidRPr="00D84EB2">
        <w:rPr>
          <w:rFonts w:ascii="Times New Roman" w:hAnsi="Times New Roman" w:cs="Times New Roman"/>
        </w:rPr>
        <w:t xml:space="preserve">Behandling af </w:t>
      </w:r>
      <w:proofErr w:type="spellStart"/>
      <w:r w:rsidRPr="00D84EB2">
        <w:rPr>
          <w:rFonts w:ascii="Times New Roman" w:hAnsi="Times New Roman" w:cs="Times New Roman"/>
        </w:rPr>
        <w:t>herpetisk</w:t>
      </w:r>
      <w:proofErr w:type="spellEnd"/>
      <w:r w:rsidRPr="00D84EB2">
        <w:rPr>
          <w:rFonts w:ascii="Times New Roman" w:hAnsi="Times New Roman" w:cs="Times New Roman"/>
        </w:rPr>
        <w:t xml:space="preserve"> </w:t>
      </w:r>
      <w:proofErr w:type="spellStart"/>
      <w:r w:rsidRPr="00D84EB2">
        <w:rPr>
          <w:rFonts w:ascii="Times New Roman" w:hAnsi="Times New Roman" w:cs="Times New Roman"/>
        </w:rPr>
        <w:t>meningoencefalitis</w:t>
      </w:r>
      <w:proofErr w:type="spellEnd"/>
      <w:r w:rsidRPr="00D84EB2">
        <w:rPr>
          <w:rFonts w:ascii="Times New Roman" w:hAnsi="Times New Roman" w:cs="Times New Roman"/>
        </w:rPr>
        <w:t>.</w:t>
      </w:r>
    </w:p>
    <w:p w14:paraId="7A6C7EDD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4BD86D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4.2</w:t>
      </w:r>
      <w:r w:rsidRPr="001F31FB">
        <w:rPr>
          <w:b/>
          <w:sz w:val="24"/>
          <w:szCs w:val="24"/>
        </w:rPr>
        <w:tab/>
        <w:t xml:space="preserve">Dosering og </w:t>
      </w:r>
      <w:r w:rsidR="002C1EC0" w:rsidRPr="001F31FB">
        <w:rPr>
          <w:b/>
          <w:sz w:val="24"/>
          <w:szCs w:val="24"/>
        </w:rPr>
        <w:t>administration</w:t>
      </w:r>
    </w:p>
    <w:p w14:paraId="688D1CAF" w14:textId="77777777" w:rsidR="006361A7" w:rsidRDefault="006361A7" w:rsidP="001F31FB">
      <w:pPr>
        <w:ind w:left="851"/>
        <w:rPr>
          <w:sz w:val="24"/>
          <w:szCs w:val="24"/>
        </w:rPr>
      </w:pPr>
      <w:bookmarkStart w:id="1" w:name="_Hlk106287089"/>
    </w:p>
    <w:p w14:paraId="3BE1914F" w14:textId="17B07BE1" w:rsidR="0026765F" w:rsidRPr="006361A7" w:rsidRDefault="0026765F" w:rsidP="001F31FB">
      <w:pPr>
        <w:ind w:left="851"/>
        <w:rPr>
          <w:iCs/>
          <w:sz w:val="24"/>
          <w:szCs w:val="24"/>
          <w:u w:val="single"/>
        </w:rPr>
      </w:pPr>
      <w:r w:rsidRPr="006361A7">
        <w:rPr>
          <w:sz w:val="24"/>
          <w:szCs w:val="24"/>
          <w:u w:val="single"/>
        </w:rPr>
        <w:t>Dosering</w:t>
      </w:r>
    </w:p>
    <w:p w14:paraId="72156372" w14:textId="77777777" w:rsidR="006361A7" w:rsidRDefault="006361A7" w:rsidP="001F31FB">
      <w:pPr>
        <w:ind w:left="851"/>
        <w:rPr>
          <w:sz w:val="24"/>
          <w:szCs w:val="24"/>
        </w:rPr>
      </w:pPr>
    </w:p>
    <w:p w14:paraId="5790554C" w14:textId="08925D63" w:rsidR="0026765F" w:rsidRPr="001F31FB" w:rsidRDefault="0026765F" w:rsidP="001F31FB">
      <w:pPr>
        <w:ind w:left="851"/>
        <w:rPr>
          <w:iCs/>
          <w:sz w:val="24"/>
          <w:szCs w:val="24"/>
        </w:rPr>
      </w:pPr>
      <w:r w:rsidRPr="001F31FB">
        <w:rPr>
          <w:sz w:val="24"/>
          <w:szCs w:val="24"/>
        </w:rPr>
        <w:t>Dosering til patienter med normal nyrefunktion er angivet nedenfor. Hos patienter med unormal nyrefunktion skal dosis tilpasses efter graden af nedsat nyrefunktion (se afsnittet ”Dosering til patienter med nedsat nyrefunktion”).</w:t>
      </w:r>
    </w:p>
    <w:p w14:paraId="57251708" w14:textId="77777777" w:rsidR="0026765F" w:rsidRPr="001F31FB" w:rsidRDefault="0026765F" w:rsidP="001F31FB">
      <w:pPr>
        <w:ind w:left="851"/>
        <w:rPr>
          <w:iCs/>
          <w:sz w:val="24"/>
          <w:szCs w:val="24"/>
        </w:rPr>
      </w:pPr>
      <w:r w:rsidRPr="001F31FB">
        <w:rPr>
          <w:sz w:val="24"/>
          <w:szCs w:val="24"/>
        </w:rPr>
        <w:t>For anbefalinger til behandlingens varighed, se afsnittet ”Behandlingsvarighed”.</w:t>
      </w:r>
    </w:p>
    <w:p w14:paraId="262E99DB" w14:textId="77777777" w:rsidR="006361A7" w:rsidRDefault="006361A7" w:rsidP="001F31FB">
      <w:pPr>
        <w:ind w:left="851"/>
        <w:rPr>
          <w:sz w:val="24"/>
          <w:szCs w:val="24"/>
        </w:rPr>
      </w:pPr>
    </w:p>
    <w:p w14:paraId="44F16041" w14:textId="39950D5E" w:rsidR="0026765F" w:rsidRPr="006361A7" w:rsidRDefault="0026765F" w:rsidP="001F31FB">
      <w:pPr>
        <w:ind w:left="851"/>
        <w:rPr>
          <w:iCs/>
          <w:sz w:val="24"/>
          <w:szCs w:val="24"/>
          <w:u w:val="single"/>
        </w:rPr>
      </w:pPr>
      <w:r w:rsidRPr="006361A7">
        <w:rPr>
          <w:sz w:val="24"/>
          <w:szCs w:val="24"/>
          <w:u w:val="single"/>
        </w:rPr>
        <w:t>Dosering til patienter med normal nyrefunktion</w:t>
      </w:r>
    </w:p>
    <w:p w14:paraId="456D769B" w14:textId="77777777" w:rsidR="006361A7" w:rsidRDefault="006361A7" w:rsidP="001F31FB">
      <w:pPr>
        <w:ind w:left="851"/>
        <w:rPr>
          <w:i/>
          <w:sz w:val="24"/>
          <w:szCs w:val="24"/>
        </w:rPr>
      </w:pPr>
    </w:p>
    <w:p w14:paraId="7B0668FD" w14:textId="64D11DB4" w:rsidR="0026765F" w:rsidRPr="001F31FB" w:rsidRDefault="0026765F" w:rsidP="001F31FB">
      <w:pPr>
        <w:ind w:left="851"/>
        <w:rPr>
          <w:i/>
          <w:sz w:val="24"/>
          <w:szCs w:val="24"/>
        </w:rPr>
      </w:pPr>
      <w:r w:rsidRPr="001F31FB">
        <w:rPr>
          <w:i/>
          <w:sz w:val="24"/>
          <w:szCs w:val="24"/>
        </w:rPr>
        <w:t>Voksne og unge (i alderen &gt; 12 år)</w:t>
      </w:r>
    </w:p>
    <w:p w14:paraId="2DA01FB7" w14:textId="77777777" w:rsidR="006361A7" w:rsidRDefault="006361A7" w:rsidP="001F31FB">
      <w:pPr>
        <w:ind w:left="851"/>
        <w:rPr>
          <w:sz w:val="24"/>
          <w:szCs w:val="24"/>
        </w:rPr>
      </w:pPr>
    </w:p>
    <w:p w14:paraId="3FF6A7C6" w14:textId="136BE796" w:rsidR="0026765F" w:rsidRPr="006361A7" w:rsidRDefault="0026765F" w:rsidP="006361A7">
      <w:pPr>
        <w:pStyle w:val="Listeafsnit"/>
        <w:numPr>
          <w:ilvl w:val="0"/>
          <w:numId w:val="13"/>
        </w:numPr>
        <w:ind w:left="1276" w:hanging="425"/>
        <w:rPr>
          <w:rFonts w:ascii="Times New Roman" w:hAnsi="Times New Roman" w:cs="Times New Roman"/>
        </w:rPr>
      </w:pPr>
      <w:r w:rsidRPr="006361A7">
        <w:rPr>
          <w:rFonts w:ascii="Times New Roman" w:hAnsi="Times New Roman" w:cs="Times New Roman"/>
        </w:rPr>
        <w:t xml:space="preserve">Infektion med </w:t>
      </w:r>
      <w:proofErr w:type="spellStart"/>
      <w:r w:rsidRPr="006361A7">
        <w:rPr>
          <w:rFonts w:ascii="Times New Roman" w:hAnsi="Times New Roman" w:cs="Times New Roman"/>
          <w:i/>
        </w:rPr>
        <w:t>varicella</w:t>
      </w:r>
      <w:proofErr w:type="spellEnd"/>
      <w:r w:rsidRPr="006361A7">
        <w:rPr>
          <w:rFonts w:ascii="Times New Roman" w:hAnsi="Times New Roman" w:cs="Times New Roman"/>
          <w:i/>
        </w:rPr>
        <w:t> </w:t>
      </w:r>
      <w:proofErr w:type="spellStart"/>
      <w:r w:rsidRPr="006361A7">
        <w:rPr>
          <w:rFonts w:ascii="Times New Roman" w:hAnsi="Times New Roman" w:cs="Times New Roman"/>
          <w:i/>
        </w:rPr>
        <w:t>zoster</w:t>
      </w:r>
      <w:proofErr w:type="spellEnd"/>
      <w:r w:rsidRPr="006361A7">
        <w:rPr>
          <w:rFonts w:ascii="Times New Roman" w:hAnsi="Times New Roman" w:cs="Times New Roman"/>
        </w:rPr>
        <w:t>-virus (VZV): 10 mg/kg hver 8. time; 10</w:t>
      </w:r>
      <w:r w:rsidRPr="006361A7">
        <w:rPr>
          <w:rFonts w:ascii="Times New Roman" w:hAnsi="Times New Roman" w:cs="Times New Roman"/>
        </w:rPr>
        <w:noBreakHyphen/>
        <w:t xml:space="preserve">15 mg/kg hver 8. time hos gravide kvinder. </w:t>
      </w:r>
    </w:p>
    <w:p w14:paraId="748F2620" w14:textId="77777777" w:rsidR="0026765F" w:rsidRPr="006361A7" w:rsidRDefault="0026765F" w:rsidP="006361A7">
      <w:pPr>
        <w:pStyle w:val="Listeafsnit"/>
        <w:numPr>
          <w:ilvl w:val="0"/>
          <w:numId w:val="13"/>
        </w:numPr>
        <w:ind w:left="1276" w:hanging="425"/>
        <w:rPr>
          <w:rFonts w:ascii="Times New Roman" w:hAnsi="Times New Roman" w:cs="Times New Roman"/>
        </w:rPr>
      </w:pPr>
      <w:r w:rsidRPr="006361A7">
        <w:rPr>
          <w:rFonts w:ascii="Times New Roman" w:hAnsi="Times New Roman" w:cs="Times New Roman"/>
          <w:i/>
        </w:rPr>
        <w:t>Herpes </w:t>
      </w:r>
      <w:proofErr w:type="spellStart"/>
      <w:r w:rsidRPr="006361A7">
        <w:rPr>
          <w:rFonts w:ascii="Times New Roman" w:hAnsi="Times New Roman" w:cs="Times New Roman"/>
          <w:i/>
        </w:rPr>
        <w:t>simplex</w:t>
      </w:r>
      <w:proofErr w:type="spellEnd"/>
      <w:r w:rsidRPr="006361A7">
        <w:rPr>
          <w:rFonts w:ascii="Times New Roman" w:hAnsi="Times New Roman" w:cs="Times New Roman"/>
        </w:rPr>
        <w:t xml:space="preserve">-virus (HSV) (undtagen </w:t>
      </w:r>
      <w:proofErr w:type="spellStart"/>
      <w:r w:rsidRPr="006361A7">
        <w:rPr>
          <w:rFonts w:ascii="Times New Roman" w:hAnsi="Times New Roman" w:cs="Times New Roman"/>
        </w:rPr>
        <w:t>meningoencefalitis</w:t>
      </w:r>
      <w:proofErr w:type="spellEnd"/>
      <w:r w:rsidRPr="006361A7">
        <w:rPr>
          <w:rFonts w:ascii="Times New Roman" w:hAnsi="Times New Roman" w:cs="Times New Roman"/>
        </w:rPr>
        <w:t xml:space="preserve">): 5 mg/kg hver 8. time. </w:t>
      </w:r>
    </w:p>
    <w:p w14:paraId="32B6999B" w14:textId="77777777" w:rsidR="0026765F" w:rsidRPr="006361A7" w:rsidRDefault="0026765F" w:rsidP="006361A7">
      <w:pPr>
        <w:pStyle w:val="Listeafsnit"/>
        <w:numPr>
          <w:ilvl w:val="0"/>
          <w:numId w:val="13"/>
        </w:numPr>
        <w:ind w:left="1276" w:hanging="425"/>
        <w:rPr>
          <w:rFonts w:ascii="Times New Roman" w:hAnsi="Times New Roman" w:cs="Times New Roman"/>
        </w:rPr>
      </w:pPr>
      <w:proofErr w:type="spellStart"/>
      <w:r w:rsidRPr="006361A7">
        <w:rPr>
          <w:rFonts w:ascii="Times New Roman" w:hAnsi="Times New Roman" w:cs="Times New Roman"/>
        </w:rPr>
        <w:t>Herpetisk</w:t>
      </w:r>
      <w:proofErr w:type="spellEnd"/>
      <w:r w:rsidRPr="006361A7">
        <w:rPr>
          <w:rFonts w:ascii="Times New Roman" w:hAnsi="Times New Roman" w:cs="Times New Roman"/>
        </w:rPr>
        <w:t xml:space="preserve"> </w:t>
      </w:r>
      <w:proofErr w:type="spellStart"/>
      <w:r w:rsidRPr="006361A7">
        <w:rPr>
          <w:rFonts w:ascii="Times New Roman" w:hAnsi="Times New Roman" w:cs="Times New Roman"/>
        </w:rPr>
        <w:t>meningoencefalitis</w:t>
      </w:r>
      <w:proofErr w:type="spellEnd"/>
      <w:r w:rsidRPr="006361A7">
        <w:rPr>
          <w:rFonts w:ascii="Times New Roman" w:hAnsi="Times New Roman" w:cs="Times New Roman"/>
        </w:rPr>
        <w:t>: 10 mg/kg hver 8. time.</w:t>
      </w:r>
    </w:p>
    <w:p w14:paraId="18C079C1" w14:textId="77777777" w:rsidR="006361A7" w:rsidRDefault="006361A7" w:rsidP="001F31FB">
      <w:pPr>
        <w:ind w:left="851"/>
        <w:rPr>
          <w:sz w:val="24"/>
          <w:szCs w:val="24"/>
        </w:rPr>
      </w:pPr>
    </w:p>
    <w:p w14:paraId="222F8C14" w14:textId="72ED6820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Hos overvægtige patienter gives den anbefalede dosis for voksne. Denne skal baseres på den ideelle legemsvægt frem for den faktiske legemsvægt. </w:t>
      </w:r>
    </w:p>
    <w:p w14:paraId="4DF36A43" w14:textId="77777777" w:rsidR="006361A7" w:rsidRDefault="006361A7" w:rsidP="001F31FB">
      <w:pPr>
        <w:ind w:left="851"/>
        <w:rPr>
          <w:i/>
          <w:sz w:val="24"/>
          <w:szCs w:val="24"/>
        </w:rPr>
      </w:pPr>
    </w:p>
    <w:p w14:paraId="151D9AA8" w14:textId="451190F9" w:rsidR="0026765F" w:rsidRPr="001F31FB" w:rsidRDefault="0026765F" w:rsidP="001F31FB">
      <w:pPr>
        <w:ind w:left="851"/>
        <w:rPr>
          <w:i/>
          <w:iCs/>
          <w:sz w:val="24"/>
          <w:szCs w:val="24"/>
        </w:rPr>
      </w:pPr>
      <w:r w:rsidRPr="001F31FB">
        <w:rPr>
          <w:i/>
          <w:sz w:val="24"/>
          <w:szCs w:val="24"/>
        </w:rPr>
        <w:t>Pædiatrisk population</w:t>
      </w:r>
    </w:p>
    <w:p w14:paraId="572129F1" w14:textId="77777777" w:rsidR="006361A7" w:rsidRDefault="006361A7" w:rsidP="001F31FB">
      <w:pPr>
        <w:ind w:left="851"/>
        <w:rPr>
          <w:i/>
          <w:sz w:val="24"/>
          <w:szCs w:val="24"/>
        </w:rPr>
      </w:pPr>
    </w:p>
    <w:p w14:paraId="2BC2EC22" w14:textId="0E4062F6" w:rsidR="0026765F" w:rsidRPr="001F31FB" w:rsidRDefault="0026765F" w:rsidP="001F31FB">
      <w:pPr>
        <w:ind w:left="851"/>
        <w:rPr>
          <w:i/>
          <w:sz w:val="24"/>
          <w:szCs w:val="24"/>
        </w:rPr>
      </w:pPr>
      <w:r w:rsidRPr="001F31FB">
        <w:rPr>
          <w:i/>
          <w:sz w:val="24"/>
          <w:szCs w:val="24"/>
        </w:rPr>
        <w:t>Hos børn i alderen over 3 måneder</w:t>
      </w:r>
    </w:p>
    <w:p w14:paraId="3F5BB1C8" w14:textId="77777777" w:rsidR="006361A7" w:rsidRDefault="006361A7" w:rsidP="001F31FB">
      <w:pPr>
        <w:ind w:left="851"/>
        <w:rPr>
          <w:sz w:val="24"/>
          <w:szCs w:val="24"/>
        </w:rPr>
      </w:pPr>
    </w:p>
    <w:p w14:paraId="6FE9AAAB" w14:textId="2E52F3B2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Hos børn i alderen 3 måneder til 12 år skal dosis beregnes efter legemsvægt.</w:t>
      </w:r>
    </w:p>
    <w:p w14:paraId="7245458C" w14:textId="77777777" w:rsidR="0026765F" w:rsidRPr="006361A7" w:rsidRDefault="0026765F" w:rsidP="006361A7">
      <w:pPr>
        <w:pStyle w:val="Listeafsnit"/>
        <w:numPr>
          <w:ilvl w:val="0"/>
          <w:numId w:val="14"/>
        </w:numPr>
        <w:ind w:left="1276" w:hanging="425"/>
        <w:rPr>
          <w:rFonts w:ascii="Times New Roman" w:hAnsi="Times New Roman" w:cs="Times New Roman"/>
        </w:rPr>
      </w:pPr>
      <w:r w:rsidRPr="006361A7">
        <w:rPr>
          <w:rFonts w:ascii="Times New Roman" w:hAnsi="Times New Roman" w:cs="Times New Roman"/>
        </w:rPr>
        <w:t>HSV</w:t>
      </w:r>
      <w:r w:rsidRPr="006361A7">
        <w:rPr>
          <w:rFonts w:ascii="Times New Roman" w:hAnsi="Times New Roman" w:cs="Times New Roman"/>
        </w:rPr>
        <w:noBreakHyphen/>
        <w:t xml:space="preserve">infektion (undtagen </w:t>
      </w:r>
      <w:proofErr w:type="spellStart"/>
      <w:r w:rsidRPr="006361A7">
        <w:rPr>
          <w:rFonts w:ascii="Times New Roman" w:hAnsi="Times New Roman" w:cs="Times New Roman"/>
        </w:rPr>
        <w:t>meningoencefalitis</w:t>
      </w:r>
      <w:proofErr w:type="spellEnd"/>
      <w:r w:rsidRPr="006361A7">
        <w:rPr>
          <w:rFonts w:ascii="Times New Roman" w:hAnsi="Times New Roman" w:cs="Times New Roman"/>
        </w:rPr>
        <w:t xml:space="preserve">) eller VZV-infektion: 10 mg/kg hver 8. time, med en maksimal dosis på 400 mg hver 8. time. </w:t>
      </w:r>
    </w:p>
    <w:p w14:paraId="668A0D8F" w14:textId="77777777" w:rsidR="0026765F" w:rsidRPr="006361A7" w:rsidRDefault="0026765F" w:rsidP="006361A7">
      <w:pPr>
        <w:pStyle w:val="Listeafsnit"/>
        <w:numPr>
          <w:ilvl w:val="0"/>
          <w:numId w:val="14"/>
        </w:numPr>
        <w:ind w:left="1276" w:hanging="425"/>
        <w:rPr>
          <w:rFonts w:ascii="Times New Roman" w:hAnsi="Times New Roman" w:cs="Times New Roman"/>
          <w:i/>
        </w:rPr>
      </w:pPr>
      <w:r w:rsidRPr="006361A7">
        <w:rPr>
          <w:rFonts w:ascii="Times New Roman" w:hAnsi="Times New Roman" w:cs="Times New Roman"/>
        </w:rPr>
        <w:t>HSV-</w:t>
      </w:r>
      <w:proofErr w:type="spellStart"/>
      <w:r w:rsidRPr="006361A7">
        <w:rPr>
          <w:rFonts w:ascii="Times New Roman" w:hAnsi="Times New Roman" w:cs="Times New Roman"/>
        </w:rPr>
        <w:t>meningoencefalitis</w:t>
      </w:r>
      <w:proofErr w:type="spellEnd"/>
      <w:r w:rsidRPr="006361A7">
        <w:rPr>
          <w:rFonts w:ascii="Times New Roman" w:hAnsi="Times New Roman" w:cs="Times New Roman"/>
        </w:rPr>
        <w:t xml:space="preserve"> eller VZV-infektion hos immunsupprimerede børn: 20 mg/kg hver 8. time, med en maksimal dosis på 800 mg hver 8. time. </w:t>
      </w:r>
    </w:p>
    <w:p w14:paraId="521B189D" w14:textId="77777777" w:rsidR="006361A7" w:rsidRDefault="006361A7" w:rsidP="001F31FB">
      <w:pPr>
        <w:ind w:left="851"/>
        <w:rPr>
          <w:i/>
          <w:sz w:val="24"/>
          <w:szCs w:val="24"/>
        </w:rPr>
      </w:pPr>
    </w:p>
    <w:p w14:paraId="593710F9" w14:textId="3BC00F63" w:rsidR="0026765F" w:rsidRPr="001F31FB" w:rsidRDefault="0026765F" w:rsidP="001F31FB">
      <w:pPr>
        <w:ind w:left="851"/>
        <w:rPr>
          <w:i/>
          <w:sz w:val="24"/>
          <w:szCs w:val="24"/>
        </w:rPr>
      </w:pPr>
      <w:r w:rsidRPr="001F31FB">
        <w:rPr>
          <w:i/>
          <w:sz w:val="24"/>
          <w:szCs w:val="24"/>
        </w:rPr>
        <w:t>Nyfødte</w:t>
      </w:r>
    </w:p>
    <w:p w14:paraId="3E1EB57C" w14:textId="77777777" w:rsidR="006361A7" w:rsidRDefault="006361A7" w:rsidP="001F31FB">
      <w:pPr>
        <w:ind w:left="851"/>
        <w:rPr>
          <w:sz w:val="24"/>
          <w:szCs w:val="24"/>
        </w:rPr>
      </w:pPr>
    </w:p>
    <w:p w14:paraId="3092FB1F" w14:textId="748C1C18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Hos børn i alderen op til 3 måneder beregnes dosis efter legemsvægt.</w:t>
      </w:r>
    </w:p>
    <w:p w14:paraId="11B8A5DD" w14:textId="77777777" w:rsidR="0026765F" w:rsidRPr="006361A7" w:rsidRDefault="0026765F" w:rsidP="006361A7">
      <w:pPr>
        <w:pStyle w:val="Listeafsnit"/>
        <w:numPr>
          <w:ilvl w:val="0"/>
          <w:numId w:val="15"/>
        </w:numPr>
        <w:ind w:left="1276" w:hanging="425"/>
        <w:rPr>
          <w:rFonts w:ascii="Times New Roman" w:hAnsi="Times New Roman" w:cs="Times New Roman"/>
        </w:rPr>
      </w:pPr>
      <w:r w:rsidRPr="006361A7">
        <w:rPr>
          <w:rFonts w:ascii="Times New Roman" w:hAnsi="Times New Roman" w:cs="Times New Roman"/>
        </w:rPr>
        <w:t xml:space="preserve">Ved kendt eller formodet neonatal herpes er den anbefalede behandling 20 mg/kg legemsvægt </w:t>
      </w:r>
      <w:proofErr w:type="spellStart"/>
      <w:r w:rsidRPr="006361A7">
        <w:rPr>
          <w:rFonts w:ascii="Times New Roman" w:hAnsi="Times New Roman" w:cs="Times New Roman"/>
        </w:rPr>
        <w:t>i.v</w:t>
      </w:r>
      <w:proofErr w:type="spellEnd"/>
      <w:r w:rsidRPr="006361A7">
        <w:rPr>
          <w:rFonts w:ascii="Times New Roman" w:hAnsi="Times New Roman" w:cs="Times New Roman"/>
        </w:rPr>
        <w:t>. hver 8. time i 21 dage ved dissemineret sygdom og CNS</w:t>
      </w:r>
      <w:r w:rsidRPr="006361A7">
        <w:rPr>
          <w:rFonts w:ascii="Times New Roman" w:hAnsi="Times New Roman" w:cs="Times New Roman"/>
        </w:rPr>
        <w:noBreakHyphen/>
        <w:t xml:space="preserve">sygdom eller </w:t>
      </w:r>
      <w:r w:rsidRPr="006361A7">
        <w:rPr>
          <w:rFonts w:ascii="Times New Roman" w:hAnsi="Times New Roman" w:cs="Times New Roman"/>
        </w:rPr>
        <w:lastRenderedPageBreak/>
        <w:t>i 14 dage ved sygdom begrænset til hud og slimhinder.</w:t>
      </w:r>
    </w:p>
    <w:p w14:paraId="0C015D34" w14:textId="77777777" w:rsidR="006361A7" w:rsidRDefault="006361A7" w:rsidP="001F31FB">
      <w:pPr>
        <w:ind w:left="851"/>
        <w:rPr>
          <w:i/>
          <w:sz w:val="24"/>
          <w:szCs w:val="24"/>
        </w:rPr>
      </w:pPr>
    </w:p>
    <w:p w14:paraId="73BFBB57" w14:textId="5C999BF8" w:rsidR="0026765F" w:rsidRPr="001F31FB" w:rsidRDefault="0026765F" w:rsidP="001F31FB">
      <w:pPr>
        <w:ind w:left="851"/>
        <w:rPr>
          <w:rFonts w:eastAsia="Courier New"/>
          <w:i/>
          <w:sz w:val="24"/>
          <w:szCs w:val="24"/>
        </w:rPr>
      </w:pPr>
      <w:r w:rsidRPr="001F31FB">
        <w:rPr>
          <w:i/>
          <w:sz w:val="24"/>
          <w:szCs w:val="24"/>
        </w:rPr>
        <w:t>Dosering til patienter med nedsat nyrefunktion</w:t>
      </w:r>
    </w:p>
    <w:p w14:paraId="4C18C88C" w14:textId="77777777" w:rsidR="006361A7" w:rsidRDefault="006361A7" w:rsidP="001F31FB">
      <w:pPr>
        <w:ind w:left="851"/>
        <w:rPr>
          <w:sz w:val="24"/>
          <w:szCs w:val="24"/>
        </w:rPr>
      </w:pPr>
    </w:p>
    <w:p w14:paraId="1D82F151" w14:textId="2B613AC8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Intervallet mellem to doser og doseringen skal justeres i henhold til </w:t>
      </w:r>
      <w:proofErr w:type="spellStart"/>
      <w:r w:rsidRPr="001F31FB">
        <w:rPr>
          <w:sz w:val="24"/>
          <w:szCs w:val="24"/>
        </w:rPr>
        <w:t>kreatinin-clearance</w:t>
      </w:r>
      <w:proofErr w:type="spellEnd"/>
      <w:r w:rsidRPr="001F31FB">
        <w:rPr>
          <w:sz w:val="24"/>
          <w:szCs w:val="24"/>
        </w:rPr>
        <w:t xml:space="preserve"> i ml/min for voksne og unge, og i ml/min/1,73 m</w:t>
      </w:r>
      <w:r w:rsidRPr="001F31FB">
        <w:rPr>
          <w:sz w:val="24"/>
          <w:szCs w:val="24"/>
          <w:vertAlign w:val="superscript"/>
        </w:rPr>
        <w:t>2</w:t>
      </w:r>
      <w:r w:rsidRPr="001F31FB">
        <w:rPr>
          <w:sz w:val="24"/>
          <w:szCs w:val="24"/>
        </w:rPr>
        <w:t xml:space="preserve"> for spædbørn og børn under 13 år. Forsigtighed tilrådes ved administration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som infusion til patienter med nedsat nyrefunktion. Hos denne gruppe patienter er det særligt vigtigt at sikre et tilstrækkeligt væskeindtag.</w:t>
      </w:r>
    </w:p>
    <w:p w14:paraId="17AAF958" w14:textId="77777777" w:rsidR="006361A7" w:rsidRDefault="006361A7" w:rsidP="001F31FB">
      <w:pPr>
        <w:ind w:left="851"/>
        <w:rPr>
          <w:sz w:val="24"/>
          <w:szCs w:val="24"/>
        </w:rPr>
      </w:pPr>
    </w:p>
    <w:p w14:paraId="43707BE1" w14:textId="3A2AD144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Der foreslås følgende dosisjusteringer.</w:t>
      </w:r>
    </w:p>
    <w:p w14:paraId="4D4D3D34" w14:textId="77777777" w:rsidR="0026765F" w:rsidRPr="001F31FB" w:rsidRDefault="0026765F" w:rsidP="001F31FB">
      <w:pPr>
        <w:ind w:left="851"/>
        <w:rPr>
          <w:rFonts w:eastAsia="Courier New"/>
          <w:b/>
          <w:sz w:val="24"/>
          <w:szCs w:val="24"/>
          <w:lang w:val="nl-NL"/>
        </w:rPr>
      </w:pPr>
    </w:p>
    <w:p w14:paraId="2731E542" w14:textId="77777777" w:rsidR="0026765F" w:rsidRPr="001F31FB" w:rsidRDefault="0026765F" w:rsidP="006361A7">
      <w:pPr>
        <w:rPr>
          <w:b/>
          <w:i/>
          <w:sz w:val="24"/>
          <w:szCs w:val="24"/>
        </w:rPr>
      </w:pPr>
      <w:r w:rsidRPr="001F31FB">
        <w:rPr>
          <w:b/>
          <w:i/>
          <w:sz w:val="24"/>
          <w:szCs w:val="24"/>
        </w:rPr>
        <w:t>Anbefalet dosisjustering hos voksne og unge &gt; 12 år med nedsat nyrefunktion:</w:t>
      </w:r>
    </w:p>
    <w:p w14:paraId="4034E7FF" w14:textId="77777777" w:rsidR="0026765F" w:rsidRPr="001F31FB" w:rsidRDefault="0026765F" w:rsidP="001F31FB">
      <w:pPr>
        <w:ind w:left="851"/>
        <w:rPr>
          <w:b/>
          <w:bCs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3295"/>
        <w:gridCol w:w="3295"/>
      </w:tblGrid>
      <w:tr w:rsidR="0026765F" w:rsidRPr="001F31FB" w14:paraId="67EBAB3A" w14:textId="77777777" w:rsidTr="001F31FB">
        <w:tc>
          <w:tcPr>
            <w:tcW w:w="15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5055E" w14:textId="77777777" w:rsidR="0026765F" w:rsidRPr="001F31FB" w:rsidRDefault="0026765F">
            <w:pPr>
              <w:rPr>
                <w:rFonts w:eastAsia="Courier New"/>
                <w:b/>
                <w:sz w:val="24"/>
                <w:szCs w:val="24"/>
                <w:lang w:bidi="en-US"/>
              </w:rPr>
            </w:pPr>
            <w:proofErr w:type="spellStart"/>
            <w:r w:rsidRPr="001F31FB">
              <w:rPr>
                <w:b/>
                <w:sz w:val="24"/>
                <w:szCs w:val="24"/>
              </w:rPr>
              <w:t>Kreatinin-clearance</w:t>
            </w:r>
            <w:proofErr w:type="spellEnd"/>
          </w:p>
        </w:tc>
        <w:tc>
          <w:tcPr>
            <w:tcW w:w="342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BB7EB" w14:textId="77777777" w:rsidR="0026765F" w:rsidRPr="001F31FB" w:rsidRDefault="0026765F">
            <w:pPr>
              <w:rPr>
                <w:b/>
                <w:sz w:val="24"/>
                <w:szCs w:val="24"/>
              </w:rPr>
            </w:pPr>
            <w:r w:rsidRPr="001F31FB">
              <w:rPr>
                <w:b/>
                <w:sz w:val="24"/>
                <w:szCs w:val="24"/>
              </w:rPr>
              <w:t>Anbefalet dosis og doseringshyppighed pr. indikation</w:t>
            </w:r>
          </w:p>
        </w:tc>
      </w:tr>
      <w:tr w:rsidR="0026765F" w:rsidRPr="001F31FB" w14:paraId="26E7CB8D" w14:textId="77777777" w:rsidTr="001F31FB">
        <w:tc>
          <w:tcPr>
            <w:tcW w:w="15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14CFBF" w14:textId="77777777" w:rsidR="0026765F" w:rsidRPr="001F31FB" w:rsidRDefault="0026765F">
            <w:pPr>
              <w:rPr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2C002" w14:textId="77777777" w:rsidR="0026765F" w:rsidRPr="001F31FB" w:rsidRDefault="0026765F">
            <w:pPr>
              <w:rPr>
                <w:b/>
                <w:bCs/>
                <w:sz w:val="24"/>
                <w:szCs w:val="24"/>
              </w:rPr>
            </w:pPr>
            <w:r w:rsidRPr="001F31FB">
              <w:rPr>
                <w:b/>
                <w:sz w:val="24"/>
                <w:szCs w:val="24"/>
              </w:rPr>
              <w:t xml:space="preserve">HSV- eller VZV-infektioner (undtagen </w:t>
            </w:r>
            <w:proofErr w:type="spellStart"/>
            <w:r w:rsidRPr="001F31FB">
              <w:rPr>
                <w:b/>
                <w:sz w:val="24"/>
                <w:szCs w:val="24"/>
              </w:rPr>
              <w:t>meningoencefalitis</w:t>
            </w:r>
            <w:proofErr w:type="spellEnd"/>
            <w:r w:rsidRPr="001F31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CDC99" w14:textId="77777777" w:rsidR="0026765F" w:rsidRPr="001F31FB" w:rsidRDefault="0026765F">
            <w:pPr>
              <w:rPr>
                <w:b/>
                <w:bCs/>
                <w:sz w:val="24"/>
                <w:szCs w:val="24"/>
              </w:rPr>
            </w:pPr>
            <w:r w:rsidRPr="001F31FB">
              <w:rPr>
                <w:b/>
                <w:sz w:val="24"/>
                <w:szCs w:val="24"/>
              </w:rPr>
              <w:t xml:space="preserve">VZV-infektioner hos immunkompromitterede børn eller ved </w:t>
            </w:r>
            <w:proofErr w:type="spellStart"/>
            <w:r w:rsidRPr="001F31FB">
              <w:rPr>
                <w:b/>
                <w:sz w:val="24"/>
                <w:szCs w:val="24"/>
              </w:rPr>
              <w:t>herpetisk</w:t>
            </w:r>
            <w:proofErr w:type="spellEnd"/>
            <w:r w:rsidRPr="001F31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31FB">
              <w:rPr>
                <w:b/>
                <w:sz w:val="24"/>
                <w:szCs w:val="24"/>
              </w:rPr>
              <w:t>meningoencefalitis</w:t>
            </w:r>
            <w:proofErr w:type="spellEnd"/>
          </w:p>
        </w:tc>
      </w:tr>
      <w:tr w:rsidR="0026765F" w:rsidRPr="001F31FB" w14:paraId="367D22B0" w14:textId="77777777" w:rsidTr="001F31FB">
        <w:tc>
          <w:tcPr>
            <w:tcW w:w="1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89E44" w14:textId="77777777" w:rsidR="0026765F" w:rsidRPr="001F31FB" w:rsidRDefault="0026765F">
            <w:pPr>
              <w:rPr>
                <w:rFonts w:eastAsia="Courier New"/>
                <w:b/>
                <w:sz w:val="24"/>
                <w:szCs w:val="24"/>
              </w:rPr>
            </w:pPr>
            <w:r w:rsidRPr="001F31FB">
              <w:rPr>
                <w:b/>
                <w:sz w:val="24"/>
                <w:szCs w:val="24"/>
              </w:rPr>
              <w:t>25</w:t>
            </w:r>
            <w:r w:rsidRPr="001F31FB">
              <w:rPr>
                <w:b/>
                <w:sz w:val="24"/>
                <w:szCs w:val="24"/>
              </w:rPr>
              <w:noBreakHyphen/>
              <w:t>50 ml/min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C5977" w14:textId="77777777" w:rsidR="0026765F" w:rsidRPr="001F31FB" w:rsidRDefault="0026765F">
            <w:pPr>
              <w:rPr>
                <w:sz w:val="24"/>
                <w:szCs w:val="24"/>
              </w:rPr>
            </w:pPr>
            <w:r w:rsidRPr="001F31FB">
              <w:rPr>
                <w:sz w:val="24"/>
                <w:szCs w:val="24"/>
              </w:rPr>
              <w:t>5 mg/kg legemsvægt hver 12. time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FE00" w14:textId="77777777" w:rsidR="0026765F" w:rsidRPr="001F31FB" w:rsidRDefault="0026765F">
            <w:pPr>
              <w:rPr>
                <w:sz w:val="24"/>
                <w:szCs w:val="24"/>
              </w:rPr>
            </w:pPr>
            <w:r w:rsidRPr="001F31FB">
              <w:rPr>
                <w:sz w:val="24"/>
                <w:szCs w:val="24"/>
              </w:rPr>
              <w:t>10 mg/kg legemsvægt hver 12. time</w:t>
            </w:r>
          </w:p>
        </w:tc>
      </w:tr>
      <w:tr w:rsidR="0026765F" w:rsidRPr="001F31FB" w14:paraId="7E8DA61D" w14:textId="77777777" w:rsidTr="001F31FB">
        <w:tc>
          <w:tcPr>
            <w:tcW w:w="1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887DC" w14:textId="77777777" w:rsidR="0026765F" w:rsidRPr="001F31FB" w:rsidRDefault="0026765F">
            <w:pPr>
              <w:rPr>
                <w:rFonts w:eastAsia="Courier New"/>
                <w:b/>
                <w:sz w:val="24"/>
                <w:szCs w:val="24"/>
              </w:rPr>
            </w:pPr>
            <w:r w:rsidRPr="001F31FB">
              <w:rPr>
                <w:b/>
                <w:sz w:val="24"/>
                <w:szCs w:val="24"/>
              </w:rPr>
              <w:t>10</w:t>
            </w:r>
            <w:r w:rsidRPr="001F31FB">
              <w:rPr>
                <w:b/>
                <w:sz w:val="24"/>
                <w:szCs w:val="24"/>
              </w:rPr>
              <w:noBreakHyphen/>
              <w:t>25 ml/min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0FF87" w14:textId="77777777" w:rsidR="0026765F" w:rsidRPr="001F31FB" w:rsidRDefault="0026765F">
            <w:pPr>
              <w:rPr>
                <w:sz w:val="24"/>
                <w:szCs w:val="24"/>
              </w:rPr>
            </w:pPr>
            <w:r w:rsidRPr="001F31FB">
              <w:rPr>
                <w:sz w:val="24"/>
                <w:szCs w:val="24"/>
              </w:rPr>
              <w:t>5 mg/kg legemsvægt hver 24. time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7BA94" w14:textId="77777777" w:rsidR="0026765F" w:rsidRPr="001F31FB" w:rsidRDefault="0026765F">
            <w:pPr>
              <w:rPr>
                <w:sz w:val="24"/>
                <w:szCs w:val="24"/>
              </w:rPr>
            </w:pPr>
            <w:r w:rsidRPr="001F31FB">
              <w:rPr>
                <w:sz w:val="24"/>
                <w:szCs w:val="24"/>
              </w:rPr>
              <w:t>10 mg/kg legemsvægt hver 24. time</w:t>
            </w:r>
          </w:p>
        </w:tc>
      </w:tr>
      <w:tr w:rsidR="0026765F" w:rsidRPr="001F31FB" w14:paraId="3B679C29" w14:textId="77777777" w:rsidTr="001F31FB">
        <w:tc>
          <w:tcPr>
            <w:tcW w:w="1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AAB89" w14:textId="77777777" w:rsidR="0026765F" w:rsidRPr="001F31FB" w:rsidRDefault="0026765F">
            <w:pPr>
              <w:rPr>
                <w:b/>
                <w:bCs/>
                <w:sz w:val="24"/>
                <w:szCs w:val="24"/>
              </w:rPr>
            </w:pPr>
            <w:r w:rsidRPr="001F31FB">
              <w:rPr>
                <w:b/>
                <w:sz w:val="24"/>
                <w:szCs w:val="24"/>
              </w:rPr>
              <w:t>0 (</w:t>
            </w:r>
            <w:proofErr w:type="spellStart"/>
            <w:r w:rsidRPr="001F31FB">
              <w:rPr>
                <w:b/>
                <w:sz w:val="24"/>
                <w:szCs w:val="24"/>
              </w:rPr>
              <w:t>anuri</w:t>
            </w:r>
            <w:proofErr w:type="spellEnd"/>
            <w:r w:rsidRPr="001F31FB">
              <w:rPr>
                <w:b/>
                <w:sz w:val="24"/>
                <w:szCs w:val="24"/>
              </w:rPr>
              <w:t>) til 10 ml/min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36A21" w14:textId="77777777" w:rsidR="0026765F" w:rsidRPr="001F31FB" w:rsidRDefault="0026765F">
            <w:pPr>
              <w:rPr>
                <w:sz w:val="24"/>
                <w:szCs w:val="24"/>
              </w:rPr>
            </w:pPr>
            <w:r w:rsidRPr="001F31FB">
              <w:rPr>
                <w:sz w:val="24"/>
                <w:szCs w:val="24"/>
              </w:rPr>
              <w:t>2,5 mg/kg legemsvægt hver 24. time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B5924" w14:textId="77777777" w:rsidR="0026765F" w:rsidRPr="001F31FB" w:rsidRDefault="0026765F">
            <w:pPr>
              <w:rPr>
                <w:sz w:val="24"/>
                <w:szCs w:val="24"/>
              </w:rPr>
            </w:pPr>
            <w:r w:rsidRPr="001F31FB">
              <w:rPr>
                <w:sz w:val="24"/>
                <w:szCs w:val="24"/>
              </w:rPr>
              <w:t>5 mg/kg legemsvægt hver 24. time</w:t>
            </w:r>
          </w:p>
        </w:tc>
      </w:tr>
      <w:tr w:rsidR="0026765F" w:rsidRPr="001F31FB" w14:paraId="20642925" w14:textId="77777777" w:rsidTr="001F31FB">
        <w:tc>
          <w:tcPr>
            <w:tcW w:w="1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EA1D2" w14:textId="77777777" w:rsidR="0026765F" w:rsidRPr="001F31FB" w:rsidRDefault="0026765F">
            <w:pPr>
              <w:rPr>
                <w:rFonts w:eastAsia="Courier New"/>
                <w:b/>
                <w:sz w:val="24"/>
                <w:szCs w:val="24"/>
              </w:rPr>
            </w:pPr>
            <w:r w:rsidRPr="001F31FB">
              <w:rPr>
                <w:b/>
                <w:sz w:val="24"/>
                <w:szCs w:val="24"/>
              </w:rPr>
              <w:t>Patienter i hæmodialyse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2AF5C" w14:textId="77777777" w:rsidR="0026765F" w:rsidRPr="001F31FB" w:rsidRDefault="0026765F">
            <w:pPr>
              <w:rPr>
                <w:sz w:val="24"/>
                <w:szCs w:val="24"/>
              </w:rPr>
            </w:pPr>
            <w:r w:rsidRPr="001F31FB">
              <w:rPr>
                <w:sz w:val="24"/>
                <w:szCs w:val="24"/>
              </w:rPr>
              <w:t>2,5 mg/kg legemsvægt hver 24. time og efter hæmodialyse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2D7F" w14:textId="77777777" w:rsidR="0026765F" w:rsidRPr="001F31FB" w:rsidRDefault="0026765F">
            <w:pPr>
              <w:rPr>
                <w:sz w:val="24"/>
                <w:szCs w:val="24"/>
              </w:rPr>
            </w:pPr>
            <w:r w:rsidRPr="001F31FB">
              <w:rPr>
                <w:sz w:val="24"/>
                <w:szCs w:val="24"/>
              </w:rPr>
              <w:t>5 mg/kg legemsvægt hver 24. time og efter hæmodialyse</w:t>
            </w:r>
          </w:p>
        </w:tc>
      </w:tr>
    </w:tbl>
    <w:p w14:paraId="3D8B3946" w14:textId="77777777" w:rsidR="0026765F" w:rsidRPr="001F31FB" w:rsidRDefault="0026765F" w:rsidP="0026765F">
      <w:pPr>
        <w:rPr>
          <w:rFonts w:eastAsia="Courier New"/>
          <w:sz w:val="24"/>
          <w:szCs w:val="24"/>
          <w:lang w:bidi="en-US"/>
        </w:rPr>
      </w:pPr>
    </w:p>
    <w:p w14:paraId="2120FB30" w14:textId="77777777" w:rsidR="0026765F" w:rsidRPr="001F31FB" w:rsidRDefault="0026765F" w:rsidP="0026765F">
      <w:pPr>
        <w:shd w:val="clear" w:color="auto" w:fill="FFFFFF"/>
        <w:rPr>
          <w:b/>
          <w:i/>
          <w:color w:val="000000"/>
          <w:sz w:val="24"/>
          <w:szCs w:val="24"/>
        </w:rPr>
      </w:pPr>
      <w:r w:rsidRPr="001F31FB">
        <w:rPr>
          <w:b/>
          <w:i/>
          <w:sz w:val="24"/>
          <w:szCs w:val="24"/>
        </w:rPr>
        <w:t>Dosisjustering hos børn ≤ 12 år, spædbørn og nyfødte med nedsat nyrefunktion:</w:t>
      </w:r>
    </w:p>
    <w:tbl>
      <w:tblPr>
        <w:tblpPr w:leftFromText="180" w:rightFromText="180" w:vertAnchor="text" w:tblpX="-6" w:tblpY="1"/>
        <w:tblOverlap w:val="never"/>
        <w:tblW w:w="500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2976"/>
        <w:gridCol w:w="3969"/>
      </w:tblGrid>
      <w:tr w:rsidR="0026765F" w:rsidRPr="001F31FB" w14:paraId="341F45E6" w14:textId="77777777" w:rsidTr="006361A7">
        <w:tc>
          <w:tcPr>
            <w:tcW w:w="13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1223A" w14:textId="77777777" w:rsidR="0026765F" w:rsidRPr="001F31FB" w:rsidRDefault="0026765F" w:rsidP="006361A7">
            <w:pPr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1F31FB">
              <w:rPr>
                <w:b/>
                <w:sz w:val="24"/>
                <w:szCs w:val="24"/>
                <w:lang w:val="en-GB"/>
              </w:rPr>
              <w:t>Kreatinin</w:t>
            </w:r>
            <w:proofErr w:type="spellEnd"/>
            <w:r w:rsidRPr="001F31FB">
              <w:rPr>
                <w:b/>
                <w:sz w:val="24"/>
                <w:szCs w:val="24"/>
                <w:lang w:val="en-GB"/>
              </w:rPr>
              <w:t>-clearance</w:t>
            </w:r>
          </w:p>
          <w:p w14:paraId="089AD0FB" w14:textId="77777777" w:rsidR="0026765F" w:rsidRPr="001F31FB" w:rsidRDefault="0026765F" w:rsidP="006361A7">
            <w:pPr>
              <w:jc w:val="center"/>
              <w:rPr>
                <w:rFonts w:eastAsia="Courier New"/>
                <w:b/>
                <w:sz w:val="24"/>
                <w:szCs w:val="24"/>
                <w:lang w:val="en-GB"/>
              </w:rPr>
            </w:pPr>
            <w:r w:rsidRPr="001F31FB">
              <w:rPr>
                <w:sz w:val="24"/>
                <w:szCs w:val="24"/>
                <w:lang w:val="en-GB"/>
              </w:rPr>
              <w:t>(ml/min/1,73 m</w:t>
            </w:r>
            <w:r w:rsidRPr="001F31FB">
              <w:rPr>
                <w:sz w:val="24"/>
                <w:szCs w:val="24"/>
                <w:vertAlign w:val="superscript"/>
                <w:lang w:val="en-GB"/>
              </w:rPr>
              <w:t>2</w:t>
            </w:r>
            <w:r w:rsidRPr="001F31FB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36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FF2B8" w14:textId="77777777" w:rsidR="0026765F" w:rsidRPr="001F31FB" w:rsidRDefault="0026765F" w:rsidP="006361A7">
            <w:pPr>
              <w:rPr>
                <w:b/>
                <w:sz w:val="24"/>
                <w:szCs w:val="24"/>
              </w:rPr>
            </w:pPr>
            <w:r w:rsidRPr="001F31FB">
              <w:rPr>
                <w:b/>
                <w:sz w:val="24"/>
                <w:szCs w:val="24"/>
              </w:rPr>
              <w:t>Anbefalet dosis og doseringshyppighed pr. indikation</w:t>
            </w:r>
          </w:p>
        </w:tc>
      </w:tr>
      <w:tr w:rsidR="006361A7" w:rsidRPr="001F31FB" w14:paraId="227F2DFA" w14:textId="77777777" w:rsidTr="006361A7">
        <w:tc>
          <w:tcPr>
            <w:tcW w:w="13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C96637" w14:textId="77777777" w:rsidR="0026765F" w:rsidRPr="001F31FB" w:rsidRDefault="0026765F" w:rsidP="006361A7">
            <w:pPr>
              <w:rPr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327C4" w14:textId="77777777" w:rsidR="0026765F" w:rsidRPr="001F31FB" w:rsidRDefault="0026765F" w:rsidP="006361A7">
            <w:pPr>
              <w:rPr>
                <w:b/>
                <w:bCs/>
                <w:sz w:val="24"/>
                <w:szCs w:val="24"/>
              </w:rPr>
            </w:pPr>
            <w:r w:rsidRPr="001F31FB">
              <w:rPr>
                <w:b/>
                <w:sz w:val="24"/>
                <w:szCs w:val="24"/>
              </w:rPr>
              <w:t xml:space="preserve">HSV- eller VZV-infektioner (undtagen </w:t>
            </w:r>
            <w:proofErr w:type="spellStart"/>
            <w:r w:rsidRPr="001F31FB">
              <w:rPr>
                <w:b/>
                <w:sz w:val="24"/>
                <w:szCs w:val="24"/>
              </w:rPr>
              <w:t>meningoencefalitis</w:t>
            </w:r>
            <w:proofErr w:type="spellEnd"/>
            <w:r w:rsidRPr="001F31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779A" w14:textId="77777777" w:rsidR="0026765F" w:rsidRPr="001F31FB" w:rsidRDefault="0026765F" w:rsidP="006361A7">
            <w:pPr>
              <w:rPr>
                <w:b/>
                <w:bCs/>
                <w:sz w:val="24"/>
                <w:szCs w:val="24"/>
              </w:rPr>
            </w:pPr>
            <w:r w:rsidRPr="001F31FB">
              <w:rPr>
                <w:b/>
                <w:sz w:val="24"/>
                <w:szCs w:val="24"/>
              </w:rPr>
              <w:t xml:space="preserve">VZV-infektioner hos immunkompromitterede patienter eller ved </w:t>
            </w:r>
            <w:proofErr w:type="spellStart"/>
            <w:r w:rsidRPr="001F31FB">
              <w:rPr>
                <w:b/>
                <w:sz w:val="24"/>
                <w:szCs w:val="24"/>
              </w:rPr>
              <w:t>herpetisk</w:t>
            </w:r>
            <w:proofErr w:type="spellEnd"/>
            <w:r w:rsidRPr="001F31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F31FB">
              <w:rPr>
                <w:b/>
                <w:sz w:val="24"/>
                <w:szCs w:val="24"/>
              </w:rPr>
              <w:t>meningoencefalitis</w:t>
            </w:r>
            <w:proofErr w:type="spellEnd"/>
          </w:p>
          <w:p w14:paraId="126E09EB" w14:textId="77777777" w:rsidR="0026765F" w:rsidRPr="001F31FB" w:rsidRDefault="0026765F" w:rsidP="006361A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61A7" w:rsidRPr="001F31FB" w14:paraId="1055A5B6" w14:textId="77777777" w:rsidTr="006361A7"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38CBE" w14:textId="77777777" w:rsidR="0026765F" w:rsidRPr="001F31FB" w:rsidRDefault="0026765F" w:rsidP="006361A7">
            <w:pPr>
              <w:rPr>
                <w:rFonts w:eastAsia="Courier New"/>
                <w:b/>
                <w:sz w:val="24"/>
                <w:szCs w:val="24"/>
              </w:rPr>
            </w:pPr>
            <w:r w:rsidRPr="001F31FB">
              <w:rPr>
                <w:b/>
                <w:sz w:val="24"/>
                <w:szCs w:val="24"/>
              </w:rPr>
              <w:t>25</w:t>
            </w:r>
            <w:r w:rsidRPr="001F31FB">
              <w:rPr>
                <w:b/>
                <w:sz w:val="24"/>
                <w:szCs w:val="24"/>
              </w:rPr>
              <w:noBreakHyphen/>
              <w:t>50 ml/min/1,73 m</w:t>
            </w:r>
            <w:r w:rsidRPr="001F31FB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AFBFC" w14:textId="77777777" w:rsidR="0026765F" w:rsidRPr="001F31FB" w:rsidRDefault="0026765F" w:rsidP="006361A7">
            <w:pPr>
              <w:rPr>
                <w:sz w:val="24"/>
                <w:szCs w:val="24"/>
              </w:rPr>
            </w:pPr>
            <w:r w:rsidRPr="001F31FB">
              <w:rPr>
                <w:sz w:val="24"/>
                <w:szCs w:val="24"/>
              </w:rPr>
              <w:t>10 mg/kg legemsvægt to gange dagligt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DDC5" w14:textId="77777777" w:rsidR="0026765F" w:rsidRPr="001F31FB" w:rsidRDefault="0026765F" w:rsidP="006361A7">
            <w:pPr>
              <w:rPr>
                <w:rFonts w:eastAsia="Courier New"/>
                <w:sz w:val="24"/>
                <w:szCs w:val="24"/>
              </w:rPr>
            </w:pPr>
            <w:r w:rsidRPr="001F31FB">
              <w:rPr>
                <w:sz w:val="24"/>
                <w:szCs w:val="24"/>
              </w:rPr>
              <w:t>20 mg/kg legemsvægt to gange dagligt</w:t>
            </w:r>
          </w:p>
        </w:tc>
      </w:tr>
      <w:tr w:rsidR="006361A7" w:rsidRPr="001F31FB" w14:paraId="7F665A51" w14:textId="77777777" w:rsidTr="006361A7"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2F41C" w14:textId="77777777" w:rsidR="0026765F" w:rsidRPr="001F31FB" w:rsidRDefault="0026765F" w:rsidP="006361A7">
            <w:pPr>
              <w:rPr>
                <w:b/>
                <w:sz w:val="24"/>
                <w:szCs w:val="24"/>
              </w:rPr>
            </w:pPr>
            <w:r w:rsidRPr="001F31FB">
              <w:rPr>
                <w:b/>
                <w:sz w:val="24"/>
                <w:szCs w:val="24"/>
              </w:rPr>
              <w:t>10</w:t>
            </w:r>
            <w:r w:rsidRPr="001F31FB">
              <w:rPr>
                <w:b/>
                <w:sz w:val="24"/>
                <w:szCs w:val="24"/>
              </w:rPr>
              <w:noBreakHyphen/>
              <w:t>25 ml/min/1,73 m</w:t>
            </w:r>
            <w:r w:rsidRPr="001F31FB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BAA78" w14:textId="77777777" w:rsidR="0026765F" w:rsidRPr="001F31FB" w:rsidRDefault="0026765F" w:rsidP="006361A7">
            <w:pPr>
              <w:rPr>
                <w:sz w:val="24"/>
                <w:szCs w:val="24"/>
              </w:rPr>
            </w:pPr>
            <w:r w:rsidRPr="001F31FB">
              <w:rPr>
                <w:sz w:val="24"/>
                <w:szCs w:val="24"/>
              </w:rPr>
              <w:t>5 mg/kg legemsvægt to gange dagligt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77E55" w14:textId="77777777" w:rsidR="0026765F" w:rsidRPr="001F31FB" w:rsidRDefault="0026765F" w:rsidP="006361A7">
            <w:pPr>
              <w:rPr>
                <w:rFonts w:eastAsia="Courier New"/>
                <w:sz w:val="24"/>
                <w:szCs w:val="24"/>
              </w:rPr>
            </w:pPr>
            <w:r w:rsidRPr="001F31FB">
              <w:rPr>
                <w:sz w:val="24"/>
                <w:szCs w:val="24"/>
              </w:rPr>
              <w:t>10 mg/kg legemsvægt to gange dagligt</w:t>
            </w:r>
          </w:p>
        </w:tc>
      </w:tr>
      <w:tr w:rsidR="006361A7" w:rsidRPr="001F31FB" w14:paraId="0DA5F10B" w14:textId="77777777" w:rsidTr="006361A7"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3D4A8" w14:textId="77777777" w:rsidR="0026765F" w:rsidRPr="001F31FB" w:rsidRDefault="0026765F" w:rsidP="006361A7">
            <w:pPr>
              <w:rPr>
                <w:b/>
                <w:bCs/>
                <w:sz w:val="24"/>
                <w:szCs w:val="24"/>
              </w:rPr>
            </w:pPr>
            <w:r w:rsidRPr="001F31FB">
              <w:rPr>
                <w:b/>
                <w:sz w:val="24"/>
                <w:szCs w:val="24"/>
              </w:rPr>
              <w:t>0 (</w:t>
            </w:r>
            <w:proofErr w:type="spellStart"/>
            <w:r w:rsidRPr="001F31FB">
              <w:rPr>
                <w:b/>
                <w:sz w:val="24"/>
                <w:szCs w:val="24"/>
              </w:rPr>
              <w:t>anuri</w:t>
            </w:r>
            <w:proofErr w:type="spellEnd"/>
            <w:r w:rsidRPr="001F31FB">
              <w:rPr>
                <w:b/>
                <w:sz w:val="24"/>
                <w:szCs w:val="24"/>
              </w:rPr>
              <w:t>) til 10 ml/min/1,73 m</w:t>
            </w:r>
            <w:r w:rsidRPr="001F31FB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1F4FD" w14:textId="77777777" w:rsidR="0026765F" w:rsidRPr="001F31FB" w:rsidRDefault="0026765F" w:rsidP="006361A7">
            <w:pPr>
              <w:rPr>
                <w:sz w:val="24"/>
                <w:szCs w:val="24"/>
              </w:rPr>
            </w:pPr>
            <w:r w:rsidRPr="001F31FB">
              <w:rPr>
                <w:sz w:val="24"/>
                <w:szCs w:val="24"/>
              </w:rPr>
              <w:t>2,5 mg/kg legemsvægt to gange dagligt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08472" w14:textId="77777777" w:rsidR="0026765F" w:rsidRPr="001F31FB" w:rsidRDefault="0026765F" w:rsidP="006361A7">
            <w:pPr>
              <w:rPr>
                <w:sz w:val="24"/>
                <w:szCs w:val="24"/>
              </w:rPr>
            </w:pPr>
            <w:r w:rsidRPr="001F31FB">
              <w:rPr>
                <w:sz w:val="24"/>
                <w:szCs w:val="24"/>
              </w:rPr>
              <w:t>5 mg/kg legemsvægt to gange dagligt</w:t>
            </w:r>
          </w:p>
        </w:tc>
      </w:tr>
      <w:tr w:rsidR="006361A7" w:rsidRPr="001F31FB" w14:paraId="6AB919DC" w14:textId="77777777" w:rsidTr="006361A7">
        <w:tc>
          <w:tcPr>
            <w:tcW w:w="1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CEE91" w14:textId="77777777" w:rsidR="0026765F" w:rsidRPr="001F31FB" w:rsidRDefault="0026765F" w:rsidP="006361A7">
            <w:pPr>
              <w:rPr>
                <w:rFonts w:eastAsia="Courier New"/>
                <w:b/>
                <w:sz w:val="24"/>
                <w:szCs w:val="24"/>
              </w:rPr>
            </w:pPr>
            <w:r w:rsidRPr="001F31FB">
              <w:rPr>
                <w:b/>
                <w:sz w:val="24"/>
                <w:szCs w:val="24"/>
              </w:rPr>
              <w:t>Patienter i hæmodialyse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8F3AA" w14:textId="77777777" w:rsidR="0026765F" w:rsidRPr="001F31FB" w:rsidRDefault="0026765F" w:rsidP="006361A7">
            <w:pPr>
              <w:rPr>
                <w:sz w:val="24"/>
                <w:szCs w:val="24"/>
              </w:rPr>
            </w:pPr>
            <w:r w:rsidRPr="001F31FB">
              <w:rPr>
                <w:sz w:val="24"/>
                <w:szCs w:val="24"/>
              </w:rPr>
              <w:t xml:space="preserve">2,5 mg/kg legemsvægt to gange dagligt efter hæmodialyse </w:t>
            </w:r>
          </w:p>
        </w:tc>
        <w:tc>
          <w:tcPr>
            <w:tcW w:w="2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88311" w14:textId="77777777" w:rsidR="0026765F" w:rsidRPr="001F31FB" w:rsidRDefault="0026765F" w:rsidP="006361A7">
            <w:pPr>
              <w:rPr>
                <w:rFonts w:eastAsia="Courier New"/>
                <w:sz w:val="24"/>
                <w:szCs w:val="24"/>
              </w:rPr>
            </w:pPr>
            <w:r w:rsidRPr="001F31FB">
              <w:rPr>
                <w:sz w:val="24"/>
                <w:szCs w:val="24"/>
              </w:rPr>
              <w:t>5 mg/kg legemsvægt to gange dagligt efter hæmodialyse</w:t>
            </w:r>
          </w:p>
        </w:tc>
      </w:tr>
    </w:tbl>
    <w:p w14:paraId="5A220255" w14:textId="77777777" w:rsidR="0026765F" w:rsidRPr="001F31FB" w:rsidRDefault="0026765F" w:rsidP="001F31FB">
      <w:pPr>
        <w:ind w:left="851"/>
        <w:rPr>
          <w:sz w:val="24"/>
          <w:szCs w:val="24"/>
        </w:rPr>
      </w:pPr>
    </w:p>
    <w:p w14:paraId="65C068EB" w14:textId="77777777" w:rsidR="0026765F" w:rsidRPr="001F31FB" w:rsidRDefault="0026765F" w:rsidP="001F31FB">
      <w:pPr>
        <w:ind w:left="851"/>
        <w:rPr>
          <w:i/>
          <w:sz w:val="24"/>
          <w:szCs w:val="24"/>
          <w:lang w:bidi="en-US"/>
        </w:rPr>
      </w:pPr>
      <w:r w:rsidRPr="001F31FB">
        <w:rPr>
          <w:i/>
          <w:sz w:val="24"/>
          <w:szCs w:val="24"/>
        </w:rPr>
        <w:t>Ældre</w:t>
      </w:r>
    </w:p>
    <w:p w14:paraId="2185EABF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Der skal tages højde for muligheden for nedsat nyrefunktion hos ældre patienter, og dosis skal justeres i henhold til </w:t>
      </w:r>
      <w:proofErr w:type="spellStart"/>
      <w:r w:rsidRPr="001F31FB">
        <w:rPr>
          <w:sz w:val="24"/>
          <w:szCs w:val="24"/>
        </w:rPr>
        <w:t>kreatinin-clearance</w:t>
      </w:r>
      <w:proofErr w:type="spellEnd"/>
      <w:r w:rsidRPr="001F31FB">
        <w:rPr>
          <w:sz w:val="24"/>
          <w:szCs w:val="24"/>
        </w:rPr>
        <w:t xml:space="preserve"> (se afsnittet ”Dosering til patienter med nedsat nyrefunktion”).</w:t>
      </w:r>
    </w:p>
    <w:p w14:paraId="298B6007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Der skal sikres tilstrækkeligt væskeindtag.</w:t>
      </w:r>
    </w:p>
    <w:p w14:paraId="62EFC0B0" w14:textId="77777777" w:rsidR="0026765F" w:rsidRPr="001F31FB" w:rsidRDefault="0026765F" w:rsidP="001F31FB">
      <w:pPr>
        <w:ind w:left="851"/>
        <w:rPr>
          <w:b/>
          <w:bCs/>
          <w:sz w:val="24"/>
          <w:szCs w:val="24"/>
          <w:u w:val="single"/>
        </w:rPr>
      </w:pPr>
    </w:p>
    <w:p w14:paraId="22BFF91B" w14:textId="77777777" w:rsidR="0026765F" w:rsidRPr="001F31FB" w:rsidRDefault="0026765F" w:rsidP="001F31FB">
      <w:pPr>
        <w:ind w:left="851"/>
        <w:rPr>
          <w:b/>
          <w:bCs/>
          <w:sz w:val="24"/>
          <w:szCs w:val="24"/>
          <w:u w:val="single"/>
          <w:lang w:bidi="en-US"/>
        </w:rPr>
      </w:pPr>
      <w:r w:rsidRPr="001F31FB">
        <w:rPr>
          <w:b/>
          <w:sz w:val="24"/>
          <w:szCs w:val="24"/>
          <w:u w:val="single"/>
        </w:rPr>
        <w:t>Behandlingsvarighed</w:t>
      </w:r>
    </w:p>
    <w:p w14:paraId="39C43A21" w14:textId="77777777" w:rsidR="0026765F" w:rsidRPr="001F31FB" w:rsidRDefault="0026765F" w:rsidP="001F31FB">
      <w:pPr>
        <w:ind w:left="851"/>
        <w:rPr>
          <w:rFonts w:eastAsia="Courier New"/>
          <w:sz w:val="24"/>
          <w:szCs w:val="24"/>
        </w:rPr>
      </w:pPr>
    </w:p>
    <w:p w14:paraId="37F6DC1B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Behandlingens varighed er generelt 5 dage, men varigheden kan justeres afhængigt af patientens tilstand og respons på behandlingen. Varigheden er:</w:t>
      </w:r>
    </w:p>
    <w:p w14:paraId="1466C2AA" w14:textId="77777777" w:rsidR="0026765F" w:rsidRPr="006361A7" w:rsidRDefault="0026765F" w:rsidP="006361A7">
      <w:pPr>
        <w:pStyle w:val="Listeafsnit"/>
        <w:numPr>
          <w:ilvl w:val="0"/>
          <w:numId w:val="15"/>
        </w:numPr>
        <w:ind w:left="1276" w:hanging="425"/>
        <w:rPr>
          <w:rFonts w:ascii="Times New Roman" w:hAnsi="Times New Roman" w:cs="Times New Roman"/>
        </w:rPr>
      </w:pPr>
      <w:r w:rsidRPr="006361A7">
        <w:rPr>
          <w:rFonts w:ascii="Times New Roman" w:hAnsi="Times New Roman" w:cs="Times New Roman"/>
        </w:rPr>
        <w:t>8</w:t>
      </w:r>
      <w:r w:rsidRPr="006361A7">
        <w:rPr>
          <w:rFonts w:ascii="Times New Roman" w:hAnsi="Times New Roman" w:cs="Times New Roman"/>
        </w:rPr>
        <w:noBreakHyphen/>
        <w:t xml:space="preserve">10 dage til behandling af </w:t>
      </w:r>
      <w:proofErr w:type="spellStart"/>
      <w:r w:rsidRPr="006361A7">
        <w:rPr>
          <w:rFonts w:ascii="Times New Roman" w:hAnsi="Times New Roman" w:cs="Times New Roman"/>
          <w:i/>
        </w:rPr>
        <w:t>varicella</w:t>
      </w:r>
      <w:proofErr w:type="spellEnd"/>
      <w:r w:rsidRPr="006361A7">
        <w:rPr>
          <w:rFonts w:ascii="Times New Roman" w:hAnsi="Times New Roman" w:cs="Times New Roman"/>
          <w:i/>
        </w:rPr>
        <w:t> </w:t>
      </w:r>
      <w:proofErr w:type="spellStart"/>
      <w:r w:rsidRPr="006361A7">
        <w:rPr>
          <w:rFonts w:ascii="Times New Roman" w:hAnsi="Times New Roman" w:cs="Times New Roman"/>
          <w:i/>
        </w:rPr>
        <w:t>zoster</w:t>
      </w:r>
      <w:proofErr w:type="spellEnd"/>
      <w:r w:rsidRPr="006361A7">
        <w:rPr>
          <w:rFonts w:ascii="Times New Roman" w:hAnsi="Times New Roman" w:cs="Times New Roman"/>
        </w:rPr>
        <w:t>-virusinfektioner</w:t>
      </w:r>
    </w:p>
    <w:p w14:paraId="4546B8D7" w14:textId="77777777" w:rsidR="0026765F" w:rsidRPr="006361A7" w:rsidRDefault="0026765F" w:rsidP="006361A7">
      <w:pPr>
        <w:pStyle w:val="Listeafsnit"/>
        <w:numPr>
          <w:ilvl w:val="0"/>
          <w:numId w:val="15"/>
        </w:numPr>
        <w:ind w:left="1276" w:hanging="425"/>
        <w:rPr>
          <w:rFonts w:ascii="Times New Roman" w:hAnsi="Times New Roman" w:cs="Times New Roman"/>
        </w:rPr>
      </w:pPr>
      <w:r w:rsidRPr="006361A7">
        <w:rPr>
          <w:rFonts w:ascii="Times New Roman" w:hAnsi="Times New Roman" w:cs="Times New Roman"/>
        </w:rPr>
        <w:t xml:space="preserve">10 dage til behandling af </w:t>
      </w:r>
      <w:proofErr w:type="spellStart"/>
      <w:r w:rsidRPr="006361A7">
        <w:rPr>
          <w:rFonts w:ascii="Times New Roman" w:hAnsi="Times New Roman" w:cs="Times New Roman"/>
        </w:rPr>
        <w:t>herpetisk</w:t>
      </w:r>
      <w:proofErr w:type="spellEnd"/>
      <w:r w:rsidRPr="006361A7">
        <w:rPr>
          <w:rFonts w:ascii="Times New Roman" w:hAnsi="Times New Roman" w:cs="Times New Roman"/>
        </w:rPr>
        <w:t xml:space="preserve"> </w:t>
      </w:r>
      <w:proofErr w:type="spellStart"/>
      <w:r w:rsidRPr="006361A7">
        <w:rPr>
          <w:rFonts w:ascii="Times New Roman" w:hAnsi="Times New Roman" w:cs="Times New Roman"/>
        </w:rPr>
        <w:t>meningoencefalitis</w:t>
      </w:r>
      <w:proofErr w:type="spellEnd"/>
      <w:r w:rsidRPr="006361A7">
        <w:rPr>
          <w:rFonts w:ascii="Times New Roman" w:hAnsi="Times New Roman" w:cs="Times New Roman"/>
        </w:rPr>
        <w:t xml:space="preserve"> – skal justeres under hensyntagen til patientens tilstand og dennes respons på behandlingen.</w:t>
      </w:r>
    </w:p>
    <w:p w14:paraId="452DFC14" w14:textId="77777777" w:rsidR="0026765F" w:rsidRPr="006361A7" w:rsidRDefault="0026765F" w:rsidP="006361A7">
      <w:pPr>
        <w:pStyle w:val="Listeafsnit"/>
        <w:numPr>
          <w:ilvl w:val="0"/>
          <w:numId w:val="15"/>
        </w:numPr>
        <w:ind w:left="1276" w:hanging="425"/>
        <w:rPr>
          <w:rFonts w:ascii="Times New Roman" w:hAnsi="Times New Roman" w:cs="Times New Roman"/>
        </w:rPr>
      </w:pPr>
      <w:r w:rsidRPr="006361A7">
        <w:rPr>
          <w:rFonts w:ascii="Times New Roman" w:hAnsi="Times New Roman" w:cs="Times New Roman"/>
        </w:rPr>
        <w:t>5</w:t>
      </w:r>
      <w:r w:rsidRPr="006361A7">
        <w:rPr>
          <w:rFonts w:ascii="Times New Roman" w:hAnsi="Times New Roman" w:cs="Times New Roman"/>
        </w:rPr>
        <w:noBreakHyphen/>
        <w:t xml:space="preserve">10 dage til behandling af andre </w:t>
      </w:r>
      <w:r w:rsidRPr="006361A7">
        <w:rPr>
          <w:rFonts w:ascii="Times New Roman" w:hAnsi="Times New Roman" w:cs="Times New Roman"/>
          <w:i/>
        </w:rPr>
        <w:t>herpes </w:t>
      </w:r>
      <w:proofErr w:type="spellStart"/>
      <w:r w:rsidRPr="006361A7">
        <w:rPr>
          <w:rFonts w:ascii="Times New Roman" w:hAnsi="Times New Roman" w:cs="Times New Roman"/>
          <w:i/>
        </w:rPr>
        <w:t>simplex</w:t>
      </w:r>
      <w:proofErr w:type="spellEnd"/>
      <w:r w:rsidRPr="006361A7">
        <w:rPr>
          <w:rFonts w:ascii="Times New Roman" w:hAnsi="Times New Roman" w:cs="Times New Roman"/>
        </w:rPr>
        <w:t>-virusinfektioner</w:t>
      </w:r>
    </w:p>
    <w:p w14:paraId="102C5B4B" w14:textId="77777777" w:rsidR="0026765F" w:rsidRPr="006361A7" w:rsidRDefault="0026765F" w:rsidP="006361A7">
      <w:pPr>
        <w:pStyle w:val="Listeafsnit"/>
        <w:numPr>
          <w:ilvl w:val="0"/>
          <w:numId w:val="15"/>
        </w:numPr>
        <w:ind w:left="1276" w:hanging="425"/>
        <w:rPr>
          <w:rFonts w:ascii="Times New Roman" w:hAnsi="Times New Roman" w:cs="Times New Roman"/>
        </w:rPr>
      </w:pPr>
      <w:r w:rsidRPr="006361A7">
        <w:rPr>
          <w:rFonts w:ascii="Times New Roman" w:hAnsi="Times New Roman" w:cs="Times New Roman"/>
        </w:rPr>
        <w:t xml:space="preserve">14 dage til behandling neonatal herpes ved </w:t>
      </w:r>
      <w:proofErr w:type="spellStart"/>
      <w:r w:rsidRPr="006361A7">
        <w:rPr>
          <w:rFonts w:ascii="Times New Roman" w:hAnsi="Times New Roman" w:cs="Times New Roman"/>
        </w:rPr>
        <w:t>mukokutane</w:t>
      </w:r>
      <w:proofErr w:type="spellEnd"/>
      <w:r w:rsidRPr="006361A7">
        <w:rPr>
          <w:rFonts w:ascii="Times New Roman" w:hAnsi="Times New Roman" w:cs="Times New Roman"/>
        </w:rPr>
        <w:t xml:space="preserve"> infektioner (hud/øje/mund)</w:t>
      </w:r>
    </w:p>
    <w:p w14:paraId="10B6FF6D" w14:textId="77777777" w:rsidR="0026765F" w:rsidRPr="006361A7" w:rsidRDefault="0026765F" w:rsidP="006361A7">
      <w:pPr>
        <w:pStyle w:val="Listeafsnit"/>
        <w:numPr>
          <w:ilvl w:val="0"/>
          <w:numId w:val="15"/>
        </w:numPr>
        <w:ind w:left="1276" w:hanging="425"/>
        <w:rPr>
          <w:rFonts w:ascii="Times New Roman" w:hAnsi="Times New Roman" w:cs="Times New Roman"/>
        </w:rPr>
      </w:pPr>
      <w:r w:rsidRPr="006361A7">
        <w:rPr>
          <w:rFonts w:ascii="Times New Roman" w:hAnsi="Times New Roman" w:cs="Times New Roman"/>
        </w:rPr>
        <w:t>21 dage til behandling af neonatal herpes ved dissemineret sygdom eller sygdom i centralnervesystemet.</w:t>
      </w:r>
    </w:p>
    <w:p w14:paraId="00C5DFAC" w14:textId="77777777" w:rsidR="006361A7" w:rsidRDefault="006361A7" w:rsidP="001F31FB">
      <w:pPr>
        <w:ind w:left="851"/>
        <w:rPr>
          <w:sz w:val="24"/>
          <w:szCs w:val="24"/>
        </w:rPr>
      </w:pPr>
    </w:p>
    <w:p w14:paraId="5771AE65" w14:textId="1D9D49C2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Varigheden af profylaktisk behandling med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</w:t>
      </w:r>
      <w:r w:rsidR="00415E2D">
        <w:rPr>
          <w:sz w:val="24"/>
          <w:szCs w:val="24"/>
        </w:rPr>
        <w:t>"Noridem"</w:t>
      </w:r>
      <w:r w:rsidRPr="001F31FB">
        <w:rPr>
          <w:sz w:val="24"/>
          <w:szCs w:val="24"/>
        </w:rPr>
        <w:t xml:space="preserve"> afhænger af risikoperiodens længde.</w:t>
      </w:r>
    </w:p>
    <w:p w14:paraId="422623C3" w14:textId="77777777" w:rsidR="006361A7" w:rsidRDefault="006361A7" w:rsidP="001F31FB">
      <w:pPr>
        <w:ind w:left="851"/>
        <w:rPr>
          <w:sz w:val="24"/>
          <w:szCs w:val="24"/>
          <w:u w:val="single"/>
        </w:rPr>
      </w:pPr>
    </w:p>
    <w:p w14:paraId="3F3C4291" w14:textId="42228A73" w:rsidR="0026765F" w:rsidRPr="001F31FB" w:rsidRDefault="0026765F" w:rsidP="001F31FB">
      <w:pPr>
        <w:ind w:left="851"/>
        <w:rPr>
          <w:rFonts w:eastAsia="Courier New"/>
          <w:sz w:val="24"/>
          <w:szCs w:val="24"/>
          <w:u w:val="single"/>
        </w:rPr>
      </w:pPr>
      <w:r w:rsidRPr="001F31FB">
        <w:rPr>
          <w:sz w:val="24"/>
          <w:szCs w:val="24"/>
          <w:u w:val="single"/>
        </w:rPr>
        <w:t>Administration</w:t>
      </w:r>
    </w:p>
    <w:p w14:paraId="6C9C0D1D" w14:textId="77777777" w:rsidR="006361A7" w:rsidRDefault="006361A7" w:rsidP="001F31FB">
      <w:pPr>
        <w:ind w:left="851"/>
        <w:rPr>
          <w:b/>
          <w:sz w:val="24"/>
          <w:szCs w:val="24"/>
        </w:rPr>
      </w:pPr>
    </w:p>
    <w:p w14:paraId="05D28168" w14:textId="4C36C7CE" w:rsidR="0026765F" w:rsidRPr="001F31FB" w:rsidRDefault="0026765F" w:rsidP="001F31FB">
      <w:pPr>
        <w:ind w:left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Kun til intravenøs anvendelse:</w:t>
      </w:r>
    </w:p>
    <w:p w14:paraId="77BB2641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Hver dosis skal injiceres langsomt intravenøst (med pumpe eller infusion) over mindst en time.</w:t>
      </w:r>
    </w:p>
    <w:p w14:paraId="61B783A6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For instruktioner om </w:t>
      </w:r>
      <w:proofErr w:type="spellStart"/>
      <w:r w:rsidRPr="001F31FB">
        <w:rPr>
          <w:sz w:val="24"/>
          <w:szCs w:val="24"/>
        </w:rPr>
        <w:t>rekonstitution</w:t>
      </w:r>
      <w:proofErr w:type="spellEnd"/>
      <w:r w:rsidRPr="001F31FB">
        <w:rPr>
          <w:sz w:val="24"/>
          <w:szCs w:val="24"/>
        </w:rPr>
        <w:t xml:space="preserve"> af lægemidlet før administration, se pkt. 6.6.</w:t>
      </w:r>
      <w:bookmarkEnd w:id="1"/>
    </w:p>
    <w:p w14:paraId="101B635E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5BFBD2E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4.3</w:t>
      </w:r>
      <w:r w:rsidRPr="001F31FB">
        <w:rPr>
          <w:b/>
          <w:sz w:val="24"/>
          <w:szCs w:val="24"/>
        </w:rPr>
        <w:tab/>
        <w:t>Kontraindikationer</w:t>
      </w:r>
    </w:p>
    <w:p w14:paraId="38571A97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Overfølsomhed over for det aktive stof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, eller overfor </w:t>
      </w:r>
      <w:proofErr w:type="spellStart"/>
      <w:r w:rsidRPr="001F31FB">
        <w:rPr>
          <w:sz w:val="24"/>
          <w:szCs w:val="24"/>
        </w:rPr>
        <w:t>valaciclovir</w:t>
      </w:r>
      <w:proofErr w:type="spellEnd"/>
      <w:r w:rsidRPr="001F31FB">
        <w:rPr>
          <w:sz w:val="24"/>
          <w:szCs w:val="24"/>
        </w:rPr>
        <w:t>, eller over for et eller flere af hjælpestofferne anført i pkt. 6.1.</w:t>
      </w:r>
    </w:p>
    <w:p w14:paraId="7151E387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D929565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4.4</w:t>
      </w:r>
      <w:r w:rsidRPr="001F31FB">
        <w:rPr>
          <w:b/>
          <w:sz w:val="24"/>
          <w:szCs w:val="24"/>
        </w:rPr>
        <w:tab/>
        <w:t>Særlige advarsler og forsigtighedsregler vedrørende brugen</w:t>
      </w:r>
    </w:p>
    <w:p w14:paraId="6823F45C" w14:textId="77777777" w:rsidR="006361A7" w:rsidRDefault="006361A7" w:rsidP="001F31FB">
      <w:pPr>
        <w:ind w:left="851"/>
        <w:rPr>
          <w:sz w:val="24"/>
          <w:szCs w:val="24"/>
        </w:rPr>
      </w:pPr>
      <w:bookmarkStart w:id="2" w:name="_Toc142278920"/>
    </w:p>
    <w:p w14:paraId="7AB0C161" w14:textId="414AA836" w:rsidR="0026765F" w:rsidRPr="006361A7" w:rsidRDefault="0026765F" w:rsidP="001F31FB">
      <w:pPr>
        <w:ind w:left="851"/>
        <w:rPr>
          <w:bCs/>
          <w:sz w:val="24"/>
          <w:szCs w:val="24"/>
          <w:u w:val="single"/>
        </w:rPr>
      </w:pPr>
      <w:r w:rsidRPr="006361A7">
        <w:rPr>
          <w:sz w:val="24"/>
          <w:szCs w:val="24"/>
          <w:u w:val="single"/>
        </w:rPr>
        <w:t>Særlige advarsler</w:t>
      </w:r>
      <w:bookmarkEnd w:id="2"/>
    </w:p>
    <w:p w14:paraId="69F7A756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Dette lægemiddel er ikke indiceret til behandling eller profylakse af </w:t>
      </w:r>
      <w:proofErr w:type="spellStart"/>
      <w:r w:rsidRPr="001F31FB">
        <w:rPr>
          <w:sz w:val="24"/>
          <w:szCs w:val="24"/>
        </w:rPr>
        <w:t>postherpetiske</w:t>
      </w:r>
      <w:proofErr w:type="spellEnd"/>
      <w:r w:rsidRPr="001F31FB">
        <w:rPr>
          <w:sz w:val="24"/>
          <w:szCs w:val="24"/>
        </w:rPr>
        <w:t xml:space="preserve"> smerter.</w:t>
      </w:r>
    </w:p>
    <w:p w14:paraId="5CDB8D3F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Samtidig anvendelse af andre </w:t>
      </w:r>
      <w:proofErr w:type="spellStart"/>
      <w:r w:rsidRPr="001F31FB">
        <w:rPr>
          <w:sz w:val="24"/>
          <w:szCs w:val="24"/>
        </w:rPr>
        <w:t>nefrotoksiske</w:t>
      </w:r>
      <w:proofErr w:type="spellEnd"/>
      <w:r w:rsidRPr="001F31FB">
        <w:rPr>
          <w:sz w:val="24"/>
          <w:szCs w:val="24"/>
        </w:rPr>
        <w:t xml:space="preserve"> lægemidler øger risikoen for nedsat nyrefunktion. Der kræves forsigtighed ved administration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</w:t>
      </w:r>
      <w:proofErr w:type="spellStart"/>
      <w:r w:rsidRPr="001F31FB">
        <w:rPr>
          <w:sz w:val="24"/>
          <w:szCs w:val="24"/>
        </w:rPr>
        <w:t>i.v</w:t>
      </w:r>
      <w:proofErr w:type="spellEnd"/>
      <w:r w:rsidRPr="001F31FB">
        <w:rPr>
          <w:sz w:val="24"/>
          <w:szCs w:val="24"/>
        </w:rPr>
        <w:t xml:space="preserve">. sammen med andre </w:t>
      </w:r>
      <w:proofErr w:type="spellStart"/>
      <w:r w:rsidRPr="001F31FB">
        <w:rPr>
          <w:sz w:val="24"/>
          <w:szCs w:val="24"/>
        </w:rPr>
        <w:t>nefrotoksiske</w:t>
      </w:r>
      <w:proofErr w:type="spellEnd"/>
      <w:r w:rsidRPr="001F31FB">
        <w:rPr>
          <w:sz w:val="24"/>
          <w:szCs w:val="24"/>
        </w:rPr>
        <w:t xml:space="preserve"> lægemidler.</w:t>
      </w:r>
    </w:p>
    <w:p w14:paraId="6DC67F27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Ved debut af nyresmerter skal nedsat nyrefunktion og </w:t>
      </w:r>
      <w:proofErr w:type="spellStart"/>
      <w:r w:rsidRPr="001F31FB">
        <w:rPr>
          <w:sz w:val="24"/>
          <w:szCs w:val="24"/>
        </w:rPr>
        <w:t>seponering</w:t>
      </w:r>
      <w:proofErr w:type="spellEnd"/>
      <w:r w:rsidRPr="001F31FB">
        <w:rPr>
          <w:sz w:val="24"/>
          <w:szCs w:val="24"/>
        </w:rPr>
        <w:t xml:space="preserve"> af behandlingen overvejes.</w:t>
      </w:r>
    </w:p>
    <w:p w14:paraId="45D5AA2C" w14:textId="77777777" w:rsidR="006361A7" w:rsidRDefault="006361A7" w:rsidP="001F31FB">
      <w:pPr>
        <w:ind w:left="851"/>
        <w:rPr>
          <w:sz w:val="24"/>
          <w:szCs w:val="24"/>
        </w:rPr>
      </w:pPr>
    </w:p>
    <w:p w14:paraId="7308F021" w14:textId="466257F8" w:rsidR="0026765F" w:rsidRPr="006361A7" w:rsidRDefault="0026765F" w:rsidP="001F31FB">
      <w:pPr>
        <w:ind w:left="851"/>
        <w:rPr>
          <w:bCs/>
          <w:sz w:val="24"/>
          <w:szCs w:val="24"/>
          <w:u w:val="single"/>
        </w:rPr>
      </w:pPr>
      <w:r w:rsidRPr="006361A7">
        <w:rPr>
          <w:sz w:val="24"/>
          <w:szCs w:val="24"/>
          <w:u w:val="single"/>
        </w:rPr>
        <w:t>Forsigtighedsregler vedrørende brugen</w:t>
      </w:r>
    </w:p>
    <w:p w14:paraId="3D77D520" w14:textId="77777777" w:rsidR="006361A7" w:rsidRDefault="006361A7" w:rsidP="001F31FB">
      <w:pPr>
        <w:ind w:left="851"/>
        <w:rPr>
          <w:sz w:val="24"/>
          <w:szCs w:val="24"/>
        </w:rPr>
      </w:pPr>
    </w:p>
    <w:p w14:paraId="38F110A8" w14:textId="30EE3519" w:rsidR="0026765F" w:rsidRPr="006361A7" w:rsidRDefault="0026765F" w:rsidP="001F31FB">
      <w:pPr>
        <w:ind w:left="851"/>
        <w:rPr>
          <w:iCs/>
          <w:sz w:val="24"/>
          <w:szCs w:val="24"/>
          <w:u w:val="single"/>
        </w:rPr>
      </w:pPr>
      <w:r w:rsidRPr="006361A7">
        <w:rPr>
          <w:sz w:val="24"/>
          <w:szCs w:val="24"/>
          <w:u w:val="single"/>
        </w:rPr>
        <w:t>Patientens hydreringsstatus</w:t>
      </w:r>
    </w:p>
    <w:p w14:paraId="364B6A2B" w14:textId="77777777" w:rsidR="006361A7" w:rsidRDefault="006361A7" w:rsidP="001F31FB">
      <w:pPr>
        <w:ind w:left="851"/>
        <w:rPr>
          <w:sz w:val="24"/>
          <w:szCs w:val="24"/>
        </w:rPr>
      </w:pPr>
    </w:p>
    <w:p w14:paraId="1318E1D0" w14:textId="39380CAF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Det er vigtigt at sikre tilstrækkeligt væskeindtag, særligt hos patienter med risiko for dehydrering, navnlig ældre, samt hos patienter, der får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</w:t>
      </w:r>
      <w:proofErr w:type="spellStart"/>
      <w:r w:rsidRPr="001F31FB">
        <w:rPr>
          <w:sz w:val="24"/>
          <w:szCs w:val="24"/>
        </w:rPr>
        <w:t>i.v</w:t>
      </w:r>
      <w:proofErr w:type="spellEnd"/>
      <w:r w:rsidRPr="001F31FB">
        <w:rPr>
          <w:sz w:val="24"/>
          <w:szCs w:val="24"/>
        </w:rPr>
        <w:t xml:space="preserve">. eller høje doser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oralt.</w:t>
      </w:r>
    </w:p>
    <w:p w14:paraId="332554C1" w14:textId="77777777" w:rsidR="006361A7" w:rsidRDefault="006361A7" w:rsidP="001F31FB">
      <w:pPr>
        <w:ind w:left="851"/>
        <w:rPr>
          <w:sz w:val="24"/>
          <w:szCs w:val="24"/>
        </w:rPr>
      </w:pPr>
    </w:p>
    <w:p w14:paraId="3C9BA7CD" w14:textId="0634D03C" w:rsidR="0026765F" w:rsidRPr="006361A7" w:rsidRDefault="0026765F" w:rsidP="001F31FB">
      <w:pPr>
        <w:ind w:left="851"/>
        <w:rPr>
          <w:rFonts w:eastAsia="Courier New"/>
          <w:sz w:val="24"/>
          <w:szCs w:val="24"/>
          <w:u w:val="single"/>
        </w:rPr>
      </w:pPr>
      <w:r w:rsidRPr="006361A7">
        <w:rPr>
          <w:sz w:val="24"/>
          <w:szCs w:val="24"/>
          <w:u w:val="single"/>
        </w:rPr>
        <w:t>Patienter med nedsat nyrefunktion og ældre patienter</w:t>
      </w:r>
    </w:p>
    <w:p w14:paraId="10030669" w14:textId="77777777" w:rsidR="006361A7" w:rsidRDefault="006361A7" w:rsidP="001F31FB">
      <w:pPr>
        <w:ind w:left="851"/>
        <w:rPr>
          <w:sz w:val="24"/>
          <w:szCs w:val="24"/>
        </w:rPr>
      </w:pPr>
    </w:p>
    <w:p w14:paraId="3A814900" w14:textId="761C7EC8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Da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udskilles via nyrerne, skal dosis justeres i forhold til </w:t>
      </w:r>
      <w:proofErr w:type="spellStart"/>
      <w:r w:rsidRPr="001F31FB">
        <w:rPr>
          <w:sz w:val="24"/>
          <w:szCs w:val="24"/>
        </w:rPr>
        <w:t>kreatinin-clearance</w:t>
      </w:r>
      <w:proofErr w:type="spellEnd"/>
      <w:r w:rsidRPr="001F31FB">
        <w:rPr>
          <w:sz w:val="24"/>
          <w:szCs w:val="24"/>
        </w:rPr>
        <w:t xml:space="preserve"> (</w:t>
      </w:r>
      <w:r w:rsidRPr="006361A7">
        <w:rPr>
          <w:sz w:val="24"/>
          <w:szCs w:val="24"/>
        </w:rPr>
        <w:t>se pkt. 4.2</w:t>
      </w:r>
      <w:r w:rsidRPr="001F31FB">
        <w:rPr>
          <w:sz w:val="24"/>
          <w:szCs w:val="24"/>
        </w:rPr>
        <w:t>).</w:t>
      </w:r>
    </w:p>
    <w:p w14:paraId="0CDA6390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lastRenderedPageBreak/>
        <w:t xml:space="preserve">Der er en større sandsynlighed for nedsat nyrefunktion hos ældre, og en reduktion af </w:t>
      </w:r>
      <w:proofErr w:type="spellStart"/>
      <w:r w:rsidRPr="001F31FB">
        <w:rPr>
          <w:sz w:val="24"/>
          <w:szCs w:val="24"/>
        </w:rPr>
        <w:t>aciclovirdosis</w:t>
      </w:r>
      <w:proofErr w:type="spellEnd"/>
      <w:r w:rsidRPr="001F31FB">
        <w:rPr>
          <w:sz w:val="24"/>
          <w:szCs w:val="24"/>
        </w:rPr>
        <w:t xml:space="preserve"> skal derfor overvejes hos disse patienter.</w:t>
      </w:r>
    </w:p>
    <w:p w14:paraId="312A47A2" w14:textId="21F07064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Neurologiske forstyrrelser (</w:t>
      </w:r>
      <w:r w:rsidRPr="006361A7">
        <w:rPr>
          <w:sz w:val="24"/>
          <w:szCs w:val="24"/>
        </w:rPr>
        <w:t>se pkt. 4.8</w:t>
      </w:r>
      <w:r w:rsidRPr="001F31FB">
        <w:rPr>
          <w:sz w:val="24"/>
          <w:szCs w:val="24"/>
        </w:rPr>
        <w:t>) optræder ofte hyppigere hos patienter med nedsat nyrefunktion og hos ældre patienter med potentielt nedsat nyrefunktion.</w:t>
      </w:r>
    </w:p>
    <w:p w14:paraId="3E0ACDCB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Ældre patienter og/eller patienter med nedsat nyrefunktion skal overvåges nøje med henblik identifikation af disse uønskede neurologiske virkninger, som sædvanligvis er reversible efter </w:t>
      </w:r>
      <w:proofErr w:type="spellStart"/>
      <w:r w:rsidRPr="001F31FB">
        <w:rPr>
          <w:sz w:val="24"/>
          <w:szCs w:val="24"/>
        </w:rPr>
        <w:t>seponering</w:t>
      </w:r>
      <w:proofErr w:type="spellEnd"/>
      <w:r w:rsidRPr="001F31FB">
        <w:rPr>
          <w:sz w:val="24"/>
          <w:szCs w:val="24"/>
        </w:rPr>
        <w:t xml:space="preserve"> af behandlingen (se pkt. 4.8).</w:t>
      </w:r>
    </w:p>
    <w:p w14:paraId="4DC818AA" w14:textId="77777777" w:rsidR="006361A7" w:rsidRDefault="006361A7" w:rsidP="001F31FB">
      <w:pPr>
        <w:ind w:left="851"/>
        <w:rPr>
          <w:sz w:val="24"/>
          <w:szCs w:val="24"/>
        </w:rPr>
      </w:pPr>
    </w:p>
    <w:p w14:paraId="3F85CA93" w14:textId="201481E6" w:rsidR="0026765F" w:rsidRPr="006361A7" w:rsidRDefault="0026765F" w:rsidP="001F31FB">
      <w:pPr>
        <w:ind w:left="851"/>
        <w:rPr>
          <w:iCs/>
          <w:sz w:val="24"/>
          <w:szCs w:val="24"/>
          <w:u w:val="single"/>
        </w:rPr>
      </w:pPr>
      <w:r w:rsidRPr="006361A7">
        <w:rPr>
          <w:sz w:val="24"/>
          <w:szCs w:val="24"/>
          <w:u w:val="single"/>
        </w:rPr>
        <w:t>Forholdsregler vedrørende intravenøs administration</w:t>
      </w:r>
    </w:p>
    <w:p w14:paraId="5CD896E2" w14:textId="77777777" w:rsidR="006361A7" w:rsidRDefault="006361A7" w:rsidP="001F31FB">
      <w:pPr>
        <w:ind w:left="851"/>
        <w:rPr>
          <w:sz w:val="24"/>
          <w:szCs w:val="24"/>
        </w:rPr>
      </w:pPr>
    </w:p>
    <w:p w14:paraId="0AB93D7A" w14:textId="10670FDF" w:rsidR="0026765F" w:rsidRPr="001F31FB" w:rsidRDefault="0026765F" w:rsidP="001F31FB">
      <w:pPr>
        <w:ind w:left="851"/>
        <w:rPr>
          <w:iCs/>
          <w:sz w:val="24"/>
          <w:szCs w:val="24"/>
        </w:rPr>
      </w:pPr>
      <w:r w:rsidRPr="001F31FB">
        <w:rPr>
          <w:sz w:val="24"/>
          <w:szCs w:val="24"/>
        </w:rPr>
        <w:t xml:space="preserve">Intravenøse doser skal gives som en infusion over mindst en time for at undgå udfældning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i nyrerne. Hurtige injektioner eller </w:t>
      </w:r>
      <w:proofErr w:type="spellStart"/>
      <w:r w:rsidRPr="001F31FB">
        <w:rPr>
          <w:sz w:val="24"/>
          <w:szCs w:val="24"/>
        </w:rPr>
        <w:t>bolusinjektioner</w:t>
      </w:r>
      <w:proofErr w:type="spellEnd"/>
      <w:r w:rsidRPr="001F31FB">
        <w:rPr>
          <w:sz w:val="24"/>
          <w:szCs w:val="24"/>
        </w:rPr>
        <w:t xml:space="preserve"> skal undgås.</w:t>
      </w:r>
    </w:p>
    <w:p w14:paraId="2058D926" w14:textId="77777777" w:rsidR="006361A7" w:rsidRDefault="006361A7" w:rsidP="001F31FB">
      <w:pPr>
        <w:ind w:left="851"/>
        <w:rPr>
          <w:sz w:val="24"/>
          <w:szCs w:val="24"/>
        </w:rPr>
      </w:pPr>
    </w:p>
    <w:p w14:paraId="7F781D26" w14:textId="7C2130C4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Ved administration i en infusionspose skal den </w:t>
      </w:r>
      <w:proofErr w:type="spellStart"/>
      <w:r w:rsidRPr="001F31FB">
        <w:rPr>
          <w:sz w:val="24"/>
          <w:szCs w:val="24"/>
        </w:rPr>
        <w:t>rekonstituerede</w:t>
      </w:r>
      <w:proofErr w:type="spellEnd"/>
      <w:r w:rsidRPr="001F31FB">
        <w:rPr>
          <w:sz w:val="24"/>
          <w:szCs w:val="24"/>
        </w:rPr>
        <w:t xml:space="preserve"> </w:t>
      </w:r>
      <w:proofErr w:type="spellStart"/>
      <w:r w:rsidRPr="001F31FB">
        <w:rPr>
          <w:sz w:val="24"/>
          <w:szCs w:val="24"/>
        </w:rPr>
        <w:t>acicloviropløsning</w:t>
      </w:r>
      <w:proofErr w:type="spellEnd"/>
      <w:r w:rsidRPr="001F31FB">
        <w:rPr>
          <w:sz w:val="24"/>
          <w:szCs w:val="24"/>
        </w:rPr>
        <w:t xml:space="preserve"> fortyndes, så den maksimale koncentration på 5 mg/ml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pr. pose ikke overskrides (se pkt. 4.8 og 6.6).</w:t>
      </w:r>
    </w:p>
    <w:p w14:paraId="3E0344F9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Hos patienter, der får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som </w:t>
      </w:r>
      <w:proofErr w:type="spellStart"/>
      <w:r w:rsidRPr="001F31FB">
        <w:rPr>
          <w:sz w:val="24"/>
          <w:szCs w:val="24"/>
        </w:rPr>
        <w:t>i.v</w:t>
      </w:r>
      <w:proofErr w:type="spellEnd"/>
      <w:r w:rsidRPr="001F31FB">
        <w:rPr>
          <w:sz w:val="24"/>
          <w:szCs w:val="24"/>
        </w:rPr>
        <w:t xml:space="preserve">. infusion ved høje doser (f.eks. til behandling af </w:t>
      </w:r>
      <w:proofErr w:type="spellStart"/>
      <w:r w:rsidRPr="001F31FB">
        <w:rPr>
          <w:sz w:val="24"/>
          <w:szCs w:val="24"/>
        </w:rPr>
        <w:t>herpetisk</w:t>
      </w:r>
      <w:proofErr w:type="spellEnd"/>
      <w:r w:rsidRPr="001F31FB">
        <w:rPr>
          <w:sz w:val="24"/>
          <w:szCs w:val="24"/>
        </w:rPr>
        <w:t xml:space="preserve"> </w:t>
      </w:r>
      <w:proofErr w:type="spellStart"/>
      <w:r w:rsidRPr="001F31FB">
        <w:rPr>
          <w:sz w:val="24"/>
          <w:szCs w:val="24"/>
        </w:rPr>
        <w:t>encefalitis</w:t>
      </w:r>
      <w:proofErr w:type="spellEnd"/>
      <w:r w:rsidRPr="001F31FB">
        <w:rPr>
          <w:sz w:val="24"/>
          <w:szCs w:val="24"/>
        </w:rPr>
        <w:t xml:space="preserve">), skal der rettes særlig opmærksomhed på nyrefunktionen, særligt hvis patienterne er dehydrerede eller har nedsat nyrefunktion. Den </w:t>
      </w:r>
      <w:proofErr w:type="spellStart"/>
      <w:r w:rsidRPr="001F31FB">
        <w:rPr>
          <w:sz w:val="24"/>
          <w:szCs w:val="24"/>
        </w:rPr>
        <w:t>rekonstituerede</w:t>
      </w:r>
      <w:proofErr w:type="spellEnd"/>
      <w:r w:rsidRPr="001F31FB">
        <w:rPr>
          <w:sz w:val="24"/>
          <w:szCs w:val="24"/>
        </w:rPr>
        <w:t xml:space="preserve">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-opløsning til </w:t>
      </w:r>
      <w:proofErr w:type="spellStart"/>
      <w:r w:rsidRPr="001F31FB">
        <w:rPr>
          <w:sz w:val="24"/>
          <w:szCs w:val="24"/>
        </w:rPr>
        <w:t>i.v</w:t>
      </w:r>
      <w:proofErr w:type="spellEnd"/>
      <w:r w:rsidRPr="001F31FB">
        <w:rPr>
          <w:sz w:val="24"/>
          <w:szCs w:val="24"/>
        </w:rPr>
        <w:t>. infusion har en omtrentlig pH på 11,0 og må ikke administreres oralt.</w:t>
      </w:r>
    </w:p>
    <w:p w14:paraId="1E79DC33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Der er rapporteret om tilfælde af fortyndingsfejl ved administration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som injektion. Det er vigtigt nøje at overholde anvisningerne for </w:t>
      </w:r>
      <w:proofErr w:type="spellStart"/>
      <w:r w:rsidRPr="001F31FB">
        <w:rPr>
          <w:sz w:val="24"/>
          <w:szCs w:val="24"/>
        </w:rPr>
        <w:t>rekonstitution</w:t>
      </w:r>
      <w:proofErr w:type="spellEnd"/>
      <w:r w:rsidRPr="001F31FB">
        <w:rPr>
          <w:sz w:val="24"/>
          <w:szCs w:val="24"/>
        </w:rPr>
        <w:t xml:space="preserve"> og fortynding ved administration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i en infusionspose (se pkt. 6.6).</w:t>
      </w:r>
    </w:p>
    <w:p w14:paraId="130BD331" w14:textId="77777777" w:rsidR="006361A7" w:rsidRDefault="006361A7" w:rsidP="001F31FB">
      <w:pPr>
        <w:ind w:left="851"/>
        <w:rPr>
          <w:sz w:val="24"/>
          <w:szCs w:val="24"/>
        </w:rPr>
      </w:pPr>
    </w:p>
    <w:p w14:paraId="44015EE7" w14:textId="0B8F49B8" w:rsidR="0026765F" w:rsidRPr="006361A7" w:rsidRDefault="0026765F" w:rsidP="001F31FB">
      <w:pPr>
        <w:ind w:left="851"/>
        <w:rPr>
          <w:iCs/>
          <w:sz w:val="24"/>
          <w:szCs w:val="24"/>
          <w:u w:val="single"/>
        </w:rPr>
      </w:pPr>
      <w:r w:rsidRPr="006361A7">
        <w:rPr>
          <w:sz w:val="24"/>
          <w:szCs w:val="24"/>
          <w:u w:val="single"/>
        </w:rPr>
        <w:t>Langvarig behandling</w:t>
      </w:r>
    </w:p>
    <w:p w14:paraId="064228C8" w14:textId="77777777" w:rsidR="006361A7" w:rsidRDefault="006361A7" w:rsidP="001F31FB">
      <w:pPr>
        <w:ind w:left="851"/>
        <w:rPr>
          <w:sz w:val="24"/>
          <w:szCs w:val="24"/>
        </w:rPr>
      </w:pPr>
    </w:p>
    <w:p w14:paraId="03A29D9C" w14:textId="47B1ACE2" w:rsidR="0026765F" w:rsidRPr="001F31FB" w:rsidRDefault="0026765F" w:rsidP="001F31FB">
      <w:pPr>
        <w:ind w:left="851"/>
        <w:rPr>
          <w:rFonts w:eastAsia="Courier New"/>
          <w:sz w:val="24"/>
          <w:szCs w:val="24"/>
        </w:rPr>
      </w:pPr>
      <w:r w:rsidRPr="001F31FB">
        <w:rPr>
          <w:sz w:val="24"/>
          <w:szCs w:val="24"/>
        </w:rPr>
        <w:t xml:space="preserve">Langvarig behandling eller gentagen administration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hos stærkt immunsupprimerede patienter kan bevirke, at udvalgte </w:t>
      </w:r>
      <w:proofErr w:type="spellStart"/>
      <w:r w:rsidRPr="001F31FB">
        <w:rPr>
          <w:sz w:val="24"/>
          <w:szCs w:val="24"/>
        </w:rPr>
        <w:t>virustammers</w:t>
      </w:r>
      <w:proofErr w:type="spellEnd"/>
      <w:r w:rsidRPr="001F31FB">
        <w:rPr>
          <w:sz w:val="24"/>
          <w:szCs w:val="24"/>
        </w:rPr>
        <w:t xml:space="preserve"> følsomhed over for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reduceres, og som følge heraf kan der forekomme manglende respons på længerevarende behandling med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(se pkt. 5.1).</w:t>
      </w:r>
    </w:p>
    <w:p w14:paraId="66FBA063" w14:textId="77777777" w:rsidR="006361A7" w:rsidRDefault="006361A7" w:rsidP="001F31FB">
      <w:pPr>
        <w:ind w:left="851"/>
        <w:rPr>
          <w:sz w:val="24"/>
          <w:szCs w:val="24"/>
        </w:rPr>
      </w:pPr>
    </w:p>
    <w:p w14:paraId="10852D69" w14:textId="3323297E" w:rsidR="0026765F" w:rsidRPr="006361A7" w:rsidRDefault="0026765F" w:rsidP="001F31FB">
      <w:pPr>
        <w:ind w:left="851"/>
        <w:rPr>
          <w:iCs/>
          <w:sz w:val="24"/>
          <w:szCs w:val="24"/>
          <w:u w:val="single"/>
        </w:rPr>
      </w:pPr>
      <w:r w:rsidRPr="006361A7">
        <w:rPr>
          <w:sz w:val="24"/>
          <w:szCs w:val="24"/>
          <w:u w:val="single"/>
        </w:rPr>
        <w:t>Hjælpestof, som behandleren skal være opmærksom på</w:t>
      </w:r>
    </w:p>
    <w:p w14:paraId="12495379" w14:textId="77777777" w:rsidR="006361A7" w:rsidRDefault="006361A7" w:rsidP="001F31FB">
      <w:pPr>
        <w:ind w:left="851"/>
        <w:rPr>
          <w:b/>
          <w:sz w:val="24"/>
          <w:szCs w:val="24"/>
        </w:rPr>
      </w:pPr>
    </w:p>
    <w:p w14:paraId="602BD069" w14:textId="5E44D918" w:rsidR="0026765F" w:rsidRPr="001F31FB" w:rsidRDefault="0026765F" w:rsidP="001F31FB">
      <w:pPr>
        <w:ind w:left="851"/>
        <w:rPr>
          <w:rFonts w:eastAsia="Courier New"/>
          <w:b/>
          <w:sz w:val="24"/>
          <w:szCs w:val="24"/>
        </w:rPr>
      </w:pPr>
      <w:r w:rsidRPr="001F31FB">
        <w:rPr>
          <w:b/>
          <w:sz w:val="24"/>
          <w:szCs w:val="24"/>
        </w:rPr>
        <w:t>Hætteglas med 250 mg:</w:t>
      </w:r>
    </w:p>
    <w:p w14:paraId="0BE73FFD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Dette lægemiddel indeholder 26,1 mg natrium pr. hætteglas, svarende til 1,3 % af den WHO anbefalede maksimale daglige indtagelse af 2 g natrium for en voksen. </w:t>
      </w:r>
    </w:p>
    <w:p w14:paraId="418E7958" w14:textId="77777777" w:rsidR="0026765F" w:rsidRPr="001F31FB" w:rsidRDefault="0026765F" w:rsidP="001F31FB">
      <w:pPr>
        <w:ind w:left="851"/>
        <w:rPr>
          <w:sz w:val="24"/>
          <w:szCs w:val="24"/>
        </w:rPr>
      </w:pPr>
    </w:p>
    <w:p w14:paraId="11D1F3CC" w14:textId="77777777" w:rsidR="0026765F" w:rsidRPr="001F31FB" w:rsidRDefault="0026765F" w:rsidP="001F31FB">
      <w:pPr>
        <w:ind w:left="851"/>
        <w:rPr>
          <w:b/>
          <w:sz w:val="24"/>
          <w:szCs w:val="24"/>
          <w:lang w:bidi="en-US"/>
        </w:rPr>
      </w:pPr>
      <w:r w:rsidRPr="001F31FB">
        <w:rPr>
          <w:b/>
          <w:sz w:val="24"/>
          <w:szCs w:val="24"/>
        </w:rPr>
        <w:t>Hætteglas med 500 mg:</w:t>
      </w:r>
    </w:p>
    <w:p w14:paraId="3E828FE2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Dette lægemiddel indeholder 52,2 mg natrium pr. hætteglas, svarende til 2,6 % af den WHO anbefalede maksimale daglige indtagelse af 2 g natrium for en voksen. </w:t>
      </w:r>
    </w:p>
    <w:p w14:paraId="0BBC8341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A04046B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4.5</w:t>
      </w:r>
      <w:r w:rsidRPr="001F31FB">
        <w:rPr>
          <w:b/>
          <w:sz w:val="24"/>
          <w:szCs w:val="24"/>
        </w:rPr>
        <w:tab/>
        <w:t>Interaktion med andre lægemidler og andre former for interaktion</w:t>
      </w:r>
    </w:p>
    <w:p w14:paraId="779F13C3" w14:textId="77777777" w:rsidR="006361A7" w:rsidRDefault="006361A7" w:rsidP="001F31FB">
      <w:pPr>
        <w:ind w:left="851"/>
        <w:rPr>
          <w:sz w:val="24"/>
          <w:szCs w:val="24"/>
        </w:rPr>
      </w:pPr>
      <w:bookmarkStart w:id="3" w:name="_Toc142278924"/>
    </w:p>
    <w:p w14:paraId="1995FB05" w14:textId="2214160F" w:rsidR="0026765F" w:rsidRPr="001F31FB" w:rsidRDefault="0026765F" w:rsidP="001F31FB">
      <w:pPr>
        <w:ind w:left="851"/>
        <w:rPr>
          <w:bCs/>
          <w:sz w:val="24"/>
          <w:szCs w:val="24"/>
        </w:rPr>
      </w:pPr>
      <w:r w:rsidRPr="001F31FB">
        <w:rPr>
          <w:sz w:val="24"/>
          <w:szCs w:val="24"/>
        </w:rPr>
        <w:t>Kombinationer, der bør tages i betragtning</w:t>
      </w:r>
      <w:bookmarkEnd w:id="3"/>
    </w:p>
    <w:p w14:paraId="49380730" w14:textId="77777777" w:rsidR="006361A7" w:rsidRDefault="006361A7" w:rsidP="001F31FB">
      <w:pPr>
        <w:ind w:left="851"/>
        <w:rPr>
          <w:sz w:val="24"/>
          <w:szCs w:val="24"/>
        </w:rPr>
      </w:pPr>
    </w:p>
    <w:p w14:paraId="29CBBADF" w14:textId="2CC629A2" w:rsidR="0026765F" w:rsidRPr="006361A7" w:rsidRDefault="0026765F" w:rsidP="006361A7">
      <w:pPr>
        <w:pStyle w:val="Listeafsnit"/>
        <w:numPr>
          <w:ilvl w:val="0"/>
          <w:numId w:val="16"/>
        </w:numPr>
        <w:ind w:left="1276" w:hanging="425"/>
        <w:rPr>
          <w:rFonts w:ascii="Times New Roman" w:hAnsi="Times New Roman" w:cs="Times New Roman"/>
        </w:rPr>
      </w:pPr>
      <w:r w:rsidRPr="006361A7">
        <w:rPr>
          <w:rFonts w:ascii="Times New Roman" w:hAnsi="Times New Roman" w:cs="Times New Roman"/>
        </w:rPr>
        <w:t xml:space="preserve">Andre </w:t>
      </w:r>
      <w:proofErr w:type="spellStart"/>
      <w:r w:rsidRPr="006361A7">
        <w:rPr>
          <w:rFonts w:ascii="Times New Roman" w:hAnsi="Times New Roman" w:cs="Times New Roman"/>
        </w:rPr>
        <w:t>nefrotoksiske</w:t>
      </w:r>
      <w:proofErr w:type="spellEnd"/>
      <w:r w:rsidRPr="006361A7">
        <w:rPr>
          <w:rFonts w:ascii="Times New Roman" w:hAnsi="Times New Roman" w:cs="Times New Roman"/>
        </w:rPr>
        <w:t xml:space="preserve"> lægemidler</w:t>
      </w:r>
    </w:p>
    <w:p w14:paraId="0093F7AA" w14:textId="77777777" w:rsidR="006361A7" w:rsidRDefault="006361A7" w:rsidP="001F31FB">
      <w:pPr>
        <w:ind w:left="851"/>
        <w:rPr>
          <w:sz w:val="24"/>
          <w:szCs w:val="24"/>
        </w:rPr>
      </w:pPr>
    </w:p>
    <w:p w14:paraId="07CCBE81" w14:textId="0578A664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Risiko for øget </w:t>
      </w:r>
      <w:proofErr w:type="spellStart"/>
      <w:r w:rsidRPr="001F31FB">
        <w:rPr>
          <w:sz w:val="24"/>
          <w:szCs w:val="24"/>
        </w:rPr>
        <w:t>nefrotoksicitet</w:t>
      </w:r>
      <w:proofErr w:type="spellEnd"/>
    </w:p>
    <w:p w14:paraId="54B504E6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Samtidig anvendelse af lægemidler med inhærent nyretoksicitet øger risikoen for </w:t>
      </w:r>
      <w:proofErr w:type="spellStart"/>
      <w:r w:rsidRPr="001F31FB">
        <w:rPr>
          <w:sz w:val="24"/>
          <w:szCs w:val="24"/>
        </w:rPr>
        <w:t>nefrotoksicitet</w:t>
      </w:r>
      <w:proofErr w:type="spellEnd"/>
      <w:r w:rsidRPr="001F31FB">
        <w:rPr>
          <w:sz w:val="24"/>
          <w:szCs w:val="24"/>
        </w:rPr>
        <w:t>. Hvis en sådan kombination er nødvendig, skal nyrefunktionsprøverne overvåges nøjere.</w:t>
      </w:r>
    </w:p>
    <w:p w14:paraId="3F89C193" w14:textId="2796AB86" w:rsidR="0026765F" w:rsidRPr="001F31FB" w:rsidRDefault="0026765F" w:rsidP="001F31FB">
      <w:pPr>
        <w:ind w:left="851"/>
        <w:rPr>
          <w:sz w:val="24"/>
          <w:szCs w:val="24"/>
        </w:rPr>
      </w:pPr>
      <w:proofErr w:type="spellStart"/>
      <w:r w:rsidRPr="001F31FB">
        <w:rPr>
          <w:sz w:val="24"/>
          <w:szCs w:val="24"/>
        </w:rPr>
        <w:lastRenderedPageBreak/>
        <w:t>Aciclovir</w:t>
      </w:r>
      <w:proofErr w:type="spellEnd"/>
      <w:r w:rsidRPr="001F31FB">
        <w:rPr>
          <w:sz w:val="24"/>
          <w:szCs w:val="24"/>
        </w:rPr>
        <w:t xml:space="preserve"> elimineres i urinen, hovedsag</w:t>
      </w:r>
      <w:r w:rsidR="00B1073C">
        <w:rPr>
          <w:sz w:val="24"/>
          <w:szCs w:val="24"/>
        </w:rPr>
        <w:t>e</w:t>
      </w:r>
      <w:r w:rsidRPr="001F31FB">
        <w:rPr>
          <w:sz w:val="24"/>
          <w:szCs w:val="24"/>
        </w:rPr>
        <w:t xml:space="preserve">ligt </w:t>
      </w:r>
      <w:proofErr w:type="spellStart"/>
      <w:r w:rsidRPr="001F31FB">
        <w:rPr>
          <w:sz w:val="24"/>
          <w:szCs w:val="24"/>
        </w:rPr>
        <w:t>uomdannet</w:t>
      </w:r>
      <w:proofErr w:type="spellEnd"/>
      <w:r w:rsidRPr="001F31FB">
        <w:rPr>
          <w:sz w:val="24"/>
          <w:szCs w:val="24"/>
        </w:rPr>
        <w:t xml:space="preserve">, via aktiv </w:t>
      </w:r>
      <w:proofErr w:type="spellStart"/>
      <w:r w:rsidRPr="001F31FB">
        <w:rPr>
          <w:sz w:val="24"/>
          <w:szCs w:val="24"/>
        </w:rPr>
        <w:t>renal</w:t>
      </w:r>
      <w:proofErr w:type="spellEnd"/>
      <w:r w:rsidRPr="001F31FB">
        <w:rPr>
          <w:sz w:val="24"/>
          <w:szCs w:val="24"/>
        </w:rPr>
        <w:t xml:space="preserve"> </w:t>
      </w:r>
      <w:proofErr w:type="spellStart"/>
      <w:r w:rsidRPr="001F31FB">
        <w:rPr>
          <w:sz w:val="24"/>
          <w:szCs w:val="24"/>
        </w:rPr>
        <w:t>tubulær</w:t>
      </w:r>
      <w:proofErr w:type="spellEnd"/>
      <w:r w:rsidRPr="001F31FB">
        <w:rPr>
          <w:sz w:val="24"/>
          <w:szCs w:val="24"/>
        </w:rPr>
        <w:t xml:space="preserve"> sekretion.</w:t>
      </w:r>
    </w:p>
    <w:p w14:paraId="22D3EBF6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Enhver </w:t>
      </w:r>
      <w:proofErr w:type="spellStart"/>
      <w:r w:rsidRPr="001F31FB">
        <w:rPr>
          <w:sz w:val="24"/>
          <w:szCs w:val="24"/>
        </w:rPr>
        <w:t>co</w:t>
      </w:r>
      <w:proofErr w:type="spellEnd"/>
      <w:r w:rsidRPr="001F31FB">
        <w:rPr>
          <w:sz w:val="24"/>
          <w:szCs w:val="24"/>
        </w:rPr>
        <w:t xml:space="preserve">-medicinering, der konkurrerer med denne mekanisme, kan øge plasmakoncentrationen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>.</w:t>
      </w:r>
    </w:p>
    <w:p w14:paraId="371001C0" w14:textId="77777777" w:rsidR="0026765F" w:rsidRPr="001F31FB" w:rsidRDefault="0026765F" w:rsidP="001F31FB">
      <w:pPr>
        <w:ind w:left="851"/>
        <w:rPr>
          <w:sz w:val="24"/>
          <w:szCs w:val="24"/>
        </w:rPr>
      </w:pPr>
      <w:proofErr w:type="spellStart"/>
      <w:r w:rsidRPr="001F31FB">
        <w:rPr>
          <w:sz w:val="24"/>
          <w:szCs w:val="24"/>
        </w:rPr>
        <w:t>Probenecid</w:t>
      </w:r>
      <w:proofErr w:type="spellEnd"/>
      <w:r w:rsidRPr="001F31FB">
        <w:rPr>
          <w:sz w:val="24"/>
          <w:szCs w:val="24"/>
        </w:rPr>
        <w:t xml:space="preserve"> og </w:t>
      </w:r>
      <w:proofErr w:type="spellStart"/>
      <w:r w:rsidRPr="001F31FB">
        <w:rPr>
          <w:sz w:val="24"/>
          <w:szCs w:val="24"/>
        </w:rPr>
        <w:t>cimetidin</w:t>
      </w:r>
      <w:proofErr w:type="spellEnd"/>
      <w:r w:rsidRPr="001F31FB">
        <w:rPr>
          <w:sz w:val="24"/>
          <w:szCs w:val="24"/>
        </w:rPr>
        <w:t xml:space="preserve"> øger </w:t>
      </w:r>
      <w:proofErr w:type="spellStart"/>
      <w:r w:rsidRPr="001F31FB">
        <w:rPr>
          <w:sz w:val="24"/>
          <w:szCs w:val="24"/>
        </w:rPr>
        <w:t>aciclovirs</w:t>
      </w:r>
      <w:proofErr w:type="spellEnd"/>
      <w:r w:rsidRPr="001F31FB">
        <w:rPr>
          <w:sz w:val="24"/>
          <w:szCs w:val="24"/>
        </w:rPr>
        <w:t xml:space="preserve"> AUC via denne mekanisme og reducerer den </w:t>
      </w:r>
      <w:proofErr w:type="spellStart"/>
      <w:r w:rsidRPr="001F31FB">
        <w:rPr>
          <w:sz w:val="24"/>
          <w:szCs w:val="24"/>
        </w:rPr>
        <w:t>renale</w:t>
      </w:r>
      <w:proofErr w:type="spellEnd"/>
      <w:r w:rsidRPr="001F31FB">
        <w:rPr>
          <w:sz w:val="24"/>
          <w:szCs w:val="24"/>
        </w:rPr>
        <w:t xml:space="preserve"> </w:t>
      </w:r>
      <w:proofErr w:type="spellStart"/>
      <w:r w:rsidRPr="001F31FB">
        <w:rPr>
          <w:sz w:val="24"/>
          <w:szCs w:val="24"/>
        </w:rPr>
        <w:t>clearance</w:t>
      </w:r>
      <w:proofErr w:type="spellEnd"/>
      <w:r w:rsidRPr="001F31FB">
        <w:rPr>
          <w:sz w:val="24"/>
          <w:szCs w:val="24"/>
        </w:rPr>
        <w:t xml:space="preserve">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>.</w:t>
      </w:r>
    </w:p>
    <w:p w14:paraId="7C20043A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Dosisjustering er dog ikke nødvendig, på grund af </w:t>
      </w:r>
      <w:proofErr w:type="spellStart"/>
      <w:r w:rsidRPr="001F31FB">
        <w:rPr>
          <w:sz w:val="24"/>
          <w:szCs w:val="24"/>
        </w:rPr>
        <w:t>aciclovirs</w:t>
      </w:r>
      <w:proofErr w:type="spellEnd"/>
      <w:r w:rsidRPr="001F31FB">
        <w:rPr>
          <w:sz w:val="24"/>
          <w:szCs w:val="24"/>
        </w:rPr>
        <w:t xml:space="preserve"> brede terapeutiske indeks.</w:t>
      </w:r>
    </w:p>
    <w:p w14:paraId="734F3155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Der skal udvises forsigtighed hos patienter, der får intravenøs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, ved samtidig administration af lægemidler, der konkurrerer med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om eliminering. Dette skyldes potentialet for forhøjet plasmakoncentration af et eller alle disse lægemidler eller deres metabolitter.</w:t>
      </w:r>
    </w:p>
    <w:p w14:paraId="40248B48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Der er observeret stigninger i plasma-AUC-værdierne for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og den inaktive metabolit af </w:t>
      </w:r>
      <w:proofErr w:type="spellStart"/>
      <w:r w:rsidRPr="001F31FB">
        <w:rPr>
          <w:sz w:val="24"/>
          <w:szCs w:val="24"/>
        </w:rPr>
        <w:t>mycophenolatmofetil</w:t>
      </w:r>
      <w:proofErr w:type="spellEnd"/>
      <w:r w:rsidRPr="001F31FB">
        <w:rPr>
          <w:sz w:val="24"/>
          <w:szCs w:val="24"/>
        </w:rPr>
        <w:t>, et immunsupprimerende middel, der anvendes til transplantationspatienter, ved samtidig administration af disse lægemidler.</w:t>
      </w:r>
    </w:p>
    <w:p w14:paraId="5500174E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Der skal endvidere udvises særlig forsigtighed (nøje overvåges for ændringer i nyrefunktionen) ved samtidig administration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intravenøst og lægemidler, der påvirker andre aspekter af nyrernes fysiologi (f.eks. </w:t>
      </w:r>
      <w:proofErr w:type="spellStart"/>
      <w:r w:rsidRPr="001F31FB">
        <w:rPr>
          <w:sz w:val="24"/>
          <w:szCs w:val="24"/>
        </w:rPr>
        <w:t>ciclosporin</w:t>
      </w:r>
      <w:proofErr w:type="spellEnd"/>
      <w:r w:rsidRPr="001F31FB">
        <w:rPr>
          <w:sz w:val="24"/>
          <w:szCs w:val="24"/>
        </w:rPr>
        <w:t xml:space="preserve"> eller </w:t>
      </w:r>
      <w:proofErr w:type="spellStart"/>
      <w:r w:rsidRPr="001F31FB">
        <w:rPr>
          <w:sz w:val="24"/>
          <w:szCs w:val="24"/>
        </w:rPr>
        <w:t>tacrolimus</w:t>
      </w:r>
      <w:proofErr w:type="spellEnd"/>
      <w:r w:rsidRPr="001F31FB">
        <w:rPr>
          <w:sz w:val="24"/>
          <w:szCs w:val="24"/>
        </w:rPr>
        <w:t>).</w:t>
      </w:r>
    </w:p>
    <w:p w14:paraId="47D51EFF" w14:textId="77777777" w:rsidR="006361A7" w:rsidRDefault="006361A7" w:rsidP="001F31FB">
      <w:pPr>
        <w:ind w:left="851"/>
        <w:rPr>
          <w:sz w:val="24"/>
          <w:szCs w:val="24"/>
        </w:rPr>
      </w:pPr>
    </w:p>
    <w:p w14:paraId="7F8AF67B" w14:textId="42AED2AD" w:rsidR="0026765F" w:rsidRPr="006361A7" w:rsidRDefault="0026765F" w:rsidP="006361A7">
      <w:pPr>
        <w:pStyle w:val="Listeafsnit"/>
        <w:numPr>
          <w:ilvl w:val="0"/>
          <w:numId w:val="16"/>
        </w:numPr>
        <w:ind w:left="1276" w:hanging="425"/>
        <w:rPr>
          <w:rFonts w:ascii="Times New Roman" w:hAnsi="Times New Roman" w:cs="Times New Roman"/>
        </w:rPr>
      </w:pPr>
      <w:proofErr w:type="spellStart"/>
      <w:r w:rsidRPr="006361A7">
        <w:rPr>
          <w:rFonts w:ascii="Times New Roman" w:hAnsi="Times New Roman" w:cs="Times New Roman"/>
        </w:rPr>
        <w:t>Lithium</w:t>
      </w:r>
      <w:proofErr w:type="spellEnd"/>
    </w:p>
    <w:p w14:paraId="3349982E" w14:textId="77777777" w:rsidR="006361A7" w:rsidRDefault="006361A7" w:rsidP="001F31FB">
      <w:pPr>
        <w:ind w:left="851"/>
        <w:rPr>
          <w:sz w:val="24"/>
          <w:szCs w:val="24"/>
        </w:rPr>
      </w:pPr>
    </w:p>
    <w:p w14:paraId="111EC326" w14:textId="561308E8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Hvis </w:t>
      </w:r>
      <w:proofErr w:type="spellStart"/>
      <w:r w:rsidRPr="001F31FB">
        <w:rPr>
          <w:b/>
          <w:sz w:val="24"/>
          <w:szCs w:val="24"/>
        </w:rPr>
        <w:t>lithium</w:t>
      </w:r>
      <w:proofErr w:type="spellEnd"/>
      <w:r w:rsidRPr="001F31FB">
        <w:rPr>
          <w:sz w:val="24"/>
          <w:szCs w:val="24"/>
        </w:rPr>
        <w:t xml:space="preserve"> administreres samtidig med høje doser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</w:t>
      </w:r>
      <w:proofErr w:type="spellStart"/>
      <w:r w:rsidRPr="001F31FB">
        <w:rPr>
          <w:sz w:val="24"/>
          <w:szCs w:val="24"/>
        </w:rPr>
        <w:t>i.v</w:t>
      </w:r>
      <w:proofErr w:type="spellEnd"/>
      <w:r w:rsidRPr="001F31FB">
        <w:rPr>
          <w:sz w:val="24"/>
          <w:szCs w:val="24"/>
        </w:rPr>
        <w:t xml:space="preserve">, skal </w:t>
      </w:r>
      <w:proofErr w:type="spellStart"/>
      <w:r w:rsidRPr="001F31FB">
        <w:rPr>
          <w:sz w:val="24"/>
          <w:szCs w:val="24"/>
        </w:rPr>
        <w:t>lithiumkoncentrationen</w:t>
      </w:r>
      <w:proofErr w:type="spellEnd"/>
      <w:r w:rsidRPr="001F31FB">
        <w:rPr>
          <w:sz w:val="24"/>
          <w:szCs w:val="24"/>
        </w:rPr>
        <w:t xml:space="preserve"> i serum overvåges nøje på grund af risikoen for </w:t>
      </w:r>
      <w:proofErr w:type="spellStart"/>
      <w:r w:rsidRPr="001F31FB">
        <w:rPr>
          <w:sz w:val="24"/>
          <w:szCs w:val="24"/>
        </w:rPr>
        <w:t>lithiumtoksicitet</w:t>
      </w:r>
      <w:proofErr w:type="spellEnd"/>
      <w:r w:rsidRPr="001F31FB">
        <w:rPr>
          <w:sz w:val="24"/>
          <w:szCs w:val="24"/>
        </w:rPr>
        <w:t>.</w:t>
      </w:r>
    </w:p>
    <w:p w14:paraId="5B1CCEFA" w14:textId="77777777" w:rsidR="006361A7" w:rsidRDefault="006361A7" w:rsidP="001F31FB">
      <w:pPr>
        <w:ind w:left="851"/>
        <w:rPr>
          <w:sz w:val="24"/>
          <w:szCs w:val="24"/>
        </w:rPr>
      </w:pPr>
    </w:p>
    <w:p w14:paraId="64314306" w14:textId="696ECF8A" w:rsidR="0026765F" w:rsidRPr="006361A7" w:rsidRDefault="0026765F" w:rsidP="006361A7">
      <w:pPr>
        <w:pStyle w:val="Listeafsnit"/>
        <w:numPr>
          <w:ilvl w:val="0"/>
          <w:numId w:val="16"/>
        </w:numPr>
        <w:ind w:left="1276" w:hanging="425"/>
        <w:rPr>
          <w:rFonts w:ascii="Times New Roman" w:hAnsi="Times New Roman" w:cs="Times New Roman"/>
        </w:rPr>
      </w:pPr>
      <w:proofErr w:type="spellStart"/>
      <w:r w:rsidRPr="006361A7">
        <w:rPr>
          <w:rFonts w:ascii="Times New Roman" w:hAnsi="Times New Roman" w:cs="Times New Roman"/>
        </w:rPr>
        <w:t>Theophyllin</w:t>
      </w:r>
      <w:proofErr w:type="spellEnd"/>
    </w:p>
    <w:p w14:paraId="75A4A02F" w14:textId="77777777" w:rsidR="006361A7" w:rsidRDefault="006361A7" w:rsidP="001F31FB">
      <w:pPr>
        <w:ind w:left="851"/>
        <w:rPr>
          <w:sz w:val="24"/>
          <w:szCs w:val="24"/>
        </w:rPr>
      </w:pPr>
    </w:p>
    <w:p w14:paraId="50E51C30" w14:textId="7B3D3198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I et klinisk studie med 5 mandlige forsøgspersoner blev det påvist, at samtidig administration med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, øger AUC-værdien for den samlede mængde administreret </w:t>
      </w:r>
      <w:proofErr w:type="spellStart"/>
      <w:r w:rsidRPr="001F31FB">
        <w:rPr>
          <w:b/>
          <w:sz w:val="24"/>
          <w:szCs w:val="24"/>
        </w:rPr>
        <w:t>theophyllin</w:t>
      </w:r>
      <w:proofErr w:type="spellEnd"/>
      <w:r w:rsidRPr="001F31FB">
        <w:rPr>
          <w:sz w:val="24"/>
          <w:szCs w:val="24"/>
        </w:rPr>
        <w:t xml:space="preserve"> med ca. 50 %. Det anbefales at måle plasmakoncentrationen ved samtidig administration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og </w:t>
      </w:r>
      <w:proofErr w:type="spellStart"/>
      <w:r w:rsidRPr="001F31FB">
        <w:rPr>
          <w:sz w:val="24"/>
          <w:szCs w:val="24"/>
        </w:rPr>
        <w:t>theophyllin</w:t>
      </w:r>
      <w:proofErr w:type="spellEnd"/>
      <w:r w:rsidRPr="001F31FB">
        <w:rPr>
          <w:sz w:val="24"/>
          <w:szCs w:val="24"/>
        </w:rPr>
        <w:t>.</w:t>
      </w:r>
    </w:p>
    <w:p w14:paraId="5DA69D4A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BED021D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4.6</w:t>
      </w:r>
      <w:r w:rsidRPr="001F31FB">
        <w:rPr>
          <w:b/>
          <w:sz w:val="24"/>
          <w:szCs w:val="24"/>
        </w:rPr>
        <w:tab/>
      </w:r>
      <w:r w:rsidR="0071241E" w:rsidRPr="001F31FB">
        <w:rPr>
          <w:b/>
          <w:sz w:val="24"/>
          <w:szCs w:val="24"/>
        </w:rPr>
        <w:t>Fertilitet, g</w:t>
      </w:r>
      <w:r w:rsidRPr="001F31FB">
        <w:rPr>
          <w:b/>
          <w:sz w:val="24"/>
          <w:szCs w:val="24"/>
        </w:rPr>
        <w:t>raviditet og amning</w:t>
      </w:r>
    </w:p>
    <w:p w14:paraId="21F32139" w14:textId="77777777" w:rsidR="00DD1A5D" w:rsidRDefault="00DD1A5D" w:rsidP="001F31FB">
      <w:pPr>
        <w:ind w:left="851"/>
        <w:rPr>
          <w:sz w:val="24"/>
          <w:szCs w:val="24"/>
        </w:rPr>
      </w:pPr>
    </w:p>
    <w:p w14:paraId="6DFC8D97" w14:textId="0586DDAE" w:rsidR="0026765F" w:rsidRPr="00DD1A5D" w:rsidRDefault="0026765F" w:rsidP="001F31FB">
      <w:pPr>
        <w:ind w:left="851"/>
        <w:rPr>
          <w:sz w:val="24"/>
          <w:szCs w:val="24"/>
          <w:u w:val="single"/>
        </w:rPr>
      </w:pPr>
      <w:r w:rsidRPr="00DD1A5D">
        <w:rPr>
          <w:sz w:val="24"/>
          <w:szCs w:val="24"/>
          <w:u w:val="single"/>
        </w:rPr>
        <w:t>Graviditet</w:t>
      </w:r>
    </w:p>
    <w:p w14:paraId="60ED987A" w14:textId="77777777" w:rsidR="00DD1A5D" w:rsidRDefault="00DD1A5D" w:rsidP="001F31FB">
      <w:pPr>
        <w:ind w:left="851"/>
        <w:rPr>
          <w:sz w:val="24"/>
          <w:szCs w:val="24"/>
        </w:rPr>
      </w:pPr>
    </w:p>
    <w:p w14:paraId="0CD0C7B4" w14:textId="074E465A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Dyreforsøg har påvist en </w:t>
      </w:r>
      <w:proofErr w:type="spellStart"/>
      <w:r w:rsidRPr="001F31FB">
        <w:rPr>
          <w:sz w:val="24"/>
          <w:szCs w:val="24"/>
        </w:rPr>
        <w:t>teratogen</w:t>
      </w:r>
      <w:proofErr w:type="spellEnd"/>
      <w:r w:rsidRPr="001F31FB">
        <w:rPr>
          <w:sz w:val="24"/>
          <w:szCs w:val="24"/>
        </w:rPr>
        <w:t xml:space="preserve"> virkning hos én art og ved meget høje doser. Systemisk administration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i internationalt anerkendte standardtests indikerer dog hverken direkte eller indirekte skadelige virkninger hvad angår reproduktionstoksicitet (se pkt. 5.3).</w:t>
      </w:r>
    </w:p>
    <w:p w14:paraId="408A02F5" w14:textId="77777777" w:rsidR="0026765F" w:rsidRPr="001F31FB" w:rsidRDefault="0026765F" w:rsidP="001F31FB">
      <w:pPr>
        <w:ind w:left="851"/>
        <w:rPr>
          <w:sz w:val="24"/>
          <w:szCs w:val="24"/>
        </w:rPr>
      </w:pPr>
    </w:p>
    <w:p w14:paraId="09A03E2F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Graviditetsresultaterne fra kvinder, der har været eksponeret for en hvilken som helst formulering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, er blevet dokumenteret ved hjælp af et graviditetsregister for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efter markedsføring. Resultaterne fra registret viste ingen stigning i antallet af fødselsdefekter blandt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>-eksponerede forsøgspersoner sammenlignet med den almene befolkning, og eventuelle fødselsdefekter viste ikke noget unikt eller konsistent mønster, der kan tillægges en fælles årsag.</w:t>
      </w:r>
    </w:p>
    <w:p w14:paraId="637E47FF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Det er dog kun epidemiologiske studier, der kan bekræfte fraværet af risiko.</w:t>
      </w:r>
    </w:p>
    <w:p w14:paraId="7E9CE0F1" w14:textId="77777777" w:rsidR="0026765F" w:rsidRPr="001F31FB" w:rsidRDefault="0026765F" w:rsidP="001F31FB">
      <w:pPr>
        <w:ind w:left="851"/>
        <w:rPr>
          <w:sz w:val="24"/>
          <w:szCs w:val="24"/>
        </w:rPr>
      </w:pPr>
    </w:p>
    <w:p w14:paraId="636E7F8D" w14:textId="77777777" w:rsidR="0026765F" w:rsidRPr="001F31FB" w:rsidRDefault="0026765F" w:rsidP="001F31FB">
      <w:pPr>
        <w:ind w:left="851"/>
        <w:rPr>
          <w:sz w:val="24"/>
          <w:szCs w:val="24"/>
          <w:lang w:bidi="en-US"/>
        </w:rPr>
      </w:pPr>
      <w:r w:rsidRPr="001F31FB">
        <w:rPr>
          <w:sz w:val="24"/>
          <w:szCs w:val="24"/>
        </w:rPr>
        <w:t xml:space="preserve">Anvendelsen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bør kun overvejes, når de potentielle fordele opvejer potentielle ukendte risici.</w:t>
      </w:r>
    </w:p>
    <w:p w14:paraId="0018C9BC" w14:textId="5A3F0DD1" w:rsidR="00B1073C" w:rsidRDefault="00B1073C">
      <w:pPr>
        <w:rPr>
          <w:sz w:val="24"/>
          <w:szCs w:val="24"/>
        </w:rPr>
      </w:pPr>
      <w:bookmarkStart w:id="4" w:name="_Toc142278927"/>
      <w:r>
        <w:rPr>
          <w:sz w:val="24"/>
          <w:szCs w:val="24"/>
        </w:rPr>
        <w:br w:type="page"/>
      </w:r>
    </w:p>
    <w:p w14:paraId="4001F879" w14:textId="77777777" w:rsidR="00DD1A5D" w:rsidRDefault="00DD1A5D" w:rsidP="001F31FB">
      <w:pPr>
        <w:ind w:left="851"/>
        <w:rPr>
          <w:sz w:val="24"/>
          <w:szCs w:val="24"/>
        </w:rPr>
      </w:pPr>
    </w:p>
    <w:p w14:paraId="212023C2" w14:textId="15FF597D" w:rsidR="0026765F" w:rsidRPr="00DD1A5D" w:rsidRDefault="0026765F" w:rsidP="001F31FB">
      <w:pPr>
        <w:ind w:left="851"/>
        <w:rPr>
          <w:bCs/>
          <w:sz w:val="24"/>
          <w:szCs w:val="24"/>
          <w:u w:val="single"/>
        </w:rPr>
      </w:pPr>
      <w:r w:rsidRPr="00DD1A5D">
        <w:rPr>
          <w:sz w:val="24"/>
          <w:szCs w:val="24"/>
          <w:u w:val="single"/>
        </w:rPr>
        <w:t>Amning</w:t>
      </w:r>
      <w:bookmarkEnd w:id="4"/>
    </w:p>
    <w:p w14:paraId="60B63493" w14:textId="77777777" w:rsidR="00DD1A5D" w:rsidRDefault="00DD1A5D" w:rsidP="001F31FB">
      <w:pPr>
        <w:ind w:left="851"/>
        <w:rPr>
          <w:sz w:val="24"/>
          <w:szCs w:val="24"/>
        </w:rPr>
      </w:pPr>
    </w:p>
    <w:p w14:paraId="690893A7" w14:textId="51FFE30C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Efter oral administration af 200 mg fem gange dagligt er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blevet påvist i human mælk i koncentrationer på mellem 0,6 og 4,1 gange de tilsvarende plasmakoncentrationer. Disse niveauer udsætter potentielt ammende spædbørn for </w:t>
      </w:r>
      <w:proofErr w:type="spellStart"/>
      <w:r w:rsidRPr="001F31FB">
        <w:rPr>
          <w:sz w:val="24"/>
          <w:szCs w:val="24"/>
        </w:rPr>
        <w:t>aciclovirdoser</w:t>
      </w:r>
      <w:proofErr w:type="spellEnd"/>
      <w:r w:rsidRPr="001F31FB">
        <w:rPr>
          <w:sz w:val="24"/>
          <w:szCs w:val="24"/>
        </w:rPr>
        <w:t xml:space="preserve"> på op til 0,3 mg/kg/dag.</w:t>
      </w:r>
    </w:p>
    <w:p w14:paraId="09156721" w14:textId="06691D00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I lyset af ovenstående samt alvorligheden af de tilstande, der skal behandles med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</w:t>
      </w:r>
      <w:r w:rsidR="00415E2D">
        <w:rPr>
          <w:sz w:val="24"/>
          <w:szCs w:val="24"/>
        </w:rPr>
        <w:t>"Noridem"</w:t>
      </w:r>
      <w:r w:rsidRPr="001F31FB">
        <w:rPr>
          <w:sz w:val="24"/>
          <w:szCs w:val="24"/>
        </w:rPr>
        <w:t>, skal amning undgås.</w:t>
      </w:r>
    </w:p>
    <w:p w14:paraId="68495744" w14:textId="77777777" w:rsidR="00DD1A5D" w:rsidRDefault="00DD1A5D" w:rsidP="001F31FB">
      <w:pPr>
        <w:ind w:left="851"/>
        <w:rPr>
          <w:sz w:val="24"/>
          <w:szCs w:val="24"/>
        </w:rPr>
      </w:pPr>
    </w:p>
    <w:p w14:paraId="15222153" w14:textId="490BE47C" w:rsidR="0026765F" w:rsidRPr="00DD1A5D" w:rsidRDefault="0026765F" w:rsidP="001F31FB">
      <w:pPr>
        <w:ind w:left="851"/>
        <w:rPr>
          <w:rFonts w:eastAsia="Courier New"/>
          <w:sz w:val="24"/>
          <w:szCs w:val="24"/>
          <w:u w:val="single"/>
        </w:rPr>
      </w:pPr>
      <w:r w:rsidRPr="00DD1A5D">
        <w:rPr>
          <w:sz w:val="24"/>
          <w:szCs w:val="24"/>
          <w:u w:val="single"/>
        </w:rPr>
        <w:t>Fertilitet</w:t>
      </w:r>
    </w:p>
    <w:p w14:paraId="4EE92A5D" w14:textId="77777777" w:rsidR="00DD1A5D" w:rsidRDefault="00DD1A5D" w:rsidP="001F31FB">
      <w:pPr>
        <w:ind w:left="851"/>
        <w:rPr>
          <w:sz w:val="24"/>
          <w:szCs w:val="24"/>
        </w:rPr>
      </w:pPr>
    </w:p>
    <w:p w14:paraId="596539CE" w14:textId="60A5ACF5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Der foreligger ingen oplysninger om </w:t>
      </w:r>
      <w:proofErr w:type="spellStart"/>
      <w:r w:rsidRPr="001F31FB">
        <w:rPr>
          <w:sz w:val="24"/>
          <w:szCs w:val="24"/>
        </w:rPr>
        <w:t>aciclovirs</w:t>
      </w:r>
      <w:proofErr w:type="spellEnd"/>
      <w:r w:rsidRPr="001F31FB">
        <w:rPr>
          <w:sz w:val="24"/>
          <w:szCs w:val="24"/>
        </w:rPr>
        <w:t xml:space="preserve"> virkning på den kvindelige fertilitet.</w:t>
      </w:r>
    </w:p>
    <w:p w14:paraId="1B6766B6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I et studie af 20 mandlige patienter med normal sædkvalitet viste oral administration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i doser på op til 1 g om dagen, i op til seks måneder, ingen klinisk signifikant virkning på antallet af sædcelleantallet, mobilitet eller morfologi. Resultaterne fra fertilitetsstudier med dyr er beskrevet i pkt. 5.3.</w:t>
      </w:r>
    </w:p>
    <w:p w14:paraId="241787E2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5C4BAED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4.7</w:t>
      </w:r>
      <w:r w:rsidRPr="001F31FB">
        <w:rPr>
          <w:b/>
          <w:sz w:val="24"/>
          <w:szCs w:val="24"/>
        </w:rPr>
        <w:tab/>
        <w:t xml:space="preserve">Virkning på evnen til at føre motorkøretøj </w:t>
      </w:r>
      <w:r w:rsidR="0071241E" w:rsidRPr="001F31FB">
        <w:rPr>
          <w:b/>
          <w:sz w:val="24"/>
          <w:szCs w:val="24"/>
        </w:rPr>
        <w:t>og</w:t>
      </w:r>
      <w:r w:rsidRPr="001F31FB">
        <w:rPr>
          <w:b/>
          <w:sz w:val="24"/>
          <w:szCs w:val="24"/>
        </w:rPr>
        <w:t xml:space="preserve"> betjene maskiner</w:t>
      </w:r>
    </w:p>
    <w:p w14:paraId="7FA167E0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Ikke mærkning.</w:t>
      </w:r>
    </w:p>
    <w:p w14:paraId="6E1AFDB3" w14:textId="77777777" w:rsidR="0026765F" w:rsidRPr="001F31FB" w:rsidRDefault="0026765F" w:rsidP="001F31FB">
      <w:pPr>
        <w:ind w:left="851"/>
        <w:rPr>
          <w:sz w:val="24"/>
          <w:szCs w:val="24"/>
        </w:rPr>
      </w:pPr>
      <w:bookmarkStart w:id="5" w:name="_Toc142278929"/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til injektionsvæske, opløsning (</w:t>
      </w:r>
      <w:proofErr w:type="spellStart"/>
      <w:r w:rsidRPr="001F31FB">
        <w:rPr>
          <w:sz w:val="24"/>
          <w:szCs w:val="24"/>
        </w:rPr>
        <w:t>i.v</w:t>
      </w:r>
      <w:proofErr w:type="spellEnd"/>
      <w:r w:rsidRPr="001F31FB">
        <w:rPr>
          <w:sz w:val="24"/>
          <w:szCs w:val="24"/>
        </w:rPr>
        <w:t>.) anvendes normalt hos hospitalsindlagte patienter, og oplysninger om evnen til at føre motorkøretøj og betjene maskiner er generelt uden betydning.</w:t>
      </w:r>
      <w:bookmarkEnd w:id="5"/>
    </w:p>
    <w:p w14:paraId="1C83A9A6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Der er ikke udført studier af </w:t>
      </w:r>
      <w:proofErr w:type="spellStart"/>
      <w:r w:rsidRPr="001F31FB">
        <w:rPr>
          <w:sz w:val="24"/>
          <w:szCs w:val="24"/>
        </w:rPr>
        <w:t>aciclovirs</w:t>
      </w:r>
      <w:proofErr w:type="spellEnd"/>
      <w:r w:rsidRPr="001F31FB">
        <w:rPr>
          <w:sz w:val="24"/>
          <w:szCs w:val="24"/>
        </w:rPr>
        <w:t xml:space="preserve"> virkning på evnen til at føre motorkøretøj eller betjene maskiner.</w:t>
      </w:r>
    </w:p>
    <w:p w14:paraId="609E46CB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30ECC9D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4.8</w:t>
      </w:r>
      <w:r w:rsidRPr="001F31FB">
        <w:rPr>
          <w:b/>
          <w:sz w:val="24"/>
          <w:szCs w:val="24"/>
        </w:rPr>
        <w:tab/>
        <w:t>Bivirkninger</w:t>
      </w:r>
    </w:p>
    <w:p w14:paraId="2EE8B72B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De hyppighedskategorier, der er tildelt bivirkningerne nedenfor, er fastlagt på grundlag af data fra kliniske studier med henblik på at klassificere bivirkninger. Denne hyppighed kan variere afhængigt af indikationen.</w:t>
      </w:r>
    </w:p>
    <w:p w14:paraId="49C8A802" w14:textId="77777777" w:rsidR="00B1073C" w:rsidRDefault="00B1073C" w:rsidP="001F31FB">
      <w:pPr>
        <w:ind w:left="851"/>
        <w:rPr>
          <w:sz w:val="24"/>
          <w:szCs w:val="24"/>
        </w:rPr>
      </w:pPr>
    </w:p>
    <w:p w14:paraId="30C7B3A8" w14:textId="26A602DD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Hyppigheden af andre bivirkninger kunne ikke estimeres ud fra spontane indberetninger i mangel på velegnede data til beregning af deres hyppighed.</w:t>
      </w:r>
    </w:p>
    <w:p w14:paraId="4EA830C2" w14:textId="77777777" w:rsidR="00B1073C" w:rsidRDefault="00B1073C" w:rsidP="001F31FB">
      <w:pPr>
        <w:ind w:left="851"/>
        <w:rPr>
          <w:sz w:val="24"/>
          <w:szCs w:val="24"/>
        </w:rPr>
      </w:pPr>
    </w:p>
    <w:p w14:paraId="7843EEFF" w14:textId="31E238C2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Der er anvendt følgende konvention til at klassificere bivirkninger efter deres hyppighed:</w:t>
      </w:r>
    </w:p>
    <w:p w14:paraId="6134AAF7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Meget almindelig (≥ 1/10)</w:t>
      </w:r>
    </w:p>
    <w:p w14:paraId="3C8FA929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Almindelig (≥ 1/100 til &lt; 1/10)</w:t>
      </w:r>
    </w:p>
    <w:p w14:paraId="6E596528" w14:textId="25636ADB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Ikke almindelig (≥ 1/1 000 til &lt; 1/100)</w:t>
      </w:r>
    </w:p>
    <w:p w14:paraId="768A9282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Sjælden (≥ 1/10 000 til &lt; 1/1 000)</w:t>
      </w:r>
    </w:p>
    <w:p w14:paraId="3D23837B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Meget sjælden (&lt; 1/10 000)</w:t>
      </w:r>
    </w:p>
    <w:p w14:paraId="752C8631" w14:textId="77777777" w:rsidR="003E4B4D" w:rsidRDefault="003E4B4D" w:rsidP="001F31FB">
      <w:pPr>
        <w:ind w:left="851"/>
        <w:rPr>
          <w:b/>
          <w:sz w:val="24"/>
          <w:szCs w:val="24"/>
        </w:rPr>
      </w:pPr>
    </w:p>
    <w:p w14:paraId="1677E213" w14:textId="10BE721D" w:rsidR="0026765F" w:rsidRPr="001F31FB" w:rsidRDefault="0026765F" w:rsidP="001F31FB">
      <w:pPr>
        <w:ind w:left="851"/>
        <w:rPr>
          <w:rFonts w:eastAsia="Courier New"/>
          <w:sz w:val="24"/>
          <w:szCs w:val="24"/>
        </w:rPr>
      </w:pPr>
      <w:r w:rsidRPr="001F31FB">
        <w:rPr>
          <w:b/>
          <w:sz w:val="24"/>
          <w:szCs w:val="24"/>
        </w:rPr>
        <w:t>Blod og lymfesystem:</w:t>
      </w:r>
    </w:p>
    <w:p w14:paraId="2B3E67A2" w14:textId="77777777" w:rsidR="003E4B4D" w:rsidRDefault="003E4B4D" w:rsidP="001F31FB">
      <w:pPr>
        <w:ind w:left="851"/>
        <w:rPr>
          <w:sz w:val="24"/>
          <w:szCs w:val="24"/>
          <w:u w:val="single"/>
        </w:rPr>
      </w:pPr>
    </w:p>
    <w:p w14:paraId="1028A4F5" w14:textId="0D204D33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  <w:u w:val="single"/>
        </w:rPr>
        <w:t>Hyppighed ikke kendt:</w:t>
      </w:r>
      <w:r w:rsidRPr="001F31FB">
        <w:rPr>
          <w:sz w:val="24"/>
          <w:szCs w:val="24"/>
        </w:rPr>
        <w:t xml:space="preserve"> </w:t>
      </w:r>
      <w:proofErr w:type="spellStart"/>
      <w:r w:rsidRPr="001F31FB">
        <w:rPr>
          <w:sz w:val="24"/>
          <w:szCs w:val="24"/>
        </w:rPr>
        <w:t>Trombocytopeni</w:t>
      </w:r>
      <w:proofErr w:type="spellEnd"/>
      <w:r w:rsidRPr="001F31FB">
        <w:rPr>
          <w:sz w:val="24"/>
          <w:szCs w:val="24"/>
        </w:rPr>
        <w:t xml:space="preserve">, </w:t>
      </w:r>
      <w:proofErr w:type="spellStart"/>
      <w:r w:rsidRPr="001F31FB">
        <w:rPr>
          <w:sz w:val="24"/>
          <w:szCs w:val="24"/>
        </w:rPr>
        <w:t>leukopeni</w:t>
      </w:r>
      <w:proofErr w:type="spellEnd"/>
      <w:r w:rsidRPr="001F31FB">
        <w:rPr>
          <w:sz w:val="24"/>
          <w:szCs w:val="24"/>
        </w:rPr>
        <w:t>.</w:t>
      </w:r>
    </w:p>
    <w:p w14:paraId="4F83C4C3" w14:textId="77777777" w:rsidR="003E4B4D" w:rsidRDefault="003E4B4D" w:rsidP="001F31FB">
      <w:pPr>
        <w:ind w:left="851"/>
        <w:rPr>
          <w:b/>
          <w:sz w:val="24"/>
          <w:szCs w:val="24"/>
        </w:rPr>
      </w:pPr>
    </w:p>
    <w:p w14:paraId="024D0B5F" w14:textId="482506D4" w:rsidR="0026765F" w:rsidRPr="001F31FB" w:rsidRDefault="0026765F" w:rsidP="001F31FB">
      <w:pPr>
        <w:ind w:left="851"/>
        <w:rPr>
          <w:rFonts w:eastAsia="Courier New"/>
          <w:sz w:val="24"/>
          <w:szCs w:val="24"/>
        </w:rPr>
      </w:pPr>
      <w:r w:rsidRPr="001F31FB">
        <w:rPr>
          <w:b/>
          <w:sz w:val="24"/>
          <w:szCs w:val="24"/>
        </w:rPr>
        <w:t>Immunsystemet:</w:t>
      </w:r>
    </w:p>
    <w:p w14:paraId="575FCEA3" w14:textId="77777777" w:rsidR="003E4B4D" w:rsidRDefault="003E4B4D" w:rsidP="001F31FB">
      <w:pPr>
        <w:ind w:left="851"/>
        <w:rPr>
          <w:sz w:val="24"/>
          <w:szCs w:val="24"/>
          <w:u w:val="single"/>
        </w:rPr>
      </w:pPr>
    </w:p>
    <w:p w14:paraId="60B9F01C" w14:textId="141A7DFB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  <w:u w:val="single"/>
        </w:rPr>
        <w:t>Hyppighed ikke kendt:</w:t>
      </w:r>
      <w:r w:rsidRPr="001F31FB">
        <w:rPr>
          <w:sz w:val="24"/>
          <w:szCs w:val="24"/>
        </w:rPr>
        <w:t xml:space="preserve"> </w:t>
      </w:r>
      <w:proofErr w:type="spellStart"/>
      <w:r w:rsidRPr="001F31FB">
        <w:rPr>
          <w:sz w:val="24"/>
          <w:szCs w:val="24"/>
        </w:rPr>
        <w:t>Anafylaktiske</w:t>
      </w:r>
      <w:proofErr w:type="spellEnd"/>
      <w:r w:rsidRPr="001F31FB">
        <w:rPr>
          <w:sz w:val="24"/>
          <w:szCs w:val="24"/>
        </w:rPr>
        <w:t xml:space="preserve"> reaktioner.</w:t>
      </w:r>
    </w:p>
    <w:p w14:paraId="0B29E8F4" w14:textId="72070801" w:rsidR="00B1073C" w:rsidRDefault="00B1073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2CB1443" w14:textId="77777777" w:rsidR="003E4B4D" w:rsidRDefault="003E4B4D" w:rsidP="001F31FB">
      <w:pPr>
        <w:ind w:left="851"/>
        <w:rPr>
          <w:b/>
          <w:sz w:val="24"/>
          <w:szCs w:val="24"/>
        </w:rPr>
      </w:pPr>
    </w:p>
    <w:p w14:paraId="583D4FA5" w14:textId="118735DC" w:rsidR="0026765F" w:rsidRPr="001F31FB" w:rsidRDefault="0026765F" w:rsidP="001F31FB">
      <w:pPr>
        <w:ind w:left="851"/>
        <w:rPr>
          <w:rFonts w:eastAsia="Courier New"/>
          <w:sz w:val="24"/>
          <w:szCs w:val="24"/>
        </w:rPr>
      </w:pPr>
      <w:r w:rsidRPr="001F31FB">
        <w:rPr>
          <w:b/>
          <w:sz w:val="24"/>
          <w:szCs w:val="24"/>
        </w:rPr>
        <w:t>Nervesystemet:</w:t>
      </w:r>
    </w:p>
    <w:p w14:paraId="1AB96FFE" w14:textId="77777777" w:rsidR="003E4B4D" w:rsidRDefault="003E4B4D" w:rsidP="001F31FB">
      <w:pPr>
        <w:ind w:left="851"/>
        <w:rPr>
          <w:sz w:val="24"/>
          <w:szCs w:val="24"/>
          <w:u w:val="single"/>
        </w:rPr>
      </w:pPr>
    </w:p>
    <w:p w14:paraId="432545E2" w14:textId="61DA9CAC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  <w:u w:val="single"/>
        </w:rPr>
        <w:t>Hyppighed ikke kendt:</w:t>
      </w:r>
      <w:r w:rsidRPr="001F31FB">
        <w:rPr>
          <w:sz w:val="24"/>
          <w:szCs w:val="24"/>
        </w:rPr>
        <w:t xml:space="preserve"> Hovedpine, følelse af beruselse.</w:t>
      </w:r>
    </w:p>
    <w:p w14:paraId="3A84A500" w14:textId="77777777" w:rsidR="003E4B4D" w:rsidRDefault="003E4B4D" w:rsidP="001F31FB">
      <w:pPr>
        <w:ind w:left="851"/>
        <w:rPr>
          <w:sz w:val="24"/>
          <w:szCs w:val="24"/>
        </w:rPr>
      </w:pPr>
    </w:p>
    <w:p w14:paraId="07F6B9E2" w14:textId="570A2044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Balanceforstyrrelser, </w:t>
      </w:r>
      <w:proofErr w:type="spellStart"/>
      <w:r w:rsidRPr="001F31FB">
        <w:rPr>
          <w:sz w:val="24"/>
          <w:szCs w:val="24"/>
        </w:rPr>
        <w:t>ataksi</w:t>
      </w:r>
      <w:proofErr w:type="spellEnd"/>
      <w:r w:rsidRPr="001F31FB">
        <w:rPr>
          <w:sz w:val="24"/>
          <w:szCs w:val="24"/>
        </w:rPr>
        <w:t xml:space="preserve"> og </w:t>
      </w:r>
      <w:proofErr w:type="spellStart"/>
      <w:r w:rsidRPr="001F31FB">
        <w:rPr>
          <w:sz w:val="24"/>
          <w:szCs w:val="24"/>
        </w:rPr>
        <w:t>dysartri</w:t>
      </w:r>
      <w:proofErr w:type="spellEnd"/>
      <w:r w:rsidRPr="001F31FB">
        <w:rPr>
          <w:sz w:val="24"/>
          <w:szCs w:val="24"/>
        </w:rPr>
        <w:t xml:space="preserve"> kan forekomme kombineret eller isoleret og indikere et </w:t>
      </w:r>
      <w:proofErr w:type="spellStart"/>
      <w:r w:rsidRPr="001F31FB">
        <w:rPr>
          <w:sz w:val="24"/>
          <w:szCs w:val="24"/>
        </w:rPr>
        <w:t>cerebellært</w:t>
      </w:r>
      <w:proofErr w:type="spellEnd"/>
      <w:r w:rsidRPr="001F31FB">
        <w:rPr>
          <w:sz w:val="24"/>
          <w:szCs w:val="24"/>
        </w:rPr>
        <w:t xml:space="preserve"> syndrom.</w:t>
      </w:r>
    </w:p>
    <w:p w14:paraId="1F45D138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Undertiden kan der opstå alvorlige neurologiske forstyrrelser, som kan være symptomer på encefalopati og omfatte konfusion, agitation, rystelser, </w:t>
      </w:r>
      <w:proofErr w:type="spellStart"/>
      <w:r w:rsidRPr="001F31FB">
        <w:rPr>
          <w:sz w:val="24"/>
          <w:szCs w:val="24"/>
        </w:rPr>
        <w:t>myokloni</w:t>
      </w:r>
      <w:proofErr w:type="spellEnd"/>
      <w:r w:rsidRPr="001F31FB">
        <w:rPr>
          <w:sz w:val="24"/>
          <w:szCs w:val="24"/>
        </w:rPr>
        <w:t>, konvulsioner, hallucinationer, psykose, døsighed og koma.</w:t>
      </w:r>
    </w:p>
    <w:p w14:paraId="54781B13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Disse remitterer sædvanligvis efter behandlingsophør.</w:t>
      </w:r>
    </w:p>
    <w:p w14:paraId="1EB3778E" w14:textId="0DBAB1BE" w:rsidR="0026765F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Neurologiske tegn ses oftest hos patienter med nedsat nyrefunktion, som har fået doser over den anbefalede dosis, eller hos ældre patienter (se pkt. 4.4). Neurologiske tegn kan dog observeres i fravær af disse medvirkende faktorer. Tilstedeværelsen af disse symptomer bør udløse en undersøgelse for mulig overdosering (se pkt. 4.9).</w:t>
      </w:r>
    </w:p>
    <w:p w14:paraId="4E41771A" w14:textId="77777777" w:rsidR="003E4B4D" w:rsidRPr="001F31FB" w:rsidRDefault="003E4B4D" w:rsidP="001F31FB">
      <w:pPr>
        <w:ind w:left="851"/>
        <w:rPr>
          <w:sz w:val="24"/>
          <w:szCs w:val="24"/>
        </w:rPr>
      </w:pPr>
    </w:p>
    <w:p w14:paraId="65FE3948" w14:textId="4082F950" w:rsidR="0026765F" w:rsidRDefault="0026765F" w:rsidP="001F31FB">
      <w:pPr>
        <w:ind w:left="851"/>
        <w:rPr>
          <w:b/>
          <w:sz w:val="24"/>
          <w:szCs w:val="24"/>
        </w:rPr>
      </w:pPr>
      <w:bookmarkStart w:id="6" w:name="bookmark16"/>
      <w:r w:rsidRPr="001F31FB">
        <w:rPr>
          <w:b/>
          <w:sz w:val="24"/>
          <w:szCs w:val="24"/>
        </w:rPr>
        <w:t xml:space="preserve">Luftveje, thorax og </w:t>
      </w:r>
      <w:proofErr w:type="spellStart"/>
      <w:r w:rsidRPr="001F31FB">
        <w:rPr>
          <w:b/>
          <w:sz w:val="24"/>
          <w:szCs w:val="24"/>
        </w:rPr>
        <w:t>mediastinum</w:t>
      </w:r>
      <w:proofErr w:type="spellEnd"/>
      <w:r w:rsidRPr="001F31FB">
        <w:rPr>
          <w:b/>
          <w:sz w:val="24"/>
          <w:szCs w:val="24"/>
        </w:rPr>
        <w:t>:</w:t>
      </w:r>
      <w:bookmarkEnd w:id="6"/>
    </w:p>
    <w:p w14:paraId="7BA335DF" w14:textId="77777777" w:rsidR="003E4B4D" w:rsidRPr="001F31FB" w:rsidRDefault="003E4B4D" w:rsidP="001F31FB">
      <w:pPr>
        <w:ind w:left="851"/>
        <w:rPr>
          <w:rFonts w:eastAsia="Courier New"/>
          <w:sz w:val="24"/>
          <w:szCs w:val="24"/>
        </w:rPr>
      </w:pPr>
    </w:p>
    <w:p w14:paraId="64E86FEC" w14:textId="6D6B137F" w:rsidR="0026765F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  <w:u w:val="single"/>
        </w:rPr>
        <w:t>Hyppighed ikke kendt:</w:t>
      </w:r>
      <w:r w:rsidRPr="001F31FB">
        <w:rPr>
          <w:sz w:val="24"/>
          <w:szCs w:val="24"/>
        </w:rPr>
        <w:t xml:space="preserve"> Dyspnø.</w:t>
      </w:r>
    </w:p>
    <w:p w14:paraId="3FD7E0F4" w14:textId="77777777" w:rsidR="003E4B4D" w:rsidRPr="001F31FB" w:rsidRDefault="003E4B4D" w:rsidP="001F31FB">
      <w:pPr>
        <w:ind w:left="851"/>
        <w:rPr>
          <w:sz w:val="24"/>
          <w:szCs w:val="24"/>
        </w:rPr>
      </w:pPr>
    </w:p>
    <w:p w14:paraId="441A98BC" w14:textId="67567DE1" w:rsidR="0026765F" w:rsidRDefault="0026765F" w:rsidP="001F31FB">
      <w:pPr>
        <w:ind w:left="851"/>
        <w:rPr>
          <w:b/>
          <w:sz w:val="24"/>
          <w:szCs w:val="24"/>
        </w:rPr>
      </w:pPr>
      <w:bookmarkStart w:id="7" w:name="bookmark17"/>
      <w:r w:rsidRPr="001F31FB">
        <w:rPr>
          <w:b/>
          <w:sz w:val="24"/>
          <w:szCs w:val="24"/>
        </w:rPr>
        <w:t>Mave-tarm-kanalen:</w:t>
      </w:r>
      <w:bookmarkEnd w:id="7"/>
    </w:p>
    <w:p w14:paraId="7C2815C6" w14:textId="77777777" w:rsidR="00215534" w:rsidRPr="001F31FB" w:rsidRDefault="00215534" w:rsidP="001F31FB">
      <w:pPr>
        <w:ind w:left="851"/>
        <w:rPr>
          <w:rFonts w:eastAsia="Courier New"/>
          <w:sz w:val="24"/>
          <w:szCs w:val="24"/>
        </w:rPr>
      </w:pPr>
    </w:p>
    <w:p w14:paraId="4B6242A2" w14:textId="23ED59F8" w:rsidR="0026765F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  <w:u w:val="single"/>
        </w:rPr>
        <w:t>Almindelig:</w:t>
      </w:r>
      <w:r w:rsidRPr="001F31FB">
        <w:rPr>
          <w:sz w:val="24"/>
          <w:szCs w:val="24"/>
        </w:rPr>
        <w:t xml:space="preserve"> Kvalme, opkastning, diarré, mavesmerter.</w:t>
      </w:r>
    </w:p>
    <w:p w14:paraId="63A13A5C" w14:textId="77777777" w:rsidR="00215534" w:rsidRPr="001F31FB" w:rsidRDefault="00215534" w:rsidP="001F31FB">
      <w:pPr>
        <w:ind w:left="851"/>
        <w:rPr>
          <w:sz w:val="24"/>
          <w:szCs w:val="24"/>
        </w:rPr>
      </w:pPr>
    </w:p>
    <w:p w14:paraId="13A30EA1" w14:textId="3B48CF43" w:rsidR="0026765F" w:rsidRDefault="0026765F" w:rsidP="001F31FB">
      <w:pPr>
        <w:ind w:left="851"/>
        <w:rPr>
          <w:b/>
          <w:sz w:val="24"/>
          <w:szCs w:val="24"/>
        </w:rPr>
      </w:pPr>
      <w:bookmarkStart w:id="8" w:name="bookmark18"/>
      <w:r w:rsidRPr="001F31FB">
        <w:rPr>
          <w:b/>
          <w:sz w:val="24"/>
          <w:szCs w:val="24"/>
        </w:rPr>
        <w:t>Lever og galdeveje:</w:t>
      </w:r>
      <w:bookmarkEnd w:id="8"/>
    </w:p>
    <w:p w14:paraId="73441022" w14:textId="77777777" w:rsidR="00215534" w:rsidRPr="001F31FB" w:rsidRDefault="00215534" w:rsidP="001F31FB">
      <w:pPr>
        <w:ind w:left="851"/>
        <w:rPr>
          <w:rFonts w:eastAsia="Courier New"/>
          <w:sz w:val="24"/>
          <w:szCs w:val="24"/>
        </w:rPr>
      </w:pPr>
    </w:p>
    <w:p w14:paraId="7174FECB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  <w:u w:val="single"/>
        </w:rPr>
        <w:t>Almindelig:</w:t>
      </w:r>
      <w:r w:rsidRPr="001F31FB">
        <w:rPr>
          <w:sz w:val="24"/>
          <w:szCs w:val="24"/>
        </w:rPr>
        <w:t xml:space="preserve"> Reversible stigninger i bilirubin og leverenzymer i serum.</w:t>
      </w:r>
    </w:p>
    <w:p w14:paraId="7DEFA890" w14:textId="77777777" w:rsidR="00215534" w:rsidRDefault="00215534" w:rsidP="001F31FB">
      <w:pPr>
        <w:ind w:left="851"/>
        <w:rPr>
          <w:sz w:val="24"/>
          <w:szCs w:val="24"/>
          <w:u w:val="single"/>
        </w:rPr>
      </w:pPr>
    </w:p>
    <w:p w14:paraId="305F9673" w14:textId="6E22A162" w:rsidR="0026765F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  <w:u w:val="single"/>
        </w:rPr>
        <w:t>Hyppighed ikke kendt:</w:t>
      </w:r>
      <w:r w:rsidRPr="001F31FB">
        <w:rPr>
          <w:sz w:val="24"/>
          <w:szCs w:val="24"/>
        </w:rPr>
        <w:t xml:space="preserve"> Akut leverskade.</w:t>
      </w:r>
    </w:p>
    <w:p w14:paraId="41961D38" w14:textId="77777777" w:rsidR="00215534" w:rsidRPr="001F31FB" w:rsidRDefault="00215534" w:rsidP="001F31FB">
      <w:pPr>
        <w:ind w:left="851"/>
        <w:rPr>
          <w:sz w:val="24"/>
          <w:szCs w:val="24"/>
        </w:rPr>
      </w:pPr>
    </w:p>
    <w:p w14:paraId="5E1B9869" w14:textId="77777777" w:rsidR="0026765F" w:rsidRPr="001F31FB" w:rsidRDefault="0026765F" w:rsidP="001F31FB">
      <w:pPr>
        <w:ind w:left="851"/>
        <w:rPr>
          <w:rFonts w:eastAsia="Courier New"/>
          <w:sz w:val="24"/>
          <w:szCs w:val="24"/>
        </w:rPr>
      </w:pPr>
      <w:bookmarkStart w:id="9" w:name="bookmark19"/>
      <w:r w:rsidRPr="001F31FB">
        <w:rPr>
          <w:b/>
          <w:sz w:val="24"/>
          <w:szCs w:val="24"/>
        </w:rPr>
        <w:t>Hud og subkutane væv:</w:t>
      </w:r>
      <w:bookmarkEnd w:id="9"/>
    </w:p>
    <w:p w14:paraId="0E50A73B" w14:textId="77777777" w:rsidR="00215534" w:rsidRDefault="00215534" w:rsidP="001F31FB">
      <w:pPr>
        <w:ind w:left="851"/>
        <w:rPr>
          <w:sz w:val="24"/>
          <w:szCs w:val="24"/>
          <w:u w:val="single"/>
        </w:rPr>
      </w:pPr>
    </w:p>
    <w:p w14:paraId="63B2DDCB" w14:textId="36EBC77C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  <w:u w:val="single"/>
        </w:rPr>
        <w:t>Almindelig:</w:t>
      </w:r>
      <w:r w:rsidRPr="001F31FB">
        <w:rPr>
          <w:sz w:val="24"/>
          <w:szCs w:val="24"/>
        </w:rPr>
        <w:t xml:space="preserve"> </w:t>
      </w:r>
      <w:proofErr w:type="spellStart"/>
      <w:r w:rsidRPr="001F31FB">
        <w:rPr>
          <w:sz w:val="24"/>
          <w:szCs w:val="24"/>
        </w:rPr>
        <w:t>pruritus</w:t>
      </w:r>
      <w:proofErr w:type="spellEnd"/>
      <w:r w:rsidRPr="001F31FB">
        <w:rPr>
          <w:sz w:val="24"/>
          <w:szCs w:val="24"/>
        </w:rPr>
        <w:t xml:space="preserve">, udslæt, </w:t>
      </w:r>
      <w:proofErr w:type="spellStart"/>
      <w:r w:rsidRPr="001F31FB">
        <w:rPr>
          <w:sz w:val="24"/>
          <w:szCs w:val="24"/>
        </w:rPr>
        <w:t>urticaria</w:t>
      </w:r>
      <w:proofErr w:type="spellEnd"/>
      <w:r w:rsidRPr="001F31FB">
        <w:rPr>
          <w:sz w:val="24"/>
          <w:szCs w:val="24"/>
        </w:rPr>
        <w:t>.</w:t>
      </w:r>
    </w:p>
    <w:p w14:paraId="09531855" w14:textId="77777777" w:rsidR="00215534" w:rsidRDefault="00215534" w:rsidP="001F31FB">
      <w:pPr>
        <w:ind w:left="851"/>
        <w:rPr>
          <w:sz w:val="24"/>
          <w:szCs w:val="24"/>
        </w:rPr>
      </w:pPr>
    </w:p>
    <w:p w14:paraId="5FF392EE" w14:textId="472C4B5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Isolerede tilfælde af </w:t>
      </w:r>
      <w:proofErr w:type="spellStart"/>
      <w:r w:rsidRPr="001F31FB">
        <w:rPr>
          <w:sz w:val="24"/>
          <w:szCs w:val="24"/>
        </w:rPr>
        <w:t>angioødem</w:t>
      </w:r>
      <w:proofErr w:type="spellEnd"/>
      <w:r w:rsidRPr="001F31FB">
        <w:rPr>
          <w:sz w:val="24"/>
          <w:szCs w:val="24"/>
        </w:rPr>
        <w:t>.</w:t>
      </w:r>
    </w:p>
    <w:p w14:paraId="4E74EB24" w14:textId="77777777" w:rsidR="00215534" w:rsidRDefault="00215534" w:rsidP="001F31FB">
      <w:pPr>
        <w:ind w:left="851"/>
        <w:rPr>
          <w:b/>
          <w:sz w:val="24"/>
          <w:szCs w:val="24"/>
        </w:rPr>
      </w:pPr>
      <w:bookmarkStart w:id="10" w:name="bookmark20"/>
    </w:p>
    <w:p w14:paraId="1E589AAA" w14:textId="53D9328B" w:rsidR="0026765F" w:rsidRPr="001F31FB" w:rsidRDefault="0026765F" w:rsidP="001F31FB">
      <w:pPr>
        <w:ind w:left="851"/>
        <w:rPr>
          <w:rFonts w:eastAsia="Courier New"/>
          <w:sz w:val="24"/>
          <w:szCs w:val="24"/>
        </w:rPr>
      </w:pPr>
      <w:r w:rsidRPr="001F31FB">
        <w:rPr>
          <w:b/>
          <w:sz w:val="24"/>
          <w:szCs w:val="24"/>
        </w:rPr>
        <w:t>Nyrer og urinveje:</w:t>
      </w:r>
      <w:bookmarkEnd w:id="10"/>
    </w:p>
    <w:p w14:paraId="687DB8F4" w14:textId="77777777" w:rsidR="00215534" w:rsidRDefault="00215534" w:rsidP="001F31FB">
      <w:pPr>
        <w:ind w:left="851"/>
        <w:rPr>
          <w:sz w:val="24"/>
          <w:szCs w:val="24"/>
          <w:u w:val="single"/>
        </w:rPr>
      </w:pPr>
    </w:p>
    <w:p w14:paraId="48323C4E" w14:textId="766DAC73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  <w:u w:val="single"/>
        </w:rPr>
        <w:t>Almindelig:</w:t>
      </w:r>
      <w:r w:rsidRPr="001F31FB">
        <w:rPr>
          <w:sz w:val="24"/>
          <w:szCs w:val="24"/>
        </w:rPr>
        <w:t xml:space="preserve"> Forhøjet indhold af </w:t>
      </w:r>
      <w:proofErr w:type="spellStart"/>
      <w:r w:rsidRPr="001F31FB">
        <w:rPr>
          <w:sz w:val="24"/>
          <w:szCs w:val="24"/>
        </w:rPr>
        <w:t>urea</w:t>
      </w:r>
      <w:proofErr w:type="spellEnd"/>
      <w:r w:rsidRPr="001F31FB">
        <w:rPr>
          <w:sz w:val="24"/>
          <w:szCs w:val="24"/>
        </w:rPr>
        <w:t xml:space="preserve"> og </w:t>
      </w:r>
      <w:proofErr w:type="spellStart"/>
      <w:r w:rsidRPr="001F31FB">
        <w:rPr>
          <w:sz w:val="24"/>
          <w:szCs w:val="24"/>
        </w:rPr>
        <w:t>kreatinin</w:t>
      </w:r>
      <w:proofErr w:type="spellEnd"/>
      <w:r w:rsidRPr="001F31FB">
        <w:rPr>
          <w:sz w:val="24"/>
          <w:szCs w:val="24"/>
        </w:rPr>
        <w:t xml:space="preserve"> i blodet.</w:t>
      </w:r>
    </w:p>
    <w:p w14:paraId="7636B086" w14:textId="77777777" w:rsidR="00215534" w:rsidRDefault="00215534" w:rsidP="001F31FB">
      <w:pPr>
        <w:ind w:left="851"/>
        <w:rPr>
          <w:sz w:val="24"/>
          <w:szCs w:val="24"/>
        </w:rPr>
      </w:pPr>
    </w:p>
    <w:p w14:paraId="4A40604A" w14:textId="3A2D482D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Hurtige stigninger i koncentrationen af </w:t>
      </w:r>
      <w:proofErr w:type="spellStart"/>
      <w:r w:rsidRPr="001F31FB">
        <w:rPr>
          <w:sz w:val="24"/>
          <w:szCs w:val="24"/>
        </w:rPr>
        <w:t>urea</w:t>
      </w:r>
      <w:proofErr w:type="spellEnd"/>
      <w:r w:rsidRPr="001F31FB">
        <w:rPr>
          <w:sz w:val="24"/>
          <w:szCs w:val="24"/>
        </w:rPr>
        <w:t xml:space="preserve"> og </w:t>
      </w:r>
      <w:proofErr w:type="spellStart"/>
      <w:r w:rsidRPr="001F31FB">
        <w:rPr>
          <w:sz w:val="24"/>
          <w:szCs w:val="24"/>
        </w:rPr>
        <w:t>kreatinin</w:t>
      </w:r>
      <w:proofErr w:type="spellEnd"/>
      <w:r w:rsidRPr="001F31FB">
        <w:rPr>
          <w:sz w:val="24"/>
          <w:szCs w:val="24"/>
        </w:rPr>
        <w:t xml:space="preserve"> i plasma menes at være relateret til maksimal plasmakoncentration samt patientens hydreringsstatus. For at undgå denne virkning skal det undlades at administrere lægemidlet som en intravenøs </w:t>
      </w:r>
      <w:proofErr w:type="spellStart"/>
      <w:r w:rsidRPr="001F31FB">
        <w:rPr>
          <w:sz w:val="24"/>
          <w:szCs w:val="24"/>
        </w:rPr>
        <w:t>bolusinjektion</w:t>
      </w:r>
      <w:proofErr w:type="spellEnd"/>
      <w:r w:rsidRPr="001F31FB">
        <w:rPr>
          <w:sz w:val="24"/>
          <w:szCs w:val="24"/>
        </w:rPr>
        <w:t>, men derimod som en langsom infusion over en time (se pkt. 4.2).</w:t>
      </w:r>
    </w:p>
    <w:p w14:paraId="22BADC90" w14:textId="77777777" w:rsidR="0026765F" w:rsidRPr="001F31FB" w:rsidRDefault="0026765F" w:rsidP="001F31FB">
      <w:pPr>
        <w:ind w:left="851"/>
        <w:rPr>
          <w:sz w:val="24"/>
          <w:szCs w:val="24"/>
        </w:rPr>
      </w:pPr>
    </w:p>
    <w:p w14:paraId="75AC4671" w14:textId="77777777" w:rsidR="0026765F" w:rsidRPr="001F31FB" w:rsidRDefault="0026765F" w:rsidP="001F31FB">
      <w:pPr>
        <w:ind w:left="851"/>
        <w:rPr>
          <w:sz w:val="24"/>
          <w:szCs w:val="24"/>
          <w:lang w:bidi="en-US"/>
        </w:rPr>
      </w:pPr>
      <w:r w:rsidRPr="001F31FB">
        <w:rPr>
          <w:sz w:val="24"/>
          <w:szCs w:val="24"/>
          <w:u w:val="single"/>
        </w:rPr>
        <w:t>Hyppighed ikke kendt:</w:t>
      </w:r>
      <w:r w:rsidRPr="001F31FB">
        <w:rPr>
          <w:sz w:val="24"/>
          <w:szCs w:val="24"/>
        </w:rPr>
        <w:t xml:space="preserve"> Akut nyresvigt, særligt hos ældre personer eller hos patienter med nedsat nyrefunktion hvis dosis overskrides, nyresmerter.</w:t>
      </w:r>
    </w:p>
    <w:p w14:paraId="6D175DDA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Nyresmerter kan være forbundet med nedsat nyrefunktion (se pkt. 4.4).</w:t>
      </w:r>
    </w:p>
    <w:p w14:paraId="34785754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Risikoen for akut nyresvigt øges ved overdosering og/eller dehydrering eller ved kombination med </w:t>
      </w:r>
      <w:proofErr w:type="spellStart"/>
      <w:r w:rsidRPr="001F31FB">
        <w:rPr>
          <w:sz w:val="24"/>
          <w:szCs w:val="24"/>
        </w:rPr>
        <w:t>nefrotoksiske</w:t>
      </w:r>
      <w:proofErr w:type="spellEnd"/>
      <w:r w:rsidRPr="001F31FB">
        <w:rPr>
          <w:sz w:val="24"/>
          <w:szCs w:val="24"/>
        </w:rPr>
        <w:t xml:space="preserve"> lægemidler. Disse risikofaktorer skal undersøges, uanset patientens alder.</w:t>
      </w:r>
    </w:p>
    <w:p w14:paraId="07BAF0FC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lastRenderedPageBreak/>
        <w:t>Risikoen for nyrepåvirkning kan undgås ved at overholde doseringsanvisningerne, forholdsreglerne for brug (især opretholdelse af tilstrækkelig hydrering) samt langsom administrationshastighed (se pkt. 4.2, 4.4).</w:t>
      </w:r>
    </w:p>
    <w:p w14:paraId="29BBA141" w14:textId="77777777" w:rsidR="0026765F" w:rsidRPr="001F31FB" w:rsidRDefault="0026765F" w:rsidP="001F31FB">
      <w:pPr>
        <w:ind w:left="851"/>
        <w:rPr>
          <w:sz w:val="24"/>
          <w:szCs w:val="24"/>
        </w:rPr>
      </w:pPr>
    </w:p>
    <w:p w14:paraId="1E260CD0" w14:textId="77777777" w:rsidR="0026765F" w:rsidRPr="001F31FB" w:rsidRDefault="0026765F" w:rsidP="001F31FB">
      <w:pPr>
        <w:ind w:left="851"/>
        <w:rPr>
          <w:rFonts w:eastAsia="Courier New"/>
          <w:sz w:val="24"/>
          <w:szCs w:val="24"/>
          <w:lang w:bidi="en-US"/>
        </w:rPr>
      </w:pPr>
      <w:bookmarkStart w:id="11" w:name="bookmark21"/>
      <w:r w:rsidRPr="001F31FB">
        <w:rPr>
          <w:b/>
          <w:sz w:val="24"/>
          <w:szCs w:val="24"/>
        </w:rPr>
        <w:t>Almene symptomer og reaktioner på administrationsstedet:</w:t>
      </w:r>
      <w:bookmarkEnd w:id="11"/>
    </w:p>
    <w:p w14:paraId="711D5948" w14:textId="77777777" w:rsidR="00B1073C" w:rsidRDefault="00B1073C" w:rsidP="001F31FB">
      <w:pPr>
        <w:ind w:left="851"/>
        <w:rPr>
          <w:sz w:val="24"/>
          <w:szCs w:val="24"/>
          <w:u w:val="single"/>
        </w:rPr>
      </w:pPr>
    </w:p>
    <w:p w14:paraId="34C64501" w14:textId="13D51899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  <w:u w:val="single"/>
        </w:rPr>
        <w:t>Hyppighed ikke kendt:</w:t>
      </w:r>
      <w:r w:rsidRPr="001F31FB">
        <w:rPr>
          <w:sz w:val="24"/>
          <w:szCs w:val="24"/>
        </w:rPr>
        <w:t> Træthed, feber.</w:t>
      </w:r>
    </w:p>
    <w:p w14:paraId="5F086F7C" w14:textId="77777777" w:rsidR="00215534" w:rsidRDefault="00215534" w:rsidP="001F31FB">
      <w:pPr>
        <w:ind w:left="851"/>
        <w:rPr>
          <w:sz w:val="24"/>
          <w:szCs w:val="24"/>
          <w:u w:val="single"/>
        </w:rPr>
      </w:pPr>
    </w:p>
    <w:p w14:paraId="35520F1B" w14:textId="2B1EFE24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  <w:u w:val="single"/>
        </w:rPr>
        <w:t>Almindelig:</w:t>
      </w:r>
      <w:r w:rsidRPr="001F31FB">
        <w:rPr>
          <w:sz w:val="24"/>
          <w:szCs w:val="24"/>
        </w:rPr>
        <w:t xml:space="preserve"> Inflammatoriske hudlæsioner eller </w:t>
      </w:r>
      <w:proofErr w:type="spellStart"/>
      <w:r w:rsidRPr="001F31FB">
        <w:rPr>
          <w:sz w:val="24"/>
          <w:szCs w:val="24"/>
        </w:rPr>
        <w:t>flebitis</w:t>
      </w:r>
      <w:proofErr w:type="spellEnd"/>
      <w:r w:rsidRPr="001F31FB">
        <w:rPr>
          <w:sz w:val="24"/>
          <w:szCs w:val="24"/>
        </w:rPr>
        <w:t xml:space="preserve"> på injektionsstedet, som undtagelsesvis kan føre til nekrose i tilfælde af </w:t>
      </w:r>
      <w:proofErr w:type="spellStart"/>
      <w:r w:rsidRPr="001F31FB">
        <w:rPr>
          <w:sz w:val="24"/>
          <w:szCs w:val="24"/>
        </w:rPr>
        <w:t>ekstravasation</w:t>
      </w:r>
      <w:proofErr w:type="spellEnd"/>
      <w:r w:rsidRPr="001F31FB">
        <w:rPr>
          <w:sz w:val="24"/>
          <w:szCs w:val="24"/>
        </w:rPr>
        <w:t xml:space="preserve"> eller utilstrækkelig fortynding af opløsningen.</w:t>
      </w:r>
    </w:p>
    <w:p w14:paraId="281A4D2F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Disse inflammatoriske læsioner er relateret til lægemidlets basiske pH</w:t>
      </w:r>
      <w:r w:rsidRPr="001F31FB">
        <w:rPr>
          <w:sz w:val="24"/>
          <w:szCs w:val="24"/>
        </w:rPr>
        <w:noBreakHyphen/>
        <w:t>værdi.</w:t>
      </w:r>
    </w:p>
    <w:p w14:paraId="4D511BA8" w14:textId="77777777" w:rsidR="00215534" w:rsidRDefault="00215534" w:rsidP="001F31FB">
      <w:pPr>
        <w:ind w:left="851"/>
        <w:rPr>
          <w:sz w:val="24"/>
          <w:szCs w:val="24"/>
          <w:u w:val="single"/>
        </w:rPr>
      </w:pPr>
    </w:p>
    <w:p w14:paraId="140FDDC4" w14:textId="61A9E207" w:rsidR="0026765F" w:rsidRPr="001F31FB" w:rsidRDefault="0026765F" w:rsidP="001F31FB">
      <w:pPr>
        <w:ind w:left="851"/>
        <w:rPr>
          <w:rFonts w:eastAsia="Courier New"/>
          <w:sz w:val="24"/>
          <w:szCs w:val="24"/>
          <w:u w:val="single"/>
        </w:rPr>
      </w:pPr>
      <w:r w:rsidRPr="001F31FB">
        <w:rPr>
          <w:sz w:val="24"/>
          <w:szCs w:val="24"/>
          <w:u w:val="single"/>
        </w:rPr>
        <w:t>Indberetning af formodede bivirkninger</w:t>
      </w:r>
    </w:p>
    <w:p w14:paraId="3FBB6BF0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1F31FB">
        <w:rPr>
          <w:sz w:val="24"/>
          <w:szCs w:val="24"/>
        </w:rPr>
        <w:t>risk</w:t>
      </w:r>
      <w:proofErr w:type="spellEnd"/>
      <w:r w:rsidRPr="001F31FB">
        <w:rPr>
          <w:sz w:val="24"/>
          <w:szCs w:val="24"/>
        </w:rPr>
        <w:t xml:space="preserve">-forholdet for lægemidlet. Sundhedspersoner anmodes om at indberette alle formodede bivirkninger via </w:t>
      </w:r>
    </w:p>
    <w:p w14:paraId="1428B7D2" w14:textId="77777777" w:rsidR="0026765F" w:rsidRPr="001F31FB" w:rsidRDefault="0026765F" w:rsidP="001F31FB">
      <w:pPr>
        <w:ind w:left="851"/>
        <w:rPr>
          <w:sz w:val="24"/>
          <w:szCs w:val="24"/>
        </w:rPr>
      </w:pPr>
    </w:p>
    <w:p w14:paraId="7920C0C3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Lægemiddelstyrelsen</w:t>
      </w:r>
      <w:r w:rsidRPr="001F31FB">
        <w:rPr>
          <w:sz w:val="24"/>
          <w:szCs w:val="24"/>
        </w:rPr>
        <w:br/>
        <w:t>Axel Heides Gade 1</w:t>
      </w:r>
    </w:p>
    <w:p w14:paraId="788FF1FF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DK-2300 København S</w:t>
      </w:r>
      <w:r w:rsidRPr="001F31FB">
        <w:rPr>
          <w:sz w:val="24"/>
          <w:szCs w:val="24"/>
        </w:rPr>
        <w:br/>
        <w:t xml:space="preserve">Websted: </w:t>
      </w:r>
      <w:hyperlink r:id="rId8" w:history="1">
        <w:r w:rsidRPr="001F31FB">
          <w:rPr>
            <w:rStyle w:val="Hyperlink"/>
            <w:color w:val="0000FF"/>
            <w:sz w:val="24"/>
            <w:szCs w:val="24"/>
          </w:rPr>
          <w:t>www.meldenbivirkning.dk</w:t>
        </w:r>
      </w:hyperlink>
      <w:r w:rsidRPr="001F31FB">
        <w:rPr>
          <w:color w:val="008000"/>
          <w:sz w:val="24"/>
          <w:szCs w:val="24"/>
        </w:rPr>
        <w:t xml:space="preserve"> </w:t>
      </w:r>
    </w:p>
    <w:p w14:paraId="11BD7322" w14:textId="77777777" w:rsidR="009260DE" w:rsidRPr="001F31FB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2BF69141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4.9</w:t>
      </w:r>
      <w:r w:rsidRPr="001F31FB">
        <w:rPr>
          <w:b/>
          <w:sz w:val="24"/>
          <w:szCs w:val="24"/>
        </w:rPr>
        <w:tab/>
        <w:t>Overdosering</w:t>
      </w:r>
    </w:p>
    <w:p w14:paraId="5576EA0A" w14:textId="77777777" w:rsidR="0056308E" w:rsidRDefault="0056308E" w:rsidP="001F31FB">
      <w:pPr>
        <w:ind w:left="851"/>
        <w:rPr>
          <w:sz w:val="24"/>
          <w:szCs w:val="24"/>
        </w:rPr>
      </w:pPr>
      <w:bookmarkStart w:id="12" w:name="_Toc142278931"/>
    </w:p>
    <w:p w14:paraId="3072F2E4" w14:textId="58A3CA66" w:rsidR="0026765F" w:rsidRPr="0056308E" w:rsidRDefault="0026765F" w:rsidP="001F31FB">
      <w:pPr>
        <w:ind w:left="851"/>
        <w:rPr>
          <w:bCs/>
          <w:sz w:val="24"/>
          <w:szCs w:val="24"/>
          <w:u w:val="single"/>
        </w:rPr>
      </w:pPr>
      <w:r w:rsidRPr="0056308E">
        <w:rPr>
          <w:sz w:val="24"/>
          <w:szCs w:val="24"/>
          <w:u w:val="single"/>
        </w:rPr>
        <w:t xml:space="preserve">Tegn og </w:t>
      </w:r>
      <w:r w:rsidR="00B1073C">
        <w:rPr>
          <w:sz w:val="24"/>
          <w:szCs w:val="24"/>
          <w:u w:val="single"/>
        </w:rPr>
        <w:t>s</w:t>
      </w:r>
      <w:r w:rsidRPr="0056308E">
        <w:rPr>
          <w:sz w:val="24"/>
          <w:szCs w:val="24"/>
          <w:u w:val="single"/>
        </w:rPr>
        <w:t>ymptomer</w:t>
      </w:r>
      <w:bookmarkEnd w:id="12"/>
    </w:p>
    <w:p w14:paraId="44DCF423" w14:textId="77777777" w:rsidR="0026765F" w:rsidRPr="001F31FB" w:rsidRDefault="0026765F" w:rsidP="001F31FB">
      <w:pPr>
        <w:ind w:left="851"/>
        <w:rPr>
          <w:sz w:val="24"/>
          <w:szCs w:val="24"/>
        </w:rPr>
      </w:pPr>
      <w:bookmarkStart w:id="13" w:name="Rcp_4_9_Surdosage_4"/>
      <w:bookmarkEnd w:id="13"/>
      <w:r w:rsidRPr="001F31FB">
        <w:rPr>
          <w:sz w:val="24"/>
          <w:szCs w:val="24"/>
        </w:rPr>
        <w:t xml:space="preserve">Overdosering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administreret intravenøst har forårsaget en stigning i </w:t>
      </w:r>
      <w:proofErr w:type="spellStart"/>
      <w:r w:rsidRPr="001F31FB">
        <w:rPr>
          <w:sz w:val="24"/>
          <w:szCs w:val="24"/>
        </w:rPr>
        <w:t>serumkreatinin</w:t>
      </w:r>
      <w:proofErr w:type="spellEnd"/>
      <w:r w:rsidRPr="001F31FB">
        <w:rPr>
          <w:sz w:val="24"/>
          <w:szCs w:val="24"/>
        </w:rPr>
        <w:t xml:space="preserve">, </w:t>
      </w:r>
      <w:proofErr w:type="spellStart"/>
      <w:r w:rsidRPr="001F31FB">
        <w:rPr>
          <w:sz w:val="24"/>
          <w:szCs w:val="24"/>
        </w:rPr>
        <w:t>urea</w:t>
      </w:r>
      <w:proofErr w:type="spellEnd"/>
      <w:r w:rsidRPr="001F31FB">
        <w:rPr>
          <w:sz w:val="24"/>
          <w:szCs w:val="24"/>
        </w:rPr>
        <w:t xml:space="preserve"> i blodet og efterfølgende nedsat nyrefunktion. Der er registreret neurologiske virkninger som konfusion, hallucinationer, agitation, konvulsioner og koma i forbindelse med overdosering.</w:t>
      </w:r>
    </w:p>
    <w:p w14:paraId="0A777078" w14:textId="77777777" w:rsidR="0056308E" w:rsidRDefault="0056308E" w:rsidP="001F31FB">
      <w:pPr>
        <w:ind w:left="851"/>
        <w:rPr>
          <w:sz w:val="24"/>
          <w:szCs w:val="24"/>
        </w:rPr>
      </w:pPr>
    </w:p>
    <w:p w14:paraId="6B8EBE5A" w14:textId="4DFD5374" w:rsidR="0026765F" w:rsidRPr="0056308E" w:rsidRDefault="0026765F" w:rsidP="001F31FB">
      <w:pPr>
        <w:ind w:left="851"/>
        <w:rPr>
          <w:bCs/>
          <w:sz w:val="24"/>
          <w:szCs w:val="24"/>
          <w:u w:val="single"/>
        </w:rPr>
      </w:pPr>
      <w:r w:rsidRPr="0056308E">
        <w:rPr>
          <w:sz w:val="24"/>
          <w:szCs w:val="24"/>
          <w:u w:val="single"/>
        </w:rPr>
        <w:t>Behandling</w:t>
      </w:r>
    </w:p>
    <w:p w14:paraId="5E296227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Patienterne skal overvåges nøje for tegn på toksicitet.</w:t>
      </w:r>
    </w:p>
    <w:p w14:paraId="74A75BE4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Hæmodialyse øger elimineringen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fra blodbanen betydeligt og kan derfor overvejes som en behandlingsmulighed i tilfælde af symptomatisk overdosering.</w:t>
      </w:r>
    </w:p>
    <w:p w14:paraId="0939A9A0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42D257D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4.10</w:t>
      </w:r>
      <w:r w:rsidRPr="001F31FB">
        <w:rPr>
          <w:b/>
          <w:sz w:val="24"/>
          <w:szCs w:val="24"/>
        </w:rPr>
        <w:tab/>
        <w:t>Udlevering</w:t>
      </w:r>
    </w:p>
    <w:p w14:paraId="5303CF07" w14:textId="10EFCBEF" w:rsidR="009260DE" w:rsidRPr="001F31FB" w:rsidRDefault="001F31FB" w:rsidP="009260DE">
      <w:pPr>
        <w:tabs>
          <w:tab w:val="left" w:pos="851"/>
        </w:tabs>
        <w:ind w:left="851"/>
        <w:rPr>
          <w:sz w:val="24"/>
          <w:szCs w:val="24"/>
        </w:rPr>
      </w:pPr>
      <w:r w:rsidRPr="001F31FB">
        <w:rPr>
          <w:sz w:val="24"/>
          <w:szCs w:val="24"/>
        </w:rPr>
        <w:t>B</w:t>
      </w:r>
    </w:p>
    <w:p w14:paraId="542A163C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DA3DBB4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2307569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5.</w:t>
      </w:r>
      <w:r w:rsidRPr="001F31FB">
        <w:rPr>
          <w:b/>
          <w:sz w:val="24"/>
          <w:szCs w:val="24"/>
        </w:rPr>
        <w:tab/>
        <w:t>FARMAKOLOGISKE EGENSKABER</w:t>
      </w:r>
    </w:p>
    <w:p w14:paraId="58152212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DC90014" w14:textId="77777777" w:rsidR="009260DE" w:rsidRPr="001F31FB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5.1</w:t>
      </w:r>
      <w:r w:rsidRPr="001F31FB">
        <w:rPr>
          <w:b/>
          <w:sz w:val="24"/>
          <w:szCs w:val="24"/>
        </w:rPr>
        <w:tab/>
      </w:r>
      <w:proofErr w:type="spellStart"/>
      <w:r w:rsidRPr="001F31FB">
        <w:rPr>
          <w:b/>
          <w:sz w:val="24"/>
          <w:szCs w:val="24"/>
        </w:rPr>
        <w:t>Farmakodynamiske</w:t>
      </w:r>
      <w:proofErr w:type="spellEnd"/>
      <w:r w:rsidRPr="001F31FB">
        <w:rPr>
          <w:b/>
          <w:sz w:val="24"/>
          <w:szCs w:val="24"/>
        </w:rPr>
        <w:t xml:space="preserve"> egenskaber</w:t>
      </w:r>
    </w:p>
    <w:p w14:paraId="1D9B6FF8" w14:textId="77777777" w:rsidR="0026765F" w:rsidRPr="001F31FB" w:rsidRDefault="0026765F" w:rsidP="001F31FB">
      <w:pPr>
        <w:ind w:left="851"/>
        <w:rPr>
          <w:sz w:val="24"/>
          <w:szCs w:val="24"/>
          <w:highlight w:val="yellow"/>
        </w:rPr>
      </w:pPr>
      <w:bookmarkStart w:id="14" w:name="_Toc142278933"/>
      <w:proofErr w:type="spellStart"/>
      <w:r w:rsidRPr="001F31FB">
        <w:rPr>
          <w:sz w:val="24"/>
          <w:szCs w:val="24"/>
        </w:rPr>
        <w:t>Farmakoterapeutisk</w:t>
      </w:r>
      <w:proofErr w:type="spellEnd"/>
      <w:r w:rsidRPr="001F31FB">
        <w:rPr>
          <w:sz w:val="24"/>
          <w:szCs w:val="24"/>
        </w:rPr>
        <w:t xml:space="preserve"> klassifikation: Direkte virkende antivirale midler. </w:t>
      </w:r>
      <w:proofErr w:type="spellStart"/>
      <w:r w:rsidRPr="001F31FB">
        <w:rPr>
          <w:sz w:val="24"/>
          <w:szCs w:val="24"/>
        </w:rPr>
        <w:t>Nucleosider</w:t>
      </w:r>
      <w:proofErr w:type="spellEnd"/>
      <w:r w:rsidRPr="001F31FB">
        <w:rPr>
          <w:sz w:val="24"/>
          <w:szCs w:val="24"/>
        </w:rPr>
        <w:t xml:space="preserve"> og </w:t>
      </w:r>
      <w:proofErr w:type="spellStart"/>
      <w:r w:rsidRPr="001F31FB">
        <w:rPr>
          <w:sz w:val="24"/>
          <w:szCs w:val="24"/>
        </w:rPr>
        <w:t>nucleotider</w:t>
      </w:r>
      <w:proofErr w:type="spellEnd"/>
      <w:r w:rsidRPr="001F31FB">
        <w:rPr>
          <w:sz w:val="24"/>
          <w:szCs w:val="24"/>
        </w:rPr>
        <w:t xml:space="preserve"> </w:t>
      </w:r>
      <w:proofErr w:type="spellStart"/>
      <w:r w:rsidRPr="001F31FB">
        <w:rPr>
          <w:sz w:val="24"/>
          <w:szCs w:val="24"/>
        </w:rPr>
        <w:t>excl</w:t>
      </w:r>
      <w:proofErr w:type="spellEnd"/>
      <w:r w:rsidRPr="001F31FB">
        <w:rPr>
          <w:sz w:val="24"/>
          <w:szCs w:val="24"/>
        </w:rPr>
        <w:t xml:space="preserve">. revers </w:t>
      </w:r>
      <w:proofErr w:type="spellStart"/>
      <w:r w:rsidRPr="001F31FB">
        <w:rPr>
          <w:sz w:val="24"/>
          <w:szCs w:val="24"/>
        </w:rPr>
        <w:t>transcriptase-hæmmere</w:t>
      </w:r>
      <w:proofErr w:type="spellEnd"/>
      <w:r w:rsidRPr="001F31FB">
        <w:rPr>
          <w:sz w:val="24"/>
          <w:szCs w:val="24"/>
        </w:rPr>
        <w:t>, ATC</w:t>
      </w:r>
      <w:r w:rsidRPr="001F31FB">
        <w:rPr>
          <w:sz w:val="24"/>
          <w:szCs w:val="24"/>
        </w:rPr>
        <w:noBreakHyphen/>
        <w:t>kode: J05AB01.</w:t>
      </w:r>
      <w:bookmarkEnd w:id="14"/>
    </w:p>
    <w:p w14:paraId="6F2344F3" w14:textId="77777777" w:rsidR="0026765F" w:rsidRPr="001F31FB" w:rsidRDefault="0026765F" w:rsidP="001F31FB">
      <w:pPr>
        <w:ind w:left="851"/>
        <w:rPr>
          <w:rFonts w:eastAsia="Courier New"/>
          <w:sz w:val="24"/>
          <w:szCs w:val="24"/>
        </w:rPr>
      </w:pPr>
    </w:p>
    <w:p w14:paraId="3718FF89" w14:textId="77777777" w:rsidR="0026765F" w:rsidRPr="001F31FB" w:rsidRDefault="0026765F" w:rsidP="001F31FB">
      <w:pPr>
        <w:ind w:left="851"/>
        <w:rPr>
          <w:sz w:val="24"/>
          <w:szCs w:val="24"/>
        </w:rPr>
      </w:pP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er en specifik hæmmer af herpesvira med </w:t>
      </w:r>
      <w:r w:rsidRPr="001F31FB">
        <w:rPr>
          <w:i/>
          <w:iCs/>
          <w:sz w:val="24"/>
          <w:szCs w:val="24"/>
        </w:rPr>
        <w:t>in </w:t>
      </w:r>
      <w:proofErr w:type="spellStart"/>
      <w:r w:rsidRPr="001F31FB">
        <w:rPr>
          <w:i/>
          <w:iCs/>
          <w:sz w:val="24"/>
          <w:szCs w:val="24"/>
        </w:rPr>
        <w:t>vitro</w:t>
      </w:r>
      <w:proofErr w:type="spellEnd"/>
      <w:r w:rsidRPr="001F31FB">
        <w:rPr>
          <w:sz w:val="24"/>
          <w:szCs w:val="24"/>
        </w:rPr>
        <w:t xml:space="preserve">-aktivitet mod </w:t>
      </w:r>
      <w:r w:rsidRPr="001F31FB">
        <w:rPr>
          <w:i/>
          <w:iCs/>
          <w:sz w:val="24"/>
          <w:szCs w:val="24"/>
        </w:rPr>
        <w:t xml:space="preserve">herpes </w:t>
      </w:r>
      <w:proofErr w:type="spellStart"/>
      <w:r w:rsidRPr="001F31FB">
        <w:rPr>
          <w:i/>
          <w:iCs/>
          <w:sz w:val="24"/>
          <w:szCs w:val="24"/>
        </w:rPr>
        <w:t>simplex</w:t>
      </w:r>
      <w:proofErr w:type="spellEnd"/>
      <w:r w:rsidRPr="001F31FB">
        <w:rPr>
          <w:sz w:val="24"/>
          <w:szCs w:val="24"/>
        </w:rPr>
        <w:t xml:space="preserve">-virus type 1 og 2 og </w:t>
      </w:r>
      <w:proofErr w:type="spellStart"/>
      <w:r w:rsidRPr="001F31FB">
        <w:rPr>
          <w:i/>
          <w:iCs/>
          <w:sz w:val="24"/>
          <w:szCs w:val="24"/>
        </w:rPr>
        <w:t>varicella</w:t>
      </w:r>
      <w:proofErr w:type="spellEnd"/>
      <w:r w:rsidRPr="001F31FB">
        <w:rPr>
          <w:i/>
          <w:iCs/>
          <w:sz w:val="24"/>
          <w:szCs w:val="24"/>
        </w:rPr>
        <w:t xml:space="preserve"> </w:t>
      </w:r>
      <w:proofErr w:type="spellStart"/>
      <w:r w:rsidRPr="001F31FB">
        <w:rPr>
          <w:i/>
          <w:iCs/>
          <w:sz w:val="24"/>
          <w:szCs w:val="24"/>
        </w:rPr>
        <w:t>zoster</w:t>
      </w:r>
      <w:proofErr w:type="spellEnd"/>
      <w:r w:rsidRPr="001F31FB">
        <w:rPr>
          <w:sz w:val="24"/>
          <w:szCs w:val="24"/>
        </w:rPr>
        <w:t>-virus (VZV).</w:t>
      </w:r>
    </w:p>
    <w:p w14:paraId="550FFBEA" w14:textId="77777777" w:rsidR="0026765F" w:rsidRPr="001F31FB" w:rsidRDefault="0026765F" w:rsidP="001F31FB">
      <w:pPr>
        <w:ind w:left="851"/>
        <w:rPr>
          <w:sz w:val="24"/>
          <w:szCs w:val="24"/>
        </w:rPr>
      </w:pP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hæmmer den virale DNA</w:t>
      </w:r>
      <w:r w:rsidRPr="001F31FB">
        <w:rPr>
          <w:sz w:val="24"/>
          <w:szCs w:val="24"/>
        </w:rPr>
        <w:noBreakHyphen/>
        <w:t xml:space="preserve">syntese efter at være blevet </w:t>
      </w:r>
      <w:proofErr w:type="spellStart"/>
      <w:r w:rsidRPr="001F31FB">
        <w:rPr>
          <w:sz w:val="24"/>
          <w:szCs w:val="24"/>
        </w:rPr>
        <w:t>fosforyleret</w:t>
      </w:r>
      <w:proofErr w:type="spellEnd"/>
      <w:r w:rsidRPr="001F31FB">
        <w:rPr>
          <w:sz w:val="24"/>
          <w:szCs w:val="24"/>
        </w:rPr>
        <w:t xml:space="preserve"> til </w:t>
      </w:r>
      <w:proofErr w:type="spellStart"/>
      <w:r w:rsidRPr="001F31FB">
        <w:rPr>
          <w:sz w:val="24"/>
          <w:szCs w:val="24"/>
        </w:rPr>
        <w:t>aciclovirtrifosfat</w:t>
      </w:r>
      <w:proofErr w:type="spellEnd"/>
      <w:r w:rsidRPr="001F31FB">
        <w:rPr>
          <w:sz w:val="24"/>
          <w:szCs w:val="24"/>
        </w:rPr>
        <w:t xml:space="preserve">. Den første fase af </w:t>
      </w:r>
      <w:proofErr w:type="spellStart"/>
      <w:r w:rsidRPr="001F31FB">
        <w:rPr>
          <w:sz w:val="24"/>
          <w:szCs w:val="24"/>
        </w:rPr>
        <w:t>fosforyleringen</w:t>
      </w:r>
      <w:proofErr w:type="spellEnd"/>
      <w:r w:rsidRPr="001F31FB">
        <w:rPr>
          <w:sz w:val="24"/>
          <w:szCs w:val="24"/>
        </w:rPr>
        <w:t xml:space="preserve"> medieres udelukkende af et specifikt viralt enzym.</w:t>
      </w:r>
    </w:p>
    <w:p w14:paraId="61403558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lastRenderedPageBreak/>
        <w:t xml:space="preserve">For HSV- og VZV-vira er dette enzym en viral </w:t>
      </w:r>
      <w:proofErr w:type="spellStart"/>
      <w:r w:rsidRPr="001F31FB">
        <w:rPr>
          <w:sz w:val="24"/>
          <w:szCs w:val="24"/>
        </w:rPr>
        <w:t>thymidinkinase</w:t>
      </w:r>
      <w:proofErr w:type="spellEnd"/>
      <w:r w:rsidRPr="001F31FB">
        <w:rPr>
          <w:sz w:val="24"/>
          <w:szCs w:val="24"/>
        </w:rPr>
        <w:t>, som kun er til stede i celler, der er inficeret med virussen.</w:t>
      </w:r>
    </w:p>
    <w:p w14:paraId="774B5C0A" w14:textId="77777777" w:rsidR="0026765F" w:rsidRPr="001F31FB" w:rsidRDefault="0026765F" w:rsidP="001F31FB">
      <w:pPr>
        <w:ind w:left="851"/>
        <w:rPr>
          <w:sz w:val="24"/>
          <w:szCs w:val="24"/>
        </w:rPr>
      </w:pPr>
      <w:proofErr w:type="spellStart"/>
      <w:r w:rsidRPr="001F31FB">
        <w:rPr>
          <w:sz w:val="24"/>
          <w:szCs w:val="24"/>
        </w:rPr>
        <w:t>Fosforyleringen</w:t>
      </w:r>
      <w:proofErr w:type="spellEnd"/>
      <w:r w:rsidRPr="001F31FB">
        <w:rPr>
          <w:sz w:val="24"/>
          <w:szCs w:val="24"/>
        </w:rPr>
        <w:t xml:space="preserve">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-monofosfat til di- og trifosfat medieres af cellulære </w:t>
      </w:r>
      <w:proofErr w:type="spellStart"/>
      <w:r w:rsidRPr="001F31FB">
        <w:rPr>
          <w:sz w:val="24"/>
          <w:szCs w:val="24"/>
        </w:rPr>
        <w:t>kinaser</w:t>
      </w:r>
      <w:proofErr w:type="spellEnd"/>
      <w:r w:rsidRPr="001F31FB">
        <w:rPr>
          <w:sz w:val="24"/>
          <w:szCs w:val="24"/>
        </w:rPr>
        <w:t xml:space="preserve">.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-trifosfat er en selektiv </w:t>
      </w:r>
      <w:proofErr w:type="spellStart"/>
      <w:r w:rsidRPr="001F31FB">
        <w:rPr>
          <w:sz w:val="24"/>
          <w:szCs w:val="24"/>
        </w:rPr>
        <w:t>kompetitiv</w:t>
      </w:r>
      <w:proofErr w:type="spellEnd"/>
      <w:r w:rsidRPr="001F31FB">
        <w:rPr>
          <w:sz w:val="24"/>
          <w:szCs w:val="24"/>
        </w:rPr>
        <w:t xml:space="preserve"> hæmmer af viral DNA</w:t>
      </w:r>
      <w:r w:rsidRPr="001F31FB">
        <w:rPr>
          <w:sz w:val="24"/>
          <w:szCs w:val="24"/>
        </w:rPr>
        <w:noBreakHyphen/>
        <w:t xml:space="preserve">polymerase, og inkorporeringen af denne </w:t>
      </w:r>
      <w:proofErr w:type="spellStart"/>
      <w:r w:rsidRPr="001F31FB">
        <w:rPr>
          <w:sz w:val="24"/>
          <w:szCs w:val="24"/>
        </w:rPr>
        <w:t>nukleosidanalog</w:t>
      </w:r>
      <w:proofErr w:type="spellEnd"/>
      <w:r w:rsidRPr="001F31FB">
        <w:rPr>
          <w:sz w:val="24"/>
          <w:szCs w:val="24"/>
        </w:rPr>
        <w:t xml:space="preserve"> stopper forlængelsen af DNA</w:t>
      </w:r>
      <w:r w:rsidRPr="001F31FB">
        <w:rPr>
          <w:sz w:val="24"/>
          <w:szCs w:val="24"/>
        </w:rPr>
        <w:noBreakHyphen/>
        <w:t>kæden og afbryder dermed syntetiseringen af viralt DNA. Dermed blokeres viral replikation.</w:t>
      </w:r>
    </w:p>
    <w:p w14:paraId="2116DB21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Den dobbelte selektivitet bevirker, at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ikke forstyrrer sunde cellers metabolisme.</w:t>
      </w:r>
    </w:p>
    <w:p w14:paraId="04E13F42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Undersøgelsen af et stort antal kliniske </w:t>
      </w:r>
      <w:proofErr w:type="spellStart"/>
      <w:r w:rsidRPr="001F31FB">
        <w:rPr>
          <w:sz w:val="24"/>
          <w:szCs w:val="24"/>
        </w:rPr>
        <w:t>isolater</w:t>
      </w:r>
      <w:proofErr w:type="spellEnd"/>
      <w:r w:rsidRPr="001F31FB">
        <w:rPr>
          <w:sz w:val="24"/>
          <w:szCs w:val="24"/>
        </w:rPr>
        <w:t xml:space="preserve"> under helbredende eller forebyggende behandling med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har vist, at et fald i følsomheden over for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er yderst sjældent hos immunkompetente personer. Hos forsøgspersoner med nedsat immunforsvar (f.eks. hos patienter, der har fået foretaget organ- eller knoglemarvstransplantation, forsøgspersoner i behandling med kemoterapi for cancer, og forsøgspersoner, der er smittet med humant immundefektvirus (hiv)) er der undertiden observeret nedsat følsomhed.</w:t>
      </w:r>
    </w:p>
    <w:p w14:paraId="50447847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De sjældne tilfælde af resistens, der er observeret, skyldes generelt utilstrækkelig viral </w:t>
      </w:r>
      <w:proofErr w:type="spellStart"/>
      <w:r w:rsidRPr="001F31FB">
        <w:rPr>
          <w:sz w:val="24"/>
          <w:szCs w:val="24"/>
        </w:rPr>
        <w:t>thymidinkinase</w:t>
      </w:r>
      <w:proofErr w:type="spellEnd"/>
      <w:r w:rsidRPr="001F31FB">
        <w:rPr>
          <w:sz w:val="24"/>
          <w:szCs w:val="24"/>
        </w:rPr>
        <w:t xml:space="preserve"> og optræder ved lavere virulens. Der er observeret enkelte tilfælde af nedsat følsomhed over for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efter ændringer i enten </w:t>
      </w:r>
      <w:proofErr w:type="spellStart"/>
      <w:r w:rsidRPr="001F31FB">
        <w:rPr>
          <w:sz w:val="24"/>
          <w:szCs w:val="24"/>
        </w:rPr>
        <w:t>thymidinkinase</w:t>
      </w:r>
      <w:proofErr w:type="spellEnd"/>
      <w:r w:rsidRPr="001F31FB">
        <w:rPr>
          <w:sz w:val="24"/>
          <w:szCs w:val="24"/>
        </w:rPr>
        <w:t xml:space="preserve"> eller viral DNA-polymerase. Virulensen af disse vira synes uændret.</w:t>
      </w:r>
    </w:p>
    <w:p w14:paraId="6DC7298F" w14:textId="77777777" w:rsidR="0026765F" w:rsidRPr="001F31FB" w:rsidRDefault="0026765F" w:rsidP="001F31FB">
      <w:pPr>
        <w:ind w:left="851"/>
        <w:rPr>
          <w:sz w:val="24"/>
          <w:szCs w:val="24"/>
          <w:u w:val="single"/>
          <w:lang w:val="nl-NL"/>
        </w:rPr>
      </w:pPr>
    </w:p>
    <w:p w14:paraId="0C925720" w14:textId="77777777" w:rsidR="0026765F" w:rsidRPr="001F31FB" w:rsidRDefault="0026765F" w:rsidP="001F31FB">
      <w:pPr>
        <w:ind w:left="851"/>
        <w:rPr>
          <w:sz w:val="24"/>
          <w:szCs w:val="24"/>
          <w:lang w:bidi="en-US"/>
        </w:rPr>
      </w:pPr>
      <w:r w:rsidRPr="001F31FB">
        <w:rPr>
          <w:sz w:val="24"/>
          <w:szCs w:val="24"/>
          <w:u w:val="single"/>
        </w:rPr>
        <w:t>Kliniske studier</w:t>
      </w:r>
    </w:p>
    <w:p w14:paraId="652529FC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Der foreligger ingen oplysninger om virkningen af orale eller </w:t>
      </w:r>
      <w:proofErr w:type="spellStart"/>
      <w:r w:rsidRPr="001F31FB">
        <w:rPr>
          <w:sz w:val="24"/>
          <w:szCs w:val="24"/>
        </w:rPr>
        <w:t>injicerbare</w:t>
      </w:r>
      <w:proofErr w:type="spellEnd"/>
      <w:r w:rsidRPr="001F31FB">
        <w:rPr>
          <w:sz w:val="24"/>
          <w:szCs w:val="24"/>
        </w:rPr>
        <w:t xml:space="preserve"> (</w:t>
      </w:r>
      <w:proofErr w:type="spellStart"/>
      <w:r w:rsidRPr="001F31FB">
        <w:rPr>
          <w:sz w:val="24"/>
          <w:szCs w:val="24"/>
        </w:rPr>
        <w:t>i.v</w:t>
      </w:r>
      <w:proofErr w:type="spellEnd"/>
      <w:r w:rsidRPr="001F31FB">
        <w:rPr>
          <w:sz w:val="24"/>
          <w:szCs w:val="24"/>
        </w:rPr>
        <w:t xml:space="preserve">.) varianter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på fertiliteten hos kvinder.</w:t>
      </w:r>
    </w:p>
    <w:p w14:paraId="5DC88DB3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I et studie af 20 mandlige patienter med normal sædkvalitet viste oral administration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i doser på op til 1 g om dagen, over en periode på op til 6 måneder, ingen klinisk signifikant virkning på antallet af spermatozoer, deres mobilitet eller deres morfologi.</w:t>
      </w:r>
    </w:p>
    <w:p w14:paraId="325DEC88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847F90B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5.2</w:t>
      </w:r>
      <w:r w:rsidRPr="001F31FB">
        <w:rPr>
          <w:b/>
          <w:sz w:val="24"/>
          <w:szCs w:val="24"/>
        </w:rPr>
        <w:tab/>
      </w:r>
      <w:proofErr w:type="spellStart"/>
      <w:r w:rsidRPr="001F31FB">
        <w:rPr>
          <w:b/>
          <w:sz w:val="24"/>
          <w:szCs w:val="24"/>
        </w:rPr>
        <w:t>Farmakokinetiske</w:t>
      </w:r>
      <w:proofErr w:type="spellEnd"/>
      <w:r w:rsidRPr="001F31FB">
        <w:rPr>
          <w:b/>
          <w:sz w:val="24"/>
          <w:szCs w:val="24"/>
        </w:rPr>
        <w:t xml:space="preserve"> egenskaber</w:t>
      </w:r>
    </w:p>
    <w:p w14:paraId="42968909" w14:textId="77777777" w:rsidR="0056308E" w:rsidRDefault="0056308E" w:rsidP="001F31FB">
      <w:pPr>
        <w:ind w:left="851"/>
        <w:rPr>
          <w:sz w:val="24"/>
          <w:szCs w:val="24"/>
        </w:rPr>
      </w:pPr>
      <w:bookmarkStart w:id="15" w:name="_Toc142278934"/>
    </w:p>
    <w:p w14:paraId="7EE22F30" w14:textId="7A5FA6FF" w:rsidR="0026765F" w:rsidRPr="0056308E" w:rsidRDefault="0056308E" w:rsidP="001F31FB">
      <w:pPr>
        <w:ind w:left="851"/>
        <w:rPr>
          <w:sz w:val="24"/>
          <w:szCs w:val="24"/>
          <w:u w:val="single"/>
        </w:rPr>
      </w:pPr>
      <w:r w:rsidRPr="0056308E">
        <w:rPr>
          <w:sz w:val="24"/>
          <w:szCs w:val="24"/>
          <w:u w:val="single"/>
        </w:rPr>
        <w:t>A</w:t>
      </w:r>
      <w:r w:rsidR="0026765F" w:rsidRPr="0056308E">
        <w:rPr>
          <w:sz w:val="24"/>
          <w:szCs w:val="24"/>
          <w:u w:val="single"/>
        </w:rPr>
        <w:t>bsorption</w:t>
      </w:r>
    </w:p>
    <w:p w14:paraId="463943E4" w14:textId="77777777" w:rsidR="0026765F" w:rsidRPr="001F31FB" w:rsidRDefault="0026765F" w:rsidP="001F31FB">
      <w:pPr>
        <w:ind w:left="851"/>
        <w:rPr>
          <w:sz w:val="24"/>
          <w:szCs w:val="24"/>
        </w:rPr>
      </w:pP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optages kun delvist i tarmen.</w:t>
      </w:r>
    </w:p>
    <w:p w14:paraId="1DEE6629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Efter doser på 200 mg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administreret hver fjerde time til voksne, når gennemsnitlig maksimal plasmakoncentration ved </w:t>
      </w:r>
      <w:proofErr w:type="spellStart"/>
      <w:r w:rsidRPr="001F31FB">
        <w:rPr>
          <w:i/>
          <w:iCs/>
          <w:sz w:val="24"/>
          <w:szCs w:val="24"/>
        </w:rPr>
        <w:t>steady</w:t>
      </w:r>
      <w:r w:rsidRPr="001F31FB">
        <w:rPr>
          <w:i/>
          <w:iCs/>
          <w:sz w:val="24"/>
          <w:szCs w:val="24"/>
        </w:rPr>
        <w:noBreakHyphen/>
        <w:t>state</w:t>
      </w:r>
      <w:proofErr w:type="spellEnd"/>
      <w:r w:rsidRPr="001F31FB">
        <w:rPr>
          <w:sz w:val="24"/>
          <w:szCs w:val="24"/>
        </w:rPr>
        <w:t xml:space="preserve"> (</w:t>
      </w:r>
      <w:proofErr w:type="spellStart"/>
      <w:r w:rsidRPr="001F31FB">
        <w:rPr>
          <w:sz w:val="24"/>
          <w:szCs w:val="24"/>
        </w:rPr>
        <w:t>Css</w:t>
      </w:r>
      <w:r w:rsidRPr="001F31FB">
        <w:rPr>
          <w:sz w:val="24"/>
          <w:szCs w:val="24"/>
          <w:vertAlign w:val="subscript"/>
        </w:rPr>
        <w:t>max</w:t>
      </w:r>
      <w:proofErr w:type="spellEnd"/>
      <w:r w:rsidRPr="001F31FB">
        <w:rPr>
          <w:sz w:val="24"/>
          <w:szCs w:val="24"/>
        </w:rPr>
        <w:t>) 0,7 mikrogram/ml (3,1 mikromolar).</w:t>
      </w:r>
    </w:p>
    <w:p w14:paraId="5DD1EEB0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Efter doser på 400 mg og 800 mg administreret hver fjerde time til voksne, blev der observeret en stigning i </w:t>
      </w:r>
      <w:proofErr w:type="spellStart"/>
      <w:r w:rsidRPr="001F31FB">
        <w:rPr>
          <w:sz w:val="24"/>
          <w:szCs w:val="24"/>
        </w:rPr>
        <w:t>Css</w:t>
      </w:r>
      <w:r w:rsidRPr="001F31FB">
        <w:rPr>
          <w:sz w:val="24"/>
          <w:szCs w:val="24"/>
          <w:vertAlign w:val="subscript"/>
        </w:rPr>
        <w:t>max</w:t>
      </w:r>
      <w:proofErr w:type="spellEnd"/>
      <w:r w:rsidRPr="001F31FB">
        <w:rPr>
          <w:sz w:val="24"/>
          <w:szCs w:val="24"/>
        </w:rPr>
        <w:t xml:space="preserve">, der var proportionelt lavere end dosen, med værdier på 1,2 og 1,8 mikrogram/ml (5,3 og 8 mikromolar). </w:t>
      </w:r>
    </w:p>
    <w:bookmarkEnd w:id="15"/>
    <w:p w14:paraId="2CE89E6F" w14:textId="77777777" w:rsidR="0056308E" w:rsidRDefault="0056308E" w:rsidP="001F31FB">
      <w:pPr>
        <w:ind w:left="851"/>
        <w:rPr>
          <w:sz w:val="24"/>
          <w:szCs w:val="24"/>
        </w:rPr>
      </w:pPr>
    </w:p>
    <w:p w14:paraId="59BEADD4" w14:textId="2413F69D" w:rsidR="0026765F" w:rsidRPr="0056308E" w:rsidRDefault="0026765F" w:rsidP="001F31FB">
      <w:pPr>
        <w:ind w:left="851"/>
        <w:rPr>
          <w:rFonts w:eastAsia="Courier New"/>
          <w:sz w:val="24"/>
          <w:szCs w:val="24"/>
          <w:u w:val="single"/>
        </w:rPr>
      </w:pPr>
      <w:r w:rsidRPr="0056308E">
        <w:rPr>
          <w:sz w:val="24"/>
          <w:szCs w:val="24"/>
          <w:u w:val="single"/>
        </w:rPr>
        <w:t>Fordeling</w:t>
      </w:r>
    </w:p>
    <w:p w14:paraId="031F7A55" w14:textId="7312C10B" w:rsidR="0026765F" w:rsidRPr="001F31FB" w:rsidRDefault="0026765F" w:rsidP="001F31FB">
      <w:pPr>
        <w:ind w:left="851"/>
        <w:rPr>
          <w:sz w:val="24"/>
          <w:szCs w:val="24"/>
        </w:rPr>
      </w:pP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fordeles til væv, herunder hjerne, nyrer, lunger, lever, muskler, vaginalsekreter og </w:t>
      </w:r>
      <w:proofErr w:type="spellStart"/>
      <w:r w:rsidRPr="001F31FB">
        <w:rPr>
          <w:sz w:val="24"/>
          <w:szCs w:val="24"/>
        </w:rPr>
        <w:t>herpetisk</w:t>
      </w:r>
      <w:proofErr w:type="spellEnd"/>
      <w:r w:rsidRPr="001F31FB">
        <w:rPr>
          <w:sz w:val="24"/>
          <w:szCs w:val="24"/>
        </w:rPr>
        <w:t xml:space="preserve"> </w:t>
      </w:r>
      <w:proofErr w:type="spellStart"/>
      <w:r w:rsidRPr="001F31FB">
        <w:rPr>
          <w:sz w:val="24"/>
          <w:szCs w:val="24"/>
        </w:rPr>
        <w:t>vesikelvæske</w:t>
      </w:r>
      <w:proofErr w:type="spellEnd"/>
      <w:r w:rsidRPr="001F31FB">
        <w:rPr>
          <w:sz w:val="24"/>
          <w:szCs w:val="24"/>
        </w:rPr>
        <w:t>.</w:t>
      </w:r>
    </w:p>
    <w:p w14:paraId="69A4B9F6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Det gennemsnitlige fordelingsvolumen på 26 l indikerer, at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fordeles i hele kroppens væskevolumen. De tilsyneladende værdier efter oral administration (</w:t>
      </w:r>
      <w:proofErr w:type="spellStart"/>
      <w:r w:rsidRPr="001F31FB">
        <w:rPr>
          <w:sz w:val="24"/>
          <w:szCs w:val="24"/>
        </w:rPr>
        <w:t>Vd</w:t>
      </w:r>
      <w:proofErr w:type="spellEnd"/>
      <w:r w:rsidRPr="001F31FB">
        <w:rPr>
          <w:sz w:val="24"/>
          <w:szCs w:val="24"/>
        </w:rPr>
        <w:t xml:space="preserve">/F) varierer fra 2,3 til 17,8 l/kg. </w:t>
      </w:r>
    </w:p>
    <w:p w14:paraId="6F7EFD37" w14:textId="77777777" w:rsidR="0026765F" w:rsidRPr="001F31FB" w:rsidRDefault="0026765F" w:rsidP="001F31FB">
      <w:pPr>
        <w:ind w:left="851"/>
        <w:rPr>
          <w:sz w:val="24"/>
          <w:szCs w:val="24"/>
        </w:rPr>
      </w:pP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bindes kun i ringe grad til plasmaproteiner (9</w:t>
      </w:r>
      <w:r w:rsidRPr="001F31FB">
        <w:rPr>
          <w:sz w:val="24"/>
          <w:szCs w:val="24"/>
        </w:rPr>
        <w:noBreakHyphen/>
        <w:t xml:space="preserve">33 %), og der forventes ikke lægemiddelinteraktioner, der involverer fortrængning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fra dets bindingssteder. </w:t>
      </w:r>
    </w:p>
    <w:p w14:paraId="75C51892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Koncentrationen i cerebrospinalvæsken er ca. 50 % af </w:t>
      </w:r>
      <w:proofErr w:type="spellStart"/>
      <w:r w:rsidRPr="001F31FB">
        <w:rPr>
          <w:sz w:val="24"/>
          <w:szCs w:val="24"/>
        </w:rPr>
        <w:t>steady</w:t>
      </w:r>
      <w:proofErr w:type="spellEnd"/>
      <w:r w:rsidRPr="001F31FB">
        <w:rPr>
          <w:sz w:val="24"/>
          <w:szCs w:val="24"/>
        </w:rPr>
        <w:noBreakHyphen/>
      </w:r>
      <w:proofErr w:type="spellStart"/>
      <w:r w:rsidRPr="001F31FB">
        <w:rPr>
          <w:sz w:val="24"/>
          <w:szCs w:val="24"/>
        </w:rPr>
        <w:t>state</w:t>
      </w:r>
      <w:proofErr w:type="spellEnd"/>
      <w:r w:rsidRPr="001F31FB">
        <w:rPr>
          <w:sz w:val="24"/>
          <w:szCs w:val="24"/>
        </w:rPr>
        <w:t>-plasmakoncentration.</w:t>
      </w:r>
    </w:p>
    <w:p w14:paraId="254C80F7" w14:textId="77777777" w:rsidR="0026765F" w:rsidRPr="001F31FB" w:rsidRDefault="0026765F" w:rsidP="001F31FB">
      <w:pPr>
        <w:ind w:left="851"/>
        <w:rPr>
          <w:sz w:val="24"/>
          <w:szCs w:val="24"/>
        </w:rPr>
      </w:pPr>
    </w:p>
    <w:p w14:paraId="02FC5B2D" w14:textId="77777777" w:rsidR="0026765F" w:rsidRPr="0056308E" w:rsidRDefault="0026765F" w:rsidP="001F31FB">
      <w:pPr>
        <w:ind w:left="851"/>
        <w:rPr>
          <w:bCs/>
          <w:sz w:val="24"/>
          <w:szCs w:val="24"/>
          <w:u w:val="single"/>
          <w:lang w:bidi="en-US"/>
        </w:rPr>
      </w:pPr>
      <w:r w:rsidRPr="0056308E">
        <w:rPr>
          <w:sz w:val="24"/>
          <w:szCs w:val="24"/>
          <w:u w:val="single"/>
        </w:rPr>
        <w:t>Biotransformation</w:t>
      </w:r>
    </w:p>
    <w:p w14:paraId="26427FDA" w14:textId="4A644E2D" w:rsidR="0026765F" w:rsidRPr="001F31FB" w:rsidRDefault="0026765F" w:rsidP="001F31FB">
      <w:pPr>
        <w:ind w:left="851"/>
        <w:rPr>
          <w:sz w:val="24"/>
          <w:szCs w:val="24"/>
        </w:rPr>
      </w:pP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udskilles hovedsageligt </w:t>
      </w:r>
      <w:proofErr w:type="spellStart"/>
      <w:r w:rsidRPr="001F31FB">
        <w:rPr>
          <w:sz w:val="24"/>
          <w:szCs w:val="24"/>
        </w:rPr>
        <w:t>uomdannet</w:t>
      </w:r>
      <w:proofErr w:type="spellEnd"/>
      <w:r w:rsidRPr="001F31FB">
        <w:rPr>
          <w:sz w:val="24"/>
          <w:szCs w:val="24"/>
        </w:rPr>
        <w:t xml:space="preserve"> gennem nyrerne. Hovedmetabolitten i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>, 9</w:t>
      </w:r>
      <w:r w:rsidRPr="001F31FB">
        <w:rPr>
          <w:sz w:val="24"/>
          <w:szCs w:val="24"/>
        </w:rPr>
        <w:noBreakHyphen/>
        <w:t>(</w:t>
      </w:r>
      <w:proofErr w:type="spellStart"/>
      <w:r w:rsidRPr="001F31FB">
        <w:rPr>
          <w:sz w:val="24"/>
          <w:szCs w:val="24"/>
        </w:rPr>
        <w:t>carboxy</w:t>
      </w:r>
      <w:r w:rsidRPr="001F31FB">
        <w:rPr>
          <w:sz w:val="24"/>
          <w:szCs w:val="24"/>
        </w:rPr>
        <w:noBreakHyphen/>
      </w:r>
      <w:proofErr w:type="gramStart"/>
      <w:r w:rsidRPr="001F31FB">
        <w:rPr>
          <w:sz w:val="24"/>
          <w:szCs w:val="24"/>
        </w:rPr>
        <w:t>methoxymethyl</w:t>
      </w:r>
      <w:proofErr w:type="spellEnd"/>
      <w:r w:rsidRPr="001F31FB">
        <w:rPr>
          <w:sz w:val="24"/>
          <w:szCs w:val="24"/>
        </w:rPr>
        <w:t>)guanin</w:t>
      </w:r>
      <w:proofErr w:type="gramEnd"/>
      <w:r w:rsidRPr="001F31FB">
        <w:rPr>
          <w:sz w:val="24"/>
          <w:szCs w:val="24"/>
        </w:rPr>
        <w:t>, udgør ca. 10</w:t>
      </w:r>
      <w:r w:rsidRPr="001F31FB">
        <w:rPr>
          <w:sz w:val="24"/>
          <w:szCs w:val="24"/>
        </w:rPr>
        <w:noBreakHyphen/>
        <w:t xml:space="preserve">15 % af den dosis, der udskilles i urinen. </w:t>
      </w:r>
    </w:p>
    <w:p w14:paraId="25EAA93E" w14:textId="77777777" w:rsidR="0056308E" w:rsidRDefault="0056308E" w:rsidP="001F31FB">
      <w:pPr>
        <w:ind w:left="851"/>
        <w:rPr>
          <w:sz w:val="24"/>
          <w:szCs w:val="24"/>
        </w:rPr>
      </w:pPr>
    </w:p>
    <w:p w14:paraId="602F9202" w14:textId="0449FFE5" w:rsidR="0026765F" w:rsidRPr="0056308E" w:rsidRDefault="0026765F" w:rsidP="001F31FB">
      <w:pPr>
        <w:ind w:left="851"/>
        <w:rPr>
          <w:rFonts w:eastAsia="Courier New"/>
          <w:sz w:val="24"/>
          <w:szCs w:val="24"/>
          <w:u w:val="single"/>
        </w:rPr>
      </w:pPr>
      <w:r w:rsidRPr="0056308E">
        <w:rPr>
          <w:sz w:val="24"/>
          <w:szCs w:val="24"/>
          <w:u w:val="single"/>
        </w:rPr>
        <w:lastRenderedPageBreak/>
        <w:t>Elimination</w:t>
      </w:r>
    </w:p>
    <w:p w14:paraId="1C012FF8" w14:textId="366B7A14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Den gennemsnitlige systemiske eksponering (ASC</w:t>
      </w:r>
      <w:r w:rsidRPr="001F31FB">
        <w:rPr>
          <w:sz w:val="24"/>
          <w:szCs w:val="24"/>
          <w:vertAlign w:val="subscript"/>
        </w:rPr>
        <w:t>0-∞)</w:t>
      </w:r>
      <w:r w:rsidRPr="001F31FB">
        <w:rPr>
          <w:sz w:val="24"/>
          <w:szCs w:val="24"/>
        </w:rPr>
        <w:t xml:space="preserve">) for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varierer mellem 1,9 og 2,2 mikrogram*t/ml efter en dosis på 200 mg. Hos voksne er den terminale plasmahalveringstid for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efter </w:t>
      </w:r>
      <w:proofErr w:type="spellStart"/>
      <w:r w:rsidRPr="001F31FB">
        <w:rPr>
          <w:sz w:val="24"/>
          <w:szCs w:val="24"/>
        </w:rPr>
        <w:t>i.v</w:t>
      </w:r>
      <w:proofErr w:type="spellEnd"/>
      <w:r w:rsidRPr="001F31FB">
        <w:rPr>
          <w:sz w:val="24"/>
          <w:szCs w:val="24"/>
        </w:rPr>
        <w:t xml:space="preserve">. administration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, cirka 2,9 timer. </w:t>
      </w:r>
      <w:proofErr w:type="spellStart"/>
      <w:r w:rsidRPr="001F31FB">
        <w:rPr>
          <w:sz w:val="24"/>
          <w:szCs w:val="24"/>
        </w:rPr>
        <w:t>Renal</w:t>
      </w:r>
      <w:proofErr w:type="spellEnd"/>
      <w:r w:rsidRPr="001F31FB">
        <w:rPr>
          <w:sz w:val="24"/>
          <w:szCs w:val="24"/>
        </w:rPr>
        <w:t xml:space="preserve"> </w:t>
      </w:r>
      <w:proofErr w:type="spellStart"/>
      <w:r w:rsidRPr="001F31FB">
        <w:rPr>
          <w:sz w:val="24"/>
          <w:szCs w:val="24"/>
        </w:rPr>
        <w:t>clearance</w:t>
      </w:r>
      <w:proofErr w:type="spellEnd"/>
      <w:r w:rsidRPr="001F31FB">
        <w:rPr>
          <w:sz w:val="24"/>
          <w:szCs w:val="24"/>
        </w:rPr>
        <w:t xml:space="preserve">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(</w:t>
      </w:r>
      <w:proofErr w:type="spellStart"/>
      <w:r w:rsidRPr="001F31FB">
        <w:rPr>
          <w:sz w:val="24"/>
          <w:szCs w:val="24"/>
        </w:rPr>
        <w:t>CLr</w:t>
      </w:r>
      <w:proofErr w:type="spellEnd"/>
      <w:r w:rsidRPr="001F31FB">
        <w:rPr>
          <w:sz w:val="24"/>
          <w:szCs w:val="24"/>
        </w:rPr>
        <w:t xml:space="preserve">=14,3 l/t) er væsentligt højere end </w:t>
      </w:r>
      <w:proofErr w:type="spellStart"/>
      <w:r w:rsidRPr="001F31FB">
        <w:rPr>
          <w:sz w:val="24"/>
          <w:szCs w:val="24"/>
        </w:rPr>
        <w:t>kreatinin-clearance</w:t>
      </w:r>
      <w:proofErr w:type="spellEnd"/>
      <w:r w:rsidRPr="001F31FB">
        <w:rPr>
          <w:sz w:val="24"/>
          <w:szCs w:val="24"/>
        </w:rPr>
        <w:t xml:space="preserve">, hvilket indikerer, at en </w:t>
      </w:r>
      <w:proofErr w:type="spellStart"/>
      <w:r w:rsidRPr="001F31FB">
        <w:rPr>
          <w:sz w:val="24"/>
          <w:szCs w:val="24"/>
        </w:rPr>
        <w:t>tubulær</w:t>
      </w:r>
      <w:proofErr w:type="spellEnd"/>
      <w:r w:rsidRPr="001F31FB">
        <w:rPr>
          <w:sz w:val="24"/>
          <w:szCs w:val="24"/>
        </w:rPr>
        <w:t xml:space="preserve"> sekretion, sammen med </w:t>
      </w:r>
      <w:proofErr w:type="spellStart"/>
      <w:r w:rsidRPr="001F31FB">
        <w:rPr>
          <w:sz w:val="24"/>
          <w:szCs w:val="24"/>
        </w:rPr>
        <w:t>glomerulær</w:t>
      </w:r>
      <w:proofErr w:type="spellEnd"/>
      <w:r w:rsidRPr="001F31FB">
        <w:rPr>
          <w:sz w:val="24"/>
          <w:szCs w:val="24"/>
        </w:rPr>
        <w:t xml:space="preserve"> filtration, bidrager til </w:t>
      </w:r>
      <w:proofErr w:type="spellStart"/>
      <w:r w:rsidRPr="001F31FB">
        <w:rPr>
          <w:sz w:val="24"/>
          <w:szCs w:val="24"/>
        </w:rPr>
        <w:t>renal</w:t>
      </w:r>
      <w:proofErr w:type="spellEnd"/>
      <w:r w:rsidRPr="001F31FB">
        <w:rPr>
          <w:sz w:val="24"/>
          <w:szCs w:val="24"/>
        </w:rPr>
        <w:t xml:space="preserve"> elimination af lægemidlet. Halveringstiden og total </w:t>
      </w:r>
      <w:proofErr w:type="spellStart"/>
      <w:r w:rsidRPr="001F31FB">
        <w:rPr>
          <w:sz w:val="24"/>
          <w:szCs w:val="24"/>
        </w:rPr>
        <w:t>clearance</w:t>
      </w:r>
      <w:proofErr w:type="spellEnd"/>
      <w:r w:rsidRPr="001F31FB">
        <w:rPr>
          <w:sz w:val="24"/>
          <w:szCs w:val="24"/>
        </w:rPr>
        <w:t xml:space="preserve">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afhænger af nyrefunktionen. Det anbefales derfor at tilpasse doseringen hos patienter med nedsat nyrefunktion. Hos nyfødte (0</w:t>
      </w:r>
      <w:r w:rsidRPr="001F31FB">
        <w:rPr>
          <w:sz w:val="24"/>
          <w:szCs w:val="24"/>
        </w:rPr>
        <w:noBreakHyphen/>
        <w:t>3 måneder), der blev behandlet med doser på 10 mg/kg som infusion over en time hver 8. time, var den terminale plasmahalveringstid 3,8 timer.</w:t>
      </w:r>
    </w:p>
    <w:p w14:paraId="7499FD61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  <w:shd w:val="clear" w:color="auto" w:fill="FFFFFF"/>
        </w:rPr>
        <w:t xml:space="preserve">Hos ældre patienter falder den samlede </w:t>
      </w:r>
      <w:proofErr w:type="spellStart"/>
      <w:r w:rsidRPr="001F31FB">
        <w:rPr>
          <w:sz w:val="24"/>
          <w:szCs w:val="24"/>
          <w:shd w:val="clear" w:color="auto" w:fill="FFFFFF"/>
        </w:rPr>
        <w:t>clearance</w:t>
      </w:r>
      <w:proofErr w:type="spellEnd"/>
      <w:r w:rsidRPr="001F31FB">
        <w:rPr>
          <w:sz w:val="24"/>
          <w:szCs w:val="24"/>
          <w:shd w:val="clear" w:color="auto" w:fill="FFFFFF"/>
        </w:rPr>
        <w:t xml:space="preserve"> i kroppen med stigende alder og er forbundet med nedsat </w:t>
      </w:r>
      <w:proofErr w:type="spellStart"/>
      <w:r w:rsidRPr="001F31FB">
        <w:rPr>
          <w:sz w:val="24"/>
          <w:szCs w:val="24"/>
          <w:shd w:val="clear" w:color="auto" w:fill="FFFFFF"/>
        </w:rPr>
        <w:t>kreatinin-clearance</w:t>
      </w:r>
      <w:proofErr w:type="spellEnd"/>
      <w:r w:rsidRPr="001F31FB">
        <w:rPr>
          <w:sz w:val="24"/>
          <w:szCs w:val="24"/>
          <w:shd w:val="clear" w:color="auto" w:fill="FFFFFF"/>
        </w:rPr>
        <w:t>, selv om der kun ses små ændringer i den terminale plasmahalveringstid.</w:t>
      </w:r>
    </w:p>
    <w:p w14:paraId="529A6C98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  <w:shd w:val="clear" w:color="auto" w:fill="FFFFFF"/>
        </w:rPr>
        <w:t xml:space="preserve">Hos patienter med kronisk nyresvigt var den gennemsnitlige terminale halveringstid 19,5 timer. Den gennemsnitlige halveringstid for </w:t>
      </w:r>
      <w:proofErr w:type="spellStart"/>
      <w:r w:rsidRPr="001F31FB">
        <w:rPr>
          <w:sz w:val="24"/>
          <w:szCs w:val="24"/>
          <w:shd w:val="clear" w:color="auto" w:fill="FFFFFF"/>
        </w:rPr>
        <w:t>aciclovir</w:t>
      </w:r>
      <w:proofErr w:type="spellEnd"/>
      <w:r w:rsidRPr="001F31FB">
        <w:rPr>
          <w:sz w:val="24"/>
          <w:szCs w:val="24"/>
          <w:shd w:val="clear" w:color="auto" w:fill="FFFFFF"/>
        </w:rPr>
        <w:t xml:space="preserve"> under hæmodialyse var 5,7 timer. </w:t>
      </w:r>
      <w:proofErr w:type="spellStart"/>
      <w:r w:rsidRPr="001F31FB">
        <w:rPr>
          <w:sz w:val="24"/>
          <w:szCs w:val="24"/>
          <w:shd w:val="clear" w:color="auto" w:fill="FFFFFF"/>
        </w:rPr>
        <w:t>Aciclovirs</w:t>
      </w:r>
      <w:proofErr w:type="spellEnd"/>
      <w:r w:rsidRPr="001F31FB">
        <w:rPr>
          <w:sz w:val="24"/>
          <w:szCs w:val="24"/>
          <w:shd w:val="clear" w:color="auto" w:fill="FFFFFF"/>
        </w:rPr>
        <w:t xml:space="preserve"> plasmakoncentration faldt ca. 60 % under dialyse.</w:t>
      </w:r>
    </w:p>
    <w:p w14:paraId="517A1DB7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4D2CCB2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5.3</w:t>
      </w:r>
      <w:r w:rsidRPr="001F31FB">
        <w:rPr>
          <w:b/>
          <w:sz w:val="24"/>
          <w:szCs w:val="24"/>
        </w:rPr>
        <w:tab/>
      </w:r>
      <w:r w:rsidR="00BD7931" w:rsidRPr="001F31FB">
        <w:rPr>
          <w:b/>
          <w:sz w:val="24"/>
          <w:szCs w:val="24"/>
        </w:rPr>
        <w:t>Non-</w:t>
      </w:r>
      <w:r w:rsidRPr="001F31FB">
        <w:rPr>
          <w:b/>
          <w:sz w:val="24"/>
          <w:szCs w:val="24"/>
        </w:rPr>
        <w:t>kliniske sikkerhedsdata</w:t>
      </w:r>
    </w:p>
    <w:p w14:paraId="5C6EA90D" w14:textId="77777777" w:rsidR="0056308E" w:rsidRDefault="0056308E" w:rsidP="001F31FB">
      <w:pPr>
        <w:ind w:left="851"/>
        <w:rPr>
          <w:sz w:val="24"/>
          <w:szCs w:val="24"/>
        </w:rPr>
      </w:pPr>
    </w:p>
    <w:p w14:paraId="12CE9684" w14:textId="61F3AE32" w:rsidR="0026765F" w:rsidRPr="0056308E" w:rsidRDefault="0026765F" w:rsidP="001F31FB">
      <w:pPr>
        <w:ind w:left="851"/>
        <w:rPr>
          <w:sz w:val="24"/>
          <w:szCs w:val="24"/>
          <w:u w:val="single"/>
        </w:rPr>
      </w:pPr>
      <w:proofErr w:type="spellStart"/>
      <w:r w:rsidRPr="0056308E">
        <w:rPr>
          <w:sz w:val="24"/>
          <w:szCs w:val="24"/>
          <w:u w:val="single"/>
        </w:rPr>
        <w:t>Mutagenicitet</w:t>
      </w:r>
      <w:proofErr w:type="spellEnd"/>
    </w:p>
    <w:p w14:paraId="1A7111EF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Resultaterne fra en lang række </w:t>
      </w:r>
      <w:proofErr w:type="spellStart"/>
      <w:r w:rsidRPr="001F31FB">
        <w:rPr>
          <w:sz w:val="24"/>
          <w:szCs w:val="24"/>
        </w:rPr>
        <w:t>mutagenicitetstests</w:t>
      </w:r>
      <w:proofErr w:type="spellEnd"/>
      <w:r w:rsidRPr="001F31FB">
        <w:rPr>
          <w:sz w:val="24"/>
          <w:szCs w:val="24"/>
        </w:rPr>
        <w:t xml:space="preserve"> </w:t>
      </w:r>
      <w:r w:rsidRPr="001F31FB">
        <w:rPr>
          <w:i/>
          <w:iCs/>
          <w:sz w:val="24"/>
          <w:szCs w:val="24"/>
        </w:rPr>
        <w:t>in </w:t>
      </w:r>
      <w:proofErr w:type="spellStart"/>
      <w:r w:rsidRPr="001F31FB">
        <w:rPr>
          <w:i/>
          <w:iCs/>
          <w:sz w:val="24"/>
          <w:szCs w:val="24"/>
        </w:rPr>
        <w:t>vitro</w:t>
      </w:r>
      <w:proofErr w:type="spellEnd"/>
      <w:r w:rsidRPr="001F31FB">
        <w:rPr>
          <w:sz w:val="24"/>
          <w:szCs w:val="24"/>
        </w:rPr>
        <w:t xml:space="preserve"> og </w:t>
      </w:r>
      <w:r w:rsidRPr="001F31FB">
        <w:rPr>
          <w:i/>
          <w:iCs/>
          <w:sz w:val="24"/>
          <w:szCs w:val="24"/>
        </w:rPr>
        <w:t>in </w:t>
      </w:r>
      <w:proofErr w:type="spellStart"/>
      <w:r w:rsidRPr="001F31FB">
        <w:rPr>
          <w:i/>
          <w:iCs/>
          <w:sz w:val="24"/>
          <w:szCs w:val="24"/>
        </w:rPr>
        <w:t>vivo</w:t>
      </w:r>
      <w:proofErr w:type="spellEnd"/>
      <w:r w:rsidRPr="001F31FB">
        <w:rPr>
          <w:sz w:val="24"/>
          <w:szCs w:val="24"/>
        </w:rPr>
        <w:t xml:space="preserve"> viser en meget lav sandsynlighed for, at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udgør en genetisk risiko for mennesker.</w:t>
      </w:r>
    </w:p>
    <w:p w14:paraId="00831B31" w14:textId="77777777" w:rsidR="0056308E" w:rsidRDefault="0056308E" w:rsidP="001F31FB">
      <w:pPr>
        <w:ind w:left="851"/>
        <w:rPr>
          <w:sz w:val="24"/>
          <w:szCs w:val="24"/>
        </w:rPr>
      </w:pPr>
    </w:p>
    <w:p w14:paraId="7EC9B857" w14:textId="1C583F5A" w:rsidR="0026765F" w:rsidRPr="0056308E" w:rsidRDefault="0026765F" w:rsidP="001F31FB">
      <w:pPr>
        <w:ind w:left="851"/>
        <w:rPr>
          <w:sz w:val="24"/>
          <w:szCs w:val="24"/>
          <w:u w:val="single"/>
        </w:rPr>
      </w:pPr>
      <w:proofErr w:type="spellStart"/>
      <w:r w:rsidRPr="0056308E">
        <w:rPr>
          <w:sz w:val="24"/>
          <w:szCs w:val="24"/>
          <w:u w:val="single"/>
        </w:rPr>
        <w:t>Karcinogenicitet</w:t>
      </w:r>
      <w:proofErr w:type="spellEnd"/>
    </w:p>
    <w:p w14:paraId="1BB1DC7E" w14:textId="77777777" w:rsidR="0026765F" w:rsidRPr="001F31FB" w:rsidRDefault="0026765F" w:rsidP="001F31FB">
      <w:pPr>
        <w:ind w:left="851"/>
        <w:rPr>
          <w:sz w:val="24"/>
          <w:szCs w:val="24"/>
        </w:rPr>
      </w:pP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viste ikke tegn på </w:t>
      </w:r>
      <w:proofErr w:type="spellStart"/>
      <w:r w:rsidRPr="001F31FB">
        <w:rPr>
          <w:sz w:val="24"/>
          <w:szCs w:val="24"/>
        </w:rPr>
        <w:t>karcinogent</w:t>
      </w:r>
      <w:proofErr w:type="spellEnd"/>
      <w:r w:rsidRPr="001F31FB">
        <w:rPr>
          <w:sz w:val="24"/>
          <w:szCs w:val="24"/>
        </w:rPr>
        <w:t xml:space="preserve"> potentiale i langtidsstudier med rotter og mus. </w:t>
      </w:r>
    </w:p>
    <w:p w14:paraId="11647D0E" w14:textId="77777777" w:rsidR="0026765F" w:rsidRPr="001F31FB" w:rsidRDefault="0026765F" w:rsidP="001F31FB">
      <w:pPr>
        <w:ind w:left="851"/>
        <w:rPr>
          <w:sz w:val="24"/>
          <w:szCs w:val="24"/>
        </w:rPr>
      </w:pPr>
    </w:p>
    <w:p w14:paraId="571E4D2A" w14:textId="77777777" w:rsidR="0026765F" w:rsidRPr="0056308E" w:rsidRDefault="0026765F" w:rsidP="001F31FB">
      <w:pPr>
        <w:ind w:left="851"/>
        <w:rPr>
          <w:sz w:val="24"/>
          <w:szCs w:val="24"/>
          <w:u w:val="single"/>
        </w:rPr>
      </w:pPr>
      <w:proofErr w:type="spellStart"/>
      <w:r w:rsidRPr="0056308E">
        <w:rPr>
          <w:sz w:val="24"/>
          <w:szCs w:val="24"/>
          <w:u w:val="single"/>
        </w:rPr>
        <w:t>Teratogenicitet</w:t>
      </w:r>
      <w:proofErr w:type="spellEnd"/>
    </w:p>
    <w:p w14:paraId="40831E3F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Systemisk administration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i internationalt anerkendte standardtests indikerer ingen embryotoksiske eller </w:t>
      </w:r>
      <w:proofErr w:type="spellStart"/>
      <w:r w:rsidRPr="001F31FB">
        <w:rPr>
          <w:sz w:val="24"/>
          <w:szCs w:val="24"/>
        </w:rPr>
        <w:t>teratogene</w:t>
      </w:r>
      <w:proofErr w:type="spellEnd"/>
      <w:r w:rsidRPr="001F31FB">
        <w:rPr>
          <w:sz w:val="24"/>
          <w:szCs w:val="24"/>
        </w:rPr>
        <w:t xml:space="preserve"> virkninger hos kaniner, rotter eller mus.</w:t>
      </w:r>
    </w:p>
    <w:p w14:paraId="2A7F7A51" w14:textId="77777777" w:rsidR="0056308E" w:rsidRDefault="0056308E" w:rsidP="001F31FB">
      <w:pPr>
        <w:ind w:left="851"/>
        <w:rPr>
          <w:sz w:val="24"/>
          <w:szCs w:val="24"/>
        </w:rPr>
      </w:pPr>
    </w:p>
    <w:p w14:paraId="012C3680" w14:textId="7DE08C9E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I en ikke-standard test med rotter sås </w:t>
      </w:r>
      <w:proofErr w:type="spellStart"/>
      <w:r w:rsidRPr="001F31FB">
        <w:rPr>
          <w:sz w:val="24"/>
          <w:szCs w:val="24"/>
        </w:rPr>
        <w:t>føtale</w:t>
      </w:r>
      <w:proofErr w:type="spellEnd"/>
      <w:r w:rsidRPr="001F31FB">
        <w:rPr>
          <w:sz w:val="24"/>
          <w:szCs w:val="24"/>
        </w:rPr>
        <w:t xml:space="preserve"> </w:t>
      </w:r>
      <w:proofErr w:type="spellStart"/>
      <w:r w:rsidRPr="001F31FB">
        <w:rPr>
          <w:sz w:val="24"/>
          <w:szCs w:val="24"/>
        </w:rPr>
        <w:t>abnormaliteter</w:t>
      </w:r>
      <w:proofErr w:type="spellEnd"/>
      <w:r w:rsidRPr="001F31FB">
        <w:rPr>
          <w:sz w:val="24"/>
          <w:szCs w:val="24"/>
        </w:rPr>
        <w:t xml:space="preserve">, dog kun efter så høje subkutane doser, at der opstod </w:t>
      </w:r>
      <w:proofErr w:type="spellStart"/>
      <w:r w:rsidRPr="001F31FB">
        <w:rPr>
          <w:sz w:val="24"/>
          <w:szCs w:val="24"/>
        </w:rPr>
        <w:t>maternel</w:t>
      </w:r>
      <w:proofErr w:type="spellEnd"/>
      <w:r w:rsidRPr="001F31FB">
        <w:rPr>
          <w:sz w:val="24"/>
          <w:szCs w:val="24"/>
        </w:rPr>
        <w:t xml:space="preserve"> toksicitet. Den kliniske relevans af disse fund er ukendt.</w:t>
      </w:r>
    </w:p>
    <w:p w14:paraId="432858B9" w14:textId="77777777" w:rsidR="0056308E" w:rsidRDefault="0056308E" w:rsidP="001F31FB">
      <w:pPr>
        <w:ind w:left="851"/>
        <w:rPr>
          <w:sz w:val="24"/>
          <w:szCs w:val="24"/>
        </w:rPr>
      </w:pPr>
    </w:p>
    <w:p w14:paraId="18337749" w14:textId="40B6E2D2" w:rsidR="0026765F" w:rsidRPr="0056308E" w:rsidRDefault="0026765F" w:rsidP="001F31FB">
      <w:pPr>
        <w:ind w:left="851"/>
        <w:rPr>
          <w:sz w:val="24"/>
          <w:szCs w:val="24"/>
          <w:u w:val="single"/>
        </w:rPr>
      </w:pPr>
      <w:r w:rsidRPr="0056308E">
        <w:rPr>
          <w:sz w:val="24"/>
          <w:szCs w:val="24"/>
          <w:u w:val="single"/>
        </w:rPr>
        <w:t>Fertilitet</w:t>
      </w:r>
    </w:p>
    <w:p w14:paraId="0973FA80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Der er rapporteret om bivirkninger på </w:t>
      </w:r>
      <w:proofErr w:type="spellStart"/>
      <w:r w:rsidRPr="001F31FB">
        <w:rPr>
          <w:sz w:val="24"/>
          <w:szCs w:val="24"/>
        </w:rPr>
        <w:t>spermatogenesen</w:t>
      </w:r>
      <w:proofErr w:type="spellEnd"/>
      <w:r w:rsidRPr="001F31FB">
        <w:rPr>
          <w:sz w:val="24"/>
          <w:szCs w:val="24"/>
        </w:rPr>
        <w:t xml:space="preserve"> i forbindelse med den generelle toksicitet hos rotter og hunde. Disse blev kun rapporteret kun ved doser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, der langt oversteg de terapeutiske doser, og var overvejende reversible. Studier af to generationer hos mus afslørede ingen virkning af (oralt administreret)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på fertiliteten.</w:t>
      </w:r>
    </w:p>
    <w:p w14:paraId="46F66415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56A611A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D1C1CBB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6.</w:t>
      </w:r>
      <w:r w:rsidRPr="001F31FB">
        <w:rPr>
          <w:b/>
          <w:sz w:val="24"/>
          <w:szCs w:val="24"/>
        </w:rPr>
        <w:tab/>
        <w:t>FARMACEUTISKE OPLYSNINGER</w:t>
      </w:r>
    </w:p>
    <w:p w14:paraId="0A86F632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69FA1D8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6.1</w:t>
      </w:r>
      <w:r w:rsidRPr="001F31FB">
        <w:rPr>
          <w:b/>
          <w:sz w:val="24"/>
          <w:szCs w:val="24"/>
        </w:rPr>
        <w:tab/>
        <w:t>Hjælpestoffer</w:t>
      </w:r>
    </w:p>
    <w:p w14:paraId="73257C9F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Natriumhydroxid (anvendes til justering af pH)</w:t>
      </w:r>
    </w:p>
    <w:p w14:paraId="525AEC25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5222AF3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6.2</w:t>
      </w:r>
      <w:r w:rsidRPr="001F31FB">
        <w:rPr>
          <w:b/>
          <w:sz w:val="24"/>
          <w:szCs w:val="24"/>
        </w:rPr>
        <w:tab/>
        <w:t>Uforligeligheder</w:t>
      </w:r>
    </w:p>
    <w:p w14:paraId="10639F5E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Dette lægemiddel må ikke blandes med andre lægemidler end dem, der er anført under pkt. 6.6.</w:t>
      </w:r>
    </w:p>
    <w:p w14:paraId="5E66324D" w14:textId="1E988160" w:rsidR="00B1073C" w:rsidRDefault="00B1073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A7FCF1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1A48C2B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6.3</w:t>
      </w:r>
      <w:r w:rsidRPr="001F31FB">
        <w:rPr>
          <w:b/>
          <w:sz w:val="24"/>
          <w:szCs w:val="24"/>
        </w:rPr>
        <w:tab/>
        <w:t>Opbevaringstid</w:t>
      </w:r>
    </w:p>
    <w:p w14:paraId="5BC48CDA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30 måneder</w:t>
      </w:r>
    </w:p>
    <w:p w14:paraId="1E5C79C3" w14:textId="77777777" w:rsidR="0026765F" w:rsidRPr="001F31FB" w:rsidRDefault="0026765F" w:rsidP="001F31FB">
      <w:pPr>
        <w:ind w:left="851"/>
        <w:rPr>
          <w:sz w:val="24"/>
          <w:szCs w:val="24"/>
        </w:rPr>
      </w:pPr>
    </w:p>
    <w:p w14:paraId="5CB7FD43" w14:textId="77777777" w:rsidR="0026765F" w:rsidRPr="001F31FB" w:rsidRDefault="0026765F" w:rsidP="001F31FB">
      <w:pPr>
        <w:ind w:left="851"/>
        <w:rPr>
          <w:i/>
          <w:sz w:val="24"/>
          <w:szCs w:val="24"/>
          <w:lang w:bidi="en-US"/>
        </w:rPr>
      </w:pPr>
      <w:bookmarkStart w:id="16" w:name="_Hlk106286832"/>
      <w:r w:rsidRPr="001F31FB">
        <w:rPr>
          <w:i/>
          <w:sz w:val="24"/>
          <w:szCs w:val="24"/>
        </w:rPr>
        <w:t xml:space="preserve">Efter </w:t>
      </w:r>
      <w:proofErr w:type="spellStart"/>
      <w:r w:rsidRPr="001F31FB">
        <w:rPr>
          <w:i/>
          <w:sz w:val="24"/>
          <w:szCs w:val="24"/>
        </w:rPr>
        <w:t>rekonstitution</w:t>
      </w:r>
      <w:proofErr w:type="spellEnd"/>
      <w:r w:rsidRPr="001F31FB">
        <w:rPr>
          <w:i/>
          <w:sz w:val="24"/>
          <w:szCs w:val="24"/>
        </w:rPr>
        <w:t xml:space="preserve"> – 250 mg:</w:t>
      </w:r>
    </w:p>
    <w:p w14:paraId="197BE1DD" w14:textId="77777777" w:rsidR="0026765F" w:rsidRPr="001F31FB" w:rsidRDefault="0026765F" w:rsidP="001F31FB">
      <w:pPr>
        <w:ind w:left="851"/>
        <w:rPr>
          <w:i/>
          <w:sz w:val="24"/>
          <w:szCs w:val="24"/>
        </w:rPr>
      </w:pPr>
      <w:r w:rsidRPr="001F31FB">
        <w:rPr>
          <w:sz w:val="24"/>
          <w:szCs w:val="24"/>
        </w:rPr>
        <w:t>Kemisk og fysisk stabilitet efter åbning er dokumenteret i 24 timer ved 23</w:t>
      </w:r>
      <w:r w:rsidRPr="001F31FB">
        <w:rPr>
          <w:sz w:val="24"/>
          <w:szCs w:val="24"/>
        </w:rPr>
        <w:noBreakHyphen/>
        <w:t>27 °C under kunstigt lys og ved 2</w:t>
      </w:r>
      <w:r w:rsidRPr="001F31FB">
        <w:rPr>
          <w:sz w:val="24"/>
          <w:szCs w:val="24"/>
        </w:rPr>
        <w:noBreakHyphen/>
        <w:t xml:space="preserve">8 °C efter opløsning i 10 ml vand til injektionsvæsker eller </w:t>
      </w:r>
      <w:proofErr w:type="spellStart"/>
      <w:r w:rsidRPr="001F31FB">
        <w:rPr>
          <w:sz w:val="24"/>
          <w:szCs w:val="24"/>
        </w:rPr>
        <w:t>natriumchloridopløsning</w:t>
      </w:r>
      <w:proofErr w:type="spellEnd"/>
      <w:r w:rsidRPr="001F31FB">
        <w:rPr>
          <w:sz w:val="24"/>
          <w:szCs w:val="24"/>
        </w:rPr>
        <w:t xml:space="preserve"> 9 mg/ml (0,9 %) til injektionsvæsker.</w:t>
      </w:r>
    </w:p>
    <w:p w14:paraId="40948BB0" w14:textId="77777777" w:rsidR="0026765F" w:rsidRPr="001F31FB" w:rsidRDefault="0026765F" w:rsidP="001F31FB">
      <w:pPr>
        <w:ind w:left="851"/>
        <w:rPr>
          <w:sz w:val="24"/>
          <w:szCs w:val="24"/>
        </w:rPr>
      </w:pPr>
    </w:p>
    <w:p w14:paraId="1DBFC5D1" w14:textId="77777777" w:rsidR="0026765F" w:rsidRPr="001F31FB" w:rsidRDefault="0026765F" w:rsidP="001F31FB">
      <w:pPr>
        <w:ind w:left="851"/>
        <w:rPr>
          <w:i/>
          <w:sz w:val="24"/>
          <w:szCs w:val="24"/>
          <w:lang w:bidi="en-US"/>
        </w:rPr>
      </w:pPr>
      <w:r w:rsidRPr="001F31FB">
        <w:rPr>
          <w:i/>
          <w:sz w:val="24"/>
          <w:szCs w:val="24"/>
        </w:rPr>
        <w:t xml:space="preserve">Efter </w:t>
      </w:r>
      <w:proofErr w:type="spellStart"/>
      <w:r w:rsidRPr="001F31FB">
        <w:rPr>
          <w:i/>
          <w:sz w:val="24"/>
          <w:szCs w:val="24"/>
        </w:rPr>
        <w:t>rekonstitution</w:t>
      </w:r>
      <w:proofErr w:type="spellEnd"/>
      <w:r w:rsidRPr="001F31FB">
        <w:rPr>
          <w:i/>
          <w:sz w:val="24"/>
          <w:szCs w:val="24"/>
        </w:rPr>
        <w:t xml:space="preserve"> – 500 mg:</w:t>
      </w:r>
    </w:p>
    <w:p w14:paraId="6114A576" w14:textId="77777777" w:rsidR="0026765F" w:rsidRPr="001F31FB" w:rsidRDefault="0026765F" w:rsidP="001F31FB">
      <w:pPr>
        <w:ind w:left="851"/>
        <w:rPr>
          <w:rFonts w:eastAsia="Calibri"/>
          <w:sz w:val="24"/>
          <w:szCs w:val="24"/>
        </w:rPr>
      </w:pPr>
      <w:r w:rsidRPr="001F31FB">
        <w:rPr>
          <w:sz w:val="24"/>
          <w:szCs w:val="24"/>
        </w:rPr>
        <w:t>Kemisk og fysisk stabilitet efter åbning er dokumenteret i 24 timer ved 23</w:t>
      </w:r>
      <w:r w:rsidRPr="001F31FB">
        <w:rPr>
          <w:sz w:val="24"/>
          <w:szCs w:val="24"/>
        </w:rPr>
        <w:noBreakHyphen/>
        <w:t>27 °C under kunstigt lys og ved 2</w:t>
      </w:r>
      <w:r w:rsidRPr="001F31FB">
        <w:rPr>
          <w:sz w:val="24"/>
          <w:szCs w:val="24"/>
        </w:rPr>
        <w:noBreakHyphen/>
        <w:t xml:space="preserve">8 °C efter opløsning i 20 ml vand til injektionsvæsker eller </w:t>
      </w:r>
      <w:proofErr w:type="spellStart"/>
      <w:r w:rsidRPr="001F31FB">
        <w:rPr>
          <w:sz w:val="24"/>
          <w:szCs w:val="24"/>
        </w:rPr>
        <w:t>natriumchloridopløsning</w:t>
      </w:r>
      <w:proofErr w:type="spellEnd"/>
      <w:r w:rsidRPr="001F31FB">
        <w:rPr>
          <w:sz w:val="24"/>
          <w:szCs w:val="24"/>
        </w:rPr>
        <w:t xml:space="preserve"> 9 mg/ml (0,9 %) til injektionsvæsker.</w:t>
      </w:r>
    </w:p>
    <w:p w14:paraId="701C8518" w14:textId="77777777" w:rsidR="0026765F" w:rsidRPr="001F31FB" w:rsidRDefault="0026765F" w:rsidP="001F31FB">
      <w:pPr>
        <w:ind w:left="851"/>
        <w:rPr>
          <w:rFonts w:eastAsia="Verdana"/>
          <w:sz w:val="24"/>
          <w:szCs w:val="24"/>
        </w:rPr>
      </w:pPr>
    </w:p>
    <w:p w14:paraId="112AD2C5" w14:textId="77777777" w:rsidR="0026765F" w:rsidRPr="001F31FB" w:rsidRDefault="0026765F" w:rsidP="001F31FB">
      <w:pPr>
        <w:ind w:left="851"/>
        <w:rPr>
          <w:rFonts w:eastAsia="Calibri"/>
          <w:i/>
          <w:sz w:val="24"/>
          <w:szCs w:val="24"/>
        </w:rPr>
      </w:pPr>
      <w:r w:rsidRPr="001F31FB">
        <w:rPr>
          <w:i/>
          <w:sz w:val="24"/>
          <w:szCs w:val="24"/>
        </w:rPr>
        <w:t>Efter opløsning – 250 mg</w:t>
      </w:r>
    </w:p>
    <w:p w14:paraId="32E49C85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Kemisk og fysisk stabilitet efter åbning er dokumenteret i 12 timer ved 23</w:t>
      </w:r>
      <w:r w:rsidRPr="001F31FB">
        <w:rPr>
          <w:sz w:val="24"/>
          <w:szCs w:val="24"/>
        </w:rPr>
        <w:noBreakHyphen/>
        <w:t xml:space="preserve">27 °C ved en koncentration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på 2,5 mg/ml efter fortynding med de kompatible opløsninger, der er nævnt i pkt. 6.6.</w:t>
      </w:r>
    </w:p>
    <w:p w14:paraId="075562B3" w14:textId="77777777" w:rsidR="0026765F" w:rsidRPr="001F31FB" w:rsidRDefault="0026765F" w:rsidP="001F31FB">
      <w:pPr>
        <w:ind w:left="851"/>
        <w:rPr>
          <w:rFonts w:eastAsia="Calibri"/>
          <w:sz w:val="24"/>
          <w:szCs w:val="24"/>
        </w:rPr>
      </w:pPr>
    </w:p>
    <w:p w14:paraId="71B83255" w14:textId="77777777" w:rsidR="0026765F" w:rsidRPr="001F31FB" w:rsidRDefault="0026765F" w:rsidP="001F31FB">
      <w:pPr>
        <w:ind w:left="851"/>
        <w:rPr>
          <w:rFonts w:eastAsia="Calibri"/>
          <w:i/>
          <w:sz w:val="24"/>
          <w:szCs w:val="24"/>
          <w:lang w:bidi="en-US"/>
        </w:rPr>
      </w:pPr>
      <w:r w:rsidRPr="001F31FB">
        <w:rPr>
          <w:i/>
          <w:sz w:val="24"/>
          <w:szCs w:val="24"/>
        </w:rPr>
        <w:t>Efter opløsning – 500 mg</w:t>
      </w:r>
    </w:p>
    <w:p w14:paraId="426FE7C1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Kemisk og fysisk stabilitet efter åbning er dokumenteret i 12 timer ved 23</w:t>
      </w:r>
      <w:r w:rsidRPr="001F31FB">
        <w:rPr>
          <w:sz w:val="24"/>
          <w:szCs w:val="24"/>
        </w:rPr>
        <w:noBreakHyphen/>
        <w:t xml:space="preserve">27 °C ved en koncentration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på 5,0 mg/ml efter fortynding med de kompatible opløsninger, der er nævnt i pkt. 6.6.</w:t>
      </w:r>
    </w:p>
    <w:p w14:paraId="5A1AC123" w14:textId="77777777" w:rsidR="0026765F" w:rsidRPr="001F31FB" w:rsidRDefault="0026765F" w:rsidP="001F31FB">
      <w:pPr>
        <w:ind w:left="851"/>
        <w:rPr>
          <w:rFonts w:eastAsia="Courier New"/>
          <w:sz w:val="24"/>
          <w:szCs w:val="24"/>
        </w:rPr>
      </w:pPr>
    </w:p>
    <w:p w14:paraId="4F703661" w14:textId="47E96650" w:rsidR="0026765F" w:rsidRPr="001F31FB" w:rsidRDefault="0026765F" w:rsidP="001F31FB">
      <w:pPr>
        <w:ind w:left="851"/>
        <w:rPr>
          <w:sz w:val="24"/>
          <w:szCs w:val="24"/>
          <w:lang w:bidi="en-US"/>
        </w:rPr>
      </w:pPr>
      <w:r w:rsidRPr="001F31FB">
        <w:rPr>
          <w:sz w:val="24"/>
          <w:szCs w:val="24"/>
        </w:rPr>
        <w:t>Ud fra et mikrobiologisk synspunkt skal produktet anvendes med det samme. Anvendelse af andre opbevaringstider og -betingelser er på brugerens eget ansvar og må ikke overstige 24 timer ved 2 til 8 °C, eller de tider, der er angivet ovenfor for den kemiske og fysiske stabilitet efter åbning, alt efter hvad der er kortest, medmindre</w:t>
      </w:r>
      <w:r w:rsidR="00B1073C">
        <w:rPr>
          <w:sz w:val="24"/>
          <w:szCs w:val="24"/>
        </w:rPr>
        <w:t xml:space="preserve"> </w:t>
      </w:r>
      <w:r w:rsidRPr="001F31FB">
        <w:rPr>
          <w:sz w:val="24"/>
          <w:szCs w:val="24"/>
        </w:rPr>
        <w:t>åbning/</w:t>
      </w:r>
      <w:proofErr w:type="spellStart"/>
      <w:r w:rsidRPr="001F31FB">
        <w:rPr>
          <w:sz w:val="24"/>
          <w:szCs w:val="24"/>
        </w:rPr>
        <w:t>rekonstitu</w:t>
      </w:r>
      <w:r w:rsidR="00B1073C">
        <w:rPr>
          <w:sz w:val="24"/>
          <w:szCs w:val="24"/>
        </w:rPr>
        <w:softHyphen/>
      </w:r>
      <w:r w:rsidRPr="001F31FB">
        <w:rPr>
          <w:sz w:val="24"/>
          <w:szCs w:val="24"/>
        </w:rPr>
        <w:t>tion</w:t>
      </w:r>
      <w:proofErr w:type="spellEnd"/>
      <w:r w:rsidRPr="001F31FB">
        <w:rPr>
          <w:sz w:val="24"/>
          <w:szCs w:val="24"/>
        </w:rPr>
        <w:t>/fortynding er udført under kontrollerede og validerede aseptiske betingelser.</w:t>
      </w:r>
    </w:p>
    <w:bookmarkEnd w:id="16"/>
    <w:p w14:paraId="1EE2F8D6" w14:textId="77777777" w:rsidR="0026765F" w:rsidRPr="001F31FB" w:rsidRDefault="0026765F" w:rsidP="001F31FB">
      <w:pPr>
        <w:ind w:left="851"/>
        <w:rPr>
          <w:sz w:val="24"/>
          <w:szCs w:val="24"/>
        </w:rPr>
      </w:pPr>
    </w:p>
    <w:p w14:paraId="0470FC2B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Ikke anvendt opløsning skal kasseres.</w:t>
      </w:r>
    </w:p>
    <w:p w14:paraId="10DD5B98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70F9C48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6.4</w:t>
      </w:r>
      <w:r w:rsidRPr="001F31FB">
        <w:rPr>
          <w:b/>
          <w:sz w:val="24"/>
          <w:szCs w:val="24"/>
        </w:rPr>
        <w:tab/>
        <w:t>Særlige opbevaringsforhold</w:t>
      </w:r>
    </w:p>
    <w:p w14:paraId="02D0650A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Der er ingen særlige krav vedrørende opbevaringstemperaturer for dette lægemiddel.</w:t>
      </w:r>
    </w:p>
    <w:p w14:paraId="0FC0D98C" w14:textId="77777777" w:rsidR="0026765F" w:rsidRPr="001F31FB" w:rsidRDefault="0026765F" w:rsidP="001F31FB">
      <w:pPr>
        <w:ind w:left="851"/>
        <w:rPr>
          <w:rFonts w:eastAsia="Segoe UI Italic"/>
          <w:i/>
          <w:iCs/>
          <w:sz w:val="24"/>
          <w:szCs w:val="24"/>
        </w:rPr>
      </w:pPr>
      <w:r w:rsidRPr="001F31FB">
        <w:rPr>
          <w:sz w:val="24"/>
          <w:szCs w:val="24"/>
        </w:rPr>
        <w:t xml:space="preserve">Opbevaringsforhold efter </w:t>
      </w:r>
      <w:proofErr w:type="spellStart"/>
      <w:r w:rsidRPr="001F31FB">
        <w:rPr>
          <w:sz w:val="24"/>
          <w:szCs w:val="24"/>
        </w:rPr>
        <w:t>rekonstitution</w:t>
      </w:r>
      <w:proofErr w:type="spellEnd"/>
      <w:r w:rsidRPr="001F31FB">
        <w:rPr>
          <w:sz w:val="24"/>
          <w:szCs w:val="24"/>
        </w:rPr>
        <w:t xml:space="preserve"> og fortynding af lægemidlet, se pkt. 6.3.</w:t>
      </w:r>
    </w:p>
    <w:p w14:paraId="73B4A883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4B1AE5C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6.5</w:t>
      </w:r>
      <w:r w:rsidRPr="001F31FB">
        <w:rPr>
          <w:b/>
          <w:sz w:val="24"/>
          <w:szCs w:val="24"/>
        </w:rPr>
        <w:tab/>
        <w:t>Emballagetype og pakningsstørrelser</w:t>
      </w:r>
    </w:p>
    <w:p w14:paraId="4E370C18" w14:textId="77777777" w:rsidR="0056308E" w:rsidRDefault="0056308E" w:rsidP="001F31FB">
      <w:pPr>
        <w:ind w:left="851"/>
        <w:rPr>
          <w:sz w:val="24"/>
          <w:szCs w:val="24"/>
        </w:rPr>
      </w:pPr>
    </w:p>
    <w:p w14:paraId="51B230B0" w14:textId="3D8FBC49" w:rsidR="0026765F" w:rsidRPr="001F31FB" w:rsidRDefault="0056308E" w:rsidP="001F31FB">
      <w:pPr>
        <w:ind w:left="851"/>
        <w:rPr>
          <w:sz w:val="24"/>
          <w:szCs w:val="24"/>
        </w:rPr>
      </w:pPr>
      <w:r>
        <w:rPr>
          <w:sz w:val="24"/>
          <w:szCs w:val="24"/>
        </w:rPr>
        <w:t>2</w:t>
      </w:r>
      <w:r w:rsidR="0026765F" w:rsidRPr="001F31FB">
        <w:rPr>
          <w:sz w:val="24"/>
          <w:szCs w:val="24"/>
        </w:rPr>
        <w:t>50 mg:</w:t>
      </w:r>
    </w:p>
    <w:p w14:paraId="3C02A8CE" w14:textId="77777777" w:rsidR="0026765F" w:rsidRPr="001F31FB" w:rsidRDefault="0026765F" w:rsidP="001F31FB">
      <w:pPr>
        <w:ind w:left="851"/>
        <w:rPr>
          <w:rFonts w:eastAsia="Courier New"/>
          <w:sz w:val="24"/>
          <w:szCs w:val="24"/>
        </w:rPr>
      </w:pPr>
      <w:r w:rsidRPr="001F31FB">
        <w:rPr>
          <w:sz w:val="24"/>
          <w:szCs w:val="24"/>
        </w:rPr>
        <w:t>Klare hætteglas af type I</w:t>
      </w:r>
      <w:r w:rsidRPr="001F31FB">
        <w:rPr>
          <w:sz w:val="24"/>
          <w:szCs w:val="24"/>
        </w:rPr>
        <w:noBreakHyphen/>
        <w:t xml:space="preserve">glas med en kapacitet på 10 ml, lukket med 20 mm </w:t>
      </w:r>
      <w:proofErr w:type="spellStart"/>
      <w:r w:rsidRPr="001F31FB">
        <w:rPr>
          <w:sz w:val="24"/>
          <w:szCs w:val="24"/>
        </w:rPr>
        <w:t>bromobutylgummiprop</w:t>
      </w:r>
      <w:proofErr w:type="spellEnd"/>
      <w:r w:rsidRPr="001F31FB">
        <w:rPr>
          <w:sz w:val="24"/>
          <w:szCs w:val="24"/>
        </w:rPr>
        <w:t xml:space="preserve"> og 20 mm aluminiumsforsegling, og med farvede (mørkeblå) drejehætter af plastik.</w:t>
      </w:r>
    </w:p>
    <w:p w14:paraId="4D12AAA5" w14:textId="77777777" w:rsidR="0026765F" w:rsidRPr="001F31FB" w:rsidRDefault="0026765F" w:rsidP="001F31FB">
      <w:pPr>
        <w:ind w:left="851"/>
        <w:rPr>
          <w:color w:val="000000"/>
          <w:sz w:val="24"/>
          <w:szCs w:val="24"/>
          <w:highlight w:val="yellow"/>
          <w:lang w:eastAsia="el-GR"/>
        </w:rPr>
      </w:pPr>
    </w:p>
    <w:p w14:paraId="6029648A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500 mg:</w:t>
      </w:r>
    </w:p>
    <w:p w14:paraId="2F02F1DA" w14:textId="77777777" w:rsidR="0026765F" w:rsidRPr="001F31FB" w:rsidRDefault="0026765F" w:rsidP="001F31FB">
      <w:pPr>
        <w:ind w:left="851"/>
        <w:rPr>
          <w:rFonts w:eastAsia="Courier New"/>
          <w:sz w:val="24"/>
          <w:szCs w:val="24"/>
        </w:rPr>
      </w:pPr>
      <w:r w:rsidRPr="001F31FB">
        <w:rPr>
          <w:sz w:val="24"/>
          <w:szCs w:val="24"/>
        </w:rPr>
        <w:t>Klare hætteglas af type I</w:t>
      </w:r>
      <w:r w:rsidRPr="001F31FB">
        <w:rPr>
          <w:sz w:val="24"/>
          <w:szCs w:val="24"/>
        </w:rPr>
        <w:noBreakHyphen/>
        <w:t xml:space="preserve">glas med en kapacitet på 20 ml, lukket med 20 mm </w:t>
      </w:r>
      <w:proofErr w:type="spellStart"/>
      <w:r w:rsidRPr="001F31FB">
        <w:rPr>
          <w:sz w:val="24"/>
          <w:szCs w:val="24"/>
        </w:rPr>
        <w:t>bromobutylgummiprop</w:t>
      </w:r>
      <w:proofErr w:type="spellEnd"/>
      <w:r w:rsidRPr="001F31FB">
        <w:rPr>
          <w:sz w:val="24"/>
          <w:szCs w:val="24"/>
        </w:rPr>
        <w:t xml:space="preserve"> og 20 mm aluminiumsforsegling, og med farvede (gule) drejehætter af plastik.</w:t>
      </w:r>
    </w:p>
    <w:p w14:paraId="1F050B5E" w14:textId="77777777" w:rsidR="0026765F" w:rsidRPr="0056308E" w:rsidRDefault="0026765F" w:rsidP="001F31FB">
      <w:pPr>
        <w:ind w:left="851"/>
        <w:rPr>
          <w:sz w:val="24"/>
          <w:szCs w:val="24"/>
          <w:lang w:val="nl-NL"/>
        </w:rPr>
      </w:pPr>
    </w:p>
    <w:p w14:paraId="1F91E074" w14:textId="77777777" w:rsidR="0026765F" w:rsidRPr="001F31FB" w:rsidRDefault="0026765F" w:rsidP="001F31FB">
      <w:pPr>
        <w:ind w:left="851"/>
        <w:rPr>
          <w:sz w:val="24"/>
          <w:szCs w:val="24"/>
          <w:lang w:val="nl-NL"/>
        </w:rPr>
      </w:pPr>
      <w:r w:rsidRPr="001F31FB">
        <w:rPr>
          <w:sz w:val="24"/>
          <w:szCs w:val="24"/>
          <w:lang w:val="nl-NL"/>
        </w:rPr>
        <w:t>Pakningsstørrelser: 1, 5 eller 10 hætteglas.</w:t>
      </w:r>
    </w:p>
    <w:p w14:paraId="3A5C8AAC" w14:textId="77777777" w:rsidR="0026765F" w:rsidRPr="001F31FB" w:rsidRDefault="0026765F" w:rsidP="001F31FB">
      <w:pPr>
        <w:ind w:left="851"/>
        <w:rPr>
          <w:sz w:val="24"/>
          <w:szCs w:val="24"/>
          <w:lang w:val="nl-NL" w:eastAsia="el-GR"/>
        </w:rPr>
      </w:pPr>
    </w:p>
    <w:p w14:paraId="0B40BBBC" w14:textId="77777777" w:rsidR="0026765F" w:rsidRPr="001F31FB" w:rsidRDefault="0026765F" w:rsidP="001F31FB">
      <w:pPr>
        <w:ind w:left="851"/>
        <w:rPr>
          <w:sz w:val="24"/>
          <w:szCs w:val="24"/>
          <w:lang w:val="nl-NL" w:bidi="en-US"/>
        </w:rPr>
      </w:pPr>
      <w:r w:rsidRPr="001F31FB">
        <w:rPr>
          <w:sz w:val="24"/>
          <w:szCs w:val="24"/>
          <w:lang w:val="nl-NL"/>
        </w:rPr>
        <w:t>Ikke alle pakningsstørrelser er nødvendigvis markedsført.</w:t>
      </w:r>
    </w:p>
    <w:p w14:paraId="0BE9F7AB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9CF20CE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6.6</w:t>
      </w:r>
      <w:r w:rsidRPr="001F31FB">
        <w:rPr>
          <w:b/>
          <w:sz w:val="24"/>
          <w:szCs w:val="24"/>
        </w:rPr>
        <w:tab/>
        <w:t xml:space="preserve">Regler for </w:t>
      </w:r>
      <w:r w:rsidR="00BD7931" w:rsidRPr="001F31FB">
        <w:rPr>
          <w:b/>
          <w:sz w:val="24"/>
          <w:szCs w:val="24"/>
        </w:rPr>
        <w:t>bortskaffelse</w:t>
      </w:r>
      <w:r w:rsidRPr="001F31FB">
        <w:rPr>
          <w:b/>
          <w:sz w:val="24"/>
          <w:szCs w:val="24"/>
        </w:rPr>
        <w:t xml:space="preserve"> og anden håndtering</w:t>
      </w:r>
    </w:p>
    <w:p w14:paraId="7773442F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  <w:lang w:val="nl-NL"/>
        </w:rPr>
        <w:t xml:space="preserve">Skal klargøres umiddelbart før brug. </w:t>
      </w:r>
      <w:r w:rsidRPr="001F31FB">
        <w:rPr>
          <w:sz w:val="24"/>
          <w:szCs w:val="24"/>
        </w:rPr>
        <w:t>Ikke anvendt opløsning skal kasseres.</w:t>
      </w:r>
    </w:p>
    <w:p w14:paraId="1C0BB829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Ikke anvendt lægemiddel samt affald heraf skal bortskaffes i henhold til lokale retningslinjer.</w:t>
      </w:r>
    </w:p>
    <w:p w14:paraId="08A4C4C1" w14:textId="77777777" w:rsidR="0026765F" w:rsidRPr="0056308E" w:rsidRDefault="0026765F" w:rsidP="001F31FB">
      <w:pPr>
        <w:ind w:left="851"/>
        <w:rPr>
          <w:sz w:val="24"/>
          <w:szCs w:val="24"/>
        </w:rPr>
      </w:pPr>
    </w:p>
    <w:p w14:paraId="341CDB02" w14:textId="77777777" w:rsidR="0026765F" w:rsidRPr="001F31FB" w:rsidRDefault="0026765F" w:rsidP="001F31FB">
      <w:pPr>
        <w:ind w:left="851"/>
        <w:rPr>
          <w:sz w:val="24"/>
          <w:szCs w:val="24"/>
        </w:rPr>
      </w:pPr>
      <w:proofErr w:type="spellStart"/>
      <w:r w:rsidRPr="001F31FB">
        <w:rPr>
          <w:sz w:val="24"/>
          <w:szCs w:val="24"/>
          <w:u w:val="single"/>
        </w:rPr>
        <w:t>Rekonstitution</w:t>
      </w:r>
      <w:proofErr w:type="spellEnd"/>
      <w:r w:rsidRPr="001F31FB">
        <w:rPr>
          <w:sz w:val="24"/>
          <w:szCs w:val="24"/>
        </w:rPr>
        <w:t>:</w:t>
      </w:r>
    </w:p>
    <w:p w14:paraId="520AACB9" w14:textId="19279002" w:rsidR="0026765F" w:rsidRPr="001F31FB" w:rsidRDefault="0026765F" w:rsidP="001F31FB">
      <w:pPr>
        <w:ind w:left="851"/>
        <w:rPr>
          <w:sz w:val="24"/>
          <w:szCs w:val="24"/>
        </w:rPr>
      </w:pP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</w:t>
      </w:r>
      <w:r w:rsidR="00415E2D">
        <w:rPr>
          <w:sz w:val="24"/>
          <w:szCs w:val="24"/>
        </w:rPr>
        <w:t>"Noridem"</w:t>
      </w:r>
      <w:r w:rsidRPr="001F31FB">
        <w:rPr>
          <w:sz w:val="24"/>
          <w:szCs w:val="24"/>
        </w:rPr>
        <w:t xml:space="preserve"> skal </w:t>
      </w:r>
      <w:proofErr w:type="spellStart"/>
      <w:r w:rsidRPr="001F31FB">
        <w:rPr>
          <w:sz w:val="24"/>
          <w:szCs w:val="24"/>
        </w:rPr>
        <w:t>rekonstitueres</w:t>
      </w:r>
      <w:proofErr w:type="spellEnd"/>
      <w:r w:rsidRPr="001F31FB">
        <w:rPr>
          <w:sz w:val="24"/>
          <w:szCs w:val="24"/>
        </w:rPr>
        <w:t xml:space="preserve"> med følgende volumener af enten vand til injektionsvæsker eller </w:t>
      </w:r>
      <w:proofErr w:type="spellStart"/>
      <w:r w:rsidRPr="001F31FB">
        <w:rPr>
          <w:sz w:val="24"/>
          <w:szCs w:val="24"/>
        </w:rPr>
        <w:t>natriumchloridopløsning</w:t>
      </w:r>
      <w:proofErr w:type="spellEnd"/>
      <w:r w:rsidRPr="001F31FB">
        <w:rPr>
          <w:sz w:val="24"/>
          <w:szCs w:val="24"/>
        </w:rPr>
        <w:t xml:space="preserve"> 9 mg/ml (0,9 %) til injektionsvæsker for at fremstille en opløsning, der indeholder 25 mg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pr. ml:</w:t>
      </w:r>
    </w:p>
    <w:p w14:paraId="618C5C16" w14:textId="77777777" w:rsidR="0056308E" w:rsidRDefault="0056308E" w:rsidP="001F31FB">
      <w:pPr>
        <w:ind w:left="851"/>
        <w:rPr>
          <w:sz w:val="24"/>
          <w:szCs w:val="24"/>
          <w:u w:val="single"/>
        </w:rPr>
      </w:pPr>
    </w:p>
    <w:p w14:paraId="7E911C9B" w14:textId="30D7CAD0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  <w:u w:val="single"/>
        </w:rPr>
        <w:t xml:space="preserve">Formuleringsvolumen af væske til </w:t>
      </w:r>
      <w:proofErr w:type="spellStart"/>
      <w:r w:rsidRPr="001F31FB">
        <w:rPr>
          <w:sz w:val="24"/>
          <w:szCs w:val="24"/>
          <w:u w:val="single"/>
        </w:rPr>
        <w:t>rekonstitution</w:t>
      </w:r>
      <w:proofErr w:type="spellEnd"/>
    </w:p>
    <w:p w14:paraId="200359A0" w14:textId="77777777" w:rsidR="0026765F" w:rsidRPr="001F31FB" w:rsidRDefault="0026765F" w:rsidP="0056308E">
      <w:pPr>
        <w:tabs>
          <w:tab w:val="left" w:pos="2977"/>
        </w:tabs>
        <w:ind w:left="851"/>
        <w:rPr>
          <w:sz w:val="24"/>
          <w:szCs w:val="24"/>
        </w:rPr>
      </w:pPr>
      <w:r w:rsidRPr="001F31FB">
        <w:rPr>
          <w:sz w:val="24"/>
          <w:szCs w:val="24"/>
        </w:rPr>
        <w:t>250 mg hætteglas</w:t>
      </w:r>
      <w:r w:rsidRPr="001F31FB">
        <w:rPr>
          <w:sz w:val="24"/>
          <w:szCs w:val="24"/>
        </w:rPr>
        <w:tab/>
        <w:t>10 ml</w:t>
      </w:r>
    </w:p>
    <w:p w14:paraId="3B921795" w14:textId="77777777" w:rsidR="0026765F" w:rsidRPr="001F31FB" w:rsidRDefault="0026765F" w:rsidP="0056308E">
      <w:pPr>
        <w:tabs>
          <w:tab w:val="left" w:pos="2977"/>
        </w:tabs>
        <w:ind w:left="851"/>
        <w:rPr>
          <w:sz w:val="24"/>
          <w:szCs w:val="24"/>
        </w:rPr>
      </w:pPr>
      <w:r w:rsidRPr="001F31FB">
        <w:rPr>
          <w:sz w:val="24"/>
          <w:szCs w:val="24"/>
        </w:rPr>
        <w:t>500 mg hætteglas</w:t>
      </w:r>
      <w:r w:rsidRPr="001F31FB">
        <w:rPr>
          <w:sz w:val="24"/>
          <w:szCs w:val="24"/>
        </w:rPr>
        <w:tab/>
        <w:t>20 ml</w:t>
      </w:r>
    </w:p>
    <w:p w14:paraId="32B95242" w14:textId="77777777" w:rsidR="0056308E" w:rsidRDefault="0056308E" w:rsidP="001F31FB">
      <w:pPr>
        <w:ind w:left="851"/>
        <w:rPr>
          <w:sz w:val="24"/>
          <w:szCs w:val="24"/>
        </w:rPr>
      </w:pPr>
    </w:p>
    <w:p w14:paraId="6E9F7B67" w14:textId="60B59F9E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Ud fra den beregnede dosis bestemmes det rette antal og styrke af de hætteglas, der skal anvendes.</w:t>
      </w:r>
    </w:p>
    <w:p w14:paraId="774E1B2C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For at </w:t>
      </w:r>
      <w:proofErr w:type="spellStart"/>
      <w:r w:rsidRPr="001F31FB">
        <w:rPr>
          <w:sz w:val="24"/>
          <w:szCs w:val="24"/>
        </w:rPr>
        <w:t>rekonstituere</w:t>
      </w:r>
      <w:proofErr w:type="spellEnd"/>
      <w:r w:rsidRPr="001F31FB">
        <w:rPr>
          <w:sz w:val="24"/>
          <w:szCs w:val="24"/>
        </w:rPr>
        <w:t xml:space="preserve"> hvert hætteglas skal den anbefalede mængde infusionsvæske tilsættes, hvorefter hætteglasset omrystes forsigtigt, indtil indholdet er helt opløst.</w:t>
      </w:r>
    </w:p>
    <w:p w14:paraId="21102212" w14:textId="77777777" w:rsidR="0056308E" w:rsidRDefault="0056308E" w:rsidP="001F31FB">
      <w:pPr>
        <w:ind w:left="851"/>
        <w:rPr>
          <w:sz w:val="24"/>
          <w:szCs w:val="24"/>
          <w:u w:val="single"/>
        </w:rPr>
      </w:pPr>
    </w:p>
    <w:p w14:paraId="0A755176" w14:textId="0A9569FF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  <w:u w:val="single"/>
        </w:rPr>
        <w:t>Administration:</w:t>
      </w:r>
    </w:p>
    <w:p w14:paraId="51C2D3B0" w14:textId="465AFC74" w:rsidR="0026765F" w:rsidRPr="001F31FB" w:rsidRDefault="0026765F" w:rsidP="001F31FB">
      <w:pPr>
        <w:ind w:left="851"/>
        <w:rPr>
          <w:sz w:val="24"/>
          <w:szCs w:val="24"/>
        </w:rPr>
      </w:pPr>
      <w:bookmarkStart w:id="17" w:name="_Hlk106287031"/>
      <w:r w:rsidRPr="001F31FB">
        <w:rPr>
          <w:sz w:val="24"/>
          <w:szCs w:val="24"/>
        </w:rPr>
        <w:t xml:space="preserve">Den relevante dosis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</w:t>
      </w:r>
      <w:r w:rsidR="00415E2D">
        <w:rPr>
          <w:sz w:val="24"/>
          <w:szCs w:val="24"/>
        </w:rPr>
        <w:t>"Noridem"</w:t>
      </w:r>
      <w:r w:rsidRPr="001F31FB">
        <w:rPr>
          <w:sz w:val="24"/>
          <w:szCs w:val="24"/>
        </w:rPr>
        <w:t xml:space="preserve"> skal administreres ved langsom intravenøs infusion over en time.</w:t>
      </w:r>
    </w:p>
    <w:p w14:paraId="79D279FA" w14:textId="77777777" w:rsidR="0056308E" w:rsidRDefault="0056308E" w:rsidP="001F31FB">
      <w:pPr>
        <w:ind w:left="851"/>
        <w:rPr>
          <w:sz w:val="24"/>
          <w:szCs w:val="24"/>
        </w:rPr>
      </w:pPr>
    </w:p>
    <w:p w14:paraId="3A3FED24" w14:textId="5F93F80B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Efter </w:t>
      </w:r>
      <w:proofErr w:type="spellStart"/>
      <w:r w:rsidRPr="001F31FB">
        <w:rPr>
          <w:sz w:val="24"/>
          <w:szCs w:val="24"/>
        </w:rPr>
        <w:t>rekonstitution</w:t>
      </w:r>
      <w:proofErr w:type="spellEnd"/>
      <w:r w:rsidRPr="001F31FB">
        <w:rPr>
          <w:sz w:val="24"/>
          <w:szCs w:val="24"/>
        </w:rPr>
        <w:t xml:space="preserve"> kan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</w:t>
      </w:r>
      <w:r w:rsidR="00415E2D">
        <w:rPr>
          <w:sz w:val="24"/>
          <w:szCs w:val="24"/>
        </w:rPr>
        <w:t>"Noridem"</w:t>
      </w:r>
      <w:r w:rsidRPr="001F31FB">
        <w:rPr>
          <w:sz w:val="24"/>
          <w:szCs w:val="24"/>
        </w:rPr>
        <w:t xml:space="preserve"> administreres med en infusionspumpe med kontrolleret hastighed. Alternativt kan den </w:t>
      </w:r>
      <w:proofErr w:type="spellStart"/>
      <w:r w:rsidRPr="001F31FB">
        <w:rPr>
          <w:sz w:val="24"/>
          <w:szCs w:val="24"/>
        </w:rPr>
        <w:t>rekonstituerede</w:t>
      </w:r>
      <w:proofErr w:type="spellEnd"/>
      <w:r w:rsidRPr="001F31FB">
        <w:rPr>
          <w:sz w:val="24"/>
          <w:szCs w:val="24"/>
        </w:rPr>
        <w:t xml:space="preserve"> opløsning fortyndes yderligere for at opnå en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>-koncentration på højst 5 mg/ml (0,5 % w/v) til administration ved infusion.</w:t>
      </w:r>
    </w:p>
    <w:p w14:paraId="4B9A3FBB" w14:textId="77777777" w:rsidR="0056308E" w:rsidRDefault="0056308E" w:rsidP="001F31FB">
      <w:pPr>
        <w:ind w:left="851"/>
        <w:rPr>
          <w:sz w:val="24"/>
          <w:szCs w:val="24"/>
        </w:rPr>
      </w:pPr>
    </w:p>
    <w:p w14:paraId="41794EA0" w14:textId="1A9E7279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Den relevante mængde </w:t>
      </w:r>
      <w:proofErr w:type="spellStart"/>
      <w:r w:rsidRPr="001F31FB">
        <w:rPr>
          <w:sz w:val="24"/>
          <w:szCs w:val="24"/>
        </w:rPr>
        <w:t>rekonstitueret</w:t>
      </w:r>
      <w:proofErr w:type="spellEnd"/>
      <w:r w:rsidRPr="001F31FB">
        <w:rPr>
          <w:sz w:val="24"/>
          <w:szCs w:val="24"/>
        </w:rPr>
        <w:t xml:space="preserve"> opløsning tilsættes den valgte infusionsopløsning, som anbefalet nedenfor, og rystes godt for at sikre tilstrækkelig blanding.</w:t>
      </w:r>
    </w:p>
    <w:p w14:paraId="4AAFF597" w14:textId="77777777" w:rsidR="0056308E" w:rsidRDefault="0056308E" w:rsidP="001F31FB">
      <w:pPr>
        <w:ind w:left="851"/>
        <w:rPr>
          <w:sz w:val="24"/>
          <w:szCs w:val="24"/>
        </w:rPr>
      </w:pPr>
    </w:p>
    <w:p w14:paraId="65CA3414" w14:textId="778BD67A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Hos børn og nyfødte, hvor det er tilrådeligt at holde mængden af infusionsvæske på et minimum, anbefales det, at fortynding sker på basis af 4 ml opløsning (100 mg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>) tilsat til 20 ml infusionsvæske.</w:t>
      </w:r>
    </w:p>
    <w:p w14:paraId="10ADFEAB" w14:textId="77777777" w:rsidR="0056308E" w:rsidRDefault="0056308E" w:rsidP="001F31FB">
      <w:pPr>
        <w:ind w:left="851"/>
        <w:rPr>
          <w:sz w:val="24"/>
          <w:szCs w:val="24"/>
        </w:rPr>
      </w:pPr>
    </w:p>
    <w:p w14:paraId="193CC8F2" w14:textId="5B6D71A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Hos voksne anbefales det at bruge infusionsposer, som indeholder 100 ml infusionsvæske, selv når dette resulterer i en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-koncentration, der er væsentligt lavere end 0,5 % w/v. En 100 ml infusionspose kan således anvendes til enhver dosis mellem 250 mg og 500 mg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(10 og 20 ml </w:t>
      </w:r>
      <w:proofErr w:type="spellStart"/>
      <w:r w:rsidRPr="001F31FB">
        <w:rPr>
          <w:sz w:val="24"/>
          <w:szCs w:val="24"/>
        </w:rPr>
        <w:t>rekonstitueret</w:t>
      </w:r>
      <w:proofErr w:type="spellEnd"/>
      <w:r w:rsidRPr="001F31FB">
        <w:rPr>
          <w:sz w:val="24"/>
          <w:szCs w:val="24"/>
        </w:rPr>
        <w:t xml:space="preserve"> opløsning), mens der skal anvendes to poser til doser mellem 500 og 1000 mg.</w:t>
      </w:r>
    </w:p>
    <w:p w14:paraId="39B7BAE8" w14:textId="77777777" w:rsidR="0056308E" w:rsidRDefault="0056308E" w:rsidP="001F31FB">
      <w:pPr>
        <w:ind w:left="851"/>
        <w:rPr>
          <w:sz w:val="24"/>
          <w:szCs w:val="24"/>
        </w:rPr>
      </w:pPr>
    </w:p>
    <w:p w14:paraId="4BF5B20C" w14:textId="6A599E5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Under forudsætning af, at lægemidlet fortyndes i overensstemmelse med de anbefalede doseringsregimer, er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</w:t>
      </w:r>
      <w:r w:rsidR="00415E2D">
        <w:rPr>
          <w:sz w:val="24"/>
          <w:szCs w:val="24"/>
        </w:rPr>
        <w:t>"Noridem"</w:t>
      </w:r>
      <w:r w:rsidRPr="001F31FB">
        <w:rPr>
          <w:sz w:val="24"/>
          <w:szCs w:val="24"/>
        </w:rPr>
        <w:t xml:space="preserve"> kompatibelt med følgende infusionsvæsker:</w:t>
      </w:r>
    </w:p>
    <w:p w14:paraId="2BBC50CD" w14:textId="77777777" w:rsidR="0026765F" w:rsidRPr="0056308E" w:rsidRDefault="0026765F" w:rsidP="0056308E">
      <w:pPr>
        <w:pStyle w:val="Listeafsnit"/>
        <w:numPr>
          <w:ilvl w:val="0"/>
          <w:numId w:val="17"/>
        </w:numPr>
        <w:ind w:left="1276" w:hanging="425"/>
        <w:rPr>
          <w:rFonts w:ascii="Times New Roman" w:hAnsi="Times New Roman" w:cs="Times New Roman"/>
        </w:rPr>
      </w:pPr>
      <w:proofErr w:type="spellStart"/>
      <w:r w:rsidRPr="0056308E">
        <w:rPr>
          <w:rFonts w:ascii="Times New Roman" w:hAnsi="Times New Roman" w:cs="Times New Roman"/>
        </w:rPr>
        <w:t>Natriumchloridopløsning</w:t>
      </w:r>
      <w:proofErr w:type="spellEnd"/>
      <w:r w:rsidRPr="0056308E">
        <w:rPr>
          <w:rFonts w:ascii="Times New Roman" w:hAnsi="Times New Roman" w:cs="Times New Roman"/>
        </w:rPr>
        <w:t xml:space="preserve"> 9 mg/ml (0,9 %) til injektion</w:t>
      </w:r>
    </w:p>
    <w:p w14:paraId="72748529" w14:textId="77777777" w:rsidR="0026765F" w:rsidRPr="0056308E" w:rsidRDefault="0026765F" w:rsidP="0056308E">
      <w:pPr>
        <w:pStyle w:val="Listeafsnit"/>
        <w:numPr>
          <w:ilvl w:val="0"/>
          <w:numId w:val="17"/>
        </w:numPr>
        <w:ind w:left="1276" w:hanging="425"/>
        <w:rPr>
          <w:rFonts w:ascii="Times New Roman" w:hAnsi="Times New Roman" w:cs="Times New Roman"/>
        </w:rPr>
      </w:pPr>
      <w:proofErr w:type="spellStart"/>
      <w:r w:rsidRPr="0056308E">
        <w:rPr>
          <w:rFonts w:ascii="Times New Roman" w:hAnsi="Times New Roman" w:cs="Times New Roman"/>
        </w:rPr>
        <w:t>Natriumchlorid</w:t>
      </w:r>
      <w:proofErr w:type="spellEnd"/>
      <w:r w:rsidRPr="0056308E">
        <w:rPr>
          <w:rFonts w:ascii="Times New Roman" w:hAnsi="Times New Roman" w:cs="Times New Roman"/>
        </w:rPr>
        <w:t xml:space="preserve"> til intravenøs infusion (0,45 % w/v)</w:t>
      </w:r>
    </w:p>
    <w:p w14:paraId="7B257B0A" w14:textId="77777777" w:rsidR="0026765F" w:rsidRPr="0056308E" w:rsidRDefault="0026765F" w:rsidP="0056308E">
      <w:pPr>
        <w:pStyle w:val="Listeafsnit"/>
        <w:numPr>
          <w:ilvl w:val="0"/>
          <w:numId w:val="17"/>
        </w:numPr>
        <w:ind w:left="1276" w:hanging="425"/>
        <w:rPr>
          <w:rFonts w:ascii="Times New Roman" w:hAnsi="Times New Roman" w:cs="Times New Roman"/>
        </w:rPr>
      </w:pPr>
      <w:proofErr w:type="spellStart"/>
      <w:r w:rsidRPr="0056308E">
        <w:rPr>
          <w:rFonts w:ascii="Times New Roman" w:hAnsi="Times New Roman" w:cs="Times New Roman"/>
        </w:rPr>
        <w:t>Natriumchlorid</w:t>
      </w:r>
      <w:proofErr w:type="spellEnd"/>
      <w:r w:rsidRPr="0056308E">
        <w:rPr>
          <w:rFonts w:ascii="Times New Roman" w:hAnsi="Times New Roman" w:cs="Times New Roman"/>
        </w:rPr>
        <w:t xml:space="preserve"> (0,18 % w/v) og </w:t>
      </w:r>
      <w:proofErr w:type="spellStart"/>
      <w:r w:rsidRPr="0056308E">
        <w:rPr>
          <w:rFonts w:ascii="Times New Roman" w:hAnsi="Times New Roman" w:cs="Times New Roman"/>
        </w:rPr>
        <w:t>glucose</w:t>
      </w:r>
      <w:proofErr w:type="spellEnd"/>
      <w:r w:rsidRPr="0056308E">
        <w:rPr>
          <w:rFonts w:ascii="Times New Roman" w:hAnsi="Times New Roman" w:cs="Times New Roman"/>
        </w:rPr>
        <w:t xml:space="preserve"> (4 % w/v) til intravenøs infusion</w:t>
      </w:r>
    </w:p>
    <w:p w14:paraId="67EE264B" w14:textId="77777777" w:rsidR="0026765F" w:rsidRPr="0056308E" w:rsidRDefault="0026765F" w:rsidP="0056308E">
      <w:pPr>
        <w:pStyle w:val="Listeafsnit"/>
        <w:numPr>
          <w:ilvl w:val="0"/>
          <w:numId w:val="17"/>
        </w:numPr>
        <w:ind w:left="1276" w:hanging="425"/>
        <w:rPr>
          <w:rFonts w:ascii="Times New Roman" w:hAnsi="Times New Roman" w:cs="Times New Roman"/>
        </w:rPr>
      </w:pPr>
      <w:proofErr w:type="spellStart"/>
      <w:r w:rsidRPr="0056308E">
        <w:rPr>
          <w:rFonts w:ascii="Times New Roman" w:hAnsi="Times New Roman" w:cs="Times New Roman"/>
        </w:rPr>
        <w:t>Natriumchlorid</w:t>
      </w:r>
      <w:proofErr w:type="spellEnd"/>
      <w:r w:rsidRPr="0056308E">
        <w:rPr>
          <w:rFonts w:ascii="Times New Roman" w:hAnsi="Times New Roman" w:cs="Times New Roman"/>
        </w:rPr>
        <w:t xml:space="preserve"> (0,45 % w/v) og </w:t>
      </w:r>
      <w:proofErr w:type="spellStart"/>
      <w:r w:rsidRPr="0056308E">
        <w:rPr>
          <w:rFonts w:ascii="Times New Roman" w:hAnsi="Times New Roman" w:cs="Times New Roman"/>
        </w:rPr>
        <w:t>glucose</w:t>
      </w:r>
      <w:proofErr w:type="spellEnd"/>
      <w:r w:rsidRPr="0056308E">
        <w:rPr>
          <w:rFonts w:ascii="Times New Roman" w:hAnsi="Times New Roman" w:cs="Times New Roman"/>
        </w:rPr>
        <w:t xml:space="preserve"> (2,5 % w/v) til intravenøs infusion</w:t>
      </w:r>
    </w:p>
    <w:p w14:paraId="363FE83C" w14:textId="77777777" w:rsidR="0026765F" w:rsidRPr="0056308E" w:rsidRDefault="0026765F" w:rsidP="0056308E">
      <w:pPr>
        <w:pStyle w:val="Listeafsnit"/>
        <w:numPr>
          <w:ilvl w:val="0"/>
          <w:numId w:val="17"/>
        </w:numPr>
        <w:ind w:left="1276" w:hanging="425"/>
        <w:rPr>
          <w:rFonts w:ascii="Times New Roman" w:hAnsi="Times New Roman" w:cs="Times New Roman"/>
        </w:rPr>
      </w:pPr>
      <w:proofErr w:type="spellStart"/>
      <w:r w:rsidRPr="0056308E">
        <w:rPr>
          <w:rFonts w:ascii="Times New Roman" w:hAnsi="Times New Roman" w:cs="Times New Roman"/>
        </w:rPr>
        <w:t>Natriumlactatopløsning</w:t>
      </w:r>
      <w:proofErr w:type="spellEnd"/>
      <w:r w:rsidRPr="0056308E">
        <w:rPr>
          <w:rFonts w:ascii="Times New Roman" w:hAnsi="Times New Roman" w:cs="Times New Roman"/>
        </w:rPr>
        <w:t xml:space="preserve"> til intravenøs infusion (Hartmanns opløsning).</w:t>
      </w:r>
    </w:p>
    <w:p w14:paraId="4808EB12" w14:textId="77777777" w:rsidR="0056308E" w:rsidRDefault="0056308E" w:rsidP="001F31FB">
      <w:pPr>
        <w:ind w:left="851"/>
        <w:rPr>
          <w:sz w:val="24"/>
          <w:szCs w:val="24"/>
        </w:rPr>
      </w:pPr>
    </w:p>
    <w:p w14:paraId="4CBD093B" w14:textId="593A1511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lastRenderedPageBreak/>
        <w:t xml:space="preserve">Ved fortynding af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 xml:space="preserve"> </w:t>
      </w:r>
      <w:r w:rsidR="00415E2D">
        <w:rPr>
          <w:sz w:val="24"/>
          <w:szCs w:val="24"/>
        </w:rPr>
        <w:t>"Noridem"</w:t>
      </w:r>
      <w:r w:rsidRPr="001F31FB">
        <w:rPr>
          <w:sz w:val="24"/>
          <w:szCs w:val="24"/>
        </w:rPr>
        <w:t xml:space="preserve"> i overensstemmelse med ovenstående, opnås en </w:t>
      </w:r>
      <w:proofErr w:type="spellStart"/>
      <w:r w:rsidRPr="001F31FB">
        <w:rPr>
          <w:sz w:val="24"/>
          <w:szCs w:val="24"/>
        </w:rPr>
        <w:t>aciclovir</w:t>
      </w:r>
      <w:proofErr w:type="spellEnd"/>
      <w:r w:rsidRPr="001F31FB">
        <w:rPr>
          <w:sz w:val="24"/>
          <w:szCs w:val="24"/>
        </w:rPr>
        <w:t>-koncentration på højst 0,5 % w/v.</w:t>
      </w:r>
    </w:p>
    <w:p w14:paraId="3A7B5DB8" w14:textId="77777777" w:rsidR="0056308E" w:rsidRDefault="0056308E" w:rsidP="001F31FB">
      <w:pPr>
        <w:ind w:left="851"/>
        <w:rPr>
          <w:sz w:val="24"/>
          <w:szCs w:val="24"/>
        </w:rPr>
      </w:pPr>
    </w:p>
    <w:p w14:paraId="0B18088F" w14:textId="192EFBB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Lægemidlet er ikke tilsat et antimikrobielt konserveringsmiddel. </w:t>
      </w:r>
      <w:proofErr w:type="spellStart"/>
      <w:r w:rsidRPr="001F31FB">
        <w:rPr>
          <w:sz w:val="24"/>
          <w:szCs w:val="24"/>
        </w:rPr>
        <w:t>Rekonstitution</w:t>
      </w:r>
      <w:proofErr w:type="spellEnd"/>
      <w:r w:rsidRPr="001F31FB">
        <w:rPr>
          <w:sz w:val="24"/>
          <w:szCs w:val="24"/>
        </w:rPr>
        <w:t xml:space="preserve"> og fortynding skal derfor udføres under fuldt aseptiske forhold umiddelbart før brug. Ikke anvendt opløsning skal bortskaffes.</w:t>
      </w:r>
    </w:p>
    <w:p w14:paraId="340D0D8C" w14:textId="77777777" w:rsidR="0026765F" w:rsidRPr="001F31FB" w:rsidRDefault="0026765F" w:rsidP="001F31FB">
      <w:pPr>
        <w:ind w:left="851"/>
        <w:rPr>
          <w:sz w:val="24"/>
          <w:szCs w:val="24"/>
        </w:rPr>
      </w:pPr>
      <w:bookmarkStart w:id="18" w:name="_Hlk98743685"/>
      <w:proofErr w:type="spellStart"/>
      <w:r w:rsidRPr="001F31FB">
        <w:rPr>
          <w:sz w:val="24"/>
          <w:szCs w:val="24"/>
        </w:rPr>
        <w:t>Rekonstitueret</w:t>
      </w:r>
      <w:proofErr w:type="spellEnd"/>
      <w:r w:rsidRPr="001F31FB">
        <w:rPr>
          <w:sz w:val="24"/>
          <w:szCs w:val="24"/>
        </w:rPr>
        <w:t xml:space="preserve"> eller fortyndet opløsning må ikke opbevares i køleskab.</w:t>
      </w:r>
    </w:p>
    <w:bookmarkEnd w:id="18"/>
    <w:p w14:paraId="0203A30C" w14:textId="77777777" w:rsidR="0056308E" w:rsidRDefault="0056308E" w:rsidP="001F31FB">
      <w:pPr>
        <w:ind w:left="851"/>
        <w:rPr>
          <w:sz w:val="24"/>
          <w:szCs w:val="24"/>
        </w:rPr>
      </w:pPr>
    </w:p>
    <w:p w14:paraId="73CD8527" w14:textId="4A06CD6D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 xml:space="preserve">Hvis der bemærkes synlig </w:t>
      </w:r>
      <w:proofErr w:type="spellStart"/>
      <w:r w:rsidRPr="001F31FB">
        <w:rPr>
          <w:sz w:val="24"/>
          <w:szCs w:val="24"/>
        </w:rPr>
        <w:t>turbiditet</w:t>
      </w:r>
      <w:proofErr w:type="spellEnd"/>
      <w:r w:rsidRPr="001F31FB">
        <w:rPr>
          <w:sz w:val="24"/>
          <w:szCs w:val="24"/>
        </w:rPr>
        <w:t xml:space="preserve"> eller krystallisering i opløsningen før eller under infusionen, skal præparatet kasseres.</w:t>
      </w:r>
      <w:bookmarkEnd w:id="17"/>
    </w:p>
    <w:p w14:paraId="152B7B70" w14:textId="77777777" w:rsidR="009260DE" w:rsidRPr="001F31FB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402B2DDC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7.</w:t>
      </w:r>
      <w:r w:rsidRPr="001F31FB">
        <w:rPr>
          <w:b/>
          <w:sz w:val="24"/>
          <w:szCs w:val="24"/>
        </w:rPr>
        <w:tab/>
        <w:t>INDEHAVER AF MARKEDSFØRINGSTILLADELSEN</w:t>
      </w:r>
    </w:p>
    <w:p w14:paraId="63F050E9" w14:textId="77777777" w:rsidR="0026765F" w:rsidRPr="001F31FB" w:rsidRDefault="0026765F" w:rsidP="001F31FB">
      <w:pPr>
        <w:ind w:left="851"/>
        <w:rPr>
          <w:sz w:val="24"/>
          <w:szCs w:val="24"/>
        </w:rPr>
      </w:pPr>
      <w:r w:rsidRPr="001F31FB">
        <w:rPr>
          <w:sz w:val="24"/>
          <w:szCs w:val="24"/>
        </w:rPr>
        <w:t>Noridem Enterprises Limited</w:t>
      </w:r>
    </w:p>
    <w:p w14:paraId="155CF4EE" w14:textId="34291820" w:rsidR="0026765F" w:rsidRPr="001F31FB" w:rsidRDefault="0026765F" w:rsidP="001F31FB">
      <w:pPr>
        <w:ind w:left="851"/>
        <w:rPr>
          <w:sz w:val="24"/>
          <w:szCs w:val="24"/>
          <w:lang w:val="en"/>
        </w:rPr>
      </w:pPr>
      <w:proofErr w:type="spellStart"/>
      <w:r w:rsidRPr="001F31FB">
        <w:rPr>
          <w:sz w:val="24"/>
          <w:szCs w:val="24"/>
          <w:lang w:val="en"/>
        </w:rPr>
        <w:t>Evagorou</w:t>
      </w:r>
      <w:proofErr w:type="spellEnd"/>
      <w:r w:rsidRPr="001F31FB">
        <w:rPr>
          <w:sz w:val="24"/>
          <w:szCs w:val="24"/>
          <w:lang w:val="en"/>
        </w:rPr>
        <w:t xml:space="preserve"> &amp; </w:t>
      </w:r>
      <w:proofErr w:type="spellStart"/>
      <w:r w:rsidRPr="001F31FB">
        <w:rPr>
          <w:sz w:val="24"/>
          <w:szCs w:val="24"/>
          <w:lang w:val="en"/>
        </w:rPr>
        <w:t>Makariou</w:t>
      </w:r>
      <w:proofErr w:type="spellEnd"/>
    </w:p>
    <w:p w14:paraId="2A2D12B9" w14:textId="278F41F8" w:rsidR="0026765F" w:rsidRPr="001F31FB" w:rsidRDefault="0026765F" w:rsidP="001F31FB">
      <w:pPr>
        <w:ind w:left="851"/>
        <w:rPr>
          <w:sz w:val="24"/>
          <w:szCs w:val="24"/>
          <w:lang w:val="en"/>
        </w:rPr>
      </w:pPr>
      <w:r w:rsidRPr="001F31FB">
        <w:rPr>
          <w:sz w:val="24"/>
          <w:szCs w:val="24"/>
          <w:lang w:val="en"/>
        </w:rPr>
        <w:t>Mitsi Building 3, Office 115</w:t>
      </w:r>
    </w:p>
    <w:p w14:paraId="62B0D004" w14:textId="77777777" w:rsidR="00B1073C" w:rsidRDefault="00B1073C" w:rsidP="001F31FB">
      <w:pPr>
        <w:ind w:left="851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1065 </w:t>
      </w:r>
      <w:r w:rsidR="0026765F" w:rsidRPr="001F31FB">
        <w:rPr>
          <w:sz w:val="24"/>
          <w:szCs w:val="24"/>
          <w:lang w:val="en"/>
        </w:rPr>
        <w:t>Nicosia</w:t>
      </w:r>
    </w:p>
    <w:p w14:paraId="1E3408E5" w14:textId="3863AB56" w:rsidR="0026765F" w:rsidRPr="001F31FB" w:rsidRDefault="0026765F" w:rsidP="001F31FB">
      <w:pPr>
        <w:ind w:left="851"/>
        <w:rPr>
          <w:sz w:val="24"/>
          <w:szCs w:val="24"/>
          <w:lang w:val="en"/>
        </w:rPr>
      </w:pPr>
      <w:proofErr w:type="spellStart"/>
      <w:r w:rsidRPr="001F31FB">
        <w:rPr>
          <w:sz w:val="24"/>
          <w:szCs w:val="24"/>
          <w:lang w:val="en"/>
        </w:rPr>
        <w:t>Cypern</w:t>
      </w:r>
      <w:proofErr w:type="spellEnd"/>
    </w:p>
    <w:p w14:paraId="1ED456EB" w14:textId="77777777" w:rsidR="009260DE" w:rsidRPr="00DC00EA" w:rsidRDefault="009260DE" w:rsidP="001F31FB">
      <w:pPr>
        <w:ind w:left="851"/>
        <w:rPr>
          <w:sz w:val="24"/>
          <w:szCs w:val="24"/>
          <w:lang w:val="en-US"/>
        </w:rPr>
      </w:pPr>
    </w:p>
    <w:p w14:paraId="53172AB8" w14:textId="77777777" w:rsidR="00641C65" w:rsidRPr="00DC00EA" w:rsidRDefault="00641C65" w:rsidP="001F31FB">
      <w:pPr>
        <w:ind w:left="851"/>
        <w:rPr>
          <w:sz w:val="24"/>
          <w:szCs w:val="24"/>
          <w:lang w:val="en-US"/>
        </w:rPr>
      </w:pPr>
      <w:proofErr w:type="spellStart"/>
      <w:r w:rsidRPr="00DC00EA">
        <w:rPr>
          <w:b/>
          <w:sz w:val="24"/>
          <w:szCs w:val="24"/>
          <w:lang w:val="en-US"/>
        </w:rPr>
        <w:t>Repræsentant</w:t>
      </w:r>
      <w:proofErr w:type="spellEnd"/>
    </w:p>
    <w:p w14:paraId="59C6D1D9" w14:textId="77777777" w:rsidR="0026765F" w:rsidRPr="001F31FB" w:rsidRDefault="0026765F" w:rsidP="001F31FB">
      <w:pPr>
        <w:ind w:left="851"/>
        <w:rPr>
          <w:sz w:val="24"/>
          <w:szCs w:val="24"/>
          <w:lang w:val="sv-SE"/>
        </w:rPr>
      </w:pPr>
      <w:r w:rsidRPr="001F31FB">
        <w:rPr>
          <w:sz w:val="24"/>
          <w:szCs w:val="24"/>
          <w:lang w:val="sv-SE"/>
        </w:rPr>
        <w:t>FrostPharma AB</w:t>
      </w:r>
    </w:p>
    <w:p w14:paraId="3B6D4B86" w14:textId="77777777" w:rsidR="0026765F" w:rsidRPr="001F31FB" w:rsidRDefault="0026765F" w:rsidP="001F31FB">
      <w:pPr>
        <w:ind w:left="851"/>
        <w:rPr>
          <w:sz w:val="24"/>
          <w:szCs w:val="24"/>
          <w:lang w:val="sv-SE"/>
        </w:rPr>
      </w:pPr>
      <w:r w:rsidRPr="001F31FB">
        <w:rPr>
          <w:sz w:val="24"/>
          <w:szCs w:val="24"/>
          <w:lang w:val="sv-SE"/>
        </w:rPr>
        <w:t>Berga Backe 2</w:t>
      </w:r>
    </w:p>
    <w:p w14:paraId="6AF7176A" w14:textId="77777777" w:rsidR="0026765F" w:rsidRPr="001F31FB" w:rsidRDefault="0026765F" w:rsidP="001F31FB">
      <w:pPr>
        <w:ind w:left="851"/>
        <w:rPr>
          <w:sz w:val="24"/>
          <w:szCs w:val="24"/>
          <w:lang w:val="sv-SE"/>
        </w:rPr>
      </w:pPr>
      <w:r w:rsidRPr="001F31FB">
        <w:rPr>
          <w:sz w:val="24"/>
          <w:szCs w:val="24"/>
          <w:lang w:val="sv-SE"/>
        </w:rPr>
        <w:t>182 53 Danderyd</w:t>
      </w:r>
    </w:p>
    <w:p w14:paraId="244A1F24" w14:textId="77777777" w:rsidR="0026765F" w:rsidRPr="001F31FB" w:rsidRDefault="0026765F" w:rsidP="001F31FB">
      <w:pPr>
        <w:ind w:left="851"/>
        <w:rPr>
          <w:sz w:val="24"/>
          <w:szCs w:val="24"/>
          <w:lang w:val="sv-SE"/>
        </w:rPr>
      </w:pPr>
      <w:r w:rsidRPr="001F31FB">
        <w:rPr>
          <w:sz w:val="24"/>
          <w:szCs w:val="24"/>
          <w:lang w:val="sv-SE"/>
        </w:rPr>
        <w:t>Sverige</w:t>
      </w:r>
    </w:p>
    <w:p w14:paraId="27F32B85" w14:textId="77777777" w:rsidR="00641C65" w:rsidRPr="001F31FB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6D964E9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8.</w:t>
      </w:r>
      <w:r w:rsidRPr="001F31FB">
        <w:rPr>
          <w:b/>
          <w:sz w:val="24"/>
          <w:szCs w:val="24"/>
        </w:rPr>
        <w:tab/>
        <w:t>MARKEDSFØRINGSTILLADELSESNUMMER (</w:t>
      </w:r>
      <w:r w:rsidR="00BF6243" w:rsidRPr="001F31FB">
        <w:rPr>
          <w:b/>
          <w:sz w:val="24"/>
          <w:szCs w:val="24"/>
        </w:rPr>
        <w:t>-</w:t>
      </w:r>
      <w:r w:rsidRPr="001F31FB">
        <w:rPr>
          <w:b/>
          <w:sz w:val="24"/>
          <w:szCs w:val="24"/>
        </w:rPr>
        <w:t>NUMRE)</w:t>
      </w:r>
    </w:p>
    <w:p w14:paraId="4D00FF15" w14:textId="016F7D79" w:rsidR="009260DE" w:rsidRPr="001F31FB" w:rsidRDefault="0026765F" w:rsidP="009260DE">
      <w:pPr>
        <w:tabs>
          <w:tab w:val="left" w:pos="851"/>
        </w:tabs>
        <w:ind w:left="851"/>
        <w:rPr>
          <w:sz w:val="24"/>
          <w:szCs w:val="24"/>
        </w:rPr>
      </w:pPr>
      <w:r w:rsidRPr="001F31FB">
        <w:rPr>
          <w:sz w:val="24"/>
          <w:szCs w:val="24"/>
        </w:rPr>
        <w:t>250 mg: 72212</w:t>
      </w:r>
    </w:p>
    <w:p w14:paraId="1AD50E9D" w14:textId="429D9711" w:rsidR="0026765F" w:rsidRPr="001F31FB" w:rsidRDefault="0026765F" w:rsidP="009260DE">
      <w:pPr>
        <w:tabs>
          <w:tab w:val="left" w:pos="851"/>
        </w:tabs>
        <w:ind w:left="851"/>
        <w:rPr>
          <w:sz w:val="24"/>
          <w:szCs w:val="24"/>
        </w:rPr>
      </w:pPr>
      <w:r w:rsidRPr="001F31FB">
        <w:rPr>
          <w:sz w:val="24"/>
          <w:szCs w:val="24"/>
        </w:rPr>
        <w:t>500 mg: 72213</w:t>
      </w:r>
    </w:p>
    <w:p w14:paraId="3A46AA90" w14:textId="77777777" w:rsidR="009260DE" w:rsidRPr="001F31FB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440A194C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9.</w:t>
      </w:r>
      <w:r w:rsidRPr="001F31FB">
        <w:rPr>
          <w:b/>
          <w:sz w:val="24"/>
          <w:szCs w:val="24"/>
        </w:rPr>
        <w:tab/>
        <w:t>DATO FOR FØRSTE MARKEDSFØRINGSTILLADELSE</w:t>
      </w:r>
    </w:p>
    <w:p w14:paraId="52796149" w14:textId="1FF4F7BE" w:rsidR="009260DE" w:rsidRPr="001F31FB" w:rsidRDefault="00DC00EA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7. januar 2025</w:t>
      </w:r>
    </w:p>
    <w:p w14:paraId="1595FDD8" w14:textId="77777777" w:rsidR="009260DE" w:rsidRPr="001F31F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6381685" w14:textId="77777777" w:rsidR="009260DE" w:rsidRPr="001F31F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F31FB">
        <w:rPr>
          <w:b/>
          <w:sz w:val="24"/>
          <w:szCs w:val="24"/>
        </w:rPr>
        <w:t>10.</w:t>
      </w:r>
      <w:r w:rsidRPr="001F31FB">
        <w:rPr>
          <w:b/>
          <w:sz w:val="24"/>
          <w:szCs w:val="24"/>
        </w:rPr>
        <w:tab/>
        <w:t>DATO FOR ÆNDRING AF TEKSTEN</w:t>
      </w:r>
    </w:p>
    <w:p w14:paraId="20C4B7FF" w14:textId="35A44168" w:rsidR="009260DE" w:rsidRPr="001F31FB" w:rsidRDefault="0026765F" w:rsidP="009260DE">
      <w:pPr>
        <w:tabs>
          <w:tab w:val="left" w:pos="851"/>
        </w:tabs>
        <w:ind w:left="851"/>
        <w:rPr>
          <w:sz w:val="24"/>
          <w:szCs w:val="24"/>
        </w:rPr>
      </w:pPr>
      <w:r w:rsidRPr="001F31FB">
        <w:rPr>
          <w:sz w:val="24"/>
          <w:szCs w:val="24"/>
        </w:rPr>
        <w:t>-</w:t>
      </w:r>
    </w:p>
    <w:sectPr w:rsidR="009260DE" w:rsidRPr="001F31FB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FFDF9" w14:textId="77777777" w:rsidR="00D36CAB" w:rsidRDefault="00D36CAB">
      <w:r>
        <w:separator/>
      </w:r>
    </w:p>
  </w:endnote>
  <w:endnote w:type="continuationSeparator" w:id="0">
    <w:p w14:paraId="2A8E207A" w14:textId="77777777" w:rsidR="00D36CAB" w:rsidRDefault="00D3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757AE" w14:textId="77777777" w:rsidR="000259B9" w:rsidRDefault="000259B9">
    <w:pPr>
      <w:pStyle w:val="Sidefod"/>
      <w:pBdr>
        <w:bottom w:val="single" w:sz="6" w:space="1" w:color="auto"/>
      </w:pBdr>
    </w:pPr>
  </w:p>
  <w:p w14:paraId="73BB8413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7BC6D33F" w14:textId="2DB2B751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AC2CC5">
      <w:rPr>
        <w:i/>
        <w:noProof/>
        <w:sz w:val="18"/>
        <w:szCs w:val="18"/>
      </w:rPr>
      <w:t>Aciclovir Noridem, pulver til infusionsvæske, opløsning 250 mg og 500 mg.docx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458E4" w14:textId="77777777" w:rsidR="00D36CAB" w:rsidRDefault="00D36CAB">
      <w:r>
        <w:separator/>
      </w:r>
    </w:p>
  </w:footnote>
  <w:footnote w:type="continuationSeparator" w:id="0">
    <w:p w14:paraId="1607F5B5" w14:textId="77777777" w:rsidR="00D36CAB" w:rsidRDefault="00D36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2B64"/>
    <w:multiLevelType w:val="hybridMultilevel"/>
    <w:tmpl w:val="AB508FF4"/>
    <w:lvl w:ilvl="0" w:tplc="972A9A2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976321"/>
    <w:multiLevelType w:val="multilevel"/>
    <w:tmpl w:val="704692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6D20D38"/>
    <w:multiLevelType w:val="multilevel"/>
    <w:tmpl w:val="A9E4FD6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B0B79A2"/>
    <w:multiLevelType w:val="hybridMultilevel"/>
    <w:tmpl w:val="FF642C5C"/>
    <w:lvl w:ilvl="0" w:tplc="972A9A2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7" w15:restartNumberingAfterBreak="0">
    <w:nsid w:val="378B1D46"/>
    <w:multiLevelType w:val="hybridMultilevel"/>
    <w:tmpl w:val="380208C8"/>
    <w:lvl w:ilvl="0" w:tplc="972A9A2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8803E9D"/>
    <w:multiLevelType w:val="hybridMultilevel"/>
    <w:tmpl w:val="C1C08474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B241ECC"/>
    <w:multiLevelType w:val="hybridMultilevel"/>
    <w:tmpl w:val="78003418"/>
    <w:lvl w:ilvl="0" w:tplc="972A9A2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47901C8B"/>
    <w:multiLevelType w:val="hybridMultilevel"/>
    <w:tmpl w:val="8F425EC6"/>
    <w:lvl w:ilvl="0" w:tplc="972A9A2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67380E8D"/>
    <w:multiLevelType w:val="hybridMultilevel"/>
    <w:tmpl w:val="D02A934E"/>
    <w:lvl w:ilvl="0" w:tplc="67048D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A8F3CCE"/>
    <w:multiLevelType w:val="hybridMultilevel"/>
    <w:tmpl w:val="B9E049FE"/>
    <w:lvl w:ilvl="0" w:tplc="972A9A2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DD13F39"/>
    <w:multiLevelType w:val="hybridMultilevel"/>
    <w:tmpl w:val="735E6188"/>
    <w:lvl w:ilvl="0" w:tplc="972A9A2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7FF51A3"/>
    <w:multiLevelType w:val="hybridMultilevel"/>
    <w:tmpl w:val="1F5EB61A"/>
    <w:lvl w:ilvl="0" w:tplc="972A9A2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13"/>
  </w:num>
  <w:num w:numId="9">
    <w:abstractNumId w:val="7"/>
  </w:num>
  <w:num w:numId="10">
    <w:abstractNumId w:val="0"/>
  </w:num>
  <w:num w:numId="11">
    <w:abstractNumId w:val="14"/>
  </w:num>
  <w:num w:numId="12">
    <w:abstractNumId w:val="16"/>
  </w:num>
  <w:num w:numId="13">
    <w:abstractNumId w:val="4"/>
  </w:num>
  <w:num w:numId="14">
    <w:abstractNumId w:val="9"/>
  </w:num>
  <w:num w:numId="15">
    <w:abstractNumId w:val="15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AB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454E2"/>
    <w:rsid w:val="001F31FB"/>
    <w:rsid w:val="00206CE8"/>
    <w:rsid w:val="0021526C"/>
    <w:rsid w:val="00215534"/>
    <w:rsid w:val="0026765F"/>
    <w:rsid w:val="00283A2B"/>
    <w:rsid w:val="002B30AD"/>
    <w:rsid w:val="002C1EC0"/>
    <w:rsid w:val="002C2C01"/>
    <w:rsid w:val="003A29AE"/>
    <w:rsid w:val="003A32D7"/>
    <w:rsid w:val="003B4074"/>
    <w:rsid w:val="003C769A"/>
    <w:rsid w:val="003D3A90"/>
    <w:rsid w:val="003E4B4D"/>
    <w:rsid w:val="003F1838"/>
    <w:rsid w:val="00415E2D"/>
    <w:rsid w:val="004251C1"/>
    <w:rsid w:val="0045746C"/>
    <w:rsid w:val="0049104B"/>
    <w:rsid w:val="004E3B12"/>
    <w:rsid w:val="00532310"/>
    <w:rsid w:val="0056308E"/>
    <w:rsid w:val="00565F0F"/>
    <w:rsid w:val="00594A86"/>
    <w:rsid w:val="00596D86"/>
    <w:rsid w:val="006361A7"/>
    <w:rsid w:val="00637F5A"/>
    <w:rsid w:val="00641C65"/>
    <w:rsid w:val="006560B1"/>
    <w:rsid w:val="006756DD"/>
    <w:rsid w:val="0071241E"/>
    <w:rsid w:val="00737275"/>
    <w:rsid w:val="00740EEC"/>
    <w:rsid w:val="0078011A"/>
    <w:rsid w:val="00782AF4"/>
    <w:rsid w:val="00790EE7"/>
    <w:rsid w:val="007B6649"/>
    <w:rsid w:val="0082576E"/>
    <w:rsid w:val="0089346F"/>
    <w:rsid w:val="00907F75"/>
    <w:rsid w:val="009260DE"/>
    <w:rsid w:val="0093258A"/>
    <w:rsid w:val="009C7BA3"/>
    <w:rsid w:val="009D1F5A"/>
    <w:rsid w:val="00A10294"/>
    <w:rsid w:val="00AC2CC5"/>
    <w:rsid w:val="00AF2A4B"/>
    <w:rsid w:val="00B003BF"/>
    <w:rsid w:val="00B1073C"/>
    <w:rsid w:val="00B373D7"/>
    <w:rsid w:val="00B55271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36CAB"/>
    <w:rsid w:val="00D84EB2"/>
    <w:rsid w:val="00D93992"/>
    <w:rsid w:val="00DC00EA"/>
    <w:rsid w:val="00DD1A5D"/>
    <w:rsid w:val="00E108AA"/>
    <w:rsid w:val="00E3749A"/>
    <w:rsid w:val="00E7437F"/>
    <w:rsid w:val="00E865B8"/>
    <w:rsid w:val="00EC0B9B"/>
    <w:rsid w:val="00ED5E9F"/>
    <w:rsid w:val="00F66D4F"/>
    <w:rsid w:val="00F92414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F5517"/>
  <w15:chartTrackingRefBased/>
  <w15:docId w15:val="{DD7C1646-8471-450E-BFBE-35A70665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26765F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en-US"/>
    </w:rPr>
  </w:style>
  <w:style w:type="character" w:customStyle="1" w:styleId="Bodytext2">
    <w:name w:val="Body text (2)_"/>
    <w:basedOn w:val="Standardskrifttypeiafsnit"/>
    <w:link w:val="Bodytext20"/>
    <w:locked/>
    <w:rsid w:val="0026765F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6765F"/>
    <w:pPr>
      <w:widowControl w:val="0"/>
      <w:shd w:val="clear" w:color="auto" w:fill="FFFFFF"/>
      <w:spacing w:line="336" w:lineRule="exact"/>
      <w:ind w:hanging="600"/>
    </w:pPr>
    <w:rPr>
      <w:rFonts w:ascii="Verdana" w:eastAsia="Verdana" w:hAnsi="Verdana" w:cs="Verdana"/>
      <w:sz w:val="18"/>
      <w:szCs w:val="18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26765F"/>
    <w:rPr>
      <w:color w:val="0563C1" w:themeColor="hyperlink"/>
      <w:u w:val="single"/>
    </w:rPr>
  </w:style>
  <w:style w:type="paragraph" w:customStyle="1" w:styleId="Default">
    <w:name w:val="Default"/>
    <w:rsid w:val="0026765F"/>
    <w:pPr>
      <w:autoSpaceDE w:val="0"/>
      <w:autoSpaceDN w:val="0"/>
      <w:adjustRightInd w:val="0"/>
    </w:pPr>
    <w:rPr>
      <w:rFonts w:eastAsia="Courier New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48</TotalTime>
  <Pages>14</Pages>
  <Words>4043</Words>
  <Characters>25868</Characters>
  <Application>Microsoft Office Word</Application>
  <DocSecurity>0</DocSecurity>
  <Lines>215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2024074148, MT</dc:description>
  <cp:lastModifiedBy>Gitte Jørgensen</cp:lastModifiedBy>
  <cp:revision>13</cp:revision>
  <cp:lastPrinted>2012-08-22T08:53:00Z</cp:lastPrinted>
  <dcterms:created xsi:type="dcterms:W3CDTF">2025-01-07T07:36:00Z</dcterms:created>
  <dcterms:modified xsi:type="dcterms:W3CDTF">2025-01-07T08:47:00Z</dcterms:modified>
</cp:coreProperties>
</file>