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C3969" w:rsidRPr="00113684" w:rsidRDefault="00EC3969" w:rsidP="00EC3969">
      <w:pPr>
        <w:rPr>
          <w:sz w:val="24"/>
          <w:szCs w:val="24"/>
        </w:rPr>
      </w:pP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Pr="00113684">
        <w:rPr>
          <w:sz w:val="24"/>
          <w:szCs w:val="24"/>
        </w:rPr>
        <w:fldChar w:fldCharType="begin"/>
      </w:r>
      <w:r w:rsidRPr="00113684">
        <w:rPr>
          <w:sz w:val="24"/>
          <w:szCs w:val="24"/>
        </w:rPr>
        <w:instrText xml:space="preserve"> INCLUDEPICTURE  "cid:image004.jpg@01D117E9.E5553340" \* MERGEFORMATINET </w:instrText>
      </w:r>
      <w:r w:rsidRPr="00113684">
        <w:rPr>
          <w:sz w:val="24"/>
          <w:szCs w:val="24"/>
        </w:rPr>
        <w:fldChar w:fldCharType="separate"/>
      </w:r>
      <w:r w:rsidR="007E1A5B" w:rsidRPr="00113684">
        <w:rPr>
          <w:sz w:val="24"/>
          <w:szCs w:val="24"/>
        </w:rPr>
        <w:fldChar w:fldCharType="begin"/>
      </w:r>
      <w:r w:rsidR="007E1A5B" w:rsidRPr="00113684">
        <w:rPr>
          <w:sz w:val="24"/>
          <w:szCs w:val="24"/>
        </w:rPr>
        <w:instrText xml:space="preserve"> INCLUDEPICTURE  "cid:image004.jpg@01D117E9.E5553340" \* MERGEFORMATINET </w:instrText>
      </w:r>
      <w:r w:rsidR="007E1A5B" w:rsidRPr="00113684">
        <w:rPr>
          <w:sz w:val="24"/>
          <w:szCs w:val="24"/>
        </w:rPr>
        <w:fldChar w:fldCharType="separate"/>
      </w:r>
      <w:r w:rsidR="00413D1B" w:rsidRPr="00113684">
        <w:rPr>
          <w:sz w:val="24"/>
          <w:szCs w:val="24"/>
        </w:rPr>
        <w:fldChar w:fldCharType="begin"/>
      </w:r>
      <w:r w:rsidR="00413D1B" w:rsidRPr="00113684">
        <w:rPr>
          <w:sz w:val="24"/>
          <w:szCs w:val="24"/>
        </w:rPr>
        <w:instrText xml:space="preserve"> INCLUDEPICTURE  "cid:image004.jpg@01D117E9.E5553340" \* MERGEFORMATINET </w:instrText>
      </w:r>
      <w:r w:rsidR="00413D1B" w:rsidRPr="00113684">
        <w:rPr>
          <w:sz w:val="24"/>
          <w:szCs w:val="24"/>
        </w:rPr>
        <w:fldChar w:fldCharType="separate"/>
      </w:r>
      <w:r w:rsidR="00B30DC6">
        <w:rPr>
          <w:sz w:val="24"/>
          <w:szCs w:val="24"/>
        </w:rPr>
        <w:fldChar w:fldCharType="begin"/>
      </w:r>
      <w:r w:rsidR="00B30DC6">
        <w:rPr>
          <w:sz w:val="24"/>
          <w:szCs w:val="24"/>
        </w:rPr>
        <w:instrText xml:space="preserve"> INCLUDEPICTURE  "cid:image004.jpg@01D117E9.E5553340" \* MERGEFORMATINET </w:instrText>
      </w:r>
      <w:r w:rsidR="00B30DC6">
        <w:rPr>
          <w:sz w:val="24"/>
          <w:szCs w:val="24"/>
        </w:rPr>
        <w:fldChar w:fldCharType="separate"/>
      </w:r>
      <w:r w:rsidR="00486D99">
        <w:rPr>
          <w:sz w:val="24"/>
          <w:szCs w:val="24"/>
        </w:rPr>
        <w:fldChar w:fldCharType="begin"/>
      </w:r>
      <w:r w:rsidR="00486D99">
        <w:rPr>
          <w:sz w:val="24"/>
          <w:szCs w:val="24"/>
        </w:rPr>
        <w:instrText xml:space="preserve"> INCLUDEPICTURE  "cid:image004.jpg@01D117E9.E5553340" \* MERGEFORMATINET </w:instrText>
      </w:r>
      <w:r w:rsidR="00486D99">
        <w:rPr>
          <w:sz w:val="24"/>
          <w:szCs w:val="24"/>
        </w:rPr>
        <w:fldChar w:fldCharType="separate"/>
      </w:r>
      <w:r w:rsidR="00C23C1E">
        <w:rPr>
          <w:sz w:val="24"/>
          <w:szCs w:val="24"/>
        </w:rPr>
        <w:fldChar w:fldCharType="begin"/>
      </w:r>
      <w:r w:rsidR="00C23C1E">
        <w:rPr>
          <w:sz w:val="24"/>
          <w:szCs w:val="24"/>
        </w:rPr>
        <w:instrText xml:space="preserve"> INCLUDEPICTURE  "cid:image004.jpg@01D117E9.E5553340" \* MERGEFORMATINET </w:instrText>
      </w:r>
      <w:r w:rsidR="00C23C1E">
        <w:rPr>
          <w:sz w:val="24"/>
          <w:szCs w:val="24"/>
        </w:rPr>
        <w:fldChar w:fldCharType="separate"/>
      </w:r>
      <w:r w:rsidR="00561AAF">
        <w:rPr>
          <w:sz w:val="24"/>
          <w:szCs w:val="24"/>
        </w:rPr>
        <w:fldChar w:fldCharType="begin"/>
      </w:r>
      <w:r w:rsidR="00561AAF">
        <w:rPr>
          <w:sz w:val="24"/>
          <w:szCs w:val="24"/>
        </w:rPr>
        <w:instrText xml:space="preserve"> INCLUDEPICTURE  "cid:image004.jpg@01D117E9.E5553340" \* MERGEFORMATINET </w:instrText>
      </w:r>
      <w:r w:rsidR="00561AAF">
        <w:rPr>
          <w:sz w:val="24"/>
          <w:szCs w:val="24"/>
        </w:rPr>
        <w:fldChar w:fldCharType="separate"/>
      </w:r>
      <w:r w:rsidR="00E76822">
        <w:rPr>
          <w:sz w:val="24"/>
          <w:szCs w:val="24"/>
        </w:rPr>
        <w:fldChar w:fldCharType="begin"/>
      </w:r>
      <w:r w:rsidR="00E76822">
        <w:rPr>
          <w:sz w:val="24"/>
          <w:szCs w:val="24"/>
        </w:rPr>
        <w:instrText xml:space="preserve"> </w:instrText>
      </w:r>
      <w:r w:rsidR="00E76822">
        <w:rPr>
          <w:sz w:val="24"/>
          <w:szCs w:val="24"/>
        </w:rPr>
        <w:instrText>INCLUDEPICTURE  "cid:image004.jpg@01</w:instrText>
      </w:r>
      <w:r w:rsidR="00E76822">
        <w:rPr>
          <w:sz w:val="24"/>
          <w:szCs w:val="24"/>
        </w:rPr>
        <w:instrText>D117E9.E5553340" \* MERGEFORMATINET</w:instrText>
      </w:r>
      <w:r w:rsidR="00E76822">
        <w:rPr>
          <w:sz w:val="24"/>
          <w:szCs w:val="24"/>
        </w:rPr>
        <w:instrText xml:space="preserve"> </w:instrText>
      </w:r>
      <w:r w:rsidR="00E76822">
        <w:rPr>
          <w:sz w:val="24"/>
          <w:szCs w:val="24"/>
        </w:rPr>
        <w:fldChar w:fldCharType="separate"/>
      </w:r>
      <w:r w:rsidR="005D449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E76822">
        <w:rPr>
          <w:sz w:val="24"/>
          <w:szCs w:val="24"/>
        </w:rPr>
        <w:fldChar w:fldCharType="end"/>
      </w:r>
      <w:r w:rsidR="00561AAF">
        <w:rPr>
          <w:sz w:val="24"/>
          <w:szCs w:val="24"/>
        </w:rPr>
        <w:fldChar w:fldCharType="end"/>
      </w:r>
      <w:r w:rsidR="00C23C1E">
        <w:rPr>
          <w:sz w:val="24"/>
          <w:szCs w:val="24"/>
        </w:rPr>
        <w:fldChar w:fldCharType="end"/>
      </w:r>
      <w:r w:rsidR="00486D99">
        <w:rPr>
          <w:sz w:val="24"/>
          <w:szCs w:val="24"/>
        </w:rPr>
        <w:fldChar w:fldCharType="end"/>
      </w:r>
      <w:r w:rsidR="00B30DC6">
        <w:rPr>
          <w:sz w:val="24"/>
          <w:szCs w:val="24"/>
        </w:rPr>
        <w:fldChar w:fldCharType="end"/>
      </w:r>
      <w:r w:rsidR="00413D1B" w:rsidRPr="00113684">
        <w:rPr>
          <w:sz w:val="24"/>
          <w:szCs w:val="24"/>
        </w:rPr>
        <w:fldChar w:fldCharType="end"/>
      </w:r>
      <w:r w:rsidR="007E1A5B" w:rsidRPr="00113684">
        <w:rPr>
          <w:sz w:val="24"/>
          <w:szCs w:val="24"/>
        </w:rPr>
        <w:fldChar w:fldCharType="end"/>
      </w:r>
      <w:r w:rsidRPr="00113684">
        <w:rPr>
          <w:sz w:val="24"/>
          <w:szCs w:val="24"/>
        </w:rPr>
        <w:fldChar w:fldCharType="end"/>
      </w:r>
      <w:r w:rsidRPr="00113684">
        <w:rPr>
          <w:sz w:val="24"/>
          <w:szCs w:val="24"/>
        </w:rPr>
        <w:fldChar w:fldCharType="end"/>
      </w:r>
      <w:r w:rsidRPr="00113684">
        <w:rPr>
          <w:sz w:val="24"/>
          <w:szCs w:val="24"/>
        </w:rPr>
        <w:fldChar w:fldCharType="end"/>
      </w:r>
      <w:r w:rsidRPr="00113684">
        <w:rPr>
          <w:sz w:val="24"/>
          <w:szCs w:val="24"/>
        </w:rPr>
        <w:fldChar w:fldCharType="end"/>
      </w:r>
      <w:r w:rsidRPr="00113684">
        <w:rPr>
          <w:sz w:val="24"/>
          <w:szCs w:val="24"/>
        </w:rPr>
        <w:fldChar w:fldCharType="end"/>
      </w:r>
      <w:r w:rsidRPr="00113684">
        <w:rPr>
          <w:sz w:val="24"/>
          <w:szCs w:val="24"/>
        </w:rPr>
        <w:fldChar w:fldCharType="end"/>
      </w:r>
      <w:r w:rsidRPr="00113684">
        <w:rPr>
          <w:sz w:val="24"/>
          <w:szCs w:val="24"/>
        </w:rPr>
        <w:fldChar w:fldCharType="end"/>
      </w:r>
    </w:p>
    <w:p w:rsidR="00EC3969" w:rsidRPr="00113684" w:rsidRDefault="00EC3969" w:rsidP="005F7BF5">
      <w:pPr>
        <w:pStyle w:val="Titel"/>
        <w:jc w:val="left"/>
        <w:rPr>
          <w:b w:val="0"/>
          <w:szCs w:val="24"/>
          <w:lang w:eastAsia="en-US"/>
        </w:rPr>
      </w:pPr>
      <w:r w:rsidRPr="00113684">
        <w:rPr>
          <w:b w:val="0"/>
          <w:szCs w:val="24"/>
          <w:lang w:eastAsia="en-US"/>
        </w:rPr>
        <w:tab/>
      </w:r>
    </w:p>
    <w:p w:rsidR="005F7BF5" w:rsidRPr="00113684" w:rsidRDefault="005F7BF5" w:rsidP="005F7BF5">
      <w:pPr>
        <w:pStyle w:val="Titel"/>
        <w:jc w:val="left"/>
        <w:rPr>
          <w:b w:val="0"/>
          <w:szCs w:val="24"/>
          <w:lang w:eastAsia="en-US"/>
        </w:rPr>
      </w:pPr>
    </w:p>
    <w:p w:rsidR="00EC3969" w:rsidRPr="00113684" w:rsidRDefault="00E76822" w:rsidP="00EC3969">
      <w:pPr>
        <w:pStyle w:val="Titel"/>
        <w:tabs>
          <w:tab w:val="right" w:pos="9356"/>
        </w:tabs>
        <w:jc w:val="right"/>
        <w:rPr>
          <w:szCs w:val="24"/>
          <w:lang w:eastAsia="en-US"/>
        </w:rPr>
      </w:pPr>
      <w:r>
        <w:rPr>
          <w:szCs w:val="24"/>
          <w:lang w:eastAsia="en-US"/>
        </w:rPr>
        <w:t>5</w:t>
      </w:r>
      <w:r w:rsidR="00C23C1E">
        <w:rPr>
          <w:szCs w:val="24"/>
          <w:lang w:eastAsia="en-US"/>
        </w:rPr>
        <w:t xml:space="preserve">. </w:t>
      </w:r>
      <w:r>
        <w:rPr>
          <w:szCs w:val="24"/>
          <w:lang w:eastAsia="en-US"/>
        </w:rPr>
        <w:t>marts</w:t>
      </w:r>
      <w:r w:rsidR="00C23C1E">
        <w:rPr>
          <w:szCs w:val="24"/>
          <w:lang w:eastAsia="en-US"/>
        </w:rPr>
        <w:t xml:space="preserve"> 202</w:t>
      </w:r>
      <w:r>
        <w:rPr>
          <w:szCs w:val="24"/>
          <w:lang w:eastAsia="en-US"/>
        </w:rPr>
        <w:t>4</w:t>
      </w:r>
    </w:p>
    <w:p w:rsidR="00EC3969" w:rsidRPr="00113684" w:rsidRDefault="00EC3969" w:rsidP="00EC3969">
      <w:pPr>
        <w:pStyle w:val="Titel"/>
        <w:jc w:val="left"/>
        <w:rPr>
          <w:b w:val="0"/>
          <w:szCs w:val="24"/>
        </w:rPr>
      </w:pPr>
    </w:p>
    <w:p w:rsidR="00EC3969" w:rsidRPr="00113684" w:rsidRDefault="00EC3969" w:rsidP="00EC3969">
      <w:pPr>
        <w:pStyle w:val="Titel"/>
        <w:jc w:val="left"/>
        <w:rPr>
          <w:b w:val="0"/>
          <w:szCs w:val="24"/>
        </w:rPr>
      </w:pPr>
    </w:p>
    <w:p w:rsidR="00EC3969" w:rsidRPr="00113684" w:rsidRDefault="00EC3969" w:rsidP="00EC3969">
      <w:pPr>
        <w:jc w:val="center"/>
        <w:rPr>
          <w:b/>
          <w:sz w:val="24"/>
          <w:szCs w:val="24"/>
        </w:rPr>
      </w:pPr>
      <w:r w:rsidRPr="00113684">
        <w:rPr>
          <w:b/>
          <w:sz w:val="24"/>
          <w:szCs w:val="24"/>
        </w:rPr>
        <w:t>PRODUKTRESUMÉ</w:t>
      </w:r>
    </w:p>
    <w:p w:rsidR="00EC3969" w:rsidRPr="00113684" w:rsidRDefault="00EC3969" w:rsidP="00EC3969">
      <w:pPr>
        <w:jc w:val="center"/>
        <w:rPr>
          <w:b/>
          <w:sz w:val="24"/>
          <w:szCs w:val="24"/>
        </w:rPr>
      </w:pPr>
    </w:p>
    <w:p w:rsidR="00EC3969" w:rsidRPr="00113684" w:rsidRDefault="00EC3969" w:rsidP="00EC3969">
      <w:pPr>
        <w:jc w:val="center"/>
        <w:rPr>
          <w:b/>
          <w:sz w:val="24"/>
          <w:szCs w:val="24"/>
        </w:rPr>
      </w:pPr>
      <w:r w:rsidRPr="00113684">
        <w:rPr>
          <w:b/>
          <w:sz w:val="24"/>
          <w:szCs w:val="24"/>
        </w:rPr>
        <w:t>for</w:t>
      </w:r>
    </w:p>
    <w:p w:rsidR="00EC3969" w:rsidRPr="00113684" w:rsidRDefault="00EC3969" w:rsidP="00EC3969">
      <w:pPr>
        <w:jc w:val="center"/>
        <w:rPr>
          <w:b/>
          <w:sz w:val="24"/>
          <w:szCs w:val="24"/>
        </w:rPr>
      </w:pPr>
    </w:p>
    <w:p w:rsidR="00EC3969" w:rsidRPr="00113684" w:rsidRDefault="00EC3969" w:rsidP="00EC3969">
      <w:pPr>
        <w:jc w:val="center"/>
        <w:rPr>
          <w:b/>
          <w:sz w:val="24"/>
          <w:szCs w:val="24"/>
        </w:rPr>
      </w:pPr>
      <w:proofErr w:type="spellStart"/>
      <w:r w:rsidRPr="00113684">
        <w:rPr>
          <w:b/>
          <w:sz w:val="24"/>
          <w:szCs w:val="24"/>
        </w:rPr>
        <w:t>Acnatac</w:t>
      </w:r>
      <w:proofErr w:type="spellEnd"/>
      <w:r w:rsidRPr="00113684">
        <w:rPr>
          <w:b/>
          <w:sz w:val="24"/>
          <w:szCs w:val="24"/>
        </w:rPr>
        <w:t>, gel</w:t>
      </w:r>
      <w:r w:rsidR="00C23C1E">
        <w:rPr>
          <w:b/>
          <w:sz w:val="24"/>
          <w:szCs w:val="24"/>
        </w:rPr>
        <w:t xml:space="preserve"> (</w:t>
      </w:r>
      <w:proofErr w:type="spellStart"/>
      <w:r w:rsidR="00C23C1E">
        <w:rPr>
          <w:b/>
          <w:sz w:val="24"/>
          <w:szCs w:val="24"/>
        </w:rPr>
        <w:t>Paranova</w:t>
      </w:r>
      <w:proofErr w:type="spellEnd"/>
      <w:r w:rsidR="00C23C1E">
        <w:rPr>
          <w:b/>
          <w:sz w:val="24"/>
          <w:szCs w:val="24"/>
        </w:rPr>
        <w:t>)</w:t>
      </w:r>
    </w:p>
    <w:p w:rsidR="00EC3969" w:rsidRPr="00113684" w:rsidRDefault="00EC3969" w:rsidP="00EC3969">
      <w:pPr>
        <w:ind w:left="851" w:hanging="851"/>
        <w:jc w:val="both"/>
        <w:rPr>
          <w:sz w:val="24"/>
          <w:szCs w:val="24"/>
        </w:rPr>
      </w:pPr>
    </w:p>
    <w:p w:rsidR="00EC3969" w:rsidRPr="00113684" w:rsidRDefault="00EC3969" w:rsidP="00EC3969">
      <w:pPr>
        <w:ind w:left="851" w:hanging="851"/>
        <w:rPr>
          <w:b/>
          <w:sz w:val="24"/>
          <w:szCs w:val="24"/>
        </w:rPr>
      </w:pPr>
      <w:r w:rsidRPr="00113684">
        <w:rPr>
          <w:b/>
          <w:sz w:val="24"/>
          <w:szCs w:val="24"/>
        </w:rPr>
        <w:t>0.</w:t>
      </w:r>
      <w:r w:rsidRPr="00113684">
        <w:rPr>
          <w:b/>
          <w:sz w:val="24"/>
          <w:szCs w:val="24"/>
        </w:rPr>
        <w:tab/>
        <w:t>D.SP.NR.</w:t>
      </w:r>
    </w:p>
    <w:p w:rsidR="00EC3969" w:rsidRPr="00113684" w:rsidRDefault="00EC3969" w:rsidP="00EC3969">
      <w:pPr>
        <w:ind w:left="851" w:hanging="851"/>
        <w:rPr>
          <w:sz w:val="24"/>
          <w:szCs w:val="24"/>
        </w:rPr>
      </w:pPr>
      <w:r w:rsidRPr="00113684">
        <w:rPr>
          <w:sz w:val="24"/>
          <w:szCs w:val="24"/>
        </w:rPr>
        <w:tab/>
        <w:t>27865</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1.</w:t>
      </w:r>
      <w:r w:rsidRPr="00113684">
        <w:rPr>
          <w:b/>
          <w:sz w:val="24"/>
          <w:szCs w:val="24"/>
        </w:rPr>
        <w:tab/>
        <w:t>LÆGEMIDLETS NAVN</w:t>
      </w:r>
    </w:p>
    <w:p w:rsidR="00EC3969" w:rsidRPr="00113684" w:rsidRDefault="00EC3969" w:rsidP="00EC3969">
      <w:pPr>
        <w:ind w:left="851" w:hanging="851"/>
        <w:rPr>
          <w:sz w:val="24"/>
          <w:szCs w:val="24"/>
        </w:rPr>
      </w:pPr>
      <w:r w:rsidRPr="00113684">
        <w:rPr>
          <w:sz w:val="24"/>
          <w:szCs w:val="24"/>
        </w:rPr>
        <w:tab/>
        <w:t>Acnatac</w:t>
      </w:r>
    </w:p>
    <w:p w:rsidR="00EC3969" w:rsidRPr="00113684" w:rsidRDefault="00EC3969" w:rsidP="00EC3969">
      <w:pPr>
        <w:ind w:left="851" w:hanging="851"/>
        <w:rPr>
          <w:sz w:val="24"/>
          <w:szCs w:val="24"/>
        </w:rPr>
      </w:pPr>
      <w:r w:rsidRPr="00113684">
        <w:rPr>
          <w:sz w:val="24"/>
          <w:szCs w:val="24"/>
        </w:rPr>
        <w:tab/>
      </w:r>
    </w:p>
    <w:p w:rsidR="00EC3969" w:rsidRPr="00113684" w:rsidRDefault="00EC3969" w:rsidP="00EC3969">
      <w:pPr>
        <w:ind w:left="851" w:hanging="851"/>
        <w:rPr>
          <w:b/>
          <w:sz w:val="24"/>
          <w:szCs w:val="24"/>
        </w:rPr>
      </w:pPr>
      <w:r w:rsidRPr="00113684">
        <w:rPr>
          <w:b/>
          <w:sz w:val="24"/>
          <w:szCs w:val="24"/>
        </w:rPr>
        <w:t>2.</w:t>
      </w:r>
      <w:r w:rsidRPr="00113684">
        <w:rPr>
          <w:b/>
          <w:sz w:val="24"/>
          <w:szCs w:val="24"/>
        </w:rPr>
        <w:tab/>
        <w:t>KVALITATIV OG KVANTITATIV SAMMENSÆTNING</w:t>
      </w:r>
    </w:p>
    <w:p w:rsidR="00EC3969" w:rsidRPr="00113684" w:rsidRDefault="00EC3969" w:rsidP="00EC3969">
      <w:pPr>
        <w:ind w:left="851" w:hanging="851"/>
        <w:rPr>
          <w:sz w:val="24"/>
          <w:szCs w:val="24"/>
        </w:rPr>
      </w:pPr>
      <w:r w:rsidRPr="00113684">
        <w:rPr>
          <w:sz w:val="24"/>
          <w:szCs w:val="24"/>
        </w:rPr>
        <w:tab/>
        <w:t>1 g gel indeholder 10 mg (1 %) clindamycin (som clindamycinphosphat) og 0,25 mg (0,025 %) tretinoin.</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r>
      <w:r w:rsidRPr="00113684">
        <w:rPr>
          <w:sz w:val="24"/>
          <w:szCs w:val="24"/>
          <w:u w:val="single"/>
        </w:rPr>
        <w:t>Hjælpestoffer, som behandleren skal være opmærksom på</w:t>
      </w:r>
      <w:r w:rsidRPr="00113684">
        <w:rPr>
          <w:sz w:val="24"/>
          <w:szCs w:val="24"/>
        </w:rPr>
        <w:br/>
        <w:t>Methylparahydroxybenzoat (E 218): 1,5 mg/g (0,15 %)</w:t>
      </w:r>
      <w:r w:rsidR="00413D1B" w:rsidRPr="00113684">
        <w:rPr>
          <w:sz w:val="24"/>
          <w:szCs w:val="24"/>
        </w:rPr>
        <w:t>.</w:t>
      </w:r>
      <w:r w:rsidRPr="00113684">
        <w:rPr>
          <w:sz w:val="24"/>
          <w:szCs w:val="24"/>
        </w:rPr>
        <w:br/>
        <w:t>Propylparahydroxybenzoat (E216): 0,3 mg/g (0,03 %)</w:t>
      </w:r>
      <w:r w:rsidR="00413D1B" w:rsidRPr="00113684">
        <w:rPr>
          <w:sz w:val="24"/>
          <w:szCs w:val="24"/>
        </w:rPr>
        <w:t>.</w:t>
      </w:r>
      <w:r w:rsidRPr="00113684">
        <w:rPr>
          <w:sz w:val="24"/>
          <w:szCs w:val="24"/>
        </w:rPr>
        <w:br/>
        <w:t>Butylhydroxytoluen</w:t>
      </w:r>
      <w:r w:rsidRPr="00113684">
        <w:rPr>
          <w:b/>
          <w:sz w:val="24"/>
          <w:szCs w:val="24"/>
        </w:rPr>
        <w:t xml:space="preserve"> </w:t>
      </w:r>
      <w:r w:rsidRPr="00113684">
        <w:rPr>
          <w:sz w:val="24"/>
          <w:szCs w:val="24"/>
        </w:rPr>
        <w:t>(E321): 0,2 mg/g (0,02 %)</w:t>
      </w:r>
      <w:r w:rsidR="00413D1B" w:rsidRPr="00113684">
        <w:rPr>
          <w:sz w:val="24"/>
          <w:szCs w:val="24"/>
        </w:rPr>
        <w:t>.</w:t>
      </w:r>
      <w:r w:rsidRPr="00113684">
        <w:rPr>
          <w:sz w:val="24"/>
          <w:szCs w:val="24"/>
        </w:rPr>
        <w:br/>
      </w:r>
    </w:p>
    <w:p w:rsidR="00EC3969" w:rsidRPr="00113684" w:rsidRDefault="00EC3969" w:rsidP="00EC3969">
      <w:pPr>
        <w:ind w:left="851" w:hanging="851"/>
        <w:rPr>
          <w:sz w:val="24"/>
          <w:szCs w:val="24"/>
        </w:rPr>
      </w:pPr>
      <w:r w:rsidRPr="00113684">
        <w:rPr>
          <w:sz w:val="24"/>
          <w:szCs w:val="24"/>
        </w:rPr>
        <w:tab/>
        <w:t>Alle hjælpestoffer er anført under pkt. 6.1.</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3.</w:t>
      </w:r>
      <w:r w:rsidRPr="00113684">
        <w:rPr>
          <w:b/>
          <w:sz w:val="24"/>
          <w:szCs w:val="24"/>
        </w:rPr>
        <w:tab/>
        <w:t>LÆGEMIDDELFORM</w:t>
      </w:r>
    </w:p>
    <w:p w:rsidR="00413D1B" w:rsidRPr="00113684" w:rsidRDefault="00EC3969" w:rsidP="00EC3969">
      <w:pPr>
        <w:ind w:left="851" w:hanging="851"/>
        <w:rPr>
          <w:sz w:val="24"/>
          <w:szCs w:val="24"/>
        </w:rPr>
      </w:pPr>
      <w:r w:rsidRPr="00113684">
        <w:rPr>
          <w:sz w:val="24"/>
          <w:szCs w:val="24"/>
        </w:rPr>
        <w:tab/>
        <w:t>Gel</w:t>
      </w:r>
      <w:r w:rsidR="00C23C1E">
        <w:rPr>
          <w:sz w:val="24"/>
          <w:szCs w:val="24"/>
        </w:rPr>
        <w:t xml:space="preserve"> (Paranova)</w:t>
      </w:r>
    </w:p>
    <w:p w:rsidR="00EC3969" w:rsidRPr="00113684" w:rsidRDefault="00EC3969" w:rsidP="00EC3969">
      <w:pPr>
        <w:ind w:left="851" w:hanging="851"/>
        <w:rPr>
          <w:sz w:val="24"/>
          <w:szCs w:val="24"/>
        </w:rPr>
      </w:pPr>
      <w:r w:rsidRPr="00113684">
        <w:rPr>
          <w:sz w:val="24"/>
          <w:szCs w:val="24"/>
        </w:rPr>
        <w:tab/>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w:t>
      </w:r>
      <w:r w:rsidRPr="00113684">
        <w:rPr>
          <w:b/>
          <w:sz w:val="24"/>
          <w:szCs w:val="24"/>
        </w:rPr>
        <w:tab/>
        <w:t>KLINISKE OPLYSNINGER</w:t>
      </w:r>
    </w:p>
    <w:p w:rsidR="00EC3969" w:rsidRPr="00113684" w:rsidRDefault="00EC3969" w:rsidP="00EC3969">
      <w:pPr>
        <w:ind w:left="851" w:hanging="851"/>
        <w:rPr>
          <w:b/>
          <w:sz w:val="24"/>
          <w:szCs w:val="24"/>
        </w:rPr>
      </w:pPr>
    </w:p>
    <w:p w:rsidR="00EC3969" w:rsidRPr="00113684" w:rsidRDefault="00EC3969" w:rsidP="00EC3969">
      <w:pPr>
        <w:ind w:left="851" w:hanging="851"/>
        <w:rPr>
          <w:b/>
          <w:sz w:val="24"/>
          <w:szCs w:val="24"/>
          <w:u w:val="single"/>
        </w:rPr>
      </w:pPr>
      <w:r w:rsidRPr="00113684">
        <w:rPr>
          <w:b/>
          <w:sz w:val="24"/>
          <w:szCs w:val="24"/>
        </w:rPr>
        <w:t>4.1</w:t>
      </w:r>
      <w:r w:rsidRPr="00113684">
        <w:rPr>
          <w:b/>
          <w:sz w:val="24"/>
          <w:szCs w:val="24"/>
        </w:rPr>
        <w:tab/>
        <w:t>Terapeutiske indikationer</w:t>
      </w:r>
    </w:p>
    <w:p w:rsidR="00EC3969" w:rsidRPr="00113684" w:rsidRDefault="00EC3969" w:rsidP="00EC3969">
      <w:pPr>
        <w:ind w:left="851" w:hanging="851"/>
        <w:rPr>
          <w:sz w:val="24"/>
          <w:szCs w:val="24"/>
        </w:rPr>
      </w:pPr>
      <w:r w:rsidRPr="00113684">
        <w:rPr>
          <w:sz w:val="24"/>
          <w:szCs w:val="24"/>
        </w:rPr>
        <w:tab/>
        <w:t xml:space="preserve">Acnatac er indiceret til topikal behandling af acne vulgaris, når der forekommer komedoner, papler og pustler hos patienter i alderen 12 år og opefter (se pkt. 4.4 og 5.1). </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De officielle retningslinjer vedrørende brug af antibiotika og midler mod akne bør følges.</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4.2</w:t>
      </w:r>
      <w:r w:rsidRPr="00113684">
        <w:rPr>
          <w:b/>
          <w:sz w:val="24"/>
          <w:szCs w:val="24"/>
        </w:rPr>
        <w:tab/>
        <w:t xml:space="preserve">Dosering og </w:t>
      </w:r>
      <w:r w:rsidR="00E76822">
        <w:rPr>
          <w:b/>
          <w:sz w:val="24"/>
          <w:szCs w:val="24"/>
        </w:rPr>
        <w:t>administration</w:t>
      </w:r>
    </w:p>
    <w:p w:rsidR="00413D1B" w:rsidRPr="00113684" w:rsidRDefault="00EC3969" w:rsidP="00EC3969">
      <w:pPr>
        <w:ind w:left="851" w:hanging="851"/>
        <w:rPr>
          <w:sz w:val="24"/>
          <w:szCs w:val="24"/>
        </w:rPr>
      </w:pPr>
      <w:r w:rsidRPr="00113684">
        <w:rPr>
          <w:sz w:val="24"/>
          <w:szCs w:val="24"/>
        </w:rPr>
        <w:tab/>
      </w:r>
    </w:p>
    <w:p w:rsidR="00EC3969" w:rsidRPr="00113684" w:rsidRDefault="00EC3969" w:rsidP="00413D1B">
      <w:pPr>
        <w:ind w:left="851"/>
        <w:rPr>
          <w:sz w:val="24"/>
          <w:szCs w:val="24"/>
          <w:u w:val="single"/>
        </w:rPr>
      </w:pPr>
      <w:r w:rsidRPr="00113684">
        <w:rPr>
          <w:sz w:val="24"/>
          <w:szCs w:val="24"/>
          <w:u w:val="single"/>
        </w:rPr>
        <w:t>Dosering</w:t>
      </w:r>
    </w:p>
    <w:p w:rsidR="00EC3969" w:rsidRPr="00113684" w:rsidRDefault="00EC3969" w:rsidP="00EC3969">
      <w:pPr>
        <w:ind w:left="851"/>
        <w:rPr>
          <w:sz w:val="24"/>
          <w:szCs w:val="24"/>
        </w:rPr>
      </w:pPr>
    </w:p>
    <w:p w:rsidR="00EC3969" w:rsidRPr="00113684" w:rsidRDefault="00EC3969" w:rsidP="00EC3969">
      <w:pPr>
        <w:ind w:left="851"/>
        <w:rPr>
          <w:bCs/>
          <w:i/>
          <w:sz w:val="24"/>
          <w:szCs w:val="24"/>
        </w:rPr>
      </w:pPr>
      <w:r w:rsidRPr="00113684">
        <w:rPr>
          <w:i/>
          <w:sz w:val="24"/>
          <w:szCs w:val="24"/>
        </w:rPr>
        <w:t>Voksne og unge (≥ 12 år)</w:t>
      </w:r>
    </w:p>
    <w:p w:rsidR="00EC3969" w:rsidRPr="00113684" w:rsidRDefault="00413D1B" w:rsidP="00EC3969">
      <w:pPr>
        <w:ind w:left="851"/>
        <w:rPr>
          <w:sz w:val="24"/>
          <w:szCs w:val="24"/>
        </w:rPr>
      </w:pPr>
      <w:r w:rsidRPr="00113684">
        <w:rPr>
          <w:sz w:val="24"/>
          <w:szCs w:val="24"/>
        </w:rPr>
        <w:lastRenderedPageBreak/>
        <w:t>En</w:t>
      </w:r>
      <w:r w:rsidR="00EC3969" w:rsidRPr="00113684">
        <w:rPr>
          <w:sz w:val="24"/>
          <w:szCs w:val="24"/>
        </w:rPr>
        <w:t xml:space="preserve"> gang </w:t>
      </w:r>
      <w:r w:rsidRPr="00113684">
        <w:rPr>
          <w:sz w:val="24"/>
          <w:szCs w:val="24"/>
        </w:rPr>
        <w:t>daglig</w:t>
      </w:r>
      <w:r w:rsidR="00EC3969" w:rsidRPr="00113684">
        <w:rPr>
          <w:sz w:val="24"/>
          <w:szCs w:val="24"/>
        </w:rPr>
        <w:t>, ved sengetid, vaskes hele ansigtet med mild sæbe og tørres. En lille mængde gel (på størrelse med en ært) trykkes ud på spidsen af en finger og duppes på hagen, kinderne, næsen og panden, hvorefter den forsigtigt smøres ind i hele ansigtet.</w:t>
      </w:r>
    </w:p>
    <w:p w:rsidR="00EC3969" w:rsidRPr="00113684" w:rsidRDefault="00EC3969" w:rsidP="00EC3969">
      <w:pPr>
        <w:ind w:left="851"/>
        <w:rPr>
          <w:sz w:val="24"/>
          <w:szCs w:val="24"/>
        </w:rPr>
      </w:pPr>
    </w:p>
    <w:p w:rsidR="00EC3969" w:rsidRPr="00113684" w:rsidRDefault="00EC3969" w:rsidP="00EC3969">
      <w:pPr>
        <w:ind w:left="851"/>
        <w:rPr>
          <w:sz w:val="24"/>
          <w:szCs w:val="24"/>
        </w:rPr>
      </w:pPr>
      <w:r w:rsidRPr="00113684">
        <w:rPr>
          <w:sz w:val="24"/>
          <w:szCs w:val="24"/>
        </w:rPr>
        <w:t>Behandling med Acnatac bør ikke vare mere end 12 uger i træk uden omhyggelig evaluering. Det bør bemærkes, at terapeutisk forbedring måske ikke ses før adskillige uger efter behandlingsstart.</w:t>
      </w:r>
    </w:p>
    <w:p w:rsidR="00EC3969" w:rsidRPr="00113684" w:rsidRDefault="00EC3969" w:rsidP="00EC3969">
      <w:pPr>
        <w:ind w:left="851"/>
        <w:rPr>
          <w:sz w:val="24"/>
          <w:szCs w:val="24"/>
        </w:rPr>
      </w:pPr>
    </w:p>
    <w:p w:rsidR="00EC3969" w:rsidRPr="00113684" w:rsidRDefault="00EC3969" w:rsidP="00EC3969">
      <w:pPr>
        <w:ind w:left="851"/>
        <w:rPr>
          <w:sz w:val="24"/>
          <w:szCs w:val="24"/>
        </w:rPr>
      </w:pPr>
      <w:r w:rsidRPr="00113684">
        <w:rPr>
          <w:sz w:val="24"/>
          <w:szCs w:val="24"/>
        </w:rPr>
        <w:t>Hvis en patient glemmer at anvende en dosis Acnatac, skal den næste dosis påføres på det sædvanlige tidspunkt. Patienterne må ikke påføre en dobbeltdosis som erstatning for den glemte dosis.</w:t>
      </w:r>
    </w:p>
    <w:p w:rsidR="00EC3969" w:rsidRPr="00113684" w:rsidRDefault="00EC3969" w:rsidP="00EC3969">
      <w:pPr>
        <w:ind w:left="851"/>
        <w:rPr>
          <w:b/>
          <w:bCs/>
          <w:sz w:val="24"/>
          <w:szCs w:val="24"/>
        </w:rPr>
      </w:pPr>
    </w:p>
    <w:p w:rsidR="00EC3969" w:rsidRPr="00113684" w:rsidRDefault="00EC3969" w:rsidP="00EC3969">
      <w:pPr>
        <w:ind w:left="851"/>
        <w:rPr>
          <w:bCs/>
          <w:i/>
          <w:sz w:val="24"/>
          <w:szCs w:val="24"/>
        </w:rPr>
      </w:pPr>
      <w:r w:rsidRPr="00113684">
        <w:rPr>
          <w:i/>
          <w:sz w:val="24"/>
          <w:szCs w:val="24"/>
        </w:rPr>
        <w:t>Brug hos børn under 12 år</w:t>
      </w:r>
    </w:p>
    <w:p w:rsidR="00EC3969" w:rsidRPr="00113684" w:rsidRDefault="00EC3969" w:rsidP="00EC3969">
      <w:pPr>
        <w:ind w:left="851"/>
        <w:rPr>
          <w:sz w:val="24"/>
          <w:szCs w:val="24"/>
        </w:rPr>
      </w:pPr>
      <w:r w:rsidRPr="00113684">
        <w:rPr>
          <w:sz w:val="24"/>
          <w:szCs w:val="24"/>
        </w:rPr>
        <w:t>Acnatac bør ikke anvendes til børn under 12 år, da sikkerheden og virkningen af Acnatac hos børn ikke er klarlagt.</w:t>
      </w:r>
    </w:p>
    <w:p w:rsidR="00EC3969" w:rsidRPr="00113684" w:rsidRDefault="00EC3969" w:rsidP="00EC3969">
      <w:pPr>
        <w:ind w:left="851"/>
        <w:rPr>
          <w:sz w:val="24"/>
          <w:szCs w:val="24"/>
        </w:rPr>
      </w:pPr>
    </w:p>
    <w:p w:rsidR="00EC3969" w:rsidRPr="00113684" w:rsidRDefault="00EC3969" w:rsidP="00EC3969">
      <w:pPr>
        <w:ind w:left="851"/>
        <w:rPr>
          <w:bCs/>
          <w:i/>
          <w:sz w:val="24"/>
          <w:szCs w:val="24"/>
        </w:rPr>
      </w:pPr>
      <w:r w:rsidRPr="00113684">
        <w:rPr>
          <w:i/>
          <w:sz w:val="24"/>
          <w:szCs w:val="24"/>
        </w:rPr>
        <w:t>Brug hos ældre (&gt; 65 år)</w:t>
      </w:r>
    </w:p>
    <w:p w:rsidR="00EC3969" w:rsidRPr="00113684" w:rsidRDefault="00EC3969" w:rsidP="00EC3969">
      <w:pPr>
        <w:ind w:left="851"/>
        <w:rPr>
          <w:sz w:val="24"/>
          <w:szCs w:val="24"/>
        </w:rPr>
      </w:pPr>
      <w:r w:rsidRPr="00113684">
        <w:rPr>
          <w:sz w:val="24"/>
          <w:szCs w:val="24"/>
        </w:rPr>
        <w:t>Sikkerhed og virkning af Acnatac til patienter over 65 år er ikke klarlagt.</w:t>
      </w:r>
    </w:p>
    <w:p w:rsidR="00EC3969" w:rsidRPr="00113684" w:rsidRDefault="00EC3969" w:rsidP="00EC3969">
      <w:pPr>
        <w:ind w:left="851"/>
        <w:rPr>
          <w:b/>
          <w:i/>
          <w:sz w:val="24"/>
          <w:szCs w:val="24"/>
        </w:rPr>
      </w:pPr>
    </w:p>
    <w:p w:rsidR="00EC3969" w:rsidRPr="00113684" w:rsidRDefault="00EC3969" w:rsidP="00EC3969">
      <w:pPr>
        <w:ind w:left="851"/>
        <w:rPr>
          <w:i/>
          <w:sz w:val="24"/>
          <w:szCs w:val="24"/>
        </w:rPr>
      </w:pPr>
      <w:r w:rsidRPr="00113684">
        <w:rPr>
          <w:i/>
          <w:sz w:val="24"/>
          <w:szCs w:val="24"/>
        </w:rPr>
        <w:t>Nedsat nyre- og leverfunktion</w:t>
      </w:r>
    </w:p>
    <w:p w:rsidR="00EC3969" w:rsidRPr="00113684" w:rsidRDefault="00EC3969" w:rsidP="00EC3969">
      <w:pPr>
        <w:ind w:left="851"/>
        <w:rPr>
          <w:b/>
          <w:i/>
          <w:sz w:val="24"/>
          <w:szCs w:val="24"/>
        </w:rPr>
      </w:pPr>
      <w:r w:rsidRPr="00113684">
        <w:rPr>
          <w:sz w:val="24"/>
          <w:szCs w:val="24"/>
        </w:rPr>
        <w:t>I betragtning af den lave systemiske eksponering af clindamycin og tretinoin efter topikal administration af Acnatac forventes moderat nedsat nyre- eller leverfunktion ikke at medføre en systemisk eksponering, der vil resultere i et klinisk signifikant niveau. Serumkoncentrationerne af clindamycin og tretinoin efter topikal administration er dog ikke undersøgt hos patienter med lever- eller nyresygdomme. I svære tilfælde tilrådes en individuel bedømmelse.</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Administration</w:t>
      </w:r>
    </w:p>
    <w:p w:rsidR="00EC3969" w:rsidRPr="00113684" w:rsidRDefault="00EC3969" w:rsidP="00EC3969">
      <w:pPr>
        <w:ind w:left="851"/>
        <w:rPr>
          <w:sz w:val="24"/>
          <w:szCs w:val="24"/>
        </w:rPr>
      </w:pPr>
      <w:r w:rsidRPr="00113684">
        <w:rPr>
          <w:sz w:val="24"/>
          <w:szCs w:val="24"/>
        </w:rPr>
        <w:t>Acnatac er kun indiceret til udvortes (kutan) brug. Patienten skal undgå at smøre Acnatac i øjnene, på øjenlågene, læberne og næseborene. Efter appliceringen skal patienten vaske hænder.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4.3</w:t>
      </w:r>
      <w:r w:rsidRPr="00113684">
        <w:rPr>
          <w:b/>
          <w:sz w:val="24"/>
          <w:szCs w:val="24"/>
        </w:rPr>
        <w:tab/>
        <w:t>Kontraindikationer</w:t>
      </w:r>
    </w:p>
    <w:p w:rsidR="00EC3969" w:rsidRPr="00113684" w:rsidRDefault="00EC3969" w:rsidP="00EC3969">
      <w:pPr>
        <w:pStyle w:val="Listeafsnit"/>
        <w:numPr>
          <w:ilvl w:val="0"/>
          <w:numId w:val="7"/>
        </w:numPr>
        <w:ind w:left="1134" w:hanging="283"/>
        <w:rPr>
          <w:sz w:val="24"/>
          <w:szCs w:val="24"/>
        </w:rPr>
      </w:pPr>
      <w:r w:rsidRPr="00113684">
        <w:rPr>
          <w:sz w:val="24"/>
          <w:szCs w:val="24"/>
        </w:rPr>
        <w:t>Graviditet (se pkt. 4.6).</w:t>
      </w:r>
    </w:p>
    <w:p w:rsidR="00EC3969" w:rsidRPr="00113684" w:rsidRDefault="00EC3969" w:rsidP="00EC3969">
      <w:pPr>
        <w:pStyle w:val="Listeafsnit"/>
        <w:numPr>
          <w:ilvl w:val="0"/>
          <w:numId w:val="7"/>
        </w:numPr>
        <w:ind w:left="1134" w:hanging="283"/>
        <w:rPr>
          <w:sz w:val="24"/>
          <w:szCs w:val="24"/>
        </w:rPr>
      </w:pPr>
      <w:r w:rsidRPr="00113684">
        <w:rPr>
          <w:sz w:val="24"/>
          <w:szCs w:val="24"/>
        </w:rPr>
        <w:t>Kvinder, der planlægger en graviditet.</w:t>
      </w:r>
    </w:p>
    <w:p w:rsidR="00EC3969" w:rsidRPr="00113684" w:rsidRDefault="00EC3969" w:rsidP="00EC3969">
      <w:pPr>
        <w:ind w:left="851"/>
        <w:rPr>
          <w:b/>
          <w:sz w:val="24"/>
          <w:szCs w:val="24"/>
        </w:rPr>
      </w:pPr>
    </w:p>
    <w:p w:rsidR="00EC3969" w:rsidRPr="00113684" w:rsidRDefault="00EC3969" w:rsidP="00EC3969">
      <w:pPr>
        <w:ind w:left="851" w:hanging="851"/>
        <w:rPr>
          <w:sz w:val="24"/>
          <w:szCs w:val="24"/>
        </w:rPr>
      </w:pPr>
      <w:r w:rsidRPr="00113684">
        <w:rPr>
          <w:sz w:val="24"/>
          <w:szCs w:val="24"/>
        </w:rPr>
        <w:tab/>
        <w:t>Acnatac er også kontraindiceret ved:</w:t>
      </w:r>
    </w:p>
    <w:p w:rsidR="00EC3969" w:rsidRPr="00113684" w:rsidRDefault="00EC3969" w:rsidP="005F7BF5">
      <w:pPr>
        <w:numPr>
          <w:ilvl w:val="0"/>
          <w:numId w:val="6"/>
        </w:numPr>
        <w:tabs>
          <w:tab w:val="clear" w:pos="360"/>
        </w:tabs>
        <w:ind w:left="1134" w:hanging="283"/>
        <w:rPr>
          <w:sz w:val="24"/>
          <w:szCs w:val="24"/>
        </w:rPr>
      </w:pPr>
      <w:r w:rsidRPr="00113684">
        <w:rPr>
          <w:sz w:val="24"/>
          <w:szCs w:val="24"/>
        </w:rPr>
        <w:t>Overfølsomhed over for de aktive stoffer clindamycin og/eller tretinoin eller et eller flere af hjælpestofferne (se også pkt. 6.1) eller lincomycin.</w:t>
      </w:r>
    </w:p>
    <w:p w:rsidR="00EC3969" w:rsidRPr="00113684" w:rsidRDefault="00EC3969" w:rsidP="005F7BF5">
      <w:pPr>
        <w:numPr>
          <w:ilvl w:val="0"/>
          <w:numId w:val="6"/>
        </w:numPr>
        <w:tabs>
          <w:tab w:val="clear" w:pos="360"/>
        </w:tabs>
        <w:ind w:left="1134" w:hanging="283"/>
        <w:rPr>
          <w:sz w:val="24"/>
          <w:szCs w:val="24"/>
        </w:rPr>
      </w:pPr>
      <w:r w:rsidRPr="00113684">
        <w:rPr>
          <w:sz w:val="24"/>
          <w:szCs w:val="24"/>
        </w:rPr>
        <w:t>Regional enteritis, colitis ulcerosa, eller tidligere tilfælde af antibiotika-associeret colitis.</w:t>
      </w:r>
    </w:p>
    <w:p w:rsidR="00EC3969" w:rsidRPr="00113684" w:rsidRDefault="00EC3969" w:rsidP="005F7BF5">
      <w:pPr>
        <w:numPr>
          <w:ilvl w:val="0"/>
          <w:numId w:val="6"/>
        </w:numPr>
        <w:tabs>
          <w:tab w:val="clear" w:pos="360"/>
        </w:tabs>
        <w:ind w:left="1134" w:hanging="283"/>
        <w:rPr>
          <w:sz w:val="24"/>
          <w:szCs w:val="24"/>
        </w:rPr>
      </w:pPr>
      <w:r w:rsidRPr="00113684">
        <w:rPr>
          <w:sz w:val="24"/>
          <w:szCs w:val="24"/>
        </w:rPr>
        <w:t>Tidligere tilfælde af hudkræft, eller hvis der har været tilfælde af hudkræft i familien.</w:t>
      </w:r>
    </w:p>
    <w:p w:rsidR="00EC3969" w:rsidRPr="00113684" w:rsidRDefault="00EC3969" w:rsidP="005F7BF5">
      <w:pPr>
        <w:numPr>
          <w:ilvl w:val="0"/>
          <w:numId w:val="6"/>
        </w:numPr>
        <w:tabs>
          <w:tab w:val="clear" w:pos="360"/>
        </w:tabs>
        <w:ind w:left="1134" w:hanging="283"/>
        <w:rPr>
          <w:sz w:val="24"/>
          <w:szCs w:val="24"/>
        </w:rPr>
      </w:pPr>
      <w:r w:rsidRPr="00113684">
        <w:rPr>
          <w:sz w:val="24"/>
          <w:szCs w:val="24"/>
        </w:rPr>
        <w:t>Akut eksem, rosacea og perioral dermatitis.</w:t>
      </w:r>
    </w:p>
    <w:p w:rsidR="00EC3969" w:rsidRPr="00113684" w:rsidRDefault="00EC3969" w:rsidP="005F7BF5">
      <w:pPr>
        <w:numPr>
          <w:ilvl w:val="0"/>
          <w:numId w:val="6"/>
        </w:numPr>
        <w:tabs>
          <w:tab w:val="clear" w:pos="360"/>
        </w:tabs>
        <w:ind w:left="1134" w:hanging="283"/>
        <w:rPr>
          <w:sz w:val="24"/>
          <w:szCs w:val="24"/>
        </w:rPr>
      </w:pPr>
      <w:r w:rsidRPr="00113684">
        <w:rPr>
          <w:sz w:val="24"/>
          <w:szCs w:val="24"/>
        </w:rPr>
        <w:t>Pustulær og dyb, nodulo-cystisk akne (acne conglobata og acne fulminans).</w:t>
      </w:r>
    </w:p>
    <w:p w:rsidR="00EC3969" w:rsidRPr="00113684" w:rsidRDefault="00EC3969" w:rsidP="00EC3969">
      <w:pPr>
        <w:ind w:left="851"/>
        <w:rPr>
          <w:sz w:val="24"/>
          <w:szCs w:val="24"/>
        </w:rPr>
      </w:pPr>
    </w:p>
    <w:p w:rsidR="00EC3969" w:rsidRPr="00113684" w:rsidRDefault="00EC3969" w:rsidP="00EC3969">
      <w:pPr>
        <w:ind w:left="851" w:hanging="851"/>
        <w:rPr>
          <w:b/>
          <w:sz w:val="24"/>
          <w:szCs w:val="24"/>
        </w:rPr>
      </w:pPr>
      <w:r w:rsidRPr="00113684">
        <w:rPr>
          <w:b/>
          <w:sz w:val="24"/>
          <w:szCs w:val="24"/>
        </w:rPr>
        <w:t>4.4</w:t>
      </w:r>
      <w:r w:rsidRPr="00113684">
        <w:rPr>
          <w:b/>
          <w:sz w:val="24"/>
          <w:szCs w:val="24"/>
        </w:rPr>
        <w:tab/>
        <w:t>Særlige advarsler og forsigtighedsregler vedrørende brugen</w:t>
      </w:r>
    </w:p>
    <w:p w:rsidR="00EC3969" w:rsidRPr="00113684" w:rsidRDefault="00EC3969" w:rsidP="00EC3969">
      <w:pPr>
        <w:ind w:left="851" w:hanging="851"/>
        <w:rPr>
          <w:sz w:val="24"/>
          <w:szCs w:val="24"/>
        </w:rPr>
      </w:pPr>
      <w:r w:rsidRPr="00113684">
        <w:rPr>
          <w:sz w:val="24"/>
          <w:szCs w:val="24"/>
        </w:rPr>
        <w:tab/>
        <w:t xml:space="preserve">Acnatac er ikke til oral, oftalmologisk, intranasal eller intravaginal anvendelse. </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Acnatac anbefales ikke til behandling af mild acne vulgaris.</w:t>
      </w:r>
    </w:p>
    <w:p w:rsidR="00EC3969" w:rsidRPr="00113684" w:rsidRDefault="00EC3969" w:rsidP="00EC3969">
      <w:pPr>
        <w:ind w:left="851" w:hanging="851"/>
        <w:rPr>
          <w:sz w:val="24"/>
          <w:szCs w:val="24"/>
        </w:rPr>
      </w:pPr>
      <w:r w:rsidRPr="00113684">
        <w:rPr>
          <w:sz w:val="24"/>
          <w:szCs w:val="24"/>
        </w:rPr>
        <w:tab/>
      </w:r>
    </w:p>
    <w:p w:rsidR="00EC3969" w:rsidRPr="00113684" w:rsidRDefault="00EC3969" w:rsidP="00EC3969">
      <w:pPr>
        <w:ind w:left="851" w:hanging="851"/>
        <w:rPr>
          <w:sz w:val="24"/>
          <w:szCs w:val="24"/>
        </w:rPr>
      </w:pPr>
      <w:r w:rsidRPr="00113684">
        <w:rPr>
          <w:sz w:val="24"/>
          <w:szCs w:val="24"/>
        </w:rPr>
        <w:lastRenderedPageBreak/>
        <w:tab/>
        <w:t>Kontakt med mund, øjne og slimhinder og irriteret eller eksematøs hud bør undgås. Bør anvendes med forsigtighed på følsomme hudområder. Hvis lægemidlet utilsigtet kommer i kontakt med øjnene, skal øjnene skylles med rigelige mængder vand.</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 xml:space="preserve">Antibiotika-associeret colitis (også kendt som </w:t>
      </w:r>
      <w:r w:rsidRPr="00113684">
        <w:rPr>
          <w:i/>
          <w:sz w:val="24"/>
          <w:szCs w:val="24"/>
        </w:rPr>
        <w:t>Clostridium difficile-associeret colitis</w:t>
      </w:r>
      <w:r w:rsidRPr="00113684">
        <w:rPr>
          <w:sz w:val="24"/>
          <w:szCs w:val="24"/>
        </w:rPr>
        <w:t xml:space="preserve"> eller </w:t>
      </w:r>
      <w:r w:rsidRPr="00113684">
        <w:rPr>
          <w:i/>
          <w:sz w:val="24"/>
          <w:szCs w:val="24"/>
        </w:rPr>
        <w:t>CDAD</w:t>
      </w:r>
      <w:r w:rsidRPr="00113684">
        <w:rPr>
          <w:sz w:val="24"/>
          <w:szCs w:val="24"/>
        </w:rPr>
        <w:t xml:space="preserve">) er rapporteret ved brug af andre topikale clindamycin-produkter. Det er ikke sandsynligt, at dette sker med Acnatac, da plasmaniveauerne er undersøgt, og den perkutane absorption af clindamycin er klinisk ubetydelig. </w:t>
      </w:r>
    </w:p>
    <w:p w:rsidR="00EC3969" w:rsidRPr="00113684" w:rsidRDefault="00EC3969" w:rsidP="00EC3969">
      <w:pPr>
        <w:ind w:left="851" w:hanging="851"/>
        <w:rPr>
          <w:sz w:val="24"/>
          <w:szCs w:val="24"/>
        </w:rPr>
      </w:pPr>
    </w:p>
    <w:p w:rsidR="00EC3969" w:rsidRPr="00113684" w:rsidRDefault="00EC3969" w:rsidP="00EC3969">
      <w:pPr>
        <w:ind w:left="851" w:hanging="851"/>
        <w:rPr>
          <w:b/>
          <w:i/>
          <w:sz w:val="24"/>
          <w:szCs w:val="24"/>
        </w:rPr>
      </w:pPr>
      <w:r w:rsidRPr="00113684">
        <w:rPr>
          <w:sz w:val="24"/>
          <w:szCs w:val="24"/>
        </w:rPr>
        <w:tab/>
        <w:t xml:space="preserve">I tilfælde af fortsat eller signifikant diarré, eller hvis patienten lider af mavekramper, bør behandlingen med Acnatac seponeres med det samme, da symptomerne kan være tegn på antibiotika-associeret colitis. Der bør anvendes passende diagnostiske metoder såsom bestemmelse af </w:t>
      </w:r>
      <w:r w:rsidRPr="00113684">
        <w:rPr>
          <w:i/>
          <w:sz w:val="24"/>
          <w:szCs w:val="24"/>
        </w:rPr>
        <w:t>Clostridium difficile</w:t>
      </w:r>
      <w:r w:rsidRPr="00113684">
        <w:rPr>
          <w:sz w:val="24"/>
          <w:szCs w:val="24"/>
        </w:rPr>
        <w:t xml:space="preserve"> og toksin samt, om nødvendigt, koloskopi, og behandlingsmulighederne for colitis bør overvejes.</w:t>
      </w:r>
    </w:p>
    <w:p w:rsidR="00EC3969" w:rsidRPr="00113684" w:rsidRDefault="00EC3969" w:rsidP="00EC3969">
      <w:pPr>
        <w:ind w:left="851" w:hanging="851"/>
        <w:rPr>
          <w:sz w:val="24"/>
          <w:szCs w:val="24"/>
        </w:rPr>
      </w:pPr>
      <w:r w:rsidRPr="00113684">
        <w:rPr>
          <w:sz w:val="24"/>
          <w:szCs w:val="24"/>
        </w:rPr>
        <w:tab/>
        <w:t>Brug af en større mængde end den anbefalede eller for hyppig applicering kan medføre rødme, en stikkende fornemmelse og ubehag. I tilfælde af svær irritation, især i den tidlige fase af behandlingen, bør patienten rådes til at stoppe behandlingen midlertidigt eller til ikke at applicere lægemidlet så hyppigt.</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 xml:space="preserve">Der bør udvises forsigtighed ved ordination af Acnatac til atopiske patienter. </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Acnatac bør ikke appliceres samtidigt med andre topikale præparater (herunder kosmetik) på grund af mulig uforligelighed og interaktion med tretinoin. Der skal udvises særlig forsigtighed ved brug af keratolytiske stoffer såsom svovl, salicylsyre, benzoylperoxid eller resorcinol og kemiske slibemidler. Hvis patienten har været behandlet med sådanne præparater, skal virkningen af dem fortage, inden behandling med Acnatac påbegyndes.</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Nogle medicinske rensepræparater og eksfolierende produkter har en kraftig udtørrende virkning. De bør ikke bruges hos patienter, der er i behandling med topikal tretinoin. Eksfolierende sæber, almindelig sæbe og kosmetiske produkter samt produkter med krydderier eller limefrugt bør anvendes med forsigtighed.</w:t>
      </w:r>
    </w:p>
    <w:p w:rsidR="00EC3969" w:rsidRPr="00113684" w:rsidRDefault="00EC3969" w:rsidP="00EC3969">
      <w:pPr>
        <w:ind w:left="851" w:hanging="851"/>
        <w:rPr>
          <w:b/>
          <w:i/>
          <w:sz w:val="24"/>
          <w:szCs w:val="24"/>
        </w:rPr>
      </w:pPr>
    </w:p>
    <w:p w:rsidR="00EC3969" w:rsidRPr="00113684" w:rsidRDefault="00EC3969" w:rsidP="00EC3969">
      <w:pPr>
        <w:ind w:left="851" w:hanging="851"/>
        <w:rPr>
          <w:sz w:val="24"/>
          <w:szCs w:val="24"/>
        </w:rPr>
      </w:pPr>
      <w:r w:rsidRPr="00113684">
        <w:rPr>
          <w:sz w:val="24"/>
          <w:szCs w:val="24"/>
        </w:rPr>
        <w:tab/>
        <w:t>På grund af øget følsomhed over for UV-stråling kan lysfølsomhed forekomme under behandling med Acnatac gel. Eksponering for sollys bør derfor minimeres, og passende solbeskyttelsesprodukter med en beskyttelsesfaktor på mindst 30 bør anvendes sammen med beskyttende beklædning (f.eks. en hat). Brug af sollamper og solarier bør undgås under behandlingen, og patienter med solskoldning bør ikke anvende dette produkt, før deres hud er helet.</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 xml:space="preserve">Patienter, der på grund af deres arbejde udsættes for betydelig eksponering for sollys, og patienter med medfødt følsomhed over for sollys bør udvise særlig forsigtighed. I tilfælde af solskoldning skal behandling med Acnatac seponeres, indtil det svære erytem og afskalningen fortager sig. </w:t>
      </w:r>
    </w:p>
    <w:p w:rsidR="005F253F" w:rsidRPr="00113684" w:rsidRDefault="005F253F"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Der er lejlighedsvis rapporteret gramnegativ folliculitis under behandling med topikale produkter indeholdende clindamycin 1 %. Hvis dette sker, bør behandlingen med Acnatac seponeres, og en alternativ behandling bør påbegyndes.</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Længere tids brug af clindamycin kan medføre resistens og/eller overdreven vækst af ikke-følsomme dermale bakterier eller svampe, hvilket dog er sjældent.</w:t>
      </w:r>
    </w:p>
    <w:p w:rsidR="00EC3969" w:rsidRPr="00113684" w:rsidRDefault="00EC3969" w:rsidP="00EC3969">
      <w:pPr>
        <w:ind w:left="851" w:hanging="851"/>
        <w:rPr>
          <w:sz w:val="24"/>
          <w:szCs w:val="24"/>
        </w:rPr>
      </w:pPr>
      <w:r w:rsidRPr="00113684">
        <w:rPr>
          <w:sz w:val="24"/>
          <w:szCs w:val="24"/>
        </w:rPr>
        <w:lastRenderedPageBreak/>
        <w:tab/>
        <w:t>Krydsresistens kan forekomme med andre antibiotika såsom lincomycin eller erythromycin (se pkt. 4.5).</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Samtidig brug af orale og topikale antibiotika bør undgås, især hvis de er kemisk anderledes.</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Hjælpestofferne methylparahydroxybenzoat (E218) og propylparahydroxybenzoat (E216) kan forårsage allergiske reaktioner (muligvis forsinkede). Hjælpestoffet butylhydroxytoluen (E321) kan forårsage lokale hudreaktioner (f.eks. kontaktdermatit) eller irritation af øjne og slimhinder.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4.5</w:t>
      </w:r>
      <w:r w:rsidRPr="00113684">
        <w:rPr>
          <w:b/>
          <w:sz w:val="24"/>
          <w:szCs w:val="24"/>
        </w:rPr>
        <w:tab/>
        <w:t>Interaktion med andre lægemidler og andre former for interaktion</w:t>
      </w:r>
    </w:p>
    <w:p w:rsidR="00EC3969" w:rsidRPr="00113684" w:rsidRDefault="00EC3969" w:rsidP="00EC3969">
      <w:pPr>
        <w:ind w:left="851" w:hanging="851"/>
        <w:rPr>
          <w:sz w:val="24"/>
          <w:szCs w:val="24"/>
        </w:rPr>
      </w:pPr>
      <w:r w:rsidRPr="00113684">
        <w:rPr>
          <w:sz w:val="24"/>
          <w:szCs w:val="24"/>
        </w:rPr>
        <w:tab/>
        <w:t xml:space="preserve">Samtidig brug af topikale lægemidler, medicinske sæber og rensepræparater med en kraftig udtørrende virkning og produkter med høje koncentrationer af alkohol samt adstringerende midler bør ske med forsigtighed. </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Samtidig behandling med kortikosteroider bør undgås.</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 xml:space="preserve">I </w:t>
      </w:r>
      <w:r w:rsidRPr="00113684">
        <w:rPr>
          <w:i/>
          <w:sz w:val="24"/>
          <w:szCs w:val="24"/>
        </w:rPr>
        <w:t>in vitro</w:t>
      </w:r>
      <w:r w:rsidRPr="00113684">
        <w:rPr>
          <w:sz w:val="24"/>
          <w:szCs w:val="24"/>
        </w:rPr>
        <w:t>-analyser er der påvist antagonistiske virkninger mellem erythromycin og clindamycin. Synergi er påvist med metronidazol, både antagonistiske og synergistiske virkninger er observeret med aminoglykosider. Ligeledes er agonistisk virkning beskrevet med neuromuskulært blokerende midler.</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 xml:space="preserve">Vitamin-K-antagonister </w:t>
      </w:r>
    </w:p>
    <w:p w:rsidR="00EC3969" w:rsidRPr="00113684" w:rsidRDefault="00EC3969" w:rsidP="00EC3969">
      <w:pPr>
        <w:ind w:left="851" w:hanging="851"/>
        <w:rPr>
          <w:sz w:val="24"/>
          <w:szCs w:val="24"/>
        </w:rPr>
      </w:pPr>
      <w:r w:rsidRPr="00113684">
        <w:rPr>
          <w:sz w:val="24"/>
          <w:szCs w:val="24"/>
        </w:rPr>
        <w:tab/>
        <w:t>Øget koagulationstests (PT/INR) og/eller blødning, er blevet rapporteret hos patienter i behandling med clindamycin i kombination med vitamin-K-antagonister (f.eks. warfarin, acenocoumarol og fluindion). Koagulationstests bør derfor monitoreres hyppigt hos patienter i behandling med vitamin-K-antagonister.</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Tretinoin medfører øget permeabilitet for andre topikalt administrerede lægemidler.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4.6</w:t>
      </w:r>
      <w:r w:rsidRPr="00113684">
        <w:rPr>
          <w:b/>
          <w:sz w:val="24"/>
          <w:szCs w:val="24"/>
        </w:rPr>
        <w:tab/>
      </w:r>
      <w:r w:rsidR="00E76822">
        <w:rPr>
          <w:b/>
          <w:sz w:val="24"/>
          <w:szCs w:val="24"/>
        </w:rPr>
        <w:t>Fertilitet, g</w:t>
      </w:r>
      <w:r w:rsidRPr="00113684">
        <w:rPr>
          <w:b/>
          <w:sz w:val="24"/>
          <w:szCs w:val="24"/>
        </w:rPr>
        <w:t>raviditet og amning</w:t>
      </w:r>
    </w:p>
    <w:p w:rsidR="00EC3969" w:rsidRPr="00113684" w:rsidRDefault="00EC3969" w:rsidP="00EC3969">
      <w:pPr>
        <w:ind w:left="851" w:hanging="851"/>
        <w:rPr>
          <w:bCs/>
          <w:iCs/>
          <w:sz w:val="24"/>
          <w:szCs w:val="24"/>
        </w:rPr>
      </w:pPr>
      <w:r w:rsidRPr="00113684">
        <w:rPr>
          <w:sz w:val="24"/>
          <w:szCs w:val="24"/>
        </w:rPr>
        <w:tab/>
        <w:t xml:space="preserve">Acnatac bør kun anvendes til fertile kvinder, hvis de bruger effektiv prævention under behandlingen og i </w:t>
      </w:r>
      <w:r w:rsidR="00413D1B" w:rsidRPr="00113684">
        <w:rPr>
          <w:sz w:val="24"/>
          <w:szCs w:val="24"/>
        </w:rPr>
        <w:t>en</w:t>
      </w:r>
      <w:r w:rsidRPr="00113684">
        <w:rPr>
          <w:sz w:val="24"/>
          <w:szCs w:val="24"/>
        </w:rPr>
        <w:t xml:space="preserve"> måned efter behandlingsophør.</w:t>
      </w:r>
    </w:p>
    <w:p w:rsidR="00EC3969" w:rsidRPr="00113684" w:rsidRDefault="00EC3969" w:rsidP="00EC3969">
      <w:pPr>
        <w:ind w:left="851" w:hanging="851"/>
        <w:rPr>
          <w:sz w:val="24"/>
          <w:szCs w:val="24"/>
        </w:rPr>
      </w:pPr>
    </w:p>
    <w:p w:rsidR="00EC3969" w:rsidRPr="00113684" w:rsidRDefault="00EC3969" w:rsidP="005F253F">
      <w:pPr>
        <w:ind w:left="851"/>
        <w:rPr>
          <w:bCs/>
          <w:sz w:val="24"/>
          <w:szCs w:val="24"/>
          <w:u w:val="single"/>
        </w:rPr>
      </w:pPr>
      <w:r w:rsidRPr="00113684">
        <w:rPr>
          <w:sz w:val="24"/>
          <w:szCs w:val="24"/>
          <w:u w:val="single"/>
        </w:rPr>
        <w:t>Graviditet</w:t>
      </w:r>
    </w:p>
    <w:p w:rsidR="00EC3969" w:rsidRPr="00113684" w:rsidRDefault="00EC3969" w:rsidP="00EC3969">
      <w:pPr>
        <w:ind w:left="851"/>
        <w:rPr>
          <w:sz w:val="24"/>
          <w:szCs w:val="24"/>
        </w:rPr>
      </w:pPr>
      <w:r w:rsidRPr="00113684">
        <w:rPr>
          <w:sz w:val="24"/>
          <w:szCs w:val="24"/>
        </w:rPr>
        <w:t>Acnatac er kontraindiceret (se pkt. 4.3) under graviditet eller hos kvinder, der planlægger graviditet.</w:t>
      </w:r>
    </w:p>
    <w:p w:rsidR="00EC3969" w:rsidRPr="00113684" w:rsidRDefault="00EC3969" w:rsidP="00EC3969">
      <w:pPr>
        <w:ind w:left="851"/>
        <w:rPr>
          <w:sz w:val="24"/>
          <w:szCs w:val="24"/>
        </w:rPr>
      </w:pPr>
      <w:r w:rsidRPr="00113684">
        <w:rPr>
          <w:sz w:val="24"/>
          <w:szCs w:val="24"/>
        </w:rPr>
        <w:t>Hvis produktet anvendes under graviditet, eller hvis patienten bliver gravid, mens hun tager dette lægemiddel, bør behandlingen seponeres.</w:t>
      </w:r>
    </w:p>
    <w:p w:rsidR="00EC3969" w:rsidRPr="00113684" w:rsidRDefault="00EC3969" w:rsidP="00EC3969">
      <w:pPr>
        <w:ind w:left="851" w:hanging="851"/>
        <w:rPr>
          <w:sz w:val="24"/>
          <w:szCs w:val="24"/>
        </w:rPr>
      </w:pPr>
    </w:p>
    <w:p w:rsidR="00EC3969" w:rsidRPr="00113684" w:rsidRDefault="00EC3969" w:rsidP="00EC3969">
      <w:pPr>
        <w:ind w:left="851" w:hanging="851"/>
        <w:rPr>
          <w:i/>
          <w:sz w:val="24"/>
          <w:szCs w:val="24"/>
        </w:rPr>
      </w:pPr>
      <w:r w:rsidRPr="00113684">
        <w:rPr>
          <w:sz w:val="24"/>
          <w:szCs w:val="24"/>
        </w:rPr>
        <w:tab/>
      </w:r>
      <w:r w:rsidRPr="00113684">
        <w:rPr>
          <w:i/>
          <w:sz w:val="24"/>
          <w:szCs w:val="24"/>
        </w:rPr>
        <w:t>Clindamycin</w:t>
      </w:r>
    </w:p>
    <w:p w:rsidR="00EC3969" w:rsidRPr="00113684" w:rsidRDefault="00EC3969" w:rsidP="00EC3969">
      <w:pPr>
        <w:ind w:left="851" w:hanging="851"/>
        <w:rPr>
          <w:sz w:val="24"/>
          <w:szCs w:val="24"/>
        </w:rPr>
      </w:pPr>
      <w:r w:rsidRPr="00113684">
        <w:rPr>
          <w:sz w:val="24"/>
          <w:szCs w:val="24"/>
        </w:rPr>
        <w:tab/>
        <w:t xml:space="preserve">I et begrænset antal graviditeter, der blev eksponeret for clindamycin i første trimester, blev der ikke påvist nogen bivirkninger af clindamycin på graviditeten eller fostrets/det nyfødte barns helbred. Clindamycin var ikke teratogent i reproduktionsstudier hos rotter og mus, hvor der blev testet subkutane og orale doser af clindamycin (se pkt. 5.3). </w:t>
      </w:r>
    </w:p>
    <w:p w:rsidR="00EC3969" w:rsidRPr="00113684" w:rsidRDefault="00EC3969" w:rsidP="00EC3969">
      <w:pPr>
        <w:ind w:left="851" w:hanging="851"/>
        <w:rPr>
          <w:sz w:val="24"/>
          <w:szCs w:val="24"/>
        </w:rPr>
      </w:pPr>
    </w:p>
    <w:p w:rsidR="00EC3969" w:rsidRPr="00113684" w:rsidRDefault="00EC3969" w:rsidP="00EC3969">
      <w:pPr>
        <w:ind w:left="851" w:hanging="851"/>
        <w:rPr>
          <w:i/>
          <w:sz w:val="24"/>
          <w:szCs w:val="24"/>
        </w:rPr>
      </w:pPr>
      <w:r w:rsidRPr="00113684">
        <w:rPr>
          <w:i/>
          <w:sz w:val="24"/>
          <w:szCs w:val="24"/>
        </w:rPr>
        <w:tab/>
        <w:t>Tretinoin</w:t>
      </w:r>
    </w:p>
    <w:p w:rsidR="00EC3969" w:rsidRPr="00113684" w:rsidRDefault="00EC3969" w:rsidP="00EC3969">
      <w:pPr>
        <w:ind w:left="851" w:hanging="851"/>
        <w:rPr>
          <w:sz w:val="24"/>
          <w:szCs w:val="24"/>
        </w:rPr>
      </w:pPr>
      <w:r w:rsidRPr="00113684">
        <w:rPr>
          <w:sz w:val="24"/>
          <w:szCs w:val="24"/>
        </w:rPr>
        <w:tab/>
        <w:t xml:space="preserve">Perorale retinoider har været forbundet med medfødte abnormiteter. Når de anvendes i overensstemmelse med ordinationsforskrifterne antages det, at topikalt administrerede retinoider resulterer i lav systemisk eksponering på grund af minimal dermal absorption. </w:t>
      </w:r>
      <w:r w:rsidRPr="00113684">
        <w:rPr>
          <w:sz w:val="24"/>
          <w:szCs w:val="24"/>
        </w:rPr>
        <w:lastRenderedPageBreak/>
        <w:t xml:space="preserve">Der kan dog være individuelle faktorer (f.eks. beskadiget hudbarriere, overdreven brug), som bidrager til en øget systemisk eksponering. </w:t>
      </w:r>
    </w:p>
    <w:p w:rsidR="00EC3969" w:rsidRPr="00113684" w:rsidRDefault="00EC3969" w:rsidP="00EC3969">
      <w:pPr>
        <w:ind w:left="851" w:hanging="851"/>
        <w:rPr>
          <w:b/>
          <w:sz w:val="24"/>
          <w:szCs w:val="24"/>
        </w:rPr>
      </w:pPr>
    </w:p>
    <w:p w:rsidR="00EC3969" w:rsidRPr="00113684" w:rsidRDefault="00EC3969" w:rsidP="005F253F">
      <w:pPr>
        <w:ind w:left="851"/>
        <w:rPr>
          <w:bCs/>
          <w:sz w:val="24"/>
          <w:szCs w:val="24"/>
          <w:u w:val="single"/>
        </w:rPr>
      </w:pPr>
      <w:r w:rsidRPr="00113684">
        <w:rPr>
          <w:sz w:val="24"/>
          <w:szCs w:val="24"/>
          <w:u w:val="single"/>
        </w:rPr>
        <w:t>Amning</w:t>
      </w:r>
    </w:p>
    <w:p w:rsidR="00EC3969" w:rsidRPr="00113684" w:rsidRDefault="00EC3969" w:rsidP="00EC3969">
      <w:pPr>
        <w:ind w:left="851" w:hanging="851"/>
        <w:rPr>
          <w:sz w:val="24"/>
          <w:szCs w:val="24"/>
        </w:rPr>
      </w:pPr>
      <w:r w:rsidRPr="00113684">
        <w:rPr>
          <w:sz w:val="24"/>
          <w:szCs w:val="24"/>
        </w:rPr>
        <w:tab/>
        <w:t xml:space="preserve">Det er ukendt, om tretinoin og clindamycin udskilles i human mælk efter brug af Acnatac. Det er rapporteret, at oral og parenteral administration af clindamycin kan medføre forekomst af clindamycin i human mælk. Det er kendt, at oralt administrerede retinoider og deres metabolitter udskilles i human mælk. </w:t>
      </w:r>
      <w:r w:rsidRPr="00113684">
        <w:rPr>
          <w:b/>
          <w:sz w:val="24"/>
          <w:szCs w:val="24"/>
        </w:rPr>
        <w:t>Derfor bør Acnatac ikke anvendes af kvinder, der ammer.</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u w:val="single"/>
        </w:rPr>
      </w:pPr>
      <w:r w:rsidRPr="00113684">
        <w:rPr>
          <w:b/>
          <w:sz w:val="24"/>
          <w:szCs w:val="24"/>
        </w:rPr>
        <w:tab/>
      </w:r>
      <w:r w:rsidRPr="00113684">
        <w:rPr>
          <w:sz w:val="24"/>
          <w:szCs w:val="24"/>
          <w:u w:val="single"/>
        </w:rPr>
        <w:t>Fertilitet</w:t>
      </w:r>
    </w:p>
    <w:p w:rsidR="00EC3969" w:rsidRPr="00113684" w:rsidRDefault="00EC3969" w:rsidP="00EC3969">
      <w:pPr>
        <w:ind w:left="851" w:hanging="851"/>
        <w:rPr>
          <w:sz w:val="24"/>
          <w:szCs w:val="24"/>
        </w:rPr>
      </w:pPr>
      <w:r w:rsidRPr="00113684">
        <w:rPr>
          <w:sz w:val="24"/>
          <w:szCs w:val="24"/>
        </w:rPr>
        <w:tab/>
        <w:t>Der er ingen tilgængelige data vedrørende indvirkningen af Acnatac på fertiliteten.</w:t>
      </w:r>
    </w:p>
    <w:p w:rsidR="00EC3969" w:rsidRPr="00113684" w:rsidRDefault="00EC3969" w:rsidP="00EC3969">
      <w:pPr>
        <w:ind w:left="851" w:hanging="851"/>
        <w:rPr>
          <w:b/>
          <w:i/>
          <w:sz w:val="24"/>
          <w:szCs w:val="24"/>
        </w:rPr>
      </w:pPr>
    </w:p>
    <w:p w:rsidR="00EC3969" w:rsidRPr="00113684" w:rsidRDefault="00EC3969" w:rsidP="00EC3969">
      <w:pPr>
        <w:ind w:left="851" w:hanging="851"/>
        <w:rPr>
          <w:i/>
          <w:sz w:val="24"/>
          <w:szCs w:val="24"/>
        </w:rPr>
      </w:pPr>
      <w:r w:rsidRPr="00113684">
        <w:rPr>
          <w:i/>
          <w:sz w:val="24"/>
          <w:szCs w:val="24"/>
        </w:rPr>
        <w:tab/>
        <w:t>Clindamycin</w:t>
      </w:r>
    </w:p>
    <w:p w:rsidR="00EC3969" w:rsidRPr="00113684" w:rsidRDefault="00EC3969" w:rsidP="00EC3969">
      <w:pPr>
        <w:ind w:left="851" w:hanging="851"/>
        <w:rPr>
          <w:sz w:val="24"/>
          <w:szCs w:val="24"/>
        </w:rPr>
      </w:pPr>
      <w:r w:rsidRPr="00113684">
        <w:rPr>
          <w:sz w:val="24"/>
          <w:szCs w:val="24"/>
        </w:rPr>
        <w:tab/>
        <w:t>Reproduktionsstudier hos rotter og mus, hvor der blev givet subkutane og orale doser af clindamycin, har ikke påvist nedsat fertilitet.</w:t>
      </w:r>
    </w:p>
    <w:p w:rsidR="00EC3969" w:rsidRPr="00113684" w:rsidRDefault="00EC3969" w:rsidP="00EC3969">
      <w:pPr>
        <w:ind w:left="851" w:hanging="851"/>
        <w:rPr>
          <w:sz w:val="24"/>
          <w:szCs w:val="24"/>
        </w:rPr>
      </w:pPr>
    </w:p>
    <w:p w:rsidR="00EC3969" w:rsidRPr="00113684" w:rsidRDefault="00EC3969" w:rsidP="00EC3969">
      <w:pPr>
        <w:ind w:left="851" w:hanging="851"/>
        <w:rPr>
          <w:i/>
          <w:sz w:val="24"/>
          <w:szCs w:val="24"/>
        </w:rPr>
      </w:pPr>
      <w:r w:rsidRPr="00113684">
        <w:rPr>
          <w:i/>
          <w:sz w:val="24"/>
          <w:szCs w:val="24"/>
        </w:rPr>
        <w:tab/>
        <w:t>Tretinoin</w:t>
      </w:r>
    </w:p>
    <w:p w:rsidR="00EC3969" w:rsidRPr="00113684" w:rsidRDefault="00EC3969" w:rsidP="00EC3969">
      <w:pPr>
        <w:ind w:left="851" w:hanging="851"/>
        <w:rPr>
          <w:sz w:val="24"/>
          <w:szCs w:val="24"/>
        </w:rPr>
      </w:pPr>
      <w:r w:rsidRPr="00113684">
        <w:rPr>
          <w:sz w:val="24"/>
          <w:szCs w:val="24"/>
        </w:rPr>
        <w:tab/>
        <w:t>Systemisk administreret tretinoin påvirker i svær grad fertiliteten. Der er kun begrænsede data vedrørende fertilitet efter topikal administration hos mennesker.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4.7</w:t>
      </w:r>
      <w:r w:rsidRPr="00113684">
        <w:rPr>
          <w:b/>
          <w:sz w:val="24"/>
          <w:szCs w:val="24"/>
        </w:rPr>
        <w:tab/>
        <w:t xml:space="preserve">Virkning på evnen til at føre motorkøretøj </w:t>
      </w:r>
      <w:r w:rsidR="00E76822">
        <w:rPr>
          <w:b/>
          <w:sz w:val="24"/>
          <w:szCs w:val="24"/>
        </w:rPr>
        <w:t>og</w:t>
      </w:r>
      <w:r w:rsidRPr="00113684">
        <w:rPr>
          <w:b/>
          <w:sz w:val="24"/>
          <w:szCs w:val="24"/>
        </w:rPr>
        <w:t xml:space="preserve"> betjene maskiner</w:t>
      </w:r>
    </w:p>
    <w:p w:rsidR="00EC3969" w:rsidRPr="00113684" w:rsidRDefault="00EC3969" w:rsidP="00EC3969">
      <w:pPr>
        <w:ind w:left="851" w:hanging="851"/>
        <w:rPr>
          <w:sz w:val="24"/>
          <w:szCs w:val="24"/>
        </w:rPr>
      </w:pPr>
      <w:r w:rsidRPr="00113684">
        <w:rPr>
          <w:sz w:val="24"/>
          <w:szCs w:val="24"/>
        </w:rPr>
        <w:tab/>
        <w:t>Ikke mærkning.</w:t>
      </w:r>
    </w:p>
    <w:p w:rsidR="00EC3969" w:rsidRPr="00113684" w:rsidRDefault="00EC3969" w:rsidP="00EC3969">
      <w:pPr>
        <w:ind w:left="851" w:hanging="851"/>
        <w:rPr>
          <w:sz w:val="24"/>
          <w:szCs w:val="24"/>
        </w:rPr>
      </w:pPr>
      <w:r w:rsidRPr="00113684">
        <w:rPr>
          <w:sz w:val="24"/>
          <w:szCs w:val="24"/>
        </w:rPr>
        <w:tab/>
        <w:t>Der er ikke foretaget undersøgelser af indflydelsen på evnen til at føre motorkøretøj eller betjene maskiner. Det er usandsynligt, at behandling med Acnatac kan påvirke evnen til at føre motorkøretøj og betjene maskiner.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4.8</w:t>
      </w:r>
      <w:r w:rsidRPr="00113684">
        <w:rPr>
          <w:b/>
          <w:sz w:val="24"/>
          <w:szCs w:val="24"/>
        </w:rPr>
        <w:tab/>
        <w:t>Bivirkninger</w:t>
      </w:r>
    </w:p>
    <w:p w:rsidR="00EC3969" w:rsidRPr="00113684" w:rsidRDefault="00EC3969" w:rsidP="00EC3969">
      <w:pPr>
        <w:ind w:left="851" w:hanging="851"/>
        <w:rPr>
          <w:sz w:val="24"/>
          <w:szCs w:val="24"/>
        </w:rPr>
      </w:pPr>
      <w:r w:rsidRPr="00113684">
        <w:rPr>
          <w:sz w:val="24"/>
          <w:szCs w:val="24"/>
        </w:rPr>
        <w:tab/>
        <w:t>Inden for systemorganklasserne kategoriseres bivirkningerne efter hyppighed (antallet af patienter, der forventes at opleve bivirkningen) ved hjælp af følgende kategorier:</w:t>
      </w:r>
    </w:p>
    <w:p w:rsidR="00EC3969" w:rsidRPr="00113684" w:rsidRDefault="00EC3969" w:rsidP="00EC3969">
      <w:pPr>
        <w:ind w:left="851"/>
        <w:rPr>
          <w:sz w:val="24"/>
          <w:szCs w:val="24"/>
        </w:rPr>
      </w:pPr>
      <w:r w:rsidRPr="00113684">
        <w:rPr>
          <w:sz w:val="24"/>
          <w:szCs w:val="24"/>
        </w:rPr>
        <w:t>Meget almindelig (</w:t>
      </w:r>
      <w:r w:rsidRPr="00113684">
        <w:rPr>
          <w:sz w:val="24"/>
          <w:szCs w:val="24"/>
        </w:rPr>
        <w:sym w:font="Symbol" w:char="00B3"/>
      </w:r>
      <w:r w:rsidRPr="00113684">
        <w:rPr>
          <w:sz w:val="24"/>
          <w:szCs w:val="24"/>
        </w:rPr>
        <w:t> 1/10)</w:t>
      </w:r>
    </w:p>
    <w:p w:rsidR="00EC3969" w:rsidRPr="00113684" w:rsidRDefault="00EC3969" w:rsidP="00EC3969">
      <w:pPr>
        <w:ind w:left="851"/>
        <w:rPr>
          <w:sz w:val="24"/>
          <w:szCs w:val="24"/>
        </w:rPr>
      </w:pPr>
      <w:r w:rsidRPr="00113684">
        <w:rPr>
          <w:sz w:val="24"/>
          <w:szCs w:val="24"/>
        </w:rPr>
        <w:t>Almindelig (</w:t>
      </w:r>
      <w:r w:rsidRPr="00113684">
        <w:rPr>
          <w:sz w:val="24"/>
          <w:szCs w:val="24"/>
        </w:rPr>
        <w:sym w:font="Symbol" w:char="00B3"/>
      </w:r>
      <w:r w:rsidRPr="00113684">
        <w:rPr>
          <w:sz w:val="24"/>
          <w:szCs w:val="24"/>
        </w:rPr>
        <w:t> 1/100 til &lt; 1/10)</w:t>
      </w:r>
    </w:p>
    <w:p w:rsidR="00EC3969" w:rsidRPr="00113684" w:rsidRDefault="00EC3969" w:rsidP="00EC3969">
      <w:pPr>
        <w:ind w:left="851"/>
        <w:rPr>
          <w:sz w:val="24"/>
          <w:szCs w:val="24"/>
        </w:rPr>
      </w:pPr>
      <w:r w:rsidRPr="00113684">
        <w:rPr>
          <w:sz w:val="24"/>
          <w:szCs w:val="24"/>
        </w:rPr>
        <w:t>Ikke almindelig (</w:t>
      </w:r>
      <w:r w:rsidRPr="00113684">
        <w:rPr>
          <w:sz w:val="24"/>
          <w:szCs w:val="24"/>
        </w:rPr>
        <w:sym w:font="Symbol" w:char="00B3"/>
      </w:r>
      <w:r w:rsidRPr="00113684">
        <w:rPr>
          <w:sz w:val="24"/>
          <w:szCs w:val="24"/>
        </w:rPr>
        <w:t> 1/1.000 til &lt; 1/100)</w:t>
      </w:r>
    </w:p>
    <w:p w:rsidR="00EC3969" w:rsidRPr="00113684" w:rsidRDefault="00EC3969" w:rsidP="00EC3969">
      <w:pPr>
        <w:ind w:left="851"/>
        <w:rPr>
          <w:sz w:val="24"/>
          <w:szCs w:val="24"/>
        </w:rPr>
      </w:pPr>
      <w:r w:rsidRPr="00113684">
        <w:rPr>
          <w:sz w:val="24"/>
          <w:szCs w:val="24"/>
        </w:rPr>
        <w:t>Sjælden (</w:t>
      </w:r>
      <w:r w:rsidRPr="00113684">
        <w:rPr>
          <w:sz w:val="24"/>
          <w:szCs w:val="24"/>
        </w:rPr>
        <w:sym w:font="Symbol" w:char="00B3"/>
      </w:r>
      <w:r w:rsidRPr="00113684">
        <w:rPr>
          <w:sz w:val="24"/>
          <w:szCs w:val="24"/>
        </w:rPr>
        <w:t> 1/10.000 til &lt; 1/1.000)</w:t>
      </w:r>
    </w:p>
    <w:p w:rsidR="00EC3969" w:rsidRPr="00113684" w:rsidRDefault="00EC3969" w:rsidP="00EC3969">
      <w:pPr>
        <w:ind w:left="851"/>
        <w:rPr>
          <w:sz w:val="24"/>
          <w:szCs w:val="24"/>
        </w:rPr>
      </w:pPr>
      <w:r w:rsidRPr="00113684">
        <w:rPr>
          <w:sz w:val="24"/>
          <w:szCs w:val="24"/>
        </w:rPr>
        <w:t>Meget sjælden (&lt; 1/10.000)</w:t>
      </w:r>
    </w:p>
    <w:p w:rsidR="00EC3969" w:rsidRPr="00113684" w:rsidRDefault="00EC3969" w:rsidP="00EC3969">
      <w:pPr>
        <w:ind w:left="851"/>
        <w:rPr>
          <w:sz w:val="24"/>
          <w:szCs w:val="24"/>
        </w:rPr>
      </w:pPr>
      <w:r w:rsidRPr="00113684">
        <w:rPr>
          <w:sz w:val="24"/>
          <w:szCs w:val="24"/>
        </w:rPr>
        <w:t>Ikke kendt (kan ikke estimeres ud fra forhåndenværende data).</w:t>
      </w:r>
    </w:p>
    <w:p w:rsidR="00EC3969" w:rsidRPr="00113684" w:rsidRDefault="00EC3969" w:rsidP="00EC3969">
      <w:pPr>
        <w:ind w:left="851"/>
        <w:rPr>
          <w:b/>
          <w:bCs/>
          <w:sz w:val="24"/>
          <w:szCs w:val="24"/>
        </w:rPr>
      </w:pPr>
    </w:p>
    <w:p w:rsidR="00EC3969" w:rsidRPr="00113684" w:rsidRDefault="00EC3969" w:rsidP="00EC3969">
      <w:pPr>
        <w:ind w:left="851"/>
        <w:rPr>
          <w:sz w:val="24"/>
          <w:szCs w:val="24"/>
        </w:rPr>
      </w:pPr>
      <w:r w:rsidRPr="00113684">
        <w:rPr>
          <w:sz w:val="24"/>
          <w:szCs w:val="24"/>
        </w:rPr>
        <w:t xml:space="preserve">De rapporterede hyppigheder i kliniske studier er som følger: </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Immunsystemet</w:t>
      </w:r>
    </w:p>
    <w:p w:rsidR="00EC3969" w:rsidRPr="00113684" w:rsidRDefault="00EC3969" w:rsidP="00EC3969">
      <w:pPr>
        <w:ind w:left="851"/>
        <w:rPr>
          <w:sz w:val="24"/>
          <w:szCs w:val="24"/>
        </w:rPr>
      </w:pPr>
      <w:r w:rsidRPr="00113684">
        <w:rPr>
          <w:sz w:val="24"/>
          <w:szCs w:val="24"/>
        </w:rPr>
        <w:t>Sjælden: Overfølsomhed</w:t>
      </w:r>
      <w:r w:rsidR="00327C1E" w:rsidRPr="00113684">
        <w:rPr>
          <w:sz w:val="24"/>
          <w:szCs w:val="24"/>
        </w:rPr>
        <w:t>.</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Det endokrine system</w:t>
      </w:r>
    </w:p>
    <w:p w:rsidR="00EC3969" w:rsidRPr="00113684" w:rsidRDefault="00EC3969" w:rsidP="00EC3969">
      <w:pPr>
        <w:ind w:left="851"/>
        <w:rPr>
          <w:sz w:val="24"/>
          <w:szCs w:val="24"/>
        </w:rPr>
      </w:pPr>
      <w:r w:rsidRPr="00113684">
        <w:rPr>
          <w:sz w:val="24"/>
          <w:szCs w:val="24"/>
        </w:rPr>
        <w:t>Sjælden: Hypothyroidisme</w:t>
      </w:r>
      <w:r w:rsidR="00327C1E" w:rsidRPr="00113684">
        <w:rPr>
          <w:sz w:val="24"/>
          <w:szCs w:val="24"/>
        </w:rPr>
        <w:t>.</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Nervesystemet</w:t>
      </w:r>
    </w:p>
    <w:p w:rsidR="00EC3969" w:rsidRPr="00113684" w:rsidRDefault="00EC3969" w:rsidP="00EC3969">
      <w:pPr>
        <w:ind w:left="851"/>
        <w:rPr>
          <w:sz w:val="24"/>
          <w:szCs w:val="24"/>
        </w:rPr>
      </w:pPr>
      <w:r w:rsidRPr="00113684">
        <w:rPr>
          <w:sz w:val="24"/>
          <w:szCs w:val="24"/>
        </w:rPr>
        <w:t>Sjælden: Hovedpine</w:t>
      </w:r>
      <w:r w:rsidR="00327C1E" w:rsidRPr="00113684">
        <w:rPr>
          <w:sz w:val="24"/>
          <w:szCs w:val="24"/>
        </w:rPr>
        <w:t>.</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Øjne</w:t>
      </w:r>
    </w:p>
    <w:p w:rsidR="00EC3969" w:rsidRPr="00113684" w:rsidRDefault="00EC3969" w:rsidP="00EC3969">
      <w:pPr>
        <w:ind w:left="851"/>
        <w:rPr>
          <w:sz w:val="24"/>
          <w:szCs w:val="24"/>
        </w:rPr>
      </w:pPr>
      <w:r w:rsidRPr="00113684">
        <w:rPr>
          <w:sz w:val="24"/>
          <w:szCs w:val="24"/>
        </w:rPr>
        <w:t>Sjælden: Øjenirritation</w:t>
      </w:r>
      <w:r w:rsidR="00327C1E" w:rsidRPr="00113684">
        <w:rPr>
          <w:sz w:val="24"/>
          <w:szCs w:val="24"/>
        </w:rPr>
        <w:t>.</w:t>
      </w:r>
    </w:p>
    <w:p w:rsidR="00EC3969" w:rsidRPr="00113684" w:rsidRDefault="00EC3969" w:rsidP="00EC3969">
      <w:pPr>
        <w:ind w:left="851"/>
        <w:rPr>
          <w:sz w:val="24"/>
          <w:szCs w:val="24"/>
        </w:rPr>
      </w:pPr>
    </w:p>
    <w:p w:rsidR="00EC3969" w:rsidRPr="00113684" w:rsidRDefault="00EC3969" w:rsidP="00EC3969">
      <w:pPr>
        <w:keepNext/>
        <w:ind w:left="851"/>
        <w:rPr>
          <w:sz w:val="24"/>
          <w:szCs w:val="24"/>
          <w:u w:val="single"/>
        </w:rPr>
      </w:pPr>
      <w:r w:rsidRPr="00113684">
        <w:rPr>
          <w:sz w:val="24"/>
          <w:szCs w:val="24"/>
          <w:u w:val="single"/>
        </w:rPr>
        <w:lastRenderedPageBreak/>
        <w:t>Mave-tarm-kanalen</w:t>
      </w:r>
    </w:p>
    <w:p w:rsidR="00EC3969" w:rsidRPr="00113684" w:rsidRDefault="00EC3969" w:rsidP="00EC3969">
      <w:pPr>
        <w:ind w:left="851"/>
        <w:rPr>
          <w:sz w:val="24"/>
          <w:szCs w:val="24"/>
        </w:rPr>
      </w:pPr>
      <w:r w:rsidRPr="00113684">
        <w:rPr>
          <w:sz w:val="24"/>
          <w:szCs w:val="24"/>
        </w:rPr>
        <w:t>Sjælden: Gastroenteritis, kvalme</w:t>
      </w:r>
      <w:r w:rsidR="00327C1E" w:rsidRPr="00113684">
        <w:rPr>
          <w:sz w:val="24"/>
          <w:szCs w:val="24"/>
        </w:rPr>
        <w:t>.</w:t>
      </w:r>
    </w:p>
    <w:p w:rsidR="00EC3969" w:rsidRPr="00113684" w:rsidRDefault="00EC3969" w:rsidP="00EC3969">
      <w:pPr>
        <w:ind w:left="851"/>
        <w:rPr>
          <w:sz w:val="24"/>
          <w:szCs w:val="24"/>
          <w:u w:val="single"/>
        </w:rPr>
      </w:pPr>
    </w:p>
    <w:p w:rsidR="00EC3969" w:rsidRPr="00113684" w:rsidRDefault="00EC3969" w:rsidP="00EC3969">
      <w:pPr>
        <w:ind w:left="851"/>
        <w:rPr>
          <w:sz w:val="24"/>
          <w:szCs w:val="24"/>
          <w:u w:val="single"/>
        </w:rPr>
      </w:pPr>
      <w:r w:rsidRPr="00113684">
        <w:rPr>
          <w:sz w:val="24"/>
          <w:szCs w:val="24"/>
          <w:u w:val="single"/>
        </w:rPr>
        <w:t>Hud og subkutane væv</w:t>
      </w:r>
    </w:p>
    <w:p w:rsidR="00EC3969" w:rsidRPr="00113684" w:rsidRDefault="00EC3969" w:rsidP="00EC3969">
      <w:pPr>
        <w:ind w:left="851"/>
        <w:rPr>
          <w:sz w:val="24"/>
          <w:szCs w:val="24"/>
        </w:rPr>
      </w:pPr>
      <w:r w:rsidRPr="00113684">
        <w:rPr>
          <w:sz w:val="24"/>
          <w:szCs w:val="24"/>
        </w:rPr>
        <w:t>Ikke almindelig: Akne, tør hud, erytem, seborré, lysfølsomhedsreaktion, pruritis, udslæt, eksfoliativt udslæt, hudeksfoliation, solskoldning.</w:t>
      </w:r>
    </w:p>
    <w:p w:rsidR="00EC3969" w:rsidRPr="00113684" w:rsidRDefault="00EC3969" w:rsidP="00EC3969">
      <w:pPr>
        <w:ind w:left="851"/>
        <w:rPr>
          <w:sz w:val="24"/>
          <w:szCs w:val="24"/>
        </w:rPr>
      </w:pPr>
      <w:r w:rsidRPr="00113684">
        <w:rPr>
          <w:sz w:val="24"/>
          <w:szCs w:val="24"/>
        </w:rPr>
        <w:t>Sjælden: Dermatitis, herpes simplex, makulært udslæt, hudblødninger, brændende fornemmelse i huden, tab af hudpigment, hudirritation.</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Almene symptomer og reaktioner på administrationsstedet</w:t>
      </w:r>
    </w:p>
    <w:p w:rsidR="00EC3969" w:rsidRPr="00113684" w:rsidRDefault="00EC3969" w:rsidP="00EC3969">
      <w:pPr>
        <w:ind w:left="851"/>
        <w:rPr>
          <w:sz w:val="24"/>
          <w:szCs w:val="24"/>
        </w:rPr>
      </w:pPr>
      <w:r w:rsidRPr="00113684">
        <w:rPr>
          <w:sz w:val="24"/>
          <w:szCs w:val="24"/>
        </w:rPr>
        <w:t xml:space="preserve">Ikke almindelig: Reaktioner på administrationsstedet, brændende fornemmelse på administrationsstedet, dermatitis på administrationsstedet, tørhed på administrationsstedet, erytem på administrationsstedet. </w:t>
      </w:r>
    </w:p>
    <w:p w:rsidR="00EC3969" w:rsidRPr="00113684" w:rsidRDefault="00EC3969" w:rsidP="00EC3969">
      <w:pPr>
        <w:ind w:left="851"/>
        <w:rPr>
          <w:sz w:val="24"/>
          <w:szCs w:val="24"/>
        </w:rPr>
      </w:pPr>
      <w:r w:rsidRPr="00113684">
        <w:rPr>
          <w:sz w:val="24"/>
          <w:szCs w:val="24"/>
        </w:rPr>
        <w:t>Sjælden: Irritation på administrationsstedet, hævelse på administrationsstedet, erosion på administrationsstedet, misfarvning på administrationsstedet, pruritis på administrationsstedet, hudafskalning på administrationsstedet, følelse af at være ophedet, smerter.</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Pædiatrisk population</w:t>
      </w:r>
    </w:p>
    <w:p w:rsidR="00EC3969" w:rsidRPr="00113684" w:rsidRDefault="00EC3969" w:rsidP="00EC3969">
      <w:pPr>
        <w:ind w:left="851"/>
        <w:rPr>
          <w:sz w:val="24"/>
          <w:szCs w:val="24"/>
        </w:rPr>
      </w:pPr>
      <w:r w:rsidRPr="00113684">
        <w:rPr>
          <w:sz w:val="24"/>
          <w:szCs w:val="24"/>
        </w:rPr>
        <w:t>Andelen af pædiatriske patienter (12-17 år), som indberettede en speficik lægemiddelrelateret bivirkning, stemte overens med den, der blev indberettet af den samlede population. Incidensen af tør hud hos de unge patienter (12-17 år) var lidt højere end hos den samlede population i de kliniske studier.</w:t>
      </w:r>
    </w:p>
    <w:p w:rsidR="00EC3969" w:rsidRPr="00113684" w:rsidRDefault="00EC3969" w:rsidP="00EC3969">
      <w:pPr>
        <w:ind w:left="851"/>
        <w:rPr>
          <w:sz w:val="24"/>
          <w:szCs w:val="24"/>
        </w:rPr>
      </w:pPr>
    </w:p>
    <w:p w:rsidR="00EC3969" w:rsidRPr="00113684" w:rsidRDefault="00EC3969" w:rsidP="00EC3969">
      <w:pPr>
        <w:autoSpaceDE w:val="0"/>
        <w:autoSpaceDN w:val="0"/>
        <w:ind w:left="851"/>
        <w:rPr>
          <w:sz w:val="24"/>
          <w:szCs w:val="24"/>
          <w:u w:val="single"/>
        </w:rPr>
      </w:pPr>
      <w:r w:rsidRPr="00113684">
        <w:rPr>
          <w:sz w:val="24"/>
          <w:szCs w:val="24"/>
          <w:u w:val="single"/>
        </w:rPr>
        <w:t>Indberetning af formodede bivirkninger</w:t>
      </w:r>
    </w:p>
    <w:p w:rsidR="00EC3969" w:rsidRPr="00113684" w:rsidRDefault="00EC3969" w:rsidP="00EC3969">
      <w:pPr>
        <w:ind w:left="851"/>
        <w:rPr>
          <w:sz w:val="24"/>
          <w:szCs w:val="24"/>
        </w:rPr>
      </w:pPr>
      <w:r w:rsidRPr="00113684">
        <w:rPr>
          <w:sz w:val="24"/>
          <w:szCs w:val="24"/>
        </w:rPr>
        <w:t xml:space="preserve">Når lægemidlet er godkendt, er indberetning af formodede bivirkninger vigtig. Det muliggør løbende overvågning af benefit/risk-forholdet for lægemidlet. </w:t>
      </w:r>
      <w:r w:rsidR="00465711" w:rsidRPr="00113684">
        <w:rPr>
          <w:sz w:val="24"/>
          <w:szCs w:val="24"/>
        </w:rPr>
        <w:t xml:space="preserve">Sundhedspersoner </w:t>
      </w:r>
      <w:r w:rsidRPr="00113684">
        <w:rPr>
          <w:sz w:val="24"/>
          <w:szCs w:val="24"/>
        </w:rPr>
        <w:t>anmodes om at indberette alle formodede bivirkninger via:</w:t>
      </w:r>
    </w:p>
    <w:p w:rsidR="00EC3969" w:rsidRPr="00113684" w:rsidRDefault="00EC3969" w:rsidP="00EC3969">
      <w:pPr>
        <w:ind w:left="851"/>
        <w:rPr>
          <w:sz w:val="24"/>
          <w:szCs w:val="24"/>
        </w:rPr>
      </w:pPr>
    </w:p>
    <w:p w:rsidR="00EC3969" w:rsidRPr="00113684" w:rsidRDefault="00EC3969" w:rsidP="00EC3969">
      <w:pPr>
        <w:ind w:left="851"/>
        <w:rPr>
          <w:sz w:val="24"/>
          <w:szCs w:val="24"/>
        </w:rPr>
      </w:pPr>
      <w:r w:rsidRPr="00113684">
        <w:rPr>
          <w:sz w:val="24"/>
          <w:szCs w:val="24"/>
        </w:rPr>
        <w:t>Lægemiddelstyrelsen</w:t>
      </w:r>
    </w:p>
    <w:p w:rsidR="00EC3969" w:rsidRPr="00113684" w:rsidRDefault="00EC3969" w:rsidP="00EC3969">
      <w:pPr>
        <w:ind w:left="851"/>
        <w:rPr>
          <w:sz w:val="24"/>
          <w:szCs w:val="24"/>
        </w:rPr>
      </w:pPr>
      <w:r w:rsidRPr="00113684">
        <w:rPr>
          <w:sz w:val="24"/>
          <w:szCs w:val="24"/>
        </w:rPr>
        <w:t>Axel Heides Gade 1</w:t>
      </w:r>
    </w:p>
    <w:p w:rsidR="00EC3969" w:rsidRPr="00113684" w:rsidRDefault="00EC3969" w:rsidP="00EC3969">
      <w:pPr>
        <w:ind w:left="851"/>
        <w:rPr>
          <w:sz w:val="24"/>
          <w:szCs w:val="24"/>
        </w:rPr>
      </w:pPr>
      <w:r w:rsidRPr="00113684">
        <w:rPr>
          <w:sz w:val="24"/>
          <w:szCs w:val="24"/>
        </w:rPr>
        <w:t>DK-2300 København S</w:t>
      </w:r>
    </w:p>
    <w:p w:rsidR="00EC3969" w:rsidRPr="00113684" w:rsidRDefault="00EC3969" w:rsidP="00EC3969">
      <w:pPr>
        <w:ind w:left="851"/>
        <w:rPr>
          <w:sz w:val="24"/>
          <w:szCs w:val="24"/>
        </w:rPr>
      </w:pPr>
      <w:r w:rsidRPr="00113684">
        <w:rPr>
          <w:sz w:val="24"/>
          <w:szCs w:val="24"/>
        </w:rPr>
        <w:t xml:space="preserve">Websted: </w:t>
      </w:r>
      <w:hyperlink r:id="rId9" w:history="1">
        <w:r w:rsidR="00B30DC6" w:rsidRPr="00B66CE4">
          <w:rPr>
            <w:rStyle w:val="Hyperlink"/>
            <w:sz w:val="24"/>
            <w:szCs w:val="24"/>
          </w:rPr>
          <w:t>www.meldenbivirkning.dk</w:t>
        </w:r>
      </w:hyperlink>
      <w:r w:rsidR="00B30DC6">
        <w:rPr>
          <w:sz w:val="24"/>
          <w:szCs w:val="24"/>
        </w:rPr>
        <w:t xml:space="preserve"> </w:t>
      </w:r>
    </w:p>
    <w:p w:rsidR="00EC3969" w:rsidRPr="00113684" w:rsidRDefault="00EC3969" w:rsidP="00EC3969">
      <w:pPr>
        <w:pStyle w:val="Sidehoved"/>
        <w:tabs>
          <w:tab w:val="clear" w:pos="4819"/>
          <w:tab w:val="clear" w:pos="9638"/>
        </w:tabs>
        <w:ind w:left="851" w:hanging="851"/>
        <w:rPr>
          <w:szCs w:val="24"/>
        </w:rPr>
      </w:pPr>
    </w:p>
    <w:p w:rsidR="00EC3969" w:rsidRPr="00113684" w:rsidRDefault="00EC3969" w:rsidP="00EC3969">
      <w:pPr>
        <w:ind w:left="851" w:hanging="851"/>
        <w:rPr>
          <w:b/>
          <w:sz w:val="24"/>
          <w:szCs w:val="24"/>
        </w:rPr>
      </w:pPr>
      <w:r w:rsidRPr="00113684">
        <w:rPr>
          <w:b/>
          <w:sz w:val="24"/>
          <w:szCs w:val="24"/>
        </w:rPr>
        <w:t>4.9</w:t>
      </w:r>
      <w:r w:rsidRPr="00113684">
        <w:rPr>
          <w:b/>
          <w:sz w:val="24"/>
          <w:szCs w:val="24"/>
        </w:rPr>
        <w:tab/>
        <w:t>Overdosering</w:t>
      </w:r>
    </w:p>
    <w:p w:rsidR="00EC3969" w:rsidRPr="00113684" w:rsidRDefault="00EC3969" w:rsidP="00EC3969">
      <w:pPr>
        <w:ind w:left="851" w:hanging="851"/>
        <w:rPr>
          <w:sz w:val="24"/>
          <w:szCs w:val="24"/>
        </w:rPr>
      </w:pPr>
      <w:r w:rsidRPr="00113684">
        <w:rPr>
          <w:sz w:val="24"/>
          <w:szCs w:val="24"/>
        </w:rPr>
        <w:tab/>
        <w:t>Acnatac gel er kun til topikal anvendelse. Hvis Acnatac gel appliceres i for store mængder, kan der forekomme kraftig rødme, afskalning eller ubehag. Hvis der utilsigtet kommer en for stor mængde på huden, eller hvis gelen bruges for ofte, bør ansigtet vaskes forsigtigt med en mild sæbe og lunkent vand. Acnatac bør seponeres i adskillige dage, før behandlingen genoptages.</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 xml:space="preserve">I tilfælde af overdosering kan topikal påført clindamycinphosphat fra Acnatac blive absorberet i tilstrækkeligt store mængder til at fremkalde systemiske virkninger. Gastrointestinale bivirkninger, herunder mavesmerter, kvalme, opkastning og diarré, kan forekomme (se pkt. 4.4). </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I tilfælde af utilsigtet indtagelse bør dette behandles symptomatisk. De samme bivirkninger som for clindamycin (dvs. mavesmerter, kvalme, opkastning og diarré) og tretinoin (herunder teratogenese hos fertile kvinder) må forventes. I sådanne tilfælde bør Acnatac gel seponeres, og graviditetstest bør udføres hos fertile kvinder.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lastRenderedPageBreak/>
        <w:t>4.10</w:t>
      </w:r>
      <w:r w:rsidRPr="00113684">
        <w:rPr>
          <w:b/>
          <w:sz w:val="24"/>
          <w:szCs w:val="24"/>
        </w:rPr>
        <w:tab/>
        <w:t>Udlevering</w:t>
      </w:r>
    </w:p>
    <w:p w:rsidR="00EC3969" w:rsidRPr="00113684" w:rsidRDefault="00EC3969" w:rsidP="00EC3969">
      <w:pPr>
        <w:ind w:left="851" w:hanging="851"/>
        <w:rPr>
          <w:sz w:val="24"/>
          <w:szCs w:val="24"/>
        </w:rPr>
      </w:pPr>
      <w:r w:rsidRPr="00113684">
        <w:rPr>
          <w:sz w:val="24"/>
          <w:szCs w:val="24"/>
        </w:rPr>
        <w:tab/>
        <w:t>A</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5.</w:t>
      </w:r>
      <w:r w:rsidRPr="00113684">
        <w:rPr>
          <w:b/>
          <w:sz w:val="24"/>
          <w:szCs w:val="24"/>
        </w:rPr>
        <w:tab/>
        <w:t>FARMAKOLOGISKE EGENSKABER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5.1</w:t>
      </w:r>
      <w:r w:rsidRPr="00113684">
        <w:rPr>
          <w:b/>
          <w:sz w:val="24"/>
          <w:szCs w:val="24"/>
        </w:rPr>
        <w:tab/>
        <w:t>Farmakodynamiske egenskaber</w:t>
      </w:r>
    </w:p>
    <w:p w:rsidR="00E76822" w:rsidRPr="00113684" w:rsidRDefault="00E76822" w:rsidP="00E76822">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hyperlink r:id="rId10" w:history="1">
        <w:proofErr w:type="spellStart"/>
        <w:r w:rsidRPr="00113684">
          <w:rPr>
            <w:sz w:val="24"/>
            <w:szCs w:val="24"/>
          </w:rPr>
          <w:t>Antiinfectiva</w:t>
        </w:r>
        <w:proofErr w:type="spellEnd"/>
        <w:r w:rsidRPr="00113684">
          <w:rPr>
            <w:sz w:val="24"/>
            <w:szCs w:val="24"/>
          </w:rPr>
          <w:t xml:space="preserve"> til </w:t>
        </w:r>
        <w:proofErr w:type="spellStart"/>
        <w:r w:rsidRPr="00113684">
          <w:rPr>
            <w:sz w:val="24"/>
            <w:szCs w:val="24"/>
          </w:rPr>
          <w:t>acne</w:t>
        </w:r>
        <w:proofErr w:type="spellEnd"/>
        <w:r w:rsidRPr="00113684">
          <w:rPr>
            <w:sz w:val="24"/>
            <w:szCs w:val="24"/>
          </w:rPr>
          <w:t>-behandling</w:t>
        </w:r>
      </w:hyperlink>
      <w:r w:rsidRPr="00113684">
        <w:rPr>
          <w:sz w:val="24"/>
          <w:szCs w:val="24"/>
        </w:rPr>
        <w:t>;</w:t>
      </w:r>
      <w:r w:rsidRPr="00113684">
        <w:rPr>
          <w:b/>
          <w:i/>
          <w:sz w:val="24"/>
          <w:szCs w:val="24"/>
        </w:rPr>
        <w:t xml:space="preserve"> </w:t>
      </w:r>
      <w:proofErr w:type="spellStart"/>
      <w:r w:rsidRPr="00113684">
        <w:rPr>
          <w:sz w:val="24"/>
          <w:szCs w:val="24"/>
        </w:rPr>
        <w:t>clindamycin</w:t>
      </w:r>
      <w:proofErr w:type="spellEnd"/>
      <w:r w:rsidRPr="00113684">
        <w:rPr>
          <w:sz w:val="24"/>
          <w:szCs w:val="24"/>
        </w:rPr>
        <w:t xml:space="preserve">, </w:t>
      </w:r>
      <w:proofErr w:type="spellStart"/>
      <w:r w:rsidRPr="00113684">
        <w:rPr>
          <w:sz w:val="24"/>
          <w:szCs w:val="24"/>
        </w:rPr>
        <w:t>komb</w:t>
      </w:r>
      <w:proofErr w:type="spellEnd"/>
      <w:r w:rsidRPr="00113684">
        <w:rPr>
          <w:sz w:val="24"/>
          <w:szCs w:val="24"/>
        </w:rPr>
        <w:t>.</w:t>
      </w:r>
    </w:p>
    <w:p w:rsidR="00E76822" w:rsidRDefault="00E76822" w:rsidP="00EC3969">
      <w:pPr>
        <w:ind w:left="851" w:hanging="851"/>
        <w:rPr>
          <w:sz w:val="24"/>
          <w:szCs w:val="24"/>
        </w:rPr>
      </w:pPr>
      <w:r>
        <w:rPr>
          <w:sz w:val="24"/>
          <w:szCs w:val="24"/>
        </w:rPr>
        <w:tab/>
      </w:r>
      <w:r w:rsidRPr="00113684">
        <w:rPr>
          <w:sz w:val="24"/>
          <w:szCs w:val="24"/>
        </w:rPr>
        <w:t>ATC-kode:</w:t>
      </w:r>
      <w:r w:rsidRPr="00113684">
        <w:rPr>
          <w:b/>
          <w:i/>
          <w:sz w:val="24"/>
          <w:szCs w:val="24"/>
        </w:rPr>
        <w:t xml:space="preserve"> </w:t>
      </w:r>
      <w:r w:rsidRPr="00113684">
        <w:rPr>
          <w:sz w:val="24"/>
          <w:szCs w:val="24"/>
        </w:rPr>
        <w:t>D 10 AF 51.</w:t>
      </w:r>
    </w:p>
    <w:p w:rsidR="00E76822" w:rsidRDefault="00E76822" w:rsidP="00EC3969">
      <w:pPr>
        <w:ind w:left="851" w:hanging="851"/>
        <w:rPr>
          <w:sz w:val="24"/>
          <w:szCs w:val="24"/>
        </w:rPr>
      </w:pPr>
    </w:p>
    <w:p w:rsidR="00EC3969" w:rsidRPr="00113684" w:rsidRDefault="00EC3969" w:rsidP="00E76822">
      <w:pPr>
        <w:ind w:left="851"/>
        <w:rPr>
          <w:b/>
          <w:i/>
          <w:sz w:val="24"/>
          <w:szCs w:val="24"/>
        </w:rPr>
      </w:pPr>
      <w:proofErr w:type="spellStart"/>
      <w:r w:rsidRPr="00113684">
        <w:rPr>
          <w:sz w:val="24"/>
          <w:szCs w:val="24"/>
        </w:rPr>
        <w:t>Acnatac</w:t>
      </w:r>
      <w:proofErr w:type="spellEnd"/>
      <w:r w:rsidRPr="00113684">
        <w:rPr>
          <w:sz w:val="24"/>
          <w:szCs w:val="24"/>
        </w:rPr>
        <w:t xml:space="preserve"> er en kombination af to stoffer, der har forskellige virkningsmekanismer (se nedenfor).</w:t>
      </w:r>
      <w:r w:rsidRPr="00113684">
        <w:rPr>
          <w:b/>
          <w:i/>
          <w:sz w:val="24"/>
          <w:szCs w:val="24"/>
        </w:rPr>
        <w:t xml:space="preserve"> </w:t>
      </w:r>
    </w:p>
    <w:p w:rsidR="00EC3969" w:rsidRPr="00113684" w:rsidRDefault="00EC3969" w:rsidP="00EC3969">
      <w:pPr>
        <w:ind w:left="851" w:hanging="851"/>
        <w:rPr>
          <w:sz w:val="24"/>
          <w:szCs w:val="24"/>
          <w:u w:val="single"/>
        </w:rPr>
      </w:pPr>
    </w:p>
    <w:p w:rsidR="00EC3969" w:rsidRPr="00113684" w:rsidRDefault="00EC3969" w:rsidP="00EC3969">
      <w:pPr>
        <w:ind w:left="851"/>
        <w:rPr>
          <w:sz w:val="24"/>
          <w:szCs w:val="24"/>
        </w:rPr>
      </w:pPr>
      <w:r w:rsidRPr="00113684">
        <w:rPr>
          <w:sz w:val="24"/>
          <w:szCs w:val="24"/>
          <w:u w:val="single"/>
        </w:rPr>
        <w:t>Clindamycin</w:t>
      </w:r>
      <w:r w:rsidRPr="00113684">
        <w:rPr>
          <w:sz w:val="24"/>
          <w:szCs w:val="24"/>
        </w:rPr>
        <w:t xml:space="preserve"> </w:t>
      </w:r>
    </w:p>
    <w:p w:rsidR="00EC3969" w:rsidRPr="00113684" w:rsidRDefault="00EC3969" w:rsidP="00EC3969">
      <w:pPr>
        <w:ind w:left="851"/>
        <w:rPr>
          <w:sz w:val="24"/>
          <w:szCs w:val="24"/>
        </w:rPr>
      </w:pPr>
      <w:r w:rsidRPr="00113684">
        <w:rPr>
          <w:sz w:val="24"/>
          <w:szCs w:val="24"/>
        </w:rPr>
        <w:t xml:space="preserve">Clindamycin er et semisyntetisk derivat af moderstoffet lincomycin, der produceres af </w:t>
      </w:r>
      <w:r w:rsidRPr="00113684">
        <w:rPr>
          <w:i/>
          <w:sz w:val="24"/>
          <w:szCs w:val="24"/>
        </w:rPr>
        <w:t>Streptomyces lincolnensis</w:t>
      </w:r>
      <w:r w:rsidRPr="00113684">
        <w:rPr>
          <w:sz w:val="24"/>
          <w:szCs w:val="24"/>
        </w:rPr>
        <w:t xml:space="preserve">. Virkningen af clindamycin er overvejende bakteriostatisk. Clindamycin binder til de 50S-ribosomale subunit hos følsomme bakterier og forhindrer elongering af peptidkæder ved at forstyrre peptidyloverførslen. Dermed undertrykkes den bakterielle proteinsyntese. Selvom clindamycinphosphat er inaktivt </w:t>
      </w:r>
      <w:r w:rsidRPr="00113684">
        <w:rPr>
          <w:i/>
          <w:sz w:val="24"/>
          <w:szCs w:val="24"/>
        </w:rPr>
        <w:t>in vitro</w:t>
      </w:r>
      <w:r w:rsidRPr="00113684">
        <w:rPr>
          <w:sz w:val="24"/>
          <w:szCs w:val="24"/>
        </w:rPr>
        <w:t xml:space="preserve">, omdannes stoffet hurtigt </w:t>
      </w:r>
      <w:r w:rsidRPr="00113684">
        <w:rPr>
          <w:i/>
          <w:sz w:val="24"/>
          <w:szCs w:val="24"/>
        </w:rPr>
        <w:t>in vivo</w:t>
      </w:r>
      <w:r w:rsidRPr="00113684">
        <w:rPr>
          <w:sz w:val="24"/>
          <w:szCs w:val="24"/>
        </w:rPr>
        <w:t xml:space="preserve"> ved hydrolyse til det antibakterielt aktive clindamycin.</w:t>
      </w:r>
    </w:p>
    <w:p w:rsidR="00EC3969" w:rsidRPr="00113684" w:rsidRDefault="00EC3969" w:rsidP="00EC3969">
      <w:pPr>
        <w:ind w:left="851"/>
        <w:rPr>
          <w:sz w:val="24"/>
          <w:szCs w:val="24"/>
        </w:rPr>
      </w:pPr>
      <w:r w:rsidRPr="00113684">
        <w:rPr>
          <w:sz w:val="24"/>
          <w:szCs w:val="24"/>
        </w:rPr>
        <w:t xml:space="preserve">Det er påvist </w:t>
      </w:r>
      <w:r w:rsidRPr="00113684">
        <w:rPr>
          <w:i/>
          <w:sz w:val="24"/>
          <w:szCs w:val="24"/>
        </w:rPr>
        <w:t>in vitro</w:t>
      </w:r>
      <w:r w:rsidRPr="00113684">
        <w:rPr>
          <w:sz w:val="24"/>
          <w:szCs w:val="24"/>
        </w:rPr>
        <w:t xml:space="preserve">, at clindamycin virker mod </w:t>
      </w:r>
      <w:r w:rsidRPr="00113684">
        <w:rPr>
          <w:i/>
          <w:sz w:val="24"/>
          <w:szCs w:val="24"/>
        </w:rPr>
        <w:t>Propionibacterium acnes</w:t>
      </w:r>
      <w:r w:rsidRPr="00113684">
        <w:rPr>
          <w:sz w:val="24"/>
          <w:szCs w:val="24"/>
        </w:rPr>
        <w:t>, der er en patofysiologisk faktor, som påvirker udviklingen af acne vulgaris. Clindamycin udviser en antiinflammatorisk virkning på læsioner efter acne vulgaris.</w:t>
      </w:r>
    </w:p>
    <w:p w:rsidR="00EC3969" w:rsidRPr="00113684" w:rsidRDefault="00EC3969" w:rsidP="00EC3969">
      <w:pPr>
        <w:ind w:left="851"/>
        <w:rPr>
          <w:sz w:val="24"/>
          <w:szCs w:val="24"/>
        </w:rPr>
      </w:pPr>
      <w:r w:rsidRPr="00113684">
        <w:rPr>
          <w:sz w:val="24"/>
          <w:szCs w:val="24"/>
        </w:rPr>
        <w:t xml:space="preserve">Breakpoint for følsomhedstest af clindamycin er 4 mg/ml for </w:t>
      </w:r>
      <w:r w:rsidRPr="00113684">
        <w:rPr>
          <w:i/>
          <w:sz w:val="24"/>
          <w:szCs w:val="24"/>
        </w:rPr>
        <w:t>P. acnes</w:t>
      </w:r>
      <w:r w:rsidRPr="00113684">
        <w:rPr>
          <w:sz w:val="24"/>
          <w:szCs w:val="24"/>
        </w:rPr>
        <w:t xml:space="preserve"> som repræsentant for grampositive anaerober (breakpoints for følsomhed anbefalet af European Committee on Antimicrobial Susceptibility Testing (EUCAST)).</w:t>
      </w:r>
    </w:p>
    <w:p w:rsidR="00EC3969" w:rsidRPr="00113684" w:rsidRDefault="00EC3969"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t>Tretinoin</w:t>
      </w:r>
    </w:p>
    <w:p w:rsidR="00EC3969" w:rsidRPr="00113684" w:rsidRDefault="00EC3969" w:rsidP="00EC3969">
      <w:pPr>
        <w:ind w:left="851"/>
        <w:rPr>
          <w:sz w:val="24"/>
          <w:szCs w:val="24"/>
        </w:rPr>
      </w:pPr>
      <w:r w:rsidRPr="00113684">
        <w:rPr>
          <w:sz w:val="24"/>
          <w:szCs w:val="24"/>
        </w:rPr>
        <w:t>Topikal tretinoin har både komedolytisk og anti-inflammatorisk virkning. Tretinoin hæmmer sammenhængskraften i follikulære epitelceller, hvilket medfører nedsat dannelse af mikrokomedor. Desuden stimulerer tretinoin mitotisk aktivitet og øget omsætning af follikulære epitelceller, hvilket medfører ekstrudering af komedonerne. Den komedolytiske aktivitet er relateret til en normalisering af afskalningen af det follikulære epitel. Tretinoin har en anti-inflammatorisk virkning via suppresion af Toll-like-receptorer (TLR).</w:t>
      </w:r>
    </w:p>
    <w:p w:rsidR="00EC3969" w:rsidRPr="00113684" w:rsidRDefault="00EC3969" w:rsidP="00EC3969">
      <w:pPr>
        <w:ind w:left="851"/>
        <w:rPr>
          <w:sz w:val="24"/>
          <w:szCs w:val="24"/>
        </w:rPr>
      </w:pPr>
    </w:p>
    <w:p w:rsidR="00EC3969" w:rsidRPr="00113684" w:rsidRDefault="00EC3969" w:rsidP="00EC3969">
      <w:pPr>
        <w:ind w:left="851"/>
        <w:rPr>
          <w:sz w:val="24"/>
          <w:szCs w:val="24"/>
        </w:rPr>
      </w:pPr>
      <w:r w:rsidRPr="00113684">
        <w:rPr>
          <w:sz w:val="24"/>
          <w:szCs w:val="24"/>
        </w:rPr>
        <w:t xml:space="preserve">En kombinationsbehandling af clindamycin og tretinoin, som i Acnatac gel, kombinerer ikke kun de to aktive stoffers individuelle virkninger, men har også komplementerende effekt på deres kendte virkninger. Der er også evidens for dette i litteraturen, at når stofferne anvendes sammen, øger tretinoin clindamycins penetrering. Denne kombinationsbehandling sigter således mod adskillige patogene faktorer: anormal follikelkeratinering, proliferation af </w:t>
      </w:r>
      <w:r w:rsidRPr="00113684">
        <w:rPr>
          <w:i/>
          <w:sz w:val="24"/>
          <w:szCs w:val="24"/>
        </w:rPr>
        <w:t>P. acnes</w:t>
      </w:r>
      <w:r w:rsidRPr="00113684">
        <w:rPr>
          <w:sz w:val="24"/>
          <w:szCs w:val="24"/>
        </w:rPr>
        <w:t>, inflammation og øget sebumproduktion.</w:t>
      </w:r>
    </w:p>
    <w:p w:rsidR="00EC3969" w:rsidRPr="00113684" w:rsidRDefault="00EC3969" w:rsidP="00EC3969">
      <w:pPr>
        <w:ind w:left="851"/>
        <w:rPr>
          <w:b/>
          <w:bCs/>
          <w:sz w:val="24"/>
          <w:szCs w:val="24"/>
        </w:rPr>
      </w:pPr>
    </w:p>
    <w:p w:rsidR="00EC3969" w:rsidRPr="001061B3" w:rsidRDefault="00EC3969" w:rsidP="00EC3969">
      <w:pPr>
        <w:ind w:left="851"/>
        <w:rPr>
          <w:sz w:val="24"/>
          <w:szCs w:val="24"/>
          <w:u w:val="single"/>
        </w:rPr>
      </w:pPr>
      <w:r w:rsidRPr="001061B3">
        <w:rPr>
          <w:sz w:val="24"/>
          <w:szCs w:val="24"/>
          <w:u w:val="single"/>
        </w:rPr>
        <w:t>Klinisk virkning af Acnatac</w:t>
      </w:r>
    </w:p>
    <w:p w:rsidR="00EC3969" w:rsidRPr="00113684" w:rsidRDefault="00EC3969" w:rsidP="00EC3969">
      <w:pPr>
        <w:ind w:left="851"/>
        <w:rPr>
          <w:sz w:val="24"/>
          <w:szCs w:val="24"/>
        </w:rPr>
      </w:pPr>
      <w:r w:rsidRPr="00113684">
        <w:rPr>
          <w:sz w:val="24"/>
          <w:szCs w:val="24"/>
        </w:rPr>
        <w:t>Tre randomiserede dobbeltblindede kliniske studier med i alt 4.550 patienter med acne vulgaris med inflammatoriske og non-inflammatoriske læsioner er blevet gennemført. Af disse blev 1.853 patienter behandlet med Acnatac gel, 846 med tretinoin, 1.428 med clindamycinphosphat og 423 med Acnatac gel-vehikel.</w:t>
      </w:r>
    </w:p>
    <w:p w:rsidR="00EC3969" w:rsidRPr="00113684" w:rsidRDefault="00EC3969" w:rsidP="00EC3969">
      <w:pPr>
        <w:ind w:left="851"/>
        <w:rPr>
          <w:sz w:val="24"/>
          <w:szCs w:val="24"/>
        </w:rPr>
      </w:pPr>
      <w:r w:rsidRPr="00113684">
        <w:rPr>
          <w:sz w:val="24"/>
          <w:szCs w:val="24"/>
        </w:rPr>
        <w:t xml:space="preserve">Patienter med 20-50 inflammatoriske aknelæsioner i ansigtet (papler og pustler), 20-100 non-inflammatoriske aknelæsioner i ansigtet (åbne og lukkede komedoner), to eller færre knuder (defineret som en inflammatorisk læsion, der er større end eller lig med 5 mm i </w:t>
      </w:r>
      <w:r w:rsidRPr="00113684">
        <w:rPr>
          <w:sz w:val="24"/>
          <w:szCs w:val="24"/>
        </w:rPr>
        <w:lastRenderedPageBreak/>
        <w:t>diameter) og uden cyster blev inkluderet. Læsionerne blev optalt ved baseline og i uge 2, 4, 8 og 12.</w:t>
      </w:r>
    </w:p>
    <w:p w:rsidR="00EC3969" w:rsidRPr="00113684" w:rsidRDefault="00EC3969" w:rsidP="00EC3969">
      <w:pPr>
        <w:ind w:left="851"/>
        <w:rPr>
          <w:sz w:val="24"/>
          <w:szCs w:val="24"/>
        </w:rPr>
      </w:pPr>
      <w:r w:rsidRPr="00113684">
        <w:rPr>
          <w:sz w:val="24"/>
          <w:szCs w:val="24"/>
        </w:rPr>
        <w:t>De primære målinger af virkning i studierne 7001.G2HP-06-02 og 7001.G2HP-07-02 var (1) den gennemsnitlige procentvise ændring i antallet af inflammatoriske læsioner fra baseline til uge 12, (2) den gennemsnitlige procentvise ændring i antallet af non-inflammatoriske læsioner fra baseline til uge 12, (3) den gennemsnitlige procentvise ændring i det samlede antal læsioner fra baseline til uge 12 og (4) procentdelen af forsøgspersoner, der var uden eller næsten uden akne i uge 12 som bedømt ved EGSS (Evaluator’s Global Severity Score). Superioritet over monoterapierne blev konkluderet, hvis to ud af de tre variable for antal læsioner og det dikotomiserede EGSS var signifikant.</w:t>
      </w:r>
    </w:p>
    <w:p w:rsidR="00EC3969" w:rsidRPr="00113684" w:rsidRDefault="00EC3969" w:rsidP="00EC3969">
      <w:pPr>
        <w:ind w:left="851"/>
        <w:rPr>
          <w:sz w:val="24"/>
          <w:szCs w:val="24"/>
        </w:rPr>
      </w:pPr>
      <w:r w:rsidRPr="00113684">
        <w:rPr>
          <w:sz w:val="24"/>
          <w:szCs w:val="24"/>
        </w:rPr>
        <w:t xml:space="preserve">Lægemidlet blev appliceret </w:t>
      </w:r>
      <w:r w:rsidR="00413D1B" w:rsidRPr="00113684">
        <w:rPr>
          <w:sz w:val="24"/>
          <w:szCs w:val="24"/>
        </w:rPr>
        <w:t>en</w:t>
      </w:r>
      <w:r w:rsidRPr="00113684">
        <w:rPr>
          <w:sz w:val="24"/>
          <w:szCs w:val="24"/>
        </w:rPr>
        <w:t xml:space="preserve"> gang </w:t>
      </w:r>
      <w:r w:rsidR="00413D1B" w:rsidRPr="00113684">
        <w:rPr>
          <w:sz w:val="24"/>
          <w:szCs w:val="24"/>
        </w:rPr>
        <w:t>daglig</w:t>
      </w:r>
      <w:r w:rsidRPr="00113684">
        <w:rPr>
          <w:sz w:val="24"/>
          <w:szCs w:val="24"/>
        </w:rPr>
        <w:t xml:space="preserve"> i 12 uger, og patienterne blev evalueret og læsioner optalt i uge 12. </w:t>
      </w:r>
    </w:p>
    <w:p w:rsidR="00EC3969" w:rsidRPr="00113684" w:rsidRDefault="00EC3969" w:rsidP="00EC3969">
      <w:pPr>
        <w:ind w:left="851"/>
        <w:rPr>
          <w:sz w:val="24"/>
          <w:szCs w:val="24"/>
        </w:rPr>
      </w:pPr>
    </w:p>
    <w:p w:rsidR="00EC3969" w:rsidRPr="00113684" w:rsidRDefault="00EC3969" w:rsidP="00EC3969">
      <w:pPr>
        <w:ind w:left="851"/>
        <w:rPr>
          <w:sz w:val="24"/>
          <w:szCs w:val="24"/>
        </w:rPr>
      </w:pPr>
      <w:r w:rsidRPr="00113684">
        <w:rPr>
          <w:sz w:val="24"/>
          <w:szCs w:val="24"/>
        </w:rPr>
        <w:t>I studierne 7001.G2HP-06-02 og 7001.G2HP-07.02 blev Acnatac sammenlignet med begge monoterapier (clindamycinphosphat 1,2 %-gel og tretinoin 0,025 %-gel) og med vehiklet i et dobbelt-blindet behandlingsregimen. Det tredje kliniske studie (MP1501-02) blev gennemført for at sammenligne Acnatac med clindamycin alene.</w:t>
      </w:r>
    </w:p>
    <w:p w:rsidR="00EC3969" w:rsidRPr="00113684" w:rsidRDefault="00EC3969" w:rsidP="00EC3969">
      <w:pPr>
        <w:ind w:left="851"/>
        <w:rPr>
          <w:sz w:val="24"/>
          <w:szCs w:val="24"/>
        </w:rPr>
      </w:pPr>
    </w:p>
    <w:p w:rsidR="00EC3969" w:rsidRPr="00113684" w:rsidRDefault="00EC3969" w:rsidP="00EC3969">
      <w:pPr>
        <w:ind w:left="851"/>
        <w:rPr>
          <w:sz w:val="24"/>
          <w:szCs w:val="24"/>
        </w:rPr>
      </w:pPr>
      <w:r w:rsidRPr="00113684">
        <w:rPr>
          <w:sz w:val="24"/>
          <w:szCs w:val="24"/>
        </w:rPr>
        <w:t xml:space="preserve">Fordelingen af procentvis ændring i antallet af læsioner var skæv, og derfor vises den mediane procentvise ændring i de følgende tabeller. </w:t>
      </w:r>
    </w:p>
    <w:p w:rsidR="00EC3969" w:rsidRPr="00113684" w:rsidRDefault="00EC3969" w:rsidP="00EC3969">
      <w:pPr>
        <w:ind w:left="851" w:hanging="851"/>
        <w:rPr>
          <w:sz w:val="24"/>
          <w:szCs w:val="24"/>
        </w:rPr>
      </w:pPr>
    </w:p>
    <w:tbl>
      <w:tblPr>
        <w:tblW w:w="5000" w:type="pct"/>
        <w:tblLook w:val="01E0" w:firstRow="1" w:lastRow="1" w:firstColumn="1" w:lastColumn="1" w:noHBand="0" w:noVBand="0"/>
      </w:tblPr>
      <w:tblGrid>
        <w:gridCol w:w="1137"/>
        <w:gridCol w:w="1924"/>
        <w:gridCol w:w="1576"/>
        <w:gridCol w:w="1576"/>
        <w:gridCol w:w="1760"/>
        <w:gridCol w:w="1665"/>
      </w:tblGrid>
      <w:tr w:rsidR="00EC3969" w:rsidRPr="00113684" w:rsidTr="00413D1B">
        <w:trPr>
          <w:trHeight w:val="255"/>
        </w:trPr>
        <w:tc>
          <w:tcPr>
            <w:tcW w:w="5000" w:type="pct"/>
            <w:gridSpan w:val="6"/>
            <w:hideMark/>
          </w:tcPr>
          <w:p w:rsidR="00EC3969" w:rsidRPr="00113684" w:rsidRDefault="00EC3969" w:rsidP="00413D1B">
            <w:pPr>
              <w:rPr>
                <w:b/>
                <w:bCs/>
                <w:sz w:val="24"/>
                <w:szCs w:val="24"/>
              </w:rPr>
            </w:pPr>
            <w:r w:rsidRPr="00113684">
              <w:rPr>
                <w:b/>
                <w:sz w:val="24"/>
                <w:szCs w:val="24"/>
              </w:rPr>
              <w:t xml:space="preserve">Den mediane procentvise ændring (fald) i antallet af læsioner i uge 12 </w:t>
            </w:r>
          </w:p>
        </w:tc>
      </w:tr>
      <w:tr w:rsidR="00EC3969" w:rsidRPr="00113684" w:rsidTr="00413D1B">
        <w:trPr>
          <w:trHeight w:val="255"/>
        </w:trPr>
        <w:tc>
          <w:tcPr>
            <w:tcW w:w="581" w:type="pct"/>
            <w:vMerge w:val="restart"/>
            <w:hideMark/>
          </w:tcPr>
          <w:p w:rsidR="00EC3969" w:rsidRPr="00113684" w:rsidRDefault="00EC3969" w:rsidP="00413D1B">
            <w:pPr>
              <w:rPr>
                <w:b/>
                <w:bCs/>
                <w:sz w:val="24"/>
                <w:szCs w:val="24"/>
              </w:rPr>
            </w:pPr>
            <w:r w:rsidRPr="00113684">
              <w:rPr>
                <w:b/>
                <w:sz w:val="24"/>
                <w:szCs w:val="24"/>
              </w:rPr>
              <w:t>Læsions-type</w:t>
            </w:r>
          </w:p>
        </w:tc>
        <w:tc>
          <w:tcPr>
            <w:tcW w:w="1011" w:type="pct"/>
            <w:vMerge w:val="restart"/>
            <w:hideMark/>
          </w:tcPr>
          <w:p w:rsidR="00EC3969" w:rsidRPr="00113684" w:rsidRDefault="00EC3969" w:rsidP="00413D1B">
            <w:pPr>
              <w:rPr>
                <w:b/>
                <w:bCs/>
                <w:sz w:val="24"/>
                <w:szCs w:val="24"/>
              </w:rPr>
            </w:pPr>
            <w:r w:rsidRPr="00113684">
              <w:rPr>
                <w:b/>
                <w:sz w:val="24"/>
                <w:szCs w:val="24"/>
              </w:rPr>
              <w:t>Behandling</w:t>
            </w:r>
          </w:p>
        </w:tc>
        <w:tc>
          <w:tcPr>
            <w:tcW w:w="2532" w:type="pct"/>
            <w:gridSpan w:val="3"/>
            <w:hideMark/>
          </w:tcPr>
          <w:p w:rsidR="00EC3969" w:rsidRPr="00113684" w:rsidRDefault="00EC3969" w:rsidP="00413D1B">
            <w:pPr>
              <w:rPr>
                <w:b/>
                <w:bCs/>
                <w:sz w:val="24"/>
                <w:szCs w:val="24"/>
              </w:rPr>
            </w:pPr>
            <w:r w:rsidRPr="00113684">
              <w:rPr>
                <w:b/>
                <w:sz w:val="24"/>
                <w:szCs w:val="24"/>
              </w:rPr>
              <w:t>Studie</w:t>
            </w:r>
          </w:p>
        </w:tc>
        <w:tc>
          <w:tcPr>
            <w:tcW w:w="876" w:type="pct"/>
            <w:hideMark/>
          </w:tcPr>
          <w:p w:rsidR="00EC3969" w:rsidRPr="00113684" w:rsidRDefault="00EC3969" w:rsidP="00413D1B">
            <w:pPr>
              <w:rPr>
                <w:b/>
                <w:bCs/>
                <w:sz w:val="24"/>
                <w:szCs w:val="24"/>
              </w:rPr>
            </w:pPr>
            <w:r w:rsidRPr="00113684">
              <w:rPr>
                <w:b/>
                <w:sz w:val="24"/>
                <w:szCs w:val="24"/>
              </w:rPr>
              <w:t>Meta-analyse</w:t>
            </w:r>
          </w:p>
        </w:tc>
      </w:tr>
      <w:tr w:rsidR="00EC3969" w:rsidRPr="00113684" w:rsidTr="00413D1B">
        <w:trPr>
          <w:trHeight w:val="255"/>
        </w:trPr>
        <w:tc>
          <w:tcPr>
            <w:tcW w:w="581" w:type="pct"/>
            <w:vMerge/>
            <w:vAlign w:val="center"/>
            <w:hideMark/>
          </w:tcPr>
          <w:p w:rsidR="00EC3969" w:rsidRPr="00113684" w:rsidRDefault="00EC3969" w:rsidP="00413D1B">
            <w:pPr>
              <w:rPr>
                <w:b/>
                <w:bCs/>
                <w:sz w:val="24"/>
                <w:szCs w:val="24"/>
              </w:rPr>
            </w:pPr>
          </w:p>
        </w:tc>
        <w:tc>
          <w:tcPr>
            <w:tcW w:w="1011" w:type="pct"/>
            <w:vMerge/>
            <w:vAlign w:val="center"/>
            <w:hideMark/>
          </w:tcPr>
          <w:p w:rsidR="00EC3969" w:rsidRPr="00113684" w:rsidRDefault="00EC3969" w:rsidP="00413D1B">
            <w:pPr>
              <w:rPr>
                <w:b/>
                <w:bCs/>
                <w:sz w:val="24"/>
                <w:szCs w:val="24"/>
              </w:rPr>
            </w:pPr>
          </w:p>
        </w:tc>
        <w:tc>
          <w:tcPr>
            <w:tcW w:w="775" w:type="pct"/>
            <w:hideMark/>
          </w:tcPr>
          <w:p w:rsidR="00EC3969" w:rsidRPr="00113684" w:rsidRDefault="00EC3969" w:rsidP="00413D1B">
            <w:pPr>
              <w:rPr>
                <w:b/>
                <w:bCs/>
                <w:sz w:val="24"/>
                <w:szCs w:val="24"/>
              </w:rPr>
            </w:pPr>
            <w:r w:rsidRPr="00113684">
              <w:rPr>
                <w:b/>
                <w:sz w:val="24"/>
                <w:szCs w:val="24"/>
              </w:rPr>
              <w:t>G2HP_06_02</w:t>
            </w:r>
          </w:p>
          <w:p w:rsidR="00EC3969" w:rsidRPr="00113684" w:rsidRDefault="00EC3969" w:rsidP="00413D1B">
            <w:pPr>
              <w:rPr>
                <w:b/>
                <w:bCs/>
                <w:sz w:val="24"/>
                <w:szCs w:val="24"/>
              </w:rPr>
            </w:pPr>
            <w:r w:rsidRPr="00113684">
              <w:rPr>
                <w:b/>
                <w:sz w:val="24"/>
                <w:szCs w:val="24"/>
              </w:rPr>
              <w:t>(n = 1.252)</w:t>
            </w:r>
          </w:p>
        </w:tc>
        <w:tc>
          <w:tcPr>
            <w:tcW w:w="822" w:type="pct"/>
            <w:hideMark/>
          </w:tcPr>
          <w:p w:rsidR="00EC3969" w:rsidRPr="00113684" w:rsidRDefault="00EC3969" w:rsidP="00413D1B">
            <w:pPr>
              <w:rPr>
                <w:b/>
                <w:bCs/>
                <w:sz w:val="24"/>
                <w:szCs w:val="24"/>
              </w:rPr>
            </w:pPr>
            <w:r w:rsidRPr="00113684">
              <w:rPr>
                <w:b/>
                <w:sz w:val="24"/>
                <w:szCs w:val="24"/>
              </w:rPr>
              <w:t>G2HP_07_02</w:t>
            </w:r>
          </w:p>
          <w:p w:rsidR="00EC3969" w:rsidRPr="00113684" w:rsidRDefault="00EC3969" w:rsidP="00413D1B">
            <w:pPr>
              <w:rPr>
                <w:b/>
                <w:bCs/>
                <w:sz w:val="24"/>
                <w:szCs w:val="24"/>
              </w:rPr>
            </w:pPr>
            <w:r w:rsidRPr="00113684">
              <w:rPr>
                <w:b/>
                <w:sz w:val="24"/>
                <w:szCs w:val="24"/>
              </w:rPr>
              <w:t>(n = 1.288)</w:t>
            </w:r>
          </w:p>
        </w:tc>
        <w:tc>
          <w:tcPr>
            <w:tcW w:w="935" w:type="pct"/>
            <w:hideMark/>
          </w:tcPr>
          <w:p w:rsidR="00EC3969" w:rsidRPr="00113684" w:rsidRDefault="00EC3969" w:rsidP="00413D1B">
            <w:pPr>
              <w:rPr>
                <w:b/>
                <w:bCs/>
                <w:sz w:val="24"/>
                <w:szCs w:val="24"/>
              </w:rPr>
            </w:pPr>
            <w:r w:rsidRPr="00113684">
              <w:rPr>
                <w:b/>
                <w:sz w:val="24"/>
                <w:szCs w:val="24"/>
              </w:rPr>
              <w:t>MP1501_02</w:t>
            </w:r>
          </w:p>
          <w:p w:rsidR="00EC3969" w:rsidRPr="00113684" w:rsidRDefault="00EC3969" w:rsidP="00413D1B">
            <w:pPr>
              <w:rPr>
                <w:b/>
                <w:bCs/>
                <w:sz w:val="24"/>
                <w:szCs w:val="24"/>
              </w:rPr>
            </w:pPr>
            <w:r w:rsidRPr="00113684">
              <w:rPr>
                <w:b/>
                <w:sz w:val="24"/>
                <w:szCs w:val="24"/>
              </w:rPr>
              <w:t>(n = 2.010)</w:t>
            </w:r>
          </w:p>
        </w:tc>
        <w:tc>
          <w:tcPr>
            <w:tcW w:w="876" w:type="pct"/>
            <w:hideMark/>
          </w:tcPr>
          <w:p w:rsidR="00EC3969" w:rsidRPr="00113684" w:rsidRDefault="00EC3969" w:rsidP="00413D1B">
            <w:pPr>
              <w:rPr>
                <w:b/>
                <w:bCs/>
                <w:sz w:val="24"/>
                <w:szCs w:val="24"/>
              </w:rPr>
            </w:pPr>
            <w:r w:rsidRPr="00113684">
              <w:rPr>
                <w:b/>
                <w:sz w:val="24"/>
                <w:szCs w:val="24"/>
              </w:rPr>
              <w:t>Alle studier</w:t>
            </w:r>
            <w:r w:rsidRPr="00113684">
              <w:rPr>
                <w:b/>
                <w:sz w:val="24"/>
                <w:szCs w:val="24"/>
                <w:vertAlign w:val="superscript"/>
              </w:rPr>
              <w:t>1</w:t>
            </w:r>
            <w:r w:rsidRPr="00113684">
              <w:rPr>
                <w:b/>
                <w:sz w:val="24"/>
                <w:szCs w:val="24"/>
              </w:rPr>
              <w:t xml:space="preserve"> (n = 4.550)</w:t>
            </w:r>
          </w:p>
        </w:tc>
      </w:tr>
      <w:tr w:rsidR="00EC3969" w:rsidRPr="00113684" w:rsidTr="00413D1B">
        <w:trPr>
          <w:trHeight w:val="233"/>
        </w:trPr>
        <w:tc>
          <w:tcPr>
            <w:tcW w:w="581" w:type="pct"/>
            <w:vMerge w:val="restart"/>
            <w:hideMark/>
          </w:tcPr>
          <w:p w:rsidR="00EC3969" w:rsidRPr="00113684" w:rsidRDefault="00EC3969" w:rsidP="00413D1B">
            <w:pPr>
              <w:rPr>
                <w:b/>
                <w:bCs/>
                <w:sz w:val="24"/>
                <w:szCs w:val="24"/>
              </w:rPr>
            </w:pPr>
            <w:r w:rsidRPr="00113684">
              <w:rPr>
                <w:b/>
                <w:sz w:val="24"/>
                <w:szCs w:val="24"/>
              </w:rPr>
              <w:t>Inflam-matorisk</w:t>
            </w:r>
          </w:p>
        </w:tc>
        <w:tc>
          <w:tcPr>
            <w:tcW w:w="1011" w:type="pct"/>
            <w:hideMark/>
          </w:tcPr>
          <w:p w:rsidR="00EC3969" w:rsidRPr="00113684" w:rsidRDefault="00EC3969" w:rsidP="00413D1B">
            <w:pPr>
              <w:rPr>
                <w:b/>
                <w:bCs/>
                <w:sz w:val="24"/>
                <w:szCs w:val="24"/>
              </w:rPr>
            </w:pPr>
            <w:r w:rsidRPr="00113684">
              <w:rPr>
                <w:b/>
                <w:sz w:val="24"/>
                <w:szCs w:val="24"/>
              </w:rPr>
              <w:t>Acnatac</w:t>
            </w:r>
          </w:p>
        </w:tc>
        <w:tc>
          <w:tcPr>
            <w:tcW w:w="775" w:type="pct"/>
            <w:hideMark/>
          </w:tcPr>
          <w:p w:rsidR="00EC3969" w:rsidRPr="00113684" w:rsidRDefault="00EC3969" w:rsidP="00413D1B">
            <w:pPr>
              <w:rPr>
                <w:sz w:val="24"/>
                <w:szCs w:val="24"/>
              </w:rPr>
            </w:pPr>
            <w:r w:rsidRPr="00113684">
              <w:rPr>
                <w:sz w:val="24"/>
                <w:szCs w:val="24"/>
              </w:rPr>
              <w:t>52,6</w:t>
            </w:r>
          </w:p>
        </w:tc>
        <w:tc>
          <w:tcPr>
            <w:tcW w:w="822" w:type="pct"/>
            <w:hideMark/>
          </w:tcPr>
          <w:p w:rsidR="00EC3969" w:rsidRPr="00113684" w:rsidRDefault="00EC3969" w:rsidP="00413D1B">
            <w:pPr>
              <w:rPr>
                <w:sz w:val="24"/>
                <w:szCs w:val="24"/>
              </w:rPr>
            </w:pPr>
            <w:r w:rsidRPr="00113684">
              <w:rPr>
                <w:sz w:val="24"/>
                <w:szCs w:val="24"/>
              </w:rPr>
              <w:t>61,3</w:t>
            </w:r>
          </w:p>
        </w:tc>
        <w:tc>
          <w:tcPr>
            <w:tcW w:w="935" w:type="pct"/>
            <w:hideMark/>
          </w:tcPr>
          <w:p w:rsidR="00EC3969" w:rsidRPr="00113684" w:rsidRDefault="00EC3969" w:rsidP="00413D1B">
            <w:pPr>
              <w:rPr>
                <w:sz w:val="24"/>
                <w:szCs w:val="24"/>
              </w:rPr>
            </w:pPr>
            <w:r w:rsidRPr="00113684">
              <w:rPr>
                <w:sz w:val="24"/>
                <w:szCs w:val="24"/>
              </w:rPr>
              <w:t>70,0</w:t>
            </w:r>
          </w:p>
        </w:tc>
        <w:tc>
          <w:tcPr>
            <w:tcW w:w="876" w:type="pct"/>
            <w:hideMark/>
          </w:tcPr>
          <w:p w:rsidR="00EC3969" w:rsidRPr="00113684" w:rsidRDefault="00EC3969" w:rsidP="00413D1B">
            <w:pPr>
              <w:rPr>
                <w:sz w:val="24"/>
                <w:szCs w:val="24"/>
              </w:rPr>
            </w:pPr>
            <w:r w:rsidRPr="00113684">
              <w:rPr>
                <w:sz w:val="24"/>
                <w:szCs w:val="24"/>
              </w:rPr>
              <w:t>65,2</w:t>
            </w:r>
          </w:p>
        </w:tc>
      </w:tr>
      <w:tr w:rsidR="00EC3969" w:rsidRPr="00113684" w:rsidTr="00413D1B">
        <w:trPr>
          <w:trHeight w:val="233"/>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Clindamycin</w:t>
            </w:r>
          </w:p>
        </w:tc>
        <w:tc>
          <w:tcPr>
            <w:tcW w:w="775" w:type="pct"/>
            <w:hideMark/>
          </w:tcPr>
          <w:p w:rsidR="00EC3969" w:rsidRPr="00113684" w:rsidRDefault="00EC3969" w:rsidP="00413D1B">
            <w:pPr>
              <w:rPr>
                <w:sz w:val="24"/>
                <w:szCs w:val="24"/>
              </w:rPr>
            </w:pPr>
            <w:r w:rsidRPr="00113684">
              <w:rPr>
                <w:sz w:val="24"/>
                <w:szCs w:val="24"/>
              </w:rPr>
              <w:t>46,4*</w:t>
            </w:r>
          </w:p>
        </w:tc>
        <w:tc>
          <w:tcPr>
            <w:tcW w:w="822" w:type="pct"/>
            <w:hideMark/>
          </w:tcPr>
          <w:p w:rsidR="00EC3969" w:rsidRPr="00113684" w:rsidRDefault="00EC3969" w:rsidP="00413D1B">
            <w:pPr>
              <w:rPr>
                <w:sz w:val="24"/>
                <w:szCs w:val="24"/>
              </w:rPr>
            </w:pPr>
            <w:r w:rsidRPr="00113684">
              <w:rPr>
                <w:sz w:val="24"/>
                <w:szCs w:val="24"/>
              </w:rPr>
              <w:t>52,1*</w:t>
            </w:r>
          </w:p>
        </w:tc>
        <w:tc>
          <w:tcPr>
            <w:tcW w:w="935" w:type="pct"/>
            <w:hideMark/>
          </w:tcPr>
          <w:p w:rsidR="00EC3969" w:rsidRPr="00113684" w:rsidRDefault="00EC3969" w:rsidP="00413D1B">
            <w:pPr>
              <w:rPr>
                <w:sz w:val="24"/>
                <w:szCs w:val="24"/>
              </w:rPr>
            </w:pPr>
            <w:r w:rsidRPr="00113684">
              <w:rPr>
                <w:sz w:val="24"/>
                <w:szCs w:val="24"/>
              </w:rPr>
              <w:t>64,5*</w:t>
            </w:r>
          </w:p>
        </w:tc>
        <w:tc>
          <w:tcPr>
            <w:tcW w:w="876" w:type="pct"/>
            <w:hideMark/>
          </w:tcPr>
          <w:p w:rsidR="00EC3969" w:rsidRPr="00113684" w:rsidRDefault="00EC3969" w:rsidP="00413D1B">
            <w:pPr>
              <w:rPr>
                <w:sz w:val="24"/>
                <w:szCs w:val="24"/>
              </w:rPr>
            </w:pPr>
            <w:r w:rsidRPr="00113684">
              <w:rPr>
                <w:sz w:val="24"/>
                <w:szCs w:val="24"/>
              </w:rPr>
              <w:t>60,0*</w:t>
            </w:r>
          </w:p>
        </w:tc>
      </w:tr>
      <w:tr w:rsidR="00EC3969" w:rsidRPr="00113684" w:rsidTr="00413D1B">
        <w:trPr>
          <w:trHeight w:val="233"/>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Tretinoin</w:t>
            </w:r>
          </w:p>
        </w:tc>
        <w:tc>
          <w:tcPr>
            <w:tcW w:w="775" w:type="pct"/>
            <w:hideMark/>
          </w:tcPr>
          <w:p w:rsidR="00EC3969" w:rsidRPr="00113684" w:rsidRDefault="00EC3969" w:rsidP="00413D1B">
            <w:pPr>
              <w:rPr>
                <w:sz w:val="24"/>
                <w:szCs w:val="24"/>
              </w:rPr>
            </w:pPr>
            <w:r w:rsidRPr="00113684">
              <w:rPr>
                <w:sz w:val="24"/>
                <w:szCs w:val="24"/>
              </w:rPr>
              <w:t>42,9*</w:t>
            </w:r>
          </w:p>
        </w:tc>
        <w:tc>
          <w:tcPr>
            <w:tcW w:w="822" w:type="pct"/>
            <w:hideMark/>
          </w:tcPr>
          <w:p w:rsidR="00EC3969" w:rsidRPr="00113684" w:rsidRDefault="00EC3969" w:rsidP="00413D1B">
            <w:pPr>
              <w:rPr>
                <w:sz w:val="24"/>
                <w:szCs w:val="24"/>
              </w:rPr>
            </w:pPr>
            <w:r w:rsidRPr="00113684">
              <w:rPr>
                <w:sz w:val="24"/>
                <w:szCs w:val="24"/>
              </w:rPr>
              <w:t>50,0*</w:t>
            </w:r>
          </w:p>
        </w:tc>
        <w:tc>
          <w:tcPr>
            <w:tcW w:w="935" w:type="pct"/>
            <w:hideMark/>
          </w:tcPr>
          <w:p w:rsidR="00EC3969" w:rsidRPr="00113684" w:rsidRDefault="00EC3969" w:rsidP="00413D1B">
            <w:pPr>
              <w:rPr>
                <w:sz w:val="24"/>
                <w:szCs w:val="24"/>
              </w:rPr>
            </w:pPr>
            <w:r w:rsidRPr="00113684">
              <w:rPr>
                <w:sz w:val="24"/>
                <w:szCs w:val="24"/>
              </w:rPr>
              <w:t>Ikke relevant</w:t>
            </w:r>
          </w:p>
        </w:tc>
        <w:tc>
          <w:tcPr>
            <w:tcW w:w="876" w:type="pct"/>
            <w:hideMark/>
          </w:tcPr>
          <w:p w:rsidR="00EC3969" w:rsidRPr="00113684" w:rsidRDefault="00EC3969" w:rsidP="00413D1B">
            <w:pPr>
              <w:rPr>
                <w:sz w:val="24"/>
                <w:szCs w:val="24"/>
              </w:rPr>
            </w:pPr>
            <w:r w:rsidRPr="00113684">
              <w:rPr>
                <w:sz w:val="24"/>
                <w:szCs w:val="24"/>
              </w:rPr>
              <w:t>46,4*</w:t>
            </w:r>
          </w:p>
        </w:tc>
      </w:tr>
      <w:tr w:rsidR="00EC3969" w:rsidRPr="00113684" w:rsidTr="00413D1B">
        <w:trPr>
          <w:trHeight w:val="233"/>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 xml:space="preserve">Vehikel </w:t>
            </w:r>
          </w:p>
        </w:tc>
        <w:tc>
          <w:tcPr>
            <w:tcW w:w="775" w:type="pct"/>
            <w:hideMark/>
          </w:tcPr>
          <w:p w:rsidR="00EC3969" w:rsidRPr="00113684" w:rsidRDefault="00EC3969" w:rsidP="00413D1B">
            <w:pPr>
              <w:rPr>
                <w:sz w:val="24"/>
                <w:szCs w:val="24"/>
              </w:rPr>
            </w:pPr>
            <w:r w:rsidRPr="00113684">
              <w:rPr>
                <w:sz w:val="24"/>
                <w:szCs w:val="24"/>
              </w:rPr>
              <w:t>25,0*</w:t>
            </w:r>
          </w:p>
        </w:tc>
        <w:tc>
          <w:tcPr>
            <w:tcW w:w="822" w:type="pct"/>
            <w:hideMark/>
          </w:tcPr>
          <w:p w:rsidR="00EC3969" w:rsidRPr="00113684" w:rsidRDefault="00EC3969" w:rsidP="00413D1B">
            <w:pPr>
              <w:rPr>
                <w:sz w:val="24"/>
                <w:szCs w:val="24"/>
              </w:rPr>
            </w:pPr>
            <w:r w:rsidRPr="00113684">
              <w:rPr>
                <w:sz w:val="24"/>
                <w:szCs w:val="24"/>
              </w:rPr>
              <w:t>38,9*</w:t>
            </w:r>
          </w:p>
        </w:tc>
        <w:tc>
          <w:tcPr>
            <w:tcW w:w="935" w:type="pct"/>
            <w:hideMark/>
          </w:tcPr>
          <w:p w:rsidR="00EC3969" w:rsidRPr="00113684" w:rsidRDefault="00EC3969" w:rsidP="00413D1B">
            <w:pPr>
              <w:rPr>
                <w:sz w:val="24"/>
                <w:szCs w:val="24"/>
              </w:rPr>
            </w:pPr>
            <w:r w:rsidRPr="00113684">
              <w:rPr>
                <w:sz w:val="24"/>
                <w:szCs w:val="24"/>
              </w:rPr>
              <w:t>Ikke relevant</w:t>
            </w:r>
          </w:p>
        </w:tc>
        <w:tc>
          <w:tcPr>
            <w:tcW w:w="876" w:type="pct"/>
            <w:hideMark/>
          </w:tcPr>
          <w:p w:rsidR="00EC3969" w:rsidRPr="00113684" w:rsidRDefault="00EC3969" w:rsidP="00413D1B">
            <w:pPr>
              <w:rPr>
                <w:sz w:val="24"/>
                <w:szCs w:val="24"/>
              </w:rPr>
            </w:pPr>
            <w:r w:rsidRPr="00113684">
              <w:rPr>
                <w:sz w:val="24"/>
                <w:szCs w:val="24"/>
              </w:rPr>
              <w:t>32,3*</w:t>
            </w:r>
          </w:p>
        </w:tc>
      </w:tr>
      <w:tr w:rsidR="00EC3969" w:rsidRPr="00113684" w:rsidTr="00413D1B">
        <w:trPr>
          <w:trHeight w:val="120"/>
        </w:trPr>
        <w:tc>
          <w:tcPr>
            <w:tcW w:w="581" w:type="pct"/>
            <w:vMerge w:val="restart"/>
            <w:hideMark/>
          </w:tcPr>
          <w:p w:rsidR="00EC3969" w:rsidRPr="00113684" w:rsidRDefault="00EC3969" w:rsidP="00413D1B">
            <w:pPr>
              <w:rPr>
                <w:b/>
                <w:bCs/>
                <w:sz w:val="24"/>
                <w:szCs w:val="24"/>
              </w:rPr>
            </w:pPr>
            <w:r w:rsidRPr="00113684">
              <w:rPr>
                <w:b/>
                <w:sz w:val="24"/>
                <w:szCs w:val="24"/>
              </w:rPr>
              <w:t>Non-inflam-matorisk</w:t>
            </w:r>
          </w:p>
        </w:tc>
        <w:tc>
          <w:tcPr>
            <w:tcW w:w="1011" w:type="pct"/>
            <w:hideMark/>
          </w:tcPr>
          <w:p w:rsidR="00EC3969" w:rsidRPr="00113684" w:rsidRDefault="00EC3969" w:rsidP="00413D1B">
            <w:pPr>
              <w:rPr>
                <w:b/>
                <w:bCs/>
                <w:sz w:val="24"/>
                <w:szCs w:val="24"/>
              </w:rPr>
            </w:pPr>
            <w:r w:rsidRPr="00113684">
              <w:rPr>
                <w:b/>
                <w:sz w:val="24"/>
                <w:szCs w:val="24"/>
              </w:rPr>
              <w:t>Acnatac</w:t>
            </w:r>
          </w:p>
        </w:tc>
        <w:tc>
          <w:tcPr>
            <w:tcW w:w="775" w:type="pct"/>
            <w:hideMark/>
          </w:tcPr>
          <w:p w:rsidR="00EC3969" w:rsidRPr="00113684" w:rsidRDefault="00EC3969" w:rsidP="00413D1B">
            <w:pPr>
              <w:rPr>
                <w:sz w:val="24"/>
                <w:szCs w:val="24"/>
              </w:rPr>
            </w:pPr>
            <w:r w:rsidRPr="00113684">
              <w:rPr>
                <w:sz w:val="24"/>
                <w:szCs w:val="24"/>
              </w:rPr>
              <w:t>43,8</w:t>
            </w:r>
          </w:p>
        </w:tc>
        <w:tc>
          <w:tcPr>
            <w:tcW w:w="822" w:type="pct"/>
            <w:hideMark/>
          </w:tcPr>
          <w:p w:rsidR="00EC3969" w:rsidRPr="00113684" w:rsidRDefault="00EC3969" w:rsidP="00413D1B">
            <w:pPr>
              <w:rPr>
                <w:sz w:val="24"/>
                <w:szCs w:val="24"/>
              </w:rPr>
            </w:pPr>
            <w:r w:rsidRPr="00113684">
              <w:rPr>
                <w:sz w:val="24"/>
                <w:szCs w:val="24"/>
              </w:rPr>
              <w:t>42,3</w:t>
            </w:r>
          </w:p>
        </w:tc>
        <w:tc>
          <w:tcPr>
            <w:tcW w:w="935" w:type="pct"/>
            <w:hideMark/>
          </w:tcPr>
          <w:p w:rsidR="00EC3969" w:rsidRPr="00113684" w:rsidRDefault="00EC3969" w:rsidP="00413D1B">
            <w:pPr>
              <w:rPr>
                <w:sz w:val="24"/>
                <w:szCs w:val="24"/>
              </w:rPr>
            </w:pPr>
            <w:r w:rsidRPr="00113684">
              <w:rPr>
                <w:sz w:val="24"/>
                <w:szCs w:val="24"/>
              </w:rPr>
              <w:t>57,6</w:t>
            </w:r>
          </w:p>
        </w:tc>
        <w:tc>
          <w:tcPr>
            <w:tcW w:w="876" w:type="pct"/>
            <w:hideMark/>
          </w:tcPr>
          <w:p w:rsidR="00EC3969" w:rsidRPr="00113684" w:rsidRDefault="00EC3969" w:rsidP="00413D1B">
            <w:pPr>
              <w:rPr>
                <w:sz w:val="24"/>
                <w:szCs w:val="24"/>
              </w:rPr>
            </w:pPr>
            <w:r w:rsidRPr="00113684">
              <w:rPr>
                <w:sz w:val="24"/>
                <w:szCs w:val="24"/>
              </w:rPr>
              <w:t>51,6</w:t>
            </w:r>
          </w:p>
        </w:tc>
      </w:tr>
      <w:tr w:rsidR="00EC3969" w:rsidRPr="00113684" w:rsidTr="00413D1B">
        <w:trPr>
          <w:trHeight w:val="120"/>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Clindamycin</w:t>
            </w:r>
          </w:p>
        </w:tc>
        <w:tc>
          <w:tcPr>
            <w:tcW w:w="775" w:type="pct"/>
            <w:hideMark/>
          </w:tcPr>
          <w:p w:rsidR="00EC3969" w:rsidRPr="00113684" w:rsidRDefault="00EC3969" w:rsidP="00413D1B">
            <w:pPr>
              <w:rPr>
                <w:sz w:val="24"/>
                <w:szCs w:val="24"/>
              </w:rPr>
            </w:pPr>
            <w:r w:rsidRPr="00113684">
              <w:rPr>
                <w:sz w:val="24"/>
                <w:szCs w:val="24"/>
              </w:rPr>
              <w:t>27,5*</w:t>
            </w:r>
          </w:p>
        </w:tc>
        <w:tc>
          <w:tcPr>
            <w:tcW w:w="822" w:type="pct"/>
            <w:hideMark/>
          </w:tcPr>
          <w:p w:rsidR="00EC3969" w:rsidRPr="00113684" w:rsidRDefault="00EC3969" w:rsidP="00413D1B">
            <w:pPr>
              <w:rPr>
                <w:sz w:val="24"/>
                <w:szCs w:val="24"/>
              </w:rPr>
            </w:pPr>
            <w:r w:rsidRPr="00113684">
              <w:rPr>
                <w:sz w:val="24"/>
                <w:szCs w:val="24"/>
              </w:rPr>
              <w:t>32,2</w:t>
            </w:r>
          </w:p>
        </w:tc>
        <w:tc>
          <w:tcPr>
            <w:tcW w:w="935" w:type="pct"/>
            <w:hideMark/>
          </w:tcPr>
          <w:p w:rsidR="00EC3969" w:rsidRPr="00113684" w:rsidRDefault="00EC3969" w:rsidP="00413D1B">
            <w:pPr>
              <w:rPr>
                <w:sz w:val="24"/>
                <w:szCs w:val="24"/>
              </w:rPr>
            </w:pPr>
            <w:r w:rsidRPr="00113684">
              <w:rPr>
                <w:sz w:val="24"/>
                <w:szCs w:val="24"/>
              </w:rPr>
              <w:t>48,2*</w:t>
            </w:r>
          </w:p>
        </w:tc>
        <w:tc>
          <w:tcPr>
            <w:tcW w:w="876" w:type="pct"/>
            <w:hideMark/>
          </w:tcPr>
          <w:p w:rsidR="00EC3969" w:rsidRPr="00113684" w:rsidRDefault="00EC3969" w:rsidP="00413D1B">
            <w:pPr>
              <w:rPr>
                <w:sz w:val="24"/>
                <w:szCs w:val="24"/>
              </w:rPr>
            </w:pPr>
            <w:r w:rsidRPr="00113684">
              <w:rPr>
                <w:sz w:val="24"/>
                <w:szCs w:val="24"/>
              </w:rPr>
              <w:t>43,5*</w:t>
            </w:r>
          </w:p>
        </w:tc>
      </w:tr>
      <w:tr w:rsidR="00EC3969" w:rsidRPr="00113684" w:rsidTr="00413D1B">
        <w:trPr>
          <w:trHeight w:val="120"/>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Tretinoin</w:t>
            </w:r>
          </w:p>
        </w:tc>
        <w:tc>
          <w:tcPr>
            <w:tcW w:w="775" w:type="pct"/>
            <w:hideMark/>
          </w:tcPr>
          <w:p w:rsidR="00EC3969" w:rsidRPr="00113684" w:rsidRDefault="00EC3969" w:rsidP="00413D1B">
            <w:pPr>
              <w:rPr>
                <w:sz w:val="24"/>
                <w:szCs w:val="24"/>
              </w:rPr>
            </w:pPr>
            <w:r w:rsidRPr="00113684">
              <w:rPr>
                <w:sz w:val="24"/>
                <w:szCs w:val="24"/>
              </w:rPr>
              <w:t>36,2*</w:t>
            </w:r>
          </w:p>
        </w:tc>
        <w:tc>
          <w:tcPr>
            <w:tcW w:w="822" w:type="pct"/>
            <w:hideMark/>
          </w:tcPr>
          <w:p w:rsidR="00EC3969" w:rsidRPr="00113684" w:rsidRDefault="00EC3969" w:rsidP="00413D1B">
            <w:pPr>
              <w:rPr>
                <w:sz w:val="24"/>
                <w:szCs w:val="24"/>
              </w:rPr>
            </w:pPr>
            <w:r w:rsidRPr="00113684">
              <w:rPr>
                <w:sz w:val="24"/>
                <w:szCs w:val="24"/>
              </w:rPr>
              <w:t>40,0</w:t>
            </w:r>
          </w:p>
        </w:tc>
        <w:tc>
          <w:tcPr>
            <w:tcW w:w="935" w:type="pct"/>
            <w:hideMark/>
          </w:tcPr>
          <w:p w:rsidR="00EC3969" w:rsidRPr="00113684" w:rsidRDefault="00EC3969" w:rsidP="00413D1B">
            <w:pPr>
              <w:rPr>
                <w:sz w:val="24"/>
                <w:szCs w:val="24"/>
              </w:rPr>
            </w:pPr>
            <w:r w:rsidRPr="00113684">
              <w:rPr>
                <w:sz w:val="24"/>
                <w:szCs w:val="24"/>
              </w:rPr>
              <w:t>Ikke relevant</w:t>
            </w:r>
          </w:p>
        </w:tc>
        <w:tc>
          <w:tcPr>
            <w:tcW w:w="876" w:type="pct"/>
            <w:hideMark/>
          </w:tcPr>
          <w:p w:rsidR="00EC3969" w:rsidRPr="00113684" w:rsidRDefault="00EC3969" w:rsidP="00413D1B">
            <w:pPr>
              <w:rPr>
                <w:sz w:val="24"/>
                <w:szCs w:val="24"/>
              </w:rPr>
            </w:pPr>
            <w:r w:rsidRPr="00113684">
              <w:rPr>
                <w:sz w:val="24"/>
                <w:szCs w:val="24"/>
              </w:rPr>
              <w:t>37,3*</w:t>
            </w:r>
          </w:p>
        </w:tc>
      </w:tr>
      <w:tr w:rsidR="00EC3969" w:rsidRPr="00113684" w:rsidTr="00413D1B">
        <w:trPr>
          <w:trHeight w:val="120"/>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Vehikel</w:t>
            </w:r>
          </w:p>
        </w:tc>
        <w:tc>
          <w:tcPr>
            <w:tcW w:w="775" w:type="pct"/>
            <w:hideMark/>
          </w:tcPr>
          <w:p w:rsidR="00EC3969" w:rsidRPr="00113684" w:rsidRDefault="00EC3969" w:rsidP="00413D1B">
            <w:pPr>
              <w:rPr>
                <w:sz w:val="24"/>
                <w:szCs w:val="24"/>
              </w:rPr>
            </w:pPr>
            <w:r w:rsidRPr="00113684">
              <w:rPr>
                <w:sz w:val="24"/>
                <w:szCs w:val="24"/>
              </w:rPr>
              <w:t>23,0*</w:t>
            </w:r>
          </w:p>
        </w:tc>
        <w:tc>
          <w:tcPr>
            <w:tcW w:w="822" w:type="pct"/>
            <w:hideMark/>
          </w:tcPr>
          <w:p w:rsidR="00EC3969" w:rsidRPr="00113684" w:rsidRDefault="00EC3969" w:rsidP="00413D1B">
            <w:pPr>
              <w:rPr>
                <w:sz w:val="24"/>
                <w:szCs w:val="24"/>
              </w:rPr>
            </w:pPr>
            <w:r w:rsidRPr="00113684">
              <w:rPr>
                <w:sz w:val="24"/>
                <w:szCs w:val="24"/>
              </w:rPr>
              <w:t>24,2*</w:t>
            </w:r>
          </w:p>
        </w:tc>
        <w:tc>
          <w:tcPr>
            <w:tcW w:w="935" w:type="pct"/>
            <w:hideMark/>
          </w:tcPr>
          <w:p w:rsidR="00EC3969" w:rsidRPr="00113684" w:rsidRDefault="00EC3969" w:rsidP="00413D1B">
            <w:pPr>
              <w:rPr>
                <w:sz w:val="24"/>
                <w:szCs w:val="24"/>
              </w:rPr>
            </w:pPr>
            <w:r w:rsidRPr="00113684">
              <w:rPr>
                <w:sz w:val="24"/>
                <w:szCs w:val="24"/>
              </w:rPr>
              <w:t>Ikke relevant</w:t>
            </w:r>
          </w:p>
        </w:tc>
        <w:tc>
          <w:tcPr>
            <w:tcW w:w="876" w:type="pct"/>
            <w:hideMark/>
          </w:tcPr>
          <w:p w:rsidR="00EC3969" w:rsidRPr="00113684" w:rsidRDefault="00EC3969" w:rsidP="00413D1B">
            <w:pPr>
              <w:rPr>
                <w:sz w:val="24"/>
                <w:szCs w:val="24"/>
              </w:rPr>
            </w:pPr>
            <w:r w:rsidRPr="00113684">
              <w:rPr>
                <w:sz w:val="24"/>
                <w:szCs w:val="24"/>
              </w:rPr>
              <w:t>23,9*</w:t>
            </w:r>
          </w:p>
        </w:tc>
      </w:tr>
      <w:tr w:rsidR="00EC3969" w:rsidRPr="00113684" w:rsidTr="00413D1B">
        <w:trPr>
          <w:trHeight w:val="120"/>
        </w:trPr>
        <w:tc>
          <w:tcPr>
            <w:tcW w:w="581" w:type="pct"/>
            <w:vMerge w:val="restart"/>
            <w:hideMark/>
          </w:tcPr>
          <w:p w:rsidR="00EC3969" w:rsidRPr="00113684" w:rsidRDefault="00EC3969" w:rsidP="00413D1B">
            <w:pPr>
              <w:rPr>
                <w:b/>
                <w:bCs/>
                <w:sz w:val="24"/>
                <w:szCs w:val="24"/>
              </w:rPr>
            </w:pPr>
            <w:r w:rsidRPr="00113684">
              <w:rPr>
                <w:b/>
                <w:sz w:val="24"/>
                <w:szCs w:val="24"/>
              </w:rPr>
              <w:t>I alt</w:t>
            </w:r>
          </w:p>
        </w:tc>
        <w:tc>
          <w:tcPr>
            <w:tcW w:w="1011" w:type="pct"/>
            <w:hideMark/>
          </w:tcPr>
          <w:p w:rsidR="00EC3969" w:rsidRPr="00113684" w:rsidRDefault="00EC3969" w:rsidP="00413D1B">
            <w:pPr>
              <w:rPr>
                <w:b/>
                <w:bCs/>
                <w:sz w:val="24"/>
                <w:szCs w:val="24"/>
              </w:rPr>
            </w:pPr>
            <w:r w:rsidRPr="00113684">
              <w:rPr>
                <w:b/>
                <w:sz w:val="24"/>
                <w:szCs w:val="24"/>
              </w:rPr>
              <w:t>Acnatac</w:t>
            </w:r>
          </w:p>
        </w:tc>
        <w:tc>
          <w:tcPr>
            <w:tcW w:w="775" w:type="pct"/>
            <w:hideMark/>
          </w:tcPr>
          <w:p w:rsidR="00EC3969" w:rsidRPr="00113684" w:rsidRDefault="00EC3969" w:rsidP="00413D1B">
            <w:pPr>
              <w:rPr>
                <w:sz w:val="24"/>
                <w:szCs w:val="24"/>
              </w:rPr>
            </w:pPr>
            <w:r w:rsidRPr="00113684">
              <w:rPr>
                <w:sz w:val="24"/>
                <w:szCs w:val="24"/>
              </w:rPr>
              <w:t>46,3</w:t>
            </w:r>
          </w:p>
        </w:tc>
        <w:tc>
          <w:tcPr>
            <w:tcW w:w="822" w:type="pct"/>
            <w:hideMark/>
          </w:tcPr>
          <w:p w:rsidR="00EC3969" w:rsidRPr="00113684" w:rsidRDefault="00EC3969" w:rsidP="00413D1B">
            <w:pPr>
              <w:rPr>
                <w:sz w:val="24"/>
                <w:szCs w:val="24"/>
              </w:rPr>
            </w:pPr>
            <w:r w:rsidRPr="00113684">
              <w:rPr>
                <w:sz w:val="24"/>
                <w:szCs w:val="24"/>
              </w:rPr>
              <w:t>48,4</w:t>
            </w:r>
          </w:p>
        </w:tc>
        <w:tc>
          <w:tcPr>
            <w:tcW w:w="935" w:type="pct"/>
            <w:hideMark/>
          </w:tcPr>
          <w:p w:rsidR="00EC3969" w:rsidRPr="00113684" w:rsidRDefault="00EC3969" w:rsidP="00413D1B">
            <w:pPr>
              <w:rPr>
                <w:sz w:val="24"/>
                <w:szCs w:val="24"/>
              </w:rPr>
            </w:pPr>
            <w:r w:rsidRPr="00113684">
              <w:rPr>
                <w:sz w:val="24"/>
                <w:szCs w:val="24"/>
              </w:rPr>
              <w:t>62,0</w:t>
            </w:r>
          </w:p>
        </w:tc>
        <w:tc>
          <w:tcPr>
            <w:tcW w:w="876" w:type="pct"/>
            <w:hideMark/>
          </w:tcPr>
          <w:p w:rsidR="00EC3969" w:rsidRPr="00113684" w:rsidRDefault="00EC3969" w:rsidP="00413D1B">
            <w:pPr>
              <w:rPr>
                <w:sz w:val="24"/>
                <w:szCs w:val="24"/>
              </w:rPr>
            </w:pPr>
            <w:r w:rsidRPr="00113684">
              <w:rPr>
                <w:sz w:val="24"/>
                <w:szCs w:val="24"/>
              </w:rPr>
              <w:t>54,5</w:t>
            </w:r>
          </w:p>
        </w:tc>
      </w:tr>
      <w:tr w:rsidR="00EC3969" w:rsidRPr="00113684" w:rsidTr="00413D1B">
        <w:trPr>
          <w:trHeight w:val="120"/>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Clindamycin</w:t>
            </w:r>
          </w:p>
        </w:tc>
        <w:tc>
          <w:tcPr>
            <w:tcW w:w="775" w:type="pct"/>
            <w:hideMark/>
          </w:tcPr>
          <w:p w:rsidR="00EC3969" w:rsidRPr="00113684" w:rsidRDefault="00EC3969" w:rsidP="00413D1B">
            <w:pPr>
              <w:rPr>
                <w:sz w:val="24"/>
                <w:szCs w:val="24"/>
              </w:rPr>
            </w:pPr>
            <w:r w:rsidRPr="00113684">
              <w:rPr>
                <w:sz w:val="24"/>
                <w:szCs w:val="24"/>
              </w:rPr>
              <w:t>33,9*</w:t>
            </w:r>
          </w:p>
        </w:tc>
        <w:tc>
          <w:tcPr>
            <w:tcW w:w="822" w:type="pct"/>
            <w:hideMark/>
          </w:tcPr>
          <w:p w:rsidR="00EC3969" w:rsidRPr="00113684" w:rsidRDefault="00EC3969" w:rsidP="00413D1B">
            <w:pPr>
              <w:rPr>
                <w:sz w:val="24"/>
                <w:szCs w:val="24"/>
              </w:rPr>
            </w:pPr>
            <w:r w:rsidRPr="00113684">
              <w:rPr>
                <w:sz w:val="24"/>
                <w:szCs w:val="24"/>
              </w:rPr>
              <w:t>40,9*</w:t>
            </w:r>
          </w:p>
        </w:tc>
        <w:tc>
          <w:tcPr>
            <w:tcW w:w="935" w:type="pct"/>
            <w:hideMark/>
          </w:tcPr>
          <w:p w:rsidR="00EC3969" w:rsidRPr="00113684" w:rsidRDefault="00EC3969" w:rsidP="00413D1B">
            <w:pPr>
              <w:rPr>
                <w:sz w:val="24"/>
                <w:szCs w:val="24"/>
              </w:rPr>
            </w:pPr>
            <w:r w:rsidRPr="00113684">
              <w:rPr>
                <w:sz w:val="24"/>
                <w:szCs w:val="24"/>
              </w:rPr>
              <w:t>53,1*</w:t>
            </w:r>
          </w:p>
        </w:tc>
        <w:tc>
          <w:tcPr>
            <w:tcW w:w="876" w:type="pct"/>
            <w:hideMark/>
          </w:tcPr>
          <w:p w:rsidR="00EC3969" w:rsidRPr="00113684" w:rsidRDefault="00EC3969" w:rsidP="00413D1B">
            <w:pPr>
              <w:rPr>
                <w:sz w:val="24"/>
                <w:szCs w:val="24"/>
              </w:rPr>
            </w:pPr>
            <w:r w:rsidRPr="00113684">
              <w:rPr>
                <w:sz w:val="24"/>
                <w:szCs w:val="24"/>
              </w:rPr>
              <w:t>48,1*</w:t>
            </w:r>
          </w:p>
        </w:tc>
      </w:tr>
      <w:tr w:rsidR="00EC3969" w:rsidRPr="00113684" w:rsidTr="00413D1B">
        <w:trPr>
          <w:trHeight w:val="120"/>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Tretinoin</w:t>
            </w:r>
          </w:p>
        </w:tc>
        <w:tc>
          <w:tcPr>
            <w:tcW w:w="775" w:type="pct"/>
            <w:hideMark/>
          </w:tcPr>
          <w:p w:rsidR="00EC3969" w:rsidRPr="00113684" w:rsidRDefault="00EC3969" w:rsidP="00413D1B">
            <w:pPr>
              <w:rPr>
                <w:sz w:val="24"/>
                <w:szCs w:val="24"/>
              </w:rPr>
            </w:pPr>
            <w:r w:rsidRPr="00113684">
              <w:rPr>
                <w:sz w:val="24"/>
                <w:szCs w:val="24"/>
              </w:rPr>
              <w:t>39,6*</w:t>
            </w:r>
          </w:p>
        </w:tc>
        <w:tc>
          <w:tcPr>
            <w:tcW w:w="822" w:type="pct"/>
            <w:hideMark/>
          </w:tcPr>
          <w:p w:rsidR="00EC3969" w:rsidRPr="00113684" w:rsidRDefault="00EC3969" w:rsidP="00413D1B">
            <w:pPr>
              <w:rPr>
                <w:sz w:val="24"/>
                <w:szCs w:val="24"/>
              </w:rPr>
            </w:pPr>
            <w:r w:rsidRPr="00113684">
              <w:rPr>
                <w:sz w:val="24"/>
                <w:szCs w:val="24"/>
              </w:rPr>
              <w:t>39,7*</w:t>
            </w:r>
          </w:p>
        </w:tc>
        <w:tc>
          <w:tcPr>
            <w:tcW w:w="935" w:type="pct"/>
            <w:hideMark/>
          </w:tcPr>
          <w:p w:rsidR="00EC3969" w:rsidRPr="00113684" w:rsidRDefault="00EC3969" w:rsidP="00413D1B">
            <w:pPr>
              <w:rPr>
                <w:sz w:val="24"/>
                <w:szCs w:val="24"/>
              </w:rPr>
            </w:pPr>
            <w:r w:rsidRPr="00113684">
              <w:rPr>
                <w:sz w:val="24"/>
                <w:szCs w:val="24"/>
              </w:rPr>
              <w:t>Ikke relevant</w:t>
            </w:r>
          </w:p>
        </w:tc>
        <w:tc>
          <w:tcPr>
            <w:tcW w:w="876" w:type="pct"/>
            <w:hideMark/>
          </w:tcPr>
          <w:p w:rsidR="00EC3969" w:rsidRPr="00113684" w:rsidRDefault="00EC3969" w:rsidP="00413D1B">
            <w:pPr>
              <w:rPr>
                <w:sz w:val="24"/>
                <w:szCs w:val="24"/>
              </w:rPr>
            </w:pPr>
            <w:r w:rsidRPr="00113684">
              <w:rPr>
                <w:sz w:val="24"/>
                <w:szCs w:val="24"/>
              </w:rPr>
              <w:t>39,6*</w:t>
            </w:r>
          </w:p>
        </w:tc>
      </w:tr>
      <w:tr w:rsidR="00EC3969" w:rsidRPr="00113684" w:rsidTr="00413D1B">
        <w:trPr>
          <w:trHeight w:val="120"/>
        </w:trPr>
        <w:tc>
          <w:tcPr>
            <w:tcW w:w="581" w:type="pct"/>
            <w:vMerge/>
            <w:vAlign w:val="center"/>
            <w:hideMark/>
          </w:tcPr>
          <w:p w:rsidR="00EC3969" w:rsidRPr="00113684" w:rsidRDefault="00EC3969" w:rsidP="00413D1B">
            <w:pPr>
              <w:rPr>
                <w:b/>
                <w:bCs/>
                <w:sz w:val="24"/>
                <w:szCs w:val="24"/>
              </w:rPr>
            </w:pPr>
          </w:p>
        </w:tc>
        <w:tc>
          <w:tcPr>
            <w:tcW w:w="1011" w:type="pct"/>
            <w:hideMark/>
          </w:tcPr>
          <w:p w:rsidR="00EC3969" w:rsidRPr="00113684" w:rsidRDefault="00EC3969" w:rsidP="00413D1B">
            <w:pPr>
              <w:rPr>
                <w:b/>
                <w:bCs/>
                <w:sz w:val="24"/>
                <w:szCs w:val="24"/>
              </w:rPr>
            </w:pPr>
            <w:r w:rsidRPr="00113684">
              <w:rPr>
                <w:b/>
                <w:sz w:val="24"/>
                <w:szCs w:val="24"/>
              </w:rPr>
              <w:t>Vehikel</w:t>
            </w:r>
          </w:p>
        </w:tc>
        <w:tc>
          <w:tcPr>
            <w:tcW w:w="775" w:type="pct"/>
            <w:hideMark/>
          </w:tcPr>
          <w:p w:rsidR="00EC3969" w:rsidRPr="00113684" w:rsidRDefault="00EC3969" w:rsidP="00413D1B">
            <w:pPr>
              <w:rPr>
                <w:sz w:val="24"/>
                <w:szCs w:val="24"/>
              </w:rPr>
            </w:pPr>
            <w:r w:rsidRPr="00113684">
              <w:rPr>
                <w:sz w:val="24"/>
                <w:szCs w:val="24"/>
              </w:rPr>
              <w:t>22,2*</w:t>
            </w:r>
          </w:p>
        </w:tc>
        <w:tc>
          <w:tcPr>
            <w:tcW w:w="822" w:type="pct"/>
            <w:hideMark/>
          </w:tcPr>
          <w:p w:rsidR="00EC3969" w:rsidRPr="00113684" w:rsidRDefault="00EC3969" w:rsidP="00413D1B">
            <w:pPr>
              <w:rPr>
                <w:sz w:val="24"/>
                <w:szCs w:val="24"/>
              </w:rPr>
            </w:pPr>
            <w:r w:rsidRPr="00113684">
              <w:rPr>
                <w:sz w:val="24"/>
                <w:szCs w:val="24"/>
              </w:rPr>
              <w:t>25,0*</w:t>
            </w:r>
          </w:p>
        </w:tc>
        <w:tc>
          <w:tcPr>
            <w:tcW w:w="935" w:type="pct"/>
            <w:hideMark/>
          </w:tcPr>
          <w:p w:rsidR="00EC3969" w:rsidRPr="00113684" w:rsidRDefault="00EC3969" w:rsidP="00413D1B">
            <w:pPr>
              <w:rPr>
                <w:sz w:val="24"/>
                <w:szCs w:val="24"/>
              </w:rPr>
            </w:pPr>
            <w:r w:rsidRPr="00113684">
              <w:rPr>
                <w:sz w:val="24"/>
                <w:szCs w:val="24"/>
              </w:rPr>
              <w:t>Ikke relevant</w:t>
            </w:r>
          </w:p>
        </w:tc>
        <w:tc>
          <w:tcPr>
            <w:tcW w:w="876" w:type="pct"/>
            <w:hideMark/>
          </w:tcPr>
          <w:p w:rsidR="00EC3969" w:rsidRPr="00113684" w:rsidRDefault="00EC3969" w:rsidP="00413D1B">
            <w:pPr>
              <w:rPr>
                <w:sz w:val="24"/>
                <w:szCs w:val="24"/>
              </w:rPr>
            </w:pPr>
            <w:r w:rsidRPr="00113684">
              <w:rPr>
                <w:sz w:val="24"/>
                <w:szCs w:val="24"/>
              </w:rPr>
              <w:t>22,8*</w:t>
            </w:r>
          </w:p>
        </w:tc>
      </w:tr>
      <w:tr w:rsidR="00EC3969" w:rsidRPr="00113684" w:rsidTr="00413D1B">
        <w:trPr>
          <w:trHeight w:val="120"/>
        </w:trPr>
        <w:tc>
          <w:tcPr>
            <w:tcW w:w="5000" w:type="pct"/>
            <w:gridSpan w:val="6"/>
            <w:hideMark/>
          </w:tcPr>
          <w:p w:rsidR="00EC3969" w:rsidRPr="00113684" w:rsidRDefault="00EC3969" w:rsidP="00413D1B">
            <w:pPr>
              <w:rPr>
                <w:sz w:val="24"/>
                <w:szCs w:val="24"/>
              </w:rPr>
            </w:pPr>
            <w:r w:rsidRPr="00113684">
              <w:rPr>
                <w:sz w:val="24"/>
                <w:szCs w:val="24"/>
              </w:rPr>
              <w:t>p-værdier fra ranked ANOVA.</w:t>
            </w:r>
          </w:p>
          <w:p w:rsidR="00EC3969" w:rsidRPr="00113684" w:rsidRDefault="00EC3969" w:rsidP="00413D1B">
            <w:pPr>
              <w:rPr>
                <w:sz w:val="24"/>
                <w:szCs w:val="24"/>
              </w:rPr>
            </w:pPr>
            <w:r w:rsidRPr="00113684">
              <w:rPr>
                <w:sz w:val="24"/>
                <w:szCs w:val="24"/>
                <w:vertAlign w:val="superscript"/>
              </w:rPr>
              <w:t>1</w:t>
            </w:r>
            <w:r w:rsidRPr="00113684">
              <w:rPr>
                <w:sz w:val="24"/>
                <w:szCs w:val="24"/>
              </w:rPr>
              <w:t xml:space="preserve"> Med henblik på parvis sammenligning med tretinoin og vehiklet blev data fra studierne 7001-G2HP-06-02 og 7001-G2HP-07-02 anvendt.</w:t>
            </w:r>
          </w:p>
          <w:p w:rsidR="00EC3969" w:rsidRPr="00113684" w:rsidRDefault="00EC3969" w:rsidP="00413D1B">
            <w:pPr>
              <w:rPr>
                <w:sz w:val="24"/>
                <w:szCs w:val="24"/>
              </w:rPr>
            </w:pPr>
            <w:r w:rsidRPr="00113684">
              <w:rPr>
                <w:sz w:val="24"/>
                <w:szCs w:val="24"/>
              </w:rPr>
              <w:t xml:space="preserve">* p </w:t>
            </w:r>
            <w:r w:rsidRPr="00113684">
              <w:rPr>
                <w:sz w:val="24"/>
                <w:szCs w:val="24"/>
              </w:rPr>
              <w:sym w:font="Symbol" w:char="00A3"/>
            </w:r>
            <w:r w:rsidRPr="00113684">
              <w:rPr>
                <w:sz w:val="24"/>
                <w:szCs w:val="24"/>
              </w:rPr>
              <w:t xml:space="preserve"> 0,05</w:t>
            </w:r>
          </w:p>
        </w:tc>
      </w:tr>
    </w:tbl>
    <w:p w:rsidR="00EC3969" w:rsidRPr="00113684" w:rsidRDefault="00EC3969" w:rsidP="00EC3969">
      <w:pPr>
        <w:rPr>
          <w:b/>
          <w:sz w:val="24"/>
          <w:szCs w:val="24"/>
        </w:rPr>
      </w:pPr>
    </w:p>
    <w:p w:rsidR="00EC3969" w:rsidRPr="00113684" w:rsidRDefault="00EC3969" w:rsidP="00EC3969">
      <w:pPr>
        <w:rPr>
          <w:sz w:val="24"/>
          <w:szCs w:val="24"/>
        </w:rPr>
      </w:pPr>
      <w:r w:rsidRPr="00113684">
        <w:rPr>
          <w:b/>
          <w:sz w:val="24"/>
          <w:szCs w:val="24"/>
        </w:rPr>
        <w:t xml:space="preserve">Global Severity Score i uge 12 – præsenteret som dikotomiseret værdier </w:t>
      </w:r>
    </w:p>
    <w:tbl>
      <w:tblPr>
        <w:tblW w:w="5000" w:type="pct"/>
        <w:tblLook w:val="00A0" w:firstRow="1" w:lastRow="0" w:firstColumn="1" w:lastColumn="0" w:noHBand="0" w:noVBand="0"/>
      </w:tblPr>
      <w:tblGrid>
        <w:gridCol w:w="1927"/>
        <w:gridCol w:w="1927"/>
        <w:gridCol w:w="1928"/>
        <w:gridCol w:w="1928"/>
        <w:gridCol w:w="1928"/>
      </w:tblGrid>
      <w:tr w:rsidR="00EC3969" w:rsidRPr="00113684" w:rsidTr="00413D1B">
        <w:tc>
          <w:tcPr>
            <w:tcW w:w="1000" w:type="pct"/>
          </w:tcPr>
          <w:p w:rsidR="00EC3969" w:rsidRPr="00113684" w:rsidRDefault="00EC3969" w:rsidP="00413D1B">
            <w:pPr>
              <w:rPr>
                <w:sz w:val="24"/>
                <w:szCs w:val="24"/>
              </w:rPr>
            </w:pPr>
          </w:p>
        </w:tc>
        <w:tc>
          <w:tcPr>
            <w:tcW w:w="1000" w:type="pct"/>
            <w:hideMark/>
          </w:tcPr>
          <w:p w:rsidR="00EC3969" w:rsidRPr="00113684" w:rsidRDefault="00EC3969" w:rsidP="00413D1B">
            <w:pPr>
              <w:rPr>
                <w:sz w:val="24"/>
                <w:szCs w:val="24"/>
                <w:u w:val="single"/>
              </w:rPr>
            </w:pPr>
            <w:r w:rsidRPr="00113684">
              <w:rPr>
                <w:sz w:val="24"/>
                <w:szCs w:val="24"/>
                <w:u w:val="single"/>
              </w:rPr>
              <w:t>Acnatac</w:t>
            </w:r>
          </w:p>
        </w:tc>
        <w:tc>
          <w:tcPr>
            <w:tcW w:w="1000" w:type="pct"/>
            <w:hideMark/>
          </w:tcPr>
          <w:p w:rsidR="00EC3969" w:rsidRPr="00113684" w:rsidRDefault="00EC3969" w:rsidP="00413D1B">
            <w:pPr>
              <w:rPr>
                <w:sz w:val="24"/>
                <w:szCs w:val="24"/>
                <w:u w:val="single"/>
              </w:rPr>
            </w:pPr>
            <w:r w:rsidRPr="00113684">
              <w:rPr>
                <w:sz w:val="24"/>
                <w:szCs w:val="24"/>
                <w:u w:val="single"/>
              </w:rPr>
              <w:t>Clindamycin</w:t>
            </w:r>
          </w:p>
        </w:tc>
        <w:tc>
          <w:tcPr>
            <w:tcW w:w="1000" w:type="pct"/>
            <w:hideMark/>
          </w:tcPr>
          <w:p w:rsidR="00EC3969" w:rsidRPr="00113684" w:rsidRDefault="00EC3969" w:rsidP="00413D1B">
            <w:pPr>
              <w:rPr>
                <w:sz w:val="24"/>
                <w:szCs w:val="24"/>
                <w:u w:val="single"/>
              </w:rPr>
            </w:pPr>
            <w:r w:rsidRPr="00113684">
              <w:rPr>
                <w:sz w:val="24"/>
                <w:szCs w:val="24"/>
                <w:u w:val="single"/>
              </w:rPr>
              <w:t>Tretinoin</w:t>
            </w:r>
          </w:p>
        </w:tc>
        <w:tc>
          <w:tcPr>
            <w:tcW w:w="1000" w:type="pct"/>
            <w:hideMark/>
          </w:tcPr>
          <w:p w:rsidR="00EC3969" w:rsidRPr="00113684" w:rsidRDefault="00EC3969" w:rsidP="00413D1B">
            <w:pPr>
              <w:rPr>
                <w:sz w:val="24"/>
                <w:szCs w:val="24"/>
                <w:u w:val="single"/>
              </w:rPr>
            </w:pPr>
            <w:r w:rsidRPr="00113684">
              <w:rPr>
                <w:sz w:val="24"/>
                <w:szCs w:val="24"/>
                <w:u w:val="single"/>
              </w:rPr>
              <w:t>Vehikel</w:t>
            </w:r>
          </w:p>
        </w:tc>
      </w:tr>
      <w:tr w:rsidR="00EC3969" w:rsidRPr="00113684" w:rsidTr="00413D1B">
        <w:tc>
          <w:tcPr>
            <w:tcW w:w="1000" w:type="pct"/>
            <w:hideMark/>
          </w:tcPr>
          <w:p w:rsidR="00EC3969" w:rsidRPr="00113684" w:rsidRDefault="00EC3969" w:rsidP="00413D1B">
            <w:pPr>
              <w:rPr>
                <w:sz w:val="24"/>
                <w:szCs w:val="24"/>
              </w:rPr>
            </w:pPr>
            <w:r w:rsidRPr="00113684">
              <w:rPr>
                <w:sz w:val="24"/>
                <w:szCs w:val="24"/>
              </w:rPr>
              <w:t>ITT</w:t>
            </w:r>
          </w:p>
          <w:p w:rsidR="00EC3969" w:rsidRPr="00113684" w:rsidRDefault="00EC3969" w:rsidP="00413D1B">
            <w:pPr>
              <w:rPr>
                <w:sz w:val="24"/>
                <w:szCs w:val="24"/>
              </w:rPr>
            </w:pPr>
            <w:r w:rsidRPr="00113684">
              <w:rPr>
                <w:sz w:val="24"/>
                <w:szCs w:val="24"/>
              </w:rPr>
              <w:t>Helbredt eller næsten helbredt*</w:t>
            </w:r>
          </w:p>
        </w:tc>
        <w:tc>
          <w:tcPr>
            <w:tcW w:w="1000" w:type="pct"/>
          </w:tcPr>
          <w:p w:rsidR="00EC3969" w:rsidRPr="00113684" w:rsidRDefault="00EC3969" w:rsidP="00413D1B">
            <w:pPr>
              <w:rPr>
                <w:sz w:val="24"/>
                <w:szCs w:val="24"/>
              </w:rPr>
            </w:pPr>
          </w:p>
        </w:tc>
        <w:tc>
          <w:tcPr>
            <w:tcW w:w="1000" w:type="pct"/>
          </w:tcPr>
          <w:p w:rsidR="00EC3969" w:rsidRPr="00113684" w:rsidRDefault="00EC3969" w:rsidP="00413D1B">
            <w:pPr>
              <w:rPr>
                <w:sz w:val="24"/>
                <w:szCs w:val="24"/>
              </w:rPr>
            </w:pPr>
          </w:p>
        </w:tc>
        <w:tc>
          <w:tcPr>
            <w:tcW w:w="1000" w:type="pct"/>
          </w:tcPr>
          <w:p w:rsidR="00EC3969" w:rsidRPr="00113684" w:rsidRDefault="00EC3969" w:rsidP="00413D1B">
            <w:pPr>
              <w:rPr>
                <w:sz w:val="24"/>
                <w:szCs w:val="24"/>
              </w:rPr>
            </w:pPr>
          </w:p>
        </w:tc>
        <w:tc>
          <w:tcPr>
            <w:tcW w:w="1000" w:type="pct"/>
          </w:tcPr>
          <w:p w:rsidR="00EC3969" w:rsidRPr="00113684" w:rsidRDefault="00EC3969" w:rsidP="00413D1B">
            <w:pPr>
              <w:rPr>
                <w:sz w:val="24"/>
                <w:szCs w:val="24"/>
              </w:rPr>
            </w:pPr>
          </w:p>
        </w:tc>
      </w:tr>
      <w:tr w:rsidR="00EC3969" w:rsidRPr="00113684" w:rsidTr="00413D1B">
        <w:tc>
          <w:tcPr>
            <w:tcW w:w="1000" w:type="pct"/>
            <w:hideMark/>
          </w:tcPr>
          <w:p w:rsidR="00EC3969" w:rsidRPr="00113684" w:rsidRDefault="00EC3969" w:rsidP="00413D1B">
            <w:pPr>
              <w:ind w:left="284"/>
              <w:rPr>
                <w:sz w:val="24"/>
                <w:szCs w:val="24"/>
              </w:rPr>
            </w:pPr>
            <w:r w:rsidRPr="00113684">
              <w:rPr>
                <w:sz w:val="24"/>
                <w:szCs w:val="24"/>
              </w:rPr>
              <w:t>Effekt</w:t>
            </w:r>
          </w:p>
        </w:tc>
        <w:tc>
          <w:tcPr>
            <w:tcW w:w="1000" w:type="pct"/>
            <w:hideMark/>
          </w:tcPr>
          <w:p w:rsidR="00EC3969" w:rsidRPr="00113684" w:rsidRDefault="00EC3969" w:rsidP="00413D1B">
            <w:pPr>
              <w:rPr>
                <w:sz w:val="24"/>
                <w:szCs w:val="24"/>
              </w:rPr>
            </w:pPr>
            <w:r w:rsidRPr="00113684">
              <w:rPr>
                <w:sz w:val="24"/>
                <w:szCs w:val="24"/>
              </w:rPr>
              <w:t xml:space="preserve">  85 (20 %)</w:t>
            </w:r>
          </w:p>
        </w:tc>
        <w:tc>
          <w:tcPr>
            <w:tcW w:w="1000" w:type="pct"/>
            <w:hideMark/>
          </w:tcPr>
          <w:p w:rsidR="00EC3969" w:rsidRPr="00113684" w:rsidRDefault="00EC3969" w:rsidP="00413D1B">
            <w:pPr>
              <w:rPr>
                <w:sz w:val="24"/>
                <w:szCs w:val="24"/>
              </w:rPr>
            </w:pPr>
            <w:r w:rsidRPr="00113684">
              <w:rPr>
                <w:sz w:val="24"/>
                <w:szCs w:val="24"/>
              </w:rPr>
              <w:t xml:space="preserve">  32 (15 %)</w:t>
            </w:r>
          </w:p>
        </w:tc>
        <w:tc>
          <w:tcPr>
            <w:tcW w:w="1000" w:type="pct"/>
            <w:hideMark/>
          </w:tcPr>
          <w:p w:rsidR="00EC3969" w:rsidRPr="00113684" w:rsidRDefault="00EC3969" w:rsidP="00413D1B">
            <w:pPr>
              <w:rPr>
                <w:sz w:val="24"/>
                <w:szCs w:val="24"/>
              </w:rPr>
            </w:pPr>
            <w:r w:rsidRPr="00113684">
              <w:rPr>
                <w:sz w:val="24"/>
                <w:szCs w:val="24"/>
              </w:rPr>
              <w:t xml:space="preserve">  62 (15 %)</w:t>
            </w:r>
          </w:p>
        </w:tc>
        <w:tc>
          <w:tcPr>
            <w:tcW w:w="1000" w:type="pct"/>
            <w:hideMark/>
          </w:tcPr>
          <w:p w:rsidR="00EC3969" w:rsidRPr="00113684" w:rsidRDefault="00EC3969" w:rsidP="00413D1B">
            <w:pPr>
              <w:rPr>
                <w:sz w:val="24"/>
                <w:szCs w:val="24"/>
              </w:rPr>
            </w:pPr>
            <w:r w:rsidRPr="00113684">
              <w:rPr>
                <w:sz w:val="24"/>
                <w:szCs w:val="24"/>
              </w:rPr>
              <w:t xml:space="preserve">  18 (9 %)</w:t>
            </w:r>
          </w:p>
        </w:tc>
      </w:tr>
      <w:tr w:rsidR="00EC3969" w:rsidRPr="00113684" w:rsidTr="00413D1B">
        <w:tc>
          <w:tcPr>
            <w:tcW w:w="1000" w:type="pct"/>
            <w:hideMark/>
          </w:tcPr>
          <w:p w:rsidR="00EC3969" w:rsidRPr="00113684" w:rsidRDefault="00EC3969" w:rsidP="00413D1B">
            <w:pPr>
              <w:ind w:left="284"/>
              <w:rPr>
                <w:sz w:val="24"/>
                <w:szCs w:val="24"/>
              </w:rPr>
            </w:pPr>
            <w:r w:rsidRPr="00113684">
              <w:rPr>
                <w:sz w:val="24"/>
                <w:szCs w:val="24"/>
              </w:rPr>
              <w:t>Svigt</w:t>
            </w:r>
          </w:p>
        </w:tc>
        <w:tc>
          <w:tcPr>
            <w:tcW w:w="1000" w:type="pct"/>
            <w:hideMark/>
          </w:tcPr>
          <w:p w:rsidR="00EC3969" w:rsidRPr="00113684" w:rsidRDefault="00EC3969" w:rsidP="00413D1B">
            <w:pPr>
              <w:rPr>
                <w:sz w:val="24"/>
                <w:szCs w:val="24"/>
              </w:rPr>
            </w:pPr>
            <w:r w:rsidRPr="00113684">
              <w:rPr>
                <w:sz w:val="24"/>
                <w:szCs w:val="24"/>
              </w:rPr>
              <w:t>335 (80 %)</w:t>
            </w:r>
          </w:p>
        </w:tc>
        <w:tc>
          <w:tcPr>
            <w:tcW w:w="1000" w:type="pct"/>
            <w:hideMark/>
          </w:tcPr>
          <w:p w:rsidR="00EC3969" w:rsidRPr="00113684" w:rsidRDefault="00EC3969" w:rsidP="00413D1B">
            <w:pPr>
              <w:rPr>
                <w:sz w:val="24"/>
                <w:szCs w:val="24"/>
              </w:rPr>
            </w:pPr>
            <w:r w:rsidRPr="00113684">
              <w:rPr>
                <w:sz w:val="24"/>
                <w:szCs w:val="24"/>
              </w:rPr>
              <w:t>176 (85 %)</w:t>
            </w:r>
          </w:p>
        </w:tc>
        <w:tc>
          <w:tcPr>
            <w:tcW w:w="1000" w:type="pct"/>
            <w:hideMark/>
          </w:tcPr>
          <w:p w:rsidR="00EC3969" w:rsidRPr="00113684" w:rsidRDefault="00EC3969" w:rsidP="00413D1B">
            <w:pPr>
              <w:rPr>
                <w:sz w:val="24"/>
                <w:szCs w:val="24"/>
              </w:rPr>
            </w:pPr>
            <w:r w:rsidRPr="00113684">
              <w:rPr>
                <w:sz w:val="24"/>
                <w:szCs w:val="24"/>
              </w:rPr>
              <w:t>355 (85 %)</w:t>
            </w:r>
          </w:p>
        </w:tc>
        <w:tc>
          <w:tcPr>
            <w:tcW w:w="1000" w:type="pct"/>
            <w:hideMark/>
          </w:tcPr>
          <w:p w:rsidR="00EC3969" w:rsidRPr="00113684" w:rsidRDefault="00EC3969" w:rsidP="00413D1B">
            <w:pPr>
              <w:rPr>
                <w:sz w:val="24"/>
                <w:szCs w:val="24"/>
              </w:rPr>
            </w:pPr>
            <w:r w:rsidRPr="00113684">
              <w:rPr>
                <w:sz w:val="24"/>
                <w:szCs w:val="24"/>
              </w:rPr>
              <w:t>189 (91 %)</w:t>
            </w:r>
          </w:p>
        </w:tc>
      </w:tr>
      <w:tr w:rsidR="00EC3969" w:rsidRPr="00113684" w:rsidTr="00413D1B">
        <w:tc>
          <w:tcPr>
            <w:tcW w:w="1000" w:type="pct"/>
            <w:hideMark/>
          </w:tcPr>
          <w:p w:rsidR="00EC3969" w:rsidRPr="00113684" w:rsidRDefault="00EC3969" w:rsidP="00413D1B">
            <w:pPr>
              <w:ind w:left="284"/>
              <w:rPr>
                <w:sz w:val="24"/>
                <w:szCs w:val="24"/>
              </w:rPr>
            </w:pPr>
            <w:r w:rsidRPr="00113684">
              <w:rPr>
                <w:sz w:val="24"/>
                <w:szCs w:val="24"/>
              </w:rPr>
              <w:t>I alt</w:t>
            </w:r>
          </w:p>
        </w:tc>
        <w:tc>
          <w:tcPr>
            <w:tcW w:w="1000" w:type="pct"/>
            <w:hideMark/>
          </w:tcPr>
          <w:p w:rsidR="00EC3969" w:rsidRPr="00113684" w:rsidRDefault="00EC3969" w:rsidP="00413D1B">
            <w:pPr>
              <w:rPr>
                <w:sz w:val="24"/>
                <w:szCs w:val="24"/>
              </w:rPr>
            </w:pPr>
            <w:r w:rsidRPr="00113684">
              <w:rPr>
                <w:sz w:val="24"/>
                <w:szCs w:val="24"/>
              </w:rPr>
              <w:t>420</w:t>
            </w:r>
          </w:p>
        </w:tc>
        <w:tc>
          <w:tcPr>
            <w:tcW w:w="1000" w:type="pct"/>
            <w:hideMark/>
          </w:tcPr>
          <w:p w:rsidR="00EC3969" w:rsidRPr="00113684" w:rsidRDefault="00EC3969" w:rsidP="00413D1B">
            <w:pPr>
              <w:rPr>
                <w:sz w:val="24"/>
                <w:szCs w:val="24"/>
              </w:rPr>
            </w:pPr>
            <w:r w:rsidRPr="00113684">
              <w:rPr>
                <w:sz w:val="24"/>
                <w:szCs w:val="24"/>
              </w:rPr>
              <w:t>208</w:t>
            </w:r>
          </w:p>
        </w:tc>
        <w:tc>
          <w:tcPr>
            <w:tcW w:w="1000" w:type="pct"/>
            <w:hideMark/>
          </w:tcPr>
          <w:p w:rsidR="00EC3969" w:rsidRPr="00113684" w:rsidRDefault="00EC3969" w:rsidP="00413D1B">
            <w:pPr>
              <w:rPr>
                <w:sz w:val="24"/>
                <w:szCs w:val="24"/>
              </w:rPr>
            </w:pPr>
            <w:r w:rsidRPr="00113684">
              <w:rPr>
                <w:sz w:val="24"/>
                <w:szCs w:val="24"/>
              </w:rPr>
              <w:t>417</w:t>
            </w:r>
          </w:p>
        </w:tc>
        <w:tc>
          <w:tcPr>
            <w:tcW w:w="1000" w:type="pct"/>
            <w:hideMark/>
          </w:tcPr>
          <w:p w:rsidR="00EC3969" w:rsidRPr="00113684" w:rsidRDefault="00EC3969" w:rsidP="00413D1B">
            <w:pPr>
              <w:rPr>
                <w:sz w:val="24"/>
                <w:szCs w:val="24"/>
              </w:rPr>
            </w:pPr>
            <w:r w:rsidRPr="00113684">
              <w:rPr>
                <w:sz w:val="24"/>
                <w:szCs w:val="24"/>
              </w:rPr>
              <w:t>207</w:t>
            </w:r>
          </w:p>
        </w:tc>
      </w:tr>
      <w:tr w:rsidR="00EC3969" w:rsidRPr="00113684" w:rsidTr="00413D1B">
        <w:tc>
          <w:tcPr>
            <w:tcW w:w="1000" w:type="pct"/>
            <w:hideMark/>
          </w:tcPr>
          <w:p w:rsidR="00EC3969" w:rsidRPr="00113684" w:rsidRDefault="00EC3969" w:rsidP="00413D1B">
            <w:pPr>
              <w:ind w:left="284"/>
              <w:rPr>
                <w:sz w:val="24"/>
                <w:szCs w:val="24"/>
              </w:rPr>
            </w:pPr>
            <w:r w:rsidRPr="00113684">
              <w:rPr>
                <w:sz w:val="24"/>
                <w:szCs w:val="24"/>
              </w:rPr>
              <w:t>p-værdi</w:t>
            </w:r>
          </w:p>
        </w:tc>
        <w:tc>
          <w:tcPr>
            <w:tcW w:w="1000" w:type="pct"/>
          </w:tcPr>
          <w:p w:rsidR="00EC3969" w:rsidRPr="00113684" w:rsidRDefault="00EC3969" w:rsidP="00413D1B">
            <w:pPr>
              <w:rPr>
                <w:sz w:val="24"/>
                <w:szCs w:val="24"/>
              </w:rPr>
            </w:pPr>
          </w:p>
        </w:tc>
        <w:tc>
          <w:tcPr>
            <w:tcW w:w="1000" w:type="pct"/>
            <w:hideMark/>
          </w:tcPr>
          <w:p w:rsidR="00EC3969" w:rsidRPr="00113684" w:rsidRDefault="00EC3969" w:rsidP="00413D1B">
            <w:pPr>
              <w:rPr>
                <w:sz w:val="24"/>
                <w:szCs w:val="24"/>
              </w:rPr>
            </w:pPr>
            <w:r w:rsidRPr="00113684">
              <w:rPr>
                <w:sz w:val="24"/>
                <w:szCs w:val="24"/>
              </w:rPr>
              <w:t>0,147</w:t>
            </w:r>
          </w:p>
        </w:tc>
        <w:tc>
          <w:tcPr>
            <w:tcW w:w="1000" w:type="pct"/>
            <w:hideMark/>
          </w:tcPr>
          <w:p w:rsidR="00EC3969" w:rsidRPr="00113684" w:rsidRDefault="00EC3969" w:rsidP="00413D1B">
            <w:pPr>
              <w:rPr>
                <w:sz w:val="24"/>
                <w:szCs w:val="24"/>
              </w:rPr>
            </w:pPr>
            <w:r w:rsidRPr="00113684">
              <w:rPr>
                <w:sz w:val="24"/>
                <w:szCs w:val="24"/>
              </w:rPr>
              <w:t>0,037</w:t>
            </w:r>
          </w:p>
        </w:tc>
        <w:tc>
          <w:tcPr>
            <w:tcW w:w="1000" w:type="pct"/>
            <w:hideMark/>
          </w:tcPr>
          <w:p w:rsidR="00EC3969" w:rsidRPr="00113684" w:rsidRDefault="00EC3969" w:rsidP="00413D1B">
            <w:pPr>
              <w:rPr>
                <w:sz w:val="24"/>
                <w:szCs w:val="24"/>
              </w:rPr>
            </w:pPr>
            <w:r w:rsidRPr="00113684">
              <w:rPr>
                <w:sz w:val="24"/>
                <w:szCs w:val="24"/>
              </w:rPr>
              <w:t>&lt; 0,001</w:t>
            </w:r>
          </w:p>
        </w:tc>
      </w:tr>
    </w:tbl>
    <w:p w:rsidR="00EC3969" w:rsidRPr="00113684" w:rsidRDefault="00EC3969" w:rsidP="00EC3969">
      <w:pPr>
        <w:rPr>
          <w:sz w:val="24"/>
          <w:szCs w:val="24"/>
        </w:rPr>
      </w:pPr>
    </w:p>
    <w:tbl>
      <w:tblPr>
        <w:tblW w:w="0" w:type="auto"/>
        <w:tblBorders>
          <w:bottom w:val="single" w:sz="4" w:space="0" w:color="000000"/>
        </w:tblBorders>
        <w:tblLook w:val="00A0" w:firstRow="1" w:lastRow="0" w:firstColumn="1" w:lastColumn="0" w:noHBand="0" w:noVBand="0"/>
      </w:tblPr>
      <w:tblGrid>
        <w:gridCol w:w="1842"/>
        <w:gridCol w:w="14"/>
        <w:gridCol w:w="1828"/>
        <w:gridCol w:w="14"/>
        <w:gridCol w:w="1828"/>
        <w:gridCol w:w="14"/>
        <w:gridCol w:w="1828"/>
        <w:gridCol w:w="14"/>
        <w:gridCol w:w="1829"/>
        <w:gridCol w:w="14"/>
      </w:tblGrid>
      <w:tr w:rsidR="00EC3969" w:rsidRPr="00113684" w:rsidTr="00413D1B">
        <w:trPr>
          <w:gridAfter w:val="1"/>
          <w:wAfter w:w="14" w:type="dxa"/>
        </w:trPr>
        <w:tc>
          <w:tcPr>
            <w:tcW w:w="1842" w:type="dxa"/>
            <w:tcBorders>
              <w:top w:val="nil"/>
              <w:left w:val="nil"/>
              <w:bottom w:val="nil"/>
              <w:right w:val="nil"/>
            </w:tcBorders>
            <w:hideMark/>
          </w:tcPr>
          <w:p w:rsidR="00EC3969" w:rsidRPr="00113684" w:rsidRDefault="00EC3969" w:rsidP="00413D1B">
            <w:pPr>
              <w:keepNext/>
              <w:rPr>
                <w:sz w:val="24"/>
                <w:szCs w:val="24"/>
              </w:rPr>
            </w:pPr>
            <w:r w:rsidRPr="00113684">
              <w:rPr>
                <w:sz w:val="24"/>
                <w:szCs w:val="24"/>
              </w:rPr>
              <w:t>ITT</w:t>
            </w:r>
          </w:p>
          <w:p w:rsidR="00EC3969" w:rsidRPr="00113684" w:rsidRDefault="00EC3969" w:rsidP="00413D1B">
            <w:pPr>
              <w:keepNext/>
              <w:rPr>
                <w:sz w:val="24"/>
                <w:szCs w:val="24"/>
              </w:rPr>
            </w:pPr>
            <w:r w:rsidRPr="00113684">
              <w:rPr>
                <w:sz w:val="24"/>
                <w:szCs w:val="24"/>
              </w:rPr>
              <w:t>Helbredt eller næsten helbredt**</w:t>
            </w: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3" w:type="dxa"/>
            <w:gridSpan w:val="2"/>
            <w:tcBorders>
              <w:top w:val="nil"/>
              <w:left w:val="nil"/>
              <w:bottom w:val="nil"/>
              <w:right w:val="nil"/>
            </w:tcBorders>
          </w:tcPr>
          <w:p w:rsidR="00EC3969" w:rsidRPr="00113684" w:rsidRDefault="00EC3969" w:rsidP="00413D1B">
            <w:pPr>
              <w:rPr>
                <w:sz w:val="24"/>
                <w:szCs w:val="24"/>
              </w:rPr>
            </w:pPr>
          </w:p>
        </w:tc>
      </w:tr>
      <w:tr w:rsidR="00EC3969" w:rsidRPr="00113684" w:rsidTr="00413D1B">
        <w:trPr>
          <w:gridAfter w:val="1"/>
          <w:wAfter w:w="14" w:type="dxa"/>
        </w:trPr>
        <w:tc>
          <w:tcPr>
            <w:tcW w:w="1842" w:type="dxa"/>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Effekt</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 xml:space="preserve">  95 (22 %)</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 xml:space="preserve">  38 (17 %)</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 xml:space="preserve">  60 (14 %)</w:t>
            </w:r>
          </w:p>
        </w:tc>
        <w:tc>
          <w:tcPr>
            <w:tcW w:w="1843"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 xml:space="preserve">  16 (7 %)</w:t>
            </w:r>
          </w:p>
        </w:tc>
      </w:tr>
      <w:tr w:rsidR="00EC3969" w:rsidRPr="00113684" w:rsidTr="00413D1B">
        <w:trPr>
          <w:gridAfter w:val="1"/>
          <w:wAfter w:w="14" w:type="dxa"/>
        </w:trPr>
        <w:tc>
          <w:tcPr>
            <w:tcW w:w="1842" w:type="dxa"/>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Svigt</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330 (78 %)</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180 (83 %)</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369 (86 %)</w:t>
            </w:r>
          </w:p>
        </w:tc>
        <w:tc>
          <w:tcPr>
            <w:tcW w:w="1843"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200 (93 %)</w:t>
            </w:r>
          </w:p>
        </w:tc>
      </w:tr>
      <w:tr w:rsidR="00EC3969" w:rsidRPr="00113684" w:rsidTr="00413D1B">
        <w:trPr>
          <w:gridAfter w:val="1"/>
          <w:wAfter w:w="14" w:type="dxa"/>
        </w:trPr>
        <w:tc>
          <w:tcPr>
            <w:tcW w:w="1842" w:type="dxa"/>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I alt</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425</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218</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429</w:t>
            </w:r>
          </w:p>
        </w:tc>
        <w:tc>
          <w:tcPr>
            <w:tcW w:w="1843"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216</w:t>
            </w:r>
          </w:p>
        </w:tc>
      </w:tr>
      <w:tr w:rsidR="00EC3969" w:rsidRPr="00113684" w:rsidTr="00413D1B">
        <w:trPr>
          <w:gridAfter w:val="1"/>
          <w:wAfter w:w="14" w:type="dxa"/>
        </w:trPr>
        <w:tc>
          <w:tcPr>
            <w:tcW w:w="1842" w:type="dxa"/>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p-værdi</w:t>
            </w: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0,122</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0,001</w:t>
            </w:r>
          </w:p>
        </w:tc>
        <w:tc>
          <w:tcPr>
            <w:tcW w:w="1843"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&lt; 0,001</w:t>
            </w:r>
          </w:p>
        </w:tc>
      </w:tr>
      <w:tr w:rsidR="00EC3969" w:rsidRPr="00113684" w:rsidTr="00413D1B">
        <w:tc>
          <w:tcPr>
            <w:tcW w:w="1856"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3" w:type="dxa"/>
            <w:gridSpan w:val="2"/>
            <w:tcBorders>
              <w:top w:val="nil"/>
              <w:left w:val="nil"/>
              <w:bottom w:val="nil"/>
              <w:right w:val="nil"/>
            </w:tcBorders>
          </w:tcPr>
          <w:p w:rsidR="00EC3969" w:rsidRPr="00113684" w:rsidRDefault="00EC3969" w:rsidP="00413D1B">
            <w:pPr>
              <w:rPr>
                <w:sz w:val="24"/>
                <w:szCs w:val="24"/>
              </w:rPr>
            </w:pPr>
          </w:p>
        </w:tc>
      </w:tr>
      <w:tr w:rsidR="00EC3969" w:rsidRPr="00113684" w:rsidTr="00413D1B">
        <w:tc>
          <w:tcPr>
            <w:tcW w:w="1856"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ITT</w:t>
            </w:r>
          </w:p>
          <w:p w:rsidR="00EC3969" w:rsidRPr="00113684" w:rsidRDefault="00EC3969" w:rsidP="00413D1B">
            <w:pPr>
              <w:rPr>
                <w:sz w:val="24"/>
                <w:szCs w:val="24"/>
              </w:rPr>
            </w:pPr>
            <w:r w:rsidRPr="00113684">
              <w:rPr>
                <w:sz w:val="24"/>
                <w:szCs w:val="24"/>
              </w:rPr>
              <w:t>Helbredt eller næsten helbredt eller mindst 2 graders forbedring***</w:t>
            </w: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3" w:type="dxa"/>
            <w:gridSpan w:val="2"/>
            <w:tcBorders>
              <w:top w:val="nil"/>
              <w:left w:val="nil"/>
              <w:bottom w:val="nil"/>
              <w:right w:val="nil"/>
            </w:tcBorders>
          </w:tcPr>
          <w:p w:rsidR="00EC3969" w:rsidRPr="00113684" w:rsidRDefault="00EC3969" w:rsidP="00413D1B">
            <w:pPr>
              <w:rPr>
                <w:sz w:val="24"/>
                <w:szCs w:val="24"/>
              </w:rPr>
            </w:pPr>
          </w:p>
        </w:tc>
      </w:tr>
      <w:tr w:rsidR="00EC3969" w:rsidRPr="00113684" w:rsidTr="00413D1B">
        <w:tc>
          <w:tcPr>
            <w:tcW w:w="1856" w:type="dxa"/>
            <w:gridSpan w:val="2"/>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Effekt</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381 (38 %)</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318 (32 %)</w:t>
            </w: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3" w:type="dxa"/>
            <w:gridSpan w:val="2"/>
            <w:tcBorders>
              <w:top w:val="nil"/>
              <w:left w:val="nil"/>
              <w:bottom w:val="nil"/>
              <w:right w:val="nil"/>
            </w:tcBorders>
          </w:tcPr>
          <w:p w:rsidR="00EC3969" w:rsidRPr="00113684" w:rsidRDefault="00EC3969" w:rsidP="00413D1B">
            <w:pPr>
              <w:rPr>
                <w:sz w:val="24"/>
                <w:szCs w:val="24"/>
              </w:rPr>
            </w:pPr>
          </w:p>
        </w:tc>
      </w:tr>
      <w:tr w:rsidR="00EC3969" w:rsidRPr="00113684" w:rsidTr="00413D1B">
        <w:tc>
          <w:tcPr>
            <w:tcW w:w="1856" w:type="dxa"/>
            <w:gridSpan w:val="2"/>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Svigt</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627 (62 %)</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684 (68 %)</w:t>
            </w: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3" w:type="dxa"/>
            <w:gridSpan w:val="2"/>
            <w:tcBorders>
              <w:top w:val="nil"/>
              <w:left w:val="nil"/>
              <w:bottom w:val="nil"/>
              <w:right w:val="nil"/>
            </w:tcBorders>
          </w:tcPr>
          <w:p w:rsidR="00EC3969" w:rsidRPr="00113684" w:rsidRDefault="00EC3969" w:rsidP="00413D1B">
            <w:pPr>
              <w:rPr>
                <w:sz w:val="24"/>
                <w:szCs w:val="24"/>
              </w:rPr>
            </w:pPr>
          </w:p>
        </w:tc>
      </w:tr>
      <w:tr w:rsidR="00EC3969" w:rsidRPr="00113684" w:rsidTr="00413D1B">
        <w:tc>
          <w:tcPr>
            <w:tcW w:w="1856" w:type="dxa"/>
            <w:gridSpan w:val="2"/>
            <w:tcBorders>
              <w:top w:val="nil"/>
              <w:left w:val="nil"/>
              <w:bottom w:val="nil"/>
              <w:right w:val="nil"/>
            </w:tcBorders>
            <w:hideMark/>
          </w:tcPr>
          <w:p w:rsidR="00EC3969" w:rsidRPr="00113684" w:rsidRDefault="00EC3969" w:rsidP="00413D1B">
            <w:pPr>
              <w:ind w:left="284"/>
              <w:rPr>
                <w:sz w:val="24"/>
                <w:szCs w:val="24"/>
              </w:rPr>
            </w:pPr>
            <w:r w:rsidRPr="00113684">
              <w:rPr>
                <w:sz w:val="24"/>
                <w:szCs w:val="24"/>
              </w:rPr>
              <w:t>I alt</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1.008</w:t>
            </w:r>
          </w:p>
        </w:tc>
        <w:tc>
          <w:tcPr>
            <w:tcW w:w="1842" w:type="dxa"/>
            <w:gridSpan w:val="2"/>
            <w:tcBorders>
              <w:top w:val="nil"/>
              <w:left w:val="nil"/>
              <w:bottom w:val="nil"/>
              <w:right w:val="nil"/>
            </w:tcBorders>
            <w:hideMark/>
          </w:tcPr>
          <w:p w:rsidR="00EC3969" w:rsidRPr="00113684" w:rsidRDefault="00EC3969" w:rsidP="00413D1B">
            <w:pPr>
              <w:rPr>
                <w:sz w:val="24"/>
                <w:szCs w:val="24"/>
              </w:rPr>
            </w:pPr>
            <w:r w:rsidRPr="00113684">
              <w:rPr>
                <w:sz w:val="24"/>
                <w:szCs w:val="24"/>
              </w:rPr>
              <w:t>1.002</w:t>
            </w:r>
          </w:p>
        </w:tc>
        <w:tc>
          <w:tcPr>
            <w:tcW w:w="1842" w:type="dxa"/>
            <w:gridSpan w:val="2"/>
            <w:tcBorders>
              <w:top w:val="nil"/>
              <w:left w:val="nil"/>
              <w:bottom w:val="nil"/>
              <w:right w:val="nil"/>
            </w:tcBorders>
          </w:tcPr>
          <w:p w:rsidR="00EC3969" w:rsidRPr="00113684" w:rsidRDefault="00EC3969" w:rsidP="00413D1B">
            <w:pPr>
              <w:rPr>
                <w:sz w:val="24"/>
                <w:szCs w:val="24"/>
              </w:rPr>
            </w:pPr>
          </w:p>
        </w:tc>
        <w:tc>
          <w:tcPr>
            <w:tcW w:w="1843" w:type="dxa"/>
            <w:gridSpan w:val="2"/>
            <w:tcBorders>
              <w:top w:val="nil"/>
              <w:left w:val="nil"/>
              <w:bottom w:val="nil"/>
              <w:right w:val="nil"/>
            </w:tcBorders>
          </w:tcPr>
          <w:p w:rsidR="00EC3969" w:rsidRPr="00113684" w:rsidRDefault="00EC3969" w:rsidP="00413D1B">
            <w:pPr>
              <w:rPr>
                <w:sz w:val="24"/>
                <w:szCs w:val="24"/>
              </w:rPr>
            </w:pPr>
          </w:p>
        </w:tc>
      </w:tr>
      <w:tr w:rsidR="00EC3969" w:rsidRPr="00113684" w:rsidTr="00413D1B">
        <w:tc>
          <w:tcPr>
            <w:tcW w:w="1856" w:type="dxa"/>
            <w:gridSpan w:val="2"/>
            <w:tcBorders>
              <w:top w:val="nil"/>
              <w:left w:val="nil"/>
              <w:bottom w:val="single" w:sz="4" w:space="0" w:color="000000"/>
              <w:right w:val="nil"/>
            </w:tcBorders>
            <w:hideMark/>
          </w:tcPr>
          <w:p w:rsidR="00EC3969" w:rsidRPr="00113684" w:rsidRDefault="00EC3969" w:rsidP="00413D1B">
            <w:pPr>
              <w:ind w:left="284"/>
              <w:rPr>
                <w:sz w:val="24"/>
                <w:szCs w:val="24"/>
              </w:rPr>
            </w:pPr>
            <w:r w:rsidRPr="00113684">
              <w:rPr>
                <w:sz w:val="24"/>
                <w:szCs w:val="24"/>
              </w:rPr>
              <w:t>p-værdi</w:t>
            </w:r>
          </w:p>
        </w:tc>
        <w:tc>
          <w:tcPr>
            <w:tcW w:w="1842" w:type="dxa"/>
            <w:gridSpan w:val="2"/>
            <w:tcBorders>
              <w:top w:val="nil"/>
              <w:left w:val="nil"/>
              <w:bottom w:val="single" w:sz="4" w:space="0" w:color="000000"/>
              <w:right w:val="nil"/>
            </w:tcBorders>
          </w:tcPr>
          <w:p w:rsidR="00EC3969" w:rsidRPr="00113684" w:rsidRDefault="00EC3969" w:rsidP="00413D1B">
            <w:pPr>
              <w:rPr>
                <w:sz w:val="24"/>
                <w:szCs w:val="24"/>
              </w:rPr>
            </w:pPr>
          </w:p>
        </w:tc>
        <w:tc>
          <w:tcPr>
            <w:tcW w:w="1842" w:type="dxa"/>
            <w:gridSpan w:val="2"/>
            <w:tcBorders>
              <w:top w:val="nil"/>
              <w:left w:val="nil"/>
              <w:bottom w:val="single" w:sz="4" w:space="0" w:color="000000"/>
              <w:right w:val="nil"/>
            </w:tcBorders>
            <w:hideMark/>
          </w:tcPr>
          <w:p w:rsidR="00EC3969" w:rsidRPr="00113684" w:rsidRDefault="00EC3969" w:rsidP="00413D1B">
            <w:pPr>
              <w:rPr>
                <w:sz w:val="24"/>
                <w:szCs w:val="24"/>
              </w:rPr>
            </w:pPr>
            <w:r w:rsidRPr="00113684">
              <w:rPr>
                <w:sz w:val="24"/>
                <w:szCs w:val="24"/>
              </w:rPr>
              <w:t>0,002</w:t>
            </w:r>
          </w:p>
        </w:tc>
        <w:tc>
          <w:tcPr>
            <w:tcW w:w="1842" w:type="dxa"/>
            <w:gridSpan w:val="2"/>
            <w:tcBorders>
              <w:top w:val="nil"/>
              <w:left w:val="nil"/>
              <w:bottom w:val="single" w:sz="4" w:space="0" w:color="000000"/>
              <w:right w:val="nil"/>
            </w:tcBorders>
          </w:tcPr>
          <w:p w:rsidR="00EC3969" w:rsidRPr="00113684" w:rsidRDefault="00EC3969" w:rsidP="00413D1B">
            <w:pPr>
              <w:rPr>
                <w:sz w:val="24"/>
                <w:szCs w:val="24"/>
              </w:rPr>
            </w:pPr>
          </w:p>
        </w:tc>
        <w:tc>
          <w:tcPr>
            <w:tcW w:w="1843" w:type="dxa"/>
            <w:gridSpan w:val="2"/>
            <w:tcBorders>
              <w:top w:val="nil"/>
              <w:left w:val="nil"/>
              <w:bottom w:val="single" w:sz="4" w:space="0" w:color="000000"/>
              <w:right w:val="nil"/>
            </w:tcBorders>
          </w:tcPr>
          <w:p w:rsidR="00EC3969" w:rsidRPr="00113684" w:rsidRDefault="00EC3969" w:rsidP="00413D1B">
            <w:pPr>
              <w:rPr>
                <w:sz w:val="24"/>
                <w:szCs w:val="24"/>
              </w:rPr>
            </w:pPr>
          </w:p>
        </w:tc>
      </w:tr>
    </w:tbl>
    <w:p w:rsidR="00EC3969" w:rsidRPr="001061B3" w:rsidRDefault="00EC3969" w:rsidP="00EC3969">
      <w:pPr>
        <w:ind w:left="851" w:hanging="851"/>
        <w:rPr>
          <w:bCs/>
          <w:sz w:val="24"/>
          <w:szCs w:val="24"/>
        </w:rPr>
      </w:pPr>
      <w:r w:rsidRPr="001061B3">
        <w:rPr>
          <w:sz w:val="24"/>
          <w:szCs w:val="24"/>
          <w:vertAlign w:val="superscript"/>
        </w:rPr>
        <w:t>1</w:t>
      </w:r>
      <w:r w:rsidRPr="001061B3">
        <w:rPr>
          <w:sz w:val="24"/>
          <w:szCs w:val="24"/>
        </w:rPr>
        <w:t xml:space="preserve"> manglende værdier medregnet som svigt</w:t>
      </w:r>
    </w:p>
    <w:p w:rsidR="00EC3969" w:rsidRPr="001061B3" w:rsidRDefault="00EC3969" w:rsidP="00EC3969">
      <w:pPr>
        <w:ind w:left="851" w:hanging="851"/>
        <w:rPr>
          <w:bCs/>
          <w:sz w:val="24"/>
          <w:szCs w:val="24"/>
        </w:rPr>
      </w:pPr>
      <w:r w:rsidRPr="001061B3">
        <w:rPr>
          <w:sz w:val="24"/>
          <w:szCs w:val="24"/>
        </w:rPr>
        <w:t xml:space="preserve">* Studie 7001-G2HP-06-02 </w:t>
      </w:r>
    </w:p>
    <w:p w:rsidR="00EC3969" w:rsidRPr="001061B3" w:rsidRDefault="00EC3969" w:rsidP="00EC3969">
      <w:pPr>
        <w:ind w:left="851" w:hanging="851"/>
        <w:rPr>
          <w:bCs/>
          <w:sz w:val="24"/>
          <w:szCs w:val="24"/>
        </w:rPr>
      </w:pPr>
      <w:r w:rsidRPr="001061B3">
        <w:rPr>
          <w:sz w:val="24"/>
          <w:szCs w:val="24"/>
        </w:rPr>
        <w:t>** Studie 7001-G2HP-07-02</w:t>
      </w:r>
    </w:p>
    <w:p w:rsidR="00EC3969" w:rsidRPr="001061B3" w:rsidRDefault="00EC3969" w:rsidP="00EC3969">
      <w:pPr>
        <w:ind w:left="851" w:hanging="851"/>
        <w:rPr>
          <w:bCs/>
          <w:sz w:val="24"/>
          <w:szCs w:val="24"/>
        </w:rPr>
      </w:pPr>
      <w:r w:rsidRPr="001061B3">
        <w:rPr>
          <w:sz w:val="24"/>
          <w:szCs w:val="24"/>
        </w:rPr>
        <w:t>*** Studie MP-1501-02</w:t>
      </w:r>
    </w:p>
    <w:p w:rsidR="00EC3969" w:rsidRPr="00113684" w:rsidRDefault="00EC3969" w:rsidP="00EC3969">
      <w:pPr>
        <w:ind w:left="851" w:hanging="851"/>
        <w:rPr>
          <w:sz w:val="24"/>
          <w:szCs w:val="24"/>
        </w:rPr>
      </w:pPr>
    </w:p>
    <w:p w:rsidR="00EC3969" w:rsidRPr="001061B3" w:rsidRDefault="00EC3969" w:rsidP="00EC3969">
      <w:pPr>
        <w:ind w:left="851"/>
        <w:rPr>
          <w:sz w:val="24"/>
          <w:szCs w:val="24"/>
          <w:u w:val="single"/>
        </w:rPr>
      </w:pPr>
      <w:r w:rsidRPr="001061B3">
        <w:rPr>
          <w:sz w:val="24"/>
          <w:szCs w:val="24"/>
          <w:u w:val="single"/>
        </w:rPr>
        <w:t>Pædiatrisk population</w:t>
      </w:r>
    </w:p>
    <w:p w:rsidR="00EC3969" w:rsidRPr="00113684" w:rsidRDefault="00EC3969" w:rsidP="00EC3969">
      <w:pPr>
        <w:ind w:left="851"/>
        <w:rPr>
          <w:sz w:val="24"/>
          <w:szCs w:val="24"/>
        </w:rPr>
      </w:pPr>
      <w:r w:rsidRPr="00113684">
        <w:rPr>
          <w:sz w:val="24"/>
          <w:szCs w:val="24"/>
        </w:rPr>
        <w:t>Den procentvise ændring i antallet af læsioner i uge 12 for unge, mellem 12 og 17 år, i de individuelle studier og meta-analysen af disse studier er vist nedenfor.</w:t>
      </w:r>
    </w:p>
    <w:p w:rsidR="00EC3969" w:rsidRPr="00113684" w:rsidRDefault="00EC3969" w:rsidP="00EC3969">
      <w:pPr>
        <w:ind w:left="851" w:hanging="851"/>
        <w:rPr>
          <w:sz w:val="24"/>
          <w:szCs w:val="24"/>
        </w:rPr>
      </w:pPr>
    </w:p>
    <w:tbl>
      <w:tblPr>
        <w:tblW w:w="5000" w:type="pct"/>
        <w:tblLook w:val="01E0" w:firstRow="1" w:lastRow="1" w:firstColumn="1" w:lastColumn="1" w:noHBand="0" w:noVBand="0"/>
      </w:tblPr>
      <w:tblGrid>
        <w:gridCol w:w="1271"/>
        <w:gridCol w:w="1559"/>
        <w:gridCol w:w="1576"/>
        <w:gridCol w:w="1576"/>
        <w:gridCol w:w="1904"/>
        <w:gridCol w:w="1752"/>
      </w:tblGrid>
      <w:tr w:rsidR="00EC3969" w:rsidRPr="00113684" w:rsidTr="00413D1B">
        <w:trPr>
          <w:trHeight w:val="255"/>
        </w:trPr>
        <w:tc>
          <w:tcPr>
            <w:tcW w:w="5000" w:type="pct"/>
            <w:gridSpan w:val="6"/>
            <w:hideMark/>
          </w:tcPr>
          <w:p w:rsidR="00EC3969" w:rsidRPr="00113684" w:rsidRDefault="00EC3969" w:rsidP="00413D1B">
            <w:pPr>
              <w:rPr>
                <w:b/>
                <w:bCs/>
                <w:sz w:val="24"/>
                <w:szCs w:val="24"/>
              </w:rPr>
            </w:pPr>
            <w:r w:rsidRPr="00113684">
              <w:rPr>
                <w:b/>
                <w:sz w:val="24"/>
                <w:szCs w:val="24"/>
              </w:rPr>
              <w:t>Den mediane procentvise ændring (fald) i antallet af læsioner i uge 12: Unge</w:t>
            </w:r>
          </w:p>
        </w:tc>
      </w:tr>
      <w:tr w:rsidR="00EC3969" w:rsidRPr="00113684" w:rsidTr="00413D1B">
        <w:trPr>
          <w:trHeight w:val="255"/>
        </w:trPr>
        <w:tc>
          <w:tcPr>
            <w:tcW w:w="671" w:type="pct"/>
            <w:vMerge w:val="restart"/>
            <w:tcBorders>
              <w:top w:val="nil"/>
              <w:left w:val="nil"/>
              <w:bottom w:val="single" w:sz="4" w:space="0" w:color="auto"/>
              <w:right w:val="nil"/>
            </w:tcBorders>
            <w:vAlign w:val="center"/>
            <w:hideMark/>
          </w:tcPr>
          <w:p w:rsidR="00EC3969" w:rsidRPr="00113684" w:rsidRDefault="00EC3969" w:rsidP="00413D1B">
            <w:pPr>
              <w:rPr>
                <w:b/>
                <w:bCs/>
                <w:sz w:val="24"/>
                <w:szCs w:val="24"/>
              </w:rPr>
            </w:pPr>
            <w:r w:rsidRPr="00113684">
              <w:rPr>
                <w:b/>
                <w:sz w:val="24"/>
                <w:szCs w:val="24"/>
              </w:rPr>
              <w:t>Læsions-type</w:t>
            </w:r>
          </w:p>
        </w:tc>
        <w:tc>
          <w:tcPr>
            <w:tcW w:w="820" w:type="pct"/>
            <w:vMerge w:val="restart"/>
            <w:tcBorders>
              <w:top w:val="nil"/>
              <w:left w:val="nil"/>
              <w:bottom w:val="single" w:sz="4" w:space="0" w:color="auto"/>
              <w:right w:val="nil"/>
            </w:tcBorders>
            <w:vAlign w:val="center"/>
            <w:hideMark/>
          </w:tcPr>
          <w:p w:rsidR="00EC3969" w:rsidRPr="00113684" w:rsidRDefault="00EC3969" w:rsidP="00413D1B">
            <w:pPr>
              <w:rPr>
                <w:b/>
                <w:bCs/>
                <w:sz w:val="24"/>
                <w:szCs w:val="24"/>
              </w:rPr>
            </w:pPr>
            <w:r w:rsidRPr="00113684">
              <w:rPr>
                <w:b/>
                <w:sz w:val="24"/>
                <w:szCs w:val="24"/>
              </w:rPr>
              <w:t>Behandling</w:t>
            </w:r>
          </w:p>
        </w:tc>
        <w:tc>
          <w:tcPr>
            <w:tcW w:w="2589" w:type="pct"/>
            <w:gridSpan w:val="3"/>
            <w:hideMark/>
          </w:tcPr>
          <w:p w:rsidR="00EC3969" w:rsidRPr="00113684" w:rsidRDefault="00EC3969" w:rsidP="00413D1B">
            <w:pPr>
              <w:rPr>
                <w:b/>
                <w:bCs/>
                <w:sz w:val="24"/>
                <w:szCs w:val="24"/>
              </w:rPr>
            </w:pPr>
            <w:r w:rsidRPr="00113684">
              <w:rPr>
                <w:b/>
                <w:sz w:val="24"/>
                <w:szCs w:val="24"/>
              </w:rPr>
              <w:t>Studie</w:t>
            </w:r>
          </w:p>
        </w:tc>
        <w:tc>
          <w:tcPr>
            <w:tcW w:w="920" w:type="pct"/>
            <w:hideMark/>
          </w:tcPr>
          <w:p w:rsidR="00EC3969" w:rsidRPr="00113684" w:rsidRDefault="00EC3969" w:rsidP="00413D1B">
            <w:pPr>
              <w:rPr>
                <w:b/>
                <w:bCs/>
                <w:sz w:val="24"/>
                <w:szCs w:val="24"/>
              </w:rPr>
            </w:pPr>
            <w:r w:rsidRPr="00113684">
              <w:rPr>
                <w:b/>
                <w:sz w:val="24"/>
                <w:szCs w:val="24"/>
              </w:rPr>
              <w:t>Meta-analyse</w:t>
            </w:r>
          </w:p>
        </w:tc>
      </w:tr>
      <w:tr w:rsidR="00EC3969" w:rsidRPr="00113684" w:rsidTr="00413D1B">
        <w:trPr>
          <w:trHeight w:val="255"/>
        </w:trPr>
        <w:tc>
          <w:tcPr>
            <w:tcW w:w="671" w:type="pct"/>
            <w:vMerge/>
            <w:tcBorders>
              <w:top w:val="nil"/>
              <w:left w:val="nil"/>
              <w:bottom w:val="single" w:sz="4" w:space="0" w:color="auto"/>
              <w:right w:val="nil"/>
            </w:tcBorders>
            <w:vAlign w:val="center"/>
            <w:hideMark/>
          </w:tcPr>
          <w:p w:rsidR="00EC3969" w:rsidRPr="00113684" w:rsidRDefault="00EC3969" w:rsidP="00413D1B">
            <w:pPr>
              <w:rPr>
                <w:b/>
                <w:bCs/>
                <w:sz w:val="24"/>
                <w:szCs w:val="24"/>
              </w:rPr>
            </w:pPr>
          </w:p>
        </w:tc>
        <w:tc>
          <w:tcPr>
            <w:tcW w:w="820" w:type="pct"/>
            <w:vMerge/>
            <w:tcBorders>
              <w:top w:val="nil"/>
              <w:left w:val="nil"/>
              <w:bottom w:val="single" w:sz="4" w:space="0" w:color="auto"/>
              <w:right w:val="nil"/>
            </w:tcBorders>
            <w:vAlign w:val="center"/>
            <w:hideMark/>
          </w:tcPr>
          <w:p w:rsidR="00EC3969" w:rsidRPr="00113684" w:rsidRDefault="00EC3969" w:rsidP="00413D1B">
            <w:pPr>
              <w:rPr>
                <w:b/>
                <w:bCs/>
                <w:sz w:val="24"/>
                <w:szCs w:val="24"/>
              </w:rPr>
            </w:pPr>
          </w:p>
        </w:tc>
        <w:tc>
          <w:tcPr>
            <w:tcW w:w="795" w:type="pct"/>
            <w:hideMark/>
          </w:tcPr>
          <w:p w:rsidR="00EC3969" w:rsidRPr="00113684" w:rsidRDefault="00EC3969" w:rsidP="00413D1B">
            <w:pPr>
              <w:rPr>
                <w:b/>
                <w:bCs/>
                <w:sz w:val="24"/>
                <w:szCs w:val="24"/>
              </w:rPr>
            </w:pPr>
            <w:r w:rsidRPr="00113684">
              <w:rPr>
                <w:b/>
                <w:sz w:val="24"/>
                <w:szCs w:val="24"/>
              </w:rPr>
              <w:t>G2HP_06_02</w:t>
            </w:r>
          </w:p>
          <w:p w:rsidR="00EC3969" w:rsidRPr="00113684" w:rsidRDefault="00EC3969" w:rsidP="00413D1B">
            <w:pPr>
              <w:rPr>
                <w:b/>
                <w:bCs/>
                <w:sz w:val="24"/>
                <w:szCs w:val="24"/>
              </w:rPr>
            </w:pPr>
            <w:r w:rsidRPr="00113684">
              <w:rPr>
                <w:b/>
                <w:sz w:val="24"/>
                <w:szCs w:val="24"/>
              </w:rPr>
              <w:t>(n = 800)</w:t>
            </w:r>
          </w:p>
        </w:tc>
        <w:tc>
          <w:tcPr>
            <w:tcW w:w="795" w:type="pct"/>
            <w:hideMark/>
          </w:tcPr>
          <w:p w:rsidR="00EC3969" w:rsidRPr="00113684" w:rsidRDefault="00EC3969" w:rsidP="00413D1B">
            <w:pPr>
              <w:rPr>
                <w:b/>
                <w:bCs/>
                <w:sz w:val="24"/>
                <w:szCs w:val="24"/>
              </w:rPr>
            </w:pPr>
            <w:r w:rsidRPr="00113684">
              <w:rPr>
                <w:b/>
                <w:sz w:val="24"/>
                <w:szCs w:val="24"/>
              </w:rPr>
              <w:t>G2HP_07_02</w:t>
            </w:r>
          </w:p>
          <w:p w:rsidR="00EC3969" w:rsidRPr="00113684" w:rsidRDefault="00EC3969" w:rsidP="00413D1B">
            <w:pPr>
              <w:rPr>
                <w:b/>
                <w:bCs/>
                <w:sz w:val="24"/>
                <w:szCs w:val="24"/>
              </w:rPr>
            </w:pPr>
            <w:r w:rsidRPr="00113684">
              <w:rPr>
                <w:b/>
                <w:sz w:val="24"/>
                <w:szCs w:val="24"/>
              </w:rPr>
              <w:t>(n = 795)</w:t>
            </w:r>
          </w:p>
        </w:tc>
        <w:tc>
          <w:tcPr>
            <w:tcW w:w="999" w:type="pct"/>
            <w:hideMark/>
          </w:tcPr>
          <w:p w:rsidR="00EC3969" w:rsidRPr="00113684" w:rsidRDefault="00EC3969" w:rsidP="00413D1B">
            <w:pPr>
              <w:rPr>
                <w:b/>
                <w:bCs/>
                <w:sz w:val="24"/>
                <w:szCs w:val="24"/>
              </w:rPr>
            </w:pPr>
            <w:r w:rsidRPr="00113684">
              <w:rPr>
                <w:b/>
                <w:sz w:val="24"/>
                <w:szCs w:val="24"/>
              </w:rPr>
              <w:t>MP1501_02</w:t>
            </w:r>
          </w:p>
          <w:p w:rsidR="00EC3969" w:rsidRPr="00113684" w:rsidRDefault="00EC3969" w:rsidP="00413D1B">
            <w:pPr>
              <w:rPr>
                <w:b/>
                <w:bCs/>
                <w:sz w:val="24"/>
                <w:szCs w:val="24"/>
              </w:rPr>
            </w:pPr>
            <w:r w:rsidRPr="00113684">
              <w:rPr>
                <w:b/>
                <w:sz w:val="24"/>
                <w:szCs w:val="24"/>
              </w:rPr>
              <w:t>(n = 1.320)</w:t>
            </w:r>
          </w:p>
        </w:tc>
        <w:tc>
          <w:tcPr>
            <w:tcW w:w="920" w:type="pct"/>
            <w:hideMark/>
          </w:tcPr>
          <w:p w:rsidR="00EC3969" w:rsidRPr="00113684" w:rsidRDefault="00EC3969" w:rsidP="00413D1B">
            <w:pPr>
              <w:rPr>
                <w:b/>
                <w:bCs/>
                <w:sz w:val="24"/>
                <w:szCs w:val="24"/>
                <w:vertAlign w:val="superscript"/>
              </w:rPr>
            </w:pPr>
            <w:r w:rsidRPr="00113684">
              <w:rPr>
                <w:b/>
                <w:sz w:val="24"/>
                <w:szCs w:val="24"/>
              </w:rPr>
              <w:t>Alle studier</w:t>
            </w:r>
            <w:r w:rsidRPr="00113684">
              <w:rPr>
                <w:b/>
                <w:sz w:val="24"/>
                <w:szCs w:val="24"/>
                <w:vertAlign w:val="superscript"/>
              </w:rPr>
              <w:t>1</w:t>
            </w:r>
          </w:p>
          <w:p w:rsidR="00EC3969" w:rsidRPr="00113684" w:rsidRDefault="00EC3969" w:rsidP="00413D1B">
            <w:pPr>
              <w:rPr>
                <w:b/>
                <w:bCs/>
                <w:sz w:val="24"/>
                <w:szCs w:val="24"/>
              </w:rPr>
            </w:pPr>
            <w:r w:rsidRPr="00113684">
              <w:rPr>
                <w:b/>
                <w:sz w:val="24"/>
                <w:szCs w:val="24"/>
              </w:rPr>
              <w:t>(n = 2.915)</w:t>
            </w:r>
          </w:p>
        </w:tc>
      </w:tr>
      <w:tr w:rsidR="00EC3969" w:rsidRPr="00113684" w:rsidTr="00413D1B">
        <w:trPr>
          <w:trHeight w:val="120"/>
        </w:trPr>
        <w:tc>
          <w:tcPr>
            <w:tcW w:w="671" w:type="pct"/>
            <w:vMerge w:val="restart"/>
            <w:hideMark/>
          </w:tcPr>
          <w:p w:rsidR="00EC3969" w:rsidRPr="00113684" w:rsidRDefault="00EC3969" w:rsidP="00413D1B">
            <w:pPr>
              <w:rPr>
                <w:b/>
                <w:bCs/>
                <w:sz w:val="24"/>
                <w:szCs w:val="24"/>
              </w:rPr>
            </w:pPr>
            <w:r w:rsidRPr="00113684">
              <w:rPr>
                <w:b/>
                <w:sz w:val="24"/>
                <w:szCs w:val="24"/>
              </w:rPr>
              <w:t>Inflam-matorisk</w:t>
            </w:r>
          </w:p>
        </w:tc>
        <w:tc>
          <w:tcPr>
            <w:tcW w:w="820" w:type="pct"/>
            <w:hideMark/>
          </w:tcPr>
          <w:p w:rsidR="00EC3969" w:rsidRPr="00113684" w:rsidRDefault="00EC3969" w:rsidP="00413D1B">
            <w:pPr>
              <w:rPr>
                <w:b/>
                <w:bCs/>
                <w:sz w:val="24"/>
                <w:szCs w:val="24"/>
              </w:rPr>
            </w:pPr>
            <w:r w:rsidRPr="00113684">
              <w:rPr>
                <w:b/>
                <w:sz w:val="24"/>
                <w:szCs w:val="24"/>
              </w:rPr>
              <w:t>Acnatac</w:t>
            </w:r>
          </w:p>
        </w:tc>
        <w:tc>
          <w:tcPr>
            <w:tcW w:w="795" w:type="pct"/>
            <w:hideMark/>
          </w:tcPr>
          <w:p w:rsidR="00EC3969" w:rsidRPr="00113684" w:rsidRDefault="00EC3969" w:rsidP="00413D1B">
            <w:pPr>
              <w:rPr>
                <w:sz w:val="24"/>
                <w:szCs w:val="24"/>
              </w:rPr>
            </w:pPr>
            <w:r w:rsidRPr="00113684">
              <w:rPr>
                <w:sz w:val="24"/>
                <w:szCs w:val="24"/>
              </w:rPr>
              <w:t>50,0</w:t>
            </w:r>
          </w:p>
        </w:tc>
        <w:tc>
          <w:tcPr>
            <w:tcW w:w="795" w:type="pct"/>
            <w:hideMark/>
          </w:tcPr>
          <w:p w:rsidR="00EC3969" w:rsidRPr="00113684" w:rsidRDefault="00EC3969" w:rsidP="00413D1B">
            <w:pPr>
              <w:rPr>
                <w:sz w:val="24"/>
                <w:szCs w:val="24"/>
              </w:rPr>
            </w:pPr>
            <w:r w:rsidRPr="00113684">
              <w:rPr>
                <w:sz w:val="24"/>
                <w:szCs w:val="24"/>
              </w:rPr>
              <w:t>56,2</w:t>
            </w:r>
          </w:p>
        </w:tc>
        <w:tc>
          <w:tcPr>
            <w:tcW w:w="999" w:type="pct"/>
            <w:hideMark/>
          </w:tcPr>
          <w:p w:rsidR="00EC3969" w:rsidRPr="00113684" w:rsidRDefault="00EC3969" w:rsidP="00413D1B">
            <w:pPr>
              <w:rPr>
                <w:sz w:val="24"/>
                <w:szCs w:val="24"/>
              </w:rPr>
            </w:pPr>
            <w:r w:rsidRPr="00113684">
              <w:rPr>
                <w:sz w:val="24"/>
                <w:szCs w:val="24"/>
              </w:rPr>
              <w:t>66,7</w:t>
            </w:r>
          </w:p>
        </w:tc>
        <w:tc>
          <w:tcPr>
            <w:tcW w:w="920" w:type="pct"/>
            <w:hideMark/>
          </w:tcPr>
          <w:p w:rsidR="00EC3969" w:rsidRPr="00113684" w:rsidRDefault="00EC3969" w:rsidP="00413D1B">
            <w:pPr>
              <w:rPr>
                <w:sz w:val="24"/>
                <w:szCs w:val="24"/>
              </w:rPr>
            </w:pPr>
            <w:r w:rsidRPr="00113684">
              <w:rPr>
                <w:sz w:val="24"/>
                <w:szCs w:val="24"/>
              </w:rPr>
              <w:t>62,5</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Clindamycin</w:t>
            </w:r>
          </w:p>
        </w:tc>
        <w:tc>
          <w:tcPr>
            <w:tcW w:w="795" w:type="pct"/>
            <w:hideMark/>
          </w:tcPr>
          <w:p w:rsidR="00EC3969" w:rsidRPr="00113684" w:rsidRDefault="00EC3969" w:rsidP="00413D1B">
            <w:pPr>
              <w:rPr>
                <w:sz w:val="24"/>
                <w:szCs w:val="24"/>
              </w:rPr>
            </w:pPr>
            <w:r w:rsidRPr="00113684">
              <w:rPr>
                <w:sz w:val="24"/>
                <w:szCs w:val="24"/>
              </w:rPr>
              <w:t>40,4</w:t>
            </w:r>
          </w:p>
        </w:tc>
        <w:tc>
          <w:tcPr>
            <w:tcW w:w="795" w:type="pct"/>
            <w:hideMark/>
          </w:tcPr>
          <w:p w:rsidR="00EC3969" w:rsidRPr="00113684" w:rsidRDefault="00EC3969" w:rsidP="00413D1B">
            <w:pPr>
              <w:rPr>
                <w:sz w:val="24"/>
                <w:szCs w:val="24"/>
              </w:rPr>
            </w:pPr>
            <w:r w:rsidRPr="00113684">
              <w:rPr>
                <w:sz w:val="24"/>
                <w:szCs w:val="24"/>
              </w:rPr>
              <w:t>46,7</w:t>
            </w:r>
          </w:p>
        </w:tc>
        <w:tc>
          <w:tcPr>
            <w:tcW w:w="999" w:type="pct"/>
            <w:hideMark/>
          </w:tcPr>
          <w:p w:rsidR="00EC3969" w:rsidRPr="00113684" w:rsidRDefault="00EC3969" w:rsidP="00413D1B">
            <w:pPr>
              <w:rPr>
                <w:sz w:val="24"/>
                <w:szCs w:val="24"/>
              </w:rPr>
            </w:pPr>
            <w:r w:rsidRPr="00113684">
              <w:rPr>
                <w:sz w:val="24"/>
                <w:szCs w:val="24"/>
              </w:rPr>
              <w:t>64,0*</w:t>
            </w:r>
          </w:p>
        </w:tc>
        <w:tc>
          <w:tcPr>
            <w:tcW w:w="920" w:type="pct"/>
            <w:hideMark/>
          </w:tcPr>
          <w:p w:rsidR="00EC3969" w:rsidRPr="00113684" w:rsidRDefault="00EC3969" w:rsidP="00413D1B">
            <w:pPr>
              <w:rPr>
                <w:sz w:val="24"/>
                <w:szCs w:val="24"/>
              </w:rPr>
            </w:pPr>
            <w:r w:rsidRPr="00113684">
              <w:rPr>
                <w:sz w:val="24"/>
                <w:szCs w:val="24"/>
              </w:rPr>
              <w:t>58,3*</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Tretinoin</w:t>
            </w:r>
          </w:p>
        </w:tc>
        <w:tc>
          <w:tcPr>
            <w:tcW w:w="795" w:type="pct"/>
            <w:hideMark/>
          </w:tcPr>
          <w:p w:rsidR="00EC3969" w:rsidRPr="00113684" w:rsidRDefault="00EC3969" w:rsidP="00413D1B">
            <w:pPr>
              <w:rPr>
                <w:sz w:val="24"/>
                <w:szCs w:val="24"/>
              </w:rPr>
            </w:pPr>
            <w:r w:rsidRPr="00113684">
              <w:rPr>
                <w:sz w:val="24"/>
                <w:szCs w:val="24"/>
              </w:rPr>
              <w:t>38,5*</w:t>
            </w:r>
          </w:p>
        </w:tc>
        <w:tc>
          <w:tcPr>
            <w:tcW w:w="795" w:type="pct"/>
            <w:hideMark/>
          </w:tcPr>
          <w:p w:rsidR="00EC3969" w:rsidRPr="00113684" w:rsidRDefault="00EC3969" w:rsidP="00413D1B">
            <w:pPr>
              <w:rPr>
                <w:sz w:val="24"/>
                <w:szCs w:val="24"/>
              </w:rPr>
            </w:pPr>
            <w:r w:rsidRPr="00113684">
              <w:rPr>
                <w:sz w:val="24"/>
                <w:szCs w:val="24"/>
              </w:rPr>
              <w:t>47,3*</w:t>
            </w:r>
          </w:p>
        </w:tc>
        <w:tc>
          <w:tcPr>
            <w:tcW w:w="999" w:type="pct"/>
            <w:hideMark/>
          </w:tcPr>
          <w:p w:rsidR="00EC3969" w:rsidRPr="00113684" w:rsidRDefault="00EC3969" w:rsidP="00413D1B">
            <w:pPr>
              <w:rPr>
                <w:sz w:val="24"/>
                <w:szCs w:val="24"/>
              </w:rPr>
            </w:pPr>
            <w:r w:rsidRPr="00113684">
              <w:rPr>
                <w:sz w:val="24"/>
                <w:szCs w:val="24"/>
              </w:rPr>
              <w:t>Ikke relevant</w:t>
            </w:r>
          </w:p>
        </w:tc>
        <w:tc>
          <w:tcPr>
            <w:tcW w:w="920" w:type="pct"/>
            <w:hideMark/>
          </w:tcPr>
          <w:p w:rsidR="00EC3969" w:rsidRPr="00113684" w:rsidRDefault="00EC3969" w:rsidP="00413D1B">
            <w:pPr>
              <w:rPr>
                <w:sz w:val="24"/>
                <w:szCs w:val="24"/>
              </w:rPr>
            </w:pPr>
            <w:r w:rsidRPr="00113684">
              <w:rPr>
                <w:sz w:val="24"/>
                <w:szCs w:val="24"/>
              </w:rPr>
              <w:t>40,7*</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 xml:space="preserve">Vehikel </w:t>
            </w:r>
          </w:p>
        </w:tc>
        <w:tc>
          <w:tcPr>
            <w:tcW w:w="795" w:type="pct"/>
            <w:hideMark/>
          </w:tcPr>
          <w:p w:rsidR="00EC3969" w:rsidRPr="00113684" w:rsidRDefault="00EC3969" w:rsidP="00413D1B">
            <w:pPr>
              <w:rPr>
                <w:sz w:val="24"/>
                <w:szCs w:val="24"/>
              </w:rPr>
            </w:pPr>
            <w:r w:rsidRPr="00113684">
              <w:rPr>
                <w:sz w:val="24"/>
                <w:szCs w:val="24"/>
              </w:rPr>
              <w:t>16,7*</w:t>
            </w:r>
          </w:p>
        </w:tc>
        <w:tc>
          <w:tcPr>
            <w:tcW w:w="795" w:type="pct"/>
            <w:hideMark/>
          </w:tcPr>
          <w:p w:rsidR="00EC3969" w:rsidRPr="00113684" w:rsidRDefault="00EC3969" w:rsidP="00413D1B">
            <w:pPr>
              <w:rPr>
                <w:sz w:val="24"/>
                <w:szCs w:val="24"/>
              </w:rPr>
            </w:pPr>
            <w:r w:rsidRPr="00113684">
              <w:rPr>
                <w:sz w:val="24"/>
                <w:szCs w:val="24"/>
              </w:rPr>
              <w:t>25,4*</w:t>
            </w:r>
          </w:p>
        </w:tc>
        <w:tc>
          <w:tcPr>
            <w:tcW w:w="999" w:type="pct"/>
            <w:hideMark/>
          </w:tcPr>
          <w:p w:rsidR="00EC3969" w:rsidRPr="00113684" w:rsidRDefault="00EC3969" w:rsidP="00413D1B">
            <w:pPr>
              <w:rPr>
                <w:sz w:val="24"/>
                <w:szCs w:val="24"/>
              </w:rPr>
            </w:pPr>
            <w:r w:rsidRPr="00113684">
              <w:rPr>
                <w:sz w:val="24"/>
                <w:szCs w:val="24"/>
              </w:rPr>
              <w:t>Ikke relevant</w:t>
            </w:r>
          </w:p>
        </w:tc>
        <w:tc>
          <w:tcPr>
            <w:tcW w:w="920" w:type="pct"/>
            <w:hideMark/>
          </w:tcPr>
          <w:p w:rsidR="00EC3969" w:rsidRPr="00113684" w:rsidRDefault="00EC3969" w:rsidP="00413D1B">
            <w:pPr>
              <w:rPr>
                <w:sz w:val="24"/>
                <w:szCs w:val="24"/>
              </w:rPr>
            </w:pPr>
            <w:r w:rsidRPr="00113684">
              <w:rPr>
                <w:sz w:val="24"/>
                <w:szCs w:val="24"/>
              </w:rPr>
              <w:t>21,4*</w:t>
            </w:r>
          </w:p>
        </w:tc>
      </w:tr>
      <w:tr w:rsidR="00EC3969" w:rsidRPr="00113684" w:rsidTr="00413D1B">
        <w:trPr>
          <w:trHeight w:val="120"/>
        </w:trPr>
        <w:tc>
          <w:tcPr>
            <w:tcW w:w="671" w:type="pct"/>
            <w:vMerge w:val="restart"/>
            <w:hideMark/>
          </w:tcPr>
          <w:p w:rsidR="00EC3969" w:rsidRPr="00113684" w:rsidRDefault="00EC3969" w:rsidP="00413D1B">
            <w:pPr>
              <w:rPr>
                <w:b/>
                <w:bCs/>
                <w:sz w:val="24"/>
                <w:szCs w:val="24"/>
              </w:rPr>
            </w:pPr>
            <w:r w:rsidRPr="00113684">
              <w:rPr>
                <w:b/>
                <w:sz w:val="24"/>
                <w:szCs w:val="24"/>
              </w:rPr>
              <w:t>Non-inflam-matorisk</w:t>
            </w:r>
          </w:p>
        </w:tc>
        <w:tc>
          <w:tcPr>
            <w:tcW w:w="820" w:type="pct"/>
            <w:hideMark/>
          </w:tcPr>
          <w:p w:rsidR="00EC3969" w:rsidRPr="00113684" w:rsidRDefault="00EC3969" w:rsidP="00413D1B">
            <w:pPr>
              <w:rPr>
                <w:b/>
                <w:bCs/>
                <w:sz w:val="24"/>
                <w:szCs w:val="24"/>
              </w:rPr>
            </w:pPr>
            <w:r w:rsidRPr="00113684">
              <w:rPr>
                <w:b/>
                <w:sz w:val="24"/>
                <w:szCs w:val="24"/>
              </w:rPr>
              <w:t>Acnatac</w:t>
            </w:r>
          </w:p>
        </w:tc>
        <w:tc>
          <w:tcPr>
            <w:tcW w:w="795" w:type="pct"/>
            <w:hideMark/>
          </w:tcPr>
          <w:p w:rsidR="00EC3969" w:rsidRPr="00113684" w:rsidRDefault="00EC3969" w:rsidP="00413D1B">
            <w:pPr>
              <w:rPr>
                <w:sz w:val="24"/>
                <w:szCs w:val="24"/>
              </w:rPr>
            </w:pPr>
            <w:r w:rsidRPr="00113684">
              <w:rPr>
                <w:sz w:val="24"/>
                <w:szCs w:val="24"/>
              </w:rPr>
              <w:t>43,4</w:t>
            </w:r>
          </w:p>
        </w:tc>
        <w:tc>
          <w:tcPr>
            <w:tcW w:w="795" w:type="pct"/>
            <w:hideMark/>
          </w:tcPr>
          <w:p w:rsidR="00EC3969" w:rsidRPr="00113684" w:rsidRDefault="00EC3969" w:rsidP="00413D1B">
            <w:pPr>
              <w:rPr>
                <w:sz w:val="24"/>
                <w:szCs w:val="24"/>
              </w:rPr>
            </w:pPr>
            <w:r w:rsidRPr="00113684">
              <w:rPr>
                <w:sz w:val="24"/>
                <w:szCs w:val="24"/>
              </w:rPr>
              <w:t>40,2</w:t>
            </w:r>
          </w:p>
        </w:tc>
        <w:tc>
          <w:tcPr>
            <w:tcW w:w="999" w:type="pct"/>
            <w:hideMark/>
          </w:tcPr>
          <w:p w:rsidR="00EC3969" w:rsidRPr="00113684" w:rsidRDefault="00EC3969" w:rsidP="00413D1B">
            <w:pPr>
              <w:rPr>
                <w:sz w:val="24"/>
                <w:szCs w:val="24"/>
              </w:rPr>
            </w:pPr>
            <w:r w:rsidRPr="00113684">
              <w:rPr>
                <w:sz w:val="24"/>
                <w:szCs w:val="24"/>
              </w:rPr>
              <w:t>55,6</w:t>
            </w:r>
          </w:p>
        </w:tc>
        <w:tc>
          <w:tcPr>
            <w:tcW w:w="920" w:type="pct"/>
            <w:hideMark/>
          </w:tcPr>
          <w:p w:rsidR="00EC3969" w:rsidRPr="00113684" w:rsidRDefault="00EC3969" w:rsidP="00413D1B">
            <w:pPr>
              <w:rPr>
                <w:sz w:val="24"/>
                <w:szCs w:val="24"/>
              </w:rPr>
            </w:pPr>
            <w:r w:rsidRPr="00113684">
              <w:rPr>
                <w:sz w:val="24"/>
                <w:szCs w:val="24"/>
              </w:rPr>
              <w:t>50,0</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Clindamycin</w:t>
            </w:r>
          </w:p>
        </w:tc>
        <w:tc>
          <w:tcPr>
            <w:tcW w:w="795" w:type="pct"/>
            <w:hideMark/>
          </w:tcPr>
          <w:p w:rsidR="00EC3969" w:rsidRPr="00113684" w:rsidRDefault="00EC3969" w:rsidP="00413D1B">
            <w:pPr>
              <w:rPr>
                <w:sz w:val="24"/>
                <w:szCs w:val="24"/>
              </w:rPr>
            </w:pPr>
            <w:r w:rsidRPr="00113684">
              <w:rPr>
                <w:sz w:val="24"/>
                <w:szCs w:val="24"/>
              </w:rPr>
              <w:t>23,4*</w:t>
            </w:r>
          </w:p>
        </w:tc>
        <w:tc>
          <w:tcPr>
            <w:tcW w:w="795" w:type="pct"/>
            <w:hideMark/>
          </w:tcPr>
          <w:p w:rsidR="00EC3969" w:rsidRPr="00113684" w:rsidRDefault="00EC3969" w:rsidP="00413D1B">
            <w:pPr>
              <w:rPr>
                <w:sz w:val="24"/>
                <w:szCs w:val="24"/>
              </w:rPr>
            </w:pPr>
            <w:r w:rsidRPr="00113684">
              <w:rPr>
                <w:sz w:val="24"/>
                <w:szCs w:val="24"/>
              </w:rPr>
              <w:t>26,5*</w:t>
            </w:r>
          </w:p>
        </w:tc>
        <w:tc>
          <w:tcPr>
            <w:tcW w:w="999" w:type="pct"/>
            <w:hideMark/>
          </w:tcPr>
          <w:p w:rsidR="00EC3969" w:rsidRPr="00113684" w:rsidRDefault="00EC3969" w:rsidP="00413D1B">
            <w:pPr>
              <w:rPr>
                <w:sz w:val="24"/>
                <w:szCs w:val="24"/>
              </w:rPr>
            </w:pPr>
            <w:r w:rsidRPr="00113684">
              <w:rPr>
                <w:sz w:val="24"/>
                <w:szCs w:val="24"/>
              </w:rPr>
              <w:t>48,7*</w:t>
            </w:r>
          </w:p>
        </w:tc>
        <w:tc>
          <w:tcPr>
            <w:tcW w:w="920" w:type="pct"/>
            <w:hideMark/>
          </w:tcPr>
          <w:p w:rsidR="00EC3969" w:rsidRPr="00113684" w:rsidRDefault="00EC3969" w:rsidP="00413D1B">
            <w:pPr>
              <w:rPr>
                <w:sz w:val="24"/>
                <w:szCs w:val="24"/>
              </w:rPr>
            </w:pPr>
            <w:r w:rsidRPr="00113684">
              <w:rPr>
                <w:sz w:val="24"/>
                <w:szCs w:val="24"/>
              </w:rPr>
              <w:t>42,2*</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Tretinoin</w:t>
            </w:r>
          </w:p>
        </w:tc>
        <w:tc>
          <w:tcPr>
            <w:tcW w:w="795" w:type="pct"/>
            <w:hideMark/>
          </w:tcPr>
          <w:p w:rsidR="00EC3969" w:rsidRPr="00113684" w:rsidRDefault="00EC3969" w:rsidP="00413D1B">
            <w:pPr>
              <w:rPr>
                <w:sz w:val="24"/>
                <w:szCs w:val="24"/>
              </w:rPr>
            </w:pPr>
            <w:r w:rsidRPr="00113684">
              <w:rPr>
                <w:sz w:val="24"/>
                <w:szCs w:val="24"/>
              </w:rPr>
              <w:t>30,2*</w:t>
            </w:r>
          </w:p>
        </w:tc>
        <w:tc>
          <w:tcPr>
            <w:tcW w:w="795" w:type="pct"/>
            <w:hideMark/>
          </w:tcPr>
          <w:p w:rsidR="00EC3969" w:rsidRPr="00113684" w:rsidRDefault="00EC3969" w:rsidP="00413D1B">
            <w:pPr>
              <w:rPr>
                <w:sz w:val="24"/>
                <w:szCs w:val="24"/>
              </w:rPr>
            </w:pPr>
            <w:r w:rsidRPr="00113684">
              <w:rPr>
                <w:sz w:val="24"/>
                <w:szCs w:val="24"/>
              </w:rPr>
              <w:t>36,9</w:t>
            </w:r>
          </w:p>
        </w:tc>
        <w:tc>
          <w:tcPr>
            <w:tcW w:w="999" w:type="pct"/>
            <w:hideMark/>
          </w:tcPr>
          <w:p w:rsidR="00EC3969" w:rsidRPr="00113684" w:rsidRDefault="00EC3969" w:rsidP="00413D1B">
            <w:pPr>
              <w:rPr>
                <w:sz w:val="24"/>
                <w:szCs w:val="24"/>
              </w:rPr>
            </w:pPr>
            <w:r w:rsidRPr="00113684">
              <w:rPr>
                <w:sz w:val="24"/>
                <w:szCs w:val="24"/>
              </w:rPr>
              <w:t>Ikke relevant</w:t>
            </w:r>
          </w:p>
        </w:tc>
        <w:tc>
          <w:tcPr>
            <w:tcW w:w="920" w:type="pct"/>
            <w:hideMark/>
          </w:tcPr>
          <w:p w:rsidR="00EC3969" w:rsidRPr="00113684" w:rsidRDefault="00EC3969" w:rsidP="00413D1B">
            <w:pPr>
              <w:rPr>
                <w:sz w:val="24"/>
                <w:szCs w:val="24"/>
              </w:rPr>
            </w:pPr>
            <w:r w:rsidRPr="00113684">
              <w:rPr>
                <w:sz w:val="24"/>
                <w:szCs w:val="24"/>
              </w:rPr>
              <w:t>32,8*</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Vehikel</w:t>
            </w:r>
          </w:p>
        </w:tc>
        <w:tc>
          <w:tcPr>
            <w:tcW w:w="795" w:type="pct"/>
            <w:hideMark/>
          </w:tcPr>
          <w:p w:rsidR="00EC3969" w:rsidRPr="00113684" w:rsidRDefault="00EC3969" w:rsidP="00413D1B">
            <w:pPr>
              <w:rPr>
                <w:sz w:val="24"/>
                <w:szCs w:val="24"/>
              </w:rPr>
            </w:pPr>
            <w:r w:rsidRPr="00113684">
              <w:rPr>
                <w:sz w:val="24"/>
                <w:szCs w:val="24"/>
              </w:rPr>
              <w:t>13,5*</w:t>
            </w:r>
          </w:p>
        </w:tc>
        <w:tc>
          <w:tcPr>
            <w:tcW w:w="795" w:type="pct"/>
            <w:hideMark/>
          </w:tcPr>
          <w:p w:rsidR="00EC3969" w:rsidRPr="00113684" w:rsidRDefault="00EC3969" w:rsidP="00413D1B">
            <w:pPr>
              <w:rPr>
                <w:sz w:val="24"/>
                <w:szCs w:val="24"/>
              </w:rPr>
            </w:pPr>
            <w:r w:rsidRPr="00113684">
              <w:rPr>
                <w:sz w:val="24"/>
                <w:szCs w:val="24"/>
              </w:rPr>
              <w:t>13,7*</w:t>
            </w:r>
          </w:p>
        </w:tc>
        <w:tc>
          <w:tcPr>
            <w:tcW w:w="999" w:type="pct"/>
            <w:hideMark/>
          </w:tcPr>
          <w:p w:rsidR="00EC3969" w:rsidRPr="00113684" w:rsidRDefault="00EC3969" w:rsidP="00413D1B">
            <w:pPr>
              <w:rPr>
                <w:sz w:val="24"/>
                <w:szCs w:val="24"/>
              </w:rPr>
            </w:pPr>
            <w:r w:rsidRPr="00113684">
              <w:rPr>
                <w:sz w:val="24"/>
                <w:szCs w:val="24"/>
              </w:rPr>
              <w:t>Ikke relevant</w:t>
            </w:r>
          </w:p>
        </w:tc>
        <w:tc>
          <w:tcPr>
            <w:tcW w:w="920" w:type="pct"/>
            <w:hideMark/>
          </w:tcPr>
          <w:p w:rsidR="00EC3969" w:rsidRPr="00113684" w:rsidRDefault="00EC3969" w:rsidP="00413D1B">
            <w:pPr>
              <w:rPr>
                <w:sz w:val="24"/>
                <w:szCs w:val="24"/>
              </w:rPr>
            </w:pPr>
            <w:r w:rsidRPr="00113684">
              <w:rPr>
                <w:sz w:val="24"/>
                <w:szCs w:val="24"/>
              </w:rPr>
              <w:t>13,5*</w:t>
            </w:r>
          </w:p>
        </w:tc>
      </w:tr>
      <w:tr w:rsidR="00EC3969" w:rsidRPr="00113684" w:rsidTr="00413D1B">
        <w:trPr>
          <w:trHeight w:val="120"/>
        </w:trPr>
        <w:tc>
          <w:tcPr>
            <w:tcW w:w="671" w:type="pct"/>
            <w:vMerge w:val="restart"/>
            <w:hideMark/>
          </w:tcPr>
          <w:p w:rsidR="00EC3969" w:rsidRPr="00113684" w:rsidRDefault="00EC3969" w:rsidP="00413D1B">
            <w:pPr>
              <w:rPr>
                <w:b/>
                <w:bCs/>
                <w:sz w:val="24"/>
                <w:szCs w:val="24"/>
              </w:rPr>
            </w:pPr>
            <w:r w:rsidRPr="00113684">
              <w:rPr>
                <w:b/>
                <w:sz w:val="24"/>
                <w:szCs w:val="24"/>
              </w:rPr>
              <w:t>I alt</w:t>
            </w:r>
          </w:p>
        </w:tc>
        <w:tc>
          <w:tcPr>
            <w:tcW w:w="820" w:type="pct"/>
            <w:hideMark/>
          </w:tcPr>
          <w:p w:rsidR="00EC3969" w:rsidRPr="00113684" w:rsidRDefault="00EC3969" w:rsidP="00413D1B">
            <w:pPr>
              <w:rPr>
                <w:b/>
                <w:bCs/>
                <w:sz w:val="24"/>
                <w:szCs w:val="24"/>
              </w:rPr>
            </w:pPr>
            <w:r w:rsidRPr="00113684">
              <w:rPr>
                <w:b/>
                <w:sz w:val="24"/>
                <w:szCs w:val="24"/>
              </w:rPr>
              <w:t>Acnatac</w:t>
            </w:r>
          </w:p>
        </w:tc>
        <w:tc>
          <w:tcPr>
            <w:tcW w:w="795" w:type="pct"/>
            <w:hideMark/>
          </w:tcPr>
          <w:p w:rsidR="00EC3969" w:rsidRPr="00113684" w:rsidRDefault="00EC3969" w:rsidP="00413D1B">
            <w:pPr>
              <w:rPr>
                <w:sz w:val="24"/>
                <w:szCs w:val="24"/>
              </w:rPr>
            </w:pPr>
            <w:r w:rsidRPr="00113684">
              <w:rPr>
                <w:sz w:val="24"/>
                <w:szCs w:val="24"/>
              </w:rPr>
              <w:t>42,0</w:t>
            </w:r>
          </w:p>
        </w:tc>
        <w:tc>
          <w:tcPr>
            <w:tcW w:w="795" w:type="pct"/>
            <w:hideMark/>
          </w:tcPr>
          <w:p w:rsidR="00EC3969" w:rsidRPr="00113684" w:rsidRDefault="00EC3969" w:rsidP="00413D1B">
            <w:pPr>
              <w:rPr>
                <w:sz w:val="24"/>
                <w:szCs w:val="24"/>
              </w:rPr>
            </w:pPr>
            <w:r w:rsidRPr="00113684">
              <w:rPr>
                <w:sz w:val="24"/>
                <w:szCs w:val="24"/>
              </w:rPr>
              <w:t>44,8</w:t>
            </w:r>
          </w:p>
        </w:tc>
        <w:tc>
          <w:tcPr>
            <w:tcW w:w="999" w:type="pct"/>
            <w:hideMark/>
          </w:tcPr>
          <w:p w:rsidR="00EC3969" w:rsidRPr="00113684" w:rsidRDefault="00EC3969" w:rsidP="00413D1B">
            <w:pPr>
              <w:rPr>
                <w:sz w:val="24"/>
                <w:szCs w:val="24"/>
              </w:rPr>
            </w:pPr>
            <w:r w:rsidRPr="00113684">
              <w:rPr>
                <w:sz w:val="24"/>
                <w:szCs w:val="24"/>
              </w:rPr>
              <w:t>59,4</w:t>
            </w:r>
          </w:p>
        </w:tc>
        <w:tc>
          <w:tcPr>
            <w:tcW w:w="920" w:type="pct"/>
            <w:hideMark/>
          </w:tcPr>
          <w:p w:rsidR="00EC3969" w:rsidRPr="00113684" w:rsidRDefault="00EC3969" w:rsidP="00413D1B">
            <w:pPr>
              <w:rPr>
                <w:sz w:val="24"/>
                <w:szCs w:val="24"/>
              </w:rPr>
            </w:pPr>
            <w:r w:rsidRPr="00113684">
              <w:rPr>
                <w:sz w:val="24"/>
                <w:szCs w:val="24"/>
              </w:rPr>
              <w:t>52,5</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Clindamycin</w:t>
            </w:r>
          </w:p>
        </w:tc>
        <w:tc>
          <w:tcPr>
            <w:tcW w:w="795" w:type="pct"/>
            <w:hideMark/>
          </w:tcPr>
          <w:p w:rsidR="00EC3969" w:rsidRPr="00113684" w:rsidRDefault="00EC3969" w:rsidP="00413D1B">
            <w:pPr>
              <w:rPr>
                <w:sz w:val="24"/>
                <w:szCs w:val="24"/>
              </w:rPr>
            </w:pPr>
            <w:r w:rsidRPr="00113684">
              <w:rPr>
                <w:sz w:val="24"/>
                <w:szCs w:val="24"/>
              </w:rPr>
              <w:t>31,3*</w:t>
            </w:r>
          </w:p>
        </w:tc>
        <w:tc>
          <w:tcPr>
            <w:tcW w:w="795" w:type="pct"/>
            <w:hideMark/>
          </w:tcPr>
          <w:p w:rsidR="00EC3969" w:rsidRPr="00113684" w:rsidRDefault="00EC3969" w:rsidP="00413D1B">
            <w:pPr>
              <w:rPr>
                <w:sz w:val="24"/>
                <w:szCs w:val="24"/>
              </w:rPr>
            </w:pPr>
            <w:r w:rsidRPr="00113684">
              <w:rPr>
                <w:sz w:val="24"/>
                <w:szCs w:val="24"/>
              </w:rPr>
              <w:t>34,2*</w:t>
            </w:r>
          </w:p>
        </w:tc>
        <w:tc>
          <w:tcPr>
            <w:tcW w:w="999" w:type="pct"/>
            <w:hideMark/>
          </w:tcPr>
          <w:p w:rsidR="00EC3969" w:rsidRPr="00113684" w:rsidRDefault="00EC3969" w:rsidP="00413D1B">
            <w:pPr>
              <w:rPr>
                <w:sz w:val="24"/>
                <w:szCs w:val="24"/>
              </w:rPr>
            </w:pPr>
            <w:r w:rsidRPr="00113684">
              <w:rPr>
                <w:sz w:val="24"/>
                <w:szCs w:val="24"/>
              </w:rPr>
              <w:t>53,0*</w:t>
            </w:r>
          </w:p>
        </w:tc>
        <w:tc>
          <w:tcPr>
            <w:tcW w:w="920" w:type="pct"/>
            <w:hideMark/>
          </w:tcPr>
          <w:p w:rsidR="00EC3969" w:rsidRPr="00113684" w:rsidRDefault="00EC3969" w:rsidP="00413D1B">
            <w:pPr>
              <w:rPr>
                <w:sz w:val="24"/>
                <w:szCs w:val="24"/>
              </w:rPr>
            </w:pPr>
            <w:r w:rsidRPr="00113684">
              <w:rPr>
                <w:sz w:val="24"/>
                <w:szCs w:val="24"/>
              </w:rPr>
              <w:t>46,4*</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Tretinoin</w:t>
            </w:r>
          </w:p>
        </w:tc>
        <w:tc>
          <w:tcPr>
            <w:tcW w:w="795" w:type="pct"/>
            <w:hideMark/>
          </w:tcPr>
          <w:p w:rsidR="00EC3969" w:rsidRPr="00113684" w:rsidRDefault="00EC3969" w:rsidP="00413D1B">
            <w:pPr>
              <w:rPr>
                <w:sz w:val="24"/>
                <w:szCs w:val="24"/>
              </w:rPr>
            </w:pPr>
            <w:r w:rsidRPr="00113684">
              <w:rPr>
                <w:sz w:val="24"/>
                <w:szCs w:val="24"/>
              </w:rPr>
              <w:t>31,9*</w:t>
            </w:r>
          </w:p>
        </w:tc>
        <w:tc>
          <w:tcPr>
            <w:tcW w:w="795" w:type="pct"/>
            <w:hideMark/>
          </w:tcPr>
          <w:p w:rsidR="00EC3969" w:rsidRPr="00113684" w:rsidRDefault="00EC3969" w:rsidP="00413D1B">
            <w:pPr>
              <w:rPr>
                <w:sz w:val="24"/>
                <w:szCs w:val="24"/>
              </w:rPr>
            </w:pPr>
            <w:r w:rsidRPr="00113684">
              <w:rPr>
                <w:sz w:val="24"/>
                <w:szCs w:val="24"/>
              </w:rPr>
              <w:t>38,1*</w:t>
            </w:r>
          </w:p>
        </w:tc>
        <w:tc>
          <w:tcPr>
            <w:tcW w:w="999" w:type="pct"/>
            <w:hideMark/>
          </w:tcPr>
          <w:p w:rsidR="00EC3969" w:rsidRPr="00113684" w:rsidRDefault="00EC3969" w:rsidP="00413D1B">
            <w:pPr>
              <w:rPr>
                <w:sz w:val="24"/>
                <w:szCs w:val="24"/>
              </w:rPr>
            </w:pPr>
            <w:r w:rsidRPr="00113684">
              <w:rPr>
                <w:sz w:val="24"/>
                <w:szCs w:val="24"/>
              </w:rPr>
              <w:t>Ikke relevant</w:t>
            </w:r>
          </w:p>
        </w:tc>
        <w:tc>
          <w:tcPr>
            <w:tcW w:w="920" w:type="pct"/>
            <w:hideMark/>
          </w:tcPr>
          <w:p w:rsidR="00EC3969" w:rsidRPr="00113684" w:rsidRDefault="00EC3969" w:rsidP="00413D1B">
            <w:pPr>
              <w:rPr>
                <w:sz w:val="24"/>
                <w:szCs w:val="24"/>
              </w:rPr>
            </w:pPr>
            <w:r w:rsidRPr="00113684">
              <w:rPr>
                <w:sz w:val="24"/>
                <w:szCs w:val="24"/>
              </w:rPr>
              <w:t>35,6*</w:t>
            </w:r>
          </w:p>
        </w:tc>
      </w:tr>
      <w:tr w:rsidR="00EC3969" w:rsidRPr="00113684" w:rsidTr="00413D1B">
        <w:trPr>
          <w:trHeight w:val="120"/>
        </w:trPr>
        <w:tc>
          <w:tcPr>
            <w:tcW w:w="671" w:type="pct"/>
            <w:vMerge/>
            <w:vAlign w:val="center"/>
            <w:hideMark/>
          </w:tcPr>
          <w:p w:rsidR="00EC3969" w:rsidRPr="00113684" w:rsidRDefault="00EC3969" w:rsidP="00413D1B">
            <w:pPr>
              <w:rPr>
                <w:b/>
                <w:bCs/>
                <w:sz w:val="24"/>
                <w:szCs w:val="24"/>
              </w:rPr>
            </w:pPr>
          </w:p>
        </w:tc>
        <w:tc>
          <w:tcPr>
            <w:tcW w:w="820" w:type="pct"/>
            <w:hideMark/>
          </w:tcPr>
          <w:p w:rsidR="00EC3969" w:rsidRPr="00113684" w:rsidRDefault="00EC3969" w:rsidP="00413D1B">
            <w:pPr>
              <w:rPr>
                <w:b/>
                <w:bCs/>
                <w:sz w:val="24"/>
                <w:szCs w:val="24"/>
              </w:rPr>
            </w:pPr>
            <w:r w:rsidRPr="00113684">
              <w:rPr>
                <w:b/>
                <w:sz w:val="24"/>
                <w:szCs w:val="24"/>
              </w:rPr>
              <w:t>Vehikel</w:t>
            </w:r>
          </w:p>
        </w:tc>
        <w:tc>
          <w:tcPr>
            <w:tcW w:w="795" w:type="pct"/>
            <w:hideMark/>
          </w:tcPr>
          <w:p w:rsidR="00EC3969" w:rsidRPr="00113684" w:rsidRDefault="00EC3969" w:rsidP="00413D1B">
            <w:pPr>
              <w:rPr>
                <w:sz w:val="24"/>
                <w:szCs w:val="24"/>
              </w:rPr>
            </w:pPr>
            <w:r w:rsidRPr="00113684">
              <w:rPr>
                <w:sz w:val="24"/>
                <w:szCs w:val="24"/>
              </w:rPr>
              <w:t>14,6*</w:t>
            </w:r>
          </w:p>
        </w:tc>
        <w:tc>
          <w:tcPr>
            <w:tcW w:w="795" w:type="pct"/>
            <w:hideMark/>
          </w:tcPr>
          <w:p w:rsidR="00EC3969" w:rsidRPr="00113684" w:rsidRDefault="00EC3969" w:rsidP="00413D1B">
            <w:pPr>
              <w:rPr>
                <w:sz w:val="24"/>
                <w:szCs w:val="24"/>
              </w:rPr>
            </w:pPr>
            <w:r w:rsidRPr="00113684">
              <w:rPr>
                <w:sz w:val="24"/>
                <w:szCs w:val="24"/>
              </w:rPr>
              <w:t>14,6*</w:t>
            </w:r>
          </w:p>
        </w:tc>
        <w:tc>
          <w:tcPr>
            <w:tcW w:w="999" w:type="pct"/>
            <w:hideMark/>
          </w:tcPr>
          <w:p w:rsidR="00EC3969" w:rsidRPr="00113684" w:rsidRDefault="00EC3969" w:rsidP="00413D1B">
            <w:pPr>
              <w:rPr>
                <w:sz w:val="24"/>
                <w:szCs w:val="24"/>
              </w:rPr>
            </w:pPr>
            <w:r w:rsidRPr="00113684">
              <w:rPr>
                <w:sz w:val="24"/>
                <w:szCs w:val="24"/>
              </w:rPr>
              <w:t>Ikke relevant</w:t>
            </w:r>
          </w:p>
        </w:tc>
        <w:tc>
          <w:tcPr>
            <w:tcW w:w="920" w:type="pct"/>
            <w:hideMark/>
          </w:tcPr>
          <w:p w:rsidR="00EC3969" w:rsidRPr="00113684" w:rsidRDefault="00EC3969" w:rsidP="00413D1B">
            <w:pPr>
              <w:rPr>
                <w:sz w:val="24"/>
                <w:szCs w:val="24"/>
              </w:rPr>
            </w:pPr>
            <w:r w:rsidRPr="00113684">
              <w:rPr>
                <w:sz w:val="24"/>
                <w:szCs w:val="24"/>
              </w:rPr>
              <w:t>14,6*</w:t>
            </w:r>
          </w:p>
        </w:tc>
      </w:tr>
      <w:tr w:rsidR="00EC3969" w:rsidRPr="00113684" w:rsidTr="00413D1B">
        <w:trPr>
          <w:trHeight w:val="120"/>
        </w:trPr>
        <w:tc>
          <w:tcPr>
            <w:tcW w:w="5000" w:type="pct"/>
            <w:gridSpan w:val="6"/>
            <w:hideMark/>
          </w:tcPr>
          <w:p w:rsidR="00EC3969" w:rsidRPr="00113684" w:rsidRDefault="00EC3969" w:rsidP="00413D1B">
            <w:pPr>
              <w:rPr>
                <w:sz w:val="24"/>
                <w:szCs w:val="24"/>
              </w:rPr>
            </w:pPr>
            <w:r w:rsidRPr="00113684">
              <w:rPr>
                <w:sz w:val="24"/>
                <w:szCs w:val="24"/>
              </w:rPr>
              <w:t>p-værdier fra ranked ANOVA.</w:t>
            </w:r>
          </w:p>
          <w:p w:rsidR="00EC3969" w:rsidRPr="00113684" w:rsidRDefault="00EC3969" w:rsidP="00413D1B">
            <w:pPr>
              <w:rPr>
                <w:sz w:val="24"/>
                <w:szCs w:val="24"/>
              </w:rPr>
            </w:pPr>
            <w:r w:rsidRPr="00113684">
              <w:rPr>
                <w:sz w:val="24"/>
                <w:szCs w:val="24"/>
                <w:vertAlign w:val="superscript"/>
              </w:rPr>
              <w:t>1</w:t>
            </w:r>
            <w:r w:rsidRPr="00113684">
              <w:rPr>
                <w:sz w:val="24"/>
                <w:szCs w:val="24"/>
              </w:rPr>
              <w:t xml:space="preserve"> Med henblik på parvis sammenligning med tretinoin og vehikel blev data fra studierne 7001-G2HP-06-02 og 7001-G2HP-07-02 anvendt.</w:t>
            </w:r>
          </w:p>
          <w:p w:rsidR="00EC3969" w:rsidRPr="00113684" w:rsidRDefault="00EC3969" w:rsidP="00413D1B">
            <w:pPr>
              <w:rPr>
                <w:sz w:val="24"/>
                <w:szCs w:val="24"/>
              </w:rPr>
            </w:pPr>
            <w:r w:rsidRPr="00113684">
              <w:rPr>
                <w:sz w:val="24"/>
                <w:szCs w:val="24"/>
              </w:rPr>
              <w:t xml:space="preserve">* p </w:t>
            </w:r>
            <w:r w:rsidRPr="00113684">
              <w:rPr>
                <w:sz w:val="24"/>
                <w:szCs w:val="24"/>
              </w:rPr>
              <w:sym w:font="Symbol" w:char="00A3"/>
            </w:r>
            <w:r w:rsidRPr="00113684">
              <w:rPr>
                <w:sz w:val="24"/>
                <w:szCs w:val="24"/>
              </w:rPr>
              <w:t xml:space="preserve"> 0,05</w:t>
            </w:r>
          </w:p>
        </w:tc>
      </w:tr>
    </w:tbl>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lastRenderedPageBreak/>
        <w:tab/>
        <w:t>Selvom disse studier ikke havde tilstrækkelig styrke til analyse af undergrupperne, og selvom resultaterne ikke er så konsistente som for ændringer i antallet af læsioner, påviser de kombinationsproduktets superioritet.</w:t>
      </w:r>
    </w:p>
    <w:p w:rsidR="00EC3969" w:rsidRPr="00113684" w:rsidRDefault="00EC3969" w:rsidP="00EC3969">
      <w:pPr>
        <w:ind w:left="851" w:hanging="851"/>
        <w:rPr>
          <w:sz w:val="24"/>
          <w:szCs w:val="24"/>
        </w:rPr>
      </w:pPr>
    </w:p>
    <w:p w:rsidR="00EC3969" w:rsidRPr="00113684" w:rsidRDefault="00EC3969" w:rsidP="00EC3969">
      <w:pPr>
        <w:keepNext/>
        <w:ind w:left="851" w:hanging="851"/>
        <w:rPr>
          <w:b/>
          <w:sz w:val="24"/>
          <w:szCs w:val="24"/>
        </w:rPr>
      </w:pPr>
      <w:r w:rsidRPr="00113684">
        <w:rPr>
          <w:b/>
          <w:sz w:val="24"/>
          <w:szCs w:val="24"/>
        </w:rPr>
        <w:t>5.2</w:t>
      </w:r>
      <w:r w:rsidRPr="00113684">
        <w:rPr>
          <w:b/>
          <w:sz w:val="24"/>
          <w:szCs w:val="24"/>
        </w:rPr>
        <w:tab/>
        <w:t>Farmakokinetiske egenskaber</w:t>
      </w:r>
    </w:p>
    <w:p w:rsidR="00EC3969" w:rsidRPr="00113684" w:rsidRDefault="00EC3969" w:rsidP="00EC3969">
      <w:pPr>
        <w:ind w:left="851" w:hanging="851"/>
        <w:rPr>
          <w:sz w:val="24"/>
          <w:szCs w:val="24"/>
        </w:rPr>
      </w:pPr>
      <w:r w:rsidRPr="00113684">
        <w:rPr>
          <w:sz w:val="24"/>
          <w:szCs w:val="24"/>
        </w:rPr>
        <w:tab/>
        <w:t xml:space="preserve">I et åbent flerdosisstudie, hvor 12 forsøgspersoner med moderat til svær akne blev behandlet, var den perkutane absorption af tretinoin minimal efter applicering af cirka 4 g Acnatac </w:t>
      </w:r>
      <w:r w:rsidR="00413D1B" w:rsidRPr="00113684">
        <w:rPr>
          <w:sz w:val="24"/>
          <w:szCs w:val="24"/>
        </w:rPr>
        <w:t>en</w:t>
      </w:r>
      <w:r w:rsidRPr="00113684">
        <w:rPr>
          <w:sz w:val="24"/>
          <w:szCs w:val="24"/>
        </w:rPr>
        <w:t xml:space="preserve"> gang </w:t>
      </w:r>
      <w:r w:rsidR="00413D1B" w:rsidRPr="00113684">
        <w:rPr>
          <w:sz w:val="24"/>
          <w:szCs w:val="24"/>
        </w:rPr>
        <w:t>daglig</w:t>
      </w:r>
      <w:r w:rsidRPr="00113684">
        <w:rPr>
          <w:sz w:val="24"/>
          <w:szCs w:val="24"/>
        </w:rPr>
        <w:t xml:space="preserve"> i 14 dage i træk. Plasmakoncentrationerne af tretinoin var under den nedre kvantificeringsgrænse (LLOQ: 1 ng/ml) hos 50 % til 92 % af forsøgspersonerne på ethvert tidspunkt efter administration, og de var tæt på LLOQ hos de resterende forsøgspersoner med værdier fra 1,0 til 1,6 ng/ml. Plasmakoncentrationerne af de væsentligste tretinoin-metabolitter, 13-cis-retinoidsyre og 4-oxo-13-cis-retinoidsyre, var hhv. mellem 1,0 og 1,4 ng/ml og 1,6 til 6,5 ng/ml. Plasmakoncentrationerne af clindamycin oversteg generelt ikke 3,5 ng/ml med undtagelse af </w:t>
      </w:r>
      <w:r w:rsidR="00413D1B" w:rsidRPr="00113684">
        <w:rPr>
          <w:sz w:val="24"/>
          <w:szCs w:val="24"/>
        </w:rPr>
        <w:t>en</w:t>
      </w:r>
      <w:r w:rsidRPr="00113684">
        <w:rPr>
          <w:sz w:val="24"/>
          <w:szCs w:val="24"/>
        </w:rPr>
        <w:t xml:space="preserve"> forsøgsperson, hvis plasmakoncentration nåede op på 13,1 ng/ml.</w:t>
      </w:r>
    </w:p>
    <w:p w:rsidR="00EC3969" w:rsidRPr="00113684" w:rsidRDefault="00EC3969" w:rsidP="00EC3969">
      <w:pPr>
        <w:ind w:left="851" w:hanging="851"/>
        <w:rPr>
          <w:sz w:val="24"/>
          <w:szCs w:val="24"/>
        </w:rPr>
      </w:pPr>
    </w:p>
    <w:p w:rsidR="00EC3969" w:rsidRPr="00113684" w:rsidRDefault="00EC3969" w:rsidP="00EC3969">
      <w:pPr>
        <w:ind w:left="851"/>
        <w:rPr>
          <w:sz w:val="24"/>
          <w:szCs w:val="24"/>
          <w:u w:val="single"/>
        </w:rPr>
      </w:pPr>
      <w:r w:rsidRPr="00113684">
        <w:rPr>
          <w:sz w:val="24"/>
          <w:szCs w:val="24"/>
          <w:u w:val="single"/>
        </w:rPr>
        <w:t>Tretinoin</w:t>
      </w:r>
    </w:p>
    <w:p w:rsidR="00EC3969" w:rsidRPr="00113684" w:rsidRDefault="00EC3969" w:rsidP="00EC3969">
      <w:pPr>
        <w:ind w:left="851"/>
        <w:rPr>
          <w:sz w:val="24"/>
          <w:szCs w:val="24"/>
        </w:rPr>
      </w:pPr>
      <w:r w:rsidRPr="00113684">
        <w:rPr>
          <w:sz w:val="24"/>
          <w:szCs w:val="24"/>
        </w:rPr>
        <w:t xml:space="preserve">Tretinoin findes i kroppen som en metabolit af retinol, og det har en fremmende effekt på A-vitamin-aktiviteten. Det er blevet konkluderet i repræsentative velkontrollerede kliniske studier, at topikal administreret tretinoin ikke øger plasmakoncentrationen af all-trans-retinoidsyre (tretinoin). Efter en enkelt topikal påføring af radioaktivt mærket tretinoin, var koncentrationen af retinoidsyre i blodet uforandret fra 2-48 timer. Hverken enkeltdosis- eller langtidsbehandling med topikal tretinoin formuleringer ændrer de systemiske retinoidniveauer, der forbliver inden for kroppens naturlige endogene niveauer. </w:t>
      </w:r>
    </w:p>
    <w:p w:rsidR="00EC3969" w:rsidRPr="00113684" w:rsidRDefault="00EC3969" w:rsidP="00EC3969">
      <w:pPr>
        <w:ind w:left="851"/>
        <w:rPr>
          <w:sz w:val="24"/>
          <w:szCs w:val="24"/>
          <w:u w:val="single"/>
        </w:rPr>
      </w:pPr>
    </w:p>
    <w:p w:rsidR="00EC3969" w:rsidRPr="00113684" w:rsidRDefault="00EC3969" w:rsidP="00EC3969">
      <w:pPr>
        <w:ind w:left="851"/>
        <w:rPr>
          <w:sz w:val="24"/>
          <w:szCs w:val="24"/>
          <w:u w:val="single"/>
        </w:rPr>
      </w:pPr>
      <w:r w:rsidRPr="00113684">
        <w:rPr>
          <w:sz w:val="24"/>
          <w:szCs w:val="24"/>
          <w:u w:val="single"/>
        </w:rPr>
        <w:t>Clindamycin</w:t>
      </w:r>
    </w:p>
    <w:p w:rsidR="00EC3969" w:rsidRPr="00113684" w:rsidRDefault="00EC3969" w:rsidP="00EC3969">
      <w:pPr>
        <w:ind w:left="851"/>
        <w:rPr>
          <w:sz w:val="24"/>
          <w:szCs w:val="24"/>
        </w:rPr>
      </w:pPr>
      <w:r w:rsidRPr="00113684">
        <w:rPr>
          <w:sz w:val="24"/>
          <w:szCs w:val="24"/>
        </w:rPr>
        <w:t>Clindamycinphosphat omdannes i huden ved phosphatase til den mere potente form clindamycin. Omdannelse til clindamycin er derfor en vigtig determinant for antimikrobiel aktivitet i hudlagene efter topikal påføring af clindamycinphosphat.</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5.3</w:t>
      </w:r>
      <w:r w:rsidRPr="00113684">
        <w:rPr>
          <w:b/>
          <w:sz w:val="24"/>
          <w:szCs w:val="24"/>
        </w:rPr>
        <w:tab/>
      </w:r>
      <w:r w:rsidR="00E76822">
        <w:rPr>
          <w:b/>
          <w:sz w:val="24"/>
          <w:szCs w:val="24"/>
        </w:rPr>
        <w:t>Non-</w:t>
      </w:r>
      <w:r w:rsidRPr="00113684">
        <w:rPr>
          <w:b/>
          <w:sz w:val="24"/>
          <w:szCs w:val="24"/>
        </w:rPr>
        <w:t>kliniske sikkerhedsdata</w:t>
      </w:r>
    </w:p>
    <w:p w:rsidR="00EC3969" w:rsidRPr="00113684" w:rsidRDefault="00EC3969" w:rsidP="00EC3969">
      <w:pPr>
        <w:ind w:left="851" w:hanging="851"/>
        <w:rPr>
          <w:sz w:val="24"/>
          <w:szCs w:val="24"/>
        </w:rPr>
      </w:pPr>
      <w:r w:rsidRPr="00113684">
        <w:rPr>
          <w:sz w:val="24"/>
          <w:szCs w:val="24"/>
        </w:rPr>
        <w:tab/>
        <w:t xml:space="preserve">Følgende prækliniske studier af Acnatac, clindamycin og tretinoin understøtter sikkerheden af Acnatac. </w:t>
      </w:r>
    </w:p>
    <w:p w:rsidR="00EC3969" w:rsidRPr="00113684" w:rsidRDefault="00EC3969" w:rsidP="00EC3969">
      <w:pPr>
        <w:ind w:left="851" w:hanging="851"/>
        <w:rPr>
          <w:sz w:val="24"/>
          <w:szCs w:val="24"/>
        </w:rPr>
      </w:pPr>
    </w:p>
    <w:p w:rsidR="00EC3969" w:rsidRPr="00113684" w:rsidRDefault="00EC3969" w:rsidP="00EC3969">
      <w:pPr>
        <w:ind w:left="851"/>
        <w:rPr>
          <w:sz w:val="24"/>
          <w:szCs w:val="24"/>
          <w:u w:val="single"/>
        </w:rPr>
      </w:pPr>
      <w:r w:rsidRPr="00113684">
        <w:rPr>
          <w:sz w:val="24"/>
          <w:szCs w:val="24"/>
          <w:u w:val="single"/>
        </w:rPr>
        <w:t>Acnatac</w:t>
      </w:r>
    </w:p>
    <w:p w:rsidR="00EC3969" w:rsidRPr="00113684" w:rsidRDefault="00EC3969" w:rsidP="00EC3969">
      <w:pPr>
        <w:ind w:left="851"/>
        <w:rPr>
          <w:sz w:val="24"/>
          <w:szCs w:val="24"/>
        </w:rPr>
      </w:pPr>
      <w:r w:rsidRPr="00113684">
        <w:rPr>
          <w:sz w:val="24"/>
          <w:szCs w:val="24"/>
        </w:rPr>
        <w:t>I et 13-ugers dermalt toksicitetsstudie med gentagen dosering hos minigrise blev der ikke fundet nogen toksiske virkninger, bortset fra en mindre lokal irritation (erytem). Det blev påvist, at Acnatac gel ikke er en primær hud- eller øjenirritant i to studier vedrørende lokal tolerance hos kaniner, og det blev påvist, at gelen ikke gør huden hos hamstere mere følsom.</w:t>
      </w:r>
    </w:p>
    <w:p w:rsidR="00EC3969" w:rsidRPr="00113684" w:rsidRDefault="00EC3969" w:rsidP="00EC3969">
      <w:pPr>
        <w:ind w:left="851"/>
        <w:rPr>
          <w:sz w:val="24"/>
          <w:szCs w:val="24"/>
        </w:rPr>
      </w:pPr>
    </w:p>
    <w:p w:rsidR="00EC3969" w:rsidRPr="00113684" w:rsidRDefault="00EC3969" w:rsidP="00EC3969">
      <w:pPr>
        <w:ind w:left="851"/>
        <w:rPr>
          <w:sz w:val="24"/>
          <w:szCs w:val="24"/>
        </w:rPr>
      </w:pPr>
      <w:r w:rsidRPr="00113684">
        <w:rPr>
          <w:sz w:val="24"/>
          <w:szCs w:val="24"/>
        </w:rPr>
        <w:t xml:space="preserve">I et dermalt udviklingstoksicitetsstudie hos kaniner blev der ikke fundet reproduktionstoksicitet. </w:t>
      </w:r>
    </w:p>
    <w:p w:rsidR="00EC3969" w:rsidRPr="00113684" w:rsidRDefault="00EC3969" w:rsidP="00EC3969">
      <w:pPr>
        <w:ind w:left="851"/>
        <w:rPr>
          <w:b/>
          <w:i/>
          <w:sz w:val="24"/>
          <w:szCs w:val="24"/>
        </w:rPr>
      </w:pPr>
    </w:p>
    <w:p w:rsidR="00EC3969" w:rsidRPr="00113684" w:rsidRDefault="00EC3969" w:rsidP="00EC3969">
      <w:pPr>
        <w:ind w:left="851"/>
        <w:rPr>
          <w:sz w:val="24"/>
          <w:szCs w:val="24"/>
          <w:u w:val="single"/>
        </w:rPr>
      </w:pPr>
      <w:r w:rsidRPr="00113684">
        <w:rPr>
          <w:sz w:val="24"/>
          <w:szCs w:val="24"/>
          <w:u w:val="single"/>
        </w:rPr>
        <w:t>Clindamycin</w:t>
      </w:r>
    </w:p>
    <w:p w:rsidR="00EC3969" w:rsidRPr="00113684" w:rsidRDefault="00EC3969" w:rsidP="00EC3969">
      <w:pPr>
        <w:ind w:left="851"/>
        <w:rPr>
          <w:sz w:val="24"/>
          <w:szCs w:val="24"/>
        </w:rPr>
      </w:pPr>
      <w:r w:rsidRPr="00113684">
        <w:rPr>
          <w:sz w:val="24"/>
          <w:szCs w:val="24"/>
        </w:rPr>
        <w:t xml:space="preserve">Systemisk administreret clindamycin påvirker ikke fertilitet, formeringsevne, embryoudvikling eller postnatal udvikling. </w:t>
      </w:r>
      <w:r w:rsidRPr="00113684">
        <w:rPr>
          <w:i/>
          <w:sz w:val="24"/>
          <w:szCs w:val="24"/>
        </w:rPr>
        <w:t>In vitro</w:t>
      </w:r>
      <w:r w:rsidRPr="00113684">
        <w:rPr>
          <w:sz w:val="24"/>
          <w:szCs w:val="24"/>
        </w:rPr>
        <w:t xml:space="preserve">- og </w:t>
      </w:r>
      <w:r w:rsidRPr="00113684">
        <w:rPr>
          <w:i/>
          <w:sz w:val="24"/>
          <w:szCs w:val="24"/>
        </w:rPr>
        <w:t>in vivo</w:t>
      </w:r>
      <w:r w:rsidRPr="00113684">
        <w:rPr>
          <w:sz w:val="24"/>
          <w:szCs w:val="24"/>
        </w:rPr>
        <w:t xml:space="preserve">-studier viste intet mutagent potentiale for clindamycin. Clindamycin var ikke karcinogent hos mus i et 2-års dermalt studie med 1,2 % clindamycinphosphat og i et 2-års oralt studie hos rotter. </w:t>
      </w:r>
    </w:p>
    <w:p w:rsidR="00EC3969" w:rsidRDefault="00EC3969" w:rsidP="00EC3969">
      <w:pPr>
        <w:ind w:left="851"/>
        <w:rPr>
          <w:sz w:val="24"/>
          <w:szCs w:val="24"/>
        </w:rPr>
      </w:pPr>
    </w:p>
    <w:p w:rsidR="00E76822" w:rsidRPr="00113684" w:rsidRDefault="00E76822" w:rsidP="00EC3969">
      <w:pPr>
        <w:ind w:left="851"/>
        <w:rPr>
          <w:sz w:val="24"/>
          <w:szCs w:val="24"/>
        </w:rPr>
      </w:pPr>
    </w:p>
    <w:p w:rsidR="00EC3969" w:rsidRPr="00113684" w:rsidRDefault="00EC3969" w:rsidP="00EC3969">
      <w:pPr>
        <w:ind w:left="851"/>
        <w:rPr>
          <w:sz w:val="24"/>
          <w:szCs w:val="24"/>
          <w:u w:val="single"/>
        </w:rPr>
      </w:pPr>
      <w:r w:rsidRPr="00113684">
        <w:rPr>
          <w:sz w:val="24"/>
          <w:szCs w:val="24"/>
          <w:u w:val="single"/>
        </w:rPr>
        <w:lastRenderedPageBreak/>
        <w:t>Tretinoin</w:t>
      </w:r>
    </w:p>
    <w:p w:rsidR="00EC3969" w:rsidRPr="00113684" w:rsidRDefault="00EC3969" w:rsidP="00EC3969">
      <w:pPr>
        <w:ind w:left="851"/>
        <w:rPr>
          <w:sz w:val="24"/>
          <w:szCs w:val="24"/>
        </w:rPr>
      </w:pPr>
      <w:r w:rsidRPr="00113684">
        <w:rPr>
          <w:i/>
          <w:sz w:val="24"/>
          <w:szCs w:val="24"/>
        </w:rPr>
        <w:t>In vitro</w:t>
      </w:r>
      <w:r w:rsidRPr="00113684">
        <w:rPr>
          <w:sz w:val="24"/>
          <w:szCs w:val="24"/>
        </w:rPr>
        <w:t xml:space="preserve">- og </w:t>
      </w:r>
      <w:r w:rsidRPr="00113684">
        <w:rPr>
          <w:i/>
          <w:sz w:val="24"/>
          <w:szCs w:val="24"/>
        </w:rPr>
        <w:t>in vivo</w:t>
      </w:r>
      <w:r w:rsidRPr="00113684">
        <w:rPr>
          <w:sz w:val="24"/>
          <w:szCs w:val="24"/>
        </w:rPr>
        <w:t xml:space="preserve">-studier viste intet mutagent potentiale for tretinoin. Tretinoin var ikke karcinogent hos mus i et 2 års dermalt studie med 0,1 % tretinoin (en højere styrke end i Acnatac). Det systemiske karcinogene potentiale er ikke undersøgt. Oral administreret tretinoin har vist sig at være teratogent i rotter, mus, hamstere, kaniner, aber og mennesker.  Ligeledes påvirker der i høj grad fertilitet og peri-postnatal udvikling. I dyr var topikalt administreret tretinion ikke teratogent ved daglige doser højere end den anbefalede humane daglige dosis. </w:t>
      </w:r>
    </w:p>
    <w:p w:rsidR="00EC3969" w:rsidRPr="00113684" w:rsidRDefault="00EC3969" w:rsidP="00EC3969">
      <w:pPr>
        <w:ind w:left="851" w:hanging="851"/>
        <w:rPr>
          <w:sz w:val="24"/>
          <w:szCs w:val="24"/>
        </w:rPr>
      </w:pP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6.</w:t>
      </w:r>
      <w:r w:rsidRPr="00113684">
        <w:rPr>
          <w:b/>
          <w:sz w:val="24"/>
          <w:szCs w:val="24"/>
        </w:rPr>
        <w:tab/>
        <w:t>FARMACEUTISKE OPLYSNINGER</w:t>
      </w:r>
    </w:p>
    <w:p w:rsidR="00EC3969" w:rsidRPr="00113684" w:rsidRDefault="00EC3969" w:rsidP="00EC3969">
      <w:pPr>
        <w:ind w:left="851" w:hanging="851"/>
        <w:rPr>
          <w:b/>
          <w:sz w:val="24"/>
          <w:szCs w:val="24"/>
        </w:rPr>
      </w:pPr>
    </w:p>
    <w:p w:rsidR="00EC3969" w:rsidRPr="00113684" w:rsidRDefault="00EC3969" w:rsidP="00EC3969">
      <w:pPr>
        <w:ind w:left="851" w:hanging="851"/>
        <w:rPr>
          <w:b/>
          <w:sz w:val="24"/>
          <w:szCs w:val="24"/>
        </w:rPr>
      </w:pPr>
      <w:r w:rsidRPr="00113684">
        <w:rPr>
          <w:b/>
          <w:sz w:val="24"/>
          <w:szCs w:val="24"/>
        </w:rPr>
        <w:t>6.1</w:t>
      </w:r>
      <w:r w:rsidRPr="00113684">
        <w:rPr>
          <w:b/>
          <w:sz w:val="24"/>
          <w:szCs w:val="24"/>
        </w:rPr>
        <w:tab/>
        <w:t>Hjælpestoffer</w:t>
      </w:r>
    </w:p>
    <w:p w:rsidR="00EC3969" w:rsidRPr="00113684" w:rsidRDefault="00EC3969" w:rsidP="00EC3969">
      <w:pPr>
        <w:ind w:left="851"/>
        <w:rPr>
          <w:sz w:val="24"/>
          <w:szCs w:val="24"/>
        </w:rPr>
      </w:pPr>
      <w:r w:rsidRPr="00113684">
        <w:rPr>
          <w:sz w:val="24"/>
          <w:szCs w:val="24"/>
        </w:rPr>
        <w:t>Vand, renset</w:t>
      </w:r>
    </w:p>
    <w:p w:rsidR="00EC3969" w:rsidRPr="00113684" w:rsidRDefault="00EC3969" w:rsidP="00EC3969">
      <w:pPr>
        <w:ind w:left="851"/>
        <w:rPr>
          <w:sz w:val="24"/>
          <w:szCs w:val="24"/>
        </w:rPr>
      </w:pPr>
      <w:r w:rsidRPr="00113684">
        <w:rPr>
          <w:sz w:val="24"/>
          <w:szCs w:val="24"/>
        </w:rPr>
        <w:t>Glycerol</w:t>
      </w:r>
    </w:p>
    <w:p w:rsidR="00EC3969" w:rsidRPr="00113684" w:rsidRDefault="00EC3969" w:rsidP="00EC3969">
      <w:pPr>
        <w:ind w:left="851"/>
        <w:rPr>
          <w:sz w:val="24"/>
          <w:szCs w:val="24"/>
        </w:rPr>
      </w:pPr>
      <w:r w:rsidRPr="00113684">
        <w:rPr>
          <w:sz w:val="24"/>
          <w:szCs w:val="24"/>
        </w:rPr>
        <w:t xml:space="preserve">Carbomere </w:t>
      </w:r>
    </w:p>
    <w:p w:rsidR="00EC3969" w:rsidRPr="00113684" w:rsidRDefault="00EC3969" w:rsidP="00EC3969">
      <w:pPr>
        <w:ind w:left="851"/>
        <w:rPr>
          <w:sz w:val="24"/>
          <w:szCs w:val="24"/>
        </w:rPr>
      </w:pPr>
      <w:r w:rsidRPr="00113684">
        <w:rPr>
          <w:sz w:val="24"/>
          <w:szCs w:val="24"/>
        </w:rPr>
        <w:t>Methylparahydroxybenzoat (E218)</w:t>
      </w:r>
    </w:p>
    <w:p w:rsidR="00EC3969" w:rsidRPr="00113684" w:rsidRDefault="00EC3969" w:rsidP="00EC3969">
      <w:pPr>
        <w:ind w:left="851"/>
        <w:rPr>
          <w:sz w:val="24"/>
          <w:szCs w:val="24"/>
        </w:rPr>
      </w:pPr>
      <w:r w:rsidRPr="00113684">
        <w:rPr>
          <w:sz w:val="24"/>
          <w:szCs w:val="24"/>
        </w:rPr>
        <w:t>Propylparahydroxybenzoat (E216)</w:t>
      </w:r>
    </w:p>
    <w:p w:rsidR="00EC3969" w:rsidRPr="00113684" w:rsidRDefault="00EC3969" w:rsidP="00EC3969">
      <w:pPr>
        <w:ind w:left="851"/>
        <w:rPr>
          <w:sz w:val="24"/>
          <w:szCs w:val="24"/>
        </w:rPr>
      </w:pPr>
      <w:r w:rsidRPr="00113684">
        <w:rPr>
          <w:sz w:val="24"/>
          <w:szCs w:val="24"/>
        </w:rPr>
        <w:t>Polysorbat 80</w:t>
      </w:r>
    </w:p>
    <w:p w:rsidR="00EC3969" w:rsidRPr="00113684" w:rsidRDefault="00EC3969" w:rsidP="00EC3969">
      <w:pPr>
        <w:ind w:left="851"/>
        <w:rPr>
          <w:sz w:val="24"/>
          <w:szCs w:val="24"/>
        </w:rPr>
      </w:pPr>
      <w:r w:rsidRPr="00113684">
        <w:rPr>
          <w:sz w:val="24"/>
          <w:szCs w:val="24"/>
        </w:rPr>
        <w:t>Dinatriumedetat</w:t>
      </w:r>
    </w:p>
    <w:p w:rsidR="00EC3969" w:rsidRPr="00113684" w:rsidRDefault="00EC3969" w:rsidP="00EC3969">
      <w:pPr>
        <w:ind w:left="851"/>
        <w:rPr>
          <w:sz w:val="24"/>
          <w:szCs w:val="24"/>
        </w:rPr>
      </w:pPr>
      <w:r w:rsidRPr="00113684">
        <w:rPr>
          <w:sz w:val="24"/>
          <w:szCs w:val="24"/>
        </w:rPr>
        <w:t>Citronsyre, vandfri</w:t>
      </w:r>
    </w:p>
    <w:p w:rsidR="00EC3969" w:rsidRPr="00113684" w:rsidRDefault="00EC3969" w:rsidP="00EC3969">
      <w:pPr>
        <w:ind w:left="851"/>
        <w:rPr>
          <w:sz w:val="24"/>
          <w:szCs w:val="24"/>
        </w:rPr>
      </w:pPr>
      <w:r w:rsidRPr="00113684">
        <w:rPr>
          <w:sz w:val="24"/>
          <w:szCs w:val="24"/>
        </w:rPr>
        <w:t>Butylhydroxytoluen (E321)</w:t>
      </w:r>
    </w:p>
    <w:p w:rsidR="00EC3969" w:rsidRPr="00113684" w:rsidRDefault="00EC3969" w:rsidP="00EC3969">
      <w:pPr>
        <w:ind w:left="851"/>
        <w:rPr>
          <w:sz w:val="24"/>
          <w:szCs w:val="24"/>
        </w:rPr>
      </w:pPr>
      <w:r w:rsidRPr="00113684">
        <w:rPr>
          <w:sz w:val="24"/>
          <w:szCs w:val="24"/>
        </w:rPr>
        <w:t>Trometamol</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6.2</w:t>
      </w:r>
      <w:r w:rsidRPr="00113684">
        <w:rPr>
          <w:b/>
          <w:sz w:val="24"/>
          <w:szCs w:val="24"/>
        </w:rPr>
        <w:tab/>
        <w:t>Uforligeligheder</w:t>
      </w:r>
    </w:p>
    <w:p w:rsidR="00EC3969" w:rsidRPr="00113684" w:rsidRDefault="00EC3969" w:rsidP="00EC3969">
      <w:pPr>
        <w:ind w:left="851" w:hanging="851"/>
        <w:rPr>
          <w:sz w:val="24"/>
          <w:szCs w:val="24"/>
        </w:rPr>
      </w:pPr>
      <w:r w:rsidRPr="00113684">
        <w:rPr>
          <w:sz w:val="24"/>
          <w:szCs w:val="24"/>
        </w:rPr>
        <w:tab/>
        <w:t xml:space="preserve">Ikke relevant. </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6.3</w:t>
      </w:r>
      <w:r w:rsidRPr="00113684">
        <w:rPr>
          <w:b/>
          <w:sz w:val="24"/>
          <w:szCs w:val="24"/>
        </w:rPr>
        <w:tab/>
        <w:t>Opbevaringstid</w:t>
      </w:r>
    </w:p>
    <w:p w:rsidR="00EC3969" w:rsidRDefault="00EC3969" w:rsidP="00EC3969">
      <w:pPr>
        <w:ind w:left="851" w:hanging="851"/>
        <w:rPr>
          <w:sz w:val="24"/>
          <w:szCs w:val="24"/>
        </w:rPr>
      </w:pPr>
      <w:r w:rsidRPr="00113684">
        <w:rPr>
          <w:sz w:val="24"/>
          <w:szCs w:val="24"/>
        </w:rPr>
        <w:tab/>
        <w:t>18 måneder.</w:t>
      </w:r>
    </w:p>
    <w:p w:rsidR="00511F60" w:rsidRPr="00113684" w:rsidRDefault="00511F60" w:rsidP="00EC3969">
      <w:pPr>
        <w:ind w:left="851" w:hanging="851"/>
        <w:rPr>
          <w:sz w:val="24"/>
          <w:szCs w:val="24"/>
        </w:rPr>
      </w:pPr>
    </w:p>
    <w:p w:rsidR="00EC3969" w:rsidRPr="00113684" w:rsidRDefault="00EC3969" w:rsidP="00EC3969">
      <w:pPr>
        <w:ind w:left="851" w:hanging="851"/>
        <w:rPr>
          <w:sz w:val="24"/>
          <w:szCs w:val="24"/>
        </w:rPr>
      </w:pPr>
      <w:r w:rsidRPr="00113684">
        <w:rPr>
          <w:sz w:val="24"/>
          <w:szCs w:val="24"/>
        </w:rPr>
        <w:tab/>
        <w:t>Efter anbrud: 3 måneder.</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6.4</w:t>
      </w:r>
      <w:r w:rsidRPr="00113684">
        <w:rPr>
          <w:b/>
          <w:sz w:val="24"/>
          <w:szCs w:val="24"/>
        </w:rPr>
        <w:tab/>
        <w:t>Særlige opbevaringsforhold</w:t>
      </w:r>
    </w:p>
    <w:p w:rsidR="00A1487B" w:rsidRDefault="00EC3969" w:rsidP="00A1487B">
      <w:pPr>
        <w:ind w:left="851"/>
        <w:rPr>
          <w:sz w:val="24"/>
          <w:szCs w:val="24"/>
        </w:rPr>
      </w:pPr>
      <w:r w:rsidRPr="00113684">
        <w:rPr>
          <w:sz w:val="24"/>
          <w:szCs w:val="24"/>
        </w:rPr>
        <w:t>Må ikke opbevares ved temperaturer over 25</w:t>
      </w:r>
      <w:r w:rsidR="00A1487B">
        <w:rPr>
          <w:sz w:val="24"/>
          <w:szCs w:val="24"/>
        </w:rPr>
        <w:t xml:space="preserve"> </w:t>
      </w:r>
      <w:r w:rsidRPr="00113684">
        <w:rPr>
          <w:sz w:val="24"/>
          <w:szCs w:val="24"/>
        </w:rPr>
        <w:sym w:font="Symbol" w:char="00B0"/>
      </w:r>
      <w:r w:rsidRPr="00113684">
        <w:rPr>
          <w:sz w:val="24"/>
          <w:szCs w:val="24"/>
        </w:rPr>
        <w:t>C.</w:t>
      </w:r>
    </w:p>
    <w:p w:rsidR="00EC3969" w:rsidRPr="00113684" w:rsidRDefault="00EC3969" w:rsidP="00A1487B">
      <w:pPr>
        <w:ind w:left="851"/>
        <w:rPr>
          <w:sz w:val="24"/>
          <w:szCs w:val="24"/>
        </w:rPr>
      </w:pPr>
      <w:r w:rsidRPr="00113684">
        <w:rPr>
          <w:sz w:val="24"/>
          <w:szCs w:val="24"/>
        </w:rPr>
        <w:t>Må ikke nedfryses.</w:t>
      </w:r>
    </w:p>
    <w:p w:rsidR="00EC3969" w:rsidRPr="00113684" w:rsidRDefault="00EC3969" w:rsidP="00A1487B">
      <w:pPr>
        <w:ind w:left="851"/>
        <w:rPr>
          <w:sz w:val="24"/>
          <w:szCs w:val="24"/>
        </w:rPr>
      </w:pPr>
      <w:r w:rsidRPr="00113684">
        <w:rPr>
          <w:sz w:val="24"/>
          <w:szCs w:val="24"/>
        </w:rPr>
        <w:t xml:space="preserve">Hold tuben tæt lukket. </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6.5</w:t>
      </w:r>
      <w:r w:rsidRPr="00113684">
        <w:rPr>
          <w:b/>
          <w:sz w:val="24"/>
          <w:szCs w:val="24"/>
        </w:rPr>
        <w:tab/>
        <w:t>Emballagetype og pakningsstørrelser</w:t>
      </w:r>
    </w:p>
    <w:p w:rsidR="00A1487B" w:rsidRDefault="00A1487B" w:rsidP="00E76822">
      <w:pPr>
        <w:ind w:left="851"/>
        <w:rPr>
          <w:sz w:val="24"/>
          <w:szCs w:val="24"/>
        </w:rPr>
      </w:pPr>
      <w:r>
        <w:rPr>
          <w:sz w:val="24"/>
          <w:szCs w:val="24"/>
        </w:rPr>
        <w:t>A</w:t>
      </w:r>
      <w:r w:rsidRPr="00113684">
        <w:rPr>
          <w:sz w:val="24"/>
          <w:szCs w:val="24"/>
        </w:rPr>
        <w:t>luminiumstube</w:t>
      </w:r>
      <w:r w:rsidR="00C23C1E">
        <w:rPr>
          <w:sz w:val="24"/>
          <w:szCs w:val="24"/>
        </w:rPr>
        <w:t>.</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6.6</w:t>
      </w:r>
      <w:r w:rsidRPr="00113684">
        <w:rPr>
          <w:b/>
          <w:sz w:val="24"/>
          <w:szCs w:val="24"/>
        </w:rPr>
        <w:tab/>
        <w:t xml:space="preserve">Regler for </w:t>
      </w:r>
      <w:r w:rsidR="00E76822">
        <w:rPr>
          <w:b/>
          <w:sz w:val="24"/>
          <w:szCs w:val="24"/>
        </w:rPr>
        <w:t>bortskaffelse</w:t>
      </w:r>
      <w:r w:rsidRPr="00113684">
        <w:rPr>
          <w:b/>
          <w:sz w:val="24"/>
          <w:szCs w:val="24"/>
        </w:rPr>
        <w:t xml:space="preserve"> og anden håndtering</w:t>
      </w:r>
    </w:p>
    <w:p w:rsidR="00EC3969" w:rsidRPr="00113684" w:rsidRDefault="00EC3969" w:rsidP="00EC3969">
      <w:pPr>
        <w:ind w:left="851" w:hanging="851"/>
        <w:rPr>
          <w:sz w:val="24"/>
          <w:szCs w:val="24"/>
        </w:rPr>
      </w:pPr>
      <w:r w:rsidRPr="00113684">
        <w:rPr>
          <w:sz w:val="24"/>
          <w:szCs w:val="24"/>
        </w:rPr>
        <w:tab/>
        <w:t xml:space="preserve">Ingen særlige forholdsregler. </w:t>
      </w:r>
    </w:p>
    <w:p w:rsidR="00EC3969" w:rsidRPr="00113684" w:rsidRDefault="00EC3969" w:rsidP="00EC3969">
      <w:pPr>
        <w:ind w:left="851" w:hanging="851"/>
        <w:jc w:val="both"/>
        <w:rPr>
          <w:sz w:val="24"/>
          <w:szCs w:val="24"/>
        </w:rPr>
      </w:pPr>
    </w:p>
    <w:p w:rsidR="00EC3969" w:rsidRPr="00113684" w:rsidRDefault="00EC3969" w:rsidP="00EC3969">
      <w:pPr>
        <w:ind w:left="851" w:hanging="851"/>
        <w:rPr>
          <w:b/>
          <w:sz w:val="24"/>
          <w:szCs w:val="24"/>
        </w:rPr>
      </w:pPr>
      <w:r w:rsidRPr="00113684">
        <w:rPr>
          <w:b/>
          <w:sz w:val="24"/>
          <w:szCs w:val="24"/>
        </w:rPr>
        <w:t>7.</w:t>
      </w:r>
      <w:r w:rsidRPr="00113684">
        <w:rPr>
          <w:b/>
          <w:sz w:val="24"/>
          <w:szCs w:val="24"/>
        </w:rPr>
        <w:tab/>
        <w:t>INDEHAVER AF MARKEDSFØRINGSTILLADELSEN</w:t>
      </w:r>
    </w:p>
    <w:p w:rsidR="00C23C1E" w:rsidRPr="00152809" w:rsidRDefault="00C23C1E" w:rsidP="00C23C1E">
      <w:pPr>
        <w:tabs>
          <w:tab w:val="left" w:pos="709"/>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Paranova Danmark A/S</w:t>
      </w:r>
    </w:p>
    <w:p w:rsidR="00E76822" w:rsidRDefault="00E76822" w:rsidP="00E76822">
      <w:pPr>
        <w:ind w:firstLine="851"/>
        <w:jc w:val="both"/>
        <w:rPr>
          <w:spacing w:val="-2"/>
          <w:sz w:val="24"/>
          <w:szCs w:val="24"/>
        </w:rPr>
      </w:pPr>
      <w:r>
        <w:rPr>
          <w:spacing w:val="-2"/>
          <w:sz w:val="24"/>
          <w:szCs w:val="24"/>
        </w:rPr>
        <w:t>Stationsalleen 42, 1. sal</w:t>
      </w:r>
    </w:p>
    <w:p w:rsidR="00C23C1E" w:rsidRPr="00152809" w:rsidRDefault="00C23C1E" w:rsidP="00C23C1E">
      <w:pPr>
        <w:tabs>
          <w:tab w:val="left" w:pos="709"/>
          <w:tab w:val="left" w:pos="851"/>
          <w:tab w:val="left" w:pos="1701"/>
          <w:tab w:val="left" w:pos="2552"/>
          <w:tab w:val="left" w:pos="3403"/>
          <w:tab w:val="left" w:pos="4254"/>
          <w:tab w:val="left" w:pos="5105"/>
          <w:tab w:val="left" w:pos="5955"/>
          <w:tab w:val="left" w:pos="6806"/>
          <w:tab w:val="left" w:pos="7657"/>
          <w:tab w:val="left" w:pos="8508"/>
        </w:tabs>
        <w:ind w:left="851"/>
        <w:jc w:val="both"/>
        <w:rPr>
          <w:spacing w:val="-2"/>
          <w:sz w:val="24"/>
          <w:szCs w:val="24"/>
        </w:rPr>
      </w:pPr>
      <w:r w:rsidRPr="00152809">
        <w:rPr>
          <w:spacing w:val="-2"/>
          <w:sz w:val="24"/>
          <w:szCs w:val="24"/>
        </w:rPr>
        <w:t>2730 Herlev</w:t>
      </w:r>
    </w:p>
    <w:p w:rsidR="00EC3969" w:rsidRPr="00113684" w:rsidRDefault="00EC3969" w:rsidP="00C23C1E">
      <w:pPr>
        <w:tabs>
          <w:tab w:val="left" w:pos="0"/>
          <w:tab w:val="left" w:pos="851"/>
        </w:tabs>
        <w:ind w:left="850" w:hanging="850"/>
        <w:jc w:val="both"/>
        <w:rPr>
          <w:sz w:val="24"/>
          <w:szCs w:val="24"/>
        </w:rPr>
      </w:pPr>
    </w:p>
    <w:p w:rsidR="00EC3969" w:rsidRPr="00113684" w:rsidRDefault="00EC3969" w:rsidP="00EC3969">
      <w:pPr>
        <w:ind w:left="851" w:hanging="851"/>
        <w:rPr>
          <w:b/>
          <w:sz w:val="24"/>
          <w:szCs w:val="24"/>
        </w:rPr>
      </w:pPr>
      <w:r w:rsidRPr="00113684">
        <w:rPr>
          <w:b/>
          <w:sz w:val="24"/>
          <w:szCs w:val="24"/>
        </w:rPr>
        <w:t>8.</w:t>
      </w:r>
      <w:r w:rsidRPr="00113684">
        <w:rPr>
          <w:b/>
          <w:sz w:val="24"/>
          <w:szCs w:val="24"/>
        </w:rPr>
        <w:tab/>
        <w:t>MARKEDSFØRINGSTILLADELSESNUMMER (</w:t>
      </w:r>
      <w:r w:rsidR="00E76822">
        <w:rPr>
          <w:b/>
          <w:sz w:val="24"/>
          <w:szCs w:val="24"/>
        </w:rPr>
        <w:t>-</w:t>
      </w:r>
      <w:r w:rsidRPr="00113684">
        <w:rPr>
          <w:b/>
          <w:sz w:val="24"/>
          <w:szCs w:val="24"/>
        </w:rPr>
        <w:t>NUMRE)</w:t>
      </w:r>
    </w:p>
    <w:p w:rsidR="00EC3969" w:rsidRPr="00113684" w:rsidRDefault="00EC3969" w:rsidP="00EC3969">
      <w:pPr>
        <w:ind w:left="851" w:hanging="851"/>
        <w:rPr>
          <w:sz w:val="24"/>
          <w:szCs w:val="24"/>
        </w:rPr>
      </w:pPr>
      <w:r w:rsidRPr="00113684">
        <w:rPr>
          <w:sz w:val="24"/>
          <w:szCs w:val="24"/>
        </w:rPr>
        <w:tab/>
      </w:r>
      <w:r w:rsidR="00C23C1E">
        <w:rPr>
          <w:sz w:val="24"/>
          <w:szCs w:val="24"/>
        </w:rPr>
        <w:t>69496</w:t>
      </w:r>
    </w:p>
    <w:p w:rsidR="00EC3969" w:rsidRPr="00113684" w:rsidRDefault="00EC3969" w:rsidP="00EC3969">
      <w:pPr>
        <w:ind w:left="851" w:hanging="851"/>
        <w:jc w:val="both"/>
        <w:rPr>
          <w:sz w:val="24"/>
          <w:szCs w:val="24"/>
        </w:rPr>
      </w:pPr>
    </w:p>
    <w:p w:rsidR="00EC3969" w:rsidRPr="00113684" w:rsidRDefault="00EC3969" w:rsidP="00EC3969">
      <w:pPr>
        <w:ind w:left="851" w:hanging="851"/>
        <w:rPr>
          <w:b/>
          <w:sz w:val="24"/>
          <w:szCs w:val="24"/>
        </w:rPr>
      </w:pPr>
      <w:r w:rsidRPr="00113684">
        <w:rPr>
          <w:b/>
          <w:sz w:val="24"/>
          <w:szCs w:val="24"/>
        </w:rPr>
        <w:lastRenderedPageBreak/>
        <w:t>9.</w:t>
      </w:r>
      <w:r w:rsidRPr="00113684">
        <w:rPr>
          <w:b/>
          <w:sz w:val="24"/>
          <w:szCs w:val="24"/>
        </w:rPr>
        <w:tab/>
        <w:t>DATO FOR FØRSTE MARKEDSFØRINGSTILLADELSE</w:t>
      </w:r>
    </w:p>
    <w:p w:rsidR="00EC3969" w:rsidRPr="00113684" w:rsidRDefault="00EC3969" w:rsidP="00EC3969">
      <w:pPr>
        <w:ind w:left="851" w:hanging="851"/>
        <w:rPr>
          <w:sz w:val="24"/>
          <w:szCs w:val="24"/>
        </w:rPr>
      </w:pPr>
      <w:r w:rsidRPr="00113684">
        <w:rPr>
          <w:sz w:val="24"/>
          <w:szCs w:val="24"/>
        </w:rPr>
        <w:tab/>
      </w:r>
      <w:r w:rsidR="00C23C1E">
        <w:rPr>
          <w:sz w:val="24"/>
          <w:szCs w:val="24"/>
        </w:rPr>
        <w:t>1</w:t>
      </w:r>
      <w:r w:rsidR="00561AAF">
        <w:rPr>
          <w:sz w:val="24"/>
          <w:szCs w:val="24"/>
        </w:rPr>
        <w:t>2</w:t>
      </w:r>
      <w:r w:rsidR="00C23C1E">
        <w:rPr>
          <w:sz w:val="24"/>
          <w:szCs w:val="24"/>
        </w:rPr>
        <w:t>. maj 2023</w:t>
      </w:r>
    </w:p>
    <w:p w:rsidR="00EC3969" w:rsidRPr="00113684" w:rsidRDefault="00EC3969" w:rsidP="00EC3969">
      <w:pPr>
        <w:ind w:left="851" w:hanging="851"/>
        <w:rPr>
          <w:sz w:val="24"/>
          <w:szCs w:val="24"/>
        </w:rPr>
      </w:pPr>
    </w:p>
    <w:p w:rsidR="00EC3969" w:rsidRPr="00113684" w:rsidRDefault="00EC3969" w:rsidP="00EC3969">
      <w:pPr>
        <w:ind w:left="851" w:hanging="851"/>
        <w:rPr>
          <w:b/>
          <w:sz w:val="24"/>
          <w:szCs w:val="24"/>
        </w:rPr>
      </w:pPr>
      <w:r w:rsidRPr="00113684">
        <w:rPr>
          <w:b/>
          <w:sz w:val="24"/>
          <w:szCs w:val="24"/>
        </w:rPr>
        <w:t>10.</w:t>
      </w:r>
      <w:r w:rsidRPr="00113684">
        <w:rPr>
          <w:b/>
          <w:sz w:val="24"/>
          <w:szCs w:val="24"/>
        </w:rPr>
        <w:tab/>
        <w:t>DATO FOR ÆNDRING AF TEKSTEN</w:t>
      </w:r>
    </w:p>
    <w:p w:rsidR="00EC3969" w:rsidRPr="00113684" w:rsidRDefault="00EC3969" w:rsidP="00EC3969">
      <w:pPr>
        <w:ind w:left="851" w:hanging="851"/>
        <w:rPr>
          <w:sz w:val="24"/>
          <w:szCs w:val="24"/>
        </w:rPr>
      </w:pPr>
      <w:r w:rsidRPr="00113684">
        <w:rPr>
          <w:sz w:val="24"/>
          <w:szCs w:val="24"/>
        </w:rPr>
        <w:tab/>
      </w:r>
      <w:r w:rsidR="00E76822">
        <w:rPr>
          <w:sz w:val="24"/>
          <w:szCs w:val="24"/>
        </w:rPr>
        <w:t>5. marts 2024</w:t>
      </w:r>
    </w:p>
    <w:sectPr w:rsidR="00EC3969" w:rsidRPr="00113684"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D1B" w:rsidRDefault="00413D1B">
      <w:r>
        <w:separator/>
      </w:r>
    </w:p>
  </w:endnote>
  <w:endnote w:type="continuationSeparator" w:id="0">
    <w:p w:rsidR="00413D1B" w:rsidRDefault="0041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D1B" w:rsidRDefault="00413D1B">
    <w:pPr>
      <w:pStyle w:val="Sidefod"/>
      <w:pBdr>
        <w:bottom w:val="single" w:sz="6" w:space="1" w:color="auto"/>
      </w:pBdr>
    </w:pPr>
  </w:p>
  <w:p w:rsidR="00413D1B" w:rsidRDefault="00413D1B" w:rsidP="00C42586">
    <w:pPr>
      <w:pStyle w:val="Sidefod"/>
      <w:tabs>
        <w:tab w:val="clear" w:pos="4819"/>
        <w:tab w:val="left" w:pos="8505"/>
      </w:tabs>
      <w:rPr>
        <w:i/>
        <w:sz w:val="18"/>
        <w:szCs w:val="18"/>
      </w:rPr>
    </w:pPr>
  </w:p>
  <w:p w:rsidR="00413D1B" w:rsidRPr="00B373D7" w:rsidRDefault="00413D1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C23C1E">
      <w:rPr>
        <w:i/>
        <w:noProof/>
        <w:sz w:val="18"/>
        <w:szCs w:val="18"/>
      </w:rPr>
      <w:t>Acnatac (Paranova), gel 10 mg-g+0,25 mg-g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D1B" w:rsidRDefault="00413D1B">
      <w:r>
        <w:separator/>
      </w:r>
    </w:p>
  </w:footnote>
  <w:footnote w:type="continuationSeparator" w:id="0">
    <w:p w:rsidR="00413D1B" w:rsidRDefault="00413D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D60B45"/>
    <w:multiLevelType w:val="hybridMultilevel"/>
    <w:tmpl w:val="34B220F4"/>
    <w:lvl w:ilvl="0" w:tplc="E9C4A778">
      <w:start w:val="4"/>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2" w15:restartNumberingAfterBreak="0">
    <w:nsid w:val="2D512E15"/>
    <w:multiLevelType w:val="hybridMultilevel"/>
    <w:tmpl w:val="385EF7E8"/>
    <w:lvl w:ilvl="0" w:tplc="0406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35"/>
        </w:tabs>
        <w:ind w:left="1035" w:hanging="360"/>
      </w:pPr>
      <w:rPr>
        <w:rFonts w:ascii="Courier New" w:hAnsi="Courier New" w:cs="Times New Roman" w:hint="default"/>
      </w:rPr>
    </w:lvl>
    <w:lvl w:ilvl="2" w:tplc="FFFFFFFF">
      <w:start w:val="1"/>
      <w:numFmt w:val="bullet"/>
      <w:lvlText w:val=""/>
      <w:lvlJc w:val="left"/>
      <w:pPr>
        <w:tabs>
          <w:tab w:val="num" w:pos="1755"/>
        </w:tabs>
        <w:ind w:left="1755" w:hanging="360"/>
      </w:pPr>
      <w:rPr>
        <w:rFonts w:ascii="Wingdings" w:hAnsi="Wingdings" w:hint="default"/>
      </w:rPr>
    </w:lvl>
    <w:lvl w:ilvl="3" w:tplc="FFFFFFFF">
      <w:start w:val="1"/>
      <w:numFmt w:val="bullet"/>
      <w:lvlText w:val=""/>
      <w:lvlJc w:val="left"/>
      <w:pPr>
        <w:tabs>
          <w:tab w:val="num" w:pos="2475"/>
        </w:tabs>
        <w:ind w:left="2475" w:hanging="360"/>
      </w:pPr>
      <w:rPr>
        <w:rFonts w:ascii="Symbol" w:hAnsi="Symbol" w:hint="default"/>
      </w:rPr>
    </w:lvl>
    <w:lvl w:ilvl="4" w:tplc="FFFFFFFF">
      <w:start w:val="1"/>
      <w:numFmt w:val="bullet"/>
      <w:lvlText w:val="o"/>
      <w:lvlJc w:val="left"/>
      <w:pPr>
        <w:tabs>
          <w:tab w:val="num" w:pos="3195"/>
        </w:tabs>
        <w:ind w:left="3195" w:hanging="360"/>
      </w:pPr>
      <w:rPr>
        <w:rFonts w:ascii="Courier New" w:hAnsi="Courier New" w:cs="Times New Roman" w:hint="default"/>
      </w:rPr>
    </w:lvl>
    <w:lvl w:ilvl="5" w:tplc="FFFFFFFF">
      <w:start w:val="1"/>
      <w:numFmt w:val="bullet"/>
      <w:lvlText w:val=""/>
      <w:lvlJc w:val="left"/>
      <w:pPr>
        <w:tabs>
          <w:tab w:val="num" w:pos="3915"/>
        </w:tabs>
        <w:ind w:left="3915" w:hanging="360"/>
      </w:pPr>
      <w:rPr>
        <w:rFonts w:ascii="Wingdings" w:hAnsi="Wingdings" w:hint="default"/>
      </w:rPr>
    </w:lvl>
    <w:lvl w:ilvl="6" w:tplc="FFFFFFFF">
      <w:start w:val="1"/>
      <w:numFmt w:val="bullet"/>
      <w:lvlText w:val=""/>
      <w:lvlJc w:val="left"/>
      <w:pPr>
        <w:tabs>
          <w:tab w:val="num" w:pos="4635"/>
        </w:tabs>
        <w:ind w:left="4635" w:hanging="360"/>
      </w:pPr>
      <w:rPr>
        <w:rFonts w:ascii="Symbol" w:hAnsi="Symbol" w:hint="default"/>
      </w:rPr>
    </w:lvl>
    <w:lvl w:ilvl="7" w:tplc="FFFFFFFF">
      <w:start w:val="1"/>
      <w:numFmt w:val="bullet"/>
      <w:lvlText w:val="o"/>
      <w:lvlJc w:val="left"/>
      <w:pPr>
        <w:tabs>
          <w:tab w:val="num" w:pos="5355"/>
        </w:tabs>
        <w:ind w:left="5355" w:hanging="360"/>
      </w:pPr>
      <w:rPr>
        <w:rFonts w:ascii="Courier New" w:hAnsi="Courier New" w:cs="Times New Roman" w:hint="default"/>
      </w:rPr>
    </w:lvl>
    <w:lvl w:ilvl="8" w:tplc="FFFFFFFF">
      <w:start w:val="1"/>
      <w:numFmt w:val="bullet"/>
      <w:lvlText w:val=""/>
      <w:lvlJc w:val="left"/>
      <w:pPr>
        <w:tabs>
          <w:tab w:val="num" w:pos="6075"/>
        </w:tabs>
        <w:ind w:left="6075"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69"/>
    <w:rsid w:val="000259B9"/>
    <w:rsid w:val="00041491"/>
    <w:rsid w:val="00050D16"/>
    <w:rsid w:val="00074F2A"/>
    <w:rsid w:val="000A1CA8"/>
    <w:rsid w:val="000A466B"/>
    <w:rsid w:val="000B058C"/>
    <w:rsid w:val="000E4EE6"/>
    <w:rsid w:val="001061B3"/>
    <w:rsid w:val="00113684"/>
    <w:rsid w:val="001454E2"/>
    <w:rsid w:val="00206CE8"/>
    <w:rsid w:val="0021526C"/>
    <w:rsid w:val="00283A2B"/>
    <w:rsid w:val="002B30AD"/>
    <w:rsid w:val="002C2C01"/>
    <w:rsid w:val="002C2E8A"/>
    <w:rsid w:val="00327C1E"/>
    <w:rsid w:val="003A29AE"/>
    <w:rsid w:val="003A32D7"/>
    <w:rsid w:val="003B4074"/>
    <w:rsid w:val="003C769A"/>
    <w:rsid w:val="003F1838"/>
    <w:rsid w:val="00413D1B"/>
    <w:rsid w:val="0045746C"/>
    <w:rsid w:val="00465711"/>
    <w:rsid w:val="00486D99"/>
    <w:rsid w:val="0049104B"/>
    <w:rsid w:val="004E3B12"/>
    <w:rsid w:val="00511F60"/>
    <w:rsid w:val="00532310"/>
    <w:rsid w:val="00560ECC"/>
    <w:rsid w:val="00561AAF"/>
    <w:rsid w:val="00565F0F"/>
    <w:rsid w:val="00594A86"/>
    <w:rsid w:val="00596D86"/>
    <w:rsid w:val="005D4494"/>
    <w:rsid w:val="005F253F"/>
    <w:rsid w:val="005F7BF5"/>
    <w:rsid w:val="00637F5A"/>
    <w:rsid w:val="006560B1"/>
    <w:rsid w:val="006756DD"/>
    <w:rsid w:val="006C222E"/>
    <w:rsid w:val="00737275"/>
    <w:rsid w:val="00740EEC"/>
    <w:rsid w:val="0078011A"/>
    <w:rsid w:val="00782AF4"/>
    <w:rsid w:val="00790EE7"/>
    <w:rsid w:val="007B6649"/>
    <w:rsid w:val="007E1A5B"/>
    <w:rsid w:val="0081546F"/>
    <w:rsid w:val="0082576E"/>
    <w:rsid w:val="008F135D"/>
    <w:rsid w:val="00907F75"/>
    <w:rsid w:val="00923B84"/>
    <w:rsid w:val="009260DE"/>
    <w:rsid w:val="0093258A"/>
    <w:rsid w:val="009C7BA3"/>
    <w:rsid w:val="009D0372"/>
    <w:rsid w:val="009D1F5A"/>
    <w:rsid w:val="00A1487B"/>
    <w:rsid w:val="00B003BF"/>
    <w:rsid w:val="00B30DC6"/>
    <w:rsid w:val="00B373D7"/>
    <w:rsid w:val="00C23C1E"/>
    <w:rsid w:val="00C36276"/>
    <w:rsid w:val="00C42586"/>
    <w:rsid w:val="00C60CCD"/>
    <w:rsid w:val="00C84483"/>
    <w:rsid w:val="00C95551"/>
    <w:rsid w:val="00CB20D7"/>
    <w:rsid w:val="00D020B0"/>
    <w:rsid w:val="00D11748"/>
    <w:rsid w:val="00D366CF"/>
    <w:rsid w:val="00D62F64"/>
    <w:rsid w:val="00E108AA"/>
    <w:rsid w:val="00E31812"/>
    <w:rsid w:val="00E3749A"/>
    <w:rsid w:val="00E7437F"/>
    <w:rsid w:val="00E76822"/>
    <w:rsid w:val="00E865B8"/>
    <w:rsid w:val="00EC0B9B"/>
    <w:rsid w:val="00EC3969"/>
    <w:rsid w:val="00ED5E9F"/>
    <w:rsid w:val="00EE6CB0"/>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BA08AC"/>
  <w15:chartTrackingRefBased/>
  <w15:docId w15:val="{C844D7F7-FC1A-41CA-9093-05D700C1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6822"/>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C3969"/>
    <w:pPr>
      <w:ind w:left="720"/>
      <w:contextualSpacing/>
    </w:pPr>
  </w:style>
  <w:style w:type="character" w:styleId="Hyperlink">
    <w:name w:val="Hyperlink"/>
    <w:basedOn w:val="Standardskrifttypeiafsnit"/>
    <w:uiPriority w:val="99"/>
    <w:unhideWhenUsed/>
    <w:rsid w:val="00B30DC6"/>
    <w:rPr>
      <w:color w:val="0563C1" w:themeColor="hyperlink"/>
      <w:u w:val="single"/>
    </w:rPr>
  </w:style>
  <w:style w:type="character" w:styleId="Ulstomtale">
    <w:name w:val="Unresolved Mention"/>
    <w:basedOn w:val="Standardskrifttypeiafsnit"/>
    <w:uiPriority w:val="99"/>
    <w:semiHidden/>
    <w:unhideWhenUsed/>
    <w:rsid w:val="00B30D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53014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whocc.no/atcddd/indexdatabase/index.php?query=D10A" TargetMode="Externa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3375</Words>
  <Characters>22820</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2023042084 - Nyt PI-SPC</dc:description>
  <cp:lastModifiedBy>Marianne Ott Jensen</cp:lastModifiedBy>
  <cp:revision>3</cp:revision>
  <cp:lastPrinted>2012-08-22T08:53:00Z</cp:lastPrinted>
  <dcterms:created xsi:type="dcterms:W3CDTF">2024-08-26T15:58:00Z</dcterms:created>
  <dcterms:modified xsi:type="dcterms:W3CDTF">2024-08-26T16:00:00Z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