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F1E" w:rsidRPr="009037C4" w:rsidRDefault="00C04F1E" w:rsidP="00C04F1E">
      <w:bookmarkStart w:id="0" w:name="_GoBack"/>
      <w:bookmarkEnd w:id="0"/>
      <w:r w:rsidRPr="009037C4">
        <w:rPr>
          <w:noProof/>
          <w:lang w:eastAsia="da-DK"/>
        </w:rPr>
        <w:drawing>
          <wp:inline distT="0" distB="0" distL="0" distR="0" wp14:anchorId="55D0576D" wp14:editId="34B6DF6B">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04F1E" w:rsidRPr="009037C4" w:rsidRDefault="00C04F1E" w:rsidP="00C04F1E">
      <w:pPr>
        <w:pStyle w:val="Titel"/>
        <w:tabs>
          <w:tab w:val="right" w:pos="9356"/>
        </w:tabs>
        <w:jc w:val="left"/>
        <w:rPr>
          <w:b w:val="0"/>
          <w:sz w:val="23"/>
          <w:lang w:eastAsia="en-US"/>
        </w:rPr>
      </w:pPr>
    </w:p>
    <w:p w:rsidR="00C04F1E" w:rsidRPr="009037C4" w:rsidRDefault="00C04F1E" w:rsidP="00C04F1E">
      <w:pPr>
        <w:pStyle w:val="Titel"/>
        <w:tabs>
          <w:tab w:val="right" w:pos="9356"/>
        </w:tabs>
        <w:jc w:val="left"/>
        <w:rPr>
          <w:b w:val="0"/>
        </w:rPr>
      </w:pPr>
      <w:r w:rsidRPr="009037C4">
        <w:rPr>
          <w:b w:val="0"/>
          <w:sz w:val="23"/>
          <w:lang w:eastAsia="en-US"/>
        </w:rPr>
        <w:tab/>
      </w:r>
      <w:r w:rsidR="00656898">
        <w:rPr>
          <w:szCs w:val="24"/>
        </w:rPr>
        <w:t>10</w:t>
      </w:r>
      <w:r w:rsidR="00180457">
        <w:rPr>
          <w:szCs w:val="24"/>
        </w:rPr>
        <w:t xml:space="preserve">. </w:t>
      </w:r>
      <w:r w:rsidR="00656898">
        <w:rPr>
          <w:szCs w:val="24"/>
        </w:rPr>
        <w:t>juni</w:t>
      </w:r>
      <w:r w:rsidR="00180457">
        <w:rPr>
          <w:szCs w:val="24"/>
        </w:rPr>
        <w:t xml:space="preserve"> 202</w:t>
      </w:r>
      <w:r w:rsidR="00656898">
        <w:rPr>
          <w:szCs w:val="24"/>
        </w:rPr>
        <w:t>4</w:t>
      </w:r>
    </w:p>
    <w:p w:rsidR="00C04F1E" w:rsidRPr="009037C4" w:rsidRDefault="00C04F1E" w:rsidP="00C04F1E">
      <w:pPr>
        <w:pStyle w:val="Titel"/>
        <w:jc w:val="left"/>
        <w:rPr>
          <w:b w:val="0"/>
        </w:rPr>
      </w:pPr>
    </w:p>
    <w:p w:rsidR="00C04F1E" w:rsidRPr="009037C4" w:rsidRDefault="00C04F1E" w:rsidP="00C04F1E">
      <w:pPr>
        <w:jc w:val="center"/>
        <w:rPr>
          <w:b/>
          <w:sz w:val="24"/>
          <w:szCs w:val="24"/>
        </w:rPr>
      </w:pPr>
      <w:r w:rsidRPr="009037C4">
        <w:rPr>
          <w:b/>
          <w:sz w:val="24"/>
          <w:szCs w:val="24"/>
        </w:rPr>
        <w:t>PRODUKTRESUMÉ</w:t>
      </w:r>
    </w:p>
    <w:p w:rsidR="00C04F1E" w:rsidRPr="009037C4" w:rsidRDefault="00C04F1E" w:rsidP="00C04F1E">
      <w:pPr>
        <w:jc w:val="center"/>
        <w:rPr>
          <w:b/>
          <w:sz w:val="24"/>
          <w:szCs w:val="24"/>
        </w:rPr>
      </w:pPr>
    </w:p>
    <w:p w:rsidR="00C04F1E" w:rsidRPr="009037C4" w:rsidRDefault="00C04F1E" w:rsidP="00C04F1E">
      <w:pPr>
        <w:jc w:val="center"/>
        <w:rPr>
          <w:b/>
          <w:sz w:val="24"/>
          <w:szCs w:val="24"/>
        </w:rPr>
      </w:pPr>
      <w:r w:rsidRPr="009037C4">
        <w:rPr>
          <w:b/>
          <w:sz w:val="24"/>
          <w:szCs w:val="24"/>
        </w:rPr>
        <w:t>for</w:t>
      </w:r>
    </w:p>
    <w:p w:rsidR="00C04F1E" w:rsidRPr="009037C4" w:rsidRDefault="00C04F1E" w:rsidP="00C04F1E">
      <w:pPr>
        <w:jc w:val="center"/>
        <w:rPr>
          <w:b/>
          <w:sz w:val="24"/>
          <w:szCs w:val="24"/>
        </w:rPr>
      </w:pPr>
    </w:p>
    <w:p w:rsidR="00C04F1E" w:rsidRPr="009037C4" w:rsidRDefault="00C04F1E" w:rsidP="00C04F1E">
      <w:pPr>
        <w:jc w:val="center"/>
        <w:rPr>
          <w:b/>
          <w:sz w:val="24"/>
          <w:szCs w:val="24"/>
        </w:rPr>
      </w:pPr>
      <w:proofErr w:type="spellStart"/>
      <w:r w:rsidRPr="009037C4">
        <w:rPr>
          <w:b/>
          <w:sz w:val="24"/>
          <w:szCs w:val="24"/>
        </w:rPr>
        <w:t>Actikerall</w:t>
      </w:r>
      <w:proofErr w:type="spellEnd"/>
      <w:r w:rsidRPr="009037C4">
        <w:rPr>
          <w:b/>
          <w:sz w:val="24"/>
          <w:szCs w:val="24"/>
        </w:rPr>
        <w:t xml:space="preserve">, </w:t>
      </w:r>
      <w:proofErr w:type="spellStart"/>
      <w:r w:rsidRPr="009037C4">
        <w:rPr>
          <w:b/>
          <w:sz w:val="24"/>
          <w:szCs w:val="24"/>
        </w:rPr>
        <w:t>kutanopløsning</w:t>
      </w:r>
      <w:proofErr w:type="spellEnd"/>
    </w:p>
    <w:p w:rsidR="00C04F1E" w:rsidRPr="009037C4" w:rsidRDefault="00C04F1E" w:rsidP="00C04F1E">
      <w:pPr>
        <w:jc w:val="both"/>
        <w:rPr>
          <w:sz w:val="24"/>
          <w:szCs w:val="24"/>
        </w:rPr>
      </w:pPr>
    </w:p>
    <w:p w:rsidR="00C04F1E" w:rsidRPr="009037C4" w:rsidRDefault="00C04F1E" w:rsidP="00C04F1E">
      <w:pPr>
        <w:jc w:val="both"/>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0.</w:t>
      </w:r>
      <w:r w:rsidRPr="009037C4">
        <w:rPr>
          <w:b/>
          <w:sz w:val="24"/>
          <w:szCs w:val="24"/>
        </w:rPr>
        <w:tab/>
        <w:t>D.SP.NR.</w:t>
      </w:r>
    </w:p>
    <w:p w:rsidR="00C04F1E" w:rsidRPr="009037C4" w:rsidRDefault="00C04F1E" w:rsidP="00C04F1E">
      <w:pPr>
        <w:tabs>
          <w:tab w:val="left" w:pos="851"/>
        </w:tabs>
        <w:rPr>
          <w:sz w:val="24"/>
          <w:szCs w:val="24"/>
        </w:rPr>
      </w:pPr>
      <w:r w:rsidRPr="009037C4">
        <w:rPr>
          <w:sz w:val="24"/>
          <w:szCs w:val="24"/>
        </w:rPr>
        <w:tab/>
        <w:t>28185</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1.</w:t>
      </w:r>
      <w:r w:rsidRPr="009037C4">
        <w:rPr>
          <w:b/>
          <w:sz w:val="24"/>
          <w:szCs w:val="24"/>
        </w:rPr>
        <w:tab/>
        <w:t>LÆGEMIDLETS NAVN</w:t>
      </w:r>
    </w:p>
    <w:p w:rsidR="00C04F1E" w:rsidRPr="009037C4" w:rsidRDefault="00C04F1E" w:rsidP="00C04F1E">
      <w:pPr>
        <w:tabs>
          <w:tab w:val="left" w:pos="851"/>
        </w:tabs>
        <w:rPr>
          <w:sz w:val="24"/>
          <w:szCs w:val="24"/>
        </w:rPr>
      </w:pPr>
      <w:r w:rsidRPr="009037C4">
        <w:rPr>
          <w:sz w:val="24"/>
          <w:szCs w:val="24"/>
        </w:rPr>
        <w:tab/>
      </w:r>
      <w:proofErr w:type="spellStart"/>
      <w:r w:rsidRPr="009037C4">
        <w:rPr>
          <w:sz w:val="24"/>
          <w:szCs w:val="24"/>
        </w:rPr>
        <w:t>Actikerall</w:t>
      </w:r>
      <w:proofErr w:type="spellEnd"/>
    </w:p>
    <w:p w:rsidR="00C04F1E" w:rsidRPr="009037C4" w:rsidRDefault="00C04F1E" w:rsidP="00C04F1E">
      <w:pPr>
        <w:tabs>
          <w:tab w:val="left" w:pos="851"/>
        </w:tabs>
        <w:rPr>
          <w:sz w:val="24"/>
          <w:szCs w:val="24"/>
        </w:rPr>
      </w:pPr>
      <w:r w:rsidRPr="009037C4">
        <w:rPr>
          <w:sz w:val="24"/>
          <w:szCs w:val="24"/>
        </w:rPr>
        <w:tab/>
      </w:r>
    </w:p>
    <w:p w:rsidR="00C04F1E" w:rsidRPr="009037C4" w:rsidRDefault="00C04F1E" w:rsidP="00C04F1E">
      <w:pPr>
        <w:tabs>
          <w:tab w:val="left" w:pos="851"/>
        </w:tabs>
        <w:ind w:left="851" w:hanging="851"/>
        <w:rPr>
          <w:b/>
          <w:sz w:val="24"/>
          <w:szCs w:val="24"/>
        </w:rPr>
      </w:pPr>
      <w:r w:rsidRPr="009037C4">
        <w:rPr>
          <w:b/>
          <w:sz w:val="24"/>
          <w:szCs w:val="24"/>
        </w:rPr>
        <w:t>2.</w:t>
      </w:r>
      <w:r w:rsidRPr="009037C4">
        <w:rPr>
          <w:b/>
          <w:sz w:val="24"/>
          <w:szCs w:val="24"/>
        </w:rPr>
        <w:tab/>
        <w:t>KVALITATIV OG KVANTITATIV SAMMENSÆTNING</w:t>
      </w:r>
    </w:p>
    <w:p w:rsidR="00C04F1E" w:rsidRPr="009037C4" w:rsidRDefault="00C04F1E" w:rsidP="00C04F1E">
      <w:pPr>
        <w:tabs>
          <w:tab w:val="left" w:pos="851"/>
        </w:tabs>
        <w:ind w:left="851"/>
        <w:rPr>
          <w:sz w:val="24"/>
          <w:szCs w:val="24"/>
        </w:rPr>
      </w:pPr>
      <w:r w:rsidRPr="009037C4">
        <w:rPr>
          <w:sz w:val="24"/>
          <w:szCs w:val="24"/>
        </w:rPr>
        <w:t xml:space="preserve">1 g (= 1,05 ml) </w:t>
      </w:r>
      <w:proofErr w:type="spellStart"/>
      <w:r w:rsidRPr="009037C4">
        <w:rPr>
          <w:sz w:val="24"/>
          <w:szCs w:val="24"/>
        </w:rPr>
        <w:t>kutanopløsning</w:t>
      </w:r>
      <w:proofErr w:type="spellEnd"/>
      <w:r w:rsidRPr="009037C4">
        <w:rPr>
          <w:sz w:val="24"/>
          <w:szCs w:val="24"/>
        </w:rPr>
        <w:t xml:space="preserve"> indeholder 5 mg </w:t>
      </w:r>
      <w:proofErr w:type="spellStart"/>
      <w:r w:rsidRPr="009037C4">
        <w:rPr>
          <w:sz w:val="24"/>
          <w:szCs w:val="24"/>
        </w:rPr>
        <w:t>fluoruracil</w:t>
      </w:r>
      <w:proofErr w:type="spellEnd"/>
      <w:r w:rsidRPr="009037C4">
        <w:rPr>
          <w:sz w:val="24"/>
          <w:szCs w:val="24"/>
        </w:rPr>
        <w:t xml:space="preserve"> og 100 mg salicylsyre.</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u w:val="single"/>
        </w:rPr>
        <w:t>Hjælpestof med kendt effekt</w:t>
      </w:r>
    </w:p>
    <w:p w:rsidR="00C04F1E" w:rsidRPr="009037C4" w:rsidRDefault="001364BE" w:rsidP="00C04F1E">
      <w:pPr>
        <w:tabs>
          <w:tab w:val="left" w:pos="851"/>
        </w:tabs>
        <w:ind w:left="851"/>
        <w:rPr>
          <w:sz w:val="24"/>
          <w:szCs w:val="24"/>
        </w:rPr>
      </w:pPr>
      <w:r>
        <w:rPr>
          <w:sz w:val="24"/>
          <w:szCs w:val="24"/>
        </w:rPr>
        <w:t xml:space="preserve">1 g opløsning indeholder </w:t>
      </w:r>
      <w:r w:rsidRPr="00DC4284">
        <w:rPr>
          <w:sz w:val="24"/>
          <w:szCs w:val="24"/>
        </w:rPr>
        <w:t xml:space="preserve">80 mg </w:t>
      </w:r>
      <w:proofErr w:type="spellStart"/>
      <w:r>
        <w:rPr>
          <w:sz w:val="24"/>
          <w:szCs w:val="24"/>
        </w:rPr>
        <w:t>dimethylsulfoxid</w:t>
      </w:r>
      <w:proofErr w:type="spellEnd"/>
      <w:r>
        <w:rPr>
          <w:sz w:val="24"/>
          <w:szCs w:val="24"/>
        </w:rPr>
        <w:t xml:space="preserve"> og 160 mg </w:t>
      </w:r>
      <w:proofErr w:type="spellStart"/>
      <w:r>
        <w:rPr>
          <w:sz w:val="24"/>
          <w:szCs w:val="24"/>
        </w:rPr>
        <w:t>ethanol</w:t>
      </w:r>
      <w:proofErr w:type="spellEnd"/>
      <w:r>
        <w:rPr>
          <w:sz w:val="24"/>
          <w:szCs w:val="24"/>
        </w:rPr>
        <w:t>.</w:t>
      </w:r>
    </w:p>
    <w:p w:rsidR="004F4DF0" w:rsidRPr="009037C4" w:rsidRDefault="004F4DF0" w:rsidP="00C04F1E">
      <w:pPr>
        <w:tabs>
          <w:tab w:val="left" w:pos="851"/>
        </w:tabs>
        <w:ind w:left="851"/>
        <w:rPr>
          <w:b/>
          <w:sz w:val="24"/>
          <w:szCs w:val="24"/>
        </w:rPr>
      </w:pPr>
    </w:p>
    <w:p w:rsidR="00C04F1E" w:rsidRPr="009037C4" w:rsidRDefault="00C04F1E" w:rsidP="00C04F1E">
      <w:pPr>
        <w:tabs>
          <w:tab w:val="left" w:pos="851"/>
        </w:tabs>
        <w:ind w:left="851"/>
        <w:rPr>
          <w:sz w:val="24"/>
          <w:szCs w:val="24"/>
        </w:rPr>
      </w:pPr>
      <w:r w:rsidRPr="009037C4">
        <w:rPr>
          <w:sz w:val="24"/>
          <w:szCs w:val="24"/>
        </w:rPr>
        <w:t>Alle hjælpestoffer er anført under pkt. 6.1.</w:t>
      </w:r>
    </w:p>
    <w:p w:rsidR="00C04F1E" w:rsidRPr="009037C4" w:rsidRDefault="00C04F1E" w:rsidP="00C04F1E">
      <w:pPr>
        <w:tabs>
          <w:tab w:val="left" w:pos="851"/>
        </w:tabs>
        <w:ind w:left="851" w:hanging="851"/>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3.</w:t>
      </w:r>
      <w:r w:rsidRPr="009037C4">
        <w:rPr>
          <w:b/>
          <w:sz w:val="24"/>
          <w:szCs w:val="24"/>
        </w:rPr>
        <w:tab/>
        <w:t>LÆGEMIDDELFORM</w:t>
      </w:r>
    </w:p>
    <w:p w:rsidR="00C04F1E" w:rsidRPr="009037C4" w:rsidRDefault="00C04F1E" w:rsidP="00C04F1E">
      <w:pPr>
        <w:tabs>
          <w:tab w:val="left" w:pos="-720"/>
          <w:tab w:val="left" w:pos="851"/>
        </w:tabs>
        <w:suppressAutoHyphens/>
        <w:ind w:left="851"/>
        <w:rPr>
          <w:spacing w:val="-3"/>
          <w:sz w:val="24"/>
          <w:szCs w:val="24"/>
        </w:rPr>
      </w:pPr>
      <w:proofErr w:type="spellStart"/>
      <w:r w:rsidRPr="009037C4">
        <w:rPr>
          <w:spacing w:val="-3"/>
          <w:sz w:val="24"/>
          <w:szCs w:val="24"/>
        </w:rPr>
        <w:t>Kutanopløsning</w:t>
      </w:r>
      <w:proofErr w:type="spellEnd"/>
    </w:p>
    <w:p w:rsidR="00C04F1E" w:rsidRPr="009037C4" w:rsidRDefault="00C04F1E" w:rsidP="00C04F1E">
      <w:pPr>
        <w:tabs>
          <w:tab w:val="left" w:pos="-720"/>
          <w:tab w:val="left" w:pos="851"/>
        </w:tabs>
        <w:suppressAutoHyphens/>
        <w:ind w:left="851"/>
        <w:rPr>
          <w:spacing w:val="-3"/>
          <w:sz w:val="24"/>
          <w:szCs w:val="24"/>
        </w:rPr>
      </w:pPr>
      <w:r w:rsidRPr="009037C4">
        <w:rPr>
          <w:spacing w:val="-3"/>
          <w:sz w:val="24"/>
          <w:szCs w:val="24"/>
        </w:rPr>
        <w:tab/>
      </w:r>
    </w:p>
    <w:p w:rsidR="00C04F1E" w:rsidRPr="009037C4" w:rsidRDefault="00C04F1E" w:rsidP="00C04F1E">
      <w:pPr>
        <w:tabs>
          <w:tab w:val="left" w:pos="-720"/>
          <w:tab w:val="left" w:pos="851"/>
        </w:tabs>
        <w:suppressAutoHyphens/>
        <w:ind w:left="851"/>
        <w:rPr>
          <w:sz w:val="24"/>
          <w:szCs w:val="24"/>
        </w:rPr>
      </w:pPr>
      <w:r w:rsidRPr="009037C4">
        <w:rPr>
          <w:spacing w:val="-3"/>
          <w:sz w:val="24"/>
          <w:szCs w:val="24"/>
        </w:rPr>
        <w:t>Klar, farveløs til svagt orange-hvid opløsning.</w:t>
      </w: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w:t>
      </w:r>
      <w:r w:rsidRPr="009037C4">
        <w:rPr>
          <w:b/>
          <w:sz w:val="24"/>
          <w:szCs w:val="24"/>
        </w:rPr>
        <w:tab/>
        <w:t>KLINISKE OPLYSNINGER</w:t>
      </w:r>
    </w:p>
    <w:p w:rsidR="00C04F1E" w:rsidRPr="009037C4" w:rsidRDefault="00C04F1E" w:rsidP="00C04F1E">
      <w:pPr>
        <w:tabs>
          <w:tab w:val="left" w:pos="851"/>
        </w:tabs>
        <w:rPr>
          <w:b/>
          <w:sz w:val="24"/>
          <w:szCs w:val="24"/>
        </w:rPr>
      </w:pPr>
    </w:p>
    <w:p w:rsidR="00C04F1E" w:rsidRPr="009037C4" w:rsidRDefault="00C04F1E" w:rsidP="00C04F1E">
      <w:pPr>
        <w:tabs>
          <w:tab w:val="left" w:pos="851"/>
        </w:tabs>
        <w:ind w:left="851" w:hanging="851"/>
        <w:rPr>
          <w:b/>
          <w:sz w:val="24"/>
          <w:szCs w:val="24"/>
          <w:u w:val="single"/>
        </w:rPr>
      </w:pPr>
      <w:r w:rsidRPr="009037C4">
        <w:rPr>
          <w:b/>
          <w:sz w:val="24"/>
          <w:szCs w:val="24"/>
        </w:rPr>
        <w:t>4.1</w:t>
      </w:r>
      <w:r w:rsidRPr="009037C4">
        <w:rPr>
          <w:b/>
          <w:sz w:val="24"/>
          <w:szCs w:val="24"/>
        </w:rPr>
        <w:tab/>
        <w:t>Terapeutiske indikationer</w:t>
      </w:r>
    </w:p>
    <w:p w:rsidR="00C04F1E" w:rsidRPr="009037C4" w:rsidRDefault="00C04F1E" w:rsidP="00C04F1E">
      <w:pPr>
        <w:tabs>
          <w:tab w:val="left" w:pos="851"/>
        </w:tabs>
        <w:ind w:left="851"/>
        <w:rPr>
          <w:sz w:val="24"/>
          <w:szCs w:val="24"/>
        </w:rPr>
      </w:pPr>
      <w:proofErr w:type="spellStart"/>
      <w:r w:rsidRPr="009037C4">
        <w:rPr>
          <w:sz w:val="24"/>
          <w:szCs w:val="24"/>
        </w:rPr>
        <w:t>Actikerall</w:t>
      </w:r>
      <w:proofErr w:type="spellEnd"/>
      <w:r w:rsidRPr="009037C4">
        <w:rPr>
          <w:sz w:val="24"/>
          <w:szCs w:val="24"/>
        </w:rPr>
        <w:t xml:space="preserve"> er indiceret til </w:t>
      </w:r>
      <w:proofErr w:type="spellStart"/>
      <w:r w:rsidRPr="009037C4">
        <w:rPr>
          <w:sz w:val="24"/>
          <w:szCs w:val="24"/>
          <w:lang w:eastAsia="da-DK"/>
        </w:rPr>
        <w:t>topikal</w:t>
      </w:r>
      <w:proofErr w:type="spellEnd"/>
      <w:r w:rsidRPr="009037C4">
        <w:rPr>
          <w:sz w:val="24"/>
          <w:szCs w:val="24"/>
        </w:rPr>
        <w:t xml:space="preserve"> behandling af let </w:t>
      </w:r>
      <w:proofErr w:type="spellStart"/>
      <w:r w:rsidRPr="009037C4">
        <w:rPr>
          <w:sz w:val="24"/>
          <w:szCs w:val="24"/>
        </w:rPr>
        <w:t>palpabel</w:t>
      </w:r>
      <w:proofErr w:type="spellEnd"/>
      <w:r w:rsidRPr="009037C4">
        <w:rPr>
          <w:sz w:val="24"/>
          <w:szCs w:val="24"/>
        </w:rPr>
        <w:t xml:space="preserve"> og/eller moderat tyk </w:t>
      </w:r>
      <w:proofErr w:type="spellStart"/>
      <w:r w:rsidRPr="009037C4">
        <w:rPr>
          <w:sz w:val="24"/>
          <w:szCs w:val="24"/>
        </w:rPr>
        <w:t>hyperkeratotisk</w:t>
      </w:r>
      <w:proofErr w:type="spellEnd"/>
      <w:r w:rsidRPr="009037C4">
        <w:rPr>
          <w:sz w:val="24"/>
          <w:szCs w:val="24"/>
        </w:rPr>
        <w:t xml:space="preserve"> </w:t>
      </w:r>
      <w:proofErr w:type="spellStart"/>
      <w:r w:rsidRPr="009037C4">
        <w:rPr>
          <w:sz w:val="24"/>
          <w:szCs w:val="24"/>
        </w:rPr>
        <w:t>aktinisk</w:t>
      </w:r>
      <w:proofErr w:type="spellEnd"/>
      <w:r w:rsidRPr="009037C4">
        <w:rPr>
          <w:sz w:val="24"/>
          <w:szCs w:val="24"/>
        </w:rPr>
        <w:t xml:space="preserve"> </w:t>
      </w:r>
      <w:proofErr w:type="spellStart"/>
      <w:r w:rsidRPr="009037C4">
        <w:rPr>
          <w:sz w:val="24"/>
          <w:szCs w:val="24"/>
        </w:rPr>
        <w:t>keratose</w:t>
      </w:r>
      <w:proofErr w:type="spellEnd"/>
      <w:r w:rsidRPr="009037C4">
        <w:rPr>
          <w:sz w:val="24"/>
          <w:szCs w:val="24"/>
        </w:rPr>
        <w:t xml:space="preserve"> (grad I / II) hos immunkompetente voksne patienter.</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lang w:eastAsia="da-DK"/>
        </w:rPr>
        <w:t xml:space="preserve">Grad I/II intensitet baseres på 4 </w:t>
      </w:r>
      <w:proofErr w:type="spellStart"/>
      <w:r w:rsidRPr="009037C4">
        <w:rPr>
          <w:sz w:val="24"/>
          <w:szCs w:val="24"/>
          <w:lang w:eastAsia="da-DK"/>
        </w:rPr>
        <w:t>punktsskalaen</w:t>
      </w:r>
      <w:proofErr w:type="spellEnd"/>
      <w:r w:rsidRPr="009037C4">
        <w:rPr>
          <w:sz w:val="24"/>
          <w:szCs w:val="24"/>
          <w:lang w:eastAsia="da-DK"/>
        </w:rPr>
        <w:t xml:space="preserve"> fra Olsen et al. (1991): Se pkt. 5.1.</w:t>
      </w:r>
      <w:r w:rsidRPr="009037C4">
        <w:rPr>
          <w:sz w:val="24"/>
          <w:szCs w:val="24"/>
        </w:rPr>
        <w:t xml:space="preserve"> </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4.2</w:t>
      </w:r>
      <w:r w:rsidRPr="009037C4">
        <w:rPr>
          <w:b/>
          <w:sz w:val="24"/>
          <w:szCs w:val="24"/>
        </w:rPr>
        <w:tab/>
      </w:r>
      <w:bookmarkStart w:id="1" w:name="_Hlk121742956"/>
      <w:r w:rsidR="00180457">
        <w:rPr>
          <w:b/>
          <w:sz w:val="24"/>
          <w:szCs w:val="24"/>
        </w:rPr>
        <w:t>Dosering og administration</w:t>
      </w:r>
      <w:bookmarkEnd w:id="1"/>
    </w:p>
    <w:p w:rsidR="000635A8" w:rsidRPr="009037C4" w:rsidRDefault="000635A8" w:rsidP="00C04F1E">
      <w:pPr>
        <w:tabs>
          <w:tab w:val="left" w:pos="851"/>
        </w:tabs>
        <w:ind w:left="851"/>
        <w:rPr>
          <w:sz w:val="24"/>
          <w:szCs w:val="24"/>
          <w:u w:val="single"/>
          <w:lang w:eastAsia="da-DK"/>
        </w:rPr>
      </w:pPr>
    </w:p>
    <w:p w:rsidR="00C04F1E" w:rsidRPr="009037C4" w:rsidRDefault="00C04F1E" w:rsidP="00C04F1E">
      <w:pPr>
        <w:tabs>
          <w:tab w:val="left" w:pos="851"/>
        </w:tabs>
        <w:ind w:left="851"/>
        <w:rPr>
          <w:sz w:val="24"/>
          <w:szCs w:val="24"/>
          <w:u w:val="single"/>
          <w:lang w:eastAsia="da-DK"/>
        </w:rPr>
      </w:pPr>
      <w:r w:rsidRPr="009037C4">
        <w:rPr>
          <w:sz w:val="24"/>
          <w:szCs w:val="24"/>
          <w:u w:val="single"/>
          <w:lang w:eastAsia="da-DK"/>
        </w:rPr>
        <w:t>Dosering</w:t>
      </w:r>
    </w:p>
    <w:p w:rsidR="000635A8" w:rsidRPr="009037C4" w:rsidRDefault="000635A8" w:rsidP="00C04F1E">
      <w:pPr>
        <w:tabs>
          <w:tab w:val="left" w:pos="851"/>
        </w:tabs>
        <w:ind w:left="851"/>
        <w:rPr>
          <w:sz w:val="24"/>
          <w:szCs w:val="24"/>
          <w:lang w:eastAsia="da-DK"/>
        </w:rPr>
      </w:pPr>
    </w:p>
    <w:p w:rsidR="00C04F1E" w:rsidRPr="009037C4" w:rsidRDefault="00C04F1E" w:rsidP="00C04F1E">
      <w:pPr>
        <w:tabs>
          <w:tab w:val="left" w:pos="851"/>
        </w:tabs>
        <w:ind w:left="851"/>
        <w:rPr>
          <w:i/>
          <w:sz w:val="24"/>
          <w:szCs w:val="24"/>
          <w:lang w:eastAsia="da-DK"/>
        </w:rPr>
      </w:pPr>
      <w:r w:rsidRPr="009037C4">
        <w:rPr>
          <w:i/>
          <w:sz w:val="24"/>
          <w:szCs w:val="24"/>
          <w:lang w:eastAsia="da-DK"/>
        </w:rPr>
        <w:t>Voksne</w:t>
      </w:r>
    </w:p>
    <w:p w:rsidR="00C04F1E" w:rsidRPr="009037C4" w:rsidRDefault="00C04F1E" w:rsidP="00C04F1E">
      <w:pPr>
        <w:tabs>
          <w:tab w:val="left" w:pos="851"/>
        </w:tabs>
        <w:ind w:left="851"/>
        <w:rPr>
          <w:noProof/>
          <w:sz w:val="24"/>
          <w:szCs w:val="24"/>
        </w:rPr>
      </w:pPr>
      <w:r w:rsidRPr="009037C4">
        <w:rPr>
          <w:noProof/>
          <w:sz w:val="24"/>
          <w:szCs w:val="24"/>
        </w:rPr>
        <w:t>Actikerall bør anvendes en gang daglig på det afficerede område (op til 25 cm</w:t>
      </w:r>
      <w:r w:rsidRPr="009037C4">
        <w:rPr>
          <w:noProof/>
          <w:sz w:val="24"/>
          <w:szCs w:val="24"/>
          <w:vertAlign w:val="superscript"/>
        </w:rPr>
        <w:t>2</w:t>
      </w:r>
      <w:r w:rsidRPr="009037C4">
        <w:rPr>
          <w:noProof/>
          <w:sz w:val="24"/>
          <w:szCs w:val="24"/>
        </w:rPr>
        <w:t xml:space="preserve">) indtil læsionerne er helt væk eller i op til maksimalt 12 uger. Hvis der opstår alvorlige bivirkninger, skal applikationshyppigheden reduceres til tre gange om ugen, indtil </w:t>
      </w:r>
      <w:r w:rsidRPr="009037C4">
        <w:rPr>
          <w:noProof/>
          <w:sz w:val="24"/>
          <w:szCs w:val="24"/>
        </w:rPr>
        <w:lastRenderedPageBreak/>
        <w:t>bivirkningerne aftager. Hvis områder af hud med et tyndt epidermis behandles, skal opløsningen anvendes mindre hyppigt og behandlingen monitoreres oftere.</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noProof/>
          <w:sz w:val="24"/>
          <w:szCs w:val="24"/>
        </w:rPr>
      </w:pPr>
      <w:r w:rsidRPr="009037C4">
        <w:rPr>
          <w:noProof/>
          <w:sz w:val="24"/>
          <w:szCs w:val="24"/>
        </w:rPr>
        <w:t xml:space="preserve">Et respons kan ses allerede indenfor fire uger (se </w:t>
      </w:r>
      <w:r w:rsidRPr="009037C4">
        <w:rPr>
          <w:sz w:val="24"/>
          <w:szCs w:val="24"/>
        </w:rPr>
        <w:t xml:space="preserve">pkt. </w:t>
      </w:r>
      <w:r w:rsidRPr="009037C4">
        <w:rPr>
          <w:noProof/>
          <w:sz w:val="24"/>
          <w:szCs w:val="24"/>
        </w:rPr>
        <w:t>5.1). Effekten øges med øget behandlingstid og data for behandling i op til 12 uger er tilgængelig. Fuldstændig heling af læsioner eller optimal terapeutisk virkning er ikke altid tydelig før op til otte uger efter ophør af behandling. Behandlingen bør fortsættes, selvom et respons ikke kan ses efter de første fire uger.</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noProof/>
          <w:sz w:val="24"/>
          <w:szCs w:val="24"/>
        </w:rPr>
      </w:pPr>
      <w:r w:rsidRPr="009037C4">
        <w:rPr>
          <w:noProof/>
          <w:sz w:val="24"/>
          <w:szCs w:val="24"/>
        </w:rPr>
        <w:t>Ved vurderingen af mulighederne for at behandle tilbagevendende læsioner, bør lægen tage hensyn til, at effekten af genbehandling med Actikerall ikke formelt er blevet målt i kliniske forsøg.</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i/>
          <w:noProof/>
          <w:sz w:val="24"/>
          <w:szCs w:val="24"/>
        </w:rPr>
      </w:pPr>
      <w:r w:rsidRPr="009037C4">
        <w:rPr>
          <w:i/>
          <w:noProof/>
          <w:sz w:val="24"/>
          <w:szCs w:val="24"/>
        </w:rPr>
        <w:t>Pædiatrisk population</w:t>
      </w:r>
    </w:p>
    <w:p w:rsidR="00C04F1E" w:rsidRPr="009037C4" w:rsidRDefault="00C04F1E" w:rsidP="00C04F1E">
      <w:pPr>
        <w:tabs>
          <w:tab w:val="left" w:pos="851"/>
        </w:tabs>
        <w:ind w:left="851"/>
        <w:rPr>
          <w:sz w:val="24"/>
          <w:szCs w:val="24"/>
        </w:rPr>
      </w:pPr>
      <w:r w:rsidRPr="009037C4">
        <w:rPr>
          <w:sz w:val="24"/>
          <w:szCs w:val="24"/>
        </w:rPr>
        <w:t xml:space="preserve">Der er ingen relevant anvendelse for </w:t>
      </w:r>
      <w:proofErr w:type="spellStart"/>
      <w:r w:rsidRPr="009037C4">
        <w:rPr>
          <w:sz w:val="24"/>
          <w:szCs w:val="24"/>
        </w:rPr>
        <w:t>Actikerall</w:t>
      </w:r>
      <w:proofErr w:type="spellEnd"/>
      <w:r w:rsidRPr="009037C4">
        <w:rPr>
          <w:sz w:val="24"/>
          <w:szCs w:val="24"/>
        </w:rPr>
        <w:t xml:space="preserve"> til indikationen </w:t>
      </w:r>
      <w:proofErr w:type="spellStart"/>
      <w:r w:rsidRPr="009037C4">
        <w:rPr>
          <w:sz w:val="24"/>
          <w:szCs w:val="24"/>
        </w:rPr>
        <w:t>aktinisk</w:t>
      </w:r>
      <w:proofErr w:type="spellEnd"/>
      <w:r w:rsidRPr="009037C4">
        <w:rPr>
          <w:sz w:val="24"/>
          <w:szCs w:val="24"/>
        </w:rPr>
        <w:t xml:space="preserve"> </w:t>
      </w:r>
      <w:proofErr w:type="spellStart"/>
      <w:r w:rsidRPr="009037C4">
        <w:rPr>
          <w:sz w:val="24"/>
          <w:szCs w:val="24"/>
        </w:rPr>
        <w:t>keratose</w:t>
      </w:r>
      <w:proofErr w:type="spellEnd"/>
      <w:r w:rsidRPr="009037C4">
        <w:rPr>
          <w:sz w:val="24"/>
          <w:szCs w:val="24"/>
        </w:rPr>
        <w:t xml:space="preserve"> i den pædiatriske population</w:t>
      </w:r>
      <w:r w:rsidR="000635A8" w:rsidRPr="009037C4">
        <w:rPr>
          <w:sz w:val="24"/>
          <w:szCs w:val="24"/>
        </w:rPr>
        <w:t>.</w:t>
      </w:r>
    </w:p>
    <w:p w:rsidR="000635A8" w:rsidRPr="009037C4" w:rsidRDefault="000635A8" w:rsidP="00C04F1E">
      <w:pPr>
        <w:tabs>
          <w:tab w:val="left" w:pos="851"/>
        </w:tabs>
        <w:ind w:left="851"/>
        <w:rPr>
          <w:i/>
          <w:sz w:val="24"/>
          <w:szCs w:val="24"/>
        </w:rPr>
      </w:pPr>
    </w:p>
    <w:p w:rsidR="00C04F1E" w:rsidRPr="009037C4" w:rsidRDefault="00C04F1E" w:rsidP="00C04F1E">
      <w:pPr>
        <w:tabs>
          <w:tab w:val="left" w:pos="851"/>
        </w:tabs>
        <w:ind w:left="851"/>
        <w:rPr>
          <w:i/>
          <w:sz w:val="24"/>
          <w:szCs w:val="24"/>
        </w:rPr>
      </w:pPr>
      <w:r w:rsidRPr="009037C4">
        <w:rPr>
          <w:i/>
          <w:sz w:val="24"/>
          <w:szCs w:val="24"/>
        </w:rPr>
        <w:t>Ældre</w:t>
      </w:r>
    </w:p>
    <w:p w:rsidR="00C04F1E" w:rsidRPr="009037C4" w:rsidRDefault="00C04F1E" w:rsidP="00C04F1E">
      <w:pPr>
        <w:tabs>
          <w:tab w:val="left" w:pos="851"/>
        </w:tabs>
        <w:ind w:left="851"/>
        <w:rPr>
          <w:sz w:val="24"/>
          <w:szCs w:val="24"/>
        </w:rPr>
      </w:pPr>
      <w:r w:rsidRPr="009037C4">
        <w:rPr>
          <w:sz w:val="24"/>
          <w:szCs w:val="24"/>
        </w:rPr>
        <w:t>Dosisjustering er ikke nødvendig.</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u w:val="single"/>
        </w:rPr>
      </w:pPr>
      <w:r w:rsidRPr="009037C4">
        <w:rPr>
          <w:sz w:val="24"/>
          <w:szCs w:val="24"/>
          <w:u w:val="single"/>
        </w:rPr>
        <w:t>Administration</w:t>
      </w:r>
    </w:p>
    <w:p w:rsidR="00C04F1E" w:rsidRPr="009037C4" w:rsidRDefault="00C04F1E" w:rsidP="00C04F1E">
      <w:pPr>
        <w:tabs>
          <w:tab w:val="left" w:pos="851"/>
        </w:tabs>
        <w:ind w:left="851"/>
        <w:rPr>
          <w:noProof/>
          <w:sz w:val="24"/>
          <w:szCs w:val="24"/>
        </w:rPr>
      </w:pPr>
      <w:r w:rsidRPr="009037C4">
        <w:rPr>
          <w:noProof/>
          <w:sz w:val="24"/>
          <w:szCs w:val="24"/>
        </w:rPr>
        <w:t>Actikerall er kun beregnet til kutan anvendelse.</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noProof/>
          <w:sz w:val="24"/>
          <w:szCs w:val="24"/>
        </w:rPr>
      </w:pPr>
      <w:r w:rsidRPr="009037C4">
        <w:rPr>
          <w:noProof/>
          <w:sz w:val="24"/>
          <w:szCs w:val="24"/>
        </w:rPr>
        <w:t>Der er erfaring i behandling af op til ti enkelte læsioner på samme tid. Flere aktiniske keratoser og den omkringliggende hud kan behandles på samme tid når områdebehandling foretrækkes. Det samlede område, der behandles med Actikerall, må til enhver tid ikke overstige 25 cm</w:t>
      </w:r>
      <w:r w:rsidRPr="009037C4">
        <w:rPr>
          <w:noProof/>
          <w:sz w:val="24"/>
          <w:szCs w:val="24"/>
          <w:vertAlign w:val="superscript"/>
        </w:rPr>
        <w:t>2</w:t>
      </w:r>
      <w:r w:rsidRPr="009037C4">
        <w:rPr>
          <w:noProof/>
          <w:sz w:val="24"/>
          <w:szCs w:val="24"/>
        </w:rPr>
        <w:t xml:space="preserve"> (5 cm x 5 cm).</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noProof/>
          <w:sz w:val="24"/>
          <w:szCs w:val="24"/>
        </w:rPr>
      </w:pPr>
      <w:r w:rsidRPr="009037C4">
        <w:rPr>
          <w:noProof/>
          <w:sz w:val="24"/>
          <w:szCs w:val="24"/>
        </w:rPr>
        <w:t>Actikerall påføres ved at bruge penslen i låget. For at undgå at overfylde penslen med opløsning, bør penslen tørres af i flaskehalsen før brug dog ikke mere end der er tilstrækkeligt til filmdannelse efter aftørring.</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noProof/>
          <w:sz w:val="24"/>
          <w:szCs w:val="24"/>
        </w:rPr>
      </w:pPr>
      <w:r w:rsidRPr="009037C4">
        <w:rPr>
          <w:noProof/>
          <w:sz w:val="24"/>
          <w:szCs w:val="24"/>
        </w:rPr>
        <w:t>Det behandlede område bør ikke dækkes til efter applikation, og opløsningen skal tørre ind og danne en film over det behandlede område. Hver gang Actikerall påføres, skal den eksisterende film fjernes inden ved forsigtig at trække den af. Varmt vand kan hjælpe med at fjerne filmen. Actikerall bør ikke appliceres på behåret hud. Brug på behåret hud kan medføre en sammenklæbning af hår i det behandlede område. Barbering eller andre egnede metoder til hårfjerning bør overvejes før enhver applikation af Actikerall på behåret hud.</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hanging="851"/>
        <w:rPr>
          <w:b/>
          <w:sz w:val="24"/>
          <w:szCs w:val="24"/>
        </w:rPr>
      </w:pPr>
      <w:r w:rsidRPr="009037C4">
        <w:rPr>
          <w:b/>
          <w:sz w:val="24"/>
          <w:szCs w:val="24"/>
        </w:rPr>
        <w:t>4.3</w:t>
      </w:r>
      <w:r w:rsidRPr="009037C4">
        <w:rPr>
          <w:b/>
          <w:sz w:val="24"/>
          <w:szCs w:val="24"/>
        </w:rPr>
        <w:tab/>
        <w:t>Kontraindikationer</w:t>
      </w:r>
    </w:p>
    <w:p w:rsidR="00C04F1E" w:rsidRPr="009037C4" w:rsidRDefault="00C04F1E" w:rsidP="00C04F1E">
      <w:pPr>
        <w:numPr>
          <w:ilvl w:val="0"/>
          <w:numId w:val="6"/>
        </w:numPr>
        <w:tabs>
          <w:tab w:val="left" w:pos="1134"/>
        </w:tabs>
        <w:ind w:left="1134" w:hanging="283"/>
        <w:rPr>
          <w:sz w:val="24"/>
          <w:szCs w:val="24"/>
        </w:rPr>
      </w:pPr>
      <w:r w:rsidRPr="009037C4">
        <w:rPr>
          <w:sz w:val="24"/>
          <w:szCs w:val="24"/>
        </w:rPr>
        <w:t xml:space="preserve">Overfølsomhed over for de aktive stoffer eller over for et eller flere af hjælpestofferne anført i pkt. 6.1 </w:t>
      </w:r>
    </w:p>
    <w:p w:rsidR="00C04F1E" w:rsidRPr="009037C4" w:rsidRDefault="00C04F1E" w:rsidP="00C04F1E">
      <w:pPr>
        <w:numPr>
          <w:ilvl w:val="0"/>
          <w:numId w:val="6"/>
        </w:numPr>
        <w:ind w:left="1134" w:hanging="283"/>
        <w:rPr>
          <w:sz w:val="24"/>
          <w:szCs w:val="24"/>
        </w:rPr>
      </w:pPr>
      <w:proofErr w:type="spellStart"/>
      <w:r w:rsidRPr="009037C4">
        <w:rPr>
          <w:sz w:val="24"/>
          <w:szCs w:val="24"/>
        </w:rPr>
        <w:t>Actikerall</w:t>
      </w:r>
      <w:proofErr w:type="spellEnd"/>
      <w:r w:rsidRPr="009037C4">
        <w:rPr>
          <w:sz w:val="24"/>
          <w:szCs w:val="24"/>
        </w:rPr>
        <w:t xml:space="preserve"> er kontraindiceret under graviditet og amning </w:t>
      </w:r>
      <w:r w:rsidRPr="009037C4">
        <w:rPr>
          <w:noProof/>
          <w:sz w:val="24"/>
          <w:szCs w:val="24"/>
        </w:rPr>
        <w:t xml:space="preserve">(se </w:t>
      </w:r>
      <w:r w:rsidRPr="009037C4">
        <w:rPr>
          <w:sz w:val="24"/>
          <w:szCs w:val="24"/>
        </w:rPr>
        <w:t xml:space="preserve">pkt. </w:t>
      </w:r>
      <w:r w:rsidRPr="009037C4">
        <w:rPr>
          <w:noProof/>
          <w:sz w:val="24"/>
          <w:szCs w:val="24"/>
        </w:rPr>
        <w:t>4.6)</w:t>
      </w:r>
    </w:p>
    <w:p w:rsidR="00C04F1E" w:rsidRPr="009037C4" w:rsidRDefault="00C04F1E" w:rsidP="00C04F1E">
      <w:pPr>
        <w:numPr>
          <w:ilvl w:val="0"/>
          <w:numId w:val="6"/>
        </w:numPr>
        <w:tabs>
          <w:tab w:val="left" w:pos="1134"/>
        </w:tabs>
        <w:ind w:left="1134" w:hanging="283"/>
        <w:rPr>
          <w:sz w:val="24"/>
          <w:szCs w:val="24"/>
        </w:rPr>
      </w:pPr>
      <w:proofErr w:type="spellStart"/>
      <w:r w:rsidRPr="009037C4">
        <w:rPr>
          <w:sz w:val="24"/>
          <w:szCs w:val="24"/>
        </w:rPr>
        <w:t>Actikerall</w:t>
      </w:r>
      <w:proofErr w:type="spellEnd"/>
      <w:r w:rsidRPr="009037C4">
        <w:rPr>
          <w:sz w:val="24"/>
          <w:szCs w:val="24"/>
        </w:rPr>
        <w:t xml:space="preserve"> må ikke anvendes til behandling af patienter med nyreinsufficiens</w:t>
      </w:r>
    </w:p>
    <w:p w:rsidR="00C04F1E" w:rsidRPr="009037C4" w:rsidRDefault="00C04F1E" w:rsidP="00C04F1E">
      <w:pPr>
        <w:numPr>
          <w:ilvl w:val="0"/>
          <w:numId w:val="6"/>
        </w:numPr>
        <w:tabs>
          <w:tab w:val="left" w:pos="1134"/>
        </w:tabs>
        <w:ind w:left="1134" w:hanging="283"/>
        <w:rPr>
          <w:sz w:val="24"/>
          <w:szCs w:val="24"/>
        </w:rPr>
      </w:pPr>
      <w:proofErr w:type="spellStart"/>
      <w:r w:rsidRPr="009037C4">
        <w:rPr>
          <w:sz w:val="24"/>
          <w:szCs w:val="24"/>
        </w:rPr>
        <w:t>Actikerall</w:t>
      </w:r>
      <w:proofErr w:type="spellEnd"/>
      <w:r w:rsidRPr="009037C4">
        <w:rPr>
          <w:sz w:val="24"/>
          <w:szCs w:val="24"/>
        </w:rPr>
        <w:t xml:space="preserve"> må ikke anvendes sammen med </w:t>
      </w:r>
      <w:proofErr w:type="spellStart"/>
      <w:r w:rsidRPr="009037C4">
        <w:rPr>
          <w:sz w:val="24"/>
          <w:szCs w:val="24"/>
        </w:rPr>
        <w:t>brivudin</w:t>
      </w:r>
      <w:proofErr w:type="spellEnd"/>
      <w:r w:rsidRPr="009037C4">
        <w:rPr>
          <w:sz w:val="24"/>
          <w:szCs w:val="24"/>
        </w:rPr>
        <w:t xml:space="preserve">, </w:t>
      </w:r>
      <w:proofErr w:type="spellStart"/>
      <w:r w:rsidRPr="009037C4">
        <w:rPr>
          <w:sz w:val="24"/>
          <w:szCs w:val="24"/>
        </w:rPr>
        <w:t>sorivudin</w:t>
      </w:r>
      <w:proofErr w:type="spellEnd"/>
      <w:r w:rsidRPr="009037C4">
        <w:rPr>
          <w:sz w:val="24"/>
          <w:szCs w:val="24"/>
        </w:rPr>
        <w:t xml:space="preserve"> og </w:t>
      </w:r>
      <w:proofErr w:type="spellStart"/>
      <w:r w:rsidRPr="009037C4">
        <w:rPr>
          <w:sz w:val="24"/>
          <w:szCs w:val="24"/>
        </w:rPr>
        <w:t>analoger</w:t>
      </w:r>
      <w:proofErr w:type="spellEnd"/>
      <w:r w:rsidRPr="009037C4">
        <w:rPr>
          <w:sz w:val="24"/>
          <w:szCs w:val="24"/>
        </w:rPr>
        <w:t xml:space="preserve">. </w:t>
      </w:r>
      <w:proofErr w:type="spellStart"/>
      <w:r w:rsidRPr="009037C4">
        <w:rPr>
          <w:sz w:val="24"/>
          <w:szCs w:val="24"/>
        </w:rPr>
        <w:t>Brivudin</w:t>
      </w:r>
      <w:proofErr w:type="spellEnd"/>
      <w:r w:rsidRPr="009037C4">
        <w:rPr>
          <w:sz w:val="24"/>
          <w:szCs w:val="24"/>
        </w:rPr>
        <w:t xml:space="preserve">, </w:t>
      </w:r>
      <w:proofErr w:type="spellStart"/>
      <w:r w:rsidRPr="009037C4">
        <w:rPr>
          <w:sz w:val="24"/>
          <w:szCs w:val="24"/>
        </w:rPr>
        <w:t>sorivudin</w:t>
      </w:r>
      <w:proofErr w:type="spellEnd"/>
      <w:r w:rsidRPr="009037C4">
        <w:rPr>
          <w:sz w:val="24"/>
          <w:szCs w:val="24"/>
        </w:rPr>
        <w:t xml:space="preserve"> og </w:t>
      </w:r>
      <w:proofErr w:type="spellStart"/>
      <w:r w:rsidRPr="009037C4">
        <w:rPr>
          <w:sz w:val="24"/>
          <w:szCs w:val="24"/>
        </w:rPr>
        <w:t>analoger</w:t>
      </w:r>
      <w:proofErr w:type="spellEnd"/>
      <w:r w:rsidRPr="009037C4">
        <w:rPr>
          <w:sz w:val="24"/>
          <w:szCs w:val="24"/>
        </w:rPr>
        <w:t xml:space="preserve"> er potente inhibitorer af det </w:t>
      </w:r>
      <w:proofErr w:type="spellStart"/>
      <w:r w:rsidRPr="009037C4">
        <w:rPr>
          <w:sz w:val="24"/>
          <w:szCs w:val="24"/>
        </w:rPr>
        <w:t>fluoruracil-metaboliserende</w:t>
      </w:r>
      <w:proofErr w:type="spellEnd"/>
      <w:r w:rsidRPr="009037C4">
        <w:rPr>
          <w:sz w:val="24"/>
          <w:szCs w:val="24"/>
        </w:rPr>
        <w:t xml:space="preserve"> enzym </w:t>
      </w:r>
      <w:proofErr w:type="spellStart"/>
      <w:r w:rsidRPr="009037C4">
        <w:rPr>
          <w:sz w:val="24"/>
          <w:szCs w:val="24"/>
        </w:rPr>
        <w:t>dihydropyrimidin-dehydrogenase</w:t>
      </w:r>
      <w:proofErr w:type="spellEnd"/>
      <w:r w:rsidRPr="009037C4">
        <w:rPr>
          <w:sz w:val="24"/>
          <w:szCs w:val="24"/>
        </w:rPr>
        <w:t xml:space="preserve"> (DPD) (se også pkt. </w:t>
      </w:r>
      <w:r w:rsidR="001364BE" w:rsidRPr="00E133A6">
        <w:rPr>
          <w:sz w:val="24"/>
          <w:szCs w:val="24"/>
        </w:rPr>
        <w:t>4.5</w:t>
      </w:r>
      <w:r w:rsidRPr="009037C4">
        <w:rPr>
          <w:sz w:val="24"/>
          <w:szCs w:val="24"/>
        </w:rPr>
        <w:t>).</w:t>
      </w:r>
    </w:p>
    <w:p w:rsidR="00C04F1E" w:rsidRPr="009037C4" w:rsidRDefault="00C04F1E" w:rsidP="00C04F1E">
      <w:pPr>
        <w:numPr>
          <w:ilvl w:val="0"/>
          <w:numId w:val="6"/>
        </w:numPr>
        <w:tabs>
          <w:tab w:val="left" w:pos="1134"/>
        </w:tabs>
        <w:ind w:left="1134" w:hanging="283"/>
        <w:rPr>
          <w:sz w:val="24"/>
          <w:szCs w:val="24"/>
        </w:rPr>
      </w:pPr>
      <w:proofErr w:type="spellStart"/>
      <w:r w:rsidRPr="009037C4">
        <w:rPr>
          <w:sz w:val="24"/>
          <w:szCs w:val="24"/>
        </w:rPr>
        <w:t>Actikerall</w:t>
      </w:r>
      <w:proofErr w:type="spellEnd"/>
      <w:r w:rsidRPr="009037C4">
        <w:rPr>
          <w:sz w:val="24"/>
          <w:szCs w:val="24"/>
        </w:rPr>
        <w:t xml:space="preserve"> må ikke</w:t>
      </w:r>
      <w:r w:rsidRPr="009037C4">
        <w:rPr>
          <w:noProof/>
          <w:sz w:val="24"/>
          <w:szCs w:val="24"/>
        </w:rPr>
        <w:t xml:space="preserve"> komme i kontakt med øjne eller slimhinder.</w:t>
      </w: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4.4</w:t>
      </w:r>
      <w:r w:rsidRPr="009037C4">
        <w:rPr>
          <w:b/>
          <w:sz w:val="24"/>
          <w:szCs w:val="24"/>
        </w:rPr>
        <w:tab/>
        <w:t>Særlige advarsler og forsigtighedsregler vedrørende brugen</w:t>
      </w:r>
    </w:p>
    <w:p w:rsidR="009037C4" w:rsidRPr="009037C4" w:rsidRDefault="009037C4" w:rsidP="00C04F1E">
      <w:pPr>
        <w:tabs>
          <w:tab w:val="left" w:pos="851"/>
        </w:tabs>
        <w:ind w:left="1702" w:hanging="851"/>
        <w:rPr>
          <w:sz w:val="24"/>
          <w:szCs w:val="24"/>
          <w:u w:val="single"/>
        </w:rPr>
      </w:pPr>
    </w:p>
    <w:p w:rsidR="001364BE" w:rsidRDefault="001364BE" w:rsidP="001364BE">
      <w:pPr>
        <w:tabs>
          <w:tab w:val="left" w:pos="851"/>
        </w:tabs>
        <w:ind w:left="1702" w:hanging="851"/>
        <w:rPr>
          <w:sz w:val="24"/>
          <w:szCs w:val="24"/>
          <w:u w:val="single"/>
        </w:rPr>
      </w:pPr>
      <w:proofErr w:type="gramStart"/>
      <w:r>
        <w:rPr>
          <w:sz w:val="24"/>
          <w:szCs w:val="24"/>
          <w:u w:val="single"/>
        </w:rPr>
        <w:t>DPD enzymet</w:t>
      </w:r>
      <w:proofErr w:type="gramEnd"/>
    </w:p>
    <w:p w:rsidR="001364BE" w:rsidRDefault="001364BE" w:rsidP="001364BE">
      <w:pPr>
        <w:tabs>
          <w:tab w:val="left" w:pos="851"/>
        </w:tabs>
        <w:ind w:left="1702" w:hanging="851"/>
      </w:pPr>
      <w:r>
        <w:t xml:space="preserve">Enzymet </w:t>
      </w:r>
      <w:proofErr w:type="spellStart"/>
      <w:r>
        <w:t>dihydropyrimidindehydrogenase</w:t>
      </w:r>
      <w:proofErr w:type="spellEnd"/>
      <w:r>
        <w:t xml:space="preserve"> (DPD) spiller en vigtig rolle i nedbrydningen af</w:t>
      </w:r>
    </w:p>
    <w:p w:rsidR="001364BE" w:rsidRDefault="001364BE" w:rsidP="001364BE">
      <w:pPr>
        <w:tabs>
          <w:tab w:val="left" w:pos="851"/>
        </w:tabs>
        <w:ind w:left="1702" w:hanging="851"/>
      </w:pPr>
      <w:proofErr w:type="spellStart"/>
      <w:r>
        <w:t>fluoruracil</w:t>
      </w:r>
      <w:proofErr w:type="spellEnd"/>
      <w:r>
        <w:t>. Hæmning, mangel eller mindsket aktivitet af dette enzym kan resultere i ophobning</w:t>
      </w:r>
    </w:p>
    <w:p w:rsidR="001364BE" w:rsidRDefault="001364BE" w:rsidP="001364BE">
      <w:pPr>
        <w:tabs>
          <w:tab w:val="left" w:pos="851"/>
        </w:tabs>
        <w:ind w:left="1702" w:hanging="851"/>
      </w:pPr>
      <w:r>
        <w:t xml:space="preserve">af </w:t>
      </w:r>
      <w:proofErr w:type="spellStart"/>
      <w:r>
        <w:t>fluoruracil</w:t>
      </w:r>
      <w:proofErr w:type="spellEnd"/>
      <w:r>
        <w:t xml:space="preserve">. Da </w:t>
      </w:r>
      <w:proofErr w:type="spellStart"/>
      <w:r>
        <w:t>perkutan</w:t>
      </w:r>
      <w:proofErr w:type="spellEnd"/>
      <w:r>
        <w:t xml:space="preserve"> absorption af </w:t>
      </w:r>
      <w:proofErr w:type="spellStart"/>
      <w:r>
        <w:t>fluorouracil</w:t>
      </w:r>
      <w:proofErr w:type="spellEnd"/>
      <w:r>
        <w:t xml:space="preserve"> er ubetydelig, når </w:t>
      </w:r>
      <w:proofErr w:type="spellStart"/>
      <w:r>
        <w:t>Actikerall</w:t>
      </w:r>
      <w:proofErr w:type="spellEnd"/>
    </w:p>
    <w:p w:rsidR="001364BE" w:rsidRDefault="001364BE" w:rsidP="001364BE">
      <w:pPr>
        <w:tabs>
          <w:tab w:val="left" w:pos="851"/>
        </w:tabs>
        <w:ind w:left="1702" w:hanging="851"/>
      </w:pPr>
      <w:r>
        <w:t>administreres i henhold til den godkendte produktinformation, forventes der imidlertid ingen</w:t>
      </w:r>
    </w:p>
    <w:p w:rsidR="001364BE" w:rsidRDefault="001364BE" w:rsidP="001364BE">
      <w:pPr>
        <w:tabs>
          <w:tab w:val="left" w:pos="851"/>
        </w:tabs>
        <w:ind w:left="1702" w:hanging="851"/>
      </w:pPr>
      <w:r>
        <w:t xml:space="preserve">forskelle i sikkerhedsprofilen for </w:t>
      </w:r>
      <w:proofErr w:type="spellStart"/>
      <w:r>
        <w:t>Actikerall</w:t>
      </w:r>
      <w:proofErr w:type="spellEnd"/>
      <w:r>
        <w:t xml:space="preserve"> i denne underpopulation og dosisjusteringer anses</w:t>
      </w:r>
    </w:p>
    <w:p w:rsidR="001364BE" w:rsidRDefault="001364BE" w:rsidP="001364BE">
      <w:pPr>
        <w:tabs>
          <w:tab w:val="left" w:pos="851"/>
        </w:tabs>
        <w:ind w:left="1702" w:hanging="851"/>
      </w:pPr>
      <w:r>
        <w:t>ikke for nødvendige.</w:t>
      </w:r>
    </w:p>
    <w:p w:rsidR="001364BE" w:rsidRDefault="001364BE" w:rsidP="001364BE">
      <w:pPr>
        <w:tabs>
          <w:tab w:val="left" w:pos="851"/>
        </w:tabs>
        <w:rPr>
          <w:sz w:val="24"/>
          <w:szCs w:val="24"/>
        </w:rPr>
      </w:pPr>
    </w:p>
    <w:p w:rsidR="001364BE" w:rsidRDefault="001364BE" w:rsidP="001364BE">
      <w:pPr>
        <w:tabs>
          <w:tab w:val="left" w:pos="851"/>
        </w:tabs>
        <w:ind w:left="851"/>
        <w:rPr>
          <w:sz w:val="24"/>
          <w:szCs w:val="24"/>
          <w:u w:val="single"/>
        </w:rPr>
      </w:pPr>
      <w:r>
        <w:rPr>
          <w:sz w:val="24"/>
          <w:szCs w:val="24"/>
          <w:u w:val="single"/>
        </w:rPr>
        <w:t>Sensoriske forstyrrelser</w:t>
      </w:r>
    </w:p>
    <w:p w:rsidR="001364BE" w:rsidRDefault="001364BE" w:rsidP="001364BE">
      <w:pPr>
        <w:numPr>
          <w:ilvl w:val="0"/>
          <w:numId w:val="7"/>
        </w:numPr>
        <w:tabs>
          <w:tab w:val="left" w:pos="851"/>
        </w:tabs>
        <w:ind w:left="1134" w:hanging="283"/>
        <w:rPr>
          <w:sz w:val="24"/>
          <w:szCs w:val="24"/>
        </w:rPr>
      </w:pPr>
      <w:r>
        <w:rPr>
          <w:sz w:val="24"/>
          <w:szCs w:val="24"/>
        </w:rPr>
        <w:t>Hos patienter med sensoriske forstyrrelser (f.eks. dem med diabetes mellitus) er tæt medicinsk overvågning af behandlingsområdet påkrævet.</w:t>
      </w:r>
    </w:p>
    <w:p w:rsidR="001364BE" w:rsidRDefault="001364BE" w:rsidP="001364BE">
      <w:pPr>
        <w:tabs>
          <w:tab w:val="left" w:pos="851"/>
        </w:tabs>
        <w:ind w:left="851"/>
        <w:rPr>
          <w:sz w:val="24"/>
          <w:szCs w:val="24"/>
        </w:rPr>
      </w:pPr>
    </w:p>
    <w:p w:rsidR="001364BE" w:rsidRDefault="001364BE" w:rsidP="001364BE">
      <w:pPr>
        <w:tabs>
          <w:tab w:val="left" w:pos="851"/>
        </w:tabs>
        <w:ind w:left="851"/>
        <w:rPr>
          <w:sz w:val="24"/>
          <w:szCs w:val="24"/>
          <w:u w:val="single"/>
        </w:rPr>
      </w:pPr>
      <w:r>
        <w:rPr>
          <w:sz w:val="24"/>
          <w:szCs w:val="24"/>
          <w:u w:val="single"/>
        </w:rPr>
        <w:t>Soleksponering</w:t>
      </w:r>
    </w:p>
    <w:p w:rsidR="001364BE" w:rsidRDefault="001364BE" w:rsidP="001364BE">
      <w:pPr>
        <w:numPr>
          <w:ilvl w:val="0"/>
          <w:numId w:val="7"/>
        </w:numPr>
        <w:tabs>
          <w:tab w:val="left" w:pos="851"/>
        </w:tabs>
        <w:ind w:left="1134" w:hanging="283"/>
        <w:rPr>
          <w:sz w:val="24"/>
          <w:szCs w:val="24"/>
        </w:rPr>
      </w:pPr>
      <w:proofErr w:type="spellStart"/>
      <w:r>
        <w:rPr>
          <w:sz w:val="24"/>
          <w:szCs w:val="24"/>
        </w:rPr>
        <w:t>Aktinisk</w:t>
      </w:r>
      <w:proofErr w:type="spellEnd"/>
      <w:r>
        <w:rPr>
          <w:sz w:val="24"/>
          <w:szCs w:val="24"/>
        </w:rPr>
        <w:t xml:space="preserve"> </w:t>
      </w:r>
      <w:proofErr w:type="spellStart"/>
      <w:r>
        <w:rPr>
          <w:sz w:val="24"/>
          <w:szCs w:val="24"/>
        </w:rPr>
        <w:t>keratose</w:t>
      </w:r>
      <w:proofErr w:type="spellEnd"/>
      <w:r>
        <w:rPr>
          <w:sz w:val="24"/>
          <w:szCs w:val="24"/>
        </w:rPr>
        <w:t xml:space="preserve"> skyldes kroniske UV-skader og ethvert område, hvor </w:t>
      </w:r>
      <w:proofErr w:type="spellStart"/>
      <w:r>
        <w:rPr>
          <w:sz w:val="24"/>
          <w:szCs w:val="24"/>
        </w:rPr>
        <w:t>Actikerall</w:t>
      </w:r>
      <w:proofErr w:type="spellEnd"/>
      <w:r>
        <w:rPr>
          <w:sz w:val="24"/>
          <w:szCs w:val="24"/>
        </w:rPr>
        <w:t xml:space="preserve"> er blevet anvendt, kan forværres ved eksponering for sol. Patienter bør rådes til at beskytte huden mod yderligere overdreven eller kumulativ eksponering, især området der bliver behandlet.</w:t>
      </w:r>
    </w:p>
    <w:p w:rsidR="001364BE" w:rsidRDefault="001364BE" w:rsidP="001364BE">
      <w:pPr>
        <w:tabs>
          <w:tab w:val="left" w:pos="851"/>
        </w:tabs>
        <w:ind w:left="851"/>
        <w:rPr>
          <w:sz w:val="24"/>
          <w:szCs w:val="24"/>
        </w:rPr>
      </w:pPr>
    </w:p>
    <w:p w:rsidR="001364BE" w:rsidRDefault="001364BE" w:rsidP="001364BE">
      <w:pPr>
        <w:tabs>
          <w:tab w:val="left" w:pos="851"/>
        </w:tabs>
        <w:ind w:left="851"/>
        <w:rPr>
          <w:sz w:val="24"/>
          <w:szCs w:val="24"/>
          <w:u w:val="single"/>
        </w:rPr>
      </w:pPr>
      <w:r>
        <w:rPr>
          <w:sz w:val="24"/>
          <w:szCs w:val="24"/>
          <w:u w:val="single"/>
        </w:rPr>
        <w:t>Andre hudsygdomme</w:t>
      </w:r>
    </w:p>
    <w:p w:rsidR="001364BE" w:rsidRDefault="001364BE" w:rsidP="001364BE">
      <w:pPr>
        <w:numPr>
          <w:ilvl w:val="0"/>
          <w:numId w:val="7"/>
        </w:numPr>
        <w:tabs>
          <w:tab w:val="left" w:pos="851"/>
        </w:tabs>
        <w:ind w:left="1134" w:hanging="283"/>
        <w:rPr>
          <w:sz w:val="24"/>
          <w:szCs w:val="24"/>
        </w:rPr>
      </w:pPr>
      <w:r>
        <w:rPr>
          <w:sz w:val="24"/>
          <w:szCs w:val="24"/>
        </w:rPr>
        <w:t xml:space="preserve">Der er ingen erfaring med behandling af </w:t>
      </w:r>
      <w:proofErr w:type="spellStart"/>
      <w:r>
        <w:rPr>
          <w:sz w:val="24"/>
          <w:szCs w:val="24"/>
        </w:rPr>
        <w:t>aktiniske</w:t>
      </w:r>
      <w:proofErr w:type="spellEnd"/>
      <w:r>
        <w:rPr>
          <w:sz w:val="24"/>
          <w:szCs w:val="24"/>
        </w:rPr>
        <w:t xml:space="preserve"> </w:t>
      </w:r>
      <w:proofErr w:type="spellStart"/>
      <w:r>
        <w:rPr>
          <w:sz w:val="24"/>
          <w:szCs w:val="24"/>
        </w:rPr>
        <w:t>keratoser</w:t>
      </w:r>
      <w:proofErr w:type="spellEnd"/>
      <w:r>
        <w:rPr>
          <w:sz w:val="24"/>
          <w:szCs w:val="24"/>
        </w:rPr>
        <w:t xml:space="preserve"> i et område, der også påvirkes af en anden hudsygdom, og klinikeren bør tage hensyn til, at resultatet af behandlingen kan variere.</w:t>
      </w:r>
    </w:p>
    <w:p w:rsidR="001364BE" w:rsidRDefault="001364BE" w:rsidP="001364BE">
      <w:pPr>
        <w:numPr>
          <w:ilvl w:val="0"/>
          <w:numId w:val="7"/>
        </w:numPr>
        <w:tabs>
          <w:tab w:val="left" w:pos="851"/>
        </w:tabs>
        <w:ind w:left="1134" w:hanging="283"/>
        <w:rPr>
          <w:sz w:val="24"/>
          <w:szCs w:val="24"/>
        </w:rPr>
      </w:pPr>
      <w:r>
        <w:rPr>
          <w:sz w:val="24"/>
          <w:szCs w:val="24"/>
        </w:rPr>
        <w:t xml:space="preserve">Der er ingen erfaring med behandling af basalcelle </w:t>
      </w:r>
      <w:proofErr w:type="spellStart"/>
      <w:r>
        <w:rPr>
          <w:sz w:val="24"/>
          <w:szCs w:val="24"/>
        </w:rPr>
        <w:t>carcinom</w:t>
      </w:r>
      <w:proofErr w:type="spellEnd"/>
      <w:r>
        <w:rPr>
          <w:sz w:val="24"/>
          <w:szCs w:val="24"/>
        </w:rPr>
        <w:t xml:space="preserve"> (BCC) og Bowens sygdom, som derfor ikke bør behandles med produktet. </w:t>
      </w:r>
    </w:p>
    <w:p w:rsidR="001364BE" w:rsidRDefault="001364BE" w:rsidP="001364BE">
      <w:pPr>
        <w:tabs>
          <w:tab w:val="left" w:pos="851"/>
        </w:tabs>
        <w:ind w:left="851"/>
        <w:rPr>
          <w:sz w:val="24"/>
          <w:szCs w:val="24"/>
        </w:rPr>
      </w:pPr>
    </w:p>
    <w:p w:rsidR="001364BE" w:rsidRDefault="001364BE" w:rsidP="001364BE">
      <w:pPr>
        <w:tabs>
          <w:tab w:val="left" w:pos="851"/>
        </w:tabs>
        <w:ind w:left="851"/>
        <w:rPr>
          <w:sz w:val="24"/>
          <w:szCs w:val="24"/>
          <w:u w:val="single"/>
        </w:rPr>
      </w:pPr>
      <w:r>
        <w:rPr>
          <w:sz w:val="24"/>
          <w:szCs w:val="24"/>
          <w:u w:val="single"/>
        </w:rPr>
        <w:t>Generelt</w:t>
      </w:r>
    </w:p>
    <w:p w:rsidR="001364BE" w:rsidRDefault="001364BE" w:rsidP="001364BE">
      <w:pPr>
        <w:numPr>
          <w:ilvl w:val="0"/>
          <w:numId w:val="7"/>
        </w:numPr>
        <w:tabs>
          <w:tab w:val="left" w:pos="851"/>
        </w:tabs>
        <w:ind w:left="1134" w:hanging="283"/>
        <w:rPr>
          <w:sz w:val="24"/>
          <w:szCs w:val="24"/>
        </w:rPr>
      </w:pPr>
      <w:proofErr w:type="spellStart"/>
      <w:r>
        <w:rPr>
          <w:sz w:val="24"/>
          <w:szCs w:val="24"/>
        </w:rPr>
        <w:t>Actikerall</w:t>
      </w:r>
      <w:proofErr w:type="spellEnd"/>
      <w:r>
        <w:rPr>
          <w:sz w:val="24"/>
          <w:szCs w:val="24"/>
        </w:rPr>
        <w:t xml:space="preserve"> indeholder det </w:t>
      </w:r>
      <w:proofErr w:type="spellStart"/>
      <w:r>
        <w:rPr>
          <w:sz w:val="24"/>
          <w:szCs w:val="24"/>
        </w:rPr>
        <w:t>cytostatiske</w:t>
      </w:r>
      <w:proofErr w:type="spellEnd"/>
      <w:r>
        <w:rPr>
          <w:sz w:val="24"/>
          <w:szCs w:val="24"/>
        </w:rPr>
        <w:t xml:space="preserve"> middel </w:t>
      </w:r>
      <w:proofErr w:type="spellStart"/>
      <w:r>
        <w:rPr>
          <w:sz w:val="24"/>
          <w:szCs w:val="24"/>
        </w:rPr>
        <w:t>fluoruracil</w:t>
      </w:r>
      <w:proofErr w:type="spellEnd"/>
    </w:p>
    <w:p w:rsidR="001364BE" w:rsidRDefault="001364BE" w:rsidP="001364BE">
      <w:pPr>
        <w:numPr>
          <w:ilvl w:val="0"/>
          <w:numId w:val="7"/>
        </w:numPr>
        <w:tabs>
          <w:tab w:val="left" w:pos="851"/>
        </w:tabs>
        <w:ind w:left="1134" w:hanging="283"/>
        <w:rPr>
          <w:sz w:val="24"/>
          <w:szCs w:val="24"/>
        </w:rPr>
      </w:pPr>
      <w:proofErr w:type="spellStart"/>
      <w:r>
        <w:rPr>
          <w:sz w:val="24"/>
          <w:szCs w:val="24"/>
        </w:rPr>
        <w:t>Actikerall</w:t>
      </w:r>
      <w:proofErr w:type="spellEnd"/>
      <w:r>
        <w:rPr>
          <w:sz w:val="24"/>
          <w:szCs w:val="24"/>
        </w:rPr>
        <w:t xml:space="preserve"> bør ikke anvendes på læsioner som bløder.</w:t>
      </w:r>
    </w:p>
    <w:p w:rsidR="001364BE" w:rsidRDefault="001364BE" w:rsidP="001364BE">
      <w:pPr>
        <w:numPr>
          <w:ilvl w:val="0"/>
          <w:numId w:val="7"/>
        </w:numPr>
        <w:tabs>
          <w:tab w:val="left" w:pos="851"/>
        </w:tabs>
        <w:ind w:left="1134" w:hanging="283"/>
        <w:rPr>
          <w:sz w:val="24"/>
          <w:szCs w:val="24"/>
        </w:rPr>
      </w:pPr>
      <w:r>
        <w:rPr>
          <w:sz w:val="24"/>
          <w:szCs w:val="24"/>
        </w:rPr>
        <w:t>Flasken skal lukkes tæt efter brug, da opløsningen hurtigt tørrer ud og ikke længere kan bruges korrekt.</w:t>
      </w:r>
    </w:p>
    <w:p w:rsidR="001364BE" w:rsidRDefault="001364BE" w:rsidP="001364BE">
      <w:pPr>
        <w:numPr>
          <w:ilvl w:val="0"/>
          <w:numId w:val="8"/>
        </w:numPr>
        <w:tabs>
          <w:tab w:val="left" w:pos="851"/>
        </w:tabs>
        <w:ind w:left="1134" w:hanging="283"/>
        <w:rPr>
          <w:sz w:val="24"/>
          <w:szCs w:val="24"/>
        </w:rPr>
      </w:pPr>
      <w:r>
        <w:rPr>
          <w:sz w:val="24"/>
          <w:szCs w:val="24"/>
        </w:rPr>
        <w:t>Opløsningen bør ikke anvendes, hvis der opstår krystaller.</w:t>
      </w:r>
    </w:p>
    <w:p w:rsidR="001364BE" w:rsidRDefault="001364BE" w:rsidP="001364BE">
      <w:pPr>
        <w:numPr>
          <w:ilvl w:val="0"/>
          <w:numId w:val="8"/>
        </w:numPr>
        <w:tabs>
          <w:tab w:val="left" w:pos="851"/>
        </w:tabs>
        <w:ind w:left="1134" w:hanging="283"/>
        <w:rPr>
          <w:sz w:val="24"/>
          <w:szCs w:val="24"/>
        </w:rPr>
      </w:pPr>
      <w:r>
        <w:rPr>
          <w:sz w:val="24"/>
          <w:szCs w:val="24"/>
        </w:rPr>
        <w:t xml:space="preserve"> </w:t>
      </w:r>
      <w:proofErr w:type="spellStart"/>
      <w:r>
        <w:rPr>
          <w:sz w:val="24"/>
          <w:szCs w:val="24"/>
        </w:rPr>
        <w:t>Actikerall</w:t>
      </w:r>
      <w:proofErr w:type="spellEnd"/>
      <w:r>
        <w:rPr>
          <w:sz w:val="24"/>
          <w:szCs w:val="24"/>
        </w:rPr>
        <w:t xml:space="preserve"> opløsning bør ikke komme i kontakt med tekstiler eller akryl (f.eks. badekar af akryl) da opløsningen kan forårsage permanente pletter.</w:t>
      </w:r>
    </w:p>
    <w:p w:rsidR="001364BE" w:rsidRDefault="001364BE" w:rsidP="001364BE">
      <w:pPr>
        <w:numPr>
          <w:ilvl w:val="0"/>
          <w:numId w:val="8"/>
        </w:numPr>
        <w:tabs>
          <w:tab w:val="left" w:pos="851"/>
        </w:tabs>
        <w:ind w:left="1134" w:hanging="283"/>
        <w:rPr>
          <w:sz w:val="24"/>
          <w:szCs w:val="24"/>
        </w:rPr>
      </w:pPr>
      <w:r>
        <w:rPr>
          <w:sz w:val="24"/>
          <w:szCs w:val="24"/>
        </w:rPr>
        <w:t xml:space="preserve">Advarsel: Brandfarlig - hold væk fra åben ild, tændte cigaretter og visse apparater (fx hårtørrere). </w:t>
      </w:r>
    </w:p>
    <w:p w:rsidR="001364BE" w:rsidRDefault="001364BE" w:rsidP="001364BE">
      <w:pPr>
        <w:tabs>
          <w:tab w:val="left" w:pos="851"/>
        </w:tabs>
        <w:ind w:left="851"/>
        <w:rPr>
          <w:sz w:val="24"/>
          <w:szCs w:val="24"/>
        </w:rPr>
      </w:pPr>
    </w:p>
    <w:p w:rsidR="001364BE" w:rsidRDefault="001364BE" w:rsidP="001364BE">
      <w:pPr>
        <w:tabs>
          <w:tab w:val="left" w:pos="851"/>
        </w:tabs>
        <w:ind w:left="851"/>
        <w:rPr>
          <w:sz w:val="24"/>
          <w:szCs w:val="24"/>
        </w:rPr>
      </w:pPr>
      <w:r>
        <w:rPr>
          <w:sz w:val="24"/>
          <w:szCs w:val="24"/>
        </w:rPr>
        <w:t xml:space="preserve">Dette lægemiddel indeholder </w:t>
      </w:r>
      <w:proofErr w:type="spellStart"/>
      <w:r>
        <w:rPr>
          <w:sz w:val="24"/>
          <w:szCs w:val="24"/>
        </w:rPr>
        <w:t>dimethylsulfoxid</w:t>
      </w:r>
      <w:proofErr w:type="spellEnd"/>
      <w:r>
        <w:rPr>
          <w:sz w:val="24"/>
          <w:szCs w:val="24"/>
        </w:rPr>
        <w:t>, som kan virke irriterende på huden.</w:t>
      </w:r>
    </w:p>
    <w:p w:rsidR="001364BE" w:rsidRDefault="001364BE" w:rsidP="001364BE">
      <w:pPr>
        <w:tabs>
          <w:tab w:val="left" w:pos="851"/>
        </w:tabs>
        <w:ind w:left="851"/>
        <w:rPr>
          <w:sz w:val="24"/>
          <w:szCs w:val="24"/>
        </w:rPr>
      </w:pPr>
      <w:r>
        <w:rPr>
          <w:sz w:val="24"/>
          <w:szCs w:val="24"/>
        </w:rPr>
        <w:t>Dette lægemiddel indeholder 160 mg alkohol (</w:t>
      </w:r>
      <w:proofErr w:type="spellStart"/>
      <w:r>
        <w:rPr>
          <w:sz w:val="24"/>
          <w:szCs w:val="24"/>
        </w:rPr>
        <w:t>ethanol</w:t>
      </w:r>
      <w:proofErr w:type="spellEnd"/>
      <w:r>
        <w:rPr>
          <w:sz w:val="24"/>
          <w:szCs w:val="24"/>
        </w:rPr>
        <w:t>) pr. gram. Det kan forårsage en brændende fornemmelse på skadet hud.</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4.5</w:t>
      </w:r>
      <w:r w:rsidRPr="009037C4">
        <w:rPr>
          <w:b/>
          <w:sz w:val="24"/>
          <w:szCs w:val="24"/>
        </w:rPr>
        <w:tab/>
        <w:t>Interaktion med andre lægemidler og andre former for interaktion</w:t>
      </w:r>
    </w:p>
    <w:p w:rsidR="00C04F1E" w:rsidRPr="009037C4" w:rsidRDefault="00C04F1E" w:rsidP="00C04F1E">
      <w:pPr>
        <w:tabs>
          <w:tab w:val="left" w:pos="851"/>
        </w:tabs>
        <w:ind w:left="851"/>
        <w:rPr>
          <w:sz w:val="24"/>
          <w:szCs w:val="24"/>
        </w:rPr>
      </w:pPr>
      <w:r w:rsidRPr="009037C4">
        <w:rPr>
          <w:sz w:val="24"/>
          <w:szCs w:val="24"/>
        </w:rPr>
        <w:t xml:space="preserve">Enzymet </w:t>
      </w:r>
      <w:proofErr w:type="spellStart"/>
      <w:r w:rsidRPr="009037C4">
        <w:rPr>
          <w:sz w:val="24"/>
          <w:szCs w:val="24"/>
        </w:rPr>
        <w:t>dihydropyrimidin-dehydrogenase</w:t>
      </w:r>
      <w:proofErr w:type="spellEnd"/>
      <w:r w:rsidRPr="009037C4">
        <w:rPr>
          <w:sz w:val="24"/>
          <w:szCs w:val="24"/>
        </w:rPr>
        <w:t xml:space="preserve"> (DPD) spiller en vigtig rolle for metabolismen af </w:t>
      </w:r>
      <w:proofErr w:type="spellStart"/>
      <w:r w:rsidRPr="009037C4">
        <w:rPr>
          <w:sz w:val="24"/>
          <w:szCs w:val="24"/>
        </w:rPr>
        <w:t>fluoruracil</w:t>
      </w:r>
      <w:proofErr w:type="spellEnd"/>
      <w:r w:rsidRPr="009037C4">
        <w:rPr>
          <w:sz w:val="24"/>
          <w:szCs w:val="24"/>
        </w:rPr>
        <w:t xml:space="preserve">. Antivirale </w:t>
      </w:r>
      <w:proofErr w:type="spellStart"/>
      <w:r w:rsidRPr="009037C4">
        <w:rPr>
          <w:sz w:val="24"/>
          <w:szCs w:val="24"/>
        </w:rPr>
        <w:t>nukleosid-analoger</w:t>
      </w:r>
      <w:proofErr w:type="spellEnd"/>
      <w:r w:rsidRPr="009037C4">
        <w:rPr>
          <w:sz w:val="24"/>
          <w:szCs w:val="24"/>
        </w:rPr>
        <w:t xml:space="preserve">, som f.eks. </w:t>
      </w:r>
      <w:proofErr w:type="spellStart"/>
      <w:r w:rsidRPr="009037C4">
        <w:rPr>
          <w:sz w:val="24"/>
          <w:szCs w:val="24"/>
        </w:rPr>
        <w:t>brivudin</w:t>
      </w:r>
      <w:proofErr w:type="spellEnd"/>
      <w:r w:rsidRPr="009037C4">
        <w:rPr>
          <w:sz w:val="24"/>
          <w:szCs w:val="24"/>
        </w:rPr>
        <w:t xml:space="preserve"> og </w:t>
      </w:r>
      <w:proofErr w:type="spellStart"/>
      <w:r w:rsidRPr="009037C4">
        <w:rPr>
          <w:sz w:val="24"/>
          <w:szCs w:val="24"/>
        </w:rPr>
        <w:t>sorivudin</w:t>
      </w:r>
      <w:proofErr w:type="spellEnd"/>
      <w:r w:rsidRPr="009037C4">
        <w:rPr>
          <w:sz w:val="24"/>
          <w:szCs w:val="24"/>
        </w:rPr>
        <w:t xml:space="preserve">, kan forårsage drastisk forøgede plasmakoncentrationer af </w:t>
      </w:r>
      <w:proofErr w:type="spellStart"/>
      <w:r w:rsidRPr="009037C4">
        <w:rPr>
          <w:sz w:val="24"/>
          <w:szCs w:val="24"/>
        </w:rPr>
        <w:t>fluoruracil</w:t>
      </w:r>
      <w:proofErr w:type="spellEnd"/>
      <w:r w:rsidRPr="009037C4">
        <w:rPr>
          <w:sz w:val="24"/>
          <w:szCs w:val="24"/>
        </w:rPr>
        <w:t xml:space="preserve"> og andre </w:t>
      </w:r>
      <w:proofErr w:type="spellStart"/>
      <w:r w:rsidRPr="009037C4">
        <w:rPr>
          <w:sz w:val="24"/>
          <w:szCs w:val="24"/>
        </w:rPr>
        <w:t>fluorpyrimidiner</w:t>
      </w:r>
      <w:proofErr w:type="spellEnd"/>
      <w:r w:rsidRPr="009037C4">
        <w:rPr>
          <w:sz w:val="24"/>
          <w:szCs w:val="24"/>
        </w:rPr>
        <w:t xml:space="preserve"> og dermed også øget toksicitet. Der bør derfor være et interval på mindst 4 uger mellem administration af </w:t>
      </w:r>
      <w:proofErr w:type="spellStart"/>
      <w:r w:rsidRPr="009037C4">
        <w:rPr>
          <w:sz w:val="24"/>
          <w:szCs w:val="24"/>
        </w:rPr>
        <w:t>fluoruracil</w:t>
      </w:r>
      <w:proofErr w:type="spellEnd"/>
      <w:r w:rsidRPr="009037C4">
        <w:rPr>
          <w:sz w:val="24"/>
          <w:szCs w:val="24"/>
        </w:rPr>
        <w:t xml:space="preserve"> og </w:t>
      </w:r>
      <w:proofErr w:type="spellStart"/>
      <w:r w:rsidRPr="009037C4">
        <w:rPr>
          <w:sz w:val="24"/>
          <w:szCs w:val="24"/>
        </w:rPr>
        <w:t>brivudin</w:t>
      </w:r>
      <w:proofErr w:type="spellEnd"/>
      <w:r w:rsidRPr="009037C4">
        <w:rPr>
          <w:sz w:val="24"/>
          <w:szCs w:val="24"/>
        </w:rPr>
        <w:t xml:space="preserve">, </w:t>
      </w:r>
      <w:proofErr w:type="spellStart"/>
      <w:r w:rsidRPr="009037C4">
        <w:rPr>
          <w:sz w:val="24"/>
          <w:szCs w:val="24"/>
        </w:rPr>
        <w:t>sorivudin</w:t>
      </w:r>
      <w:proofErr w:type="spellEnd"/>
      <w:r w:rsidRPr="009037C4">
        <w:rPr>
          <w:sz w:val="24"/>
          <w:szCs w:val="24"/>
        </w:rPr>
        <w:t xml:space="preserve"> eller </w:t>
      </w:r>
      <w:proofErr w:type="spellStart"/>
      <w:r w:rsidRPr="009037C4">
        <w:rPr>
          <w:sz w:val="24"/>
          <w:szCs w:val="24"/>
        </w:rPr>
        <w:t>analoger</w:t>
      </w:r>
      <w:proofErr w:type="spellEnd"/>
      <w:r w:rsidRPr="009037C4">
        <w:rPr>
          <w:sz w:val="24"/>
          <w:szCs w:val="24"/>
        </w:rPr>
        <w:t>.</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Hvis </w:t>
      </w:r>
      <w:proofErr w:type="spellStart"/>
      <w:r w:rsidRPr="009037C4">
        <w:rPr>
          <w:sz w:val="24"/>
          <w:szCs w:val="24"/>
        </w:rPr>
        <w:t>nukleosid-analoger</w:t>
      </w:r>
      <w:proofErr w:type="spellEnd"/>
      <w:r w:rsidRPr="009037C4">
        <w:rPr>
          <w:sz w:val="24"/>
          <w:szCs w:val="24"/>
        </w:rPr>
        <w:t xml:space="preserve">, som f.eks. </w:t>
      </w:r>
      <w:proofErr w:type="spellStart"/>
      <w:r w:rsidRPr="009037C4">
        <w:rPr>
          <w:sz w:val="24"/>
          <w:szCs w:val="24"/>
        </w:rPr>
        <w:t>brivudin</w:t>
      </w:r>
      <w:proofErr w:type="spellEnd"/>
      <w:r w:rsidRPr="009037C4">
        <w:rPr>
          <w:sz w:val="24"/>
          <w:szCs w:val="24"/>
        </w:rPr>
        <w:t xml:space="preserve"> og </w:t>
      </w:r>
      <w:proofErr w:type="spellStart"/>
      <w:r w:rsidRPr="009037C4">
        <w:rPr>
          <w:sz w:val="24"/>
          <w:szCs w:val="24"/>
        </w:rPr>
        <w:t>sorivudin</w:t>
      </w:r>
      <w:proofErr w:type="spellEnd"/>
      <w:r w:rsidRPr="009037C4">
        <w:rPr>
          <w:sz w:val="24"/>
          <w:szCs w:val="24"/>
        </w:rPr>
        <w:t xml:space="preserve">, ved et uheld administreres til patienter, der er bliver behandlet med </w:t>
      </w:r>
      <w:proofErr w:type="spellStart"/>
      <w:r w:rsidRPr="009037C4">
        <w:rPr>
          <w:sz w:val="24"/>
          <w:szCs w:val="24"/>
        </w:rPr>
        <w:t>fluoruracil</w:t>
      </w:r>
      <w:proofErr w:type="spellEnd"/>
      <w:r w:rsidRPr="009037C4">
        <w:rPr>
          <w:sz w:val="24"/>
          <w:szCs w:val="24"/>
        </w:rPr>
        <w:t xml:space="preserve">, bør der træffes foranstaltninger med henblik på at reducere </w:t>
      </w:r>
      <w:proofErr w:type="spellStart"/>
      <w:r w:rsidRPr="009037C4">
        <w:rPr>
          <w:sz w:val="24"/>
          <w:szCs w:val="24"/>
        </w:rPr>
        <w:t>fluoruracil</w:t>
      </w:r>
      <w:proofErr w:type="spellEnd"/>
      <w:r w:rsidRPr="009037C4">
        <w:rPr>
          <w:sz w:val="24"/>
          <w:szCs w:val="24"/>
        </w:rPr>
        <w:t>-toksiciteten. Hospitalsindlæggelse kan indiceres. Der bør træffes foranstaltninger med henblik på at hindre systemiske infektioner og dehydrering.</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Ved samtidig behandling med systemisk </w:t>
      </w:r>
      <w:proofErr w:type="spellStart"/>
      <w:r w:rsidRPr="009037C4">
        <w:rPr>
          <w:sz w:val="24"/>
          <w:szCs w:val="24"/>
        </w:rPr>
        <w:t>phenytoin</w:t>
      </w:r>
      <w:proofErr w:type="spellEnd"/>
      <w:r w:rsidRPr="009037C4">
        <w:rPr>
          <w:sz w:val="24"/>
          <w:szCs w:val="24"/>
        </w:rPr>
        <w:t xml:space="preserve"> og </w:t>
      </w:r>
      <w:proofErr w:type="spellStart"/>
      <w:r w:rsidRPr="009037C4">
        <w:rPr>
          <w:sz w:val="24"/>
          <w:szCs w:val="24"/>
        </w:rPr>
        <w:t>fluoruracil</w:t>
      </w:r>
      <w:proofErr w:type="spellEnd"/>
      <w:r w:rsidRPr="009037C4">
        <w:rPr>
          <w:sz w:val="24"/>
          <w:szCs w:val="24"/>
        </w:rPr>
        <w:t xml:space="preserve"> er der rapporteret en stigning i </w:t>
      </w:r>
      <w:proofErr w:type="spellStart"/>
      <w:r w:rsidRPr="009037C4">
        <w:rPr>
          <w:sz w:val="24"/>
          <w:szCs w:val="24"/>
        </w:rPr>
        <w:t>phenytoin</w:t>
      </w:r>
      <w:proofErr w:type="spellEnd"/>
      <w:r w:rsidRPr="009037C4">
        <w:rPr>
          <w:sz w:val="24"/>
          <w:szCs w:val="24"/>
        </w:rPr>
        <w:t xml:space="preserve">-plasmakoncentrationerne, der resulterede i symptomer på </w:t>
      </w:r>
      <w:proofErr w:type="spellStart"/>
      <w:r w:rsidRPr="009037C4">
        <w:rPr>
          <w:sz w:val="24"/>
          <w:szCs w:val="24"/>
        </w:rPr>
        <w:t>phenytoin</w:t>
      </w:r>
      <w:proofErr w:type="spellEnd"/>
      <w:r w:rsidRPr="009037C4">
        <w:rPr>
          <w:sz w:val="24"/>
          <w:szCs w:val="24"/>
        </w:rPr>
        <w:t>-toksicitet</w:t>
      </w:r>
      <w:r w:rsidR="00A2375A">
        <w:rPr>
          <w:sz w:val="24"/>
          <w:szCs w:val="24"/>
        </w:rPr>
        <w:t>.</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Der er ingen beviser for relevant systemisk absorption af salicylsyre, dog kan absorberet salicylsyre interagere med </w:t>
      </w:r>
      <w:proofErr w:type="spellStart"/>
      <w:r w:rsidRPr="009037C4">
        <w:rPr>
          <w:sz w:val="24"/>
          <w:szCs w:val="24"/>
        </w:rPr>
        <w:t>methotrexat</w:t>
      </w:r>
      <w:proofErr w:type="spellEnd"/>
      <w:r w:rsidRPr="009037C4">
        <w:rPr>
          <w:sz w:val="24"/>
          <w:szCs w:val="24"/>
        </w:rPr>
        <w:t xml:space="preserve"> og </w:t>
      </w:r>
      <w:proofErr w:type="spellStart"/>
      <w:r w:rsidRPr="009037C4">
        <w:rPr>
          <w:sz w:val="24"/>
          <w:szCs w:val="24"/>
        </w:rPr>
        <w:t>sulfonylurinstoffer</w:t>
      </w:r>
      <w:proofErr w:type="spellEnd"/>
      <w:r w:rsidRPr="009037C4">
        <w:rPr>
          <w:sz w:val="24"/>
          <w:szCs w:val="24"/>
        </w:rPr>
        <w:t>.</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4.6</w:t>
      </w:r>
      <w:r w:rsidRPr="009037C4">
        <w:rPr>
          <w:b/>
          <w:sz w:val="24"/>
          <w:szCs w:val="24"/>
        </w:rPr>
        <w:tab/>
      </w:r>
      <w:bookmarkStart w:id="2" w:name="_Hlk121742971"/>
      <w:r w:rsidR="00180457">
        <w:rPr>
          <w:b/>
          <w:noProof/>
          <w:sz w:val="24"/>
          <w:szCs w:val="24"/>
        </w:rPr>
        <w:t>Fertilitet, g</w:t>
      </w:r>
      <w:r w:rsidR="00180457">
        <w:rPr>
          <w:b/>
          <w:sz w:val="24"/>
          <w:szCs w:val="24"/>
        </w:rPr>
        <w:t>raviditet og amning</w:t>
      </w:r>
      <w:bookmarkEnd w:id="2"/>
    </w:p>
    <w:p w:rsidR="009037C4" w:rsidRPr="009037C4" w:rsidRDefault="009037C4" w:rsidP="00C04F1E">
      <w:pPr>
        <w:tabs>
          <w:tab w:val="left" w:pos="851"/>
        </w:tabs>
        <w:ind w:left="851"/>
        <w:rPr>
          <w:noProof/>
          <w:sz w:val="24"/>
          <w:szCs w:val="24"/>
          <w:u w:val="single"/>
        </w:rPr>
      </w:pPr>
    </w:p>
    <w:p w:rsidR="00C04F1E" w:rsidRPr="009037C4" w:rsidRDefault="00C04F1E" w:rsidP="00C04F1E">
      <w:pPr>
        <w:tabs>
          <w:tab w:val="left" w:pos="851"/>
        </w:tabs>
        <w:ind w:left="851"/>
        <w:rPr>
          <w:noProof/>
          <w:sz w:val="24"/>
          <w:szCs w:val="24"/>
          <w:u w:val="single"/>
        </w:rPr>
      </w:pPr>
      <w:r w:rsidRPr="009037C4">
        <w:rPr>
          <w:noProof/>
          <w:sz w:val="24"/>
          <w:szCs w:val="24"/>
          <w:u w:val="single"/>
        </w:rPr>
        <w:t>Fertilitet</w:t>
      </w:r>
    </w:p>
    <w:p w:rsidR="00C04F1E" w:rsidRPr="009037C4" w:rsidRDefault="00C04F1E" w:rsidP="00C04F1E">
      <w:pPr>
        <w:tabs>
          <w:tab w:val="left" w:pos="851"/>
        </w:tabs>
        <w:ind w:left="851"/>
        <w:rPr>
          <w:noProof/>
          <w:sz w:val="24"/>
          <w:szCs w:val="24"/>
        </w:rPr>
      </w:pPr>
      <w:r w:rsidRPr="009037C4">
        <w:rPr>
          <w:noProof/>
          <w:sz w:val="24"/>
          <w:szCs w:val="24"/>
        </w:rPr>
        <w:t>Fertilitetsstudier med systemisk fluoruracil resulterede i forbigående infertilitet i hanner og i reduktion af graviditetsrater i hungnavere. Dette er imidlertid næppe relevant for mennesker på grund af den meget begrænsede absorption af aktive stoffer efter kutan administration af Actikerall.</w:t>
      </w:r>
    </w:p>
    <w:p w:rsidR="00C04F1E" w:rsidRPr="009037C4" w:rsidRDefault="00C04F1E" w:rsidP="00C04F1E">
      <w:pPr>
        <w:tabs>
          <w:tab w:val="left" w:pos="851"/>
        </w:tabs>
        <w:ind w:left="851"/>
        <w:rPr>
          <w:noProof/>
          <w:sz w:val="24"/>
          <w:szCs w:val="24"/>
          <w:u w:val="single"/>
        </w:rPr>
      </w:pPr>
    </w:p>
    <w:p w:rsidR="00C04F1E" w:rsidRPr="009037C4" w:rsidRDefault="00C04F1E" w:rsidP="00C04F1E">
      <w:pPr>
        <w:tabs>
          <w:tab w:val="left" w:pos="851"/>
        </w:tabs>
        <w:ind w:left="851"/>
        <w:rPr>
          <w:noProof/>
          <w:sz w:val="24"/>
          <w:szCs w:val="24"/>
          <w:u w:val="single"/>
        </w:rPr>
      </w:pPr>
      <w:r w:rsidRPr="009037C4">
        <w:rPr>
          <w:noProof/>
          <w:sz w:val="24"/>
          <w:szCs w:val="24"/>
          <w:u w:val="single"/>
        </w:rPr>
        <w:t>Graviditet</w:t>
      </w:r>
    </w:p>
    <w:p w:rsidR="00C04F1E" w:rsidRPr="009037C4" w:rsidRDefault="00C04F1E" w:rsidP="00C04F1E">
      <w:pPr>
        <w:tabs>
          <w:tab w:val="left" w:pos="851"/>
        </w:tabs>
        <w:ind w:left="851"/>
        <w:rPr>
          <w:noProof/>
          <w:sz w:val="24"/>
          <w:szCs w:val="24"/>
        </w:rPr>
      </w:pPr>
      <w:r w:rsidRPr="009037C4">
        <w:rPr>
          <w:noProof/>
          <w:sz w:val="24"/>
          <w:szCs w:val="24"/>
        </w:rPr>
        <w:t>Der findes ingen data fra anvendelse af topisk fluoruracil hos gravide kvinder. En teratogen effekt af systemisk administreret fluoruracil er blevet observeret hos dyr (se pkt 5.3). Salicylsyre kan påvirke resultatet af graviditet hos gnavere negativt.</w:t>
      </w:r>
    </w:p>
    <w:p w:rsidR="00C04F1E" w:rsidRPr="009037C4" w:rsidRDefault="00C04F1E" w:rsidP="00C04F1E">
      <w:pPr>
        <w:tabs>
          <w:tab w:val="left" w:pos="851"/>
        </w:tabs>
        <w:ind w:left="851"/>
        <w:rPr>
          <w:noProof/>
          <w:sz w:val="24"/>
          <w:szCs w:val="24"/>
        </w:rPr>
      </w:pPr>
      <w:r w:rsidRPr="009037C4">
        <w:rPr>
          <w:noProof/>
          <w:sz w:val="24"/>
          <w:szCs w:val="24"/>
        </w:rPr>
        <w:t>Actikerall er kontraindiceret under graviditeten (se pkt. 4.3).</w:t>
      </w:r>
    </w:p>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noProof/>
          <w:sz w:val="24"/>
          <w:szCs w:val="24"/>
          <w:u w:val="single"/>
        </w:rPr>
      </w:pPr>
      <w:r w:rsidRPr="009037C4">
        <w:rPr>
          <w:noProof/>
          <w:sz w:val="24"/>
          <w:szCs w:val="24"/>
          <w:u w:val="single"/>
        </w:rPr>
        <w:t>Amning</w:t>
      </w:r>
    </w:p>
    <w:p w:rsidR="00C04F1E" w:rsidRPr="009037C4" w:rsidRDefault="00C04F1E" w:rsidP="00C04F1E">
      <w:pPr>
        <w:tabs>
          <w:tab w:val="left" w:pos="851"/>
        </w:tabs>
        <w:ind w:left="851"/>
        <w:rPr>
          <w:noProof/>
          <w:sz w:val="24"/>
          <w:szCs w:val="24"/>
        </w:rPr>
      </w:pPr>
      <w:r w:rsidRPr="009037C4">
        <w:rPr>
          <w:noProof/>
          <w:sz w:val="24"/>
          <w:szCs w:val="24"/>
        </w:rPr>
        <w:t xml:space="preserve">Det vides ikke, om fluoruracil eller dets metabolitter udskilles i modermælk efter topisk brug. Det kan ikke udelukkes, at der er en risiko for det ammende barn. </w:t>
      </w:r>
    </w:p>
    <w:p w:rsidR="00C04F1E" w:rsidRPr="009037C4" w:rsidRDefault="00C04F1E" w:rsidP="00C04F1E">
      <w:pPr>
        <w:tabs>
          <w:tab w:val="left" w:pos="851"/>
        </w:tabs>
        <w:ind w:left="851"/>
        <w:rPr>
          <w:noProof/>
          <w:sz w:val="24"/>
          <w:szCs w:val="24"/>
        </w:rPr>
      </w:pPr>
      <w:proofErr w:type="spellStart"/>
      <w:r w:rsidRPr="009037C4">
        <w:rPr>
          <w:sz w:val="24"/>
          <w:szCs w:val="24"/>
          <w:lang w:eastAsia="da-DK"/>
        </w:rPr>
        <w:t>Actikerall</w:t>
      </w:r>
      <w:proofErr w:type="spellEnd"/>
      <w:r w:rsidRPr="009037C4">
        <w:rPr>
          <w:noProof/>
          <w:sz w:val="24"/>
          <w:szCs w:val="24"/>
        </w:rPr>
        <w:t xml:space="preserve"> er kontraindiceret under amning (se pkt. 4.3).</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4.7</w:t>
      </w:r>
      <w:r w:rsidRPr="009037C4">
        <w:rPr>
          <w:b/>
          <w:sz w:val="24"/>
          <w:szCs w:val="24"/>
        </w:rPr>
        <w:tab/>
      </w:r>
      <w:bookmarkStart w:id="3" w:name="_Hlk121750171"/>
      <w:r w:rsidR="00180457">
        <w:rPr>
          <w:b/>
          <w:sz w:val="24"/>
          <w:szCs w:val="24"/>
        </w:rPr>
        <w:t xml:space="preserve">Virkning på evnen til at føre motorkøretøj </w:t>
      </w:r>
      <w:r w:rsidR="00180457">
        <w:rPr>
          <w:b/>
          <w:noProof/>
          <w:sz w:val="24"/>
          <w:szCs w:val="24"/>
        </w:rPr>
        <w:t>og</w:t>
      </w:r>
      <w:r w:rsidR="00180457">
        <w:rPr>
          <w:b/>
          <w:sz w:val="24"/>
          <w:szCs w:val="24"/>
        </w:rPr>
        <w:t xml:space="preserve"> betjene maskiner</w:t>
      </w:r>
      <w:bookmarkEnd w:id="3"/>
    </w:p>
    <w:p w:rsidR="00C04F1E" w:rsidRPr="009037C4" w:rsidRDefault="00C04F1E" w:rsidP="00C04F1E">
      <w:pPr>
        <w:tabs>
          <w:tab w:val="left" w:pos="851"/>
        </w:tabs>
        <w:ind w:left="851"/>
        <w:rPr>
          <w:sz w:val="24"/>
          <w:szCs w:val="24"/>
          <w:lang w:eastAsia="da-DK"/>
        </w:rPr>
      </w:pPr>
      <w:r w:rsidRPr="009037C4">
        <w:rPr>
          <w:sz w:val="24"/>
          <w:szCs w:val="24"/>
          <w:lang w:eastAsia="da-DK"/>
        </w:rPr>
        <w:t>Ikke mærkning.</w:t>
      </w:r>
    </w:p>
    <w:p w:rsidR="00C04F1E" w:rsidRPr="009037C4" w:rsidRDefault="00C04F1E" w:rsidP="00C04F1E">
      <w:pPr>
        <w:tabs>
          <w:tab w:val="left" w:pos="851"/>
        </w:tabs>
        <w:ind w:left="851"/>
        <w:rPr>
          <w:sz w:val="24"/>
          <w:szCs w:val="24"/>
        </w:rPr>
      </w:pPr>
      <w:proofErr w:type="spellStart"/>
      <w:r w:rsidRPr="009037C4">
        <w:rPr>
          <w:sz w:val="24"/>
          <w:szCs w:val="24"/>
          <w:lang w:eastAsia="da-DK"/>
        </w:rPr>
        <w:t>Actikerall</w:t>
      </w:r>
      <w:proofErr w:type="spellEnd"/>
      <w:r w:rsidRPr="009037C4">
        <w:rPr>
          <w:sz w:val="24"/>
          <w:szCs w:val="24"/>
        </w:rPr>
        <w:t xml:space="preserve"> påvirker ikke eller kun i ubetydelig grad evnen til at føre motorkøretøj eller betjene maskiner.</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4.8</w:t>
      </w:r>
      <w:r w:rsidRPr="009037C4">
        <w:rPr>
          <w:b/>
          <w:sz w:val="24"/>
          <w:szCs w:val="24"/>
        </w:rPr>
        <w:tab/>
        <w:t>Bivirkninger</w:t>
      </w:r>
    </w:p>
    <w:p w:rsidR="00BD7469" w:rsidRDefault="00BD7469" w:rsidP="00C04F1E">
      <w:pPr>
        <w:tabs>
          <w:tab w:val="left" w:pos="851"/>
        </w:tabs>
        <w:ind w:left="851"/>
        <w:rPr>
          <w:sz w:val="24"/>
          <w:szCs w:val="24"/>
        </w:rPr>
      </w:pPr>
    </w:p>
    <w:p w:rsidR="00C04F1E" w:rsidRPr="00BD7469" w:rsidRDefault="00C04F1E" w:rsidP="00C04F1E">
      <w:pPr>
        <w:tabs>
          <w:tab w:val="left" w:pos="851"/>
        </w:tabs>
        <w:ind w:left="851"/>
        <w:rPr>
          <w:sz w:val="24"/>
          <w:szCs w:val="24"/>
          <w:u w:val="single"/>
        </w:rPr>
      </w:pPr>
      <w:r w:rsidRPr="00BD7469">
        <w:rPr>
          <w:sz w:val="24"/>
          <w:szCs w:val="24"/>
          <w:u w:val="single"/>
        </w:rPr>
        <w:t>Resumé af sikkerhedsprofilen</w:t>
      </w:r>
    </w:p>
    <w:p w:rsidR="00C04F1E" w:rsidRPr="009037C4" w:rsidRDefault="00C04F1E" w:rsidP="00C04F1E">
      <w:pPr>
        <w:tabs>
          <w:tab w:val="left" w:pos="851"/>
        </w:tabs>
        <w:ind w:left="851"/>
        <w:rPr>
          <w:sz w:val="24"/>
          <w:szCs w:val="24"/>
        </w:rPr>
      </w:pPr>
      <w:r w:rsidRPr="009037C4">
        <w:rPr>
          <w:sz w:val="24"/>
          <w:szCs w:val="24"/>
        </w:rPr>
        <w:t xml:space="preserve">Let til moderat irritation og inflammation på administrationsstedet forekom hos de fleste patienter, der blev behandlet med opløsningen til </w:t>
      </w:r>
      <w:proofErr w:type="spellStart"/>
      <w:r w:rsidRPr="009037C4">
        <w:rPr>
          <w:sz w:val="24"/>
          <w:szCs w:val="24"/>
        </w:rPr>
        <w:t>aktinisk</w:t>
      </w:r>
      <w:proofErr w:type="spellEnd"/>
      <w:r w:rsidRPr="009037C4">
        <w:rPr>
          <w:sz w:val="24"/>
          <w:szCs w:val="24"/>
        </w:rPr>
        <w:t xml:space="preserve"> </w:t>
      </w:r>
      <w:proofErr w:type="spellStart"/>
      <w:r w:rsidRPr="009037C4">
        <w:rPr>
          <w:sz w:val="24"/>
          <w:szCs w:val="24"/>
        </w:rPr>
        <w:t>keratose</w:t>
      </w:r>
      <w:proofErr w:type="spellEnd"/>
      <w:r w:rsidRPr="009037C4">
        <w:rPr>
          <w:sz w:val="24"/>
          <w:szCs w:val="24"/>
        </w:rPr>
        <w:t>. I tilfælde af alvorlige reaktioner kan behandlingsfrekvensen nedsættes.</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Da lægemidlet har en meget stærk blødgørende effekt på stratum </w:t>
      </w:r>
      <w:proofErr w:type="spellStart"/>
      <w:r w:rsidRPr="009037C4">
        <w:rPr>
          <w:sz w:val="24"/>
          <w:szCs w:val="24"/>
        </w:rPr>
        <w:t>corneum</w:t>
      </w:r>
      <w:proofErr w:type="spellEnd"/>
      <w:r w:rsidRPr="009037C4">
        <w:rPr>
          <w:sz w:val="24"/>
          <w:szCs w:val="24"/>
        </w:rPr>
        <w:t xml:space="preserve">, kan hvidlige misfarvninger og afskalning af huden forekomme, især i området omkring en </w:t>
      </w:r>
      <w:proofErr w:type="spellStart"/>
      <w:r w:rsidRPr="009037C4">
        <w:rPr>
          <w:sz w:val="24"/>
          <w:szCs w:val="24"/>
        </w:rPr>
        <w:t>aktinisk</w:t>
      </w:r>
      <w:proofErr w:type="spellEnd"/>
      <w:r w:rsidRPr="009037C4">
        <w:rPr>
          <w:sz w:val="24"/>
          <w:szCs w:val="24"/>
        </w:rPr>
        <w:t xml:space="preserve"> </w:t>
      </w:r>
      <w:proofErr w:type="spellStart"/>
      <w:r w:rsidRPr="009037C4">
        <w:rPr>
          <w:sz w:val="24"/>
          <w:szCs w:val="24"/>
        </w:rPr>
        <w:t>keratose</w:t>
      </w:r>
      <w:proofErr w:type="spellEnd"/>
      <w:r w:rsidRPr="009037C4">
        <w:rPr>
          <w:sz w:val="24"/>
          <w:szCs w:val="24"/>
        </w:rPr>
        <w:t>.</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På grund af indholdet af salicylsyre, kan brugen af dette lægemiddel forårsage lettere tegn på irritation, såsom </w:t>
      </w:r>
      <w:proofErr w:type="spellStart"/>
      <w:r w:rsidRPr="009037C4">
        <w:rPr>
          <w:sz w:val="24"/>
          <w:szCs w:val="24"/>
        </w:rPr>
        <w:t>dermatitis</w:t>
      </w:r>
      <w:proofErr w:type="spellEnd"/>
      <w:r w:rsidRPr="009037C4">
        <w:rPr>
          <w:sz w:val="24"/>
          <w:szCs w:val="24"/>
        </w:rPr>
        <w:t xml:space="preserve"> og kontaktallergiske reaktioner hos prædisponerede patienter. Sådanne kontaktallergiske reaktioner kan vise sig i form af kløe, rødme og små blærer, også uden for administrationsstedet.</w:t>
      </w:r>
    </w:p>
    <w:p w:rsidR="00C04F1E" w:rsidRPr="009037C4" w:rsidRDefault="00C04F1E" w:rsidP="00C04F1E">
      <w:pPr>
        <w:tabs>
          <w:tab w:val="left" w:pos="851"/>
        </w:tabs>
        <w:ind w:left="851"/>
        <w:rPr>
          <w:sz w:val="24"/>
          <w:szCs w:val="24"/>
        </w:rPr>
      </w:pPr>
    </w:p>
    <w:p w:rsidR="00C04F1E" w:rsidRPr="009037C4" w:rsidRDefault="00C04F1E" w:rsidP="00C04F1E">
      <w:pPr>
        <w:keepNext/>
        <w:keepLines/>
        <w:tabs>
          <w:tab w:val="left" w:pos="851"/>
        </w:tabs>
        <w:ind w:left="851"/>
        <w:rPr>
          <w:sz w:val="24"/>
          <w:szCs w:val="24"/>
          <w:u w:val="single"/>
        </w:rPr>
      </w:pPr>
      <w:r w:rsidRPr="009037C4">
        <w:rPr>
          <w:sz w:val="24"/>
          <w:szCs w:val="24"/>
          <w:u w:val="single"/>
        </w:rPr>
        <w:t>Tabel over bivirkninger</w:t>
      </w:r>
    </w:p>
    <w:p w:rsidR="00C04F1E" w:rsidRPr="009037C4" w:rsidRDefault="00C04F1E" w:rsidP="00C04F1E">
      <w:pPr>
        <w:tabs>
          <w:tab w:val="left" w:pos="851"/>
        </w:tabs>
        <w:ind w:left="851"/>
        <w:rPr>
          <w:sz w:val="24"/>
          <w:szCs w:val="24"/>
        </w:rPr>
      </w:pPr>
      <w:r w:rsidRPr="009037C4">
        <w:rPr>
          <w:sz w:val="24"/>
          <w:szCs w:val="24"/>
        </w:rPr>
        <w:t xml:space="preserve">Bivirkninger er listet nedenfor i henhold til </w:t>
      </w:r>
      <w:proofErr w:type="spellStart"/>
      <w:r w:rsidRPr="009037C4">
        <w:rPr>
          <w:sz w:val="24"/>
          <w:szCs w:val="24"/>
        </w:rPr>
        <w:t>MedDRA</w:t>
      </w:r>
      <w:proofErr w:type="spellEnd"/>
      <w:r w:rsidRPr="009037C4">
        <w:rPr>
          <w:sz w:val="24"/>
          <w:szCs w:val="24"/>
        </w:rPr>
        <w:t xml:space="preserve"> organklasse og i aftagende hyppighed.</w:t>
      </w:r>
    </w:p>
    <w:p w:rsidR="00C04F1E" w:rsidRPr="009037C4" w:rsidRDefault="00C04F1E" w:rsidP="00C04F1E">
      <w:pPr>
        <w:tabs>
          <w:tab w:val="left" w:pos="851"/>
        </w:tabs>
        <w:ind w:left="851"/>
        <w:rPr>
          <w:sz w:val="24"/>
          <w:szCs w:val="24"/>
        </w:rPr>
      </w:pPr>
      <w:r w:rsidRPr="009037C4">
        <w:rPr>
          <w:sz w:val="24"/>
          <w:szCs w:val="24"/>
        </w:rPr>
        <w:t xml:space="preserve">Frekvenserne er defineret som meget almindelig (≥ 1/10), almindelig (≥ 1/100 til &lt;1/10), ikke almindelig (≥ 1/1.000 til &lt;1/100), sjælden (≥ 1/10. 000 til &lt;1/1. 000), meget sjælden (&lt;1/10. 000), og ikke kendt (kan ikke estimeres ud fra forhåndenværende data). </w:t>
      </w:r>
    </w:p>
    <w:p w:rsidR="00A2375A" w:rsidRPr="00DC4284" w:rsidRDefault="00A2375A" w:rsidP="00A2375A">
      <w:pPr>
        <w:tabs>
          <w:tab w:val="left" w:pos="851"/>
        </w:tabs>
        <w:rPr>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1843"/>
        <w:gridCol w:w="4740"/>
      </w:tblGrid>
      <w:tr w:rsidR="00A2375A" w:rsidRPr="00DC4284" w:rsidTr="00A2375A">
        <w:trPr>
          <w:trHeight w:val="340"/>
        </w:trPr>
        <w:tc>
          <w:tcPr>
            <w:tcW w:w="2622" w:type="dxa"/>
          </w:tcPr>
          <w:p w:rsidR="00A2375A" w:rsidRPr="00DC4284" w:rsidRDefault="00A2375A" w:rsidP="007B2F21">
            <w:pPr>
              <w:tabs>
                <w:tab w:val="left" w:pos="246"/>
              </w:tabs>
              <w:ind w:left="246"/>
              <w:rPr>
                <w:b/>
                <w:sz w:val="24"/>
                <w:szCs w:val="24"/>
              </w:rPr>
            </w:pPr>
            <w:r w:rsidRPr="00DC4284">
              <w:rPr>
                <w:b/>
                <w:sz w:val="24"/>
                <w:szCs w:val="24"/>
              </w:rPr>
              <w:t>Systemorganklasse</w:t>
            </w:r>
          </w:p>
        </w:tc>
        <w:tc>
          <w:tcPr>
            <w:tcW w:w="1843" w:type="dxa"/>
          </w:tcPr>
          <w:p w:rsidR="00A2375A" w:rsidRPr="00DC4284" w:rsidRDefault="00A2375A" w:rsidP="007B2F21">
            <w:pPr>
              <w:tabs>
                <w:tab w:val="left" w:pos="317"/>
              </w:tabs>
              <w:ind w:left="317"/>
              <w:rPr>
                <w:b/>
                <w:sz w:val="24"/>
                <w:szCs w:val="24"/>
              </w:rPr>
            </w:pPr>
            <w:r w:rsidRPr="00DC4284">
              <w:rPr>
                <w:b/>
                <w:sz w:val="24"/>
                <w:szCs w:val="24"/>
              </w:rPr>
              <w:t>Frekvens</w:t>
            </w:r>
          </w:p>
        </w:tc>
        <w:tc>
          <w:tcPr>
            <w:tcW w:w="4740" w:type="dxa"/>
          </w:tcPr>
          <w:p w:rsidR="00A2375A" w:rsidRPr="00DC4284" w:rsidRDefault="00A2375A" w:rsidP="007B2F21">
            <w:pPr>
              <w:tabs>
                <w:tab w:val="left" w:pos="317"/>
              </w:tabs>
              <w:ind w:left="317"/>
              <w:rPr>
                <w:b/>
                <w:sz w:val="24"/>
                <w:szCs w:val="24"/>
              </w:rPr>
            </w:pPr>
            <w:r w:rsidRPr="00DC4284">
              <w:rPr>
                <w:b/>
                <w:sz w:val="24"/>
                <w:szCs w:val="24"/>
              </w:rPr>
              <w:t>Bivirkning</w:t>
            </w:r>
          </w:p>
        </w:tc>
      </w:tr>
      <w:tr w:rsidR="00A2375A" w:rsidRPr="00DC4284" w:rsidTr="00A2375A">
        <w:trPr>
          <w:trHeight w:val="340"/>
        </w:trPr>
        <w:tc>
          <w:tcPr>
            <w:tcW w:w="2622" w:type="dxa"/>
          </w:tcPr>
          <w:p w:rsidR="00A2375A" w:rsidRPr="00DC4284" w:rsidRDefault="00A2375A" w:rsidP="007B2F21">
            <w:pPr>
              <w:tabs>
                <w:tab w:val="left" w:pos="246"/>
              </w:tabs>
              <w:ind w:left="246"/>
              <w:rPr>
                <w:b/>
                <w:sz w:val="24"/>
                <w:szCs w:val="24"/>
              </w:rPr>
            </w:pPr>
            <w:r w:rsidRPr="00DC4284">
              <w:rPr>
                <w:sz w:val="24"/>
                <w:szCs w:val="24"/>
              </w:rPr>
              <w:t>Nervesystemet</w:t>
            </w:r>
          </w:p>
        </w:tc>
        <w:tc>
          <w:tcPr>
            <w:tcW w:w="1843" w:type="dxa"/>
          </w:tcPr>
          <w:p w:rsidR="00A2375A" w:rsidRPr="00DC4284" w:rsidRDefault="00A2375A" w:rsidP="007B2F21">
            <w:pPr>
              <w:tabs>
                <w:tab w:val="left" w:pos="317"/>
              </w:tabs>
              <w:ind w:left="317"/>
              <w:rPr>
                <w:b/>
                <w:sz w:val="24"/>
                <w:szCs w:val="24"/>
              </w:rPr>
            </w:pPr>
            <w:r w:rsidRPr="00DC4284">
              <w:rPr>
                <w:sz w:val="24"/>
                <w:szCs w:val="24"/>
              </w:rPr>
              <w:t>Almindelig</w:t>
            </w:r>
          </w:p>
        </w:tc>
        <w:tc>
          <w:tcPr>
            <w:tcW w:w="4740" w:type="dxa"/>
          </w:tcPr>
          <w:p w:rsidR="00A2375A" w:rsidRPr="00DC4284" w:rsidRDefault="00A2375A" w:rsidP="007B2F21">
            <w:pPr>
              <w:tabs>
                <w:tab w:val="left" w:pos="317"/>
              </w:tabs>
              <w:ind w:left="317"/>
              <w:rPr>
                <w:b/>
                <w:sz w:val="24"/>
                <w:szCs w:val="24"/>
              </w:rPr>
            </w:pPr>
            <w:r w:rsidRPr="00DC4284">
              <w:rPr>
                <w:sz w:val="24"/>
                <w:szCs w:val="24"/>
              </w:rPr>
              <w:t>Hovedpine</w:t>
            </w:r>
          </w:p>
        </w:tc>
      </w:tr>
      <w:tr w:rsidR="00A2375A" w:rsidRPr="00DC4284" w:rsidTr="00A2375A">
        <w:trPr>
          <w:trHeight w:val="340"/>
        </w:trPr>
        <w:tc>
          <w:tcPr>
            <w:tcW w:w="2622" w:type="dxa"/>
          </w:tcPr>
          <w:p w:rsidR="00A2375A" w:rsidRPr="00DC4284" w:rsidRDefault="00A2375A" w:rsidP="007B2F21">
            <w:pPr>
              <w:tabs>
                <w:tab w:val="left" w:pos="246"/>
              </w:tabs>
              <w:ind w:left="246"/>
              <w:rPr>
                <w:sz w:val="24"/>
                <w:szCs w:val="24"/>
              </w:rPr>
            </w:pPr>
            <w:r w:rsidRPr="00DC4284">
              <w:rPr>
                <w:sz w:val="24"/>
                <w:szCs w:val="24"/>
              </w:rPr>
              <w:t>Øjne</w:t>
            </w:r>
          </w:p>
        </w:tc>
        <w:tc>
          <w:tcPr>
            <w:tcW w:w="1843" w:type="dxa"/>
          </w:tcPr>
          <w:p w:rsidR="00A2375A" w:rsidRPr="00DC4284" w:rsidRDefault="00A2375A" w:rsidP="007B2F21">
            <w:pPr>
              <w:tabs>
                <w:tab w:val="left" w:pos="317"/>
              </w:tabs>
              <w:ind w:left="317"/>
              <w:rPr>
                <w:sz w:val="24"/>
                <w:szCs w:val="24"/>
              </w:rPr>
            </w:pPr>
            <w:r w:rsidRPr="00DC4284">
              <w:rPr>
                <w:sz w:val="24"/>
                <w:szCs w:val="24"/>
              </w:rPr>
              <w:t>Ikke almindelig</w:t>
            </w:r>
          </w:p>
        </w:tc>
        <w:tc>
          <w:tcPr>
            <w:tcW w:w="4740" w:type="dxa"/>
          </w:tcPr>
          <w:p w:rsidR="00A2375A" w:rsidRPr="00DC4284" w:rsidRDefault="00A2375A" w:rsidP="007B2F21">
            <w:pPr>
              <w:tabs>
                <w:tab w:val="left" w:pos="317"/>
              </w:tabs>
              <w:ind w:left="317"/>
              <w:rPr>
                <w:sz w:val="24"/>
                <w:szCs w:val="24"/>
              </w:rPr>
            </w:pPr>
            <w:r w:rsidRPr="00DC4284">
              <w:rPr>
                <w:sz w:val="24"/>
                <w:szCs w:val="24"/>
              </w:rPr>
              <w:t xml:space="preserve">Tørre øjne, </w:t>
            </w:r>
            <w:proofErr w:type="spellStart"/>
            <w:r w:rsidRPr="00DC4284">
              <w:rPr>
                <w:sz w:val="24"/>
                <w:szCs w:val="24"/>
              </w:rPr>
              <w:t>pruritus</w:t>
            </w:r>
            <w:proofErr w:type="spellEnd"/>
            <w:r w:rsidRPr="00DC4284">
              <w:rPr>
                <w:sz w:val="24"/>
                <w:szCs w:val="24"/>
              </w:rPr>
              <w:t xml:space="preserve"> i øjnene, øget tåreflåd</w:t>
            </w:r>
          </w:p>
        </w:tc>
      </w:tr>
      <w:tr w:rsidR="00A2375A" w:rsidRPr="00DC4284" w:rsidTr="00A2375A">
        <w:trPr>
          <w:trHeight w:val="340"/>
        </w:trPr>
        <w:tc>
          <w:tcPr>
            <w:tcW w:w="2622" w:type="dxa"/>
          </w:tcPr>
          <w:p w:rsidR="00A2375A" w:rsidRPr="00DC4284" w:rsidRDefault="00A2375A" w:rsidP="007B2F21">
            <w:pPr>
              <w:tabs>
                <w:tab w:val="left" w:pos="246"/>
              </w:tabs>
              <w:ind w:left="246"/>
              <w:rPr>
                <w:sz w:val="24"/>
                <w:szCs w:val="24"/>
              </w:rPr>
            </w:pPr>
            <w:r w:rsidRPr="00DC4284">
              <w:rPr>
                <w:sz w:val="24"/>
                <w:szCs w:val="24"/>
              </w:rPr>
              <w:t>Hud og subkutane væv</w:t>
            </w:r>
          </w:p>
        </w:tc>
        <w:tc>
          <w:tcPr>
            <w:tcW w:w="1843" w:type="dxa"/>
          </w:tcPr>
          <w:p w:rsidR="00A2375A" w:rsidRPr="00DC4284" w:rsidRDefault="00A2375A" w:rsidP="007B2F21">
            <w:pPr>
              <w:tabs>
                <w:tab w:val="left" w:pos="317"/>
              </w:tabs>
              <w:ind w:left="317"/>
              <w:rPr>
                <w:sz w:val="24"/>
                <w:szCs w:val="24"/>
              </w:rPr>
            </w:pPr>
            <w:r w:rsidRPr="00DC4284">
              <w:rPr>
                <w:sz w:val="24"/>
                <w:szCs w:val="24"/>
              </w:rPr>
              <w:t>Almindelig</w:t>
            </w:r>
          </w:p>
        </w:tc>
        <w:tc>
          <w:tcPr>
            <w:tcW w:w="4740" w:type="dxa"/>
          </w:tcPr>
          <w:p w:rsidR="00A2375A" w:rsidRPr="00DC4284" w:rsidRDefault="00A2375A" w:rsidP="007B2F21">
            <w:pPr>
              <w:tabs>
                <w:tab w:val="left" w:pos="317"/>
              </w:tabs>
              <w:ind w:left="317"/>
              <w:rPr>
                <w:sz w:val="24"/>
                <w:szCs w:val="24"/>
              </w:rPr>
            </w:pPr>
            <w:proofErr w:type="spellStart"/>
            <w:r w:rsidRPr="00DC4284">
              <w:rPr>
                <w:sz w:val="24"/>
                <w:szCs w:val="24"/>
              </w:rPr>
              <w:t>Eksfoliation</w:t>
            </w:r>
            <w:proofErr w:type="spellEnd"/>
          </w:p>
        </w:tc>
      </w:tr>
      <w:tr w:rsidR="00A2375A" w:rsidRPr="00DC4284" w:rsidTr="00A2375A">
        <w:trPr>
          <w:trHeight w:val="340"/>
        </w:trPr>
        <w:tc>
          <w:tcPr>
            <w:tcW w:w="2622" w:type="dxa"/>
            <w:vMerge w:val="restart"/>
          </w:tcPr>
          <w:p w:rsidR="00A2375A" w:rsidRPr="00DC4284" w:rsidRDefault="00A2375A" w:rsidP="007B2F21">
            <w:pPr>
              <w:tabs>
                <w:tab w:val="left" w:pos="246"/>
              </w:tabs>
              <w:ind w:left="246"/>
              <w:rPr>
                <w:sz w:val="24"/>
                <w:szCs w:val="24"/>
              </w:rPr>
            </w:pPr>
            <w:r w:rsidRPr="00DC4284">
              <w:rPr>
                <w:sz w:val="24"/>
                <w:szCs w:val="24"/>
              </w:rPr>
              <w:t>Almene symptomer og reaktioner på administrationsstedet</w:t>
            </w:r>
          </w:p>
        </w:tc>
        <w:tc>
          <w:tcPr>
            <w:tcW w:w="1843" w:type="dxa"/>
          </w:tcPr>
          <w:p w:rsidR="00A2375A" w:rsidRPr="00DC4284" w:rsidRDefault="00A2375A" w:rsidP="007B2F21">
            <w:pPr>
              <w:tabs>
                <w:tab w:val="left" w:pos="317"/>
              </w:tabs>
              <w:ind w:left="317"/>
              <w:rPr>
                <w:sz w:val="24"/>
                <w:szCs w:val="24"/>
              </w:rPr>
            </w:pPr>
            <w:r w:rsidRPr="00DC4284">
              <w:rPr>
                <w:sz w:val="24"/>
                <w:szCs w:val="24"/>
              </w:rPr>
              <w:t>Meget almindelig</w:t>
            </w:r>
          </w:p>
        </w:tc>
        <w:tc>
          <w:tcPr>
            <w:tcW w:w="4740" w:type="dxa"/>
          </w:tcPr>
          <w:p w:rsidR="00A2375A" w:rsidRPr="00DC4284" w:rsidRDefault="00A2375A" w:rsidP="007B2F21">
            <w:pPr>
              <w:tabs>
                <w:tab w:val="left" w:pos="317"/>
              </w:tabs>
              <w:ind w:left="317"/>
              <w:rPr>
                <w:sz w:val="24"/>
                <w:szCs w:val="24"/>
              </w:rPr>
            </w:pPr>
            <w:r w:rsidRPr="00DC4284">
              <w:rPr>
                <w:sz w:val="24"/>
                <w:szCs w:val="24"/>
              </w:rPr>
              <w:t xml:space="preserve">På administrationsstedet: </w:t>
            </w:r>
            <w:proofErr w:type="spellStart"/>
            <w:r>
              <w:rPr>
                <w:sz w:val="24"/>
                <w:szCs w:val="24"/>
              </w:rPr>
              <w:t>E</w:t>
            </w:r>
            <w:r w:rsidRPr="00DC4284">
              <w:rPr>
                <w:sz w:val="24"/>
                <w:szCs w:val="24"/>
              </w:rPr>
              <w:t>rytem</w:t>
            </w:r>
            <w:proofErr w:type="spellEnd"/>
            <w:r w:rsidRPr="00DC4284">
              <w:rPr>
                <w:sz w:val="24"/>
                <w:szCs w:val="24"/>
              </w:rPr>
              <w:t>, inflammation, irritation (inklusiv</w:t>
            </w:r>
            <w:r>
              <w:rPr>
                <w:sz w:val="24"/>
                <w:szCs w:val="24"/>
              </w:rPr>
              <w:t>e</w:t>
            </w:r>
            <w:r w:rsidRPr="00DC4284">
              <w:rPr>
                <w:sz w:val="24"/>
                <w:szCs w:val="24"/>
              </w:rPr>
              <w:t xml:space="preserve"> forbrænding), smerte, </w:t>
            </w:r>
            <w:proofErr w:type="spellStart"/>
            <w:r w:rsidRPr="00DC4284">
              <w:rPr>
                <w:sz w:val="24"/>
                <w:szCs w:val="24"/>
              </w:rPr>
              <w:t>pruritus</w:t>
            </w:r>
            <w:proofErr w:type="spellEnd"/>
          </w:p>
        </w:tc>
      </w:tr>
      <w:tr w:rsidR="00A2375A" w:rsidRPr="00DC4284" w:rsidTr="00A2375A">
        <w:trPr>
          <w:trHeight w:val="340"/>
        </w:trPr>
        <w:tc>
          <w:tcPr>
            <w:tcW w:w="2622" w:type="dxa"/>
            <w:vMerge/>
          </w:tcPr>
          <w:p w:rsidR="00A2375A" w:rsidRPr="00DC4284" w:rsidRDefault="00A2375A" w:rsidP="007B2F21">
            <w:pPr>
              <w:tabs>
                <w:tab w:val="left" w:pos="246"/>
              </w:tabs>
              <w:ind w:left="246"/>
              <w:rPr>
                <w:sz w:val="24"/>
                <w:szCs w:val="24"/>
              </w:rPr>
            </w:pPr>
          </w:p>
        </w:tc>
        <w:tc>
          <w:tcPr>
            <w:tcW w:w="1843" w:type="dxa"/>
          </w:tcPr>
          <w:p w:rsidR="00A2375A" w:rsidRPr="00DC4284" w:rsidRDefault="00A2375A" w:rsidP="007B2F21">
            <w:pPr>
              <w:tabs>
                <w:tab w:val="left" w:pos="317"/>
              </w:tabs>
              <w:ind w:left="317"/>
              <w:rPr>
                <w:sz w:val="24"/>
                <w:szCs w:val="24"/>
              </w:rPr>
            </w:pPr>
            <w:r w:rsidRPr="00DC4284">
              <w:rPr>
                <w:sz w:val="24"/>
                <w:szCs w:val="24"/>
              </w:rPr>
              <w:t>Almindelig</w:t>
            </w:r>
          </w:p>
        </w:tc>
        <w:tc>
          <w:tcPr>
            <w:tcW w:w="4740" w:type="dxa"/>
          </w:tcPr>
          <w:p w:rsidR="00A2375A" w:rsidRPr="00DC4284" w:rsidRDefault="00A2375A" w:rsidP="007B2F21">
            <w:pPr>
              <w:tabs>
                <w:tab w:val="left" w:pos="317"/>
              </w:tabs>
              <w:ind w:left="317"/>
              <w:rPr>
                <w:sz w:val="24"/>
                <w:szCs w:val="24"/>
              </w:rPr>
            </w:pPr>
            <w:r w:rsidRPr="00DC4284">
              <w:rPr>
                <w:sz w:val="24"/>
                <w:szCs w:val="24"/>
              </w:rPr>
              <w:t xml:space="preserve">På administrationsstedet: </w:t>
            </w:r>
            <w:r>
              <w:rPr>
                <w:sz w:val="24"/>
                <w:szCs w:val="24"/>
              </w:rPr>
              <w:t>B</w:t>
            </w:r>
            <w:r w:rsidRPr="00DC4284">
              <w:rPr>
                <w:sz w:val="24"/>
                <w:szCs w:val="24"/>
              </w:rPr>
              <w:t>lødning, erosion, sårskorpe</w:t>
            </w:r>
          </w:p>
        </w:tc>
      </w:tr>
      <w:tr w:rsidR="00A2375A" w:rsidRPr="00DC4284" w:rsidTr="00A2375A">
        <w:trPr>
          <w:trHeight w:val="340"/>
        </w:trPr>
        <w:tc>
          <w:tcPr>
            <w:tcW w:w="2622" w:type="dxa"/>
            <w:vMerge/>
          </w:tcPr>
          <w:p w:rsidR="00A2375A" w:rsidRPr="00DC4284" w:rsidRDefault="00A2375A" w:rsidP="007B2F21">
            <w:pPr>
              <w:tabs>
                <w:tab w:val="left" w:pos="246"/>
              </w:tabs>
              <w:ind w:left="246"/>
              <w:rPr>
                <w:sz w:val="24"/>
                <w:szCs w:val="24"/>
              </w:rPr>
            </w:pPr>
          </w:p>
        </w:tc>
        <w:tc>
          <w:tcPr>
            <w:tcW w:w="1843" w:type="dxa"/>
          </w:tcPr>
          <w:p w:rsidR="00A2375A" w:rsidRPr="00DC4284" w:rsidRDefault="00A2375A" w:rsidP="007B2F21">
            <w:pPr>
              <w:tabs>
                <w:tab w:val="left" w:pos="317"/>
              </w:tabs>
              <w:ind w:left="317"/>
              <w:rPr>
                <w:sz w:val="24"/>
                <w:szCs w:val="24"/>
              </w:rPr>
            </w:pPr>
            <w:r w:rsidRPr="00DC4284">
              <w:rPr>
                <w:sz w:val="24"/>
                <w:szCs w:val="24"/>
              </w:rPr>
              <w:t>Ikke almindelig</w:t>
            </w:r>
          </w:p>
        </w:tc>
        <w:tc>
          <w:tcPr>
            <w:tcW w:w="4740" w:type="dxa"/>
          </w:tcPr>
          <w:p w:rsidR="00A2375A" w:rsidRPr="00DC4284" w:rsidRDefault="00A2375A" w:rsidP="007B2F21">
            <w:pPr>
              <w:tabs>
                <w:tab w:val="left" w:pos="317"/>
              </w:tabs>
              <w:ind w:left="317"/>
              <w:rPr>
                <w:sz w:val="24"/>
                <w:szCs w:val="24"/>
              </w:rPr>
            </w:pPr>
            <w:r>
              <w:rPr>
                <w:sz w:val="24"/>
                <w:szCs w:val="24"/>
              </w:rPr>
              <w:t>På administrationsstedet: Ø</w:t>
            </w:r>
            <w:r w:rsidRPr="00DC4284">
              <w:rPr>
                <w:sz w:val="24"/>
                <w:szCs w:val="24"/>
              </w:rPr>
              <w:t xml:space="preserve">dem, ulcus, </w:t>
            </w:r>
            <w:proofErr w:type="spellStart"/>
            <w:r w:rsidRPr="00DC4284">
              <w:rPr>
                <w:sz w:val="24"/>
                <w:szCs w:val="24"/>
              </w:rPr>
              <w:t>dermatitis</w:t>
            </w:r>
            <w:proofErr w:type="spellEnd"/>
          </w:p>
        </w:tc>
      </w:tr>
    </w:tbl>
    <w:p w:rsidR="00A2375A" w:rsidRPr="00DC4284" w:rsidRDefault="00A2375A" w:rsidP="00A2375A">
      <w:pPr>
        <w:tabs>
          <w:tab w:val="left" w:pos="851"/>
        </w:tabs>
        <w:ind w:left="851"/>
        <w:rPr>
          <w:sz w:val="24"/>
          <w:szCs w:val="24"/>
        </w:rPr>
      </w:pPr>
    </w:p>
    <w:p w:rsidR="00C04F1E" w:rsidRPr="009037C4" w:rsidRDefault="00C04F1E" w:rsidP="00C04F1E">
      <w:pPr>
        <w:tabs>
          <w:tab w:val="left" w:pos="851"/>
        </w:tabs>
        <w:ind w:left="851"/>
        <w:rPr>
          <w:sz w:val="24"/>
          <w:szCs w:val="24"/>
          <w:u w:val="single"/>
        </w:rPr>
      </w:pPr>
      <w:r w:rsidRPr="009037C4">
        <w:rPr>
          <w:sz w:val="24"/>
          <w:szCs w:val="24"/>
          <w:u w:val="single"/>
        </w:rPr>
        <w:t>Beskrivelse af udvalgte bivirkninger</w:t>
      </w:r>
    </w:p>
    <w:p w:rsidR="00C04F1E" w:rsidRPr="009037C4" w:rsidRDefault="00C04F1E" w:rsidP="00C04F1E">
      <w:pPr>
        <w:tabs>
          <w:tab w:val="left" w:pos="851"/>
        </w:tabs>
        <w:ind w:left="851"/>
        <w:rPr>
          <w:sz w:val="24"/>
          <w:szCs w:val="24"/>
        </w:rPr>
      </w:pPr>
      <w:r w:rsidRPr="009037C4">
        <w:rPr>
          <w:sz w:val="24"/>
          <w:szCs w:val="24"/>
        </w:rPr>
        <w:t xml:space="preserve">Der rapporteres hyppigt om reaktioner på administrationsstedet i forbindelse med behandling med </w:t>
      </w:r>
      <w:proofErr w:type="spellStart"/>
      <w:r w:rsidRPr="009037C4">
        <w:rPr>
          <w:sz w:val="24"/>
          <w:szCs w:val="24"/>
        </w:rPr>
        <w:t>Actikerall</w:t>
      </w:r>
      <w:proofErr w:type="spellEnd"/>
      <w:r w:rsidRPr="009037C4">
        <w:rPr>
          <w:sz w:val="24"/>
          <w:szCs w:val="24"/>
        </w:rPr>
        <w:t xml:space="preserve"> og disse er forventede, da de skyldes den farmakologiske aktivitet af de aktive stoffer (</w:t>
      </w:r>
      <w:proofErr w:type="spellStart"/>
      <w:r w:rsidRPr="009037C4">
        <w:rPr>
          <w:sz w:val="24"/>
          <w:szCs w:val="24"/>
        </w:rPr>
        <w:t>fluoruracil</w:t>
      </w:r>
      <w:proofErr w:type="spellEnd"/>
      <w:r w:rsidRPr="009037C4">
        <w:rPr>
          <w:sz w:val="24"/>
          <w:szCs w:val="24"/>
        </w:rPr>
        <w:t xml:space="preserve"> og salicylsyre) på huden. Alvorlige reaktioner på administrationsstedet kan klares ved dosisreduktion (se </w:t>
      </w:r>
      <w:proofErr w:type="spellStart"/>
      <w:r w:rsidRPr="009037C4">
        <w:rPr>
          <w:sz w:val="24"/>
          <w:szCs w:val="24"/>
        </w:rPr>
        <w:t>pkt</w:t>
      </w:r>
      <w:proofErr w:type="spellEnd"/>
      <w:r w:rsidRPr="009037C4">
        <w:rPr>
          <w:sz w:val="24"/>
          <w:szCs w:val="24"/>
        </w:rPr>
        <w:t xml:space="preserve"> 4.2). I tilfælde af blødning: stop behandling indtil bivirkningen bliver bedre (se pkt. 4.4). Når det totale behandlede område øges (op til 25 cm</w:t>
      </w:r>
      <w:r w:rsidRPr="009037C4">
        <w:rPr>
          <w:sz w:val="24"/>
          <w:szCs w:val="24"/>
          <w:vertAlign w:val="superscript"/>
        </w:rPr>
        <w:t>2</w:t>
      </w:r>
      <w:r w:rsidRPr="009037C4">
        <w:rPr>
          <w:sz w:val="24"/>
          <w:szCs w:val="24"/>
        </w:rPr>
        <w:t xml:space="preserve">), kan frekvensen af reaktioner på administrationsstedet øges. I særdeleshed frekvensen af </w:t>
      </w:r>
      <w:proofErr w:type="spellStart"/>
      <w:r w:rsidRPr="009037C4">
        <w:rPr>
          <w:sz w:val="24"/>
          <w:szCs w:val="24"/>
        </w:rPr>
        <w:t>dermatitis</w:t>
      </w:r>
      <w:proofErr w:type="spellEnd"/>
      <w:r w:rsidRPr="009037C4">
        <w:rPr>
          <w:sz w:val="24"/>
          <w:szCs w:val="24"/>
        </w:rPr>
        <w:t>, sårskorpe, erosion, blødning, ødem kan være Meget almindelig, mens frekvensen af ulcus kan være Almindelig.</w:t>
      </w:r>
    </w:p>
    <w:p w:rsidR="00C04F1E" w:rsidRPr="009037C4" w:rsidRDefault="00C04F1E" w:rsidP="00C04F1E">
      <w:pPr>
        <w:tabs>
          <w:tab w:val="left" w:pos="851"/>
        </w:tabs>
        <w:ind w:left="851"/>
        <w:rPr>
          <w:sz w:val="24"/>
          <w:szCs w:val="24"/>
          <w:u w:val="single"/>
        </w:rPr>
      </w:pPr>
    </w:p>
    <w:p w:rsidR="00C04F1E" w:rsidRPr="009037C4" w:rsidRDefault="00C04F1E" w:rsidP="00C04F1E">
      <w:pPr>
        <w:keepNext/>
        <w:keepLines/>
        <w:tabs>
          <w:tab w:val="left" w:pos="851"/>
        </w:tabs>
        <w:ind w:left="851"/>
        <w:rPr>
          <w:sz w:val="24"/>
          <w:szCs w:val="24"/>
        </w:rPr>
      </w:pPr>
      <w:r w:rsidRPr="009037C4">
        <w:rPr>
          <w:sz w:val="24"/>
          <w:szCs w:val="24"/>
          <w:u w:val="single"/>
        </w:rPr>
        <w:t>Indberetning af formodede bivirkninger</w:t>
      </w:r>
    </w:p>
    <w:p w:rsidR="00C04F1E" w:rsidRPr="009037C4" w:rsidRDefault="00C04F1E" w:rsidP="00C04F1E">
      <w:pPr>
        <w:tabs>
          <w:tab w:val="left" w:pos="851"/>
        </w:tabs>
        <w:ind w:left="851"/>
        <w:rPr>
          <w:sz w:val="24"/>
          <w:szCs w:val="24"/>
        </w:rPr>
      </w:pPr>
      <w:r w:rsidRPr="009037C4">
        <w:rPr>
          <w:sz w:val="24"/>
          <w:szCs w:val="24"/>
        </w:rPr>
        <w:t>Når lægemidlet er godkendt, er indberetning af formodede bivirkninger vigtig. Det muliggør løbende overvågning af benefit/</w:t>
      </w:r>
      <w:proofErr w:type="spellStart"/>
      <w:r w:rsidRPr="009037C4">
        <w:rPr>
          <w:sz w:val="24"/>
          <w:szCs w:val="24"/>
        </w:rPr>
        <w:t>risk</w:t>
      </w:r>
      <w:proofErr w:type="spellEnd"/>
      <w:r w:rsidRPr="009037C4">
        <w:rPr>
          <w:sz w:val="24"/>
          <w:szCs w:val="24"/>
        </w:rPr>
        <w:t xml:space="preserve">-forholdet for lægemidlet. </w:t>
      </w:r>
      <w:r w:rsidR="00BD7469">
        <w:rPr>
          <w:sz w:val="24"/>
          <w:szCs w:val="24"/>
        </w:rPr>
        <w:t xml:space="preserve">Sundhedspersoner </w:t>
      </w:r>
      <w:r w:rsidRPr="009037C4">
        <w:rPr>
          <w:sz w:val="24"/>
          <w:szCs w:val="24"/>
        </w:rPr>
        <w:t>anmodes om at indberette alle formodede bivirkninger via:</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Lægemiddelstyrelsen</w:t>
      </w:r>
    </w:p>
    <w:p w:rsidR="00C04F1E" w:rsidRPr="009037C4" w:rsidRDefault="00C04F1E" w:rsidP="00C04F1E">
      <w:pPr>
        <w:tabs>
          <w:tab w:val="left" w:pos="851"/>
        </w:tabs>
        <w:ind w:left="851"/>
        <w:rPr>
          <w:sz w:val="24"/>
          <w:szCs w:val="24"/>
        </w:rPr>
      </w:pPr>
      <w:r w:rsidRPr="009037C4">
        <w:rPr>
          <w:sz w:val="24"/>
          <w:szCs w:val="24"/>
        </w:rPr>
        <w:t>Axel Heides Gade 1</w:t>
      </w:r>
    </w:p>
    <w:p w:rsidR="00C04F1E" w:rsidRPr="009037C4" w:rsidRDefault="00C04F1E" w:rsidP="00C04F1E">
      <w:pPr>
        <w:tabs>
          <w:tab w:val="left" w:pos="851"/>
        </w:tabs>
        <w:ind w:left="851"/>
        <w:rPr>
          <w:sz w:val="24"/>
          <w:szCs w:val="24"/>
        </w:rPr>
      </w:pPr>
      <w:r w:rsidRPr="009037C4">
        <w:rPr>
          <w:sz w:val="24"/>
          <w:szCs w:val="24"/>
        </w:rPr>
        <w:t>DK-2300 København S</w:t>
      </w:r>
    </w:p>
    <w:p w:rsidR="00C04F1E" w:rsidRPr="000B0F60" w:rsidRDefault="00C04F1E" w:rsidP="000B0F60">
      <w:pPr>
        <w:tabs>
          <w:tab w:val="left" w:pos="851"/>
        </w:tabs>
        <w:ind w:left="851"/>
        <w:rPr>
          <w:sz w:val="24"/>
          <w:szCs w:val="24"/>
        </w:rPr>
      </w:pPr>
      <w:r w:rsidRPr="000459C0">
        <w:rPr>
          <w:sz w:val="24"/>
          <w:szCs w:val="24"/>
        </w:rPr>
        <w:t xml:space="preserve">Websted: </w:t>
      </w:r>
      <w:hyperlink r:id="rId8" w:history="1">
        <w:r w:rsidR="000B0F60" w:rsidRPr="00974F49">
          <w:rPr>
            <w:rStyle w:val="Hyperlink"/>
            <w:sz w:val="24"/>
            <w:szCs w:val="24"/>
          </w:rPr>
          <w:t>www.meldenbivirkning.dk</w:t>
        </w:r>
      </w:hyperlink>
      <w:r w:rsidR="000B0F60">
        <w:rPr>
          <w:sz w:val="24"/>
          <w:szCs w:val="24"/>
        </w:rPr>
        <w:t xml:space="preserve"> </w:t>
      </w:r>
    </w:p>
    <w:p w:rsidR="00C04F1E" w:rsidRPr="005D0304" w:rsidRDefault="00C04F1E" w:rsidP="00C04F1E">
      <w:pPr>
        <w:pStyle w:val="Sidehoved"/>
        <w:tabs>
          <w:tab w:val="left" w:pos="851"/>
        </w:tabs>
        <w:rPr>
          <w:szCs w:val="24"/>
        </w:rPr>
      </w:pPr>
    </w:p>
    <w:p w:rsidR="00C04F1E" w:rsidRPr="005D0304" w:rsidRDefault="00C04F1E" w:rsidP="00C04F1E">
      <w:pPr>
        <w:tabs>
          <w:tab w:val="left" w:pos="851"/>
        </w:tabs>
        <w:ind w:left="851" w:hanging="851"/>
        <w:rPr>
          <w:b/>
          <w:sz w:val="24"/>
          <w:szCs w:val="24"/>
        </w:rPr>
      </w:pPr>
      <w:r w:rsidRPr="005D0304">
        <w:rPr>
          <w:b/>
          <w:sz w:val="24"/>
          <w:szCs w:val="24"/>
        </w:rPr>
        <w:t>4.9</w:t>
      </w:r>
      <w:r w:rsidRPr="005D0304">
        <w:rPr>
          <w:b/>
          <w:sz w:val="24"/>
          <w:szCs w:val="24"/>
        </w:rPr>
        <w:tab/>
        <w:t>Overdosering</w:t>
      </w:r>
    </w:p>
    <w:p w:rsidR="00C04F1E" w:rsidRPr="009037C4" w:rsidRDefault="00C04F1E" w:rsidP="00C04F1E">
      <w:pPr>
        <w:tabs>
          <w:tab w:val="left" w:pos="851"/>
        </w:tabs>
        <w:ind w:left="851"/>
        <w:rPr>
          <w:sz w:val="24"/>
          <w:szCs w:val="24"/>
        </w:rPr>
      </w:pPr>
      <w:r w:rsidRPr="009037C4">
        <w:rPr>
          <w:sz w:val="24"/>
          <w:szCs w:val="24"/>
        </w:rPr>
        <w:t>Når det anvendes på huden som anbefalet, er systemisk forgiftning med de aktive indholdsstoffer usandsynlig. Markant flere applikationer end anbefalet resulterer i en forøgelse af frekvensen af reaktioner på administrationsstedet og deres alvorlighed.</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4.10</w:t>
      </w:r>
      <w:r w:rsidRPr="009037C4">
        <w:rPr>
          <w:b/>
          <w:sz w:val="24"/>
          <w:szCs w:val="24"/>
        </w:rPr>
        <w:tab/>
        <w:t>Udlevering</w:t>
      </w:r>
    </w:p>
    <w:p w:rsidR="00C04F1E" w:rsidRPr="009037C4" w:rsidRDefault="00C04F1E" w:rsidP="00C04F1E">
      <w:pPr>
        <w:tabs>
          <w:tab w:val="left" w:pos="851"/>
        </w:tabs>
        <w:ind w:left="851" w:hanging="851"/>
        <w:rPr>
          <w:sz w:val="24"/>
          <w:szCs w:val="24"/>
        </w:rPr>
      </w:pPr>
      <w:r w:rsidRPr="009037C4">
        <w:rPr>
          <w:sz w:val="24"/>
          <w:szCs w:val="24"/>
        </w:rPr>
        <w:tab/>
        <w:t>A</w:t>
      </w: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Default="00C04F1E" w:rsidP="00180457">
      <w:pPr>
        <w:tabs>
          <w:tab w:val="left" w:pos="851"/>
        </w:tabs>
        <w:ind w:left="851" w:hanging="851"/>
        <w:rPr>
          <w:b/>
          <w:sz w:val="24"/>
          <w:szCs w:val="24"/>
        </w:rPr>
      </w:pPr>
      <w:r w:rsidRPr="009037C4">
        <w:rPr>
          <w:b/>
          <w:sz w:val="24"/>
          <w:szCs w:val="24"/>
        </w:rPr>
        <w:t>5.</w:t>
      </w:r>
      <w:r w:rsidRPr="009037C4">
        <w:rPr>
          <w:b/>
          <w:sz w:val="24"/>
          <w:szCs w:val="24"/>
        </w:rPr>
        <w:tab/>
        <w:t>FARMAKOLOGISKE EGENSKABER</w:t>
      </w:r>
    </w:p>
    <w:p w:rsidR="00180457" w:rsidRPr="00180457" w:rsidRDefault="00180457" w:rsidP="00180457">
      <w:pPr>
        <w:tabs>
          <w:tab w:val="left" w:pos="851"/>
        </w:tabs>
        <w:ind w:left="851" w:hanging="851"/>
        <w:rPr>
          <w:b/>
          <w:sz w:val="24"/>
          <w:szCs w:val="24"/>
        </w:rPr>
      </w:pPr>
    </w:p>
    <w:p w:rsidR="00C04F1E" w:rsidRPr="009037C4" w:rsidRDefault="00C04F1E" w:rsidP="00C04F1E">
      <w:pPr>
        <w:tabs>
          <w:tab w:val="num" w:pos="851"/>
        </w:tabs>
        <w:ind w:left="851" w:hanging="851"/>
        <w:rPr>
          <w:b/>
          <w:sz w:val="24"/>
          <w:szCs w:val="24"/>
        </w:rPr>
      </w:pPr>
      <w:r w:rsidRPr="009037C4">
        <w:rPr>
          <w:b/>
          <w:sz w:val="24"/>
          <w:szCs w:val="24"/>
        </w:rPr>
        <w:t>5.1</w:t>
      </w:r>
      <w:r w:rsidRPr="009037C4">
        <w:rPr>
          <w:b/>
          <w:sz w:val="24"/>
          <w:szCs w:val="24"/>
        </w:rPr>
        <w:tab/>
      </w:r>
      <w:proofErr w:type="spellStart"/>
      <w:r w:rsidRPr="009037C4">
        <w:rPr>
          <w:b/>
          <w:sz w:val="24"/>
          <w:szCs w:val="24"/>
        </w:rPr>
        <w:t>Farmakodynamiske</w:t>
      </w:r>
      <w:proofErr w:type="spellEnd"/>
      <w:r w:rsidRPr="009037C4">
        <w:rPr>
          <w:b/>
          <w:sz w:val="24"/>
          <w:szCs w:val="24"/>
        </w:rPr>
        <w:t xml:space="preserve"> egenskaber</w:t>
      </w:r>
    </w:p>
    <w:p w:rsidR="00A97BCC" w:rsidRDefault="00180457" w:rsidP="00C04F1E">
      <w:pPr>
        <w:tabs>
          <w:tab w:val="left" w:pos="851"/>
        </w:tabs>
        <w:suppressAutoHyphens/>
        <w:ind w:left="851"/>
        <w:rPr>
          <w:sz w:val="24"/>
          <w:szCs w:val="24"/>
        </w:rPr>
      </w:pPr>
      <w:bookmarkStart w:id="4" w:name="_Hlk121753973"/>
      <w:bookmarkStart w:id="5" w:name="_Hlk121742993"/>
      <w:proofErr w:type="spellStart"/>
      <w:r>
        <w:rPr>
          <w:sz w:val="24"/>
          <w:szCs w:val="24"/>
        </w:rPr>
        <w:t>Farmakoterapeutisk</w:t>
      </w:r>
      <w:proofErr w:type="spellEnd"/>
      <w:r>
        <w:rPr>
          <w:sz w:val="24"/>
          <w:szCs w:val="24"/>
        </w:rPr>
        <w:t xml:space="preserve"> klassifikation:</w:t>
      </w:r>
      <w:bookmarkEnd w:id="4"/>
      <w:bookmarkEnd w:id="5"/>
      <w:r>
        <w:rPr>
          <w:sz w:val="24"/>
          <w:szCs w:val="24"/>
        </w:rPr>
        <w:t xml:space="preserve"> </w:t>
      </w:r>
      <w:proofErr w:type="spellStart"/>
      <w:r>
        <w:rPr>
          <w:sz w:val="24"/>
          <w:szCs w:val="24"/>
        </w:rPr>
        <w:t>Antineoplastiske</w:t>
      </w:r>
      <w:proofErr w:type="spellEnd"/>
      <w:r>
        <w:rPr>
          <w:sz w:val="24"/>
          <w:szCs w:val="24"/>
        </w:rPr>
        <w:t xml:space="preserve"> midler; antimetabolitter; </w:t>
      </w:r>
      <w:proofErr w:type="spellStart"/>
      <w:r>
        <w:rPr>
          <w:sz w:val="24"/>
          <w:szCs w:val="24"/>
        </w:rPr>
        <w:t>pyrimidinanaloger</w:t>
      </w:r>
      <w:proofErr w:type="spellEnd"/>
      <w:r>
        <w:rPr>
          <w:sz w:val="24"/>
          <w:szCs w:val="24"/>
        </w:rPr>
        <w:t>. ATC-kode: L 01 BC 52.</w:t>
      </w:r>
    </w:p>
    <w:p w:rsidR="00180457" w:rsidRDefault="00180457" w:rsidP="00C04F1E">
      <w:pPr>
        <w:tabs>
          <w:tab w:val="left" w:pos="851"/>
        </w:tabs>
        <w:suppressAutoHyphens/>
        <w:ind w:left="851"/>
        <w:rPr>
          <w:bCs/>
          <w:noProof/>
          <w:sz w:val="24"/>
          <w:szCs w:val="24"/>
          <w:u w:val="single"/>
        </w:rPr>
      </w:pPr>
    </w:p>
    <w:p w:rsidR="00C04F1E" w:rsidRPr="009037C4" w:rsidRDefault="00C04F1E" w:rsidP="00C04F1E">
      <w:pPr>
        <w:tabs>
          <w:tab w:val="left" w:pos="851"/>
        </w:tabs>
        <w:suppressAutoHyphens/>
        <w:ind w:left="851"/>
        <w:rPr>
          <w:bCs/>
          <w:noProof/>
          <w:sz w:val="24"/>
          <w:szCs w:val="24"/>
          <w:u w:val="single"/>
        </w:rPr>
      </w:pPr>
      <w:r w:rsidRPr="009037C4">
        <w:rPr>
          <w:bCs/>
          <w:noProof/>
          <w:sz w:val="24"/>
          <w:szCs w:val="24"/>
          <w:u w:val="single"/>
        </w:rPr>
        <w:t>Fluoruracils virkningsmekanisme</w:t>
      </w:r>
    </w:p>
    <w:p w:rsidR="00C04F1E" w:rsidRPr="009037C4" w:rsidRDefault="00C04F1E" w:rsidP="00C04F1E">
      <w:pPr>
        <w:tabs>
          <w:tab w:val="left" w:pos="851"/>
        </w:tabs>
        <w:suppressAutoHyphens/>
        <w:ind w:left="851"/>
        <w:rPr>
          <w:bCs/>
          <w:noProof/>
          <w:sz w:val="24"/>
          <w:szCs w:val="24"/>
        </w:rPr>
      </w:pPr>
      <w:r w:rsidRPr="009037C4">
        <w:rPr>
          <w:bCs/>
          <w:noProof/>
          <w:sz w:val="24"/>
          <w:szCs w:val="24"/>
        </w:rPr>
        <w:t>Det aktive stof fluoruracil (FU) er et cytostatisk middel, der har en antimetabolit virkning. På grund af dets strukturelle lighed med thymin (5-methyluracil), der findes i nukleinsyrer, forhindrer FU, at det dannes og udnyttes og på denne måde hæmmer det både DNA-og RNA-syntese, der resulterer i væksthæmning.</w:t>
      </w:r>
    </w:p>
    <w:p w:rsidR="00C04F1E" w:rsidRPr="009037C4" w:rsidRDefault="00C04F1E" w:rsidP="00C04F1E">
      <w:pPr>
        <w:tabs>
          <w:tab w:val="left" w:pos="851"/>
        </w:tabs>
        <w:suppressAutoHyphens/>
        <w:ind w:left="851"/>
        <w:rPr>
          <w:bCs/>
          <w:noProof/>
          <w:sz w:val="24"/>
          <w:szCs w:val="24"/>
        </w:rPr>
      </w:pPr>
    </w:p>
    <w:p w:rsidR="00C04F1E" w:rsidRPr="009037C4" w:rsidRDefault="00C04F1E" w:rsidP="00C04F1E">
      <w:pPr>
        <w:tabs>
          <w:tab w:val="left" w:pos="851"/>
        </w:tabs>
        <w:suppressAutoHyphens/>
        <w:ind w:left="851"/>
        <w:rPr>
          <w:bCs/>
          <w:noProof/>
          <w:sz w:val="24"/>
          <w:szCs w:val="24"/>
          <w:u w:val="single"/>
        </w:rPr>
      </w:pPr>
      <w:r w:rsidRPr="009037C4">
        <w:rPr>
          <w:bCs/>
          <w:noProof/>
          <w:sz w:val="24"/>
          <w:szCs w:val="24"/>
          <w:u w:val="single"/>
        </w:rPr>
        <w:t>Salicylsyres virkningsmekanisme</w:t>
      </w:r>
    </w:p>
    <w:p w:rsidR="00C04F1E" w:rsidRPr="009037C4" w:rsidRDefault="00C04F1E" w:rsidP="00C04F1E">
      <w:pPr>
        <w:tabs>
          <w:tab w:val="left" w:pos="851"/>
        </w:tabs>
        <w:suppressAutoHyphens/>
        <w:ind w:left="851"/>
        <w:rPr>
          <w:bCs/>
          <w:noProof/>
          <w:sz w:val="24"/>
          <w:szCs w:val="24"/>
        </w:rPr>
      </w:pPr>
      <w:r w:rsidRPr="009037C4">
        <w:rPr>
          <w:bCs/>
          <w:noProof/>
          <w:sz w:val="24"/>
          <w:szCs w:val="24"/>
        </w:rPr>
        <w:t>Topisk salicylsyre (SA) har en keratolytisk virkning og reducerer den hyperkeratose, der er forbundet med aktinisk keratose. Dets virkningsmekanisme som et keratolytisk og corneolytisk middel menes at være relateret til dets interferens med corneocyt-tilhæftning, dens opløsende virkning på intracellulær cement og dens frigørelse og løsning af corneocytter.</w:t>
      </w:r>
    </w:p>
    <w:p w:rsidR="00C04F1E" w:rsidRPr="009037C4" w:rsidRDefault="00C04F1E" w:rsidP="00C04F1E">
      <w:pPr>
        <w:tabs>
          <w:tab w:val="left" w:pos="851"/>
        </w:tabs>
        <w:suppressAutoHyphens/>
        <w:ind w:left="851"/>
        <w:rPr>
          <w:bCs/>
          <w:noProof/>
          <w:sz w:val="24"/>
          <w:szCs w:val="24"/>
          <w:u w:val="single"/>
        </w:rPr>
      </w:pPr>
    </w:p>
    <w:p w:rsidR="00C04F1E" w:rsidRPr="009037C4" w:rsidRDefault="00C04F1E" w:rsidP="00C04F1E">
      <w:pPr>
        <w:tabs>
          <w:tab w:val="left" w:pos="851"/>
        </w:tabs>
        <w:suppressAutoHyphens/>
        <w:ind w:left="851"/>
        <w:rPr>
          <w:bCs/>
          <w:noProof/>
          <w:sz w:val="24"/>
          <w:szCs w:val="24"/>
          <w:u w:val="single"/>
        </w:rPr>
      </w:pPr>
      <w:r w:rsidRPr="009037C4">
        <w:rPr>
          <w:bCs/>
          <w:noProof/>
          <w:sz w:val="24"/>
          <w:szCs w:val="24"/>
          <w:u w:val="single"/>
        </w:rPr>
        <w:t>Klinisk virkning og sikkerhed</w:t>
      </w:r>
    </w:p>
    <w:p w:rsidR="00C04F1E" w:rsidRPr="009037C4" w:rsidRDefault="00C04F1E" w:rsidP="00C04F1E">
      <w:pPr>
        <w:tabs>
          <w:tab w:val="left" w:pos="851"/>
        </w:tabs>
        <w:suppressAutoHyphens/>
        <w:ind w:left="851"/>
        <w:rPr>
          <w:bCs/>
          <w:noProof/>
          <w:sz w:val="24"/>
          <w:szCs w:val="24"/>
        </w:rPr>
      </w:pPr>
      <w:r w:rsidRPr="009037C4">
        <w:rPr>
          <w:bCs/>
          <w:noProof/>
          <w:sz w:val="24"/>
          <w:szCs w:val="24"/>
        </w:rPr>
        <w:t>I et pivotal randomiseret, placebokontrolleret, dobbeltblindet, tre-armet, parallel gruppe, multicenter fase III forsøg, blev 470 patienter med aktinisk keratose (AK) grad I til II (se nedenfor) behandlet med Actikerall eller placebo eller en diclofenac-gel (30 mg / g) (DG). 187 patienter blev behandlet med den faste kombination Actikerall i op til 12 uger. Det primære endepunkt var den histologiske helbredelse af en læsion 8 uger efter endt behandling.</w:t>
      </w:r>
    </w:p>
    <w:p w:rsidR="00C04F1E" w:rsidRPr="009037C4" w:rsidRDefault="00C04F1E" w:rsidP="00C04F1E">
      <w:pPr>
        <w:tabs>
          <w:tab w:val="left" w:pos="851"/>
        </w:tabs>
        <w:suppressAutoHyphens/>
        <w:ind w:left="851"/>
        <w:rPr>
          <w:bCs/>
          <w:noProof/>
          <w:sz w:val="24"/>
          <w:szCs w:val="24"/>
        </w:rPr>
      </w:pPr>
    </w:p>
    <w:p w:rsidR="00C04F1E" w:rsidRPr="009037C4" w:rsidRDefault="00C04F1E" w:rsidP="00C04F1E">
      <w:pPr>
        <w:tabs>
          <w:tab w:val="left" w:pos="851"/>
        </w:tabs>
        <w:suppressAutoHyphens/>
        <w:ind w:left="851"/>
        <w:rPr>
          <w:bCs/>
          <w:noProof/>
          <w:sz w:val="24"/>
          <w:szCs w:val="24"/>
        </w:rPr>
      </w:pPr>
      <w:r w:rsidRPr="009037C4">
        <w:rPr>
          <w:bCs/>
          <w:noProof/>
          <w:sz w:val="24"/>
          <w:szCs w:val="24"/>
        </w:rPr>
        <w:t>Lokalbehandling med Actikerall var overlegent sammenlignet med placebo og DG-behandling. Sekundære effektparametre, såsom totalt læsionsantal, total AK-læsionsstørrelse, læsionsrespons, lægens globale vurdering og patientens samlede vurdering af effektivitet, bekræftede resultaterne af det primære endpunkt. Hos 72,0 % af patienterne i Actikerall gruppen kunne aktinisk keratose ikke længere påvises i biopsien, mens helbredelse i DG- og placebogrupperne var henholdsvis 59,1 % og 44,8 % (per protokolanalyse). Antallet af patienter med komplet respons (alle læsioner klinisk helbredt) var også højest i Actikerall gruppen, 55,4 % sammenlignet med 32,0 % i GD</w:t>
      </w:r>
      <w:r w:rsidRPr="009037C4">
        <w:rPr>
          <w:bCs/>
          <w:noProof/>
          <w:sz w:val="24"/>
          <w:szCs w:val="24"/>
        </w:rPr>
        <w:noBreakHyphen/>
        <w:t xml:space="preserve">gruppen og 15,1% i placebogruppen. De hyppigst forekommende bivirkninger ved Actikerall var irritation på administrationsstedet (herunder brænden) (86,1 %) og inflammation på administrationsstedet (73,3 %). Også kløen på administrationsstedet (44,9 %) og smerter på administrationsstedet (25,1 %) forekom med en høj frekvens. Andre bivirkninger var erytem og erosion </w:t>
      </w:r>
      <w:r w:rsidRPr="009037C4">
        <w:rPr>
          <w:sz w:val="24"/>
          <w:szCs w:val="24"/>
        </w:rPr>
        <w:t>på administrationsstedet</w:t>
      </w:r>
      <w:r w:rsidRPr="009037C4">
        <w:rPr>
          <w:bCs/>
          <w:noProof/>
          <w:sz w:val="24"/>
          <w:szCs w:val="24"/>
        </w:rPr>
        <w:t xml:space="preserve">. Seponering på grund af hudreaktioner og reaktioner </w:t>
      </w:r>
      <w:r w:rsidRPr="009037C4">
        <w:rPr>
          <w:sz w:val="24"/>
          <w:szCs w:val="24"/>
        </w:rPr>
        <w:t>på administrationsstedet</w:t>
      </w:r>
      <w:r w:rsidRPr="009037C4">
        <w:rPr>
          <w:bCs/>
          <w:noProof/>
          <w:sz w:val="24"/>
          <w:szCs w:val="24"/>
        </w:rPr>
        <w:t xml:space="preserve"> var lav (0,5 %).</w:t>
      </w:r>
    </w:p>
    <w:p w:rsidR="00C04F1E" w:rsidRPr="009037C4" w:rsidRDefault="00C04F1E" w:rsidP="00C04F1E">
      <w:pPr>
        <w:tabs>
          <w:tab w:val="left" w:pos="851"/>
        </w:tabs>
        <w:suppressAutoHyphens/>
        <w:ind w:left="851"/>
        <w:rPr>
          <w:bCs/>
          <w:noProof/>
          <w:sz w:val="24"/>
          <w:szCs w:val="24"/>
        </w:rPr>
      </w:pPr>
    </w:p>
    <w:p w:rsidR="00C04F1E" w:rsidRPr="009037C4" w:rsidRDefault="00C04F1E" w:rsidP="00C04F1E">
      <w:pPr>
        <w:autoSpaceDE w:val="0"/>
        <w:autoSpaceDN w:val="0"/>
        <w:adjustRightInd w:val="0"/>
        <w:ind w:left="851"/>
        <w:rPr>
          <w:color w:val="000000"/>
        </w:rPr>
      </w:pPr>
      <w:r w:rsidRPr="009037C4">
        <w:rPr>
          <w:bCs/>
          <w:noProof/>
          <w:sz w:val="24"/>
          <w:szCs w:val="24"/>
        </w:rPr>
        <w:t>I et randomiseret, placebokontrolleret, dobbeltblindet, to-armet, parallel gruppe, multicenter fase III forsøg, blev 166 patienter med aktinisk keratose (AK) grad I til II behandlet med Actikerall eller vehikel (ratio 2:1). Patienterne  blev behandlet i op til 12 uger ved at påføre Actikerall eller vehikel på det berørte område på 25 cm</w:t>
      </w:r>
      <w:r w:rsidRPr="009037C4">
        <w:rPr>
          <w:bCs/>
          <w:noProof/>
          <w:sz w:val="24"/>
          <w:szCs w:val="24"/>
          <w:vertAlign w:val="superscript"/>
        </w:rPr>
        <w:t>2</w:t>
      </w:r>
      <w:r w:rsidRPr="009037C4">
        <w:rPr>
          <w:bCs/>
          <w:noProof/>
          <w:sz w:val="24"/>
          <w:szCs w:val="24"/>
        </w:rPr>
        <w:t xml:space="preserve"> med 4 til 10 kliniske AK læsioner og, i en undergruppe på 30 patienter med mindst 3 subkliniske læsioner identificeret  ved </w:t>
      </w:r>
      <w:proofErr w:type="spellStart"/>
      <w:r w:rsidRPr="009037C4">
        <w:rPr>
          <w:color w:val="000000"/>
        </w:rPr>
        <w:t>reflektanskonfokalmikroskopi</w:t>
      </w:r>
      <w:proofErr w:type="spellEnd"/>
      <w:r w:rsidRPr="009037C4">
        <w:rPr>
          <w:bCs/>
          <w:noProof/>
          <w:sz w:val="24"/>
          <w:szCs w:val="24"/>
        </w:rPr>
        <w:t xml:space="preserve"> (RCM). Det primære endepunkt var fuldstændig klinisk heling af AK læsioner i det behandlede område 8 uger efter endt behandling. Hos 49,5% (intention-to-treat analysis) eller 55,1% (per protokolanalyse) af Actikerall gruppen opnåedes fuldstændig klinisk heling sammenlignet med henholdsvis 18,2% eller 19,6% i vehikelgruppen. Topikal behandling med Actikerall viste sig at være bedre end behandling med vehiklet alene. </w:t>
      </w:r>
      <w:r w:rsidRPr="009037C4">
        <w:rPr>
          <w:szCs w:val="22"/>
        </w:rPr>
        <w:t xml:space="preserve">Sekundære effektmål som delvis </w:t>
      </w:r>
      <w:proofErr w:type="spellStart"/>
      <w:r w:rsidRPr="009037C4">
        <w:rPr>
          <w:szCs w:val="22"/>
        </w:rPr>
        <w:t>clearance</w:t>
      </w:r>
      <w:proofErr w:type="spellEnd"/>
      <w:r w:rsidRPr="009037C4">
        <w:rPr>
          <w:szCs w:val="22"/>
        </w:rPr>
        <w:t xml:space="preserve">, totalt antal læsioner, læsionernes sværhedsgrad, lægens-almen-tilfredshedsscore og patientens almene vurdering af effekten bekræftede resultaterne af det primære resultatmål. </w:t>
      </w:r>
    </w:p>
    <w:p w:rsidR="00C04F1E" w:rsidRPr="009037C4" w:rsidRDefault="00C04F1E" w:rsidP="00C04F1E">
      <w:pPr>
        <w:autoSpaceDE w:val="0"/>
        <w:autoSpaceDN w:val="0"/>
        <w:adjustRightInd w:val="0"/>
        <w:ind w:left="851"/>
        <w:rPr>
          <w:szCs w:val="22"/>
        </w:rPr>
      </w:pPr>
      <w:r w:rsidRPr="009037C4">
        <w:rPr>
          <w:szCs w:val="22"/>
        </w:rPr>
        <w:t xml:space="preserve">I RCM-undergruppeanalysen vedrørende fuldstændig heling af en enkelt klinisk AK </w:t>
      </w:r>
      <w:r w:rsidRPr="009037C4">
        <w:rPr>
          <w:color w:val="000000"/>
        </w:rPr>
        <w:t>læsion og</w:t>
      </w:r>
      <w:r w:rsidRPr="009037C4">
        <w:rPr>
          <w:szCs w:val="22"/>
        </w:rPr>
        <w:t xml:space="preserve"> antallet af udvalgte subkliniske læsioner, vistes </w:t>
      </w:r>
      <w:proofErr w:type="spellStart"/>
      <w:r w:rsidRPr="009037C4">
        <w:rPr>
          <w:szCs w:val="22"/>
        </w:rPr>
        <w:t>Actikerall</w:t>
      </w:r>
      <w:proofErr w:type="spellEnd"/>
      <w:r w:rsidRPr="009037C4">
        <w:rPr>
          <w:szCs w:val="22"/>
        </w:rPr>
        <w:t xml:space="preserve"> at være signifikant mere effektivt end vehiklet (87,5 % mod 44,4 %, p=0,0352 og 89,6 % mod 47,1 %, p=0,0051).</w:t>
      </w:r>
    </w:p>
    <w:p w:rsidR="00C04F1E" w:rsidRPr="009037C4" w:rsidRDefault="00C04F1E" w:rsidP="00C04F1E">
      <w:pPr>
        <w:autoSpaceDE w:val="0"/>
        <w:autoSpaceDN w:val="0"/>
        <w:adjustRightInd w:val="0"/>
        <w:ind w:left="851"/>
        <w:rPr>
          <w:szCs w:val="22"/>
        </w:rPr>
      </w:pPr>
      <w:r w:rsidRPr="009037C4">
        <w:rPr>
          <w:bCs/>
          <w:noProof/>
          <w:sz w:val="24"/>
          <w:szCs w:val="24"/>
        </w:rPr>
        <w:t xml:space="preserve">Størstedelen af bivirkninger med Actikerall var </w:t>
      </w:r>
      <w:r w:rsidRPr="009037C4">
        <w:rPr>
          <w:szCs w:val="22"/>
        </w:rPr>
        <w:t xml:space="preserve">reaktioner på </w:t>
      </w:r>
      <w:r w:rsidRPr="009037C4">
        <w:rPr>
          <w:bCs/>
          <w:noProof/>
          <w:sz w:val="24"/>
          <w:szCs w:val="24"/>
        </w:rPr>
        <w:t>administrationsstedet</w:t>
      </w:r>
      <w:r w:rsidRPr="009037C4">
        <w:rPr>
          <w:szCs w:val="22"/>
        </w:rPr>
        <w:t xml:space="preserve">, hvoraf de fleste var milde. 30 tilfælde af blødning på </w:t>
      </w:r>
      <w:r w:rsidRPr="009037C4">
        <w:rPr>
          <w:bCs/>
          <w:noProof/>
          <w:sz w:val="24"/>
          <w:szCs w:val="24"/>
        </w:rPr>
        <w:t>administrationsstedet</w:t>
      </w:r>
      <w:r w:rsidRPr="009037C4">
        <w:rPr>
          <w:szCs w:val="22"/>
        </w:rPr>
        <w:t xml:space="preserve"> rapporteredes hos 27 patienter (24,1 %) behandlet med </w:t>
      </w:r>
      <w:proofErr w:type="spellStart"/>
      <w:r w:rsidRPr="009037C4">
        <w:rPr>
          <w:szCs w:val="22"/>
        </w:rPr>
        <w:t>Actikerall</w:t>
      </w:r>
      <w:proofErr w:type="spellEnd"/>
      <w:r w:rsidRPr="009037C4">
        <w:rPr>
          <w:szCs w:val="22"/>
        </w:rPr>
        <w:t xml:space="preserve">: 26 af tilfældene var milde, tre var moderate og et alvorlig. Fire tilfælde af ulcus på administrationsstedet rapporteredes hos tre patienter (2,8 %) behandlet med </w:t>
      </w:r>
      <w:proofErr w:type="spellStart"/>
      <w:r w:rsidRPr="009037C4">
        <w:rPr>
          <w:szCs w:val="22"/>
        </w:rPr>
        <w:t>Actikerall</w:t>
      </w:r>
      <w:proofErr w:type="spellEnd"/>
      <w:r w:rsidRPr="009037C4">
        <w:rPr>
          <w:szCs w:val="22"/>
        </w:rPr>
        <w:t xml:space="preserve">: tre af tilfældene var milde og et moderat. </w:t>
      </w:r>
      <w:r w:rsidRPr="009037C4">
        <w:rPr>
          <w:bCs/>
          <w:noProof/>
          <w:sz w:val="24"/>
          <w:szCs w:val="24"/>
        </w:rPr>
        <w:t xml:space="preserve">Seponering på grund af lægemiddelrelaterede </w:t>
      </w:r>
      <w:r w:rsidRPr="009037C4">
        <w:rPr>
          <w:szCs w:val="22"/>
        </w:rPr>
        <w:t xml:space="preserve">reaktioner på huden og på administrationsstedet var lavt i behandlingsgruppen (n=1, 0,9 %). </w:t>
      </w:r>
    </w:p>
    <w:p w:rsidR="00C04F1E" w:rsidRPr="009037C4" w:rsidRDefault="00C04F1E" w:rsidP="00C04F1E">
      <w:pPr>
        <w:tabs>
          <w:tab w:val="left" w:pos="851"/>
        </w:tabs>
        <w:suppressAutoHyphens/>
        <w:ind w:left="851"/>
        <w:rPr>
          <w:bCs/>
          <w:noProof/>
          <w:sz w:val="24"/>
          <w:szCs w:val="24"/>
        </w:rPr>
      </w:pPr>
    </w:p>
    <w:p w:rsidR="00C04F1E" w:rsidRPr="009037C4" w:rsidRDefault="00C04F1E" w:rsidP="00C04F1E">
      <w:pPr>
        <w:tabs>
          <w:tab w:val="left" w:pos="851"/>
        </w:tabs>
        <w:suppressAutoHyphens/>
        <w:ind w:left="851"/>
        <w:rPr>
          <w:bCs/>
          <w:noProof/>
          <w:sz w:val="24"/>
          <w:szCs w:val="24"/>
        </w:rPr>
      </w:pPr>
      <w:r w:rsidRPr="009037C4">
        <w:rPr>
          <w:bCs/>
          <w:noProof/>
          <w:sz w:val="24"/>
          <w:szCs w:val="24"/>
        </w:rPr>
        <w:t>Den kliniske effekt er yderligere støttet af et fase II, randomiseret, parallel-gruppe, multicenter studie med kryoterapi som komparator. Actikerall viste en højere histologisk eliminationshastighed ved 8 uger efter en 6-ugers behandling (n = 33), end kryoterapi ved14 uger efter den første behandling på dag 1 og på dag 21, hvis nødvendigt (n = 33) (62,1 % versus 41,9 %). Desuden  blev en lavere frekvens af AK genkomst fundet i Actikerall-gruppen ved 6</w:t>
      </w:r>
      <w:r w:rsidRPr="009037C4">
        <w:rPr>
          <w:bCs/>
          <w:noProof/>
          <w:sz w:val="24"/>
          <w:szCs w:val="24"/>
        </w:rPr>
        <w:noBreakHyphen/>
        <w:t>måneders opfølgning (27,3 % versus 67,7 %).</w:t>
      </w:r>
    </w:p>
    <w:p w:rsidR="00C04F1E" w:rsidRPr="009037C4" w:rsidRDefault="00C04F1E" w:rsidP="00C04F1E">
      <w:pPr>
        <w:tabs>
          <w:tab w:val="left" w:pos="851"/>
        </w:tabs>
        <w:suppressAutoHyphens/>
        <w:ind w:left="851"/>
        <w:rPr>
          <w:bCs/>
          <w:noProof/>
          <w:sz w:val="24"/>
          <w:szCs w:val="24"/>
        </w:rPr>
      </w:pPr>
    </w:p>
    <w:p w:rsidR="00C04F1E" w:rsidRPr="009037C4" w:rsidRDefault="00C04F1E" w:rsidP="00C04F1E">
      <w:pPr>
        <w:tabs>
          <w:tab w:val="left" w:pos="851"/>
        </w:tabs>
        <w:suppressAutoHyphens/>
        <w:ind w:left="851"/>
        <w:rPr>
          <w:bCs/>
          <w:noProof/>
          <w:sz w:val="24"/>
          <w:szCs w:val="24"/>
        </w:rPr>
      </w:pPr>
      <w:r w:rsidRPr="009037C4">
        <w:rPr>
          <w:bCs/>
          <w:noProof/>
          <w:sz w:val="24"/>
          <w:szCs w:val="24"/>
        </w:rPr>
        <w:t xml:space="preserve">Med hensyn til behandlingsvarighed (fra </w:t>
      </w:r>
      <w:r w:rsidRPr="009037C4">
        <w:rPr>
          <w:bCs/>
          <w:noProof/>
          <w:sz w:val="24"/>
          <w:szCs w:val="24"/>
        </w:rPr>
        <w:sym w:font="Symbol" w:char="F0A3"/>
      </w:r>
      <w:r w:rsidRPr="009037C4">
        <w:rPr>
          <w:bCs/>
          <w:noProof/>
          <w:sz w:val="24"/>
          <w:szCs w:val="24"/>
        </w:rPr>
        <w:t> 4 til &gt; 12 uger), blev effekten af Actikerall påvist i et multicenter ikke-interventionsstudie i AK grad I-III patienter (n = 1.051). Cirka 8 uger efter behandlingen var den gennemsnitlige reduktion i læsionsantal og -størrelse henholdsvis 69,7 % og 82,1 %, hvilket blev opnået i ca. 50 % af patienterne med under 6 ugers behandling. Alle behandlingsvarigheder (</w:t>
      </w:r>
      <w:r w:rsidRPr="009037C4">
        <w:rPr>
          <w:bCs/>
          <w:noProof/>
          <w:sz w:val="24"/>
          <w:szCs w:val="24"/>
        </w:rPr>
        <w:sym w:font="Symbol" w:char="F0A3"/>
      </w:r>
      <w:r w:rsidRPr="009037C4">
        <w:rPr>
          <w:bCs/>
          <w:noProof/>
          <w:sz w:val="24"/>
          <w:szCs w:val="24"/>
        </w:rPr>
        <w:t xml:space="preserve"> 4 uger;&gt; 4 til </w:t>
      </w:r>
      <w:r w:rsidRPr="009037C4">
        <w:rPr>
          <w:bCs/>
          <w:noProof/>
          <w:sz w:val="24"/>
          <w:szCs w:val="24"/>
        </w:rPr>
        <w:sym w:font="Symbol" w:char="F0A3"/>
      </w:r>
      <w:r w:rsidRPr="009037C4">
        <w:rPr>
          <w:bCs/>
          <w:noProof/>
          <w:sz w:val="24"/>
          <w:szCs w:val="24"/>
        </w:rPr>
        <w:t xml:space="preserve"> 6 uger; &gt; 6 uger til </w:t>
      </w:r>
      <w:r w:rsidRPr="009037C4">
        <w:rPr>
          <w:bCs/>
          <w:noProof/>
          <w:sz w:val="24"/>
          <w:szCs w:val="24"/>
        </w:rPr>
        <w:sym w:font="Symbol" w:char="F0A3"/>
      </w:r>
      <w:r w:rsidRPr="009037C4">
        <w:rPr>
          <w:bCs/>
          <w:noProof/>
          <w:sz w:val="24"/>
          <w:szCs w:val="24"/>
        </w:rPr>
        <w:t xml:space="preserve"> 9; &gt; 9 til </w:t>
      </w:r>
      <w:r w:rsidRPr="009037C4">
        <w:rPr>
          <w:bCs/>
          <w:noProof/>
          <w:sz w:val="24"/>
          <w:szCs w:val="24"/>
        </w:rPr>
        <w:sym w:font="Symbol" w:char="F0A3"/>
      </w:r>
      <w:r w:rsidRPr="009037C4">
        <w:rPr>
          <w:bCs/>
          <w:noProof/>
          <w:sz w:val="24"/>
          <w:szCs w:val="24"/>
        </w:rPr>
        <w:t> 12 uger og &gt; 12 uger) viste en gennemsnitlig reduktion i læsionsantal på 65-70 %.</w:t>
      </w:r>
    </w:p>
    <w:p w:rsidR="00C04F1E" w:rsidRPr="009037C4" w:rsidRDefault="00C04F1E" w:rsidP="00C04F1E">
      <w:pPr>
        <w:tabs>
          <w:tab w:val="left" w:pos="851"/>
        </w:tabs>
        <w:suppressAutoHyphens/>
        <w:ind w:left="851"/>
        <w:rPr>
          <w:bCs/>
          <w:noProof/>
          <w:sz w:val="24"/>
          <w:szCs w:val="24"/>
        </w:rPr>
      </w:pPr>
    </w:p>
    <w:p w:rsidR="00C04F1E" w:rsidRPr="009037C4" w:rsidRDefault="00C04F1E" w:rsidP="00C04F1E">
      <w:pPr>
        <w:tabs>
          <w:tab w:val="left" w:pos="851"/>
        </w:tabs>
        <w:suppressAutoHyphens/>
        <w:ind w:left="851"/>
        <w:rPr>
          <w:bCs/>
          <w:noProof/>
          <w:sz w:val="24"/>
          <w:szCs w:val="24"/>
        </w:rPr>
      </w:pPr>
      <w:r w:rsidRPr="009037C4">
        <w:rPr>
          <w:bCs/>
          <w:noProof/>
          <w:sz w:val="24"/>
          <w:szCs w:val="24"/>
        </w:rPr>
        <w:t>I både fase II studiet og ikke-interventionsstudiet, var sikkerhedsprofilen for Actikerall konsistent med bivirkningerne for lægemidlet (se pkt 4.8).</w:t>
      </w:r>
    </w:p>
    <w:p w:rsidR="00C04F1E" w:rsidRPr="009037C4" w:rsidRDefault="00C04F1E" w:rsidP="00C04F1E">
      <w:pPr>
        <w:tabs>
          <w:tab w:val="left" w:pos="851"/>
        </w:tabs>
        <w:suppressAutoHyphens/>
        <w:rPr>
          <w:bCs/>
          <w:noProof/>
          <w:sz w:val="24"/>
          <w:szCs w:val="24"/>
        </w:rPr>
      </w:pPr>
    </w:p>
    <w:p w:rsidR="00C04F1E" w:rsidRPr="009037C4" w:rsidRDefault="00C04F1E" w:rsidP="00C04F1E">
      <w:pPr>
        <w:tabs>
          <w:tab w:val="left" w:pos="851"/>
        </w:tabs>
        <w:suppressAutoHyphens/>
        <w:ind w:left="851"/>
        <w:rPr>
          <w:color w:val="000000"/>
          <w:szCs w:val="22"/>
        </w:rPr>
      </w:pPr>
      <w:r w:rsidRPr="009037C4">
        <w:rPr>
          <w:szCs w:val="22"/>
        </w:rPr>
        <w:t xml:space="preserve">I et ikke-interventions, fase </w:t>
      </w:r>
      <w:r w:rsidRPr="009037C4">
        <w:rPr>
          <w:bCs/>
          <w:szCs w:val="22"/>
        </w:rPr>
        <w:t xml:space="preserve">IV, multicenterstudie som undersøgte anvendelsen af </w:t>
      </w:r>
      <w:proofErr w:type="spellStart"/>
      <w:r w:rsidRPr="009037C4">
        <w:rPr>
          <w:bCs/>
          <w:szCs w:val="22"/>
        </w:rPr>
        <w:t>Actikerall</w:t>
      </w:r>
      <w:proofErr w:type="spellEnd"/>
      <w:r w:rsidRPr="009037C4">
        <w:rPr>
          <w:bCs/>
          <w:szCs w:val="22"/>
        </w:rPr>
        <w:t xml:space="preserve"> hos patienter med </w:t>
      </w:r>
      <w:proofErr w:type="spellStart"/>
      <w:r w:rsidRPr="009037C4">
        <w:rPr>
          <w:bCs/>
          <w:szCs w:val="22"/>
        </w:rPr>
        <w:t>aktinisk</w:t>
      </w:r>
      <w:proofErr w:type="spellEnd"/>
      <w:r w:rsidRPr="009037C4">
        <w:rPr>
          <w:bCs/>
          <w:szCs w:val="22"/>
        </w:rPr>
        <w:t xml:space="preserve"> </w:t>
      </w:r>
      <w:proofErr w:type="spellStart"/>
      <w:r w:rsidRPr="009037C4">
        <w:rPr>
          <w:bCs/>
          <w:szCs w:val="22"/>
        </w:rPr>
        <w:t>keratose</w:t>
      </w:r>
      <w:proofErr w:type="spellEnd"/>
      <w:r w:rsidRPr="009037C4">
        <w:rPr>
          <w:bCs/>
          <w:szCs w:val="22"/>
        </w:rPr>
        <w:t xml:space="preserve"> (klinisk grad I eller II i henhold til Olsen) med hensyn til behandlingslængde i rutinemæssig medicinsk behandling, undersøgtes for første gang også læsioner af</w:t>
      </w:r>
      <w:r w:rsidRPr="009037C4">
        <w:rPr>
          <w:color w:val="000000"/>
          <w:szCs w:val="22"/>
        </w:rPr>
        <w:t xml:space="preserve"> </w:t>
      </w:r>
      <w:proofErr w:type="spellStart"/>
      <w:r w:rsidRPr="009037C4">
        <w:rPr>
          <w:bCs/>
          <w:szCs w:val="22"/>
        </w:rPr>
        <w:t>aktinisk</w:t>
      </w:r>
      <w:proofErr w:type="spellEnd"/>
      <w:r w:rsidRPr="009037C4">
        <w:rPr>
          <w:bCs/>
          <w:szCs w:val="22"/>
        </w:rPr>
        <w:t xml:space="preserve"> </w:t>
      </w:r>
      <w:proofErr w:type="spellStart"/>
      <w:r w:rsidRPr="009037C4">
        <w:rPr>
          <w:bCs/>
          <w:szCs w:val="22"/>
        </w:rPr>
        <w:t>keratose</w:t>
      </w:r>
      <w:proofErr w:type="spellEnd"/>
      <w:r w:rsidRPr="009037C4">
        <w:rPr>
          <w:bCs/>
          <w:szCs w:val="22"/>
        </w:rPr>
        <w:t xml:space="preserve"> på arme</w:t>
      </w:r>
      <w:r w:rsidRPr="009037C4">
        <w:rPr>
          <w:color w:val="000000"/>
          <w:szCs w:val="22"/>
        </w:rPr>
        <w:t xml:space="preserve">, ben og krop. Resultaterne af undersøgelsen med hensyn til læsionernes lokalisering viste at </w:t>
      </w:r>
      <w:proofErr w:type="spellStart"/>
      <w:r w:rsidRPr="009037C4">
        <w:rPr>
          <w:color w:val="000000"/>
          <w:szCs w:val="22"/>
        </w:rPr>
        <w:t>Actikerall</w:t>
      </w:r>
      <w:proofErr w:type="spellEnd"/>
      <w:r w:rsidRPr="009037C4">
        <w:rPr>
          <w:color w:val="000000"/>
          <w:szCs w:val="22"/>
        </w:rPr>
        <w:t xml:space="preserve"> havde effekt på alle behandlede læsioner uanset lokalisering.</w:t>
      </w:r>
    </w:p>
    <w:p w:rsidR="00C04F1E" w:rsidRPr="009037C4" w:rsidRDefault="00C04F1E" w:rsidP="00C04F1E">
      <w:pPr>
        <w:tabs>
          <w:tab w:val="left" w:pos="851"/>
        </w:tabs>
        <w:suppressAutoHyphens/>
        <w:ind w:left="851"/>
        <w:rPr>
          <w:color w:val="000000"/>
          <w:szCs w:val="22"/>
        </w:rPr>
      </w:pPr>
    </w:p>
    <w:p w:rsidR="00C04F1E" w:rsidRPr="009037C4" w:rsidRDefault="00C04F1E" w:rsidP="00C04F1E">
      <w:pPr>
        <w:tabs>
          <w:tab w:val="left" w:pos="851"/>
        </w:tabs>
        <w:suppressAutoHyphens/>
        <w:ind w:left="851"/>
        <w:rPr>
          <w:bCs/>
          <w:noProof/>
          <w:sz w:val="24"/>
          <w:szCs w:val="24"/>
        </w:rPr>
      </w:pPr>
      <w:r w:rsidRPr="009037C4">
        <w:rPr>
          <w:bCs/>
          <w:noProof/>
          <w:sz w:val="24"/>
          <w:szCs w:val="24"/>
        </w:rPr>
        <w:t xml:space="preserve">Ved beslutning om behandling af andre dele af kroppen </w:t>
      </w:r>
      <w:r w:rsidRPr="009037C4">
        <w:t>end ansigt, pande og skaldet hovedbund</w:t>
      </w:r>
      <w:r w:rsidRPr="009037C4">
        <w:rPr>
          <w:bCs/>
          <w:noProof/>
          <w:sz w:val="24"/>
          <w:szCs w:val="24"/>
        </w:rPr>
        <w:t xml:space="preserve">, skal epidermal tykkelse i forskellige områder tages i betragtning. Den gennemsnitlige epidermal tykkelse af forskellige kropsdele er blevet publiceret som: ansigt 49,4 </w:t>
      </w:r>
      <w:r w:rsidRPr="009037C4">
        <w:rPr>
          <w:bCs/>
          <w:noProof/>
          <w:sz w:val="24"/>
          <w:szCs w:val="24"/>
        </w:rPr>
        <w:sym w:font="Symbol" w:char="F06D"/>
      </w:r>
      <w:r w:rsidRPr="009037C4">
        <w:rPr>
          <w:bCs/>
          <w:noProof/>
          <w:sz w:val="24"/>
          <w:szCs w:val="24"/>
        </w:rPr>
        <w:t xml:space="preserve">m, pande 50,3 </w:t>
      </w:r>
      <w:r w:rsidRPr="009037C4">
        <w:rPr>
          <w:bCs/>
          <w:noProof/>
          <w:sz w:val="24"/>
          <w:szCs w:val="24"/>
        </w:rPr>
        <w:sym w:font="Symbol" w:char="F06D"/>
      </w:r>
      <w:r w:rsidRPr="009037C4">
        <w:rPr>
          <w:bCs/>
          <w:noProof/>
          <w:sz w:val="24"/>
          <w:szCs w:val="24"/>
        </w:rPr>
        <w:t xml:space="preserve">m, overkrop, øverste, forreste del (décolleté) 42,2 </w:t>
      </w:r>
      <w:r w:rsidRPr="009037C4">
        <w:rPr>
          <w:bCs/>
          <w:noProof/>
          <w:sz w:val="24"/>
          <w:szCs w:val="24"/>
        </w:rPr>
        <w:sym w:font="Symbol" w:char="F06D"/>
      </w:r>
      <w:r w:rsidRPr="009037C4">
        <w:rPr>
          <w:bCs/>
          <w:noProof/>
          <w:sz w:val="24"/>
          <w:szCs w:val="24"/>
        </w:rPr>
        <w:t>m, og arme / ben 60,1</w:t>
      </w:r>
      <w:r w:rsidRPr="009037C4">
        <w:rPr>
          <w:bCs/>
          <w:noProof/>
          <w:sz w:val="24"/>
          <w:szCs w:val="24"/>
        </w:rPr>
        <w:sym w:font="Symbol" w:char="F06D"/>
      </w:r>
      <w:r w:rsidRPr="009037C4">
        <w:rPr>
          <w:bCs/>
          <w:noProof/>
          <w:sz w:val="24"/>
          <w:szCs w:val="24"/>
        </w:rPr>
        <w:t>m (Koehler 2010, Skin Res Technol 2010, 16:259-264; Sandby-Moller 2003, Acta Derm Venereol 2003 83 (6):410-3, Whitton et Everall 1973 Br J Dermatol 1973; 89 (5):467-76).</w:t>
      </w:r>
    </w:p>
    <w:p w:rsidR="00C04F1E" w:rsidRPr="009037C4" w:rsidRDefault="00C04F1E" w:rsidP="00C04F1E">
      <w:pPr>
        <w:tabs>
          <w:tab w:val="left" w:pos="851"/>
        </w:tabs>
        <w:suppressAutoHyphens/>
        <w:rPr>
          <w:bCs/>
          <w:noProof/>
          <w:sz w:val="24"/>
          <w:szCs w:val="24"/>
        </w:rPr>
      </w:pPr>
    </w:p>
    <w:p w:rsidR="00C04F1E" w:rsidRPr="009037C4" w:rsidRDefault="00C04F1E" w:rsidP="00C04F1E">
      <w:pPr>
        <w:tabs>
          <w:tab w:val="left" w:pos="851"/>
        </w:tabs>
        <w:suppressAutoHyphens/>
        <w:ind w:left="851"/>
        <w:rPr>
          <w:bCs/>
          <w:noProof/>
          <w:sz w:val="24"/>
          <w:szCs w:val="24"/>
        </w:rPr>
      </w:pPr>
      <w:r w:rsidRPr="009037C4">
        <w:rPr>
          <w:bCs/>
          <w:noProof/>
          <w:sz w:val="24"/>
          <w:szCs w:val="24"/>
        </w:rPr>
        <w:t>Læsionsintensitet af aktinisk keratose blev vurderet i henhold til 4-trins-skalaen baseret på Olsen et al, 1991 (J Am Acad Dermatol 1991, 24: 738-743).:</w:t>
      </w:r>
    </w:p>
    <w:p w:rsidR="00C04F1E" w:rsidRPr="009037C4" w:rsidRDefault="00C04F1E" w:rsidP="00C04F1E">
      <w:pPr>
        <w:tabs>
          <w:tab w:val="left" w:pos="851"/>
        </w:tabs>
        <w:suppressAutoHyphens/>
        <w:ind w:left="851"/>
        <w:rPr>
          <w:bCs/>
          <w:noProof/>
          <w:sz w:val="24"/>
          <w:szCs w:val="24"/>
        </w:rPr>
      </w:pPr>
    </w:p>
    <w:tbl>
      <w:tblPr>
        <w:tblW w:w="0" w:type="auto"/>
        <w:tblInd w:w="851" w:type="dxa"/>
        <w:tblLayout w:type="fixed"/>
        <w:tblLook w:val="04A0" w:firstRow="1" w:lastRow="0" w:firstColumn="1" w:lastColumn="0" w:noHBand="0" w:noVBand="1"/>
      </w:tblPr>
      <w:tblGrid>
        <w:gridCol w:w="795"/>
        <w:gridCol w:w="1615"/>
        <w:gridCol w:w="6388"/>
      </w:tblGrid>
      <w:tr w:rsidR="00C04F1E" w:rsidRPr="00A97BCC" w:rsidTr="003B4BCE">
        <w:tc>
          <w:tcPr>
            <w:tcW w:w="795" w:type="dxa"/>
            <w:hideMark/>
          </w:tcPr>
          <w:p w:rsidR="00C04F1E" w:rsidRPr="00A97BCC" w:rsidRDefault="00C04F1E" w:rsidP="003B4BCE">
            <w:pPr>
              <w:tabs>
                <w:tab w:val="left" w:pos="851"/>
              </w:tabs>
              <w:spacing w:after="60"/>
              <w:jc w:val="both"/>
              <w:rPr>
                <w:b/>
                <w:noProof/>
                <w:sz w:val="24"/>
                <w:szCs w:val="24"/>
              </w:rPr>
            </w:pPr>
            <w:r w:rsidRPr="00A97BCC">
              <w:rPr>
                <w:b/>
                <w:noProof/>
                <w:sz w:val="24"/>
                <w:szCs w:val="24"/>
              </w:rPr>
              <w:t>Grad</w:t>
            </w:r>
          </w:p>
        </w:tc>
        <w:tc>
          <w:tcPr>
            <w:tcW w:w="1615" w:type="dxa"/>
          </w:tcPr>
          <w:p w:rsidR="00C04F1E" w:rsidRPr="00A97BCC" w:rsidRDefault="00C04F1E" w:rsidP="003B4BCE">
            <w:pPr>
              <w:tabs>
                <w:tab w:val="left" w:pos="231"/>
              </w:tabs>
              <w:spacing w:after="60"/>
              <w:ind w:left="231"/>
              <w:rPr>
                <w:b/>
                <w:noProof/>
                <w:sz w:val="24"/>
                <w:szCs w:val="24"/>
              </w:rPr>
            </w:pPr>
          </w:p>
        </w:tc>
        <w:tc>
          <w:tcPr>
            <w:tcW w:w="6388" w:type="dxa"/>
            <w:hideMark/>
          </w:tcPr>
          <w:p w:rsidR="00C04F1E" w:rsidRPr="00A97BCC" w:rsidRDefault="00C04F1E" w:rsidP="003B4BCE">
            <w:pPr>
              <w:tabs>
                <w:tab w:val="left" w:pos="317"/>
              </w:tabs>
              <w:spacing w:after="60"/>
              <w:ind w:left="317"/>
              <w:rPr>
                <w:b/>
                <w:noProof/>
                <w:sz w:val="24"/>
                <w:szCs w:val="24"/>
              </w:rPr>
            </w:pPr>
            <w:r w:rsidRPr="00A97BCC">
              <w:rPr>
                <w:b/>
                <w:noProof/>
                <w:sz w:val="24"/>
                <w:szCs w:val="24"/>
              </w:rPr>
              <w:t>Klinisk beskrivelse af intensitet klassificering</w:t>
            </w:r>
          </w:p>
        </w:tc>
      </w:tr>
      <w:tr w:rsidR="00C04F1E" w:rsidRPr="009037C4" w:rsidTr="003B4BCE">
        <w:tc>
          <w:tcPr>
            <w:tcW w:w="795" w:type="dxa"/>
            <w:hideMark/>
          </w:tcPr>
          <w:p w:rsidR="00C04F1E" w:rsidRPr="009037C4" w:rsidRDefault="00C04F1E" w:rsidP="003B4BCE">
            <w:pPr>
              <w:tabs>
                <w:tab w:val="left" w:pos="851"/>
              </w:tabs>
              <w:spacing w:after="60"/>
              <w:jc w:val="both"/>
              <w:rPr>
                <w:noProof/>
                <w:sz w:val="24"/>
                <w:szCs w:val="24"/>
              </w:rPr>
            </w:pPr>
            <w:r w:rsidRPr="009037C4">
              <w:rPr>
                <w:noProof/>
                <w:sz w:val="24"/>
                <w:szCs w:val="24"/>
              </w:rPr>
              <w:t>0</w:t>
            </w:r>
          </w:p>
        </w:tc>
        <w:tc>
          <w:tcPr>
            <w:tcW w:w="1615" w:type="dxa"/>
            <w:hideMark/>
          </w:tcPr>
          <w:p w:rsidR="00C04F1E" w:rsidRPr="009037C4" w:rsidRDefault="00C04F1E" w:rsidP="003B4BCE">
            <w:pPr>
              <w:tabs>
                <w:tab w:val="left" w:pos="231"/>
              </w:tabs>
              <w:spacing w:after="60"/>
              <w:ind w:left="231"/>
              <w:rPr>
                <w:noProof/>
                <w:sz w:val="24"/>
                <w:szCs w:val="24"/>
              </w:rPr>
            </w:pPr>
            <w:r w:rsidRPr="009037C4">
              <w:rPr>
                <w:noProof/>
                <w:sz w:val="24"/>
                <w:szCs w:val="24"/>
              </w:rPr>
              <w:t>ingen</w:t>
            </w:r>
          </w:p>
        </w:tc>
        <w:tc>
          <w:tcPr>
            <w:tcW w:w="6388" w:type="dxa"/>
            <w:hideMark/>
          </w:tcPr>
          <w:p w:rsidR="00C04F1E" w:rsidRPr="009037C4" w:rsidRDefault="00C04F1E" w:rsidP="003B4BCE">
            <w:pPr>
              <w:tabs>
                <w:tab w:val="left" w:pos="317"/>
              </w:tabs>
              <w:spacing w:after="60"/>
              <w:ind w:left="317"/>
              <w:rPr>
                <w:noProof/>
                <w:sz w:val="24"/>
                <w:szCs w:val="24"/>
              </w:rPr>
            </w:pPr>
            <w:r w:rsidRPr="009037C4">
              <w:rPr>
                <w:noProof/>
                <w:sz w:val="24"/>
                <w:szCs w:val="24"/>
              </w:rPr>
              <w:t>Ingen AK-læsion til stede, hverken synlige eller palpable</w:t>
            </w:r>
          </w:p>
        </w:tc>
      </w:tr>
      <w:tr w:rsidR="00C04F1E" w:rsidRPr="009037C4" w:rsidTr="003B4BCE">
        <w:tc>
          <w:tcPr>
            <w:tcW w:w="795" w:type="dxa"/>
            <w:hideMark/>
          </w:tcPr>
          <w:p w:rsidR="00C04F1E" w:rsidRPr="009037C4" w:rsidRDefault="00C04F1E" w:rsidP="003B4BCE">
            <w:pPr>
              <w:tabs>
                <w:tab w:val="left" w:pos="851"/>
              </w:tabs>
              <w:spacing w:after="60"/>
              <w:jc w:val="both"/>
              <w:rPr>
                <w:noProof/>
                <w:sz w:val="24"/>
                <w:szCs w:val="24"/>
              </w:rPr>
            </w:pPr>
            <w:r w:rsidRPr="009037C4">
              <w:rPr>
                <w:noProof/>
                <w:sz w:val="24"/>
                <w:szCs w:val="24"/>
              </w:rPr>
              <w:t>I</w:t>
            </w:r>
          </w:p>
        </w:tc>
        <w:tc>
          <w:tcPr>
            <w:tcW w:w="1615" w:type="dxa"/>
            <w:hideMark/>
          </w:tcPr>
          <w:p w:rsidR="00C04F1E" w:rsidRPr="009037C4" w:rsidRDefault="00C04F1E" w:rsidP="003B4BCE">
            <w:pPr>
              <w:tabs>
                <w:tab w:val="left" w:pos="231"/>
              </w:tabs>
              <w:spacing w:after="60"/>
              <w:ind w:left="231"/>
              <w:rPr>
                <w:noProof/>
                <w:sz w:val="24"/>
                <w:szCs w:val="24"/>
              </w:rPr>
            </w:pPr>
            <w:r w:rsidRPr="009037C4">
              <w:rPr>
                <w:noProof/>
                <w:sz w:val="24"/>
                <w:szCs w:val="24"/>
              </w:rPr>
              <w:t>mild</w:t>
            </w:r>
          </w:p>
        </w:tc>
        <w:tc>
          <w:tcPr>
            <w:tcW w:w="6388" w:type="dxa"/>
            <w:hideMark/>
          </w:tcPr>
          <w:p w:rsidR="00C04F1E" w:rsidRPr="009037C4" w:rsidRDefault="00C04F1E" w:rsidP="003B4BCE">
            <w:pPr>
              <w:tabs>
                <w:tab w:val="left" w:pos="317"/>
              </w:tabs>
              <w:spacing w:after="60"/>
              <w:ind w:left="317"/>
              <w:rPr>
                <w:noProof/>
                <w:sz w:val="24"/>
                <w:szCs w:val="24"/>
              </w:rPr>
            </w:pPr>
            <w:r w:rsidRPr="009037C4">
              <w:rPr>
                <w:noProof/>
                <w:sz w:val="24"/>
                <w:szCs w:val="24"/>
              </w:rPr>
              <w:t>flade, pink makulæ uden tegn på hyperkeratose og erythem, let palpabilitet, AK kan lettere mærkes end ses</w:t>
            </w:r>
          </w:p>
        </w:tc>
      </w:tr>
      <w:tr w:rsidR="00C04F1E" w:rsidRPr="009037C4" w:rsidTr="003B4BCE">
        <w:tc>
          <w:tcPr>
            <w:tcW w:w="795" w:type="dxa"/>
            <w:hideMark/>
          </w:tcPr>
          <w:p w:rsidR="00C04F1E" w:rsidRPr="009037C4" w:rsidRDefault="00C04F1E" w:rsidP="003B4BCE">
            <w:pPr>
              <w:tabs>
                <w:tab w:val="left" w:pos="851"/>
              </w:tabs>
              <w:spacing w:after="60"/>
              <w:jc w:val="both"/>
              <w:rPr>
                <w:noProof/>
                <w:sz w:val="24"/>
                <w:szCs w:val="24"/>
              </w:rPr>
            </w:pPr>
            <w:r w:rsidRPr="009037C4">
              <w:rPr>
                <w:noProof/>
                <w:sz w:val="24"/>
                <w:szCs w:val="24"/>
              </w:rPr>
              <w:t>II</w:t>
            </w:r>
          </w:p>
        </w:tc>
        <w:tc>
          <w:tcPr>
            <w:tcW w:w="1615" w:type="dxa"/>
            <w:hideMark/>
          </w:tcPr>
          <w:p w:rsidR="00C04F1E" w:rsidRPr="009037C4" w:rsidRDefault="00C04F1E" w:rsidP="003B4BCE">
            <w:pPr>
              <w:tabs>
                <w:tab w:val="left" w:pos="231"/>
              </w:tabs>
              <w:spacing w:after="60"/>
              <w:ind w:left="231"/>
              <w:rPr>
                <w:noProof/>
                <w:sz w:val="24"/>
                <w:szCs w:val="24"/>
              </w:rPr>
            </w:pPr>
            <w:r w:rsidRPr="009037C4">
              <w:rPr>
                <w:noProof/>
                <w:sz w:val="24"/>
                <w:szCs w:val="24"/>
              </w:rPr>
              <w:t>moderat</w:t>
            </w:r>
          </w:p>
        </w:tc>
        <w:tc>
          <w:tcPr>
            <w:tcW w:w="6388" w:type="dxa"/>
            <w:hideMark/>
          </w:tcPr>
          <w:p w:rsidR="00C04F1E" w:rsidRPr="009037C4" w:rsidRDefault="00C04F1E" w:rsidP="003B4BCE">
            <w:pPr>
              <w:tabs>
                <w:tab w:val="left" w:pos="317"/>
              </w:tabs>
              <w:spacing w:after="60"/>
              <w:ind w:left="317"/>
              <w:rPr>
                <w:noProof/>
                <w:sz w:val="24"/>
                <w:szCs w:val="24"/>
              </w:rPr>
            </w:pPr>
            <w:r w:rsidRPr="009037C4">
              <w:rPr>
                <w:noProof/>
                <w:sz w:val="24"/>
                <w:szCs w:val="24"/>
              </w:rPr>
              <w:t xml:space="preserve">lyserøde til rødlige papler og erytematøse plaque med hyperkeratotisk overflade, moderat tyk AK, som let ses og mærkes </w:t>
            </w:r>
          </w:p>
        </w:tc>
      </w:tr>
      <w:tr w:rsidR="00C04F1E" w:rsidRPr="009037C4" w:rsidTr="003B4BCE">
        <w:tc>
          <w:tcPr>
            <w:tcW w:w="795" w:type="dxa"/>
            <w:hideMark/>
          </w:tcPr>
          <w:p w:rsidR="00C04F1E" w:rsidRPr="009037C4" w:rsidRDefault="00C04F1E" w:rsidP="003B4BCE">
            <w:pPr>
              <w:tabs>
                <w:tab w:val="left" w:pos="851"/>
              </w:tabs>
              <w:spacing w:after="60"/>
              <w:jc w:val="both"/>
              <w:rPr>
                <w:noProof/>
                <w:sz w:val="24"/>
                <w:szCs w:val="24"/>
              </w:rPr>
            </w:pPr>
            <w:r w:rsidRPr="009037C4">
              <w:rPr>
                <w:noProof/>
                <w:sz w:val="24"/>
                <w:szCs w:val="24"/>
              </w:rPr>
              <w:t>III</w:t>
            </w:r>
          </w:p>
        </w:tc>
        <w:tc>
          <w:tcPr>
            <w:tcW w:w="1615" w:type="dxa"/>
            <w:hideMark/>
          </w:tcPr>
          <w:p w:rsidR="00C04F1E" w:rsidRPr="009037C4" w:rsidRDefault="00C04F1E" w:rsidP="003B4BCE">
            <w:pPr>
              <w:tabs>
                <w:tab w:val="left" w:pos="231"/>
              </w:tabs>
              <w:spacing w:after="60"/>
              <w:ind w:left="231"/>
              <w:rPr>
                <w:noProof/>
                <w:sz w:val="24"/>
                <w:szCs w:val="24"/>
              </w:rPr>
            </w:pPr>
            <w:r w:rsidRPr="009037C4">
              <w:rPr>
                <w:noProof/>
                <w:sz w:val="24"/>
                <w:szCs w:val="24"/>
              </w:rPr>
              <w:t>alvorlig</w:t>
            </w:r>
          </w:p>
        </w:tc>
        <w:tc>
          <w:tcPr>
            <w:tcW w:w="6388" w:type="dxa"/>
            <w:hideMark/>
          </w:tcPr>
          <w:p w:rsidR="00C04F1E" w:rsidRPr="009037C4" w:rsidRDefault="00C04F1E" w:rsidP="003B4BCE">
            <w:pPr>
              <w:tabs>
                <w:tab w:val="left" w:pos="317"/>
              </w:tabs>
              <w:spacing w:after="60"/>
              <w:ind w:left="317"/>
              <w:rPr>
                <w:noProof/>
                <w:sz w:val="24"/>
                <w:szCs w:val="24"/>
              </w:rPr>
            </w:pPr>
            <w:r w:rsidRPr="009037C4">
              <w:rPr>
                <w:noProof/>
                <w:sz w:val="24"/>
                <w:szCs w:val="24"/>
              </w:rPr>
              <w:t>meget tyk og/eller indlysende AK</w:t>
            </w:r>
          </w:p>
        </w:tc>
      </w:tr>
    </w:tbl>
    <w:p w:rsidR="00C04F1E" w:rsidRPr="009037C4" w:rsidRDefault="00C04F1E" w:rsidP="00C04F1E">
      <w:pPr>
        <w:tabs>
          <w:tab w:val="left" w:pos="851"/>
        </w:tabs>
        <w:ind w:left="851"/>
        <w:rPr>
          <w:noProof/>
          <w:sz w:val="24"/>
          <w:szCs w:val="24"/>
        </w:rPr>
      </w:pPr>
    </w:p>
    <w:p w:rsidR="00C04F1E" w:rsidRPr="009037C4" w:rsidRDefault="00C04F1E" w:rsidP="00C04F1E">
      <w:pPr>
        <w:tabs>
          <w:tab w:val="left" w:pos="851"/>
        </w:tabs>
        <w:ind w:left="851"/>
        <w:rPr>
          <w:rFonts w:eastAsia="SimSun"/>
          <w:sz w:val="24"/>
          <w:szCs w:val="24"/>
          <w:lang w:eastAsia="zh-CN"/>
        </w:rPr>
      </w:pPr>
      <w:r w:rsidRPr="009037C4">
        <w:rPr>
          <w:noProof/>
          <w:sz w:val="24"/>
          <w:szCs w:val="24"/>
        </w:rPr>
        <w:t xml:space="preserve">Det Europæiske Lægemiddelagentur </w:t>
      </w:r>
      <w:r w:rsidRPr="009037C4">
        <w:rPr>
          <w:rFonts w:eastAsia="SimSun"/>
          <w:sz w:val="24"/>
          <w:szCs w:val="24"/>
          <w:lang w:eastAsia="zh-CN"/>
        </w:rPr>
        <w:t>har, baseret på en klassedispensation</w:t>
      </w:r>
      <w:r w:rsidR="00B80631">
        <w:rPr>
          <w:rFonts w:eastAsia="SimSun"/>
          <w:sz w:val="24"/>
          <w:szCs w:val="24"/>
          <w:lang w:eastAsia="zh-CN"/>
        </w:rPr>
        <w:t>,</w:t>
      </w:r>
      <w:r w:rsidRPr="009037C4">
        <w:rPr>
          <w:rFonts w:eastAsia="SimSun"/>
          <w:sz w:val="24"/>
          <w:szCs w:val="24"/>
          <w:lang w:eastAsia="zh-CN"/>
        </w:rPr>
        <w:t xml:space="preserve"> dispenseret fra kravet om at fremlægge resultaterne af studier med </w:t>
      </w:r>
      <w:r w:rsidRPr="009037C4">
        <w:rPr>
          <w:bCs/>
          <w:noProof/>
          <w:sz w:val="24"/>
          <w:szCs w:val="24"/>
        </w:rPr>
        <w:t>Actikerall</w:t>
      </w:r>
      <w:r w:rsidRPr="009037C4">
        <w:rPr>
          <w:rFonts w:eastAsia="SimSun"/>
          <w:sz w:val="24"/>
          <w:szCs w:val="24"/>
          <w:lang w:eastAsia="zh-CN"/>
        </w:rPr>
        <w:t xml:space="preserve"> i alle undergrupper af den pædiatriske population ved </w:t>
      </w:r>
      <w:proofErr w:type="spellStart"/>
      <w:r w:rsidRPr="009037C4">
        <w:rPr>
          <w:rFonts w:eastAsia="SimSun"/>
          <w:sz w:val="24"/>
          <w:szCs w:val="24"/>
          <w:lang w:eastAsia="zh-CN"/>
        </w:rPr>
        <w:t>aktinisk</w:t>
      </w:r>
      <w:proofErr w:type="spellEnd"/>
      <w:r w:rsidRPr="009037C4">
        <w:rPr>
          <w:rFonts w:eastAsia="SimSun"/>
          <w:sz w:val="24"/>
          <w:szCs w:val="24"/>
          <w:lang w:eastAsia="zh-CN"/>
        </w:rPr>
        <w:t xml:space="preserve"> </w:t>
      </w:r>
      <w:proofErr w:type="spellStart"/>
      <w:r w:rsidRPr="009037C4">
        <w:rPr>
          <w:rFonts w:eastAsia="SimSun"/>
          <w:sz w:val="24"/>
          <w:szCs w:val="24"/>
          <w:lang w:eastAsia="zh-CN"/>
        </w:rPr>
        <w:t>keratose</w:t>
      </w:r>
      <w:proofErr w:type="spellEnd"/>
      <w:r w:rsidRPr="009037C4">
        <w:rPr>
          <w:rFonts w:eastAsia="SimSun"/>
          <w:sz w:val="24"/>
          <w:szCs w:val="24"/>
          <w:lang w:eastAsia="zh-CN"/>
        </w:rPr>
        <w:t xml:space="preserve"> (se pkt. 4.2 for information om pædiatrisk anvendelse).</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5.2</w:t>
      </w:r>
      <w:r w:rsidRPr="009037C4">
        <w:rPr>
          <w:b/>
          <w:sz w:val="24"/>
          <w:szCs w:val="24"/>
        </w:rPr>
        <w:tab/>
      </w:r>
      <w:proofErr w:type="spellStart"/>
      <w:r w:rsidRPr="009037C4">
        <w:rPr>
          <w:b/>
          <w:sz w:val="24"/>
          <w:szCs w:val="24"/>
        </w:rPr>
        <w:t>Farmakokinetiske</w:t>
      </w:r>
      <w:proofErr w:type="spellEnd"/>
      <w:r w:rsidRPr="009037C4">
        <w:rPr>
          <w:b/>
          <w:sz w:val="24"/>
          <w:szCs w:val="24"/>
        </w:rPr>
        <w:t xml:space="preserve"> egenskaber</w:t>
      </w:r>
    </w:p>
    <w:p w:rsidR="00C04F1E" w:rsidRPr="009037C4" w:rsidRDefault="00C04F1E" w:rsidP="00C04F1E">
      <w:pPr>
        <w:tabs>
          <w:tab w:val="left" w:pos="851"/>
        </w:tabs>
        <w:ind w:left="851"/>
        <w:rPr>
          <w:sz w:val="24"/>
          <w:szCs w:val="24"/>
        </w:rPr>
      </w:pPr>
      <w:r w:rsidRPr="009037C4">
        <w:rPr>
          <w:sz w:val="24"/>
          <w:szCs w:val="24"/>
        </w:rPr>
        <w:t xml:space="preserve">I en absorptionsundersøgelse på grise blev </w:t>
      </w:r>
      <w:proofErr w:type="spellStart"/>
      <w:r w:rsidRPr="009037C4">
        <w:rPr>
          <w:sz w:val="24"/>
          <w:szCs w:val="24"/>
        </w:rPr>
        <w:t>fluoruracil</w:t>
      </w:r>
      <w:proofErr w:type="spellEnd"/>
      <w:r w:rsidRPr="009037C4">
        <w:rPr>
          <w:sz w:val="24"/>
          <w:szCs w:val="24"/>
        </w:rPr>
        <w:t xml:space="preserve"> ikke detekteret i serum efter </w:t>
      </w:r>
      <w:proofErr w:type="spellStart"/>
      <w:r w:rsidRPr="009037C4">
        <w:rPr>
          <w:sz w:val="24"/>
          <w:szCs w:val="24"/>
        </w:rPr>
        <w:t>kutan</w:t>
      </w:r>
      <w:proofErr w:type="spellEnd"/>
      <w:r w:rsidRPr="009037C4">
        <w:rPr>
          <w:sz w:val="24"/>
          <w:szCs w:val="24"/>
        </w:rPr>
        <w:t xml:space="preserve"> applikation – selv i store mængder – dvs. det aktive stof ikke blev absorberet i mængder, der kan opdages med standard analytiske metoder (HPLC).</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Der kunne ikke identificeres </w:t>
      </w:r>
      <w:proofErr w:type="spellStart"/>
      <w:r w:rsidRPr="009037C4">
        <w:rPr>
          <w:sz w:val="24"/>
          <w:szCs w:val="24"/>
        </w:rPr>
        <w:t>fluoruracilkoncentrationer</w:t>
      </w:r>
      <w:proofErr w:type="spellEnd"/>
      <w:r w:rsidRPr="009037C4">
        <w:rPr>
          <w:sz w:val="24"/>
          <w:szCs w:val="24"/>
        </w:rPr>
        <w:t xml:space="preserve"> over 0,05 </w:t>
      </w:r>
      <w:r w:rsidRPr="009037C4">
        <w:rPr>
          <w:sz w:val="24"/>
          <w:szCs w:val="24"/>
        </w:rPr>
        <w:sym w:font="Symbol" w:char="F06D"/>
      </w:r>
      <w:r w:rsidRPr="009037C4">
        <w:rPr>
          <w:sz w:val="24"/>
          <w:szCs w:val="24"/>
        </w:rPr>
        <w:t xml:space="preserve">g / ml i </w:t>
      </w:r>
      <w:proofErr w:type="spellStart"/>
      <w:r w:rsidRPr="009037C4">
        <w:rPr>
          <w:sz w:val="24"/>
          <w:szCs w:val="24"/>
        </w:rPr>
        <w:t>aktinisk</w:t>
      </w:r>
      <w:proofErr w:type="spellEnd"/>
      <w:r w:rsidRPr="009037C4">
        <w:rPr>
          <w:sz w:val="24"/>
          <w:szCs w:val="24"/>
        </w:rPr>
        <w:t xml:space="preserve"> </w:t>
      </w:r>
      <w:proofErr w:type="spellStart"/>
      <w:r w:rsidRPr="009037C4">
        <w:rPr>
          <w:sz w:val="24"/>
          <w:szCs w:val="24"/>
        </w:rPr>
        <w:t>keratose</w:t>
      </w:r>
      <w:proofErr w:type="spellEnd"/>
      <w:r w:rsidRPr="009037C4">
        <w:rPr>
          <w:sz w:val="24"/>
          <w:szCs w:val="24"/>
        </w:rPr>
        <w:t>-patienter (n = 12).</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Ifølge en </w:t>
      </w:r>
      <w:proofErr w:type="spellStart"/>
      <w:r w:rsidRPr="009037C4">
        <w:rPr>
          <w:sz w:val="24"/>
          <w:szCs w:val="24"/>
        </w:rPr>
        <w:t>farmakokinetisk</w:t>
      </w:r>
      <w:proofErr w:type="spellEnd"/>
      <w:r w:rsidRPr="009037C4">
        <w:rPr>
          <w:sz w:val="24"/>
          <w:szCs w:val="24"/>
        </w:rPr>
        <w:t xml:space="preserve"> undersøgelse, der analyserede absorptionshastigheden af </w:t>
      </w:r>
      <w:proofErr w:type="spellStart"/>
      <w:r w:rsidRPr="009037C4">
        <w:rPr>
          <w:sz w:val="24"/>
          <w:szCs w:val="24"/>
        </w:rPr>
        <w:t>fluoruracil</w:t>
      </w:r>
      <w:proofErr w:type="spellEnd"/>
      <w:r w:rsidRPr="009037C4">
        <w:rPr>
          <w:sz w:val="24"/>
          <w:szCs w:val="24"/>
        </w:rPr>
        <w:t xml:space="preserve"> hos mennesker efter anvendelse af den samme formulering på vorter, er denne markant under 0,1 %.</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Efter applikation på huden danner </w:t>
      </w:r>
      <w:proofErr w:type="spellStart"/>
      <w:r w:rsidRPr="009037C4">
        <w:rPr>
          <w:sz w:val="24"/>
          <w:szCs w:val="24"/>
        </w:rPr>
        <w:t>Actikerall</w:t>
      </w:r>
      <w:proofErr w:type="spellEnd"/>
      <w:r w:rsidRPr="009037C4">
        <w:rPr>
          <w:sz w:val="24"/>
          <w:szCs w:val="24"/>
        </w:rPr>
        <w:t xml:space="preserve"> en fast film, som ser hvid ud, efter opløsningsmidlet er fordampet. Dette forårsager en </w:t>
      </w:r>
      <w:proofErr w:type="spellStart"/>
      <w:r w:rsidRPr="009037C4">
        <w:rPr>
          <w:sz w:val="24"/>
          <w:szCs w:val="24"/>
        </w:rPr>
        <w:t>okklusiv</w:t>
      </w:r>
      <w:proofErr w:type="spellEnd"/>
      <w:r w:rsidRPr="009037C4">
        <w:rPr>
          <w:sz w:val="24"/>
          <w:szCs w:val="24"/>
        </w:rPr>
        <w:t xml:space="preserve"> virkning, der fremmer indtrængningen af det aktive stof i epidermis, hvor </w:t>
      </w:r>
      <w:proofErr w:type="spellStart"/>
      <w:r w:rsidRPr="009037C4">
        <w:rPr>
          <w:sz w:val="24"/>
          <w:szCs w:val="24"/>
        </w:rPr>
        <w:t>aktiniske</w:t>
      </w:r>
      <w:proofErr w:type="spellEnd"/>
      <w:r w:rsidRPr="009037C4">
        <w:rPr>
          <w:sz w:val="24"/>
          <w:szCs w:val="24"/>
        </w:rPr>
        <w:t xml:space="preserve"> </w:t>
      </w:r>
      <w:proofErr w:type="spellStart"/>
      <w:r w:rsidRPr="009037C4">
        <w:rPr>
          <w:sz w:val="24"/>
          <w:szCs w:val="24"/>
        </w:rPr>
        <w:t>keratoser</w:t>
      </w:r>
      <w:proofErr w:type="spellEnd"/>
      <w:r w:rsidRPr="009037C4">
        <w:rPr>
          <w:sz w:val="24"/>
          <w:szCs w:val="24"/>
        </w:rPr>
        <w:t xml:space="preserve"> findes.</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Salicylsyre er tilføjet på grund af dens </w:t>
      </w:r>
      <w:proofErr w:type="spellStart"/>
      <w:r w:rsidRPr="009037C4">
        <w:rPr>
          <w:sz w:val="24"/>
          <w:szCs w:val="24"/>
        </w:rPr>
        <w:t>keratolytiske</w:t>
      </w:r>
      <w:proofErr w:type="spellEnd"/>
      <w:r w:rsidRPr="009037C4">
        <w:rPr>
          <w:sz w:val="24"/>
          <w:szCs w:val="24"/>
        </w:rPr>
        <w:t xml:space="preserve"> egenskaber for at forbedre indtrængningen af ​​det aktive stof, hvilket er særlig vanskeligt ved </w:t>
      </w:r>
      <w:proofErr w:type="spellStart"/>
      <w:r w:rsidRPr="009037C4">
        <w:rPr>
          <w:sz w:val="24"/>
          <w:szCs w:val="24"/>
        </w:rPr>
        <w:t>hyperkeratotiske</w:t>
      </w:r>
      <w:proofErr w:type="spellEnd"/>
      <w:r w:rsidRPr="009037C4">
        <w:rPr>
          <w:sz w:val="24"/>
          <w:szCs w:val="24"/>
        </w:rPr>
        <w:t xml:space="preserve"> </w:t>
      </w:r>
      <w:proofErr w:type="spellStart"/>
      <w:r w:rsidRPr="009037C4">
        <w:rPr>
          <w:sz w:val="24"/>
          <w:szCs w:val="24"/>
        </w:rPr>
        <w:t>aktiniske</w:t>
      </w:r>
      <w:proofErr w:type="spellEnd"/>
      <w:r w:rsidRPr="009037C4">
        <w:rPr>
          <w:sz w:val="24"/>
          <w:szCs w:val="24"/>
        </w:rPr>
        <w:t xml:space="preserve"> </w:t>
      </w:r>
      <w:proofErr w:type="spellStart"/>
      <w:r w:rsidRPr="009037C4">
        <w:rPr>
          <w:sz w:val="24"/>
          <w:szCs w:val="24"/>
        </w:rPr>
        <w:t>keratoser</w:t>
      </w:r>
      <w:proofErr w:type="spellEnd"/>
      <w:r w:rsidRPr="009037C4">
        <w:rPr>
          <w:sz w:val="24"/>
          <w:szCs w:val="24"/>
        </w:rPr>
        <w:t xml:space="preserve">. Den samme virkning opnås ved hjælpestoffet </w:t>
      </w:r>
      <w:proofErr w:type="spellStart"/>
      <w:r w:rsidRPr="009037C4">
        <w:rPr>
          <w:sz w:val="24"/>
          <w:szCs w:val="24"/>
        </w:rPr>
        <w:t>dimethylsulfoxid</w:t>
      </w:r>
      <w:proofErr w:type="spellEnd"/>
      <w:r w:rsidRPr="009037C4">
        <w:rPr>
          <w:sz w:val="24"/>
          <w:szCs w:val="24"/>
        </w:rPr>
        <w:t xml:space="preserve">, der virker som et </w:t>
      </w:r>
      <w:proofErr w:type="spellStart"/>
      <w:r w:rsidRPr="009037C4">
        <w:rPr>
          <w:sz w:val="24"/>
          <w:szCs w:val="24"/>
        </w:rPr>
        <w:t>solubiliseringsmiddel</w:t>
      </w:r>
      <w:proofErr w:type="spellEnd"/>
      <w:r w:rsidRPr="009037C4">
        <w:rPr>
          <w:sz w:val="24"/>
          <w:szCs w:val="24"/>
        </w:rPr>
        <w:t xml:space="preserve"> for det aktive stof </w:t>
      </w:r>
      <w:proofErr w:type="spellStart"/>
      <w:r w:rsidRPr="009037C4">
        <w:rPr>
          <w:sz w:val="24"/>
          <w:szCs w:val="24"/>
        </w:rPr>
        <w:t>fluoruracil</w:t>
      </w:r>
      <w:proofErr w:type="spellEnd"/>
      <w:r w:rsidRPr="009037C4">
        <w:rPr>
          <w:sz w:val="24"/>
          <w:szCs w:val="24"/>
        </w:rPr>
        <w:t>.</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Den </w:t>
      </w:r>
      <w:proofErr w:type="spellStart"/>
      <w:r w:rsidRPr="009037C4">
        <w:rPr>
          <w:sz w:val="24"/>
          <w:szCs w:val="24"/>
        </w:rPr>
        <w:t>keratolytiske</w:t>
      </w:r>
      <w:proofErr w:type="spellEnd"/>
      <w:r w:rsidRPr="009037C4">
        <w:rPr>
          <w:sz w:val="24"/>
          <w:szCs w:val="24"/>
        </w:rPr>
        <w:t xml:space="preserve"> virkning af salicylsyre er baseret på den direkte virkning på de intracellulære cementstoffer eller desmosomer, som fremmer </w:t>
      </w:r>
      <w:proofErr w:type="spellStart"/>
      <w:r w:rsidRPr="009037C4">
        <w:rPr>
          <w:sz w:val="24"/>
          <w:szCs w:val="24"/>
        </w:rPr>
        <w:t>forhorningsprocessen</w:t>
      </w:r>
      <w:proofErr w:type="spellEnd"/>
      <w:r w:rsidRPr="009037C4">
        <w:rPr>
          <w:sz w:val="24"/>
          <w:szCs w:val="24"/>
        </w:rPr>
        <w:t>.</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Dyreforsøg og humane </w:t>
      </w:r>
      <w:proofErr w:type="spellStart"/>
      <w:r w:rsidRPr="009037C4">
        <w:rPr>
          <w:sz w:val="24"/>
          <w:szCs w:val="24"/>
        </w:rPr>
        <w:t>farmakokinetiske</w:t>
      </w:r>
      <w:proofErr w:type="spellEnd"/>
      <w:r w:rsidRPr="009037C4">
        <w:rPr>
          <w:sz w:val="24"/>
          <w:szCs w:val="24"/>
        </w:rPr>
        <w:t xml:space="preserve"> forsøg har vist, at salicylsyre gennemtrænger overfladen hurtigt, afhængigt af substratet og andre faktorer, der påvirker gennemtrængeligheden, såsom hudens tilstand.</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Salicylsyre </w:t>
      </w:r>
      <w:proofErr w:type="spellStart"/>
      <w:r w:rsidRPr="009037C4">
        <w:rPr>
          <w:sz w:val="24"/>
          <w:szCs w:val="24"/>
        </w:rPr>
        <w:t>metaboliseres</w:t>
      </w:r>
      <w:proofErr w:type="spellEnd"/>
      <w:r w:rsidRPr="009037C4">
        <w:rPr>
          <w:sz w:val="24"/>
          <w:szCs w:val="24"/>
        </w:rPr>
        <w:t xml:space="preserve"> ved konjugation med </w:t>
      </w:r>
      <w:proofErr w:type="spellStart"/>
      <w:r w:rsidRPr="009037C4">
        <w:rPr>
          <w:sz w:val="24"/>
          <w:szCs w:val="24"/>
        </w:rPr>
        <w:t>glycin</w:t>
      </w:r>
      <w:proofErr w:type="spellEnd"/>
      <w:r w:rsidRPr="009037C4">
        <w:rPr>
          <w:sz w:val="24"/>
          <w:szCs w:val="24"/>
        </w:rPr>
        <w:t xml:space="preserve"> til dannelse af salicylurinsyre, med </w:t>
      </w:r>
      <w:proofErr w:type="spellStart"/>
      <w:r w:rsidRPr="009037C4">
        <w:rPr>
          <w:sz w:val="24"/>
          <w:szCs w:val="24"/>
        </w:rPr>
        <w:t>glucuronsyre</w:t>
      </w:r>
      <w:proofErr w:type="spellEnd"/>
      <w:r w:rsidRPr="009037C4">
        <w:rPr>
          <w:sz w:val="24"/>
          <w:szCs w:val="24"/>
        </w:rPr>
        <w:t xml:space="preserve"> på den </w:t>
      </w:r>
      <w:proofErr w:type="spellStart"/>
      <w:r w:rsidRPr="009037C4">
        <w:rPr>
          <w:sz w:val="24"/>
          <w:szCs w:val="24"/>
        </w:rPr>
        <w:t>phenoliske</w:t>
      </w:r>
      <w:proofErr w:type="spellEnd"/>
      <w:r w:rsidRPr="009037C4">
        <w:rPr>
          <w:sz w:val="24"/>
          <w:szCs w:val="24"/>
        </w:rPr>
        <w:t xml:space="preserve"> OH-gruppe til dannelse af </w:t>
      </w:r>
      <w:proofErr w:type="spellStart"/>
      <w:r w:rsidRPr="009037C4">
        <w:rPr>
          <w:sz w:val="24"/>
          <w:szCs w:val="24"/>
        </w:rPr>
        <w:t>ether-glucuronid</w:t>
      </w:r>
      <w:proofErr w:type="spellEnd"/>
      <w:r w:rsidRPr="009037C4">
        <w:rPr>
          <w:sz w:val="24"/>
          <w:szCs w:val="24"/>
        </w:rPr>
        <w:t xml:space="preserve"> og på COOH-gruppen til dannelse af ester-</w:t>
      </w:r>
      <w:proofErr w:type="spellStart"/>
      <w:r w:rsidRPr="009037C4">
        <w:rPr>
          <w:sz w:val="24"/>
          <w:szCs w:val="24"/>
        </w:rPr>
        <w:t>glucuronid</w:t>
      </w:r>
      <w:proofErr w:type="spellEnd"/>
      <w:r w:rsidRPr="009037C4">
        <w:rPr>
          <w:sz w:val="24"/>
          <w:szCs w:val="24"/>
        </w:rPr>
        <w:t xml:space="preserve">, eller ved </w:t>
      </w:r>
      <w:proofErr w:type="spellStart"/>
      <w:r w:rsidRPr="009037C4">
        <w:rPr>
          <w:sz w:val="24"/>
          <w:szCs w:val="24"/>
        </w:rPr>
        <w:t>hydroxylering</w:t>
      </w:r>
      <w:proofErr w:type="spellEnd"/>
      <w:r w:rsidRPr="009037C4">
        <w:rPr>
          <w:sz w:val="24"/>
          <w:szCs w:val="24"/>
        </w:rPr>
        <w:t xml:space="preserve"> til </w:t>
      </w:r>
      <w:proofErr w:type="spellStart"/>
      <w:r w:rsidRPr="009037C4">
        <w:rPr>
          <w:sz w:val="24"/>
          <w:szCs w:val="24"/>
        </w:rPr>
        <w:t>gentisinsyre</w:t>
      </w:r>
      <w:proofErr w:type="spellEnd"/>
      <w:r w:rsidRPr="009037C4">
        <w:rPr>
          <w:sz w:val="24"/>
          <w:szCs w:val="24"/>
        </w:rPr>
        <w:t xml:space="preserve"> og </w:t>
      </w:r>
      <w:proofErr w:type="spellStart"/>
      <w:r w:rsidRPr="009037C4">
        <w:rPr>
          <w:sz w:val="24"/>
          <w:szCs w:val="24"/>
        </w:rPr>
        <w:t>dihydroxybenzoesyre</w:t>
      </w:r>
      <w:proofErr w:type="spellEnd"/>
      <w:r w:rsidRPr="009037C4">
        <w:rPr>
          <w:sz w:val="24"/>
          <w:szCs w:val="24"/>
        </w:rPr>
        <w:t>. I det normale dosisområde er halveringstiden af systemisk absorberet salicylsyre mellem 2 og 3 timer, men kan stige til 15-30 timer i tilfælde af høje doser på grund af leverens begrænsede kapacitet til at konjugere salicylsyre.</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Toksiske bivirkninger kan generelt ikke forventes fra den topiske applikation af salicylsyre (se kontraindikationer), da serumniveauer over 5 mg / dl, næsten aldrig er nået. Tidlige symptomer på </w:t>
      </w:r>
      <w:proofErr w:type="spellStart"/>
      <w:r w:rsidRPr="009037C4">
        <w:rPr>
          <w:sz w:val="24"/>
          <w:szCs w:val="24"/>
        </w:rPr>
        <w:t>salicylatforgiftning</w:t>
      </w:r>
      <w:proofErr w:type="spellEnd"/>
      <w:r w:rsidRPr="009037C4">
        <w:rPr>
          <w:sz w:val="24"/>
          <w:szCs w:val="24"/>
        </w:rPr>
        <w:t xml:space="preserve"> kan kun forventes ved serumværdier på mere end</w:t>
      </w:r>
    </w:p>
    <w:p w:rsidR="00C04F1E" w:rsidRPr="009037C4" w:rsidRDefault="00C04F1E" w:rsidP="00C04F1E">
      <w:pPr>
        <w:tabs>
          <w:tab w:val="left" w:pos="851"/>
        </w:tabs>
        <w:ind w:left="851"/>
        <w:rPr>
          <w:sz w:val="24"/>
          <w:szCs w:val="24"/>
        </w:rPr>
      </w:pPr>
      <w:r w:rsidRPr="009037C4">
        <w:rPr>
          <w:sz w:val="24"/>
          <w:szCs w:val="24"/>
        </w:rPr>
        <w:t>30 mg/dl.</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5.3</w:t>
      </w:r>
      <w:r w:rsidRPr="009037C4">
        <w:rPr>
          <w:b/>
          <w:sz w:val="24"/>
          <w:szCs w:val="24"/>
        </w:rPr>
        <w:tab/>
      </w:r>
      <w:bookmarkStart w:id="6" w:name="_Hlk121750318"/>
      <w:r w:rsidR="00180457">
        <w:rPr>
          <w:b/>
          <w:sz w:val="24"/>
          <w:szCs w:val="24"/>
        </w:rPr>
        <w:t>Non-kliniske sikkerhedsdata</w:t>
      </w:r>
      <w:bookmarkEnd w:id="6"/>
    </w:p>
    <w:p w:rsidR="00C04F1E" w:rsidRPr="009037C4" w:rsidRDefault="00C04F1E" w:rsidP="00C04F1E">
      <w:pPr>
        <w:tabs>
          <w:tab w:val="left" w:pos="851"/>
        </w:tabs>
        <w:ind w:left="851"/>
        <w:rPr>
          <w:sz w:val="24"/>
          <w:szCs w:val="24"/>
        </w:rPr>
      </w:pPr>
      <w:r w:rsidRPr="009037C4">
        <w:rPr>
          <w:sz w:val="24"/>
          <w:szCs w:val="24"/>
        </w:rPr>
        <w:t xml:space="preserve">Der er ingen tilgængelige forsøgsdata om akut og subkronisk toksicitet af </w:t>
      </w:r>
      <w:proofErr w:type="spellStart"/>
      <w:r w:rsidRPr="009037C4">
        <w:rPr>
          <w:sz w:val="24"/>
          <w:szCs w:val="24"/>
        </w:rPr>
        <w:t>fluoruracil</w:t>
      </w:r>
      <w:proofErr w:type="spellEnd"/>
      <w:r w:rsidRPr="009037C4">
        <w:rPr>
          <w:sz w:val="24"/>
          <w:szCs w:val="24"/>
        </w:rPr>
        <w:t xml:space="preserve"> (FU) efter lokal applikation. Hos rotter ses dosisafhængig systemisk biotilgængelighed af FU og det resulterer i alvorlige lokale reaktioner og fatale systemiske virkninger på grund af </w:t>
      </w:r>
      <w:proofErr w:type="spellStart"/>
      <w:r w:rsidRPr="009037C4">
        <w:rPr>
          <w:sz w:val="24"/>
          <w:szCs w:val="24"/>
        </w:rPr>
        <w:t>antimetabolitvirkninger</w:t>
      </w:r>
      <w:proofErr w:type="spellEnd"/>
      <w:r w:rsidRPr="009037C4">
        <w:rPr>
          <w:sz w:val="24"/>
          <w:szCs w:val="24"/>
        </w:rPr>
        <w:t xml:space="preserve"> af FU ved så høje doser (op til 10.000 gange over den humane), der ikke er opnået med </w:t>
      </w:r>
      <w:proofErr w:type="spellStart"/>
      <w:r w:rsidRPr="009037C4">
        <w:rPr>
          <w:sz w:val="24"/>
          <w:szCs w:val="24"/>
        </w:rPr>
        <w:t>Actikerall</w:t>
      </w:r>
      <w:proofErr w:type="spellEnd"/>
      <w:r w:rsidRPr="009037C4">
        <w:rPr>
          <w:sz w:val="24"/>
          <w:szCs w:val="24"/>
        </w:rPr>
        <w:t>, når det anvendes som anbefalet.</w:t>
      </w:r>
    </w:p>
    <w:p w:rsidR="00C04F1E" w:rsidRPr="009037C4" w:rsidRDefault="00C04F1E" w:rsidP="00C04F1E">
      <w:pPr>
        <w:tabs>
          <w:tab w:val="left" w:pos="851"/>
        </w:tabs>
        <w:ind w:left="851"/>
        <w:rPr>
          <w:sz w:val="24"/>
          <w:szCs w:val="24"/>
        </w:rPr>
      </w:pPr>
      <w:r w:rsidRPr="009037C4">
        <w:rPr>
          <w:sz w:val="24"/>
          <w:szCs w:val="24"/>
        </w:rPr>
        <w:t xml:space="preserve">FU var </w:t>
      </w:r>
      <w:r w:rsidRPr="009037C4">
        <w:rPr>
          <w:i/>
          <w:sz w:val="24"/>
          <w:szCs w:val="24"/>
        </w:rPr>
        <w:t xml:space="preserve">in </w:t>
      </w:r>
      <w:proofErr w:type="spellStart"/>
      <w:r w:rsidRPr="009037C4">
        <w:rPr>
          <w:i/>
          <w:sz w:val="24"/>
          <w:szCs w:val="24"/>
        </w:rPr>
        <w:t>vitro</w:t>
      </w:r>
      <w:proofErr w:type="spellEnd"/>
      <w:r w:rsidRPr="009037C4">
        <w:rPr>
          <w:sz w:val="24"/>
          <w:szCs w:val="24"/>
        </w:rPr>
        <w:t xml:space="preserve"> mutagent i visse teststammer. En række undersøgelser undersøgte </w:t>
      </w:r>
      <w:proofErr w:type="spellStart"/>
      <w:r w:rsidRPr="009037C4">
        <w:rPr>
          <w:sz w:val="24"/>
          <w:szCs w:val="24"/>
        </w:rPr>
        <w:t>carcinogenicitet</w:t>
      </w:r>
      <w:proofErr w:type="spellEnd"/>
      <w:r w:rsidRPr="009037C4">
        <w:rPr>
          <w:sz w:val="24"/>
          <w:szCs w:val="24"/>
        </w:rPr>
        <w:t xml:space="preserve"> for FU i gnavere og viste ingen virkning. I et enkelt studie er der dog tegn på kræftfremkaldende FU i mus efter </w:t>
      </w:r>
      <w:proofErr w:type="spellStart"/>
      <w:r w:rsidRPr="009037C4">
        <w:rPr>
          <w:sz w:val="24"/>
          <w:szCs w:val="24"/>
        </w:rPr>
        <w:t>intraperitoneal</w:t>
      </w:r>
      <w:proofErr w:type="spellEnd"/>
      <w:r w:rsidRPr="009037C4">
        <w:rPr>
          <w:sz w:val="24"/>
          <w:szCs w:val="24"/>
        </w:rPr>
        <w:t xml:space="preserve"> administration. Adskillige undersøgelser af systemisk administration af FU indikerer potentielt højdosis </w:t>
      </w:r>
      <w:proofErr w:type="spellStart"/>
      <w:r w:rsidRPr="009037C4">
        <w:rPr>
          <w:sz w:val="24"/>
          <w:szCs w:val="24"/>
        </w:rPr>
        <w:t>teratogen</w:t>
      </w:r>
      <w:proofErr w:type="spellEnd"/>
      <w:r w:rsidRPr="009037C4">
        <w:rPr>
          <w:sz w:val="24"/>
          <w:szCs w:val="24"/>
        </w:rPr>
        <w:t xml:space="preserve"> eller embryotoksisk effekt, men mindre eller ingen effekt på fertiliteten eller den generelle reproduktionsevne. Fertilitetsstudier med systemisk FU resulterede i forbigående </w:t>
      </w:r>
      <w:proofErr w:type="spellStart"/>
      <w:r w:rsidRPr="009037C4">
        <w:rPr>
          <w:sz w:val="24"/>
          <w:szCs w:val="24"/>
        </w:rPr>
        <w:t>infertilitet</w:t>
      </w:r>
      <w:proofErr w:type="spellEnd"/>
      <w:r w:rsidRPr="009037C4">
        <w:rPr>
          <w:sz w:val="24"/>
          <w:szCs w:val="24"/>
        </w:rPr>
        <w:t xml:space="preserve"> hos hanner og i en reduktion af graviditetsrater i hungnavere. På grund af den meget begrænsede absorption ved </w:t>
      </w:r>
      <w:proofErr w:type="spellStart"/>
      <w:r w:rsidRPr="009037C4">
        <w:rPr>
          <w:sz w:val="24"/>
          <w:szCs w:val="24"/>
        </w:rPr>
        <w:t>kutan</w:t>
      </w:r>
      <w:proofErr w:type="spellEnd"/>
      <w:r w:rsidRPr="009037C4">
        <w:rPr>
          <w:sz w:val="24"/>
          <w:szCs w:val="24"/>
        </w:rPr>
        <w:t xml:space="preserve"> administration, er det dog meget usandsynligt, at en sådan virkning vil være relevant for mennesker.</w:t>
      </w:r>
    </w:p>
    <w:p w:rsidR="00C04F1E" w:rsidRPr="009037C4" w:rsidRDefault="00C04F1E" w:rsidP="00C04F1E">
      <w:pPr>
        <w:tabs>
          <w:tab w:val="left" w:pos="851"/>
        </w:tabs>
        <w:ind w:left="851"/>
        <w:rPr>
          <w:sz w:val="24"/>
          <w:szCs w:val="24"/>
        </w:rPr>
      </w:pPr>
    </w:p>
    <w:p w:rsidR="00C04F1E" w:rsidRPr="009037C4" w:rsidRDefault="00C04F1E" w:rsidP="00C04F1E">
      <w:pPr>
        <w:tabs>
          <w:tab w:val="left" w:pos="851"/>
        </w:tabs>
        <w:ind w:left="851"/>
        <w:rPr>
          <w:sz w:val="24"/>
          <w:szCs w:val="24"/>
        </w:rPr>
      </w:pPr>
      <w:r w:rsidRPr="009037C4">
        <w:rPr>
          <w:sz w:val="24"/>
          <w:szCs w:val="24"/>
        </w:rPr>
        <w:t xml:space="preserve">Salicylsyre har en lav akut giftighed, men kan fremkalde hudreaktioner efter lokal applikation ved højere koncentrationer. Det vides ikke, om salicylsyre har nogen mutagen, genotoksisk, kræftfremkaldende eller </w:t>
      </w:r>
      <w:proofErr w:type="spellStart"/>
      <w:r w:rsidRPr="009037C4">
        <w:rPr>
          <w:sz w:val="24"/>
          <w:szCs w:val="24"/>
        </w:rPr>
        <w:t>teratogen</w:t>
      </w:r>
      <w:proofErr w:type="spellEnd"/>
      <w:r w:rsidRPr="009037C4">
        <w:rPr>
          <w:sz w:val="24"/>
          <w:szCs w:val="24"/>
        </w:rPr>
        <w:t xml:space="preserve"> virkning.</w:t>
      </w:r>
    </w:p>
    <w:p w:rsidR="00C04F1E" w:rsidRPr="009037C4" w:rsidRDefault="00C04F1E" w:rsidP="00C04F1E">
      <w:pPr>
        <w:tabs>
          <w:tab w:val="left" w:pos="851"/>
        </w:tabs>
        <w:rPr>
          <w:sz w:val="24"/>
          <w:szCs w:val="24"/>
        </w:rPr>
      </w:pP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6.</w:t>
      </w:r>
      <w:r w:rsidRPr="009037C4">
        <w:rPr>
          <w:b/>
          <w:sz w:val="24"/>
          <w:szCs w:val="24"/>
        </w:rPr>
        <w:tab/>
        <w:t>FARMACEUTISKE OPLYSNINGER</w:t>
      </w:r>
    </w:p>
    <w:p w:rsidR="00C04F1E" w:rsidRPr="009037C4" w:rsidRDefault="00C04F1E" w:rsidP="00C04F1E">
      <w:pPr>
        <w:tabs>
          <w:tab w:val="left" w:pos="851"/>
        </w:tabs>
        <w:rPr>
          <w:b/>
          <w:sz w:val="24"/>
          <w:szCs w:val="24"/>
        </w:rPr>
      </w:pPr>
    </w:p>
    <w:p w:rsidR="00C04F1E" w:rsidRPr="009037C4" w:rsidRDefault="00C04F1E" w:rsidP="00C04F1E">
      <w:pPr>
        <w:tabs>
          <w:tab w:val="left" w:pos="851"/>
        </w:tabs>
        <w:ind w:left="851" w:hanging="851"/>
        <w:rPr>
          <w:b/>
          <w:sz w:val="24"/>
          <w:szCs w:val="24"/>
        </w:rPr>
      </w:pPr>
      <w:r w:rsidRPr="009037C4">
        <w:rPr>
          <w:b/>
          <w:sz w:val="24"/>
          <w:szCs w:val="24"/>
        </w:rPr>
        <w:t>6.1</w:t>
      </w:r>
      <w:r w:rsidRPr="009037C4">
        <w:rPr>
          <w:b/>
          <w:sz w:val="24"/>
          <w:szCs w:val="24"/>
        </w:rPr>
        <w:tab/>
        <w:t>Hjælpestoffer</w:t>
      </w:r>
    </w:p>
    <w:p w:rsidR="00C04F1E" w:rsidRPr="009037C4" w:rsidRDefault="00C04F1E" w:rsidP="00C04F1E">
      <w:pPr>
        <w:tabs>
          <w:tab w:val="left" w:pos="851"/>
        </w:tabs>
        <w:ind w:left="851"/>
        <w:rPr>
          <w:sz w:val="24"/>
          <w:szCs w:val="24"/>
        </w:rPr>
      </w:pPr>
      <w:proofErr w:type="spellStart"/>
      <w:r w:rsidRPr="009037C4">
        <w:rPr>
          <w:sz w:val="24"/>
          <w:szCs w:val="24"/>
        </w:rPr>
        <w:t>Dimethylsulfoxid</w:t>
      </w:r>
      <w:proofErr w:type="spellEnd"/>
      <w:r w:rsidRPr="009037C4">
        <w:rPr>
          <w:sz w:val="24"/>
          <w:szCs w:val="24"/>
        </w:rPr>
        <w:t xml:space="preserve"> </w:t>
      </w:r>
    </w:p>
    <w:p w:rsidR="00C04F1E" w:rsidRPr="009037C4" w:rsidRDefault="00C04F1E" w:rsidP="00C04F1E">
      <w:pPr>
        <w:tabs>
          <w:tab w:val="left" w:pos="851"/>
        </w:tabs>
        <w:ind w:left="851"/>
        <w:rPr>
          <w:sz w:val="24"/>
          <w:szCs w:val="24"/>
        </w:rPr>
      </w:pPr>
      <w:proofErr w:type="spellStart"/>
      <w:r w:rsidRPr="009037C4">
        <w:rPr>
          <w:sz w:val="24"/>
          <w:szCs w:val="24"/>
        </w:rPr>
        <w:t>Ethanol</w:t>
      </w:r>
      <w:proofErr w:type="spellEnd"/>
      <w:r w:rsidRPr="009037C4">
        <w:rPr>
          <w:sz w:val="24"/>
          <w:szCs w:val="24"/>
        </w:rPr>
        <w:t xml:space="preserve">, vandfri </w:t>
      </w:r>
    </w:p>
    <w:p w:rsidR="00C04F1E" w:rsidRPr="009037C4" w:rsidRDefault="00C04F1E" w:rsidP="00C04F1E">
      <w:pPr>
        <w:tabs>
          <w:tab w:val="left" w:pos="851"/>
        </w:tabs>
        <w:ind w:left="851"/>
        <w:rPr>
          <w:sz w:val="24"/>
          <w:szCs w:val="24"/>
          <w:lang w:val="en-GB"/>
        </w:rPr>
      </w:pPr>
      <w:proofErr w:type="spellStart"/>
      <w:r w:rsidRPr="009037C4">
        <w:rPr>
          <w:sz w:val="24"/>
          <w:szCs w:val="24"/>
          <w:lang w:val="en-GB"/>
        </w:rPr>
        <w:t>Ethylacetat</w:t>
      </w:r>
      <w:proofErr w:type="spellEnd"/>
      <w:r w:rsidRPr="009037C4">
        <w:rPr>
          <w:sz w:val="24"/>
          <w:szCs w:val="24"/>
          <w:lang w:val="en-GB"/>
        </w:rPr>
        <w:t xml:space="preserve"> </w:t>
      </w:r>
    </w:p>
    <w:p w:rsidR="00C04F1E" w:rsidRPr="009037C4" w:rsidRDefault="00C04F1E" w:rsidP="00C04F1E">
      <w:pPr>
        <w:tabs>
          <w:tab w:val="left" w:pos="851"/>
        </w:tabs>
        <w:ind w:left="851"/>
        <w:rPr>
          <w:sz w:val="24"/>
          <w:szCs w:val="24"/>
          <w:lang w:val="en-GB"/>
        </w:rPr>
      </w:pPr>
      <w:r w:rsidRPr="009037C4">
        <w:rPr>
          <w:sz w:val="24"/>
          <w:szCs w:val="24"/>
          <w:lang w:val="en-GB"/>
        </w:rPr>
        <w:t xml:space="preserve">Pyroxylin </w:t>
      </w:r>
    </w:p>
    <w:p w:rsidR="00C04F1E" w:rsidRPr="009037C4" w:rsidRDefault="00C04F1E" w:rsidP="00C04F1E">
      <w:pPr>
        <w:tabs>
          <w:tab w:val="left" w:pos="851"/>
        </w:tabs>
        <w:ind w:left="851"/>
        <w:rPr>
          <w:sz w:val="24"/>
          <w:szCs w:val="24"/>
          <w:lang w:val="en-US"/>
        </w:rPr>
      </w:pPr>
      <w:r w:rsidRPr="009037C4">
        <w:rPr>
          <w:sz w:val="24"/>
          <w:szCs w:val="24"/>
          <w:lang w:val="en-US"/>
        </w:rPr>
        <w:t>Poly (</w:t>
      </w:r>
      <w:proofErr w:type="spellStart"/>
      <w:r w:rsidRPr="009037C4">
        <w:rPr>
          <w:sz w:val="24"/>
          <w:szCs w:val="24"/>
          <w:lang w:val="en-US"/>
        </w:rPr>
        <w:t>butylmethacrylat</w:t>
      </w:r>
      <w:proofErr w:type="spellEnd"/>
      <w:r w:rsidRPr="009037C4">
        <w:rPr>
          <w:sz w:val="24"/>
          <w:szCs w:val="24"/>
          <w:lang w:val="en-US"/>
        </w:rPr>
        <w:t xml:space="preserve">, </w:t>
      </w:r>
      <w:proofErr w:type="spellStart"/>
      <w:r w:rsidRPr="009037C4">
        <w:rPr>
          <w:sz w:val="24"/>
          <w:szCs w:val="24"/>
          <w:lang w:val="en-US"/>
        </w:rPr>
        <w:t>methylmethacrylat</w:t>
      </w:r>
      <w:proofErr w:type="spellEnd"/>
      <w:r w:rsidRPr="009037C4">
        <w:rPr>
          <w:sz w:val="24"/>
          <w:szCs w:val="24"/>
          <w:lang w:val="en-US"/>
        </w:rPr>
        <w:t>)</w:t>
      </w:r>
    </w:p>
    <w:p w:rsidR="00C04F1E" w:rsidRPr="009037C4" w:rsidRDefault="00C04F1E" w:rsidP="00C04F1E">
      <w:pPr>
        <w:tabs>
          <w:tab w:val="left" w:pos="851"/>
        </w:tabs>
        <w:rPr>
          <w:sz w:val="24"/>
          <w:szCs w:val="24"/>
          <w:lang w:val="en-US"/>
        </w:rPr>
      </w:pPr>
    </w:p>
    <w:p w:rsidR="00C04F1E" w:rsidRPr="009037C4" w:rsidRDefault="00C04F1E" w:rsidP="00C04F1E">
      <w:pPr>
        <w:tabs>
          <w:tab w:val="left" w:pos="851"/>
        </w:tabs>
        <w:ind w:left="851" w:hanging="851"/>
        <w:rPr>
          <w:b/>
          <w:sz w:val="24"/>
          <w:szCs w:val="24"/>
        </w:rPr>
      </w:pPr>
      <w:r w:rsidRPr="009037C4">
        <w:rPr>
          <w:b/>
          <w:sz w:val="24"/>
          <w:szCs w:val="24"/>
        </w:rPr>
        <w:t>6.2</w:t>
      </w:r>
      <w:r w:rsidRPr="009037C4">
        <w:rPr>
          <w:b/>
          <w:sz w:val="24"/>
          <w:szCs w:val="24"/>
        </w:rPr>
        <w:tab/>
        <w:t>Uforligeligheder</w:t>
      </w:r>
    </w:p>
    <w:p w:rsidR="00C04F1E" w:rsidRPr="009037C4" w:rsidRDefault="00C04F1E" w:rsidP="00C04F1E">
      <w:pPr>
        <w:tabs>
          <w:tab w:val="left" w:pos="851"/>
        </w:tabs>
        <w:ind w:left="851" w:hanging="851"/>
        <w:rPr>
          <w:sz w:val="24"/>
          <w:szCs w:val="24"/>
        </w:rPr>
      </w:pPr>
      <w:r w:rsidRPr="009037C4">
        <w:rPr>
          <w:sz w:val="24"/>
          <w:szCs w:val="24"/>
        </w:rPr>
        <w:tab/>
        <w:t>Ikke relevant.</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6.3</w:t>
      </w:r>
      <w:r w:rsidRPr="009037C4">
        <w:rPr>
          <w:b/>
          <w:sz w:val="24"/>
          <w:szCs w:val="24"/>
        </w:rPr>
        <w:tab/>
        <w:t>Opbevaringstid</w:t>
      </w:r>
    </w:p>
    <w:p w:rsidR="00C04F1E" w:rsidRDefault="00C04F1E" w:rsidP="00C04F1E">
      <w:pPr>
        <w:tabs>
          <w:tab w:val="left" w:pos="851"/>
        </w:tabs>
        <w:ind w:left="851" w:hanging="851"/>
        <w:rPr>
          <w:sz w:val="24"/>
          <w:szCs w:val="24"/>
        </w:rPr>
      </w:pPr>
      <w:r w:rsidRPr="009037C4">
        <w:rPr>
          <w:sz w:val="24"/>
          <w:szCs w:val="24"/>
        </w:rPr>
        <w:tab/>
        <w:t>2 år.</w:t>
      </w:r>
    </w:p>
    <w:p w:rsidR="00B80631" w:rsidRPr="009037C4" w:rsidRDefault="00B80631" w:rsidP="00C04F1E">
      <w:pPr>
        <w:tabs>
          <w:tab w:val="left" w:pos="851"/>
        </w:tabs>
        <w:ind w:left="851" w:hanging="851"/>
        <w:rPr>
          <w:sz w:val="24"/>
          <w:szCs w:val="24"/>
        </w:rPr>
      </w:pPr>
    </w:p>
    <w:p w:rsidR="00C04F1E" w:rsidRPr="009037C4" w:rsidRDefault="00C04F1E" w:rsidP="00C04F1E">
      <w:pPr>
        <w:tabs>
          <w:tab w:val="left" w:pos="851"/>
        </w:tabs>
        <w:ind w:left="851" w:hanging="851"/>
        <w:rPr>
          <w:sz w:val="24"/>
          <w:szCs w:val="24"/>
        </w:rPr>
      </w:pPr>
      <w:r w:rsidRPr="009037C4">
        <w:rPr>
          <w:sz w:val="24"/>
          <w:szCs w:val="24"/>
        </w:rPr>
        <w:tab/>
        <w:t>Efter åbning: 3 måneder.</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6.4</w:t>
      </w:r>
      <w:r w:rsidRPr="009037C4">
        <w:rPr>
          <w:b/>
          <w:sz w:val="24"/>
          <w:szCs w:val="24"/>
        </w:rPr>
        <w:tab/>
        <w:t>Særlige opbevaringsforhold</w:t>
      </w:r>
    </w:p>
    <w:p w:rsidR="00C04F1E" w:rsidRPr="009037C4" w:rsidRDefault="00C04F1E" w:rsidP="00C04F1E">
      <w:pPr>
        <w:tabs>
          <w:tab w:val="left" w:pos="851"/>
        </w:tabs>
        <w:ind w:left="851"/>
        <w:rPr>
          <w:noProof/>
          <w:sz w:val="24"/>
          <w:szCs w:val="24"/>
        </w:rPr>
      </w:pPr>
      <w:r w:rsidRPr="009037C4">
        <w:rPr>
          <w:noProof/>
          <w:sz w:val="24"/>
          <w:szCs w:val="24"/>
        </w:rPr>
        <w:t>Må ikke opbevares over 25 °C.</w:t>
      </w:r>
    </w:p>
    <w:p w:rsidR="00C04F1E" w:rsidRPr="009037C4" w:rsidRDefault="00C04F1E" w:rsidP="00C04F1E">
      <w:pPr>
        <w:tabs>
          <w:tab w:val="left" w:pos="851"/>
        </w:tabs>
        <w:ind w:left="851"/>
        <w:rPr>
          <w:noProof/>
          <w:sz w:val="24"/>
          <w:szCs w:val="24"/>
        </w:rPr>
      </w:pPr>
      <w:r w:rsidRPr="009037C4">
        <w:rPr>
          <w:noProof/>
          <w:sz w:val="24"/>
          <w:szCs w:val="24"/>
        </w:rPr>
        <w:t xml:space="preserve">Må ikke opbevares i køleskab eller nedfryses. </w:t>
      </w:r>
    </w:p>
    <w:p w:rsidR="00C04F1E" w:rsidRPr="009037C4" w:rsidRDefault="00C04F1E" w:rsidP="00C04F1E">
      <w:pPr>
        <w:tabs>
          <w:tab w:val="left" w:pos="851"/>
        </w:tabs>
        <w:ind w:left="851"/>
        <w:rPr>
          <w:noProof/>
          <w:sz w:val="24"/>
          <w:szCs w:val="24"/>
        </w:rPr>
      </w:pPr>
      <w:r w:rsidRPr="009037C4">
        <w:rPr>
          <w:noProof/>
          <w:sz w:val="24"/>
          <w:szCs w:val="24"/>
        </w:rPr>
        <w:t xml:space="preserve">Hold flasken tæt tillukket for at forhindre udtørring. </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6.5</w:t>
      </w:r>
      <w:r w:rsidRPr="009037C4">
        <w:rPr>
          <w:b/>
          <w:sz w:val="24"/>
          <w:szCs w:val="24"/>
        </w:rPr>
        <w:tab/>
      </w:r>
      <w:bookmarkStart w:id="7" w:name="_Hlk121743052"/>
      <w:r w:rsidR="00180457">
        <w:rPr>
          <w:b/>
          <w:sz w:val="24"/>
          <w:szCs w:val="24"/>
        </w:rPr>
        <w:t>Emballagetype og pakningsstørrelser</w:t>
      </w:r>
      <w:bookmarkEnd w:id="7"/>
    </w:p>
    <w:p w:rsidR="00C04F1E" w:rsidRPr="009037C4" w:rsidRDefault="00C04F1E" w:rsidP="00C04F1E">
      <w:pPr>
        <w:tabs>
          <w:tab w:val="left" w:pos="851"/>
        </w:tabs>
        <w:suppressAutoHyphens/>
        <w:ind w:left="851"/>
        <w:rPr>
          <w:sz w:val="24"/>
          <w:szCs w:val="24"/>
        </w:rPr>
      </w:pPr>
      <w:r w:rsidRPr="009037C4">
        <w:rPr>
          <w:sz w:val="24"/>
          <w:szCs w:val="24"/>
        </w:rPr>
        <w:t>Brun glasflaske med et børnesikret låg af hvid polypropylen i en papæske.</w:t>
      </w:r>
    </w:p>
    <w:p w:rsidR="00C04F1E" w:rsidRPr="009037C4" w:rsidRDefault="00C04F1E" w:rsidP="00C04F1E">
      <w:pPr>
        <w:tabs>
          <w:tab w:val="left" w:pos="851"/>
        </w:tabs>
        <w:suppressAutoHyphens/>
        <w:ind w:left="851"/>
        <w:rPr>
          <w:sz w:val="24"/>
          <w:szCs w:val="24"/>
        </w:rPr>
      </w:pPr>
      <w:r w:rsidRPr="009037C4">
        <w:rPr>
          <w:sz w:val="24"/>
          <w:szCs w:val="24"/>
        </w:rPr>
        <w:t>Flaskens låg er forbundet til en pensel til at påføre opløsningen.</w:t>
      </w:r>
    </w:p>
    <w:p w:rsidR="00C04F1E" w:rsidRPr="008E317B" w:rsidRDefault="00C04F1E" w:rsidP="00C04F1E">
      <w:pPr>
        <w:tabs>
          <w:tab w:val="left" w:pos="851"/>
        </w:tabs>
        <w:suppressAutoHyphens/>
        <w:ind w:left="851"/>
        <w:rPr>
          <w:sz w:val="24"/>
          <w:szCs w:val="24"/>
        </w:rPr>
      </w:pPr>
      <w:r w:rsidRPr="009037C4">
        <w:rPr>
          <w:sz w:val="24"/>
          <w:szCs w:val="24"/>
        </w:rPr>
        <w:t xml:space="preserve">Penslen består af </w:t>
      </w:r>
      <w:proofErr w:type="spellStart"/>
      <w:r w:rsidRPr="009037C4">
        <w:rPr>
          <w:sz w:val="24"/>
          <w:szCs w:val="24"/>
        </w:rPr>
        <w:t>polyethylen</w:t>
      </w:r>
      <w:proofErr w:type="spellEnd"/>
      <w:r w:rsidRPr="009037C4">
        <w:rPr>
          <w:sz w:val="24"/>
          <w:szCs w:val="24"/>
        </w:rPr>
        <w:t xml:space="preserve"> (HDPE og LDPE 1:1) med nylonhår, der er </w:t>
      </w:r>
      <w:r w:rsidRPr="008E317B">
        <w:rPr>
          <w:sz w:val="24"/>
          <w:szCs w:val="24"/>
        </w:rPr>
        <w:t>fæstnet til et skaft af rustfrit stål (V2A).</w:t>
      </w:r>
    </w:p>
    <w:p w:rsidR="00C04F1E" w:rsidRPr="008E317B" w:rsidRDefault="00C04F1E" w:rsidP="00C04F1E">
      <w:pPr>
        <w:tabs>
          <w:tab w:val="left" w:pos="851"/>
        </w:tabs>
        <w:suppressAutoHyphens/>
        <w:ind w:left="851"/>
        <w:rPr>
          <w:sz w:val="24"/>
          <w:szCs w:val="24"/>
        </w:rPr>
      </w:pPr>
    </w:p>
    <w:p w:rsidR="00C04F1E" w:rsidRPr="008E317B" w:rsidRDefault="00C04F1E" w:rsidP="00C04F1E">
      <w:pPr>
        <w:tabs>
          <w:tab w:val="left" w:pos="851"/>
        </w:tabs>
        <w:suppressAutoHyphens/>
        <w:ind w:left="851"/>
        <w:rPr>
          <w:sz w:val="24"/>
          <w:szCs w:val="24"/>
        </w:rPr>
      </w:pPr>
      <w:r w:rsidRPr="008E317B">
        <w:rPr>
          <w:sz w:val="24"/>
          <w:szCs w:val="24"/>
        </w:rPr>
        <w:t>Pakningsstørrelse</w:t>
      </w:r>
      <w:r w:rsidR="00B80631" w:rsidRPr="008E317B">
        <w:rPr>
          <w:sz w:val="24"/>
          <w:szCs w:val="24"/>
        </w:rPr>
        <w:t>r</w:t>
      </w:r>
      <w:r w:rsidRPr="008E317B">
        <w:rPr>
          <w:sz w:val="24"/>
          <w:szCs w:val="24"/>
        </w:rPr>
        <w:t>: 25 ml.</w:t>
      </w:r>
    </w:p>
    <w:p w:rsidR="00C04F1E" w:rsidRPr="008E317B" w:rsidRDefault="00B80631" w:rsidP="00B80631">
      <w:pPr>
        <w:tabs>
          <w:tab w:val="left" w:pos="851"/>
        </w:tabs>
        <w:suppressAutoHyphens/>
        <w:ind w:left="851"/>
        <w:rPr>
          <w:sz w:val="24"/>
          <w:szCs w:val="24"/>
        </w:rPr>
      </w:pPr>
      <w:r w:rsidRPr="008E317B">
        <w:rPr>
          <w:sz w:val="24"/>
          <w:szCs w:val="24"/>
        </w:rPr>
        <w:t>Ikke alle pakningsstørrelser er nødvendigvis markedsført</w:t>
      </w:r>
      <w:r w:rsidR="008E317B" w:rsidRPr="008E317B">
        <w:rPr>
          <w:sz w:val="24"/>
          <w:szCs w:val="24"/>
        </w:rPr>
        <w:t>.</w:t>
      </w:r>
    </w:p>
    <w:p w:rsidR="008E317B" w:rsidRPr="008E317B" w:rsidRDefault="008E317B" w:rsidP="00B80631">
      <w:pPr>
        <w:tabs>
          <w:tab w:val="left" w:pos="851"/>
        </w:tabs>
        <w:suppressAutoHyphens/>
        <w:ind w:left="851"/>
        <w:rPr>
          <w:sz w:val="24"/>
          <w:szCs w:val="24"/>
        </w:rPr>
      </w:pPr>
    </w:p>
    <w:p w:rsidR="00C04F1E" w:rsidRPr="009037C4" w:rsidRDefault="00C04F1E" w:rsidP="00C04F1E">
      <w:pPr>
        <w:tabs>
          <w:tab w:val="left" w:pos="851"/>
        </w:tabs>
        <w:ind w:left="851" w:hanging="851"/>
        <w:rPr>
          <w:b/>
          <w:sz w:val="24"/>
          <w:szCs w:val="24"/>
        </w:rPr>
      </w:pPr>
      <w:r w:rsidRPr="008E317B">
        <w:rPr>
          <w:b/>
          <w:sz w:val="24"/>
          <w:szCs w:val="24"/>
        </w:rPr>
        <w:t>6.6</w:t>
      </w:r>
      <w:r w:rsidRPr="008E317B">
        <w:rPr>
          <w:b/>
          <w:sz w:val="24"/>
          <w:szCs w:val="24"/>
        </w:rPr>
        <w:tab/>
      </w:r>
      <w:bookmarkStart w:id="8" w:name="_Hlk121754038"/>
      <w:r w:rsidR="00180457">
        <w:rPr>
          <w:b/>
          <w:noProof/>
          <w:sz w:val="24"/>
          <w:szCs w:val="24"/>
        </w:rPr>
        <w:t>Regler for bortskaffelse og anden håndtering</w:t>
      </w:r>
      <w:bookmarkEnd w:id="8"/>
    </w:p>
    <w:p w:rsidR="00C04F1E" w:rsidRPr="009037C4" w:rsidRDefault="00C04F1E" w:rsidP="00C04F1E">
      <w:pPr>
        <w:tabs>
          <w:tab w:val="left" w:pos="851"/>
        </w:tabs>
        <w:ind w:left="851"/>
        <w:rPr>
          <w:sz w:val="24"/>
          <w:szCs w:val="24"/>
        </w:rPr>
      </w:pPr>
      <w:r w:rsidRPr="009037C4">
        <w:rPr>
          <w:sz w:val="24"/>
          <w:szCs w:val="24"/>
        </w:rPr>
        <w:t>Ikke anvendt lægemiddel samt affald heraf skal bortskaffes i henhold til lokale retningslinjer.</w:t>
      </w:r>
    </w:p>
    <w:p w:rsidR="00C04F1E" w:rsidRPr="009037C4" w:rsidRDefault="00C04F1E" w:rsidP="00C04F1E">
      <w:pPr>
        <w:tabs>
          <w:tab w:val="left" w:pos="851"/>
        </w:tabs>
        <w:jc w:val="both"/>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7.</w:t>
      </w:r>
      <w:r w:rsidRPr="009037C4">
        <w:rPr>
          <w:b/>
          <w:sz w:val="24"/>
          <w:szCs w:val="24"/>
        </w:rPr>
        <w:tab/>
        <w:t>INDEHAVER AF MARKEDSFØRINGSTILLADELSEN</w:t>
      </w:r>
    </w:p>
    <w:p w:rsidR="00C04F1E" w:rsidRPr="009037C4" w:rsidRDefault="00C04F1E" w:rsidP="00C04F1E">
      <w:pPr>
        <w:tabs>
          <w:tab w:val="left" w:pos="851"/>
        </w:tabs>
        <w:ind w:left="851"/>
        <w:rPr>
          <w:spacing w:val="-3"/>
          <w:sz w:val="24"/>
          <w:szCs w:val="24"/>
          <w:lang w:val="sv-SE"/>
        </w:rPr>
      </w:pPr>
      <w:r w:rsidRPr="009037C4">
        <w:rPr>
          <w:spacing w:val="-3"/>
          <w:sz w:val="24"/>
          <w:szCs w:val="24"/>
          <w:lang w:val="sv-SE"/>
        </w:rPr>
        <w:t xml:space="preserve">Almirall </w:t>
      </w:r>
      <w:proofErr w:type="spellStart"/>
      <w:r w:rsidRPr="009037C4">
        <w:rPr>
          <w:spacing w:val="-3"/>
          <w:sz w:val="24"/>
          <w:szCs w:val="24"/>
          <w:lang w:val="sv-SE"/>
        </w:rPr>
        <w:t>Hermal</w:t>
      </w:r>
      <w:proofErr w:type="spellEnd"/>
      <w:r w:rsidRPr="009037C4">
        <w:rPr>
          <w:spacing w:val="-3"/>
          <w:sz w:val="24"/>
          <w:szCs w:val="24"/>
          <w:lang w:val="sv-SE"/>
        </w:rPr>
        <w:t xml:space="preserve"> GmbH</w:t>
      </w:r>
    </w:p>
    <w:p w:rsidR="00C04F1E" w:rsidRPr="009037C4" w:rsidRDefault="00C04F1E" w:rsidP="00C04F1E">
      <w:pPr>
        <w:tabs>
          <w:tab w:val="left" w:pos="851"/>
        </w:tabs>
        <w:ind w:left="851"/>
        <w:rPr>
          <w:spacing w:val="-3"/>
          <w:sz w:val="24"/>
          <w:szCs w:val="24"/>
          <w:lang w:val="sv-SE"/>
        </w:rPr>
      </w:pPr>
      <w:proofErr w:type="spellStart"/>
      <w:r w:rsidRPr="009037C4">
        <w:rPr>
          <w:spacing w:val="-3"/>
          <w:sz w:val="24"/>
          <w:szCs w:val="24"/>
          <w:lang w:val="sv-SE"/>
        </w:rPr>
        <w:t>Scholtzstrasse</w:t>
      </w:r>
      <w:proofErr w:type="spellEnd"/>
      <w:r w:rsidRPr="009037C4">
        <w:rPr>
          <w:spacing w:val="-3"/>
          <w:sz w:val="24"/>
          <w:szCs w:val="24"/>
          <w:lang w:val="sv-SE"/>
        </w:rPr>
        <w:t xml:space="preserve"> 3</w:t>
      </w:r>
    </w:p>
    <w:p w:rsidR="00C04F1E" w:rsidRPr="009037C4" w:rsidRDefault="00C04F1E" w:rsidP="00C04F1E">
      <w:pPr>
        <w:tabs>
          <w:tab w:val="left" w:pos="851"/>
        </w:tabs>
        <w:ind w:left="851"/>
        <w:rPr>
          <w:spacing w:val="-3"/>
          <w:sz w:val="24"/>
          <w:szCs w:val="24"/>
          <w:lang w:val="sv-SE"/>
        </w:rPr>
      </w:pPr>
      <w:r w:rsidRPr="009037C4">
        <w:rPr>
          <w:spacing w:val="-3"/>
          <w:sz w:val="24"/>
          <w:szCs w:val="24"/>
          <w:lang w:val="sv-SE"/>
        </w:rPr>
        <w:t>D-</w:t>
      </w:r>
      <w:proofErr w:type="gramStart"/>
      <w:r w:rsidRPr="009037C4">
        <w:rPr>
          <w:spacing w:val="-3"/>
          <w:sz w:val="24"/>
          <w:szCs w:val="24"/>
          <w:lang w:val="sv-SE"/>
        </w:rPr>
        <w:t>21465</w:t>
      </w:r>
      <w:proofErr w:type="gramEnd"/>
      <w:r w:rsidRPr="009037C4">
        <w:rPr>
          <w:spacing w:val="-3"/>
          <w:sz w:val="24"/>
          <w:szCs w:val="24"/>
          <w:lang w:val="sv-SE"/>
        </w:rPr>
        <w:t xml:space="preserve"> </w:t>
      </w:r>
      <w:proofErr w:type="spellStart"/>
      <w:r w:rsidRPr="009037C4">
        <w:rPr>
          <w:spacing w:val="-3"/>
          <w:sz w:val="24"/>
          <w:szCs w:val="24"/>
          <w:lang w:val="sv-SE"/>
        </w:rPr>
        <w:t>Reinbek</w:t>
      </w:r>
      <w:proofErr w:type="spellEnd"/>
    </w:p>
    <w:p w:rsidR="00C04F1E" w:rsidRDefault="00C04F1E" w:rsidP="00C04F1E">
      <w:pPr>
        <w:tabs>
          <w:tab w:val="left" w:pos="851"/>
        </w:tabs>
        <w:ind w:left="851"/>
        <w:rPr>
          <w:spacing w:val="-3"/>
          <w:sz w:val="24"/>
          <w:szCs w:val="24"/>
          <w:lang w:val="sv-SE"/>
        </w:rPr>
      </w:pPr>
      <w:r w:rsidRPr="009037C4">
        <w:rPr>
          <w:spacing w:val="-3"/>
          <w:sz w:val="24"/>
          <w:szCs w:val="24"/>
          <w:lang w:val="sv-SE"/>
        </w:rPr>
        <w:t>Tyskland</w:t>
      </w:r>
    </w:p>
    <w:p w:rsidR="000B0F60" w:rsidRDefault="000B0F60" w:rsidP="00C04F1E">
      <w:pPr>
        <w:tabs>
          <w:tab w:val="left" w:pos="851"/>
        </w:tabs>
        <w:ind w:left="851"/>
        <w:rPr>
          <w:spacing w:val="-3"/>
          <w:sz w:val="24"/>
          <w:szCs w:val="24"/>
          <w:lang w:val="sv-SE"/>
        </w:rPr>
      </w:pPr>
    </w:p>
    <w:p w:rsidR="000B0F60" w:rsidRPr="00290793" w:rsidRDefault="000B0F60" w:rsidP="000B0F60">
      <w:pPr>
        <w:ind w:left="851"/>
        <w:rPr>
          <w:spacing w:val="-3"/>
          <w:sz w:val="24"/>
          <w:szCs w:val="24"/>
        </w:rPr>
      </w:pPr>
      <w:r w:rsidRPr="00290793">
        <w:rPr>
          <w:b/>
          <w:spacing w:val="-3"/>
          <w:sz w:val="24"/>
          <w:szCs w:val="24"/>
        </w:rPr>
        <w:t>Repræsentant</w:t>
      </w:r>
    </w:p>
    <w:p w:rsidR="000B0F60" w:rsidRPr="00290793" w:rsidRDefault="000B0F60" w:rsidP="000B0F60">
      <w:pPr>
        <w:ind w:left="851"/>
        <w:rPr>
          <w:spacing w:val="-3"/>
          <w:sz w:val="24"/>
          <w:szCs w:val="24"/>
        </w:rPr>
      </w:pPr>
      <w:r w:rsidRPr="00290793">
        <w:rPr>
          <w:spacing w:val="-3"/>
          <w:sz w:val="24"/>
          <w:szCs w:val="24"/>
        </w:rPr>
        <w:t>Almirall ApS</w:t>
      </w:r>
    </w:p>
    <w:p w:rsidR="00656898" w:rsidRPr="00B1209C" w:rsidRDefault="00656898" w:rsidP="00656898">
      <w:pPr>
        <w:tabs>
          <w:tab w:val="left" w:pos="851"/>
        </w:tabs>
        <w:ind w:left="851"/>
        <w:rPr>
          <w:sz w:val="24"/>
          <w:szCs w:val="24"/>
        </w:rPr>
      </w:pPr>
      <w:r w:rsidRPr="00B1209C">
        <w:rPr>
          <w:sz w:val="24"/>
          <w:szCs w:val="24"/>
        </w:rPr>
        <w:t>Vandtårnsvej 77</w:t>
      </w:r>
    </w:p>
    <w:p w:rsidR="00656898" w:rsidRDefault="00656898" w:rsidP="00656898">
      <w:pPr>
        <w:tabs>
          <w:tab w:val="left" w:pos="851"/>
        </w:tabs>
        <w:ind w:left="851"/>
        <w:rPr>
          <w:sz w:val="24"/>
          <w:szCs w:val="24"/>
        </w:rPr>
      </w:pPr>
      <w:r w:rsidRPr="00B1209C">
        <w:rPr>
          <w:sz w:val="24"/>
          <w:szCs w:val="24"/>
        </w:rPr>
        <w:t>2860 Søborg</w:t>
      </w:r>
    </w:p>
    <w:p w:rsidR="00C04F1E" w:rsidRPr="009037C4" w:rsidRDefault="00C04F1E" w:rsidP="00656898">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8.</w:t>
      </w:r>
      <w:r w:rsidRPr="009037C4">
        <w:rPr>
          <w:b/>
          <w:sz w:val="24"/>
          <w:szCs w:val="24"/>
        </w:rPr>
        <w:tab/>
        <w:t>MARKEDSFØRINGSTILLADELSESNUMMER (</w:t>
      </w:r>
      <w:r w:rsidR="00180457">
        <w:rPr>
          <w:b/>
          <w:sz w:val="24"/>
          <w:szCs w:val="24"/>
        </w:rPr>
        <w:t>-</w:t>
      </w:r>
      <w:r w:rsidRPr="009037C4">
        <w:rPr>
          <w:b/>
          <w:sz w:val="24"/>
          <w:szCs w:val="24"/>
        </w:rPr>
        <w:t>NUMRE)</w:t>
      </w:r>
    </w:p>
    <w:p w:rsidR="00C04F1E" w:rsidRPr="009037C4" w:rsidRDefault="00C04F1E" w:rsidP="00C04F1E">
      <w:pPr>
        <w:tabs>
          <w:tab w:val="left" w:pos="851"/>
        </w:tabs>
        <w:ind w:left="851" w:hanging="851"/>
        <w:rPr>
          <w:sz w:val="24"/>
          <w:szCs w:val="24"/>
        </w:rPr>
      </w:pPr>
      <w:r w:rsidRPr="009037C4">
        <w:rPr>
          <w:sz w:val="24"/>
          <w:szCs w:val="24"/>
        </w:rPr>
        <w:tab/>
        <w:t>50061</w:t>
      </w:r>
    </w:p>
    <w:p w:rsidR="00C04F1E" w:rsidRPr="009037C4" w:rsidRDefault="00C04F1E" w:rsidP="00C04F1E">
      <w:pPr>
        <w:tabs>
          <w:tab w:val="left" w:pos="851"/>
        </w:tabs>
        <w:jc w:val="both"/>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9.</w:t>
      </w:r>
      <w:r w:rsidRPr="009037C4">
        <w:rPr>
          <w:b/>
          <w:sz w:val="24"/>
          <w:szCs w:val="24"/>
        </w:rPr>
        <w:tab/>
        <w:t>DATO FOR FØRSTE MARKEDSFØRINGSTILLADELSE</w:t>
      </w:r>
    </w:p>
    <w:p w:rsidR="00C04F1E" w:rsidRPr="009037C4" w:rsidRDefault="00C04F1E" w:rsidP="00C04F1E">
      <w:pPr>
        <w:tabs>
          <w:tab w:val="left" w:pos="851"/>
        </w:tabs>
        <w:rPr>
          <w:sz w:val="24"/>
          <w:szCs w:val="24"/>
        </w:rPr>
      </w:pPr>
      <w:r w:rsidRPr="009037C4">
        <w:rPr>
          <w:sz w:val="24"/>
          <w:szCs w:val="24"/>
        </w:rPr>
        <w:tab/>
        <w:t>30. januar 2013</w:t>
      </w:r>
    </w:p>
    <w:p w:rsidR="00C04F1E" w:rsidRPr="009037C4" w:rsidRDefault="00C04F1E" w:rsidP="00C04F1E">
      <w:pPr>
        <w:tabs>
          <w:tab w:val="left" w:pos="851"/>
        </w:tabs>
        <w:rPr>
          <w:sz w:val="24"/>
          <w:szCs w:val="24"/>
        </w:rPr>
      </w:pPr>
    </w:p>
    <w:p w:rsidR="00C04F1E" w:rsidRPr="009037C4" w:rsidRDefault="00C04F1E" w:rsidP="00C04F1E">
      <w:pPr>
        <w:tabs>
          <w:tab w:val="left" w:pos="851"/>
        </w:tabs>
        <w:ind w:left="851" w:hanging="851"/>
        <w:rPr>
          <w:b/>
          <w:sz w:val="24"/>
          <w:szCs w:val="24"/>
        </w:rPr>
      </w:pPr>
      <w:r w:rsidRPr="009037C4">
        <w:rPr>
          <w:b/>
          <w:sz w:val="24"/>
          <w:szCs w:val="24"/>
        </w:rPr>
        <w:t>10.</w:t>
      </w:r>
      <w:r w:rsidRPr="009037C4">
        <w:rPr>
          <w:b/>
          <w:sz w:val="24"/>
          <w:szCs w:val="24"/>
        </w:rPr>
        <w:tab/>
        <w:t>DATO FOR ÆNDRING AF TEKSTEN</w:t>
      </w:r>
    </w:p>
    <w:p w:rsidR="00C04F1E" w:rsidRPr="009037C4" w:rsidRDefault="00C04F1E" w:rsidP="00C04F1E">
      <w:pPr>
        <w:tabs>
          <w:tab w:val="left" w:pos="851"/>
        </w:tabs>
        <w:rPr>
          <w:sz w:val="24"/>
          <w:szCs w:val="24"/>
        </w:rPr>
      </w:pPr>
      <w:r w:rsidRPr="009037C4">
        <w:rPr>
          <w:sz w:val="24"/>
          <w:szCs w:val="24"/>
        </w:rPr>
        <w:tab/>
      </w:r>
      <w:r w:rsidR="00656898">
        <w:rPr>
          <w:sz w:val="24"/>
          <w:szCs w:val="24"/>
        </w:rPr>
        <w:t>10. juni 2024</w:t>
      </w:r>
    </w:p>
    <w:sectPr w:rsidR="00C04F1E" w:rsidRPr="009037C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F1E" w:rsidRDefault="00C04F1E">
      <w:r>
        <w:separator/>
      </w:r>
    </w:p>
  </w:endnote>
  <w:endnote w:type="continuationSeparator" w:id="0">
    <w:p w:rsidR="00C04F1E" w:rsidRDefault="00C0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F4DF0">
      <w:rPr>
        <w:i/>
        <w:noProof/>
        <w:sz w:val="18"/>
        <w:szCs w:val="18"/>
      </w:rPr>
      <w:t>Actikerall, kutanopløsning 5 mg-g+100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F1E" w:rsidRDefault="00C04F1E">
      <w:r>
        <w:separator/>
      </w:r>
    </w:p>
  </w:footnote>
  <w:footnote w:type="continuationSeparator" w:id="0">
    <w:p w:rsidR="00C04F1E" w:rsidRDefault="00C0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51971"/>
    <w:multiLevelType w:val="hybridMultilevel"/>
    <w:tmpl w:val="884421E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376281"/>
    <w:multiLevelType w:val="hybridMultilevel"/>
    <w:tmpl w:val="86CA7A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9EA5B98"/>
    <w:multiLevelType w:val="hybridMultilevel"/>
    <w:tmpl w:val="59FED9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1E"/>
    <w:rsid w:val="00002D94"/>
    <w:rsid w:val="00025031"/>
    <w:rsid w:val="000259B9"/>
    <w:rsid w:val="00041491"/>
    <w:rsid w:val="000459C0"/>
    <w:rsid w:val="00050D16"/>
    <w:rsid w:val="000635A8"/>
    <w:rsid w:val="00074F2A"/>
    <w:rsid w:val="00077470"/>
    <w:rsid w:val="000A1CA8"/>
    <w:rsid w:val="000A466B"/>
    <w:rsid w:val="000B058C"/>
    <w:rsid w:val="000B0F60"/>
    <w:rsid w:val="000E4EE6"/>
    <w:rsid w:val="001364BE"/>
    <w:rsid w:val="001454E2"/>
    <w:rsid w:val="00180457"/>
    <w:rsid w:val="00206CE8"/>
    <w:rsid w:val="0021526C"/>
    <w:rsid w:val="00283A2B"/>
    <w:rsid w:val="002B30AD"/>
    <w:rsid w:val="002C2C01"/>
    <w:rsid w:val="00395210"/>
    <w:rsid w:val="003A29AE"/>
    <w:rsid w:val="003A32D7"/>
    <w:rsid w:val="003B4074"/>
    <w:rsid w:val="003C769A"/>
    <w:rsid w:val="003F1838"/>
    <w:rsid w:val="0045746C"/>
    <w:rsid w:val="0049104B"/>
    <w:rsid w:val="004E3B12"/>
    <w:rsid w:val="004F4DF0"/>
    <w:rsid w:val="00532310"/>
    <w:rsid w:val="00560ECC"/>
    <w:rsid w:val="00565F0F"/>
    <w:rsid w:val="00594A86"/>
    <w:rsid w:val="00596D86"/>
    <w:rsid w:val="005A200C"/>
    <w:rsid w:val="005D0304"/>
    <w:rsid w:val="00637F5A"/>
    <w:rsid w:val="006560B1"/>
    <w:rsid w:val="00656898"/>
    <w:rsid w:val="0065734D"/>
    <w:rsid w:val="006756DD"/>
    <w:rsid w:val="00737275"/>
    <w:rsid w:val="00740EEC"/>
    <w:rsid w:val="0078011A"/>
    <w:rsid w:val="00782AF4"/>
    <w:rsid w:val="00790EE7"/>
    <w:rsid w:val="007B6649"/>
    <w:rsid w:val="007D74A6"/>
    <w:rsid w:val="0081546F"/>
    <w:rsid w:val="0082576E"/>
    <w:rsid w:val="008E317B"/>
    <w:rsid w:val="009037C4"/>
    <w:rsid w:val="00907F75"/>
    <w:rsid w:val="009260DE"/>
    <w:rsid w:val="0093258A"/>
    <w:rsid w:val="009C7BA3"/>
    <w:rsid w:val="009D1F5A"/>
    <w:rsid w:val="00A2375A"/>
    <w:rsid w:val="00A92949"/>
    <w:rsid w:val="00A97BCC"/>
    <w:rsid w:val="00B003BF"/>
    <w:rsid w:val="00B373D7"/>
    <w:rsid w:val="00B80631"/>
    <w:rsid w:val="00BD7469"/>
    <w:rsid w:val="00C04F1E"/>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46BA8"/>
    <w:rsid w:val="00F61D0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B1449"/>
  <w15:chartTrackingRefBased/>
  <w15:docId w15:val="{BD6E29DB-E31E-44ED-A75F-CA000BF2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0B0F60"/>
    <w:rPr>
      <w:color w:val="0563C1" w:themeColor="hyperlink"/>
      <w:u w:val="single"/>
    </w:rPr>
  </w:style>
  <w:style w:type="character" w:styleId="Ulstomtale">
    <w:name w:val="Unresolved Mention"/>
    <w:basedOn w:val="Standardskrifttypeiafsnit"/>
    <w:uiPriority w:val="99"/>
    <w:semiHidden/>
    <w:unhideWhenUsed/>
    <w:rsid w:val="000B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3251</Words>
  <Characters>20442</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2024012395_x000d_
Ændring af repræsentant adresse</dc:description>
  <cp:lastModifiedBy>Marianne Ott Jensen</cp:lastModifiedBy>
  <cp:revision>3</cp:revision>
  <cp:lastPrinted>2012-08-22T08:53:00Z</cp:lastPrinted>
  <dcterms:created xsi:type="dcterms:W3CDTF">2024-06-10T10:40:00Z</dcterms:created>
  <dcterms:modified xsi:type="dcterms:W3CDTF">2024-06-10T10:41:00Z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