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1556" w:rsidRDefault="00E51556" w:rsidP="00E51556">
      <w:pPr>
        <w:tabs>
          <w:tab w:val="left" w:pos="0"/>
          <w:tab w:val="left" w:pos="851"/>
          <w:tab w:val="left" w:pos="1701"/>
          <w:tab w:val="left" w:pos="2552"/>
          <w:tab w:val="left" w:pos="3403"/>
          <w:tab w:val="left" w:pos="4254"/>
          <w:tab w:val="left" w:pos="5105"/>
          <w:tab w:val="left" w:pos="5955"/>
          <w:tab w:val="left" w:pos="6806"/>
          <w:tab w:val="left" w:pos="7657"/>
          <w:tab w:val="left" w:pos="8508"/>
        </w:tabs>
        <w:jc w:val="both"/>
        <w:rPr>
          <w:spacing w:val="-3"/>
        </w:rPr>
      </w:pPr>
      <w:bookmarkStart w:id="0" w:name="_GoBack"/>
      <w:bookmarkEnd w:id="0"/>
      <w:r w:rsidRPr="008E4B5E">
        <w:rPr>
          <w:b/>
          <w:noProof/>
        </w:rPr>
        <w:drawing>
          <wp:inline distT="0" distB="0" distL="0" distR="0" wp14:anchorId="74B7B6E9" wp14:editId="46F10147">
            <wp:extent cx="2463800" cy="685800"/>
            <wp:effectExtent l="0" t="0" r="0" b="0"/>
            <wp:docPr id="2" name="Billed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descr="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63800" cy="685800"/>
                    </a:xfrm>
                    <a:prstGeom prst="rect">
                      <a:avLst/>
                    </a:prstGeom>
                    <a:noFill/>
                    <a:ln>
                      <a:noFill/>
                    </a:ln>
                  </pic:spPr>
                </pic:pic>
              </a:graphicData>
            </a:graphic>
          </wp:inline>
        </w:drawing>
      </w:r>
    </w:p>
    <w:p w:rsidR="00E51556" w:rsidRDefault="00E51556" w:rsidP="00E51556">
      <w:pPr>
        <w:tabs>
          <w:tab w:val="left" w:pos="0"/>
          <w:tab w:val="left" w:pos="851"/>
          <w:tab w:val="left" w:pos="1701"/>
          <w:tab w:val="left" w:pos="2552"/>
          <w:tab w:val="left" w:pos="3403"/>
          <w:tab w:val="left" w:pos="4254"/>
          <w:tab w:val="left" w:pos="5105"/>
          <w:tab w:val="left" w:pos="5955"/>
          <w:tab w:val="left" w:pos="6806"/>
          <w:tab w:val="left" w:pos="7657"/>
          <w:tab w:val="left" w:pos="8508"/>
        </w:tabs>
        <w:jc w:val="both"/>
        <w:rPr>
          <w:spacing w:val="-3"/>
        </w:rPr>
      </w:pPr>
    </w:p>
    <w:p w:rsidR="00E51556" w:rsidRPr="004F581B" w:rsidRDefault="00E51556" w:rsidP="00E51556">
      <w:pPr>
        <w:tabs>
          <w:tab w:val="right" w:pos="9638"/>
        </w:tabs>
        <w:jc w:val="both"/>
        <w:rPr>
          <w:b/>
          <w:spacing w:val="-3"/>
        </w:rPr>
      </w:pPr>
      <w:r w:rsidRPr="004F581B">
        <w:rPr>
          <w:spacing w:val="-3"/>
        </w:rPr>
        <w:tab/>
      </w:r>
      <w:r w:rsidR="00BA2887">
        <w:rPr>
          <w:b/>
          <w:spacing w:val="-3"/>
        </w:rPr>
        <w:t>31. marts 2020</w:t>
      </w:r>
    </w:p>
    <w:p w:rsidR="00E51556" w:rsidRDefault="00E51556" w:rsidP="00E51556">
      <w:pPr>
        <w:tabs>
          <w:tab w:val="center" w:pos="4536"/>
        </w:tabs>
        <w:jc w:val="both"/>
        <w:rPr>
          <w:b/>
          <w:spacing w:val="-3"/>
        </w:rPr>
      </w:pPr>
    </w:p>
    <w:p w:rsidR="00E51556" w:rsidRDefault="00E51556" w:rsidP="00E51556">
      <w:pPr>
        <w:tabs>
          <w:tab w:val="center" w:pos="4536"/>
        </w:tabs>
        <w:jc w:val="both"/>
        <w:rPr>
          <w:b/>
          <w:spacing w:val="-3"/>
        </w:rPr>
      </w:pPr>
    </w:p>
    <w:p w:rsidR="00E51556" w:rsidRDefault="00E51556" w:rsidP="00E51556">
      <w:pPr>
        <w:tabs>
          <w:tab w:val="center" w:pos="4536"/>
        </w:tabs>
        <w:jc w:val="both"/>
        <w:rPr>
          <w:b/>
          <w:spacing w:val="-3"/>
        </w:rPr>
      </w:pPr>
      <w:r>
        <w:rPr>
          <w:b/>
          <w:spacing w:val="-3"/>
        </w:rPr>
        <w:tab/>
      </w:r>
    </w:p>
    <w:p w:rsidR="00E51556" w:rsidRDefault="00E51556" w:rsidP="00E51556">
      <w:pPr>
        <w:tabs>
          <w:tab w:val="center" w:pos="4536"/>
        </w:tabs>
        <w:jc w:val="center"/>
        <w:rPr>
          <w:b/>
          <w:spacing w:val="-3"/>
        </w:rPr>
      </w:pPr>
      <w:r>
        <w:rPr>
          <w:b/>
          <w:spacing w:val="-3"/>
        </w:rPr>
        <w:t>PRODUKTRESUME</w:t>
      </w:r>
    </w:p>
    <w:p w:rsidR="00E51556" w:rsidRDefault="00E51556" w:rsidP="00E51556">
      <w:pPr>
        <w:tabs>
          <w:tab w:val="left" w:pos="0"/>
          <w:tab w:val="left" w:pos="851"/>
          <w:tab w:val="left" w:pos="1701"/>
          <w:tab w:val="left" w:pos="2552"/>
          <w:tab w:val="left" w:pos="3403"/>
          <w:tab w:val="left" w:pos="4254"/>
          <w:tab w:val="left" w:pos="5105"/>
          <w:tab w:val="left" w:pos="5955"/>
          <w:tab w:val="left" w:pos="6806"/>
          <w:tab w:val="left" w:pos="7657"/>
          <w:tab w:val="left" w:pos="8508"/>
        </w:tabs>
        <w:jc w:val="center"/>
        <w:rPr>
          <w:b/>
          <w:spacing w:val="-3"/>
        </w:rPr>
      </w:pPr>
    </w:p>
    <w:p w:rsidR="00E51556" w:rsidRDefault="00E51556" w:rsidP="00E51556">
      <w:pPr>
        <w:tabs>
          <w:tab w:val="center" w:pos="4536"/>
        </w:tabs>
        <w:jc w:val="center"/>
        <w:rPr>
          <w:b/>
          <w:spacing w:val="-3"/>
        </w:rPr>
      </w:pPr>
      <w:r>
        <w:rPr>
          <w:b/>
          <w:spacing w:val="-3"/>
        </w:rPr>
        <w:t>for</w:t>
      </w:r>
    </w:p>
    <w:p w:rsidR="00E51556" w:rsidRDefault="00E51556" w:rsidP="00E51556">
      <w:pPr>
        <w:tabs>
          <w:tab w:val="left" w:pos="0"/>
          <w:tab w:val="left" w:pos="851"/>
          <w:tab w:val="left" w:pos="1701"/>
          <w:tab w:val="left" w:pos="2552"/>
          <w:tab w:val="left" w:pos="3403"/>
          <w:tab w:val="left" w:pos="4254"/>
          <w:tab w:val="left" w:pos="5105"/>
          <w:tab w:val="left" w:pos="5955"/>
          <w:tab w:val="left" w:pos="6806"/>
          <w:tab w:val="left" w:pos="7657"/>
          <w:tab w:val="left" w:pos="8508"/>
        </w:tabs>
        <w:jc w:val="center"/>
        <w:rPr>
          <w:b/>
          <w:spacing w:val="-3"/>
        </w:rPr>
      </w:pPr>
    </w:p>
    <w:p w:rsidR="00E51556" w:rsidRDefault="00BA2887" w:rsidP="00E51556">
      <w:pPr>
        <w:tabs>
          <w:tab w:val="center" w:pos="4536"/>
        </w:tabs>
        <w:jc w:val="center"/>
        <w:rPr>
          <w:spacing w:val="-3"/>
        </w:rPr>
      </w:pPr>
      <w:r>
        <w:rPr>
          <w:b/>
          <w:spacing w:val="-3"/>
        </w:rPr>
        <w:t>Adapalen ”2care4”</w:t>
      </w:r>
      <w:r w:rsidR="00E51556">
        <w:rPr>
          <w:b/>
          <w:spacing w:val="-3"/>
        </w:rPr>
        <w:t>, creme</w:t>
      </w:r>
      <w:r>
        <w:rPr>
          <w:b/>
          <w:spacing w:val="-3"/>
        </w:rPr>
        <w:t xml:space="preserve"> (2care4)</w:t>
      </w:r>
    </w:p>
    <w:p w:rsidR="00E51556" w:rsidRDefault="00E51556" w:rsidP="00E51556">
      <w:pPr>
        <w:tabs>
          <w:tab w:val="left" w:pos="0"/>
          <w:tab w:val="left" w:pos="851"/>
          <w:tab w:val="left" w:pos="1701"/>
          <w:tab w:val="left" w:pos="2552"/>
          <w:tab w:val="left" w:pos="3403"/>
          <w:tab w:val="left" w:pos="4254"/>
          <w:tab w:val="left" w:pos="5105"/>
          <w:tab w:val="left" w:pos="5955"/>
          <w:tab w:val="left" w:pos="6806"/>
          <w:tab w:val="left" w:pos="7657"/>
          <w:tab w:val="left" w:pos="8508"/>
        </w:tabs>
        <w:jc w:val="both"/>
        <w:rPr>
          <w:spacing w:val="-3"/>
        </w:rPr>
      </w:pPr>
    </w:p>
    <w:p w:rsidR="00E51556" w:rsidRDefault="00E51556" w:rsidP="00E51556">
      <w:pPr>
        <w:tabs>
          <w:tab w:val="left" w:pos="0"/>
          <w:tab w:val="left" w:pos="851"/>
          <w:tab w:val="left" w:pos="1701"/>
          <w:tab w:val="left" w:pos="2552"/>
          <w:tab w:val="left" w:pos="3403"/>
          <w:tab w:val="left" w:pos="4254"/>
          <w:tab w:val="left" w:pos="5105"/>
          <w:tab w:val="left" w:pos="5955"/>
          <w:tab w:val="left" w:pos="6806"/>
          <w:tab w:val="left" w:pos="7657"/>
          <w:tab w:val="left" w:pos="8508"/>
        </w:tabs>
        <w:jc w:val="both"/>
        <w:rPr>
          <w:spacing w:val="-3"/>
        </w:rPr>
      </w:pPr>
    </w:p>
    <w:p w:rsidR="00E51556" w:rsidRDefault="00E51556" w:rsidP="00E51556">
      <w:pPr>
        <w:tabs>
          <w:tab w:val="left" w:pos="0"/>
          <w:tab w:val="left" w:pos="851"/>
        </w:tabs>
        <w:ind w:left="850" w:hanging="850"/>
        <w:jc w:val="both"/>
        <w:rPr>
          <w:spacing w:val="-3"/>
        </w:rPr>
      </w:pPr>
      <w:r w:rsidRPr="00DC2D03">
        <w:rPr>
          <w:b/>
          <w:spacing w:val="-3"/>
        </w:rPr>
        <w:t>0.</w:t>
      </w:r>
      <w:r>
        <w:rPr>
          <w:spacing w:val="-3"/>
        </w:rPr>
        <w:t xml:space="preserve">  </w:t>
      </w:r>
      <w:r>
        <w:rPr>
          <w:spacing w:val="-3"/>
        </w:rPr>
        <w:tab/>
      </w:r>
      <w:r w:rsidRPr="005271F9">
        <w:rPr>
          <w:b/>
          <w:caps/>
          <w:spacing w:val="-3"/>
          <w:szCs w:val="24"/>
        </w:rPr>
        <w:t>D.sp.nr.</w:t>
      </w:r>
    </w:p>
    <w:p w:rsidR="00E51556" w:rsidRDefault="00E51556" w:rsidP="00E51556">
      <w:pPr>
        <w:tabs>
          <w:tab w:val="left" w:pos="0"/>
          <w:tab w:val="left" w:pos="851"/>
        </w:tabs>
        <w:ind w:left="850" w:hanging="850"/>
        <w:jc w:val="both"/>
        <w:rPr>
          <w:spacing w:val="-3"/>
        </w:rPr>
      </w:pPr>
      <w:r>
        <w:rPr>
          <w:spacing w:val="-3"/>
        </w:rPr>
        <w:tab/>
        <w:t>9103</w:t>
      </w:r>
    </w:p>
    <w:p w:rsidR="00E51556" w:rsidRDefault="00E51556" w:rsidP="00E51556">
      <w:pPr>
        <w:tabs>
          <w:tab w:val="left" w:pos="0"/>
          <w:tab w:val="left" w:pos="851"/>
        </w:tabs>
        <w:jc w:val="both"/>
        <w:rPr>
          <w:spacing w:val="-3"/>
        </w:rPr>
      </w:pPr>
    </w:p>
    <w:p w:rsidR="00E51556" w:rsidRDefault="00E51556" w:rsidP="00E51556">
      <w:pPr>
        <w:tabs>
          <w:tab w:val="left" w:pos="0"/>
          <w:tab w:val="left" w:pos="851"/>
        </w:tabs>
        <w:ind w:left="850" w:hanging="850"/>
        <w:jc w:val="both"/>
        <w:rPr>
          <w:spacing w:val="-3"/>
        </w:rPr>
      </w:pPr>
      <w:r w:rsidRPr="00DC2D03">
        <w:rPr>
          <w:b/>
          <w:spacing w:val="-3"/>
        </w:rPr>
        <w:t>1.</w:t>
      </w:r>
      <w:r>
        <w:rPr>
          <w:spacing w:val="-3"/>
        </w:rPr>
        <w:t xml:space="preserve"> </w:t>
      </w:r>
      <w:r>
        <w:rPr>
          <w:spacing w:val="-3"/>
        </w:rPr>
        <w:tab/>
      </w:r>
      <w:r>
        <w:rPr>
          <w:b/>
          <w:spacing w:val="-3"/>
        </w:rPr>
        <w:t>LÆGEMIDLETS NAVN</w:t>
      </w:r>
    </w:p>
    <w:p w:rsidR="00E51556" w:rsidRDefault="00E51556" w:rsidP="00E51556">
      <w:pPr>
        <w:tabs>
          <w:tab w:val="left" w:pos="0"/>
          <w:tab w:val="left" w:pos="851"/>
        </w:tabs>
        <w:ind w:left="850" w:hanging="850"/>
        <w:jc w:val="both"/>
        <w:rPr>
          <w:spacing w:val="-3"/>
        </w:rPr>
      </w:pPr>
      <w:r>
        <w:rPr>
          <w:spacing w:val="-3"/>
        </w:rPr>
        <w:tab/>
      </w:r>
      <w:r w:rsidR="00BA2887">
        <w:rPr>
          <w:spacing w:val="-3"/>
        </w:rPr>
        <w:t>Adapalen ”2care4”</w:t>
      </w:r>
    </w:p>
    <w:p w:rsidR="00E51556" w:rsidRDefault="00E51556" w:rsidP="00E51556">
      <w:pPr>
        <w:tabs>
          <w:tab w:val="left" w:pos="0"/>
          <w:tab w:val="left" w:pos="851"/>
        </w:tabs>
        <w:jc w:val="both"/>
        <w:rPr>
          <w:spacing w:val="-3"/>
        </w:rPr>
      </w:pPr>
    </w:p>
    <w:p w:rsidR="00E51556" w:rsidRDefault="00E51556" w:rsidP="00E51556">
      <w:pPr>
        <w:tabs>
          <w:tab w:val="left" w:pos="0"/>
          <w:tab w:val="left" w:pos="851"/>
        </w:tabs>
        <w:ind w:left="850" w:hanging="850"/>
        <w:jc w:val="both"/>
        <w:rPr>
          <w:spacing w:val="-3"/>
        </w:rPr>
      </w:pPr>
      <w:r w:rsidRPr="00DC2D03">
        <w:rPr>
          <w:b/>
          <w:spacing w:val="-3"/>
        </w:rPr>
        <w:t>2.</w:t>
      </w:r>
      <w:r>
        <w:rPr>
          <w:spacing w:val="-3"/>
        </w:rPr>
        <w:t xml:space="preserve"> </w:t>
      </w:r>
      <w:r>
        <w:rPr>
          <w:spacing w:val="-3"/>
        </w:rPr>
        <w:tab/>
      </w:r>
      <w:r>
        <w:rPr>
          <w:b/>
          <w:spacing w:val="-3"/>
        </w:rPr>
        <w:t>KVALITATIV OG KVANTITATIV SAMMENSÆTNING</w:t>
      </w:r>
    </w:p>
    <w:p w:rsidR="00E51556" w:rsidRDefault="00E51556" w:rsidP="00E51556">
      <w:pPr>
        <w:tabs>
          <w:tab w:val="left" w:pos="0"/>
          <w:tab w:val="left" w:pos="851"/>
        </w:tabs>
        <w:ind w:left="850" w:hanging="850"/>
        <w:jc w:val="both"/>
        <w:rPr>
          <w:spacing w:val="-3"/>
        </w:rPr>
      </w:pPr>
      <w:r>
        <w:rPr>
          <w:spacing w:val="-3"/>
        </w:rPr>
        <w:tab/>
        <w:t>Adapalen 1 mg/g.</w:t>
      </w:r>
    </w:p>
    <w:p w:rsidR="00E51556" w:rsidRDefault="00E51556" w:rsidP="00E51556">
      <w:pPr>
        <w:tabs>
          <w:tab w:val="left" w:pos="0"/>
          <w:tab w:val="left" w:pos="851"/>
        </w:tabs>
        <w:ind w:left="850" w:hanging="850"/>
        <w:jc w:val="both"/>
        <w:rPr>
          <w:spacing w:val="-3"/>
        </w:rPr>
      </w:pPr>
      <w:r>
        <w:rPr>
          <w:spacing w:val="-3"/>
        </w:rPr>
        <w:tab/>
      </w:r>
    </w:p>
    <w:p w:rsidR="00E51556" w:rsidRDefault="00E51556" w:rsidP="00E51556">
      <w:pPr>
        <w:tabs>
          <w:tab w:val="left" w:pos="0"/>
          <w:tab w:val="left" w:pos="851"/>
        </w:tabs>
        <w:ind w:left="850" w:hanging="850"/>
        <w:jc w:val="both"/>
      </w:pPr>
      <w:r>
        <w:rPr>
          <w:spacing w:val="-3"/>
        </w:rPr>
        <w:tab/>
      </w:r>
      <w:r>
        <w:t xml:space="preserve">Hjælpestoffer, som behandleren skal være opmærksom på: </w:t>
      </w:r>
    </w:p>
    <w:p w:rsidR="00E51556" w:rsidRDefault="00E51556" w:rsidP="00E51556">
      <w:pPr>
        <w:tabs>
          <w:tab w:val="left" w:pos="0"/>
          <w:tab w:val="left" w:pos="851"/>
        </w:tabs>
        <w:ind w:left="850" w:hanging="850"/>
        <w:jc w:val="both"/>
      </w:pPr>
      <w:r>
        <w:tab/>
        <w:t>Methylparahydroxybenzoat (E218)</w:t>
      </w:r>
    </w:p>
    <w:p w:rsidR="00E51556" w:rsidRDefault="00E51556" w:rsidP="00E51556">
      <w:pPr>
        <w:tabs>
          <w:tab w:val="left" w:pos="0"/>
          <w:tab w:val="left" w:pos="851"/>
        </w:tabs>
        <w:ind w:left="850" w:hanging="850"/>
        <w:jc w:val="both"/>
      </w:pPr>
      <w:r>
        <w:tab/>
        <w:t>Propylparahydroxybenzoat (E216)</w:t>
      </w:r>
    </w:p>
    <w:p w:rsidR="00E51556" w:rsidRDefault="00E51556" w:rsidP="00E51556">
      <w:pPr>
        <w:tabs>
          <w:tab w:val="left" w:pos="0"/>
          <w:tab w:val="left" w:pos="851"/>
        </w:tabs>
        <w:ind w:left="850" w:hanging="850"/>
        <w:jc w:val="both"/>
        <w:rPr>
          <w:spacing w:val="-3"/>
        </w:rPr>
      </w:pPr>
      <w:r>
        <w:tab/>
      </w:r>
    </w:p>
    <w:p w:rsidR="00E51556" w:rsidRDefault="00E51556" w:rsidP="00E51556">
      <w:pPr>
        <w:ind w:left="850" w:firstLine="1"/>
        <w:jc w:val="both"/>
        <w:rPr>
          <w:spacing w:val="-3"/>
        </w:rPr>
      </w:pPr>
      <w:r>
        <w:rPr>
          <w:spacing w:val="-3"/>
        </w:rPr>
        <w:t>Alle hjælpestoffer er anført under pkt. 6.1.</w:t>
      </w:r>
    </w:p>
    <w:p w:rsidR="00E51556" w:rsidRDefault="00E51556" w:rsidP="00E51556">
      <w:pPr>
        <w:tabs>
          <w:tab w:val="left" w:pos="0"/>
          <w:tab w:val="left" w:pos="851"/>
        </w:tabs>
        <w:ind w:left="850" w:hanging="850"/>
        <w:jc w:val="both"/>
        <w:rPr>
          <w:spacing w:val="-3"/>
        </w:rPr>
      </w:pPr>
    </w:p>
    <w:p w:rsidR="00E51556" w:rsidRDefault="00E51556" w:rsidP="00E51556">
      <w:pPr>
        <w:tabs>
          <w:tab w:val="left" w:pos="0"/>
          <w:tab w:val="left" w:pos="851"/>
        </w:tabs>
        <w:ind w:left="850" w:hanging="850"/>
        <w:jc w:val="both"/>
        <w:rPr>
          <w:spacing w:val="-3"/>
        </w:rPr>
      </w:pPr>
      <w:r w:rsidRPr="00DC2D03">
        <w:rPr>
          <w:b/>
          <w:spacing w:val="-3"/>
        </w:rPr>
        <w:t>3.</w:t>
      </w:r>
      <w:r>
        <w:rPr>
          <w:spacing w:val="-3"/>
        </w:rPr>
        <w:t xml:space="preserve"> </w:t>
      </w:r>
      <w:r>
        <w:rPr>
          <w:spacing w:val="-3"/>
        </w:rPr>
        <w:tab/>
      </w:r>
      <w:r>
        <w:rPr>
          <w:b/>
          <w:spacing w:val="-3"/>
        </w:rPr>
        <w:t>LÆGEMIDDELFORM</w:t>
      </w:r>
    </w:p>
    <w:p w:rsidR="00E51556" w:rsidRDefault="00E51556" w:rsidP="00E51556">
      <w:pPr>
        <w:tabs>
          <w:tab w:val="left" w:pos="0"/>
          <w:tab w:val="left" w:pos="851"/>
        </w:tabs>
        <w:ind w:left="850" w:hanging="850"/>
        <w:jc w:val="both"/>
        <w:rPr>
          <w:spacing w:val="-3"/>
        </w:rPr>
      </w:pPr>
      <w:r>
        <w:rPr>
          <w:spacing w:val="-3"/>
        </w:rPr>
        <w:tab/>
        <w:t>Creme</w:t>
      </w:r>
      <w:r w:rsidR="00BA2887">
        <w:rPr>
          <w:spacing w:val="-3"/>
        </w:rPr>
        <w:t xml:space="preserve"> (2care4)</w:t>
      </w:r>
    </w:p>
    <w:p w:rsidR="00E51556" w:rsidRDefault="00E51556" w:rsidP="00E51556">
      <w:pPr>
        <w:tabs>
          <w:tab w:val="left" w:pos="0"/>
          <w:tab w:val="left" w:pos="851"/>
        </w:tabs>
        <w:jc w:val="both"/>
        <w:rPr>
          <w:spacing w:val="-3"/>
        </w:rPr>
      </w:pPr>
    </w:p>
    <w:p w:rsidR="00E51556" w:rsidRDefault="00E51556" w:rsidP="00E51556">
      <w:pPr>
        <w:tabs>
          <w:tab w:val="left" w:pos="0"/>
          <w:tab w:val="left" w:pos="851"/>
        </w:tabs>
        <w:ind w:left="850" w:hanging="850"/>
        <w:jc w:val="both"/>
        <w:rPr>
          <w:b/>
          <w:spacing w:val="-3"/>
        </w:rPr>
      </w:pPr>
    </w:p>
    <w:p w:rsidR="00E51556" w:rsidRDefault="00E51556" w:rsidP="00E51556">
      <w:pPr>
        <w:tabs>
          <w:tab w:val="left" w:pos="0"/>
          <w:tab w:val="left" w:pos="851"/>
        </w:tabs>
        <w:ind w:left="850" w:hanging="850"/>
        <w:jc w:val="both"/>
        <w:rPr>
          <w:spacing w:val="-3"/>
        </w:rPr>
      </w:pPr>
      <w:r>
        <w:rPr>
          <w:b/>
          <w:spacing w:val="-3"/>
        </w:rPr>
        <w:t xml:space="preserve">4. </w:t>
      </w:r>
      <w:r>
        <w:rPr>
          <w:b/>
          <w:spacing w:val="-3"/>
        </w:rPr>
        <w:tab/>
        <w:t>KLINISKE OPLYSNINGER</w:t>
      </w:r>
    </w:p>
    <w:p w:rsidR="00E51556" w:rsidRDefault="00E51556" w:rsidP="00E51556">
      <w:pPr>
        <w:tabs>
          <w:tab w:val="left" w:pos="0"/>
          <w:tab w:val="left" w:pos="851"/>
        </w:tabs>
        <w:jc w:val="both"/>
        <w:rPr>
          <w:spacing w:val="-3"/>
        </w:rPr>
      </w:pPr>
    </w:p>
    <w:p w:rsidR="00E51556" w:rsidRDefault="00E51556" w:rsidP="00E51556">
      <w:pPr>
        <w:tabs>
          <w:tab w:val="left" w:pos="0"/>
          <w:tab w:val="left" w:pos="851"/>
        </w:tabs>
        <w:ind w:left="850" w:hanging="850"/>
        <w:jc w:val="both"/>
        <w:rPr>
          <w:spacing w:val="-3"/>
        </w:rPr>
      </w:pPr>
      <w:r w:rsidRPr="00DC2D03">
        <w:rPr>
          <w:b/>
          <w:spacing w:val="-3"/>
        </w:rPr>
        <w:t>4.1</w:t>
      </w:r>
      <w:r>
        <w:rPr>
          <w:spacing w:val="-3"/>
        </w:rPr>
        <w:tab/>
      </w:r>
      <w:r>
        <w:rPr>
          <w:b/>
          <w:spacing w:val="-3"/>
        </w:rPr>
        <w:t>Terapeutiske indikationer</w:t>
      </w:r>
    </w:p>
    <w:p w:rsidR="00E51556" w:rsidRDefault="00E51556" w:rsidP="00E51556">
      <w:pPr>
        <w:tabs>
          <w:tab w:val="left" w:pos="0"/>
          <w:tab w:val="left" w:pos="851"/>
        </w:tabs>
        <w:ind w:left="850" w:hanging="850"/>
        <w:jc w:val="both"/>
        <w:rPr>
          <w:spacing w:val="-3"/>
        </w:rPr>
      </w:pPr>
      <w:r>
        <w:rPr>
          <w:spacing w:val="-3"/>
        </w:rPr>
        <w:tab/>
      </w:r>
      <w:r w:rsidR="00BA2887">
        <w:rPr>
          <w:spacing w:val="-3"/>
        </w:rPr>
        <w:t>Adapalen ”2care4”</w:t>
      </w:r>
      <w:r>
        <w:rPr>
          <w:spacing w:val="-3"/>
        </w:rPr>
        <w:t xml:space="preserve"> </w:t>
      </w:r>
      <w:r w:rsidRPr="005C0EDF">
        <w:rPr>
          <w:spacing w:val="-3"/>
        </w:rPr>
        <w:t xml:space="preserve">er indiceret til </w:t>
      </w:r>
      <w:r>
        <w:rPr>
          <w:spacing w:val="-3"/>
        </w:rPr>
        <w:t>acne vulgaris hvor komedoner, papler og pustler er dominerende.</w:t>
      </w:r>
    </w:p>
    <w:p w:rsidR="00E51556" w:rsidRDefault="00E51556" w:rsidP="00E51556">
      <w:pPr>
        <w:tabs>
          <w:tab w:val="left" w:pos="0"/>
          <w:tab w:val="left" w:pos="851"/>
        </w:tabs>
        <w:jc w:val="both"/>
        <w:rPr>
          <w:spacing w:val="-3"/>
        </w:rPr>
      </w:pPr>
    </w:p>
    <w:p w:rsidR="00E51556" w:rsidRDefault="00E51556" w:rsidP="00E51556">
      <w:pPr>
        <w:tabs>
          <w:tab w:val="left" w:pos="0"/>
          <w:tab w:val="left" w:pos="851"/>
        </w:tabs>
        <w:ind w:left="850" w:hanging="850"/>
        <w:jc w:val="both"/>
        <w:rPr>
          <w:spacing w:val="-3"/>
        </w:rPr>
      </w:pPr>
      <w:r w:rsidRPr="00DC2D03">
        <w:rPr>
          <w:b/>
          <w:spacing w:val="-3"/>
        </w:rPr>
        <w:t>4.2</w:t>
      </w:r>
      <w:r>
        <w:rPr>
          <w:spacing w:val="-3"/>
        </w:rPr>
        <w:tab/>
      </w:r>
      <w:r>
        <w:rPr>
          <w:b/>
          <w:spacing w:val="-3"/>
        </w:rPr>
        <w:t xml:space="preserve">Dosering og indgivelsesmåde </w:t>
      </w:r>
    </w:p>
    <w:p w:rsidR="00E51556" w:rsidRDefault="00E51556" w:rsidP="00E51556">
      <w:pPr>
        <w:tabs>
          <w:tab w:val="left" w:pos="0"/>
          <w:tab w:val="left" w:pos="851"/>
        </w:tabs>
        <w:rPr>
          <w:spacing w:val="-3"/>
          <w:u w:val="single"/>
        </w:rPr>
      </w:pPr>
      <w:r>
        <w:rPr>
          <w:spacing w:val="-3"/>
        </w:rPr>
        <w:tab/>
      </w:r>
      <w:r>
        <w:rPr>
          <w:spacing w:val="-3"/>
          <w:u w:val="single"/>
        </w:rPr>
        <w:t>Dosering</w:t>
      </w:r>
    </w:p>
    <w:p w:rsidR="00E51556" w:rsidRDefault="00E51556" w:rsidP="00E51556">
      <w:pPr>
        <w:tabs>
          <w:tab w:val="left" w:pos="0"/>
          <w:tab w:val="left" w:pos="851"/>
        </w:tabs>
        <w:rPr>
          <w:spacing w:val="-3"/>
          <w:u w:val="single"/>
        </w:rPr>
      </w:pPr>
    </w:p>
    <w:p w:rsidR="00E51556" w:rsidRDefault="00E51556" w:rsidP="00E51556">
      <w:pPr>
        <w:tabs>
          <w:tab w:val="left" w:pos="0"/>
          <w:tab w:val="left" w:pos="851"/>
        </w:tabs>
        <w:ind w:left="851"/>
        <w:rPr>
          <w:spacing w:val="-3"/>
        </w:rPr>
      </w:pPr>
      <w:r>
        <w:rPr>
          <w:spacing w:val="-3"/>
        </w:rPr>
        <w:t xml:space="preserve">Voksne: </w:t>
      </w:r>
    </w:p>
    <w:p w:rsidR="00E51556" w:rsidRDefault="00BA2887" w:rsidP="00E51556">
      <w:pPr>
        <w:tabs>
          <w:tab w:val="left" w:pos="0"/>
          <w:tab w:val="left" w:pos="851"/>
        </w:tabs>
        <w:ind w:left="851"/>
        <w:rPr>
          <w:spacing w:val="-3"/>
        </w:rPr>
      </w:pPr>
      <w:r>
        <w:rPr>
          <w:spacing w:val="-3"/>
        </w:rPr>
        <w:t>Adapalen ”2care4”</w:t>
      </w:r>
      <w:r w:rsidR="00E51556">
        <w:rPr>
          <w:spacing w:val="-3"/>
        </w:rPr>
        <w:t xml:space="preserve"> skal appliceres på de acneangrebne områder 1 gang daglig før sengetid på ren hud.</w:t>
      </w:r>
    </w:p>
    <w:p w:rsidR="00E51556" w:rsidRDefault="00E51556" w:rsidP="00E51556">
      <w:pPr>
        <w:tabs>
          <w:tab w:val="left" w:pos="0"/>
          <w:tab w:val="left" w:pos="851"/>
        </w:tabs>
        <w:rPr>
          <w:spacing w:val="-3"/>
        </w:rPr>
      </w:pPr>
      <w:r>
        <w:rPr>
          <w:spacing w:val="-3"/>
        </w:rPr>
        <w:tab/>
      </w:r>
    </w:p>
    <w:p w:rsidR="00E51556" w:rsidRDefault="00E51556" w:rsidP="00E51556">
      <w:pPr>
        <w:tabs>
          <w:tab w:val="left" w:pos="0"/>
          <w:tab w:val="left" w:pos="851"/>
        </w:tabs>
        <w:rPr>
          <w:spacing w:val="-3"/>
        </w:rPr>
      </w:pPr>
      <w:r>
        <w:rPr>
          <w:spacing w:val="-3"/>
        </w:rPr>
        <w:tab/>
      </w:r>
      <w:r>
        <w:t>De acneangrebne områder skal være tør inden påføring.</w:t>
      </w:r>
    </w:p>
    <w:p w:rsidR="00E51556" w:rsidRDefault="00E51556" w:rsidP="00E51556">
      <w:pPr>
        <w:jc w:val="both"/>
      </w:pPr>
    </w:p>
    <w:p w:rsidR="00E51556" w:rsidRDefault="00E51556" w:rsidP="00E51556">
      <w:pPr>
        <w:ind w:left="851"/>
        <w:jc w:val="both"/>
        <w:rPr>
          <w:i/>
          <w:noProof/>
          <w:szCs w:val="24"/>
        </w:rPr>
      </w:pPr>
      <w:r>
        <w:rPr>
          <w:i/>
          <w:noProof/>
          <w:szCs w:val="24"/>
        </w:rPr>
        <w:t>Pædiatrisk population</w:t>
      </w:r>
    </w:p>
    <w:p w:rsidR="00E51556" w:rsidRDefault="00E51556" w:rsidP="00E51556">
      <w:pPr>
        <w:ind w:left="851"/>
        <w:jc w:val="both"/>
        <w:rPr>
          <w:noProof/>
          <w:szCs w:val="24"/>
        </w:rPr>
      </w:pPr>
      <w:r>
        <w:rPr>
          <w:noProof/>
          <w:szCs w:val="24"/>
        </w:rPr>
        <w:t xml:space="preserve">Sikkerhed og virkning af </w:t>
      </w:r>
      <w:r w:rsidR="00BA2887">
        <w:rPr>
          <w:noProof/>
          <w:szCs w:val="24"/>
        </w:rPr>
        <w:t>Adapalen ”2care4”</w:t>
      </w:r>
      <w:r>
        <w:rPr>
          <w:noProof/>
          <w:szCs w:val="24"/>
        </w:rPr>
        <w:t xml:space="preserve"> er ikke blevet undersøgt hos børn under 12 år.</w:t>
      </w:r>
    </w:p>
    <w:p w:rsidR="00E51556" w:rsidRDefault="00E51556" w:rsidP="00E51556">
      <w:pPr>
        <w:tabs>
          <w:tab w:val="left" w:pos="0"/>
          <w:tab w:val="left" w:pos="851"/>
        </w:tabs>
        <w:rPr>
          <w:spacing w:val="-3"/>
        </w:rPr>
      </w:pPr>
    </w:p>
    <w:p w:rsidR="00E51556" w:rsidRDefault="00E51556" w:rsidP="00E51556">
      <w:pPr>
        <w:keepNext/>
        <w:tabs>
          <w:tab w:val="left" w:pos="0"/>
          <w:tab w:val="left" w:pos="851"/>
        </w:tabs>
        <w:ind w:left="851" w:hanging="851"/>
        <w:jc w:val="both"/>
        <w:rPr>
          <w:spacing w:val="-3"/>
        </w:rPr>
      </w:pPr>
      <w:r w:rsidRPr="00DC2D03">
        <w:rPr>
          <w:b/>
          <w:spacing w:val="-3"/>
        </w:rPr>
        <w:lastRenderedPageBreak/>
        <w:t>4.3</w:t>
      </w:r>
      <w:r>
        <w:rPr>
          <w:spacing w:val="-3"/>
        </w:rPr>
        <w:tab/>
      </w:r>
      <w:r>
        <w:rPr>
          <w:b/>
          <w:spacing w:val="-3"/>
        </w:rPr>
        <w:t>Kontraindikationer</w:t>
      </w:r>
    </w:p>
    <w:p w:rsidR="00E51556" w:rsidRDefault="00E51556" w:rsidP="00E51556">
      <w:pPr>
        <w:ind w:left="850" w:firstLine="1"/>
      </w:pPr>
      <w:r>
        <w:t>- Graviditet (se pkt. 4.6).</w:t>
      </w:r>
    </w:p>
    <w:p w:rsidR="00E51556" w:rsidRDefault="00E51556" w:rsidP="00E51556">
      <w:pPr>
        <w:ind w:left="850" w:firstLine="1"/>
      </w:pPr>
      <w:r>
        <w:t>- Kvinder, der planlægger en graviditet.</w:t>
      </w:r>
    </w:p>
    <w:p w:rsidR="00E51556" w:rsidRDefault="00E51556" w:rsidP="00E51556">
      <w:pPr>
        <w:ind w:left="850" w:firstLine="1"/>
      </w:pPr>
      <w:r>
        <w:t>- Overfølsomhed over for det aktive stof eller over for et eller flere af hjælpestofferne anført i pkt. 6.1.</w:t>
      </w:r>
    </w:p>
    <w:p w:rsidR="00E51556" w:rsidRDefault="00E51556" w:rsidP="00E51556">
      <w:pPr>
        <w:tabs>
          <w:tab w:val="left" w:pos="0"/>
          <w:tab w:val="left" w:pos="851"/>
        </w:tabs>
        <w:ind w:left="850" w:hanging="850"/>
        <w:jc w:val="both"/>
        <w:rPr>
          <w:spacing w:val="-3"/>
        </w:rPr>
      </w:pPr>
    </w:p>
    <w:p w:rsidR="00E51556" w:rsidRDefault="00E51556" w:rsidP="00E51556">
      <w:pPr>
        <w:tabs>
          <w:tab w:val="left" w:pos="0"/>
          <w:tab w:val="left" w:pos="851"/>
        </w:tabs>
        <w:ind w:left="850" w:hanging="850"/>
        <w:jc w:val="both"/>
        <w:rPr>
          <w:spacing w:val="-3"/>
        </w:rPr>
      </w:pPr>
      <w:r w:rsidRPr="00DC2D03">
        <w:rPr>
          <w:b/>
          <w:spacing w:val="-3"/>
        </w:rPr>
        <w:t>4.4</w:t>
      </w:r>
      <w:r>
        <w:rPr>
          <w:spacing w:val="-3"/>
        </w:rPr>
        <w:tab/>
      </w:r>
      <w:r>
        <w:rPr>
          <w:b/>
          <w:spacing w:val="-3"/>
        </w:rPr>
        <w:t>Særlige advarsler og forsigtighedsregler vedrørende brugen</w:t>
      </w:r>
    </w:p>
    <w:p w:rsidR="00E51556" w:rsidRDefault="00BA2887" w:rsidP="00E51556">
      <w:pPr>
        <w:ind w:left="850" w:firstLine="1"/>
      </w:pPr>
      <w:r>
        <w:t>Adapalen ”2care4”</w:t>
      </w:r>
      <w:r w:rsidR="00E51556" w:rsidRPr="00EA2724">
        <w:t xml:space="preserve"> creme</w:t>
      </w:r>
      <w:r w:rsidR="00E51556" w:rsidRPr="007A2ADD">
        <w:t xml:space="preserve"> skal seponeres, hvis der ses en reaktion, som tyder på følsomhed eller alvorlig irritation.</w:t>
      </w:r>
    </w:p>
    <w:p w:rsidR="00E51556" w:rsidRPr="007A2ADD" w:rsidRDefault="00E51556" w:rsidP="00E51556">
      <w:pPr>
        <w:ind w:left="850" w:firstLine="1"/>
      </w:pPr>
      <w:r w:rsidRPr="007A2ADD">
        <w:t xml:space="preserve">Ved forværring af den lokale irritation bør patienten rådes til at anvende </w:t>
      </w:r>
      <w:r w:rsidR="00BA2887">
        <w:t>Adapalen ”2care4”</w:t>
      </w:r>
      <w:r w:rsidRPr="007A2ADD">
        <w:t xml:space="preserve"> </w:t>
      </w:r>
      <w:r w:rsidRPr="00EA2724">
        <w:t>creme</w:t>
      </w:r>
      <w:r w:rsidRPr="007A2ADD">
        <w:t xml:space="preserve"> mindre hyppigt, holde op med at bruge den midlertidigt, indtil symptomerne fortager sig, eller helt ophøre med behandlingen.</w:t>
      </w:r>
    </w:p>
    <w:p w:rsidR="00E51556" w:rsidRPr="007A2ADD" w:rsidRDefault="00E51556" w:rsidP="00E51556">
      <w:pPr>
        <w:ind w:left="850" w:firstLine="1"/>
      </w:pPr>
      <w:r>
        <w:t xml:space="preserve">Applicering, 1 gang dagligt, </w:t>
      </w:r>
      <w:r w:rsidRPr="007A2ADD">
        <w:t>kan genoptages, hvis det vurderes, at patienten kan tåle det.</w:t>
      </w:r>
    </w:p>
    <w:p w:rsidR="00E51556" w:rsidRDefault="00E51556" w:rsidP="00E51556">
      <w:pPr>
        <w:autoSpaceDE w:val="0"/>
        <w:autoSpaceDN w:val="0"/>
        <w:adjustRightInd w:val="0"/>
      </w:pPr>
    </w:p>
    <w:p w:rsidR="00E51556" w:rsidRPr="00EA2724" w:rsidRDefault="00BA2887" w:rsidP="00E51556">
      <w:pPr>
        <w:ind w:left="850" w:firstLine="1"/>
      </w:pPr>
      <w:r>
        <w:t>Adapalen ”2care4”</w:t>
      </w:r>
      <w:r w:rsidR="00E51556" w:rsidRPr="007A2ADD">
        <w:t xml:space="preserve"> </w:t>
      </w:r>
      <w:r w:rsidR="00E51556" w:rsidRPr="00EA2724">
        <w:t>creme</w:t>
      </w:r>
      <w:r w:rsidR="00E51556" w:rsidRPr="007A2ADD">
        <w:t xml:space="preserve"> bør ikke komme i kontakt med øjne, mund, næsefløje eller slimhinder.</w:t>
      </w:r>
      <w:r w:rsidR="00E51556" w:rsidRPr="00EA2724">
        <w:t xml:space="preserve"> </w:t>
      </w:r>
    </w:p>
    <w:p w:rsidR="00E51556" w:rsidRPr="00EA2724" w:rsidRDefault="00E51556" w:rsidP="00E51556">
      <w:pPr>
        <w:ind w:left="850" w:firstLine="1"/>
      </w:pPr>
      <w:r w:rsidRPr="007A2ADD">
        <w:t xml:space="preserve">Hvis </w:t>
      </w:r>
      <w:r w:rsidR="00BA2887">
        <w:t>Adapalen ”2care4”</w:t>
      </w:r>
      <w:r w:rsidRPr="007A2ADD">
        <w:t xml:space="preserve"> kommer i kontakt med øjnene, skal øjnene omgående skylles med varmt vand. </w:t>
      </w:r>
      <w:r w:rsidR="00BA2887">
        <w:t>Adapalen ”2care4”</w:t>
      </w:r>
      <w:r w:rsidRPr="007A2ADD">
        <w:t xml:space="preserve"> </w:t>
      </w:r>
      <w:r w:rsidRPr="00EA2724">
        <w:t>creme</w:t>
      </w:r>
      <w:r w:rsidRPr="007A2ADD">
        <w:t xml:space="preserve"> må ikke anvendes på læderet hud (sår og hudafskrabninger), solskoldet eller eksematøs hud eller til patienter med udbredt s</w:t>
      </w:r>
      <w:r>
        <w:t>vær ak</w:t>
      </w:r>
      <w:r w:rsidRPr="007A2ADD">
        <w:t>ne.</w:t>
      </w:r>
    </w:p>
    <w:p w:rsidR="00E51556" w:rsidRPr="007A2ADD" w:rsidRDefault="00E51556" w:rsidP="00E51556">
      <w:pPr>
        <w:autoSpaceDE w:val="0"/>
        <w:autoSpaceDN w:val="0"/>
        <w:adjustRightInd w:val="0"/>
      </w:pPr>
    </w:p>
    <w:p w:rsidR="00E51556" w:rsidRPr="00242F10" w:rsidRDefault="00E51556" w:rsidP="00E51556">
      <w:pPr>
        <w:ind w:left="850" w:firstLine="1"/>
      </w:pPr>
      <w:r w:rsidRPr="007A2ADD">
        <w:t xml:space="preserve">Ved brug af adapalen bør patienterne eksponeres mindst muligt for sollys og kunstig UV-stråling, herunder solarier. </w:t>
      </w:r>
    </w:p>
    <w:p w:rsidR="00E51556" w:rsidRPr="00133194" w:rsidRDefault="00E51556" w:rsidP="00E51556">
      <w:pPr>
        <w:ind w:left="850" w:firstLine="1"/>
      </w:pPr>
      <w:r w:rsidRPr="007A2ADD">
        <w:t xml:space="preserve">Patienter, der normalt opholder sig meget i solen eller patienter, der er særligt følsomme for sollys, bør udvise forsigtighed. </w:t>
      </w:r>
    </w:p>
    <w:p w:rsidR="00E51556" w:rsidRPr="007A2ADD" w:rsidRDefault="00E51556" w:rsidP="00E51556">
      <w:pPr>
        <w:ind w:left="850" w:firstLine="1"/>
      </w:pPr>
      <w:r w:rsidRPr="007A2ADD">
        <w:t>Eksponering for sollys bør reduceres til et minimum og patienten bør anvende beskyttende påklædning og solcreme med høj beskyttelsesfaktor på de områder, der ikke kan undgå at blive udsat for sol.</w:t>
      </w:r>
      <w:r w:rsidRPr="00EA2724">
        <w:t xml:space="preserve"> </w:t>
      </w:r>
    </w:p>
    <w:p w:rsidR="00E51556" w:rsidRDefault="00E51556" w:rsidP="00E51556">
      <w:pPr>
        <w:autoSpaceDE w:val="0"/>
        <w:autoSpaceDN w:val="0"/>
        <w:adjustRightInd w:val="0"/>
      </w:pPr>
    </w:p>
    <w:p w:rsidR="00E51556" w:rsidRPr="007A2ADD" w:rsidRDefault="00BA2887" w:rsidP="00E51556">
      <w:pPr>
        <w:ind w:left="850" w:firstLine="1"/>
      </w:pPr>
      <w:r>
        <w:t>Adapalen ”2care4”</w:t>
      </w:r>
      <w:r w:rsidR="00E51556" w:rsidRPr="007A2ADD">
        <w:t xml:space="preserve"> creme indeholder methylparahydroxybenzoat</w:t>
      </w:r>
      <w:r w:rsidR="00E51556">
        <w:t xml:space="preserve"> (E218)</w:t>
      </w:r>
      <w:r w:rsidR="00E51556" w:rsidRPr="007A2ADD">
        <w:t xml:space="preserve"> og propylparahydroxybenzoat</w:t>
      </w:r>
      <w:r w:rsidR="00E51556">
        <w:t xml:space="preserve"> (E216)</w:t>
      </w:r>
      <w:r w:rsidR="00E51556" w:rsidRPr="007A2ADD">
        <w:t>, der kan give allergiske reaktioner (kan optræde efter behandlingen).</w:t>
      </w:r>
    </w:p>
    <w:p w:rsidR="00E51556" w:rsidRDefault="00E51556" w:rsidP="00E51556">
      <w:pPr>
        <w:tabs>
          <w:tab w:val="left" w:pos="0"/>
          <w:tab w:val="left" w:pos="851"/>
        </w:tabs>
        <w:jc w:val="both"/>
        <w:rPr>
          <w:spacing w:val="-3"/>
        </w:rPr>
      </w:pPr>
    </w:p>
    <w:p w:rsidR="00E51556" w:rsidRDefault="00E51556" w:rsidP="00E51556">
      <w:pPr>
        <w:tabs>
          <w:tab w:val="left" w:pos="0"/>
          <w:tab w:val="left" w:pos="851"/>
        </w:tabs>
        <w:ind w:left="850" w:hanging="850"/>
        <w:jc w:val="both"/>
        <w:rPr>
          <w:spacing w:val="-3"/>
        </w:rPr>
      </w:pPr>
      <w:r w:rsidRPr="00DC2D03">
        <w:rPr>
          <w:b/>
          <w:spacing w:val="-3"/>
        </w:rPr>
        <w:t>4.5</w:t>
      </w:r>
      <w:r>
        <w:rPr>
          <w:spacing w:val="-3"/>
        </w:rPr>
        <w:tab/>
      </w:r>
      <w:r>
        <w:rPr>
          <w:b/>
          <w:spacing w:val="-3"/>
        </w:rPr>
        <w:t xml:space="preserve">Interaktion med andre lægemidler og andre former for interaktion </w:t>
      </w:r>
    </w:p>
    <w:p w:rsidR="00E51556" w:rsidRPr="007A2ADD" w:rsidRDefault="00E51556" w:rsidP="00E51556">
      <w:pPr>
        <w:ind w:left="850" w:firstLine="1"/>
        <w:rPr>
          <w:i/>
        </w:rPr>
      </w:pPr>
      <w:r w:rsidRPr="007A2ADD">
        <w:t xml:space="preserve">Adapalen er stort set stabilt over for ilt og lys og er kemisk inert. Absorptionen af adapalen gennem human hud er lav (se pkt. 5.2 Farmakokinetiske egenskaber), og derfor er interaktion med systemiske lægemidler ikke sandsynlig. </w:t>
      </w:r>
    </w:p>
    <w:p w:rsidR="00E51556" w:rsidRDefault="00E51556" w:rsidP="00E51556">
      <w:pPr>
        <w:autoSpaceDE w:val="0"/>
        <w:autoSpaceDN w:val="0"/>
        <w:adjustRightInd w:val="0"/>
      </w:pPr>
    </w:p>
    <w:p w:rsidR="00E51556" w:rsidRPr="00A946C6" w:rsidRDefault="00E51556" w:rsidP="00E51556">
      <w:pPr>
        <w:ind w:left="850" w:firstLine="1"/>
      </w:pPr>
      <w:r w:rsidRPr="00FD06A6">
        <w:t>Der er ingen kendte interaktioner med andre medikamenter</w:t>
      </w:r>
      <w:r>
        <w:t>, som måske</w:t>
      </w:r>
      <w:r w:rsidRPr="00FD06A6">
        <w:t xml:space="preserve"> anvendes kutant og samtidig med </w:t>
      </w:r>
      <w:r w:rsidR="00BA2887">
        <w:t>Adapalen ”2care4”</w:t>
      </w:r>
      <w:r w:rsidRPr="00FD06A6">
        <w:t xml:space="preserve"> produkter</w:t>
      </w:r>
      <w:r>
        <w:t>. Kutane aknebehandlinger som fx</w:t>
      </w:r>
      <w:r w:rsidRPr="007A2ADD">
        <w:t xml:space="preserve"> opløsninger af erythromycin (indtil 4</w:t>
      </w:r>
      <w:r>
        <w:t xml:space="preserve"> </w:t>
      </w:r>
      <w:r w:rsidRPr="007A2ADD">
        <w:t>%), clindamycinfosfat (1</w:t>
      </w:r>
      <w:r>
        <w:t xml:space="preserve"> </w:t>
      </w:r>
      <w:r w:rsidRPr="007A2ADD">
        <w:t>% som base) eller benzoylperoxid vandbaserede cremer (indti</w:t>
      </w:r>
      <w:r>
        <w:t>l 10 %) kan anvendes om morgenen</w:t>
      </w:r>
      <w:r w:rsidRPr="00133194">
        <w:t xml:space="preserve">, </w:t>
      </w:r>
      <w:r w:rsidRPr="007A2ADD">
        <w:t>sammen med adapalen anvendt ved sengetid, da der ikke er nogen fælles nedbrydningsveje eller kumulativ irritation.</w:t>
      </w:r>
      <w:r w:rsidRPr="00A946C6">
        <w:t xml:space="preserve"> </w:t>
      </w:r>
    </w:p>
    <w:p w:rsidR="00E51556" w:rsidRPr="00A946C6" w:rsidRDefault="00E51556" w:rsidP="00E51556">
      <w:pPr>
        <w:ind w:left="850" w:firstLine="1"/>
      </w:pPr>
      <w:r>
        <w:t>A</w:t>
      </w:r>
      <w:r w:rsidRPr="007A2ADD">
        <w:t xml:space="preserve">ndre retinoider eller stoffer med en tilsvarende virkningsmekanisme </w:t>
      </w:r>
      <w:r>
        <w:t xml:space="preserve">bør dog </w:t>
      </w:r>
      <w:r w:rsidRPr="007A2ADD">
        <w:t xml:space="preserve">ikke anvendes samtidigt med adapalen. </w:t>
      </w:r>
    </w:p>
    <w:p w:rsidR="00E51556" w:rsidRPr="000275E2" w:rsidRDefault="00E51556" w:rsidP="00E51556">
      <w:pPr>
        <w:autoSpaceDE w:val="0"/>
        <w:autoSpaceDN w:val="0"/>
        <w:adjustRightInd w:val="0"/>
      </w:pPr>
    </w:p>
    <w:p w:rsidR="00E51556" w:rsidRPr="000275E2" w:rsidRDefault="00E51556" w:rsidP="00E51556">
      <w:pPr>
        <w:ind w:left="850" w:firstLine="1"/>
      </w:pPr>
      <w:r w:rsidRPr="000275E2">
        <w:t xml:space="preserve">Da </w:t>
      </w:r>
      <w:r w:rsidR="00BA2887">
        <w:t>Adapalen ”2care4”</w:t>
      </w:r>
      <w:r w:rsidRPr="000275E2">
        <w:t xml:space="preserve"> </w:t>
      </w:r>
      <w:r w:rsidRPr="00A946C6">
        <w:t>creme</w:t>
      </w:r>
      <w:r w:rsidRPr="000275E2">
        <w:t xml:space="preserve"> potentielt kan virke mildt lokalirriterend</w:t>
      </w:r>
      <w:r>
        <w:t>e, kan samtidig brug af peeling</w:t>
      </w:r>
      <w:r w:rsidRPr="000275E2">
        <w:t xml:space="preserve">midler, rensecremer med slibekorn og lignende, stærkt udtørrende midler, astringerende midler eller lokalirriterende produkter (aromatiske og alkoholiske midler) muligvis udløse additive irriterende virkninger. </w:t>
      </w:r>
    </w:p>
    <w:p w:rsidR="00E51556" w:rsidRDefault="00E51556" w:rsidP="00E51556">
      <w:pPr>
        <w:rPr>
          <w:spacing w:val="-3"/>
        </w:rPr>
      </w:pPr>
      <w:r w:rsidRPr="000275E2">
        <w:t xml:space="preserve"> </w:t>
      </w:r>
      <w:r>
        <w:rPr>
          <w:spacing w:val="-3"/>
        </w:rPr>
        <w:t xml:space="preserve">  </w:t>
      </w:r>
      <w:r>
        <w:rPr>
          <w:spacing w:val="-3"/>
        </w:rPr>
        <w:tab/>
      </w:r>
    </w:p>
    <w:p w:rsidR="00E51556" w:rsidRDefault="00E51556" w:rsidP="00E51556">
      <w:pPr>
        <w:tabs>
          <w:tab w:val="left" w:pos="0"/>
          <w:tab w:val="left" w:pos="851"/>
        </w:tabs>
        <w:ind w:left="850" w:hanging="850"/>
        <w:jc w:val="both"/>
        <w:rPr>
          <w:spacing w:val="-3"/>
        </w:rPr>
      </w:pPr>
      <w:r w:rsidRPr="00DC2D03">
        <w:rPr>
          <w:b/>
          <w:spacing w:val="-3"/>
        </w:rPr>
        <w:t>4.6</w:t>
      </w:r>
      <w:r>
        <w:rPr>
          <w:spacing w:val="-3"/>
        </w:rPr>
        <w:tab/>
      </w:r>
      <w:r>
        <w:rPr>
          <w:b/>
          <w:spacing w:val="-3"/>
        </w:rPr>
        <w:t>Graviditet og amning</w:t>
      </w:r>
    </w:p>
    <w:p w:rsidR="00E51556" w:rsidRDefault="00E51556" w:rsidP="00E51556">
      <w:pPr>
        <w:ind w:left="851"/>
        <w:rPr>
          <w:szCs w:val="24"/>
        </w:rPr>
      </w:pPr>
      <w:r>
        <w:rPr>
          <w:szCs w:val="24"/>
        </w:rPr>
        <w:t xml:space="preserve">Orale retinoider har været forbundet med medfødte abnormiteter. Når de anvendes i overensstemmelse med ordinationsforskrifterne antages det, at topikalt administrerede retinoider resulterer i lav systemisk eksponering på grund af minimal dermal absorption. Der </w:t>
      </w:r>
      <w:r>
        <w:rPr>
          <w:szCs w:val="24"/>
        </w:rPr>
        <w:lastRenderedPageBreak/>
        <w:t>kan dog være individuelle faktorer (f.eks. beskadiget hudbarriere, overdreven brug), som bidrager til en øget systemisk eksponering.</w:t>
      </w:r>
    </w:p>
    <w:p w:rsidR="00E51556" w:rsidRDefault="00E51556" w:rsidP="00E51556">
      <w:pPr>
        <w:ind w:left="851"/>
        <w:rPr>
          <w:szCs w:val="24"/>
        </w:rPr>
      </w:pPr>
    </w:p>
    <w:p w:rsidR="00E51556" w:rsidRDefault="00E51556" w:rsidP="00E51556">
      <w:pPr>
        <w:ind w:left="851"/>
        <w:rPr>
          <w:b/>
          <w:szCs w:val="24"/>
        </w:rPr>
      </w:pPr>
      <w:r>
        <w:rPr>
          <w:b/>
          <w:szCs w:val="24"/>
        </w:rPr>
        <w:t>Graviditet</w:t>
      </w:r>
    </w:p>
    <w:p w:rsidR="00E51556" w:rsidRDefault="00BA2887" w:rsidP="00E51556">
      <w:pPr>
        <w:ind w:left="851"/>
        <w:rPr>
          <w:szCs w:val="24"/>
        </w:rPr>
      </w:pPr>
      <w:r>
        <w:rPr>
          <w:szCs w:val="24"/>
        </w:rPr>
        <w:t>Adapalen ”2care4”</w:t>
      </w:r>
      <w:r w:rsidR="00E51556">
        <w:rPr>
          <w:szCs w:val="24"/>
        </w:rPr>
        <w:t xml:space="preserve"> er kontraindiceret (se pkt. 4.3) under graviditet eller hos kvinder, der planlægger graviditet.</w:t>
      </w:r>
    </w:p>
    <w:p w:rsidR="00E51556" w:rsidRDefault="00E51556" w:rsidP="00E51556">
      <w:pPr>
        <w:ind w:left="851"/>
        <w:rPr>
          <w:szCs w:val="24"/>
        </w:rPr>
      </w:pPr>
      <w:r>
        <w:rPr>
          <w:szCs w:val="24"/>
        </w:rPr>
        <w:t>Dyrestudier har påvist reproduktionstoksicitet ved høj systemisk eksponering med oral doser (se pkt. 5.3).</w:t>
      </w:r>
    </w:p>
    <w:p w:rsidR="00E51556" w:rsidRDefault="00E51556" w:rsidP="00E51556">
      <w:pPr>
        <w:ind w:left="851"/>
        <w:rPr>
          <w:szCs w:val="24"/>
        </w:rPr>
      </w:pPr>
      <w:r>
        <w:rPr>
          <w:szCs w:val="24"/>
        </w:rPr>
        <w:t xml:space="preserve">Der er begrænset klinisk erfaring med lokal anvendelse af adapalen under graviditet. De få data, der er tilgængelige fra patienter, der blev eksponeret tidligt i graviditeten, indikerer ingen skadelige virkninger. På grund af de begrænsede data og fordi en meget svag kutan passage af adapalen er mulig gennem huden, bør </w:t>
      </w:r>
      <w:r w:rsidR="00BA2887">
        <w:rPr>
          <w:szCs w:val="24"/>
        </w:rPr>
        <w:t>Adapalen ”2care4”</w:t>
      </w:r>
      <w:r>
        <w:rPr>
          <w:szCs w:val="24"/>
        </w:rPr>
        <w:t xml:space="preserve"> ikke anvendes under graviditet.</w:t>
      </w:r>
    </w:p>
    <w:p w:rsidR="00E51556" w:rsidRDefault="00E51556" w:rsidP="00E51556">
      <w:pPr>
        <w:ind w:left="851"/>
        <w:rPr>
          <w:szCs w:val="24"/>
        </w:rPr>
      </w:pPr>
      <w:r>
        <w:rPr>
          <w:szCs w:val="24"/>
        </w:rPr>
        <w:t>Hvis produktet anvendes under graviditet, eller hvis patienten bliver gravid, mens hun tager dette lægemiddel, bør behandlingen seponeres.</w:t>
      </w:r>
    </w:p>
    <w:p w:rsidR="00E51556" w:rsidRPr="00D92680" w:rsidRDefault="00E51556" w:rsidP="00E51556">
      <w:pPr>
        <w:ind w:left="851"/>
        <w:rPr>
          <w:szCs w:val="24"/>
        </w:rPr>
      </w:pPr>
    </w:p>
    <w:p w:rsidR="00E51556" w:rsidRPr="00947A64" w:rsidRDefault="00E51556" w:rsidP="00E51556">
      <w:pPr>
        <w:ind w:left="851"/>
        <w:rPr>
          <w:b/>
          <w:szCs w:val="24"/>
        </w:rPr>
      </w:pPr>
      <w:r w:rsidRPr="00947A64">
        <w:rPr>
          <w:b/>
          <w:szCs w:val="24"/>
        </w:rPr>
        <w:t>Amning</w:t>
      </w:r>
    </w:p>
    <w:p w:rsidR="00E51556" w:rsidRPr="00D92680" w:rsidRDefault="00E51556" w:rsidP="00E51556">
      <w:pPr>
        <w:ind w:left="851"/>
        <w:rPr>
          <w:szCs w:val="24"/>
        </w:rPr>
      </w:pPr>
      <w:r w:rsidRPr="00D92680">
        <w:rPr>
          <w:szCs w:val="24"/>
        </w:rPr>
        <w:t>Der</w:t>
      </w:r>
      <w:r>
        <w:rPr>
          <w:szCs w:val="24"/>
        </w:rPr>
        <w:t xml:space="preserve"> er</w:t>
      </w:r>
      <w:r w:rsidRPr="00D92680">
        <w:rPr>
          <w:szCs w:val="24"/>
        </w:rPr>
        <w:t xml:space="preserve"> ikke udført undersøgelser på overførsel af lægemiddel til brystmælk efter kutan applicering af </w:t>
      </w:r>
      <w:r w:rsidR="00BA2887">
        <w:rPr>
          <w:szCs w:val="24"/>
        </w:rPr>
        <w:t>Adapalen ”2care4”</w:t>
      </w:r>
      <w:r w:rsidRPr="00D92680">
        <w:rPr>
          <w:szCs w:val="24"/>
        </w:rPr>
        <w:t xml:space="preserve"> på hverken dyr eller mennesker.</w:t>
      </w:r>
    </w:p>
    <w:p w:rsidR="00E51556" w:rsidRDefault="00E51556" w:rsidP="00E51556">
      <w:pPr>
        <w:ind w:left="851"/>
        <w:rPr>
          <w:szCs w:val="24"/>
        </w:rPr>
      </w:pPr>
      <w:r w:rsidRPr="00D92680">
        <w:rPr>
          <w:szCs w:val="24"/>
        </w:rPr>
        <w:t xml:space="preserve">Der forventes ingen virkninger på det </w:t>
      </w:r>
      <w:r>
        <w:rPr>
          <w:szCs w:val="24"/>
        </w:rPr>
        <w:t>ammende</w:t>
      </w:r>
      <w:r w:rsidRPr="00D92680">
        <w:rPr>
          <w:szCs w:val="24"/>
        </w:rPr>
        <w:t xml:space="preserve"> barn, da den systemiske virkning af </w:t>
      </w:r>
      <w:r w:rsidR="00BA2887">
        <w:rPr>
          <w:szCs w:val="24"/>
        </w:rPr>
        <w:t>Adapalen ”2care4”</w:t>
      </w:r>
      <w:r w:rsidRPr="00D92680">
        <w:rPr>
          <w:szCs w:val="24"/>
        </w:rPr>
        <w:t xml:space="preserve"> på den ammende kvinde er ubetydelig. </w:t>
      </w:r>
    </w:p>
    <w:p w:rsidR="00E51556" w:rsidRPr="00D92680" w:rsidRDefault="00BA2887" w:rsidP="00E51556">
      <w:pPr>
        <w:ind w:left="851"/>
        <w:rPr>
          <w:szCs w:val="24"/>
        </w:rPr>
      </w:pPr>
      <w:r>
        <w:rPr>
          <w:szCs w:val="24"/>
        </w:rPr>
        <w:t>Adapalen ”2care4”</w:t>
      </w:r>
      <w:r w:rsidR="00E51556" w:rsidRPr="00D92680">
        <w:rPr>
          <w:szCs w:val="24"/>
        </w:rPr>
        <w:t xml:space="preserve"> kan anvendes under amning.</w:t>
      </w:r>
      <w:r w:rsidR="00E51556">
        <w:rPr>
          <w:szCs w:val="24"/>
        </w:rPr>
        <w:t xml:space="preserve"> </w:t>
      </w:r>
      <w:r w:rsidR="00E51556" w:rsidRPr="00D92680">
        <w:rPr>
          <w:bCs/>
          <w:szCs w:val="24"/>
          <w:lang w:eastAsia="fr-FR"/>
        </w:rPr>
        <w:t xml:space="preserve">For at undgå eksponering af barnet, bør </w:t>
      </w:r>
      <w:r>
        <w:rPr>
          <w:bCs/>
          <w:szCs w:val="24"/>
          <w:lang w:eastAsia="fr-FR"/>
        </w:rPr>
        <w:t>Adapalen ”2care4”</w:t>
      </w:r>
      <w:r w:rsidR="00E51556">
        <w:rPr>
          <w:bCs/>
          <w:szCs w:val="24"/>
          <w:lang w:eastAsia="fr-FR"/>
        </w:rPr>
        <w:t xml:space="preserve"> </w:t>
      </w:r>
      <w:r w:rsidR="00E51556" w:rsidRPr="00D92680">
        <w:rPr>
          <w:bCs/>
          <w:szCs w:val="24"/>
          <w:lang w:eastAsia="fr-FR"/>
        </w:rPr>
        <w:t xml:space="preserve">ikke anvendes på brystet, når det anvendes under amning. </w:t>
      </w:r>
    </w:p>
    <w:p w:rsidR="00E51556" w:rsidRDefault="00E51556" w:rsidP="00E51556">
      <w:pPr>
        <w:tabs>
          <w:tab w:val="left" w:pos="0"/>
          <w:tab w:val="left" w:pos="851"/>
        </w:tabs>
        <w:ind w:left="850" w:hanging="850"/>
        <w:jc w:val="both"/>
        <w:rPr>
          <w:b/>
          <w:spacing w:val="-3"/>
        </w:rPr>
      </w:pPr>
    </w:p>
    <w:p w:rsidR="00E51556" w:rsidRDefault="00E51556" w:rsidP="00E51556">
      <w:pPr>
        <w:tabs>
          <w:tab w:val="left" w:pos="0"/>
          <w:tab w:val="left" w:pos="851"/>
        </w:tabs>
        <w:ind w:left="850" w:hanging="850"/>
        <w:jc w:val="both"/>
        <w:rPr>
          <w:spacing w:val="-3"/>
        </w:rPr>
      </w:pPr>
      <w:r w:rsidRPr="00DC2D03">
        <w:rPr>
          <w:b/>
          <w:spacing w:val="-3"/>
        </w:rPr>
        <w:t>4.7</w:t>
      </w:r>
      <w:r>
        <w:rPr>
          <w:spacing w:val="-3"/>
        </w:rPr>
        <w:tab/>
      </w:r>
      <w:r>
        <w:rPr>
          <w:b/>
          <w:spacing w:val="-3"/>
        </w:rPr>
        <w:t>Virkninger på evnen til at føre motorkøretøj eller betjene maskiner</w:t>
      </w:r>
    </w:p>
    <w:p w:rsidR="00E51556" w:rsidRPr="00C628E7" w:rsidRDefault="00E51556" w:rsidP="00E51556">
      <w:pPr>
        <w:ind w:left="850" w:firstLine="1"/>
        <w:jc w:val="both"/>
      </w:pPr>
      <w:r w:rsidRPr="00C628E7">
        <w:t>Ikke mærkning.</w:t>
      </w:r>
    </w:p>
    <w:p w:rsidR="00E51556" w:rsidRPr="00EB690D" w:rsidRDefault="00E51556" w:rsidP="00E51556">
      <w:pPr>
        <w:ind w:left="850" w:firstLine="1"/>
      </w:pPr>
      <w:r w:rsidRPr="00C628E7">
        <w:t>Adapalen påvirker ikke eller kun i ubetydelig grad evnen til at føre motorkøretøj eller betjene maskiner.</w:t>
      </w:r>
    </w:p>
    <w:p w:rsidR="00E51556" w:rsidRDefault="00E51556" w:rsidP="00E51556">
      <w:pPr>
        <w:tabs>
          <w:tab w:val="left" w:pos="0"/>
          <w:tab w:val="left" w:pos="851"/>
        </w:tabs>
        <w:jc w:val="both"/>
        <w:rPr>
          <w:spacing w:val="-3"/>
        </w:rPr>
      </w:pPr>
    </w:p>
    <w:p w:rsidR="00E51556" w:rsidRDefault="00E51556" w:rsidP="00E51556">
      <w:pPr>
        <w:tabs>
          <w:tab w:val="left" w:pos="0"/>
          <w:tab w:val="left" w:pos="851"/>
        </w:tabs>
        <w:ind w:left="850" w:hanging="850"/>
        <w:jc w:val="both"/>
        <w:rPr>
          <w:spacing w:val="-3"/>
        </w:rPr>
      </w:pPr>
      <w:r w:rsidRPr="00DC2D03">
        <w:rPr>
          <w:b/>
          <w:spacing w:val="-3"/>
        </w:rPr>
        <w:t>4.8</w:t>
      </w:r>
      <w:r>
        <w:rPr>
          <w:spacing w:val="-3"/>
        </w:rPr>
        <w:tab/>
      </w:r>
      <w:r>
        <w:rPr>
          <w:b/>
          <w:spacing w:val="-3"/>
        </w:rPr>
        <w:t>Bivirkninger</w:t>
      </w:r>
    </w:p>
    <w:p w:rsidR="00E51556" w:rsidRDefault="00E51556" w:rsidP="00E51556">
      <w:pPr>
        <w:ind w:left="850" w:firstLine="1"/>
      </w:pPr>
      <w:r>
        <w:t xml:space="preserve">Omkring 10 % af patienterne kan forventes at opleve bivirkninger. Alle bivirkninger er hudreaktioner. De mest almindelige bivirkninger er tør hud, hudirritation, erytem og brændende fornemmelse i huden. </w:t>
      </w:r>
    </w:p>
    <w:p w:rsidR="00E51556" w:rsidRDefault="00E51556" w:rsidP="00E51556">
      <w:pPr>
        <w:ind w:left="850" w:firstLine="1"/>
        <w:jc w:val="both"/>
      </w:pPr>
    </w:p>
    <w:p w:rsidR="00E51556" w:rsidRDefault="00BA2887" w:rsidP="00E51556">
      <w:pPr>
        <w:ind w:left="851"/>
        <w:rPr>
          <w:noProof/>
          <w:szCs w:val="24"/>
        </w:rPr>
      </w:pPr>
      <w:r>
        <w:rPr>
          <w:noProof/>
          <w:szCs w:val="24"/>
        </w:rPr>
        <w:t>Adapalen ”2care4”</w:t>
      </w:r>
      <w:r w:rsidR="00E51556">
        <w:rPr>
          <w:noProof/>
          <w:szCs w:val="24"/>
        </w:rPr>
        <w:t xml:space="preserve"> kan give følgende bivirkninger:</w:t>
      </w:r>
    </w:p>
    <w:p w:rsidR="00E51556" w:rsidRDefault="00E51556" w:rsidP="00E51556">
      <w:pPr>
        <w:tabs>
          <w:tab w:val="left" w:pos="0"/>
          <w:tab w:val="left" w:pos="851"/>
        </w:tabs>
        <w:jc w:val="both"/>
        <w:rPr>
          <w:spacing w:val="-3"/>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2"/>
        <w:gridCol w:w="3163"/>
        <w:gridCol w:w="3204"/>
      </w:tblGrid>
      <w:tr w:rsidR="00E51556" w:rsidTr="003B4BCE">
        <w:tc>
          <w:tcPr>
            <w:tcW w:w="2325" w:type="dxa"/>
            <w:tcBorders>
              <w:top w:val="single" w:sz="4" w:space="0" w:color="auto"/>
              <w:left w:val="single" w:sz="4" w:space="0" w:color="auto"/>
              <w:bottom w:val="single" w:sz="4" w:space="0" w:color="auto"/>
              <w:right w:val="single" w:sz="4" w:space="0" w:color="auto"/>
            </w:tcBorders>
            <w:hideMark/>
          </w:tcPr>
          <w:p w:rsidR="00E51556" w:rsidRDefault="00E51556" w:rsidP="003B4BCE">
            <w:pPr>
              <w:tabs>
                <w:tab w:val="left" w:pos="0"/>
                <w:tab w:val="left" w:pos="851"/>
              </w:tabs>
              <w:rPr>
                <w:spacing w:val="-3"/>
              </w:rPr>
            </w:pPr>
            <w:r>
              <w:rPr>
                <w:spacing w:val="-3"/>
              </w:rPr>
              <w:t>Systemorganklasse (MedDRA)</w:t>
            </w:r>
          </w:p>
        </w:tc>
        <w:tc>
          <w:tcPr>
            <w:tcW w:w="3285" w:type="dxa"/>
            <w:tcBorders>
              <w:top w:val="single" w:sz="4" w:space="0" w:color="auto"/>
              <w:left w:val="single" w:sz="4" w:space="0" w:color="auto"/>
              <w:bottom w:val="single" w:sz="4" w:space="0" w:color="auto"/>
              <w:right w:val="single" w:sz="4" w:space="0" w:color="auto"/>
            </w:tcBorders>
            <w:hideMark/>
          </w:tcPr>
          <w:p w:rsidR="00E51556" w:rsidRDefault="00E51556" w:rsidP="003B4BCE">
            <w:pPr>
              <w:tabs>
                <w:tab w:val="left" w:pos="0"/>
                <w:tab w:val="left" w:pos="851"/>
              </w:tabs>
              <w:rPr>
                <w:spacing w:val="-3"/>
              </w:rPr>
            </w:pPr>
            <w:r>
              <w:rPr>
                <w:spacing w:val="-3"/>
              </w:rPr>
              <w:t>Hyppighed</w:t>
            </w:r>
          </w:p>
        </w:tc>
        <w:tc>
          <w:tcPr>
            <w:tcW w:w="3285" w:type="dxa"/>
            <w:tcBorders>
              <w:top w:val="single" w:sz="4" w:space="0" w:color="auto"/>
              <w:left w:val="single" w:sz="4" w:space="0" w:color="auto"/>
              <w:bottom w:val="single" w:sz="4" w:space="0" w:color="auto"/>
              <w:right w:val="single" w:sz="4" w:space="0" w:color="auto"/>
            </w:tcBorders>
            <w:hideMark/>
          </w:tcPr>
          <w:p w:rsidR="00E51556" w:rsidRDefault="00E51556" w:rsidP="003B4BCE">
            <w:pPr>
              <w:tabs>
                <w:tab w:val="left" w:pos="0"/>
                <w:tab w:val="left" w:pos="851"/>
              </w:tabs>
              <w:rPr>
                <w:spacing w:val="-3"/>
              </w:rPr>
            </w:pPr>
            <w:r>
              <w:rPr>
                <w:spacing w:val="-3"/>
              </w:rPr>
              <w:t>Bivirkninger</w:t>
            </w:r>
          </w:p>
        </w:tc>
      </w:tr>
      <w:tr w:rsidR="00E51556" w:rsidTr="003B4BCE">
        <w:tc>
          <w:tcPr>
            <w:tcW w:w="2325" w:type="dxa"/>
            <w:vMerge w:val="restart"/>
            <w:tcBorders>
              <w:top w:val="single" w:sz="4" w:space="0" w:color="auto"/>
              <w:left w:val="single" w:sz="4" w:space="0" w:color="auto"/>
              <w:bottom w:val="single" w:sz="4" w:space="0" w:color="auto"/>
              <w:right w:val="single" w:sz="4" w:space="0" w:color="auto"/>
            </w:tcBorders>
            <w:hideMark/>
          </w:tcPr>
          <w:p w:rsidR="00E51556" w:rsidRDefault="00E51556" w:rsidP="003B4BCE">
            <w:pPr>
              <w:tabs>
                <w:tab w:val="left" w:pos="0"/>
                <w:tab w:val="left" w:pos="851"/>
              </w:tabs>
              <w:rPr>
                <w:spacing w:val="-3"/>
              </w:rPr>
            </w:pPr>
            <w:r>
              <w:rPr>
                <w:noProof/>
                <w:lang w:val="de-DE"/>
              </w:rPr>
              <w:t>Hud og subkutane væv</w:t>
            </w:r>
          </w:p>
        </w:tc>
        <w:tc>
          <w:tcPr>
            <w:tcW w:w="3285" w:type="dxa"/>
            <w:tcBorders>
              <w:top w:val="single" w:sz="4" w:space="0" w:color="auto"/>
              <w:left w:val="single" w:sz="4" w:space="0" w:color="auto"/>
              <w:bottom w:val="single" w:sz="4" w:space="0" w:color="auto"/>
              <w:right w:val="single" w:sz="4" w:space="0" w:color="auto"/>
            </w:tcBorders>
            <w:hideMark/>
          </w:tcPr>
          <w:p w:rsidR="00E51556" w:rsidRDefault="00E51556" w:rsidP="003B4BCE">
            <w:pPr>
              <w:tabs>
                <w:tab w:val="left" w:pos="0"/>
                <w:tab w:val="left" w:pos="851"/>
              </w:tabs>
              <w:rPr>
                <w:spacing w:val="-3"/>
              </w:rPr>
            </w:pPr>
            <w:r>
              <w:rPr>
                <w:sz w:val="22"/>
                <w:szCs w:val="22"/>
              </w:rPr>
              <w:t>Almindelig (</w:t>
            </w:r>
            <w:r>
              <w:rPr>
                <w:rFonts w:ascii="Symbol" w:hAnsi="Symbol"/>
                <w:sz w:val="22"/>
                <w:szCs w:val="22"/>
              </w:rPr>
              <w:t></w:t>
            </w:r>
            <w:r>
              <w:rPr>
                <w:sz w:val="22"/>
                <w:szCs w:val="22"/>
              </w:rPr>
              <w:t>1/100 til &lt;1/10)</w:t>
            </w:r>
          </w:p>
        </w:tc>
        <w:tc>
          <w:tcPr>
            <w:tcW w:w="3285" w:type="dxa"/>
            <w:tcBorders>
              <w:top w:val="single" w:sz="4" w:space="0" w:color="auto"/>
              <w:left w:val="single" w:sz="4" w:space="0" w:color="auto"/>
              <w:bottom w:val="single" w:sz="4" w:space="0" w:color="auto"/>
              <w:right w:val="single" w:sz="4" w:space="0" w:color="auto"/>
            </w:tcBorders>
            <w:hideMark/>
          </w:tcPr>
          <w:p w:rsidR="00E51556" w:rsidRDefault="00E51556" w:rsidP="003B4BCE">
            <w:pPr>
              <w:tabs>
                <w:tab w:val="left" w:pos="0"/>
                <w:tab w:val="left" w:pos="851"/>
              </w:tabs>
              <w:rPr>
                <w:spacing w:val="-3"/>
              </w:rPr>
            </w:pPr>
            <w:r>
              <w:rPr>
                <w:spacing w:val="-3"/>
              </w:rPr>
              <w:t>T</w:t>
            </w:r>
            <w:r>
              <w:t>ør hud, hudirritation, brændende fornemmelse i huden, erytem</w:t>
            </w:r>
          </w:p>
        </w:tc>
      </w:tr>
      <w:tr w:rsidR="00E51556" w:rsidTr="003B4BCE">
        <w:tc>
          <w:tcPr>
            <w:tcW w:w="0" w:type="auto"/>
            <w:vMerge/>
            <w:tcBorders>
              <w:top w:val="single" w:sz="4" w:space="0" w:color="auto"/>
              <w:left w:val="single" w:sz="4" w:space="0" w:color="auto"/>
              <w:bottom w:val="single" w:sz="4" w:space="0" w:color="auto"/>
              <w:right w:val="single" w:sz="4" w:space="0" w:color="auto"/>
            </w:tcBorders>
            <w:vAlign w:val="center"/>
            <w:hideMark/>
          </w:tcPr>
          <w:p w:rsidR="00E51556" w:rsidRDefault="00E51556" w:rsidP="003B4BCE">
            <w:pPr>
              <w:rPr>
                <w:spacing w:val="-3"/>
              </w:rPr>
            </w:pPr>
          </w:p>
        </w:tc>
        <w:tc>
          <w:tcPr>
            <w:tcW w:w="3285" w:type="dxa"/>
            <w:tcBorders>
              <w:top w:val="single" w:sz="4" w:space="0" w:color="auto"/>
              <w:left w:val="single" w:sz="4" w:space="0" w:color="auto"/>
              <w:bottom w:val="single" w:sz="4" w:space="0" w:color="auto"/>
              <w:right w:val="single" w:sz="4" w:space="0" w:color="auto"/>
            </w:tcBorders>
            <w:hideMark/>
          </w:tcPr>
          <w:p w:rsidR="00E51556" w:rsidRDefault="00E51556" w:rsidP="003B4BCE">
            <w:pPr>
              <w:tabs>
                <w:tab w:val="left" w:pos="0"/>
                <w:tab w:val="left" w:pos="851"/>
              </w:tabs>
              <w:rPr>
                <w:spacing w:val="-3"/>
              </w:rPr>
            </w:pPr>
            <w:r>
              <w:rPr>
                <w:sz w:val="22"/>
                <w:szCs w:val="22"/>
              </w:rPr>
              <w:t>Ikke almindelig</w:t>
            </w:r>
            <w:r>
              <w:t xml:space="preserve"> (</w:t>
            </w:r>
            <w:r>
              <w:rPr>
                <w:rFonts w:ascii="Symbol" w:hAnsi="Symbol"/>
                <w:sz w:val="22"/>
                <w:szCs w:val="22"/>
              </w:rPr>
              <w:t></w:t>
            </w:r>
            <w:r>
              <w:rPr>
                <w:sz w:val="22"/>
                <w:szCs w:val="22"/>
              </w:rPr>
              <w:t xml:space="preserve">1/1.000 til </w:t>
            </w:r>
            <w:r>
              <w:rPr>
                <w:rFonts w:ascii="Symbol" w:hAnsi="Symbol"/>
                <w:sz w:val="22"/>
                <w:szCs w:val="22"/>
              </w:rPr>
              <w:t></w:t>
            </w:r>
            <w:r>
              <w:rPr>
                <w:sz w:val="22"/>
                <w:szCs w:val="22"/>
              </w:rPr>
              <w:t>1/100)</w:t>
            </w:r>
          </w:p>
        </w:tc>
        <w:tc>
          <w:tcPr>
            <w:tcW w:w="3285" w:type="dxa"/>
            <w:tcBorders>
              <w:top w:val="single" w:sz="4" w:space="0" w:color="auto"/>
              <w:left w:val="single" w:sz="4" w:space="0" w:color="auto"/>
              <w:bottom w:val="single" w:sz="4" w:space="0" w:color="auto"/>
              <w:right w:val="single" w:sz="4" w:space="0" w:color="auto"/>
            </w:tcBorders>
            <w:hideMark/>
          </w:tcPr>
          <w:p w:rsidR="00E51556" w:rsidRDefault="00E51556" w:rsidP="003B4BCE">
            <w:pPr>
              <w:tabs>
                <w:tab w:val="left" w:pos="0"/>
                <w:tab w:val="left" w:pos="851"/>
              </w:tabs>
              <w:rPr>
                <w:spacing w:val="-3"/>
              </w:rPr>
            </w:pPr>
            <w:r>
              <w:rPr>
                <w:spacing w:val="-3"/>
              </w:rPr>
              <w:t>Kontaktdermatit, hudgener, solskoldning, pruritus, dermal eksfoliering, akne</w:t>
            </w:r>
          </w:p>
        </w:tc>
      </w:tr>
      <w:tr w:rsidR="00E51556" w:rsidTr="003B4BCE">
        <w:tc>
          <w:tcPr>
            <w:tcW w:w="0" w:type="auto"/>
            <w:vMerge/>
            <w:tcBorders>
              <w:top w:val="single" w:sz="4" w:space="0" w:color="auto"/>
              <w:left w:val="single" w:sz="4" w:space="0" w:color="auto"/>
              <w:bottom w:val="single" w:sz="4" w:space="0" w:color="auto"/>
              <w:right w:val="single" w:sz="4" w:space="0" w:color="auto"/>
            </w:tcBorders>
            <w:vAlign w:val="center"/>
            <w:hideMark/>
          </w:tcPr>
          <w:p w:rsidR="00E51556" w:rsidRDefault="00E51556" w:rsidP="003B4BCE">
            <w:pPr>
              <w:rPr>
                <w:spacing w:val="-3"/>
              </w:rPr>
            </w:pPr>
          </w:p>
        </w:tc>
        <w:tc>
          <w:tcPr>
            <w:tcW w:w="3285" w:type="dxa"/>
            <w:tcBorders>
              <w:top w:val="single" w:sz="4" w:space="0" w:color="auto"/>
              <w:left w:val="single" w:sz="4" w:space="0" w:color="auto"/>
              <w:bottom w:val="single" w:sz="4" w:space="0" w:color="auto"/>
              <w:right w:val="single" w:sz="4" w:space="0" w:color="auto"/>
            </w:tcBorders>
            <w:hideMark/>
          </w:tcPr>
          <w:p w:rsidR="00E51556" w:rsidRDefault="00E51556" w:rsidP="003B4BCE">
            <w:pPr>
              <w:tabs>
                <w:tab w:val="left" w:pos="0"/>
                <w:tab w:val="left" w:pos="851"/>
              </w:tabs>
              <w:rPr>
                <w:spacing w:val="-3"/>
              </w:rPr>
            </w:pPr>
            <w:r>
              <w:rPr>
                <w:sz w:val="22"/>
                <w:szCs w:val="22"/>
              </w:rPr>
              <w:t>Ikke kendt*</w:t>
            </w:r>
          </w:p>
        </w:tc>
        <w:tc>
          <w:tcPr>
            <w:tcW w:w="3285" w:type="dxa"/>
            <w:tcBorders>
              <w:top w:val="single" w:sz="4" w:space="0" w:color="auto"/>
              <w:left w:val="single" w:sz="4" w:space="0" w:color="auto"/>
              <w:bottom w:val="single" w:sz="4" w:space="0" w:color="auto"/>
              <w:right w:val="single" w:sz="4" w:space="0" w:color="auto"/>
            </w:tcBorders>
            <w:hideMark/>
          </w:tcPr>
          <w:p w:rsidR="00E51556" w:rsidRDefault="00E51556" w:rsidP="003B4BCE">
            <w:pPr>
              <w:tabs>
                <w:tab w:val="left" w:pos="0"/>
                <w:tab w:val="left" w:pos="851"/>
              </w:tabs>
              <w:rPr>
                <w:spacing w:val="-3"/>
              </w:rPr>
            </w:pPr>
            <w:r>
              <w:rPr>
                <w:spacing w:val="-3"/>
              </w:rPr>
              <w:t>Allergisk kontaktdermatitis, smerte i huden, h</w:t>
            </w:r>
            <w:r>
              <w:t>ævelse i huden, øjenlågetirritation, øjenlåg erytem, øjenlågpruritus, hævelse i øjenlåget</w:t>
            </w:r>
            <w:r>
              <w:rPr>
                <w:spacing w:val="-3"/>
              </w:rPr>
              <w:t>, forbrænding på påføringsstedet**, hypo-pigmentering af hud, hyper-pigmentering af hud</w:t>
            </w:r>
          </w:p>
        </w:tc>
      </w:tr>
      <w:tr w:rsidR="00E51556" w:rsidTr="003B4BCE">
        <w:tc>
          <w:tcPr>
            <w:tcW w:w="2325" w:type="dxa"/>
            <w:tcBorders>
              <w:top w:val="single" w:sz="4" w:space="0" w:color="auto"/>
              <w:left w:val="single" w:sz="4" w:space="0" w:color="auto"/>
              <w:bottom w:val="single" w:sz="4" w:space="0" w:color="auto"/>
              <w:right w:val="single" w:sz="4" w:space="0" w:color="auto"/>
            </w:tcBorders>
            <w:hideMark/>
          </w:tcPr>
          <w:p w:rsidR="00E51556" w:rsidRDefault="00E51556" w:rsidP="003B4BCE">
            <w:pPr>
              <w:tabs>
                <w:tab w:val="left" w:pos="0"/>
                <w:tab w:val="left" w:pos="851"/>
              </w:tabs>
              <w:rPr>
                <w:noProof/>
                <w:lang w:val="de-DE"/>
              </w:rPr>
            </w:pPr>
            <w:r>
              <w:rPr>
                <w:noProof/>
                <w:lang w:val="de-DE"/>
              </w:rPr>
              <w:t>Immunsystemet</w:t>
            </w:r>
          </w:p>
        </w:tc>
        <w:tc>
          <w:tcPr>
            <w:tcW w:w="3285" w:type="dxa"/>
            <w:tcBorders>
              <w:top w:val="single" w:sz="4" w:space="0" w:color="auto"/>
              <w:left w:val="single" w:sz="4" w:space="0" w:color="auto"/>
              <w:bottom w:val="single" w:sz="4" w:space="0" w:color="auto"/>
              <w:right w:val="single" w:sz="4" w:space="0" w:color="auto"/>
            </w:tcBorders>
            <w:hideMark/>
          </w:tcPr>
          <w:p w:rsidR="00E51556" w:rsidRDefault="00E51556" w:rsidP="003B4BCE">
            <w:pPr>
              <w:tabs>
                <w:tab w:val="left" w:pos="0"/>
                <w:tab w:val="left" w:pos="851"/>
              </w:tabs>
              <w:rPr>
                <w:sz w:val="22"/>
                <w:szCs w:val="22"/>
              </w:rPr>
            </w:pPr>
            <w:r>
              <w:rPr>
                <w:sz w:val="22"/>
                <w:szCs w:val="22"/>
              </w:rPr>
              <w:t>Ikke kendt*</w:t>
            </w:r>
          </w:p>
        </w:tc>
        <w:tc>
          <w:tcPr>
            <w:tcW w:w="3285" w:type="dxa"/>
            <w:tcBorders>
              <w:top w:val="single" w:sz="4" w:space="0" w:color="auto"/>
              <w:left w:val="single" w:sz="4" w:space="0" w:color="auto"/>
              <w:bottom w:val="single" w:sz="4" w:space="0" w:color="auto"/>
              <w:right w:val="single" w:sz="4" w:space="0" w:color="auto"/>
            </w:tcBorders>
            <w:hideMark/>
          </w:tcPr>
          <w:p w:rsidR="00E51556" w:rsidRDefault="00E51556" w:rsidP="003B4BCE">
            <w:pPr>
              <w:tabs>
                <w:tab w:val="left" w:pos="0"/>
                <w:tab w:val="left" w:pos="851"/>
              </w:tabs>
              <w:rPr>
                <w:spacing w:val="-3"/>
              </w:rPr>
            </w:pPr>
            <w:r>
              <w:rPr>
                <w:spacing w:val="-3"/>
              </w:rPr>
              <w:t>Anafylaktisk reaktion, angio-ødem</w:t>
            </w:r>
          </w:p>
        </w:tc>
      </w:tr>
    </w:tbl>
    <w:p w:rsidR="00E51556" w:rsidRDefault="00E51556" w:rsidP="00E51556">
      <w:pPr>
        <w:tabs>
          <w:tab w:val="left" w:pos="0"/>
          <w:tab w:val="left" w:pos="851"/>
        </w:tabs>
        <w:jc w:val="both"/>
        <w:rPr>
          <w:spacing w:val="-3"/>
        </w:rPr>
      </w:pPr>
    </w:p>
    <w:p w:rsidR="00E51556" w:rsidRDefault="00E51556" w:rsidP="00E51556">
      <w:pPr>
        <w:tabs>
          <w:tab w:val="left" w:pos="0"/>
          <w:tab w:val="left" w:pos="851"/>
        </w:tabs>
        <w:jc w:val="both"/>
        <w:rPr>
          <w:sz w:val="22"/>
          <w:szCs w:val="22"/>
        </w:rPr>
      </w:pPr>
      <w:r>
        <w:rPr>
          <w:sz w:val="22"/>
          <w:szCs w:val="22"/>
        </w:rPr>
        <w:tab/>
        <w:t>* Kan ikke estimeres ud fra forhåndenværende data</w:t>
      </w:r>
    </w:p>
    <w:p w:rsidR="00E51556" w:rsidRDefault="00E51556" w:rsidP="00E51556">
      <w:pPr>
        <w:autoSpaceDE w:val="0"/>
        <w:autoSpaceDN w:val="0"/>
        <w:adjustRightInd w:val="0"/>
        <w:ind w:left="850"/>
        <w:rPr>
          <w:sz w:val="22"/>
          <w:szCs w:val="22"/>
        </w:rPr>
      </w:pPr>
      <w:r>
        <w:rPr>
          <w:noProof/>
          <w:sz w:val="22"/>
          <w:szCs w:val="22"/>
        </w:rPr>
        <w:t>** De fleste tilfælde af “forbrændinger på påføringsstedet” var overfladiske, men der er rapporteret tilfælde af andengradsforbrændinger.</w:t>
      </w:r>
    </w:p>
    <w:p w:rsidR="00E51556" w:rsidRDefault="00E51556" w:rsidP="00E51556">
      <w:pPr>
        <w:tabs>
          <w:tab w:val="left" w:pos="0"/>
          <w:tab w:val="left" w:pos="851"/>
        </w:tabs>
        <w:jc w:val="both"/>
        <w:rPr>
          <w:sz w:val="22"/>
          <w:szCs w:val="22"/>
        </w:rPr>
      </w:pPr>
      <w:r>
        <w:rPr>
          <w:sz w:val="22"/>
          <w:szCs w:val="22"/>
        </w:rPr>
        <w:tab/>
      </w:r>
    </w:p>
    <w:p w:rsidR="00E51556" w:rsidRDefault="00E51556" w:rsidP="00E51556">
      <w:pPr>
        <w:autoSpaceDE w:val="0"/>
        <w:autoSpaceDN w:val="0"/>
        <w:adjustRightInd w:val="0"/>
        <w:ind w:firstLine="850"/>
        <w:rPr>
          <w:szCs w:val="22"/>
          <w:u w:val="single"/>
        </w:rPr>
      </w:pPr>
      <w:r>
        <w:rPr>
          <w:noProof/>
          <w:szCs w:val="22"/>
          <w:u w:val="single"/>
        </w:rPr>
        <w:t>Indberetning af formodede bivirkninger</w:t>
      </w:r>
    </w:p>
    <w:p w:rsidR="00E51556" w:rsidRDefault="00E51556" w:rsidP="00E51556">
      <w:pPr>
        <w:autoSpaceDE w:val="0"/>
        <w:autoSpaceDN w:val="0"/>
        <w:adjustRightInd w:val="0"/>
        <w:ind w:left="850"/>
        <w:rPr>
          <w:noProof/>
          <w:szCs w:val="22"/>
        </w:rPr>
      </w:pPr>
      <w:r>
        <w:rPr>
          <w:noProof/>
          <w:szCs w:val="22"/>
        </w:rPr>
        <w:t>Når lægemidlet er godkendt, er indberetning af formodede bivirkninger vigtig.</w:t>
      </w:r>
      <w:r>
        <w:rPr>
          <w:szCs w:val="22"/>
        </w:rPr>
        <w:t xml:space="preserve"> </w:t>
      </w:r>
      <w:r>
        <w:rPr>
          <w:noProof/>
          <w:szCs w:val="22"/>
        </w:rPr>
        <w:t>Det muliggør løbende overvågning af benefit/risk-forholdet for lægemidlet.</w:t>
      </w:r>
      <w:r>
        <w:rPr>
          <w:szCs w:val="22"/>
        </w:rPr>
        <w:t xml:space="preserve"> </w:t>
      </w:r>
      <w:r>
        <w:rPr>
          <w:noProof/>
          <w:szCs w:val="22"/>
        </w:rPr>
        <w:t>Læger og sundhedspersonale anmodes om at indberette alle formodede bivirkninger via:</w:t>
      </w:r>
    </w:p>
    <w:p w:rsidR="00E51556" w:rsidRDefault="00E51556" w:rsidP="00E51556">
      <w:pPr>
        <w:ind w:left="851"/>
        <w:jc w:val="both"/>
        <w:rPr>
          <w:szCs w:val="24"/>
        </w:rPr>
      </w:pPr>
    </w:p>
    <w:p w:rsidR="00E51556" w:rsidRDefault="00E51556" w:rsidP="00E51556">
      <w:pPr>
        <w:ind w:left="851"/>
        <w:jc w:val="both"/>
        <w:rPr>
          <w:szCs w:val="24"/>
        </w:rPr>
      </w:pPr>
      <w:r>
        <w:rPr>
          <w:szCs w:val="24"/>
        </w:rPr>
        <w:t>Lægemiddelstyrelsen</w:t>
      </w:r>
    </w:p>
    <w:p w:rsidR="00E51556" w:rsidRDefault="00E51556" w:rsidP="00E51556">
      <w:pPr>
        <w:ind w:left="851"/>
        <w:jc w:val="both"/>
        <w:rPr>
          <w:szCs w:val="24"/>
        </w:rPr>
      </w:pPr>
      <w:r>
        <w:rPr>
          <w:szCs w:val="24"/>
        </w:rPr>
        <w:t>Axel Heides Gade 1</w:t>
      </w:r>
    </w:p>
    <w:p w:rsidR="00E51556" w:rsidRDefault="00E51556" w:rsidP="00E51556">
      <w:pPr>
        <w:ind w:left="851"/>
        <w:jc w:val="both"/>
        <w:rPr>
          <w:szCs w:val="24"/>
        </w:rPr>
      </w:pPr>
      <w:r>
        <w:rPr>
          <w:szCs w:val="24"/>
        </w:rPr>
        <w:t>DK-2300 København S</w:t>
      </w:r>
    </w:p>
    <w:p w:rsidR="00E51556" w:rsidRDefault="00E51556" w:rsidP="00E51556">
      <w:pPr>
        <w:keepNext/>
        <w:ind w:left="851"/>
        <w:jc w:val="both"/>
        <w:rPr>
          <w:szCs w:val="24"/>
          <w:lang w:val="en-US"/>
        </w:rPr>
      </w:pPr>
      <w:r>
        <w:rPr>
          <w:szCs w:val="24"/>
          <w:lang w:val="en-US"/>
        </w:rPr>
        <w:t xml:space="preserve">Websted: </w:t>
      </w:r>
      <w:hyperlink r:id="rId8" w:history="1">
        <w:r>
          <w:rPr>
            <w:rStyle w:val="Hyperlink"/>
            <w:szCs w:val="24"/>
            <w:lang w:val="en-US"/>
          </w:rPr>
          <w:t>www.meldenbivirkning.dk</w:t>
        </w:r>
      </w:hyperlink>
    </w:p>
    <w:p w:rsidR="00E51556" w:rsidRPr="008E4B5E" w:rsidRDefault="00E51556" w:rsidP="00E51556">
      <w:pPr>
        <w:tabs>
          <w:tab w:val="left" w:pos="0"/>
          <w:tab w:val="left" w:pos="851"/>
        </w:tabs>
        <w:ind w:left="850" w:hanging="850"/>
        <w:jc w:val="both"/>
        <w:rPr>
          <w:spacing w:val="-3"/>
          <w:lang w:val="en-US"/>
        </w:rPr>
      </w:pPr>
    </w:p>
    <w:p w:rsidR="00E51556" w:rsidRDefault="00E51556" w:rsidP="00E51556">
      <w:pPr>
        <w:tabs>
          <w:tab w:val="left" w:pos="0"/>
          <w:tab w:val="left" w:pos="851"/>
        </w:tabs>
        <w:ind w:left="850" w:hanging="850"/>
        <w:jc w:val="both"/>
        <w:rPr>
          <w:spacing w:val="-3"/>
        </w:rPr>
      </w:pPr>
      <w:r w:rsidRPr="00DC2D03">
        <w:rPr>
          <w:b/>
          <w:spacing w:val="-3"/>
        </w:rPr>
        <w:t>4.9</w:t>
      </w:r>
      <w:r>
        <w:rPr>
          <w:spacing w:val="-3"/>
        </w:rPr>
        <w:tab/>
      </w:r>
      <w:r>
        <w:rPr>
          <w:b/>
          <w:spacing w:val="-3"/>
        </w:rPr>
        <w:t>Overdosering</w:t>
      </w:r>
    </w:p>
    <w:p w:rsidR="00E51556" w:rsidRDefault="00BA2887" w:rsidP="00E51556">
      <w:pPr>
        <w:ind w:left="850" w:firstLine="1"/>
      </w:pPr>
      <w:r>
        <w:t>Adapalen ”2care4”</w:t>
      </w:r>
      <w:r w:rsidR="00E51556" w:rsidRPr="00623FDF">
        <w:t xml:space="preserve"> </w:t>
      </w:r>
      <w:r w:rsidR="00E51556">
        <w:t>præparater</w:t>
      </w:r>
      <w:r w:rsidR="00E51556" w:rsidRPr="00623FDF">
        <w:t xml:space="preserve"> er ikke </w:t>
      </w:r>
      <w:r w:rsidR="00E51556">
        <w:t>til oral anvendelse men</w:t>
      </w:r>
      <w:r w:rsidR="00E51556" w:rsidRPr="00623FDF">
        <w:t xml:space="preserve"> kun til kutan anvendelse</w:t>
      </w:r>
      <w:r w:rsidR="00E51556">
        <w:t>.</w:t>
      </w:r>
      <w:r w:rsidR="00E51556" w:rsidRPr="00623FDF">
        <w:t xml:space="preserve"> </w:t>
      </w:r>
      <w:r w:rsidR="00E51556" w:rsidRPr="00C628E7">
        <w:t>Overdreven brug af præparatet vil ikke resultere i hurtigere eller bedre resultater, i stedet kan der forekomme udtalt rødme, afskalning eller ubehag.</w:t>
      </w:r>
    </w:p>
    <w:p w:rsidR="00E51556" w:rsidRPr="00EB690D" w:rsidRDefault="00E51556" w:rsidP="00E51556">
      <w:pPr>
        <w:ind w:left="850" w:firstLine="1"/>
      </w:pPr>
      <w:r>
        <w:t>De</w:t>
      </w:r>
      <w:r w:rsidRPr="00973122">
        <w:t xml:space="preserve">n akutte orale dosis af </w:t>
      </w:r>
      <w:r w:rsidR="00BA2887">
        <w:t>Adapalen ”2care4”</w:t>
      </w:r>
      <w:r w:rsidRPr="00973122">
        <w:t xml:space="preserve"> </w:t>
      </w:r>
      <w:r>
        <w:t>præparater</w:t>
      </w:r>
      <w:r w:rsidRPr="00973122">
        <w:t>, der kræves for at producere toksiske effekter hos mus og rotter er større end 10 g / kg. Ikke desto mindre, medmindre beløbet ved et uheld indtages er lille, bør en passende metode til ventrikeltømning overvejes.</w:t>
      </w:r>
    </w:p>
    <w:p w:rsidR="00E51556" w:rsidRDefault="00E51556" w:rsidP="00E51556">
      <w:pPr>
        <w:tabs>
          <w:tab w:val="left" w:pos="0"/>
          <w:tab w:val="left" w:pos="851"/>
        </w:tabs>
        <w:rPr>
          <w:spacing w:val="-3"/>
        </w:rPr>
      </w:pPr>
    </w:p>
    <w:p w:rsidR="00E51556" w:rsidRDefault="00E51556" w:rsidP="00E51556">
      <w:pPr>
        <w:tabs>
          <w:tab w:val="left" w:pos="0"/>
          <w:tab w:val="left" w:pos="851"/>
        </w:tabs>
        <w:ind w:left="850" w:hanging="850"/>
        <w:jc w:val="both"/>
        <w:rPr>
          <w:spacing w:val="-3"/>
        </w:rPr>
      </w:pPr>
      <w:r w:rsidRPr="00DC2D03">
        <w:rPr>
          <w:b/>
          <w:spacing w:val="-3"/>
        </w:rPr>
        <w:t>4.10</w:t>
      </w:r>
      <w:r>
        <w:rPr>
          <w:spacing w:val="-3"/>
        </w:rPr>
        <w:tab/>
      </w:r>
      <w:r>
        <w:rPr>
          <w:b/>
          <w:spacing w:val="-3"/>
        </w:rPr>
        <w:t>Udlevering</w:t>
      </w:r>
    </w:p>
    <w:p w:rsidR="00E51556" w:rsidRDefault="00E51556" w:rsidP="00E51556">
      <w:pPr>
        <w:tabs>
          <w:tab w:val="left" w:pos="0"/>
          <w:tab w:val="left" w:pos="851"/>
        </w:tabs>
        <w:ind w:left="850" w:hanging="850"/>
        <w:jc w:val="both"/>
        <w:rPr>
          <w:spacing w:val="-3"/>
        </w:rPr>
      </w:pPr>
      <w:r>
        <w:rPr>
          <w:spacing w:val="-3"/>
        </w:rPr>
        <w:tab/>
        <w:t>B.</w:t>
      </w:r>
    </w:p>
    <w:p w:rsidR="00E51556" w:rsidRDefault="00E51556" w:rsidP="00E51556">
      <w:pPr>
        <w:tabs>
          <w:tab w:val="left" w:pos="0"/>
          <w:tab w:val="left" w:pos="851"/>
        </w:tabs>
        <w:jc w:val="both"/>
        <w:rPr>
          <w:spacing w:val="-3"/>
        </w:rPr>
      </w:pPr>
    </w:p>
    <w:p w:rsidR="00E51556" w:rsidRDefault="00E51556" w:rsidP="00E51556">
      <w:pPr>
        <w:tabs>
          <w:tab w:val="left" w:pos="0"/>
          <w:tab w:val="left" w:pos="851"/>
        </w:tabs>
        <w:ind w:left="850" w:hanging="850"/>
        <w:jc w:val="both"/>
        <w:rPr>
          <w:b/>
          <w:spacing w:val="-3"/>
        </w:rPr>
      </w:pPr>
    </w:p>
    <w:p w:rsidR="00E51556" w:rsidRDefault="00E51556" w:rsidP="00E51556">
      <w:pPr>
        <w:tabs>
          <w:tab w:val="left" w:pos="0"/>
          <w:tab w:val="left" w:pos="851"/>
        </w:tabs>
        <w:ind w:left="850" w:hanging="850"/>
        <w:jc w:val="both"/>
        <w:rPr>
          <w:b/>
          <w:spacing w:val="-3"/>
        </w:rPr>
      </w:pPr>
      <w:r>
        <w:rPr>
          <w:b/>
          <w:spacing w:val="-3"/>
        </w:rPr>
        <w:t xml:space="preserve">5. </w:t>
      </w:r>
      <w:r>
        <w:rPr>
          <w:b/>
          <w:spacing w:val="-3"/>
        </w:rPr>
        <w:tab/>
        <w:t>FARMAKOLOGISKE EGENSKABER</w:t>
      </w:r>
    </w:p>
    <w:p w:rsidR="00E51556" w:rsidRDefault="00E51556" w:rsidP="00E51556">
      <w:pPr>
        <w:tabs>
          <w:tab w:val="left" w:pos="0"/>
          <w:tab w:val="left" w:pos="851"/>
        </w:tabs>
        <w:jc w:val="both"/>
        <w:rPr>
          <w:b/>
          <w:spacing w:val="-3"/>
        </w:rPr>
      </w:pPr>
    </w:p>
    <w:p w:rsidR="00E51556" w:rsidRDefault="00E51556" w:rsidP="00E51556">
      <w:pPr>
        <w:tabs>
          <w:tab w:val="left" w:pos="0"/>
          <w:tab w:val="left" w:pos="851"/>
        </w:tabs>
        <w:jc w:val="both"/>
        <w:rPr>
          <w:b/>
          <w:spacing w:val="-3"/>
        </w:rPr>
      </w:pPr>
      <w:r>
        <w:rPr>
          <w:b/>
          <w:spacing w:val="-3"/>
        </w:rPr>
        <w:t>5.0</w:t>
      </w:r>
      <w:r>
        <w:rPr>
          <w:b/>
          <w:spacing w:val="-3"/>
        </w:rPr>
        <w:tab/>
        <w:t>Terapeutisk klassifikation</w:t>
      </w:r>
    </w:p>
    <w:p w:rsidR="00E51556" w:rsidRDefault="00E51556" w:rsidP="00E51556">
      <w:pPr>
        <w:tabs>
          <w:tab w:val="left" w:pos="0"/>
          <w:tab w:val="left" w:pos="851"/>
        </w:tabs>
        <w:jc w:val="both"/>
        <w:rPr>
          <w:spacing w:val="-3"/>
        </w:rPr>
      </w:pPr>
      <w:r>
        <w:rPr>
          <w:b/>
          <w:spacing w:val="-3"/>
        </w:rPr>
        <w:tab/>
      </w:r>
      <w:r>
        <w:rPr>
          <w:spacing w:val="-3"/>
        </w:rPr>
        <w:t>ATC-kode: D 10 AD 03. Retinoider til udvortes brug mod akne.</w:t>
      </w:r>
    </w:p>
    <w:p w:rsidR="00E51556" w:rsidRDefault="00E51556" w:rsidP="00E51556">
      <w:pPr>
        <w:tabs>
          <w:tab w:val="left" w:pos="0"/>
          <w:tab w:val="left" w:pos="851"/>
        </w:tabs>
        <w:ind w:left="850" w:hanging="850"/>
        <w:jc w:val="both"/>
        <w:rPr>
          <w:b/>
          <w:spacing w:val="-3"/>
        </w:rPr>
      </w:pPr>
    </w:p>
    <w:p w:rsidR="00E51556" w:rsidRDefault="00E51556" w:rsidP="00E51556">
      <w:pPr>
        <w:tabs>
          <w:tab w:val="left" w:pos="0"/>
          <w:tab w:val="left" w:pos="851"/>
        </w:tabs>
        <w:ind w:left="850" w:hanging="850"/>
        <w:jc w:val="both"/>
        <w:rPr>
          <w:spacing w:val="-3"/>
        </w:rPr>
      </w:pPr>
      <w:r w:rsidRPr="00DC2D03">
        <w:rPr>
          <w:b/>
          <w:spacing w:val="-3"/>
        </w:rPr>
        <w:t>5.</w:t>
      </w:r>
      <w:r>
        <w:rPr>
          <w:b/>
          <w:spacing w:val="-3"/>
        </w:rPr>
        <w:t>1</w:t>
      </w:r>
      <w:r>
        <w:rPr>
          <w:spacing w:val="-3"/>
        </w:rPr>
        <w:tab/>
      </w:r>
      <w:r w:rsidRPr="00922627">
        <w:rPr>
          <w:b/>
          <w:spacing w:val="-3"/>
        </w:rPr>
        <w:t>Farmakodynamiske egenskaber</w:t>
      </w:r>
    </w:p>
    <w:p w:rsidR="00E51556" w:rsidRDefault="00E51556" w:rsidP="00E51556">
      <w:pPr>
        <w:tabs>
          <w:tab w:val="left" w:pos="0"/>
          <w:tab w:val="left" w:pos="851"/>
        </w:tabs>
        <w:ind w:left="850" w:hanging="850"/>
        <w:rPr>
          <w:spacing w:val="-3"/>
        </w:rPr>
      </w:pPr>
      <w:r>
        <w:rPr>
          <w:spacing w:val="-3"/>
        </w:rPr>
        <w:tab/>
      </w:r>
      <w:r>
        <w:rPr>
          <w:spacing w:val="-3"/>
        </w:rPr>
        <w:tab/>
        <w:t xml:space="preserve">Adapalen er et retinoid-lignende stof med antiinflammatoriske egenskaber. </w:t>
      </w:r>
    </w:p>
    <w:p w:rsidR="00E51556" w:rsidRDefault="00E51556" w:rsidP="00E51556">
      <w:pPr>
        <w:tabs>
          <w:tab w:val="left" w:pos="0"/>
          <w:tab w:val="left" w:pos="851"/>
        </w:tabs>
        <w:ind w:left="850" w:hanging="850"/>
        <w:rPr>
          <w:spacing w:val="-3"/>
        </w:rPr>
      </w:pPr>
      <w:r>
        <w:rPr>
          <w:spacing w:val="-3"/>
        </w:rPr>
        <w:tab/>
        <w:t>Adapalen er stabilt over for ilt og lys og er kemisk ikke-reaktivt.</w:t>
      </w:r>
    </w:p>
    <w:p w:rsidR="00E51556" w:rsidRDefault="00E51556" w:rsidP="00E51556">
      <w:pPr>
        <w:tabs>
          <w:tab w:val="left" w:pos="0"/>
          <w:tab w:val="left" w:pos="851"/>
        </w:tabs>
        <w:ind w:left="850" w:hanging="850"/>
        <w:rPr>
          <w:spacing w:val="-3"/>
        </w:rPr>
      </w:pPr>
      <w:r>
        <w:rPr>
          <w:spacing w:val="-3"/>
        </w:rPr>
        <w:tab/>
        <w:t>Adapalen binder sig til specifikke retinoid syre nukleære receptorer, men ikke til cytosol receptor bindingsproteiner.</w:t>
      </w:r>
    </w:p>
    <w:p w:rsidR="00E51556" w:rsidRDefault="00E51556" w:rsidP="00E51556">
      <w:pPr>
        <w:tabs>
          <w:tab w:val="left" w:pos="0"/>
          <w:tab w:val="left" w:pos="851"/>
        </w:tabs>
        <w:ind w:left="850" w:hanging="850"/>
        <w:rPr>
          <w:spacing w:val="-3"/>
        </w:rPr>
      </w:pPr>
      <w:r>
        <w:rPr>
          <w:spacing w:val="-3"/>
        </w:rPr>
        <w:tab/>
        <w:t xml:space="preserve">Adapalen givet kutant er komedolytisk i rhino-musemodeller. </w:t>
      </w:r>
    </w:p>
    <w:p w:rsidR="00E51556" w:rsidRDefault="00E51556" w:rsidP="00E51556">
      <w:pPr>
        <w:tabs>
          <w:tab w:val="left" w:pos="0"/>
          <w:tab w:val="left" w:pos="851"/>
        </w:tabs>
        <w:ind w:left="850" w:hanging="850"/>
        <w:rPr>
          <w:spacing w:val="-3"/>
        </w:rPr>
      </w:pPr>
      <w:r>
        <w:rPr>
          <w:spacing w:val="-3"/>
        </w:rPr>
        <w:tab/>
        <w:t>Adapalens virkningsmåde antages at være en mormalisering af differentieringen af follikulære epitelceller resulterende i en nedsat mikrokomedon dannelse.</w:t>
      </w:r>
    </w:p>
    <w:p w:rsidR="00E51556" w:rsidRDefault="00E51556" w:rsidP="00E51556">
      <w:pPr>
        <w:tabs>
          <w:tab w:val="left" w:pos="0"/>
          <w:tab w:val="left" w:pos="851"/>
        </w:tabs>
        <w:ind w:left="850" w:hanging="850"/>
        <w:rPr>
          <w:spacing w:val="-3"/>
        </w:rPr>
      </w:pPr>
      <w:r>
        <w:rPr>
          <w:spacing w:val="-3"/>
        </w:rPr>
        <w:tab/>
        <w:t>Adapalen har antiinflammatoriske egenskaber in vivo og in vitro.</w:t>
      </w:r>
    </w:p>
    <w:p w:rsidR="00E51556" w:rsidRDefault="00E51556" w:rsidP="00E51556">
      <w:pPr>
        <w:tabs>
          <w:tab w:val="left" w:pos="0"/>
          <w:tab w:val="left" w:pos="851"/>
        </w:tabs>
        <w:ind w:left="850" w:hanging="850"/>
        <w:rPr>
          <w:spacing w:val="-3"/>
        </w:rPr>
      </w:pPr>
      <w:r>
        <w:rPr>
          <w:spacing w:val="-3"/>
        </w:rPr>
        <w:tab/>
        <w:t>Adapalen hæmmer polymorfkernede leukocytters kemotaktiske og kemokinetiske respons og ligeledes oxidationsmetabolismen af arachidonsyre til proinflammatori</w:t>
      </w:r>
      <w:r>
        <w:rPr>
          <w:spacing w:val="-3"/>
        </w:rPr>
        <w:softHyphen/>
        <w:t>ske mediatorer.</w:t>
      </w:r>
    </w:p>
    <w:p w:rsidR="00E51556" w:rsidRDefault="00E51556" w:rsidP="00E51556">
      <w:pPr>
        <w:tabs>
          <w:tab w:val="left" w:pos="0"/>
          <w:tab w:val="left" w:pos="851"/>
        </w:tabs>
        <w:rPr>
          <w:spacing w:val="-3"/>
        </w:rPr>
      </w:pPr>
    </w:p>
    <w:p w:rsidR="00E51556" w:rsidRDefault="00E51556" w:rsidP="00E51556">
      <w:pPr>
        <w:keepNext/>
        <w:tabs>
          <w:tab w:val="left" w:pos="0"/>
          <w:tab w:val="left" w:pos="851"/>
        </w:tabs>
        <w:ind w:left="851" w:hanging="851"/>
        <w:rPr>
          <w:spacing w:val="-3"/>
        </w:rPr>
      </w:pPr>
      <w:r w:rsidRPr="00DC2D03">
        <w:rPr>
          <w:b/>
          <w:spacing w:val="-3"/>
        </w:rPr>
        <w:t>5.2</w:t>
      </w:r>
      <w:r>
        <w:rPr>
          <w:spacing w:val="-3"/>
        </w:rPr>
        <w:tab/>
      </w:r>
      <w:r>
        <w:rPr>
          <w:b/>
          <w:spacing w:val="-3"/>
        </w:rPr>
        <w:t>Farmakokinetiske egenskaber</w:t>
      </w:r>
    </w:p>
    <w:p w:rsidR="00E51556" w:rsidRDefault="00E51556" w:rsidP="00E51556">
      <w:pPr>
        <w:pStyle w:val="Brdtekstindrykning"/>
        <w:jc w:val="left"/>
      </w:pPr>
      <w:r>
        <w:tab/>
        <w:t>Absorptionen af adapalen gennem human hud er lav; i kliniske afprøvninger kunne målelige plasma adapalen niveauer ikke findes efter kronisk applikation på huden med en analytisk følsomhed på 0.15 ng/ml.</w:t>
      </w:r>
    </w:p>
    <w:p w:rsidR="00E51556" w:rsidRDefault="00E51556" w:rsidP="00E51556">
      <w:pPr>
        <w:tabs>
          <w:tab w:val="left" w:pos="0"/>
          <w:tab w:val="left" w:pos="851"/>
        </w:tabs>
        <w:rPr>
          <w:spacing w:val="-3"/>
        </w:rPr>
      </w:pPr>
    </w:p>
    <w:p w:rsidR="00E51556" w:rsidRDefault="00E51556" w:rsidP="00E51556">
      <w:pPr>
        <w:tabs>
          <w:tab w:val="left" w:pos="0"/>
          <w:tab w:val="left" w:pos="851"/>
        </w:tabs>
        <w:ind w:left="850" w:hanging="850"/>
        <w:rPr>
          <w:spacing w:val="-3"/>
        </w:rPr>
      </w:pPr>
      <w:r>
        <w:rPr>
          <w:spacing w:val="-3"/>
        </w:rPr>
        <w:tab/>
        <w:t>Efter indgift af 14C-adapalene hos rotter (i.v., i.p., p.o. og kutant), kaniner (i.v., p.o. og kutant) og hunde (i.v. og p.o.) var radioaktiviteten fordelt over adskillige væv. De højeste niveauer fandtes i lever, milt, binyrer og ovarier.</w:t>
      </w:r>
    </w:p>
    <w:p w:rsidR="00E51556" w:rsidRDefault="00E51556" w:rsidP="00E51556">
      <w:pPr>
        <w:tabs>
          <w:tab w:val="left" w:pos="0"/>
          <w:tab w:val="left" w:pos="851"/>
        </w:tabs>
        <w:ind w:left="850" w:hanging="850"/>
        <w:rPr>
          <w:spacing w:val="-3"/>
        </w:rPr>
      </w:pPr>
      <w:r>
        <w:rPr>
          <w:spacing w:val="-3"/>
        </w:rPr>
        <w:tab/>
        <w:t>Metaboliseringen hos dyr er hovedsagelig ved O-demetylering, hydroxylering og konjugering, og udskillelsen foregår primært biliært.</w:t>
      </w:r>
    </w:p>
    <w:p w:rsidR="00E51556" w:rsidRDefault="00E51556" w:rsidP="00E51556">
      <w:pPr>
        <w:tabs>
          <w:tab w:val="left" w:pos="0"/>
          <w:tab w:val="left" w:pos="851"/>
        </w:tabs>
        <w:rPr>
          <w:spacing w:val="-3"/>
        </w:rPr>
      </w:pPr>
    </w:p>
    <w:p w:rsidR="00E51556" w:rsidRDefault="00E51556" w:rsidP="00E51556">
      <w:pPr>
        <w:tabs>
          <w:tab w:val="left" w:pos="0"/>
          <w:tab w:val="left" w:pos="851"/>
        </w:tabs>
        <w:ind w:left="850" w:hanging="850"/>
        <w:rPr>
          <w:spacing w:val="-3"/>
        </w:rPr>
      </w:pPr>
      <w:r w:rsidRPr="00DC2D03">
        <w:rPr>
          <w:b/>
          <w:spacing w:val="-3"/>
        </w:rPr>
        <w:t>5.3</w:t>
      </w:r>
      <w:r>
        <w:rPr>
          <w:spacing w:val="-3"/>
        </w:rPr>
        <w:tab/>
      </w:r>
      <w:r w:rsidRPr="009A6E53">
        <w:rPr>
          <w:b/>
          <w:spacing w:val="-3"/>
        </w:rPr>
        <w:t>P</w:t>
      </w:r>
      <w:r>
        <w:rPr>
          <w:b/>
          <w:spacing w:val="-3"/>
        </w:rPr>
        <w:t>rækliniske sikkerhedsdata</w:t>
      </w:r>
    </w:p>
    <w:p w:rsidR="00E51556" w:rsidRDefault="00E51556" w:rsidP="00E51556">
      <w:pPr>
        <w:tabs>
          <w:tab w:val="left" w:pos="0"/>
          <w:tab w:val="left" w:pos="851"/>
        </w:tabs>
        <w:ind w:left="850" w:hanging="850"/>
        <w:rPr>
          <w:spacing w:val="-3"/>
        </w:rPr>
      </w:pPr>
      <w:r>
        <w:rPr>
          <w:spacing w:val="-3"/>
        </w:rPr>
        <w:tab/>
        <w:t>I dyreforsøg blev adapalen vel tolereret ved kutan applikation i perioder på op til 6 måneder hos kaniner og på op til 2 år hos mus. Hovedsymptomerne på forgiftning set i alle dyrearter ved peroral dosering var relaterede til et hypervitaminosis A syndrom.</w:t>
      </w:r>
    </w:p>
    <w:p w:rsidR="00E51556" w:rsidRDefault="00E51556" w:rsidP="00E51556">
      <w:pPr>
        <w:tabs>
          <w:tab w:val="left" w:pos="0"/>
          <w:tab w:val="left" w:pos="851"/>
        </w:tabs>
        <w:ind w:left="850" w:hanging="850"/>
        <w:rPr>
          <w:spacing w:val="-3"/>
        </w:rPr>
      </w:pPr>
      <w:r>
        <w:rPr>
          <w:spacing w:val="-3"/>
        </w:rPr>
        <w:tab/>
        <w:t>Adapalen er ikke mutagent. Adapalen er ikke carcinogent hos mus lokalt behandlet med 0,6, 2 og 6 mg/kg/dag og hos rotter behandlet med 0,15, 0,5 og 1,5 mg/kg/dag peroralt. Givet i højere doser er adapalen teratogent hos rotter og kaniner.</w:t>
      </w:r>
    </w:p>
    <w:p w:rsidR="00E51556" w:rsidRDefault="00E51556" w:rsidP="00E51556">
      <w:pPr>
        <w:tabs>
          <w:tab w:val="left" w:pos="0"/>
          <w:tab w:val="left" w:pos="851"/>
        </w:tabs>
        <w:jc w:val="both"/>
        <w:rPr>
          <w:spacing w:val="-3"/>
        </w:rPr>
      </w:pPr>
    </w:p>
    <w:p w:rsidR="00E51556" w:rsidRDefault="00E51556" w:rsidP="00E51556">
      <w:pPr>
        <w:tabs>
          <w:tab w:val="left" w:pos="0"/>
          <w:tab w:val="left" w:pos="851"/>
        </w:tabs>
        <w:ind w:left="850" w:hanging="850"/>
        <w:jc w:val="both"/>
        <w:rPr>
          <w:b/>
          <w:spacing w:val="-3"/>
        </w:rPr>
      </w:pPr>
    </w:p>
    <w:p w:rsidR="00E51556" w:rsidRDefault="00E51556" w:rsidP="00E51556">
      <w:pPr>
        <w:tabs>
          <w:tab w:val="left" w:pos="0"/>
          <w:tab w:val="left" w:pos="851"/>
        </w:tabs>
        <w:ind w:left="850" w:hanging="850"/>
        <w:jc w:val="both"/>
        <w:rPr>
          <w:spacing w:val="-3"/>
        </w:rPr>
      </w:pPr>
      <w:r>
        <w:rPr>
          <w:b/>
          <w:spacing w:val="-3"/>
        </w:rPr>
        <w:t>6.</w:t>
      </w:r>
      <w:r>
        <w:rPr>
          <w:b/>
          <w:spacing w:val="-3"/>
        </w:rPr>
        <w:tab/>
        <w:t>FARMACEUTISKE OPLYSNINGER</w:t>
      </w:r>
    </w:p>
    <w:p w:rsidR="00E51556" w:rsidRDefault="00E51556" w:rsidP="00E51556">
      <w:pPr>
        <w:tabs>
          <w:tab w:val="left" w:pos="0"/>
          <w:tab w:val="left" w:pos="851"/>
        </w:tabs>
        <w:jc w:val="both"/>
        <w:rPr>
          <w:spacing w:val="-3"/>
        </w:rPr>
      </w:pPr>
    </w:p>
    <w:p w:rsidR="00E51556" w:rsidRDefault="00E51556" w:rsidP="00E51556">
      <w:pPr>
        <w:tabs>
          <w:tab w:val="left" w:pos="0"/>
          <w:tab w:val="left" w:pos="851"/>
        </w:tabs>
        <w:ind w:left="850" w:hanging="850"/>
        <w:jc w:val="both"/>
        <w:rPr>
          <w:spacing w:val="-3"/>
        </w:rPr>
      </w:pPr>
      <w:r w:rsidRPr="00DC2D03">
        <w:rPr>
          <w:b/>
          <w:spacing w:val="-3"/>
        </w:rPr>
        <w:t>6.1</w:t>
      </w:r>
      <w:r>
        <w:rPr>
          <w:spacing w:val="-3"/>
        </w:rPr>
        <w:tab/>
      </w:r>
      <w:r>
        <w:rPr>
          <w:b/>
          <w:spacing w:val="-3"/>
        </w:rPr>
        <w:t>Hjælpestoffer</w:t>
      </w:r>
    </w:p>
    <w:p w:rsidR="00E51556" w:rsidRDefault="00E51556" w:rsidP="00E51556">
      <w:pPr>
        <w:pStyle w:val="Brdtekstindrykning"/>
        <w:jc w:val="left"/>
      </w:pPr>
      <w:r>
        <w:tab/>
        <w:t>Cyklometikon; squalan; methylglukose sesquistearat; PEG-20 methylglukose sesquistearat; glycerol; phenoxyethanol; carbomer; methylparahydroxybenzoat (E218); dinatriumedetat; propylparahydroxybenzoat (E216); natriumhydroxid; vand, renset.</w:t>
      </w:r>
    </w:p>
    <w:p w:rsidR="00E51556" w:rsidRDefault="00E51556" w:rsidP="00E51556">
      <w:pPr>
        <w:tabs>
          <w:tab w:val="left" w:pos="0"/>
          <w:tab w:val="left" w:pos="851"/>
        </w:tabs>
        <w:jc w:val="both"/>
        <w:rPr>
          <w:spacing w:val="-3"/>
        </w:rPr>
      </w:pPr>
    </w:p>
    <w:p w:rsidR="00E51556" w:rsidRDefault="00E51556" w:rsidP="00E51556">
      <w:pPr>
        <w:tabs>
          <w:tab w:val="left" w:pos="0"/>
          <w:tab w:val="left" w:pos="851"/>
        </w:tabs>
        <w:ind w:left="850" w:hanging="850"/>
        <w:jc w:val="both"/>
        <w:rPr>
          <w:spacing w:val="-3"/>
        </w:rPr>
      </w:pPr>
      <w:r w:rsidRPr="00DC2D03">
        <w:rPr>
          <w:b/>
          <w:spacing w:val="-3"/>
        </w:rPr>
        <w:t>6.2</w:t>
      </w:r>
      <w:r>
        <w:rPr>
          <w:spacing w:val="-3"/>
        </w:rPr>
        <w:tab/>
      </w:r>
      <w:r>
        <w:rPr>
          <w:b/>
          <w:spacing w:val="-3"/>
        </w:rPr>
        <w:t>Uforligeligheder</w:t>
      </w:r>
    </w:p>
    <w:p w:rsidR="00E51556" w:rsidRDefault="00E51556" w:rsidP="00E51556">
      <w:pPr>
        <w:pStyle w:val="Brdtekstindrykning"/>
      </w:pPr>
      <w:r>
        <w:tab/>
        <w:t>Ikke relevant.</w:t>
      </w:r>
    </w:p>
    <w:p w:rsidR="00E51556" w:rsidRDefault="00E51556" w:rsidP="00E51556">
      <w:pPr>
        <w:tabs>
          <w:tab w:val="left" w:pos="0"/>
          <w:tab w:val="left" w:pos="851"/>
        </w:tabs>
        <w:jc w:val="both"/>
        <w:rPr>
          <w:spacing w:val="-3"/>
        </w:rPr>
      </w:pPr>
    </w:p>
    <w:p w:rsidR="00E51556" w:rsidRDefault="00E51556" w:rsidP="00E51556">
      <w:pPr>
        <w:tabs>
          <w:tab w:val="left" w:pos="0"/>
          <w:tab w:val="left" w:pos="851"/>
        </w:tabs>
        <w:ind w:left="850" w:hanging="850"/>
        <w:jc w:val="both"/>
        <w:rPr>
          <w:spacing w:val="-3"/>
        </w:rPr>
      </w:pPr>
      <w:r w:rsidRPr="00DC2D03">
        <w:rPr>
          <w:b/>
          <w:spacing w:val="-3"/>
        </w:rPr>
        <w:t>6.3</w:t>
      </w:r>
      <w:r>
        <w:rPr>
          <w:spacing w:val="-3"/>
        </w:rPr>
        <w:tab/>
      </w:r>
      <w:r>
        <w:rPr>
          <w:b/>
          <w:spacing w:val="-3"/>
        </w:rPr>
        <w:t>Opbevaringstid</w:t>
      </w:r>
    </w:p>
    <w:p w:rsidR="00E51556" w:rsidRDefault="00E51556" w:rsidP="00E51556">
      <w:pPr>
        <w:pStyle w:val="Brdtekstindrykning"/>
      </w:pPr>
      <w:r>
        <w:tab/>
        <w:t>3 år.</w:t>
      </w:r>
    </w:p>
    <w:p w:rsidR="00E51556" w:rsidRDefault="00E51556" w:rsidP="00E51556">
      <w:pPr>
        <w:tabs>
          <w:tab w:val="left" w:pos="0"/>
          <w:tab w:val="left" w:pos="851"/>
        </w:tabs>
        <w:jc w:val="both"/>
        <w:rPr>
          <w:spacing w:val="-3"/>
        </w:rPr>
      </w:pPr>
    </w:p>
    <w:p w:rsidR="00E51556" w:rsidRDefault="00E51556" w:rsidP="00E51556">
      <w:pPr>
        <w:tabs>
          <w:tab w:val="left" w:pos="0"/>
          <w:tab w:val="left" w:pos="851"/>
        </w:tabs>
        <w:ind w:left="850" w:hanging="850"/>
        <w:jc w:val="both"/>
        <w:rPr>
          <w:spacing w:val="-3"/>
        </w:rPr>
      </w:pPr>
      <w:r w:rsidRPr="00DC2D03">
        <w:rPr>
          <w:b/>
          <w:spacing w:val="-3"/>
        </w:rPr>
        <w:t>6.4</w:t>
      </w:r>
      <w:r>
        <w:rPr>
          <w:spacing w:val="-3"/>
        </w:rPr>
        <w:tab/>
      </w:r>
      <w:r>
        <w:rPr>
          <w:b/>
          <w:spacing w:val="-3"/>
        </w:rPr>
        <w:t>Særlige opbevaringsforhold</w:t>
      </w:r>
    </w:p>
    <w:p w:rsidR="00BA2887" w:rsidRDefault="00E51556" w:rsidP="00BA2887">
      <w:pPr>
        <w:tabs>
          <w:tab w:val="left" w:pos="0"/>
          <w:tab w:val="left" w:pos="851"/>
        </w:tabs>
        <w:ind w:left="850" w:hanging="850"/>
        <w:jc w:val="both"/>
        <w:rPr>
          <w:spacing w:val="-3"/>
        </w:rPr>
      </w:pPr>
      <w:r>
        <w:rPr>
          <w:spacing w:val="-3"/>
        </w:rPr>
        <w:tab/>
      </w:r>
      <w:r w:rsidR="00BA2887" w:rsidRPr="00BA2887">
        <w:rPr>
          <w:spacing w:val="-3"/>
        </w:rPr>
        <w:t>Må ikke opbevares over 25°C.</w:t>
      </w:r>
    </w:p>
    <w:p w:rsidR="00BA2887" w:rsidRPr="00BA2887" w:rsidRDefault="00BA2887" w:rsidP="00BA2887">
      <w:pPr>
        <w:tabs>
          <w:tab w:val="left" w:pos="0"/>
          <w:tab w:val="left" w:pos="851"/>
        </w:tabs>
        <w:ind w:left="850" w:hanging="850"/>
        <w:jc w:val="both"/>
        <w:rPr>
          <w:spacing w:val="-3"/>
        </w:rPr>
      </w:pPr>
      <w:r>
        <w:rPr>
          <w:spacing w:val="-3"/>
        </w:rPr>
        <w:tab/>
      </w:r>
      <w:r w:rsidRPr="00BA2887">
        <w:rPr>
          <w:spacing w:val="-3"/>
        </w:rPr>
        <w:t>Må ikke opbevares i køleskab.</w:t>
      </w:r>
    </w:p>
    <w:p w:rsidR="00E51556" w:rsidRDefault="00BA2887" w:rsidP="00BA2887">
      <w:pPr>
        <w:tabs>
          <w:tab w:val="left" w:pos="0"/>
          <w:tab w:val="left" w:pos="851"/>
        </w:tabs>
        <w:ind w:left="850" w:hanging="850"/>
        <w:jc w:val="both"/>
        <w:rPr>
          <w:spacing w:val="-3"/>
        </w:rPr>
      </w:pPr>
      <w:r>
        <w:rPr>
          <w:spacing w:val="-3"/>
        </w:rPr>
        <w:tab/>
      </w:r>
      <w:r w:rsidRPr="00BA2887">
        <w:rPr>
          <w:spacing w:val="-3"/>
        </w:rPr>
        <w:t>Må ikke fryses.</w:t>
      </w:r>
    </w:p>
    <w:p w:rsidR="00E51556" w:rsidRDefault="00E51556" w:rsidP="00E51556">
      <w:pPr>
        <w:tabs>
          <w:tab w:val="left" w:pos="0"/>
          <w:tab w:val="left" w:pos="851"/>
        </w:tabs>
        <w:jc w:val="both"/>
        <w:rPr>
          <w:spacing w:val="-3"/>
        </w:rPr>
      </w:pPr>
    </w:p>
    <w:p w:rsidR="00E51556" w:rsidRDefault="00E51556" w:rsidP="00E51556">
      <w:pPr>
        <w:tabs>
          <w:tab w:val="left" w:pos="0"/>
          <w:tab w:val="left" w:pos="851"/>
        </w:tabs>
        <w:ind w:left="850" w:hanging="850"/>
        <w:jc w:val="both"/>
        <w:rPr>
          <w:spacing w:val="-3"/>
        </w:rPr>
      </w:pPr>
      <w:r w:rsidRPr="00DC2D03">
        <w:rPr>
          <w:b/>
          <w:spacing w:val="-3"/>
        </w:rPr>
        <w:t>6.5</w:t>
      </w:r>
      <w:r>
        <w:rPr>
          <w:spacing w:val="-3"/>
        </w:rPr>
        <w:tab/>
      </w:r>
      <w:r>
        <w:rPr>
          <w:b/>
          <w:spacing w:val="-3"/>
        </w:rPr>
        <w:t>Emballagetyper og pakningsstørrelser</w:t>
      </w:r>
    </w:p>
    <w:p w:rsidR="00E51556" w:rsidRDefault="00E51556" w:rsidP="00E51556">
      <w:pPr>
        <w:pStyle w:val="Brdtekstindrykning"/>
      </w:pPr>
      <w:r>
        <w:tab/>
        <w:t>Tube</w:t>
      </w:r>
      <w:r w:rsidR="00BA2887">
        <w:t>.</w:t>
      </w:r>
    </w:p>
    <w:p w:rsidR="00E51556" w:rsidRDefault="00E51556" w:rsidP="00E51556">
      <w:pPr>
        <w:tabs>
          <w:tab w:val="left" w:pos="0"/>
          <w:tab w:val="left" w:pos="851"/>
        </w:tabs>
        <w:jc w:val="both"/>
        <w:rPr>
          <w:spacing w:val="-3"/>
        </w:rPr>
      </w:pPr>
    </w:p>
    <w:p w:rsidR="00E51556" w:rsidRDefault="00E51556" w:rsidP="00E51556">
      <w:pPr>
        <w:tabs>
          <w:tab w:val="left" w:pos="0"/>
          <w:tab w:val="left" w:pos="851"/>
        </w:tabs>
        <w:ind w:left="850" w:hanging="850"/>
        <w:jc w:val="both"/>
        <w:rPr>
          <w:spacing w:val="-3"/>
        </w:rPr>
      </w:pPr>
      <w:r w:rsidRPr="00DC2D03">
        <w:rPr>
          <w:b/>
          <w:spacing w:val="-3"/>
        </w:rPr>
        <w:t>6.6</w:t>
      </w:r>
      <w:r>
        <w:rPr>
          <w:spacing w:val="-3"/>
        </w:rPr>
        <w:tab/>
      </w:r>
      <w:r>
        <w:rPr>
          <w:b/>
          <w:spacing w:val="-3"/>
        </w:rPr>
        <w:t>Regler for destruktion og anden håndtering</w:t>
      </w:r>
    </w:p>
    <w:p w:rsidR="00E51556" w:rsidRDefault="00E51556" w:rsidP="00E51556">
      <w:pPr>
        <w:tabs>
          <w:tab w:val="left" w:pos="0"/>
          <w:tab w:val="left" w:pos="851"/>
        </w:tabs>
        <w:ind w:left="850" w:hanging="850"/>
        <w:jc w:val="both"/>
        <w:rPr>
          <w:spacing w:val="-3"/>
        </w:rPr>
      </w:pPr>
      <w:r>
        <w:rPr>
          <w:spacing w:val="-3"/>
        </w:rPr>
        <w:tab/>
        <w:t>Ingen særlige forholdsregler.</w:t>
      </w:r>
    </w:p>
    <w:p w:rsidR="00E51556" w:rsidRDefault="00E51556" w:rsidP="00E51556">
      <w:pPr>
        <w:tabs>
          <w:tab w:val="left" w:pos="0"/>
          <w:tab w:val="left" w:pos="851"/>
        </w:tabs>
        <w:jc w:val="both"/>
        <w:rPr>
          <w:spacing w:val="-3"/>
        </w:rPr>
      </w:pPr>
    </w:p>
    <w:p w:rsidR="00E51556" w:rsidRDefault="00E51556" w:rsidP="00E51556">
      <w:pPr>
        <w:tabs>
          <w:tab w:val="left" w:pos="0"/>
          <w:tab w:val="left" w:pos="851"/>
        </w:tabs>
        <w:ind w:left="850" w:hanging="850"/>
        <w:jc w:val="both"/>
        <w:rPr>
          <w:spacing w:val="-3"/>
        </w:rPr>
      </w:pPr>
      <w:r w:rsidRPr="00DC2D03">
        <w:rPr>
          <w:b/>
          <w:spacing w:val="-3"/>
        </w:rPr>
        <w:t>7.</w:t>
      </w:r>
      <w:r>
        <w:rPr>
          <w:spacing w:val="-3"/>
        </w:rPr>
        <w:tab/>
      </w:r>
      <w:r>
        <w:rPr>
          <w:b/>
          <w:spacing w:val="-3"/>
        </w:rPr>
        <w:t>INDEHAVER AF MARKEDSFØRINGSTILLADELSEN</w:t>
      </w:r>
    </w:p>
    <w:p w:rsidR="00BA2887" w:rsidRPr="002F2B9C" w:rsidRDefault="00BA2887" w:rsidP="00BA2887">
      <w:pPr>
        <w:ind w:left="851"/>
        <w:rPr>
          <w:lang w:eastAsia="da-DK"/>
        </w:rPr>
      </w:pPr>
      <w:r w:rsidRPr="002F2B9C">
        <w:rPr>
          <w:lang w:eastAsia="da-DK"/>
        </w:rPr>
        <w:t>2care4 ApS</w:t>
      </w:r>
    </w:p>
    <w:p w:rsidR="00BA2887" w:rsidRPr="002F2B9C" w:rsidRDefault="00BA2887" w:rsidP="00BA2887">
      <w:pPr>
        <w:ind w:left="851"/>
        <w:rPr>
          <w:lang w:eastAsia="da-DK"/>
        </w:rPr>
      </w:pPr>
      <w:r>
        <w:rPr>
          <w:lang w:eastAsia="da-DK"/>
        </w:rPr>
        <w:t>Stenhuggervej 12</w:t>
      </w:r>
    </w:p>
    <w:p w:rsidR="00BA2887" w:rsidRPr="002F2B9C" w:rsidRDefault="00BA2887" w:rsidP="00BA2887">
      <w:pPr>
        <w:ind w:left="851"/>
        <w:rPr>
          <w:lang w:eastAsia="da-DK"/>
        </w:rPr>
      </w:pPr>
      <w:r w:rsidRPr="002F2B9C">
        <w:rPr>
          <w:lang w:eastAsia="da-DK"/>
        </w:rPr>
        <w:t>6710 Esbjerg V</w:t>
      </w:r>
    </w:p>
    <w:p w:rsidR="00E51556" w:rsidRPr="0004074F" w:rsidRDefault="00E51556" w:rsidP="00E51556">
      <w:pPr>
        <w:tabs>
          <w:tab w:val="left" w:pos="0"/>
          <w:tab w:val="left" w:pos="851"/>
        </w:tabs>
        <w:jc w:val="both"/>
        <w:rPr>
          <w:spacing w:val="-3"/>
        </w:rPr>
      </w:pPr>
      <w:r w:rsidRPr="0004074F">
        <w:rPr>
          <w:spacing w:val="-3"/>
        </w:rPr>
        <w:tab/>
      </w:r>
    </w:p>
    <w:p w:rsidR="00E51556" w:rsidRPr="00DC2D03" w:rsidRDefault="00E51556" w:rsidP="00E51556">
      <w:pPr>
        <w:tabs>
          <w:tab w:val="left" w:pos="0"/>
          <w:tab w:val="left" w:pos="851"/>
        </w:tabs>
        <w:ind w:left="850" w:hanging="850"/>
        <w:jc w:val="both"/>
        <w:rPr>
          <w:b/>
          <w:spacing w:val="-3"/>
        </w:rPr>
      </w:pPr>
      <w:r w:rsidRPr="00DC2D03">
        <w:rPr>
          <w:b/>
          <w:spacing w:val="-3"/>
        </w:rPr>
        <w:t>8.</w:t>
      </w:r>
      <w:r w:rsidRPr="00DC2D03">
        <w:rPr>
          <w:b/>
          <w:spacing w:val="-3"/>
        </w:rPr>
        <w:tab/>
        <w:t>MARKEDSFØRINGSTILLADELSESNUMMER</w:t>
      </w:r>
      <w:r>
        <w:rPr>
          <w:b/>
          <w:spacing w:val="-3"/>
        </w:rPr>
        <w:t xml:space="preserve"> (NUMRE)</w:t>
      </w:r>
    </w:p>
    <w:p w:rsidR="00E51556" w:rsidRDefault="00E51556" w:rsidP="00E51556">
      <w:pPr>
        <w:tabs>
          <w:tab w:val="left" w:pos="0"/>
          <w:tab w:val="left" w:pos="851"/>
        </w:tabs>
        <w:ind w:left="850" w:hanging="850"/>
        <w:jc w:val="both"/>
        <w:rPr>
          <w:spacing w:val="-3"/>
        </w:rPr>
      </w:pPr>
      <w:r>
        <w:rPr>
          <w:spacing w:val="-3"/>
        </w:rPr>
        <w:tab/>
      </w:r>
      <w:r w:rsidR="00BA2887" w:rsidRPr="00BA2887">
        <w:rPr>
          <w:spacing w:val="-3"/>
        </w:rPr>
        <w:t>63596</w:t>
      </w:r>
    </w:p>
    <w:p w:rsidR="00E51556" w:rsidRDefault="00E51556" w:rsidP="00E51556"/>
    <w:p w:rsidR="00E51556" w:rsidRDefault="00E51556" w:rsidP="00E51556">
      <w:pPr>
        <w:ind w:left="851" w:hanging="851"/>
      </w:pPr>
      <w:r w:rsidRPr="00DC2D03">
        <w:rPr>
          <w:b/>
        </w:rPr>
        <w:t>9.</w:t>
      </w:r>
      <w:r>
        <w:tab/>
      </w:r>
      <w:r>
        <w:rPr>
          <w:b/>
        </w:rPr>
        <w:t>DATO FOR FØRSTE MARKEDSFØRINGSTILLADELSE</w:t>
      </w:r>
    </w:p>
    <w:p w:rsidR="00E51556" w:rsidRDefault="00BA2887" w:rsidP="00E51556">
      <w:pPr>
        <w:ind w:left="851"/>
      </w:pPr>
      <w:r>
        <w:t>31. marts 2020</w:t>
      </w:r>
    </w:p>
    <w:p w:rsidR="00E51556" w:rsidRDefault="00E51556" w:rsidP="00E51556">
      <w:pPr>
        <w:ind w:left="851" w:hanging="851"/>
      </w:pPr>
      <w:r>
        <w:tab/>
      </w:r>
    </w:p>
    <w:p w:rsidR="00E51556" w:rsidRDefault="00E51556" w:rsidP="00E51556">
      <w:pPr>
        <w:ind w:left="851" w:hanging="851"/>
      </w:pPr>
      <w:r w:rsidRPr="00DC2D03">
        <w:rPr>
          <w:b/>
        </w:rPr>
        <w:t>10.</w:t>
      </w:r>
      <w:r>
        <w:tab/>
      </w:r>
      <w:r>
        <w:rPr>
          <w:b/>
        </w:rPr>
        <w:t>DATO FOR ÆNDRING AF TEKSTEN</w:t>
      </w:r>
    </w:p>
    <w:p w:rsidR="00E51556" w:rsidRPr="00BD7F01" w:rsidRDefault="00E51556" w:rsidP="00E51556">
      <w:pPr>
        <w:ind w:left="851" w:hanging="851"/>
      </w:pPr>
      <w:r w:rsidRPr="00BD7F01">
        <w:tab/>
      </w:r>
      <w:r w:rsidR="00BA2887">
        <w:rPr>
          <w:spacing w:val="-3"/>
        </w:rPr>
        <w:t>-</w:t>
      </w:r>
    </w:p>
    <w:p w:rsidR="00E51556" w:rsidRPr="007D5553" w:rsidRDefault="00E51556" w:rsidP="00E51556"/>
    <w:p w:rsidR="00E51556" w:rsidRPr="00AE730D" w:rsidRDefault="00E51556" w:rsidP="00E51556"/>
    <w:p w:rsidR="009260DE" w:rsidRPr="00E51556" w:rsidRDefault="009260DE" w:rsidP="00E51556"/>
    <w:sectPr w:rsidR="009260DE" w:rsidRPr="00E51556"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1556" w:rsidRDefault="00E51556">
      <w:r>
        <w:separator/>
      </w:r>
    </w:p>
  </w:endnote>
  <w:endnote w:type="continuationSeparator" w:id="0">
    <w:p w:rsidR="00E51556" w:rsidRDefault="00E51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A2887" w:rsidRDefault="00782AF4" w:rsidP="00C42586">
    <w:pPr>
      <w:pStyle w:val="Sidefod"/>
      <w:tabs>
        <w:tab w:val="clear" w:pos="4819"/>
        <w:tab w:val="left" w:pos="8505"/>
      </w:tabs>
      <w:rPr>
        <w:i/>
        <w:sz w:val="18"/>
        <w:szCs w:val="18"/>
        <w:lang w:val="en-US"/>
      </w:rPr>
    </w:pPr>
    <w:r w:rsidRPr="00B373D7">
      <w:rPr>
        <w:i/>
        <w:sz w:val="18"/>
        <w:szCs w:val="18"/>
      </w:rPr>
      <w:fldChar w:fldCharType="begin"/>
    </w:r>
    <w:r w:rsidR="000259B9" w:rsidRPr="00BA2887">
      <w:rPr>
        <w:i/>
        <w:sz w:val="18"/>
        <w:szCs w:val="18"/>
        <w:lang w:val="en-US"/>
      </w:rPr>
      <w:instrText xml:space="preserve"> FILENAME </w:instrText>
    </w:r>
    <w:r w:rsidRPr="00B373D7">
      <w:rPr>
        <w:i/>
        <w:sz w:val="18"/>
        <w:szCs w:val="18"/>
      </w:rPr>
      <w:fldChar w:fldCharType="separate"/>
    </w:r>
    <w:r w:rsidR="00BA2887" w:rsidRPr="00BA2887">
      <w:rPr>
        <w:i/>
        <w:noProof/>
        <w:sz w:val="18"/>
        <w:szCs w:val="18"/>
        <w:lang w:val="en-US"/>
      </w:rPr>
      <w:t>Adapalen 2care4 (2care4), creme 1 mg-g</w:t>
    </w:r>
    <w:r w:rsidRPr="00B373D7">
      <w:rPr>
        <w:i/>
        <w:sz w:val="18"/>
        <w:szCs w:val="18"/>
      </w:rPr>
      <w:fldChar w:fldCharType="end"/>
    </w:r>
    <w:r w:rsidR="000259B9" w:rsidRPr="00BA2887">
      <w:rPr>
        <w:i/>
        <w:sz w:val="18"/>
        <w:szCs w:val="18"/>
        <w:lang w:val="en-US"/>
      </w:rPr>
      <w:tab/>
      <w:t xml:space="preserve">Side </w:t>
    </w:r>
    <w:r w:rsidRPr="00B373D7">
      <w:rPr>
        <w:rStyle w:val="Sidetal"/>
        <w:i/>
        <w:sz w:val="18"/>
        <w:szCs w:val="18"/>
      </w:rPr>
      <w:fldChar w:fldCharType="begin"/>
    </w:r>
    <w:r w:rsidR="000259B9" w:rsidRPr="00BA2887">
      <w:rPr>
        <w:rStyle w:val="Sidetal"/>
        <w:i/>
        <w:sz w:val="18"/>
        <w:szCs w:val="18"/>
        <w:lang w:val="en-US"/>
      </w:rPr>
      <w:instrText xml:space="preserve"> PAGE </w:instrText>
    </w:r>
    <w:r w:rsidRPr="00B373D7">
      <w:rPr>
        <w:rStyle w:val="Sidetal"/>
        <w:i/>
        <w:sz w:val="18"/>
        <w:szCs w:val="18"/>
      </w:rPr>
      <w:fldChar w:fldCharType="separate"/>
    </w:r>
    <w:r w:rsidR="00C60CCD" w:rsidRPr="00BA2887">
      <w:rPr>
        <w:rStyle w:val="Sidetal"/>
        <w:i/>
        <w:noProof/>
        <w:sz w:val="18"/>
        <w:szCs w:val="18"/>
        <w:lang w:val="en-US"/>
      </w:rPr>
      <w:t>3</w:t>
    </w:r>
    <w:r w:rsidRPr="00B373D7">
      <w:rPr>
        <w:rStyle w:val="Sidetal"/>
        <w:i/>
        <w:sz w:val="18"/>
        <w:szCs w:val="18"/>
      </w:rPr>
      <w:fldChar w:fldCharType="end"/>
    </w:r>
    <w:r w:rsidR="000259B9" w:rsidRPr="00BA2887">
      <w:rPr>
        <w:rStyle w:val="Sidetal"/>
        <w:i/>
        <w:sz w:val="18"/>
        <w:szCs w:val="18"/>
        <w:lang w:val="en-US"/>
      </w:rPr>
      <w:t xml:space="preserve"> af </w:t>
    </w:r>
    <w:r w:rsidRPr="00B373D7">
      <w:rPr>
        <w:rStyle w:val="Sidetal"/>
        <w:i/>
        <w:sz w:val="18"/>
        <w:szCs w:val="18"/>
      </w:rPr>
      <w:fldChar w:fldCharType="begin"/>
    </w:r>
    <w:r w:rsidR="000259B9" w:rsidRPr="00BA2887">
      <w:rPr>
        <w:rStyle w:val="Sidetal"/>
        <w:i/>
        <w:sz w:val="18"/>
        <w:szCs w:val="18"/>
        <w:lang w:val="en-US"/>
      </w:rPr>
      <w:instrText xml:space="preserve"> NUMPAGES </w:instrText>
    </w:r>
    <w:r w:rsidRPr="00B373D7">
      <w:rPr>
        <w:rStyle w:val="Sidetal"/>
        <w:i/>
        <w:sz w:val="18"/>
        <w:szCs w:val="18"/>
      </w:rPr>
      <w:fldChar w:fldCharType="separate"/>
    </w:r>
    <w:r w:rsidR="00C60CCD" w:rsidRPr="00BA2887">
      <w:rPr>
        <w:rStyle w:val="Sidetal"/>
        <w:i/>
        <w:noProof/>
        <w:sz w:val="18"/>
        <w:szCs w:val="18"/>
        <w:lang w:val="en-US"/>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1556" w:rsidRDefault="00E51556">
      <w:r>
        <w:separator/>
      </w:r>
    </w:p>
  </w:footnote>
  <w:footnote w:type="continuationSeparator" w:id="0">
    <w:p w:rsidR="00E51556" w:rsidRDefault="00E515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556"/>
    <w:rsid w:val="00024BFD"/>
    <w:rsid w:val="000259B9"/>
    <w:rsid w:val="00041491"/>
    <w:rsid w:val="00050D16"/>
    <w:rsid w:val="00074F2A"/>
    <w:rsid w:val="000A1CA8"/>
    <w:rsid w:val="000A466B"/>
    <w:rsid w:val="000B058C"/>
    <w:rsid w:val="000E4EE6"/>
    <w:rsid w:val="001454E2"/>
    <w:rsid w:val="00206CE8"/>
    <w:rsid w:val="0021526C"/>
    <w:rsid w:val="00283A2B"/>
    <w:rsid w:val="002B30AD"/>
    <w:rsid w:val="002C2C01"/>
    <w:rsid w:val="003A29AE"/>
    <w:rsid w:val="003A32D7"/>
    <w:rsid w:val="003B4074"/>
    <w:rsid w:val="003C769A"/>
    <w:rsid w:val="003F1838"/>
    <w:rsid w:val="0045746C"/>
    <w:rsid w:val="0049104B"/>
    <w:rsid w:val="004E3B12"/>
    <w:rsid w:val="00523271"/>
    <w:rsid w:val="00532310"/>
    <w:rsid w:val="00560ECC"/>
    <w:rsid w:val="00565F0F"/>
    <w:rsid w:val="00594A86"/>
    <w:rsid w:val="00596D86"/>
    <w:rsid w:val="00637F5A"/>
    <w:rsid w:val="006560B1"/>
    <w:rsid w:val="006756DD"/>
    <w:rsid w:val="00737275"/>
    <w:rsid w:val="00740EEC"/>
    <w:rsid w:val="0078011A"/>
    <w:rsid w:val="00782AF4"/>
    <w:rsid w:val="00790EE7"/>
    <w:rsid w:val="007B6649"/>
    <w:rsid w:val="0081546F"/>
    <w:rsid w:val="0082576E"/>
    <w:rsid w:val="00907F75"/>
    <w:rsid w:val="009260DE"/>
    <w:rsid w:val="0093258A"/>
    <w:rsid w:val="009C7BA3"/>
    <w:rsid w:val="009D1F5A"/>
    <w:rsid w:val="00B003BF"/>
    <w:rsid w:val="00B373D7"/>
    <w:rsid w:val="00BA2887"/>
    <w:rsid w:val="00C36276"/>
    <w:rsid w:val="00C42586"/>
    <w:rsid w:val="00C60CCD"/>
    <w:rsid w:val="00C84483"/>
    <w:rsid w:val="00C95551"/>
    <w:rsid w:val="00CB20D7"/>
    <w:rsid w:val="00D020B0"/>
    <w:rsid w:val="00D11748"/>
    <w:rsid w:val="00D366CF"/>
    <w:rsid w:val="00E108AA"/>
    <w:rsid w:val="00E31812"/>
    <w:rsid w:val="00E3749A"/>
    <w:rsid w:val="00E51556"/>
    <w:rsid w:val="00E7437F"/>
    <w:rsid w:val="00E865B8"/>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0AC2BD7-9035-4BC9-B614-CFE36F3A3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Brdtekstindrykning">
    <w:name w:val="Body Text Indent"/>
    <w:basedOn w:val="Normal"/>
    <w:link w:val="BrdtekstindrykningTegn"/>
    <w:rsid w:val="00E51556"/>
    <w:pPr>
      <w:tabs>
        <w:tab w:val="left" w:pos="0"/>
        <w:tab w:val="left" w:pos="851"/>
      </w:tabs>
      <w:ind w:left="850" w:hanging="850"/>
      <w:jc w:val="both"/>
    </w:pPr>
    <w:rPr>
      <w:spacing w:val="-3"/>
      <w:sz w:val="24"/>
      <w:lang w:eastAsia="da-DK"/>
    </w:rPr>
  </w:style>
  <w:style w:type="character" w:customStyle="1" w:styleId="BrdtekstindrykningTegn">
    <w:name w:val="Brødtekstindrykning Tegn"/>
    <w:basedOn w:val="Standardskrifttypeiafsnit"/>
    <w:link w:val="Brdtekstindrykning"/>
    <w:rsid w:val="00E51556"/>
    <w:rPr>
      <w:spacing w:val="-3"/>
      <w:sz w:val="24"/>
    </w:rPr>
  </w:style>
  <w:style w:type="character" w:styleId="Hyperlink">
    <w:name w:val="Hyperlink"/>
    <w:uiPriority w:val="99"/>
    <w:rsid w:val="00E5155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928924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Template>
  <TotalTime>0</TotalTime>
  <Pages>5</Pages>
  <Words>1465</Words>
  <Characters>8938</Characters>
  <Application>Microsoft Office Word</Application>
  <DocSecurity>0</DocSecurity>
  <Lines>74</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ANMR</dc:creator>
  <cp:keywords/>
  <dc:description>2019111428 - nyt PI-SPC</dc:description>
  <cp:lastModifiedBy>testkonto01</cp:lastModifiedBy>
  <cp:revision>2</cp:revision>
  <cp:lastPrinted>2012-08-22T08:53:00Z</cp:lastPrinted>
  <dcterms:created xsi:type="dcterms:W3CDTF">2020-03-30T23:31:00Z</dcterms:created>
  <dcterms:modified xsi:type="dcterms:W3CDTF">2020-03-30T23:31:00Z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