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EF753"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52D79BC3" wp14:editId="347F648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1C22FC14" w14:textId="77777777" w:rsidR="009260DE" w:rsidRPr="00C84483" w:rsidRDefault="009260DE" w:rsidP="009260DE">
      <w:pPr>
        <w:pStyle w:val="Titel"/>
        <w:tabs>
          <w:tab w:val="right" w:pos="9356"/>
        </w:tabs>
        <w:jc w:val="left"/>
        <w:rPr>
          <w:b w:val="0"/>
          <w:szCs w:val="24"/>
          <w:lang w:eastAsia="en-US"/>
        </w:rPr>
      </w:pPr>
    </w:p>
    <w:p w14:paraId="052D4557" w14:textId="04BD3282"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814BC3">
        <w:rPr>
          <w:szCs w:val="24"/>
        </w:rPr>
        <w:t>8. januar 2026</w:t>
      </w:r>
    </w:p>
    <w:p w14:paraId="34C9C551" w14:textId="77777777" w:rsidR="009260DE" w:rsidRPr="00C84483" w:rsidRDefault="009260DE" w:rsidP="009260DE">
      <w:pPr>
        <w:pStyle w:val="Titel"/>
        <w:tabs>
          <w:tab w:val="left" w:pos="8222"/>
        </w:tabs>
        <w:jc w:val="left"/>
        <w:rPr>
          <w:b w:val="0"/>
          <w:szCs w:val="24"/>
        </w:rPr>
      </w:pPr>
    </w:p>
    <w:p w14:paraId="3BA37C6F" w14:textId="77777777" w:rsidR="009260DE" w:rsidRPr="00C84483" w:rsidRDefault="009260DE" w:rsidP="009260DE">
      <w:pPr>
        <w:pStyle w:val="Titel"/>
        <w:jc w:val="left"/>
        <w:rPr>
          <w:b w:val="0"/>
          <w:szCs w:val="24"/>
        </w:rPr>
      </w:pPr>
    </w:p>
    <w:p w14:paraId="09E97728" w14:textId="77777777" w:rsidR="009260DE" w:rsidRPr="00C84483" w:rsidRDefault="009260DE" w:rsidP="009260DE">
      <w:pPr>
        <w:pStyle w:val="Titel"/>
        <w:jc w:val="left"/>
        <w:rPr>
          <w:b w:val="0"/>
          <w:szCs w:val="24"/>
        </w:rPr>
      </w:pPr>
    </w:p>
    <w:p w14:paraId="5C8D0249" w14:textId="77777777" w:rsidR="009260DE" w:rsidRPr="00C84483" w:rsidRDefault="009260DE" w:rsidP="009260DE">
      <w:pPr>
        <w:jc w:val="center"/>
        <w:rPr>
          <w:b/>
          <w:sz w:val="24"/>
          <w:szCs w:val="24"/>
        </w:rPr>
      </w:pPr>
      <w:r w:rsidRPr="00C84483">
        <w:rPr>
          <w:b/>
          <w:sz w:val="24"/>
          <w:szCs w:val="24"/>
        </w:rPr>
        <w:t>PRODUKTRESUMÉ</w:t>
      </w:r>
    </w:p>
    <w:p w14:paraId="289D92AC" w14:textId="77777777" w:rsidR="009260DE" w:rsidRPr="00C84483" w:rsidRDefault="009260DE" w:rsidP="009260DE">
      <w:pPr>
        <w:jc w:val="center"/>
        <w:rPr>
          <w:b/>
          <w:sz w:val="24"/>
          <w:szCs w:val="24"/>
        </w:rPr>
      </w:pPr>
    </w:p>
    <w:p w14:paraId="40109665" w14:textId="77777777" w:rsidR="009260DE" w:rsidRDefault="009260DE" w:rsidP="009260DE">
      <w:pPr>
        <w:jc w:val="center"/>
        <w:rPr>
          <w:b/>
          <w:sz w:val="24"/>
          <w:szCs w:val="24"/>
        </w:rPr>
      </w:pPr>
      <w:r w:rsidRPr="00C84483">
        <w:rPr>
          <w:b/>
          <w:sz w:val="24"/>
          <w:szCs w:val="24"/>
        </w:rPr>
        <w:t>for</w:t>
      </w:r>
    </w:p>
    <w:p w14:paraId="57666639" w14:textId="77777777" w:rsidR="000B058C" w:rsidRPr="00C84483" w:rsidRDefault="000B058C" w:rsidP="009260DE">
      <w:pPr>
        <w:jc w:val="center"/>
        <w:rPr>
          <w:b/>
          <w:sz w:val="24"/>
          <w:szCs w:val="24"/>
        </w:rPr>
      </w:pPr>
    </w:p>
    <w:p w14:paraId="0E6C8821" w14:textId="77777777" w:rsidR="009260DE" w:rsidRPr="00C84483" w:rsidRDefault="00011542" w:rsidP="009260DE">
      <w:pPr>
        <w:jc w:val="center"/>
        <w:rPr>
          <w:b/>
          <w:sz w:val="24"/>
          <w:szCs w:val="24"/>
        </w:rPr>
      </w:pPr>
      <w:bookmarkStart w:id="1" w:name="_Hlk218686188"/>
      <w:r>
        <w:rPr>
          <w:b/>
          <w:sz w:val="24"/>
          <w:szCs w:val="24"/>
        </w:rPr>
        <w:t>Adenosin "Macure"</w:t>
      </w:r>
      <w:bookmarkEnd w:id="1"/>
      <w:r>
        <w:rPr>
          <w:b/>
          <w:sz w:val="24"/>
          <w:szCs w:val="24"/>
        </w:rPr>
        <w:t>, injektions-/infusionsvæske, opløsning 5 mg/ml</w:t>
      </w:r>
    </w:p>
    <w:p w14:paraId="74AF1148" w14:textId="77777777" w:rsidR="009260DE" w:rsidRPr="00C84483" w:rsidRDefault="009260DE" w:rsidP="009260DE">
      <w:pPr>
        <w:jc w:val="both"/>
        <w:rPr>
          <w:sz w:val="24"/>
          <w:szCs w:val="24"/>
        </w:rPr>
      </w:pPr>
    </w:p>
    <w:p w14:paraId="7B36F94E" w14:textId="77777777" w:rsidR="009260DE" w:rsidRPr="00C84483" w:rsidRDefault="009260DE" w:rsidP="009260DE">
      <w:pPr>
        <w:jc w:val="both"/>
        <w:rPr>
          <w:sz w:val="24"/>
          <w:szCs w:val="24"/>
        </w:rPr>
      </w:pPr>
    </w:p>
    <w:p w14:paraId="070712CF"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35695136" w14:textId="08FD01B6" w:rsidR="009260DE" w:rsidRPr="00C84483" w:rsidRDefault="00D2435F" w:rsidP="009260DE">
      <w:pPr>
        <w:tabs>
          <w:tab w:val="left" w:pos="851"/>
        </w:tabs>
        <w:ind w:left="851"/>
        <w:rPr>
          <w:sz w:val="24"/>
          <w:szCs w:val="24"/>
        </w:rPr>
      </w:pPr>
      <w:r>
        <w:rPr>
          <w:sz w:val="24"/>
          <w:szCs w:val="24"/>
        </w:rPr>
        <w:t>34227</w:t>
      </w:r>
    </w:p>
    <w:p w14:paraId="245D5F6F" w14:textId="77777777" w:rsidR="009260DE" w:rsidRPr="00C84483" w:rsidRDefault="009260DE" w:rsidP="009260DE">
      <w:pPr>
        <w:tabs>
          <w:tab w:val="left" w:pos="851"/>
        </w:tabs>
        <w:ind w:left="851"/>
        <w:rPr>
          <w:sz w:val="24"/>
          <w:szCs w:val="24"/>
        </w:rPr>
      </w:pPr>
    </w:p>
    <w:p w14:paraId="2D22DE7F"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2DBE7851" w14:textId="04DB4474" w:rsidR="009260DE" w:rsidRPr="00D2435F" w:rsidRDefault="00D2435F" w:rsidP="009260DE">
      <w:pPr>
        <w:tabs>
          <w:tab w:val="left" w:pos="851"/>
        </w:tabs>
        <w:ind w:left="851"/>
        <w:rPr>
          <w:sz w:val="24"/>
          <w:szCs w:val="24"/>
        </w:rPr>
      </w:pPr>
      <w:r w:rsidRPr="00D2435F">
        <w:rPr>
          <w:sz w:val="24"/>
          <w:szCs w:val="24"/>
        </w:rPr>
        <w:t>Adenosin "Macure"</w:t>
      </w:r>
    </w:p>
    <w:p w14:paraId="7F1A8E85" w14:textId="77777777" w:rsidR="009260DE" w:rsidRPr="00C84483" w:rsidRDefault="009260DE" w:rsidP="009260DE">
      <w:pPr>
        <w:tabs>
          <w:tab w:val="left" w:pos="851"/>
        </w:tabs>
        <w:ind w:left="851"/>
        <w:rPr>
          <w:sz w:val="24"/>
          <w:szCs w:val="24"/>
        </w:rPr>
      </w:pPr>
    </w:p>
    <w:p w14:paraId="38DA6F04"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69694C57" w14:textId="77777777" w:rsidR="00D2435F" w:rsidRPr="00D2435F" w:rsidRDefault="00D2435F" w:rsidP="00D2435F">
      <w:pPr>
        <w:tabs>
          <w:tab w:val="left" w:pos="851"/>
        </w:tabs>
        <w:ind w:left="851"/>
        <w:rPr>
          <w:sz w:val="24"/>
          <w:szCs w:val="24"/>
        </w:rPr>
      </w:pPr>
      <w:r w:rsidRPr="00D2435F">
        <w:rPr>
          <w:sz w:val="24"/>
          <w:szCs w:val="24"/>
        </w:rPr>
        <w:t>1 ml indeholder 5 mg adenosin.</w:t>
      </w:r>
    </w:p>
    <w:p w14:paraId="07A2A2D0" w14:textId="77777777" w:rsidR="00D2435F" w:rsidRPr="00D2435F" w:rsidRDefault="00D2435F" w:rsidP="00D2435F">
      <w:pPr>
        <w:tabs>
          <w:tab w:val="left" w:pos="851"/>
        </w:tabs>
        <w:ind w:left="851"/>
        <w:rPr>
          <w:sz w:val="24"/>
          <w:szCs w:val="24"/>
        </w:rPr>
      </w:pPr>
    </w:p>
    <w:p w14:paraId="054CCD0C" w14:textId="77777777" w:rsidR="00D2435F" w:rsidRPr="00D2435F" w:rsidRDefault="00D2435F" w:rsidP="00D2435F">
      <w:pPr>
        <w:tabs>
          <w:tab w:val="left" w:pos="851"/>
        </w:tabs>
        <w:ind w:left="851"/>
        <w:rPr>
          <w:sz w:val="24"/>
          <w:szCs w:val="24"/>
        </w:rPr>
      </w:pPr>
      <w:r w:rsidRPr="00D2435F">
        <w:rPr>
          <w:sz w:val="24"/>
          <w:szCs w:val="24"/>
        </w:rPr>
        <w:t>Alle hjælpestoffer er anført under pkt. 6.1.</w:t>
      </w:r>
    </w:p>
    <w:p w14:paraId="248713AE" w14:textId="77777777" w:rsidR="009260DE" w:rsidRPr="00C84483" w:rsidRDefault="009260DE" w:rsidP="009260DE">
      <w:pPr>
        <w:tabs>
          <w:tab w:val="left" w:pos="851"/>
        </w:tabs>
        <w:ind w:left="851"/>
        <w:rPr>
          <w:sz w:val="24"/>
          <w:szCs w:val="24"/>
        </w:rPr>
      </w:pPr>
    </w:p>
    <w:p w14:paraId="6D0AD000"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59BC758D" w14:textId="269FB7DE" w:rsidR="00D2435F" w:rsidRDefault="00D2435F" w:rsidP="00D2435F">
      <w:pPr>
        <w:tabs>
          <w:tab w:val="left" w:pos="851"/>
        </w:tabs>
        <w:ind w:left="851"/>
        <w:rPr>
          <w:sz w:val="24"/>
          <w:szCs w:val="24"/>
        </w:rPr>
      </w:pPr>
      <w:r w:rsidRPr="00D2435F">
        <w:rPr>
          <w:sz w:val="24"/>
          <w:szCs w:val="24"/>
        </w:rPr>
        <w:t>Injektions-/infusionsvæske, opløsning</w:t>
      </w:r>
    </w:p>
    <w:p w14:paraId="585D98D0" w14:textId="77777777" w:rsidR="00D2435F" w:rsidRPr="00D2435F" w:rsidRDefault="00D2435F" w:rsidP="00D2435F">
      <w:pPr>
        <w:tabs>
          <w:tab w:val="left" w:pos="851"/>
        </w:tabs>
        <w:ind w:left="851"/>
        <w:rPr>
          <w:sz w:val="24"/>
          <w:szCs w:val="24"/>
        </w:rPr>
      </w:pPr>
    </w:p>
    <w:p w14:paraId="2DF696E3" w14:textId="35D0B2C5" w:rsidR="00D2435F" w:rsidRPr="00D2435F" w:rsidRDefault="00D2435F" w:rsidP="00D2435F">
      <w:pPr>
        <w:tabs>
          <w:tab w:val="left" w:pos="851"/>
        </w:tabs>
        <w:ind w:left="851"/>
        <w:rPr>
          <w:sz w:val="24"/>
          <w:szCs w:val="24"/>
        </w:rPr>
      </w:pPr>
      <w:r w:rsidRPr="00D2435F">
        <w:rPr>
          <w:sz w:val="24"/>
          <w:szCs w:val="24"/>
        </w:rPr>
        <w:t>pH: 4,5</w:t>
      </w:r>
      <w:r>
        <w:rPr>
          <w:sz w:val="24"/>
          <w:szCs w:val="24"/>
        </w:rPr>
        <w:t>-</w:t>
      </w:r>
      <w:r w:rsidRPr="00D2435F">
        <w:rPr>
          <w:sz w:val="24"/>
          <w:szCs w:val="24"/>
        </w:rPr>
        <w:t>7,5</w:t>
      </w:r>
      <w:r>
        <w:rPr>
          <w:sz w:val="24"/>
          <w:szCs w:val="24"/>
        </w:rPr>
        <w:t>.</w:t>
      </w:r>
    </w:p>
    <w:p w14:paraId="6807552F" w14:textId="3D806CFD" w:rsidR="00D2435F" w:rsidRPr="00D2435F" w:rsidRDefault="00D2435F" w:rsidP="00D2435F">
      <w:pPr>
        <w:tabs>
          <w:tab w:val="left" w:pos="851"/>
        </w:tabs>
        <w:ind w:left="851"/>
        <w:rPr>
          <w:sz w:val="24"/>
          <w:szCs w:val="24"/>
        </w:rPr>
      </w:pPr>
      <w:r w:rsidRPr="00D2435F">
        <w:rPr>
          <w:sz w:val="24"/>
          <w:szCs w:val="24"/>
        </w:rPr>
        <w:t>Osmolaritet: 280,0</w:t>
      </w:r>
      <w:r>
        <w:rPr>
          <w:sz w:val="24"/>
          <w:szCs w:val="24"/>
        </w:rPr>
        <w:t>-</w:t>
      </w:r>
      <w:r w:rsidRPr="00D2435F">
        <w:rPr>
          <w:sz w:val="24"/>
          <w:szCs w:val="24"/>
        </w:rPr>
        <w:t xml:space="preserve">340,0 </w:t>
      </w:r>
      <w:r w:rsidRPr="00D2435F">
        <w:rPr>
          <w:sz w:val="24"/>
          <w:szCs w:val="24"/>
          <w:lang w:val="it-IT"/>
        </w:rPr>
        <w:t>mOSm/L</w:t>
      </w:r>
      <w:r>
        <w:rPr>
          <w:sz w:val="24"/>
          <w:szCs w:val="24"/>
          <w:lang w:val="it-IT"/>
        </w:rPr>
        <w:t>.</w:t>
      </w:r>
    </w:p>
    <w:p w14:paraId="6AD25080" w14:textId="77777777" w:rsidR="00D2435F" w:rsidRPr="00D2435F" w:rsidRDefault="00D2435F" w:rsidP="00D2435F">
      <w:pPr>
        <w:tabs>
          <w:tab w:val="left" w:pos="851"/>
        </w:tabs>
        <w:ind w:left="851"/>
        <w:rPr>
          <w:bCs/>
          <w:sz w:val="24"/>
          <w:szCs w:val="24"/>
        </w:rPr>
      </w:pPr>
      <w:r w:rsidRPr="00D2435F">
        <w:rPr>
          <w:bCs/>
          <w:sz w:val="24"/>
          <w:szCs w:val="24"/>
        </w:rPr>
        <w:t>Klar, farveløs opløsning.</w:t>
      </w:r>
    </w:p>
    <w:p w14:paraId="25BB4DFD" w14:textId="77777777" w:rsidR="009260DE" w:rsidRPr="00C84483" w:rsidRDefault="009260DE" w:rsidP="009260DE">
      <w:pPr>
        <w:tabs>
          <w:tab w:val="left" w:pos="851"/>
        </w:tabs>
        <w:ind w:left="851"/>
        <w:rPr>
          <w:sz w:val="24"/>
          <w:szCs w:val="24"/>
        </w:rPr>
      </w:pPr>
    </w:p>
    <w:p w14:paraId="1DAB9CE8" w14:textId="77777777" w:rsidR="009260DE" w:rsidRPr="00C84483" w:rsidRDefault="009260DE" w:rsidP="009260DE">
      <w:pPr>
        <w:tabs>
          <w:tab w:val="left" w:pos="851"/>
        </w:tabs>
        <w:ind w:left="851"/>
        <w:rPr>
          <w:sz w:val="24"/>
          <w:szCs w:val="24"/>
        </w:rPr>
      </w:pPr>
    </w:p>
    <w:p w14:paraId="5BAF3A62"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6C5FB417" w14:textId="77777777" w:rsidR="009260DE" w:rsidRPr="00C84483" w:rsidRDefault="009260DE" w:rsidP="009260DE">
      <w:pPr>
        <w:tabs>
          <w:tab w:val="left" w:pos="851"/>
        </w:tabs>
        <w:ind w:left="851"/>
        <w:rPr>
          <w:b/>
          <w:sz w:val="24"/>
          <w:szCs w:val="24"/>
        </w:rPr>
      </w:pPr>
    </w:p>
    <w:p w14:paraId="2E8CC52D"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74B4FEA5" w14:textId="77777777" w:rsidR="00D2435F" w:rsidRPr="00D2435F" w:rsidRDefault="00D2435F" w:rsidP="00D2435F">
      <w:pPr>
        <w:tabs>
          <w:tab w:val="left" w:pos="851"/>
        </w:tabs>
        <w:ind w:left="851"/>
        <w:rPr>
          <w:sz w:val="24"/>
          <w:szCs w:val="24"/>
        </w:rPr>
      </w:pPr>
      <w:r w:rsidRPr="00D2435F">
        <w:rPr>
          <w:sz w:val="24"/>
          <w:szCs w:val="24"/>
        </w:rPr>
        <w:t>Afbrydelse af paroksystisk supraventrikulær takykardi, der involverer atrioventrikulærknuden (AV-knuden).</w:t>
      </w:r>
    </w:p>
    <w:p w14:paraId="5E99F760" w14:textId="77777777" w:rsidR="00D2435F" w:rsidRPr="00D2435F" w:rsidRDefault="00D2435F" w:rsidP="00D2435F">
      <w:pPr>
        <w:tabs>
          <w:tab w:val="left" w:pos="851"/>
        </w:tabs>
        <w:ind w:left="851"/>
        <w:rPr>
          <w:sz w:val="24"/>
          <w:szCs w:val="24"/>
        </w:rPr>
      </w:pPr>
      <w:r w:rsidRPr="00D2435F">
        <w:rPr>
          <w:sz w:val="24"/>
          <w:szCs w:val="24"/>
        </w:rPr>
        <w:t>Induktion af kortvarig AV-blok til påvisning og lokalisering af accessoriske ledningsbaner med præexcitation.</w:t>
      </w:r>
    </w:p>
    <w:p w14:paraId="53B40C65" w14:textId="77777777" w:rsidR="00D2435F" w:rsidRPr="00D2435F" w:rsidRDefault="00D2435F" w:rsidP="00D2435F">
      <w:pPr>
        <w:tabs>
          <w:tab w:val="left" w:pos="851"/>
        </w:tabs>
        <w:ind w:left="851"/>
        <w:rPr>
          <w:sz w:val="24"/>
          <w:szCs w:val="24"/>
        </w:rPr>
      </w:pPr>
      <w:r w:rsidRPr="00D2435F">
        <w:rPr>
          <w:sz w:val="24"/>
          <w:szCs w:val="24"/>
        </w:rPr>
        <w:t>Farmakologisk provokation af iskæmi i hjertet i forbindelse med myokardiescintigrafi (thallium eller technetium) hos patienter, som ikke kan motionere tilstrækkeligt, eller som ikke bør dyrke motion. Det kan også anvendes sammen med ekkokardiografi, hvor andre stoffer til farmakologisk belastning ikke kan anvendes.</w:t>
      </w:r>
    </w:p>
    <w:p w14:paraId="4CB47F63" w14:textId="69D4DAFE" w:rsidR="00D2435F" w:rsidRDefault="00D2435F">
      <w:pPr>
        <w:rPr>
          <w:sz w:val="24"/>
          <w:szCs w:val="24"/>
        </w:rPr>
      </w:pPr>
      <w:r>
        <w:rPr>
          <w:sz w:val="24"/>
          <w:szCs w:val="24"/>
        </w:rPr>
        <w:br w:type="page"/>
      </w:r>
    </w:p>
    <w:p w14:paraId="25E232BE" w14:textId="77777777" w:rsidR="009260DE" w:rsidRPr="00C84483" w:rsidRDefault="009260DE" w:rsidP="009260DE">
      <w:pPr>
        <w:tabs>
          <w:tab w:val="left" w:pos="851"/>
        </w:tabs>
        <w:ind w:left="851"/>
        <w:rPr>
          <w:sz w:val="24"/>
          <w:szCs w:val="24"/>
        </w:rPr>
      </w:pPr>
    </w:p>
    <w:p w14:paraId="4387DF3E"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0DA6467B" w14:textId="77777777" w:rsidR="00D2435F" w:rsidRPr="00D2435F" w:rsidRDefault="00D2435F" w:rsidP="00D2435F">
      <w:pPr>
        <w:keepNext/>
        <w:keepLines/>
        <w:ind w:left="851"/>
        <w:rPr>
          <w:rFonts w:asciiTheme="majorBidi" w:hAnsiTheme="majorBidi" w:cstheme="majorBidi"/>
          <w:i/>
          <w:sz w:val="24"/>
          <w:szCs w:val="24"/>
          <w:lang w:eastAsia="da-DK"/>
        </w:rPr>
      </w:pPr>
    </w:p>
    <w:p w14:paraId="3EEAA810" w14:textId="77777777" w:rsidR="00D2435F" w:rsidRPr="00D2435F" w:rsidRDefault="00D2435F" w:rsidP="00D2435F">
      <w:pPr>
        <w:keepNext/>
        <w:keepLines/>
        <w:ind w:left="851"/>
        <w:rPr>
          <w:rFonts w:asciiTheme="majorBidi" w:hAnsiTheme="majorBidi" w:cstheme="majorBidi"/>
          <w:b/>
          <w:sz w:val="24"/>
          <w:szCs w:val="24"/>
        </w:rPr>
      </w:pPr>
      <w:r w:rsidRPr="00D2435F">
        <w:rPr>
          <w:rFonts w:asciiTheme="majorBidi" w:hAnsiTheme="majorBidi"/>
          <w:b/>
          <w:sz w:val="24"/>
          <w:szCs w:val="24"/>
        </w:rPr>
        <w:t>Intravenøs injektion</w:t>
      </w:r>
    </w:p>
    <w:p w14:paraId="4B3E3D50" w14:textId="77777777" w:rsidR="00D2435F" w:rsidRPr="00D2435F" w:rsidRDefault="00D2435F" w:rsidP="00D2435F">
      <w:pPr>
        <w:ind w:left="851"/>
        <w:rPr>
          <w:rFonts w:asciiTheme="majorBidi" w:hAnsiTheme="majorBidi" w:cstheme="majorBidi"/>
          <w:sz w:val="24"/>
          <w:szCs w:val="24"/>
        </w:rPr>
      </w:pPr>
      <w:r w:rsidRPr="00D2435F">
        <w:rPr>
          <w:rFonts w:asciiTheme="majorBidi" w:hAnsiTheme="majorBidi"/>
          <w:sz w:val="24"/>
          <w:szCs w:val="24"/>
        </w:rPr>
        <w:t xml:space="preserve">Adenosin "Macure" bør kun anvendes på akutafdelinger, intensivafdelinger eller lignende under kontinuerlig overvågning af hjerterytmen. Doseringsanvisningerne nedenfor refererer til administration via en </w:t>
      </w:r>
      <w:r w:rsidRPr="00D2435F">
        <w:rPr>
          <w:rFonts w:asciiTheme="majorBidi" w:hAnsiTheme="majorBidi"/>
          <w:i/>
          <w:sz w:val="24"/>
          <w:szCs w:val="24"/>
        </w:rPr>
        <w:t xml:space="preserve">perifer </w:t>
      </w:r>
      <w:r w:rsidRPr="00D2435F">
        <w:rPr>
          <w:rFonts w:asciiTheme="majorBidi" w:hAnsiTheme="majorBidi"/>
          <w:sz w:val="24"/>
          <w:szCs w:val="24"/>
        </w:rPr>
        <w:t xml:space="preserve">vene. Adenosin skal administreres som en hurtig intravenøs (IV) bolusinjektion i en vene eller et venekateter. Ved brug af venekateter skal adenosin injiceres så proksimalt som muligt, efterfulgt af en hurtig skylning med saltvand. Ved administration i en perifer vene skal der anvendes en kanyle med stor diameter. På grund af adenosins ekstremt korte halveringstid skal startdosen reduceres med ca. 50 % ved administration i en </w:t>
      </w:r>
      <w:r w:rsidRPr="00D2435F">
        <w:rPr>
          <w:rFonts w:asciiTheme="majorBidi" w:hAnsiTheme="majorBidi"/>
          <w:i/>
          <w:sz w:val="24"/>
          <w:szCs w:val="24"/>
        </w:rPr>
        <w:t xml:space="preserve">central </w:t>
      </w:r>
      <w:r w:rsidRPr="00D2435F">
        <w:rPr>
          <w:rFonts w:asciiTheme="majorBidi" w:hAnsiTheme="majorBidi"/>
          <w:sz w:val="24"/>
          <w:szCs w:val="24"/>
        </w:rPr>
        <w:t>vene.</w:t>
      </w:r>
    </w:p>
    <w:p w14:paraId="2DC2F530" w14:textId="77777777" w:rsidR="00D2435F" w:rsidRPr="00D2435F" w:rsidRDefault="00D2435F" w:rsidP="00D2435F">
      <w:pPr>
        <w:ind w:left="851"/>
        <w:rPr>
          <w:rFonts w:asciiTheme="majorBidi" w:hAnsiTheme="majorBidi" w:cstheme="majorBidi"/>
          <w:sz w:val="24"/>
          <w:szCs w:val="24"/>
        </w:rPr>
      </w:pPr>
    </w:p>
    <w:p w14:paraId="2B450516" w14:textId="77777777" w:rsidR="00D2435F" w:rsidRPr="00D2435F" w:rsidRDefault="00D2435F" w:rsidP="00D2435F">
      <w:pPr>
        <w:keepNext/>
        <w:keepLines/>
        <w:ind w:left="851"/>
        <w:rPr>
          <w:rFonts w:asciiTheme="majorBidi" w:hAnsiTheme="majorBidi" w:cstheme="majorBidi"/>
          <w:b/>
          <w:sz w:val="24"/>
          <w:szCs w:val="24"/>
        </w:rPr>
      </w:pPr>
      <w:r w:rsidRPr="00D2435F">
        <w:rPr>
          <w:rFonts w:asciiTheme="majorBidi" w:hAnsiTheme="majorBidi"/>
          <w:b/>
          <w:sz w:val="24"/>
          <w:szCs w:val="24"/>
        </w:rPr>
        <w:t>Intravenøs infusion</w:t>
      </w:r>
    </w:p>
    <w:p w14:paraId="11E0DDE2" w14:textId="77777777" w:rsidR="00D2435F" w:rsidRPr="00D2435F" w:rsidRDefault="00D2435F" w:rsidP="00D2435F">
      <w:pPr>
        <w:ind w:left="851"/>
        <w:rPr>
          <w:rFonts w:asciiTheme="majorBidi" w:hAnsiTheme="majorBidi" w:cstheme="majorBidi"/>
          <w:sz w:val="24"/>
          <w:szCs w:val="24"/>
        </w:rPr>
      </w:pPr>
      <w:r w:rsidRPr="00D2435F">
        <w:rPr>
          <w:rFonts w:asciiTheme="majorBidi" w:hAnsiTheme="majorBidi"/>
          <w:sz w:val="24"/>
          <w:szCs w:val="24"/>
        </w:rPr>
        <w:t>Undersøgelsen må kun udføres af kvalificerede læger med specialiseret ekspertise og det nødvendige udstyr til rådighed til akut hjertebehandling.</w:t>
      </w:r>
    </w:p>
    <w:p w14:paraId="7AACE61D" w14:textId="77777777" w:rsidR="00D2435F" w:rsidRPr="00D2435F" w:rsidRDefault="00D2435F" w:rsidP="00D2435F">
      <w:pPr>
        <w:ind w:left="851"/>
        <w:rPr>
          <w:rFonts w:asciiTheme="majorBidi" w:hAnsiTheme="majorBidi" w:cstheme="majorBidi"/>
          <w:sz w:val="24"/>
          <w:szCs w:val="24"/>
        </w:rPr>
      </w:pPr>
      <w:r w:rsidRPr="00D2435F">
        <w:rPr>
          <w:rFonts w:asciiTheme="majorBidi" w:hAnsiTheme="majorBidi"/>
          <w:sz w:val="24"/>
          <w:szCs w:val="24"/>
        </w:rPr>
        <w:t>For at undgå en bolus-effekt skal infusionen gives via et separat venekateter. Blodtrykket skal måles på den arm, der ikke modtager adenosin-infusionen.</w:t>
      </w:r>
    </w:p>
    <w:p w14:paraId="5604DD85" w14:textId="77777777" w:rsidR="00D2435F" w:rsidRPr="00D2435F" w:rsidRDefault="00D2435F" w:rsidP="00D2435F">
      <w:pPr>
        <w:ind w:left="851"/>
        <w:rPr>
          <w:rFonts w:asciiTheme="majorBidi" w:hAnsiTheme="majorBidi" w:cstheme="majorBidi"/>
          <w:sz w:val="24"/>
          <w:szCs w:val="24"/>
        </w:rPr>
      </w:pPr>
    </w:p>
    <w:p w14:paraId="13B3223E" w14:textId="77777777" w:rsidR="00D2435F" w:rsidRPr="00D2435F" w:rsidRDefault="00D2435F" w:rsidP="00D2435F">
      <w:pPr>
        <w:keepNext/>
        <w:keepLines/>
        <w:ind w:left="851"/>
        <w:rPr>
          <w:rFonts w:asciiTheme="majorBidi" w:hAnsiTheme="majorBidi" w:cstheme="majorBidi"/>
          <w:sz w:val="24"/>
          <w:szCs w:val="24"/>
          <w:u w:val="single"/>
        </w:rPr>
      </w:pPr>
      <w:r w:rsidRPr="00D2435F">
        <w:rPr>
          <w:rFonts w:asciiTheme="majorBidi" w:hAnsiTheme="majorBidi"/>
          <w:sz w:val="24"/>
          <w:szCs w:val="24"/>
          <w:u w:val="single"/>
        </w:rPr>
        <w:t>Behandling af paroksysmal supraventrikulær takykardi</w:t>
      </w:r>
    </w:p>
    <w:p w14:paraId="5A355FB7" w14:textId="77777777" w:rsidR="00D2435F" w:rsidRPr="00D2435F" w:rsidRDefault="00D2435F" w:rsidP="00D2435F">
      <w:pPr>
        <w:keepNext/>
        <w:keepLines/>
        <w:ind w:left="851"/>
        <w:rPr>
          <w:rFonts w:asciiTheme="majorBidi" w:hAnsiTheme="majorBidi" w:cstheme="majorBidi"/>
          <w:i/>
          <w:sz w:val="24"/>
          <w:szCs w:val="24"/>
        </w:rPr>
      </w:pPr>
    </w:p>
    <w:p w14:paraId="4CA5DC5A" w14:textId="77777777" w:rsidR="00D2435F" w:rsidRPr="00D2435F" w:rsidRDefault="00D2435F" w:rsidP="00D2435F">
      <w:pPr>
        <w:keepNext/>
        <w:keepLines/>
        <w:ind w:left="851"/>
        <w:rPr>
          <w:rFonts w:asciiTheme="majorBidi" w:hAnsiTheme="majorBidi"/>
          <w:i/>
          <w:sz w:val="24"/>
          <w:szCs w:val="24"/>
        </w:rPr>
      </w:pPr>
      <w:r w:rsidRPr="00D2435F">
        <w:rPr>
          <w:rFonts w:asciiTheme="majorBidi" w:hAnsiTheme="majorBidi"/>
          <w:i/>
          <w:sz w:val="24"/>
          <w:szCs w:val="24"/>
        </w:rPr>
        <w:t>Voksne</w:t>
      </w:r>
    </w:p>
    <w:p w14:paraId="21AC387D" w14:textId="77777777" w:rsidR="00D2435F" w:rsidRPr="00D2435F" w:rsidRDefault="00D2435F" w:rsidP="00D2435F">
      <w:pPr>
        <w:keepNext/>
        <w:keepLines/>
        <w:ind w:left="851"/>
        <w:rPr>
          <w:rFonts w:asciiTheme="majorBidi" w:hAnsiTheme="majorBidi" w:cstheme="majorBidi"/>
          <w:iCs/>
          <w:sz w:val="24"/>
          <w:szCs w:val="24"/>
        </w:rPr>
      </w:pPr>
      <w:r w:rsidRPr="00D2435F">
        <w:rPr>
          <w:rFonts w:asciiTheme="majorBidi" w:hAnsiTheme="majorBidi" w:cstheme="majorBidi"/>
          <w:iCs/>
          <w:sz w:val="24"/>
          <w:szCs w:val="24"/>
        </w:rPr>
        <w:t>Dette produkt kan anvendes med en dosisoptrapningsplan på 5-10-15 mg samt med en dosisoptrapningsplan på 3-6-9-12 mg.</w:t>
      </w:r>
    </w:p>
    <w:p w14:paraId="66FFCDB4" w14:textId="77777777" w:rsidR="00D2435F" w:rsidRPr="00D2435F" w:rsidRDefault="00D2435F" w:rsidP="00D2435F">
      <w:pPr>
        <w:keepNext/>
        <w:keepLines/>
        <w:ind w:left="851"/>
        <w:rPr>
          <w:rFonts w:asciiTheme="majorBidi" w:hAnsiTheme="majorBidi" w:cstheme="majorBidi"/>
          <w:iCs/>
          <w:sz w:val="24"/>
          <w:szCs w:val="24"/>
        </w:rPr>
      </w:pPr>
    </w:p>
    <w:p w14:paraId="7E83585D" w14:textId="77777777" w:rsidR="00D2435F" w:rsidRPr="00D2435F" w:rsidRDefault="00D2435F" w:rsidP="00D2435F">
      <w:pPr>
        <w:keepNext/>
        <w:keepLines/>
        <w:ind w:left="851"/>
        <w:rPr>
          <w:rFonts w:asciiTheme="majorBidi" w:hAnsiTheme="majorBidi" w:cstheme="majorBidi"/>
          <w:iCs/>
          <w:sz w:val="24"/>
          <w:szCs w:val="24"/>
          <w:u w:val="single"/>
        </w:rPr>
      </w:pPr>
      <w:r w:rsidRPr="00D2435F">
        <w:rPr>
          <w:rFonts w:asciiTheme="majorBidi" w:hAnsiTheme="majorBidi" w:cstheme="majorBidi"/>
          <w:iCs/>
          <w:sz w:val="24"/>
          <w:szCs w:val="24"/>
          <w:u w:val="single"/>
        </w:rPr>
        <w:t>5-10-15 mg dosisoptrapningsplan</w:t>
      </w:r>
    </w:p>
    <w:p w14:paraId="0FE1F028" w14:textId="77777777" w:rsidR="00D2435F" w:rsidRPr="00D2435F" w:rsidRDefault="00D2435F" w:rsidP="00D2435F">
      <w:pPr>
        <w:ind w:left="851"/>
        <w:rPr>
          <w:rFonts w:asciiTheme="majorBidi" w:hAnsiTheme="majorBidi"/>
          <w:sz w:val="24"/>
          <w:szCs w:val="24"/>
        </w:rPr>
      </w:pPr>
      <w:r w:rsidRPr="00D2435F">
        <w:rPr>
          <w:rFonts w:asciiTheme="majorBidi" w:hAnsiTheme="majorBidi"/>
          <w:sz w:val="24"/>
          <w:szCs w:val="24"/>
        </w:rPr>
        <w:t>Indledningsvis administreres 5 mg som en hurtig intravenøs injektion over 1-2 sekunder, efterfulgt af en skylning med fysiologisk saltopløsning (ca. 5 ml). Om nødvendigt administreres yderligere 10 mg (efterfulgt af en skylning) inden for 1-2 minutter. Hvis det ønskede resultat stadig ikke opnås, kan dosis øges endnu en gang til 15 mg, indtil der opnås AV-blok. Behandlingen kan gentages 2 gange med et interval på 1-2 minutter. Doser over 15 mg er normalt ikke nødvendige.</w:t>
      </w:r>
    </w:p>
    <w:p w14:paraId="69C6F87C" w14:textId="77777777" w:rsidR="00D2435F" w:rsidRPr="00D2435F" w:rsidRDefault="00D2435F" w:rsidP="00D2435F">
      <w:pPr>
        <w:ind w:left="851"/>
        <w:rPr>
          <w:rFonts w:asciiTheme="majorBidi" w:hAnsiTheme="majorBidi"/>
          <w:sz w:val="24"/>
          <w:szCs w:val="24"/>
        </w:rPr>
      </w:pPr>
    </w:p>
    <w:p w14:paraId="1137919B" w14:textId="77777777" w:rsidR="00D2435F" w:rsidRDefault="00D2435F" w:rsidP="00D2435F">
      <w:pPr>
        <w:keepNext/>
        <w:keepLines/>
        <w:jc w:val="center"/>
        <w:rPr>
          <w:rFonts w:asciiTheme="majorBidi" w:hAnsiTheme="majorBidi"/>
          <w:b/>
          <w:sz w:val="22"/>
        </w:rPr>
      </w:pPr>
      <w:r>
        <w:rPr>
          <w:rFonts w:asciiTheme="majorBidi" w:hAnsiTheme="majorBidi"/>
          <w:b/>
          <w:sz w:val="22"/>
        </w:rPr>
        <w:t>Antal ml opløsning, der skal tages fra ampullen/hætteglasset</w:t>
      </w:r>
    </w:p>
    <w:p w14:paraId="1BD991A5" w14:textId="77777777" w:rsidR="00D2435F" w:rsidRDefault="00D2435F" w:rsidP="00D2435F">
      <w:pPr>
        <w:keepNext/>
        <w:keepLines/>
        <w:jc w:val="center"/>
        <w:rPr>
          <w:rFonts w:asciiTheme="majorBidi" w:hAnsiTheme="majorBidi"/>
          <w:b/>
          <w:sz w:val="22"/>
        </w:rPr>
      </w:pPr>
    </w:p>
    <w:tbl>
      <w:tblPr>
        <w:tblStyle w:val="Tabel-Gitter"/>
        <w:tblW w:w="0" w:type="auto"/>
        <w:jc w:val="center"/>
        <w:tblInd w:w="0" w:type="dxa"/>
        <w:tblLook w:val="04A0" w:firstRow="1" w:lastRow="0" w:firstColumn="1" w:lastColumn="0" w:noHBand="0" w:noVBand="1"/>
      </w:tblPr>
      <w:tblGrid>
        <w:gridCol w:w="1838"/>
        <w:gridCol w:w="4678"/>
      </w:tblGrid>
      <w:tr w:rsidR="00D2435F" w14:paraId="4FA710CA" w14:textId="77777777" w:rsidTr="00D2435F">
        <w:trPr>
          <w:jc w:val="center"/>
        </w:trPr>
        <w:tc>
          <w:tcPr>
            <w:tcW w:w="1838" w:type="dxa"/>
            <w:tcBorders>
              <w:top w:val="single" w:sz="4" w:space="0" w:color="auto"/>
              <w:left w:val="single" w:sz="4" w:space="0" w:color="auto"/>
              <w:bottom w:val="single" w:sz="4" w:space="0" w:color="auto"/>
              <w:right w:val="single" w:sz="4" w:space="0" w:color="auto"/>
            </w:tcBorders>
            <w:hideMark/>
          </w:tcPr>
          <w:p w14:paraId="04B53279" w14:textId="77777777" w:rsidR="00D2435F" w:rsidRDefault="00D2435F">
            <w:pPr>
              <w:keepNext/>
              <w:keepLines/>
              <w:jc w:val="center"/>
              <w:rPr>
                <w:rFonts w:asciiTheme="majorBidi" w:hAnsiTheme="majorBidi" w:cstheme="majorBidi"/>
                <w:b/>
                <w:sz w:val="22"/>
                <w:szCs w:val="22"/>
                <w:lang w:eastAsia="ja-JP"/>
              </w:rPr>
            </w:pPr>
            <w:r>
              <w:rPr>
                <w:rFonts w:asciiTheme="majorBidi" w:hAnsiTheme="majorBidi" w:cstheme="majorBidi"/>
                <w:b/>
                <w:sz w:val="22"/>
                <w:szCs w:val="22"/>
                <w:lang w:eastAsia="ja-JP"/>
              </w:rPr>
              <w:t>Dosis</w:t>
            </w:r>
          </w:p>
        </w:tc>
        <w:tc>
          <w:tcPr>
            <w:tcW w:w="4678" w:type="dxa"/>
            <w:tcBorders>
              <w:top w:val="single" w:sz="4" w:space="0" w:color="auto"/>
              <w:left w:val="single" w:sz="4" w:space="0" w:color="auto"/>
              <w:bottom w:val="single" w:sz="4" w:space="0" w:color="auto"/>
              <w:right w:val="single" w:sz="4" w:space="0" w:color="auto"/>
            </w:tcBorders>
            <w:hideMark/>
          </w:tcPr>
          <w:p w14:paraId="365E0308" w14:textId="77777777" w:rsidR="00D2435F" w:rsidRDefault="00D2435F">
            <w:pPr>
              <w:keepNext/>
              <w:keepLines/>
              <w:jc w:val="center"/>
              <w:rPr>
                <w:rFonts w:asciiTheme="majorBidi" w:hAnsiTheme="majorBidi" w:cstheme="majorBidi"/>
                <w:b/>
                <w:sz w:val="22"/>
                <w:szCs w:val="22"/>
                <w:lang w:val="da-DK" w:eastAsia="ja-JP"/>
              </w:rPr>
            </w:pPr>
            <w:r>
              <w:rPr>
                <w:rFonts w:asciiTheme="majorBidi" w:hAnsiTheme="majorBidi" w:cstheme="majorBidi"/>
                <w:b/>
                <w:sz w:val="22"/>
                <w:szCs w:val="22"/>
                <w:lang w:val="da-DK" w:eastAsia="ja-JP"/>
              </w:rPr>
              <w:t>Antal ml opløsning, der skal tages fra ampullen/hætteglasset</w:t>
            </w:r>
          </w:p>
        </w:tc>
      </w:tr>
      <w:tr w:rsidR="00D2435F" w14:paraId="205FE308" w14:textId="77777777" w:rsidTr="00D2435F">
        <w:trPr>
          <w:jc w:val="center"/>
        </w:trPr>
        <w:tc>
          <w:tcPr>
            <w:tcW w:w="1838" w:type="dxa"/>
            <w:tcBorders>
              <w:top w:val="single" w:sz="4" w:space="0" w:color="auto"/>
              <w:left w:val="single" w:sz="4" w:space="0" w:color="auto"/>
              <w:bottom w:val="single" w:sz="4" w:space="0" w:color="auto"/>
              <w:right w:val="single" w:sz="4" w:space="0" w:color="auto"/>
            </w:tcBorders>
            <w:hideMark/>
          </w:tcPr>
          <w:p w14:paraId="573BE8C7" w14:textId="77777777" w:rsidR="00D2435F" w:rsidRDefault="00D2435F">
            <w:pPr>
              <w:keepNext/>
              <w:keepLines/>
              <w:jc w:val="center"/>
              <w:rPr>
                <w:rFonts w:asciiTheme="majorBidi" w:hAnsiTheme="majorBidi" w:cstheme="majorBidi"/>
                <w:bCs/>
                <w:sz w:val="22"/>
                <w:szCs w:val="22"/>
                <w:lang w:eastAsia="ja-JP"/>
              </w:rPr>
            </w:pPr>
            <w:r>
              <w:rPr>
                <w:rFonts w:asciiTheme="majorBidi" w:hAnsiTheme="majorBidi" w:cstheme="majorBidi"/>
                <w:bCs/>
                <w:sz w:val="22"/>
                <w:szCs w:val="22"/>
                <w:lang w:eastAsia="ja-JP"/>
              </w:rPr>
              <w:t>5 mg</w:t>
            </w:r>
          </w:p>
        </w:tc>
        <w:tc>
          <w:tcPr>
            <w:tcW w:w="4678" w:type="dxa"/>
            <w:tcBorders>
              <w:top w:val="single" w:sz="4" w:space="0" w:color="auto"/>
              <w:left w:val="single" w:sz="4" w:space="0" w:color="auto"/>
              <w:bottom w:val="single" w:sz="4" w:space="0" w:color="auto"/>
              <w:right w:val="single" w:sz="4" w:space="0" w:color="auto"/>
            </w:tcBorders>
            <w:hideMark/>
          </w:tcPr>
          <w:p w14:paraId="305DFA81" w14:textId="77777777" w:rsidR="00D2435F" w:rsidRDefault="00D2435F">
            <w:pPr>
              <w:keepNext/>
              <w:keepLines/>
              <w:jc w:val="center"/>
              <w:rPr>
                <w:rFonts w:asciiTheme="majorBidi" w:hAnsiTheme="majorBidi" w:cstheme="majorBidi"/>
                <w:bCs/>
                <w:sz w:val="22"/>
                <w:szCs w:val="22"/>
                <w:lang w:eastAsia="ja-JP"/>
              </w:rPr>
            </w:pPr>
            <w:r>
              <w:rPr>
                <w:rFonts w:asciiTheme="majorBidi" w:hAnsiTheme="majorBidi" w:cstheme="majorBidi"/>
                <w:bCs/>
                <w:sz w:val="22"/>
                <w:szCs w:val="22"/>
                <w:lang w:eastAsia="ja-JP"/>
              </w:rPr>
              <w:t>1 ml</w:t>
            </w:r>
          </w:p>
        </w:tc>
      </w:tr>
      <w:tr w:rsidR="00D2435F" w14:paraId="62E9CED2" w14:textId="77777777" w:rsidTr="00D2435F">
        <w:trPr>
          <w:jc w:val="center"/>
        </w:trPr>
        <w:tc>
          <w:tcPr>
            <w:tcW w:w="1838" w:type="dxa"/>
            <w:tcBorders>
              <w:top w:val="single" w:sz="4" w:space="0" w:color="auto"/>
              <w:left w:val="single" w:sz="4" w:space="0" w:color="auto"/>
              <w:bottom w:val="single" w:sz="4" w:space="0" w:color="auto"/>
              <w:right w:val="single" w:sz="4" w:space="0" w:color="auto"/>
            </w:tcBorders>
            <w:hideMark/>
          </w:tcPr>
          <w:p w14:paraId="19957E47" w14:textId="77777777" w:rsidR="00D2435F" w:rsidRDefault="00D2435F">
            <w:pPr>
              <w:keepNext/>
              <w:keepLines/>
              <w:jc w:val="center"/>
              <w:rPr>
                <w:rFonts w:asciiTheme="majorBidi" w:hAnsiTheme="majorBidi" w:cstheme="majorBidi"/>
                <w:bCs/>
                <w:sz w:val="22"/>
                <w:szCs w:val="22"/>
                <w:lang w:eastAsia="ja-JP"/>
              </w:rPr>
            </w:pPr>
            <w:r>
              <w:rPr>
                <w:rFonts w:asciiTheme="majorBidi" w:hAnsiTheme="majorBidi" w:cstheme="majorBidi"/>
                <w:bCs/>
                <w:sz w:val="22"/>
                <w:szCs w:val="22"/>
                <w:lang w:eastAsia="ja-JP"/>
              </w:rPr>
              <w:t>10 mg</w:t>
            </w:r>
          </w:p>
        </w:tc>
        <w:tc>
          <w:tcPr>
            <w:tcW w:w="4678" w:type="dxa"/>
            <w:tcBorders>
              <w:top w:val="single" w:sz="4" w:space="0" w:color="auto"/>
              <w:left w:val="single" w:sz="4" w:space="0" w:color="auto"/>
              <w:bottom w:val="single" w:sz="4" w:space="0" w:color="auto"/>
              <w:right w:val="single" w:sz="4" w:space="0" w:color="auto"/>
            </w:tcBorders>
            <w:hideMark/>
          </w:tcPr>
          <w:p w14:paraId="171A3181" w14:textId="77777777" w:rsidR="00D2435F" w:rsidRDefault="00D2435F">
            <w:pPr>
              <w:keepNext/>
              <w:keepLines/>
              <w:jc w:val="center"/>
              <w:rPr>
                <w:rFonts w:asciiTheme="majorBidi" w:hAnsiTheme="majorBidi" w:cstheme="majorBidi"/>
                <w:bCs/>
                <w:sz w:val="22"/>
                <w:szCs w:val="22"/>
                <w:lang w:eastAsia="ja-JP"/>
              </w:rPr>
            </w:pPr>
            <w:r>
              <w:rPr>
                <w:rFonts w:asciiTheme="majorBidi" w:hAnsiTheme="majorBidi" w:cstheme="majorBidi"/>
                <w:bCs/>
                <w:sz w:val="22"/>
                <w:szCs w:val="22"/>
                <w:lang w:eastAsia="ja-JP"/>
              </w:rPr>
              <w:t>2 ml</w:t>
            </w:r>
          </w:p>
        </w:tc>
      </w:tr>
      <w:tr w:rsidR="00D2435F" w14:paraId="3F301CA9" w14:textId="77777777" w:rsidTr="00D2435F">
        <w:trPr>
          <w:jc w:val="center"/>
        </w:trPr>
        <w:tc>
          <w:tcPr>
            <w:tcW w:w="1838" w:type="dxa"/>
            <w:tcBorders>
              <w:top w:val="single" w:sz="4" w:space="0" w:color="auto"/>
              <w:left w:val="single" w:sz="4" w:space="0" w:color="auto"/>
              <w:bottom w:val="single" w:sz="4" w:space="0" w:color="auto"/>
              <w:right w:val="single" w:sz="4" w:space="0" w:color="auto"/>
            </w:tcBorders>
            <w:hideMark/>
          </w:tcPr>
          <w:p w14:paraId="3EB02787" w14:textId="77777777" w:rsidR="00D2435F" w:rsidRDefault="00D2435F">
            <w:pPr>
              <w:keepNext/>
              <w:keepLines/>
              <w:jc w:val="center"/>
              <w:rPr>
                <w:rFonts w:asciiTheme="majorBidi" w:hAnsiTheme="majorBidi" w:cstheme="majorBidi"/>
                <w:bCs/>
                <w:sz w:val="22"/>
                <w:szCs w:val="22"/>
                <w:lang w:eastAsia="ja-JP"/>
              </w:rPr>
            </w:pPr>
            <w:r>
              <w:rPr>
                <w:rFonts w:asciiTheme="majorBidi" w:hAnsiTheme="majorBidi" w:cstheme="majorBidi"/>
                <w:bCs/>
                <w:sz w:val="22"/>
                <w:szCs w:val="22"/>
                <w:lang w:eastAsia="ja-JP"/>
              </w:rPr>
              <w:t>15 mg</w:t>
            </w:r>
          </w:p>
        </w:tc>
        <w:tc>
          <w:tcPr>
            <w:tcW w:w="4678" w:type="dxa"/>
            <w:tcBorders>
              <w:top w:val="single" w:sz="4" w:space="0" w:color="auto"/>
              <w:left w:val="single" w:sz="4" w:space="0" w:color="auto"/>
              <w:bottom w:val="single" w:sz="4" w:space="0" w:color="auto"/>
              <w:right w:val="single" w:sz="4" w:space="0" w:color="auto"/>
            </w:tcBorders>
            <w:hideMark/>
          </w:tcPr>
          <w:p w14:paraId="06E94CB3" w14:textId="77777777" w:rsidR="00D2435F" w:rsidRDefault="00D2435F">
            <w:pPr>
              <w:keepNext/>
              <w:keepLines/>
              <w:jc w:val="center"/>
              <w:rPr>
                <w:rFonts w:asciiTheme="majorBidi" w:hAnsiTheme="majorBidi" w:cstheme="majorBidi"/>
                <w:bCs/>
                <w:sz w:val="22"/>
                <w:szCs w:val="22"/>
                <w:lang w:eastAsia="ja-JP"/>
              </w:rPr>
            </w:pPr>
            <w:r>
              <w:rPr>
                <w:rFonts w:asciiTheme="majorBidi" w:hAnsiTheme="majorBidi" w:cstheme="majorBidi"/>
                <w:bCs/>
                <w:sz w:val="22"/>
                <w:szCs w:val="22"/>
                <w:lang w:eastAsia="ja-JP"/>
              </w:rPr>
              <w:t>3 ml</w:t>
            </w:r>
          </w:p>
        </w:tc>
      </w:tr>
    </w:tbl>
    <w:p w14:paraId="33C84AA0" w14:textId="77777777" w:rsidR="00D2435F" w:rsidRDefault="00D2435F" w:rsidP="00D2435F">
      <w:pPr>
        <w:rPr>
          <w:rFonts w:asciiTheme="majorBidi" w:hAnsiTheme="majorBidi" w:cstheme="majorBidi"/>
          <w:sz w:val="22"/>
          <w:szCs w:val="22"/>
          <w:lang w:val="en-GB" w:eastAsia="da-DK"/>
        </w:rPr>
      </w:pPr>
    </w:p>
    <w:p w14:paraId="25E39DB0" w14:textId="77777777" w:rsidR="00D2435F" w:rsidRPr="00D2435F" w:rsidRDefault="00D2435F" w:rsidP="00D2435F">
      <w:pPr>
        <w:ind w:left="851"/>
        <w:rPr>
          <w:rFonts w:asciiTheme="majorBidi" w:hAnsiTheme="majorBidi" w:cstheme="majorBidi"/>
          <w:sz w:val="24"/>
          <w:szCs w:val="24"/>
        </w:rPr>
      </w:pPr>
    </w:p>
    <w:p w14:paraId="2825404E" w14:textId="77777777" w:rsidR="00D2435F" w:rsidRPr="00D2435F" w:rsidRDefault="00D2435F" w:rsidP="00D2435F">
      <w:pPr>
        <w:keepNext/>
        <w:keepLines/>
        <w:ind w:left="851"/>
        <w:rPr>
          <w:rFonts w:asciiTheme="majorBidi" w:hAnsiTheme="majorBidi" w:cstheme="majorBidi"/>
          <w:iCs/>
          <w:sz w:val="24"/>
          <w:szCs w:val="24"/>
          <w:u w:val="single"/>
        </w:rPr>
      </w:pPr>
      <w:r w:rsidRPr="00D2435F">
        <w:rPr>
          <w:rFonts w:asciiTheme="majorBidi" w:hAnsiTheme="majorBidi" w:cstheme="majorBidi"/>
          <w:iCs/>
          <w:sz w:val="24"/>
          <w:szCs w:val="24"/>
          <w:u w:val="single"/>
        </w:rPr>
        <w:t>3-6-9-12 mg dosisoptrapningsplan</w:t>
      </w:r>
    </w:p>
    <w:p w14:paraId="3820C23C" w14:textId="77777777" w:rsidR="00D2435F" w:rsidRPr="00D2435F" w:rsidRDefault="00D2435F" w:rsidP="00D2435F">
      <w:pPr>
        <w:ind w:left="851"/>
        <w:rPr>
          <w:rFonts w:asciiTheme="majorBidi" w:hAnsiTheme="majorBidi"/>
          <w:sz w:val="24"/>
          <w:szCs w:val="24"/>
        </w:rPr>
      </w:pPr>
      <w:r w:rsidRPr="00D2435F">
        <w:rPr>
          <w:rFonts w:asciiTheme="majorBidi" w:hAnsiTheme="majorBidi"/>
          <w:sz w:val="24"/>
          <w:szCs w:val="24"/>
        </w:rPr>
        <w:t xml:space="preserve">Indledningsvis administreres 3 mg som en hurtig intravenøs injektion over 1-2 sekunder, efterfulgt af en skylning med fysiologisk saltopløsning (ca. 5 ml). Om nødvendigt administreres yderligere 6 (efterfulgt af en skylning) inden for 1-2 minutter. Hvis det stadig er nødvendigt administreres yderligere 9 mg (efterfulgt af en skylning) inden for 1-2 minutter. Hvis det ønskede resultat stadig ikke opnås, kan dosis øges endnu en gang til 12 mg, indtil der opnås AV-blok. </w:t>
      </w:r>
    </w:p>
    <w:p w14:paraId="5BC83FBA" w14:textId="77777777" w:rsidR="00D2435F" w:rsidRPr="00D2435F" w:rsidRDefault="00D2435F" w:rsidP="00D2435F">
      <w:pPr>
        <w:ind w:left="851"/>
        <w:rPr>
          <w:rFonts w:asciiTheme="majorBidi" w:hAnsiTheme="majorBidi"/>
          <w:sz w:val="24"/>
          <w:szCs w:val="24"/>
        </w:rPr>
      </w:pPr>
    </w:p>
    <w:p w14:paraId="2C41AACC" w14:textId="77777777" w:rsidR="00D2435F" w:rsidRDefault="00D2435F" w:rsidP="00D2435F">
      <w:pPr>
        <w:keepNext/>
        <w:keepLines/>
        <w:jc w:val="center"/>
        <w:rPr>
          <w:rFonts w:asciiTheme="majorBidi" w:hAnsiTheme="majorBidi"/>
          <w:b/>
          <w:sz w:val="22"/>
        </w:rPr>
      </w:pPr>
      <w:r>
        <w:rPr>
          <w:rFonts w:asciiTheme="majorBidi" w:hAnsiTheme="majorBidi"/>
          <w:b/>
          <w:sz w:val="22"/>
        </w:rPr>
        <w:lastRenderedPageBreak/>
        <w:t>Antal ml opløsning, der skal tages fra ampullen/hætteglasset</w:t>
      </w:r>
    </w:p>
    <w:p w14:paraId="6E4220FC" w14:textId="77777777" w:rsidR="00D2435F" w:rsidRDefault="00D2435F" w:rsidP="00D2435F">
      <w:pPr>
        <w:keepNext/>
        <w:keepLines/>
        <w:jc w:val="center"/>
        <w:rPr>
          <w:rFonts w:asciiTheme="majorBidi" w:hAnsiTheme="majorBidi"/>
          <w:b/>
          <w:sz w:val="22"/>
        </w:rPr>
      </w:pPr>
    </w:p>
    <w:tbl>
      <w:tblPr>
        <w:tblStyle w:val="Tabel-Gitter"/>
        <w:tblW w:w="0" w:type="auto"/>
        <w:jc w:val="center"/>
        <w:tblInd w:w="0" w:type="dxa"/>
        <w:tblLook w:val="04A0" w:firstRow="1" w:lastRow="0" w:firstColumn="1" w:lastColumn="0" w:noHBand="0" w:noVBand="1"/>
      </w:tblPr>
      <w:tblGrid>
        <w:gridCol w:w="1838"/>
        <w:gridCol w:w="4678"/>
      </w:tblGrid>
      <w:tr w:rsidR="00D2435F" w14:paraId="3A17A637" w14:textId="77777777" w:rsidTr="00D2435F">
        <w:trPr>
          <w:jc w:val="center"/>
        </w:trPr>
        <w:tc>
          <w:tcPr>
            <w:tcW w:w="1838" w:type="dxa"/>
            <w:tcBorders>
              <w:top w:val="single" w:sz="4" w:space="0" w:color="auto"/>
              <w:left w:val="single" w:sz="4" w:space="0" w:color="auto"/>
              <w:bottom w:val="single" w:sz="4" w:space="0" w:color="auto"/>
              <w:right w:val="single" w:sz="4" w:space="0" w:color="auto"/>
            </w:tcBorders>
            <w:hideMark/>
          </w:tcPr>
          <w:p w14:paraId="79F84B52" w14:textId="77777777" w:rsidR="00D2435F" w:rsidRDefault="00D2435F">
            <w:pPr>
              <w:keepNext/>
              <w:keepLines/>
              <w:jc w:val="center"/>
              <w:rPr>
                <w:rFonts w:asciiTheme="majorBidi" w:hAnsiTheme="majorBidi" w:cstheme="majorBidi"/>
                <w:b/>
                <w:sz w:val="22"/>
                <w:szCs w:val="22"/>
                <w:lang w:eastAsia="ja-JP"/>
              </w:rPr>
            </w:pPr>
            <w:r>
              <w:rPr>
                <w:rFonts w:asciiTheme="majorBidi" w:hAnsiTheme="majorBidi" w:cstheme="majorBidi"/>
                <w:b/>
                <w:sz w:val="22"/>
                <w:szCs w:val="22"/>
                <w:lang w:eastAsia="ja-JP"/>
              </w:rPr>
              <w:t>Dosis</w:t>
            </w:r>
          </w:p>
        </w:tc>
        <w:tc>
          <w:tcPr>
            <w:tcW w:w="4678" w:type="dxa"/>
            <w:tcBorders>
              <w:top w:val="single" w:sz="4" w:space="0" w:color="auto"/>
              <w:left w:val="single" w:sz="4" w:space="0" w:color="auto"/>
              <w:bottom w:val="single" w:sz="4" w:space="0" w:color="auto"/>
              <w:right w:val="single" w:sz="4" w:space="0" w:color="auto"/>
            </w:tcBorders>
            <w:hideMark/>
          </w:tcPr>
          <w:p w14:paraId="456E78A8" w14:textId="77777777" w:rsidR="00D2435F" w:rsidRDefault="00D2435F">
            <w:pPr>
              <w:keepNext/>
              <w:keepLines/>
              <w:jc w:val="center"/>
              <w:rPr>
                <w:rFonts w:asciiTheme="majorBidi" w:hAnsiTheme="majorBidi" w:cstheme="majorBidi"/>
                <w:b/>
                <w:sz w:val="22"/>
                <w:szCs w:val="22"/>
                <w:lang w:val="da-DK" w:eastAsia="ja-JP"/>
              </w:rPr>
            </w:pPr>
            <w:r>
              <w:rPr>
                <w:rFonts w:asciiTheme="majorBidi" w:hAnsiTheme="majorBidi" w:cstheme="majorBidi"/>
                <w:b/>
                <w:sz w:val="22"/>
                <w:szCs w:val="22"/>
                <w:lang w:val="da-DK" w:eastAsia="ja-JP"/>
              </w:rPr>
              <w:t>Antal ml opløsning, der skal tages fra ampullen/hætteglasset</w:t>
            </w:r>
          </w:p>
        </w:tc>
      </w:tr>
      <w:tr w:rsidR="00D2435F" w14:paraId="15C541D4" w14:textId="77777777" w:rsidTr="00D2435F">
        <w:trPr>
          <w:jc w:val="center"/>
        </w:trPr>
        <w:tc>
          <w:tcPr>
            <w:tcW w:w="1838" w:type="dxa"/>
            <w:tcBorders>
              <w:top w:val="single" w:sz="4" w:space="0" w:color="auto"/>
              <w:left w:val="single" w:sz="4" w:space="0" w:color="auto"/>
              <w:bottom w:val="single" w:sz="4" w:space="0" w:color="auto"/>
              <w:right w:val="single" w:sz="4" w:space="0" w:color="auto"/>
            </w:tcBorders>
            <w:hideMark/>
          </w:tcPr>
          <w:p w14:paraId="38505603" w14:textId="77777777" w:rsidR="00D2435F" w:rsidRDefault="00D2435F">
            <w:pPr>
              <w:keepNext/>
              <w:keepLines/>
              <w:jc w:val="center"/>
              <w:rPr>
                <w:rFonts w:asciiTheme="majorBidi" w:hAnsiTheme="majorBidi" w:cstheme="majorBidi"/>
                <w:bCs/>
                <w:sz w:val="22"/>
                <w:szCs w:val="22"/>
                <w:lang w:eastAsia="ja-JP"/>
              </w:rPr>
            </w:pPr>
            <w:r>
              <w:rPr>
                <w:rFonts w:asciiTheme="majorBidi" w:hAnsiTheme="majorBidi" w:cstheme="majorBidi"/>
                <w:bCs/>
                <w:sz w:val="22"/>
                <w:szCs w:val="22"/>
                <w:lang w:eastAsia="ja-JP"/>
              </w:rPr>
              <w:t>3 mg</w:t>
            </w:r>
          </w:p>
        </w:tc>
        <w:tc>
          <w:tcPr>
            <w:tcW w:w="4678" w:type="dxa"/>
            <w:tcBorders>
              <w:top w:val="single" w:sz="4" w:space="0" w:color="auto"/>
              <w:left w:val="single" w:sz="4" w:space="0" w:color="auto"/>
              <w:bottom w:val="single" w:sz="4" w:space="0" w:color="auto"/>
              <w:right w:val="single" w:sz="4" w:space="0" w:color="auto"/>
            </w:tcBorders>
            <w:hideMark/>
          </w:tcPr>
          <w:p w14:paraId="7D00763F" w14:textId="77777777" w:rsidR="00D2435F" w:rsidRDefault="00D2435F">
            <w:pPr>
              <w:keepNext/>
              <w:keepLines/>
              <w:jc w:val="center"/>
              <w:rPr>
                <w:rFonts w:asciiTheme="majorBidi" w:hAnsiTheme="majorBidi" w:cstheme="majorBidi"/>
                <w:bCs/>
                <w:sz w:val="22"/>
                <w:szCs w:val="22"/>
                <w:lang w:eastAsia="ja-JP"/>
              </w:rPr>
            </w:pPr>
            <w:r>
              <w:rPr>
                <w:rFonts w:asciiTheme="majorBidi" w:hAnsiTheme="majorBidi" w:cstheme="majorBidi"/>
                <w:bCs/>
                <w:sz w:val="22"/>
                <w:szCs w:val="22"/>
                <w:lang w:eastAsia="ja-JP"/>
              </w:rPr>
              <w:t>0,6 ml</w:t>
            </w:r>
          </w:p>
        </w:tc>
      </w:tr>
      <w:tr w:rsidR="00D2435F" w14:paraId="41901EF1" w14:textId="77777777" w:rsidTr="00D2435F">
        <w:trPr>
          <w:jc w:val="center"/>
        </w:trPr>
        <w:tc>
          <w:tcPr>
            <w:tcW w:w="1838" w:type="dxa"/>
            <w:tcBorders>
              <w:top w:val="single" w:sz="4" w:space="0" w:color="auto"/>
              <w:left w:val="single" w:sz="4" w:space="0" w:color="auto"/>
              <w:bottom w:val="single" w:sz="4" w:space="0" w:color="auto"/>
              <w:right w:val="single" w:sz="4" w:space="0" w:color="auto"/>
            </w:tcBorders>
            <w:hideMark/>
          </w:tcPr>
          <w:p w14:paraId="4B7B2E11" w14:textId="77777777" w:rsidR="00D2435F" w:rsidRDefault="00D2435F">
            <w:pPr>
              <w:keepNext/>
              <w:keepLines/>
              <w:jc w:val="center"/>
              <w:rPr>
                <w:rFonts w:asciiTheme="majorBidi" w:hAnsiTheme="majorBidi" w:cstheme="majorBidi"/>
                <w:bCs/>
                <w:sz w:val="22"/>
                <w:szCs w:val="22"/>
                <w:lang w:eastAsia="ja-JP"/>
              </w:rPr>
            </w:pPr>
            <w:r>
              <w:rPr>
                <w:rFonts w:asciiTheme="majorBidi" w:hAnsiTheme="majorBidi" w:cstheme="majorBidi"/>
                <w:bCs/>
                <w:sz w:val="22"/>
                <w:szCs w:val="22"/>
                <w:lang w:eastAsia="ja-JP"/>
              </w:rPr>
              <w:t>6 mg</w:t>
            </w:r>
          </w:p>
        </w:tc>
        <w:tc>
          <w:tcPr>
            <w:tcW w:w="4678" w:type="dxa"/>
            <w:tcBorders>
              <w:top w:val="single" w:sz="4" w:space="0" w:color="auto"/>
              <w:left w:val="single" w:sz="4" w:space="0" w:color="auto"/>
              <w:bottom w:val="single" w:sz="4" w:space="0" w:color="auto"/>
              <w:right w:val="single" w:sz="4" w:space="0" w:color="auto"/>
            </w:tcBorders>
            <w:hideMark/>
          </w:tcPr>
          <w:p w14:paraId="4FA32A07" w14:textId="77777777" w:rsidR="00D2435F" w:rsidRDefault="00D2435F">
            <w:pPr>
              <w:keepNext/>
              <w:keepLines/>
              <w:jc w:val="center"/>
              <w:rPr>
                <w:rFonts w:asciiTheme="majorBidi" w:hAnsiTheme="majorBidi" w:cstheme="majorBidi"/>
                <w:bCs/>
                <w:sz w:val="22"/>
                <w:szCs w:val="22"/>
                <w:lang w:eastAsia="ja-JP"/>
              </w:rPr>
            </w:pPr>
            <w:r>
              <w:rPr>
                <w:rFonts w:asciiTheme="majorBidi" w:hAnsiTheme="majorBidi" w:cstheme="majorBidi"/>
                <w:bCs/>
                <w:sz w:val="22"/>
                <w:szCs w:val="22"/>
                <w:lang w:eastAsia="ja-JP"/>
              </w:rPr>
              <w:t>1,2 ml</w:t>
            </w:r>
          </w:p>
        </w:tc>
      </w:tr>
      <w:tr w:rsidR="00D2435F" w14:paraId="7EC11BF6" w14:textId="77777777" w:rsidTr="00D2435F">
        <w:trPr>
          <w:jc w:val="center"/>
        </w:trPr>
        <w:tc>
          <w:tcPr>
            <w:tcW w:w="1838" w:type="dxa"/>
            <w:tcBorders>
              <w:top w:val="single" w:sz="4" w:space="0" w:color="auto"/>
              <w:left w:val="single" w:sz="4" w:space="0" w:color="auto"/>
              <w:bottom w:val="single" w:sz="4" w:space="0" w:color="auto"/>
              <w:right w:val="single" w:sz="4" w:space="0" w:color="auto"/>
            </w:tcBorders>
            <w:hideMark/>
          </w:tcPr>
          <w:p w14:paraId="50FFD991" w14:textId="77777777" w:rsidR="00D2435F" w:rsidRDefault="00D2435F">
            <w:pPr>
              <w:keepNext/>
              <w:keepLines/>
              <w:jc w:val="center"/>
              <w:rPr>
                <w:rFonts w:asciiTheme="majorBidi" w:hAnsiTheme="majorBidi" w:cstheme="majorBidi"/>
                <w:bCs/>
                <w:sz w:val="22"/>
                <w:szCs w:val="22"/>
                <w:lang w:eastAsia="ja-JP"/>
              </w:rPr>
            </w:pPr>
            <w:r>
              <w:rPr>
                <w:rFonts w:asciiTheme="majorBidi" w:hAnsiTheme="majorBidi" w:cstheme="majorBidi"/>
                <w:bCs/>
                <w:sz w:val="22"/>
                <w:szCs w:val="22"/>
                <w:lang w:eastAsia="ja-JP"/>
              </w:rPr>
              <w:t>9 mg</w:t>
            </w:r>
          </w:p>
        </w:tc>
        <w:tc>
          <w:tcPr>
            <w:tcW w:w="4678" w:type="dxa"/>
            <w:tcBorders>
              <w:top w:val="single" w:sz="4" w:space="0" w:color="auto"/>
              <w:left w:val="single" w:sz="4" w:space="0" w:color="auto"/>
              <w:bottom w:val="single" w:sz="4" w:space="0" w:color="auto"/>
              <w:right w:val="single" w:sz="4" w:space="0" w:color="auto"/>
            </w:tcBorders>
            <w:hideMark/>
          </w:tcPr>
          <w:p w14:paraId="024A7D9A" w14:textId="77777777" w:rsidR="00D2435F" w:rsidRDefault="00D2435F">
            <w:pPr>
              <w:keepNext/>
              <w:keepLines/>
              <w:jc w:val="center"/>
              <w:rPr>
                <w:rFonts w:asciiTheme="majorBidi" w:hAnsiTheme="majorBidi" w:cstheme="majorBidi"/>
                <w:bCs/>
                <w:sz w:val="22"/>
                <w:szCs w:val="22"/>
                <w:lang w:eastAsia="ja-JP"/>
              </w:rPr>
            </w:pPr>
            <w:r>
              <w:rPr>
                <w:rFonts w:asciiTheme="majorBidi" w:hAnsiTheme="majorBidi" w:cstheme="majorBidi"/>
                <w:bCs/>
                <w:sz w:val="22"/>
                <w:szCs w:val="22"/>
                <w:lang w:eastAsia="ja-JP"/>
              </w:rPr>
              <w:t>1,8 ml</w:t>
            </w:r>
          </w:p>
        </w:tc>
      </w:tr>
      <w:tr w:rsidR="00D2435F" w14:paraId="35DC7EA7" w14:textId="77777777" w:rsidTr="00D2435F">
        <w:trPr>
          <w:jc w:val="center"/>
        </w:trPr>
        <w:tc>
          <w:tcPr>
            <w:tcW w:w="1838" w:type="dxa"/>
            <w:tcBorders>
              <w:top w:val="single" w:sz="4" w:space="0" w:color="auto"/>
              <w:left w:val="single" w:sz="4" w:space="0" w:color="auto"/>
              <w:bottom w:val="single" w:sz="4" w:space="0" w:color="auto"/>
              <w:right w:val="single" w:sz="4" w:space="0" w:color="auto"/>
            </w:tcBorders>
            <w:hideMark/>
          </w:tcPr>
          <w:p w14:paraId="515AB437" w14:textId="77777777" w:rsidR="00D2435F" w:rsidRDefault="00D2435F">
            <w:pPr>
              <w:keepNext/>
              <w:keepLines/>
              <w:jc w:val="center"/>
              <w:rPr>
                <w:rFonts w:asciiTheme="majorBidi" w:hAnsiTheme="majorBidi" w:cstheme="majorBidi"/>
                <w:bCs/>
                <w:sz w:val="22"/>
                <w:szCs w:val="22"/>
                <w:lang w:eastAsia="ja-JP"/>
              </w:rPr>
            </w:pPr>
            <w:r>
              <w:rPr>
                <w:rFonts w:asciiTheme="majorBidi" w:hAnsiTheme="majorBidi" w:cstheme="majorBidi"/>
                <w:bCs/>
                <w:sz w:val="22"/>
                <w:szCs w:val="22"/>
                <w:lang w:eastAsia="ja-JP"/>
              </w:rPr>
              <w:t>12 mg</w:t>
            </w:r>
          </w:p>
        </w:tc>
        <w:tc>
          <w:tcPr>
            <w:tcW w:w="4678" w:type="dxa"/>
            <w:tcBorders>
              <w:top w:val="single" w:sz="4" w:space="0" w:color="auto"/>
              <w:left w:val="single" w:sz="4" w:space="0" w:color="auto"/>
              <w:bottom w:val="single" w:sz="4" w:space="0" w:color="auto"/>
              <w:right w:val="single" w:sz="4" w:space="0" w:color="auto"/>
            </w:tcBorders>
            <w:hideMark/>
          </w:tcPr>
          <w:p w14:paraId="1FC07886" w14:textId="77777777" w:rsidR="00D2435F" w:rsidRDefault="00D2435F">
            <w:pPr>
              <w:keepNext/>
              <w:keepLines/>
              <w:jc w:val="center"/>
              <w:rPr>
                <w:rFonts w:asciiTheme="majorBidi" w:hAnsiTheme="majorBidi" w:cstheme="majorBidi"/>
                <w:bCs/>
                <w:sz w:val="22"/>
                <w:szCs w:val="22"/>
                <w:lang w:eastAsia="ja-JP"/>
              </w:rPr>
            </w:pPr>
            <w:r>
              <w:rPr>
                <w:rFonts w:asciiTheme="majorBidi" w:hAnsiTheme="majorBidi" w:cstheme="majorBidi"/>
                <w:bCs/>
                <w:sz w:val="22"/>
                <w:szCs w:val="22"/>
                <w:lang w:eastAsia="ja-JP"/>
              </w:rPr>
              <w:t>2,4 ml</w:t>
            </w:r>
          </w:p>
        </w:tc>
      </w:tr>
    </w:tbl>
    <w:p w14:paraId="66F39B91" w14:textId="77777777" w:rsidR="00D2435F" w:rsidRDefault="00D2435F" w:rsidP="00D2435F">
      <w:pPr>
        <w:rPr>
          <w:rFonts w:asciiTheme="majorBidi" w:hAnsiTheme="majorBidi" w:cstheme="majorBidi"/>
          <w:sz w:val="22"/>
          <w:szCs w:val="22"/>
          <w:lang w:val="en-GB" w:eastAsia="da-DK"/>
        </w:rPr>
      </w:pPr>
    </w:p>
    <w:p w14:paraId="26A54E8A" w14:textId="77777777" w:rsidR="00D2435F" w:rsidRPr="00D2435F" w:rsidRDefault="00D2435F" w:rsidP="00D2435F">
      <w:pPr>
        <w:keepNext/>
        <w:keepLines/>
        <w:ind w:left="851"/>
        <w:rPr>
          <w:rFonts w:asciiTheme="majorBidi" w:hAnsiTheme="majorBidi" w:cstheme="majorBidi"/>
          <w:i/>
          <w:sz w:val="24"/>
          <w:szCs w:val="24"/>
        </w:rPr>
      </w:pPr>
      <w:r w:rsidRPr="00D2435F">
        <w:rPr>
          <w:rFonts w:asciiTheme="majorBidi" w:hAnsiTheme="majorBidi"/>
          <w:i/>
          <w:sz w:val="24"/>
          <w:szCs w:val="24"/>
        </w:rPr>
        <w:t>Pædiatrisk population</w:t>
      </w:r>
    </w:p>
    <w:p w14:paraId="2EC2B91C" w14:textId="77777777" w:rsidR="00D2435F" w:rsidRPr="00D2435F" w:rsidRDefault="00D2435F" w:rsidP="00D2435F">
      <w:pPr>
        <w:ind w:left="851"/>
        <w:rPr>
          <w:rFonts w:asciiTheme="majorBidi" w:hAnsiTheme="majorBidi" w:cstheme="majorBidi"/>
          <w:sz w:val="24"/>
          <w:szCs w:val="24"/>
        </w:rPr>
      </w:pPr>
      <w:r w:rsidRPr="00D2435F">
        <w:rPr>
          <w:rFonts w:asciiTheme="majorBidi" w:hAnsiTheme="majorBidi"/>
          <w:sz w:val="24"/>
          <w:szCs w:val="24"/>
        </w:rPr>
        <w:t>Behandlingen skal udføres på en specialafdeling. Der skal være umiddelbar adgang til genoplivningsudstyr i tilfælde af hjertestop og åndedrætsstop. Adenosin er beregnet til administration under kontinuerlig EKG-overvågning. Adenosin "Macure" doseres i forhold til kropsvægt og administreres i stigende doser, efterfulgt af skylning med fysiologisk saltopløsning.</w:t>
      </w:r>
    </w:p>
    <w:p w14:paraId="7F442AC1" w14:textId="77777777" w:rsidR="00D2435F" w:rsidRPr="00D2435F" w:rsidRDefault="00D2435F" w:rsidP="00D2435F">
      <w:pPr>
        <w:ind w:left="851"/>
        <w:rPr>
          <w:rFonts w:asciiTheme="majorBidi" w:hAnsiTheme="majorBidi" w:cstheme="majorBidi"/>
          <w:sz w:val="24"/>
          <w:szCs w:val="24"/>
        </w:rPr>
      </w:pPr>
    </w:p>
    <w:p w14:paraId="7529282B" w14:textId="77777777" w:rsidR="00D2435F" w:rsidRPr="00D2435F" w:rsidRDefault="00D2435F" w:rsidP="00D2435F">
      <w:pPr>
        <w:keepNext/>
        <w:keepLines/>
        <w:ind w:left="851"/>
        <w:rPr>
          <w:rFonts w:asciiTheme="majorBidi" w:hAnsiTheme="majorBidi" w:cstheme="majorBidi"/>
          <w:sz w:val="24"/>
          <w:szCs w:val="24"/>
          <w:lang w:val="en-GB"/>
        </w:rPr>
      </w:pPr>
      <w:r w:rsidRPr="00D2435F">
        <w:rPr>
          <w:rFonts w:asciiTheme="majorBidi" w:hAnsiTheme="majorBidi"/>
          <w:sz w:val="24"/>
          <w:szCs w:val="24"/>
        </w:rPr>
        <w:t>Anbefalet dosering:</w:t>
      </w:r>
    </w:p>
    <w:p w14:paraId="46F6F5C7" w14:textId="77777777" w:rsidR="00D2435F" w:rsidRDefault="00D2435F" w:rsidP="00D2435F">
      <w:pPr>
        <w:keepNext/>
        <w:keepLines/>
        <w:numPr>
          <w:ilvl w:val="0"/>
          <w:numId w:val="6"/>
        </w:numPr>
        <w:ind w:left="1134" w:hanging="283"/>
        <w:rPr>
          <w:rFonts w:asciiTheme="majorBidi" w:hAnsiTheme="majorBidi" w:cstheme="majorBidi"/>
          <w:sz w:val="22"/>
          <w:szCs w:val="22"/>
        </w:rPr>
      </w:pPr>
      <w:r>
        <w:rPr>
          <w:rFonts w:asciiTheme="majorBidi" w:hAnsiTheme="majorBidi"/>
          <w:sz w:val="22"/>
        </w:rPr>
        <w:t>Første bolusinjektion: 0,1 mg/kg kropsvægt (maksimal dosis på 6 mg)</w:t>
      </w:r>
    </w:p>
    <w:p w14:paraId="0B3FAC63" w14:textId="77777777" w:rsidR="00D2435F" w:rsidRDefault="00D2435F" w:rsidP="00D2435F">
      <w:pPr>
        <w:numPr>
          <w:ilvl w:val="0"/>
          <w:numId w:val="6"/>
        </w:numPr>
        <w:ind w:left="1134" w:hanging="283"/>
        <w:rPr>
          <w:rFonts w:asciiTheme="majorBidi" w:hAnsiTheme="majorBidi" w:cstheme="majorBidi"/>
          <w:sz w:val="22"/>
          <w:szCs w:val="22"/>
        </w:rPr>
      </w:pPr>
      <w:r>
        <w:rPr>
          <w:rFonts w:asciiTheme="majorBidi" w:hAnsiTheme="majorBidi"/>
          <w:sz w:val="22"/>
        </w:rPr>
        <w:t>Trinvis øgning efter behov med 0,1 mg/kg kropsvægt for at opnå ophør af supraventrikulær takykardi.</w:t>
      </w:r>
    </w:p>
    <w:p w14:paraId="24C50452" w14:textId="77777777" w:rsidR="00D2435F" w:rsidRPr="00D2435F" w:rsidRDefault="00D2435F" w:rsidP="00D2435F">
      <w:pPr>
        <w:ind w:left="851"/>
        <w:rPr>
          <w:rFonts w:asciiTheme="majorBidi" w:hAnsiTheme="majorBidi" w:cstheme="majorBidi"/>
          <w:sz w:val="24"/>
          <w:szCs w:val="24"/>
        </w:rPr>
      </w:pPr>
      <w:r w:rsidRPr="00D2435F">
        <w:rPr>
          <w:rFonts w:asciiTheme="majorBidi" w:hAnsiTheme="majorBidi"/>
          <w:sz w:val="24"/>
          <w:szCs w:val="24"/>
        </w:rPr>
        <w:t>Hvis overgangen til sinusrytme ikke er permanent, kan behandlingen gentages. Doser over 12 mg anbefales normalt ikke.</w:t>
      </w:r>
    </w:p>
    <w:p w14:paraId="354373AA" w14:textId="77777777" w:rsidR="00D2435F" w:rsidRPr="00D2435F" w:rsidRDefault="00D2435F" w:rsidP="00D2435F">
      <w:pPr>
        <w:ind w:left="851"/>
        <w:rPr>
          <w:rFonts w:asciiTheme="majorBidi" w:hAnsiTheme="majorBidi" w:cstheme="majorBidi"/>
          <w:sz w:val="24"/>
          <w:szCs w:val="24"/>
        </w:rPr>
      </w:pPr>
    </w:p>
    <w:p w14:paraId="77B90B3C" w14:textId="77777777" w:rsidR="00D2435F" w:rsidRPr="00D2435F" w:rsidRDefault="00D2435F" w:rsidP="00D2435F">
      <w:pPr>
        <w:keepNext/>
        <w:keepLines/>
        <w:ind w:left="851"/>
        <w:rPr>
          <w:rFonts w:asciiTheme="majorBidi" w:hAnsiTheme="majorBidi" w:cstheme="majorBidi"/>
          <w:sz w:val="24"/>
          <w:szCs w:val="24"/>
          <w:u w:val="single"/>
        </w:rPr>
      </w:pPr>
      <w:r w:rsidRPr="00D2435F">
        <w:rPr>
          <w:rFonts w:asciiTheme="majorBidi" w:hAnsiTheme="majorBidi"/>
          <w:sz w:val="24"/>
          <w:szCs w:val="24"/>
          <w:u w:val="single"/>
        </w:rPr>
        <w:t>Induktion af kortvarig AV-blok til påvisning og lokalisering af præ-eksitationsaccessoriske ledningsbaner</w:t>
      </w:r>
    </w:p>
    <w:p w14:paraId="10F0EBC5" w14:textId="77777777" w:rsidR="00D2435F" w:rsidRPr="00D2435F" w:rsidRDefault="00D2435F" w:rsidP="00D2435F">
      <w:pPr>
        <w:keepNext/>
        <w:keepLines/>
        <w:ind w:left="851"/>
        <w:rPr>
          <w:rFonts w:asciiTheme="majorBidi" w:hAnsiTheme="majorBidi" w:cstheme="majorBidi"/>
          <w:sz w:val="24"/>
          <w:szCs w:val="24"/>
        </w:rPr>
      </w:pPr>
    </w:p>
    <w:p w14:paraId="0591987F" w14:textId="77777777" w:rsidR="00D2435F" w:rsidRPr="00D2435F" w:rsidRDefault="00D2435F" w:rsidP="00D2435F">
      <w:pPr>
        <w:pStyle w:val="Brdtekst2"/>
        <w:keepNext/>
        <w:keepLines/>
        <w:ind w:left="851"/>
        <w:rPr>
          <w:rFonts w:asciiTheme="majorBidi" w:hAnsiTheme="majorBidi" w:cstheme="majorBidi"/>
          <w:i/>
          <w:szCs w:val="24"/>
          <w:lang w:val="da-DK"/>
        </w:rPr>
      </w:pPr>
      <w:r w:rsidRPr="00D2435F">
        <w:rPr>
          <w:rFonts w:asciiTheme="majorBidi" w:hAnsiTheme="majorBidi"/>
          <w:i/>
          <w:szCs w:val="24"/>
          <w:lang w:val="da-DK"/>
        </w:rPr>
        <w:t>Voksne</w:t>
      </w:r>
    </w:p>
    <w:p w14:paraId="3D93EEE4" w14:textId="77777777" w:rsidR="00D2435F" w:rsidRPr="00D2435F" w:rsidRDefault="00D2435F" w:rsidP="00D2435F">
      <w:pPr>
        <w:pStyle w:val="Brdtekst2"/>
        <w:ind w:left="851"/>
        <w:rPr>
          <w:rFonts w:asciiTheme="majorBidi" w:hAnsiTheme="majorBidi" w:cstheme="majorBidi"/>
          <w:szCs w:val="24"/>
          <w:lang w:val="da-DK"/>
        </w:rPr>
      </w:pPr>
      <w:r w:rsidRPr="00D2435F">
        <w:rPr>
          <w:rFonts w:asciiTheme="majorBidi" w:hAnsiTheme="majorBidi"/>
          <w:szCs w:val="24"/>
          <w:lang w:val="da-DK"/>
        </w:rPr>
        <w:t xml:space="preserve">Individuel dosistitrering med hurtige intravenøse injektioner (med </w:t>
      </w:r>
      <w:r w:rsidRPr="00D2435F">
        <w:rPr>
          <w:rFonts w:asciiTheme="majorBidi" w:hAnsiTheme="majorBidi"/>
          <w:color w:val="auto"/>
          <w:szCs w:val="24"/>
          <w:lang w:val="da-DK"/>
        </w:rPr>
        <w:t>et interval på 3–15 mg hos voksne</w:t>
      </w:r>
      <w:r w:rsidRPr="00D2435F">
        <w:rPr>
          <w:rFonts w:asciiTheme="majorBidi" w:hAnsiTheme="majorBidi"/>
          <w:szCs w:val="24"/>
          <w:lang w:val="da-DK"/>
        </w:rPr>
        <w:t>) for at opnå en kortvarig (&lt; 10 sekunder) AV-blok. Behandlingen kan gentages hvert 1.–2. minut.</w:t>
      </w:r>
    </w:p>
    <w:p w14:paraId="6F4087DA" w14:textId="77777777" w:rsidR="00D2435F" w:rsidRPr="00D2435F" w:rsidRDefault="00D2435F" w:rsidP="00D2435F">
      <w:pPr>
        <w:ind w:left="851"/>
        <w:rPr>
          <w:rFonts w:asciiTheme="majorBidi" w:hAnsiTheme="majorBidi" w:cstheme="majorBidi"/>
          <w:sz w:val="24"/>
          <w:szCs w:val="24"/>
        </w:rPr>
      </w:pPr>
    </w:p>
    <w:p w14:paraId="19A8AD09" w14:textId="77777777" w:rsidR="00D2435F" w:rsidRPr="00D2435F" w:rsidRDefault="00D2435F" w:rsidP="00D2435F">
      <w:pPr>
        <w:keepNext/>
        <w:keepLines/>
        <w:ind w:left="851"/>
        <w:rPr>
          <w:rFonts w:asciiTheme="majorBidi" w:hAnsiTheme="majorBidi" w:cstheme="majorBidi"/>
          <w:i/>
          <w:sz w:val="24"/>
          <w:szCs w:val="24"/>
        </w:rPr>
      </w:pPr>
      <w:r w:rsidRPr="00D2435F">
        <w:rPr>
          <w:rFonts w:asciiTheme="majorBidi" w:hAnsiTheme="majorBidi"/>
          <w:i/>
          <w:sz w:val="24"/>
          <w:szCs w:val="24"/>
        </w:rPr>
        <w:t>Pædiatrisk population</w:t>
      </w:r>
    </w:p>
    <w:p w14:paraId="7702E90A" w14:textId="77777777" w:rsidR="00D2435F" w:rsidRPr="00D2435F" w:rsidRDefault="00D2435F" w:rsidP="00D2435F">
      <w:pPr>
        <w:ind w:left="851"/>
        <w:rPr>
          <w:rFonts w:asciiTheme="majorBidi" w:hAnsiTheme="majorBidi" w:cstheme="majorBidi"/>
          <w:sz w:val="24"/>
          <w:szCs w:val="24"/>
        </w:rPr>
      </w:pPr>
      <w:r w:rsidRPr="00D2435F">
        <w:rPr>
          <w:rFonts w:asciiTheme="majorBidi" w:hAnsiTheme="majorBidi"/>
          <w:sz w:val="24"/>
          <w:szCs w:val="24"/>
        </w:rPr>
        <w:t>De samme forholdsregler gælder som ved behandling af paroxysmal supraventrikulær takykardi. Doseringen af Adenosin "Macure" skal tilpasses kropsvægten, og lægemidlet skal indgives i stigende doser efterfulgt af skylning med fysiologisk saltopløsning. Indledningsvis indgives en dosis på 50 mikrogram/kg kropsvægt. Dosen kan derefter øges hvert andet minut med 50 mikrogram/kg pr. trin (dvs. 100, 150, 200, 250, 300 mikrogram/kg legemsvægt), indtil der ses en forbigående effekt på AV-ledningen. Doser over 15 mg er normalt ikke nødvendige.</w:t>
      </w:r>
    </w:p>
    <w:p w14:paraId="45B31C5E" w14:textId="77777777" w:rsidR="00D2435F" w:rsidRPr="00D2435F" w:rsidRDefault="00D2435F" w:rsidP="00D2435F">
      <w:pPr>
        <w:ind w:left="851"/>
        <w:rPr>
          <w:rFonts w:asciiTheme="majorBidi" w:hAnsiTheme="majorBidi" w:cstheme="majorBidi"/>
          <w:sz w:val="24"/>
          <w:szCs w:val="24"/>
        </w:rPr>
      </w:pPr>
    </w:p>
    <w:p w14:paraId="0354262F" w14:textId="77777777" w:rsidR="00D2435F" w:rsidRPr="00D2435F" w:rsidRDefault="00D2435F" w:rsidP="00D2435F">
      <w:pPr>
        <w:ind w:left="851"/>
        <w:rPr>
          <w:rFonts w:asciiTheme="majorBidi" w:hAnsiTheme="majorBidi" w:cstheme="majorBidi"/>
          <w:sz w:val="24"/>
          <w:szCs w:val="24"/>
        </w:rPr>
      </w:pPr>
      <w:r w:rsidRPr="00D2435F">
        <w:rPr>
          <w:rFonts w:asciiTheme="majorBidi" w:hAnsiTheme="majorBidi"/>
          <w:sz w:val="24"/>
          <w:szCs w:val="24"/>
        </w:rPr>
        <w:t xml:space="preserve">For spædbørn under 5 kg, da mængder under 0,1 ml kan være vanskelige at dosere præcist, anbefales det at fortynde Adenosin "Macure" til 2,5 mg/ml. Adenosin "Macure" fortyndes passende med fysiologisk saltopløsning (5 ml Adenosin "Macure" + 5 ml saltopløsning). </w:t>
      </w:r>
    </w:p>
    <w:p w14:paraId="4E4978FE" w14:textId="77777777" w:rsidR="00D2435F" w:rsidRPr="00D2435F" w:rsidRDefault="00D2435F" w:rsidP="00D2435F">
      <w:pPr>
        <w:ind w:left="851"/>
        <w:rPr>
          <w:rFonts w:asciiTheme="majorBidi" w:hAnsiTheme="majorBidi" w:cstheme="majorBidi"/>
          <w:sz w:val="24"/>
          <w:szCs w:val="24"/>
        </w:rPr>
      </w:pPr>
    </w:p>
    <w:p w14:paraId="73B390A6" w14:textId="77777777" w:rsidR="00D2435F" w:rsidRPr="00D2435F" w:rsidRDefault="00D2435F" w:rsidP="00D2435F">
      <w:pPr>
        <w:keepNext/>
        <w:keepLines/>
        <w:ind w:left="851"/>
        <w:jc w:val="center"/>
        <w:rPr>
          <w:rFonts w:asciiTheme="majorBidi" w:hAnsiTheme="majorBidi"/>
          <w:b/>
          <w:sz w:val="24"/>
          <w:szCs w:val="24"/>
        </w:rPr>
      </w:pPr>
    </w:p>
    <w:p w14:paraId="4AC1221F" w14:textId="77777777" w:rsidR="00D2435F" w:rsidRDefault="00D2435F" w:rsidP="00D2435F">
      <w:pPr>
        <w:keepNext/>
        <w:keepLines/>
        <w:jc w:val="center"/>
        <w:rPr>
          <w:rFonts w:asciiTheme="majorBidi" w:hAnsiTheme="majorBidi" w:cstheme="majorBidi"/>
          <w:b/>
          <w:sz w:val="22"/>
          <w:szCs w:val="22"/>
        </w:rPr>
      </w:pPr>
      <w:r>
        <w:rPr>
          <w:rFonts w:asciiTheme="majorBidi" w:hAnsiTheme="majorBidi"/>
          <w:b/>
          <w:sz w:val="22"/>
        </w:rPr>
        <w:t>Antal ml fortyndet opløsning (2,5 mg/ml) til børn</w:t>
      </w:r>
    </w:p>
    <w:p w14:paraId="6E46D5CD" w14:textId="77777777" w:rsidR="00D2435F" w:rsidRDefault="00D2435F" w:rsidP="00D2435F">
      <w:pPr>
        <w:keepNext/>
        <w:keepLines/>
        <w:rPr>
          <w:rFonts w:asciiTheme="majorBidi" w:hAnsiTheme="majorBidi" w:cstheme="majorBidi"/>
          <w:sz w:val="22"/>
          <w:szCs w:val="22"/>
        </w:rPr>
      </w:pPr>
    </w:p>
    <w:tbl>
      <w:tblPr>
        <w:tblW w:w="0" w:type="auto"/>
        <w:tblInd w:w="828" w:type="dxa"/>
        <w:tblLayout w:type="fixed"/>
        <w:tblCellMar>
          <w:left w:w="120" w:type="dxa"/>
          <w:right w:w="120" w:type="dxa"/>
        </w:tblCellMar>
        <w:tblLook w:val="04A0" w:firstRow="1" w:lastRow="0" w:firstColumn="1" w:lastColumn="0" w:noHBand="0" w:noVBand="1"/>
      </w:tblPr>
      <w:tblGrid>
        <w:gridCol w:w="1556"/>
        <w:gridCol w:w="996"/>
        <w:gridCol w:w="1134"/>
        <w:gridCol w:w="1276"/>
        <w:gridCol w:w="992"/>
        <w:gridCol w:w="1134"/>
        <w:gridCol w:w="1276"/>
      </w:tblGrid>
      <w:tr w:rsidR="00D2435F" w14:paraId="6E81BFED" w14:textId="77777777" w:rsidTr="00D2435F">
        <w:tc>
          <w:tcPr>
            <w:tcW w:w="1556" w:type="dxa"/>
            <w:tcBorders>
              <w:top w:val="double" w:sz="6" w:space="0" w:color="auto"/>
              <w:left w:val="double" w:sz="6" w:space="0" w:color="auto"/>
              <w:bottom w:val="nil"/>
              <w:right w:val="nil"/>
            </w:tcBorders>
            <w:hideMark/>
          </w:tcPr>
          <w:p w14:paraId="2E8511CF" w14:textId="77777777" w:rsidR="00D2435F" w:rsidRDefault="00D2435F">
            <w:pPr>
              <w:keepNext/>
              <w:keepLines/>
              <w:rPr>
                <w:rFonts w:asciiTheme="majorBidi" w:hAnsiTheme="majorBidi" w:cstheme="majorBidi"/>
                <w:sz w:val="22"/>
                <w:szCs w:val="22"/>
                <w:lang w:val="en-GB" w:eastAsia="ja-JP"/>
              </w:rPr>
            </w:pPr>
            <w:r>
              <w:rPr>
                <w:rFonts w:asciiTheme="majorBidi" w:hAnsiTheme="majorBidi"/>
                <w:sz w:val="22"/>
                <w:lang w:eastAsia="ja-JP"/>
              </w:rPr>
              <w:t>Kropsvægt (kg)</w:t>
            </w:r>
          </w:p>
        </w:tc>
        <w:tc>
          <w:tcPr>
            <w:tcW w:w="6808" w:type="dxa"/>
            <w:gridSpan w:val="6"/>
            <w:tcBorders>
              <w:top w:val="double" w:sz="6" w:space="0" w:color="auto"/>
              <w:left w:val="single" w:sz="8" w:space="0" w:color="auto"/>
              <w:bottom w:val="nil"/>
              <w:right w:val="double" w:sz="6" w:space="0" w:color="auto"/>
            </w:tcBorders>
            <w:hideMark/>
          </w:tcPr>
          <w:p w14:paraId="42090140"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Dosisniveau (mikrogram/kg)</w:t>
            </w:r>
          </w:p>
        </w:tc>
      </w:tr>
      <w:tr w:rsidR="00D2435F" w14:paraId="53F12789" w14:textId="77777777" w:rsidTr="00D2435F">
        <w:tc>
          <w:tcPr>
            <w:tcW w:w="1556" w:type="dxa"/>
            <w:tcBorders>
              <w:top w:val="nil"/>
              <w:left w:val="double" w:sz="6" w:space="0" w:color="auto"/>
              <w:bottom w:val="nil"/>
              <w:right w:val="single" w:sz="8" w:space="0" w:color="auto"/>
            </w:tcBorders>
          </w:tcPr>
          <w:p w14:paraId="02ACD279" w14:textId="77777777" w:rsidR="00D2435F" w:rsidRDefault="00D2435F">
            <w:pPr>
              <w:keepNext/>
              <w:keepLines/>
              <w:rPr>
                <w:rFonts w:asciiTheme="majorBidi" w:hAnsiTheme="majorBidi" w:cstheme="majorBidi"/>
                <w:sz w:val="22"/>
                <w:szCs w:val="22"/>
                <w:lang w:eastAsia="ja-JP"/>
              </w:rPr>
            </w:pPr>
          </w:p>
        </w:tc>
        <w:tc>
          <w:tcPr>
            <w:tcW w:w="996" w:type="dxa"/>
            <w:tcBorders>
              <w:top w:val="single" w:sz="8" w:space="0" w:color="auto"/>
              <w:left w:val="single" w:sz="8" w:space="0" w:color="auto"/>
              <w:bottom w:val="single" w:sz="8" w:space="0" w:color="auto"/>
              <w:right w:val="single" w:sz="8" w:space="0" w:color="auto"/>
            </w:tcBorders>
            <w:hideMark/>
          </w:tcPr>
          <w:p w14:paraId="3B132AAC"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50</w:t>
            </w:r>
            <w:r>
              <w:rPr>
                <w:rFonts w:asciiTheme="majorBidi" w:hAnsiTheme="majorBidi"/>
                <w:sz w:val="22"/>
                <w:vertAlign w:val="superscript"/>
                <w:lang w:eastAsia="ja-JP"/>
              </w:rPr>
              <w:t>1)</w:t>
            </w:r>
          </w:p>
        </w:tc>
        <w:tc>
          <w:tcPr>
            <w:tcW w:w="1134" w:type="dxa"/>
            <w:tcBorders>
              <w:top w:val="single" w:sz="8" w:space="0" w:color="auto"/>
              <w:left w:val="single" w:sz="8" w:space="0" w:color="auto"/>
              <w:bottom w:val="single" w:sz="8" w:space="0" w:color="auto"/>
              <w:right w:val="single" w:sz="8" w:space="0" w:color="auto"/>
            </w:tcBorders>
            <w:hideMark/>
          </w:tcPr>
          <w:p w14:paraId="6958E399"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10</w:t>
            </w:r>
          </w:p>
        </w:tc>
        <w:tc>
          <w:tcPr>
            <w:tcW w:w="1276" w:type="dxa"/>
            <w:tcBorders>
              <w:top w:val="single" w:sz="8" w:space="0" w:color="auto"/>
              <w:left w:val="single" w:sz="8" w:space="0" w:color="auto"/>
              <w:bottom w:val="nil"/>
              <w:right w:val="nil"/>
            </w:tcBorders>
            <w:hideMark/>
          </w:tcPr>
          <w:p w14:paraId="122050A2"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150</w:t>
            </w:r>
            <w:r>
              <w:rPr>
                <w:rFonts w:asciiTheme="majorBidi" w:hAnsiTheme="majorBidi"/>
                <w:sz w:val="22"/>
                <w:vertAlign w:val="superscript"/>
                <w:lang w:eastAsia="ja-JP"/>
              </w:rPr>
              <w:t>1)</w:t>
            </w:r>
          </w:p>
        </w:tc>
        <w:tc>
          <w:tcPr>
            <w:tcW w:w="992" w:type="dxa"/>
            <w:tcBorders>
              <w:top w:val="single" w:sz="8" w:space="0" w:color="auto"/>
              <w:left w:val="single" w:sz="8" w:space="0" w:color="auto"/>
              <w:bottom w:val="nil"/>
              <w:right w:val="nil"/>
            </w:tcBorders>
            <w:hideMark/>
          </w:tcPr>
          <w:p w14:paraId="7CC2077A"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200</w:t>
            </w:r>
          </w:p>
        </w:tc>
        <w:tc>
          <w:tcPr>
            <w:tcW w:w="1134" w:type="dxa"/>
            <w:tcBorders>
              <w:top w:val="single" w:sz="8" w:space="0" w:color="auto"/>
              <w:left w:val="single" w:sz="8" w:space="0" w:color="auto"/>
              <w:bottom w:val="nil"/>
              <w:right w:val="single" w:sz="8" w:space="0" w:color="auto"/>
            </w:tcBorders>
            <w:hideMark/>
          </w:tcPr>
          <w:p w14:paraId="3AA5CF1A"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250</w:t>
            </w:r>
            <w:r>
              <w:rPr>
                <w:rFonts w:asciiTheme="majorBidi" w:hAnsiTheme="majorBidi"/>
                <w:sz w:val="22"/>
                <w:vertAlign w:val="superscript"/>
                <w:lang w:eastAsia="ja-JP"/>
              </w:rPr>
              <w:t>1)</w:t>
            </w:r>
          </w:p>
        </w:tc>
        <w:tc>
          <w:tcPr>
            <w:tcW w:w="1276" w:type="dxa"/>
            <w:tcBorders>
              <w:top w:val="single" w:sz="8" w:space="0" w:color="auto"/>
              <w:left w:val="single" w:sz="8" w:space="0" w:color="auto"/>
              <w:bottom w:val="nil"/>
              <w:right w:val="double" w:sz="6" w:space="0" w:color="auto"/>
            </w:tcBorders>
            <w:hideMark/>
          </w:tcPr>
          <w:p w14:paraId="0606F4FC"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300</w:t>
            </w:r>
          </w:p>
        </w:tc>
      </w:tr>
      <w:tr w:rsidR="00D2435F" w14:paraId="0E576697" w14:textId="77777777" w:rsidTr="00D2435F">
        <w:tc>
          <w:tcPr>
            <w:tcW w:w="1556" w:type="dxa"/>
            <w:tcBorders>
              <w:top w:val="single" w:sz="8" w:space="0" w:color="auto"/>
              <w:left w:val="double" w:sz="6" w:space="0" w:color="auto"/>
              <w:bottom w:val="nil"/>
              <w:right w:val="nil"/>
            </w:tcBorders>
            <w:hideMark/>
          </w:tcPr>
          <w:p w14:paraId="65869141"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1</w:t>
            </w:r>
          </w:p>
        </w:tc>
        <w:tc>
          <w:tcPr>
            <w:tcW w:w="996" w:type="dxa"/>
            <w:tcBorders>
              <w:top w:val="single" w:sz="8" w:space="0" w:color="auto"/>
              <w:left w:val="single" w:sz="8" w:space="0" w:color="auto"/>
              <w:bottom w:val="nil"/>
              <w:right w:val="single" w:sz="8" w:space="0" w:color="auto"/>
            </w:tcBorders>
            <w:hideMark/>
          </w:tcPr>
          <w:p w14:paraId="767F4653"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0,02 ml</w:t>
            </w:r>
          </w:p>
        </w:tc>
        <w:tc>
          <w:tcPr>
            <w:tcW w:w="1134" w:type="dxa"/>
            <w:tcBorders>
              <w:top w:val="single" w:sz="8" w:space="0" w:color="auto"/>
              <w:left w:val="single" w:sz="8" w:space="0" w:color="auto"/>
              <w:bottom w:val="nil"/>
              <w:right w:val="nil"/>
            </w:tcBorders>
            <w:hideMark/>
          </w:tcPr>
          <w:p w14:paraId="0BB9C495"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0,04 ml</w:t>
            </w:r>
          </w:p>
        </w:tc>
        <w:tc>
          <w:tcPr>
            <w:tcW w:w="1276" w:type="dxa"/>
            <w:tcBorders>
              <w:top w:val="single" w:sz="8" w:space="0" w:color="auto"/>
              <w:left w:val="single" w:sz="8" w:space="0" w:color="auto"/>
              <w:bottom w:val="nil"/>
              <w:right w:val="nil"/>
            </w:tcBorders>
            <w:hideMark/>
          </w:tcPr>
          <w:p w14:paraId="70B7474A"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0,06 ml</w:t>
            </w:r>
          </w:p>
        </w:tc>
        <w:tc>
          <w:tcPr>
            <w:tcW w:w="992" w:type="dxa"/>
            <w:tcBorders>
              <w:top w:val="single" w:sz="8" w:space="0" w:color="auto"/>
              <w:left w:val="single" w:sz="8" w:space="0" w:color="auto"/>
              <w:bottom w:val="nil"/>
              <w:right w:val="nil"/>
            </w:tcBorders>
            <w:hideMark/>
          </w:tcPr>
          <w:p w14:paraId="4236E6CE"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0,08 ml</w:t>
            </w:r>
          </w:p>
        </w:tc>
        <w:tc>
          <w:tcPr>
            <w:tcW w:w="1134" w:type="dxa"/>
            <w:tcBorders>
              <w:top w:val="single" w:sz="8" w:space="0" w:color="auto"/>
              <w:left w:val="single" w:sz="8" w:space="0" w:color="auto"/>
              <w:bottom w:val="nil"/>
              <w:right w:val="single" w:sz="8" w:space="0" w:color="auto"/>
            </w:tcBorders>
            <w:hideMark/>
          </w:tcPr>
          <w:p w14:paraId="4F414FAA"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0,10 ml</w:t>
            </w:r>
          </w:p>
        </w:tc>
        <w:tc>
          <w:tcPr>
            <w:tcW w:w="1276" w:type="dxa"/>
            <w:tcBorders>
              <w:top w:val="single" w:sz="8" w:space="0" w:color="auto"/>
              <w:left w:val="single" w:sz="8" w:space="0" w:color="auto"/>
              <w:bottom w:val="nil"/>
              <w:right w:val="double" w:sz="6" w:space="0" w:color="auto"/>
            </w:tcBorders>
            <w:hideMark/>
          </w:tcPr>
          <w:p w14:paraId="179A1D01"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0,12 ml</w:t>
            </w:r>
          </w:p>
        </w:tc>
      </w:tr>
      <w:tr w:rsidR="00D2435F" w14:paraId="56493788" w14:textId="77777777" w:rsidTr="00D2435F">
        <w:tc>
          <w:tcPr>
            <w:tcW w:w="1556" w:type="dxa"/>
            <w:tcBorders>
              <w:top w:val="single" w:sz="8" w:space="0" w:color="auto"/>
              <w:left w:val="double" w:sz="6" w:space="0" w:color="auto"/>
              <w:bottom w:val="nil"/>
              <w:right w:val="nil"/>
            </w:tcBorders>
            <w:hideMark/>
          </w:tcPr>
          <w:p w14:paraId="4A075D50"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2</w:t>
            </w:r>
          </w:p>
        </w:tc>
        <w:tc>
          <w:tcPr>
            <w:tcW w:w="996" w:type="dxa"/>
            <w:tcBorders>
              <w:top w:val="single" w:sz="8" w:space="0" w:color="auto"/>
              <w:left w:val="single" w:sz="8" w:space="0" w:color="auto"/>
              <w:bottom w:val="nil"/>
              <w:right w:val="single" w:sz="8" w:space="0" w:color="auto"/>
            </w:tcBorders>
            <w:hideMark/>
          </w:tcPr>
          <w:p w14:paraId="17939138"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0,04 ml</w:t>
            </w:r>
          </w:p>
        </w:tc>
        <w:tc>
          <w:tcPr>
            <w:tcW w:w="1134" w:type="dxa"/>
            <w:tcBorders>
              <w:top w:val="single" w:sz="8" w:space="0" w:color="auto"/>
              <w:left w:val="single" w:sz="8" w:space="0" w:color="auto"/>
              <w:bottom w:val="nil"/>
              <w:right w:val="nil"/>
            </w:tcBorders>
            <w:hideMark/>
          </w:tcPr>
          <w:p w14:paraId="1336CBF1"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0,08 ml</w:t>
            </w:r>
          </w:p>
        </w:tc>
        <w:tc>
          <w:tcPr>
            <w:tcW w:w="1276" w:type="dxa"/>
            <w:tcBorders>
              <w:top w:val="single" w:sz="8" w:space="0" w:color="auto"/>
              <w:left w:val="single" w:sz="8" w:space="0" w:color="auto"/>
              <w:bottom w:val="nil"/>
              <w:right w:val="nil"/>
            </w:tcBorders>
            <w:hideMark/>
          </w:tcPr>
          <w:p w14:paraId="383A91AD"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0,12 ml</w:t>
            </w:r>
          </w:p>
        </w:tc>
        <w:tc>
          <w:tcPr>
            <w:tcW w:w="992" w:type="dxa"/>
            <w:tcBorders>
              <w:top w:val="single" w:sz="8" w:space="0" w:color="auto"/>
              <w:left w:val="single" w:sz="8" w:space="0" w:color="auto"/>
              <w:bottom w:val="nil"/>
              <w:right w:val="nil"/>
            </w:tcBorders>
            <w:hideMark/>
          </w:tcPr>
          <w:p w14:paraId="39F36B5F"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0,16 ml</w:t>
            </w:r>
          </w:p>
        </w:tc>
        <w:tc>
          <w:tcPr>
            <w:tcW w:w="1134" w:type="dxa"/>
            <w:tcBorders>
              <w:top w:val="single" w:sz="8" w:space="0" w:color="auto"/>
              <w:left w:val="single" w:sz="8" w:space="0" w:color="auto"/>
              <w:bottom w:val="nil"/>
              <w:right w:val="single" w:sz="8" w:space="0" w:color="auto"/>
            </w:tcBorders>
            <w:hideMark/>
          </w:tcPr>
          <w:p w14:paraId="4A6AE6F7"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0,20 ml</w:t>
            </w:r>
          </w:p>
        </w:tc>
        <w:tc>
          <w:tcPr>
            <w:tcW w:w="1276" w:type="dxa"/>
            <w:tcBorders>
              <w:top w:val="single" w:sz="8" w:space="0" w:color="auto"/>
              <w:left w:val="single" w:sz="8" w:space="0" w:color="auto"/>
              <w:bottom w:val="nil"/>
              <w:right w:val="double" w:sz="6" w:space="0" w:color="auto"/>
            </w:tcBorders>
            <w:hideMark/>
          </w:tcPr>
          <w:p w14:paraId="022B6834"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0,24 ml</w:t>
            </w:r>
          </w:p>
        </w:tc>
      </w:tr>
      <w:tr w:rsidR="00D2435F" w14:paraId="0E7C72E2" w14:textId="77777777" w:rsidTr="00D2435F">
        <w:tc>
          <w:tcPr>
            <w:tcW w:w="1556" w:type="dxa"/>
            <w:tcBorders>
              <w:top w:val="single" w:sz="8" w:space="0" w:color="auto"/>
              <w:left w:val="double" w:sz="6" w:space="0" w:color="auto"/>
              <w:bottom w:val="nil"/>
              <w:right w:val="nil"/>
            </w:tcBorders>
            <w:hideMark/>
          </w:tcPr>
          <w:p w14:paraId="51E42F6E"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3</w:t>
            </w:r>
          </w:p>
        </w:tc>
        <w:tc>
          <w:tcPr>
            <w:tcW w:w="996" w:type="dxa"/>
            <w:tcBorders>
              <w:top w:val="single" w:sz="8" w:space="0" w:color="auto"/>
              <w:left w:val="single" w:sz="8" w:space="0" w:color="auto"/>
              <w:bottom w:val="nil"/>
              <w:right w:val="single" w:sz="8" w:space="0" w:color="auto"/>
            </w:tcBorders>
            <w:hideMark/>
          </w:tcPr>
          <w:p w14:paraId="39FC6355"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0,06 ml</w:t>
            </w:r>
          </w:p>
        </w:tc>
        <w:tc>
          <w:tcPr>
            <w:tcW w:w="1134" w:type="dxa"/>
            <w:tcBorders>
              <w:top w:val="single" w:sz="8" w:space="0" w:color="auto"/>
              <w:left w:val="single" w:sz="8" w:space="0" w:color="auto"/>
              <w:bottom w:val="nil"/>
              <w:right w:val="nil"/>
            </w:tcBorders>
            <w:hideMark/>
          </w:tcPr>
          <w:p w14:paraId="227B7B96"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0,12 ml</w:t>
            </w:r>
          </w:p>
        </w:tc>
        <w:tc>
          <w:tcPr>
            <w:tcW w:w="1276" w:type="dxa"/>
            <w:tcBorders>
              <w:top w:val="single" w:sz="8" w:space="0" w:color="auto"/>
              <w:left w:val="single" w:sz="8" w:space="0" w:color="auto"/>
              <w:bottom w:val="nil"/>
              <w:right w:val="nil"/>
            </w:tcBorders>
            <w:hideMark/>
          </w:tcPr>
          <w:p w14:paraId="7640FCCF"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0,18 ml</w:t>
            </w:r>
          </w:p>
        </w:tc>
        <w:tc>
          <w:tcPr>
            <w:tcW w:w="992" w:type="dxa"/>
            <w:tcBorders>
              <w:top w:val="single" w:sz="8" w:space="0" w:color="auto"/>
              <w:left w:val="single" w:sz="8" w:space="0" w:color="auto"/>
              <w:bottom w:val="nil"/>
              <w:right w:val="nil"/>
            </w:tcBorders>
            <w:hideMark/>
          </w:tcPr>
          <w:p w14:paraId="362F90CE"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0,24 ml</w:t>
            </w:r>
          </w:p>
        </w:tc>
        <w:tc>
          <w:tcPr>
            <w:tcW w:w="1134" w:type="dxa"/>
            <w:tcBorders>
              <w:top w:val="single" w:sz="8" w:space="0" w:color="auto"/>
              <w:left w:val="single" w:sz="8" w:space="0" w:color="auto"/>
              <w:bottom w:val="nil"/>
              <w:right w:val="single" w:sz="8" w:space="0" w:color="auto"/>
            </w:tcBorders>
            <w:hideMark/>
          </w:tcPr>
          <w:p w14:paraId="59D2EF33"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0,30 ml</w:t>
            </w:r>
          </w:p>
        </w:tc>
        <w:tc>
          <w:tcPr>
            <w:tcW w:w="1276" w:type="dxa"/>
            <w:tcBorders>
              <w:top w:val="single" w:sz="8" w:space="0" w:color="auto"/>
              <w:left w:val="single" w:sz="8" w:space="0" w:color="auto"/>
              <w:bottom w:val="nil"/>
              <w:right w:val="double" w:sz="6" w:space="0" w:color="auto"/>
            </w:tcBorders>
            <w:hideMark/>
          </w:tcPr>
          <w:p w14:paraId="0C2F527E"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0,36 ml</w:t>
            </w:r>
          </w:p>
        </w:tc>
      </w:tr>
      <w:tr w:rsidR="00D2435F" w14:paraId="46F3DAB5" w14:textId="77777777" w:rsidTr="00D2435F">
        <w:tc>
          <w:tcPr>
            <w:tcW w:w="1556" w:type="dxa"/>
            <w:tcBorders>
              <w:top w:val="single" w:sz="8" w:space="0" w:color="auto"/>
              <w:left w:val="double" w:sz="6" w:space="0" w:color="auto"/>
              <w:bottom w:val="nil"/>
              <w:right w:val="nil"/>
            </w:tcBorders>
            <w:hideMark/>
          </w:tcPr>
          <w:p w14:paraId="57500A0A"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4</w:t>
            </w:r>
          </w:p>
        </w:tc>
        <w:tc>
          <w:tcPr>
            <w:tcW w:w="996" w:type="dxa"/>
            <w:tcBorders>
              <w:top w:val="single" w:sz="8" w:space="0" w:color="auto"/>
              <w:left w:val="single" w:sz="8" w:space="0" w:color="auto"/>
              <w:bottom w:val="nil"/>
              <w:right w:val="single" w:sz="8" w:space="0" w:color="auto"/>
            </w:tcBorders>
            <w:hideMark/>
          </w:tcPr>
          <w:p w14:paraId="349DF57B"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0,08 ml</w:t>
            </w:r>
          </w:p>
        </w:tc>
        <w:tc>
          <w:tcPr>
            <w:tcW w:w="1134" w:type="dxa"/>
            <w:tcBorders>
              <w:top w:val="single" w:sz="8" w:space="0" w:color="auto"/>
              <w:left w:val="single" w:sz="8" w:space="0" w:color="auto"/>
              <w:bottom w:val="nil"/>
              <w:right w:val="nil"/>
            </w:tcBorders>
            <w:hideMark/>
          </w:tcPr>
          <w:p w14:paraId="2ADF2CFA"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0,16 ml</w:t>
            </w:r>
          </w:p>
        </w:tc>
        <w:tc>
          <w:tcPr>
            <w:tcW w:w="1276" w:type="dxa"/>
            <w:tcBorders>
              <w:top w:val="single" w:sz="8" w:space="0" w:color="auto"/>
              <w:left w:val="single" w:sz="8" w:space="0" w:color="auto"/>
              <w:bottom w:val="nil"/>
              <w:right w:val="nil"/>
            </w:tcBorders>
            <w:hideMark/>
          </w:tcPr>
          <w:p w14:paraId="4ECD3CA0"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0,24 ml</w:t>
            </w:r>
          </w:p>
        </w:tc>
        <w:tc>
          <w:tcPr>
            <w:tcW w:w="992" w:type="dxa"/>
            <w:tcBorders>
              <w:top w:val="single" w:sz="8" w:space="0" w:color="auto"/>
              <w:left w:val="single" w:sz="8" w:space="0" w:color="auto"/>
              <w:bottom w:val="nil"/>
              <w:right w:val="nil"/>
            </w:tcBorders>
            <w:hideMark/>
          </w:tcPr>
          <w:p w14:paraId="329B9CBE"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0,32 ml</w:t>
            </w:r>
          </w:p>
        </w:tc>
        <w:tc>
          <w:tcPr>
            <w:tcW w:w="1134" w:type="dxa"/>
            <w:tcBorders>
              <w:top w:val="single" w:sz="8" w:space="0" w:color="auto"/>
              <w:left w:val="single" w:sz="8" w:space="0" w:color="auto"/>
              <w:bottom w:val="nil"/>
              <w:right w:val="single" w:sz="8" w:space="0" w:color="auto"/>
            </w:tcBorders>
            <w:hideMark/>
          </w:tcPr>
          <w:p w14:paraId="16D8FDF7"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0,40 ml</w:t>
            </w:r>
          </w:p>
        </w:tc>
        <w:tc>
          <w:tcPr>
            <w:tcW w:w="1276" w:type="dxa"/>
            <w:tcBorders>
              <w:top w:val="single" w:sz="8" w:space="0" w:color="auto"/>
              <w:left w:val="single" w:sz="8" w:space="0" w:color="auto"/>
              <w:bottom w:val="nil"/>
              <w:right w:val="double" w:sz="6" w:space="0" w:color="auto"/>
            </w:tcBorders>
            <w:hideMark/>
          </w:tcPr>
          <w:p w14:paraId="1D93B783"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0,48 ml</w:t>
            </w:r>
          </w:p>
        </w:tc>
      </w:tr>
      <w:tr w:rsidR="00D2435F" w14:paraId="2D624E48" w14:textId="77777777" w:rsidTr="00D2435F">
        <w:tc>
          <w:tcPr>
            <w:tcW w:w="1556" w:type="dxa"/>
            <w:tcBorders>
              <w:top w:val="single" w:sz="8" w:space="0" w:color="auto"/>
              <w:left w:val="double" w:sz="6" w:space="0" w:color="auto"/>
              <w:bottom w:val="nil"/>
              <w:right w:val="nil"/>
            </w:tcBorders>
            <w:hideMark/>
          </w:tcPr>
          <w:p w14:paraId="141A1B7D"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5</w:t>
            </w:r>
          </w:p>
        </w:tc>
        <w:tc>
          <w:tcPr>
            <w:tcW w:w="996" w:type="dxa"/>
            <w:tcBorders>
              <w:top w:val="single" w:sz="8" w:space="0" w:color="auto"/>
              <w:left w:val="single" w:sz="8" w:space="0" w:color="auto"/>
              <w:bottom w:val="nil"/>
              <w:right w:val="single" w:sz="8" w:space="0" w:color="auto"/>
            </w:tcBorders>
            <w:hideMark/>
          </w:tcPr>
          <w:p w14:paraId="489D33B2"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0,10 ml</w:t>
            </w:r>
          </w:p>
        </w:tc>
        <w:tc>
          <w:tcPr>
            <w:tcW w:w="1134" w:type="dxa"/>
            <w:tcBorders>
              <w:top w:val="single" w:sz="8" w:space="0" w:color="auto"/>
              <w:left w:val="single" w:sz="8" w:space="0" w:color="auto"/>
              <w:bottom w:val="nil"/>
              <w:right w:val="nil"/>
            </w:tcBorders>
            <w:hideMark/>
          </w:tcPr>
          <w:p w14:paraId="51D510B9"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0,20 ml</w:t>
            </w:r>
          </w:p>
        </w:tc>
        <w:tc>
          <w:tcPr>
            <w:tcW w:w="1276" w:type="dxa"/>
            <w:tcBorders>
              <w:top w:val="single" w:sz="8" w:space="0" w:color="auto"/>
              <w:left w:val="single" w:sz="8" w:space="0" w:color="auto"/>
              <w:bottom w:val="nil"/>
              <w:right w:val="nil"/>
            </w:tcBorders>
            <w:hideMark/>
          </w:tcPr>
          <w:p w14:paraId="75EF79F9"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0,30 ml</w:t>
            </w:r>
          </w:p>
        </w:tc>
        <w:tc>
          <w:tcPr>
            <w:tcW w:w="992" w:type="dxa"/>
            <w:tcBorders>
              <w:top w:val="single" w:sz="8" w:space="0" w:color="auto"/>
              <w:left w:val="single" w:sz="8" w:space="0" w:color="auto"/>
              <w:bottom w:val="nil"/>
              <w:right w:val="nil"/>
            </w:tcBorders>
            <w:hideMark/>
          </w:tcPr>
          <w:p w14:paraId="7F272D74"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0,40 ml</w:t>
            </w:r>
          </w:p>
        </w:tc>
        <w:tc>
          <w:tcPr>
            <w:tcW w:w="1134" w:type="dxa"/>
            <w:tcBorders>
              <w:top w:val="single" w:sz="8" w:space="0" w:color="auto"/>
              <w:left w:val="single" w:sz="8" w:space="0" w:color="auto"/>
              <w:bottom w:val="nil"/>
              <w:right w:val="single" w:sz="8" w:space="0" w:color="auto"/>
            </w:tcBorders>
            <w:hideMark/>
          </w:tcPr>
          <w:p w14:paraId="1D07BFD7"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0,50 ml</w:t>
            </w:r>
          </w:p>
        </w:tc>
        <w:tc>
          <w:tcPr>
            <w:tcW w:w="1276" w:type="dxa"/>
            <w:tcBorders>
              <w:top w:val="single" w:sz="8" w:space="0" w:color="auto"/>
              <w:left w:val="single" w:sz="8" w:space="0" w:color="auto"/>
              <w:bottom w:val="nil"/>
              <w:right w:val="double" w:sz="6" w:space="0" w:color="auto"/>
            </w:tcBorders>
            <w:hideMark/>
          </w:tcPr>
          <w:p w14:paraId="4D5768F5"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0,60 ml</w:t>
            </w:r>
          </w:p>
        </w:tc>
      </w:tr>
      <w:tr w:rsidR="00D2435F" w14:paraId="17818B3B" w14:textId="77777777" w:rsidTr="00D2435F">
        <w:tc>
          <w:tcPr>
            <w:tcW w:w="1556" w:type="dxa"/>
            <w:tcBorders>
              <w:top w:val="single" w:sz="8" w:space="0" w:color="auto"/>
              <w:left w:val="double" w:sz="6" w:space="0" w:color="auto"/>
              <w:bottom w:val="double" w:sz="6" w:space="0" w:color="auto"/>
              <w:right w:val="nil"/>
            </w:tcBorders>
            <w:hideMark/>
          </w:tcPr>
          <w:p w14:paraId="2F61DA60" w14:textId="77777777" w:rsidR="00D2435F" w:rsidRDefault="00D2435F">
            <w:pPr>
              <w:rPr>
                <w:rFonts w:asciiTheme="majorBidi" w:hAnsiTheme="majorBidi" w:cstheme="majorBidi"/>
                <w:sz w:val="22"/>
                <w:szCs w:val="22"/>
                <w:lang w:eastAsia="ja-JP"/>
              </w:rPr>
            </w:pPr>
            <w:r>
              <w:rPr>
                <w:rFonts w:asciiTheme="majorBidi" w:hAnsiTheme="majorBidi"/>
                <w:sz w:val="22"/>
                <w:lang w:eastAsia="ja-JP"/>
              </w:rPr>
              <w:t>&gt;5</w:t>
            </w:r>
          </w:p>
        </w:tc>
        <w:tc>
          <w:tcPr>
            <w:tcW w:w="6808" w:type="dxa"/>
            <w:gridSpan w:val="6"/>
            <w:tcBorders>
              <w:top w:val="single" w:sz="8" w:space="0" w:color="auto"/>
              <w:left w:val="single" w:sz="8" w:space="0" w:color="auto"/>
              <w:bottom w:val="double" w:sz="6" w:space="0" w:color="auto"/>
              <w:right w:val="double" w:sz="6" w:space="0" w:color="auto"/>
            </w:tcBorders>
            <w:hideMark/>
          </w:tcPr>
          <w:p w14:paraId="580373E2" w14:textId="77777777" w:rsidR="00D2435F" w:rsidRDefault="00D2435F">
            <w:pPr>
              <w:rPr>
                <w:rFonts w:asciiTheme="majorBidi" w:hAnsiTheme="majorBidi" w:cstheme="majorBidi"/>
                <w:sz w:val="22"/>
                <w:szCs w:val="22"/>
                <w:lang w:eastAsia="ja-JP"/>
              </w:rPr>
            </w:pPr>
            <w:r>
              <w:rPr>
                <w:rFonts w:asciiTheme="majorBidi" w:hAnsiTheme="majorBidi"/>
                <w:sz w:val="22"/>
                <w:lang w:eastAsia="ja-JP"/>
              </w:rPr>
              <w:t>----- Ufortyndet opløsning -----</w:t>
            </w:r>
          </w:p>
        </w:tc>
      </w:tr>
    </w:tbl>
    <w:p w14:paraId="5FC72003" w14:textId="77777777" w:rsidR="00D2435F" w:rsidRDefault="00D2435F" w:rsidP="00D2435F">
      <w:pPr>
        <w:rPr>
          <w:rFonts w:asciiTheme="majorBidi" w:hAnsiTheme="majorBidi" w:cstheme="majorBidi"/>
          <w:sz w:val="22"/>
          <w:szCs w:val="22"/>
          <w:lang w:val="en-GB" w:eastAsia="da-DK"/>
        </w:rPr>
      </w:pPr>
    </w:p>
    <w:p w14:paraId="18C9E0F8" w14:textId="77777777" w:rsidR="00D2435F" w:rsidRDefault="00D2435F" w:rsidP="00D2435F">
      <w:pPr>
        <w:rPr>
          <w:rFonts w:asciiTheme="majorBidi" w:hAnsiTheme="majorBidi" w:cstheme="majorBidi"/>
          <w:sz w:val="22"/>
          <w:szCs w:val="22"/>
        </w:rPr>
      </w:pPr>
    </w:p>
    <w:p w14:paraId="13C852C7" w14:textId="77777777" w:rsidR="00D2435F" w:rsidRDefault="00D2435F" w:rsidP="00D2435F">
      <w:pPr>
        <w:jc w:val="center"/>
        <w:rPr>
          <w:rFonts w:asciiTheme="majorBidi" w:hAnsiTheme="majorBidi" w:cstheme="majorBidi"/>
          <w:b/>
          <w:sz w:val="22"/>
          <w:szCs w:val="22"/>
        </w:rPr>
      </w:pPr>
      <w:r>
        <w:rPr>
          <w:rFonts w:asciiTheme="majorBidi" w:hAnsiTheme="majorBidi"/>
          <w:b/>
          <w:sz w:val="22"/>
        </w:rPr>
        <w:t>Antal ml ufortyndet opløsning (5 mg/ml) hos børn</w:t>
      </w:r>
    </w:p>
    <w:p w14:paraId="071C657C" w14:textId="77777777" w:rsidR="00D2435F" w:rsidRDefault="00D2435F" w:rsidP="00D2435F">
      <w:pPr>
        <w:keepNext/>
        <w:keepLines/>
        <w:rPr>
          <w:rFonts w:asciiTheme="majorBidi" w:hAnsiTheme="majorBidi" w:cstheme="majorBidi"/>
          <w:sz w:val="22"/>
          <w:szCs w:val="22"/>
        </w:rPr>
      </w:pPr>
    </w:p>
    <w:tbl>
      <w:tblPr>
        <w:tblW w:w="9210" w:type="dxa"/>
        <w:tblInd w:w="828" w:type="dxa"/>
        <w:tblLayout w:type="fixed"/>
        <w:tblCellMar>
          <w:left w:w="120" w:type="dxa"/>
          <w:right w:w="120" w:type="dxa"/>
        </w:tblCellMar>
        <w:tblLook w:val="04A0" w:firstRow="1" w:lastRow="0" w:firstColumn="1" w:lastColumn="0" w:noHBand="0" w:noVBand="1"/>
      </w:tblPr>
      <w:tblGrid>
        <w:gridCol w:w="1557"/>
        <w:gridCol w:w="1273"/>
        <w:gridCol w:w="1273"/>
        <w:gridCol w:w="1271"/>
        <w:gridCol w:w="1271"/>
        <w:gridCol w:w="1271"/>
        <w:gridCol w:w="1271"/>
        <w:gridCol w:w="23"/>
      </w:tblGrid>
      <w:tr w:rsidR="00D2435F" w14:paraId="2F0B7938" w14:textId="77777777" w:rsidTr="00D2435F">
        <w:tc>
          <w:tcPr>
            <w:tcW w:w="1557" w:type="dxa"/>
            <w:tcBorders>
              <w:top w:val="double" w:sz="6" w:space="0" w:color="auto"/>
              <w:left w:val="double" w:sz="6" w:space="0" w:color="auto"/>
              <w:bottom w:val="nil"/>
              <w:right w:val="nil"/>
            </w:tcBorders>
            <w:hideMark/>
          </w:tcPr>
          <w:p w14:paraId="676DECC4" w14:textId="77777777" w:rsidR="00D2435F" w:rsidRDefault="00D2435F">
            <w:pPr>
              <w:keepNext/>
              <w:keepLines/>
              <w:rPr>
                <w:rFonts w:asciiTheme="majorBidi" w:hAnsiTheme="majorBidi" w:cstheme="majorBidi"/>
                <w:sz w:val="22"/>
                <w:szCs w:val="22"/>
                <w:lang w:val="en-GB" w:eastAsia="ja-JP"/>
              </w:rPr>
            </w:pPr>
            <w:r>
              <w:rPr>
                <w:rFonts w:asciiTheme="majorBidi" w:hAnsiTheme="majorBidi"/>
                <w:sz w:val="22"/>
                <w:lang w:eastAsia="ja-JP"/>
              </w:rPr>
              <w:t>Kropsvægt (kg)</w:t>
            </w:r>
          </w:p>
        </w:tc>
        <w:tc>
          <w:tcPr>
            <w:tcW w:w="7653" w:type="dxa"/>
            <w:gridSpan w:val="7"/>
            <w:tcBorders>
              <w:top w:val="double" w:sz="6" w:space="0" w:color="auto"/>
              <w:left w:val="single" w:sz="8" w:space="0" w:color="auto"/>
              <w:bottom w:val="nil"/>
              <w:right w:val="double" w:sz="6" w:space="0" w:color="auto"/>
            </w:tcBorders>
            <w:hideMark/>
          </w:tcPr>
          <w:p w14:paraId="7F20F95E"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Dosisniveau (mikrogram/kg)</w:t>
            </w:r>
          </w:p>
        </w:tc>
      </w:tr>
      <w:tr w:rsidR="00D2435F" w14:paraId="4BB033C4" w14:textId="77777777" w:rsidTr="00D2435F">
        <w:trPr>
          <w:gridAfter w:val="1"/>
          <w:wAfter w:w="23" w:type="dxa"/>
        </w:trPr>
        <w:tc>
          <w:tcPr>
            <w:tcW w:w="1557" w:type="dxa"/>
            <w:tcBorders>
              <w:top w:val="nil"/>
              <w:left w:val="double" w:sz="6" w:space="0" w:color="auto"/>
              <w:bottom w:val="nil"/>
              <w:right w:val="single" w:sz="8" w:space="0" w:color="auto"/>
            </w:tcBorders>
          </w:tcPr>
          <w:p w14:paraId="66362CBD" w14:textId="77777777" w:rsidR="00D2435F" w:rsidRDefault="00D2435F">
            <w:pPr>
              <w:keepNext/>
              <w:keepLines/>
              <w:rPr>
                <w:rFonts w:asciiTheme="majorBidi" w:hAnsiTheme="majorBidi" w:cstheme="majorBidi"/>
                <w:sz w:val="22"/>
                <w:szCs w:val="22"/>
                <w:lang w:eastAsia="ja-JP"/>
              </w:rPr>
            </w:pPr>
          </w:p>
        </w:tc>
        <w:tc>
          <w:tcPr>
            <w:tcW w:w="1273" w:type="dxa"/>
            <w:tcBorders>
              <w:top w:val="single" w:sz="8" w:space="0" w:color="auto"/>
              <w:left w:val="single" w:sz="8" w:space="0" w:color="auto"/>
              <w:bottom w:val="single" w:sz="8" w:space="0" w:color="auto"/>
              <w:right w:val="single" w:sz="8" w:space="0" w:color="auto"/>
            </w:tcBorders>
            <w:hideMark/>
          </w:tcPr>
          <w:p w14:paraId="475F2EDE"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50</w:t>
            </w:r>
            <w:r>
              <w:rPr>
                <w:rFonts w:asciiTheme="majorBidi" w:hAnsiTheme="majorBidi"/>
                <w:sz w:val="22"/>
                <w:vertAlign w:val="superscript"/>
                <w:lang w:eastAsia="ja-JP"/>
              </w:rPr>
              <w:t>1)</w:t>
            </w:r>
          </w:p>
        </w:tc>
        <w:tc>
          <w:tcPr>
            <w:tcW w:w="1273" w:type="dxa"/>
            <w:tcBorders>
              <w:top w:val="single" w:sz="8" w:space="0" w:color="auto"/>
              <w:left w:val="single" w:sz="8" w:space="0" w:color="auto"/>
              <w:bottom w:val="nil"/>
              <w:right w:val="nil"/>
            </w:tcBorders>
            <w:hideMark/>
          </w:tcPr>
          <w:p w14:paraId="2995DD2E"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10</w:t>
            </w:r>
          </w:p>
        </w:tc>
        <w:tc>
          <w:tcPr>
            <w:tcW w:w="1271" w:type="dxa"/>
            <w:tcBorders>
              <w:top w:val="single" w:sz="8" w:space="0" w:color="auto"/>
              <w:left w:val="single" w:sz="8" w:space="0" w:color="auto"/>
              <w:bottom w:val="nil"/>
              <w:right w:val="nil"/>
            </w:tcBorders>
            <w:hideMark/>
          </w:tcPr>
          <w:p w14:paraId="75530214"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150</w:t>
            </w:r>
            <w:r>
              <w:rPr>
                <w:rFonts w:asciiTheme="majorBidi" w:hAnsiTheme="majorBidi"/>
                <w:sz w:val="22"/>
                <w:vertAlign w:val="superscript"/>
                <w:lang w:eastAsia="ja-JP"/>
              </w:rPr>
              <w:t>1)</w:t>
            </w:r>
          </w:p>
        </w:tc>
        <w:tc>
          <w:tcPr>
            <w:tcW w:w="1271" w:type="dxa"/>
            <w:tcBorders>
              <w:top w:val="single" w:sz="8" w:space="0" w:color="auto"/>
              <w:left w:val="single" w:sz="8" w:space="0" w:color="auto"/>
              <w:bottom w:val="nil"/>
              <w:right w:val="nil"/>
            </w:tcBorders>
            <w:hideMark/>
          </w:tcPr>
          <w:p w14:paraId="0C83A757"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200</w:t>
            </w:r>
          </w:p>
        </w:tc>
        <w:tc>
          <w:tcPr>
            <w:tcW w:w="1271" w:type="dxa"/>
            <w:tcBorders>
              <w:top w:val="single" w:sz="8" w:space="0" w:color="auto"/>
              <w:left w:val="single" w:sz="8" w:space="0" w:color="auto"/>
              <w:bottom w:val="nil"/>
              <w:right w:val="single" w:sz="8" w:space="0" w:color="auto"/>
            </w:tcBorders>
            <w:hideMark/>
          </w:tcPr>
          <w:p w14:paraId="31B761A3"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250</w:t>
            </w:r>
            <w:r>
              <w:rPr>
                <w:rFonts w:asciiTheme="majorBidi" w:hAnsiTheme="majorBidi"/>
                <w:sz w:val="22"/>
                <w:vertAlign w:val="superscript"/>
                <w:lang w:eastAsia="ja-JP"/>
              </w:rPr>
              <w:t>1)</w:t>
            </w:r>
          </w:p>
        </w:tc>
        <w:tc>
          <w:tcPr>
            <w:tcW w:w="1271" w:type="dxa"/>
            <w:tcBorders>
              <w:top w:val="single" w:sz="8" w:space="0" w:color="auto"/>
              <w:left w:val="single" w:sz="8" w:space="0" w:color="auto"/>
              <w:bottom w:val="nil"/>
              <w:right w:val="double" w:sz="6" w:space="0" w:color="auto"/>
            </w:tcBorders>
            <w:hideMark/>
          </w:tcPr>
          <w:p w14:paraId="63298A6C"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300</w:t>
            </w:r>
          </w:p>
        </w:tc>
      </w:tr>
      <w:tr w:rsidR="00D2435F" w14:paraId="7E98D035" w14:textId="77777777" w:rsidTr="00D2435F">
        <w:trPr>
          <w:gridAfter w:val="1"/>
          <w:wAfter w:w="23" w:type="dxa"/>
        </w:trPr>
        <w:tc>
          <w:tcPr>
            <w:tcW w:w="1557" w:type="dxa"/>
            <w:tcBorders>
              <w:top w:val="single" w:sz="8" w:space="0" w:color="auto"/>
              <w:left w:val="double" w:sz="6" w:space="0" w:color="auto"/>
              <w:bottom w:val="nil"/>
              <w:right w:val="nil"/>
            </w:tcBorders>
            <w:hideMark/>
          </w:tcPr>
          <w:p w14:paraId="41BEBA93"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10</w:t>
            </w:r>
          </w:p>
        </w:tc>
        <w:tc>
          <w:tcPr>
            <w:tcW w:w="1273" w:type="dxa"/>
            <w:tcBorders>
              <w:top w:val="single" w:sz="8" w:space="0" w:color="auto"/>
              <w:left w:val="single" w:sz="8" w:space="0" w:color="auto"/>
              <w:bottom w:val="nil"/>
              <w:right w:val="single" w:sz="8" w:space="0" w:color="auto"/>
            </w:tcBorders>
            <w:hideMark/>
          </w:tcPr>
          <w:p w14:paraId="4D08611C"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0,10 ml</w:t>
            </w:r>
          </w:p>
        </w:tc>
        <w:tc>
          <w:tcPr>
            <w:tcW w:w="1273" w:type="dxa"/>
            <w:tcBorders>
              <w:top w:val="single" w:sz="8" w:space="0" w:color="auto"/>
              <w:left w:val="single" w:sz="8" w:space="0" w:color="auto"/>
              <w:bottom w:val="nil"/>
              <w:right w:val="nil"/>
            </w:tcBorders>
            <w:hideMark/>
          </w:tcPr>
          <w:p w14:paraId="5582427E"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0,20 ml</w:t>
            </w:r>
          </w:p>
        </w:tc>
        <w:tc>
          <w:tcPr>
            <w:tcW w:w="1271" w:type="dxa"/>
            <w:tcBorders>
              <w:top w:val="single" w:sz="8" w:space="0" w:color="auto"/>
              <w:left w:val="single" w:sz="8" w:space="0" w:color="auto"/>
              <w:bottom w:val="nil"/>
              <w:right w:val="nil"/>
            </w:tcBorders>
            <w:hideMark/>
          </w:tcPr>
          <w:p w14:paraId="013DB504"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0,30 ml</w:t>
            </w:r>
          </w:p>
        </w:tc>
        <w:tc>
          <w:tcPr>
            <w:tcW w:w="1271" w:type="dxa"/>
            <w:tcBorders>
              <w:top w:val="single" w:sz="8" w:space="0" w:color="auto"/>
              <w:left w:val="single" w:sz="8" w:space="0" w:color="auto"/>
              <w:bottom w:val="nil"/>
              <w:right w:val="nil"/>
            </w:tcBorders>
            <w:hideMark/>
          </w:tcPr>
          <w:p w14:paraId="37561ABE"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0,40 ml</w:t>
            </w:r>
          </w:p>
        </w:tc>
        <w:tc>
          <w:tcPr>
            <w:tcW w:w="1271" w:type="dxa"/>
            <w:tcBorders>
              <w:top w:val="single" w:sz="8" w:space="0" w:color="auto"/>
              <w:left w:val="single" w:sz="8" w:space="0" w:color="auto"/>
              <w:bottom w:val="nil"/>
              <w:right w:val="single" w:sz="8" w:space="0" w:color="auto"/>
            </w:tcBorders>
            <w:hideMark/>
          </w:tcPr>
          <w:p w14:paraId="7D4CBF04"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0,50 ml</w:t>
            </w:r>
          </w:p>
        </w:tc>
        <w:tc>
          <w:tcPr>
            <w:tcW w:w="1271" w:type="dxa"/>
            <w:tcBorders>
              <w:top w:val="single" w:sz="8" w:space="0" w:color="auto"/>
              <w:left w:val="single" w:sz="8" w:space="0" w:color="auto"/>
              <w:bottom w:val="nil"/>
              <w:right w:val="double" w:sz="6" w:space="0" w:color="auto"/>
            </w:tcBorders>
            <w:hideMark/>
          </w:tcPr>
          <w:p w14:paraId="0448F983"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0,60 ml</w:t>
            </w:r>
          </w:p>
        </w:tc>
      </w:tr>
      <w:tr w:rsidR="00D2435F" w14:paraId="7D194F34" w14:textId="77777777" w:rsidTr="00D2435F">
        <w:trPr>
          <w:gridAfter w:val="1"/>
          <w:wAfter w:w="23" w:type="dxa"/>
        </w:trPr>
        <w:tc>
          <w:tcPr>
            <w:tcW w:w="1557" w:type="dxa"/>
            <w:tcBorders>
              <w:top w:val="single" w:sz="8" w:space="0" w:color="auto"/>
              <w:left w:val="double" w:sz="6" w:space="0" w:color="auto"/>
              <w:bottom w:val="nil"/>
              <w:right w:val="nil"/>
            </w:tcBorders>
            <w:hideMark/>
          </w:tcPr>
          <w:p w14:paraId="4778753E"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15</w:t>
            </w:r>
          </w:p>
        </w:tc>
        <w:tc>
          <w:tcPr>
            <w:tcW w:w="1273" w:type="dxa"/>
            <w:tcBorders>
              <w:top w:val="single" w:sz="8" w:space="0" w:color="auto"/>
              <w:left w:val="single" w:sz="8" w:space="0" w:color="auto"/>
              <w:bottom w:val="nil"/>
              <w:right w:val="single" w:sz="8" w:space="0" w:color="auto"/>
            </w:tcBorders>
            <w:hideMark/>
          </w:tcPr>
          <w:p w14:paraId="7336AC41"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0,15 ml</w:t>
            </w:r>
          </w:p>
        </w:tc>
        <w:tc>
          <w:tcPr>
            <w:tcW w:w="1273" w:type="dxa"/>
            <w:tcBorders>
              <w:top w:val="single" w:sz="8" w:space="0" w:color="auto"/>
              <w:left w:val="single" w:sz="8" w:space="0" w:color="auto"/>
              <w:bottom w:val="nil"/>
              <w:right w:val="nil"/>
            </w:tcBorders>
            <w:hideMark/>
          </w:tcPr>
          <w:p w14:paraId="137B2690"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0,30 ml</w:t>
            </w:r>
          </w:p>
        </w:tc>
        <w:tc>
          <w:tcPr>
            <w:tcW w:w="1271" w:type="dxa"/>
            <w:tcBorders>
              <w:top w:val="single" w:sz="8" w:space="0" w:color="auto"/>
              <w:left w:val="single" w:sz="8" w:space="0" w:color="auto"/>
              <w:bottom w:val="nil"/>
              <w:right w:val="nil"/>
            </w:tcBorders>
            <w:hideMark/>
          </w:tcPr>
          <w:p w14:paraId="768319FB"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0,45 ml</w:t>
            </w:r>
          </w:p>
        </w:tc>
        <w:tc>
          <w:tcPr>
            <w:tcW w:w="1271" w:type="dxa"/>
            <w:tcBorders>
              <w:top w:val="single" w:sz="8" w:space="0" w:color="auto"/>
              <w:left w:val="single" w:sz="8" w:space="0" w:color="auto"/>
              <w:bottom w:val="nil"/>
              <w:right w:val="nil"/>
            </w:tcBorders>
            <w:hideMark/>
          </w:tcPr>
          <w:p w14:paraId="1E88B0D1"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0,60 ml</w:t>
            </w:r>
          </w:p>
        </w:tc>
        <w:tc>
          <w:tcPr>
            <w:tcW w:w="1271" w:type="dxa"/>
            <w:tcBorders>
              <w:top w:val="single" w:sz="8" w:space="0" w:color="auto"/>
              <w:left w:val="single" w:sz="8" w:space="0" w:color="auto"/>
              <w:bottom w:val="nil"/>
              <w:right w:val="single" w:sz="8" w:space="0" w:color="auto"/>
            </w:tcBorders>
            <w:hideMark/>
          </w:tcPr>
          <w:p w14:paraId="7CF3F480"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0,75 ml</w:t>
            </w:r>
          </w:p>
        </w:tc>
        <w:tc>
          <w:tcPr>
            <w:tcW w:w="1271" w:type="dxa"/>
            <w:tcBorders>
              <w:top w:val="single" w:sz="8" w:space="0" w:color="auto"/>
              <w:left w:val="single" w:sz="8" w:space="0" w:color="auto"/>
              <w:bottom w:val="nil"/>
              <w:right w:val="double" w:sz="6" w:space="0" w:color="auto"/>
            </w:tcBorders>
            <w:hideMark/>
          </w:tcPr>
          <w:p w14:paraId="35F7C3A5"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0,90 ml</w:t>
            </w:r>
          </w:p>
        </w:tc>
      </w:tr>
      <w:tr w:rsidR="00D2435F" w14:paraId="5546D6EA" w14:textId="77777777" w:rsidTr="00D2435F">
        <w:trPr>
          <w:gridAfter w:val="1"/>
          <w:wAfter w:w="23" w:type="dxa"/>
        </w:trPr>
        <w:tc>
          <w:tcPr>
            <w:tcW w:w="1557" w:type="dxa"/>
            <w:tcBorders>
              <w:top w:val="single" w:sz="8" w:space="0" w:color="auto"/>
              <w:left w:val="double" w:sz="6" w:space="0" w:color="auto"/>
              <w:bottom w:val="nil"/>
              <w:right w:val="nil"/>
            </w:tcBorders>
            <w:hideMark/>
          </w:tcPr>
          <w:p w14:paraId="4F007BEB"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20</w:t>
            </w:r>
          </w:p>
        </w:tc>
        <w:tc>
          <w:tcPr>
            <w:tcW w:w="1273" w:type="dxa"/>
            <w:tcBorders>
              <w:top w:val="single" w:sz="8" w:space="0" w:color="auto"/>
              <w:left w:val="single" w:sz="8" w:space="0" w:color="auto"/>
              <w:bottom w:val="nil"/>
              <w:right w:val="single" w:sz="8" w:space="0" w:color="auto"/>
            </w:tcBorders>
            <w:hideMark/>
          </w:tcPr>
          <w:p w14:paraId="609ED44A"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0,20 ml</w:t>
            </w:r>
          </w:p>
        </w:tc>
        <w:tc>
          <w:tcPr>
            <w:tcW w:w="1273" w:type="dxa"/>
            <w:tcBorders>
              <w:top w:val="single" w:sz="8" w:space="0" w:color="auto"/>
              <w:left w:val="single" w:sz="8" w:space="0" w:color="auto"/>
              <w:bottom w:val="nil"/>
              <w:right w:val="nil"/>
            </w:tcBorders>
            <w:hideMark/>
          </w:tcPr>
          <w:p w14:paraId="484306A1"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0,40 ml</w:t>
            </w:r>
          </w:p>
        </w:tc>
        <w:tc>
          <w:tcPr>
            <w:tcW w:w="1271" w:type="dxa"/>
            <w:tcBorders>
              <w:top w:val="single" w:sz="8" w:space="0" w:color="auto"/>
              <w:left w:val="single" w:sz="8" w:space="0" w:color="auto"/>
              <w:bottom w:val="nil"/>
              <w:right w:val="nil"/>
            </w:tcBorders>
            <w:hideMark/>
          </w:tcPr>
          <w:p w14:paraId="4E622FF8"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0,60 ml</w:t>
            </w:r>
          </w:p>
        </w:tc>
        <w:tc>
          <w:tcPr>
            <w:tcW w:w="1271" w:type="dxa"/>
            <w:tcBorders>
              <w:top w:val="single" w:sz="8" w:space="0" w:color="auto"/>
              <w:left w:val="single" w:sz="8" w:space="0" w:color="auto"/>
              <w:bottom w:val="nil"/>
              <w:right w:val="nil"/>
            </w:tcBorders>
            <w:hideMark/>
          </w:tcPr>
          <w:p w14:paraId="27D722FF"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0,80 ml</w:t>
            </w:r>
          </w:p>
        </w:tc>
        <w:tc>
          <w:tcPr>
            <w:tcW w:w="1271" w:type="dxa"/>
            <w:tcBorders>
              <w:top w:val="single" w:sz="8" w:space="0" w:color="auto"/>
              <w:left w:val="single" w:sz="8" w:space="0" w:color="auto"/>
              <w:bottom w:val="nil"/>
              <w:right w:val="single" w:sz="8" w:space="0" w:color="auto"/>
            </w:tcBorders>
            <w:hideMark/>
          </w:tcPr>
          <w:p w14:paraId="03666BAE"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1,00 ml</w:t>
            </w:r>
          </w:p>
        </w:tc>
        <w:tc>
          <w:tcPr>
            <w:tcW w:w="1271" w:type="dxa"/>
            <w:tcBorders>
              <w:top w:val="single" w:sz="8" w:space="0" w:color="auto"/>
              <w:left w:val="single" w:sz="8" w:space="0" w:color="auto"/>
              <w:bottom w:val="nil"/>
              <w:right w:val="double" w:sz="6" w:space="0" w:color="auto"/>
            </w:tcBorders>
            <w:hideMark/>
          </w:tcPr>
          <w:p w14:paraId="0B3D99ED"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1,20 ml</w:t>
            </w:r>
          </w:p>
        </w:tc>
      </w:tr>
      <w:tr w:rsidR="00D2435F" w14:paraId="3D26ED1D" w14:textId="77777777" w:rsidTr="00D2435F">
        <w:trPr>
          <w:gridAfter w:val="1"/>
          <w:wAfter w:w="23" w:type="dxa"/>
        </w:trPr>
        <w:tc>
          <w:tcPr>
            <w:tcW w:w="1557" w:type="dxa"/>
            <w:tcBorders>
              <w:top w:val="single" w:sz="8" w:space="0" w:color="auto"/>
              <w:left w:val="double" w:sz="6" w:space="0" w:color="auto"/>
              <w:bottom w:val="nil"/>
              <w:right w:val="nil"/>
            </w:tcBorders>
            <w:hideMark/>
          </w:tcPr>
          <w:p w14:paraId="19AFA33B"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25</w:t>
            </w:r>
          </w:p>
        </w:tc>
        <w:tc>
          <w:tcPr>
            <w:tcW w:w="1273" w:type="dxa"/>
            <w:tcBorders>
              <w:top w:val="single" w:sz="8" w:space="0" w:color="auto"/>
              <w:left w:val="single" w:sz="8" w:space="0" w:color="auto"/>
              <w:bottom w:val="nil"/>
              <w:right w:val="single" w:sz="8" w:space="0" w:color="auto"/>
            </w:tcBorders>
            <w:hideMark/>
          </w:tcPr>
          <w:p w14:paraId="0215C835"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0,25 ml</w:t>
            </w:r>
          </w:p>
        </w:tc>
        <w:tc>
          <w:tcPr>
            <w:tcW w:w="1273" w:type="dxa"/>
            <w:tcBorders>
              <w:top w:val="single" w:sz="8" w:space="0" w:color="auto"/>
              <w:left w:val="single" w:sz="8" w:space="0" w:color="auto"/>
              <w:bottom w:val="nil"/>
              <w:right w:val="nil"/>
            </w:tcBorders>
            <w:hideMark/>
          </w:tcPr>
          <w:p w14:paraId="18AE4E75"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0,50 ml</w:t>
            </w:r>
          </w:p>
        </w:tc>
        <w:tc>
          <w:tcPr>
            <w:tcW w:w="1271" w:type="dxa"/>
            <w:tcBorders>
              <w:top w:val="single" w:sz="8" w:space="0" w:color="auto"/>
              <w:left w:val="single" w:sz="8" w:space="0" w:color="auto"/>
              <w:bottom w:val="nil"/>
              <w:right w:val="nil"/>
            </w:tcBorders>
            <w:hideMark/>
          </w:tcPr>
          <w:p w14:paraId="720490A1"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0,75 ml</w:t>
            </w:r>
          </w:p>
        </w:tc>
        <w:tc>
          <w:tcPr>
            <w:tcW w:w="1271" w:type="dxa"/>
            <w:tcBorders>
              <w:top w:val="single" w:sz="8" w:space="0" w:color="auto"/>
              <w:left w:val="single" w:sz="8" w:space="0" w:color="auto"/>
              <w:bottom w:val="nil"/>
              <w:right w:val="nil"/>
            </w:tcBorders>
            <w:hideMark/>
          </w:tcPr>
          <w:p w14:paraId="342D7530"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1,00 ml</w:t>
            </w:r>
          </w:p>
        </w:tc>
        <w:tc>
          <w:tcPr>
            <w:tcW w:w="1271" w:type="dxa"/>
            <w:tcBorders>
              <w:top w:val="single" w:sz="8" w:space="0" w:color="auto"/>
              <w:left w:val="single" w:sz="8" w:space="0" w:color="auto"/>
              <w:bottom w:val="nil"/>
              <w:right w:val="single" w:sz="8" w:space="0" w:color="auto"/>
            </w:tcBorders>
            <w:hideMark/>
          </w:tcPr>
          <w:p w14:paraId="4EF5804A"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1,25 ml</w:t>
            </w:r>
          </w:p>
        </w:tc>
        <w:tc>
          <w:tcPr>
            <w:tcW w:w="1271" w:type="dxa"/>
            <w:tcBorders>
              <w:top w:val="single" w:sz="8" w:space="0" w:color="auto"/>
              <w:left w:val="single" w:sz="8" w:space="0" w:color="auto"/>
              <w:bottom w:val="nil"/>
              <w:right w:val="double" w:sz="6" w:space="0" w:color="auto"/>
            </w:tcBorders>
            <w:hideMark/>
          </w:tcPr>
          <w:p w14:paraId="3B476628"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1,50 ml</w:t>
            </w:r>
          </w:p>
        </w:tc>
      </w:tr>
      <w:tr w:rsidR="00D2435F" w14:paraId="5E9197F9" w14:textId="77777777" w:rsidTr="00D2435F">
        <w:trPr>
          <w:gridAfter w:val="1"/>
          <w:wAfter w:w="23" w:type="dxa"/>
        </w:trPr>
        <w:tc>
          <w:tcPr>
            <w:tcW w:w="1557" w:type="dxa"/>
            <w:tcBorders>
              <w:top w:val="single" w:sz="8" w:space="0" w:color="auto"/>
              <w:left w:val="double" w:sz="6" w:space="0" w:color="auto"/>
              <w:bottom w:val="nil"/>
              <w:right w:val="nil"/>
            </w:tcBorders>
            <w:hideMark/>
          </w:tcPr>
          <w:p w14:paraId="1963508C"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30</w:t>
            </w:r>
          </w:p>
        </w:tc>
        <w:tc>
          <w:tcPr>
            <w:tcW w:w="1273" w:type="dxa"/>
            <w:tcBorders>
              <w:top w:val="single" w:sz="8" w:space="0" w:color="auto"/>
              <w:left w:val="single" w:sz="8" w:space="0" w:color="auto"/>
              <w:bottom w:val="nil"/>
              <w:right w:val="single" w:sz="8" w:space="0" w:color="auto"/>
            </w:tcBorders>
            <w:hideMark/>
          </w:tcPr>
          <w:p w14:paraId="1215CAA0"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0,30 ml</w:t>
            </w:r>
          </w:p>
        </w:tc>
        <w:tc>
          <w:tcPr>
            <w:tcW w:w="1273" w:type="dxa"/>
            <w:tcBorders>
              <w:top w:val="single" w:sz="8" w:space="0" w:color="auto"/>
              <w:left w:val="single" w:sz="8" w:space="0" w:color="auto"/>
              <w:bottom w:val="nil"/>
              <w:right w:val="nil"/>
            </w:tcBorders>
            <w:hideMark/>
          </w:tcPr>
          <w:p w14:paraId="690B25B4"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0,60 ml</w:t>
            </w:r>
          </w:p>
        </w:tc>
        <w:tc>
          <w:tcPr>
            <w:tcW w:w="1271" w:type="dxa"/>
            <w:tcBorders>
              <w:top w:val="single" w:sz="8" w:space="0" w:color="auto"/>
              <w:left w:val="single" w:sz="8" w:space="0" w:color="auto"/>
              <w:bottom w:val="nil"/>
              <w:right w:val="nil"/>
            </w:tcBorders>
            <w:hideMark/>
          </w:tcPr>
          <w:p w14:paraId="6BB25277"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0,90 ml</w:t>
            </w:r>
          </w:p>
        </w:tc>
        <w:tc>
          <w:tcPr>
            <w:tcW w:w="1271" w:type="dxa"/>
            <w:tcBorders>
              <w:top w:val="single" w:sz="8" w:space="0" w:color="auto"/>
              <w:left w:val="single" w:sz="8" w:space="0" w:color="auto"/>
              <w:bottom w:val="nil"/>
              <w:right w:val="nil"/>
            </w:tcBorders>
            <w:hideMark/>
          </w:tcPr>
          <w:p w14:paraId="33128489"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1,20 ml</w:t>
            </w:r>
          </w:p>
        </w:tc>
        <w:tc>
          <w:tcPr>
            <w:tcW w:w="1271" w:type="dxa"/>
            <w:tcBorders>
              <w:top w:val="single" w:sz="8" w:space="0" w:color="auto"/>
              <w:left w:val="single" w:sz="8" w:space="0" w:color="auto"/>
              <w:bottom w:val="nil"/>
              <w:right w:val="single" w:sz="8" w:space="0" w:color="auto"/>
            </w:tcBorders>
            <w:hideMark/>
          </w:tcPr>
          <w:p w14:paraId="6873456C"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1,50 ml</w:t>
            </w:r>
          </w:p>
        </w:tc>
        <w:tc>
          <w:tcPr>
            <w:tcW w:w="1271" w:type="dxa"/>
            <w:tcBorders>
              <w:top w:val="single" w:sz="8" w:space="0" w:color="auto"/>
              <w:left w:val="single" w:sz="8" w:space="0" w:color="auto"/>
              <w:bottom w:val="nil"/>
              <w:right w:val="double" w:sz="6" w:space="0" w:color="auto"/>
            </w:tcBorders>
            <w:hideMark/>
          </w:tcPr>
          <w:p w14:paraId="293B2F48"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1,80 ml</w:t>
            </w:r>
          </w:p>
        </w:tc>
      </w:tr>
      <w:tr w:rsidR="00D2435F" w14:paraId="76CDB2B2" w14:textId="77777777" w:rsidTr="00D2435F">
        <w:trPr>
          <w:gridAfter w:val="1"/>
          <w:wAfter w:w="23" w:type="dxa"/>
        </w:trPr>
        <w:tc>
          <w:tcPr>
            <w:tcW w:w="1557" w:type="dxa"/>
            <w:tcBorders>
              <w:top w:val="single" w:sz="8" w:space="0" w:color="auto"/>
              <w:left w:val="double" w:sz="6" w:space="0" w:color="auto"/>
              <w:bottom w:val="nil"/>
              <w:right w:val="nil"/>
            </w:tcBorders>
            <w:hideMark/>
          </w:tcPr>
          <w:p w14:paraId="12801BDA"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35</w:t>
            </w:r>
          </w:p>
        </w:tc>
        <w:tc>
          <w:tcPr>
            <w:tcW w:w="1273" w:type="dxa"/>
            <w:tcBorders>
              <w:top w:val="single" w:sz="8" w:space="0" w:color="auto"/>
              <w:left w:val="single" w:sz="8" w:space="0" w:color="auto"/>
              <w:bottom w:val="nil"/>
              <w:right w:val="single" w:sz="8" w:space="0" w:color="auto"/>
            </w:tcBorders>
            <w:hideMark/>
          </w:tcPr>
          <w:p w14:paraId="57B93F5A"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0,35 ml</w:t>
            </w:r>
          </w:p>
        </w:tc>
        <w:tc>
          <w:tcPr>
            <w:tcW w:w="1273" w:type="dxa"/>
            <w:tcBorders>
              <w:top w:val="single" w:sz="8" w:space="0" w:color="auto"/>
              <w:left w:val="single" w:sz="8" w:space="0" w:color="auto"/>
              <w:bottom w:val="nil"/>
              <w:right w:val="nil"/>
            </w:tcBorders>
            <w:hideMark/>
          </w:tcPr>
          <w:p w14:paraId="78C052A2"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0,70 ml</w:t>
            </w:r>
          </w:p>
        </w:tc>
        <w:tc>
          <w:tcPr>
            <w:tcW w:w="1271" w:type="dxa"/>
            <w:tcBorders>
              <w:top w:val="single" w:sz="8" w:space="0" w:color="auto"/>
              <w:left w:val="single" w:sz="8" w:space="0" w:color="auto"/>
              <w:bottom w:val="nil"/>
              <w:right w:val="nil"/>
            </w:tcBorders>
            <w:hideMark/>
          </w:tcPr>
          <w:p w14:paraId="052F031F"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1,05 ml</w:t>
            </w:r>
          </w:p>
        </w:tc>
        <w:tc>
          <w:tcPr>
            <w:tcW w:w="1271" w:type="dxa"/>
            <w:tcBorders>
              <w:top w:val="single" w:sz="8" w:space="0" w:color="auto"/>
              <w:left w:val="single" w:sz="8" w:space="0" w:color="auto"/>
              <w:bottom w:val="nil"/>
              <w:right w:val="nil"/>
            </w:tcBorders>
            <w:hideMark/>
          </w:tcPr>
          <w:p w14:paraId="77976FE2"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1,40 ml</w:t>
            </w:r>
          </w:p>
        </w:tc>
        <w:tc>
          <w:tcPr>
            <w:tcW w:w="1271" w:type="dxa"/>
            <w:tcBorders>
              <w:top w:val="single" w:sz="8" w:space="0" w:color="auto"/>
              <w:left w:val="single" w:sz="8" w:space="0" w:color="auto"/>
              <w:bottom w:val="nil"/>
              <w:right w:val="single" w:sz="8" w:space="0" w:color="auto"/>
            </w:tcBorders>
            <w:hideMark/>
          </w:tcPr>
          <w:p w14:paraId="07AC3714"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1,75 ml</w:t>
            </w:r>
          </w:p>
        </w:tc>
        <w:tc>
          <w:tcPr>
            <w:tcW w:w="1271" w:type="dxa"/>
            <w:tcBorders>
              <w:top w:val="single" w:sz="8" w:space="0" w:color="auto"/>
              <w:left w:val="single" w:sz="8" w:space="0" w:color="auto"/>
              <w:bottom w:val="nil"/>
              <w:right w:val="double" w:sz="6" w:space="0" w:color="auto"/>
            </w:tcBorders>
            <w:hideMark/>
          </w:tcPr>
          <w:p w14:paraId="74C9A50C"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2,10 ml</w:t>
            </w:r>
          </w:p>
        </w:tc>
      </w:tr>
      <w:tr w:rsidR="00D2435F" w14:paraId="59066D4D" w14:textId="77777777" w:rsidTr="00D2435F">
        <w:trPr>
          <w:gridAfter w:val="1"/>
          <w:wAfter w:w="23" w:type="dxa"/>
        </w:trPr>
        <w:tc>
          <w:tcPr>
            <w:tcW w:w="1557" w:type="dxa"/>
            <w:tcBorders>
              <w:top w:val="single" w:sz="8" w:space="0" w:color="auto"/>
              <w:left w:val="double" w:sz="6" w:space="0" w:color="auto"/>
              <w:bottom w:val="nil"/>
              <w:right w:val="nil"/>
            </w:tcBorders>
            <w:hideMark/>
          </w:tcPr>
          <w:p w14:paraId="4C4D41E3"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40</w:t>
            </w:r>
          </w:p>
        </w:tc>
        <w:tc>
          <w:tcPr>
            <w:tcW w:w="1273" w:type="dxa"/>
            <w:tcBorders>
              <w:top w:val="single" w:sz="8" w:space="0" w:color="auto"/>
              <w:left w:val="single" w:sz="8" w:space="0" w:color="auto"/>
              <w:bottom w:val="nil"/>
              <w:right w:val="single" w:sz="8" w:space="0" w:color="auto"/>
            </w:tcBorders>
            <w:hideMark/>
          </w:tcPr>
          <w:p w14:paraId="4AE5789B"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0,40 ml</w:t>
            </w:r>
          </w:p>
        </w:tc>
        <w:tc>
          <w:tcPr>
            <w:tcW w:w="1273" w:type="dxa"/>
            <w:tcBorders>
              <w:top w:val="single" w:sz="8" w:space="0" w:color="auto"/>
              <w:left w:val="single" w:sz="8" w:space="0" w:color="auto"/>
              <w:bottom w:val="nil"/>
              <w:right w:val="nil"/>
            </w:tcBorders>
            <w:hideMark/>
          </w:tcPr>
          <w:p w14:paraId="6050B5A9"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0,80 ml</w:t>
            </w:r>
          </w:p>
        </w:tc>
        <w:tc>
          <w:tcPr>
            <w:tcW w:w="1271" w:type="dxa"/>
            <w:tcBorders>
              <w:top w:val="single" w:sz="8" w:space="0" w:color="auto"/>
              <w:left w:val="single" w:sz="8" w:space="0" w:color="auto"/>
              <w:bottom w:val="nil"/>
              <w:right w:val="nil"/>
            </w:tcBorders>
            <w:hideMark/>
          </w:tcPr>
          <w:p w14:paraId="13560F0E"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1,20 ml</w:t>
            </w:r>
          </w:p>
        </w:tc>
        <w:tc>
          <w:tcPr>
            <w:tcW w:w="1271" w:type="dxa"/>
            <w:tcBorders>
              <w:top w:val="single" w:sz="8" w:space="0" w:color="auto"/>
              <w:left w:val="single" w:sz="8" w:space="0" w:color="auto"/>
              <w:bottom w:val="nil"/>
              <w:right w:val="nil"/>
            </w:tcBorders>
            <w:hideMark/>
          </w:tcPr>
          <w:p w14:paraId="678C4CD2"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1,60 ml</w:t>
            </w:r>
          </w:p>
        </w:tc>
        <w:tc>
          <w:tcPr>
            <w:tcW w:w="1271" w:type="dxa"/>
            <w:tcBorders>
              <w:top w:val="single" w:sz="8" w:space="0" w:color="auto"/>
              <w:left w:val="single" w:sz="8" w:space="0" w:color="auto"/>
              <w:bottom w:val="nil"/>
              <w:right w:val="single" w:sz="8" w:space="0" w:color="auto"/>
            </w:tcBorders>
            <w:hideMark/>
          </w:tcPr>
          <w:p w14:paraId="0C6C1219"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2,00 ml</w:t>
            </w:r>
          </w:p>
        </w:tc>
        <w:tc>
          <w:tcPr>
            <w:tcW w:w="1271" w:type="dxa"/>
            <w:tcBorders>
              <w:top w:val="single" w:sz="8" w:space="0" w:color="auto"/>
              <w:left w:val="single" w:sz="8" w:space="0" w:color="auto"/>
              <w:bottom w:val="nil"/>
              <w:right w:val="double" w:sz="6" w:space="0" w:color="auto"/>
            </w:tcBorders>
            <w:hideMark/>
          </w:tcPr>
          <w:p w14:paraId="28FEFB96"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2,40 ml</w:t>
            </w:r>
          </w:p>
        </w:tc>
      </w:tr>
      <w:tr w:rsidR="00D2435F" w14:paraId="62D02C51" w14:textId="77777777" w:rsidTr="00D2435F">
        <w:trPr>
          <w:gridAfter w:val="1"/>
          <w:wAfter w:w="23" w:type="dxa"/>
        </w:trPr>
        <w:tc>
          <w:tcPr>
            <w:tcW w:w="1557" w:type="dxa"/>
            <w:tcBorders>
              <w:top w:val="single" w:sz="8" w:space="0" w:color="auto"/>
              <w:left w:val="double" w:sz="6" w:space="0" w:color="auto"/>
              <w:bottom w:val="nil"/>
              <w:right w:val="nil"/>
            </w:tcBorders>
            <w:hideMark/>
          </w:tcPr>
          <w:p w14:paraId="669C0B92"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45</w:t>
            </w:r>
          </w:p>
        </w:tc>
        <w:tc>
          <w:tcPr>
            <w:tcW w:w="1273" w:type="dxa"/>
            <w:tcBorders>
              <w:top w:val="single" w:sz="8" w:space="0" w:color="auto"/>
              <w:left w:val="single" w:sz="8" w:space="0" w:color="auto"/>
              <w:bottom w:val="nil"/>
              <w:right w:val="single" w:sz="8" w:space="0" w:color="auto"/>
            </w:tcBorders>
            <w:hideMark/>
          </w:tcPr>
          <w:p w14:paraId="0B74CFC3"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0,45 ml</w:t>
            </w:r>
          </w:p>
        </w:tc>
        <w:tc>
          <w:tcPr>
            <w:tcW w:w="1273" w:type="dxa"/>
            <w:tcBorders>
              <w:top w:val="single" w:sz="8" w:space="0" w:color="auto"/>
              <w:left w:val="single" w:sz="8" w:space="0" w:color="auto"/>
              <w:bottom w:val="nil"/>
              <w:right w:val="nil"/>
            </w:tcBorders>
            <w:hideMark/>
          </w:tcPr>
          <w:p w14:paraId="1B5318A6"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0,90 ml</w:t>
            </w:r>
          </w:p>
        </w:tc>
        <w:tc>
          <w:tcPr>
            <w:tcW w:w="1271" w:type="dxa"/>
            <w:tcBorders>
              <w:top w:val="single" w:sz="8" w:space="0" w:color="auto"/>
              <w:left w:val="single" w:sz="8" w:space="0" w:color="auto"/>
              <w:bottom w:val="nil"/>
              <w:right w:val="nil"/>
            </w:tcBorders>
            <w:hideMark/>
          </w:tcPr>
          <w:p w14:paraId="5DE5639B"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1,35 ml</w:t>
            </w:r>
          </w:p>
        </w:tc>
        <w:tc>
          <w:tcPr>
            <w:tcW w:w="1271" w:type="dxa"/>
            <w:tcBorders>
              <w:top w:val="single" w:sz="8" w:space="0" w:color="auto"/>
              <w:left w:val="single" w:sz="8" w:space="0" w:color="auto"/>
              <w:bottom w:val="nil"/>
              <w:right w:val="nil"/>
            </w:tcBorders>
            <w:hideMark/>
          </w:tcPr>
          <w:p w14:paraId="442B2034"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1,80 ml</w:t>
            </w:r>
          </w:p>
        </w:tc>
        <w:tc>
          <w:tcPr>
            <w:tcW w:w="1271" w:type="dxa"/>
            <w:tcBorders>
              <w:top w:val="single" w:sz="8" w:space="0" w:color="auto"/>
              <w:left w:val="single" w:sz="8" w:space="0" w:color="auto"/>
              <w:bottom w:val="nil"/>
              <w:right w:val="single" w:sz="8" w:space="0" w:color="auto"/>
            </w:tcBorders>
            <w:hideMark/>
          </w:tcPr>
          <w:p w14:paraId="457F3E23"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2,25 ml</w:t>
            </w:r>
          </w:p>
        </w:tc>
        <w:tc>
          <w:tcPr>
            <w:tcW w:w="1271" w:type="dxa"/>
            <w:tcBorders>
              <w:top w:val="single" w:sz="8" w:space="0" w:color="auto"/>
              <w:left w:val="single" w:sz="8" w:space="0" w:color="auto"/>
              <w:bottom w:val="nil"/>
              <w:right w:val="double" w:sz="6" w:space="0" w:color="auto"/>
            </w:tcBorders>
            <w:hideMark/>
          </w:tcPr>
          <w:p w14:paraId="3D7F96FD"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2,70 ml</w:t>
            </w:r>
            <w:r>
              <w:rPr>
                <w:rFonts w:asciiTheme="majorBidi" w:hAnsiTheme="majorBidi"/>
                <w:sz w:val="22"/>
                <w:vertAlign w:val="superscript"/>
                <w:lang w:eastAsia="ja-JP"/>
              </w:rPr>
              <w:t>2)</w:t>
            </w:r>
          </w:p>
        </w:tc>
      </w:tr>
      <w:tr w:rsidR="00D2435F" w14:paraId="31C1B433" w14:textId="77777777" w:rsidTr="00D2435F">
        <w:trPr>
          <w:gridAfter w:val="1"/>
          <w:wAfter w:w="23" w:type="dxa"/>
        </w:trPr>
        <w:tc>
          <w:tcPr>
            <w:tcW w:w="1557" w:type="dxa"/>
            <w:tcBorders>
              <w:top w:val="single" w:sz="8" w:space="0" w:color="auto"/>
              <w:left w:val="double" w:sz="6" w:space="0" w:color="auto"/>
              <w:bottom w:val="double" w:sz="6" w:space="0" w:color="auto"/>
              <w:right w:val="nil"/>
            </w:tcBorders>
            <w:hideMark/>
          </w:tcPr>
          <w:p w14:paraId="67411968" w14:textId="77777777" w:rsidR="00D2435F" w:rsidRDefault="00D2435F">
            <w:pPr>
              <w:rPr>
                <w:rFonts w:asciiTheme="majorBidi" w:hAnsiTheme="majorBidi" w:cstheme="majorBidi"/>
                <w:sz w:val="22"/>
                <w:szCs w:val="22"/>
                <w:lang w:eastAsia="ja-JP"/>
              </w:rPr>
            </w:pPr>
            <w:r>
              <w:rPr>
                <w:rFonts w:asciiTheme="majorBidi" w:hAnsiTheme="majorBidi"/>
                <w:sz w:val="22"/>
                <w:lang w:eastAsia="ja-JP"/>
              </w:rPr>
              <w:t>50</w:t>
            </w:r>
          </w:p>
        </w:tc>
        <w:tc>
          <w:tcPr>
            <w:tcW w:w="1273" w:type="dxa"/>
            <w:tcBorders>
              <w:top w:val="single" w:sz="8" w:space="0" w:color="auto"/>
              <w:left w:val="single" w:sz="8" w:space="0" w:color="auto"/>
              <w:bottom w:val="double" w:sz="6" w:space="0" w:color="auto"/>
              <w:right w:val="single" w:sz="8" w:space="0" w:color="auto"/>
            </w:tcBorders>
            <w:hideMark/>
          </w:tcPr>
          <w:p w14:paraId="47789FE5" w14:textId="77777777" w:rsidR="00D2435F" w:rsidRDefault="00D2435F">
            <w:pPr>
              <w:rPr>
                <w:rFonts w:asciiTheme="majorBidi" w:hAnsiTheme="majorBidi" w:cstheme="majorBidi"/>
                <w:sz w:val="22"/>
                <w:szCs w:val="22"/>
                <w:lang w:eastAsia="ja-JP"/>
              </w:rPr>
            </w:pPr>
            <w:r>
              <w:rPr>
                <w:rFonts w:asciiTheme="majorBidi" w:hAnsiTheme="majorBidi"/>
                <w:sz w:val="22"/>
                <w:lang w:eastAsia="ja-JP"/>
              </w:rPr>
              <w:t>0,50 ml</w:t>
            </w:r>
          </w:p>
        </w:tc>
        <w:tc>
          <w:tcPr>
            <w:tcW w:w="1273" w:type="dxa"/>
            <w:tcBorders>
              <w:top w:val="single" w:sz="8" w:space="0" w:color="auto"/>
              <w:left w:val="single" w:sz="8" w:space="0" w:color="auto"/>
              <w:bottom w:val="double" w:sz="6" w:space="0" w:color="auto"/>
              <w:right w:val="nil"/>
            </w:tcBorders>
            <w:hideMark/>
          </w:tcPr>
          <w:p w14:paraId="799AEA5B" w14:textId="77777777" w:rsidR="00D2435F" w:rsidRDefault="00D2435F">
            <w:pPr>
              <w:rPr>
                <w:rFonts w:asciiTheme="majorBidi" w:hAnsiTheme="majorBidi" w:cstheme="majorBidi"/>
                <w:sz w:val="22"/>
                <w:szCs w:val="22"/>
                <w:lang w:eastAsia="ja-JP"/>
              </w:rPr>
            </w:pPr>
            <w:r>
              <w:rPr>
                <w:rFonts w:asciiTheme="majorBidi" w:hAnsiTheme="majorBidi"/>
                <w:sz w:val="22"/>
                <w:lang w:eastAsia="ja-JP"/>
              </w:rPr>
              <w:t>1,00 ml</w:t>
            </w:r>
          </w:p>
        </w:tc>
        <w:tc>
          <w:tcPr>
            <w:tcW w:w="1271" w:type="dxa"/>
            <w:tcBorders>
              <w:top w:val="single" w:sz="8" w:space="0" w:color="auto"/>
              <w:left w:val="single" w:sz="8" w:space="0" w:color="auto"/>
              <w:bottom w:val="double" w:sz="6" w:space="0" w:color="auto"/>
              <w:right w:val="nil"/>
            </w:tcBorders>
            <w:hideMark/>
          </w:tcPr>
          <w:p w14:paraId="471DA0EA" w14:textId="77777777" w:rsidR="00D2435F" w:rsidRDefault="00D2435F">
            <w:pPr>
              <w:rPr>
                <w:rFonts w:asciiTheme="majorBidi" w:hAnsiTheme="majorBidi" w:cstheme="majorBidi"/>
                <w:sz w:val="22"/>
                <w:szCs w:val="22"/>
                <w:lang w:eastAsia="ja-JP"/>
              </w:rPr>
            </w:pPr>
            <w:r>
              <w:rPr>
                <w:rFonts w:asciiTheme="majorBidi" w:hAnsiTheme="majorBidi"/>
                <w:sz w:val="22"/>
                <w:lang w:eastAsia="ja-JP"/>
              </w:rPr>
              <w:t>1,50 ml</w:t>
            </w:r>
          </w:p>
        </w:tc>
        <w:tc>
          <w:tcPr>
            <w:tcW w:w="1271" w:type="dxa"/>
            <w:tcBorders>
              <w:top w:val="single" w:sz="8" w:space="0" w:color="auto"/>
              <w:left w:val="single" w:sz="8" w:space="0" w:color="auto"/>
              <w:bottom w:val="double" w:sz="6" w:space="0" w:color="auto"/>
              <w:right w:val="nil"/>
            </w:tcBorders>
            <w:hideMark/>
          </w:tcPr>
          <w:p w14:paraId="56B31496" w14:textId="77777777" w:rsidR="00D2435F" w:rsidRDefault="00D2435F">
            <w:pPr>
              <w:rPr>
                <w:rFonts w:asciiTheme="majorBidi" w:hAnsiTheme="majorBidi" w:cstheme="majorBidi"/>
                <w:sz w:val="22"/>
                <w:szCs w:val="22"/>
                <w:lang w:eastAsia="ja-JP"/>
              </w:rPr>
            </w:pPr>
            <w:r>
              <w:rPr>
                <w:rFonts w:asciiTheme="majorBidi" w:hAnsiTheme="majorBidi"/>
                <w:sz w:val="22"/>
                <w:lang w:eastAsia="ja-JP"/>
              </w:rPr>
              <w:t>2,00 ml</w:t>
            </w:r>
          </w:p>
        </w:tc>
        <w:tc>
          <w:tcPr>
            <w:tcW w:w="1271" w:type="dxa"/>
            <w:tcBorders>
              <w:top w:val="single" w:sz="8" w:space="0" w:color="auto"/>
              <w:left w:val="single" w:sz="8" w:space="0" w:color="auto"/>
              <w:bottom w:val="double" w:sz="6" w:space="0" w:color="auto"/>
              <w:right w:val="single" w:sz="8" w:space="0" w:color="auto"/>
            </w:tcBorders>
            <w:hideMark/>
          </w:tcPr>
          <w:p w14:paraId="2F29A7B1" w14:textId="77777777" w:rsidR="00D2435F" w:rsidRDefault="00D2435F">
            <w:pPr>
              <w:rPr>
                <w:rFonts w:asciiTheme="majorBidi" w:hAnsiTheme="majorBidi" w:cstheme="majorBidi"/>
                <w:sz w:val="22"/>
                <w:szCs w:val="22"/>
                <w:lang w:eastAsia="ja-JP"/>
              </w:rPr>
            </w:pPr>
            <w:r>
              <w:rPr>
                <w:rFonts w:asciiTheme="majorBidi" w:hAnsiTheme="majorBidi"/>
                <w:sz w:val="22"/>
                <w:lang w:eastAsia="ja-JP"/>
              </w:rPr>
              <w:t>2,50 ml</w:t>
            </w:r>
            <w:r>
              <w:rPr>
                <w:rFonts w:asciiTheme="majorBidi" w:hAnsiTheme="majorBidi"/>
                <w:sz w:val="22"/>
                <w:vertAlign w:val="superscript"/>
                <w:lang w:eastAsia="ja-JP"/>
              </w:rPr>
              <w:t>2)</w:t>
            </w:r>
          </w:p>
        </w:tc>
        <w:tc>
          <w:tcPr>
            <w:tcW w:w="1271" w:type="dxa"/>
            <w:tcBorders>
              <w:top w:val="single" w:sz="8" w:space="0" w:color="auto"/>
              <w:left w:val="single" w:sz="8" w:space="0" w:color="auto"/>
              <w:bottom w:val="double" w:sz="6" w:space="0" w:color="auto"/>
              <w:right w:val="double" w:sz="6" w:space="0" w:color="auto"/>
            </w:tcBorders>
            <w:hideMark/>
          </w:tcPr>
          <w:p w14:paraId="6C130C09" w14:textId="77777777" w:rsidR="00D2435F" w:rsidRDefault="00D2435F">
            <w:pPr>
              <w:rPr>
                <w:rFonts w:asciiTheme="majorBidi" w:hAnsiTheme="majorBidi" w:cstheme="majorBidi"/>
                <w:sz w:val="22"/>
                <w:szCs w:val="22"/>
                <w:lang w:eastAsia="ja-JP"/>
              </w:rPr>
            </w:pPr>
            <w:r>
              <w:rPr>
                <w:rFonts w:asciiTheme="majorBidi" w:hAnsiTheme="majorBidi"/>
                <w:sz w:val="22"/>
                <w:lang w:eastAsia="ja-JP"/>
              </w:rPr>
              <w:t>3,00 ml</w:t>
            </w:r>
            <w:r>
              <w:rPr>
                <w:rFonts w:asciiTheme="majorBidi" w:hAnsiTheme="majorBidi"/>
                <w:sz w:val="22"/>
                <w:vertAlign w:val="superscript"/>
                <w:lang w:eastAsia="ja-JP"/>
              </w:rPr>
              <w:t>2)</w:t>
            </w:r>
          </w:p>
        </w:tc>
      </w:tr>
    </w:tbl>
    <w:p w14:paraId="6F2AD6FA" w14:textId="77777777" w:rsidR="00D2435F" w:rsidRPr="00D2435F" w:rsidRDefault="00D2435F" w:rsidP="00D2435F">
      <w:pPr>
        <w:ind w:left="1134" w:hanging="283"/>
        <w:rPr>
          <w:rFonts w:asciiTheme="majorBidi" w:hAnsiTheme="majorBidi" w:cstheme="majorBidi"/>
          <w:sz w:val="20"/>
          <w:lang w:val="en-GB" w:eastAsia="da-DK"/>
        </w:rPr>
      </w:pPr>
    </w:p>
    <w:p w14:paraId="5986157A" w14:textId="77777777" w:rsidR="00D2435F" w:rsidRPr="00D2435F" w:rsidRDefault="00D2435F" w:rsidP="00D2435F">
      <w:pPr>
        <w:ind w:left="1134" w:hanging="283"/>
        <w:rPr>
          <w:rFonts w:asciiTheme="majorBidi" w:hAnsiTheme="majorBidi" w:cstheme="majorBidi"/>
          <w:sz w:val="20"/>
        </w:rPr>
      </w:pPr>
      <w:r w:rsidRPr="00D2435F">
        <w:rPr>
          <w:rFonts w:asciiTheme="majorBidi" w:hAnsiTheme="majorBidi"/>
          <w:sz w:val="20"/>
          <w:vertAlign w:val="superscript"/>
        </w:rPr>
        <w:t>1)</w:t>
      </w:r>
      <w:r w:rsidRPr="00D2435F">
        <w:rPr>
          <w:rFonts w:asciiTheme="majorBidi" w:hAnsiTheme="majorBidi"/>
          <w:sz w:val="20"/>
        </w:rPr>
        <w:tab/>
        <w:t>PSVT-indikation: initialdosis på 100 mikrogram/kg, efterfulgt af gradvise forhøjelser på 100 mikrogram/kg efter behov.</w:t>
      </w:r>
    </w:p>
    <w:p w14:paraId="07F2CF74" w14:textId="77777777" w:rsidR="00D2435F" w:rsidRPr="00D2435F" w:rsidRDefault="00D2435F" w:rsidP="00D2435F">
      <w:pPr>
        <w:ind w:left="1134" w:hanging="283"/>
        <w:rPr>
          <w:rFonts w:asciiTheme="majorBidi" w:hAnsiTheme="majorBidi" w:cstheme="majorBidi"/>
          <w:sz w:val="20"/>
        </w:rPr>
      </w:pPr>
      <w:r w:rsidRPr="00D2435F">
        <w:rPr>
          <w:rFonts w:asciiTheme="majorBidi" w:hAnsiTheme="majorBidi"/>
          <w:sz w:val="20"/>
          <w:vertAlign w:val="superscript"/>
        </w:rPr>
        <w:t>2)</w:t>
      </w:r>
      <w:r w:rsidRPr="00D2435F">
        <w:rPr>
          <w:rFonts w:asciiTheme="majorBidi" w:hAnsiTheme="majorBidi"/>
          <w:sz w:val="20"/>
        </w:rPr>
        <w:tab/>
        <w:t>PSVT-indikation: Doser over 12 mg anbefales normalt ikke.</w:t>
      </w:r>
    </w:p>
    <w:p w14:paraId="090D385C" w14:textId="77777777" w:rsidR="00D2435F" w:rsidRPr="00D2435F" w:rsidRDefault="00D2435F" w:rsidP="00D2435F">
      <w:pPr>
        <w:ind w:left="1134" w:hanging="283"/>
        <w:rPr>
          <w:rFonts w:asciiTheme="majorBidi" w:hAnsiTheme="majorBidi" w:cstheme="majorBidi"/>
          <w:sz w:val="20"/>
        </w:rPr>
      </w:pPr>
    </w:p>
    <w:p w14:paraId="5B37E322" w14:textId="77777777" w:rsidR="00D2435F" w:rsidRPr="00D2435F" w:rsidRDefault="00D2435F" w:rsidP="00D2435F">
      <w:pPr>
        <w:ind w:left="851"/>
        <w:rPr>
          <w:rFonts w:asciiTheme="majorBidi" w:hAnsiTheme="majorBidi" w:cstheme="majorBidi"/>
          <w:sz w:val="24"/>
          <w:szCs w:val="24"/>
        </w:rPr>
      </w:pPr>
      <w:r w:rsidRPr="00D2435F">
        <w:rPr>
          <w:rFonts w:asciiTheme="majorBidi" w:hAnsiTheme="majorBidi"/>
          <w:sz w:val="24"/>
          <w:szCs w:val="24"/>
        </w:rPr>
        <w:t>Dosering til børn, der vejer over 50 kg, kan følge doseringsanbefalingerne for voksne.</w:t>
      </w:r>
    </w:p>
    <w:p w14:paraId="0A1174A9" w14:textId="77777777" w:rsidR="00D2435F" w:rsidRPr="00D2435F" w:rsidRDefault="00D2435F" w:rsidP="00D2435F">
      <w:pPr>
        <w:ind w:left="851"/>
        <w:rPr>
          <w:rFonts w:asciiTheme="majorBidi" w:hAnsiTheme="majorBidi" w:cstheme="majorBidi"/>
          <w:sz w:val="24"/>
          <w:szCs w:val="24"/>
          <w:u w:val="single"/>
        </w:rPr>
      </w:pPr>
    </w:p>
    <w:p w14:paraId="5AB51AAF" w14:textId="77777777" w:rsidR="00D2435F" w:rsidRPr="00D2435F" w:rsidRDefault="00D2435F" w:rsidP="00D2435F">
      <w:pPr>
        <w:keepNext/>
        <w:keepLines/>
        <w:ind w:left="851"/>
        <w:rPr>
          <w:rFonts w:asciiTheme="majorBidi" w:hAnsiTheme="majorBidi" w:cstheme="majorBidi"/>
          <w:sz w:val="24"/>
          <w:szCs w:val="24"/>
          <w:u w:val="single"/>
        </w:rPr>
      </w:pPr>
      <w:r w:rsidRPr="00D2435F">
        <w:rPr>
          <w:rFonts w:asciiTheme="majorBidi" w:hAnsiTheme="majorBidi"/>
          <w:sz w:val="24"/>
          <w:szCs w:val="24"/>
          <w:u w:val="single"/>
        </w:rPr>
        <w:t>Farmakologisk provokation af hjerteiskæmi i forbindelse med myokardiescintigrafi (thallium eller technetium) eller ekkokardiografi</w:t>
      </w:r>
    </w:p>
    <w:p w14:paraId="1AB18095" w14:textId="77777777" w:rsidR="00D2435F" w:rsidRPr="00D2435F" w:rsidRDefault="00D2435F" w:rsidP="00D2435F">
      <w:pPr>
        <w:ind w:left="851"/>
        <w:rPr>
          <w:rFonts w:asciiTheme="majorBidi" w:hAnsiTheme="majorBidi" w:cstheme="majorBidi"/>
          <w:sz w:val="24"/>
          <w:szCs w:val="24"/>
        </w:rPr>
      </w:pPr>
      <w:r w:rsidRPr="00D2435F">
        <w:rPr>
          <w:rFonts w:asciiTheme="majorBidi" w:hAnsiTheme="majorBidi"/>
          <w:sz w:val="24"/>
          <w:szCs w:val="24"/>
        </w:rPr>
        <w:t>Adenosin "Macure" indgives intravenøst i en perifer vene. Infusionshastigheden bør normalt være 140 mikrogram/kg/min. Til scintigrafisk undersøgelse skal adenosin indgives over en periode på 4-6 minutter, og den respektive isotop skal injiceres efter 3 minutters infusion med adenosin. Normalt fortsætter infusionen i 2 minutter efter injektionen af isotopen. For at reducere eventuelle bivirkninger kan infusionen kombineres med let motion.</w:t>
      </w:r>
    </w:p>
    <w:p w14:paraId="269E9E3C" w14:textId="77777777" w:rsidR="00D2435F" w:rsidRDefault="00D2435F" w:rsidP="00D2435F">
      <w:pPr>
        <w:rPr>
          <w:rFonts w:asciiTheme="majorBidi" w:hAnsiTheme="majorBidi" w:cstheme="majorBidi"/>
          <w:sz w:val="22"/>
          <w:szCs w:val="22"/>
        </w:rPr>
      </w:pPr>
    </w:p>
    <w:p w14:paraId="2E292FED" w14:textId="77777777" w:rsidR="00D2435F" w:rsidRDefault="00D2435F" w:rsidP="00D2435F">
      <w:pPr>
        <w:keepNext/>
        <w:keepLines/>
        <w:jc w:val="center"/>
        <w:rPr>
          <w:rFonts w:asciiTheme="majorBidi" w:hAnsiTheme="majorBidi"/>
          <w:b/>
          <w:sz w:val="22"/>
        </w:rPr>
      </w:pPr>
      <w:r>
        <w:rPr>
          <w:rFonts w:asciiTheme="majorBidi" w:hAnsiTheme="majorBidi"/>
          <w:b/>
          <w:sz w:val="22"/>
        </w:rPr>
        <w:lastRenderedPageBreak/>
        <w:t>Antal ml Adenosin "Macure" infunderet pr. minut i forhold til vægt</w:t>
      </w:r>
    </w:p>
    <w:p w14:paraId="7D205F8D" w14:textId="77777777" w:rsidR="00D2435F" w:rsidRDefault="00D2435F" w:rsidP="00D2435F">
      <w:pPr>
        <w:keepNext/>
        <w:keepLines/>
        <w:rPr>
          <w:rFonts w:asciiTheme="majorBidi" w:hAnsiTheme="majorBidi" w:cstheme="majorBidi"/>
          <w:sz w:val="22"/>
          <w:szCs w:val="22"/>
        </w:rPr>
      </w:pPr>
    </w:p>
    <w:tbl>
      <w:tblPr>
        <w:tblW w:w="0" w:type="auto"/>
        <w:jc w:val="center"/>
        <w:tblLayout w:type="fixed"/>
        <w:tblCellMar>
          <w:left w:w="120" w:type="dxa"/>
          <w:right w:w="120" w:type="dxa"/>
        </w:tblCellMar>
        <w:tblLook w:val="04A0" w:firstRow="1" w:lastRow="0" w:firstColumn="1" w:lastColumn="0" w:noHBand="0" w:noVBand="1"/>
      </w:tblPr>
      <w:tblGrid>
        <w:gridCol w:w="1976"/>
        <w:gridCol w:w="1833"/>
      </w:tblGrid>
      <w:tr w:rsidR="00D2435F" w14:paraId="2460C161" w14:textId="77777777" w:rsidTr="00D2435F">
        <w:trPr>
          <w:jc w:val="center"/>
        </w:trPr>
        <w:tc>
          <w:tcPr>
            <w:tcW w:w="1976" w:type="dxa"/>
            <w:tcBorders>
              <w:top w:val="double" w:sz="6" w:space="0" w:color="auto"/>
              <w:left w:val="double" w:sz="6" w:space="0" w:color="auto"/>
              <w:bottom w:val="nil"/>
              <w:right w:val="nil"/>
            </w:tcBorders>
            <w:hideMark/>
          </w:tcPr>
          <w:p w14:paraId="5DFE96DD" w14:textId="77777777" w:rsidR="00D2435F" w:rsidRDefault="00D2435F">
            <w:pPr>
              <w:keepNext/>
              <w:keepLines/>
              <w:rPr>
                <w:rFonts w:asciiTheme="majorBidi" w:hAnsiTheme="majorBidi" w:cstheme="majorBidi"/>
                <w:sz w:val="22"/>
                <w:szCs w:val="22"/>
                <w:lang w:val="en-GB" w:eastAsia="ja-JP"/>
              </w:rPr>
            </w:pPr>
            <w:r>
              <w:rPr>
                <w:rFonts w:asciiTheme="majorBidi" w:hAnsiTheme="majorBidi"/>
                <w:sz w:val="22"/>
                <w:lang w:eastAsia="ja-JP"/>
              </w:rPr>
              <w:t>Kropsvægt</w:t>
            </w:r>
          </w:p>
          <w:p w14:paraId="0AEE72D5"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(kg)</w:t>
            </w:r>
          </w:p>
        </w:tc>
        <w:tc>
          <w:tcPr>
            <w:tcW w:w="1833" w:type="dxa"/>
            <w:tcBorders>
              <w:top w:val="double" w:sz="6" w:space="0" w:color="auto"/>
              <w:left w:val="single" w:sz="8" w:space="0" w:color="auto"/>
              <w:bottom w:val="nil"/>
              <w:right w:val="double" w:sz="6" w:space="0" w:color="auto"/>
            </w:tcBorders>
          </w:tcPr>
          <w:p w14:paraId="78B800FC" w14:textId="77777777" w:rsidR="00D2435F" w:rsidRDefault="00D2435F">
            <w:pPr>
              <w:keepNext/>
              <w:keepLines/>
              <w:rPr>
                <w:rFonts w:asciiTheme="majorBidi" w:hAnsiTheme="majorBidi" w:cstheme="majorBidi"/>
                <w:sz w:val="22"/>
                <w:szCs w:val="22"/>
                <w:lang w:eastAsia="ja-JP"/>
              </w:rPr>
            </w:pPr>
          </w:p>
          <w:p w14:paraId="460AB8CF"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ml/min</w:t>
            </w:r>
          </w:p>
        </w:tc>
      </w:tr>
      <w:tr w:rsidR="00D2435F" w14:paraId="3771DAC7" w14:textId="77777777" w:rsidTr="00D2435F">
        <w:trPr>
          <w:jc w:val="center"/>
        </w:trPr>
        <w:tc>
          <w:tcPr>
            <w:tcW w:w="1976" w:type="dxa"/>
            <w:tcBorders>
              <w:top w:val="single" w:sz="8" w:space="0" w:color="auto"/>
              <w:left w:val="double" w:sz="6" w:space="0" w:color="auto"/>
              <w:bottom w:val="nil"/>
              <w:right w:val="nil"/>
            </w:tcBorders>
            <w:hideMark/>
          </w:tcPr>
          <w:p w14:paraId="2EE77A76"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40</w:t>
            </w:r>
          </w:p>
        </w:tc>
        <w:tc>
          <w:tcPr>
            <w:tcW w:w="1833" w:type="dxa"/>
            <w:tcBorders>
              <w:top w:val="single" w:sz="8" w:space="0" w:color="auto"/>
              <w:left w:val="single" w:sz="8" w:space="0" w:color="auto"/>
              <w:bottom w:val="nil"/>
              <w:right w:val="double" w:sz="6" w:space="0" w:color="auto"/>
            </w:tcBorders>
            <w:hideMark/>
          </w:tcPr>
          <w:p w14:paraId="0151BAA4"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1,1</w:t>
            </w:r>
          </w:p>
        </w:tc>
      </w:tr>
      <w:tr w:rsidR="00D2435F" w14:paraId="391669C0" w14:textId="77777777" w:rsidTr="00D2435F">
        <w:trPr>
          <w:jc w:val="center"/>
        </w:trPr>
        <w:tc>
          <w:tcPr>
            <w:tcW w:w="1976" w:type="dxa"/>
            <w:tcBorders>
              <w:top w:val="single" w:sz="8" w:space="0" w:color="auto"/>
              <w:left w:val="double" w:sz="6" w:space="0" w:color="auto"/>
              <w:bottom w:val="nil"/>
              <w:right w:val="nil"/>
            </w:tcBorders>
            <w:hideMark/>
          </w:tcPr>
          <w:p w14:paraId="25E2DCC9"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50</w:t>
            </w:r>
          </w:p>
        </w:tc>
        <w:tc>
          <w:tcPr>
            <w:tcW w:w="1833" w:type="dxa"/>
            <w:tcBorders>
              <w:top w:val="single" w:sz="8" w:space="0" w:color="auto"/>
              <w:left w:val="single" w:sz="8" w:space="0" w:color="auto"/>
              <w:bottom w:val="nil"/>
              <w:right w:val="double" w:sz="6" w:space="0" w:color="auto"/>
            </w:tcBorders>
            <w:hideMark/>
          </w:tcPr>
          <w:p w14:paraId="0B3CDDD2"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1,4</w:t>
            </w:r>
          </w:p>
        </w:tc>
      </w:tr>
      <w:tr w:rsidR="00D2435F" w14:paraId="079095A0" w14:textId="77777777" w:rsidTr="00D2435F">
        <w:trPr>
          <w:jc w:val="center"/>
        </w:trPr>
        <w:tc>
          <w:tcPr>
            <w:tcW w:w="1976" w:type="dxa"/>
            <w:tcBorders>
              <w:top w:val="single" w:sz="8" w:space="0" w:color="auto"/>
              <w:left w:val="double" w:sz="6" w:space="0" w:color="auto"/>
              <w:bottom w:val="nil"/>
              <w:right w:val="nil"/>
            </w:tcBorders>
            <w:hideMark/>
          </w:tcPr>
          <w:p w14:paraId="2BE3C7E3"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60</w:t>
            </w:r>
          </w:p>
        </w:tc>
        <w:tc>
          <w:tcPr>
            <w:tcW w:w="1833" w:type="dxa"/>
            <w:tcBorders>
              <w:top w:val="single" w:sz="8" w:space="0" w:color="auto"/>
              <w:left w:val="single" w:sz="8" w:space="0" w:color="auto"/>
              <w:bottom w:val="nil"/>
              <w:right w:val="double" w:sz="6" w:space="0" w:color="auto"/>
            </w:tcBorders>
            <w:hideMark/>
          </w:tcPr>
          <w:p w14:paraId="5C7820D6"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1,7</w:t>
            </w:r>
          </w:p>
        </w:tc>
      </w:tr>
      <w:tr w:rsidR="00D2435F" w14:paraId="2ACD58AF" w14:textId="77777777" w:rsidTr="00D2435F">
        <w:trPr>
          <w:jc w:val="center"/>
        </w:trPr>
        <w:tc>
          <w:tcPr>
            <w:tcW w:w="1976" w:type="dxa"/>
            <w:tcBorders>
              <w:top w:val="single" w:sz="8" w:space="0" w:color="auto"/>
              <w:left w:val="double" w:sz="6" w:space="0" w:color="auto"/>
              <w:bottom w:val="nil"/>
              <w:right w:val="nil"/>
            </w:tcBorders>
            <w:hideMark/>
          </w:tcPr>
          <w:p w14:paraId="50C8D378"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70</w:t>
            </w:r>
          </w:p>
        </w:tc>
        <w:tc>
          <w:tcPr>
            <w:tcW w:w="1833" w:type="dxa"/>
            <w:tcBorders>
              <w:top w:val="single" w:sz="8" w:space="0" w:color="auto"/>
              <w:left w:val="single" w:sz="8" w:space="0" w:color="auto"/>
              <w:bottom w:val="nil"/>
              <w:right w:val="double" w:sz="6" w:space="0" w:color="auto"/>
            </w:tcBorders>
            <w:hideMark/>
          </w:tcPr>
          <w:p w14:paraId="43659336"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2,0</w:t>
            </w:r>
          </w:p>
        </w:tc>
      </w:tr>
      <w:tr w:rsidR="00D2435F" w14:paraId="079F4E7F" w14:textId="77777777" w:rsidTr="00D2435F">
        <w:trPr>
          <w:jc w:val="center"/>
        </w:trPr>
        <w:tc>
          <w:tcPr>
            <w:tcW w:w="1976" w:type="dxa"/>
            <w:tcBorders>
              <w:top w:val="single" w:sz="8" w:space="0" w:color="auto"/>
              <w:left w:val="double" w:sz="6" w:space="0" w:color="auto"/>
              <w:bottom w:val="nil"/>
              <w:right w:val="nil"/>
            </w:tcBorders>
            <w:hideMark/>
          </w:tcPr>
          <w:p w14:paraId="22CFF1CA"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80</w:t>
            </w:r>
          </w:p>
        </w:tc>
        <w:tc>
          <w:tcPr>
            <w:tcW w:w="1833" w:type="dxa"/>
            <w:tcBorders>
              <w:top w:val="single" w:sz="8" w:space="0" w:color="auto"/>
              <w:left w:val="single" w:sz="8" w:space="0" w:color="auto"/>
              <w:bottom w:val="nil"/>
              <w:right w:val="double" w:sz="6" w:space="0" w:color="auto"/>
            </w:tcBorders>
            <w:hideMark/>
          </w:tcPr>
          <w:p w14:paraId="1E7B9F69"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2,2</w:t>
            </w:r>
          </w:p>
        </w:tc>
      </w:tr>
      <w:tr w:rsidR="00D2435F" w14:paraId="53C6FC22" w14:textId="77777777" w:rsidTr="00D2435F">
        <w:trPr>
          <w:jc w:val="center"/>
        </w:trPr>
        <w:tc>
          <w:tcPr>
            <w:tcW w:w="1976" w:type="dxa"/>
            <w:tcBorders>
              <w:top w:val="single" w:sz="8" w:space="0" w:color="auto"/>
              <w:left w:val="double" w:sz="6" w:space="0" w:color="auto"/>
              <w:bottom w:val="nil"/>
              <w:right w:val="nil"/>
            </w:tcBorders>
            <w:hideMark/>
          </w:tcPr>
          <w:p w14:paraId="05931F54"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90</w:t>
            </w:r>
          </w:p>
        </w:tc>
        <w:tc>
          <w:tcPr>
            <w:tcW w:w="1833" w:type="dxa"/>
            <w:tcBorders>
              <w:top w:val="single" w:sz="8" w:space="0" w:color="auto"/>
              <w:left w:val="single" w:sz="8" w:space="0" w:color="auto"/>
              <w:bottom w:val="nil"/>
              <w:right w:val="double" w:sz="6" w:space="0" w:color="auto"/>
            </w:tcBorders>
            <w:hideMark/>
          </w:tcPr>
          <w:p w14:paraId="78258E0A"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2,5</w:t>
            </w:r>
          </w:p>
        </w:tc>
      </w:tr>
      <w:tr w:rsidR="00D2435F" w14:paraId="1E42633C" w14:textId="77777777" w:rsidTr="00D2435F">
        <w:trPr>
          <w:jc w:val="center"/>
        </w:trPr>
        <w:tc>
          <w:tcPr>
            <w:tcW w:w="1976" w:type="dxa"/>
            <w:tcBorders>
              <w:top w:val="single" w:sz="8" w:space="0" w:color="auto"/>
              <w:left w:val="double" w:sz="6" w:space="0" w:color="auto"/>
              <w:bottom w:val="nil"/>
              <w:right w:val="nil"/>
            </w:tcBorders>
            <w:hideMark/>
          </w:tcPr>
          <w:p w14:paraId="13C390C7"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100</w:t>
            </w:r>
          </w:p>
        </w:tc>
        <w:tc>
          <w:tcPr>
            <w:tcW w:w="1833" w:type="dxa"/>
            <w:tcBorders>
              <w:top w:val="single" w:sz="8" w:space="0" w:color="auto"/>
              <w:left w:val="single" w:sz="8" w:space="0" w:color="auto"/>
              <w:bottom w:val="nil"/>
              <w:right w:val="double" w:sz="6" w:space="0" w:color="auto"/>
            </w:tcBorders>
            <w:hideMark/>
          </w:tcPr>
          <w:p w14:paraId="5095CF66"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2,8</w:t>
            </w:r>
          </w:p>
        </w:tc>
      </w:tr>
      <w:tr w:rsidR="00D2435F" w14:paraId="1362953E" w14:textId="77777777" w:rsidTr="00D2435F">
        <w:trPr>
          <w:jc w:val="center"/>
        </w:trPr>
        <w:tc>
          <w:tcPr>
            <w:tcW w:w="1976" w:type="dxa"/>
            <w:tcBorders>
              <w:top w:val="single" w:sz="8" w:space="0" w:color="auto"/>
              <w:left w:val="double" w:sz="6" w:space="0" w:color="auto"/>
              <w:bottom w:val="nil"/>
              <w:right w:val="nil"/>
            </w:tcBorders>
            <w:hideMark/>
          </w:tcPr>
          <w:p w14:paraId="73E5ACD7"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110</w:t>
            </w:r>
          </w:p>
        </w:tc>
        <w:tc>
          <w:tcPr>
            <w:tcW w:w="1833" w:type="dxa"/>
            <w:tcBorders>
              <w:top w:val="single" w:sz="8" w:space="0" w:color="auto"/>
              <w:left w:val="single" w:sz="8" w:space="0" w:color="auto"/>
              <w:bottom w:val="nil"/>
              <w:right w:val="double" w:sz="6" w:space="0" w:color="auto"/>
            </w:tcBorders>
            <w:hideMark/>
          </w:tcPr>
          <w:p w14:paraId="4D24AF36"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3,1</w:t>
            </w:r>
          </w:p>
        </w:tc>
      </w:tr>
      <w:tr w:rsidR="00D2435F" w14:paraId="39CA674E" w14:textId="77777777" w:rsidTr="00D2435F">
        <w:trPr>
          <w:jc w:val="center"/>
        </w:trPr>
        <w:tc>
          <w:tcPr>
            <w:tcW w:w="1976" w:type="dxa"/>
            <w:tcBorders>
              <w:top w:val="single" w:sz="8" w:space="0" w:color="auto"/>
              <w:left w:val="double" w:sz="6" w:space="0" w:color="auto"/>
              <w:bottom w:val="nil"/>
              <w:right w:val="nil"/>
            </w:tcBorders>
            <w:hideMark/>
          </w:tcPr>
          <w:p w14:paraId="48043135"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120</w:t>
            </w:r>
          </w:p>
        </w:tc>
        <w:tc>
          <w:tcPr>
            <w:tcW w:w="1833" w:type="dxa"/>
            <w:tcBorders>
              <w:top w:val="single" w:sz="8" w:space="0" w:color="auto"/>
              <w:left w:val="single" w:sz="8" w:space="0" w:color="auto"/>
              <w:bottom w:val="nil"/>
              <w:right w:val="double" w:sz="6" w:space="0" w:color="auto"/>
            </w:tcBorders>
            <w:hideMark/>
          </w:tcPr>
          <w:p w14:paraId="63E0953E"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3,4</w:t>
            </w:r>
          </w:p>
        </w:tc>
      </w:tr>
      <w:tr w:rsidR="00D2435F" w14:paraId="5B022A45" w14:textId="77777777" w:rsidTr="00D2435F">
        <w:trPr>
          <w:jc w:val="center"/>
        </w:trPr>
        <w:tc>
          <w:tcPr>
            <w:tcW w:w="1976" w:type="dxa"/>
            <w:tcBorders>
              <w:top w:val="single" w:sz="8" w:space="0" w:color="auto"/>
              <w:left w:val="double" w:sz="6" w:space="0" w:color="auto"/>
              <w:bottom w:val="nil"/>
              <w:right w:val="nil"/>
            </w:tcBorders>
            <w:hideMark/>
          </w:tcPr>
          <w:p w14:paraId="24E9F7E0"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130</w:t>
            </w:r>
          </w:p>
        </w:tc>
        <w:tc>
          <w:tcPr>
            <w:tcW w:w="1833" w:type="dxa"/>
            <w:tcBorders>
              <w:top w:val="single" w:sz="8" w:space="0" w:color="auto"/>
              <w:left w:val="single" w:sz="8" w:space="0" w:color="auto"/>
              <w:bottom w:val="nil"/>
              <w:right w:val="double" w:sz="6" w:space="0" w:color="auto"/>
            </w:tcBorders>
            <w:hideMark/>
          </w:tcPr>
          <w:p w14:paraId="3ED70C5D"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3,6</w:t>
            </w:r>
          </w:p>
        </w:tc>
      </w:tr>
      <w:tr w:rsidR="00D2435F" w14:paraId="19F86460" w14:textId="77777777" w:rsidTr="00D2435F">
        <w:trPr>
          <w:jc w:val="center"/>
        </w:trPr>
        <w:tc>
          <w:tcPr>
            <w:tcW w:w="1976" w:type="dxa"/>
            <w:tcBorders>
              <w:top w:val="single" w:sz="8" w:space="0" w:color="auto"/>
              <w:left w:val="double" w:sz="6" w:space="0" w:color="auto"/>
              <w:bottom w:val="nil"/>
              <w:right w:val="nil"/>
            </w:tcBorders>
            <w:hideMark/>
          </w:tcPr>
          <w:p w14:paraId="7D1C74C6"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140</w:t>
            </w:r>
          </w:p>
        </w:tc>
        <w:tc>
          <w:tcPr>
            <w:tcW w:w="1833" w:type="dxa"/>
            <w:tcBorders>
              <w:top w:val="single" w:sz="8" w:space="0" w:color="auto"/>
              <w:left w:val="single" w:sz="8" w:space="0" w:color="auto"/>
              <w:bottom w:val="nil"/>
              <w:right w:val="double" w:sz="6" w:space="0" w:color="auto"/>
            </w:tcBorders>
            <w:hideMark/>
          </w:tcPr>
          <w:p w14:paraId="47B8DCB8" w14:textId="77777777" w:rsidR="00D2435F" w:rsidRDefault="00D2435F">
            <w:pPr>
              <w:keepNext/>
              <w:keepLines/>
              <w:rPr>
                <w:rFonts w:asciiTheme="majorBidi" w:hAnsiTheme="majorBidi" w:cstheme="majorBidi"/>
                <w:sz w:val="22"/>
                <w:szCs w:val="22"/>
                <w:lang w:eastAsia="ja-JP"/>
              </w:rPr>
            </w:pPr>
            <w:r>
              <w:rPr>
                <w:rFonts w:asciiTheme="majorBidi" w:hAnsiTheme="majorBidi"/>
                <w:sz w:val="22"/>
                <w:lang w:eastAsia="ja-JP"/>
              </w:rPr>
              <w:t xml:space="preserve">    3,9</w:t>
            </w:r>
          </w:p>
        </w:tc>
      </w:tr>
      <w:tr w:rsidR="00D2435F" w14:paraId="2C0D8EA7" w14:textId="77777777" w:rsidTr="00D2435F">
        <w:trPr>
          <w:jc w:val="center"/>
        </w:trPr>
        <w:tc>
          <w:tcPr>
            <w:tcW w:w="1976" w:type="dxa"/>
            <w:tcBorders>
              <w:top w:val="single" w:sz="8" w:space="0" w:color="auto"/>
              <w:left w:val="double" w:sz="6" w:space="0" w:color="auto"/>
              <w:bottom w:val="double" w:sz="6" w:space="0" w:color="auto"/>
              <w:right w:val="nil"/>
            </w:tcBorders>
            <w:hideMark/>
          </w:tcPr>
          <w:p w14:paraId="692F6F12" w14:textId="77777777" w:rsidR="00D2435F" w:rsidRDefault="00D2435F">
            <w:pPr>
              <w:rPr>
                <w:rFonts w:asciiTheme="majorBidi" w:hAnsiTheme="majorBidi" w:cstheme="majorBidi"/>
                <w:sz w:val="22"/>
                <w:szCs w:val="22"/>
                <w:lang w:eastAsia="ja-JP"/>
              </w:rPr>
            </w:pPr>
            <w:r>
              <w:rPr>
                <w:rFonts w:asciiTheme="majorBidi" w:hAnsiTheme="majorBidi"/>
                <w:sz w:val="22"/>
                <w:lang w:eastAsia="ja-JP"/>
              </w:rPr>
              <w:t xml:space="preserve">    150</w:t>
            </w:r>
          </w:p>
        </w:tc>
        <w:tc>
          <w:tcPr>
            <w:tcW w:w="1833" w:type="dxa"/>
            <w:tcBorders>
              <w:top w:val="single" w:sz="8" w:space="0" w:color="auto"/>
              <w:left w:val="single" w:sz="8" w:space="0" w:color="auto"/>
              <w:bottom w:val="double" w:sz="6" w:space="0" w:color="auto"/>
              <w:right w:val="double" w:sz="6" w:space="0" w:color="auto"/>
            </w:tcBorders>
            <w:hideMark/>
          </w:tcPr>
          <w:p w14:paraId="5BC4E838" w14:textId="77777777" w:rsidR="00D2435F" w:rsidRDefault="00D2435F">
            <w:pPr>
              <w:rPr>
                <w:rFonts w:asciiTheme="majorBidi" w:hAnsiTheme="majorBidi" w:cstheme="majorBidi"/>
                <w:sz w:val="22"/>
                <w:szCs w:val="22"/>
                <w:lang w:eastAsia="ja-JP"/>
              </w:rPr>
            </w:pPr>
            <w:r>
              <w:rPr>
                <w:rFonts w:asciiTheme="majorBidi" w:hAnsiTheme="majorBidi"/>
                <w:sz w:val="22"/>
                <w:lang w:eastAsia="ja-JP"/>
              </w:rPr>
              <w:t xml:space="preserve">    4,2</w:t>
            </w:r>
          </w:p>
        </w:tc>
      </w:tr>
    </w:tbl>
    <w:p w14:paraId="1F265C22" w14:textId="77777777" w:rsidR="00D2435F" w:rsidRDefault="00D2435F" w:rsidP="00D2435F">
      <w:pPr>
        <w:rPr>
          <w:rFonts w:asciiTheme="majorBidi" w:hAnsiTheme="majorBidi" w:cstheme="majorBidi"/>
          <w:sz w:val="22"/>
          <w:szCs w:val="22"/>
          <w:lang w:val="en-GB" w:eastAsia="da-DK"/>
        </w:rPr>
      </w:pPr>
    </w:p>
    <w:p w14:paraId="04B1F96F" w14:textId="77777777" w:rsidR="00D2435F" w:rsidRPr="00D2435F" w:rsidRDefault="00D2435F" w:rsidP="00D2435F">
      <w:pPr>
        <w:ind w:left="851"/>
        <w:rPr>
          <w:rFonts w:asciiTheme="majorBidi" w:hAnsiTheme="majorBidi" w:cstheme="majorBidi"/>
          <w:sz w:val="24"/>
          <w:szCs w:val="24"/>
        </w:rPr>
      </w:pPr>
      <w:r w:rsidRPr="00D2435F">
        <w:rPr>
          <w:rFonts w:asciiTheme="majorBidi" w:hAnsiTheme="majorBidi"/>
          <w:sz w:val="24"/>
          <w:szCs w:val="24"/>
        </w:rPr>
        <w:t>Hvis der opstår et betydeligt fald i blodtrykket (mere end 25 % af udgangsværdiet), bør dosisreduktion overvejes (gradvise reduktioner på 30 mikrogram/kg/min. med intervaller på et minut anbefales) for at forhindre yderligere fald i blodtrykket.</w:t>
      </w:r>
    </w:p>
    <w:p w14:paraId="7175D077" w14:textId="77777777" w:rsidR="009260DE" w:rsidRPr="00D2435F" w:rsidRDefault="009260DE" w:rsidP="00D2435F">
      <w:pPr>
        <w:tabs>
          <w:tab w:val="left" w:pos="851"/>
        </w:tabs>
        <w:ind w:left="851"/>
        <w:rPr>
          <w:sz w:val="24"/>
          <w:szCs w:val="24"/>
        </w:rPr>
      </w:pPr>
    </w:p>
    <w:p w14:paraId="4FCB4B48"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5E571958" w14:textId="507336B5" w:rsidR="004167B9" w:rsidRPr="004167B9" w:rsidRDefault="004167B9" w:rsidP="004167B9">
      <w:pPr>
        <w:tabs>
          <w:tab w:val="left" w:pos="851"/>
        </w:tabs>
        <w:ind w:left="851"/>
        <w:rPr>
          <w:sz w:val="24"/>
          <w:szCs w:val="24"/>
        </w:rPr>
      </w:pPr>
      <w:r w:rsidRPr="004167B9">
        <w:rPr>
          <w:sz w:val="24"/>
          <w:szCs w:val="24"/>
        </w:rPr>
        <w:t xml:space="preserve">Overfølsomhed over for det aktive stof eller et eller flere af hjælpestofferne, der er anført i </w:t>
      </w:r>
      <w:r w:rsidR="005D563F">
        <w:rPr>
          <w:sz w:val="24"/>
          <w:szCs w:val="24"/>
        </w:rPr>
        <w:t>pkt.</w:t>
      </w:r>
      <w:r w:rsidRPr="004167B9">
        <w:rPr>
          <w:sz w:val="24"/>
          <w:szCs w:val="24"/>
        </w:rPr>
        <w:t xml:space="preserve"> 6.1.</w:t>
      </w:r>
    </w:p>
    <w:p w14:paraId="4E742254" w14:textId="77777777" w:rsidR="004167B9" w:rsidRPr="004167B9" w:rsidRDefault="004167B9" w:rsidP="004167B9">
      <w:pPr>
        <w:tabs>
          <w:tab w:val="left" w:pos="851"/>
        </w:tabs>
        <w:ind w:left="851"/>
        <w:rPr>
          <w:sz w:val="24"/>
          <w:szCs w:val="24"/>
        </w:rPr>
      </w:pPr>
      <w:r w:rsidRPr="004167B9">
        <w:rPr>
          <w:sz w:val="24"/>
          <w:szCs w:val="24"/>
        </w:rPr>
        <w:t>En historie med bivirkninger ved adenosin. AV-blok grad II eller III og syg sinusknudesyndrom hos patienter uden en fungerende pacemaker. Alvorlig hypotension. Ustabil angina pectoris. Ukompenseret kongestiv hjerteinsufficiens.</w:t>
      </w:r>
    </w:p>
    <w:p w14:paraId="5855D6CB" w14:textId="77777777" w:rsidR="004167B9" w:rsidRPr="004167B9" w:rsidRDefault="004167B9" w:rsidP="004167B9">
      <w:pPr>
        <w:tabs>
          <w:tab w:val="left" w:pos="851"/>
        </w:tabs>
        <w:ind w:left="851"/>
        <w:rPr>
          <w:sz w:val="24"/>
          <w:szCs w:val="24"/>
        </w:rPr>
      </w:pPr>
    </w:p>
    <w:p w14:paraId="701E0142" w14:textId="77777777" w:rsidR="004167B9" w:rsidRPr="004167B9" w:rsidRDefault="004167B9" w:rsidP="004167B9">
      <w:pPr>
        <w:tabs>
          <w:tab w:val="left" w:pos="851"/>
        </w:tabs>
        <w:ind w:left="851"/>
        <w:rPr>
          <w:sz w:val="24"/>
          <w:szCs w:val="24"/>
        </w:rPr>
      </w:pPr>
      <w:r w:rsidRPr="004167B9">
        <w:rPr>
          <w:sz w:val="24"/>
          <w:szCs w:val="24"/>
        </w:rPr>
        <w:t>Kun til infusion: Forhøjet intrakranielt tryk. Hypovolæmi. Samtidig behandling med Dipyridamol.</w:t>
      </w:r>
    </w:p>
    <w:p w14:paraId="294287EE" w14:textId="77777777" w:rsidR="009260DE" w:rsidRPr="00C84483" w:rsidRDefault="009260DE" w:rsidP="009260DE">
      <w:pPr>
        <w:tabs>
          <w:tab w:val="left" w:pos="851"/>
        </w:tabs>
        <w:ind w:left="851"/>
        <w:rPr>
          <w:sz w:val="24"/>
          <w:szCs w:val="24"/>
        </w:rPr>
      </w:pPr>
    </w:p>
    <w:p w14:paraId="78656BC8"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51149191" w14:textId="4B8295FF" w:rsidR="004167B9" w:rsidRPr="004167B9" w:rsidRDefault="004167B9" w:rsidP="004167B9">
      <w:pPr>
        <w:tabs>
          <w:tab w:val="left" w:pos="851"/>
        </w:tabs>
        <w:ind w:left="851"/>
        <w:rPr>
          <w:sz w:val="24"/>
          <w:szCs w:val="24"/>
        </w:rPr>
      </w:pPr>
      <w:r w:rsidRPr="004167B9">
        <w:rPr>
          <w:sz w:val="24"/>
          <w:szCs w:val="24"/>
        </w:rPr>
        <w:t>Da Adenosin "Macure" kan forårsage betydelig hypotension, skal det administreres med forsigtighed til patienter med ukorrigeret hypovolæmi, trunkal stenose, en venstre-højre-shunt, perikarditis, perikardieeffusion, autonome nervesystemforstyrrelser eller karotisstenose med cerebral vaskulær insufficiens. Adenosin "Macure" skal administreres med forsigtighed til patienter efter et myokardieinfarkt.</w:t>
      </w:r>
    </w:p>
    <w:p w14:paraId="1D2157D9" w14:textId="77777777" w:rsidR="004167B9" w:rsidRPr="004167B9" w:rsidRDefault="004167B9" w:rsidP="004167B9">
      <w:pPr>
        <w:tabs>
          <w:tab w:val="left" w:pos="851"/>
        </w:tabs>
        <w:ind w:left="851"/>
        <w:rPr>
          <w:sz w:val="24"/>
          <w:szCs w:val="24"/>
        </w:rPr>
      </w:pPr>
      <w:r w:rsidRPr="004167B9">
        <w:rPr>
          <w:sz w:val="24"/>
          <w:szCs w:val="24"/>
        </w:rPr>
        <w:t>Adenosin "Macure" skal anvendes med forsigtighed som et infunderet diagnostisk middel til patienter med ledningsforstyrrelser af lav grad (AV-blok grad I og grenblok), da der kan forekomme forbigående forværring under infusionen. Patienter med atrieflimren/atrieflagren og en accessorisk ledningsbane kan udvikle øget ledning via den accessoriske ledningsbane. Hos patienter med kronisk obstruktiv lungesygdom kan adenosin udløse eller forværre bronkospasmer.</w:t>
      </w:r>
    </w:p>
    <w:p w14:paraId="2333D017" w14:textId="77777777" w:rsidR="004167B9" w:rsidRPr="004167B9" w:rsidRDefault="004167B9" w:rsidP="004167B9">
      <w:pPr>
        <w:tabs>
          <w:tab w:val="left" w:pos="851"/>
        </w:tabs>
        <w:ind w:left="851"/>
        <w:rPr>
          <w:sz w:val="24"/>
          <w:szCs w:val="24"/>
        </w:rPr>
      </w:pPr>
    </w:p>
    <w:p w14:paraId="15C2B4EF" w14:textId="77777777" w:rsidR="004167B9" w:rsidRPr="004167B9" w:rsidRDefault="004167B9" w:rsidP="004167B9">
      <w:pPr>
        <w:tabs>
          <w:tab w:val="left" w:pos="851"/>
        </w:tabs>
        <w:ind w:left="851"/>
        <w:rPr>
          <w:sz w:val="24"/>
          <w:szCs w:val="24"/>
        </w:rPr>
      </w:pPr>
      <w:r w:rsidRPr="004167B9">
        <w:rPr>
          <w:sz w:val="24"/>
          <w:szCs w:val="24"/>
        </w:rPr>
        <w:t xml:space="preserve">I sjældne tilfælde er der beskrevet alvorlig bradykardi. Alvorlig bradykardi bør tolkes som en advarsel om, at der er forstyrrelser i impulsgenerering og/eller ledningssystemet. Behandlingen bør afbrydes. Alvorlig bradykardi kan fremkalde Torsade de Pointes, især hos patienter med forlænget QT-interval. Der bør udvises forsigtighed ved administration af adenosin som injektion til disse patienter. Indtil nu er der imidlertid ikke rapporteret om tilfælde af torsade de pointes, når adenosin infunderes kontinuerligt i forbindelse med en </w:t>
      </w:r>
      <w:r w:rsidRPr="004167B9">
        <w:rPr>
          <w:sz w:val="24"/>
          <w:szCs w:val="24"/>
        </w:rPr>
        <w:lastRenderedPageBreak/>
        <w:t>stresstest. Dette kan skyldes, at dosis pr. tidsenhed er meget lavere, når adenosin infunderes under stresstests, sammenlignet med når det injiceres af terapeutiske årsager.</w:t>
      </w:r>
    </w:p>
    <w:p w14:paraId="69A3FF9A" w14:textId="77777777" w:rsidR="004167B9" w:rsidRPr="004167B9" w:rsidRDefault="004167B9" w:rsidP="004167B9">
      <w:pPr>
        <w:tabs>
          <w:tab w:val="left" w:pos="851"/>
        </w:tabs>
        <w:ind w:left="851"/>
        <w:rPr>
          <w:sz w:val="24"/>
          <w:szCs w:val="24"/>
        </w:rPr>
      </w:pPr>
    </w:p>
    <w:p w14:paraId="53919B6C" w14:textId="77777777" w:rsidR="004167B9" w:rsidRPr="004167B9" w:rsidRDefault="004167B9" w:rsidP="004167B9">
      <w:pPr>
        <w:tabs>
          <w:tab w:val="left" w:pos="851"/>
        </w:tabs>
        <w:ind w:left="851"/>
        <w:rPr>
          <w:sz w:val="24"/>
          <w:szCs w:val="24"/>
        </w:rPr>
      </w:pPr>
      <w:r w:rsidRPr="004167B9">
        <w:rPr>
          <w:sz w:val="24"/>
          <w:szCs w:val="24"/>
        </w:rPr>
        <w:t>Der er observeret øget hjertefølsomhed over for adenosin hos patienter, der for nylig har gennemgået en hjertetransplantation (inden for det seneste år).</w:t>
      </w:r>
    </w:p>
    <w:p w14:paraId="14046E55" w14:textId="77777777" w:rsidR="004167B9" w:rsidRPr="004167B9" w:rsidRDefault="004167B9" w:rsidP="004167B9">
      <w:pPr>
        <w:tabs>
          <w:tab w:val="left" w:pos="851"/>
        </w:tabs>
        <w:ind w:left="851"/>
        <w:rPr>
          <w:b/>
          <w:sz w:val="24"/>
          <w:szCs w:val="24"/>
        </w:rPr>
      </w:pPr>
    </w:p>
    <w:p w14:paraId="09095C2B" w14:textId="77777777" w:rsidR="004167B9" w:rsidRPr="004167B9" w:rsidRDefault="004167B9" w:rsidP="004167B9">
      <w:pPr>
        <w:tabs>
          <w:tab w:val="left" w:pos="851"/>
        </w:tabs>
        <w:ind w:left="851"/>
        <w:rPr>
          <w:sz w:val="24"/>
          <w:szCs w:val="24"/>
          <w:u w:val="single"/>
        </w:rPr>
      </w:pPr>
      <w:r w:rsidRPr="004167B9">
        <w:rPr>
          <w:sz w:val="24"/>
          <w:szCs w:val="24"/>
          <w:u w:val="single"/>
        </w:rPr>
        <w:t>Pædiatrisk population</w:t>
      </w:r>
    </w:p>
    <w:p w14:paraId="47219452" w14:textId="75F15C0D" w:rsidR="004167B9" w:rsidRPr="004167B9" w:rsidRDefault="004167B9" w:rsidP="004167B9">
      <w:pPr>
        <w:tabs>
          <w:tab w:val="left" w:pos="851"/>
        </w:tabs>
        <w:ind w:left="851"/>
        <w:rPr>
          <w:sz w:val="24"/>
          <w:szCs w:val="24"/>
        </w:rPr>
      </w:pPr>
      <w:r w:rsidRPr="004167B9">
        <w:rPr>
          <w:sz w:val="24"/>
          <w:szCs w:val="24"/>
        </w:rPr>
        <w:t xml:space="preserve">Adenosin kan udløse atriearytmier og dermed føre til ventrikulær acceleration hos børn med Wolff-Parkinson-White (WPW)-syndrom. Se også </w:t>
      </w:r>
      <w:r>
        <w:rPr>
          <w:sz w:val="24"/>
          <w:szCs w:val="24"/>
        </w:rPr>
        <w:t>pkt.</w:t>
      </w:r>
      <w:r w:rsidRPr="004167B9">
        <w:rPr>
          <w:sz w:val="24"/>
          <w:szCs w:val="24"/>
        </w:rPr>
        <w:t xml:space="preserve"> 5.1.</w:t>
      </w:r>
    </w:p>
    <w:p w14:paraId="6E43D831" w14:textId="77777777" w:rsidR="004167B9" w:rsidRPr="004167B9" w:rsidRDefault="004167B9" w:rsidP="004167B9">
      <w:pPr>
        <w:tabs>
          <w:tab w:val="left" w:pos="851"/>
        </w:tabs>
        <w:ind w:left="851"/>
        <w:rPr>
          <w:sz w:val="24"/>
          <w:szCs w:val="24"/>
        </w:rPr>
      </w:pPr>
    </w:p>
    <w:p w14:paraId="3BC9B7CD" w14:textId="77777777" w:rsidR="004167B9" w:rsidRPr="004167B9" w:rsidRDefault="004167B9" w:rsidP="004167B9">
      <w:pPr>
        <w:tabs>
          <w:tab w:val="left" w:pos="851"/>
        </w:tabs>
        <w:ind w:left="851"/>
        <w:rPr>
          <w:sz w:val="24"/>
          <w:szCs w:val="24"/>
        </w:rPr>
      </w:pPr>
      <w:r w:rsidRPr="004167B9">
        <w:rPr>
          <w:sz w:val="24"/>
          <w:szCs w:val="24"/>
        </w:rPr>
        <w:t>Virkningen af intraossøs administration er ikke fastslået.</w:t>
      </w:r>
    </w:p>
    <w:p w14:paraId="449D11CF" w14:textId="77777777" w:rsidR="004167B9" w:rsidRPr="004167B9" w:rsidRDefault="004167B9" w:rsidP="004167B9">
      <w:pPr>
        <w:tabs>
          <w:tab w:val="left" w:pos="851"/>
        </w:tabs>
        <w:ind w:left="851"/>
        <w:rPr>
          <w:bCs/>
          <w:sz w:val="24"/>
          <w:szCs w:val="24"/>
        </w:rPr>
      </w:pPr>
    </w:p>
    <w:p w14:paraId="2547AFFF"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3FECC4EB" w14:textId="77777777" w:rsidR="005D563F" w:rsidRPr="005D563F" w:rsidRDefault="005D563F" w:rsidP="005D563F">
      <w:pPr>
        <w:tabs>
          <w:tab w:val="left" w:pos="851"/>
        </w:tabs>
        <w:ind w:left="851"/>
        <w:rPr>
          <w:sz w:val="24"/>
          <w:szCs w:val="24"/>
        </w:rPr>
      </w:pPr>
      <w:r w:rsidRPr="005D563F">
        <w:rPr>
          <w:sz w:val="24"/>
          <w:szCs w:val="24"/>
        </w:rPr>
        <w:t>Adenosin interagerer med dipyridamol, koffein og theophyllin. Samtidig behandling med theophyllin kan medføre, at patienten har behov for en noget højere dosis for at opnå AV-blok. Da koffein er en svag adenosin-receptorantagonist, kan der forekomme interindividuelle variationer i doseringsbehovet afhængigt af koffeinindtagelsen. Koffeinholdige fødevarer og drikkevarer bør ikke indtages i et tidsrum på 12 timer før diagnostisk brug af adenosin.</w:t>
      </w:r>
    </w:p>
    <w:p w14:paraId="4E9C49A3" w14:textId="77777777" w:rsidR="009260DE" w:rsidRPr="00C84483" w:rsidRDefault="009260DE" w:rsidP="009260DE">
      <w:pPr>
        <w:tabs>
          <w:tab w:val="left" w:pos="851"/>
        </w:tabs>
        <w:ind w:left="851"/>
        <w:rPr>
          <w:sz w:val="24"/>
          <w:szCs w:val="24"/>
        </w:rPr>
      </w:pPr>
    </w:p>
    <w:p w14:paraId="5CC1CD8D"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42D5CCE4" w14:textId="77777777" w:rsidR="005D563F" w:rsidRPr="005D563F" w:rsidRDefault="005D563F" w:rsidP="005D563F">
      <w:pPr>
        <w:tabs>
          <w:tab w:val="left" w:pos="851"/>
        </w:tabs>
        <w:ind w:left="851"/>
        <w:rPr>
          <w:sz w:val="24"/>
          <w:szCs w:val="24"/>
        </w:rPr>
      </w:pPr>
      <w:r w:rsidRPr="005D563F">
        <w:rPr>
          <w:sz w:val="24"/>
          <w:szCs w:val="24"/>
        </w:rPr>
        <w:t>Data fra et begrænset antal gravide kvinder, der blev behandlet med adenosin (33 personer, herunder 3, der blev eksponeret i første trimester), viste ingen uønskede bivirkninger under graviditeten og ingen uønskede bivirkninger på fostrets eller det nyfødte barns sundhed. Der foreligger indtil videre ingen relevante epidemiologiske data. Der bør udvises forsigtighed ved behandling af gravide kvinder, og andre, mere grundigt undersøgte alternativer bør overvejes først.</w:t>
      </w:r>
    </w:p>
    <w:p w14:paraId="1F2223E4" w14:textId="77777777" w:rsidR="005D563F" w:rsidRPr="005D563F" w:rsidRDefault="005D563F" w:rsidP="005D563F">
      <w:pPr>
        <w:tabs>
          <w:tab w:val="left" w:pos="851"/>
        </w:tabs>
        <w:ind w:left="851"/>
        <w:rPr>
          <w:sz w:val="24"/>
          <w:szCs w:val="24"/>
        </w:rPr>
      </w:pPr>
    </w:p>
    <w:p w14:paraId="7BC7AC3B" w14:textId="77777777" w:rsidR="005D563F" w:rsidRPr="005D563F" w:rsidRDefault="005D563F" w:rsidP="005D563F">
      <w:pPr>
        <w:tabs>
          <w:tab w:val="left" w:pos="851"/>
        </w:tabs>
        <w:ind w:left="851"/>
        <w:rPr>
          <w:sz w:val="24"/>
          <w:szCs w:val="24"/>
        </w:rPr>
      </w:pPr>
      <w:r w:rsidRPr="005D563F">
        <w:rPr>
          <w:sz w:val="24"/>
          <w:szCs w:val="24"/>
        </w:rPr>
        <w:t>Det vides ikke, om adenosin udskilles i modermælken. På grund af adenosin's korte halveringstid forventes der ingen risiko for barnet, og adenosin kan derfor gives til ammende kvinder.</w:t>
      </w:r>
    </w:p>
    <w:p w14:paraId="5F965FAD" w14:textId="77777777" w:rsidR="009260DE" w:rsidRPr="00C84483" w:rsidRDefault="009260DE" w:rsidP="009260DE">
      <w:pPr>
        <w:tabs>
          <w:tab w:val="left" w:pos="851"/>
        </w:tabs>
        <w:ind w:left="851"/>
        <w:rPr>
          <w:sz w:val="24"/>
          <w:szCs w:val="24"/>
        </w:rPr>
      </w:pPr>
    </w:p>
    <w:p w14:paraId="26E16BEE"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4E9ED275" w14:textId="77777777" w:rsidR="005D563F" w:rsidRPr="005D563F" w:rsidRDefault="005D563F" w:rsidP="005D563F">
      <w:pPr>
        <w:tabs>
          <w:tab w:val="left" w:pos="851"/>
        </w:tabs>
        <w:ind w:left="851"/>
        <w:rPr>
          <w:sz w:val="24"/>
          <w:szCs w:val="24"/>
        </w:rPr>
      </w:pPr>
      <w:r w:rsidRPr="005D563F">
        <w:rPr>
          <w:sz w:val="24"/>
          <w:szCs w:val="24"/>
        </w:rPr>
        <w:t>Ikke mærkning.</w:t>
      </w:r>
    </w:p>
    <w:p w14:paraId="76216017" w14:textId="77777777" w:rsidR="009260DE" w:rsidRPr="00C84483" w:rsidRDefault="009260DE" w:rsidP="009260DE">
      <w:pPr>
        <w:tabs>
          <w:tab w:val="left" w:pos="851"/>
        </w:tabs>
        <w:ind w:left="851"/>
        <w:rPr>
          <w:sz w:val="24"/>
          <w:szCs w:val="24"/>
        </w:rPr>
      </w:pPr>
    </w:p>
    <w:p w14:paraId="797058B3"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0F475AC3" w14:textId="77777777" w:rsidR="00807FA4" w:rsidRDefault="00807FA4" w:rsidP="00807FA4">
      <w:pPr>
        <w:keepNext/>
        <w:keepLines/>
        <w:ind w:left="851"/>
        <w:rPr>
          <w:rFonts w:asciiTheme="majorBidi" w:hAnsiTheme="majorBidi"/>
          <w:i/>
          <w:sz w:val="24"/>
          <w:szCs w:val="24"/>
        </w:rPr>
      </w:pPr>
    </w:p>
    <w:p w14:paraId="09D6A0EB" w14:textId="77777777" w:rsidR="00807FA4" w:rsidRPr="00807FA4" w:rsidRDefault="005D563F" w:rsidP="00807FA4">
      <w:pPr>
        <w:keepNext/>
        <w:keepLines/>
        <w:ind w:left="851"/>
        <w:rPr>
          <w:rFonts w:asciiTheme="majorBidi" w:hAnsiTheme="majorBidi"/>
          <w:sz w:val="24"/>
          <w:szCs w:val="24"/>
          <w:u w:val="single"/>
        </w:rPr>
      </w:pPr>
      <w:r w:rsidRPr="00807FA4">
        <w:rPr>
          <w:rFonts w:asciiTheme="majorBidi" w:hAnsiTheme="majorBidi"/>
          <w:sz w:val="24"/>
          <w:szCs w:val="24"/>
          <w:u w:val="single"/>
        </w:rPr>
        <w:t>Intravenøs injektion</w:t>
      </w:r>
    </w:p>
    <w:p w14:paraId="008F008B" w14:textId="623E447F" w:rsidR="005D563F" w:rsidRPr="00807FA4" w:rsidRDefault="005D563F" w:rsidP="00807FA4">
      <w:pPr>
        <w:keepNext/>
        <w:keepLines/>
        <w:ind w:left="851"/>
        <w:rPr>
          <w:rFonts w:asciiTheme="majorBidi" w:hAnsiTheme="majorBidi" w:cstheme="majorBidi"/>
          <w:i/>
          <w:sz w:val="24"/>
          <w:szCs w:val="24"/>
          <w:lang w:eastAsia="da-DK"/>
        </w:rPr>
      </w:pPr>
      <w:r w:rsidRPr="00807FA4">
        <w:rPr>
          <w:rFonts w:asciiTheme="majorBidi" w:hAnsiTheme="majorBidi"/>
          <w:sz w:val="24"/>
          <w:szCs w:val="24"/>
        </w:rPr>
        <w:t xml:space="preserve">Eventuelle bivirkninger er milde og forbigående (normalt inden for 30 sekunder). </w:t>
      </w:r>
      <w:r w:rsidRPr="00807FA4">
        <w:rPr>
          <w:rFonts w:asciiTheme="majorBidi" w:hAnsiTheme="majorBidi"/>
          <w:sz w:val="24"/>
          <w:szCs w:val="24"/>
          <w:lang w:val="nb-NO"/>
        </w:rPr>
        <w:t xml:space="preserve">De hyppigste bivirkninger er dyspnø (ca. 17 %), rødmen (ca. 17 %) og ubehag i brystet (ca. 14 %). </w:t>
      </w:r>
      <w:r w:rsidRPr="00807FA4">
        <w:rPr>
          <w:rFonts w:asciiTheme="majorBidi" w:hAnsiTheme="majorBidi"/>
          <w:sz w:val="24"/>
          <w:szCs w:val="24"/>
        </w:rPr>
        <w:t>Ca. 50 % af patienterne oplever ingen symptomer.</w:t>
      </w:r>
    </w:p>
    <w:p w14:paraId="091486ED" w14:textId="77777777" w:rsidR="005D563F" w:rsidRDefault="005D563F" w:rsidP="005D563F">
      <w:pPr>
        <w:keepNext/>
        <w:keepLines/>
        <w:rPr>
          <w:rFonts w:asciiTheme="majorBidi" w:hAnsiTheme="majorBidi" w:cstheme="maj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1600"/>
        <w:gridCol w:w="1865"/>
        <w:gridCol w:w="1863"/>
        <w:gridCol w:w="2214"/>
      </w:tblGrid>
      <w:tr w:rsidR="005D563F" w14:paraId="15D3B288" w14:textId="77777777" w:rsidTr="005D563F">
        <w:trPr>
          <w:tblHeader/>
        </w:trPr>
        <w:tc>
          <w:tcPr>
            <w:tcW w:w="1086" w:type="pct"/>
            <w:tcBorders>
              <w:top w:val="single" w:sz="4" w:space="0" w:color="auto"/>
              <w:left w:val="single" w:sz="4" w:space="0" w:color="auto"/>
              <w:bottom w:val="single" w:sz="4" w:space="0" w:color="auto"/>
              <w:right w:val="single" w:sz="4" w:space="0" w:color="auto"/>
            </w:tcBorders>
          </w:tcPr>
          <w:p w14:paraId="7388EEF0" w14:textId="77777777" w:rsidR="005D563F" w:rsidRDefault="005D563F">
            <w:pPr>
              <w:rPr>
                <w:rFonts w:asciiTheme="majorBidi" w:hAnsiTheme="majorBidi" w:cstheme="majorBidi"/>
                <w:sz w:val="22"/>
                <w:szCs w:val="22"/>
                <w:lang w:eastAsia="ja-JP"/>
              </w:rPr>
            </w:pPr>
          </w:p>
        </w:tc>
        <w:tc>
          <w:tcPr>
            <w:tcW w:w="956" w:type="pct"/>
            <w:tcBorders>
              <w:top w:val="single" w:sz="4" w:space="0" w:color="auto"/>
              <w:left w:val="single" w:sz="4" w:space="0" w:color="auto"/>
              <w:bottom w:val="single" w:sz="4" w:space="0" w:color="auto"/>
              <w:right w:val="single" w:sz="4" w:space="0" w:color="auto"/>
            </w:tcBorders>
            <w:hideMark/>
          </w:tcPr>
          <w:p w14:paraId="67436568"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Almindelig</w:t>
            </w:r>
          </w:p>
          <w:p w14:paraId="1F9644E3"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 1/100 til &lt; 1/10)</w:t>
            </w:r>
          </w:p>
        </w:tc>
        <w:tc>
          <w:tcPr>
            <w:tcW w:w="1032" w:type="pct"/>
            <w:tcBorders>
              <w:top w:val="single" w:sz="4" w:space="0" w:color="auto"/>
              <w:left w:val="single" w:sz="4" w:space="0" w:color="auto"/>
              <w:bottom w:val="single" w:sz="4" w:space="0" w:color="auto"/>
              <w:right w:val="single" w:sz="4" w:space="0" w:color="auto"/>
            </w:tcBorders>
            <w:hideMark/>
          </w:tcPr>
          <w:p w14:paraId="62DD86D7"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Ikke almindelig</w:t>
            </w:r>
          </w:p>
          <w:p w14:paraId="678ABFCB"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 1/1 000 til &lt; 1/100)</w:t>
            </w:r>
          </w:p>
        </w:tc>
        <w:tc>
          <w:tcPr>
            <w:tcW w:w="1031" w:type="pct"/>
            <w:tcBorders>
              <w:top w:val="single" w:sz="4" w:space="0" w:color="auto"/>
              <w:left w:val="single" w:sz="4" w:space="0" w:color="auto"/>
              <w:bottom w:val="single" w:sz="4" w:space="0" w:color="auto"/>
              <w:right w:val="single" w:sz="4" w:space="0" w:color="auto"/>
            </w:tcBorders>
            <w:hideMark/>
          </w:tcPr>
          <w:p w14:paraId="50ECB8D8"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Sjælden</w:t>
            </w:r>
          </w:p>
          <w:p w14:paraId="247C181A"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 1/10 000 til &lt; 1/1 000)</w:t>
            </w:r>
          </w:p>
        </w:tc>
        <w:tc>
          <w:tcPr>
            <w:tcW w:w="895" w:type="pct"/>
            <w:tcBorders>
              <w:top w:val="single" w:sz="4" w:space="0" w:color="auto"/>
              <w:left w:val="single" w:sz="4" w:space="0" w:color="auto"/>
              <w:bottom w:val="single" w:sz="4" w:space="0" w:color="auto"/>
              <w:right w:val="single" w:sz="4" w:space="0" w:color="auto"/>
            </w:tcBorders>
            <w:hideMark/>
          </w:tcPr>
          <w:p w14:paraId="47B56AEC"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Ikke kendt (kan ikke estimeres ud fra forhåndenværende data)</w:t>
            </w:r>
          </w:p>
        </w:tc>
      </w:tr>
      <w:tr w:rsidR="005D563F" w14:paraId="3354595C" w14:textId="77777777" w:rsidTr="005D563F">
        <w:tc>
          <w:tcPr>
            <w:tcW w:w="1086" w:type="pct"/>
            <w:tcBorders>
              <w:top w:val="single" w:sz="4" w:space="0" w:color="auto"/>
              <w:left w:val="single" w:sz="4" w:space="0" w:color="auto"/>
              <w:bottom w:val="single" w:sz="4" w:space="0" w:color="auto"/>
              <w:right w:val="single" w:sz="4" w:space="0" w:color="auto"/>
            </w:tcBorders>
            <w:hideMark/>
          </w:tcPr>
          <w:p w14:paraId="7574DA3A"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Almene symptomer og reaktioner på administrationsstedet</w:t>
            </w:r>
          </w:p>
        </w:tc>
        <w:tc>
          <w:tcPr>
            <w:tcW w:w="956" w:type="pct"/>
            <w:tcBorders>
              <w:top w:val="single" w:sz="4" w:space="0" w:color="auto"/>
              <w:left w:val="single" w:sz="4" w:space="0" w:color="auto"/>
              <w:bottom w:val="single" w:sz="4" w:space="0" w:color="auto"/>
              <w:right w:val="single" w:sz="4" w:space="0" w:color="auto"/>
            </w:tcBorders>
            <w:hideMark/>
          </w:tcPr>
          <w:p w14:paraId="1EE4E692" w14:textId="77777777" w:rsidR="005D563F" w:rsidRDefault="005D563F">
            <w:pPr>
              <w:rPr>
                <w:rFonts w:asciiTheme="majorBidi" w:hAnsiTheme="majorBidi" w:cstheme="majorBidi"/>
                <w:sz w:val="22"/>
                <w:szCs w:val="22"/>
                <w:lang w:val="en-GB" w:eastAsia="ja-JP"/>
              </w:rPr>
            </w:pPr>
            <w:r>
              <w:rPr>
                <w:rFonts w:asciiTheme="majorBidi" w:hAnsiTheme="majorBidi"/>
                <w:sz w:val="22"/>
                <w:lang w:eastAsia="ja-JP"/>
              </w:rPr>
              <w:t>Hovedpine, svimmelhed, brystsmerter</w:t>
            </w:r>
          </w:p>
        </w:tc>
        <w:tc>
          <w:tcPr>
            <w:tcW w:w="1032" w:type="pct"/>
            <w:tcBorders>
              <w:top w:val="single" w:sz="4" w:space="0" w:color="auto"/>
              <w:left w:val="single" w:sz="4" w:space="0" w:color="auto"/>
              <w:bottom w:val="single" w:sz="4" w:space="0" w:color="auto"/>
              <w:right w:val="single" w:sz="4" w:space="0" w:color="auto"/>
            </w:tcBorders>
            <w:hideMark/>
          </w:tcPr>
          <w:p w14:paraId="4E6E407C"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Svedtendens</w:t>
            </w:r>
          </w:p>
        </w:tc>
        <w:tc>
          <w:tcPr>
            <w:tcW w:w="1031" w:type="pct"/>
            <w:tcBorders>
              <w:top w:val="single" w:sz="4" w:space="0" w:color="auto"/>
              <w:left w:val="single" w:sz="4" w:space="0" w:color="auto"/>
              <w:bottom w:val="single" w:sz="4" w:space="0" w:color="auto"/>
              <w:right w:val="single" w:sz="4" w:space="0" w:color="auto"/>
            </w:tcBorders>
          </w:tcPr>
          <w:p w14:paraId="76ACBFE4" w14:textId="77777777" w:rsidR="005D563F" w:rsidRDefault="005D563F">
            <w:pPr>
              <w:rPr>
                <w:rFonts w:asciiTheme="majorBidi" w:hAnsiTheme="majorBidi" w:cstheme="majorBidi"/>
                <w:sz w:val="22"/>
                <w:szCs w:val="22"/>
                <w:lang w:eastAsia="ja-JP"/>
              </w:rPr>
            </w:pPr>
          </w:p>
        </w:tc>
        <w:tc>
          <w:tcPr>
            <w:tcW w:w="895" w:type="pct"/>
            <w:tcBorders>
              <w:top w:val="single" w:sz="4" w:space="0" w:color="auto"/>
              <w:left w:val="single" w:sz="4" w:space="0" w:color="auto"/>
              <w:bottom w:val="single" w:sz="4" w:space="0" w:color="auto"/>
              <w:right w:val="single" w:sz="4" w:space="0" w:color="auto"/>
            </w:tcBorders>
          </w:tcPr>
          <w:p w14:paraId="5C4A8EC7" w14:textId="77777777" w:rsidR="005D563F" w:rsidRDefault="005D563F">
            <w:pPr>
              <w:rPr>
                <w:rFonts w:asciiTheme="majorBidi" w:hAnsiTheme="majorBidi" w:cstheme="majorBidi"/>
                <w:sz w:val="22"/>
                <w:szCs w:val="22"/>
                <w:lang w:eastAsia="ja-JP"/>
              </w:rPr>
            </w:pPr>
          </w:p>
        </w:tc>
      </w:tr>
      <w:tr w:rsidR="005D563F" w14:paraId="783D7E5B" w14:textId="77777777" w:rsidTr="005D563F">
        <w:tc>
          <w:tcPr>
            <w:tcW w:w="1086" w:type="pct"/>
            <w:tcBorders>
              <w:top w:val="single" w:sz="4" w:space="0" w:color="auto"/>
              <w:left w:val="single" w:sz="4" w:space="0" w:color="auto"/>
              <w:bottom w:val="single" w:sz="4" w:space="0" w:color="auto"/>
              <w:right w:val="single" w:sz="4" w:space="0" w:color="auto"/>
            </w:tcBorders>
            <w:hideMark/>
          </w:tcPr>
          <w:p w14:paraId="45F4FBEF"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Hjerte</w:t>
            </w:r>
          </w:p>
        </w:tc>
        <w:tc>
          <w:tcPr>
            <w:tcW w:w="956" w:type="pct"/>
            <w:tcBorders>
              <w:top w:val="single" w:sz="4" w:space="0" w:color="auto"/>
              <w:left w:val="single" w:sz="4" w:space="0" w:color="auto"/>
              <w:bottom w:val="single" w:sz="4" w:space="0" w:color="auto"/>
              <w:right w:val="single" w:sz="4" w:space="0" w:color="auto"/>
            </w:tcBorders>
            <w:hideMark/>
          </w:tcPr>
          <w:p w14:paraId="6271CDAC"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Rødmen, refleks takykardi</w:t>
            </w:r>
          </w:p>
        </w:tc>
        <w:tc>
          <w:tcPr>
            <w:tcW w:w="1032" w:type="pct"/>
            <w:tcBorders>
              <w:top w:val="single" w:sz="4" w:space="0" w:color="auto"/>
              <w:left w:val="single" w:sz="4" w:space="0" w:color="auto"/>
              <w:bottom w:val="single" w:sz="4" w:space="0" w:color="auto"/>
              <w:right w:val="single" w:sz="4" w:space="0" w:color="auto"/>
            </w:tcBorders>
            <w:hideMark/>
          </w:tcPr>
          <w:p w14:paraId="42EC351F"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Hjertebanken, hypotension</w:t>
            </w:r>
          </w:p>
        </w:tc>
        <w:tc>
          <w:tcPr>
            <w:tcW w:w="1031" w:type="pct"/>
            <w:tcBorders>
              <w:top w:val="single" w:sz="4" w:space="0" w:color="auto"/>
              <w:left w:val="single" w:sz="4" w:space="0" w:color="auto"/>
              <w:bottom w:val="single" w:sz="4" w:space="0" w:color="auto"/>
              <w:right w:val="single" w:sz="4" w:space="0" w:color="auto"/>
            </w:tcBorders>
            <w:hideMark/>
          </w:tcPr>
          <w:p w14:paraId="7ABEC6D7"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Markant</w:t>
            </w:r>
          </w:p>
          <w:p w14:paraId="03DF2B7B" w14:textId="77777777" w:rsidR="005D563F" w:rsidRDefault="005D563F">
            <w:pPr>
              <w:rPr>
                <w:rFonts w:asciiTheme="majorBidi" w:hAnsiTheme="majorBidi" w:cstheme="majorBidi"/>
                <w:sz w:val="22"/>
                <w:szCs w:val="22"/>
                <w:lang w:val="en-GB" w:eastAsia="ja-JP"/>
              </w:rPr>
            </w:pPr>
            <w:r>
              <w:rPr>
                <w:rFonts w:asciiTheme="majorBidi" w:hAnsiTheme="majorBidi"/>
                <w:sz w:val="22"/>
                <w:lang w:eastAsia="ja-JP"/>
              </w:rPr>
              <w:t xml:space="preserve">hypotension og arytmier, herunder </w:t>
            </w:r>
            <w:r>
              <w:rPr>
                <w:rFonts w:asciiTheme="majorBidi" w:hAnsiTheme="majorBidi"/>
                <w:sz w:val="22"/>
                <w:lang w:eastAsia="ja-JP"/>
              </w:rPr>
              <w:lastRenderedPageBreak/>
              <w:t>ventrikelflimmer. Ventrikulære ekstrasystoler og atrieflimren</w:t>
            </w:r>
          </w:p>
        </w:tc>
        <w:tc>
          <w:tcPr>
            <w:tcW w:w="895" w:type="pct"/>
            <w:tcBorders>
              <w:top w:val="single" w:sz="4" w:space="0" w:color="auto"/>
              <w:left w:val="single" w:sz="4" w:space="0" w:color="auto"/>
              <w:bottom w:val="single" w:sz="4" w:space="0" w:color="auto"/>
              <w:right w:val="single" w:sz="4" w:space="0" w:color="auto"/>
            </w:tcBorders>
            <w:hideMark/>
          </w:tcPr>
          <w:p w14:paraId="2393CD73"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lastRenderedPageBreak/>
              <w:t>Koronararteriespasme, som kan føre til myokardieinfarkt.</w:t>
            </w:r>
          </w:p>
        </w:tc>
      </w:tr>
      <w:tr w:rsidR="005D563F" w14:paraId="6962BAD9" w14:textId="77777777" w:rsidTr="005D563F">
        <w:tc>
          <w:tcPr>
            <w:tcW w:w="1086" w:type="pct"/>
            <w:tcBorders>
              <w:top w:val="single" w:sz="4" w:space="0" w:color="auto"/>
              <w:left w:val="single" w:sz="4" w:space="0" w:color="auto"/>
              <w:bottom w:val="single" w:sz="4" w:space="0" w:color="auto"/>
              <w:right w:val="single" w:sz="4" w:space="0" w:color="auto"/>
            </w:tcBorders>
          </w:tcPr>
          <w:p w14:paraId="6A255122" w14:textId="77777777" w:rsidR="005D563F" w:rsidRDefault="005D563F">
            <w:pPr>
              <w:rPr>
                <w:rFonts w:asciiTheme="majorBidi" w:hAnsiTheme="majorBidi" w:cstheme="majorBidi"/>
                <w:sz w:val="22"/>
                <w:szCs w:val="22"/>
                <w:lang w:val="en-GB" w:eastAsia="ja-JP"/>
              </w:rPr>
            </w:pPr>
            <w:r>
              <w:rPr>
                <w:rFonts w:asciiTheme="majorBidi" w:hAnsiTheme="majorBidi"/>
                <w:sz w:val="22"/>
                <w:lang w:eastAsia="ja-JP"/>
              </w:rPr>
              <w:t>Mave-tarm-kanalen</w:t>
            </w:r>
          </w:p>
          <w:p w14:paraId="34A66ABB" w14:textId="77777777" w:rsidR="005D563F" w:rsidRDefault="005D563F">
            <w:pPr>
              <w:rPr>
                <w:rFonts w:asciiTheme="majorBidi" w:hAnsiTheme="majorBidi" w:cstheme="majorBidi"/>
                <w:sz w:val="22"/>
                <w:szCs w:val="22"/>
                <w:lang w:eastAsia="ja-JP"/>
              </w:rPr>
            </w:pPr>
          </w:p>
        </w:tc>
        <w:tc>
          <w:tcPr>
            <w:tcW w:w="956" w:type="pct"/>
            <w:tcBorders>
              <w:top w:val="single" w:sz="4" w:space="0" w:color="auto"/>
              <w:left w:val="single" w:sz="4" w:space="0" w:color="auto"/>
              <w:bottom w:val="single" w:sz="4" w:space="0" w:color="auto"/>
              <w:right w:val="single" w:sz="4" w:space="0" w:color="auto"/>
            </w:tcBorders>
            <w:hideMark/>
          </w:tcPr>
          <w:p w14:paraId="6F59588E"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Kvalme</w:t>
            </w:r>
          </w:p>
        </w:tc>
        <w:tc>
          <w:tcPr>
            <w:tcW w:w="1032" w:type="pct"/>
            <w:tcBorders>
              <w:top w:val="single" w:sz="4" w:space="0" w:color="auto"/>
              <w:left w:val="single" w:sz="4" w:space="0" w:color="auto"/>
              <w:bottom w:val="single" w:sz="4" w:space="0" w:color="auto"/>
              <w:right w:val="single" w:sz="4" w:space="0" w:color="auto"/>
            </w:tcBorders>
            <w:hideMark/>
          </w:tcPr>
          <w:p w14:paraId="51A72A82"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Metallisk smag, tryk i lysken</w:t>
            </w:r>
          </w:p>
        </w:tc>
        <w:tc>
          <w:tcPr>
            <w:tcW w:w="1031" w:type="pct"/>
            <w:tcBorders>
              <w:top w:val="single" w:sz="4" w:space="0" w:color="auto"/>
              <w:left w:val="single" w:sz="4" w:space="0" w:color="auto"/>
              <w:bottom w:val="single" w:sz="4" w:space="0" w:color="auto"/>
              <w:right w:val="single" w:sz="4" w:space="0" w:color="auto"/>
            </w:tcBorders>
          </w:tcPr>
          <w:p w14:paraId="15169EDC" w14:textId="77777777" w:rsidR="005D563F" w:rsidRDefault="005D563F">
            <w:pPr>
              <w:rPr>
                <w:rFonts w:asciiTheme="majorBidi" w:hAnsiTheme="majorBidi" w:cstheme="majorBidi"/>
                <w:sz w:val="22"/>
                <w:szCs w:val="22"/>
                <w:lang w:eastAsia="ja-JP"/>
              </w:rPr>
            </w:pPr>
          </w:p>
        </w:tc>
        <w:tc>
          <w:tcPr>
            <w:tcW w:w="895" w:type="pct"/>
            <w:tcBorders>
              <w:top w:val="single" w:sz="4" w:space="0" w:color="auto"/>
              <w:left w:val="single" w:sz="4" w:space="0" w:color="auto"/>
              <w:bottom w:val="single" w:sz="4" w:space="0" w:color="auto"/>
              <w:right w:val="single" w:sz="4" w:space="0" w:color="auto"/>
            </w:tcBorders>
          </w:tcPr>
          <w:p w14:paraId="1FD92B66" w14:textId="77777777" w:rsidR="005D563F" w:rsidRDefault="005D563F">
            <w:pPr>
              <w:rPr>
                <w:rFonts w:asciiTheme="majorBidi" w:hAnsiTheme="majorBidi" w:cstheme="majorBidi"/>
                <w:sz w:val="22"/>
                <w:szCs w:val="22"/>
                <w:lang w:eastAsia="ja-JP"/>
              </w:rPr>
            </w:pPr>
          </w:p>
        </w:tc>
      </w:tr>
      <w:tr w:rsidR="005D563F" w14:paraId="3A5C7917" w14:textId="77777777" w:rsidTr="005D563F">
        <w:tc>
          <w:tcPr>
            <w:tcW w:w="1086" w:type="pct"/>
            <w:tcBorders>
              <w:top w:val="single" w:sz="4" w:space="0" w:color="auto"/>
              <w:left w:val="single" w:sz="4" w:space="0" w:color="auto"/>
              <w:bottom w:val="single" w:sz="4" w:space="0" w:color="auto"/>
              <w:right w:val="single" w:sz="4" w:space="0" w:color="auto"/>
            </w:tcBorders>
            <w:hideMark/>
          </w:tcPr>
          <w:p w14:paraId="0BA70C06" w14:textId="77777777" w:rsidR="005D563F" w:rsidRDefault="005D563F">
            <w:pPr>
              <w:rPr>
                <w:rFonts w:asciiTheme="majorBidi" w:hAnsiTheme="majorBidi" w:cstheme="majorBidi"/>
                <w:sz w:val="22"/>
                <w:szCs w:val="22"/>
                <w:lang w:val="en-GB" w:eastAsia="ja-JP"/>
              </w:rPr>
            </w:pPr>
            <w:r>
              <w:rPr>
                <w:rFonts w:asciiTheme="majorBidi" w:hAnsiTheme="majorBidi"/>
                <w:sz w:val="22"/>
                <w:lang w:eastAsia="ja-JP"/>
              </w:rPr>
              <w:t>Luftveje, thorax og mediastinum</w:t>
            </w:r>
          </w:p>
        </w:tc>
        <w:tc>
          <w:tcPr>
            <w:tcW w:w="956" w:type="pct"/>
            <w:tcBorders>
              <w:top w:val="single" w:sz="4" w:space="0" w:color="auto"/>
              <w:left w:val="single" w:sz="4" w:space="0" w:color="auto"/>
              <w:bottom w:val="single" w:sz="4" w:space="0" w:color="auto"/>
              <w:right w:val="single" w:sz="4" w:space="0" w:color="auto"/>
            </w:tcBorders>
            <w:hideMark/>
          </w:tcPr>
          <w:p w14:paraId="2284F8F4"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Åndenød, trykken for brystet</w:t>
            </w:r>
          </w:p>
        </w:tc>
        <w:tc>
          <w:tcPr>
            <w:tcW w:w="1032" w:type="pct"/>
            <w:tcBorders>
              <w:top w:val="single" w:sz="4" w:space="0" w:color="auto"/>
              <w:left w:val="single" w:sz="4" w:space="0" w:color="auto"/>
              <w:bottom w:val="single" w:sz="4" w:space="0" w:color="auto"/>
              <w:right w:val="single" w:sz="4" w:space="0" w:color="auto"/>
            </w:tcBorders>
            <w:hideMark/>
          </w:tcPr>
          <w:p w14:paraId="624F7A03"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Hyperventilation</w:t>
            </w:r>
          </w:p>
        </w:tc>
        <w:tc>
          <w:tcPr>
            <w:tcW w:w="1031" w:type="pct"/>
            <w:tcBorders>
              <w:top w:val="single" w:sz="4" w:space="0" w:color="auto"/>
              <w:left w:val="single" w:sz="4" w:space="0" w:color="auto"/>
              <w:bottom w:val="single" w:sz="4" w:space="0" w:color="auto"/>
              <w:right w:val="single" w:sz="4" w:space="0" w:color="auto"/>
            </w:tcBorders>
            <w:hideMark/>
          </w:tcPr>
          <w:p w14:paraId="1E08A8F9"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Forværring af bronkial astma</w:t>
            </w:r>
          </w:p>
        </w:tc>
        <w:tc>
          <w:tcPr>
            <w:tcW w:w="895" w:type="pct"/>
            <w:tcBorders>
              <w:top w:val="single" w:sz="4" w:space="0" w:color="auto"/>
              <w:left w:val="single" w:sz="4" w:space="0" w:color="auto"/>
              <w:bottom w:val="single" w:sz="4" w:space="0" w:color="auto"/>
              <w:right w:val="single" w:sz="4" w:space="0" w:color="auto"/>
            </w:tcBorders>
          </w:tcPr>
          <w:p w14:paraId="4D4710CD" w14:textId="77777777" w:rsidR="005D563F" w:rsidRDefault="005D563F">
            <w:pPr>
              <w:rPr>
                <w:rFonts w:asciiTheme="majorBidi" w:hAnsiTheme="majorBidi" w:cstheme="majorBidi"/>
                <w:sz w:val="22"/>
                <w:szCs w:val="22"/>
                <w:lang w:eastAsia="ja-JP"/>
              </w:rPr>
            </w:pPr>
          </w:p>
        </w:tc>
      </w:tr>
      <w:tr w:rsidR="005D563F" w14:paraId="6AEDD103" w14:textId="77777777" w:rsidTr="005D563F">
        <w:tc>
          <w:tcPr>
            <w:tcW w:w="1086" w:type="pct"/>
            <w:tcBorders>
              <w:top w:val="single" w:sz="4" w:space="0" w:color="auto"/>
              <w:left w:val="single" w:sz="4" w:space="0" w:color="auto"/>
              <w:bottom w:val="single" w:sz="4" w:space="0" w:color="auto"/>
              <w:right w:val="single" w:sz="4" w:space="0" w:color="auto"/>
            </w:tcBorders>
            <w:hideMark/>
          </w:tcPr>
          <w:p w14:paraId="089E416C" w14:textId="77777777" w:rsidR="005D563F" w:rsidRDefault="005D563F">
            <w:pPr>
              <w:keepNext/>
              <w:keepLines/>
              <w:rPr>
                <w:rFonts w:asciiTheme="majorBidi" w:hAnsiTheme="majorBidi" w:cstheme="majorBidi"/>
                <w:sz w:val="22"/>
                <w:szCs w:val="22"/>
                <w:lang w:eastAsia="ja-JP"/>
              </w:rPr>
            </w:pPr>
            <w:r>
              <w:rPr>
                <w:rFonts w:asciiTheme="majorBidi" w:hAnsiTheme="majorBidi"/>
                <w:sz w:val="22"/>
                <w:lang w:eastAsia="ja-JP"/>
              </w:rPr>
              <w:t>Psykiske forstyrrelser</w:t>
            </w:r>
          </w:p>
        </w:tc>
        <w:tc>
          <w:tcPr>
            <w:tcW w:w="956" w:type="pct"/>
            <w:tcBorders>
              <w:top w:val="single" w:sz="4" w:space="0" w:color="auto"/>
              <w:left w:val="single" w:sz="4" w:space="0" w:color="auto"/>
              <w:bottom w:val="single" w:sz="4" w:space="0" w:color="auto"/>
              <w:right w:val="single" w:sz="4" w:space="0" w:color="auto"/>
            </w:tcBorders>
          </w:tcPr>
          <w:p w14:paraId="3A408C73" w14:textId="77777777" w:rsidR="005D563F" w:rsidRDefault="005D563F">
            <w:pPr>
              <w:keepNext/>
              <w:keepLines/>
              <w:rPr>
                <w:rFonts w:asciiTheme="majorBidi" w:hAnsiTheme="majorBidi" w:cstheme="majorBidi"/>
                <w:sz w:val="22"/>
                <w:szCs w:val="22"/>
                <w:lang w:eastAsia="ja-JP"/>
              </w:rPr>
            </w:pPr>
          </w:p>
        </w:tc>
        <w:tc>
          <w:tcPr>
            <w:tcW w:w="1032" w:type="pct"/>
            <w:tcBorders>
              <w:top w:val="single" w:sz="4" w:space="0" w:color="auto"/>
              <w:left w:val="single" w:sz="4" w:space="0" w:color="auto"/>
              <w:bottom w:val="single" w:sz="4" w:space="0" w:color="auto"/>
              <w:right w:val="single" w:sz="4" w:space="0" w:color="auto"/>
            </w:tcBorders>
            <w:hideMark/>
          </w:tcPr>
          <w:p w14:paraId="5958E4CD" w14:textId="77777777" w:rsidR="005D563F" w:rsidRDefault="005D563F">
            <w:pPr>
              <w:keepNext/>
              <w:keepLines/>
              <w:rPr>
                <w:rFonts w:asciiTheme="majorBidi" w:hAnsiTheme="majorBidi" w:cstheme="majorBidi"/>
                <w:sz w:val="22"/>
                <w:szCs w:val="22"/>
                <w:lang w:eastAsia="ja-JP"/>
              </w:rPr>
            </w:pPr>
            <w:r>
              <w:rPr>
                <w:rFonts w:asciiTheme="majorBidi" w:hAnsiTheme="majorBidi"/>
                <w:sz w:val="22"/>
                <w:lang w:eastAsia="ja-JP"/>
              </w:rPr>
              <w:t>Agitation</w:t>
            </w:r>
          </w:p>
        </w:tc>
        <w:tc>
          <w:tcPr>
            <w:tcW w:w="1031" w:type="pct"/>
            <w:tcBorders>
              <w:top w:val="single" w:sz="4" w:space="0" w:color="auto"/>
              <w:left w:val="single" w:sz="4" w:space="0" w:color="auto"/>
              <w:bottom w:val="single" w:sz="4" w:space="0" w:color="auto"/>
              <w:right w:val="single" w:sz="4" w:space="0" w:color="auto"/>
            </w:tcBorders>
          </w:tcPr>
          <w:p w14:paraId="424E822F" w14:textId="77777777" w:rsidR="005D563F" w:rsidRDefault="005D563F">
            <w:pPr>
              <w:keepNext/>
              <w:keepLines/>
              <w:rPr>
                <w:rFonts w:asciiTheme="majorBidi" w:hAnsiTheme="majorBidi" w:cstheme="majorBidi"/>
                <w:sz w:val="22"/>
                <w:szCs w:val="22"/>
                <w:lang w:eastAsia="ja-JP"/>
              </w:rPr>
            </w:pPr>
          </w:p>
        </w:tc>
        <w:tc>
          <w:tcPr>
            <w:tcW w:w="895" w:type="pct"/>
            <w:tcBorders>
              <w:top w:val="single" w:sz="4" w:space="0" w:color="auto"/>
              <w:left w:val="single" w:sz="4" w:space="0" w:color="auto"/>
              <w:bottom w:val="single" w:sz="4" w:space="0" w:color="auto"/>
              <w:right w:val="single" w:sz="4" w:space="0" w:color="auto"/>
            </w:tcBorders>
          </w:tcPr>
          <w:p w14:paraId="58E52CA0" w14:textId="77777777" w:rsidR="005D563F" w:rsidRDefault="005D563F">
            <w:pPr>
              <w:keepNext/>
              <w:keepLines/>
              <w:rPr>
                <w:rFonts w:asciiTheme="majorBidi" w:hAnsiTheme="majorBidi" w:cstheme="majorBidi"/>
                <w:sz w:val="22"/>
                <w:szCs w:val="22"/>
                <w:lang w:eastAsia="ja-JP"/>
              </w:rPr>
            </w:pPr>
          </w:p>
        </w:tc>
      </w:tr>
      <w:tr w:rsidR="005D563F" w14:paraId="707A8987" w14:textId="77777777" w:rsidTr="005D563F">
        <w:tc>
          <w:tcPr>
            <w:tcW w:w="1086" w:type="pct"/>
            <w:tcBorders>
              <w:top w:val="single" w:sz="4" w:space="0" w:color="auto"/>
              <w:left w:val="single" w:sz="4" w:space="0" w:color="auto"/>
              <w:bottom w:val="single" w:sz="4" w:space="0" w:color="auto"/>
              <w:right w:val="single" w:sz="4" w:space="0" w:color="auto"/>
            </w:tcBorders>
            <w:hideMark/>
          </w:tcPr>
          <w:p w14:paraId="40784698" w14:textId="77777777" w:rsidR="005D563F" w:rsidRDefault="005D563F">
            <w:pPr>
              <w:keepNext/>
              <w:keepLines/>
              <w:rPr>
                <w:rFonts w:asciiTheme="majorBidi" w:hAnsiTheme="majorBidi" w:cstheme="majorBidi"/>
                <w:sz w:val="22"/>
                <w:szCs w:val="22"/>
                <w:lang w:eastAsia="ja-JP"/>
              </w:rPr>
            </w:pPr>
            <w:r>
              <w:rPr>
                <w:rFonts w:asciiTheme="majorBidi" w:hAnsiTheme="majorBidi"/>
                <w:sz w:val="22"/>
                <w:lang w:eastAsia="ja-JP"/>
              </w:rPr>
              <w:t>Nervesystemet</w:t>
            </w:r>
          </w:p>
        </w:tc>
        <w:tc>
          <w:tcPr>
            <w:tcW w:w="956" w:type="pct"/>
            <w:tcBorders>
              <w:top w:val="single" w:sz="4" w:space="0" w:color="auto"/>
              <w:left w:val="single" w:sz="4" w:space="0" w:color="auto"/>
              <w:bottom w:val="single" w:sz="4" w:space="0" w:color="auto"/>
              <w:right w:val="single" w:sz="4" w:space="0" w:color="auto"/>
            </w:tcBorders>
            <w:hideMark/>
          </w:tcPr>
          <w:p w14:paraId="6138FB46" w14:textId="77777777" w:rsidR="005D563F" w:rsidRDefault="005D563F">
            <w:pPr>
              <w:keepNext/>
              <w:keepLines/>
              <w:rPr>
                <w:rFonts w:asciiTheme="majorBidi" w:hAnsiTheme="majorBidi" w:cstheme="majorBidi"/>
                <w:sz w:val="22"/>
                <w:szCs w:val="22"/>
                <w:lang w:eastAsia="ja-JP"/>
              </w:rPr>
            </w:pPr>
            <w:r>
              <w:rPr>
                <w:rFonts w:asciiTheme="majorBidi" w:hAnsiTheme="majorBidi"/>
                <w:sz w:val="22"/>
                <w:lang w:eastAsia="ja-JP"/>
              </w:rPr>
              <w:t>Paræstesi</w:t>
            </w:r>
          </w:p>
        </w:tc>
        <w:tc>
          <w:tcPr>
            <w:tcW w:w="1032" w:type="pct"/>
            <w:tcBorders>
              <w:top w:val="single" w:sz="4" w:space="0" w:color="auto"/>
              <w:left w:val="single" w:sz="4" w:space="0" w:color="auto"/>
              <w:bottom w:val="single" w:sz="4" w:space="0" w:color="auto"/>
              <w:right w:val="single" w:sz="4" w:space="0" w:color="auto"/>
            </w:tcBorders>
          </w:tcPr>
          <w:p w14:paraId="620CA643" w14:textId="77777777" w:rsidR="005D563F" w:rsidRDefault="005D563F">
            <w:pPr>
              <w:keepNext/>
              <w:keepLines/>
              <w:rPr>
                <w:rFonts w:asciiTheme="majorBidi" w:hAnsiTheme="majorBidi" w:cstheme="majorBidi"/>
                <w:sz w:val="22"/>
                <w:szCs w:val="22"/>
                <w:lang w:eastAsia="ja-JP"/>
              </w:rPr>
            </w:pPr>
          </w:p>
        </w:tc>
        <w:tc>
          <w:tcPr>
            <w:tcW w:w="1031" w:type="pct"/>
            <w:tcBorders>
              <w:top w:val="single" w:sz="4" w:space="0" w:color="auto"/>
              <w:left w:val="single" w:sz="4" w:space="0" w:color="auto"/>
              <w:bottom w:val="single" w:sz="4" w:space="0" w:color="auto"/>
              <w:right w:val="single" w:sz="4" w:space="0" w:color="auto"/>
            </w:tcBorders>
          </w:tcPr>
          <w:p w14:paraId="1A533F85" w14:textId="77777777" w:rsidR="005D563F" w:rsidRDefault="005D563F">
            <w:pPr>
              <w:keepNext/>
              <w:keepLines/>
              <w:rPr>
                <w:rFonts w:asciiTheme="majorBidi" w:hAnsiTheme="majorBidi" w:cstheme="majorBidi"/>
                <w:sz w:val="22"/>
                <w:szCs w:val="22"/>
                <w:lang w:eastAsia="ja-JP"/>
              </w:rPr>
            </w:pPr>
          </w:p>
        </w:tc>
        <w:tc>
          <w:tcPr>
            <w:tcW w:w="895" w:type="pct"/>
            <w:tcBorders>
              <w:top w:val="single" w:sz="4" w:space="0" w:color="auto"/>
              <w:left w:val="single" w:sz="4" w:space="0" w:color="auto"/>
              <w:bottom w:val="single" w:sz="4" w:space="0" w:color="auto"/>
              <w:right w:val="single" w:sz="4" w:space="0" w:color="auto"/>
            </w:tcBorders>
          </w:tcPr>
          <w:p w14:paraId="06B8895E" w14:textId="77777777" w:rsidR="005D563F" w:rsidRDefault="005D563F">
            <w:pPr>
              <w:keepNext/>
              <w:keepLines/>
              <w:rPr>
                <w:rFonts w:asciiTheme="majorBidi" w:hAnsiTheme="majorBidi" w:cstheme="majorBidi"/>
                <w:sz w:val="22"/>
                <w:szCs w:val="22"/>
                <w:lang w:eastAsia="ja-JP"/>
              </w:rPr>
            </w:pPr>
          </w:p>
        </w:tc>
      </w:tr>
      <w:tr w:rsidR="005D563F" w14:paraId="308E79FB" w14:textId="77777777" w:rsidTr="005D563F">
        <w:tc>
          <w:tcPr>
            <w:tcW w:w="1086" w:type="pct"/>
            <w:tcBorders>
              <w:top w:val="single" w:sz="4" w:space="0" w:color="auto"/>
              <w:left w:val="single" w:sz="4" w:space="0" w:color="auto"/>
              <w:bottom w:val="single" w:sz="4" w:space="0" w:color="auto"/>
              <w:right w:val="single" w:sz="4" w:space="0" w:color="auto"/>
            </w:tcBorders>
            <w:hideMark/>
          </w:tcPr>
          <w:p w14:paraId="27FAEA98"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Øjne</w:t>
            </w:r>
          </w:p>
        </w:tc>
        <w:tc>
          <w:tcPr>
            <w:tcW w:w="956" w:type="pct"/>
            <w:tcBorders>
              <w:top w:val="single" w:sz="4" w:space="0" w:color="auto"/>
              <w:left w:val="single" w:sz="4" w:space="0" w:color="auto"/>
              <w:bottom w:val="single" w:sz="4" w:space="0" w:color="auto"/>
              <w:right w:val="single" w:sz="4" w:space="0" w:color="auto"/>
            </w:tcBorders>
          </w:tcPr>
          <w:p w14:paraId="60068815" w14:textId="77777777" w:rsidR="005D563F" w:rsidRDefault="005D563F">
            <w:pPr>
              <w:rPr>
                <w:rFonts w:asciiTheme="majorBidi" w:hAnsiTheme="majorBidi" w:cstheme="majorBidi"/>
                <w:sz w:val="22"/>
                <w:szCs w:val="22"/>
                <w:lang w:eastAsia="ja-JP"/>
              </w:rPr>
            </w:pPr>
          </w:p>
        </w:tc>
        <w:tc>
          <w:tcPr>
            <w:tcW w:w="1032" w:type="pct"/>
            <w:tcBorders>
              <w:top w:val="single" w:sz="4" w:space="0" w:color="auto"/>
              <w:left w:val="single" w:sz="4" w:space="0" w:color="auto"/>
              <w:bottom w:val="single" w:sz="4" w:space="0" w:color="auto"/>
              <w:right w:val="single" w:sz="4" w:space="0" w:color="auto"/>
            </w:tcBorders>
            <w:hideMark/>
          </w:tcPr>
          <w:p w14:paraId="759F76AD"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Sløret syn</w:t>
            </w:r>
          </w:p>
        </w:tc>
        <w:tc>
          <w:tcPr>
            <w:tcW w:w="1031" w:type="pct"/>
            <w:tcBorders>
              <w:top w:val="single" w:sz="4" w:space="0" w:color="auto"/>
              <w:left w:val="single" w:sz="4" w:space="0" w:color="auto"/>
              <w:bottom w:val="single" w:sz="4" w:space="0" w:color="auto"/>
              <w:right w:val="single" w:sz="4" w:space="0" w:color="auto"/>
            </w:tcBorders>
          </w:tcPr>
          <w:p w14:paraId="0198BE04" w14:textId="77777777" w:rsidR="005D563F" w:rsidRDefault="005D563F">
            <w:pPr>
              <w:rPr>
                <w:rFonts w:asciiTheme="majorBidi" w:hAnsiTheme="majorBidi" w:cstheme="majorBidi"/>
                <w:sz w:val="22"/>
                <w:szCs w:val="22"/>
                <w:lang w:eastAsia="ja-JP"/>
              </w:rPr>
            </w:pPr>
          </w:p>
        </w:tc>
        <w:tc>
          <w:tcPr>
            <w:tcW w:w="895" w:type="pct"/>
            <w:tcBorders>
              <w:top w:val="single" w:sz="4" w:space="0" w:color="auto"/>
              <w:left w:val="single" w:sz="4" w:space="0" w:color="auto"/>
              <w:bottom w:val="single" w:sz="4" w:space="0" w:color="auto"/>
              <w:right w:val="single" w:sz="4" w:space="0" w:color="auto"/>
            </w:tcBorders>
          </w:tcPr>
          <w:p w14:paraId="5BBE59F9" w14:textId="77777777" w:rsidR="005D563F" w:rsidRDefault="005D563F">
            <w:pPr>
              <w:rPr>
                <w:rFonts w:asciiTheme="majorBidi" w:hAnsiTheme="majorBidi" w:cstheme="majorBidi"/>
                <w:sz w:val="22"/>
                <w:szCs w:val="22"/>
                <w:lang w:eastAsia="ja-JP"/>
              </w:rPr>
            </w:pPr>
          </w:p>
        </w:tc>
      </w:tr>
    </w:tbl>
    <w:p w14:paraId="64EA4CED" w14:textId="77777777" w:rsidR="005D563F" w:rsidRDefault="005D563F" w:rsidP="005D563F">
      <w:pPr>
        <w:rPr>
          <w:rFonts w:asciiTheme="majorBidi" w:hAnsiTheme="majorBidi" w:cstheme="majorBidi"/>
          <w:sz w:val="22"/>
          <w:szCs w:val="22"/>
          <w:lang w:val="en-GB" w:eastAsia="da-DK"/>
        </w:rPr>
      </w:pPr>
    </w:p>
    <w:p w14:paraId="7CADC88B" w14:textId="77777777" w:rsidR="00807FA4" w:rsidRPr="00807FA4" w:rsidRDefault="005D563F" w:rsidP="00807FA4">
      <w:pPr>
        <w:keepNext/>
        <w:keepLines/>
        <w:ind w:left="851"/>
        <w:rPr>
          <w:rFonts w:asciiTheme="majorBidi" w:hAnsiTheme="majorBidi"/>
          <w:sz w:val="24"/>
          <w:szCs w:val="24"/>
          <w:u w:val="single"/>
        </w:rPr>
      </w:pPr>
      <w:r w:rsidRPr="00807FA4">
        <w:rPr>
          <w:rFonts w:asciiTheme="majorBidi" w:hAnsiTheme="majorBidi"/>
          <w:sz w:val="24"/>
          <w:szCs w:val="24"/>
          <w:u w:val="single"/>
        </w:rPr>
        <w:t>Intravenøs infusion</w:t>
      </w:r>
    </w:p>
    <w:p w14:paraId="0B960986" w14:textId="7C6D0034" w:rsidR="005D563F" w:rsidRPr="00807FA4" w:rsidRDefault="005D563F" w:rsidP="00807FA4">
      <w:pPr>
        <w:keepNext/>
        <w:keepLines/>
        <w:ind w:left="851"/>
        <w:rPr>
          <w:rFonts w:asciiTheme="majorBidi" w:hAnsiTheme="majorBidi" w:cstheme="majorBidi"/>
          <w:i/>
          <w:sz w:val="24"/>
          <w:szCs w:val="24"/>
        </w:rPr>
      </w:pPr>
      <w:r w:rsidRPr="00807FA4">
        <w:rPr>
          <w:rFonts w:asciiTheme="majorBidi" w:hAnsiTheme="majorBidi"/>
          <w:sz w:val="24"/>
          <w:szCs w:val="24"/>
        </w:rPr>
        <w:t>Intravenøs infusion er forbundet med en højere forekomst af bivirkninger. De fleste er dog milde og forbigående (inden for få minutter). Den mest almindelige bivirkning er brystsmerter (ca. 40 %). For at begrænse bivirkningerne kan infusionen kombineres med let motion.</w:t>
      </w:r>
    </w:p>
    <w:p w14:paraId="15F822F6" w14:textId="77777777" w:rsidR="005D563F" w:rsidRDefault="005D563F" w:rsidP="005D563F">
      <w:pPr>
        <w:keepNext/>
        <w:keepLines/>
        <w:rPr>
          <w:rFonts w:asciiTheme="majorBidi" w:hAnsiTheme="majorBidi" w:cstheme="maj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1543"/>
        <w:gridCol w:w="1898"/>
        <w:gridCol w:w="1887"/>
        <w:gridCol w:w="2214"/>
      </w:tblGrid>
      <w:tr w:rsidR="005D563F" w14:paraId="49A0CF6D" w14:textId="77777777" w:rsidTr="005D563F">
        <w:tc>
          <w:tcPr>
            <w:tcW w:w="1081" w:type="pct"/>
            <w:tcBorders>
              <w:top w:val="single" w:sz="4" w:space="0" w:color="auto"/>
              <w:left w:val="single" w:sz="4" w:space="0" w:color="auto"/>
              <w:bottom w:val="single" w:sz="4" w:space="0" w:color="auto"/>
              <w:right w:val="single" w:sz="4" w:space="0" w:color="auto"/>
            </w:tcBorders>
          </w:tcPr>
          <w:p w14:paraId="6B620391" w14:textId="77777777" w:rsidR="005D563F" w:rsidRDefault="005D563F">
            <w:pPr>
              <w:rPr>
                <w:rFonts w:asciiTheme="majorBidi" w:hAnsiTheme="majorBidi" w:cstheme="majorBidi"/>
                <w:sz w:val="22"/>
                <w:szCs w:val="22"/>
                <w:lang w:eastAsia="ja-JP"/>
              </w:rPr>
            </w:pPr>
          </w:p>
        </w:tc>
        <w:tc>
          <w:tcPr>
            <w:tcW w:w="821" w:type="pct"/>
            <w:tcBorders>
              <w:top w:val="single" w:sz="4" w:space="0" w:color="auto"/>
              <w:left w:val="single" w:sz="4" w:space="0" w:color="auto"/>
              <w:bottom w:val="single" w:sz="4" w:space="0" w:color="auto"/>
              <w:right w:val="single" w:sz="4" w:space="0" w:color="auto"/>
            </w:tcBorders>
            <w:hideMark/>
          </w:tcPr>
          <w:p w14:paraId="2A2FC777" w14:textId="77777777" w:rsidR="005D563F" w:rsidRDefault="005D563F">
            <w:pPr>
              <w:rPr>
                <w:rFonts w:asciiTheme="majorBidi" w:hAnsiTheme="majorBidi" w:cstheme="majorBidi"/>
                <w:sz w:val="22"/>
                <w:szCs w:val="22"/>
                <w:lang w:val="en-GB" w:eastAsia="ja-JP"/>
              </w:rPr>
            </w:pPr>
            <w:r>
              <w:rPr>
                <w:rFonts w:asciiTheme="majorBidi" w:hAnsiTheme="majorBidi"/>
                <w:sz w:val="22"/>
                <w:lang w:eastAsia="ja-JP"/>
              </w:rPr>
              <w:t>Almindelig</w:t>
            </w:r>
          </w:p>
          <w:p w14:paraId="0603E864"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 1/100 til &lt; 1/10)</w:t>
            </w:r>
          </w:p>
        </w:tc>
        <w:tc>
          <w:tcPr>
            <w:tcW w:w="1005" w:type="pct"/>
            <w:tcBorders>
              <w:top w:val="single" w:sz="4" w:space="0" w:color="auto"/>
              <w:left w:val="single" w:sz="4" w:space="0" w:color="auto"/>
              <w:bottom w:val="single" w:sz="4" w:space="0" w:color="auto"/>
              <w:right w:val="single" w:sz="4" w:space="0" w:color="auto"/>
            </w:tcBorders>
            <w:hideMark/>
          </w:tcPr>
          <w:p w14:paraId="5EF6F4BB"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Ikke almindelig</w:t>
            </w:r>
          </w:p>
          <w:p w14:paraId="431790CF"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 1/1 000 til &lt; 1/100)</w:t>
            </w:r>
          </w:p>
        </w:tc>
        <w:tc>
          <w:tcPr>
            <w:tcW w:w="999" w:type="pct"/>
            <w:tcBorders>
              <w:top w:val="single" w:sz="4" w:space="0" w:color="auto"/>
              <w:left w:val="single" w:sz="4" w:space="0" w:color="auto"/>
              <w:bottom w:val="single" w:sz="4" w:space="0" w:color="auto"/>
              <w:right w:val="single" w:sz="4" w:space="0" w:color="auto"/>
            </w:tcBorders>
            <w:hideMark/>
          </w:tcPr>
          <w:p w14:paraId="7A1B3E18"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Sjælden</w:t>
            </w:r>
          </w:p>
          <w:p w14:paraId="022A2A50"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 1/10 000 til &lt; 1/1 000)</w:t>
            </w:r>
          </w:p>
        </w:tc>
        <w:tc>
          <w:tcPr>
            <w:tcW w:w="1094" w:type="pct"/>
            <w:tcBorders>
              <w:top w:val="single" w:sz="4" w:space="0" w:color="auto"/>
              <w:left w:val="single" w:sz="4" w:space="0" w:color="auto"/>
              <w:bottom w:val="single" w:sz="4" w:space="0" w:color="auto"/>
              <w:right w:val="single" w:sz="4" w:space="0" w:color="auto"/>
            </w:tcBorders>
            <w:hideMark/>
          </w:tcPr>
          <w:p w14:paraId="26A601D3"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Ikke kendt (kan ikke estimeres ud fra forhåndenværende data)</w:t>
            </w:r>
          </w:p>
        </w:tc>
      </w:tr>
      <w:tr w:rsidR="005D563F" w14:paraId="3D889130" w14:textId="77777777" w:rsidTr="005D563F">
        <w:trPr>
          <w:trHeight w:val="855"/>
        </w:trPr>
        <w:tc>
          <w:tcPr>
            <w:tcW w:w="1081" w:type="pct"/>
            <w:tcBorders>
              <w:top w:val="single" w:sz="4" w:space="0" w:color="auto"/>
              <w:left w:val="single" w:sz="4" w:space="0" w:color="auto"/>
              <w:bottom w:val="single" w:sz="4" w:space="0" w:color="auto"/>
              <w:right w:val="single" w:sz="4" w:space="0" w:color="auto"/>
            </w:tcBorders>
            <w:hideMark/>
          </w:tcPr>
          <w:p w14:paraId="394255ED"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Almene symptomer og reaktioner på administrationsstedet</w:t>
            </w:r>
          </w:p>
        </w:tc>
        <w:tc>
          <w:tcPr>
            <w:tcW w:w="821" w:type="pct"/>
            <w:tcBorders>
              <w:top w:val="single" w:sz="4" w:space="0" w:color="auto"/>
              <w:left w:val="single" w:sz="4" w:space="0" w:color="auto"/>
              <w:bottom w:val="single" w:sz="4" w:space="0" w:color="auto"/>
              <w:right w:val="single" w:sz="4" w:space="0" w:color="auto"/>
            </w:tcBorders>
            <w:hideMark/>
          </w:tcPr>
          <w:p w14:paraId="40E729F5"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Smerter i brystet, hovedet og kæben, svimmelhed</w:t>
            </w:r>
          </w:p>
        </w:tc>
        <w:tc>
          <w:tcPr>
            <w:tcW w:w="1005" w:type="pct"/>
            <w:tcBorders>
              <w:top w:val="single" w:sz="4" w:space="0" w:color="auto"/>
              <w:left w:val="single" w:sz="4" w:space="0" w:color="auto"/>
              <w:bottom w:val="single" w:sz="4" w:space="0" w:color="auto"/>
              <w:right w:val="single" w:sz="4" w:space="0" w:color="auto"/>
            </w:tcBorders>
          </w:tcPr>
          <w:p w14:paraId="7F417311" w14:textId="77777777" w:rsidR="005D563F" w:rsidRDefault="005D563F">
            <w:pPr>
              <w:rPr>
                <w:rFonts w:asciiTheme="majorBidi" w:hAnsiTheme="majorBidi" w:cstheme="majorBidi"/>
                <w:sz w:val="22"/>
                <w:szCs w:val="22"/>
                <w:lang w:eastAsia="ja-JP"/>
              </w:rPr>
            </w:pPr>
          </w:p>
        </w:tc>
        <w:tc>
          <w:tcPr>
            <w:tcW w:w="999" w:type="pct"/>
            <w:tcBorders>
              <w:top w:val="single" w:sz="4" w:space="0" w:color="auto"/>
              <w:left w:val="single" w:sz="4" w:space="0" w:color="auto"/>
              <w:bottom w:val="single" w:sz="4" w:space="0" w:color="auto"/>
              <w:right w:val="single" w:sz="4" w:space="0" w:color="auto"/>
            </w:tcBorders>
          </w:tcPr>
          <w:p w14:paraId="0CE855EE" w14:textId="77777777" w:rsidR="005D563F" w:rsidRDefault="005D563F">
            <w:pPr>
              <w:rPr>
                <w:rFonts w:asciiTheme="majorBidi" w:hAnsiTheme="majorBidi" w:cstheme="majorBidi"/>
                <w:sz w:val="22"/>
                <w:szCs w:val="22"/>
                <w:lang w:eastAsia="ja-JP"/>
              </w:rPr>
            </w:pPr>
          </w:p>
        </w:tc>
        <w:tc>
          <w:tcPr>
            <w:tcW w:w="1094" w:type="pct"/>
            <w:tcBorders>
              <w:top w:val="single" w:sz="4" w:space="0" w:color="auto"/>
              <w:left w:val="single" w:sz="4" w:space="0" w:color="auto"/>
              <w:bottom w:val="single" w:sz="4" w:space="0" w:color="auto"/>
              <w:right w:val="single" w:sz="4" w:space="0" w:color="auto"/>
            </w:tcBorders>
          </w:tcPr>
          <w:p w14:paraId="48353D96" w14:textId="77777777" w:rsidR="005D563F" w:rsidRDefault="005D563F">
            <w:pPr>
              <w:rPr>
                <w:rFonts w:asciiTheme="majorBidi" w:hAnsiTheme="majorBidi" w:cstheme="majorBidi"/>
                <w:sz w:val="22"/>
                <w:szCs w:val="22"/>
                <w:lang w:eastAsia="ja-JP"/>
              </w:rPr>
            </w:pPr>
          </w:p>
        </w:tc>
      </w:tr>
      <w:tr w:rsidR="005D563F" w14:paraId="70D93B90" w14:textId="77777777" w:rsidTr="005D563F">
        <w:tc>
          <w:tcPr>
            <w:tcW w:w="1081" w:type="pct"/>
            <w:tcBorders>
              <w:top w:val="single" w:sz="4" w:space="0" w:color="auto"/>
              <w:left w:val="single" w:sz="4" w:space="0" w:color="auto"/>
              <w:bottom w:val="single" w:sz="4" w:space="0" w:color="auto"/>
              <w:right w:val="single" w:sz="4" w:space="0" w:color="auto"/>
            </w:tcBorders>
            <w:hideMark/>
          </w:tcPr>
          <w:p w14:paraId="3B36B548" w14:textId="77777777" w:rsidR="005D563F" w:rsidRDefault="005D563F">
            <w:pPr>
              <w:rPr>
                <w:rFonts w:asciiTheme="majorBidi" w:hAnsiTheme="majorBidi" w:cstheme="majorBidi"/>
                <w:sz w:val="22"/>
                <w:szCs w:val="22"/>
                <w:lang w:val="en-GB" w:eastAsia="ja-JP"/>
              </w:rPr>
            </w:pPr>
            <w:r>
              <w:rPr>
                <w:rFonts w:asciiTheme="majorBidi" w:hAnsiTheme="majorBidi"/>
                <w:sz w:val="22"/>
                <w:lang w:eastAsia="ja-JP"/>
              </w:rPr>
              <w:t>Hjerte</w:t>
            </w:r>
          </w:p>
        </w:tc>
        <w:tc>
          <w:tcPr>
            <w:tcW w:w="821" w:type="pct"/>
            <w:tcBorders>
              <w:top w:val="single" w:sz="4" w:space="0" w:color="auto"/>
              <w:left w:val="single" w:sz="4" w:space="0" w:color="auto"/>
              <w:bottom w:val="single" w:sz="4" w:space="0" w:color="auto"/>
              <w:right w:val="single" w:sz="4" w:space="0" w:color="auto"/>
            </w:tcBorders>
            <w:hideMark/>
          </w:tcPr>
          <w:p w14:paraId="3CD552A3" w14:textId="77777777" w:rsidR="005D563F" w:rsidRDefault="005D563F">
            <w:pPr>
              <w:rPr>
                <w:rFonts w:asciiTheme="majorBidi" w:hAnsiTheme="majorBidi" w:cstheme="majorBidi"/>
                <w:sz w:val="22"/>
                <w:szCs w:val="22"/>
                <w:lang w:val="sv-SE" w:eastAsia="ja-JP"/>
              </w:rPr>
            </w:pPr>
            <w:r>
              <w:rPr>
                <w:rFonts w:asciiTheme="majorBidi" w:hAnsiTheme="majorBidi"/>
                <w:sz w:val="22"/>
                <w:lang w:val="sv-SE" w:eastAsia="ja-JP"/>
              </w:rPr>
              <w:t>Rødmen, AV-blok grad I–II, ST-depression</w:t>
            </w:r>
          </w:p>
        </w:tc>
        <w:tc>
          <w:tcPr>
            <w:tcW w:w="1005" w:type="pct"/>
            <w:tcBorders>
              <w:top w:val="single" w:sz="4" w:space="0" w:color="auto"/>
              <w:left w:val="single" w:sz="4" w:space="0" w:color="auto"/>
              <w:bottom w:val="single" w:sz="4" w:space="0" w:color="auto"/>
              <w:right w:val="single" w:sz="4" w:space="0" w:color="auto"/>
            </w:tcBorders>
            <w:hideMark/>
          </w:tcPr>
          <w:p w14:paraId="5ED01BFE" w14:textId="77777777" w:rsidR="005D563F" w:rsidRDefault="005D563F">
            <w:pPr>
              <w:rPr>
                <w:rFonts w:asciiTheme="majorBidi" w:hAnsiTheme="majorBidi" w:cstheme="majorBidi"/>
                <w:sz w:val="22"/>
                <w:szCs w:val="22"/>
                <w:lang w:val="sv-SE" w:eastAsia="ja-JP"/>
              </w:rPr>
            </w:pPr>
            <w:r>
              <w:rPr>
                <w:rFonts w:asciiTheme="majorBidi" w:hAnsiTheme="majorBidi"/>
                <w:sz w:val="22"/>
                <w:lang w:val="sv-SE" w:eastAsia="ja-JP"/>
              </w:rPr>
              <w:t>Hjertebanken, hypotension, AV-blok grad III</w:t>
            </w:r>
          </w:p>
        </w:tc>
        <w:tc>
          <w:tcPr>
            <w:tcW w:w="999" w:type="pct"/>
            <w:tcBorders>
              <w:top w:val="single" w:sz="4" w:space="0" w:color="auto"/>
              <w:left w:val="single" w:sz="4" w:space="0" w:color="auto"/>
              <w:bottom w:val="single" w:sz="4" w:space="0" w:color="auto"/>
              <w:right w:val="single" w:sz="4" w:space="0" w:color="auto"/>
            </w:tcBorders>
            <w:hideMark/>
          </w:tcPr>
          <w:p w14:paraId="70CEC4E0"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Markant</w:t>
            </w:r>
          </w:p>
          <w:p w14:paraId="4763AAE7"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hypotension og ventrikulære arytmier,</w:t>
            </w:r>
          </w:p>
          <w:p w14:paraId="55A03E8D"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herunder</w:t>
            </w:r>
          </w:p>
          <w:p w14:paraId="7F8C90DE"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ventrikulær fibrillering. Ventrikulære ekstrasystoler</w:t>
            </w:r>
          </w:p>
          <w:p w14:paraId="4E9E9932"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og atrieflimren</w:t>
            </w:r>
          </w:p>
        </w:tc>
        <w:tc>
          <w:tcPr>
            <w:tcW w:w="1094" w:type="pct"/>
            <w:tcBorders>
              <w:top w:val="single" w:sz="4" w:space="0" w:color="auto"/>
              <w:left w:val="single" w:sz="4" w:space="0" w:color="auto"/>
              <w:bottom w:val="single" w:sz="4" w:space="0" w:color="auto"/>
              <w:right w:val="single" w:sz="4" w:space="0" w:color="auto"/>
            </w:tcBorders>
            <w:hideMark/>
          </w:tcPr>
          <w:p w14:paraId="3567F971"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Koronararteriespasme, som kan føre til myokardieinfarkt.</w:t>
            </w:r>
          </w:p>
        </w:tc>
      </w:tr>
      <w:tr w:rsidR="005D563F" w14:paraId="4D5BEF66" w14:textId="77777777" w:rsidTr="005D563F">
        <w:tc>
          <w:tcPr>
            <w:tcW w:w="1081" w:type="pct"/>
            <w:tcBorders>
              <w:top w:val="single" w:sz="4" w:space="0" w:color="auto"/>
              <w:left w:val="single" w:sz="4" w:space="0" w:color="auto"/>
              <w:bottom w:val="single" w:sz="4" w:space="0" w:color="auto"/>
              <w:right w:val="single" w:sz="4" w:space="0" w:color="auto"/>
            </w:tcBorders>
          </w:tcPr>
          <w:p w14:paraId="58CF0982" w14:textId="77777777" w:rsidR="005D563F" w:rsidRDefault="005D563F">
            <w:pPr>
              <w:rPr>
                <w:rFonts w:asciiTheme="majorBidi" w:hAnsiTheme="majorBidi" w:cstheme="majorBidi"/>
                <w:sz w:val="22"/>
                <w:szCs w:val="22"/>
                <w:lang w:val="en-GB" w:eastAsia="ja-JP"/>
              </w:rPr>
            </w:pPr>
            <w:r>
              <w:rPr>
                <w:rFonts w:asciiTheme="majorBidi" w:hAnsiTheme="majorBidi"/>
                <w:sz w:val="22"/>
                <w:lang w:eastAsia="ja-JP"/>
              </w:rPr>
              <w:t>Mave-tarm-kanalen</w:t>
            </w:r>
          </w:p>
          <w:p w14:paraId="19ACA65B" w14:textId="77777777" w:rsidR="005D563F" w:rsidRDefault="005D563F">
            <w:pPr>
              <w:rPr>
                <w:rFonts w:asciiTheme="majorBidi" w:hAnsiTheme="majorBidi" w:cstheme="majorBidi"/>
                <w:sz w:val="22"/>
                <w:szCs w:val="22"/>
                <w:lang w:eastAsia="ja-JP"/>
              </w:rPr>
            </w:pPr>
          </w:p>
        </w:tc>
        <w:tc>
          <w:tcPr>
            <w:tcW w:w="821" w:type="pct"/>
            <w:tcBorders>
              <w:top w:val="single" w:sz="4" w:space="0" w:color="auto"/>
              <w:left w:val="single" w:sz="4" w:space="0" w:color="auto"/>
              <w:bottom w:val="single" w:sz="4" w:space="0" w:color="auto"/>
              <w:right w:val="single" w:sz="4" w:space="0" w:color="auto"/>
            </w:tcBorders>
            <w:hideMark/>
          </w:tcPr>
          <w:p w14:paraId="0F76BAA4"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Kvalme, epigastrisk smerte</w:t>
            </w:r>
          </w:p>
        </w:tc>
        <w:tc>
          <w:tcPr>
            <w:tcW w:w="1005" w:type="pct"/>
            <w:tcBorders>
              <w:top w:val="single" w:sz="4" w:space="0" w:color="auto"/>
              <w:left w:val="single" w:sz="4" w:space="0" w:color="auto"/>
              <w:bottom w:val="single" w:sz="4" w:space="0" w:color="auto"/>
              <w:right w:val="single" w:sz="4" w:space="0" w:color="auto"/>
            </w:tcBorders>
          </w:tcPr>
          <w:p w14:paraId="58E2E74A" w14:textId="77777777" w:rsidR="005D563F" w:rsidRDefault="005D563F">
            <w:pPr>
              <w:rPr>
                <w:rFonts w:asciiTheme="majorBidi" w:hAnsiTheme="majorBidi" w:cstheme="majorBidi"/>
                <w:sz w:val="22"/>
                <w:szCs w:val="22"/>
                <w:lang w:eastAsia="ja-JP"/>
              </w:rPr>
            </w:pPr>
          </w:p>
        </w:tc>
        <w:tc>
          <w:tcPr>
            <w:tcW w:w="999" w:type="pct"/>
            <w:tcBorders>
              <w:top w:val="single" w:sz="4" w:space="0" w:color="auto"/>
              <w:left w:val="single" w:sz="4" w:space="0" w:color="auto"/>
              <w:bottom w:val="single" w:sz="4" w:space="0" w:color="auto"/>
              <w:right w:val="single" w:sz="4" w:space="0" w:color="auto"/>
            </w:tcBorders>
          </w:tcPr>
          <w:p w14:paraId="13CFE730" w14:textId="77777777" w:rsidR="005D563F" w:rsidRDefault="005D563F">
            <w:pPr>
              <w:rPr>
                <w:rFonts w:asciiTheme="majorBidi" w:hAnsiTheme="majorBidi" w:cstheme="majorBidi"/>
                <w:sz w:val="22"/>
                <w:szCs w:val="22"/>
                <w:lang w:eastAsia="ja-JP"/>
              </w:rPr>
            </w:pPr>
          </w:p>
        </w:tc>
        <w:tc>
          <w:tcPr>
            <w:tcW w:w="1094" w:type="pct"/>
            <w:tcBorders>
              <w:top w:val="single" w:sz="4" w:space="0" w:color="auto"/>
              <w:left w:val="single" w:sz="4" w:space="0" w:color="auto"/>
              <w:bottom w:val="single" w:sz="4" w:space="0" w:color="auto"/>
              <w:right w:val="single" w:sz="4" w:space="0" w:color="auto"/>
            </w:tcBorders>
          </w:tcPr>
          <w:p w14:paraId="29E4E618" w14:textId="77777777" w:rsidR="005D563F" w:rsidRDefault="005D563F">
            <w:pPr>
              <w:rPr>
                <w:rFonts w:asciiTheme="majorBidi" w:hAnsiTheme="majorBidi" w:cstheme="majorBidi"/>
                <w:sz w:val="22"/>
                <w:szCs w:val="22"/>
                <w:lang w:eastAsia="ja-JP"/>
              </w:rPr>
            </w:pPr>
          </w:p>
        </w:tc>
      </w:tr>
      <w:tr w:rsidR="005D563F" w14:paraId="1F042295" w14:textId="77777777" w:rsidTr="005D563F">
        <w:tc>
          <w:tcPr>
            <w:tcW w:w="1081" w:type="pct"/>
            <w:tcBorders>
              <w:top w:val="single" w:sz="4" w:space="0" w:color="auto"/>
              <w:left w:val="single" w:sz="4" w:space="0" w:color="auto"/>
              <w:bottom w:val="single" w:sz="4" w:space="0" w:color="auto"/>
              <w:right w:val="single" w:sz="4" w:space="0" w:color="auto"/>
            </w:tcBorders>
            <w:hideMark/>
          </w:tcPr>
          <w:p w14:paraId="5AFBFD3C"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Luftveje, thorax og mediastinum</w:t>
            </w:r>
          </w:p>
        </w:tc>
        <w:tc>
          <w:tcPr>
            <w:tcW w:w="821" w:type="pct"/>
            <w:tcBorders>
              <w:top w:val="single" w:sz="4" w:space="0" w:color="auto"/>
              <w:left w:val="single" w:sz="4" w:space="0" w:color="auto"/>
              <w:bottom w:val="single" w:sz="4" w:space="0" w:color="auto"/>
              <w:right w:val="single" w:sz="4" w:space="0" w:color="auto"/>
            </w:tcBorders>
            <w:hideMark/>
          </w:tcPr>
          <w:p w14:paraId="102ED731"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Dyspnø</w:t>
            </w:r>
          </w:p>
        </w:tc>
        <w:tc>
          <w:tcPr>
            <w:tcW w:w="1005" w:type="pct"/>
            <w:tcBorders>
              <w:top w:val="single" w:sz="4" w:space="0" w:color="auto"/>
              <w:left w:val="single" w:sz="4" w:space="0" w:color="auto"/>
              <w:bottom w:val="single" w:sz="4" w:space="0" w:color="auto"/>
              <w:right w:val="single" w:sz="4" w:space="0" w:color="auto"/>
            </w:tcBorders>
            <w:hideMark/>
          </w:tcPr>
          <w:p w14:paraId="700237F5"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Hyperventilation</w:t>
            </w:r>
          </w:p>
        </w:tc>
        <w:tc>
          <w:tcPr>
            <w:tcW w:w="999" w:type="pct"/>
            <w:tcBorders>
              <w:top w:val="single" w:sz="4" w:space="0" w:color="auto"/>
              <w:left w:val="single" w:sz="4" w:space="0" w:color="auto"/>
              <w:bottom w:val="single" w:sz="4" w:space="0" w:color="auto"/>
              <w:right w:val="single" w:sz="4" w:space="0" w:color="auto"/>
            </w:tcBorders>
            <w:hideMark/>
          </w:tcPr>
          <w:p w14:paraId="2029A4F2" w14:textId="77777777" w:rsidR="005D563F" w:rsidRDefault="005D563F">
            <w:pPr>
              <w:rPr>
                <w:rFonts w:asciiTheme="majorBidi" w:hAnsiTheme="majorBidi" w:cstheme="majorBidi"/>
                <w:sz w:val="22"/>
                <w:szCs w:val="22"/>
                <w:lang w:eastAsia="ja-JP"/>
              </w:rPr>
            </w:pPr>
            <w:r>
              <w:rPr>
                <w:rFonts w:asciiTheme="majorBidi" w:hAnsiTheme="majorBidi"/>
                <w:sz w:val="22"/>
                <w:lang w:eastAsia="ja-JP"/>
              </w:rPr>
              <w:t>Bronkospasme</w:t>
            </w:r>
          </w:p>
        </w:tc>
        <w:tc>
          <w:tcPr>
            <w:tcW w:w="1094" w:type="pct"/>
            <w:tcBorders>
              <w:top w:val="single" w:sz="4" w:space="0" w:color="auto"/>
              <w:left w:val="single" w:sz="4" w:space="0" w:color="auto"/>
              <w:bottom w:val="single" w:sz="4" w:space="0" w:color="auto"/>
              <w:right w:val="single" w:sz="4" w:space="0" w:color="auto"/>
            </w:tcBorders>
          </w:tcPr>
          <w:p w14:paraId="78A9A3F7" w14:textId="77777777" w:rsidR="005D563F" w:rsidRDefault="005D563F">
            <w:pPr>
              <w:rPr>
                <w:rFonts w:asciiTheme="majorBidi" w:hAnsiTheme="majorBidi" w:cstheme="majorBidi"/>
                <w:sz w:val="22"/>
                <w:szCs w:val="22"/>
                <w:lang w:eastAsia="ja-JP"/>
              </w:rPr>
            </w:pPr>
          </w:p>
        </w:tc>
      </w:tr>
    </w:tbl>
    <w:p w14:paraId="7CAF7EAC" w14:textId="77777777" w:rsidR="005D563F" w:rsidRDefault="005D563F" w:rsidP="005D563F">
      <w:pPr>
        <w:rPr>
          <w:rFonts w:asciiTheme="majorBidi" w:hAnsiTheme="majorBidi" w:cstheme="majorBidi"/>
          <w:sz w:val="22"/>
          <w:szCs w:val="22"/>
          <w:lang w:val="en-GB" w:eastAsia="da-DK"/>
        </w:rPr>
      </w:pPr>
    </w:p>
    <w:p w14:paraId="739B96CD" w14:textId="77777777" w:rsidR="005D563F" w:rsidRPr="005D563F" w:rsidRDefault="005D563F" w:rsidP="005D563F">
      <w:pPr>
        <w:ind w:left="851"/>
        <w:rPr>
          <w:rFonts w:asciiTheme="majorBidi" w:hAnsiTheme="majorBidi" w:cstheme="majorBidi"/>
          <w:sz w:val="24"/>
          <w:szCs w:val="24"/>
        </w:rPr>
      </w:pPr>
      <w:r w:rsidRPr="005D563F">
        <w:rPr>
          <w:rFonts w:asciiTheme="majorBidi" w:hAnsiTheme="majorBidi"/>
          <w:sz w:val="24"/>
          <w:szCs w:val="24"/>
        </w:rPr>
        <w:t>I nogle få tilfælde er der også beskrevet bronkospasmer (undertiden svære) hos patienter uden bronkial astma eller kronisk obstruktiv lungesygdom.</w:t>
      </w:r>
    </w:p>
    <w:p w14:paraId="32F51C4D" w14:textId="77777777" w:rsidR="005D563F" w:rsidRPr="005D563F" w:rsidRDefault="005D563F" w:rsidP="005D563F">
      <w:pPr>
        <w:ind w:left="851"/>
        <w:rPr>
          <w:rFonts w:asciiTheme="majorBidi" w:hAnsiTheme="majorBidi" w:cstheme="majorBidi"/>
          <w:sz w:val="24"/>
          <w:szCs w:val="24"/>
        </w:rPr>
      </w:pPr>
    </w:p>
    <w:p w14:paraId="004B8A1F" w14:textId="77777777" w:rsidR="005D563F" w:rsidRPr="005D563F" w:rsidRDefault="005D563F" w:rsidP="005D563F">
      <w:pPr>
        <w:keepNext/>
        <w:keepLines/>
        <w:ind w:left="851"/>
        <w:rPr>
          <w:rFonts w:asciiTheme="majorBidi" w:hAnsiTheme="majorBidi" w:cstheme="majorBidi"/>
          <w:sz w:val="24"/>
          <w:szCs w:val="24"/>
          <w:u w:val="single"/>
        </w:rPr>
      </w:pPr>
      <w:r w:rsidRPr="005D563F">
        <w:rPr>
          <w:rFonts w:asciiTheme="majorBidi" w:hAnsiTheme="majorBidi"/>
          <w:sz w:val="24"/>
          <w:szCs w:val="24"/>
          <w:u w:val="single"/>
        </w:rPr>
        <w:lastRenderedPageBreak/>
        <w:t>Indberetning af formodede bivirkninger</w:t>
      </w:r>
    </w:p>
    <w:p w14:paraId="6CFE7A10" w14:textId="77777777" w:rsidR="005D563F" w:rsidRPr="005D563F" w:rsidRDefault="005D563F" w:rsidP="005D563F">
      <w:pPr>
        <w:ind w:left="851"/>
        <w:rPr>
          <w:rFonts w:asciiTheme="majorBidi" w:hAnsiTheme="majorBidi"/>
          <w:sz w:val="24"/>
          <w:szCs w:val="24"/>
        </w:rPr>
      </w:pPr>
      <w:r w:rsidRPr="005D563F">
        <w:rPr>
          <w:rFonts w:asciiTheme="majorBidi" w:hAnsiTheme="majorBidi"/>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799D977F" w14:textId="77777777" w:rsidR="005D563F" w:rsidRPr="005D563F" w:rsidRDefault="005D563F" w:rsidP="005D563F">
      <w:pPr>
        <w:ind w:left="851"/>
        <w:rPr>
          <w:rFonts w:asciiTheme="majorBidi" w:hAnsiTheme="majorBidi"/>
          <w:sz w:val="24"/>
          <w:szCs w:val="24"/>
        </w:rPr>
      </w:pPr>
    </w:p>
    <w:p w14:paraId="2DC9C9B7" w14:textId="77777777" w:rsidR="005D563F" w:rsidRPr="005D563F" w:rsidRDefault="005D563F" w:rsidP="005D563F">
      <w:pPr>
        <w:pStyle w:val="Brdtekst"/>
        <w:ind w:left="851"/>
        <w:rPr>
          <w:szCs w:val="24"/>
          <w:lang w:val="da-DK"/>
        </w:rPr>
      </w:pPr>
      <w:r w:rsidRPr="005D563F">
        <w:rPr>
          <w:szCs w:val="24"/>
          <w:lang w:val="da-DK"/>
        </w:rPr>
        <w:t>Lægemiddelstyrelsen</w:t>
      </w:r>
      <w:r w:rsidRPr="005D563F">
        <w:rPr>
          <w:szCs w:val="24"/>
          <w:lang w:val="da-DK"/>
        </w:rPr>
        <w:br/>
        <w:t>Axel Heides Gade 1</w:t>
      </w:r>
      <w:r w:rsidRPr="005D563F">
        <w:rPr>
          <w:szCs w:val="24"/>
          <w:lang w:val="da-DK"/>
        </w:rPr>
        <w:br/>
        <w:t>DK-2300 København S</w:t>
      </w:r>
      <w:r w:rsidRPr="005D563F">
        <w:rPr>
          <w:szCs w:val="24"/>
          <w:lang w:val="da-DK"/>
        </w:rPr>
        <w:br/>
        <w:t>Websted: www.meldenbivirkning.dk</w:t>
      </w:r>
    </w:p>
    <w:p w14:paraId="32768AC8"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0E8A1E35" w14:textId="77777777" w:rsidR="001C72D6" w:rsidRPr="001C72D6" w:rsidRDefault="001C72D6" w:rsidP="001C72D6">
      <w:pPr>
        <w:tabs>
          <w:tab w:val="left" w:pos="851"/>
        </w:tabs>
        <w:ind w:left="851"/>
        <w:rPr>
          <w:sz w:val="24"/>
          <w:szCs w:val="24"/>
        </w:rPr>
      </w:pPr>
      <w:r w:rsidRPr="001C72D6">
        <w:rPr>
          <w:sz w:val="24"/>
          <w:szCs w:val="24"/>
        </w:rPr>
        <w:t xml:space="preserve">Adenosin "Macure" anvendes kun på klinikker med omhyggelig overvågning af patienterne, så overdosering i sædvanlig forstand forekommer ikke. Alvorlige symptomer som følge af en bivirkning kan dog behandles med aminophyllin, hvis en reduktion af dosis af Adenosin "Macure" ikke hjælper. Klinisk erfaring har vist, at behandling med aminophyllin sjældent er påkrævet. </w:t>
      </w:r>
    </w:p>
    <w:p w14:paraId="6DD9FD4A" w14:textId="77777777" w:rsidR="009260DE" w:rsidRPr="00C84483" w:rsidRDefault="009260DE" w:rsidP="009260DE">
      <w:pPr>
        <w:tabs>
          <w:tab w:val="left" w:pos="851"/>
        </w:tabs>
        <w:ind w:left="851"/>
        <w:rPr>
          <w:sz w:val="24"/>
          <w:szCs w:val="24"/>
        </w:rPr>
      </w:pPr>
    </w:p>
    <w:p w14:paraId="5ED6EF26"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76A17AF7" w14:textId="1A4EF3EE" w:rsidR="009260DE" w:rsidRPr="00C84483" w:rsidRDefault="00BF421D" w:rsidP="009260DE">
      <w:pPr>
        <w:tabs>
          <w:tab w:val="left" w:pos="851"/>
        </w:tabs>
        <w:ind w:left="851"/>
        <w:rPr>
          <w:sz w:val="24"/>
          <w:szCs w:val="24"/>
        </w:rPr>
      </w:pPr>
      <w:r>
        <w:rPr>
          <w:sz w:val="24"/>
          <w:szCs w:val="24"/>
        </w:rPr>
        <w:t>B</w:t>
      </w:r>
    </w:p>
    <w:p w14:paraId="2BF740BB" w14:textId="77777777" w:rsidR="009260DE" w:rsidRPr="00C84483" w:rsidRDefault="009260DE" w:rsidP="009260DE">
      <w:pPr>
        <w:tabs>
          <w:tab w:val="left" w:pos="851"/>
        </w:tabs>
        <w:ind w:left="851"/>
        <w:rPr>
          <w:sz w:val="24"/>
          <w:szCs w:val="24"/>
        </w:rPr>
      </w:pPr>
    </w:p>
    <w:p w14:paraId="477B0818" w14:textId="77777777" w:rsidR="009260DE" w:rsidRPr="00C84483" w:rsidRDefault="009260DE" w:rsidP="009260DE">
      <w:pPr>
        <w:tabs>
          <w:tab w:val="left" w:pos="851"/>
        </w:tabs>
        <w:ind w:left="851"/>
        <w:rPr>
          <w:sz w:val="24"/>
          <w:szCs w:val="24"/>
        </w:rPr>
      </w:pPr>
    </w:p>
    <w:p w14:paraId="55F26978"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4FC4F7E2" w14:textId="77777777" w:rsidR="009260DE" w:rsidRPr="00C84483" w:rsidRDefault="009260DE" w:rsidP="009260DE">
      <w:pPr>
        <w:tabs>
          <w:tab w:val="left" w:pos="851"/>
        </w:tabs>
        <w:ind w:left="851"/>
        <w:rPr>
          <w:sz w:val="24"/>
          <w:szCs w:val="24"/>
        </w:rPr>
      </w:pPr>
    </w:p>
    <w:p w14:paraId="52668A64"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6EF1B3E3" w14:textId="77777777" w:rsidR="00BF421D" w:rsidRPr="00BF421D" w:rsidRDefault="00BF421D" w:rsidP="00BF421D">
      <w:pPr>
        <w:tabs>
          <w:tab w:val="left" w:pos="851"/>
        </w:tabs>
        <w:ind w:left="851"/>
        <w:rPr>
          <w:b/>
          <w:sz w:val="24"/>
          <w:szCs w:val="24"/>
        </w:rPr>
      </w:pPr>
      <w:r w:rsidRPr="00BF421D">
        <w:rPr>
          <w:sz w:val="24"/>
          <w:szCs w:val="24"/>
        </w:rPr>
        <w:t>Farmakoterapeutisk klassifikation: Andet hjertepræparater</w:t>
      </w:r>
      <w:r w:rsidRPr="00BF421D">
        <w:rPr>
          <w:b/>
          <w:sz w:val="24"/>
          <w:szCs w:val="24"/>
        </w:rPr>
        <w:t xml:space="preserve">, </w:t>
      </w:r>
      <w:r w:rsidRPr="00BF421D">
        <w:rPr>
          <w:sz w:val="24"/>
          <w:szCs w:val="24"/>
        </w:rPr>
        <w:t>ATC-kode: C01EB10.</w:t>
      </w:r>
    </w:p>
    <w:p w14:paraId="498F03CD" w14:textId="77777777" w:rsidR="00BF421D" w:rsidRPr="00BF421D" w:rsidRDefault="00BF421D" w:rsidP="00BF421D">
      <w:pPr>
        <w:tabs>
          <w:tab w:val="left" w:pos="851"/>
        </w:tabs>
        <w:ind w:left="851"/>
        <w:rPr>
          <w:b/>
          <w:sz w:val="24"/>
          <w:szCs w:val="24"/>
        </w:rPr>
      </w:pPr>
    </w:p>
    <w:p w14:paraId="0E919E86" w14:textId="77777777" w:rsidR="00BF421D" w:rsidRPr="00BF421D" w:rsidRDefault="00BF421D" w:rsidP="00BF421D">
      <w:pPr>
        <w:tabs>
          <w:tab w:val="left" w:pos="851"/>
        </w:tabs>
        <w:ind w:left="851"/>
        <w:rPr>
          <w:sz w:val="24"/>
          <w:szCs w:val="24"/>
        </w:rPr>
      </w:pPr>
      <w:r w:rsidRPr="00BF421D">
        <w:rPr>
          <w:sz w:val="24"/>
          <w:szCs w:val="24"/>
        </w:rPr>
        <w:t>Adenosin er et endogent nukleosid, der findes i alle celler i kroppen. Adenosins virkning formidles af purin-1-receptorer (P1-receptorer). Adenosin har en hæmmende virkning på AV-knudens ledningstid og på sinusknuden og en afslappende virkning på vaskulære muskelceller, især i arteriolerne. Adenosin kan hæmme AV-knudens ledning, afbryde re-entry takykardi, der involverer AV-knuden, og dermed genoprette normal sinusrytme hos patienter med supraventrikulær takykardi, herunder patienter med WPW-syndrom (Wolff-Parkinson-White). Adenosinbehandling hæmmer ikke ledningstiden i accessoriske baner. Ved intravenøs injektion er virkningens varighed på AV-ledningen ekstremt kort (ca. 30 sekunder). Hos patienter med WPW-syndrom og antidrom ledning via den accessoriske bane resulterer administration af adenosin i maksimal præ-eksitation under AV-knudeblok.</w:t>
      </w:r>
    </w:p>
    <w:p w14:paraId="037B465C" w14:textId="77777777" w:rsidR="00BF421D" w:rsidRPr="00BF421D" w:rsidRDefault="00BF421D" w:rsidP="00BF421D">
      <w:pPr>
        <w:tabs>
          <w:tab w:val="left" w:pos="851"/>
        </w:tabs>
        <w:ind w:left="851"/>
        <w:rPr>
          <w:sz w:val="24"/>
          <w:szCs w:val="24"/>
        </w:rPr>
      </w:pPr>
      <w:r w:rsidRPr="00BF421D">
        <w:rPr>
          <w:sz w:val="24"/>
          <w:szCs w:val="24"/>
        </w:rPr>
        <w:t>Maksimal præ-eksitation, registreret med et 12-afledet EKG, kan bruges til at lokalisere den accessoriske bane. Hos patienter med intermitterende normale EKG-målinger kan administration af adenosin bruges til at påvise præ-eksitation.</w:t>
      </w:r>
    </w:p>
    <w:p w14:paraId="2B46FC6F" w14:textId="77777777" w:rsidR="00BF421D" w:rsidRPr="00BF421D" w:rsidRDefault="00BF421D" w:rsidP="00BF421D">
      <w:pPr>
        <w:tabs>
          <w:tab w:val="left" w:pos="851"/>
        </w:tabs>
        <w:ind w:left="851"/>
        <w:rPr>
          <w:sz w:val="24"/>
          <w:szCs w:val="24"/>
        </w:rPr>
      </w:pPr>
      <w:r w:rsidRPr="00BF421D">
        <w:rPr>
          <w:sz w:val="24"/>
          <w:szCs w:val="24"/>
        </w:rPr>
        <w:t>Adenosin potente vasodilaterende egenskaber i modstandskar i hjertet muliggør dosisafhængig hjertevasodilation, især i ikke-arteriosklerotiske kar. Dette betyder, at infusion af adenosin resulterer i en omfordeling af blodgennemstrømningen fra arteriosklerotiske kar til mere normale områder (det såkaldte "koronar stjælefænomen") hos patienter med koronararteriesygdom. Samtidig resulterer adenosins generelle vasodilaterende virkninger på hjerte en i en refleksogen stigning i hjerteinotropi og kronotropi, hvilket igen fører til en øget arbejdsbyrde for hjertet.</w:t>
      </w:r>
    </w:p>
    <w:p w14:paraId="5D4EECF6" w14:textId="77777777" w:rsidR="00BF421D" w:rsidRPr="00BF421D" w:rsidRDefault="00BF421D" w:rsidP="00BF421D">
      <w:pPr>
        <w:tabs>
          <w:tab w:val="left" w:pos="851"/>
        </w:tabs>
        <w:ind w:left="851"/>
        <w:rPr>
          <w:sz w:val="24"/>
          <w:szCs w:val="24"/>
        </w:rPr>
      </w:pPr>
    </w:p>
    <w:p w14:paraId="37E593E0" w14:textId="77777777" w:rsidR="00BF421D" w:rsidRPr="00BF421D" w:rsidRDefault="00BF421D" w:rsidP="00BF421D">
      <w:pPr>
        <w:tabs>
          <w:tab w:val="left" w:pos="851"/>
        </w:tabs>
        <w:ind w:left="851"/>
        <w:rPr>
          <w:sz w:val="24"/>
          <w:szCs w:val="24"/>
          <w:u w:val="single"/>
        </w:rPr>
      </w:pPr>
      <w:r w:rsidRPr="00BF421D">
        <w:rPr>
          <w:sz w:val="24"/>
          <w:szCs w:val="24"/>
          <w:u w:val="single"/>
        </w:rPr>
        <w:t>Pædiatrisk population</w:t>
      </w:r>
    </w:p>
    <w:p w14:paraId="7D66D189" w14:textId="77777777" w:rsidR="00BF421D" w:rsidRPr="00BF421D" w:rsidRDefault="00BF421D" w:rsidP="00BF421D">
      <w:pPr>
        <w:tabs>
          <w:tab w:val="left" w:pos="851"/>
        </w:tabs>
        <w:ind w:left="851"/>
        <w:rPr>
          <w:i/>
          <w:sz w:val="24"/>
          <w:szCs w:val="24"/>
        </w:rPr>
      </w:pPr>
    </w:p>
    <w:p w14:paraId="6C817AD0" w14:textId="77777777" w:rsidR="00BF421D" w:rsidRPr="00BF421D" w:rsidRDefault="00BF421D" w:rsidP="00BF421D">
      <w:pPr>
        <w:tabs>
          <w:tab w:val="left" w:pos="851"/>
        </w:tabs>
        <w:ind w:left="851"/>
        <w:rPr>
          <w:i/>
          <w:sz w:val="24"/>
          <w:szCs w:val="24"/>
        </w:rPr>
      </w:pPr>
      <w:r w:rsidRPr="00BF421D">
        <w:rPr>
          <w:i/>
          <w:sz w:val="24"/>
          <w:szCs w:val="24"/>
        </w:rPr>
        <w:t>Injektionsvæske</w:t>
      </w:r>
    </w:p>
    <w:p w14:paraId="3E517C1E" w14:textId="77777777" w:rsidR="00BF421D" w:rsidRPr="00BF421D" w:rsidRDefault="00BF421D" w:rsidP="00BF421D">
      <w:pPr>
        <w:tabs>
          <w:tab w:val="left" w:pos="851"/>
        </w:tabs>
        <w:ind w:left="851"/>
        <w:rPr>
          <w:sz w:val="24"/>
          <w:szCs w:val="24"/>
        </w:rPr>
      </w:pPr>
      <w:r w:rsidRPr="00BF421D">
        <w:rPr>
          <w:sz w:val="24"/>
          <w:szCs w:val="24"/>
        </w:rPr>
        <w:t xml:space="preserve">Der er ikke udført kontrollerede forsøg med adenosin hos pædiatriske patienter vedrørende konvertering af paroxysmal supraventrikulær takykardi (PSVT). Adenosin sikkerhed og </w:t>
      </w:r>
      <w:r w:rsidRPr="00BF421D">
        <w:rPr>
          <w:sz w:val="24"/>
          <w:szCs w:val="24"/>
        </w:rPr>
        <w:lastRenderedPageBreak/>
        <w:t>virkning hos børn i alderen 0-18 år med PSVT anses for at være fastslået på baggrund af omfattende klinisk anvendelse og data i litteraturen (åbne studier, caserapporter, kliniske retningslinjer).</w:t>
      </w:r>
    </w:p>
    <w:p w14:paraId="57135CCB" w14:textId="77777777" w:rsidR="00BF421D" w:rsidRPr="00BF421D" w:rsidRDefault="00BF421D" w:rsidP="00BF421D">
      <w:pPr>
        <w:tabs>
          <w:tab w:val="left" w:pos="851"/>
        </w:tabs>
        <w:ind w:left="851"/>
        <w:rPr>
          <w:sz w:val="24"/>
          <w:szCs w:val="24"/>
        </w:rPr>
      </w:pPr>
    </w:p>
    <w:p w14:paraId="1CDBC60B" w14:textId="77777777" w:rsidR="00BF421D" w:rsidRPr="00BF421D" w:rsidRDefault="00BF421D" w:rsidP="00BF421D">
      <w:pPr>
        <w:tabs>
          <w:tab w:val="left" w:pos="851"/>
        </w:tabs>
        <w:ind w:left="851"/>
        <w:rPr>
          <w:sz w:val="24"/>
          <w:szCs w:val="24"/>
        </w:rPr>
      </w:pPr>
      <w:r w:rsidRPr="00BF421D">
        <w:rPr>
          <w:sz w:val="24"/>
          <w:szCs w:val="24"/>
        </w:rPr>
        <w:t>En gennemgang af litteraturen fandt 14 studier, hvor intravenøst adenosin blev anvendt til akut afbrydelse af supraventrikulær takykardi (SVT) hos i alt ca. 450 pædiatriske patienter i alderen 6 timer til 18 år. Studierne var heterogene med hensyn til alder og doseringsskemaer. SVT blev afbrudt i 72-100 % af tilfældene i de fleste af de offentliggjorte studier. De anvendte doser varierede fra 37,5 mikrogram/kg til 400 mikrogram/kg. Flere undersøgelser diskuterede manglende respons på indledende doser under 100 mikrogram/kg.</w:t>
      </w:r>
    </w:p>
    <w:p w14:paraId="364955DC" w14:textId="77777777" w:rsidR="00BF421D" w:rsidRPr="00BF421D" w:rsidRDefault="00BF421D" w:rsidP="00BF421D">
      <w:pPr>
        <w:tabs>
          <w:tab w:val="left" w:pos="851"/>
        </w:tabs>
        <w:ind w:left="851"/>
        <w:rPr>
          <w:sz w:val="24"/>
          <w:szCs w:val="24"/>
        </w:rPr>
      </w:pPr>
    </w:p>
    <w:p w14:paraId="366FA5CD" w14:textId="3BB8235F" w:rsidR="00BF421D" w:rsidRPr="00BF421D" w:rsidRDefault="00BF421D" w:rsidP="00BF421D">
      <w:pPr>
        <w:tabs>
          <w:tab w:val="left" w:pos="851"/>
        </w:tabs>
        <w:ind w:left="851"/>
        <w:rPr>
          <w:sz w:val="24"/>
          <w:szCs w:val="24"/>
        </w:rPr>
      </w:pPr>
      <w:r w:rsidRPr="00BF421D">
        <w:rPr>
          <w:sz w:val="24"/>
          <w:szCs w:val="24"/>
        </w:rPr>
        <w:t xml:space="preserve">Afhængigt af barnets kliniske historie, symptomer og EKG-diagnose er adenosin blevet anvendt i klinisk praksis under ekspertvejledning hos børn med stabilt bredt QRS-kompleks og Wolff-Parkinson-White-syndrom. De foreliggende data understøtter på nuværende tidspunkt ikke en pædiatrisk indikation. I alt 6 tilfælde af adenosin-induceret arytmi (3x atrieflimren, 2x atrieflagren, 1x ventrikelflimren) er blevet beskrevet hos 6 børn i alderen 0-16 år med manifest eller skjult WPW-syndrom, hvoraf tre kom sig spontant, mens de tre andre krævede amiodaron +/- kardioversion (se også </w:t>
      </w:r>
      <w:r w:rsidR="00C95B97">
        <w:rPr>
          <w:sz w:val="24"/>
          <w:szCs w:val="24"/>
        </w:rPr>
        <w:t>pkt.</w:t>
      </w:r>
      <w:r w:rsidRPr="00BF421D">
        <w:rPr>
          <w:sz w:val="24"/>
          <w:szCs w:val="24"/>
        </w:rPr>
        <w:t xml:space="preserve"> 4.4).</w:t>
      </w:r>
    </w:p>
    <w:p w14:paraId="74386AE2" w14:textId="77777777" w:rsidR="00BF421D" w:rsidRPr="00BF421D" w:rsidRDefault="00BF421D" w:rsidP="00BF421D">
      <w:pPr>
        <w:tabs>
          <w:tab w:val="left" w:pos="851"/>
        </w:tabs>
        <w:ind w:left="851"/>
        <w:rPr>
          <w:sz w:val="24"/>
          <w:szCs w:val="24"/>
        </w:rPr>
      </w:pPr>
    </w:p>
    <w:p w14:paraId="33694FE5" w14:textId="77777777" w:rsidR="00BF421D" w:rsidRPr="00BF421D" w:rsidRDefault="00BF421D" w:rsidP="00BF421D">
      <w:pPr>
        <w:tabs>
          <w:tab w:val="left" w:pos="851"/>
        </w:tabs>
        <w:ind w:left="851"/>
        <w:rPr>
          <w:sz w:val="24"/>
          <w:szCs w:val="24"/>
        </w:rPr>
      </w:pPr>
      <w:r w:rsidRPr="00BF421D">
        <w:rPr>
          <w:sz w:val="24"/>
          <w:szCs w:val="24"/>
        </w:rPr>
        <w:t>Adenosin er blevet anvendt som et diagnostisk redskab til supraventrikulær takykardi med et bredt eller smalt QRS-kompleks i samme doser, som anvendes til behandling af supraventrikulær takykardi. Selvom adenosin ikke kan konvertere atrieflagren, atrieflimren eller ventrikulær takykardi til sinusrytme, kan en langsommere AV-ledning gøre det lettere at diagnosticere typen af atrieaktivitet. De foreliggende data understøtter imidlertid ikke på nuværende tidspunkt en pædiatrisk indikation for brug af adenosin til diagnostiske formål.</w:t>
      </w:r>
    </w:p>
    <w:p w14:paraId="6A2ADE54" w14:textId="77777777" w:rsidR="00BF421D" w:rsidRPr="00BF421D" w:rsidRDefault="00BF421D" w:rsidP="00BF421D">
      <w:pPr>
        <w:tabs>
          <w:tab w:val="left" w:pos="851"/>
        </w:tabs>
        <w:ind w:left="851"/>
        <w:rPr>
          <w:sz w:val="24"/>
          <w:szCs w:val="24"/>
        </w:rPr>
      </w:pPr>
    </w:p>
    <w:p w14:paraId="09A02A10" w14:textId="77777777" w:rsidR="00BF421D" w:rsidRPr="00BF421D" w:rsidRDefault="00BF421D" w:rsidP="00BF421D">
      <w:pPr>
        <w:tabs>
          <w:tab w:val="left" w:pos="851"/>
        </w:tabs>
        <w:ind w:left="851"/>
        <w:rPr>
          <w:i/>
          <w:sz w:val="24"/>
          <w:szCs w:val="24"/>
        </w:rPr>
      </w:pPr>
      <w:r w:rsidRPr="00BF421D">
        <w:rPr>
          <w:i/>
          <w:sz w:val="24"/>
          <w:szCs w:val="24"/>
        </w:rPr>
        <w:t>Infusionsvæske</w:t>
      </w:r>
    </w:p>
    <w:p w14:paraId="607A70B7" w14:textId="77777777" w:rsidR="00BF421D" w:rsidRPr="00BF421D" w:rsidRDefault="00BF421D" w:rsidP="00BF421D">
      <w:pPr>
        <w:tabs>
          <w:tab w:val="left" w:pos="851"/>
        </w:tabs>
        <w:ind w:left="851"/>
        <w:rPr>
          <w:sz w:val="24"/>
          <w:szCs w:val="24"/>
        </w:rPr>
      </w:pPr>
      <w:r w:rsidRPr="00BF421D">
        <w:rPr>
          <w:sz w:val="24"/>
          <w:szCs w:val="24"/>
        </w:rPr>
        <w:t>En gennemgang af litteraturen fandt tre studier, hvor intravenøs infusion af adenosin blev anvendt til pædiatriske patienter i alderen 1 måned til 18 år i en dosis på 0,14 mg/kg kropsvægt/min. i 2-4 minutter i forbindelse med myokardieperfusionsscintigrafi. Den største undersøgelse, som omfattede 47 patienter i alderen 1 måned til 18 år, rapporterede en sensitivitet på 87 % (CI: 52-97 %) og en specificitet på 95 % (CI: 79-99 %) under kardiovaskulære MR-scanninger under farmakologisk stress ved anvendelse af intravenøst adenosin i en dosis på 0,14 mg/kg/min i 3 minutter. Der blev ikke rapporteret om bivirkninger i undersøgelsen. De aktuelt tilgængelige data anses imidlertid for at være for begrænsede til at understøtte diagnostisk brug af adenosin i den pædiatriske population.</w:t>
      </w:r>
    </w:p>
    <w:p w14:paraId="760730DF" w14:textId="77777777" w:rsidR="009260DE" w:rsidRPr="00C84483" w:rsidRDefault="009260DE" w:rsidP="009260DE">
      <w:pPr>
        <w:tabs>
          <w:tab w:val="left" w:pos="851"/>
        </w:tabs>
        <w:ind w:left="851"/>
        <w:rPr>
          <w:sz w:val="24"/>
          <w:szCs w:val="24"/>
        </w:rPr>
      </w:pPr>
    </w:p>
    <w:p w14:paraId="0CEAD1C7"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3C14B087" w14:textId="77777777" w:rsidR="004E221E" w:rsidRPr="004E221E" w:rsidRDefault="004E221E" w:rsidP="004E221E">
      <w:pPr>
        <w:tabs>
          <w:tab w:val="left" w:pos="851"/>
        </w:tabs>
        <w:ind w:left="851"/>
        <w:rPr>
          <w:sz w:val="24"/>
          <w:szCs w:val="24"/>
        </w:rPr>
      </w:pPr>
      <w:r w:rsidRPr="004E221E">
        <w:rPr>
          <w:sz w:val="24"/>
          <w:szCs w:val="24"/>
        </w:rPr>
        <w:t xml:space="preserve">Eksogent administreret adenosin forsvinder hurtigt fra den systemiske cirkulation, hovedsageligt gennem cellulær optagelse, men også via metabolisering. Adenosin elimineres delvist i blod og endotelceller via phosphorylering til adenosinmonophosphat (AMP) og derefter til ADP og ATP, og delvist via deaminering til inosin, som igen metaboliseres til hypoxanthin, xanthin og slutproduktet urinsyre. Da </w:t>
      </w:r>
      <w:r w:rsidRPr="004E221E">
        <w:rPr>
          <w:i/>
          <w:sz w:val="24"/>
          <w:szCs w:val="24"/>
        </w:rPr>
        <w:t>in vitro</w:t>
      </w:r>
      <w:r w:rsidRPr="004E221E">
        <w:rPr>
          <w:sz w:val="24"/>
          <w:szCs w:val="24"/>
        </w:rPr>
        <w:t>-undersøgelser med humant blod har vist, at adenosin har en halveringstid på &lt; 10 sekunder i plasma (i nogen grad afhængigt af blodets hæmatokritværdi), har det ikke været muligt at bestemme alle de almindelige farmakokinetiske parametre. Mens en lille mængde adenosin kan udskilles via urinen, er hovedparten af det, der udskilles, metabolitter.</w:t>
      </w:r>
    </w:p>
    <w:p w14:paraId="387607B5" w14:textId="1F932EE9" w:rsidR="004E221E" w:rsidRDefault="004E221E">
      <w:pPr>
        <w:rPr>
          <w:sz w:val="24"/>
          <w:szCs w:val="24"/>
        </w:rPr>
      </w:pPr>
      <w:r>
        <w:rPr>
          <w:sz w:val="24"/>
          <w:szCs w:val="24"/>
        </w:rPr>
        <w:br w:type="page"/>
      </w:r>
    </w:p>
    <w:p w14:paraId="6C7B6786" w14:textId="77777777" w:rsidR="009260DE" w:rsidRPr="00C84483" w:rsidRDefault="009260DE" w:rsidP="009260DE">
      <w:pPr>
        <w:tabs>
          <w:tab w:val="left" w:pos="851"/>
        </w:tabs>
        <w:ind w:left="851"/>
        <w:rPr>
          <w:sz w:val="24"/>
          <w:szCs w:val="24"/>
        </w:rPr>
      </w:pPr>
    </w:p>
    <w:p w14:paraId="23126C05"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44798F8D" w14:textId="77777777" w:rsidR="004E221E" w:rsidRPr="004E221E" w:rsidRDefault="004E221E" w:rsidP="004E221E">
      <w:pPr>
        <w:tabs>
          <w:tab w:val="left" w:pos="851"/>
        </w:tabs>
        <w:ind w:left="851"/>
        <w:rPr>
          <w:sz w:val="24"/>
          <w:szCs w:val="24"/>
        </w:rPr>
      </w:pPr>
      <w:r w:rsidRPr="004E221E">
        <w:rPr>
          <w:sz w:val="24"/>
          <w:szCs w:val="24"/>
        </w:rPr>
        <w:t>Da adenosin forekommer naturligt i alle levende celler, er der ikke udført dyreforsøg for at vurdere stoffets kræftfremkaldende potentiale.</w:t>
      </w:r>
    </w:p>
    <w:p w14:paraId="26733415" w14:textId="77777777" w:rsidR="009260DE" w:rsidRPr="00C84483" w:rsidRDefault="009260DE" w:rsidP="009260DE">
      <w:pPr>
        <w:tabs>
          <w:tab w:val="left" w:pos="851"/>
        </w:tabs>
        <w:ind w:left="851"/>
        <w:rPr>
          <w:sz w:val="24"/>
          <w:szCs w:val="24"/>
        </w:rPr>
      </w:pPr>
    </w:p>
    <w:p w14:paraId="2CA1D010" w14:textId="77777777" w:rsidR="009260DE" w:rsidRPr="00C84483" w:rsidRDefault="009260DE" w:rsidP="009260DE">
      <w:pPr>
        <w:tabs>
          <w:tab w:val="left" w:pos="851"/>
        </w:tabs>
        <w:ind w:left="851"/>
        <w:rPr>
          <w:sz w:val="24"/>
          <w:szCs w:val="24"/>
        </w:rPr>
      </w:pPr>
    </w:p>
    <w:p w14:paraId="56B7C5C3"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632A9C69" w14:textId="77777777" w:rsidR="009260DE" w:rsidRPr="00BA09F1" w:rsidRDefault="009260DE" w:rsidP="009260DE">
      <w:pPr>
        <w:tabs>
          <w:tab w:val="left" w:pos="851"/>
        </w:tabs>
        <w:ind w:left="851"/>
        <w:rPr>
          <w:sz w:val="24"/>
          <w:szCs w:val="24"/>
        </w:rPr>
      </w:pPr>
    </w:p>
    <w:p w14:paraId="74BF486D"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57666E8B" w14:textId="77777777" w:rsidR="00126E3B" w:rsidRPr="00126E3B" w:rsidRDefault="00126E3B" w:rsidP="00126E3B">
      <w:pPr>
        <w:tabs>
          <w:tab w:val="left" w:pos="851"/>
        </w:tabs>
        <w:ind w:left="851"/>
        <w:rPr>
          <w:sz w:val="24"/>
          <w:szCs w:val="24"/>
        </w:rPr>
      </w:pPr>
      <w:r w:rsidRPr="00126E3B">
        <w:rPr>
          <w:sz w:val="24"/>
          <w:szCs w:val="24"/>
        </w:rPr>
        <w:t>Mannitol</w:t>
      </w:r>
    </w:p>
    <w:p w14:paraId="0FABADEE" w14:textId="77777777" w:rsidR="00126E3B" w:rsidRPr="00126E3B" w:rsidRDefault="00126E3B" w:rsidP="00126E3B">
      <w:pPr>
        <w:tabs>
          <w:tab w:val="left" w:pos="851"/>
        </w:tabs>
        <w:ind w:left="851"/>
        <w:rPr>
          <w:sz w:val="24"/>
          <w:szCs w:val="24"/>
        </w:rPr>
      </w:pPr>
      <w:r w:rsidRPr="00126E3B">
        <w:rPr>
          <w:sz w:val="24"/>
          <w:szCs w:val="24"/>
        </w:rPr>
        <w:t>Vand til injektionsvæsker</w:t>
      </w:r>
    </w:p>
    <w:p w14:paraId="6661FA54" w14:textId="77777777" w:rsidR="009260DE" w:rsidRPr="00C84483" w:rsidRDefault="009260DE" w:rsidP="009260DE">
      <w:pPr>
        <w:tabs>
          <w:tab w:val="left" w:pos="851"/>
        </w:tabs>
        <w:ind w:left="851"/>
        <w:rPr>
          <w:sz w:val="24"/>
          <w:szCs w:val="24"/>
        </w:rPr>
      </w:pPr>
    </w:p>
    <w:p w14:paraId="57CD56F5"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01F1833B" w14:textId="151B58BF" w:rsidR="00126E3B" w:rsidRPr="00126E3B" w:rsidRDefault="00126E3B" w:rsidP="00126E3B">
      <w:pPr>
        <w:tabs>
          <w:tab w:val="left" w:pos="851"/>
        </w:tabs>
        <w:ind w:left="851"/>
        <w:rPr>
          <w:sz w:val="24"/>
          <w:szCs w:val="24"/>
        </w:rPr>
      </w:pPr>
      <w:r w:rsidRPr="00126E3B">
        <w:rPr>
          <w:sz w:val="24"/>
          <w:szCs w:val="24"/>
        </w:rPr>
        <w:t xml:space="preserve">Dette lægemiddel må ikke blandes med andre lægemidler undtagen dem, der er nævnt i </w:t>
      </w:r>
      <w:r>
        <w:rPr>
          <w:sz w:val="24"/>
          <w:szCs w:val="24"/>
        </w:rPr>
        <w:t>pkt.</w:t>
      </w:r>
      <w:r w:rsidRPr="00126E3B">
        <w:rPr>
          <w:sz w:val="24"/>
          <w:szCs w:val="24"/>
        </w:rPr>
        <w:t xml:space="preserve"> 4.2 og 6.6.</w:t>
      </w:r>
    </w:p>
    <w:p w14:paraId="0E839542" w14:textId="77777777" w:rsidR="009260DE" w:rsidRPr="00C84483" w:rsidRDefault="009260DE" w:rsidP="009260DE">
      <w:pPr>
        <w:tabs>
          <w:tab w:val="left" w:pos="851"/>
        </w:tabs>
        <w:ind w:left="851"/>
        <w:rPr>
          <w:sz w:val="24"/>
          <w:szCs w:val="24"/>
        </w:rPr>
      </w:pPr>
    </w:p>
    <w:p w14:paraId="6901C723"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15160EDE" w14:textId="4B84F368" w:rsidR="00126E3B" w:rsidRPr="00126E3B" w:rsidRDefault="00126E3B" w:rsidP="00126E3B">
      <w:pPr>
        <w:tabs>
          <w:tab w:val="left" w:pos="851"/>
        </w:tabs>
        <w:ind w:left="851"/>
        <w:rPr>
          <w:sz w:val="24"/>
          <w:szCs w:val="24"/>
        </w:rPr>
      </w:pPr>
      <w:r w:rsidRPr="00126E3B">
        <w:rPr>
          <w:sz w:val="24"/>
          <w:szCs w:val="24"/>
        </w:rPr>
        <w:t>Uåbnet: 24 måneder</w:t>
      </w:r>
      <w:r>
        <w:rPr>
          <w:sz w:val="24"/>
          <w:szCs w:val="24"/>
        </w:rPr>
        <w:t>.</w:t>
      </w:r>
    </w:p>
    <w:p w14:paraId="0A4513E6" w14:textId="77777777" w:rsidR="00126E3B" w:rsidRPr="00126E3B" w:rsidRDefault="00126E3B" w:rsidP="00126E3B">
      <w:pPr>
        <w:tabs>
          <w:tab w:val="left" w:pos="851"/>
        </w:tabs>
        <w:ind w:left="851"/>
        <w:rPr>
          <w:sz w:val="24"/>
          <w:szCs w:val="24"/>
        </w:rPr>
      </w:pPr>
      <w:r w:rsidRPr="00126E3B">
        <w:rPr>
          <w:sz w:val="24"/>
          <w:szCs w:val="24"/>
        </w:rPr>
        <w:t xml:space="preserve">Efter åbning: Anvendes straks. </w:t>
      </w:r>
    </w:p>
    <w:p w14:paraId="17190957" w14:textId="77777777" w:rsidR="00126E3B" w:rsidRPr="00126E3B" w:rsidRDefault="00126E3B" w:rsidP="00126E3B">
      <w:pPr>
        <w:tabs>
          <w:tab w:val="left" w:pos="851"/>
        </w:tabs>
        <w:ind w:left="851"/>
        <w:rPr>
          <w:sz w:val="24"/>
          <w:szCs w:val="24"/>
        </w:rPr>
      </w:pPr>
    </w:p>
    <w:p w14:paraId="36881D95" w14:textId="77777777" w:rsidR="00126E3B" w:rsidRPr="00126E3B" w:rsidRDefault="00126E3B" w:rsidP="00126E3B">
      <w:pPr>
        <w:tabs>
          <w:tab w:val="left" w:pos="851"/>
        </w:tabs>
        <w:ind w:left="851"/>
        <w:rPr>
          <w:sz w:val="24"/>
          <w:szCs w:val="24"/>
        </w:rPr>
      </w:pPr>
      <w:r w:rsidRPr="00126E3B">
        <w:rPr>
          <w:sz w:val="24"/>
          <w:szCs w:val="24"/>
        </w:rPr>
        <w:t>Efter fortynding: Kemisk og fysisk stabilitet under brug er påvist i 24 timer ved 2-8 °C eller i 24 timer ved 25 °C eller i 24 timer ved 40 °C.</w:t>
      </w:r>
    </w:p>
    <w:p w14:paraId="1EE3A1D7" w14:textId="77777777" w:rsidR="00126E3B" w:rsidRPr="00126E3B" w:rsidRDefault="00126E3B" w:rsidP="00126E3B">
      <w:pPr>
        <w:tabs>
          <w:tab w:val="left" w:pos="851"/>
        </w:tabs>
        <w:ind w:left="851"/>
        <w:rPr>
          <w:bCs/>
          <w:sz w:val="24"/>
          <w:szCs w:val="24"/>
        </w:rPr>
      </w:pPr>
    </w:p>
    <w:p w14:paraId="1DC47E3D" w14:textId="77777777" w:rsidR="00126E3B" w:rsidRPr="00126E3B" w:rsidRDefault="00126E3B" w:rsidP="00126E3B">
      <w:pPr>
        <w:tabs>
          <w:tab w:val="left" w:pos="851"/>
        </w:tabs>
        <w:ind w:left="851"/>
        <w:rPr>
          <w:sz w:val="24"/>
          <w:szCs w:val="24"/>
        </w:rPr>
      </w:pPr>
      <w:r w:rsidRPr="00126E3B">
        <w:rPr>
          <w:sz w:val="24"/>
          <w:szCs w:val="24"/>
        </w:rPr>
        <w:t xml:space="preserve">Fra et mikrobiologisk synspunkt skal lægemidlet anvendes straks efter første åbning. Hvis det ikke anvendes straks, er opbevaringstiden og -betingelserne før brug brugerens ansvar og bør normalt ikke overstige 24 timer ved 2 til 8 °C, medmindre fortyndingen er foretaget under kontrollerede og validerede aseptiske betingelser. </w:t>
      </w:r>
    </w:p>
    <w:p w14:paraId="5DD11685" w14:textId="77777777" w:rsidR="009260DE" w:rsidRPr="00C84483" w:rsidRDefault="009260DE" w:rsidP="009260DE">
      <w:pPr>
        <w:tabs>
          <w:tab w:val="left" w:pos="851"/>
        </w:tabs>
        <w:ind w:left="851"/>
        <w:rPr>
          <w:sz w:val="24"/>
          <w:szCs w:val="24"/>
        </w:rPr>
      </w:pPr>
    </w:p>
    <w:p w14:paraId="3959DD9C"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4488F038" w14:textId="77777777" w:rsidR="00126E3B" w:rsidRPr="00126E3B" w:rsidRDefault="00126E3B" w:rsidP="00126E3B">
      <w:pPr>
        <w:tabs>
          <w:tab w:val="left" w:pos="851"/>
        </w:tabs>
        <w:ind w:left="851"/>
        <w:rPr>
          <w:sz w:val="24"/>
          <w:szCs w:val="24"/>
        </w:rPr>
      </w:pPr>
      <w:r w:rsidRPr="00126E3B">
        <w:rPr>
          <w:sz w:val="24"/>
          <w:szCs w:val="24"/>
        </w:rPr>
        <w:t>Dette lægemiddel kræver ingen særlige opbevaringsbetingelser.</w:t>
      </w:r>
    </w:p>
    <w:p w14:paraId="547463FE" w14:textId="77777777" w:rsidR="00126E3B" w:rsidRPr="00126E3B" w:rsidRDefault="00126E3B" w:rsidP="00126E3B">
      <w:pPr>
        <w:tabs>
          <w:tab w:val="left" w:pos="851"/>
        </w:tabs>
        <w:ind w:left="851"/>
        <w:rPr>
          <w:sz w:val="24"/>
          <w:szCs w:val="24"/>
        </w:rPr>
      </w:pPr>
    </w:p>
    <w:p w14:paraId="102CE456" w14:textId="6B1BA451" w:rsidR="00126E3B" w:rsidRPr="00126E3B" w:rsidRDefault="00126E3B" w:rsidP="00126E3B">
      <w:pPr>
        <w:tabs>
          <w:tab w:val="left" w:pos="851"/>
        </w:tabs>
        <w:ind w:left="851"/>
        <w:rPr>
          <w:sz w:val="24"/>
          <w:szCs w:val="24"/>
        </w:rPr>
      </w:pPr>
      <w:r w:rsidRPr="00126E3B">
        <w:rPr>
          <w:sz w:val="24"/>
          <w:szCs w:val="24"/>
        </w:rPr>
        <w:t xml:space="preserve">For opbevaringsbetingelser efter fortynding af lægemidlet, se </w:t>
      </w:r>
      <w:r w:rsidR="00C95B97">
        <w:rPr>
          <w:sz w:val="24"/>
          <w:szCs w:val="24"/>
        </w:rPr>
        <w:t>pkt.</w:t>
      </w:r>
      <w:r w:rsidRPr="00126E3B">
        <w:rPr>
          <w:sz w:val="24"/>
          <w:szCs w:val="24"/>
        </w:rPr>
        <w:t xml:space="preserve"> 6.3.</w:t>
      </w:r>
    </w:p>
    <w:p w14:paraId="188C220F" w14:textId="77777777" w:rsidR="009260DE" w:rsidRPr="00C84483" w:rsidRDefault="009260DE" w:rsidP="009260DE">
      <w:pPr>
        <w:tabs>
          <w:tab w:val="left" w:pos="851"/>
        </w:tabs>
        <w:ind w:left="851"/>
        <w:rPr>
          <w:sz w:val="24"/>
          <w:szCs w:val="24"/>
        </w:rPr>
      </w:pPr>
    </w:p>
    <w:p w14:paraId="530369D9"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3F9C992F" w14:textId="77777777" w:rsidR="0032644B" w:rsidRDefault="0032644B" w:rsidP="0032644B">
      <w:pPr>
        <w:tabs>
          <w:tab w:val="left" w:pos="851"/>
        </w:tabs>
        <w:ind w:left="851"/>
        <w:rPr>
          <w:sz w:val="24"/>
          <w:szCs w:val="24"/>
          <w:u w:val="single"/>
        </w:rPr>
      </w:pPr>
    </w:p>
    <w:p w14:paraId="58AD62C8" w14:textId="149552F7" w:rsidR="0032644B" w:rsidRPr="00126E3B" w:rsidRDefault="0032644B" w:rsidP="0032644B">
      <w:pPr>
        <w:tabs>
          <w:tab w:val="left" w:pos="851"/>
        </w:tabs>
        <w:ind w:left="851"/>
        <w:rPr>
          <w:sz w:val="24"/>
          <w:szCs w:val="24"/>
          <w:u w:val="single"/>
        </w:rPr>
      </w:pPr>
      <w:r w:rsidRPr="00126E3B">
        <w:rPr>
          <w:sz w:val="24"/>
          <w:szCs w:val="24"/>
          <w:u w:val="single"/>
        </w:rPr>
        <w:t>2 ml: Fyldt i ampuller (gennemsigtigt glas) med en grøn ring på ampullens hals.</w:t>
      </w:r>
    </w:p>
    <w:p w14:paraId="0EB36E26" w14:textId="1AA97D80" w:rsidR="0032644B" w:rsidRPr="00126E3B" w:rsidRDefault="0032644B" w:rsidP="0032644B">
      <w:pPr>
        <w:tabs>
          <w:tab w:val="left" w:pos="851"/>
        </w:tabs>
        <w:ind w:left="851"/>
        <w:rPr>
          <w:sz w:val="24"/>
          <w:szCs w:val="24"/>
        </w:rPr>
      </w:pPr>
      <w:r w:rsidRPr="00126E3B">
        <w:rPr>
          <w:sz w:val="24"/>
          <w:szCs w:val="24"/>
        </w:rPr>
        <w:t>Pakningsstørrelser: 5×2 ml.</w:t>
      </w:r>
    </w:p>
    <w:p w14:paraId="2546C01D" w14:textId="77777777" w:rsidR="00126E3B" w:rsidRDefault="00126E3B" w:rsidP="00126E3B">
      <w:pPr>
        <w:tabs>
          <w:tab w:val="left" w:pos="851"/>
        </w:tabs>
        <w:ind w:left="851"/>
        <w:rPr>
          <w:sz w:val="24"/>
          <w:szCs w:val="24"/>
          <w:u w:val="single"/>
        </w:rPr>
      </w:pPr>
    </w:p>
    <w:p w14:paraId="59277D4B" w14:textId="2DB57498" w:rsidR="00126E3B" w:rsidRPr="00126E3B" w:rsidRDefault="00126E3B" w:rsidP="00126E3B">
      <w:pPr>
        <w:tabs>
          <w:tab w:val="left" w:pos="851"/>
        </w:tabs>
        <w:ind w:left="851"/>
        <w:rPr>
          <w:b/>
          <w:bCs/>
          <w:sz w:val="24"/>
          <w:szCs w:val="24"/>
          <w:u w:val="single"/>
        </w:rPr>
      </w:pPr>
      <w:r w:rsidRPr="00126E3B">
        <w:rPr>
          <w:sz w:val="24"/>
          <w:szCs w:val="24"/>
          <w:u w:val="single"/>
        </w:rPr>
        <w:t>10 ml: Fyldt i et 20 ml hætteglas (gennemsigtigt glas) med en gummiprop (grå brombutyl med silikatfyldstof) og en rød flip-off-hætte (aluminium og polypropylen).</w:t>
      </w:r>
    </w:p>
    <w:p w14:paraId="5AFE91C4" w14:textId="094633EC" w:rsidR="00126E3B" w:rsidRPr="00126E3B" w:rsidRDefault="00126E3B" w:rsidP="00126E3B">
      <w:pPr>
        <w:tabs>
          <w:tab w:val="left" w:pos="851"/>
        </w:tabs>
        <w:ind w:left="851"/>
        <w:rPr>
          <w:sz w:val="24"/>
          <w:szCs w:val="24"/>
        </w:rPr>
      </w:pPr>
      <w:r w:rsidRPr="00126E3B">
        <w:rPr>
          <w:sz w:val="24"/>
          <w:szCs w:val="24"/>
        </w:rPr>
        <w:t>Pakningsstørrelser: 5×10 ml.</w:t>
      </w:r>
    </w:p>
    <w:p w14:paraId="732AFF24" w14:textId="77777777" w:rsidR="00126E3B" w:rsidRPr="00126E3B" w:rsidRDefault="00126E3B" w:rsidP="00126E3B">
      <w:pPr>
        <w:tabs>
          <w:tab w:val="left" w:pos="851"/>
        </w:tabs>
        <w:ind w:left="851"/>
        <w:rPr>
          <w:sz w:val="24"/>
          <w:szCs w:val="24"/>
        </w:rPr>
      </w:pPr>
    </w:p>
    <w:p w14:paraId="538AFA58" w14:textId="77777777" w:rsidR="00126E3B" w:rsidRPr="00126E3B" w:rsidRDefault="00126E3B" w:rsidP="00126E3B">
      <w:pPr>
        <w:tabs>
          <w:tab w:val="left" w:pos="851"/>
        </w:tabs>
        <w:ind w:left="851"/>
        <w:rPr>
          <w:b/>
          <w:bCs/>
          <w:sz w:val="24"/>
          <w:szCs w:val="24"/>
          <w:u w:val="single"/>
        </w:rPr>
      </w:pPr>
      <w:r w:rsidRPr="00126E3B">
        <w:rPr>
          <w:sz w:val="24"/>
          <w:szCs w:val="24"/>
          <w:u w:val="single"/>
        </w:rPr>
        <w:t>50 ml: Fyldt i et hætteglas (gennemsigtigt glas) med en gummiprop (grå brombutyl med silikatfyldstof) og en grå flip-off-hætte (aluminium og polypropylen).</w:t>
      </w:r>
    </w:p>
    <w:p w14:paraId="15B2DBF6" w14:textId="77777777" w:rsidR="00126E3B" w:rsidRPr="00126E3B" w:rsidRDefault="00126E3B" w:rsidP="00126E3B">
      <w:pPr>
        <w:tabs>
          <w:tab w:val="left" w:pos="851"/>
        </w:tabs>
        <w:ind w:left="851"/>
        <w:rPr>
          <w:sz w:val="24"/>
          <w:szCs w:val="24"/>
        </w:rPr>
      </w:pPr>
      <w:r w:rsidRPr="00126E3B">
        <w:rPr>
          <w:sz w:val="24"/>
          <w:szCs w:val="24"/>
        </w:rPr>
        <w:t>Pakningsstørrelser: 4 × 50 ml.</w:t>
      </w:r>
    </w:p>
    <w:p w14:paraId="246BBA6F" w14:textId="77777777" w:rsidR="00126E3B" w:rsidRPr="00126E3B" w:rsidRDefault="00126E3B" w:rsidP="00126E3B">
      <w:pPr>
        <w:tabs>
          <w:tab w:val="left" w:pos="851"/>
        </w:tabs>
        <w:ind w:left="851"/>
        <w:rPr>
          <w:sz w:val="24"/>
          <w:szCs w:val="24"/>
        </w:rPr>
      </w:pPr>
    </w:p>
    <w:p w14:paraId="53DBFD74" w14:textId="77777777" w:rsidR="00126E3B" w:rsidRPr="00126E3B" w:rsidRDefault="00126E3B" w:rsidP="00126E3B">
      <w:pPr>
        <w:tabs>
          <w:tab w:val="left" w:pos="851"/>
        </w:tabs>
        <w:ind w:left="851"/>
        <w:rPr>
          <w:sz w:val="24"/>
          <w:szCs w:val="24"/>
        </w:rPr>
      </w:pPr>
      <w:r w:rsidRPr="00126E3B">
        <w:rPr>
          <w:sz w:val="24"/>
          <w:szCs w:val="24"/>
        </w:rPr>
        <w:t>Ikke alle pakningsstørrelser er nødvendigvis markedsført.</w:t>
      </w:r>
    </w:p>
    <w:p w14:paraId="3F3595C1" w14:textId="77777777" w:rsidR="009260DE" w:rsidRPr="00C84483" w:rsidRDefault="009260DE" w:rsidP="009260DE">
      <w:pPr>
        <w:tabs>
          <w:tab w:val="left" w:pos="851"/>
        </w:tabs>
        <w:ind w:left="851"/>
        <w:rPr>
          <w:sz w:val="24"/>
          <w:szCs w:val="24"/>
        </w:rPr>
      </w:pPr>
    </w:p>
    <w:p w14:paraId="05BED280"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6D68338E" w14:textId="77777777" w:rsidR="0032644B" w:rsidRPr="0032644B" w:rsidRDefault="0032644B" w:rsidP="0032644B">
      <w:pPr>
        <w:tabs>
          <w:tab w:val="left" w:pos="851"/>
        </w:tabs>
        <w:ind w:left="851"/>
        <w:rPr>
          <w:sz w:val="24"/>
          <w:szCs w:val="24"/>
        </w:rPr>
      </w:pPr>
      <w:r w:rsidRPr="0032644B">
        <w:rPr>
          <w:sz w:val="24"/>
          <w:szCs w:val="24"/>
        </w:rPr>
        <w:t>Kun til engangsbrug.</w:t>
      </w:r>
    </w:p>
    <w:p w14:paraId="518EC259" w14:textId="097D219E" w:rsidR="0032644B" w:rsidRPr="0032644B" w:rsidRDefault="0032644B" w:rsidP="0032644B">
      <w:pPr>
        <w:tabs>
          <w:tab w:val="left" w:pos="851"/>
        </w:tabs>
        <w:ind w:left="851"/>
        <w:rPr>
          <w:sz w:val="24"/>
          <w:szCs w:val="24"/>
        </w:rPr>
      </w:pPr>
      <w:r w:rsidRPr="0032644B">
        <w:rPr>
          <w:sz w:val="24"/>
          <w:szCs w:val="24"/>
        </w:rPr>
        <w:t xml:space="preserve">Kan blandes med 0,9 % Natriumchlorid til en koncentration på 2,5 mg/ml, se </w:t>
      </w:r>
      <w:r w:rsidR="00C95B97">
        <w:rPr>
          <w:sz w:val="24"/>
          <w:szCs w:val="24"/>
        </w:rPr>
        <w:t>pkt.</w:t>
      </w:r>
      <w:r w:rsidRPr="0032644B">
        <w:rPr>
          <w:sz w:val="24"/>
          <w:szCs w:val="24"/>
        </w:rPr>
        <w:t xml:space="preserve"> 4.2.</w:t>
      </w:r>
    </w:p>
    <w:p w14:paraId="6CC2C298" w14:textId="77777777" w:rsidR="0032644B" w:rsidRPr="0032644B" w:rsidRDefault="0032644B" w:rsidP="0032644B">
      <w:pPr>
        <w:tabs>
          <w:tab w:val="left" w:pos="851"/>
        </w:tabs>
        <w:ind w:left="851"/>
        <w:rPr>
          <w:sz w:val="24"/>
          <w:szCs w:val="24"/>
        </w:rPr>
      </w:pPr>
      <w:r w:rsidRPr="0032644B">
        <w:rPr>
          <w:bCs/>
          <w:sz w:val="24"/>
          <w:szCs w:val="24"/>
        </w:rPr>
        <w:lastRenderedPageBreak/>
        <w:t xml:space="preserve">Opløsningen skal inspiceres visuelt for partikler og misfarvning inden administration. </w:t>
      </w:r>
      <w:r w:rsidRPr="0032644B">
        <w:rPr>
          <w:sz w:val="24"/>
          <w:szCs w:val="24"/>
        </w:rPr>
        <w:t>Må ikke anvendes, hvis indholdet er uklart eller udfældet. Opløsningen skal være klar på brugstidspunktet.</w:t>
      </w:r>
    </w:p>
    <w:p w14:paraId="06B04180" w14:textId="77777777" w:rsidR="0032644B" w:rsidRPr="0032644B" w:rsidRDefault="0032644B" w:rsidP="0032644B">
      <w:pPr>
        <w:tabs>
          <w:tab w:val="left" w:pos="851"/>
        </w:tabs>
        <w:ind w:left="851"/>
        <w:rPr>
          <w:sz w:val="24"/>
          <w:szCs w:val="24"/>
        </w:rPr>
      </w:pPr>
    </w:p>
    <w:p w14:paraId="32CD7DC7" w14:textId="77777777" w:rsidR="0032644B" w:rsidRPr="0032644B" w:rsidRDefault="0032644B" w:rsidP="0032644B">
      <w:pPr>
        <w:tabs>
          <w:tab w:val="left" w:pos="851"/>
        </w:tabs>
        <w:ind w:left="851"/>
        <w:rPr>
          <w:sz w:val="24"/>
          <w:szCs w:val="24"/>
        </w:rPr>
      </w:pPr>
      <w:r w:rsidRPr="0032644B">
        <w:rPr>
          <w:sz w:val="24"/>
          <w:szCs w:val="24"/>
        </w:rPr>
        <w:t>Ubrugt lægemiddel eller affaldsmateriale skal bortskaffes i overensstemmelse med lokale krav.</w:t>
      </w:r>
    </w:p>
    <w:p w14:paraId="442F1A4D" w14:textId="77777777" w:rsidR="009260DE" w:rsidRPr="00C84483" w:rsidRDefault="009260DE" w:rsidP="000730CA">
      <w:pPr>
        <w:tabs>
          <w:tab w:val="left" w:pos="851"/>
        </w:tabs>
        <w:ind w:left="851"/>
        <w:rPr>
          <w:sz w:val="24"/>
          <w:szCs w:val="24"/>
        </w:rPr>
      </w:pPr>
    </w:p>
    <w:p w14:paraId="5E10D702"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220AA813" w14:textId="77777777" w:rsidR="0032644B" w:rsidRPr="00814BC3" w:rsidRDefault="0032644B" w:rsidP="0032644B">
      <w:pPr>
        <w:tabs>
          <w:tab w:val="left" w:pos="851"/>
        </w:tabs>
        <w:ind w:left="851"/>
        <w:rPr>
          <w:sz w:val="24"/>
          <w:szCs w:val="24"/>
        </w:rPr>
      </w:pPr>
      <w:r w:rsidRPr="00814BC3">
        <w:rPr>
          <w:sz w:val="24"/>
          <w:szCs w:val="24"/>
        </w:rPr>
        <w:t>Macure Healthcare Limited</w:t>
      </w:r>
    </w:p>
    <w:p w14:paraId="0DDEA59D" w14:textId="77777777" w:rsidR="0032644B" w:rsidRPr="0032644B" w:rsidRDefault="0032644B" w:rsidP="0032644B">
      <w:pPr>
        <w:tabs>
          <w:tab w:val="left" w:pos="851"/>
        </w:tabs>
        <w:ind w:left="851"/>
        <w:rPr>
          <w:sz w:val="24"/>
          <w:szCs w:val="24"/>
          <w:lang w:val="en-US"/>
        </w:rPr>
      </w:pPr>
      <w:r w:rsidRPr="0032644B">
        <w:rPr>
          <w:sz w:val="24"/>
          <w:szCs w:val="24"/>
          <w:lang w:val="en-US"/>
        </w:rPr>
        <w:t>62 Arclight Building</w:t>
      </w:r>
    </w:p>
    <w:p w14:paraId="3184412B" w14:textId="77777777" w:rsidR="0032644B" w:rsidRPr="0032644B" w:rsidRDefault="0032644B" w:rsidP="0032644B">
      <w:pPr>
        <w:tabs>
          <w:tab w:val="left" w:pos="851"/>
        </w:tabs>
        <w:ind w:left="851"/>
        <w:rPr>
          <w:sz w:val="24"/>
          <w:szCs w:val="24"/>
          <w:lang w:val="en-US"/>
        </w:rPr>
      </w:pPr>
      <w:r w:rsidRPr="0032644B">
        <w:rPr>
          <w:sz w:val="24"/>
          <w:szCs w:val="24"/>
          <w:lang w:val="en-US"/>
        </w:rPr>
        <w:t>Triq L Gharbiel</w:t>
      </w:r>
    </w:p>
    <w:p w14:paraId="39C4CCE3" w14:textId="77777777" w:rsidR="0032644B" w:rsidRPr="00814BC3" w:rsidRDefault="0032644B" w:rsidP="0032644B">
      <w:pPr>
        <w:tabs>
          <w:tab w:val="left" w:pos="851"/>
        </w:tabs>
        <w:ind w:left="851"/>
        <w:rPr>
          <w:sz w:val="24"/>
          <w:szCs w:val="24"/>
          <w:lang w:val="en-US"/>
        </w:rPr>
      </w:pPr>
      <w:r w:rsidRPr="00814BC3">
        <w:rPr>
          <w:sz w:val="24"/>
          <w:szCs w:val="24"/>
          <w:lang w:val="en-US"/>
        </w:rPr>
        <w:t>Is-Swieqi</w:t>
      </w:r>
    </w:p>
    <w:p w14:paraId="4DF4F821" w14:textId="77777777" w:rsidR="0032644B" w:rsidRPr="0032644B" w:rsidRDefault="0032644B" w:rsidP="0032644B">
      <w:pPr>
        <w:tabs>
          <w:tab w:val="left" w:pos="851"/>
        </w:tabs>
        <w:ind w:left="851"/>
        <w:rPr>
          <w:sz w:val="24"/>
          <w:szCs w:val="24"/>
        </w:rPr>
      </w:pPr>
      <w:r w:rsidRPr="0032644B">
        <w:rPr>
          <w:sz w:val="24"/>
          <w:szCs w:val="24"/>
        </w:rPr>
        <w:t>SWQ 3251</w:t>
      </w:r>
      <w:r w:rsidRPr="0032644B">
        <w:rPr>
          <w:sz w:val="24"/>
          <w:szCs w:val="24"/>
        </w:rPr>
        <w:br/>
        <w:t>Malta</w:t>
      </w:r>
    </w:p>
    <w:p w14:paraId="197D9B71" w14:textId="77777777" w:rsidR="009260DE" w:rsidRDefault="009260DE" w:rsidP="009260DE">
      <w:pPr>
        <w:tabs>
          <w:tab w:val="left" w:pos="851"/>
        </w:tabs>
        <w:ind w:left="851"/>
        <w:rPr>
          <w:sz w:val="24"/>
          <w:szCs w:val="24"/>
        </w:rPr>
      </w:pPr>
    </w:p>
    <w:p w14:paraId="0F8D0309"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2FBA2E89" w14:textId="1881485B" w:rsidR="009260DE" w:rsidRPr="00C84483" w:rsidRDefault="0032644B" w:rsidP="009260DE">
      <w:pPr>
        <w:tabs>
          <w:tab w:val="left" w:pos="851"/>
        </w:tabs>
        <w:ind w:left="851"/>
        <w:rPr>
          <w:sz w:val="24"/>
          <w:szCs w:val="24"/>
        </w:rPr>
      </w:pPr>
      <w:r>
        <w:rPr>
          <w:sz w:val="24"/>
          <w:szCs w:val="24"/>
        </w:rPr>
        <w:t>72557</w:t>
      </w:r>
    </w:p>
    <w:p w14:paraId="14981570" w14:textId="77777777" w:rsidR="009260DE" w:rsidRPr="00C84483" w:rsidRDefault="009260DE" w:rsidP="009260DE">
      <w:pPr>
        <w:tabs>
          <w:tab w:val="left" w:pos="851"/>
        </w:tabs>
        <w:ind w:left="851"/>
        <w:jc w:val="both"/>
        <w:rPr>
          <w:sz w:val="24"/>
          <w:szCs w:val="24"/>
        </w:rPr>
      </w:pPr>
    </w:p>
    <w:p w14:paraId="297B3119"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76174387" w14:textId="155E2C5D" w:rsidR="009260DE" w:rsidRPr="00C84483" w:rsidRDefault="00814BC3" w:rsidP="009260DE">
      <w:pPr>
        <w:tabs>
          <w:tab w:val="left" w:pos="851"/>
        </w:tabs>
        <w:ind w:left="851"/>
        <w:rPr>
          <w:sz w:val="24"/>
          <w:szCs w:val="24"/>
        </w:rPr>
      </w:pPr>
      <w:r>
        <w:rPr>
          <w:sz w:val="24"/>
          <w:szCs w:val="24"/>
        </w:rPr>
        <w:t>8. januar 2026</w:t>
      </w:r>
    </w:p>
    <w:p w14:paraId="75867BC4" w14:textId="77777777" w:rsidR="009260DE" w:rsidRPr="00C84483" w:rsidRDefault="009260DE" w:rsidP="009260DE">
      <w:pPr>
        <w:tabs>
          <w:tab w:val="left" w:pos="851"/>
        </w:tabs>
        <w:ind w:left="851"/>
        <w:rPr>
          <w:sz w:val="24"/>
          <w:szCs w:val="24"/>
        </w:rPr>
      </w:pPr>
    </w:p>
    <w:p w14:paraId="4346F36E"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13F5AC17" w14:textId="0F6F40F9" w:rsidR="009260DE" w:rsidRPr="00C84483" w:rsidRDefault="0032644B"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FEF2D" w14:textId="77777777" w:rsidR="00011542" w:rsidRDefault="00011542">
      <w:r>
        <w:separator/>
      </w:r>
    </w:p>
  </w:endnote>
  <w:endnote w:type="continuationSeparator" w:id="0">
    <w:p w14:paraId="2457C101" w14:textId="77777777" w:rsidR="00011542" w:rsidRDefault="0001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00773" w14:textId="77777777" w:rsidR="000259B9" w:rsidRDefault="000259B9">
    <w:pPr>
      <w:pStyle w:val="Sidefod"/>
      <w:pBdr>
        <w:bottom w:val="single" w:sz="6" w:space="1" w:color="auto"/>
      </w:pBdr>
    </w:pPr>
  </w:p>
  <w:p w14:paraId="526A7F59" w14:textId="77777777" w:rsidR="000259B9" w:rsidRDefault="000259B9" w:rsidP="00C42586">
    <w:pPr>
      <w:pStyle w:val="Sidefod"/>
      <w:tabs>
        <w:tab w:val="clear" w:pos="4819"/>
        <w:tab w:val="left" w:pos="8505"/>
      </w:tabs>
      <w:rPr>
        <w:i/>
        <w:sz w:val="18"/>
        <w:szCs w:val="18"/>
      </w:rPr>
    </w:pPr>
  </w:p>
  <w:p w14:paraId="5AA4587D" w14:textId="00F5B7A7"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D2435F">
      <w:rPr>
        <w:i/>
        <w:noProof/>
        <w:sz w:val="18"/>
        <w:szCs w:val="18"/>
      </w:rPr>
      <w:t>Adenosin Macure, injektions--infusionsvæske, opløsning 5 mg-ml</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A1F53" w14:textId="77777777" w:rsidR="00011542" w:rsidRDefault="00011542">
      <w:r>
        <w:separator/>
      </w:r>
    </w:p>
  </w:footnote>
  <w:footnote w:type="continuationSeparator" w:id="0">
    <w:p w14:paraId="5E168F38" w14:textId="77777777" w:rsidR="00011542" w:rsidRDefault="00011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7D3F"/>
    <w:multiLevelType w:val="hybridMultilevel"/>
    <w:tmpl w:val="7E2E4058"/>
    <w:lvl w:ilvl="0" w:tplc="04060001">
      <w:start w:val="1"/>
      <w:numFmt w:val="bullet"/>
      <w:lvlText w:val=""/>
      <w:lvlJc w:val="left"/>
      <w:pPr>
        <w:ind w:left="1575" w:hanging="360"/>
      </w:pPr>
      <w:rPr>
        <w:rFonts w:ascii="Symbol" w:hAnsi="Symbol" w:hint="default"/>
      </w:rPr>
    </w:lvl>
    <w:lvl w:ilvl="1" w:tplc="04060003">
      <w:start w:val="1"/>
      <w:numFmt w:val="bullet"/>
      <w:lvlText w:val="o"/>
      <w:lvlJc w:val="left"/>
      <w:pPr>
        <w:ind w:left="2295" w:hanging="360"/>
      </w:pPr>
      <w:rPr>
        <w:rFonts w:ascii="Courier New" w:hAnsi="Courier New" w:cs="Courier New" w:hint="default"/>
      </w:rPr>
    </w:lvl>
    <w:lvl w:ilvl="2" w:tplc="04060005">
      <w:start w:val="1"/>
      <w:numFmt w:val="bullet"/>
      <w:lvlText w:val=""/>
      <w:lvlJc w:val="left"/>
      <w:pPr>
        <w:ind w:left="3015" w:hanging="360"/>
      </w:pPr>
      <w:rPr>
        <w:rFonts w:ascii="Wingdings" w:hAnsi="Wingdings" w:hint="default"/>
      </w:rPr>
    </w:lvl>
    <w:lvl w:ilvl="3" w:tplc="04060001">
      <w:start w:val="1"/>
      <w:numFmt w:val="bullet"/>
      <w:lvlText w:val=""/>
      <w:lvlJc w:val="left"/>
      <w:pPr>
        <w:ind w:left="3735" w:hanging="360"/>
      </w:pPr>
      <w:rPr>
        <w:rFonts w:ascii="Symbol" w:hAnsi="Symbol" w:hint="default"/>
      </w:rPr>
    </w:lvl>
    <w:lvl w:ilvl="4" w:tplc="04060003">
      <w:start w:val="1"/>
      <w:numFmt w:val="bullet"/>
      <w:lvlText w:val="o"/>
      <w:lvlJc w:val="left"/>
      <w:pPr>
        <w:ind w:left="4455" w:hanging="360"/>
      </w:pPr>
      <w:rPr>
        <w:rFonts w:ascii="Courier New" w:hAnsi="Courier New" w:cs="Courier New" w:hint="default"/>
      </w:rPr>
    </w:lvl>
    <w:lvl w:ilvl="5" w:tplc="04060005">
      <w:start w:val="1"/>
      <w:numFmt w:val="bullet"/>
      <w:lvlText w:val=""/>
      <w:lvlJc w:val="left"/>
      <w:pPr>
        <w:ind w:left="5175" w:hanging="360"/>
      </w:pPr>
      <w:rPr>
        <w:rFonts w:ascii="Wingdings" w:hAnsi="Wingdings" w:hint="default"/>
      </w:rPr>
    </w:lvl>
    <w:lvl w:ilvl="6" w:tplc="04060001">
      <w:start w:val="1"/>
      <w:numFmt w:val="bullet"/>
      <w:lvlText w:val=""/>
      <w:lvlJc w:val="left"/>
      <w:pPr>
        <w:ind w:left="5895" w:hanging="360"/>
      </w:pPr>
      <w:rPr>
        <w:rFonts w:ascii="Symbol" w:hAnsi="Symbol" w:hint="default"/>
      </w:rPr>
    </w:lvl>
    <w:lvl w:ilvl="7" w:tplc="04060003">
      <w:start w:val="1"/>
      <w:numFmt w:val="bullet"/>
      <w:lvlText w:val="o"/>
      <w:lvlJc w:val="left"/>
      <w:pPr>
        <w:ind w:left="6615" w:hanging="360"/>
      </w:pPr>
      <w:rPr>
        <w:rFonts w:ascii="Courier New" w:hAnsi="Courier New" w:cs="Courier New" w:hint="default"/>
      </w:rPr>
    </w:lvl>
    <w:lvl w:ilvl="8" w:tplc="04060005">
      <w:start w:val="1"/>
      <w:numFmt w:val="bullet"/>
      <w:lvlText w:val=""/>
      <w:lvlJc w:val="left"/>
      <w:pPr>
        <w:ind w:left="7335"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42"/>
    <w:rsid w:val="00011542"/>
    <w:rsid w:val="000259B9"/>
    <w:rsid w:val="00041491"/>
    <w:rsid w:val="00050D16"/>
    <w:rsid w:val="000730CA"/>
    <w:rsid w:val="00074F2A"/>
    <w:rsid w:val="000A1CA8"/>
    <w:rsid w:val="000A466B"/>
    <w:rsid w:val="000B058C"/>
    <w:rsid w:val="000D68B0"/>
    <w:rsid w:val="000E4EE6"/>
    <w:rsid w:val="00126E3B"/>
    <w:rsid w:val="001454E2"/>
    <w:rsid w:val="001C72D6"/>
    <w:rsid w:val="00206CE8"/>
    <w:rsid w:val="0021526C"/>
    <w:rsid w:val="00283A2B"/>
    <w:rsid w:val="002B30AD"/>
    <w:rsid w:val="002C1EC0"/>
    <w:rsid w:val="002C2C01"/>
    <w:rsid w:val="0032644B"/>
    <w:rsid w:val="003A29AE"/>
    <w:rsid w:val="003A32D7"/>
    <w:rsid w:val="003B4074"/>
    <w:rsid w:val="003C769A"/>
    <w:rsid w:val="003D3A90"/>
    <w:rsid w:val="003F1838"/>
    <w:rsid w:val="004167B9"/>
    <w:rsid w:val="004251C1"/>
    <w:rsid w:val="0045746C"/>
    <w:rsid w:val="0049104B"/>
    <w:rsid w:val="004D78C6"/>
    <w:rsid w:val="004E221E"/>
    <w:rsid w:val="004E3B12"/>
    <w:rsid w:val="00532310"/>
    <w:rsid w:val="00565F0F"/>
    <w:rsid w:val="00594A86"/>
    <w:rsid w:val="00596D86"/>
    <w:rsid w:val="005D563F"/>
    <w:rsid w:val="00637F5A"/>
    <w:rsid w:val="00641C65"/>
    <w:rsid w:val="006560B1"/>
    <w:rsid w:val="006756DD"/>
    <w:rsid w:val="0071241E"/>
    <w:rsid w:val="00737275"/>
    <w:rsid w:val="00740EEC"/>
    <w:rsid w:val="0078011A"/>
    <w:rsid w:val="00782AF4"/>
    <w:rsid w:val="00790EE7"/>
    <w:rsid w:val="007B6649"/>
    <w:rsid w:val="00807FA4"/>
    <w:rsid w:val="00814BC3"/>
    <w:rsid w:val="0082576E"/>
    <w:rsid w:val="0089346F"/>
    <w:rsid w:val="00907F75"/>
    <w:rsid w:val="009260DE"/>
    <w:rsid w:val="0093258A"/>
    <w:rsid w:val="009C7BA3"/>
    <w:rsid w:val="009D1F5A"/>
    <w:rsid w:val="00A10294"/>
    <w:rsid w:val="00B003BF"/>
    <w:rsid w:val="00B373D7"/>
    <w:rsid w:val="00B55271"/>
    <w:rsid w:val="00BD7931"/>
    <w:rsid w:val="00BF421D"/>
    <w:rsid w:val="00BF6243"/>
    <w:rsid w:val="00C36276"/>
    <w:rsid w:val="00C42586"/>
    <w:rsid w:val="00C45F6B"/>
    <w:rsid w:val="00C60CCD"/>
    <w:rsid w:val="00C84483"/>
    <w:rsid w:val="00C95551"/>
    <w:rsid w:val="00C95B97"/>
    <w:rsid w:val="00CB20D7"/>
    <w:rsid w:val="00D020B0"/>
    <w:rsid w:val="00D11748"/>
    <w:rsid w:val="00D237F6"/>
    <w:rsid w:val="00D2435F"/>
    <w:rsid w:val="00D34D98"/>
    <w:rsid w:val="00D366CF"/>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FEED2"/>
  <w15:chartTrackingRefBased/>
  <w15:docId w15:val="{4B509826-A367-4355-A362-E5D25AFC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2">
    <w:name w:val="Body Text 2"/>
    <w:basedOn w:val="Normal"/>
    <w:link w:val="Brdtekst2Tegn"/>
    <w:semiHidden/>
    <w:unhideWhenUsed/>
    <w:rsid w:val="00D2435F"/>
    <w:rPr>
      <w:color w:val="000000"/>
      <w:sz w:val="24"/>
      <w:lang w:val="en-GB" w:eastAsia="da-DK"/>
    </w:rPr>
  </w:style>
  <w:style w:type="character" w:customStyle="1" w:styleId="Brdtekst2Tegn">
    <w:name w:val="Brødtekst 2 Tegn"/>
    <w:basedOn w:val="Standardskrifttypeiafsnit"/>
    <w:link w:val="Brdtekst2"/>
    <w:semiHidden/>
    <w:rsid w:val="00D2435F"/>
    <w:rPr>
      <w:color w:val="000000"/>
      <w:sz w:val="24"/>
      <w:lang w:val="en-GB"/>
    </w:rPr>
  </w:style>
  <w:style w:type="table" w:styleId="Tabel-Gitter">
    <w:name w:val="Table Grid"/>
    <w:basedOn w:val="Tabel-Normal"/>
    <w:rsid w:val="00D2435F"/>
    <w:rPr>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uiPriority w:val="99"/>
    <w:semiHidden/>
    <w:unhideWhenUsed/>
    <w:rsid w:val="005D563F"/>
    <w:pPr>
      <w:spacing w:after="120"/>
    </w:pPr>
    <w:rPr>
      <w:sz w:val="24"/>
      <w:lang w:val="en-GB" w:eastAsia="da-DK"/>
    </w:rPr>
  </w:style>
  <w:style w:type="character" w:customStyle="1" w:styleId="BrdtekstTegn">
    <w:name w:val="Brødtekst Tegn"/>
    <w:basedOn w:val="Standardskrifttypeiafsnit"/>
    <w:link w:val="Brdtekst"/>
    <w:uiPriority w:val="99"/>
    <w:semiHidden/>
    <w:rsid w:val="005D563F"/>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7700">
      <w:bodyDiv w:val="1"/>
      <w:marLeft w:val="0"/>
      <w:marRight w:val="0"/>
      <w:marTop w:val="0"/>
      <w:marBottom w:val="0"/>
      <w:divBdr>
        <w:top w:val="none" w:sz="0" w:space="0" w:color="auto"/>
        <w:left w:val="none" w:sz="0" w:space="0" w:color="auto"/>
        <w:bottom w:val="none" w:sz="0" w:space="0" w:color="auto"/>
        <w:right w:val="none" w:sz="0" w:space="0" w:color="auto"/>
      </w:divBdr>
    </w:div>
    <w:div w:id="16359326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6504848">
      <w:bodyDiv w:val="1"/>
      <w:marLeft w:val="0"/>
      <w:marRight w:val="0"/>
      <w:marTop w:val="0"/>
      <w:marBottom w:val="0"/>
      <w:divBdr>
        <w:top w:val="none" w:sz="0" w:space="0" w:color="auto"/>
        <w:left w:val="none" w:sz="0" w:space="0" w:color="auto"/>
        <w:bottom w:val="none" w:sz="0" w:space="0" w:color="auto"/>
        <w:right w:val="none" w:sz="0" w:space="0" w:color="auto"/>
      </w:divBdr>
    </w:div>
    <w:div w:id="229728118">
      <w:bodyDiv w:val="1"/>
      <w:marLeft w:val="0"/>
      <w:marRight w:val="0"/>
      <w:marTop w:val="0"/>
      <w:marBottom w:val="0"/>
      <w:divBdr>
        <w:top w:val="none" w:sz="0" w:space="0" w:color="auto"/>
        <w:left w:val="none" w:sz="0" w:space="0" w:color="auto"/>
        <w:bottom w:val="none" w:sz="0" w:space="0" w:color="auto"/>
        <w:right w:val="none" w:sz="0" w:space="0" w:color="auto"/>
      </w:divBdr>
    </w:div>
    <w:div w:id="307369164">
      <w:bodyDiv w:val="1"/>
      <w:marLeft w:val="0"/>
      <w:marRight w:val="0"/>
      <w:marTop w:val="0"/>
      <w:marBottom w:val="0"/>
      <w:divBdr>
        <w:top w:val="none" w:sz="0" w:space="0" w:color="auto"/>
        <w:left w:val="none" w:sz="0" w:space="0" w:color="auto"/>
        <w:bottom w:val="none" w:sz="0" w:space="0" w:color="auto"/>
        <w:right w:val="none" w:sz="0" w:space="0" w:color="auto"/>
      </w:divBdr>
    </w:div>
    <w:div w:id="472454034">
      <w:bodyDiv w:val="1"/>
      <w:marLeft w:val="0"/>
      <w:marRight w:val="0"/>
      <w:marTop w:val="0"/>
      <w:marBottom w:val="0"/>
      <w:divBdr>
        <w:top w:val="none" w:sz="0" w:space="0" w:color="auto"/>
        <w:left w:val="none" w:sz="0" w:space="0" w:color="auto"/>
        <w:bottom w:val="none" w:sz="0" w:space="0" w:color="auto"/>
        <w:right w:val="none" w:sz="0" w:space="0" w:color="auto"/>
      </w:divBdr>
    </w:div>
    <w:div w:id="475687342">
      <w:bodyDiv w:val="1"/>
      <w:marLeft w:val="0"/>
      <w:marRight w:val="0"/>
      <w:marTop w:val="0"/>
      <w:marBottom w:val="0"/>
      <w:divBdr>
        <w:top w:val="none" w:sz="0" w:space="0" w:color="auto"/>
        <w:left w:val="none" w:sz="0" w:space="0" w:color="auto"/>
        <w:bottom w:val="none" w:sz="0" w:space="0" w:color="auto"/>
        <w:right w:val="none" w:sz="0" w:space="0" w:color="auto"/>
      </w:divBdr>
    </w:div>
    <w:div w:id="544174490">
      <w:bodyDiv w:val="1"/>
      <w:marLeft w:val="0"/>
      <w:marRight w:val="0"/>
      <w:marTop w:val="0"/>
      <w:marBottom w:val="0"/>
      <w:divBdr>
        <w:top w:val="none" w:sz="0" w:space="0" w:color="auto"/>
        <w:left w:val="none" w:sz="0" w:space="0" w:color="auto"/>
        <w:bottom w:val="none" w:sz="0" w:space="0" w:color="auto"/>
        <w:right w:val="none" w:sz="0" w:space="0" w:color="auto"/>
      </w:divBdr>
    </w:div>
    <w:div w:id="545291002">
      <w:bodyDiv w:val="1"/>
      <w:marLeft w:val="0"/>
      <w:marRight w:val="0"/>
      <w:marTop w:val="0"/>
      <w:marBottom w:val="0"/>
      <w:divBdr>
        <w:top w:val="none" w:sz="0" w:space="0" w:color="auto"/>
        <w:left w:val="none" w:sz="0" w:space="0" w:color="auto"/>
        <w:bottom w:val="none" w:sz="0" w:space="0" w:color="auto"/>
        <w:right w:val="none" w:sz="0" w:space="0" w:color="auto"/>
      </w:divBdr>
    </w:div>
    <w:div w:id="912203592">
      <w:bodyDiv w:val="1"/>
      <w:marLeft w:val="0"/>
      <w:marRight w:val="0"/>
      <w:marTop w:val="0"/>
      <w:marBottom w:val="0"/>
      <w:divBdr>
        <w:top w:val="none" w:sz="0" w:space="0" w:color="auto"/>
        <w:left w:val="none" w:sz="0" w:space="0" w:color="auto"/>
        <w:bottom w:val="none" w:sz="0" w:space="0" w:color="auto"/>
        <w:right w:val="none" w:sz="0" w:space="0" w:color="auto"/>
      </w:divBdr>
    </w:div>
    <w:div w:id="918715247">
      <w:bodyDiv w:val="1"/>
      <w:marLeft w:val="0"/>
      <w:marRight w:val="0"/>
      <w:marTop w:val="0"/>
      <w:marBottom w:val="0"/>
      <w:divBdr>
        <w:top w:val="none" w:sz="0" w:space="0" w:color="auto"/>
        <w:left w:val="none" w:sz="0" w:space="0" w:color="auto"/>
        <w:bottom w:val="none" w:sz="0" w:space="0" w:color="auto"/>
        <w:right w:val="none" w:sz="0" w:space="0" w:color="auto"/>
      </w:divBdr>
    </w:div>
    <w:div w:id="1025324367">
      <w:bodyDiv w:val="1"/>
      <w:marLeft w:val="0"/>
      <w:marRight w:val="0"/>
      <w:marTop w:val="0"/>
      <w:marBottom w:val="0"/>
      <w:divBdr>
        <w:top w:val="none" w:sz="0" w:space="0" w:color="auto"/>
        <w:left w:val="none" w:sz="0" w:space="0" w:color="auto"/>
        <w:bottom w:val="none" w:sz="0" w:space="0" w:color="auto"/>
        <w:right w:val="none" w:sz="0" w:space="0" w:color="auto"/>
      </w:divBdr>
    </w:div>
    <w:div w:id="1081608933">
      <w:bodyDiv w:val="1"/>
      <w:marLeft w:val="0"/>
      <w:marRight w:val="0"/>
      <w:marTop w:val="0"/>
      <w:marBottom w:val="0"/>
      <w:divBdr>
        <w:top w:val="none" w:sz="0" w:space="0" w:color="auto"/>
        <w:left w:val="none" w:sz="0" w:space="0" w:color="auto"/>
        <w:bottom w:val="none" w:sz="0" w:space="0" w:color="auto"/>
        <w:right w:val="none" w:sz="0" w:space="0" w:color="auto"/>
      </w:divBdr>
    </w:div>
    <w:div w:id="1084454805">
      <w:bodyDiv w:val="1"/>
      <w:marLeft w:val="0"/>
      <w:marRight w:val="0"/>
      <w:marTop w:val="0"/>
      <w:marBottom w:val="0"/>
      <w:divBdr>
        <w:top w:val="none" w:sz="0" w:space="0" w:color="auto"/>
        <w:left w:val="none" w:sz="0" w:space="0" w:color="auto"/>
        <w:bottom w:val="none" w:sz="0" w:space="0" w:color="auto"/>
        <w:right w:val="none" w:sz="0" w:space="0" w:color="auto"/>
      </w:divBdr>
    </w:div>
    <w:div w:id="1110051919">
      <w:bodyDiv w:val="1"/>
      <w:marLeft w:val="0"/>
      <w:marRight w:val="0"/>
      <w:marTop w:val="0"/>
      <w:marBottom w:val="0"/>
      <w:divBdr>
        <w:top w:val="none" w:sz="0" w:space="0" w:color="auto"/>
        <w:left w:val="none" w:sz="0" w:space="0" w:color="auto"/>
        <w:bottom w:val="none" w:sz="0" w:space="0" w:color="auto"/>
        <w:right w:val="none" w:sz="0" w:space="0" w:color="auto"/>
      </w:divBdr>
    </w:div>
    <w:div w:id="1128819284">
      <w:bodyDiv w:val="1"/>
      <w:marLeft w:val="0"/>
      <w:marRight w:val="0"/>
      <w:marTop w:val="0"/>
      <w:marBottom w:val="0"/>
      <w:divBdr>
        <w:top w:val="none" w:sz="0" w:space="0" w:color="auto"/>
        <w:left w:val="none" w:sz="0" w:space="0" w:color="auto"/>
        <w:bottom w:val="none" w:sz="0" w:space="0" w:color="auto"/>
        <w:right w:val="none" w:sz="0" w:space="0" w:color="auto"/>
      </w:divBdr>
    </w:div>
    <w:div w:id="1140028959">
      <w:bodyDiv w:val="1"/>
      <w:marLeft w:val="0"/>
      <w:marRight w:val="0"/>
      <w:marTop w:val="0"/>
      <w:marBottom w:val="0"/>
      <w:divBdr>
        <w:top w:val="none" w:sz="0" w:space="0" w:color="auto"/>
        <w:left w:val="none" w:sz="0" w:space="0" w:color="auto"/>
        <w:bottom w:val="none" w:sz="0" w:space="0" w:color="auto"/>
        <w:right w:val="none" w:sz="0" w:space="0" w:color="auto"/>
      </w:divBdr>
    </w:div>
    <w:div w:id="1245459060">
      <w:bodyDiv w:val="1"/>
      <w:marLeft w:val="0"/>
      <w:marRight w:val="0"/>
      <w:marTop w:val="0"/>
      <w:marBottom w:val="0"/>
      <w:divBdr>
        <w:top w:val="none" w:sz="0" w:space="0" w:color="auto"/>
        <w:left w:val="none" w:sz="0" w:space="0" w:color="auto"/>
        <w:bottom w:val="none" w:sz="0" w:space="0" w:color="auto"/>
        <w:right w:val="none" w:sz="0" w:space="0" w:color="auto"/>
      </w:divBdr>
    </w:div>
    <w:div w:id="1289118141">
      <w:bodyDiv w:val="1"/>
      <w:marLeft w:val="0"/>
      <w:marRight w:val="0"/>
      <w:marTop w:val="0"/>
      <w:marBottom w:val="0"/>
      <w:divBdr>
        <w:top w:val="none" w:sz="0" w:space="0" w:color="auto"/>
        <w:left w:val="none" w:sz="0" w:space="0" w:color="auto"/>
        <w:bottom w:val="none" w:sz="0" w:space="0" w:color="auto"/>
        <w:right w:val="none" w:sz="0" w:space="0" w:color="auto"/>
      </w:divBdr>
    </w:div>
    <w:div w:id="1308631909">
      <w:bodyDiv w:val="1"/>
      <w:marLeft w:val="0"/>
      <w:marRight w:val="0"/>
      <w:marTop w:val="0"/>
      <w:marBottom w:val="0"/>
      <w:divBdr>
        <w:top w:val="none" w:sz="0" w:space="0" w:color="auto"/>
        <w:left w:val="none" w:sz="0" w:space="0" w:color="auto"/>
        <w:bottom w:val="none" w:sz="0" w:space="0" w:color="auto"/>
        <w:right w:val="none" w:sz="0" w:space="0" w:color="auto"/>
      </w:divBdr>
    </w:div>
    <w:div w:id="1321427929">
      <w:bodyDiv w:val="1"/>
      <w:marLeft w:val="0"/>
      <w:marRight w:val="0"/>
      <w:marTop w:val="0"/>
      <w:marBottom w:val="0"/>
      <w:divBdr>
        <w:top w:val="none" w:sz="0" w:space="0" w:color="auto"/>
        <w:left w:val="none" w:sz="0" w:space="0" w:color="auto"/>
        <w:bottom w:val="none" w:sz="0" w:space="0" w:color="auto"/>
        <w:right w:val="none" w:sz="0" w:space="0" w:color="auto"/>
      </w:divBdr>
    </w:div>
    <w:div w:id="1375810799">
      <w:bodyDiv w:val="1"/>
      <w:marLeft w:val="0"/>
      <w:marRight w:val="0"/>
      <w:marTop w:val="0"/>
      <w:marBottom w:val="0"/>
      <w:divBdr>
        <w:top w:val="none" w:sz="0" w:space="0" w:color="auto"/>
        <w:left w:val="none" w:sz="0" w:space="0" w:color="auto"/>
        <w:bottom w:val="none" w:sz="0" w:space="0" w:color="auto"/>
        <w:right w:val="none" w:sz="0" w:space="0" w:color="auto"/>
      </w:divBdr>
    </w:div>
    <w:div w:id="1409425688">
      <w:bodyDiv w:val="1"/>
      <w:marLeft w:val="0"/>
      <w:marRight w:val="0"/>
      <w:marTop w:val="0"/>
      <w:marBottom w:val="0"/>
      <w:divBdr>
        <w:top w:val="none" w:sz="0" w:space="0" w:color="auto"/>
        <w:left w:val="none" w:sz="0" w:space="0" w:color="auto"/>
        <w:bottom w:val="none" w:sz="0" w:space="0" w:color="auto"/>
        <w:right w:val="none" w:sz="0" w:space="0" w:color="auto"/>
      </w:divBdr>
    </w:div>
    <w:div w:id="1410078011">
      <w:bodyDiv w:val="1"/>
      <w:marLeft w:val="0"/>
      <w:marRight w:val="0"/>
      <w:marTop w:val="0"/>
      <w:marBottom w:val="0"/>
      <w:divBdr>
        <w:top w:val="none" w:sz="0" w:space="0" w:color="auto"/>
        <w:left w:val="none" w:sz="0" w:space="0" w:color="auto"/>
        <w:bottom w:val="none" w:sz="0" w:space="0" w:color="auto"/>
        <w:right w:val="none" w:sz="0" w:space="0" w:color="auto"/>
      </w:divBdr>
    </w:div>
    <w:div w:id="1436443700">
      <w:bodyDiv w:val="1"/>
      <w:marLeft w:val="0"/>
      <w:marRight w:val="0"/>
      <w:marTop w:val="0"/>
      <w:marBottom w:val="0"/>
      <w:divBdr>
        <w:top w:val="none" w:sz="0" w:space="0" w:color="auto"/>
        <w:left w:val="none" w:sz="0" w:space="0" w:color="auto"/>
        <w:bottom w:val="none" w:sz="0" w:space="0" w:color="auto"/>
        <w:right w:val="none" w:sz="0" w:space="0" w:color="auto"/>
      </w:divBdr>
    </w:div>
    <w:div w:id="1440299773">
      <w:bodyDiv w:val="1"/>
      <w:marLeft w:val="0"/>
      <w:marRight w:val="0"/>
      <w:marTop w:val="0"/>
      <w:marBottom w:val="0"/>
      <w:divBdr>
        <w:top w:val="none" w:sz="0" w:space="0" w:color="auto"/>
        <w:left w:val="none" w:sz="0" w:space="0" w:color="auto"/>
        <w:bottom w:val="none" w:sz="0" w:space="0" w:color="auto"/>
        <w:right w:val="none" w:sz="0" w:space="0" w:color="auto"/>
      </w:divBdr>
    </w:div>
    <w:div w:id="1486043447">
      <w:bodyDiv w:val="1"/>
      <w:marLeft w:val="0"/>
      <w:marRight w:val="0"/>
      <w:marTop w:val="0"/>
      <w:marBottom w:val="0"/>
      <w:divBdr>
        <w:top w:val="none" w:sz="0" w:space="0" w:color="auto"/>
        <w:left w:val="none" w:sz="0" w:space="0" w:color="auto"/>
        <w:bottom w:val="none" w:sz="0" w:space="0" w:color="auto"/>
        <w:right w:val="none" w:sz="0" w:space="0" w:color="auto"/>
      </w:divBdr>
    </w:div>
    <w:div w:id="1564369378">
      <w:bodyDiv w:val="1"/>
      <w:marLeft w:val="0"/>
      <w:marRight w:val="0"/>
      <w:marTop w:val="0"/>
      <w:marBottom w:val="0"/>
      <w:divBdr>
        <w:top w:val="none" w:sz="0" w:space="0" w:color="auto"/>
        <w:left w:val="none" w:sz="0" w:space="0" w:color="auto"/>
        <w:bottom w:val="none" w:sz="0" w:space="0" w:color="auto"/>
        <w:right w:val="none" w:sz="0" w:space="0" w:color="auto"/>
      </w:divBdr>
    </w:div>
    <w:div w:id="1575355859">
      <w:bodyDiv w:val="1"/>
      <w:marLeft w:val="0"/>
      <w:marRight w:val="0"/>
      <w:marTop w:val="0"/>
      <w:marBottom w:val="0"/>
      <w:divBdr>
        <w:top w:val="none" w:sz="0" w:space="0" w:color="auto"/>
        <w:left w:val="none" w:sz="0" w:space="0" w:color="auto"/>
        <w:bottom w:val="none" w:sz="0" w:space="0" w:color="auto"/>
        <w:right w:val="none" w:sz="0" w:space="0" w:color="auto"/>
      </w:divBdr>
    </w:div>
    <w:div w:id="1582527160">
      <w:bodyDiv w:val="1"/>
      <w:marLeft w:val="0"/>
      <w:marRight w:val="0"/>
      <w:marTop w:val="0"/>
      <w:marBottom w:val="0"/>
      <w:divBdr>
        <w:top w:val="none" w:sz="0" w:space="0" w:color="auto"/>
        <w:left w:val="none" w:sz="0" w:space="0" w:color="auto"/>
        <w:bottom w:val="none" w:sz="0" w:space="0" w:color="auto"/>
        <w:right w:val="none" w:sz="0" w:space="0" w:color="auto"/>
      </w:divBdr>
    </w:div>
    <w:div w:id="1600405342">
      <w:bodyDiv w:val="1"/>
      <w:marLeft w:val="0"/>
      <w:marRight w:val="0"/>
      <w:marTop w:val="0"/>
      <w:marBottom w:val="0"/>
      <w:divBdr>
        <w:top w:val="none" w:sz="0" w:space="0" w:color="auto"/>
        <w:left w:val="none" w:sz="0" w:space="0" w:color="auto"/>
        <w:bottom w:val="none" w:sz="0" w:space="0" w:color="auto"/>
        <w:right w:val="none" w:sz="0" w:space="0" w:color="auto"/>
      </w:divBdr>
    </w:div>
    <w:div w:id="1716614444">
      <w:bodyDiv w:val="1"/>
      <w:marLeft w:val="0"/>
      <w:marRight w:val="0"/>
      <w:marTop w:val="0"/>
      <w:marBottom w:val="0"/>
      <w:divBdr>
        <w:top w:val="none" w:sz="0" w:space="0" w:color="auto"/>
        <w:left w:val="none" w:sz="0" w:space="0" w:color="auto"/>
        <w:bottom w:val="none" w:sz="0" w:space="0" w:color="auto"/>
        <w:right w:val="none" w:sz="0" w:space="0" w:color="auto"/>
      </w:divBdr>
    </w:div>
    <w:div w:id="1798180443">
      <w:bodyDiv w:val="1"/>
      <w:marLeft w:val="0"/>
      <w:marRight w:val="0"/>
      <w:marTop w:val="0"/>
      <w:marBottom w:val="0"/>
      <w:divBdr>
        <w:top w:val="none" w:sz="0" w:space="0" w:color="auto"/>
        <w:left w:val="none" w:sz="0" w:space="0" w:color="auto"/>
        <w:bottom w:val="none" w:sz="0" w:space="0" w:color="auto"/>
        <w:right w:val="none" w:sz="0" w:space="0" w:color="auto"/>
      </w:divBdr>
    </w:div>
    <w:div w:id="1807122403">
      <w:bodyDiv w:val="1"/>
      <w:marLeft w:val="0"/>
      <w:marRight w:val="0"/>
      <w:marTop w:val="0"/>
      <w:marBottom w:val="0"/>
      <w:divBdr>
        <w:top w:val="none" w:sz="0" w:space="0" w:color="auto"/>
        <w:left w:val="none" w:sz="0" w:space="0" w:color="auto"/>
        <w:bottom w:val="none" w:sz="0" w:space="0" w:color="auto"/>
        <w:right w:val="none" w:sz="0" w:space="0" w:color="auto"/>
      </w:divBdr>
    </w:div>
    <w:div w:id="1860778543">
      <w:bodyDiv w:val="1"/>
      <w:marLeft w:val="0"/>
      <w:marRight w:val="0"/>
      <w:marTop w:val="0"/>
      <w:marBottom w:val="0"/>
      <w:divBdr>
        <w:top w:val="none" w:sz="0" w:space="0" w:color="auto"/>
        <w:left w:val="none" w:sz="0" w:space="0" w:color="auto"/>
        <w:bottom w:val="none" w:sz="0" w:space="0" w:color="auto"/>
        <w:right w:val="none" w:sz="0" w:space="0" w:color="auto"/>
      </w:divBdr>
    </w:div>
    <w:div w:id="1940411960">
      <w:bodyDiv w:val="1"/>
      <w:marLeft w:val="0"/>
      <w:marRight w:val="0"/>
      <w:marTop w:val="0"/>
      <w:marBottom w:val="0"/>
      <w:divBdr>
        <w:top w:val="none" w:sz="0" w:space="0" w:color="auto"/>
        <w:left w:val="none" w:sz="0" w:space="0" w:color="auto"/>
        <w:bottom w:val="none" w:sz="0" w:space="0" w:color="auto"/>
        <w:right w:val="none" w:sz="0" w:space="0" w:color="auto"/>
      </w:divBdr>
    </w:div>
    <w:div w:id="2024669850">
      <w:bodyDiv w:val="1"/>
      <w:marLeft w:val="0"/>
      <w:marRight w:val="0"/>
      <w:marTop w:val="0"/>
      <w:marBottom w:val="0"/>
      <w:divBdr>
        <w:top w:val="none" w:sz="0" w:space="0" w:color="auto"/>
        <w:left w:val="none" w:sz="0" w:space="0" w:color="auto"/>
        <w:bottom w:val="none" w:sz="0" w:space="0" w:color="auto"/>
        <w:right w:val="none" w:sz="0" w:space="0" w:color="auto"/>
      </w:divBdr>
    </w:div>
    <w:div w:id="2098088192">
      <w:bodyDiv w:val="1"/>
      <w:marLeft w:val="0"/>
      <w:marRight w:val="0"/>
      <w:marTop w:val="0"/>
      <w:marBottom w:val="0"/>
      <w:divBdr>
        <w:top w:val="none" w:sz="0" w:space="0" w:color="auto"/>
        <w:left w:val="none" w:sz="0" w:space="0" w:color="auto"/>
        <w:bottom w:val="none" w:sz="0" w:space="0" w:color="auto"/>
        <w:right w:val="none" w:sz="0" w:space="0" w:color="auto"/>
      </w:divBdr>
    </w:div>
    <w:div w:id="2117484229">
      <w:bodyDiv w:val="1"/>
      <w:marLeft w:val="0"/>
      <w:marRight w:val="0"/>
      <w:marTop w:val="0"/>
      <w:marBottom w:val="0"/>
      <w:divBdr>
        <w:top w:val="none" w:sz="0" w:space="0" w:color="auto"/>
        <w:left w:val="none" w:sz="0" w:space="0" w:color="auto"/>
        <w:bottom w:val="none" w:sz="0" w:space="0" w:color="auto"/>
        <w:right w:val="none" w:sz="0" w:space="0" w:color="auto"/>
      </w:divBdr>
    </w:div>
    <w:div w:id="213898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23</TotalTime>
  <Pages>11</Pages>
  <Words>3082</Words>
  <Characters>19293</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2024100003 mt</dc:description>
  <cp:lastModifiedBy>Hanne Thy Iversen</cp:lastModifiedBy>
  <cp:revision>12</cp:revision>
  <cp:lastPrinted>2012-08-22T08:53:00Z</cp:lastPrinted>
  <dcterms:created xsi:type="dcterms:W3CDTF">2026-01-07T12:46:00Z</dcterms:created>
  <dcterms:modified xsi:type="dcterms:W3CDTF">2026-01-08T09:35:00Z</dcterms:modified>
</cp:coreProperties>
</file>