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1BE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9C86C11" wp14:editId="28E6A5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E9FBC1" w14:textId="77777777" w:rsidR="009260DE" w:rsidRPr="00C84483" w:rsidRDefault="009260DE" w:rsidP="009260DE">
      <w:pPr>
        <w:pStyle w:val="Titel"/>
        <w:tabs>
          <w:tab w:val="right" w:pos="9356"/>
        </w:tabs>
        <w:jc w:val="left"/>
        <w:rPr>
          <w:b w:val="0"/>
          <w:szCs w:val="24"/>
          <w:lang w:eastAsia="en-US"/>
        </w:rPr>
      </w:pPr>
    </w:p>
    <w:p w14:paraId="3B6BF39B" w14:textId="34743B6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F1680">
        <w:rPr>
          <w:b w:val="0"/>
          <w:szCs w:val="24"/>
          <w:lang w:eastAsia="en-US"/>
        </w:rPr>
        <w:t>10</w:t>
      </w:r>
      <w:r w:rsidR="00204521">
        <w:rPr>
          <w:szCs w:val="24"/>
        </w:rPr>
        <w:t>. april 2025</w:t>
      </w:r>
    </w:p>
    <w:p w14:paraId="376D48A4" w14:textId="77777777" w:rsidR="009260DE" w:rsidRPr="00C84483" w:rsidRDefault="009260DE" w:rsidP="009260DE">
      <w:pPr>
        <w:pStyle w:val="Titel"/>
        <w:tabs>
          <w:tab w:val="left" w:pos="8222"/>
        </w:tabs>
        <w:jc w:val="left"/>
        <w:rPr>
          <w:b w:val="0"/>
          <w:szCs w:val="24"/>
        </w:rPr>
      </w:pPr>
    </w:p>
    <w:p w14:paraId="4475C8B8" w14:textId="77777777" w:rsidR="008C7E6D" w:rsidRDefault="008C7E6D" w:rsidP="008C7E6D">
      <w:pPr>
        <w:tabs>
          <w:tab w:val="left" w:pos="435"/>
        </w:tabs>
        <w:rPr>
          <w:sz w:val="24"/>
          <w:szCs w:val="24"/>
          <w:lang w:eastAsia="da-DK"/>
        </w:rPr>
      </w:pPr>
    </w:p>
    <w:p w14:paraId="74540B53" w14:textId="337D74F0" w:rsidR="00F2184A" w:rsidRDefault="00F2184A" w:rsidP="008C7E6D">
      <w:pPr>
        <w:tabs>
          <w:tab w:val="left" w:pos="435"/>
        </w:tabs>
        <w:rPr>
          <w:b/>
          <w:sz w:val="24"/>
          <w:szCs w:val="24"/>
        </w:rPr>
      </w:pPr>
    </w:p>
    <w:p w14:paraId="14365169" w14:textId="42528F66" w:rsidR="009260DE" w:rsidRPr="00C84483" w:rsidRDefault="009260DE" w:rsidP="009260DE">
      <w:pPr>
        <w:jc w:val="center"/>
        <w:rPr>
          <w:b/>
          <w:sz w:val="24"/>
          <w:szCs w:val="24"/>
        </w:rPr>
      </w:pPr>
      <w:r w:rsidRPr="00C84483">
        <w:rPr>
          <w:b/>
          <w:sz w:val="24"/>
          <w:szCs w:val="24"/>
        </w:rPr>
        <w:t>PRODUKTRESUMÉ</w:t>
      </w:r>
    </w:p>
    <w:p w14:paraId="02DDF666" w14:textId="77777777" w:rsidR="009260DE" w:rsidRPr="00C84483" w:rsidRDefault="009260DE" w:rsidP="009260DE">
      <w:pPr>
        <w:jc w:val="center"/>
        <w:rPr>
          <w:b/>
          <w:sz w:val="24"/>
          <w:szCs w:val="24"/>
        </w:rPr>
      </w:pPr>
    </w:p>
    <w:p w14:paraId="184264F3" w14:textId="2FAFD29E" w:rsidR="009260DE" w:rsidRDefault="006304E1" w:rsidP="006304E1">
      <w:pPr>
        <w:tabs>
          <w:tab w:val="left" w:pos="320"/>
          <w:tab w:val="center" w:pos="4819"/>
        </w:tabs>
        <w:rPr>
          <w:b/>
          <w:sz w:val="24"/>
          <w:szCs w:val="24"/>
        </w:rPr>
      </w:pPr>
      <w:r>
        <w:rPr>
          <w:b/>
          <w:sz w:val="24"/>
          <w:szCs w:val="24"/>
        </w:rPr>
        <w:tab/>
      </w:r>
      <w:r>
        <w:rPr>
          <w:b/>
          <w:sz w:val="24"/>
          <w:szCs w:val="24"/>
        </w:rPr>
        <w:tab/>
      </w:r>
      <w:r w:rsidR="009260DE" w:rsidRPr="00C84483">
        <w:rPr>
          <w:b/>
          <w:sz w:val="24"/>
          <w:szCs w:val="24"/>
        </w:rPr>
        <w:t>for</w:t>
      </w:r>
    </w:p>
    <w:p w14:paraId="4627731B" w14:textId="77777777" w:rsidR="000B058C" w:rsidRPr="00C84483" w:rsidRDefault="000B058C" w:rsidP="009260DE">
      <w:pPr>
        <w:jc w:val="center"/>
        <w:rPr>
          <w:b/>
          <w:sz w:val="24"/>
          <w:szCs w:val="24"/>
        </w:rPr>
      </w:pPr>
    </w:p>
    <w:p w14:paraId="72779F75" w14:textId="1CBF9BCD" w:rsidR="009260DE" w:rsidRPr="009F1680" w:rsidRDefault="004C3B58" w:rsidP="009260DE">
      <w:pPr>
        <w:jc w:val="center"/>
        <w:rPr>
          <w:b/>
          <w:sz w:val="24"/>
          <w:szCs w:val="24"/>
        </w:rPr>
      </w:pPr>
      <w:proofErr w:type="spellStart"/>
      <w:r w:rsidRPr="009F1680">
        <w:rPr>
          <w:b/>
          <w:sz w:val="24"/>
          <w:szCs w:val="24"/>
        </w:rPr>
        <w:t>Aitgrys</w:t>
      </w:r>
      <w:proofErr w:type="spellEnd"/>
      <w:r w:rsidR="00F27771" w:rsidRPr="009F1680">
        <w:rPr>
          <w:b/>
          <w:sz w:val="24"/>
          <w:szCs w:val="24"/>
        </w:rPr>
        <w:t xml:space="preserve">, </w:t>
      </w:r>
      <w:proofErr w:type="spellStart"/>
      <w:r w:rsidR="00F27771" w:rsidRPr="009F1680">
        <w:rPr>
          <w:b/>
          <w:sz w:val="24"/>
          <w:szCs w:val="24"/>
        </w:rPr>
        <w:t>sublinguale</w:t>
      </w:r>
      <w:proofErr w:type="spellEnd"/>
      <w:r w:rsidR="00F27771" w:rsidRPr="009F1680">
        <w:rPr>
          <w:b/>
          <w:sz w:val="24"/>
          <w:szCs w:val="24"/>
        </w:rPr>
        <w:t xml:space="preserve"> </w:t>
      </w:r>
      <w:proofErr w:type="spellStart"/>
      <w:r w:rsidR="00F27771" w:rsidRPr="009F1680">
        <w:rPr>
          <w:b/>
          <w:sz w:val="24"/>
          <w:szCs w:val="24"/>
        </w:rPr>
        <w:t>resoribletter</w:t>
      </w:r>
      <w:proofErr w:type="spellEnd"/>
      <w:r w:rsidR="00F27771" w:rsidRPr="009F1680">
        <w:rPr>
          <w:b/>
          <w:sz w:val="24"/>
          <w:szCs w:val="24"/>
        </w:rPr>
        <w:t xml:space="preserve"> 300 RI</w:t>
      </w:r>
      <w:r w:rsidR="00204521" w:rsidRPr="009F1680">
        <w:rPr>
          <w:b/>
          <w:sz w:val="24"/>
          <w:szCs w:val="24"/>
        </w:rPr>
        <w:t xml:space="preserve"> (</w:t>
      </w:r>
      <w:proofErr w:type="spellStart"/>
      <w:r w:rsidR="00204521" w:rsidRPr="009F1680">
        <w:rPr>
          <w:b/>
          <w:sz w:val="24"/>
          <w:szCs w:val="24"/>
        </w:rPr>
        <w:t>Orifarm</w:t>
      </w:r>
      <w:proofErr w:type="spellEnd"/>
      <w:r w:rsidR="00204521" w:rsidRPr="009F1680">
        <w:rPr>
          <w:b/>
          <w:sz w:val="24"/>
          <w:szCs w:val="24"/>
        </w:rPr>
        <w:t>)</w:t>
      </w:r>
    </w:p>
    <w:p w14:paraId="722D44BC" w14:textId="77777777" w:rsidR="009260DE" w:rsidRPr="009F1680" w:rsidRDefault="009260DE" w:rsidP="009260DE">
      <w:pPr>
        <w:jc w:val="both"/>
        <w:rPr>
          <w:sz w:val="24"/>
          <w:szCs w:val="24"/>
        </w:rPr>
      </w:pPr>
    </w:p>
    <w:p w14:paraId="4DB2DC9A" w14:textId="77777777" w:rsidR="009260DE" w:rsidRPr="009F1680" w:rsidRDefault="009260DE" w:rsidP="009260DE">
      <w:pPr>
        <w:jc w:val="both"/>
        <w:rPr>
          <w:sz w:val="24"/>
          <w:szCs w:val="24"/>
        </w:rPr>
      </w:pPr>
    </w:p>
    <w:p w14:paraId="61C5E6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03AAEEF" w14:textId="16466DD2" w:rsidR="009260DE" w:rsidRPr="00C84483" w:rsidRDefault="00F27771" w:rsidP="009260DE">
      <w:pPr>
        <w:tabs>
          <w:tab w:val="left" w:pos="851"/>
        </w:tabs>
        <w:ind w:left="851"/>
        <w:rPr>
          <w:sz w:val="24"/>
          <w:szCs w:val="24"/>
        </w:rPr>
      </w:pPr>
      <w:r>
        <w:rPr>
          <w:sz w:val="24"/>
          <w:szCs w:val="24"/>
        </w:rPr>
        <w:t>33142</w:t>
      </w:r>
    </w:p>
    <w:p w14:paraId="6655BD72" w14:textId="77777777" w:rsidR="009260DE" w:rsidRPr="00C84483" w:rsidRDefault="009260DE" w:rsidP="009260DE">
      <w:pPr>
        <w:tabs>
          <w:tab w:val="left" w:pos="851"/>
        </w:tabs>
        <w:ind w:left="851"/>
        <w:rPr>
          <w:sz w:val="24"/>
          <w:szCs w:val="24"/>
        </w:rPr>
      </w:pPr>
    </w:p>
    <w:p w14:paraId="0251A83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1AF1A21" w14:textId="66A9FD87" w:rsidR="009260DE" w:rsidRPr="00C84483" w:rsidRDefault="00F27771" w:rsidP="009260DE">
      <w:pPr>
        <w:tabs>
          <w:tab w:val="left" w:pos="851"/>
        </w:tabs>
        <w:ind w:left="851"/>
        <w:rPr>
          <w:sz w:val="24"/>
          <w:szCs w:val="24"/>
        </w:rPr>
      </w:pPr>
      <w:proofErr w:type="spellStart"/>
      <w:r>
        <w:rPr>
          <w:sz w:val="24"/>
          <w:szCs w:val="24"/>
        </w:rPr>
        <w:t>Aitgrys</w:t>
      </w:r>
      <w:proofErr w:type="spellEnd"/>
    </w:p>
    <w:p w14:paraId="058A16CC" w14:textId="77777777" w:rsidR="009260DE" w:rsidRPr="00C84483" w:rsidRDefault="009260DE" w:rsidP="009260DE">
      <w:pPr>
        <w:tabs>
          <w:tab w:val="left" w:pos="851"/>
        </w:tabs>
        <w:ind w:left="851"/>
        <w:rPr>
          <w:sz w:val="24"/>
          <w:szCs w:val="24"/>
        </w:rPr>
      </w:pPr>
    </w:p>
    <w:p w14:paraId="1D993A1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C19B6E" w14:textId="77777777" w:rsidR="00441AE6" w:rsidRPr="00223F04" w:rsidRDefault="00441AE6" w:rsidP="00441AE6">
      <w:pPr>
        <w:tabs>
          <w:tab w:val="left" w:pos="851"/>
        </w:tabs>
        <w:ind w:left="851"/>
        <w:rPr>
          <w:sz w:val="24"/>
          <w:szCs w:val="24"/>
        </w:rPr>
      </w:pPr>
      <w:r w:rsidRPr="00223F04">
        <w:rPr>
          <w:sz w:val="24"/>
          <w:szCs w:val="24"/>
        </w:rPr>
        <w:t>Allergenekstrakt af græspollen fra: Almindelig hundegræs (</w:t>
      </w:r>
      <w:proofErr w:type="spellStart"/>
      <w:r w:rsidRPr="00223F04">
        <w:rPr>
          <w:i/>
          <w:sz w:val="24"/>
          <w:szCs w:val="24"/>
        </w:rPr>
        <w:t>Dactylis</w:t>
      </w:r>
      <w:proofErr w:type="spellEnd"/>
      <w:r w:rsidRPr="00223F04">
        <w:rPr>
          <w:i/>
          <w:sz w:val="24"/>
          <w:szCs w:val="24"/>
        </w:rPr>
        <w:t xml:space="preserve"> </w:t>
      </w:r>
      <w:proofErr w:type="spellStart"/>
      <w:r w:rsidRPr="00223F04">
        <w:rPr>
          <w:i/>
          <w:sz w:val="24"/>
          <w:szCs w:val="24"/>
        </w:rPr>
        <w:t>glomerata</w:t>
      </w:r>
      <w:proofErr w:type="spellEnd"/>
      <w:r w:rsidRPr="00223F04">
        <w:rPr>
          <w:sz w:val="24"/>
          <w:szCs w:val="24"/>
        </w:rPr>
        <w:t xml:space="preserve"> L.), Vellugtende gulaks (</w:t>
      </w:r>
      <w:proofErr w:type="spellStart"/>
      <w:r w:rsidRPr="00223F04">
        <w:rPr>
          <w:i/>
          <w:sz w:val="24"/>
          <w:szCs w:val="24"/>
        </w:rPr>
        <w:t>Anthoxanthum</w:t>
      </w:r>
      <w:proofErr w:type="spellEnd"/>
      <w:r w:rsidRPr="00223F04">
        <w:rPr>
          <w:i/>
          <w:sz w:val="24"/>
          <w:szCs w:val="24"/>
        </w:rPr>
        <w:t xml:space="preserve"> </w:t>
      </w:r>
      <w:proofErr w:type="spellStart"/>
      <w:r w:rsidRPr="00223F04">
        <w:rPr>
          <w:i/>
          <w:sz w:val="24"/>
          <w:szCs w:val="24"/>
        </w:rPr>
        <w:t>odoratum</w:t>
      </w:r>
      <w:proofErr w:type="spellEnd"/>
      <w:r w:rsidRPr="00223F04">
        <w:rPr>
          <w:sz w:val="24"/>
          <w:szCs w:val="24"/>
        </w:rPr>
        <w:t xml:space="preserve"> L.), Almindelig rajgræs (</w:t>
      </w:r>
      <w:proofErr w:type="spellStart"/>
      <w:r w:rsidRPr="00223F04">
        <w:rPr>
          <w:i/>
          <w:sz w:val="24"/>
          <w:szCs w:val="24"/>
        </w:rPr>
        <w:t>Lolium</w:t>
      </w:r>
      <w:proofErr w:type="spellEnd"/>
      <w:r w:rsidRPr="00223F04">
        <w:rPr>
          <w:i/>
          <w:sz w:val="24"/>
          <w:szCs w:val="24"/>
        </w:rPr>
        <w:t xml:space="preserve"> </w:t>
      </w:r>
      <w:proofErr w:type="spellStart"/>
      <w:r w:rsidRPr="00223F04">
        <w:rPr>
          <w:i/>
          <w:sz w:val="24"/>
          <w:szCs w:val="24"/>
        </w:rPr>
        <w:t>perenne</w:t>
      </w:r>
      <w:proofErr w:type="spellEnd"/>
      <w:r w:rsidRPr="00223F04">
        <w:rPr>
          <w:sz w:val="24"/>
          <w:szCs w:val="24"/>
        </w:rPr>
        <w:t xml:space="preserve"> L.), Engrapgræs (</w:t>
      </w:r>
      <w:proofErr w:type="spellStart"/>
      <w:r w:rsidRPr="00223F04">
        <w:rPr>
          <w:i/>
          <w:sz w:val="24"/>
          <w:szCs w:val="24"/>
        </w:rPr>
        <w:t>Poa</w:t>
      </w:r>
      <w:proofErr w:type="spellEnd"/>
      <w:r w:rsidRPr="00223F04">
        <w:rPr>
          <w:i/>
          <w:sz w:val="24"/>
          <w:szCs w:val="24"/>
        </w:rPr>
        <w:t xml:space="preserve"> </w:t>
      </w:r>
      <w:proofErr w:type="spellStart"/>
      <w:r w:rsidRPr="00223F04">
        <w:rPr>
          <w:i/>
          <w:sz w:val="24"/>
          <w:szCs w:val="24"/>
        </w:rPr>
        <w:t>pratensis</w:t>
      </w:r>
      <w:proofErr w:type="spellEnd"/>
      <w:r w:rsidRPr="00223F04">
        <w:rPr>
          <w:sz w:val="24"/>
          <w:szCs w:val="24"/>
        </w:rPr>
        <w:t xml:space="preserve"> L.) og Engrottehale (</w:t>
      </w:r>
      <w:proofErr w:type="spellStart"/>
      <w:r w:rsidRPr="00223F04">
        <w:rPr>
          <w:i/>
          <w:sz w:val="24"/>
          <w:szCs w:val="24"/>
        </w:rPr>
        <w:t>Phleum</w:t>
      </w:r>
      <w:proofErr w:type="spellEnd"/>
      <w:r w:rsidRPr="00223F04">
        <w:rPr>
          <w:i/>
          <w:sz w:val="24"/>
          <w:szCs w:val="24"/>
        </w:rPr>
        <w:t xml:space="preserve"> </w:t>
      </w:r>
      <w:proofErr w:type="spellStart"/>
      <w:r w:rsidRPr="00223F04">
        <w:rPr>
          <w:i/>
          <w:sz w:val="24"/>
          <w:szCs w:val="24"/>
        </w:rPr>
        <w:t>pratense</w:t>
      </w:r>
      <w:proofErr w:type="spellEnd"/>
      <w:r w:rsidRPr="00223F04">
        <w:rPr>
          <w:sz w:val="24"/>
          <w:szCs w:val="24"/>
        </w:rPr>
        <w:t xml:space="preserve"> L.</w:t>
      </w:r>
      <w:proofErr w:type="gramStart"/>
      <w:r w:rsidRPr="00223F04">
        <w:rPr>
          <w:sz w:val="24"/>
          <w:szCs w:val="24"/>
        </w:rPr>
        <w:t>) ………………….......................</w:t>
      </w:r>
      <w:proofErr w:type="gramEnd"/>
      <w:r w:rsidRPr="00223F04">
        <w:rPr>
          <w:sz w:val="24"/>
          <w:szCs w:val="24"/>
        </w:rPr>
        <w:t xml:space="preserve"> 300 RI* pr. </w:t>
      </w:r>
      <w:proofErr w:type="spellStart"/>
      <w:r w:rsidRPr="00223F04">
        <w:rPr>
          <w:sz w:val="24"/>
          <w:szCs w:val="24"/>
        </w:rPr>
        <w:t>sublingual</w:t>
      </w:r>
      <w:proofErr w:type="spellEnd"/>
      <w:r w:rsidRPr="00223F04">
        <w:rPr>
          <w:sz w:val="24"/>
          <w:szCs w:val="24"/>
        </w:rPr>
        <w:t xml:space="preserve"> </w:t>
      </w:r>
      <w:proofErr w:type="spellStart"/>
      <w:r w:rsidRPr="00223F04">
        <w:rPr>
          <w:sz w:val="24"/>
          <w:szCs w:val="24"/>
        </w:rPr>
        <w:t>resoriblet</w:t>
      </w:r>
      <w:proofErr w:type="spellEnd"/>
      <w:r w:rsidRPr="00223F04">
        <w:rPr>
          <w:sz w:val="24"/>
          <w:szCs w:val="24"/>
        </w:rPr>
        <w:t>.</w:t>
      </w:r>
    </w:p>
    <w:p w14:paraId="5574907E" w14:textId="77777777" w:rsidR="00441AE6" w:rsidRPr="00223F04" w:rsidRDefault="00441AE6" w:rsidP="00441AE6">
      <w:pPr>
        <w:tabs>
          <w:tab w:val="left" w:pos="851"/>
        </w:tabs>
        <w:ind w:left="851"/>
        <w:rPr>
          <w:sz w:val="24"/>
          <w:szCs w:val="24"/>
        </w:rPr>
      </w:pPr>
    </w:p>
    <w:p w14:paraId="73D82130" w14:textId="77777777" w:rsidR="00441AE6" w:rsidRPr="00223F04" w:rsidRDefault="00441AE6" w:rsidP="00441AE6">
      <w:pPr>
        <w:tabs>
          <w:tab w:val="left" w:pos="851"/>
        </w:tabs>
        <w:ind w:left="851"/>
        <w:rPr>
          <w:sz w:val="24"/>
          <w:szCs w:val="24"/>
        </w:rPr>
      </w:pPr>
      <w:r w:rsidRPr="00223F04">
        <w:rPr>
          <w:sz w:val="24"/>
          <w:szCs w:val="24"/>
        </w:rPr>
        <w:t>*RI (</w:t>
      </w:r>
      <w:proofErr w:type="spellStart"/>
      <w:r w:rsidRPr="00223F04">
        <w:rPr>
          <w:sz w:val="24"/>
          <w:szCs w:val="24"/>
        </w:rPr>
        <w:t>reaktivitetsindeks</w:t>
      </w:r>
      <w:proofErr w:type="spellEnd"/>
      <w:r w:rsidRPr="00223F04">
        <w:rPr>
          <w:sz w:val="24"/>
          <w:szCs w:val="24"/>
        </w:rPr>
        <w:t xml:space="preserve">): RI-enheden er defineret med henblik på at måle </w:t>
      </w:r>
      <w:proofErr w:type="spellStart"/>
      <w:r w:rsidRPr="00223F04">
        <w:rPr>
          <w:sz w:val="24"/>
          <w:szCs w:val="24"/>
        </w:rPr>
        <w:t>allergeniciteten</w:t>
      </w:r>
      <w:proofErr w:type="spellEnd"/>
      <w:r w:rsidRPr="00223F04">
        <w:rPr>
          <w:sz w:val="24"/>
          <w:szCs w:val="24"/>
        </w:rPr>
        <w:t xml:space="preserve"> af et allergenekstrakt. Allergenekstraktet indeholder 100 RI/ml når det, ved en hudpriktest ved hjælp af en </w:t>
      </w:r>
      <w:proofErr w:type="spellStart"/>
      <w:r w:rsidRPr="00223F04">
        <w:rPr>
          <w:sz w:val="24"/>
          <w:szCs w:val="24"/>
        </w:rPr>
        <w:t>Stallerpoint</w:t>
      </w:r>
      <w:proofErr w:type="spellEnd"/>
      <w:r w:rsidRPr="00223F04">
        <w:rPr>
          <w:sz w:val="24"/>
          <w:szCs w:val="24"/>
        </w:rPr>
        <w:t xml:space="preserve"> fremkalder en hævelse med en diameter på 7 mm hos 30 patienter, der er blevet sensibiliseret over for dette allergen (geometrisk gennemsnitsværdi). Den </w:t>
      </w:r>
      <w:proofErr w:type="spellStart"/>
      <w:r w:rsidRPr="00223F04">
        <w:rPr>
          <w:sz w:val="24"/>
          <w:szCs w:val="24"/>
        </w:rPr>
        <w:t>kutane</w:t>
      </w:r>
      <w:proofErr w:type="spellEnd"/>
      <w:r w:rsidRPr="00223F04">
        <w:rPr>
          <w:sz w:val="24"/>
          <w:szCs w:val="24"/>
        </w:rPr>
        <w:t xml:space="preserve"> </w:t>
      </w:r>
      <w:proofErr w:type="spellStart"/>
      <w:r w:rsidRPr="00223F04">
        <w:rPr>
          <w:sz w:val="24"/>
          <w:szCs w:val="24"/>
        </w:rPr>
        <w:t>reaktivitet</w:t>
      </w:r>
      <w:proofErr w:type="spellEnd"/>
      <w:r w:rsidRPr="00223F04">
        <w:rPr>
          <w:sz w:val="24"/>
          <w:szCs w:val="24"/>
        </w:rPr>
        <w:t xml:space="preserve"> hos disse patienter påvises samtidig ved en positiv hudpriktest over for enten 9 % </w:t>
      </w:r>
      <w:proofErr w:type="spellStart"/>
      <w:r w:rsidRPr="00223F04">
        <w:rPr>
          <w:sz w:val="24"/>
          <w:szCs w:val="24"/>
        </w:rPr>
        <w:t>codeinphosphat</w:t>
      </w:r>
      <w:proofErr w:type="spellEnd"/>
      <w:r w:rsidRPr="00223F04">
        <w:rPr>
          <w:sz w:val="24"/>
          <w:szCs w:val="24"/>
        </w:rPr>
        <w:t xml:space="preserve"> eller 10 mg/ml </w:t>
      </w:r>
      <w:proofErr w:type="spellStart"/>
      <w:r w:rsidRPr="00223F04">
        <w:rPr>
          <w:sz w:val="24"/>
          <w:szCs w:val="24"/>
        </w:rPr>
        <w:t>histamindihydrochlorid</w:t>
      </w:r>
      <w:proofErr w:type="spellEnd"/>
      <w:r w:rsidRPr="00223F04">
        <w:rPr>
          <w:sz w:val="24"/>
          <w:szCs w:val="24"/>
        </w:rPr>
        <w:t xml:space="preserve">. RI-enheden fra </w:t>
      </w:r>
      <w:proofErr w:type="spellStart"/>
      <w:r w:rsidRPr="00223F04">
        <w:rPr>
          <w:sz w:val="24"/>
          <w:szCs w:val="24"/>
        </w:rPr>
        <w:t>Stallergenes</w:t>
      </w:r>
      <w:proofErr w:type="spellEnd"/>
      <w:r w:rsidRPr="00223F04">
        <w:rPr>
          <w:sz w:val="24"/>
          <w:szCs w:val="24"/>
        </w:rPr>
        <w:t xml:space="preserve"> kan ikke sammenlignes med de enheder, der anvendes af andre allergenproducenter.</w:t>
      </w:r>
    </w:p>
    <w:p w14:paraId="457E3276" w14:textId="77777777" w:rsidR="00441AE6" w:rsidRPr="00223F04" w:rsidRDefault="00441AE6" w:rsidP="00441AE6">
      <w:pPr>
        <w:tabs>
          <w:tab w:val="left" w:pos="851"/>
        </w:tabs>
        <w:ind w:left="851"/>
        <w:rPr>
          <w:sz w:val="24"/>
          <w:szCs w:val="24"/>
        </w:rPr>
      </w:pPr>
    </w:p>
    <w:p w14:paraId="547C13C8" w14:textId="77777777" w:rsidR="001374A4" w:rsidRPr="00223F04" w:rsidRDefault="001374A4" w:rsidP="001374A4">
      <w:pPr>
        <w:tabs>
          <w:tab w:val="left" w:pos="851"/>
        </w:tabs>
        <w:ind w:left="851"/>
        <w:rPr>
          <w:sz w:val="24"/>
          <w:szCs w:val="24"/>
          <w:u w:val="single"/>
        </w:rPr>
      </w:pPr>
      <w:r w:rsidRPr="00223F04">
        <w:rPr>
          <w:sz w:val="24"/>
          <w:szCs w:val="24"/>
          <w:u w:val="single"/>
        </w:rPr>
        <w:t>Hjælpestof, som behandleren skal være opmærksom på</w:t>
      </w:r>
    </w:p>
    <w:p w14:paraId="370FCA6E" w14:textId="77777777" w:rsidR="001374A4" w:rsidRPr="00223F04" w:rsidRDefault="001374A4" w:rsidP="001374A4">
      <w:pPr>
        <w:tabs>
          <w:tab w:val="left" w:pos="851"/>
        </w:tabs>
        <w:ind w:left="851"/>
        <w:rPr>
          <w:sz w:val="24"/>
          <w:szCs w:val="24"/>
        </w:rPr>
      </w:pPr>
      <w:r w:rsidRPr="00223F04">
        <w:rPr>
          <w:sz w:val="24"/>
          <w:szCs w:val="24"/>
        </w:rPr>
        <w:t xml:space="preserve">Hver </w:t>
      </w:r>
      <w:proofErr w:type="spellStart"/>
      <w:r w:rsidRPr="00223F04">
        <w:rPr>
          <w:sz w:val="24"/>
          <w:szCs w:val="24"/>
        </w:rPr>
        <w:t>sublingual</w:t>
      </w:r>
      <w:r>
        <w:rPr>
          <w:sz w:val="24"/>
          <w:szCs w:val="24"/>
        </w:rPr>
        <w:t>e</w:t>
      </w:r>
      <w:proofErr w:type="spellEnd"/>
      <w:r w:rsidRPr="00223F04">
        <w:rPr>
          <w:sz w:val="24"/>
          <w:szCs w:val="24"/>
        </w:rPr>
        <w:t xml:space="preserve"> </w:t>
      </w:r>
      <w:proofErr w:type="spellStart"/>
      <w:r w:rsidRPr="00223F04">
        <w:rPr>
          <w:sz w:val="24"/>
          <w:szCs w:val="24"/>
        </w:rPr>
        <w:t>resoriblet</w:t>
      </w:r>
      <w:proofErr w:type="spellEnd"/>
      <w:r w:rsidRPr="00223F04">
        <w:rPr>
          <w:sz w:val="24"/>
          <w:szCs w:val="24"/>
        </w:rPr>
        <w:t xml:space="preserve"> på 300 RI indeholder 81,</w:t>
      </w:r>
      <w:r>
        <w:rPr>
          <w:sz w:val="24"/>
          <w:szCs w:val="24"/>
        </w:rPr>
        <w:t>7-</w:t>
      </w:r>
      <w:r w:rsidRPr="00223F04">
        <w:rPr>
          <w:sz w:val="24"/>
          <w:szCs w:val="24"/>
        </w:rPr>
        <w:t>83,</w:t>
      </w:r>
      <w:r>
        <w:rPr>
          <w:sz w:val="24"/>
          <w:szCs w:val="24"/>
        </w:rPr>
        <w:t>2</w:t>
      </w:r>
      <w:r w:rsidRPr="00223F04">
        <w:rPr>
          <w:sz w:val="24"/>
          <w:szCs w:val="24"/>
        </w:rPr>
        <w:t xml:space="preserve"> mg </w:t>
      </w:r>
      <w:proofErr w:type="spellStart"/>
      <w:r w:rsidRPr="00223F04">
        <w:rPr>
          <w:sz w:val="24"/>
          <w:szCs w:val="24"/>
        </w:rPr>
        <w:t>lactosemonohydrat</w:t>
      </w:r>
      <w:proofErr w:type="spellEnd"/>
      <w:r w:rsidRPr="00223F04">
        <w:rPr>
          <w:sz w:val="24"/>
          <w:szCs w:val="24"/>
        </w:rPr>
        <w:t>.</w:t>
      </w:r>
    </w:p>
    <w:p w14:paraId="6C0112EC" w14:textId="77777777" w:rsidR="00441AE6" w:rsidRPr="00223F04" w:rsidRDefault="00441AE6" w:rsidP="00441AE6">
      <w:pPr>
        <w:tabs>
          <w:tab w:val="left" w:pos="851"/>
        </w:tabs>
        <w:ind w:left="851"/>
        <w:rPr>
          <w:sz w:val="24"/>
          <w:szCs w:val="24"/>
        </w:rPr>
      </w:pPr>
    </w:p>
    <w:p w14:paraId="003FE6D1" w14:textId="77777777" w:rsidR="00441AE6" w:rsidRPr="00223F04" w:rsidRDefault="00441AE6" w:rsidP="00441AE6">
      <w:pPr>
        <w:tabs>
          <w:tab w:val="left" w:pos="851"/>
        </w:tabs>
        <w:ind w:left="851"/>
        <w:rPr>
          <w:sz w:val="24"/>
          <w:szCs w:val="24"/>
        </w:rPr>
      </w:pPr>
      <w:r w:rsidRPr="00223F04">
        <w:rPr>
          <w:sz w:val="24"/>
          <w:szCs w:val="24"/>
        </w:rPr>
        <w:t>Alle hjælpestoffer er anført under pkt. 6.1.</w:t>
      </w:r>
    </w:p>
    <w:p w14:paraId="600BD388" w14:textId="77777777" w:rsidR="009260DE" w:rsidRPr="00C84483" w:rsidRDefault="009260DE" w:rsidP="009260DE">
      <w:pPr>
        <w:tabs>
          <w:tab w:val="left" w:pos="851"/>
        </w:tabs>
        <w:ind w:left="851"/>
        <w:rPr>
          <w:sz w:val="24"/>
          <w:szCs w:val="24"/>
        </w:rPr>
      </w:pPr>
    </w:p>
    <w:p w14:paraId="40BEF3C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F06BF93" w14:textId="2B5F3202" w:rsidR="008665EF" w:rsidRPr="008665EF" w:rsidRDefault="008665EF" w:rsidP="008665EF">
      <w:pPr>
        <w:tabs>
          <w:tab w:val="left" w:pos="851"/>
        </w:tabs>
        <w:ind w:left="851"/>
        <w:rPr>
          <w:sz w:val="24"/>
          <w:szCs w:val="24"/>
        </w:rPr>
      </w:pPr>
      <w:proofErr w:type="spellStart"/>
      <w:r w:rsidRPr="008665EF">
        <w:rPr>
          <w:sz w:val="24"/>
          <w:szCs w:val="24"/>
        </w:rPr>
        <w:t>Sublingual</w:t>
      </w:r>
      <w:r w:rsidR="00396FC5">
        <w:rPr>
          <w:sz w:val="24"/>
          <w:szCs w:val="24"/>
        </w:rPr>
        <w:t>e</w:t>
      </w:r>
      <w:proofErr w:type="spellEnd"/>
      <w:r w:rsidRPr="008665EF">
        <w:rPr>
          <w:sz w:val="24"/>
          <w:szCs w:val="24"/>
        </w:rPr>
        <w:t xml:space="preserve"> </w:t>
      </w:r>
      <w:proofErr w:type="spellStart"/>
      <w:r w:rsidRPr="008665EF">
        <w:rPr>
          <w:sz w:val="24"/>
          <w:szCs w:val="24"/>
        </w:rPr>
        <w:t>resoriblet</w:t>
      </w:r>
      <w:r>
        <w:rPr>
          <w:sz w:val="24"/>
          <w:szCs w:val="24"/>
        </w:rPr>
        <w:t>ter</w:t>
      </w:r>
      <w:proofErr w:type="spellEnd"/>
      <w:r w:rsidR="00204521">
        <w:rPr>
          <w:sz w:val="24"/>
          <w:szCs w:val="24"/>
        </w:rPr>
        <w:t xml:space="preserve"> (</w:t>
      </w:r>
      <w:proofErr w:type="spellStart"/>
      <w:r w:rsidR="00204521">
        <w:rPr>
          <w:sz w:val="24"/>
          <w:szCs w:val="24"/>
        </w:rPr>
        <w:t>Orifarm</w:t>
      </w:r>
      <w:proofErr w:type="spellEnd"/>
      <w:r w:rsidR="00204521">
        <w:rPr>
          <w:sz w:val="24"/>
          <w:szCs w:val="24"/>
        </w:rPr>
        <w:t>)</w:t>
      </w:r>
    </w:p>
    <w:p w14:paraId="6D1A7DC0" w14:textId="77777777" w:rsidR="009260DE" w:rsidRPr="00C84483" w:rsidRDefault="009260DE" w:rsidP="009260DE">
      <w:pPr>
        <w:tabs>
          <w:tab w:val="left" w:pos="851"/>
        </w:tabs>
        <w:ind w:left="851"/>
        <w:rPr>
          <w:sz w:val="24"/>
          <w:szCs w:val="24"/>
        </w:rPr>
      </w:pPr>
    </w:p>
    <w:p w14:paraId="2C572E5B" w14:textId="1A2EB17E" w:rsidR="007A2682" w:rsidRDefault="007A2682">
      <w:pPr>
        <w:rPr>
          <w:sz w:val="24"/>
          <w:szCs w:val="24"/>
        </w:rPr>
      </w:pPr>
      <w:r>
        <w:rPr>
          <w:sz w:val="24"/>
          <w:szCs w:val="24"/>
        </w:rPr>
        <w:br w:type="page"/>
      </w:r>
    </w:p>
    <w:p w14:paraId="0C5BF25D" w14:textId="77777777" w:rsidR="009260DE" w:rsidRPr="00C84483" w:rsidRDefault="009260DE" w:rsidP="009260DE">
      <w:pPr>
        <w:tabs>
          <w:tab w:val="left" w:pos="851"/>
        </w:tabs>
        <w:ind w:left="851"/>
        <w:rPr>
          <w:sz w:val="24"/>
          <w:szCs w:val="24"/>
        </w:rPr>
      </w:pPr>
    </w:p>
    <w:p w14:paraId="279A196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CE1F32" w14:textId="77777777" w:rsidR="009260DE" w:rsidRPr="00C84483" w:rsidRDefault="009260DE" w:rsidP="009260DE">
      <w:pPr>
        <w:tabs>
          <w:tab w:val="left" w:pos="851"/>
        </w:tabs>
        <w:ind w:left="851"/>
        <w:rPr>
          <w:b/>
          <w:sz w:val="24"/>
          <w:szCs w:val="24"/>
        </w:rPr>
      </w:pPr>
    </w:p>
    <w:p w14:paraId="478FAEA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F8D8259" w14:textId="7372E0FA" w:rsidR="00441AE6" w:rsidRPr="003C4197" w:rsidRDefault="00441AE6" w:rsidP="00441AE6">
      <w:pPr>
        <w:tabs>
          <w:tab w:val="left" w:pos="851"/>
        </w:tabs>
        <w:ind w:left="851"/>
        <w:rPr>
          <w:sz w:val="24"/>
          <w:szCs w:val="24"/>
        </w:rPr>
      </w:pPr>
      <w:r w:rsidRPr="008665EF">
        <w:rPr>
          <w:sz w:val="24"/>
          <w:szCs w:val="24"/>
        </w:rPr>
        <w:t xml:space="preserve">Behandling af græspollenudløst allergisk </w:t>
      </w:r>
      <w:proofErr w:type="spellStart"/>
      <w:r w:rsidRPr="008665EF">
        <w:rPr>
          <w:sz w:val="24"/>
          <w:szCs w:val="24"/>
        </w:rPr>
        <w:t>rhinitis</w:t>
      </w:r>
      <w:proofErr w:type="spellEnd"/>
      <w:r w:rsidRPr="008665EF">
        <w:rPr>
          <w:sz w:val="24"/>
          <w:szCs w:val="24"/>
        </w:rPr>
        <w:t xml:space="preserve"> med eller uden </w:t>
      </w:r>
      <w:proofErr w:type="spellStart"/>
      <w:r w:rsidRPr="008665EF">
        <w:rPr>
          <w:sz w:val="24"/>
          <w:szCs w:val="24"/>
        </w:rPr>
        <w:t>konjunktivitis</w:t>
      </w:r>
      <w:proofErr w:type="spellEnd"/>
      <w:r w:rsidRPr="008665EF">
        <w:rPr>
          <w:sz w:val="24"/>
          <w:szCs w:val="24"/>
        </w:rPr>
        <w:t xml:space="preserve"> hos voksne, unge og børn (over 5 år) med klinisk relevante symptomer, som er bekræftet via en positiv hudpriktest og/eller specifik </w:t>
      </w:r>
      <w:proofErr w:type="spellStart"/>
      <w:r w:rsidR="001374A4" w:rsidRPr="008665EF">
        <w:rPr>
          <w:sz w:val="24"/>
          <w:szCs w:val="24"/>
        </w:rPr>
        <w:t>IgE</w:t>
      </w:r>
      <w:proofErr w:type="spellEnd"/>
      <w:r w:rsidR="001374A4" w:rsidRPr="008665EF">
        <w:rPr>
          <w:sz w:val="24"/>
          <w:szCs w:val="24"/>
        </w:rPr>
        <w:t xml:space="preserve">-test over for </w:t>
      </w:r>
      <w:r w:rsidR="001374A4">
        <w:rPr>
          <w:sz w:val="24"/>
          <w:szCs w:val="24"/>
        </w:rPr>
        <w:t xml:space="preserve">en </w:t>
      </w:r>
      <w:r w:rsidR="001374A4" w:rsidRPr="008665EF">
        <w:rPr>
          <w:sz w:val="24"/>
          <w:szCs w:val="24"/>
        </w:rPr>
        <w:t>græspollen</w:t>
      </w:r>
      <w:r w:rsidR="001374A4">
        <w:rPr>
          <w:sz w:val="24"/>
          <w:szCs w:val="24"/>
        </w:rPr>
        <w:t xml:space="preserve"> i den homologe </w:t>
      </w:r>
      <w:proofErr w:type="spellStart"/>
      <w:r w:rsidR="001374A4" w:rsidRPr="008C64B9">
        <w:rPr>
          <w:color w:val="000000"/>
          <w:sz w:val="24"/>
          <w:szCs w:val="24"/>
        </w:rPr>
        <w:t>Pooideae</w:t>
      </w:r>
      <w:proofErr w:type="spellEnd"/>
      <w:r w:rsidR="001374A4" w:rsidRPr="008C64B9">
        <w:rPr>
          <w:color w:val="000000"/>
          <w:sz w:val="24"/>
          <w:szCs w:val="24"/>
        </w:rPr>
        <w:t xml:space="preserve"> underfamilie</w:t>
      </w:r>
      <w:r w:rsidR="001374A4" w:rsidRPr="008C64B9">
        <w:rPr>
          <w:color w:val="000000"/>
          <w:sz w:val="24"/>
          <w:szCs w:val="24"/>
          <w:vertAlign w:val="superscript"/>
        </w:rPr>
        <w:t>1</w:t>
      </w:r>
      <w:r w:rsidR="001374A4" w:rsidRPr="003C4197">
        <w:rPr>
          <w:sz w:val="24"/>
          <w:szCs w:val="24"/>
        </w:rPr>
        <w:t>.</w:t>
      </w:r>
    </w:p>
    <w:p w14:paraId="12CE4D8D" w14:textId="77777777" w:rsidR="00441AE6" w:rsidRPr="003C4197" w:rsidRDefault="00441AE6" w:rsidP="00441AE6">
      <w:pPr>
        <w:tabs>
          <w:tab w:val="left" w:pos="851"/>
        </w:tabs>
        <w:ind w:left="851"/>
        <w:rPr>
          <w:sz w:val="24"/>
          <w:szCs w:val="24"/>
        </w:rPr>
      </w:pPr>
    </w:p>
    <w:p w14:paraId="0F81DD10" w14:textId="77777777" w:rsidR="00441AE6" w:rsidRPr="00F76215" w:rsidRDefault="00441AE6" w:rsidP="00441AE6">
      <w:pPr>
        <w:ind w:left="851"/>
        <w:jc w:val="both"/>
        <w:rPr>
          <w:sz w:val="24"/>
          <w:szCs w:val="24"/>
        </w:rPr>
      </w:pPr>
      <w:r w:rsidRPr="00F76215">
        <w:rPr>
          <w:i/>
          <w:iCs/>
          <w:color w:val="000000"/>
          <w:sz w:val="24"/>
          <w:szCs w:val="24"/>
          <w:vertAlign w:val="superscript"/>
        </w:rPr>
        <w:t>1</w:t>
      </w:r>
      <w:r w:rsidRPr="00F76215">
        <w:rPr>
          <w:i/>
          <w:iCs/>
          <w:color w:val="000000"/>
          <w:sz w:val="24"/>
          <w:szCs w:val="24"/>
        </w:rPr>
        <w:t xml:space="preserve"> Homolog </w:t>
      </w:r>
      <w:proofErr w:type="spellStart"/>
      <w:r w:rsidRPr="00F76215">
        <w:rPr>
          <w:i/>
          <w:iCs/>
          <w:color w:val="000000"/>
          <w:sz w:val="24"/>
          <w:szCs w:val="24"/>
        </w:rPr>
        <w:t>Pooideae</w:t>
      </w:r>
      <w:proofErr w:type="spellEnd"/>
      <w:r w:rsidRPr="00F76215">
        <w:rPr>
          <w:i/>
          <w:iCs/>
          <w:color w:val="000000"/>
          <w:sz w:val="24"/>
          <w:szCs w:val="24"/>
        </w:rPr>
        <w:t xml:space="preserve"> (tempereret) underfamilie: </w:t>
      </w:r>
      <w:proofErr w:type="spellStart"/>
      <w:r w:rsidRPr="00F76215">
        <w:rPr>
          <w:i/>
          <w:iCs/>
          <w:color w:val="000000"/>
          <w:sz w:val="24"/>
          <w:szCs w:val="24"/>
        </w:rPr>
        <w:t>Phleum</w:t>
      </w:r>
      <w:proofErr w:type="spellEnd"/>
      <w:r w:rsidRPr="00F76215">
        <w:rPr>
          <w:i/>
          <w:iCs/>
          <w:color w:val="000000"/>
          <w:sz w:val="24"/>
          <w:szCs w:val="24"/>
        </w:rPr>
        <w:t xml:space="preserve"> </w:t>
      </w:r>
      <w:proofErr w:type="spellStart"/>
      <w:r w:rsidRPr="00F76215">
        <w:rPr>
          <w:i/>
          <w:iCs/>
          <w:color w:val="000000"/>
          <w:sz w:val="24"/>
          <w:szCs w:val="24"/>
        </w:rPr>
        <w:t>pratense</w:t>
      </w:r>
      <w:proofErr w:type="spellEnd"/>
      <w:r w:rsidRPr="00F76215">
        <w:rPr>
          <w:i/>
          <w:iCs/>
          <w:color w:val="000000"/>
          <w:sz w:val="24"/>
          <w:szCs w:val="24"/>
        </w:rPr>
        <w:t xml:space="preserve"> (Engrottehale), </w:t>
      </w:r>
      <w:proofErr w:type="spellStart"/>
      <w:r w:rsidRPr="00F76215">
        <w:rPr>
          <w:i/>
          <w:iCs/>
          <w:color w:val="000000"/>
          <w:sz w:val="24"/>
          <w:szCs w:val="24"/>
        </w:rPr>
        <w:t>Anthoxanthum</w:t>
      </w:r>
      <w:proofErr w:type="spellEnd"/>
      <w:r w:rsidRPr="00F76215">
        <w:rPr>
          <w:i/>
          <w:iCs/>
          <w:color w:val="000000"/>
          <w:sz w:val="24"/>
          <w:szCs w:val="24"/>
        </w:rPr>
        <w:t xml:space="preserve"> </w:t>
      </w:r>
      <w:proofErr w:type="spellStart"/>
      <w:r w:rsidRPr="00F76215">
        <w:rPr>
          <w:i/>
          <w:iCs/>
          <w:color w:val="000000"/>
          <w:sz w:val="24"/>
          <w:szCs w:val="24"/>
        </w:rPr>
        <w:t>odoratum</w:t>
      </w:r>
      <w:proofErr w:type="spellEnd"/>
      <w:r w:rsidRPr="00F76215">
        <w:rPr>
          <w:i/>
          <w:iCs/>
          <w:color w:val="000000"/>
          <w:sz w:val="24"/>
          <w:szCs w:val="24"/>
        </w:rPr>
        <w:t xml:space="preserve"> (Vellugtende gulaks), </w:t>
      </w:r>
      <w:proofErr w:type="spellStart"/>
      <w:r w:rsidRPr="00F76215">
        <w:rPr>
          <w:i/>
          <w:iCs/>
          <w:color w:val="000000"/>
          <w:sz w:val="24"/>
          <w:szCs w:val="24"/>
        </w:rPr>
        <w:t>Avena</w:t>
      </w:r>
      <w:proofErr w:type="spellEnd"/>
      <w:r w:rsidRPr="00F76215">
        <w:rPr>
          <w:i/>
          <w:iCs/>
          <w:color w:val="000000"/>
          <w:sz w:val="24"/>
          <w:szCs w:val="24"/>
        </w:rPr>
        <w:t xml:space="preserve"> </w:t>
      </w:r>
      <w:proofErr w:type="spellStart"/>
      <w:r w:rsidRPr="00F76215">
        <w:rPr>
          <w:i/>
          <w:iCs/>
          <w:color w:val="000000"/>
          <w:sz w:val="24"/>
          <w:szCs w:val="24"/>
        </w:rPr>
        <w:t>sativa</w:t>
      </w:r>
      <w:proofErr w:type="spellEnd"/>
      <w:r w:rsidRPr="00F76215">
        <w:rPr>
          <w:i/>
          <w:iCs/>
          <w:color w:val="000000"/>
          <w:sz w:val="24"/>
          <w:szCs w:val="24"/>
        </w:rPr>
        <w:t xml:space="preserve"> (</w:t>
      </w:r>
      <w:r>
        <w:rPr>
          <w:i/>
          <w:iCs/>
          <w:color w:val="000000"/>
          <w:sz w:val="24"/>
          <w:szCs w:val="24"/>
        </w:rPr>
        <w:t>Almindelig h</w:t>
      </w:r>
      <w:r w:rsidRPr="00F76215">
        <w:rPr>
          <w:i/>
          <w:iCs/>
          <w:color w:val="000000"/>
          <w:sz w:val="24"/>
          <w:szCs w:val="24"/>
        </w:rPr>
        <w:t xml:space="preserve">avre), </w:t>
      </w:r>
      <w:proofErr w:type="spellStart"/>
      <w:r w:rsidRPr="00F76215">
        <w:rPr>
          <w:i/>
          <w:iCs/>
          <w:color w:val="000000"/>
          <w:sz w:val="24"/>
          <w:szCs w:val="24"/>
        </w:rPr>
        <w:t>Dactylis</w:t>
      </w:r>
      <w:proofErr w:type="spellEnd"/>
      <w:r w:rsidRPr="00F76215">
        <w:rPr>
          <w:i/>
          <w:iCs/>
          <w:color w:val="000000"/>
          <w:sz w:val="24"/>
          <w:szCs w:val="24"/>
        </w:rPr>
        <w:t xml:space="preserve"> </w:t>
      </w:r>
      <w:proofErr w:type="spellStart"/>
      <w:r w:rsidRPr="00F76215">
        <w:rPr>
          <w:i/>
          <w:iCs/>
          <w:color w:val="000000"/>
          <w:sz w:val="24"/>
          <w:szCs w:val="24"/>
        </w:rPr>
        <w:t>glomerata</w:t>
      </w:r>
      <w:proofErr w:type="spellEnd"/>
      <w:r w:rsidRPr="00F76215">
        <w:rPr>
          <w:i/>
          <w:iCs/>
          <w:color w:val="000000"/>
          <w:sz w:val="24"/>
          <w:szCs w:val="24"/>
        </w:rPr>
        <w:t xml:space="preserve"> (</w:t>
      </w:r>
      <w:r>
        <w:rPr>
          <w:i/>
          <w:iCs/>
          <w:color w:val="000000"/>
          <w:sz w:val="24"/>
          <w:szCs w:val="24"/>
        </w:rPr>
        <w:t>Almindelig h</w:t>
      </w:r>
      <w:r w:rsidRPr="00F76215">
        <w:rPr>
          <w:i/>
          <w:iCs/>
          <w:color w:val="000000"/>
          <w:sz w:val="24"/>
          <w:szCs w:val="24"/>
        </w:rPr>
        <w:t xml:space="preserve">undegræs), </w:t>
      </w:r>
      <w:proofErr w:type="spellStart"/>
      <w:r w:rsidRPr="00F76215">
        <w:rPr>
          <w:i/>
          <w:iCs/>
          <w:color w:val="000000"/>
          <w:sz w:val="24"/>
          <w:szCs w:val="24"/>
        </w:rPr>
        <w:t>Festuca</w:t>
      </w:r>
      <w:proofErr w:type="spellEnd"/>
      <w:r w:rsidRPr="00F76215">
        <w:rPr>
          <w:i/>
          <w:iCs/>
          <w:color w:val="000000"/>
          <w:sz w:val="24"/>
          <w:szCs w:val="24"/>
        </w:rPr>
        <w:t xml:space="preserve"> </w:t>
      </w:r>
      <w:proofErr w:type="spellStart"/>
      <w:r w:rsidRPr="00F76215">
        <w:rPr>
          <w:i/>
          <w:iCs/>
          <w:color w:val="000000"/>
          <w:sz w:val="24"/>
          <w:szCs w:val="24"/>
        </w:rPr>
        <w:t>spp</w:t>
      </w:r>
      <w:proofErr w:type="spellEnd"/>
      <w:r w:rsidRPr="00F76215">
        <w:rPr>
          <w:i/>
          <w:iCs/>
          <w:color w:val="000000"/>
          <w:sz w:val="24"/>
          <w:szCs w:val="24"/>
        </w:rPr>
        <w:t xml:space="preserve">. (Svingel), </w:t>
      </w:r>
      <w:proofErr w:type="spellStart"/>
      <w:r w:rsidRPr="00F76215">
        <w:rPr>
          <w:i/>
          <w:iCs/>
          <w:color w:val="000000"/>
          <w:sz w:val="24"/>
          <w:szCs w:val="24"/>
        </w:rPr>
        <w:t>Holcus</w:t>
      </w:r>
      <w:proofErr w:type="spellEnd"/>
      <w:r w:rsidRPr="00F76215">
        <w:rPr>
          <w:i/>
          <w:iCs/>
          <w:color w:val="000000"/>
          <w:sz w:val="24"/>
          <w:szCs w:val="24"/>
        </w:rPr>
        <w:t xml:space="preserve"> </w:t>
      </w:r>
      <w:proofErr w:type="spellStart"/>
      <w:r w:rsidRPr="00F76215">
        <w:rPr>
          <w:i/>
          <w:iCs/>
          <w:color w:val="000000"/>
          <w:sz w:val="24"/>
          <w:szCs w:val="24"/>
        </w:rPr>
        <w:t>lanatus</w:t>
      </w:r>
      <w:proofErr w:type="spellEnd"/>
      <w:r w:rsidRPr="00F76215">
        <w:rPr>
          <w:i/>
          <w:iCs/>
          <w:color w:val="000000"/>
          <w:sz w:val="24"/>
          <w:szCs w:val="24"/>
        </w:rPr>
        <w:t xml:space="preserve"> (Fløjlsgræs), </w:t>
      </w:r>
      <w:proofErr w:type="spellStart"/>
      <w:r w:rsidRPr="00F76215">
        <w:rPr>
          <w:i/>
          <w:iCs/>
          <w:color w:val="000000"/>
          <w:sz w:val="24"/>
          <w:szCs w:val="24"/>
        </w:rPr>
        <w:t>Hordeum</w:t>
      </w:r>
      <w:proofErr w:type="spellEnd"/>
      <w:r w:rsidRPr="00F76215">
        <w:rPr>
          <w:i/>
          <w:iCs/>
          <w:color w:val="000000"/>
          <w:sz w:val="24"/>
          <w:szCs w:val="24"/>
        </w:rPr>
        <w:t xml:space="preserve"> </w:t>
      </w:r>
      <w:proofErr w:type="spellStart"/>
      <w:r w:rsidRPr="00F76215">
        <w:rPr>
          <w:i/>
          <w:iCs/>
          <w:color w:val="000000"/>
          <w:sz w:val="24"/>
          <w:szCs w:val="24"/>
        </w:rPr>
        <w:t>vulgare</w:t>
      </w:r>
      <w:proofErr w:type="spellEnd"/>
      <w:r w:rsidRPr="00F76215">
        <w:rPr>
          <w:i/>
          <w:iCs/>
          <w:color w:val="000000"/>
          <w:sz w:val="24"/>
          <w:szCs w:val="24"/>
        </w:rPr>
        <w:t xml:space="preserve"> (</w:t>
      </w:r>
      <w:r>
        <w:rPr>
          <w:i/>
          <w:iCs/>
          <w:color w:val="000000"/>
          <w:sz w:val="24"/>
          <w:szCs w:val="24"/>
        </w:rPr>
        <w:t>Almindelig b</w:t>
      </w:r>
      <w:r w:rsidRPr="00F76215">
        <w:rPr>
          <w:i/>
          <w:iCs/>
          <w:color w:val="000000"/>
          <w:sz w:val="24"/>
          <w:szCs w:val="24"/>
        </w:rPr>
        <w:t xml:space="preserve">yg), </w:t>
      </w:r>
      <w:proofErr w:type="spellStart"/>
      <w:r w:rsidRPr="00F76215">
        <w:rPr>
          <w:i/>
          <w:iCs/>
          <w:color w:val="000000"/>
          <w:sz w:val="24"/>
          <w:szCs w:val="24"/>
        </w:rPr>
        <w:t>Lolium</w:t>
      </w:r>
      <w:proofErr w:type="spellEnd"/>
      <w:r w:rsidRPr="00F76215">
        <w:rPr>
          <w:i/>
          <w:iCs/>
          <w:color w:val="000000"/>
          <w:sz w:val="24"/>
          <w:szCs w:val="24"/>
        </w:rPr>
        <w:t xml:space="preserve"> </w:t>
      </w:r>
      <w:proofErr w:type="spellStart"/>
      <w:r w:rsidRPr="00F76215">
        <w:rPr>
          <w:i/>
          <w:iCs/>
          <w:color w:val="000000"/>
          <w:sz w:val="24"/>
          <w:szCs w:val="24"/>
        </w:rPr>
        <w:t>perenne</w:t>
      </w:r>
      <w:proofErr w:type="spellEnd"/>
      <w:r w:rsidRPr="00F76215">
        <w:rPr>
          <w:i/>
          <w:iCs/>
          <w:color w:val="000000"/>
          <w:sz w:val="24"/>
          <w:szCs w:val="24"/>
        </w:rPr>
        <w:t xml:space="preserve"> (Almindelig rajgræs), </w:t>
      </w:r>
      <w:proofErr w:type="spellStart"/>
      <w:r w:rsidRPr="00F76215">
        <w:rPr>
          <w:i/>
          <w:iCs/>
          <w:color w:val="000000"/>
          <w:sz w:val="24"/>
          <w:szCs w:val="24"/>
        </w:rPr>
        <w:t>Poa</w:t>
      </w:r>
      <w:proofErr w:type="spellEnd"/>
      <w:r w:rsidRPr="00F76215">
        <w:rPr>
          <w:i/>
          <w:iCs/>
          <w:color w:val="000000"/>
          <w:sz w:val="24"/>
          <w:szCs w:val="24"/>
        </w:rPr>
        <w:t xml:space="preserve"> </w:t>
      </w:r>
      <w:proofErr w:type="spellStart"/>
      <w:r w:rsidRPr="00F76215">
        <w:rPr>
          <w:i/>
          <w:iCs/>
          <w:color w:val="000000"/>
          <w:sz w:val="24"/>
          <w:szCs w:val="24"/>
        </w:rPr>
        <w:t>pratensis</w:t>
      </w:r>
      <w:proofErr w:type="spellEnd"/>
      <w:r w:rsidRPr="00F76215">
        <w:rPr>
          <w:i/>
          <w:iCs/>
          <w:color w:val="000000"/>
          <w:sz w:val="24"/>
          <w:szCs w:val="24"/>
        </w:rPr>
        <w:t xml:space="preserve"> (Engrapgræs), </w:t>
      </w:r>
      <w:proofErr w:type="spellStart"/>
      <w:r w:rsidRPr="00F76215">
        <w:rPr>
          <w:i/>
          <w:iCs/>
          <w:color w:val="000000"/>
          <w:sz w:val="24"/>
          <w:szCs w:val="24"/>
        </w:rPr>
        <w:t>Secale</w:t>
      </w:r>
      <w:proofErr w:type="spellEnd"/>
      <w:r w:rsidRPr="00F76215">
        <w:rPr>
          <w:i/>
          <w:iCs/>
          <w:color w:val="000000"/>
          <w:sz w:val="24"/>
          <w:szCs w:val="24"/>
        </w:rPr>
        <w:t xml:space="preserve"> </w:t>
      </w:r>
      <w:proofErr w:type="spellStart"/>
      <w:r w:rsidRPr="00F76215">
        <w:rPr>
          <w:i/>
          <w:iCs/>
          <w:color w:val="000000"/>
          <w:sz w:val="24"/>
          <w:szCs w:val="24"/>
        </w:rPr>
        <w:t>cereale</w:t>
      </w:r>
      <w:proofErr w:type="spellEnd"/>
      <w:r w:rsidRPr="00F76215">
        <w:rPr>
          <w:i/>
          <w:iCs/>
          <w:color w:val="000000"/>
          <w:sz w:val="24"/>
          <w:szCs w:val="24"/>
        </w:rPr>
        <w:t xml:space="preserve"> (Almindelig rug), </w:t>
      </w:r>
      <w:proofErr w:type="spellStart"/>
      <w:r w:rsidRPr="00F76215">
        <w:rPr>
          <w:i/>
          <w:iCs/>
          <w:color w:val="000000"/>
          <w:sz w:val="24"/>
          <w:szCs w:val="24"/>
        </w:rPr>
        <w:t>Triticum</w:t>
      </w:r>
      <w:proofErr w:type="spellEnd"/>
      <w:r w:rsidRPr="00F76215">
        <w:rPr>
          <w:i/>
          <w:iCs/>
          <w:color w:val="000000"/>
          <w:sz w:val="24"/>
          <w:szCs w:val="24"/>
        </w:rPr>
        <w:t xml:space="preserve"> </w:t>
      </w:r>
      <w:proofErr w:type="spellStart"/>
      <w:r w:rsidRPr="00F76215">
        <w:rPr>
          <w:i/>
          <w:iCs/>
          <w:color w:val="000000"/>
          <w:sz w:val="24"/>
          <w:szCs w:val="24"/>
        </w:rPr>
        <w:t>aestivum</w:t>
      </w:r>
      <w:proofErr w:type="spellEnd"/>
      <w:r w:rsidRPr="00F76215">
        <w:rPr>
          <w:i/>
          <w:iCs/>
          <w:color w:val="000000"/>
          <w:sz w:val="24"/>
          <w:szCs w:val="24"/>
        </w:rPr>
        <w:t xml:space="preserve"> (Almindelig hvede).</w:t>
      </w:r>
    </w:p>
    <w:p w14:paraId="11D45D04" w14:textId="77777777" w:rsidR="009260DE" w:rsidRPr="00C84483" w:rsidRDefault="009260DE" w:rsidP="009260DE">
      <w:pPr>
        <w:tabs>
          <w:tab w:val="left" w:pos="851"/>
        </w:tabs>
        <w:ind w:left="851"/>
        <w:rPr>
          <w:sz w:val="24"/>
          <w:szCs w:val="24"/>
        </w:rPr>
      </w:pPr>
    </w:p>
    <w:p w14:paraId="1B011FD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432BA20" w14:textId="77777777" w:rsidR="00441AE6" w:rsidRPr="008665EF" w:rsidRDefault="00441AE6" w:rsidP="00441AE6">
      <w:pPr>
        <w:tabs>
          <w:tab w:val="left" w:pos="851"/>
        </w:tabs>
        <w:ind w:left="851"/>
        <w:rPr>
          <w:sz w:val="24"/>
          <w:szCs w:val="24"/>
        </w:rPr>
      </w:pPr>
      <w:r w:rsidRPr="008665EF">
        <w:rPr>
          <w:sz w:val="24"/>
          <w:szCs w:val="24"/>
        </w:rPr>
        <w:t xml:space="preserve">Behandling med </w:t>
      </w:r>
      <w:proofErr w:type="spellStart"/>
      <w:r w:rsidRPr="008665EF">
        <w:rPr>
          <w:sz w:val="24"/>
          <w:szCs w:val="24"/>
        </w:rPr>
        <w:t>Aitgrys</w:t>
      </w:r>
      <w:proofErr w:type="spellEnd"/>
      <w:r w:rsidRPr="008665EF">
        <w:rPr>
          <w:sz w:val="24"/>
          <w:szCs w:val="24"/>
        </w:rPr>
        <w:t xml:space="preserve"> bør kun ordineres og initieres af læger med tilstrækkelig viden og erfaring inden for behandling af allergiske sygdomme. I tilfælde af pædiatrisk behandling bør lægen have den tilsvarende viden og erfaring med behandling af børn.</w:t>
      </w:r>
    </w:p>
    <w:p w14:paraId="791B2CAC" w14:textId="77777777" w:rsidR="00441AE6" w:rsidRPr="008665EF" w:rsidRDefault="00441AE6" w:rsidP="00441AE6">
      <w:pPr>
        <w:tabs>
          <w:tab w:val="left" w:pos="851"/>
        </w:tabs>
        <w:ind w:left="851"/>
        <w:rPr>
          <w:sz w:val="24"/>
          <w:szCs w:val="24"/>
        </w:rPr>
      </w:pPr>
    </w:p>
    <w:p w14:paraId="228DB487" w14:textId="77777777" w:rsidR="00441AE6" w:rsidRPr="008665EF" w:rsidRDefault="00441AE6" w:rsidP="00441AE6">
      <w:pPr>
        <w:tabs>
          <w:tab w:val="left" w:pos="851"/>
        </w:tabs>
        <w:ind w:left="851"/>
        <w:rPr>
          <w:sz w:val="24"/>
          <w:szCs w:val="24"/>
        </w:rPr>
      </w:pPr>
      <w:r w:rsidRPr="008665EF">
        <w:rPr>
          <w:sz w:val="24"/>
          <w:szCs w:val="24"/>
        </w:rPr>
        <w:t xml:space="preserve">Den første </w:t>
      </w:r>
      <w:proofErr w:type="spellStart"/>
      <w:r w:rsidRPr="008665EF">
        <w:rPr>
          <w:sz w:val="24"/>
          <w:szCs w:val="24"/>
        </w:rPr>
        <w:t>Aitgrys-resoriblet</w:t>
      </w:r>
      <w:proofErr w:type="spellEnd"/>
      <w:r w:rsidRPr="008665EF">
        <w:rPr>
          <w:sz w:val="24"/>
          <w:szCs w:val="24"/>
        </w:rPr>
        <w:t xml:space="preserve"> bør indtages under opsyn af en læge, og patienten bør monitoreres i mindst 30 minutter.</w:t>
      </w:r>
    </w:p>
    <w:p w14:paraId="31536434" w14:textId="77777777" w:rsidR="00441AE6" w:rsidRPr="008665EF" w:rsidRDefault="00441AE6" w:rsidP="00441AE6">
      <w:pPr>
        <w:tabs>
          <w:tab w:val="left" w:pos="851"/>
        </w:tabs>
        <w:ind w:left="851"/>
        <w:rPr>
          <w:sz w:val="24"/>
          <w:szCs w:val="24"/>
        </w:rPr>
      </w:pPr>
    </w:p>
    <w:p w14:paraId="6737EB77" w14:textId="77777777" w:rsidR="00441AE6" w:rsidRPr="008665EF" w:rsidRDefault="00441AE6" w:rsidP="00441AE6">
      <w:pPr>
        <w:tabs>
          <w:tab w:val="left" w:pos="851"/>
        </w:tabs>
        <w:ind w:left="851"/>
        <w:rPr>
          <w:sz w:val="24"/>
          <w:szCs w:val="24"/>
          <w:u w:val="single"/>
        </w:rPr>
      </w:pPr>
      <w:r w:rsidRPr="008665EF">
        <w:rPr>
          <w:sz w:val="24"/>
          <w:szCs w:val="24"/>
          <w:u w:val="single"/>
        </w:rPr>
        <w:t>Dosering</w:t>
      </w:r>
    </w:p>
    <w:p w14:paraId="6751267E" w14:textId="77777777" w:rsidR="00441AE6" w:rsidRPr="008665EF" w:rsidRDefault="00441AE6" w:rsidP="00441AE6">
      <w:pPr>
        <w:tabs>
          <w:tab w:val="left" w:pos="851"/>
        </w:tabs>
        <w:ind w:left="851"/>
        <w:rPr>
          <w:iCs/>
          <w:sz w:val="24"/>
          <w:szCs w:val="24"/>
        </w:rPr>
      </w:pPr>
      <w:r w:rsidRPr="008665EF">
        <w:rPr>
          <w:iCs/>
          <w:sz w:val="24"/>
          <w:szCs w:val="24"/>
        </w:rPr>
        <w:t xml:space="preserve">Behandlingen består af en indledende fase (inklusive en 3 dages </w:t>
      </w:r>
      <w:r w:rsidRPr="008665EF">
        <w:rPr>
          <w:sz w:val="24"/>
          <w:szCs w:val="24"/>
        </w:rPr>
        <w:t xml:space="preserve">dosiseskaleringsperiode) </w:t>
      </w:r>
      <w:r w:rsidRPr="008665EF">
        <w:rPr>
          <w:iCs/>
          <w:sz w:val="24"/>
          <w:szCs w:val="24"/>
        </w:rPr>
        <w:t xml:space="preserve">og en vedligeholdelsesfase. </w:t>
      </w:r>
    </w:p>
    <w:p w14:paraId="2F3EB00D" w14:textId="77777777" w:rsidR="00441AE6" w:rsidRPr="008665EF" w:rsidRDefault="00441AE6" w:rsidP="00441AE6">
      <w:pPr>
        <w:tabs>
          <w:tab w:val="left" w:pos="851"/>
        </w:tabs>
        <w:ind w:left="851"/>
        <w:rPr>
          <w:iCs/>
          <w:sz w:val="24"/>
          <w:szCs w:val="24"/>
        </w:rPr>
      </w:pPr>
    </w:p>
    <w:p w14:paraId="12F4BB5E" w14:textId="77777777" w:rsidR="00441AE6" w:rsidRPr="008665EF" w:rsidRDefault="00441AE6" w:rsidP="00441AE6">
      <w:pPr>
        <w:tabs>
          <w:tab w:val="left" w:pos="851"/>
        </w:tabs>
        <w:ind w:left="851"/>
        <w:rPr>
          <w:i/>
          <w:sz w:val="24"/>
          <w:szCs w:val="24"/>
        </w:rPr>
      </w:pPr>
      <w:r w:rsidRPr="008665EF">
        <w:rPr>
          <w:i/>
          <w:sz w:val="24"/>
          <w:szCs w:val="24"/>
        </w:rPr>
        <w:t>Indledende behandling</w:t>
      </w:r>
    </w:p>
    <w:p w14:paraId="51C4B40E" w14:textId="77777777" w:rsidR="00441AE6" w:rsidRPr="008665EF" w:rsidRDefault="00441AE6" w:rsidP="00441AE6">
      <w:pPr>
        <w:tabs>
          <w:tab w:val="left" w:pos="851"/>
        </w:tabs>
        <w:ind w:left="851"/>
        <w:rPr>
          <w:sz w:val="24"/>
          <w:szCs w:val="24"/>
        </w:rPr>
      </w:pPr>
      <w:r w:rsidRPr="008665EF">
        <w:rPr>
          <w:sz w:val="24"/>
          <w:szCs w:val="24"/>
        </w:rPr>
        <w:t xml:space="preserve">Dosis af </w:t>
      </w:r>
      <w:proofErr w:type="spellStart"/>
      <w:r w:rsidRPr="008665EF">
        <w:rPr>
          <w:sz w:val="24"/>
          <w:szCs w:val="24"/>
        </w:rPr>
        <w:t>Aitgrys</w:t>
      </w:r>
      <w:proofErr w:type="spellEnd"/>
      <w:r w:rsidRPr="008665EF">
        <w:rPr>
          <w:sz w:val="24"/>
          <w:szCs w:val="24"/>
        </w:rPr>
        <w:t xml:space="preserve"> skal øges over en periode på tre dage for at nå vedligeholdelsesdosis som anført i følgende skema:</w:t>
      </w:r>
    </w:p>
    <w:tbl>
      <w:tblPr>
        <w:tblpPr w:leftFromText="141" w:rightFromText="141" w:vertAnchor="text" w:horzAnchor="page" w:tblpX="206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55"/>
      </w:tblGrid>
      <w:tr w:rsidR="00441AE6" w:rsidRPr="008665EF" w14:paraId="01F2BA5D"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023C4BB1" w14:textId="77777777" w:rsidR="00441AE6" w:rsidRPr="008665EF" w:rsidRDefault="00441AE6" w:rsidP="00F76215">
            <w:pPr>
              <w:ind w:left="32"/>
              <w:rPr>
                <w:sz w:val="24"/>
                <w:szCs w:val="24"/>
              </w:rPr>
            </w:pPr>
            <w:r w:rsidRPr="008665EF">
              <w:rPr>
                <w:sz w:val="24"/>
                <w:szCs w:val="24"/>
              </w:rPr>
              <w:t xml:space="preserve">Dag 1 </w:t>
            </w:r>
          </w:p>
        </w:tc>
        <w:tc>
          <w:tcPr>
            <w:tcW w:w="0" w:type="auto"/>
            <w:tcBorders>
              <w:top w:val="single" w:sz="4" w:space="0" w:color="auto"/>
              <w:left w:val="single" w:sz="4" w:space="0" w:color="auto"/>
              <w:bottom w:val="single" w:sz="4" w:space="0" w:color="auto"/>
              <w:right w:val="single" w:sz="4" w:space="0" w:color="auto"/>
            </w:tcBorders>
            <w:hideMark/>
          </w:tcPr>
          <w:p w14:paraId="5E30672B" w14:textId="77777777" w:rsidR="00441AE6" w:rsidRPr="008665EF" w:rsidRDefault="00441AE6" w:rsidP="00F76215">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100 RI</w:t>
            </w:r>
          </w:p>
        </w:tc>
      </w:tr>
      <w:tr w:rsidR="00441AE6" w:rsidRPr="008665EF" w14:paraId="53AA59E2"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57E42ED1" w14:textId="77777777" w:rsidR="00441AE6" w:rsidRPr="008665EF" w:rsidRDefault="00441AE6" w:rsidP="00F76215">
            <w:pPr>
              <w:ind w:left="32"/>
              <w:rPr>
                <w:sz w:val="24"/>
                <w:szCs w:val="24"/>
              </w:rPr>
            </w:pPr>
            <w:r w:rsidRPr="008665EF">
              <w:rPr>
                <w:sz w:val="24"/>
                <w:szCs w:val="24"/>
              </w:rPr>
              <w:t xml:space="preserve">Dag 2 </w:t>
            </w:r>
          </w:p>
        </w:tc>
        <w:tc>
          <w:tcPr>
            <w:tcW w:w="0" w:type="auto"/>
            <w:tcBorders>
              <w:top w:val="single" w:sz="4" w:space="0" w:color="auto"/>
              <w:left w:val="single" w:sz="4" w:space="0" w:color="auto"/>
              <w:bottom w:val="single" w:sz="4" w:space="0" w:color="auto"/>
              <w:right w:val="single" w:sz="4" w:space="0" w:color="auto"/>
            </w:tcBorders>
            <w:hideMark/>
          </w:tcPr>
          <w:p w14:paraId="67E4E822" w14:textId="77777777" w:rsidR="00441AE6" w:rsidRPr="008665EF" w:rsidRDefault="00441AE6" w:rsidP="00F76215">
            <w:pPr>
              <w:ind w:left="53"/>
              <w:rPr>
                <w:sz w:val="24"/>
                <w:szCs w:val="24"/>
              </w:rPr>
            </w:pPr>
            <w:r w:rsidRPr="008665EF">
              <w:rPr>
                <w:sz w:val="24"/>
                <w:szCs w:val="24"/>
              </w:rPr>
              <w:t xml:space="preserve">2 </w:t>
            </w:r>
            <w:proofErr w:type="spellStart"/>
            <w:r w:rsidRPr="008665EF">
              <w:rPr>
                <w:sz w:val="24"/>
                <w:szCs w:val="24"/>
              </w:rPr>
              <w:t>resoribletter</w:t>
            </w:r>
            <w:proofErr w:type="spellEnd"/>
            <w:r w:rsidRPr="008665EF">
              <w:rPr>
                <w:sz w:val="24"/>
                <w:szCs w:val="24"/>
              </w:rPr>
              <w:t xml:space="preserve"> på hver 100 RI samtidigt </w:t>
            </w:r>
          </w:p>
        </w:tc>
      </w:tr>
      <w:tr w:rsidR="00441AE6" w:rsidRPr="008665EF" w14:paraId="2B722C54"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494724C4" w14:textId="77777777" w:rsidR="00441AE6" w:rsidRPr="008665EF" w:rsidRDefault="00441AE6" w:rsidP="00F76215">
            <w:pPr>
              <w:ind w:left="32"/>
              <w:rPr>
                <w:sz w:val="24"/>
                <w:szCs w:val="24"/>
              </w:rPr>
            </w:pPr>
            <w:r w:rsidRPr="008665EF">
              <w:rPr>
                <w:sz w:val="24"/>
                <w:szCs w:val="24"/>
              </w:rPr>
              <w:t xml:space="preserve">Dag 3 </w:t>
            </w:r>
          </w:p>
        </w:tc>
        <w:tc>
          <w:tcPr>
            <w:tcW w:w="0" w:type="auto"/>
            <w:tcBorders>
              <w:top w:val="single" w:sz="4" w:space="0" w:color="auto"/>
              <w:left w:val="single" w:sz="4" w:space="0" w:color="auto"/>
              <w:bottom w:val="single" w:sz="4" w:space="0" w:color="auto"/>
              <w:right w:val="single" w:sz="4" w:space="0" w:color="auto"/>
            </w:tcBorders>
            <w:hideMark/>
          </w:tcPr>
          <w:p w14:paraId="495A6219" w14:textId="77777777" w:rsidR="00441AE6" w:rsidRPr="008665EF" w:rsidRDefault="00441AE6" w:rsidP="00F76215">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300 RI</w:t>
            </w:r>
          </w:p>
        </w:tc>
      </w:tr>
    </w:tbl>
    <w:p w14:paraId="561B64C9" w14:textId="77777777" w:rsidR="00441AE6" w:rsidRPr="008665EF" w:rsidRDefault="00441AE6" w:rsidP="00441AE6">
      <w:pPr>
        <w:tabs>
          <w:tab w:val="left" w:pos="851"/>
        </w:tabs>
        <w:ind w:left="851"/>
        <w:rPr>
          <w:sz w:val="24"/>
          <w:szCs w:val="24"/>
        </w:rPr>
      </w:pPr>
    </w:p>
    <w:p w14:paraId="73F65DCA" w14:textId="77777777" w:rsidR="00441AE6" w:rsidRPr="008665EF" w:rsidRDefault="00441AE6" w:rsidP="00441AE6">
      <w:pPr>
        <w:tabs>
          <w:tab w:val="left" w:pos="851"/>
        </w:tabs>
        <w:ind w:left="851"/>
        <w:rPr>
          <w:b/>
          <w:bCs/>
          <w:sz w:val="24"/>
          <w:szCs w:val="24"/>
        </w:rPr>
      </w:pPr>
    </w:p>
    <w:p w14:paraId="4D79085E" w14:textId="77777777" w:rsidR="00441AE6" w:rsidRPr="008665EF" w:rsidRDefault="00441AE6" w:rsidP="00441AE6">
      <w:pPr>
        <w:tabs>
          <w:tab w:val="left" w:pos="851"/>
        </w:tabs>
        <w:ind w:left="851"/>
        <w:rPr>
          <w:b/>
          <w:bCs/>
          <w:sz w:val="24"/>
          <w:szCs w:val="24"/>
        </w:rPr>
      </w:pPr>
    </w:p>
    <w:p w14:paraId="3742CCE6" w14:textId="77777777" w:rsidR="00441AE6" w:rsidRPr="008665EF" w:rsidRDefault="00441AE6" w:rsidP="00441AE6">
      <w:pPr>
        <w:tabs>
          <w:tab w:val="left" w:pos="851"/>
        </w:tabs>
        <w:ind w:left="851"/>
        <w:rPr>
          <w:b/>
          <w:bCs/>
          <w:sz w:val="24"/>
          <w:szCs w:val="24"/>
        </w:rPr>
      </w:pPr>
    </w:p>
    <w:p w14:paraId="18BB69BA" w14:textId="77777777" w:rsidR="00441AE6" w:rsidRPr="008665EF" w:rsidRDefault="00441AE6" w:rsidP="00441AE6">
      <w:pPr>
        <w:tabs>
          <w:tab w:val="left" w:pos="851"/>
        </w:tabs>
        <w:ind w:left="851"/>
        <w:rPr>
          <w:b/>
          <w:bCs/>
          <w:sz w:val="24"/>
          <w:szCs w:val="24"/>
        </w:rPr>
      </w:pPr>
    </w:p>
    <w:p w14:paraId="68D3B3B3" w14:textId="77777777" w:rsidR="00441AE6" w:rsidRPr="008665EF" w:rsidRDefault="00441AE6" w:rsidP="00441AE6">
      <w:pPr>
        <w:tabs>
          <w:tab w:val="left" w:pos="851"/>
        </w:tabs>
        <w:ind w:left="851"/>
        <w:rPr>
          <w:sz w:val="24"/>
          <w:szCs w:val="24"/>
        </w:rPr>
      </w:pPr>
      <w:r w:rsidRPr="008665EF">
        <w:rPr>
          <w:sz w:val="24"/>
          <w:szCs w:val="24"/>
        </w:rPr>
        <w:t>Dosiseskaleringsperioden kan forlænges i forhold til patientens tilstand, hvis det anses for nødvendigt af lægen.</w:t>
      </w:r>
    </w:p>
    <w:p w14:paraId="1CA1BD89" w14:textId="77777777" w:rsidR="00441AE6" w:rsidRPr="008665EF" w:rsidRDefault="00441AE6" w:rsidP="00441AE6">
      <w:pPr>
        <w:tabs>
          <w:tab w:val="left" w:pos="851"/>
        </w:tabs>
        <w:ind w:left="851"/>
        <w:rPr>
          <w:i/>
          <w:sz w:val="24"/>
          <w:szCs w:val="24"/>
        </w:rPr>
      </w:pPr>
    </w:p>
    <w:p w14:paraId="03F0ECA4" w14:textId="77777777" w:rsidR="00441AE6" w:rsidRPr="008665EF" w:rsidRDefault="00441AE6" w:rsidP="00441AE6">
      <w:pPr>
        <w:tabs>
          <w:tab w:val="left" w:pos="851"/>
        </w:tabs>
        <w:ind w:left="851"/>
        <w:rPr>
          <w:i/>
          <w:sz w:val="24"/>
          <w:szCs w:val="24"/>
        </w:rPr>
      </w:pPr>
      <w:r w:rsidRPr="008665EF">
        <w:rPr>
          <w:i/>
          <w:sz w:val="24"/>
          <w:szCs w:val="24"/>
        </w:rPr>
        <w:t>Vedligeholdelsesbehandling</w:t>
      </w:r>
    </w:p>
    <w:p w14:paraId="4CB30813" w14:textId="77777777" w:rsidR="00441AE6" w:rsidRPr="008665EF" w:rsidRDefault="00441AE6" w:rsidP="00441AE6">
      <w:pPr>
        <w:tabs>
          <w:tab w:val="left" w:pos="851"/>
        </w:tabs>
        <w:ind w:left="851"/>
        <w:rPr>
          <w:sz w:val="24"/>
          <w:szCs w:val="24"/>
        </w:rPr>
      </w:pPr>
      <w:r w:rsidRPr="008665EF">
        <w:rPr>
          <w:sz w:val="24"/>
          <w:szCs w:val="24"/>
        </w:rPr>
        <w:t xml:space="preserve">Dosis til voksne, unge og børn er 300 RI </w:t>
      </w:r>
      <w:r>
        <w:rPr>
          <w:sz w:val="24"/>
          <w:szCs w:val="24"/>
        </w:rPr>
        <w:t>daglig</w:t>
      </w:r>
      <w:r w:rsidRPr="008665EF">
        <w:rPr>
          <w:sz w:val="24"/>
          <w:szCs w:val="24"/>
        </w:rPr>
        <w:t>.</w:t>
      </w:r>
    </w:p>
    <w:p w14:paraId="0B499919" w14:textId="77777777" w:rsidR="00441AE6" w:rsidRPr="008665EF" w:rsidRDefault="00441AE6" w:rsidP="00441AE6">
      <w:pPr>
        <w:tabs>
          <w:tab w:val="left" w:pos="851"/>
        </w:tabs>
        <w:ind w:left="851"/>
        <w:rPr>
          <w:sz w:val="24"/>
          <w:szCs w:val="24"/>
        </w:rPr>
      </w:pPr>
    </w:p>
    <w:p w14:paraId="2182FF8B" w14:textId="77777777" w:rsidR="00441AE6" w:rsidRPr="008665EF" w:rsidRDefault="00441AE6" w:rsidP="00441AE6">
      <w:pPr>
        <w:tabs>
          <w:tab w:val="left" w:pos="851"/>
        </w:tabs>
        <w:ind w:left="851"/>
        <w:rPr>
          <w:sz w:val="24"/>
          <w:szCs w:val="24"/>
        </w:rPr>
      </w:pPr>
      <w:r w:rsidRPr="008665EF">
        <w:rPr>
          <w:iCs/>
          <w:sz w:val="24"/>
          <w:szCs w:val="24"/>
        </w:rPr>
        <w:t xml:space="preserve">Vedligeholdelsesbehandlingen bør fortsættes med 1 </w:t>
      </w:r>
      <w:proofErr w:type="spellStart"/>
      <w:r w:rsidRPr="008665EF">
        <w:rPr>
          <w:sz w:val="24"/>
          <w:szCs w:val="24"/>
        </w:rPr>
        <w:t>Aitgrys</w:t>
      </w:r>
      <w:proofErr w:type="spellEnd"/>
      <w:r w:rsidRPr="008665EF">
        <w:rPr>
          <w:sz w:val="24"/>
          <w:szCs w:val="24"/>
        </w:rPr>
        <w:t xml:space="preserve"> 300 RI </w:t>
      </w:r>
      <w:proofErr w:type="spellStart"/>
      <w:r w:rsidRPr="008665EF">
        <w:rPr>
          <w:sz w:val="24"/>
          <w:szCs w:val="24"/>
        </w:rPr>
        <w:t>sublingual</w:t>
      </w:r>
      <w:proofErr w:type="spellEnd"/>
      <w:r w:rsidRPr="008665EF">
        <w:rPr>
          <w:sz w:val="24"/>
          <w:szCs w:val="24"/>
        </w:rPr>
        <w:t xml:space="preserve"> </w:t>
      </w:r>
      <w:proofErr w:type="spellStart"/>
      <w:r w:rsidRPr="008665EF">
        <w:rPr>
          <w:sz w:val="24"/>
          <w:szCs w:val="24"/>
        </w:rPr>
        <w:t>resoriblet</w:t>
      </w:r>
      <w:proofErr w:type="spellEnd"/>
      <w:r w:rsidRPr="008665EF">
        <w:rPr>
          <w:sz w:val="24"/>
          <w:szCs w:val="24"/>
        </w:rPr>
        <w:t xml:space="preserve"> </w:t>
      </w:r>
      <w:r>
        <w:rPr>
          <w:sz w:val="24"/>
          <w:szCs w:val="24"/>
        </w:rPr>
        <w:t>daglig</w:t>
      </w:r>
      <w:r w:rsidRPr="008665EF">
        <w:rPr>
          <w:sz w:val="24"/>
          <w:szCs w:val="24"/>
        </w:rPr>
        <w:t>, indtil pollensæsonen er slut.</w:t>
      </w:r>
    </w:p>
    <w:p w14:paraId="39923876" w14:textId="77777777" w:rsidR="00441AE6" w:rsidRPr="008665EF" w:rsidRDefault="00441AE6" w:rsidP="00441AE6">
      <w:pPr>
        <w:tabs>
          <w:tab w:val="left" w:pos="851"/>
        </w:tabs>
        <w:ind w:left="851"/>
        <w:rPr>
          <w:sz w:val="24"/>
          <w:szCs w:val="24"/>
        </w:rPr>
      </w:pPr>
    </w:p>
    <w:p w14:paraId="398CCCDA" w14:textId="77777777" w:rsidR="00441AE6" w:rsidRDefault="00441AE6" w:rsidP="00441AE6">
      <w:pPr>
        <w:tabs>
          <w:tab w:val="left" w:pos="851"/>
        </w:tabs>
        <w:ind w:left="851"/>
        <w:rPr>
          <w:sz w:val="24"/>
          <w:szCs w:val="24"/>
        </w:rPr>
      </w:pPr>
      <w:r w:rsidRPr="008665EF">
        <w:rPr>
          <w:sz w:val="24"/>
          <w:szCs w:val="24"/>
        </w:rPr>
        <w:t xml:space="preserve">Behandlingen bør indledes ca. 4 måneder før den forventede start af græspollensæsonen og fortsætte indtil pollensæsonen er slut. </w:t>
      </w:r>
    </w:p>
    <w:p w14:paraId="699B93B2" w14:textId="77777777" w:rsidR="00441AE6" w:rsidRDefault="00441AE6" w:rsidP="00441AE6">
      <w:pPr>
        <w:tabs>
          <w:tab w:val="left" w:pos="851"/>
        </w:tabs>
        <w:ind w:left="851"/>
        <w:rPr>
          <w:sz w:val="24"/>
          <w:szCs w:val="24"/>
        </w:rPr>
      </w:pPr>
    </w:p>
    <w:p w14:paraId="107DFEF7" w14:textId="77777777" w:rsidR="00441AE6" w:rsidRPr="00754D2F" w:rsidRDefault="00441AE6" w:rsidP="00441AE6">
      <w:pPr>
        <w:tabs>
          <w:tab w:val="left" w:pos="851"/>
        </w:tabs>
        <w:ind w:left="851"/>
        <w:rPr>
          <w:i/>
          <w:iCs/>
          <w:sz w:val="24"/>
          <w:szCs w:val="24"/>
        </w:rPr>
      </w:pPr>
      <w:r w:rsidRPr="00754D2F">
        <w:rPr>
          <w:i/>
          <w:iCs/>
          <w:sz w:val="24"/>
          <w:szCs w:val="24"/>
        </w:rPr>
        <w:t>Behandlingsvarighed</w:t>
      </w:r>
    </w:p>
    <w:p w14:paraId="4CAB0167" w14:textId="77777777" w:rsidR="00441AE6" w:rsidRDefault="00441AE6" w:rsidP="00441AE6">
      <w:pPr>
        <w:tabs>
          <w:tab w:val="left" w:pos="851"/>
        </w:tabs>
        <w:ind w:left="851"/>
        <w:rPr>
          <w:sz w:val="24"/>
          <w:szCs w:val="24"/>
        </w:rPr>
      </w:pPr>
      <w:r w:rsidRPr="0040489A">
        <w:rPr>
          <w:sz w:val="24"/>
          <w:szCs w:val="24"/>
        </w:rPr>
        <w:t xml:space="preserve">Internationale retningslinjer for behandling henviser til en behandlingsperiode på minimum 3 år for allergen-immunterapi for at opnå langsigtet virkning efter </w:t>
      </w:r>
      <w:proofErr w:type="spellStart"/>
      <w:r w:rsidRPr="0040489A">
        <w:rPr>
          <w:sz w:val="24"/>
          <w:szCs w:val="24"/>
        </w:rPr>
        <w:t>seponering</w:t>
      </w:r>
      <w:proofErr w:type="spellEnd"/>
      <w:r w:rsidRPr="0040489A">
        <w:rPr>
          <w:sz w:val="24"/>
          <w:szCs w:val="24"/>
        </w:rPr>
        <w:t xml:space="preserve"> af behandlingen.</w:t>
      </w:r>
    </w:p>
    <w:p w14:paraId="5761A4AF" w14:textId="77777777" w:rsidR="00441AE6" w:rsidRDefault="00441AE6" w:rsidP="00441AE6">
      <w:pPr>
        <w:tabs>
          <w:tab w:val="left" w:pos="851"/>
        </w:tabs>
        <w:ind w:left="851"/>
        <w:rPr>
          <w:sz w:val="24"/>
          <w:szCs w:val="24"/>
        </w:rPr>
      </w:pPr>
    </w:p>
    <w:p w14:paraId="57F7A65D" w14:textId="77777777" w:rsidR="00441AE6" w:rsidRPr="008665EF" w:rsidRDefault="00441AE6" w:rsidP="00441AE6">
      <w:pPr>
        <w:tabs>
          <w:tab w:val="left" w:pos="851"/>
        </w:tabs>
        <w:ind w:left="851"/>
        <w:rPr>
          <w:sz w:val="24"/>
          <w:szCs w:val="24"/>
        </w:rPr>
      </w:pPr>
      <w:r w:rsidRPr="008665EF">
        <w:rPr>
          <w:sz w:val="24"/>
          <w:szCs w:val="24"/>
        </w:rPr>
        <w:t xml:space="preserve">Hvis der ikke observeres nogen relevant forbedring af symptomer i den første pollensæson, er der ingen indikation for at fortsætte behandlingen. </w:t>
      </w:r>
    </w:p>
    <w:p w14:paraId="52B620FD" w14:textId="77777777" w:rsidR="00441AE6" w:rsidRPr="008665EF" w:rsidRDefault="00441AE6" w:rsidP="00441AE6">
      <w:pPr>
        <w:tabs>
          <w:tab w:val="left" w:pos="851"/>
        </w:tabs>
        <w:ind w:left="851"/>
        <w:rPr>
          <w:sz w:val="24"/>
          <w:szCs w:val="24"/>
        </w:rPr>
      </w:pPr>
    </w:p>
    <w:p w14:paraId="301C76A2" w14:textId="77777777" w:rsidR="00441AE6" w:rsidRPr="008665EF" w:rsidRDefault="00441AE6" w:rsidP="00441AE6">
      <w:pPr>
        <w:tabs>
          <w:tab w:val="left" w:pos="851"/>
        </w:tabs>
        <w:ind w:left="851"/>
        <w:rPr>
          <w:sz w:val="24"/>
          <w:szCs w:val="24"/>
        </w:rPr>
      </w:pPr>
      <w:r w:rsidRPr="008665EF">
        <w:rPr>
          <w:sz w:val="24"/>
          <w:szCs w:val="24"/>
        </w:rPr>
        <w:t>Generelt gælder det, at hvis behandlingen afbrydes i en periode på op til 7 dage, kan behandlingen genoptages af patienten. Hvis behandlingen afbrydes i mere end 7 dage, anbefales det, at behandlingen genoptages under opsyn af en læge.</w:t>
      </w:r>
    </w:p>
    <w:p w14:paraId="4EFFEDD5" w14:textId="77777777" w:rsidR="00441AE6" w:rsidRPr="008665EF" w:rsidRDefault="00441AE6" w:rsidP="00441AE6">
      <w:pPr>
        <w:tabs>
          <w:tab w:val="left" w:pos="851"/>
        </w:tabs>
        <w:ind w:left="851"/>
        <w:rPr>
          <w:sz w:val="24"/>
          <w:szCs w:val="24"/>
        </w:rPr>
      </w:pPr>
    </w:p>
    <w:p w14:paraId="4B53DB12" w14:textId="77777777" w:rsidR="00441AE6" w:rsidRPr="008665EF" w:rsidRDefault="00441AE6" w:rsidP="00441AE6">
      <w:pPr>
        <w:tabs>
          <w:tab w:val="left" w:pos="851"/>
        </w:tabs>
        <w:ind w:left="851"/>
        <w:rPr>
          <w:i/>
          <w:iCs/>
          <w:sz w:val="24"/>
          <w:szCs w:val="24"/>
        </w:rPr>
      </w:pPr>
      <w:r w:rsidRPr="008665EF">
        <w:rPr>
          <w:i/>
          <w:iCs/>
          <w:sz w:val="24"/>
          <w:szCs w:val="24"/>
        </w:rPr>
        <w:t>Særlige populationer</w:t>
      </w:r>
    </w:p>
    <w:p w14:paraId="6B082172" w14:textId="77777777" w:rsidR="00441AE6" w:rsidRPr="008665EF" w:rsidRDefault="00441AE6" w:rsidP="00441AE6">
      <w:pPr>
        <w:tabs>
          <w:tab w:val="left" w:pos="851"/>
        </w:tabs>
        <w:ind w:left="851"/>
        <w:rPr>
          <w:sz w:val="24"/>
          <w:szCs w:val="24"/>
        </w:rPr>
      </w:pPr>
      <w:r w:rsidRPr="008665EF">
        <w:rPr>
          <w:sz w:val="24"/>
          <w:szCs w:val="24"/>
        </w:rPr>
        <w:t xml:space="preserve">Der foreligger ingen klinisk erfaring vedrørende immunterapi med </w:t>
      </w:r>
      <w:proofErr w:type="spellStart"/>
      <w:r w:rsidRPr="008665EF">
        <w:rPr>
          <w:sz w:val="24"/>
          <w:szCs w:val="24"/>
        </w:rPr>
        <w:t>Aitgrys</w:t>
      </w:r>
      <w:proofErr w:type="spellEnd"/>
      <w:r w:rsidRPr="008665EF">
        <w:rPr>
          <w:sz w:val="24"/>
          <w:szCs w:val="24"/>
        </w:rPr>
        <w:t xml:space="preserve"> hos voksne over </w:t>
      </w:r>
      <w:r>
        <w:rPr>
          <w:sz w:val="24"/>
          <w:szCs w:val="24"/>
        </w:rPr>
        <w:t>65</w:t>
      </w:r>
      <w:r w:rsidRPr="008665EF">
        <w:rPr>
          <w:sz w:val="24"/>
          <w:szCs w:val="24"/>
        </w:rPr>
        <w:t xml:space="preserve"> år.</w:t>
      </w:r>
    </w:p>
    <w:p w14:paraId="31F7FF70" w14:textId="77777777" w:rsidR="00441AE6" w:rsidRPr="008665EF" w:rsidRDefault="00441AE6" w:rsidP="00441AE6">
      <w:pPr>
        <w:tabs>
          <w:tab w:val="left" w:pos="851"/>
        </w:tabs>
        <w:ind w:left="851"/>
        <w:rPr>
          <w:i/>
          <w:iCs/>
          <w:sz w:val="24"/>
          <w:szCs w:val="24"/>
        </w:rPr>
      </w:pPr>
    </w:p>
    <w:p w14:paraId="120F2A41" w14:textId="77777777" w:rsidR="00441AE6" w:rsidRPr="008665EF" w:rsidRDefault="00441AE6" w:rsidP="00441AE6">
      <w:pPr>
        <w:tabs>
          <w:tab w:val="left" w:pos="851"/>
        </w:tabs>
        <w:ind w:left="851"/>
        <w:rPr>
          <w:i/>
          <w:sz w:val="24"/>
          <w:szCs w:val="24"/>
        </w:rPr>
      </w:pPr>
      <w:r w:rsidRPr="008665EF">
        <w:rPr>
          <w:i/>
          <w:sz w:val="24"/>
          <w:szCs w:val="24"/>
        </w:rPr>
        <w:t>Pædiatrisk population</w:t>
      </w:r>
    </w:p>
    <w:p w14:paraId="6AD4CCCA" w14:textId="77777777" w:rsidR="00441AE6" w:rsidRPr="008665EF" w:rsidRDefault="00441AE6" w:rsidP="00441AE6">
      <w:pPr>
        <w:tabs>
          <w:tab w:val="left" w:pos="851"/>
        </w:tabs>
        <w:ind w:left="851"/>
        <w:rPr>
          <w:sz w:val="24"/>
          <w:szCs w:val="24"/>
        </w:rPr>
      </w:pPr>
      <w:proofErr w:type="spellStart"/>
      <w:r w:rsidRPr="008665EF">
        <w:rPr>
          <w:sz w:val="24"/>
          <w:szCs w:val="24"/>
        </w:rPr>
        <w:t>Aitgryss</w:t>
      </w:r>
      <w:proofErr w:type="spellEnd"/>
      <w:r w:rsidRPr="008665EF">
        <w:rPr>
          <w:sz w:val="24"/>
          <w:szCs w:val="24"/>
        </w:rPr>
        <w:t xml:space="preserve"> sikkerhed og virkning hos børn under 5 år er ikke klarlagt.</w:t>
      </w:r>
    </w:p>
    <w:p w14:paraId="00C13EAC" w14:textId="77777777" w:rsidR="00441AE6" w:rsidRPr="008665EF" w:rsidRDefault="00441AE6" w:rsidP="00441AE6">
      <w:pPr>
        <w:tabs>
          <w:tab w:val="left" w:pos="851"/>
        </w:tabs>
        <w:ind w:left="851"/>
        <w:rPr>
          <w:sz w:val="24"/>
          <w:szCs w:val="24"/>
        </w:rPr>
      </w:pPr>
      <w:r w:rsidRPr="008665EF">
        <w:rPr>
          <w:sz w:val="24"/>
          <w:szCs w:val="24"/>
        </w:rPr>
        <w:t>Der foreligger ingen data vedr</w:t>
      </w:r>
      <w:r>
        <w:rPr>
          <w:sz w:val="24"/>
          <w:szCs w:val="24"/>
        </w:rPr>
        <w:t>ørende</w:t>
      </w:r>
      <w:r w:rsidRPr="008665EF">
        <w:rPr>
          <w:sz w:val="24"/>
          <w:szCs w:val="24"/>
        </w:rPr>
        <w:t xml:space="preserve"> </w:t>
      </w:r>
      <w:proofErr w:type="spellStart"/>
      <w:r w:rsidRPr="008665EF">
        <w:rPr>
          <w:sz w:val="24"/>
          <w:szCs w:val="24"/>
        </w:rPr>
        <w:t>Aitgrys</w:t>
      </w:r>
      <w:proofErr w:type="spellEnd"/>
      <w:r w:rsidRPr="008665EF">
        <w:rPr>
          <w:sz w:val="24"/>
          <w:szCs w:val="24"/>
        </w:rPr>
        <w:t xml:space="preserve">-behandling af børn i mere end </w:t>
      </w:r>
      <w:r>
        <w:rPr>
          <w:sz w:val="24"/>
          <w:szCs w:val="24"/>
        </w:rPr>
        <w:t>en</w:t>
      </w:r>
      <w:r w:rsidRPr="008665EF">
        <w:rPr>
          <w:sz w:val="24"/>
          <w:szCs w:val="24"/>
        </w:rPr>
        <w:t xml:space="preserve"> græspollensæson.</w:t>
      </w:r>
    </w:p>
    <w:p w14:paraId="108E0582" w14:textId="77777777" w:rsidR="00441AE6" w:rsidRPr="008665EF" w:rsidRDefault="00441AE6" w:rsidP="00441AE6">
      <w:pPr>
        <w:tabs>
          <w:tab w:val="left" w:pos="851"/>
        </w:tabs>
        <w:ind w:left="851"/>
        <w:rPr>
          <w:sz w:val="24"/>
          <w:szCs w:val="24"/>
        </w:rPr>
      </w:pPr>
    </w:p>
    <w:p w14:paraId="33760879" w14:textId="77777777" w:rsidR="00441AE6" w:rsidRPr="008665EF" w:rsidRDefault="00441AE6" w:rsidP="00441AE6">
      <w:pPr>
        <w:tabs>
          <w:tab w:val="left" w:pos="851"/>
        </w:tabs>
        <w:ind w:left="851"/>
        <w:rPr>
          <w:sz w:val="24"/>
          <w:szCs w:val="24"/>
        </w:rPr>
      </w:pPr>
      <w:r w:rsidRPr="008665EF">
        <w:rPr>
          <w:sz w:val="24"/>
          <w:szCs w:val="24"/>
        </w:rPr>
        <w:t>Dosis til unge og børn fra 5 år og opefter er den samme som til voksne.</w:t>
      </w:r>
    </w:p>
    <w:p w14:paraId="522FCA6F" w14:textId="77777777" w:rsidR="00441AE6" w:rsidRPr="008665EF" w:rsidRDefault="00441AE6" w:rsidP="00441AE6">
      <w:pPr>
        <w:tabs>
          <w:tab w:val="left" w:pos="851"/>
        </w:tabs>
        <w:ind w:left="851"/>
        <w:rPr>
          <w:sz w:val="24"/>
          <w:szCs w:val="24"/>
        </w:rPr>
      </w:pPr>
    </w:p>
    <w:p w14:paraId="0E75D690" w14:textId="77777777" w:rsidR="00441AE6" w:rsidRPr="008665EF" w:rsidRDefault="00441AE6" w:rsidP="00441AE6">
      <w:pPr>
        <w:tabs>
          <w:tab w:val="left" w:pos="851"/>
        </w:tabs>
        <w:ind w:left="851"/>
        <w:rPr>
          <w:sz w:val="24"/>
          <w:szCs w:val="24"/>
          <w:u w:val="single"/>
        </w:rPr>
      </w:pPr>
      <w:r w:rsidRPr="008665EF">
        <w:rPr>
          <w:sz w:val="24"/>
          <w:szCs w:val="24"/>
          <w:u w:val="single"/>
        </w:rPr>
        <w:t>Administration</w:t>
      </w:r>
    </w:p>
    <w:p w14:paraId="59B50004" w14:textId="77777777" w:rsidR="00441AE6" w:rsidRPr="008665EF" w:rsidRDefault="00441AE6" w:rsidP="00441AE6">
      <w:pPr>
        <w:tabs>
          <w:tab w:val="left" w:pos="851"/>
        </w:tabs>
        <w:ind w:left="851"/>
        <w:rPr>
          <w:sz w:val="24"/>
          <w:szCs w:val="24"/>
        </w:rPr>
      </w:pPr>
      <w:proofErr w:type="spellStart"/>
      <w:r w:rsidRPr="008665EF">
        <w:rPr>
          <w:sz w:val="24"/>
          <w:szCs w:val="24"/>
        </w:rPr>
        <w:t>Resoribletten</w:t>
      </w:r>
      <w:proofErr w:type="spellEnd"/>
      <w:r w:rsidRPr="008665EF">
        <w:rPr>
          <w:sz w:val="24"/>
          <w:szCs w:val="24"/>
        </w:rPr>
        <w:t xml:space="preserve"> skal placeres under tungen, indtil den er helt opløst (mindst 1 minut), hvorefter den synkes. </w:t>
      </w:r>
    </w:p>
    <w:p w14:paraId="0FCE9204" w14:textId="77777777" w:rsidR="00441AE6" w:rsidRPr="008665EF" w:rsidRDefault="00441AE6" w:rsidP="00441AE6">
      <w:pPr>
        <w:tabs>
          <w:tab w:val="left" w:pos="851"/>
        </w:tabs>
        <w:ind w:left="851"/>
        <w:rPr>
          <w:sz w:val="24"/>
          <w:szCs w:val="24"/>
        </w:rPr>
      </w:pPr>
      <w:r w:rsidRPr="008665EF">
        <w:rPr>
          <w:sz w:val="24"/>
          <w:szCs w:val="24"/>
        </w:rPr>
        <w:t xml:space="preserve">Det anbefales at tage </w:t>
      </w:r>
      <w:proofErr w:type="spellStart"/>
      <w:r w:rsidRPr="008665EF">
        <w:rPr>
          <w:sz w:val="24"/>
          <w:szCs w:val="24"/>
        </w:rPr>
        <w:t>resoribletten</w:t>
      </w:r>
      <w:proofErr w:type="spellEnd"/>
      <w:r w:rsidRPr="008665EF">
        <w:rPr>
          <w:sz w:val="24"/>
          <w:szCs w:val="24"/>
        </w:rPr>
        <w:t xml:space="preserve"> om dagen i en tom mund</w:t>
      </w:r>
      <w:bookmarkStart w:id="0" w:name="_Hlk74301600"/>
      <w:r w:rsidRPr="008665EF">
        <w:rPr>
          <w:sz w:val="24"/>
          <w:szCs w:val="24"/>
        </w:rPr>
        <w:t>.</w:t>
      </w:r>
      <w:bookmarkEnd w:id="0"/>
      <w:r w:rsidRPr="008665EF">
        <w:rPr>
          <w:bCs/>
          <w:sz w:val="24"/>
          <w:szCs w:val="24"/>
        </w:rPr>
        <w:t xml:space="preserve"> Der bør ikke indtages mad eller drikke i de efterfølgende 5 minutter.</w:t>
      </w:r>
    </w:p>
    <w:p w14:paraId="35C0144F" w14:textId="77777777" w:rsidR="009260DE" w:rsidRPr="00C84483" w:rsidRDefault="009260DE" w:rsidP="009260DE">
      <w:pPr>
        <w:tabs>
          <w:tab w:val="left" w:pos="851"/>
        </w:tabs>
        <w:ind w:left="851"/>
        <w:rPr>
          <w:sz w:val="24"/>
          <w:szCs w:val="24"/>
        </w:rPr>
      </w:pPr>
    </w:p>
    <w:p w14:paraId="24D7F40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476B1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Overfølsomhed over for et eller flere af hjælpestofferne anført i pkt. 6.1; </w:t>
      </w:r>
    </w:p>
    <w:p w14:paraId="3889FF80"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ukontrolleret eller ustabil astma (FEV1 &lt; 80 % af prædiktionsværdien) eller svær </w:t>
      </w:r>
      <w:proofErr w:type="spellStart"/>
      <w:r w:rsidRPr="00861BE0">
        <w:rPr>
          <w:sz w:val="24"/>
          <w:szCs w:val="24"/>
        </w:rPr>
        <w:t>exacerbation</w:t>
      </w:r>
      <w:proofErr w:type="spellEnd"/>
      <w:r w:rsidRPr="00861BE0">
        <w:rPr>
          <w:sz w:val="24"/>
          <w:szCs w:val="24"/>
        </w:rPr>
        <w:t xml:space="preserve"> af astma inden for de seneste 3 måneder;</w:t>
      </w:r>
    </w:p>
    <w:p w14:paraId="211BB54F"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Patienter med aktiv eller dårligt kontrolleret autoimmun sygdom, immundefekter, immunsvækkelse, immunsuppression eller maligne neoplastiske sygdomme med aktuel sygdomsrelevans;</w:t>
      </w:r>
    </w:p>
    <w:p w14:paraId="3F074914"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oral inflammation (som f.eks. oral </w:t>
      </w:r>
      <w:proofErr w:type="spellStart"/>
      <w:r w:rsidRPr="00861BE0">
        <w:rPr>
          <w:sz w:val="24"/>
          <w:szCs w:val="24"/>
        </w:rPr>
        <w:t>lichen</w:t>
      </w:r>
      <w:proofErr w:type="spellEnd"/>
      <w:r w:rsidRPr="00861BE0">
        <w:rPr>
          <w:sz w:val="24"/>
          <w:szCs w:val="24"/>
        </w:rPr>
        <w:t xml:space="preserve"> </w:t>
      </w:r>
      <w:proofErr w:type="spellStart"/>
      <w:r w:rsidRPr="00861BE0">
        <w:rPr>
          <w:sz w:val="24"/>
          <w:szCs w:val="24"/>
        </w:rPr>
        <w:t>planus</w:t>
      </w:r>
      <w:proofErr w:type="spellEnd"/>
      <w:r w:rsidRPr="00861BE0">
        <w:rPr>
          <w:sz w:val="24"/>
          <w:szCs w:val="24"/>
        </w:rPr>
        <w:t xml:space="preserve">, oral sårdannelse eller oral </w:t>
      </w:r>
      <w:proofErr w:type="spellStart"/>
      <w:r w:rsidRPr="00861BE0">
        <w:rPr>
          <w:sz w:val="24"/>
          <w:szCs w:val="24"/>
        </w:rPr>
        <w:t>mykotisk</w:t>
      </w:r>
      <w:proofErr w:type="spellEnd"/>
      <w:r w:rsidRPr="00861BE0">
        <w:rPr>
          <w:sz w:val="24"/>
          <w:szCs w:val="24"/>
        </w:rPr>
        <w:t xml:space="preserve"> infektion);</w:t>
      </w:r>
    </w:p>
    <w:p w14:paraId="158B52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Initiering af allergen-immunterapibehandling under graviditet er kontraindiceret (se pkt. 4.6).</w:t>
      </w:r>
    </w:p>
    <w:p w14:paraId="53F689FD" w14:textId="77777777" w:rsidR="009260DE" w:rsidRPr="00C84483" w:rsidRDefault="009260DE" w:rsidP="009260DE">
      <w:pPr>
        <w:tabs>
          <w:tab w:val="left" w:pos="851"/>
        </w:tabs>
        <w:ind w:left="851"/>
        <w:rPr>
          <w:sz w:val="24"/>
          <w:szCs w:val="24"/>
        </w:rPr>
      </w:pPr>
    </w:p>
    <w:p w14:paraId="3418A0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4F17EF" w14:textId="77777777" w:rsidR="00861BE0" w:rsidRPr="00861BE0" w:rsidRDefault="00861BE0" w:rsidP="00861BE0">
      <w:pPr>
        <w:tabs>
          <w:tab w:val="left" w:pos="851"/>
        </w:tabs>
        <w:ind w:left="851"/>
        <w:rPr>
          <w:sz w:val="24"/>
          <w:szCs w:val="24"/>
        </w:rPr>
      </w:pPr>
    </w:p>
    <w:p w14:paraId="62F218DD" w14:textId="77777777" w:rsidR="00441AE6" w:rsidRPr="00861BE0" w:rsidRDefault="00441AE6" w:rsidP="00441AE6">
      <w:pPr>
        <w:tabs>
          <w:tab w:val="left" w:pos="851"/>
        </w:tabs>
        <w:ind w:left="851"/>
        <w:rPr>
          <w:sz w:val="24"/>
          <w:szCs w:val="24"/>
          <w:u w:val="single"/>
        </w:rPr>
      </w:pPr>
      <w:r w:rsidRPr="00861BE0">
        <w:rPr>
          <w:sz w:val="24"/>
          <w:szCs w:val="24"/>
          <w:u w:val="single"/>
        </w:rPr>
        <w:t>Alvorlige allergiske reaktioner</w:t>
      </w:r>
    </w:p>
    <w:p w14:paraId="7CB0CCAB" w14:textId="77777777" w:rsidR="00441AE6" w:rsidRPr="00861BE0" w:rsidRDefault="00441AE6" w:rsidP="00441AE6">
      <w:pPr>
        <w:tabs>
          <w:tab w:val="left" w:pos="851"/>
        </w:tabs>
        <w:ind w:left="851"/>
        <w:rPr>
          <w:sz w:val="24"/>
          <w:szCs w:val="24"/>
        </w:rPr>
      </w:pPr>
      <w:r w:rsidRPr="00861BE0">
        <w:rPr>
          <w:sz w:val="24"/>
          <w:szCs w:val="24"/>
        </w:rPr>
        <w:t xml:space="preserve">Som det er tilfældet med enhver allergen-immunterapi, kan der forekomme alvorlige allergiske reaktioner, herunder alvorlige </w:t>
      </w:r>
      <w:proofErr w:type="spellStart"/>
      <w:r w:rsidRPr="00861BE0">
        <w:rPr>
          <w:sz w:val="24"/>
          <w:szCs w:val="24"/>
        </w:rPr>
        <w:t>laryngopharyngeale</w:t>
      </w:r>
      <w:proofErr w:type="spellEnd"/>
      <w:r w:rsidRPr="00861BE0">
        <w:rPr>
          <w:sz w:val="24"/>
          <w:szCs w:val="24"/>
        </w:rPr>
        <w:t xml:space="preserve"> forstyrrelser eller systemiske allergiske reaktioner (dvs. akut opstået sygdom med påvirkning af hud, slimhinder eller begge dele, påvirkning af luftveje, vedvarende </w:t>
      </w:r>
      <w:proofErr w:type="spellStart"/>
      <w:r w:rsidRPr="00861BE0">
        <w:rPr>
          <w:sz w:val="24"/>
          <w:szCs w:val="24"/>
        </w:rPr>
        <w:t>gastrointestinale</w:t>
      </w:r>
      <w:proofErr w:type="spellEnd"/>
      <w:r w:rsidRPr="00861BE0">
        <w:rPr>
          <w:sz w:val="24"/>
          <w:szCs w:val="24"/>
        </w:rPr>
        <w:t xml:space="preserve"> symptomer eller nedsat blodtryk og/eller relaterede symptomer).</w:t>
      </w:r>
    </w:p>
    <w:p w14:paraId="25A8BC07" w14:textId="77777777" w:rsidR="00441AE6" w:rsidRPr="00861BE0" w:rsidRDefault="00441AE6" w:rsidP="00441AE6">
      <w:pPr>
        <w:tabs>
          <w:tab w:val="left" w:pos="851"/>
        </w:tabs>
        <w:ind w:left="851"/>
        <w:rPr>
          <w:sz w:val="24"/>
          <w:szCs w:val="24"/>
        </w:rPr>
      </w:pPr>
      <w:r w:rsidRPr="00861BE0">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55420E6A" w14:textId="77777777" w:rsidR="00441AE6" w:rsidRPr="00861BE0" w:rsidRDefault="00441AE6" w:rsidP="00441AE6">
      <w:pPr>
        <w:tabs>
          <w:tab w:val="left" w:pos="851"/>
        </w:tabs>
        <w:ind w:left="851"/>
        <w:rPr>
          <w:sz w:val="24"/>
          <w:szCs w:val="24"/>
        </w:rPr>
      </w:pPr>
    </w:p>
    <w:p w14:paraId="622FE959" w14:textId="77777777" w:rsidR="00441AE6" w:rsidRPr="00861BE0" w:rsidRDefault="00441AE6" w:rsidP="00441AE6">
      <w:pPr>
        <w:keepNext/>
        <w:tabs>
          <w:tab w:val="left" w:pos="851"/>
        </w:tabs>
        <w:ind w:left="851"/>
        <w:rPr>
          <w:sz w:val="24"/>
          <w:szCs w:val="24"/>
          <w:u w:val="single"/>
        </w:rPr>
      </w:pPr>
      <w:r w:rsidRPr="00861BE0">
        <w:rPr>
          <w:sz w:val="24"/>
          <w:szCs w:val="24"/>
          <w:u w:val="single"/>
        </w:rPr>
        <w:lastRenderedPageBreak/>
        <w:t xml:space="preserve">Tidligere systemisk allergisk reaktion over for allergen-immunterapi </w:t>
      </w:r>
    </w:p>
    <w:p w14:paraId="6317EA4D" w14:textId="77777777" w:rsidR="00441AE6" w:rsidRPr="00861BE0" w:rsidRDefault="00441AE6" w:rsidP="00441AE6">
      <w:pPr>
        <w:tabs>
          <w:tab w:val="left" w:pos="851"/>
        </w:tabs>
        <w:ind w:left="851"/>
        <w:rPr>
          <w:sz w:val="24"/>
          <w:szCs w:val="24"/>
        </w:rPr>
      </w:pPr>
      <w:r w:rsidRPr="00861BE0">
        <w:rPr>
          <w:sz w:val="24"/>
          <w:szCs w:val="24"/>
        </w:rPr>
        <w:t xml:space="preserve">Initiering af </w:t>
      </w:r>
      <w:proofErr w:type="spellStart"/>
      <w:r w:rsidRPr="00861BE0">
        <w:rPr>
          <w:sz w:val="24"/>
          <w:szCs w:val="24"/>
        </w:rPr>
        <w:t>Aitgrys</w:t>
      </w:r>
      <w:proofErr w:type="spellEnd"/>
      <w:r w:rsidRPr="00861BE0">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27846630" w14:textId="77777777" w:rsidR="00441AE6" w:rsidRPr="00861BE0" w:rsidRDefault="00441AE6" w:rsidP="00441AE6">
      <w:pPr>
        <w:tabs>
          <w:tab w:val="left" w:pos="851"/>
        </w:tabs>
        <w:ind w:left="851"/>
        <w:rPr>
          <w:sz w:val="24"/>
          <w:szCs w:val="24"/>
        </w:rPr>
      </w:pPr>
    </w:p>
    <w:p w14:paraId="1D510D97" w14:textId="77777777" w:rsidR="00441AE6" w:rsidRPr="00861BE0" w:rsidRDefault="00441AE6" w:rsidP="00441AE6">
      <w:pPr>
        <w:tabs>
          <w:tab w:val="left" w:pos="851"/>
        </w:tabs>
        <w:ind w:left="851"/>
        <w:rPr>
          <w:sz w:val="24"/>
          <w:szCs w:val="24"/>
          <w:u w:val="single"/>
        </w:rPr>
      </w:pPr>
      <w:r w:rsidRPr="00861BE0">
        <w:rPr>
          <w:sz w:val="24"/>
          <w:szCs w:val="24"/>
          <w:u w:val="single"/>
        </w:rPr>
        <w:t>Astma</w:t>
      </w:r>
    </w:p>
    <w:p w14:paraId="49831EA4" w14:textId="77777777" w:rsidR="00441AE6" w:rsidRPr="00861BE0" w:rsidRDefault="00441AE6" w:rsidP="00441AE6">
      <w:pPr>
        <w:tabs>
          <w:tab w:val="left" w:pos="851"/>
        </w:tabs>
        <w:ind w:left="851"/>
        <w:rPr>
          <w:sz w:val="24"/>
          <w:szCs w:val="24"/>
        </w:rPr>
      </w:pPr>
      <w:r w:rsidRPr="00861BE0">
        <w:rPr>
          <w:sz w:val="24"/>
          <w:szCs w:val="24"/>
        </w:rPr>
        <w:t>Astma er en kendt risikofaktor ved alvorlige systemiske allergiske reaktioner. Astmastatus bør omhyggeligt vurderes før påbegyndelse af behandling (se pkt. 4.3).</w:t>
      </w:r>
    </w:p>
    <w:p w14:paraId="463B49AD" w14:textId="77777777" w:rsidR="00441AE6" w:rsidRPr="00861BE0" w:rsidRDefault="00441AE6" w:rsidP="00441AE6">
      <w:pPr>
        <w:tabs>
          <w:tab w:val="left" w:pos="851"/>
        </w:tabs>
        <w:ind w:left="851"/>
        <w:rPr>
          <w:sz w:val="24"/>
          <w:szCs w:val="24"/>
        </w:rPr>
      </w:pPr>
      <w:r w:rsidRPr="00861BE0">
        <w:rPr>
          <w:sz w:val="24"/>
          <w:szCs w:val="24"/>
        </w:rPr>
        <w:t xml:space="preserve">Patienter med samtidig astma skal kontrolleres ved påbegyndelsen og under hele behandlingen med </w:t>
      </w:r>
      <w:proofErr w:type="spellStart"/>
      <w:r w:rsidRPr="00861BE0">
        <w:rPr>
          <w:sz w:val="24"/>
          <w:szCs w:val="24"/>
        </w:rPr>
        <w:t>Aitgrys</w:t>
      </w:r>
      <w:proofErr w:type="spellEnd"/>
      <w:r w:rsidRPr="00861BE0">
        <w:rPr>
          <w:sz w:val="24"/>
          <w:szCs w:val="24"/>
        </w:rPr>
        <w:t xml:space="preserve">. Pludselig </w:t>
      </w:r>
      <w:proofErr w:type="spellStart"/>
      <w:r w:rsidRPr="00861BE0">
        <w:rPr>
          <w:sz w:val="24"/>
          <w:szCs w:val="24"/>
        </w:rPr>
        <w:t>seponering</w:t>
      </w:r>
      <w:proofErr w:type="spellEnd"/>
      <w:r w:rsidRPr="00861BE0">
        <w:rPr>
          <w:sz w:val="24"/>
          <w:szCs w:val="24"/>
        </w:rPr>
        <w:t xml:space="preserve"> af astmamedicin efter påbegyndelse af </w:t>
      </w:r>
      <w:proofErr w:type="spellStart"/>
      <w:r w:rsidRPr="00861BE0">
        <w:rPr>
          <w:sz w:val="24"/>
          <w:szCs w:val="24"/>
        </w:rPr>
        <w:t>Aitgrys</w:t>
      </w:r>
      <w:proofErr w:type="spellEnd"/>
      <w:r w:rsidRPr="00861BE0">
        <w:rPr>
          <w:sz w:val="24"/>
          <w:szCs w:val="24"/>
        </w:rPr>
        <w:t>-behandling frarådes.</w:t>
      </w:r>
    </w:p>
    <w:p w14:paraId="6B86525A" w14:textId="77777777" w:rsidR="00441AE6" w:rsidRDefault="00441AE6" w:rsidP="00441AE6">
      <w:pPr>
        <w:tabs>
          <w:tab w:val="left" w:pos="851"/>
        </w:tabs>
        <w:ind w:left="851"/>
        <w:rPr>
          <w:sz w:val="24"/>
          <w:szCs w:val="24"/>
        </w:rPr>
      </w:pPr>
      <w:r w:rsidRPr="00861BE0">
        <w:rPr>
          <w:sz w:val="24"/>
          <w:szCs w:val="24"/>
        </w:rPr>
        <w:t>Patienter med samtidig astma skal informeres om, at de skal søge øjeblikkelig lægehjælp, hvis deres astma pludseligt forværres.</w:t>
      </w:r>
    </w:p>
    <w:p w14:paraId="1B12451A" w14:textId="77777777" w:rsidR="00441AE6" w:rsidRPr="00861BE0" w:rsidRDefault="00441AE6" w:rsidP="00441AE6">
      <w:pPr>
        <w:tabs>
          <w:tab w:val="left" w:pos="851"/>
        </w:tabs>
        <w:ind w:left="851"/>
        <w:rPr>
          <w:sz w:val="24"/>
          <w:szCs w:val="24"/>
        </w:rPr>
      </w:pPr>
      <w:r>
        <w:rPr>
          <w:sz w:val="24"/>
          <w:szCs w:val="24"/>
        </w:rPr>
        <w:t xml:space="preserve">Hos patienter med astma, der har en akut luftvejsinfektion, bør initiering af behandling med </w:t>
      </w:r>
      <w:proofErr w:type="spellStart"/>
      <w:r>
        <w:rPr>
          <w:sz w:val="24"/>
          <w:szCs w:val="24"/>
        </w:rPr>
        <w:t>Aitgrys</w:t>
      </w:r>
      <w:proofErr w:type="spellEnd"/>
      <w:r>
        <w:rPr>
          <w:sz w:val="24"/>
          <w:szCs w:val="24"/>
        </w:rPr>
        <w:t xml:space="preserve"> udsættes, indtil infektionen </w:t>
      </w:r>
      <w:r w:rsidRPr="00D77A28">
        <w:rPr>
          <w:sz w:val="24"/>
          <w:szCs w:val="24"/>
        </w:rPr>
        <w:t>er overstået.</w:t>
      </w:r>
    </w:p>
    <w:p w14:paraId="26F1BA68" w14:textId="77777777" w:rsidR="00441AE6" w:rsidRPr="00861BE0" w:rsidRDefault="00441AE6" w:rsidP="00441AE6">
      <w:pPr>
        <w:tabs>
          <w:tab w:val="left" w:pos="851"/>
        </w:tabs>
        <w:ind w:left="851"/>
        <w:rPr>
          <w:sz w:val="24"/>
          <w:szCs w:val="24"/>
        </w:rPr>
      </w:pPr>
    </w:p>
    <w:p w14:paraId="2288F7F5"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Kardiovaskulære</w:t>
      </w:r>
      <w:proofErr w:type="spellEnd"/>
      <w:r w:rsidRPr="00861BE0">
        <w:rPr>
          <w:sz w:val="24"/>
          <w:szCs w:val="24"/>
          <w:u w:val="single"/>
        </w:rPr>
        <w:t xml:space="preserve"> sygdomme</w:t>
      </w:r>
    </w:p>
    <w:p w14:paraId="7B9D331D" w14:textId="77777777" w:rsidR="00441AE6" w:rsidRPr="00861BE0" w:rsidRDefault="00441AE6" w:rsidP="00441AE6">
      <w:pPr>
        <w:tabs>
          <w:tab w:val="left" w:pos="851"/>
        </w:tabs>
        <w:ind w:left="851"/>
        <w:rPr>
          <w:sz w:val="24"/>
          <w:szCs w:val="24"/>
        </w:rPr>
      </w:pPr>
      <w:r w:rsidRPr="00861BE0">
        <w:rPr>
          <w:sz w:val="24"/>
          <w:szCs w:val="24"/>
        </w:rPr>
        <w:t xml:space="preserve">Patienter med </w:t>
      </w:r>
      <w:proofErr w:type="spellStart"/>
      <w:r w:rsidRPr="00861BE0">
        <w:rPr>
          <w:sz w:val="24"/>
          <w:szCs w:val="24"/>
        </w:rPr>
        <w:t>kardiovaskulær</w:t>
      </w:r>
      <w:proofErr w:type="spellEnd"/>
      <w:r w:rsidRPr="00861BE0">
        <w:rPr>
          <w:sz w:val="24"/>
          <w:szCs w:val="24"/>
        </w:rPr>
        <w:t xml:space="preserve"> sygdom kan have øget risiko i tilfælde af systemiske allergiske reaktioner. Dette skal der tages højde for, før behandling med </w:t>
      </w:r>
      <w:proofErr w:type="spellStart"/>
      <w:r w:rsidRPr="00861BE0">
        <w:rPr>
          <w:sz w:val="24"/>
          <w:szCs w:val="24"/>
        </w:rPr>
        <w:t>Aitgrys</w:t>
      </w:r>
      <w:proofErr w:type="spellEnd"/>
      <w:r w:rsidRPr="00861BE0">
        <w:rPr>
          <w:sz w:val="24"/>
          <w:szCs w:val="24"/>
        </w:rPr>
        <w:t xml:space="preserve"> initieres.</w:t>
      </w:r>
    </w:p>
    <w:p w14:paraId="58BED9D1" w14:textId="77777777" w:rsidR="00441AE6" w:rsidRPr="00861BE0" w:rsidRDefault="00441AE6" w:rsidP="00441AE6">
      <w:pPr>
        <w:tabs>
          <w:tab w:val="left" w:pos="851"/>
        </w:tabs>
        <w:ind w:left="851"/>
        <w:rPr>
          <w:sz w:val="24"/>
          <w:szCs w:val="24"/>
        </w:rPr>
      </w:pPr>
    </w:p>
    <w:p w14:paraId="2CB7118D" w14:textId="77777777" w:rsidR="00441AE6" w:rsidRPr="00861BE0" w:rsidRDefault="00441AE6" w:rsidP="00441AE6">
      <w:pPr>
        <w:tabs>
          <w:tab w:val="left" w:pos="851"/>
        </w:tabs>
        <w:ind w:left="851"/>
        <w:rPr>
          <w:sz w:val="24"/>
          <w:szCs w:val="24"/>
          <w:u w:val="single"/>
        </w:rPr>
      </w:pPr>
      <w:r w:rsidRPr="00861BE0">
        <w:rPr>
          <w:sz w:val="24"/>
          <w:szCs w:val="24"/>
          <w:u w:val="single"/>
        </w:rPr>
        <w:t>Beta-</w:t>
      </w:r>
      <w:proofErr w:type="spellStart"/>
      <w:r w:rsidRPr="00861BE0">
        <w:rPr>
          <w:sz w:val="24"/>
          <w:szCs w:val="24"/>
          <w:u w:val="single"/>
        </w:rPr>
        <w:t>adrenerge</w:t>
      </w:r>
      <w:proofErr w:type="spellEnd"/>
      <w:r w:rsidRPr="00861BE0">
        <w:rPr>
          <w:sz w:val="24"/>
          <w:szCs w:val="24"/>
          <w:u w:val="single"/>
        </w:rPr>
        <w:t xml:space="preserve"> </w:t>
      </w:r>
      <w:proofErr w:type="spellStart"/>
      <w:r w:rsidRPr="00861BE0">
        <w:rPr>
          <w:sz w:val="24"/>
          <w:szCs w:val="24"/>
          <w:u w:val="single"/>
        </w:rPr>
        <w:t>blokkere</w:t>
      </w:r>
      <w:proofErr w:type="spellEnd"/>
      <w:r w:rsidRPr="00861BE0">
        <w:rPr>
          <w:sz w:val="24"/>
          <w:szCs w:val="24"/>
          <w:u w:val="single"/>
        </w:rPr>
        <w:t xml:space="preserve"> </w:t>
      </w:r>
    </w:p>
    <w:p w14:paraId="062913E9" w14:textId="77777777" w:rsidR="00441AE6" w:rsidRPr="00861BE0" w:rsidRDefault="00441AE6" w:rsidP="00441AE6">
      <w:pPr>
        <w:tabs>
          <w:tab w:val="left" w:pos="851"/>
        </w:tabs>
        <w:ind w:left="851"/>
        <w:rPr>
          <w:sz w:val="24"/>
          <w:szCs w:val="24"/>
        </w:rPr>
      </w:pPr>
      <w:r w:rsidRPr="00861BE0">
        <w:rPr>
          <w:sz w:val="24"/>
          <w:szCs w:val="24"/>
        </w:rPr>
        <w:t>Patienter, der anvender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responderer muligvis ikke på de normale doser adrenalin, der anvendes til at behandle alvorlige systemiske reaktioner, herunder anafylaksi.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xml:space="preserve"> kan især modvirke adrenalins </w:t>
      </w:r>
      <w:proofErr w:type="spellStart"/>
      <w:r w:rsidRPr="00861BE0">
        <w:rPr>
          <w:sz w:val="24"/>
          <w:szCs w:val="24"/>
        </w:rPr>
        <w:t>kardiostimulerende</w:t>
      </w:r>
      <w:proofErr w:type="spellEnd"/>
      <w:r w:rsidRPr="00861BE0">
        <w:rPr>
          <w:sz w:val="24"/>
          <w:szCs w:val="24"/>
        </w:rPr>
        <w:t xml:space="preserve"> og </w:t>
      </w:r>
      <w:proofErr w:type="spellStart"/>
      <w:r w:rsidRPr="00861BE0">
        <w:rPr>
          <w:sz w:val="24"/>
          <w:szCs w:val="24"/>
        </w:rPr>
        <w:t>bronkodilaterende</w:t>
      </w:r>
      <w:proofErr w:type="spellEnd"/>
      <w:r w:rsidRPr="00861BE0">
        <w:rPr>
          <w:sz w:val="24"/>
          <w:szCs w:val="24"/>
        </w:rPr>
        <w:t xml:space="preserve"> effekt. </w:t>
      </w:r>
    </w:p>
    <w:p w14:paraId="70ED8245" w14:textId="77777777" w:rsidR="00441AE6" w:rsidRPr="00861BE0" w:rsidRDefault="00441AE6" w:rsidP="00441AE6">
      <w:pPr>
        <w:tabs>
          <w:tab w:val="left" w:pos="851"/>
        </w:tabs>
        <w:ind w:left="851"/>
        <w:rPr>
          <w:sz w:val="24"/>
          <w:szCs w:val="24"/>
        </w:rPr>
      </w:pPr>
    </w:p>
    <w:p w14:paraId="62AB8CD9" w14:textId="77777777" w:rsidR="00441AE6" w:rsidRPr="00861BE0" w:rsidRDefault="00441AE6" w:rsidP="00441AE6">
      <w:pPr>
        <w:tabs>
          <w:tab w:val="left" w:pos="851"/>
        </w:tabs>
        <w:ind w:left="851"/>
        <w:rPr>
          <w:sz w:val="24"/>
          <w:szCs w:val="24"/>
          <w:u w:val="single"/>
        </w:rPr>
      </w:pPr>
      <w:r w:rsidRPr="00861BE0">
        <w:rPr>
          <w:sz w:val="24"/>
          <w:szCs w:val="24"/>
          <w:u w:val="single"/>
        </w:rPr>
        <w:t>MAO-</w:t>
      </w:r>
      <w:proofErr w:type="spellStart"/>
      <w:r w:rsidRPr="00861BE0">
        <w:rPr>
          <w:sz w:val="24"/>
          <w:szCs w:val="24"/>
          <w:u w:val="single"/>
        </w:rPr>
        <w:t>hæmmere</w:t>
      </w:r>
      <w:proofErr w:type="spellEnd"/>
      <w:r w:rsidRPr="00861BE0">
        <w:rPr>
          <w:sz w:val="24"/>
          <w:szCs w:val="24"/>
          <w:u w:val="single"/>
        </w:rPr>
        <w:t xml:space="preserve">, tricykliske </w:t>
      </w:r>
      <w:proofErr w:type="spellStart"/>
      <w:r w:rsidRPr="00861BE0">
        <w:rPr>
          <w:sz w:val="24"/>
          <w:szCs w:val="24"/>
          <w:u w:val="single"/>
        </w:rPr>
        <w:t>antidepressiva</w:t>
      </w:r>
      <w:proofErr w:type="spellEnd"/>
      <w:r w:rsidRPr="00861BE0">
        <w:rPr>
          <w:sz w:val="24"/>
          <w:szCs w:val="24"/>
          <w:u w:val="single"/>
        </w:rPr>
        <w:t xml:space="preserve"> og COMT-</w:t>
      </w:r>
      <w:proofErr w:type="spellStart"/>
      <w:r w:rsidRPr="00861BE0">
        <w:rPr>
          <w:sz w:val="24"/>
          <w:szCs w:val="24"/>
          <w:u w:val="single"/>
        </w:rPr>
        <w:t>hæmmere</w:t>
      </w:r>
      <w:proofErr w:type="spellEnd"/>
      <w:r w:rsidRPr="00861BE0">
        <w:rPr>
          <w:sz w:val="24"/>
          <w:szCs w:val="24"/>
          <w:u w:val="single"/>
        </w:rPr>
        <w:t xml:space="preserve"> </w:t>
      </w:r>
    </w:p>
    <w:p w14:paraId="6A473D5E" w14:textId="77777777" w:rsidR="00441AE6" w:rsidRPr="00861BE0" w:rsidRDefault="00441AE6" w:rsidP="00441AE6">
      <w:pPr>
        <w:tabs>
          <w:tab w:val="left" w:pos="851"/>
        </w:tabs>
        <w:ind w:left="851"/>
        <w:rPr>
          <w:sz w:val="24"/>
          <w:szCs w:val="24"/>
        </w:rPr>
      </w:pPr>
      <w:r w:rsidRPr="00861BE0">
        <w:rPr>
          <w:sz w:val="24"/>
          <w:szCs w:val="24"/>
        </w:rPr>
        <w:t xml:space="preserve">Allergen-immunterapi hos patienter, der behandles med </w:t>
      </w:r>
      <w:proofErr w:type="spellStart"/>
      <w:r w:rsidRPr="00861BE0">
        <w:rPr>
          <w:sz w:val="24"/>
          <w:szCs w:val="24"/>
        </w:rPr>
        <w:t>monoaminoxidasehæmmere</w:t>
      </w:r>
      <w:proofErr w:type="spellEnd"/>
      <w:r w:rsidRPr="00861BE0">
        <w:rPr>
          <w:sz w:val="24"/>
          <w:szCs w:val="24"/>
        </w:rPr>
        <w:t xml:space="preserve"> (MAO-</w:t>
      </w:r>
      <w:proofErr w:type="spellStart"/>
      <w:r w:rsidRPr="00861BE0">
        <w:rPr>
          <w:sz w:val="24"/>
          <w:szCs w:val="24"/>
        </w:rPr>
        <w:t>hæmmere</w:t>
      </w:r>
      <w:proofErr w:type="spellEnd"/>
      <w:r w:rsidRPr="00861BE0">
        <w:rPr>
          <w:sz w:val="24"/>
          <w:szCs w:val="24"/>
        </w:rPr>
        <w:t xml:space="preserve">), tricykliske </w:t>
      </w:r>
      <w:proofErr w:type="spellStart"/>
      <w:r w:rsidRPr="00861BE0">
        <w:rPr>
          <w:sz w:val="24"/>
          <w:szCs w:val="24"/>
        </w:rPr>
        <w:t>antidepressiva</w:t>
      </w:r>
      <w:proofErr w:type="spellEnd"/>
      <w:r w:rsidRPr="00861BE0">
        <w:rPr>
          <w:sz w:val="24"/>
          <w:szCs w:val="24"/>
        </w:rPr>
        <w:t xml:space="preserve"> eller </w:t>
      </w:r>
      <w:proofErr w:type="spellStart"/>
      <w:r w:rsidRPr="00861BE0">
        <w:rPr>
          <w:sz w:val="24"/>
          <w:szCs w:val="24"/>
        </w:rPr>
        <w:t>catechol</w:t>
      </w:r>
      <w:proofErr w:type="spellEnd"/>
      <w:r w:rsidRPr="00861BE0">
        <w:rPr>
          <w:sz w:val="24"/>
          <w:szCs w:val="24"/>
        </w:rPr>
        <w:t>-O-</w:t>
      </w:r>
      <w:proofErr w:type="spellStart"/>
      <w:r w:rsidRPr="00861BE0">
        <w:rPr>
          <w:sz w:val="24"/>
          <w:szCs w:val="24"/>
        </w:rPr>
        <w:t>methyltransferase</w:t>
      </w:r>
      <w:proofErr w:type="spellEnd"/>
      <w:r w:rsidRPr="00861BE0">
        <w:rPr>
          <w:sz w:val="24"/>
          <w:szCs w:val="24"/>
        </w:rPr>
        <w:t xml:space="preserve"> (COMT)-</w:t>
      </w:r>
      <w:proofErr w:type="spellStart"/>
      <w:r w:rsidRPr="00861BE0">
        <w:rPr>
          <w:sz w:val="24"/>
          <w:szCs w:val="24"/>
        </w:rPr>
        <w:t>hæmmere</w:t>
      </w:r>
      <w:proofErr w:type="spellEnd"/>
      <w:r w:rsidRPr="00861BE0">
        <w:rPr>
          <w:sz w:val="24"/>
          <w:szCs w:val="24"/>
        </w:rPr>
        <w:t xml:space="preserve">, bør overvejes omhyggeligt, fordi disse behandlinger kan forstærke adrenalins virkning. </w:t>
      </w:r>
    </w:p>
    <w:p w14:paraId="4A0A2580" w14:textId="77777777" w:rsidR="00441AE6" w:rsidRPr="00861BE0" w:rsidRDefault="00441AE6" w:rsidP="00441AE6">
      <w:pPr>
        <w:tabs>
          <w:tab w:val="left" w:pos="851"/>
        </w:tabs>
        <w:ind w:left="851"/>
        <w:rPr>
          <w:sz w:val="24"/>
          <w:szCs w:val="24"/>
        </w:rPr>
      </w:pPr>
    </w:p>
    <w:p w14:paraId="024D7DFD" w14:textId="77777777" w:rsidR="00441AE6" w:rsidRPr="00861BE0" w:rsidRDefault="00441AE6" w:rsidP="00441AE6">
      <w:pPr>
        <w:tabs>
          <w:tab w:val="left" w:pos="851"/>
        </w:tabs>
        <w:ind w:left="851"/>
        <w:rPr>
          <w:sz w:val="24"/>
          <w:szCs w:val="24"/>
          <w:u w:val="single"/>
        </w:rPr>
      </w:pPr>
      <w:r w:rsidRPr="00861BE0">
        <w:rPr>
          <w:sz w:val="24"/>
          <w:szCs w:val="24"/>
          <w:u w:val="single"/>
        </w:rPr>
        <w:t>Milde til moderate lokale allergiske reaktioner</w:t>
      </w:r>
    </w:p>
    <w:p w14:paraId="71E70842" w14:textId="77777777" w:rsidR="00441AE6" w:rsidRPr="00861BE0" w:rsidRDefault="00441AE6" w:rsidP="00441AE6">
      <w:pPr>
        <w:tabs>
          <w:tab w:val="left" w:pos="851"/>
        </w:tabs>
        <w:ind w:left="851"/>
        <w:rPr>
          <w:sz w:val="24"/>
          <w:szCs w:val="24"/>
        </w:rPr>
      </w:pPr>
      <w:r w:rsidRPr="00861BE0">
        <w:rPr>
          <w:sz w:val="24"/>
          <w:szCs w:val="24"/>
        </w:rPr>
        <w:t xml:space="preserve">Behandlingen består i eksponering for allergener, som patienten er allergisk overfor. Derfor kan der forventes milde eller moderate lokale allergiske reaktioner i det </w:t>
      </w:r>
      <w:proofErr w:type="spellStart"/>
      <w:r w:rsidRPr="00861BE0">
        <w:rPr>
          <w:sz w:val="24"/>
          <w:szCs w:val="24"/>
        </w:rPr>
        <w:t>orofaryngeale</w:t>
      </w:r>
      <w:proofErr w:type="spellEnd"/>
      <w:r w:rsidRPr="00861BE0">
        <w:rPr>
          <w:sz w:val="24"/>
          <w:szCs w:val="24"/>
        </w:rPr>
        <w:t xml:space="preserve"> område (f.eks. oral </w:t>
      </w:r>
      <w:proofErr w:type="spellStart"/>
      <w:r w:rsidRPr="00861BE0">
        <w:rPr>
          <w:sz w:val="24"/>
          <w:szCs w:val="24"/>
        </w:rPr>
        <w:t>pruritus</w:t>
      </w:r>
      <w:proofErr w:type="spellEnd"/>
      <w:r w:rsidRPr="00861BE0">
        <w:rPr>
          <w:sz w:val="24"/>
          <w:szCs w:val="24"/>
        </w:rPr>
        <w:t xml:space="preserve">, irritation i svælget, </w:t>
      </w:r>
      <w:proofErr w:type="spellStart"/>
      <w:r w:rsidRPr="00861BE0">
        <w:rPr>
          <w:sz w:val="24"/>
          <w:szCs w:val="24"/>
        </w:rPr>
        <w:t>pruritus</w:t>
      </w:r>
      <w:proofErr w:type="spellEnd"/>
      <w:r w:rsidRPr="00861BE0">
        <w:rPr>
          <w:sz w:val="24"/>
          <w:szCs w:val="24"/>
        </w:rPr>
        <w:t xml:space="preserve"> i øret). Hvis patienten oplever signifikante reaktioner på administrationsstedet, kan symptomatisk behandling (f.eks. brug af antihistaminer) overvejes.</w:t>
      </w:r>
    </w:p>
    <w:p w14:paraId="4734B268" w14:textId="77777777" w:rsidR="00441AE6" w:rsidRPr="00861BE0" w:rsidRDefault="00441AE6" w:rsidP="00441AE6">
      <w:pPr>
        <w:tabs>
          <w:tab w:val="left" w:pos="851"/>
        </w:tabs>
        <w:ind w:left="851"/>
        <w:rPr>
          <w:sz w:val="24"/>
          <w:szCs w:val="24"/>
        </w:rPr>
      </w:pPr>
    </w:p>
    <w:p w14:paraId="4BAD15E0" w14:textId="77777777" w:rsidR="00441AE6" w:rsidRPr="00861BE0" w:rsidRDefault="00441AE6" w:rsidP="00441AE6">
      <w:pPr>
        <w:tabs>
          <w:tab w:val="left" w:pos="851"/>
        </w:tabs>
        <w:ind w:left="851"/>
        <w:rPr>
          <w:sz w:val="24"/>
          <w:szCs w:val="24"/>
          <w:u w:val="single"/>
        </w:rPr>
      </w:pPr>
      <w:r w:rsidRPr="00861BE0">
        <w:rPr>
          <w:sz w:val="24"/>
          <w:szCs w:val="24"/>
          <w:u w:val="single"/>
        </w:rPr>
        <w:t>Orale læsioner</w:t>
      </w:r>
    </w:p>
    <w:p w14:paraId="4A2D00E6" w14:textId="77777777" w:rsidR="00441AE6" w:rsidRPr="00861BE0" w:rsidRDefault="00441AE6" w:rsidP="00441AE6">
      <w:pPr>
        <w:tabs>
          <w:tab w:val="left" w:pos="851"/>
        </w:tabs>
        <w:ind w:left="851"/>
        <w:rPr>
          <w:sz w:val="24"/>
          <w:szCs w:val="24"/>
        </w:rPr>
      </w:pPr>
      <w:r w:rsidRPr="00861BE0">
        <w:rPr>
          <w:sz w:val="24"/>
          <w:szCs w:val="24"/>
        </w:rPr>
        <w:t xml:space="preserve">I tilfælde af mundkirurgi, inkl. dental ekstraktion, bør initiering af </w:t>
      </w:r>
      <w:proofErr w:type="spellStart"/>
      <w:r w:rsidRPr="00861BE0">
        <w:rPr>
          <w:sz w:val="24"/>
          <w:szCs w:val="24"/>
        </w:rPr>
        <w:t>Aitgrys</w:t>
      </w:r>
      <w:proofErr w:type="spellEnd"/>
      <w:r w:rsidRPr="00861BE0">
        <w:rPr>
          <w:sz w:val="24"/>
          <w:szCs w:val="24"/>
        </w:rPr>
        <w:t xml:space="preserve"> udskydes, og igangværende behandling bør seponeres, indtil fuldstændig </w:t>
      </w:r>
      <w:proofErr w:type="spellStart"/>
      <w:r w:rsidRPr="00861BE0">
        <w:rPr>
          <w:sz w:val="24"/>
          <w:szCs w:val="24"/>
        </w:rPr>
        <w:t>opheling</w:t>
      </w:r>
      <w:proofErr w:type="spellEnd"/>
      <w:r w:rsidRPr="00861BE0">
        <w:rPr>
          <w:sz w:val="24"/>
          <w:szCs w:val="24"/>
        </w:rPr>
        <w:t xml:space="preserve"> af mundhulen.</w:t>
      </w:r>
    </w:p>
    <w:p w14:paraId="3B885F2E" w14:textId="77777777" w:rsidR="00441AE6" w:rsidRPr="00861BE0" w:rsidRDefault="00441AE6" w:rsidP="00441AE6">
      <w:pPr>
        <w:tabs>
          <w:tab w:val="left" w:pos="851"/>
        </w:tabs>
        <w:ind w:left="851"/>
        <w:rPr>
          <w:sz w:val="24"/>
          <w:szCs w:val="24"/>
        </w:rPr>
      </w:pPr>
    </w:p>
    <w:p w14:paraId="79B84990"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Eosinofil</w:t>
      </w:r>
      <w:proofErr w:type="spellEnd"/>
      <w:r w:rsidRPr="00861BE0">
        <w:rPr>
          <w:sz w:val="24"/>
          <w:szCs w:val="24"/>
          <w:u w:val="single"/>
        </w:rPr>
        <w:t xml:space="preserve"> </w:t>
      </w:r>
      <w:proofErr w:type="spellStart"/>
      <w:r w:rsidRPr="00861BE0">
        <w:rPr>
          <w:sz w:val="24"/>
          <w:szCs w:val="24"/>
          <w:u w:val="single"/>
        </w:rPr>
        <w:t>øsofagitis</w:t>
      </w:r>
      <w:proofErr w:type="spellEnd"/>
    </w:p>
    <w:p w14:paraId="2DEB220F" w14:textId="77777777" w:rsidR="00441AE6" w:rsidRPr="00861BE0" w:rsidRDefault="00441AE6" w:rsidP="00441AE6">
      <w:pPr>
        <w:tabs>
          <w:tab w:val="left" w:pos="851"/>
        </w:tabs>
        <w:ind w:left="851"/>
        <w:rPr>
          <w:sz w:val="24"/>
          <w:szCs w:val="24"/>
        </w:rPr>
      </w:pPr>
      <w:r w:rsidRPr="00861BE0">
        <w:rPr>
          <w:sz w:val="24"/>
          <w:szCs w:val="24"/>
        </w:rPr>
        <w:t xml:space="preserve">Der er rapporteret tilfælde af </w:t>
      </w:r>
      <w:proofErr w:type="spellStart"/>
      <w:r w:rsidRPr="00861BE0">
        <w:rPr>
          <w:sz w:val="24"/>
          <w:szCs w:val="24"/>
        </w:rPr>
        <w:t>eosinofil</w:t>
      </w:r>
      <w:proofErr w:type="spellEnd"/>
      <w:r w:rsidRPr="00861BE0">
        <w:rPr>
          <w:sz w:val="24"/>
          <w:szCs w:val="24"/>
        </w:rPr>
        <w:t xml:space="preserve"> </w:t>
      </w:r>
      <w:proofErr w:type="spellStart"/>
      <w:r w:rsidRPr="00861BE0">
        <w:rPr>
          <w:sz w:val="24"/>
          <w:szCs w:val="24"/>
        </w:rPr>
        <w:t>øsofagitis</w:t>
      </w:r>
      <w:proofErr w:type="spellEnd"/>
      <w:r w:rsidRPr="00861BE0">
        <w:rPr>
          <w:sz w:val="24"/>
          <w:szCs w:val="24"/>
        </w:rPr>
        <w:t xml:space="preserve"> i forbindelse med behandling med </w:t>
      </w:r>
      <w:proofErr w:type="spellStart"/>
      <w:r w:rsidRPr="00861BE0">
        <w:rPr>
          <w:sz w:val="24"/>
          <w:szCs w:val="24"/>
        </w:rPr>
        <w:t>Aitgrys</w:t>
      </w:r>
      <w:proofErr w:type="spellEnd"/>
      <w:r w:rsidRPr="00861BE0">
        <w:rPr>
          <w:sz w:val="24"/>
          <w:szCs w:val="24"/>
        </w:rPr>
        <w:t xml:space="preserve">. Hvis der opstår alvorlige eller vedvarende </w:t>
      </w:r>
      <w:proofErr w:type="spellStart"/>
      <w:r w:rsidRPr="00861BE0">
        <w:rPr>
          <w:sz w:val="24"/>
          <w:szCs w:val="24"/>
        </w:rPr>
        <w:t>gastroøsofageale</w:t>
      </w:r>
      <w:proofErr w:type="spellEnd"/>
      <w:r w:rsidRPr="00861BE0">
        <w:rPr>
          <w:sz w:val="24"/>
          <w:szCs w:val="24"/>
        </w:rPr>
        <w:t xml:space="preserve"> symptomer, herunder </w:t>
      </w:r>
      <w:proofErr w:type="spellStart"/>
      <w:r w:rsidRPr="00861BE0">
        <w:rPr>
          <w:sz w:val="24"/>
          <w:szCs w:val="24"/>
        </w:rPr>
        <w:t>dysfagi</w:t>
      </w:r>
      <w:proofErr w:type="spellEnd"/>
      <w:r w:rsidRPr="00861BE0">
        <w:rPr>
          <w:sz w:val="24"/>
          <w:szCs w:val="24"/>
        </w:rPr>
        <w:t xml:space="preserve"> eller brystsmerter, bør behandling med </w:t>
      </w:r>
      <w:proofErr w:type="spellStart"/>
      <w:r w:rsidRPr="00861BE0">
        <w:rPr>
          <w:sz w:val="24"/>
          <w:szCs w:val="24"/>
        </w:rPr>
        <w:t>Aitgrys</w:t>
      </w:r>
      <w:proofErr w:type="spellEnd"/>
      <w:r w:rsidRPr="00861BE0">
        <w:rPr>
          <w:sz w:val="24"/>
          <w:szCs w:val="24"/>
        </w:rPr>
        <w:t xml:space="preserve"> afbrydes, og patienten bør undersøges af sin læge. Behandlingen bør kun genoptages efter lægens anvisninger.</w:t>
      </w:r>
    </w:p>
    <w:p w14:paraId="30865FF5" w14:textId="77777777" w:rsidR="00441AE6" w:rsidRPr="00861BE0" w:rsidRDefault="00441AE6" w:rsidP="00441AE6">
      <w:pPr>
        <w:tabs>
          <w:tab w:val="left" w:pos="851"/>
        </w:tabs>
        <w:ind w:left="851"/>
        <w:rPr>
          <w:sz w:val="24"/>
          <w:szCs w:val="24"/>
        </w:rPr>
      </w:pPr>
    </w:p>
    <w:p w14:paraId="2E1C10EC" w14:textId="77777777" w:rsidR="00441AE6" w:rsidRPr="00861BE0" w:rsidRDefault="00441AE6" w:rsidP="00441AE6">
      <w:pPr>
        <w:tabs>
          <w:tab w:val="left" w:pos="851"/>
        </w:tabs>
        <w:ind w:left="851"/>
        <w:rPr>
          <w:sz w:val="24"/>
          <w:szCs w:val="24"/>
          <w:u w:val="single"/>
        </w:rPr>
      </w:pPr>
      <w:r w:rsidRPr="00861BE0">
        <w:rPr>
          <w:sz w:val="24"/>
          <w:szCs w:val="24"/>
          <w:u w:val="single"/>
        </w:rPr>
        <w:t>Autoimmune sygdomme i remission</w:t>
      </w:r>
    </w:p>
    <w:p w14:paraId="05C1FC30" w14:textId="77777777" w:rsidR="00441AE6" w:rsidRPr="00861BE0" w:rsidRDefault="00441AE6" w:rsidP="00441AE6">
      <w:pPr>
        <w:tabs>
          <w:tab w:val="left" w:pos="851"/>
        </w:tabs>
        <w:ind w:left="851"/>
        <w:rPr>
          <w:sz w:val="24"/>
          <w:szCs w:val="24"/>
        </w:rPr>
      </w:pPr>
      <w:proofErr w:type="spellStart"/>
      <w:r w:rsidRPr="00861BE0">
        <w:rPr>
          <w:sz w:val="24"/>
          <w:szCs w:val="24"/>
        </w:rPr>
        <w:t>Aitgrys</w:t>
      </w:r>
      <w:proofErr w:type="spellEnd"/>
      <w:r w:rsidRPr="00861BE0">
        <w:rPr>
          <w:sz w:val="24"/>
          <w:szCs w:val="24"/>
        </w:rPr>
        <w:t xml:space="preserve"> bør ordineres med forsigtighed til patienter med autoimmun sygdom i remission.</w:t>
      </w:r>
    </w:p>
    <w:p w14:paraId="7DF477BA" w14:textId="77777777" w:rsidR="00441AE6" w:rsidRPr="00861BE0" w:rsidRDefault="00441AE6" w:rsidP="00441AE6">
      <w:pPr>
        <w:tabs>
          <w:tab w:val="left" w:pos="851"/>
        </w:tabs>
        <w:ind w:left="851"/>
        <w:rPr>
          <w:sz w:val="24"/>
          <w:szCs w:val="24"/>
        </w:rPr>
      </w:pPr>
    </w:p>
    <w:p w14:paraId="26A226EA"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Lactose</w:t>
      </w:r>
      <w:proofErr w:type="spellEnd"/>
    </w:p>
    <w:p w14:paraId="35BB9ABA" w14:textId="77777777" w:rsidR="00441AE6" w:rsidRDefault="00441AE6" w:rsidP="00441AE6">
      <w:pPr>
        <w:tabs>
          <w:tab w:val="left" w:pos="851"/>
        </w:tabs>
        <w:ind w:left="851"/>
        <w:rPr>
          <w:sz w:val="24"/>
          <w:szCs w:val="24"/>
        </w:rPr>
      </w:pPr>
      <w:r w:rsidRPr="00861BE0">
        <w:rPr>
          <w:sz w:val="24"/>
          <w:szCs w:val="24"/>
        </w:rPr>
        <w:t xml:space="preserve">Bør ikke anvendes til patienter med hereditær </w:t>
      </w:r>
      <w:proofErr w:type="spellStart"/>
      <w:r w:rsidRPr="00861BE0">
        <w:rPr>
          <w:sz w:val="24"/>
          <w:szCs w:val="24"/>
        </w:rPr>
        <w:t>galactoseintolerans</w:t>
      </w:r>
      <w:proofErr w:type="spellEnd"/>
      <w:r w:rsidRPr="00861BE0">
        <w:rPr>
          <w:sz w:val="24"/>
          <w:szCs w:val="24"/>
        </w:rPr>
        <w:t xml:space="preserve">, total </w:t>
      </w:r>
      <w:proofErr w:type="spellStart"/>
      <w:r w:rsidRPr="00861BE0">
        <w:rPr>
          <w:sz w:val="24"/>
          <w:szCs w:val="24"/>
        </w:rPr>
        <w:t>lactasemangel</w:t>
      </w:r>
      <w:proofErr w:type="spellEnd"/>
      <w:r w:rsidRPr="00861BE0">
        <w:rPr>
          <w:sz w:val="24"/>
          <w:szCs w:val="24"/>
        </w:rPr>
        <w:t xml:space="preserve"> eller </w:t>
      </w:r>
      <w:proofErr w:type="spellStart"/>
      <w:r w:rsidRPr="00861BE0">
        <w:rPr>
          <w:sz w:val="24"/>
          <w:szCs w:val="24"/>
        </w:rPr>
        <w:t>glucose</w:t>
      </w:r>
      <w:proofErr w:type="spellEnd"/>
      <w:r w:rsidRPr="00861BE0">
        <w:rPr>
          <w:sz w:val="24"/>
          <w:szCs w:val="24"/>
        </w:rPr>
        <w:t>/</w:t>
      </w:r>
      <w:proofErr w:type="spellStart"/>
      <w:r w:rsidRPr="00861BE0">
        <w:rPr>
          <w:sz w:val="24"/>
          <w:szCs w:val="24"/>
        </w:rPr>
        <w:t>galactosemalabsorption</w:t>
      </w:r>
      <w:proofErr w:type="spellEnd"/>
      <w:r w:rsidRPr="00861BE0">
        <w:rPr>
          <w:sz w:val="24"/>
          <w:szCs w:val="24"/>
        </w:rPr>
        <w:t>.</w:t>
      </w:r>
    </w:p>
    <w:p w14:paraId="792BA27D" w14:textId="77777777" w:rsidR="00441AE6" w:rsidRDefault="00441AE6" w:rsidP="00441AE6">
      <w:pPr>
        <w:tabs>
          <w:tab w:val="left" w:pos="851"/>
        </w:tabs>
        <w:ind w:left="851"/>
        <w:rPr>
          <w:sz w:val="24"/>
          <w:szCs w:val="24"/>
        </w:rPr>
      </w:pPr>
    </w:p>
    <w:p w14:paraId="1A059C35" w14:textId="77777777" w:rsidR="00441AE6" w:rsidRDefault="00441AE6" w:rsidP="00441AE6">
      <w:pPr>
        <w:tabs>
          <w:tab w:val="left" w:pos="851"/>
        </w:tabs>
        <w:ind w:left="851"/>
        <w:rPr>
          <w:sz w:val="24"/>
          <w:szCs w:val="24"/>
          <w:u w:val="single"/>
        </w:rPr>
      </w:pPr>
      <w:r w:rsidRPr="00754D2F">
        <w:rPr>
          <w:sz w:val="24"/>
          <w:szCs w:val="24"/>
          <w:u w:val="single"/>
        </w:rPr>
        <w:t>Natrium</w:t>
      </w:r>
    </w:p>
    <w:p w14:paraId="64466E66" w14:textId="77777777" w:rsidR="00441AE6" w:rsidRPr="00754D2F" w:rsidRDefault="00441AE6" w:rsidP="00441AE6">
      <w:pPr>
        <w:tabs>
          <w:tab w:val="left" w:pos="851"/>
        </w:tabs>
        <w:ind w:left="851"/>
        <w:rPr>
          <w:sz w:val="24"/>
          <w:szCs w:val="24"/>
        </w:rPr>
      </w:pPr>
      <w:r w:rsidRPr="00754D2F">
        <w:rPr>
          <w:sz w:val="24"/>
          <w:szCs w:val="24"/>
        </w:rPr>
        <w:t>Dette l</w:t>
      </w:r>
      <w:r>
        <w:rPr>
          <w:sz w:val="24"/>
          <w:szCs w:val="24"/>
        </w:rPr>
        <w:t>æ</w:t>
      </w:r>
      <w:r w:rsidRPr="00754D2F">
        <w:rPr>
          <w:sz w:val="24"/>
          <w:szCs w:val="24"/>
        </w:rPr>
        <w:t>gemiddel indeholder mindre end 1 mmol</w:t>
      </w:r>
      <w:r>
        <w:rPr>
          <w:sz w:val="24"/>
          <w:szCs w:val="24"/>
        </w:rPr>
        <w:t xml:space="preserve"> </w:t>
      </w:r>
      <w:r w:rsidRPr="00754D2F">
        <w:rPr>
          <w:sz w:val="24"/>
          <w:szCs w:val="24"/>
        </w:rPr>
        <w:t xml:space="preserve">(23 mg) natrium pr. </w:t>
      </w:r>
      <w:proofErr w:type="spellStart"/>
      <w:r>
        <w:rPr>
          <w:sz w:val="24"/>
          <w:szCs w:val="24"/>
        </w:rPr>
        <w:t>resoriblet</w:t>
      </w:r>
      <w:proofErr w:type="spellEnd"/>
      <w:r w:rsidRPr="00754D2F">
        <w:rPr>
          <w:sz w:val="24"/>
          <w:szCs w:val="24"/>
        </w:rPr>
        <w:t>, dvs. det er i det v</w:t>
      </w:r>
      <w:r>
        <w:rPr>
          <w:sz w:val="24"/>
          <w:szCs w:val="24"/>
        </w:rPr>
        <w:t>æ</w:t>
      </w:r>
      <w:r w:rsidRPr="00754D2F">
        <w:rPr>
          <w:sz w:val="24"/>
          <w:szCs w:val="24"/>
        </w:rPr>
        <w:t>sentlige natriumfrit.</w:t>
      </w:r>
    </w:p>
    <w:p w14:paraId="36A01DF8" w14:textId="77777777" w:rsidR="00861BE0" w:rsidRPr="00861BE0" w:rsidRDefault="00861BE0" w:rsidP="00861BE0">
      <w:pPr>
        <w:tabs>
          <w:tab w:val="left" w:pos="851"/>
        </w:tabs>
        <w:ind w:left="851"/>
        <w:rPr>
          <w:sz w:val="24"/>
          <w:szCs w:val="24"/>
        </w:rPr>
      </w:pPr>
    </w:p>
    <w:p w14:paraId="61BAC8A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D176BA" w14:textId="77777777" w:rsidR="00861BE0" w:rsidRPr="00861BE0" w:rsidRDefault="00861BE0" w:rsidP="00861BE0">
      <w:pPr>
        <w:tabs>
          <w:tab w:val="left" w:pos="851"/>
        </w:tabs>
        <w:ind w:left="851"/>
        <w:rPr>
          <w:sz w:val="24"/>
          <w:szCs w:val="24"/>
        </w:rPr>
      </w:pPr>
      <w:r w:rsidRPr="00861BE0">
        <w:rPr>
          <w:sz w:val="24"/>
          <w:szCs w:val="24"/>
        </w:rPr>
        <w:t>Der er ikke udført interaktionsstudier.</w:t>
      </w:r>
    </w:p>
    <w:p w14:paraId="50C4A45F" w14:textId="77777777" w:rsidR="00861BE0" w:rsidRPr="00861BE0" w:rsidRDefault="00861BE0" w:rsidP="00861BE0">
      <w:pPr>
        <w:tabs>
          <w:tab w:val="left" w:pos="851"/>
        </w:tabs>
        <w:ind w:left="851"/>
        <w:rPr>
          <w:sz w:val="24"/>
          <w:szCs w:val="24"/>
        </w:rPr>
      </w:pPr>
      <w:r w:rsidRPr="00861BE0">
        <w:rPr>
          <w:sz w:val="24"/>
          <w:szCs w:val="24"/>
        </w:rPr>
        <w:t xml:space="preserve">Der blev ikke rapporteret om interaktioner i kliniske studier med </w:t>
      </w:r>
      <w:proofErr w:type="spellStart"/>
      <w:r w:rsidRPr="00861BE0">
        <w:rPr>
          <w:sz w:val="24"/>
          <w:szCs w:val="24"/>
        </w:rPr>
        <w:t>Aitgrys</w:t>
      </w:r>
      <w:proofErr w:type="spellEnd"/>
      <w:r w:rsidRPr="00861BE0">
        <w:rPr>
          <w:sz w:val="24"/>
          <w:szCs w:val="24"/>
        </w:rPr>
        <w:t>, hvor patienter måtte tage lægemidler til behandling af allergiske symptomer (antihistaminer, steroider).</w:t>
      </w:r>
    </w:p>
    <w:p w14:paraId="22E2B272" w14:textId="77777777" w:rsidR="00861BE0" w:rsidRPr="00861BE0" w:rsidRDefault="00861BE0" w:rsidP="00861BE0">
      <w:pPr>
        <w:tabs>
          <w:tab w:val="left" w:pos="851"/>
        </w:tabs>
        <w:ind w:left="851"/>
        <w:rPr>
          <w:sz w:val="24"/>
          <w:szCs w:val="24"/>
        </w:rPr>
      </w:pPr>
    </w:p>
    <w:p w14:paraId="6DE48266" w14:textId="77777777" w:rsidR="00861BE0" w:rsidRPr="00861BE0" w:rsidRDefault="00861BE0" w:rsidP="00861BE0">
      <w:pPr>
        <w:tabs>
          <w:tab w:val="left" w:pos="851"/>
        </w:tabs>
        <w:ind w:left="851"/>
        <w:rPr>
          <w:sz w:val="24"/>
          <w:szCs w:val="24"/>
        </w:rPr>
      </w:pPr>
      <w:r w:rsidRPr="00861BE0">
        <w:rPr>
          <w:sz w:val="24"/>
          <w:szCs w:val="24"/>
        </w:rPr>
        <w:t xml:space="preserve">Der foreligger ingen data vedr. mulige risici ved samtidig immunterapi med andre allergener under behandling med </w:t>
      </w:r>
      <w:proofErr w:type="spellStart"/>
      <w:r w:rsidRPr="00861BE0">
        <w:rPr>
          <w:sz w:val="24"/>
          <w:szCs w:val="24"/>
        </w:rPr>
        <w:t>Aitgrys</w:t>
      </w:r>
      <w:proofErr w:type="spellEnd"/>
      <w:r w:rsidRPr="00861BE0">
        <w:rPr>
          <w:sz w:val="24"/>
          <w:szCs w:val="24"/>
        </w:rPr>
        <w:t xml:space="preserve">. </w:t>
      </w:r>
    </w:p>
    <w:p w14:paraId="726B6BBA" w14:textId="77777777" w:rsidR="00861BE0" w:rsidRPr="00861BE0" w:rsidRDefault="00861BE0" w:rsidP="00861BE0">
      <w:pPr>
        <w:tabs>
          <w:tab w:val="left" w:pos="851"/>
        </w:tabs>
        <w:ind w:left="851"/>
        <w:rPr>
          <w:sz w:val="24"/>
          <w:szCs w:val="24"/>
        </w:rPr>
      </w:pPr>
    </w:p>
    <w:p w14:paraId="1E10B556" w14:textId="77777777" w:rsidR="00861BE0" w:rsidRPr="00861BE0" w:rsidRDefault="00861BE0" w:rsidP="00861BE0">
      <w:pPr>
        <w:tabs>
          <w:tab w:val="left" w:pos="851"/>
        </w:tabs>
        <w:ind w:left="851"/>
        <w:rPr>
          <w:sz w:val="24"/>
          <w:szCs w:val="24"/>
        </w:rPr>
      </w:pPr>
      <w:r w:rsidRPr="00861BE0">
        <w:rPr>
          <w:sz w:val="24"/>
          <w:szCs w:val="24"/>
        </w:rPr>
        <w:t xml:space="preserve">Samtidig behandling med symptomatiske antiallergiske lægemidler eller </w:t>
      </w:r>
      <w:proofErr w:type="spellStart"/>
      <w:r w:rsidRPr="00861BE0">
        <w:rPr>
          <w:sz w:val="24"/>
          <w:szCs w:val="24"/>
        </w:rPr>
        <w:t>anti-IgE</w:t>
      </w:r>
      <w:proofErr w:type="spellEnd"/>
      <w:r w:rsidRPr="00861BE0">
        <w:rPr>
          <w:sz w:val="24"/>
          <w:szCs w:val="24"/>
        </w:rPr>
        <w:t xml:space="preserve"> lægemidler som f.eks. </w:t>
      </w:r>
      <w:proofErr w:type="spellStart"/>
      <w:r w:rsidRPr="00861BE0">
        <w:rPr>
          <w:sz w:val="24"/>
          <w:szCs w:val="24"/>
        </w:rPr>
        <w:t>omalizumab</w:t>
      </w:r>
      <w:proofErr w:type="spellEnd"/>
      <w:r w:rsidRPr="00861BE0">
        <w:rPr>
          <w:sz w:val="24"/>
          <w:szCs w:val="24"/>
        </w:rPr>
        <w:t xml:space="preserve"> kan øge patientens tolerancetærskel over for immunterapi. Dette skal der tages højde for ved </w:t>
      </w:r>
      <w:proofErr w:type="spellStart"/>
      <w:r w:rsidRPr="00861BE0">
        <w:rPr>
          <w:sz w:val="24"/>
          <w:szCs w:val="24"/>
        </w:rPr>
        <w:t>seponering</w:t>
      </w:r>
      <w:proofErr w:type="spellEnd"/>
      <w:r w:rsidRPr="00861BE0">
        <w:rPr>
          <w:sz w:val="24"/>
          <w:szCs w:val="24"/>
        </w:rPr>
        <w:t xml:space="preserve"> af sådanne lægemidler.</w:t>
      </w:r>
    </w:p>
    <w:p w14:paraId="020953FA" w14:textId="77777777" w:rsidR="00861BE0" w:rsidRPr="00861BE0" w:rsidRDefault="00861BE0" w:rsidP="00861BE0">
      <w:pPr>
        <w:tabs>
          <w:tab w:val="left" w:pos="851"/>
        </w:tabs>
        <w:ind w:left="851"/>
        <w:rPr>
          <w:sz w:val="24"/>
          <w:szCs w:val="24"/>
        </w:rPr>
      </w:pPr>
    </w:p>
    <w:p w14:paraId="3AE745FC" w14:textId="77777777" w:rsidR="00861BE0" w:rsidRPr="00861BE0" w:rsidRDefault="00861BE0" w:rsidP="00861BE0">
      <w:pPr>
        <w:tabs>
          <w:tab w:val="left" w:pos="851"/>
        </w:tabs>
        <w:ind w:left="851"/>
        <w:rPr>
          <w:sz w:val="24"/>
          <w:szCs w:val="24"/>
        </w:rPr>
      </w:pPr>
      <w:r w:rsidRPr="00861BE0">
        <w:rPr>
          <w:sz w:val="24"/>
          <w:szCs w:val="24"/>
        </w:rPr>
        <w:t xml:space="preserve">Klinisk erfaring i forbindelse med samtidig vaccination og behandling med </w:t>
      </w:r>
      <w:proofErr w:type="spellStart"/>
      <w:r w:rsidRPr="00861BE0">
        <w:rPr>
          <w:sz w:val="24"/>
          <w:szCs w:val="24"/>
        </w:rPr>
        <w:t>Aitgrys</w:t>
      </w:r>
      <w:proofErr w:type="spellEnd"/>
      <w:r w:rsidRPr="00861BE0">
        <w:rPr>
          <w:sz w:val="24"/>
          <w:szCs w:val="24"/>
        </w:rPr>
        <w:t xml:space="preserve"> mangler. Der kan gives vaccination uden at afbryde behandling med </w:t>
      </w:r>
      <w:proofErr w:type="spellStart"/>
      <w:r w:rsidRPr="00861BE0">
        <w:rPr>
          <w:sz w:val="24"/>
          <w:szCs w:val="24"/>
        </w:rPr>
        <w:t>Aitgrys</w:t>
      </w:r>
      <w:proofErr w:type="spellEnd"/>
      <w:r w:rsidRPr="00861BE0">
        <w:rPr>
          <w:sz w:val="24"/>
          <w:szCs w:val="24"/>
        </w:rPr>
        <w:t xml:space="preserve"> efter medicinsk evaluering af patientens almentilstand.</w:t>
      </w:r>
    </w:p>
    <w:p w14:paraId="5F9FB6A0" w14:textId="77777777" w:rsidR="009260DE" w:rsidRPr="00C84483" w:rsidRDefault="009260DE" w:rsidP="009260DE">
      <w:pPr>
        <w:tabs>
          <w:tab w:val="left" w:pos="851"/>
        </w:tabs>
        <w:ind w:left="851"/>
        <w:rPr>
          <w:sz w:val="24"/>
          <w:szCs w:val="24"/>
        </w:rPr>
      </w:pPr>
    </w:p>
    <w:p w14:paraId="0D2E14B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1EF889C" w14:textId="77777777" w:rsidR="00861BE0" w:rsidRPr="00861BE0" w:rsidRDefault="00861BE0" w:rsidP="00441AE6">
      <w:pPr>
        <w:tabs>
          <w:tab w:val="left" w:pos="851"/>
        </w:tabs>
        <w:rPr>
          <w:i/>
          <w:sz w:val="24"/>
          <w:szCs w:val="24"/>
        </w:rPr>
      </w:pPr>
    </w:p>
    <w:p w14:paraId="3A61662D" w14:textId="77777777" w:rsidR="00441AE6" w:rsidRPr="00861BE0" w:rsidRDefault="00441AE6" w:rsidP="00441AE6">
      <w:pPr>
        <w:tabs>
          <w:tab w:val="left" w:pos="851"/>
        </w:tabs>
        <w:ind w:left="851"/>
        <w:rPr>
          <w:sz w:val="24"/>
          <w:szCs w:val="24"/>
          <w:u w:val="single"/>
        </w:rPr>
      </w:pPr>
      <w:r w:rsidRPr="00861BE0">
        <w:rPr>
          <w:sz w:val="24"/>
          <w:szCs w:val="24"/>
          <w:u w:val="single"/>
        </w:rPr>
        <w:t>Graviditet</w:t>
      </w:r>
    </w:p>
    <w:p w14:paraId="45999840" w14:textId="77777777" w:rsidR="00441AE6" w:rsidRPr="00861BE0" w:rsidRDefault="00441AE6" w:rsidP="00441AE6">
      <w:pPr>
        <w:tabs>
          <w:tab w:val="left" w:pos="851"/>
        </w:tabs>
        <w:ind w:left="851"/>
        <w:rPr>
          <w:sz w:val="24"/>
          <w:szCs w:val="24"/>
        </w:rPr>
      </w:pPr>
      <w:r w:rsidRPr="00861BE0">
        <w:rPr>
          <w:sz w:val="24"/>
          <w:szCs w:val="24"/>
        </w:rPr>
        <w:t xml:space="preserve">Der foreligger utilstrækkelige kliniske data fra anvendelse af </w:t>
      </w:r>
      <w:proofErr w:type="spellStart"/>
      <w:r w:rsidRPr="00861BE0">
        <w:rPr>
          <w:sz w:val="24"/>
          <w:szCs w:val="24"/>
        </w:rPr>
        <w:t>Aitgrys</w:t>
      </w:r>
      <w:proofErr w:type="spellEnd"/>
      <w:r w:rsidRPr="00861BE0">
        <w:rPr>
          <w:sz w:val="24"/>
          <w:szCs w:val="24"/>
        </w:rPr>
        <w:t xml:space="preserve"> til gravide kvinder. </w:t>
      </w:r>
    </w:p>
    <w:p w14:paraId="3072A92A" w14:textId="77777777" w:rsidR="00441AE6" w:rsidRPr="00861BE0" w:rsidRDefault="00441AE6" w:rsidP="00441AE6">
      <w:pPr>
        <w:tabs>
          <w:tab w:val="left" w:pos="851"/>
        </w:tabs>
        <w:ind w:left="851"/>
        <w:rPr>
          <w:sz w:val="24"/>
          <w:szCs w:val="24"/>
        </w:rPr>
      </w:pPr>
    </w:p>
    <w:p w14:paraId="39D088E6" w14:textId="77777777" w:rsidR="00441AE6" w:rsidRPr="00861BE0" w:rsidRDefault="00441AE6" w:rsidP="00441AE6">
      <w:pPr>
        <w:tabs>
          <w:tab w:val="left" w:pos="851"/>
        </w:tabs>
        <w:ind w:left="851"/>
        <w:rPr>
          <w:sz w:val="24"/>
          <w:szCs w:val="24"/>
        </w:rPr>
      </w:pPr>
      <w:r w:rsidRPr="00861BE0">
        <w:rPr>
          <w:sz w:val="24"/>
          <w:szCs w:val="24"/>
        </w:rPr>
        <w:t>Dyrestudier tyder ikke på direkte eller indirekte skadelige virkninger hvad angår reproduktionstoksicitet (se pkt. 5.3).</w:t>
      </w:r>
    </w:p>
    <w:p w14:paraId="1020B4D4" w14:textId="77777777" w:rsidR="00441AE6" w:rsidRPr="00861BE0" w:rsidRDefault="00441AE6" w:rsidP="00441AE6">
      <w:pPr>
        <w:tabs>
          <w:tab w:val="left" w:pos="851"/>
        </w:tabs>
        <w:ind w:left="851"/>
        <w:rPr>
          <w:sz w:val="24"/>
          <w:szCs w:val="24"/>
        </w:rPr>
      </w:pPr>
    </w:p>
    <w:p w14:paraId="51C5D140" w14:textId="77777777" w:rsidR="00441AE6" w:rsidRPr="00861BE0" w:rsidRDefault="00441AE6" w:rsidP="00441AE6">
      <w:pPr>
        <w:tabs>
          <w:tab w:val="left" w:pos="851"/>
        </w:tabs>
        <w:ind w:left="851"/>
        <w:rPr>
          <w:sz w:val="24"/>
          <w:szCs w:val="24"/>
        </w:rPr>
      </w:pPr>
      <w:r w:rsidRPr="00861BE0">
        <w:rPr>
          <w:sz w:val="24"/>
          <w:szCs w:val="24"/>
        </w:rPr>
        <w:t xml:space="preserve">Behandling med </w:t>
      </w:r>
      <w:proofErr w:type="spellStart"/>
      <w:r w:rsidRPr="00861BE0">
        <w:rPr>
          <w:sz w:val="24"/>
          <w:szCs w:val="24"/>
        </w:rPr>
        <w:t>Aitgrys</w:t>
      </w:r>
      <w:proofErr w:type="spellEnd"/>
      <w:r w:rsidRPr="00861BE0">
        <w:rPr>
          <w:sz w:val="24"/>
          <w:szCs w:val="24"/>
        </w:rPr>
        <w:t xml:space="preserve"> bør ikke påbegyndes under graviditet (se pkt. 4.3)</w:t>
      </w:r>
      <w:r>
        <w:rPr>
          <w:sz w:val="24"/>
          <w:szCs w:val="24"/>
        </w:rPr>
        <w:t xml:space="preserve"> på grund af en potentiel risiko for alvorlige systemiske allergiske reaktioner (</w:t>
      </w:r>
      <w:proofErr w:type="spellStart"/>
      <w:r>
        <w:rPr>
          <w:sz w:val="24"/>
          <w:szCs w:val="24"/>
        </w:rPr>
        <w:t>anafylaktiske</w:t>
      </w:r>
      <w:proofErr w:type="spellEnd"/>
      <w:r>
        <w:rPr>
          <w:sz w:val="24"/>
          <w:szCs w:val="24"/>
        </w:rPr>
        <w:t xml:space="preserve"> reaktioner)</w:t>
      </w:r>
      <w:r w:rsidRPr="00861BE0">
        <w:rPr>
          <w:sz w:val="24"/>
          <w:szCs w:val="24"/>
        </w:rPr>
        <w:t xml:space="preserve">. Hvis der opstår graviditet under behandlingen, kan behandlingen med </w:t>
      </w:r>
      <w:proofErr w:type="spellStart"/>
      <w:r w:rsidRPr="00861BE0">
        <w:rPr>
          <w:sz w:val="24"/>
          <w:szCs w:val="24"/>
        </w:rPr>
        <w:t>Aitgrys</w:t>
      </w:r>
      <w:proofErr w:type="spellEnd"/>
      <w:r w:rsidRPr="00861BE0">
        <w:rPr>
          <w:sz w:val="24"/>
          <w:szCs w:val="24"/>
        </w:rPr>
        <w:t xml:space="preserve"> fortsætte, hvis det er nødvendigt men under tæt overvågning.</w:t>
      </w:r>
    </w:p>
    <w:p w14:paraId="2CF972D8" w14:textId="77777777" w:rsidR="00441AE6" w:rsidRPr="00861BE0" w:rsidRDefault="00441AE6" w:rsidP="00441AE6">
      <w:pPr>
        <w:tabs>
          <w:tab w:val="left" w:pos="851"/>
        </w:tabs>
        <w:ind w:left="851"/>
        <w:rPr>
          <w:sz w:val="24"/>
          <w:szCs w:val="24"/>
          <w:u w:val="single"/>
        </w:rPr>
      </w:pPr>
    </w:p>
    <w:p w14:paraId="78B7A633" w14:textId="77777777" w:rsidR="00441AE6" w:rsidRPr="00861BE0" w:rsidRDefault="00441AE6" w:rsidP="00441AE6">
      <w:pPr>
        <w:tabs>
          <w:tab w:val="left" w:pos="851"/>
        </w:tabs>
        <w:ind w:left="851"/>
        <w:rPr>
          <w:sz w:val="24"/>
          <w:szCs w:val="24"/>
          <w:u w:val="single"/>
        </w:rPr>
      </w:pPr>
      <w:r w:rsidRPr="00861BE0">
        <w:rPr>
          <w:sz w:val="24"/>
          <w:szCs w:val="24"/>
          <w:u w:val="single"/>
        </w:rPr>
        <w:t>Amning</w:t>
      </w:r>
    </w:p>
    <w:p w14:paraId="386FFBA6" w14:textId="77777777" w:rsidR="00441AE6" w:rsidRPr="00861BE0" w:rsidRDefault="00441AE6" w:rsidP="00441AE6">
      <w:pPr>
        <w:tabs>
          <w:tab w:val="left" w:pos="851"/>
        </w:tabs>
        <w:ind w:left="851"/>
        <w:rPr>
          <w:sz w:val="24"/>
          <w:szCs w:val="24"/>
        </w:rPr>
      </w:pPr>
      <w:r w:rsidRPr="00861BE0">
        <w:rPr>
          <w:sz w:val="24"/>
          <w:szCs w:val="24"/>
        </w:rPr>
        <w:t xml:space="preserve">Det vides ikke, om allergenekstrakt af 5 græspollen udskilles i brystmælk. </w:t>
      </w:r>
    </w:p>
    <w:p w14:paraId="3B15D25E" w14:textId="77777777" w:rsidR="00441AE6" w:rsidRPr="00861BE0" w:rsidRDefault="00441AE6" w:rsidP="00441AE6">
      <w:pPr>
        <w:tabs>
          <w:tab w:val="left" w:pos="851"/>
        </w:tabs>
        <w:ind w:left="851"/>
        <w:rPr>
          <w:sz w:val="24"/>
          <w:szCs w:val="24"/>
        </w:rPr>
      </w:pPr>
      <w:r w:rsidRPr="00861BE0">
        <w:rPr>
          <w:sz w:val="24"/>
          <w:szCs w:val="24"/>
        </w:rPr>
        <w:t xml:space="preserve">For en sikkerheds skyld frarådes det at indlede allergen immunterapi i </w:t>
      </w:r>
      <w:proofErr w:type="spellStart"/>
      <w:r w:rsidRPr="00861BE0">
        <w:rPr>
          <w:sz w:val="24"/>
          <w:szCs w:val="24"/>
        </w:rPr>
        <w:t>ammeperioden</w:t>
      </w:r>
      <w:proofErr w:type="spellEnd"/>
      <w:r w:rsidRPr="00861BE0">
        <w:rPr>
          <w:sz w:val="24"/>
          <w:szCs w:val="24"/>
        </w:rPr>
        <w:t>.</w:t>
      </w:r>
    </w:p>
    <w:p w14:paraId="4F34296D" w14:textId="77777777" w:rsidR="00441AE6" w:rsidRPr="00861BE0" w:rsidRDefault="00441AE6" w:rsidP="00441AE6">
      <w:pPr>
        <w:tabs>
          <w:tab w:val="left" w:pos="851"/>
        </w:tabs>
        <w:ind w:left="851"/>
        <w:rPr>
          <w:sz w:val="24"/>
          <w:szCs w:val="24"/>
        </w:rPr>
      </w:pPr>
      <w:r w:rsidRPr="00861BE0">
        <w:rPr>
          <w:sz w:val="24"/>
          <w:szCs w:val="24"/>
        </w:rPr>
        <w:t xml:space="preserve">Eftersom den systemiske eksponering for de aktive stoffer i </w:t>
      </w:r>
      <w:proofErr w:type="spellStart"/>
      <w:r w:rsidRPr="00861BE0">
        <w:rPr>
          <w:sz w:val="24"/>
          <w:szCs w:val="24"/>
        </w:rPr>
        <w:t>Aitgrys</w:t>
      </w:r>
      <w:proofErr w:type="spellEnd"/>
      <w:r w:rsidRPr="00861BE0">
        <w:rPr>
          <w:sz w:val="24"/>
          <w:szCs w:val="24"/>
        </w:rPr>
        <w:t xml:space="preserve"> hos den ammende kvinde er ubetydelig lille, bør anvendelsen af </w:t>
      </w:r>
      <w:proofErr w:type="spellStart"/>
      <w:r>
        <w:rPr>
          <w:sz w:val="24"/>
          <w:szCs w:val="24"/>
        </w:rPr>
        <w:t>Aitgrys</w:t>
      </w:r>
      <w:proofErr w:type="spellEnd"/>
      <w:r w:rsidRPr="00861BE0">
        <w:rPr>
          <w:sz w:val="24"/>
          <w:szCs w:val="24"/>
        </w:rPr>
        <w:t xml:space="preserve"> i </w:t>
      </w:r>
      <w:proofErr w:type="spellStart"/>
      <w:r w:rsidRPr="00861BE0">
        <w:rPr>
          <w:sz w:val="24"/>
          <w:szCs w:val="24"/>
        </w:rPr>
        <w:t>ammeperioden</w:t>
      </w:r>
      <w:proofErr w:type="spellEnd"/>
      <w:r w:rsidRPr="00861BE0">
        <w:rPr>
          <w:sz w:val="24"/>
          <w:szCs w:val="24"/>
        </w:rPr>
        <w:t xml:space="preserve"> tages i betragtning, idet der tages højde for fordelene ved amning for barnet i forhold til den terapeutiske fordel for moderen.</w:t>
      </w:r>
    </w:p>
    <w:p w14:paraId="1F262D2A" w14:textId="77777777" w:rsidR="00441AE6" w:rsidRPr="00861BE0" w:rsidRDefault="00441AE6" w:rsidP="00441AE6">
      <w:pPr>
        <w:tabs>
          <w:tab w:val="left" w:pos="851"/>
        </w:tabs>
        <w:ind w:left="851"/>
        <w:rPr>
          <w:sz w:val="24"/>
          <w:szCs w:val="24"/>
        </w:rPr>
      </w:pPr>
    </w:p>
    <w:p w14:paraId="169F73AF" w14:textId="77777777" w:rsidR="00441AE6" w:rsidRPr="00861BE0" w:rsidRDefault="00441AE6" w:rsidP="00441AE6">
      <w:pPr>
        <w:tabs>
          <w:tab w:val="left" w:pos="851"/>
        </w:tabs>
        <w:ind w:left="851"/>
        <w:rPr>
          <w:sz w:val="24"/>
          <w:szCs w:val="24"/>
          <w:u w:val="single"/>
        </w:rPr>
      </w:pPr>
      <w:r w:rsidRPr="00861BE0">
        <w:rPr>
          <w:sz w:val="24"/>
          <w:szCs w:val="24"/>
          <w:u w:val="single"/>
        </w:rPr>
        <w:t>Fertilitet</w:t>
      </w:r>
    </w:p>
    <w:p w14:paraId="7E25C8BA" w14:textId="77777777" w:rsidR="00441AE6" w:rsidRPr="00861BE0" w:rsidRDefault="00441AE6" w:rsidP="00441AE6">
      <w:pPr>
        <w:tabs>
          <w:tab w:val="left" w:pos="851"/>
        </w:tabs>
        <w:ind w:left="851"/>
        <w:rPr>
          <w:sz w:val="24"/>
          <w:szCs w:val="24"/>
        </w:rPr>
      </w:pPr>
      <w:r w:rsidRPr="00861BE0">
        <w:rPr>
          <w:sz w:val="24"/>
          <w:szCs w:val="24"/>
        </w:rPr>
        <w:t>Der foreligger ingen fertilitetsdata hos mennesker.</w:t>
      </w:r>
    </w:p>
    <w:p w14:paraId="0A9284B4" w14:textId="77777777" w:rsidR="00441AE6" w:rsidRPr="00861BE0" w:rsidRDefault="00441AE6" w:rsidP="00441AE6">
      <w:pPr>
        <w:tabs>
          <w:tab w:val="left" w:pos="851"/>
        </w:tabs>
        <w:ind w:left="851"/>
        <w:rPr>
          <w:sz w:val="24"/>
          <w:szCs w:val="24"/>
        </w:rPr>
      </w:pPr>
      <w:r w:rsidRPr="00861BE0">
        <w:rPr>
          <w:sz w:val="24"/>
          <w:szCs w:val="24"/>
        </w:rPr>
        <w:t xml:space="preserve">Der er ikke udført fertilitetsstudier med dyr med de aktive stoffer i </w:t>
      </w:r>
      <w:proofErr w:type="spellStart"/>
      <w:r w:rsidRPr="00861BE0">
        <w:rPr>
          <w:sz w:val="24"/>
          <w:szCs w:val="24"/>
        </w:rPr>
        <w:t>Aitgrys</w:t>
      </w:r>
      <w:proofErr w:type="spellEnd"/>
      <w:r w:rsidRPr="00861BE0">
        <w:rPr>
          <w:sz w:val="24"/>
          <w:szCs w:val="24"/>
        </w:rPr>
        <w:t xml:space="preserve">. I et toksicitetsstudie med gentagen dosering med allergenekstrakt af 5 græspollen blev der ved </w:t>
      </w:r>
      <w:r w:rsidRPr="00861BE0">
        <w:rPr>
          <w:sz w:val="24"/>
          <w:szCs w:val="24"/>
        </w:rPr>
        <w:lastRenderedPageBreak/>
        <w:t xml:space="preserve">en </w:t>
      </w:r>
      <w:proofErr w:type="spellStart"/>
      <w:r w:rsidRPr="00861BE0">
        <w:rPr>
          <w:sz w:val="24"/>
          <w:szCs w:val="24"/>
        </w:rPr>
        <w:t>histopatologisk</w:t>
      </w:r>
      <w:proofErr w:type="spellEnd"/>
      <w:r w:rsidRPr="00861BE0">
        <w:rPr>
          <w:sz w:val="24"/>
          <w:szCs w:val="24"/>
        </w:rPr>
        <w:t xml:space="preserve"> undersøgelse imidlertid ikke observeret påvirkning af reproduktionsorganerne hos hverken han- eller hundyr.</w:t>
      </w:r>
    </w:p>
    <w:p w14:paraId="5473D013" w14:textId="77777777" w:rsidR="009260DE" w:rsidRPr="00C84483" w:rsidRDefault="009260DE" w:rsidP="009260DE">
      <w:pPr>
        <w:tabs>
          <w:tab w:val="left" w:pos="851"/>
        </w:tabs>
        <w:ind w:left="851"/>
        <w:rPr>
          <w:sz w:val="24"/>
          <w:szCs w:val="24"/>
        </w:rPr>
      </w:pPr>
    </w:p>
    <w:p w14:paraId="7A024B8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CB56DA1" w14:textId="77777777" w:rsidR="00B51BCA" w:rsidRPr="00B51BCA" w:rsidRDefault="00B51BCA" w:rsidP="00B51BCA">
      <w:pPr>
        <w:tabs>
          <w:tab w:val="left" w:pos="851"/>
        </w:tabs>
        <w:ind w:left="851"/>
        <w:rPr>
          <w:sz w:val="24"/>
          <w:szCs w:val="24"/>
        </w:rPr>
      </w:pPr>
      <w:r w:rsidRPr="00B51BCA">
        <w:rPr>
          <w:sz w:val="24"/>
          <w:szCs w:val="24"/>
        </w:rPr>
        <w:t>Ikke mærkning</w:t>
      </w:r>
    </w:p>
    <w:p w14:paraId="173B96DA" w14:textId="77777777" w:rsidR="00B51BCA" w:rsidRPr="00B51BCA" w:rsidRDefault="00B51BCA" w:rsidP="00B51BCA">
      <w:pPr>
        <w:tabs>
          <w:tab w:val="left" w:pos="851"/>
        </w:tabs>
        <w:ind w:left="851"/>
        <w:rPr>
          <w:sz w:val="24"/>
          <w:szCs w:val="24"/>
        </w:rPr>
      </w:pPr>
      <w:proofErr w:type="spellStart"/>
      <w:r w:rsidRPr="00B51BCA">
        <w:rPr>
          <w:sz w:val="24"/>
          <w:szCs w:val="24"/>
        </w:rPr>
        <w:t>Aitgrys</w:t>
      </w:r>
      <w:proofErr w:type="spellEnd"/>
      <w:r w:rsidRPr="00B51BCA">
        <w:rPr>
          <w:sz w:val="24"/>
          <w:szCs w:val="24"/>
        </w:rPr>
        <w:t xml:space="preserve"> påvirker ikke eller kun i ubetydelig grad evnen til at føre motorkøretøj og betjene maskiner.</w:t>
      </w:r>
    </w:p>
    <w:p w14:paraId="34D19F56" w14:textId="77777777" w:rsidR="009260DE" w:rsidRPr="00C84483" w:rsidRDefault="009260DE" w:rsidP="009260DE">
      <w:pPr>
        <w:tabs>
          <w:tab w:val="left" w:pos="851"/>
        </w:tabs>
        <w:ind w:left="851"/>
        <w:rPr>
          <w:sz w:val="24"/>
          <w:szCs w:val="24"/>
        </w:rPr>
      </w:pPr>
    </w:p>
    <w:p w14:paraId="68DA80E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0EC42DE" w14:textId="77777777" w:rsidR="00B51BCA" w:rsidRPr="00B51BCA" w:rsidRDefault="00B51BCA" w:rsidP="00B51BCA">
      <w:pPr>
        <w:tabs>
          <w:tab w:val="left" w:pos="851"/>
        </w:tabs>
        <w:ind w:left="851"/>
        <w:rPr>
          <w:sz w:val="24"/>
          <w:szCs w:val="24"/>
        </w:rPr>
      </w:pPr>
    </w:p>
    <w:p w14:paraId="7026E3AD" w14:textId="77777777" w:rsidR="00441AE6" w:rsidRPr="0036706B" w:rsidRDefault="00441AE6" w:rsidP="00441AE6">
      <w:pPr>
        <w:tabs>
          <w:tab w:val="left" w:pos="851"/>
        </w:tabs>
        <w:ind w:left="851"/>
        <w:rPr>
          <w:bCs/>
          <w:iCs/>
          <w:sz w:val="24"/>
          <w:szCs w:val="24"/>
          <w:u w:val="single"/>
        </w:rPr>
      </w:pPr>
      <w:r w:rsidRPr="0036706B">
        <w:rPr>
          <w:bCs/>
          <w:iCs/>
          <w:sz w:val="24"/>
          <w:szCs w:val="24"/>
          <w:u w:val="single"/>
        </w:rPr>
        <w:t>Sammenfatning af sikkerhedsprofilen</w:t>
      </w:r>
    </w:p>
    <w:p w14:paraId="1EF95AB0" w14:textId="77777777" w:rsidR="00441AE6" w:rsidRPr="00B51BCA" w:rsidRDefault="00441AE6" w:rsidP="00441AE6">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5F18C8B5" w14:textId="77777777" w:rsidR="00441AE6" w:rsidRDefault="00441AE6" w:rsidP="00441AE6">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54D8BF7D" w14:textId="77777777" w:rsidR="00441AE6" w:rsidRDefault="00441AE6" w:rsidP="00441AE6">
      <w:pPr>
        <w:tabs>
          <w:tab w:val="left" w:pos="851"/>
        </w:tabs>
        <w:ind w:left="851"/>
        <w:rPr>
          <w:sz w:val="24"/>
          <w:szCs w:val="24"/>
        </w:rPr>
      </w:pPr>
    </w:p>
    <w:p w14:paraId="1A37024B" w14:textId="77777777" w:rsidR="00441AE6" w:rsidRPr="00B51BCA" w:rsidRDefault="00441AE6" w:rsidP="00441AE6">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4B5FAF98" w14:textId="77777777" w:rsidR="00441AE6" w:rsidRPr="00B51BCA" w:rsidRDefault="00441AE6" w:rsidP="00441AE6">
      <w:pPr>
        <w:tabs>
          <w:tab w:val="left" w:pos="851"/>
        </w:tabs>
        <w:ind w:left="851"/>
        <w:rPr>
          <w:sz w:val="24"/>
          <w:szCs w:val="24"/>
        </w:rPr>
      </w:pPr>
    </w:p>
    <w:p w14:paraId="30E02479" w14:textId="77777777" w:rsidR="00441AE6" w:rsidRPr="0036706B" w:rsidRDefault="00441AE6" w:rsidP="00441AE6">
      <w:pPr>
        <w:tabs>
          <w:tab w:val="left" w:pos="851"/>
        </w:tabs>
        <w:ind w:left="851"/>
        <w:rPr>
          <w:bCs/>
          <w:iCs/>
          <w:sz w:val="24"/>
          <w:szCs w:val="24"/>
          <w:u w:val="single"/>
        </w:rPr>
      </w:pPr>
      <w:r w:rsidRPr="0036706B">
        <w:rPr>
          <w:bCs/>
          <w:iCs/>
          <w:sz w:val="24"/>
          <w:szCs w:val="24"/>
          <w:u w:val="single"/>
        </w:rPr>
        <w:t>Tabel over bivirkninger</w:t>
      </w:r>
    </w:p>
    <w:p w14:paraId="21E41006" w14:textId="77777777" w:rsidR="00441AE6" w:rsidRPr="00B51BCA" w:rsidRDefault="00441AE6" w:rsidP="00441AE6">
      <w:pPr>
        <w:tabs>
          <w:tab w:val="left" w:pos="851"/>
        </w:tabs>
        <w:ind w:left="851"/>
        <w:rPr>
          <w:sz w:val="24"/>
          <w:szCs w:val="24"/>
        </w:rPr>
      </w:pPr>
      <w:r w:rsidRPr="00B51BCA">
        <w:rPr>
          <w:sz w:val="24"/>
          <w:szCs w:val="24"/>
        </w:rPr>
        <w:t xml:space="preserve">I kliniske studier blev i alt 1.038 voksne og 154 pædiatriske patienter med græspollen-associeret allergisk </w:t>
      </w:r>
      <w:proofErr w:type="spellStart"/>
      <w:r w:rsidRPr="00B51BCA">
        <w:rPr>
          <w:sz w:val="24"/>
          <w:szCs w:val="24"/>
        </w:rPr>
        <w:t>rhinokonjunktivitis</w:t>
      </w:r>
      <w:proofErr w:type="spellEnd"/>
      <w:r w:rsidRPr="00B51BCA">
        <w:rPr>
          <w:sz w:val="24"/>
          <w:szCs w:val="24"/>
        </w:rPr>
        <w:t xml:space="preserve"> behandlet med </w:t>
      </w:r>
      <w:proofErr w:type="spellStart"/>
      <w:r w:rsidRPr="00B51BCA">
        <w:rPr>
          <w:sz w:val="24"/>
          <w:szCs w:val="24"/>
        </w:rPr>
        <w:t>Aitgrys</w:t>
      </w:r>
      <w:proofErr w:type="spellEnd"/>
      <w:r w:rsidRPr="00B51BCA">
        <w:rPr>
          <w:sz w:val="24"/>
          <w:szCs w:val="24"/>
        </w:rPr>
        <w:t xml:space="preserve"> 300 RI en gang </w:t>
      </w:r>
      <w:r>
        <w:rPr>
          <w:sz w:val="24"/>
          <w:szCs w:val="24"/>
        </w:rPr>
        <w:t>daglig</w:t>
      </w:r>
      <w:r w:rsidRPr="00B51BCA">
        <w:rPr>
          <w:sz w:val="24"/>
          <w:szCs w:val="24"/>
        </w:rPr>
        <w:t xml:space="preserve"> i placebokontrollerede kliniske studier. De bivirkninger, der blev rapporteret hos disse patienter, er sammenfattet i nedenstående tabel. </w:t>
      </w:r>
    </w:p>
    <w:p w14:paraId="45477665" w14:textId="77777777" w:rsidR="00441AE6" w:rsidRPr="00B51BCA" w:rsidRDefault="00441AE6" w:rsidP="00441AE6">
      <w:pPr>
        <w:tabs>
          <w:tab w:val="left" w:pos="851"/>
        </w:tabs>
        <w:ind w:left="851"/>
        <w:rPr>
          <w:sz w:val="24"/>
          <w:szCs w:val="24"/>
        </w:rPr>
      </w:pPr>
      <w:r w:rsidRPr="00B51BCA">
        <w:rPr>
          <w:sz w:val="24"/>
          <w:szCs w:val="24"/>
        </w:rPr>
        <w:t>Størstedelen af de bivirkninger, der medførte at patienten trak sig fra studiet før tid, var reaktioner på administrationsstedet. Disse var af mild til moderat sværhedsgrad og var ikke alvorlige.</w:t>
      </w:r>
    </w:p>
    <w:p w14:paraId="6195CDB7" w14:textId="77777777" w:rsidR="00441AE6" w:rsidRPr="00B51BCA" w:rsidRDefault="00441AE6" w:rsidP="00441AE6">
      <w:pPr>
        <w:tabs>
          <w:tab w:val="left" w:pos="851"/>
        </w:tabs>
        <w:ind w:left="851"/>
        <w:rPr>
          <w:sz w:val="24"/>
          <w:szCs w:val="24"/>
        </w:rPr>
      </w:pPr>
    </w:p>
    <w:p w14:paraId="4B01DB31" w14:textId="77777777" w:rsidR="00441AE6" w:rsidRPr="009251A5" w:rsidRDefault="00441AE6" w:rsidP="00441AE6">
      <w:pPr>
        <w:tabs>
          <w:tab w:val="left" w:pos="851"/>
        </w:tabs>
        <w:ind w:left="851"/>
        <w:rPr>
          <w:sz w:val="24"/>
          <w:szCs w:val="24"/>
        </w:rPr>
      </w:pPr>
      <w:r w:rsidRPr="00B51BCA">
        <w:rPr>
          <w:sz w:val="24"/>
          <w:szCs w:val="24"/>
        </w:rPr>
        <w:t xml:space="preserve">Tabel over bivirkninger efter organklassesystem og hyppighed [Meget almindelig (≥ 1/10), </w:t>
      </w:r>
      <w:r w:rsidRPr="0042597C">
        <w:rPr>
          <w:sz w:val="24"/>
          <w:szCs w:val="24"/>
        </w:rPr>
        <w:t>almindelig (≥ 1/100, &lt; 1/10), ikke almindelig (≥ 1/1.000, &lt; 1/100), sjælden (≥1/10.000,</w:t>
      </w:r>
      <w:r w:rsidRPr="00B51BCA">
        <w:rPr>
          <w:sz w:val="24"/>
          <w:szCs w:val="24"/>
        </w:rPr>
        <w:t xml:space="preserve"> &lt;1/1.000)]. Inden for hver enkelt frekvensgruppe er bivirkningerne opstillet efter, hvor alvorlige de er. De alvorligste bivirkninger er anført først.</w:t>
      </w:r>
      <w:r>
        <w:rPr>
          <w:sz w:val="24"/>
          <w:szCs w:val="24"/>
        </w:rPr>
        <w:t xml:space="preserve"> Bivirkninger, der er rapporteret </w:t>
      </w:r>
      <w:r w:rsidRPr="00B51BCA">
        <w:rPr>
          <w:sz w:val="24"/>
          <w:szCs w:val="24"/>
        </w:rPr>
        <w:t>i forbindelse med overvågning efter markedsføring</w:t>
      </w:r>
      <w:r>
        <w:rPr>
          <w:sz w:val="24"/>
          <w:szCs w:val="24"/>
        </w:rPr>
        <w:t>, er anført i nedenstående tabel med hyppigheden ”ikke kendt”.</w:t>
      </w:r>
    </w:p>
    <w:p w14:paraId="2142CE5B" w14:textId="77777777" w:rsidR="00441AE6" w:rsidRPr="00B51BCA" w:rsidRDefault="00441AE6" w:rsidP="00441AE6">
      <w:pPr>
        <w:tabs>
          <w:tab w:val="left" w:pos="851"/>
        </w:tabs>
        <w:ind w:left="851"/>
        <w:rPr>
          <w:sz w:val="24"/>
          <w:szCs w:val="24"/>
        </w:rPr>
      </w:pPr>
    </w:p>
    <w:p w14:paraId="1AF32D96" w14:textId="77777777" w:rsidR="00441AE6" w:rsidRDefault="00441AE6" w:rsidP="00441AE6">
      <w:pPr>
        <w:tabs>
          <w:tab w:val="left" w:pos="851"/>
        </w:tabs>
        <w:ind w:left="851"/>
        <w:rPr>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18"/>
        <w:gridCol w:w="1986"/>
        <w:gridCol w:w="4698"/>
        <w:gridCol w:w="30"/>
      </w:tblGrid>
      <w:tr w:rsidR="00441AE6" w:rsidRPr="00D030ED" w14:paraId="75B473E8" w14:textId="77777777" w:rsidTr="00F76215">
        <w:trPr>
          <w:jc w:val="center"/>
        </w:trPr>
        <w:tc>
          <w:tcPr>
            <w:tcW w:w="9690" w:type="dxa"/>
            <w:gridSpan w:val="5"/>
            <w:tcBorders>
              <w:left w:val="nil"/>
              <w:right w:val="nil"/>
            </w:tcBorders>
          </w:tcPr>
          <w:p w14:paraId="7E2893A1" w14:textId="77777777" w:rsidR="00441AE6" w:rsidRPr="00D030ED" w:rsidRDefault="00441AE6" w:rsidP="00F76215">
            <w:pPr>
              <w:jc w:val="center"/>
              <w:rPr>
                <w:b/>
                <w:sz w:val="22"/>
                <w:szCs w:val="22"/>
              </w:rPr>
            </w:pPr>
            <w:bookmarkStart w:id="1" w:name="_Hlk132109637"/>
            <w:r w:rsidRPr="00D030ED">
              <w:rPr>
                <w:b/>
                <w:sz w:val="22"/>
                <w:szCs w:val="22"/>
              </w:rPr>
              <w:t>Organklassesystem / Hyppighed / Bivirkninger</w:t>
            </w:r>
          </w:p>
        </w:tc>
      </w:tr>
      <w:tr w:rsidR="00441AE6" w:rsidRPr="00D030ED" w14:paraId="023570A9" w14:textId="77777777" w:rsidTr="00F76215">
        <w:trPr>
          <w:jc w:val="center"/>
        </w:trPr>
        <w:tc>
          <w:tcPr>
            <w:tcW w:w="9690" w:type="dxa"/>
            <w:gridSpan w:val="5"/>
            <w:tcBorders>
              <w:left w:val="nil"/>
              <w:bottom w:val="nil"/>
              <w:right w:val="nil"/>
            </w:tcBorders>
          </w:tcPr>
          <w:p w14:paraId="26CF8531" w14:textId="77777777" w:rsidR="00441AE6" w:rsidRPr="00D030ED" w:rsidRDefault="00441AE6" w:rsidP="00F76215">
            <w:pPr>
              <w:jc w:val="both"/>
              <w:rPr>
                <w:b/>
                <w:bCs/>
                <w:sz w:val="22"/>
                <w:szCs w:val="22"/>
              </w:rPr>
            </w:pPr>
            <w:r w:rsidRPr="00D030ED">
              <w:rPr>
                <w:b/>
                <w:sz w:val="22"/>
                <w:szCs w:val="22"/>
              </w:rPr>
              <w:t>Infektioner og parasitære sygdomme</w:t>
            </w:r>
          </w:p>
        </w:tc>
      </w:tr>
      <w:tr w:rsidR="00441AE6" w:rsidRPr="00D030ED" w14:paraId="48BC8254" w14:textId="77777777" w:rsidTr="00F76215">
        <w:trPr>
          <w:jc w:val="center"/>
        </w:trPr>
        <w:tc>
          <w:tcPr>
            <w:tcW w:w="2976" w:type="dxa"/>
            <w:gridSpan w:val="2"/>
            <w:tcBorders>
              <w:top w:val="nil"/>
              <w:left w:val="nil"/>
              <w:bottom w:val="nil"/>
              <w:right w:val="nil"/>
            </w:tcBorders>
          </w:tcPr>
          <w:p w14:paraId="572FBE49"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5DA3EDE2"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4E9CF24" w14:textId="77777777" w:rsidR="00441AE6" w:rsidRPr="00D030ED" w:rsidRDefault="00441AE6" w:rsidP="00F76215">
            <w:pPr>
              <w:ind w:left="176"/>
              <w:jc w:val="both"/>
              <w:rPr>
                <w:bCs/>
                <w:sz w:val="22"/>
                <w:szCs w:val="22"/>
              </w:rPr>
            </w:pPr>
            <w:proofErr w:type="spellStart"/>
            <w:r w:rsidRPr="00D030ED">
              <w:rPr>
                <w:bCs/>
                <w:sz w:val="22"/>
                <w:szCs w:val="22"/>
              </w:rPr>
              <w:t>Nasofaryngitis</w:t>
            </w:r>
            <w:proofErr w:type="spellEnd"/>
            <w:r w:rsidRPr="00D030ED">
              <w:rPr>
                <w:bCs/>
                <w:sz w:val="22"/>
                <w:szCs w:val="22"/>
              </w:rPr>
              <w:t xml:space="preserve">, </w:t>
            </w:r>
            <w:proofErr w:type="spellStart"/>
            <w:r w:rsidRPr="00D030ED">
              <w:rPr>
                <w:bCs/>
                <w:sz w:val="22"/>
                <w:szCs w:val="22"/>
              </w:rPr>
              <w:t>rhinitis</w:t>
            </w:r>
            <w:proofErr w:type="spellEnd"/>
          </w:p>
        </w:tc>
      </w:tr>
      <w:tr w:rsidR="00441AE6" w:rsidRPr="00D030ED" w14:paraId="4113D1C6" w14:textId="77777777" w:rsidTr="00F76215">
        <w:trPr>
          <w:jc w:val="center"/>
        </w:trPr>
        <w:tc>
          <w:tcPr>
            <w:tcW w:w="2976" w:type="dxa"/>
            <w:gridSpan w:val="2"/>
            <w:tcBorders>
              <w:top w:val="nil"/>
              <w:left w:val="nil"/>
              <w:right w:val="nil"/>
            </w:tcBorders>
          </w:tcPr>
          <w:p w14:paraId="02E099E0" w14:textId="77777777" w:rsidR="00441AE6" w:rsidRPr="00D030ED" w:rsidRDefault="00441AE6" w:rsidP="00F76215">
            <w:pPr>
              <w:jc w:val="both"/>
              <w:rPr>
                <w:sz w:val="22"/>
                <w:szCs w:val="22"/>
              </w:rPr>
            </w:pPr>
          </w:p>
        </w:tc>
        <w:tc>
          <w:tcPr>
            <w:tcW w:w="1986" w:type="dxa"/>
            <w:tcBorders>
              <w:top w:val="nil"/>
              <w:left w:val="nil"/>
              <w:right w:val="nil"/>
            </w:tcBorders>
          </w:tcPr>
          <w:p w14:paraId="7D7BD32E"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12617D62" w14:textId="77777777" w:rsidR="00441AE6" w:rsidRPr="00D030ED" w:rsidRDefault="00441AE6" w:rsidP="00F76215">
            <w:pPr>
              <w:ind w:left="176"/>
              <w:jc w:val="both"/>
              <w:rPr>
                <w:bCs/>
                <w:sz w:val="22"/>
                <w:szCs w:val="22"/>
              </w:rPr>
            </w:pPr>
            <w:r w:rsidRPr="00D030ED">
              <w:rPr>
                <w:bCs/>
                <w:sz w:val="22"/>
                <w:szCs w:val="22"/>
              </w:rPr>
              <w:t xml:space="preserve">Oral herpes, </w:t>
            </w:r>
            <w:proofErr w:type="spellStart"/>
            <w:r w:rsidRPr="00D030ED">
              <w:rPr>
                <w:bCs/>
                <w:sz w:val="22"/>
                <w:szCs w:val="22"/>
              </w:rPr>
              <w:t>otitis</w:t>
            </w:r>
            <w:proofErr w:type="spellEnd"/>
          </w:p>
        </w:tc>
      </w:tr>
      <w:tr w:rsidR="00441AE6" w:rsidRPr="00D030ED" w14:paraId="6FDDFC44" w14:textId="77777777" w:rsidTr="00F76215">
        <w:trPr>
          <w:jc w:val="center"/>
        </w:trPr>
        <w:tc>
          <w:tcPr>
            <w:tcW w:w="9690" w:type="dxa"/>
            <w:gridSpan w:val="5"/>
            <w:tcBorders>
              <w:left w:val="nil"/>
              <w:bottom w:val="nil"/>
              <w:right w:val="nil"/>
            </w:tcBorders>
          </w:tcPr>
          <w:p w14:paraId="3063631C" w14:textId="77777777" w:rsidR="00441AE6" w:rsidRPr="00D030ED" w:rsidRDefault="00441AE6" w:rsidP="00F76215">
            <w:pPr>
              <w:jc w:val="both"/>
              <w:rPr>
                <w:b/>
                <w:bCs/>
                <w:sz w:val="22"/>
                <w:szCs w:val="22"/>
              </w:rPr>
            </w:pPr>
            <w:r w:rsidRPr="00D030ED">
              <w:rPr>
                <w:b/>
                <w:sz w:val="22"/>
                <w:szCs w:val="22"/>
              </w:rPr>
              <w:t>Blod og lymfesystem</w:t>
            </w:r>
          </w:p>
        </w:tc>
      </w:tr>
      <w:tr w:rsidR="00441AE6" w:rsidRPr="00D030ED" w14:paraId="1D1F41F1" w14:textId="77777777" w:rsidTr="00F76215">
        <w:trPr>
          <w:jc w:val="center"/>
        </w:trPr>
        <w:tc>
          <w:tcPr>
            <w:tcW w:w="2976" w:type="dxa"/>
            <w:gridSpan w:val="2"/>
            <w:tcBorders>
              <w:top w:val="nil"/>
              <w:left w:val="nil"/>
              <w:right w:val="nil"/>
            </w:tcBorders>
          </w:tcPr>
          <w:p w14:paraId="3223A767" w14:textId="77777777" w:rsidR="00441AE6" w:rsidRPr="00D030ED" w:rsidRDefault="00441AE6" w:rsidP="00F76215">
            <w:pPr>
              <w:jc w:val="both"/>
              <w:rPr>
                <w:sz w:val="22"/>
                <w:szCs w:val="22"/>
              </w:rPr>
            </w:pPr>
          </w:p>
        </w:tc>
        <w:tc>
          <w:tcPr>
            <w:tcW w:w="1986" w:type="dxa"/>
            <w:tcBorders>
              <w:top w:val="nil"/>
              <w:left w:val="nil"/>
              <w:right w:val="nil"/>
            </w:tcBorders>
          </w:tcPr>
          <w:p w14:paraId="1CD9E712"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6E827068" w14:textId="77777777" w:rsidR="00441AE6" w:rsidRPr="00D030ED" w:rsidRDefault="00441AE6" w:rsidP="00F76215">
            <w:pPr>
              <w:ind w:left="176"/>
              <w:jc w:val="both"/>
              <w:rPr>
                <w:bCs/>
                <w:sz w:val="22"/>
                <w:szCs w:val="22"/>
              </w:rPr>
            </w:pPr>
            <w:proofErr w:type="spellStart"/>
            <w:r w:rsidRPr="00D030ED">
              <w:rPr>
                <w:bCs/>
                <w:sz w:val="22"/>
                <w:szCs w:val="22"/>
              </w:rPr>
              <w:t>Lympadenopati</w:t>
            </w:r>
            <w:proofErr w:type="spellEnd"/>
          </w:p>
        </w:tc>
      </w:tr>
      <w:tr w:rsidR="00441AE6" w:rsidRPr="00D030ED" w14:paraId="2A3A1582" w14:textId="77777777" w:rsidTr="00F76215">
        <w:trPr>
          <w:jc w:val="center"/>
        </w:trPr>
        <w:tc>
          <w:tcPr>
            <w:tcW w:w="9690" w:type="dxa"/>
            <w:gridSpan w:val="5"/>
            <w:tcBorders>
              <w:left w:val="nil"/>
              <w:bottom w:val="nil"/>
              <w:right w:val="nil"/>
            </w:tcBorders>
          </w:tcPr>
          <w:p w14:paraId="53316D47" w14:textId="77777777" w:rsidR="00441AE6" w:rsidRPr="00D030ED" w:rsidRDefault="00441AE6" w:rsidP="00F76215">
            <w:pPr>
              <w:jc w:val="both"/>
              <w:rPr>
                <w:b/>
                <w:bCs/>
                <w:sz w:val="22"/>
                <w:szCs w:val="22"/>
              </w:rPr>
            </w:pPr>
            <w:r w:rsidRPr="00D030ED">
              <w:rPr>
                <w:b/>
                <w:sz w:val="22"/>
                <w:szCs w:val="22"/>
              </w:rPr>
              <w:t>Immunsystemet</w:t>
            </w:r>
          </w:p>
        </w:tc>
      </w:tr>
      <w:tr w:rsidR="00441AE6" w:rsidRPr="00D030ED" w14:paraId="101C05A5" w14:textId="77777777" w:rsidTr="00F76215">
        <w:trPr>
          <w:jc w:val="center"/>
        </w:trPr>
        <w:tc>
          <w:tcPr>
            <w:tcW w:w="2976" w:type="dxa"/>
            <w:gridSpan w:val="2"/>
            <w:tcBorders>
              <w:top w:val="nil"/>
              <w:left w:val="nil"/>
              <w:right w:val="nil"/>
            </w:tcBorders>
          </w:tcPr>
          <w:p w14:paraId="1157F877" w14:textId="77777777" w:rsidR="00441AE6" w:rsidRPr="00D030ED" w:rsidRDefault="00441AE6" w:rsidP="00F76215">
            <w:pPr>
              <w:jc w:val="both"/>
              <w:rPr>
                <w:sz w:val="22"/>
                <w:szCs w:val="22"/>
              </w:rPr>
            </w:pPr>
          </w:p>
        </w:tc>
        <w:tc>
          <w:tcPr>
            <w:tcW w:w="1986" w:type="dxa"/>
            <w:tcBorders>
              <w:top w:val="nil"/>
              <w:left w:val="nil"/>
              <w:right w:val="nil"/>
            </w:tcBorders>
          </w:tcPr>
          <w:p w14:paraId="76E3B7B5" w14:textId="77777777" w:rsidR="00441AE6" w:rsidRDefault="00441AE6" w:rsidP="00F76215">
            <w:pPr>
              <w:jc w:val="right"/>
              <w:rPr>
                <w:bCs/>
                <w:sz w:val="22"/>
                <w:szCs w:val="22"/>
              </w:rPr>
            </w:pPr>
            <w:r w:rsidRPr="00D030ED">
              <w:rPr>
                <w:bCs/>
                <w:sz w:val="22"/>
                <w:szCs w:val="22"/>
              </w:rPr>
              <w:t>Ikke almindelig</w:t>
            </w:r>
          </w:p>
          <w:p w14:paraId="190B89BA" w14:textId="77777777" w:rsidR="00441AE6" w:rsidRPr="00D030ED" w:rsidRDefault="00441AE6" w:rsidP="00F76215">
            <w:pPr>
              <w:jc w:val="right"/>
              <w:rPr>
                <w:bCs/>
                <w:sz w:val="22"/>
                <w:szCs w:val="22"/>
              </w:rPr>
            </w:pPr>
            <w:r>
              <w:rPr>
                <w:bCs/>
                <w:sz w:val="22"/>
                <w:szCs w:val="22"/>
              </w:rPr>
              <w:t>Ikke kendt</w:t>
            </w:r>
          </w:p>
        </w:tc>
        <w:tc>
          <w:tcPr>
            <w:tcW w:w="4728" w:type="dxa"/>
            <w:gridSpan w:val="2"/>
            <w:tcBorders>
              <w:top w:val="nil"/>
              <w:left w:val="nil"/>
              <w:right w:val="nil"/>
            </w:tcBorders>
          </w:tcPr>
          <w:p w14:paraId="6AAF587E" w14:textId="77777777" w:rsidR="00441AE6" w:rsidRDefault="00441AE6" w:rsidP="00F76215">
            <w:pPr>
              <w:ind w:left="176"/>
              <w:jc w:val="both"/>
              <w:rPr>
                <w:bCs/>
                <w:sz w:val="22"/>
                <w:szCs w:val="22"/>
              </w:rPr>
            </w:pPr>
            <w:r w:rsidRPr="00D030ED">
              <w:rPr>
                <w:bCs/>
                <w:sz w:val="22"/>
                <w:szCs w:val="22"/>
              </w:rPr>
              <w:t>Overfølsomhed, oralt allergisyndrom</w:t>
            </w:r>
          </w:p>
          <w:p w14:paraId="63E2D541" w14:textId="77777777" w:rsidR="00441AE6" w:rsidRPr="00D030ED" w:rsidRDefault="00441AE6" w:rsidP="00F76215">
            <w:pPr>
              <w:ind w:left="176"/>
              <w:jc w:val="both"/>
              <w:rPr>
                <w:bCs/>
                <w:sz w:val="22"/>
                <w:szCs w:val="22"/>
              </w:rPr>
            </w:pPr>
            <w:proofErr w:type="spellStart"/>
            <w:r>
              <w:rPr>
                <w:bCs/>
                <w:sz w:val="22"/>
                <w:szCs w:val="22"/>
              </w:rPr>
              <w:t>Anafylaktisk</w:t>
            </w:r>
            <w:proofErr w:type="spellEnd"/>
            <w:r>
              <w:rPr>
                <w:bCs/>
                <w:sz w:val="22"/>
                <w:szCs w:val="22"/>
              </w:rPr>
              <w:t xml:space="preserve"> reaktion</w:t>
            </w:r>
          </w:p>
        </w:tc>
      </w:tr>
      <w:tr w:rsidR="00441AE6" w:rsidRPr="00D030ED" w14:paraId="152D10B6" w14:textId="77777777" w:rsidTr="00F76215">
        <w:trPr>
          <w:jc w:val="center"/>
        </w:trPr>
        <w:tc>
          <w:tcPr>
            <w:tcW w:w="9690" w:type="dxa"/>
            <w:gridSpan w:val="5"/>
            <w:tcBorders>
              <w:left w:val="nil"/>
              <w:bottom w:val="nil"/>
              <w:right w:val="nil"/>
            </w:tcBorders>
          </w:tcPr>
          <w:p w14:paraId="1E11350E" w14:textId="77777777" w:rsidR="00441AE6" w:rsidRPr="00D030ED" w:rsidRDefault="00441AE6" w:rsidP="00F76215">
            <w:pPr>
              <w:jc w:val="both"/>
              <w:rPr>
                <w:b/>
                <w:bCs/>
                <w:sz w:val="22"/>
                <w:szCs w:val="22"/>
              </w:rPr>
            </w:pPr>
            <w:r w:rsidRPr="00D030ED">
              <w:rPr>
                <w:b/>
                <w:sz w:val="22"/>
                <w:szCs w:val="22"/>
              </w:rPr>
              <w:t>Psykiske forstyrrelser</w:t>
            </w:r>
          </w:p>
        </w:tc>
      </w:tr>
      <w:tr w:rsidR="00441AE6" w:rsidRPr="00D030ED" w14:paraId="1AF786A2" w14:textId="77777777" w:rsidTr="00F76215">
        <w:trPr>
          <w:jc w:val="center"/>
        </w:trPr>
        <w:tc>
          <w:tcPr>
            <w:tcW w:w="2976" w:type="dxa"/>
            <w:gridSpan w:val="2"/>
            <w:tcBorders>
              <w:top w:val="nil"/>
              <w:left w:val="nil"/>
              <w:bottom w:val="single" w:sz="4" w:space="0" w:color="auto"/>
              <w:right w:val="nil"/>
            </w:tcBorders>
          </w:tcPr>
          <w:p w14:paraId="7CE6D98D"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3F34E258"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ADC2800" w14:textId="77777777" w:rsidR="00441AE6" w:rsidRPr="00D030ED" w:rsidRDefault="00441AE6" w:rsidP="00F76215">
            <w:pPr>
              <w:ind w:left="176"/>
              <w:jc w:val="both"/>
              <w:rPr>
                <w:bCs/>
                <w:sz w:val="22"/>
                <w:szCs w:val="22"/>
              </w:rPr>
            </w:pPr>
            <w:r w:rsidRPr="00D030ED">
              <w:rPr>
                <w:bCs/>
                <w:sz w:val="22"/>
                <w:szCs w:val="22"/>
              </w:rPr>
              <w:t>Depression</w:t>
            </w:r>
          </w:p>
        </w:tc>
      </w:tr>
      <w:tr w:rsidR="00441AE6" w:rsidRPr="00D030ED" w14:paraId="58C7F1BD" w14:textId="77777777" w:rsidTr="00F76215">
        <w:trPr>
          <w:jc w:val="center"/>
        </w:trPr>
        <w:tc>
          <w:tcPr>
            <w:tcW w:w="9690" w:type="dxa"/>
            <w:gridSpan w:val="5"/>
            <w:tcBorders>
              <w:left w:val="nil"/>
              <w:bottom w:val="nil"/>
              <w:right w:val="nil"/>
            </w:tcBorders>
          </w:tcPr>
          <w:p w14:paraId="24F4A76E" w14:textId="77777777" w:rsidR="00441AE6" w:rsidRPr="00D030ED" w:rsidRDefault="00441AE6" w:rsidP="00F76215">
            <w:pPr>
              <w:jc w:val="both"/>
              <w:rPr>
                <w:b/>
                <w:bCs/>
                <w:sz w:val="22"/>
                <w:szCs w:val="22"/>
              </w:rPr>
            </w:pPr>
            <w:r w:rsidRPr="00D030ED">
              <w:rPr>
                <w:b/>
                <w:sz w:val="22"/>
                <w:szCs w:val="22"/>
              </w:rPr>
              <w:t>Nervesystemet</w:t>
            </w:r>
          </w:p>
        </w:tc>
      </w:tr>
      <w:tr w:rsidR="00441AE6" w:rsidRPr="00D030ED" w14:paraId="17C657E5" w14:textId="77777777" w:rsidTr="00F76215">
        <w:trPr>
          <w:jc w:val="center"/>
        </w:trPr>
        <w:tc>
          <w:tcPr>
            <w:tcW w:w="2976" w:type="dxa"/>
            <w:gridSpan w:val="2"/>
            <w:tcBorders>
              <w:top w:val="nil"/>
              <w:left w:val="nil"/>
              <w:bottom w:val="nil"/>
              <w:right w:val="nil"/>
            </w:tcBorders>
          </w:tcPr>
          <w:p w14:paraId="0991C425"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81E62CF"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00C16EDA" w14:textId="77777777" w:rsidR="00441AE6" w:rsidRPr="00D030ED" w:rsidRDefault="00441AE6" w:rsidP="00F76215">
            <w:pPr>
              <w:ind w:left="176"/>
              <w:jc w:val="both"/>
              <w:rPr>
                <w:bCs/>
                <w:sz w:val="22"/>
                <w:szCs w:val="22"/>
              </w:rPr>
            </w:pPr>
            <w:r w:rsidRPr="00D030ED">
              <w:rPr>
                <w:bCs/>
                <w:sz w:val="22"/>
                <w:szCs w:val="22"/>
              </w:rPr>
              <w:t>Hovedpine</w:t>
            </w:r>
          </w:p>
        </w:tc>
      </w:tr>
      <w:tr w:rsidR="00441AE6" w:rsidRPr="00D030ED" w14:paraId="7BB015A8" w14:textId="77777777" w:rsidTr="00F76215">
        <w:trPr>
          <w:jc w:val="center"/>
        </w:trPr>
        <w:tc>
          <w:tcPr>
            <w:tcW w:w="2976" w:type="dxa"/>
            <w:gridSpan w:val="2"/>
            <w:tcBorders>
              <w:top w:val="nil"/>
              <w:left w:val="nil"/>
              <w:right w:val="nil"/>
            </w:tcBorders>
          </w:tcPr>
          <w:p w14:paraId="2F26B699" w14:textId="77777777" w:rsidR="00441AE6" w:rsidRPr="00D030ED" w:rsidRDefault="00441AE6" w:rsidP="00F76215">
            <w:pPr>
              <w:jc w:val="both"/>
              <w:rPr>
                <w:sz w:val="22"/>
                <w:szCs w:val="22"/>
              </w:rPr>
            </w:pPr>
          </w:p>
        </w:tc>
        <w:tc>
          <w:tcPr>
            <w:tcW w:w="1986" w:type="dxa"/>
            <w:tcBorders>
              <w:top w:val="nil"/>
              <w:left w:val="nil"/>
              <w:right w:val="nil"/>
            </w:tcBorders>
          </w:tcPr>
          <w:p w14:paraId="7B37D8B8" w14:textId="77777777" w:rsidR="00441AE6" w:rsidRPr="00D030ED" w:rsidRDefault="00441AE6" w:rsidP="00F76215">
            <w:pPr>
              <w:jc w:val="right"/>
              <w:rPr>
                <w:bCs/>
                <w:sz w:val="22"/>
                <w:szCs w:val="22"/>
              </w:rPr>
            </w:pPr>
            <w:r w:rsidRPr="00D030ED">
              <w:rPr>
                <w:bCs/>
                <w:sz w:val="22"/>
                <w:szCs w:val="22"/>
              </w:rPr>
              <w:t>Ikke almindelig</w:t>
            </w:r>
          </w:p>
          <w:p w14:paraId="2881F7D4" w14:textId="77777777" w:rsidR="00441AE6" w:rsidRPr="00D030ED" w:rsidRDefault="00441AE6" w:rsidP="00F76215">
            <w:pPr>
              <w:jc w:val="right"/>
              <w:rPr>
                <w:bCs/>
                <w:sz w:val="22"/>
                <w:szCs w:val="22"/>
              </w:rPr>
            </w:pPr>
            <w:r w:rsidRPr="00D030ED">
              <w:rPr>
                <w:bCs/>
                <w:sz w:val="22"/>
                <w:szCs w:val="22"/>
              </w:rPr>
              <w:t>Sjælden</w:t>
            </w:r>
          </w:p>
        </w:tc>
        <w:tc>
          <w:tcPr>
            <w:tcW w:w="4728" w:type="dxa"/>
            <w:gridSpan w:val="2"/>
            <w:tcBorders>
              <w:top w:val="nil"/>
              <w:left w:val="nil"/>
              <w:right w:val="nil"/>
            </w:tcBorders>
          </w:tcPr>
          <w:p w14:paraId="1D0D4E51" w14:textId="77777777" w:rsidR="00441AE6" w:rsidRPr="00D030ED" w:rsidRDefault="00441AE6" w:rsidP="00F76215">
            <w:pPr>
              <w:ind w:left="176"/>
              <w:jc w:val="both"/>
              <w:rPr>
                <w:bCs/>
                <w:sz w:val="22"/>
                <w:szCs w:val="22"/>
              </w:rPr>
            </w:pPr>
            <w:r w:rsidRPr="00D030ED">
              <w:rPr>
                <w:bCs/>
                <w:sz w:val="22"/>
                <w:szCs w:val="22"/>
              </w:rPr>
              <w:t xml:space="preserve">Svimmelhed, </w:t>
            </w:r>
            <w:proofErr w:type="spellStart"/>
            <w:r w:rsidRPr="00D030ED">
              <w:rPr>
                <w:bCs/>
                <w:sz w:val="22"/>
                <w:szCs w:val="22"/>
              </w:rPr>
              <w:t>dysgeusi</w:t>
            </w:r>
            <w:proofErr w:type="spellEnd"/>
            <w:r w:rsidRPr="00D030ED">
              <w:rPr>
                <w:bCs/>
                <w:sz w:val="22"/>
                <w:szCs w:val="22"/>
              </w:rPr>
              <w:t>, døsighed</w:t>
            </w:r>
          </w:p>
          <w:p w14:paraId="22824C26" w14:textId="77777777" w:rsidR="00441AE6" w:rsidRPr="00D030ED" w:rsidRDefault="00441AE6" w:rsidP="00F76215">
            <w:pPr>
              <w:ind w:left="176"/>
              <w:jc w:val="both"/>
              <w:rPr>
                <w:bCs/>
                <w:sz w:val="22"/>
                <w:szCs w:val="22"/>
              </w:rPr>
            </w:pPr>
            <w:r w:rsidRPr="00D030ED">
              <w:rPr>
                <w:bCs/>
                <w:sz w:val="22"/>
                <w:szCs w:val="22"/>
              </w:rPr>
              <w:t>Angst</w:t>
            </w:r>
          </w:p>
        </w:tc>
      </w:tr>
      <w:tr w:rsidR="00441AE6" w:rsidRPr="00D030ED" w14:paraId="6B8038D0" w14:textId="77777777" w:rsidTr="00F76215">
        <w:trPr>
          <w:jc w:val="center"/>
        </w:trPr>
        <w:tc>
          <w:tcPr>
            <w:tcW w:w="9690" w:type="dxa"/>
            <w:gridSpan w:val="5"/>
            <w:tcBorders>
              <w:left w:val="nil"/>
              <w:bottom w:val="nil"/>
              <w:right w:val="nil"/>
            </w:tcBorders>
          </w:tcPr>
          <w:p w14:paraId="2D3BD5A7" w14:textId="77777777" w:rsidR="00441AE6" w:rsidRPr="00D030ED" w:rsidRDefault="00441AE6" w:rsidP="00F76215">
            <w:pPr>
              <w:jc w:val="both"/>
              <w:rPr>
                <w:b/>
                <w:bCs/>
                <w:sz w:val="22"/>
                <w:szCs w:val="22"/>
              </w:rPr>
            </w:pPr>
            <w:r w:rsidRPr="00D030ED">
              <w:rPr>
                <w:b/>
                <w:sz w:val="22"/>
                <w:szCs w:val="22"/>
              </w:rPr>
              <w:t>Øjne</w:t>
            </w:r>
          </w:p>
        </w:tc>
      </w:tr>
      <w:tr w:rsidR="00441AE6" w:rsidRPr="00D030ED" w14:paraId="7B5054CE" w14:textId="77777777" w:rsidTr="00F76215">
        <w:trPr>
          <w:jc w:val="center"/>
        </w:trPr>
        <w:tc>
          <w:tcPr>
            <w:tcW w:w="2976" w:type="dxa"/>
            <w:gridSpan w:val="2"/>
            <w:tcBorders>
              <w:top w:val="nil"/>
              <w:left w:val="nil"/>
              <w:bottom w:val="nil"/>
              <w:right w:val="nil"/>
            </w:tcBorders>
          </w:tcPr>
          <w:p w14:paraId="311078E7"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5FFAFAC7"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A737B5C" w14:textId="77777777" w:rsidR="00441AE6" w:rsidRPr="00D030ED" w:rsidRDefault="00441AE6" w:rsidP="00F76215">
            <w:pPr>
              <w:ind w:left="176"/>
              <w:rPr>
                <w:bCs/>
                <w:sz w:val="22"/>
                <w:szCs w:val="22"/>
              </w:rPr>
            </w:pPr>
            <w:proofErr w:type="spellStart"/>
            <w:r w:rsidRPr="00D030ED">
              <w:rPr>
                <w:bCs/>
                <w:sz w:val="22"/>
                <w:szCs w:val="22"/>
              </w:rPr>
              <w:t>Konjunktivitis</w:t>
            </w:r>
            <w:proofErr w:type="spellEnd"/>
            <w:r w:rsidRPr="00D030ED">
              <w:rPr>
                <w:bCs/>
                <w:sz w:val="22"/>
                <w:szCs w:val="22"/>
              </w:rPr>
              <w:t xml:space="preserve">, </w:t>
            </w:r>
            <w:proofErr w:type="spellStart"/>
            <w:r w:rsidRPr="00D030ED">
              <w:rPr>
                <w:bCs/>
                <w:sz w:val="22"/>
                <w:szCs w:val="22"/>
              </w:rPr>
              <w:t>øjenpruritus</w:t>
            </w:r>
            <w:proofErr w:type="spellEnd"/>
            <w:r w:rsidRPr="00D030ED">
              <w:rPr>
                <w:bCs/>
                <w:sz w:val="22"/>
                <w:szCs w:val="22"/>
              </w:rPr>
              <w:t>, øget tåresekretion</w:t>
            </w:r>
          </w:p>
        </w:tc>
      </w:tr>
      <w:tr w:rsidR="00441AE6" w:rsidRPr="00D030ED" w14:paraId="313D06F2" w14:textId="77777777" w:rsidTr="00F76215">
        <w:trPr>
          <w:jc w:val="center"/>
        </w:trPr>
        <w:tc>
          <w:tcPr>
            <w:tcW w:w="2976" w:type="dxa"/>
            <w:gridSpan w:val="2"/>
            <w:tcBorders>
              <w:top w:val="nil"/>
              <w:left w:val="nil"/>
              <w:bottom w:val="single" w:sz="4" w:space="0" w:color="auto"/>
              <w:right w:val="nil"/>
            </w:tcBorders>
          </w:tcPr>
          <w:p w14:paraId="53D2619D"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48F7AAC3"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05ED5CD" w14:textId="77777777" w:rsidR="00441AE6" w:rsidRPr="00D030ED" w:rsidRDefault="00441AE6" w:rsidP="00F76215">
            <w:pPr>
              <w:ind w:left="176"/>
              <w:rPr>
                <w:bCs/>
                <w:sz w:val="22"/>
                <w:szCs w:val="22"/>
              </w:rPr>
            </w:pPr>
            <w:r w:rsidRPr="00D030ED">
              <w:rPr>
                <w:bCs/>
                <w:sz w:val="22"/>
                <w:szCs w:val="22"/>
              </w:rPr>
              <w:t xml:space="preserve">Øjenødem, </w:t>
            </w:r>
            <w:proofErr w:type="spellStart"/>
            <w:r w:rsidRPr="00D030ED">
              <w:rPr>
                <w:bCs/>
                <w:sz w:val="22"/>
                <w:szCs w:val="22"/>
              </w:rPr>
              <w:t>okulær</w:t>
            </w:r>
            <w:proofErr w:type="spellEnd"/>
            <w:r w:rsidRPr="00D030ED">
              <w:rPr>
                <w:bCs/>
                <w:sz w:val="22"/>
                <w:szCs w:val="22"/>
              </w:rPr>
              <w:t xml:space="preserve"> </w:t>
            </w:r>
            <w:proofErr w:type="spellStart"/>
            <w:r w:rsidRPr="00D030ED">
              <w:rPr>
                <w:sz w:val="22"/>
              </w:rPr>
              <w:t>hyperæmi</w:t>
            </w:r>
            <w:proofErr w:type="spellEnd"/>
            <w:r w:rsidRPr="00D030ED">
              <w:rPr>
                <w:bCs/>
                <w:sz w:val="22"/>
                <w:szCs w:val="22"/>
              </w:rPr>
              <w:t>, tørre øjne</w:t>
            </w:r>
          </w:p>
        </w:tc>
      </w:tr>
      <w:tr w:rsidR="00441AE6" w:rsidRPr="00D030ED" w14:paraId="7312060A" w14:textId="77777777" w:rsidTr="00F76215">
        <w:trPr>
          <w:jc w:val="center"/>
        </w:trPr>
        <w:tc>
          <w:tcPr>
            <w:tcW w:w="9690" w:type="dxa"/>
            <w:gridSpan w:val="5"/>
            <w:tcBorders>
              <w:left w:val="nil"/>
              <w:bottom w:val="nil"/>
              <w:right w:val="nil"/>
            </w:tcBorders>
          </w:tcPr>
          <w:p w14:paraId="0D4033DB" w14:textId="77777777" w:rsidR="00441AE6" w:rsidRPr="00D030ED" w:rsidRDefault="00441AE6" w:rsidP="00F76215">
            <w:pPr>
              <w:jc w:val="both"/>
              <w:rPr>
                <w:b/>
                <w:bCs/>
                <w:sz w:val="22"/>
                <w:szCs w:val="22"/>
              </w:rPr>
            </w:pPr>
            <w:r w:rsidRPr="00D030ED">
              <w:rPr>
                <w:b/>
                <w:sz w:val="22"/>
                <w:szCs w:val="22"/>
              </w:rPr>
              <w:t>Øre og labyrint</w:t>
            </w:r>
          </w:p>
        </w:tc>
      </w:tr>
      <w:tr w:rsidR="00441AE6" w:rsidRPr="00D030ED" w14:paraId="7CD1474E" w14:textId="77777777" w:rsidTr="00F76215">
        <w:trPr>
          <w:jc w:val="center"/>
        </w:trPr>
        <w:tc>
          <w:tcPr>
            <w:tcW w:w="2976" w:type="dxa"/>
            <w:gridSpan w:val="2"/>
            <w:tcBorders>
              <w:top w:val="nil"/>
              <w:left w:val="nil"/>
              <w:bottom w:val="nil"/>
              <w:right w:val="nil"/>
            </w:tcBorders>
          </w:tcPr>
          <w:p w14:paraId="157E914A"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3988DD7"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E862F4B" w14:textId="77777777" w:rsidR="00441AE6" w:rsidRPr="00D030ED" w:rsidRDefault="00441AE6" w:rsidP="00F76215">
            <w:pPr>
              <w:ind w:left="176"/>
              <w:jc w:val="both"/>
              <w:rPr>
                <w:bCs/>
                <w:sz w:val="22"/>
                <w:szCs w:val="22"/>
              </w:rPr>
            </w:pPr>
            <w:proofErr w:type="spellStart"/>
            <w:r w:rsidRPr="00D030ED">
              <w:rPr>
                <w:bCs/>
                <w:sz w:val="22"/>
                <w:szCs w:val="22"/>
              </w:rPr>
              <w:t>Ørepruritus</w:t>
            </w:r>
            <w:proofErr w:type="spellEnd"/>
          </w:p>
        </w:tc>
      </w:tr>
      <w:tr w:rsidR="00441AE6" w:rsidRPr="00D030ED" w14:paraId="176158AA" w14:textId="77777777" w:rsidTr="00F76215">
        <w:trPr>
          <w:jc w:val="center"/>
        </w:trPr>
        <w:tc>
          <w:tcPr>
            <w:tcW w:w="2976" w:type="dxa"/>
            <w:gridSpan w:val="2"/>
            <w:tcBorders>
              <w:top w:val="nil"/>
              <w:left w:val="nil"/>
              <w:bottom w:val="single" w:sz="4" w:space="0" w:color="auto"/>
              <w:right w:val="nil"/>
            </w:tcBorders>
          </w:tcPr>
          <w:p w14:paraId="03A96D4E"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15D30774"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5BD1B6DE" w14:textId="77777777" w:rsidR="00441AE6" w:rsidRPr="00D030ED" w:rsidRDefault="00441AE6" w:rsidP="00F76215">
            <w:pPr>
              <w:ind w:left="176"/>
              <w:jc w:val="both"/>
              <w:rPr>
                <w:bCs/>
                <w:sz w:val="22"/>
                <w:szCs w:val="22"/>
              </w:rPr>
            </w:pPr>
            <w:r w:rsidRPr="00D030ED">
              <w:rPr>
                <w:bCs/>
                <w:sz w:val="22"/>
                <w:szCs w:val="22"/>
              </w:rPr>
              <w:t>Ubehag i ørerne</w:t>
            </w:r>
          </w:p>
        </w:tc>
      </w:tr>
      <w:tr w:rsidR="00441AE6" w:rsidRPr="00D030ED" w14:paraId="0483DAE9" w14:textId="77777777" w:rsidTr="00F76215">
        <w:trPr>
          <w:jc w:val="center"/>
        </w:trPr>
        <w:tc>
          <w:tcPr>
            <w:tcW w:w="9690" w:type="dxa"/>
            <w:gridSpan w:val="5"/>
            <w:tcBorders>
              <w:top w:val="single" w:sz="4" w:space="0" w:color="auto"/>
              <w:left w:val="nil"/>
              <w:bottom w:val="nil"/>
              <w:right w:val="nil"/>
            </w:tcBorders>
          </w:tcPr>
          <w:p w14:paraId="0C932875" w14:textId="77777777" w:rsidR="00441AE6" w:rsidRPr="00D030ED" w:rsidRDefault="00441AE6" w:rsidP="00F76215">
            <w:pPr>
              <w:jc w:val="both"/>
              <w:rPr>
                <w:b/>
                <w:sz w:val="22"/>
                <w:szCs w:val="22"/>
              </w:rPr>
            </w:pPr>
            <w:proofErr w:type="spellStart"/>
            <w:r w:rsidRPr="00D030ED">
              <w:rPr>
                <w:b/>
                <w:sz w:val="22"/>
                <w:szCs w:val="22"/>
              </w:rPr>
              <w:t>Vaskulære</w:t>
            </w:r>
            <w:proofErr w:type="spellEnd"/>
            <w:r w:rsidRPr="00D030ED">
              <w:rPr>
                <w:b/>
                <w:sz w:val="22"/>
                <w:szCs w:val="22"/>
              </w:rPr>
              <w:t xml:space="preserve"> sygdomme</w:t>
            </w:r>
          </w:p>
        </w:tc>
      </w:tr>
      <w:tr w:rsidR="00441AE6" w:rsidRPr="00D030ED" w14:paraId="44E2BA87" w14:textId="77777777" w:rsidTr="00F76215">
        <w:trPr>
          <w:gridAfter w:val="1"/>
          <w:wAfter w:w="30" w:type="dxa"/>
          <w:jc w:val="center"/>
        </w:trPr>
        <w:tc>
          <w:tcPr>
            <w:tcW w:w="2976" w:type="dxa"/>
            <w:gridSpan w:val="2"/>
            <w:tcBorders>
              <w:top w:val="nil"/>
              <w:left w:val="nil"/>
              <w:bottom w:val="nil"/>
              <w:right w:val="nil"/>
            </w:tcBorders>
          </w:tcPr>
          <w:p w14:paraId="5171DE48" w14:textId="77777777" w:rsidR="00441AE6" w:rsidRPr="00D030ED" w:rsidRDefault="00441AE6" w:rsidP="00F76215">
            <w:pPr>
              <w:jc w:val="both"/>
              <w:rPr>
                <w:bCs/>
                <w:sz w:val="22"/>
                <w:szCs w:val="22"/>
              </w:rPr>
            </w:pPr>
          </w:p>
        </w:tc>
        <w:tc>
          <w:tcPr>
            <w:tcW w:w="1986" w:type="dxa"/>
            <w:tcBorders>
              <w:top w:val="nil"/>
              <w:left w:val="nil"/>
              <w:bottom w:val="nil"/>
              <w:right w:val="nil"/>
            </w:tcBorders>
          </w:tcPr>
          <w:p w14:paraId="18694E7E" w14:textId="77777777" w:rsidR="00441AE6" w:rsidRPr="00D030ED" w:rsidRDefault="00441AE6" w:rsidP="00F76215">
            <w:pPr>
              <w:jc w:val="right"/>
              <w:rPr>
                <w:bCs/>
                <w:sz w:val="22"/>
                <w:szCs w:val="22"/>
              </w:rPr>
            </w:pPr>
            <w:r w:rsidRPr="00D030ED">
              <w:rPr>
                <w:sz w:val="22"/>
                <w:szCs w:val="22"/>
              </w:rPr>
              <w:t>Sjælden</w:t>
            </w:r>
          </w:p>
        </w:tc>
        <w:tc>
          <w:tcPr>
            <w:tcW w:w="4698" w:type="dxa"/>
            <w:tcBorders>
              <w:top w:val="nil"/>
              <w:left w:val="nil"/>
              <w:bottom w:val="nil"/>
              <w:right w:val="nil"/>
            </w:tcBorders>
          </w:tcPr>
          <w:p w14:paraId="1AF5058D" w14:textId="77777777" w:rsidR="00441AE6" w:rsidRPr="00D030ED" w:rsidRDefault="00441AE6" w:rsidP="00F76215">
            <w:pPr>
              <w:ind w:left="176"/>
              <w:jc w:val="both"/>
              <w:rPr>
                <w:bCs/>
                <w:sz w:val="22"/>
                <w:szCs w:val="22"/>
              </w:rPr>
            </w:pPr>
            <w:r w:rsidRPr="00D030ED">
              <w:rPr>
                <w:sz w:val="22"/>
                <w:szCs w:val="22"/>
              </w:rPr>
              <w:t>Rødmen af huden</w:t>
            </w:r>
          </w:p>
        </w:tc>
      </w:tr>
      <w:tr w:rsidR="00441AE6" w:rsidRPr="00D030ED" w14:paraId="2021CB06" w14:textId="77777777" w:rsidTr="00F76215">
        <w:trPr>
          <w:jc w:val="center"/>
        </w:trPr>
        <w:tc>
          <w:tcPr>
            <w:tcW w:w="9690" w:type="dxa"/>
            <w:gridSpan w:val="5"/>
            <w:tcBorders>
              <w:top w:val="single" w:sz="4" w:space="0" w:color="auto"/>
              <w:left w:val="nil"/>
              <w:bottom w:val="nil"/>
              <w:right w:val="nil"/>
            </w:tcBorders>
          </w:tcPr>
          <w:p w14:paraId="491AB1BF" w14:textId="77777777" w:rsidR="00441AE6" w:rsidRPr="00D030ED" w:rsidRDefault="00441AE6" w:rsidP="00F76215">
            <w:pPr>
              <w:jc w:val="both"/>
              <w:rPr>
                <w:b/>
                <w:bCs/>
                <w:sz w:val="22"/>
                <w:szCs w:val="22"/>
              </w:rPr>
            </w:pPr>
            <w:r w:rsidRPr="00D030ED">
              <w:rPr>
                <w:b/>
                <w:sz w:val="22"/>
                <w:szCs w:val="22"/>
              </w:rPr>
              <w:t xml:space="preserve">Luftveje, thorax og </w:t>
            </w:r>
            <w:proofErr w:type="spellStart"/>
            <w:r w:rsidRPr="00D030ED">
              <w:rPr>
                <w:b/>
                <w:sz w:val="22"/>
                <w:szCs w:val="22"/>
              </w:rPr>
              <w:t>mediastinum</w:t>
            </w:r>
            <w:proofErr w:type="spellEnd"/>
          </w:p>
        </w:tc>
      </w:tr>
      <w:tr w:rsidR="00441AE6" w:rsidRPr="00D030ED" w14:paraId="6F1E51AA" w14:textId="77777777" w:rsidTr="00F76215">
        <w:trPr>
          <w:jc w:val="center"/>
        </w:trPr>
        <w:tc>
          <w:tcPr>
            <w:tcW w:w="2658" w:type="dxa"/>
            <w:tcBorders>
              <w:top w:val="nil"/>
              <w:left w:val="nil"/>
              <w:bottom w:val="nil"/>
              <w:right w:val="nil"/>
            </w:tcBorders>
          </w:tcPr>
          <w:p w14:paraId="4B766877"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18927B6B"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469577B6" w14:textId="77777777" w:rsidR="00441AE6" w:rsidRPr="00D030ED" w:rsidRDefault="00441AE6" w:rsidP="00F76215">
            <w:pPr>
              <w:ind w:left="176"/>
              <w:jc w:val="both"/>
              <w:rPr>
                <w:bCs/>
                <w:sz w:val="22"/>
                <w:szCs w:val="22"/>
              </w:rPr>
            </w:pPr>
            <w:r w:rsidRPr="00D030ED">
              <w:rPr>
                <w:sz w:val="22"/>
                <w:szCs w:val="22"/>
              </w:rPr>
              <w:t>Irritation i svælget</w:t>
            </w:r>
          </w:p>
        </w:tc>
      </w:tr>
      <w:tr w:rsidR="00441AE6" w:rsidRPr="00D030ED" w14:paraId="067C859E" w14:textId="77777777" w:rsidTr="00F76215">
        <w:trPr>
          <w:jc w:val="center"/>
        </w:trPr>
        <w:tc>
          <w:tcPr>
            <w:tcW w:w="2976" w:type="dxa"/>
            <w:gridSpan w:val="2"/>
            <w:tcBorders>
              <w:top w:val="nil"/>
              <w:left w:val="nil"/>
              <w:bottom w:val="nil"/>
              <w:right w:val="nil"/>
            </w:tcBorders>
          </w:tcPr>
          <w:p w14:paraId="792FCAB6"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9808DF2"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13D25110" w14:textId="77777777" w:rsidR="00441AE6" w:rsidRPr="00D030ED" w:rsidRDefault="00441AE6" w:rsidP="00F76215">
            <w:pPr>
              <w:ind w:left="176"/>
              <w:rPr>
                <w:bCs/>
                <w:sz w:val="22"/>
                <w:szCs w:val="22"/>
              </w:rPr>
            </w:pPr>
            <w:r w:rsidRPr="00D030ED">
              <w:rPr>
                <w:bCs/>
                <w:sz w:val="22"/>
                <w:szCs w:val="22"/>
              </w:rPr>
              <w:t xml:space="preserve">Ødem i svælg, astma, dyspnø, hoste, </w:t>
            </w:r>
            <w:proofErr w:type="spellStart"/>
            <w:r w:rsidRPr="00D030ED">
              <w:rPr>
                <w:bCs/>
                <w:sz w:val="22"/>
                <w:szCs w:val="22"/>
              </w:rPr>
              <w:t>dysfoni</w:t>
            </w:r>
            <w:proofErr w:type="spellEnd"/>
            <w:r w:rsidRPr="00D030ED">
              <w:rPr>
                <w:bCs/>
                <w:sz w:val="22"/>
                <w:szCs w:val="22"/>
              </w:rPr>
              <w:t xml:space="preserve">, allergisk </w:t>
            </w:r>
            <w:proofErr w:type="spellStart"/>
            <w:r w:rsidRPr="00D030ED">
              <w:rPr>
                <w:bCs/>
                <w:sz w:val="22"/>
                <w:szCs w:val="22"/>
              </w:rPr>
              <w:t>rhinitis</w:t>
            </w:r>
            <w:proofErr w:type="spellEnd"/>
            <w:r w:rsidRPr="00D030ED">
              <w:rPr>
                <w:bCs/>
                <w:sz w:val="22"/>
                <w:szCs w:val="22"/>
              </w:rPr>
              <w:t xml:space="preserve"> (tilstopning af næsen, </w:t>
            </w:r>
            <w:proofErr w:type="spellStart"/>
            <w:r w:rsidRPr="00D030ED">
              <w:rPr>
                <w:bCs/>
                <w:sz w:val="22"/>
                <w:szCs w:val="22"/>
              </w:rPr>
              <w:t>nysen</w:t>
            </w:r>
            <w:proofErr w:type="spellEnd"/>
            <w:r w:rsidRPr="00D030ED">
              <w:rPr>
                <w:bCs/>
                <w:sz w:val="22"/>
                <w:szCs w:val="22"/>
              </w:rPr>
              <w:t>, næseflåd, næseubehag), tilstopning af sinus</w:t>
            </w:r>
          </w:p>
        </w:tc>
      </w:tr>
      <w:tr w:rsidR="00441AE6" w:rsidRPr="00D030ED" w14:paraId="289E24CB" w14:textId="77777777" w:rsidTr="00F76215">
        <w:trPr>
          <w:jc w:val="center"/>
        </w:trPr>
        <w:tc>
          <w:tcPr>
            <w:tcW w:w="2976" w:type="dxa"/>
            <w:gridSpan w:val="2"/>
            <w:tcBorders>
              <w:top w:val="nil"/>
              <w:left w:val="nil"/>
              <w:bottom w:val="single" w:sz="4" w:space="0" w:color="auto"/>
              <w:right w:val="nil"/>
            </w:tcBorders>
          </w:tcPr>
          <w:p w14:paraId="721EB7B7"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1F7AE5F6"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48D4D938" w14:textId="77777777" w:rsidR="00441AE6" w:rsidRPr="00D030ED" w:rsidRDefault="00441AE6" w:rsidP="00F76215">
            <w:pPr>
              <w:ind w:left="176"/>
              <w:rPr>
                <w:bCs/>
                <w:sz w:val="22"/>
                <w:szCs w:val="22"/>
              </w:rPr>
            </w:pPr>
            <w:r w:rsidRPr="00D030ED">
              <w:rPr>
                <w:bCs/>
                <w:sz w:val="22"/>
                <w:szCs w:val="22"/>
              </w:rPr>
              <w:t xml:space="preserve">Strubeødem, hvæsende vejrtrækning, snæverhed i svælget, </w:t>
            </w:r>
            <w:proofErr w:type="spellStart"/>
            <w:r w:rsidRPr="00D030ED">
              <w:rPr>
                <w:sz w:val="22"/>
                <w:szCs w:val="22"/>
              </w:rPr>
              <w:t>hypoæstesi</w:t>
            </w:r>
            <w:proofErr w:type="spellEnd"/>
            <w:r w:rsidRPr="00D030ED">
              <w:rPr>
                <w:sz w:val="22"/>
                <w:szCs w:val="22"/>
              </w:rPr>
              <w:t xml:space="preserve"> i svælget</w:t>
            </w:r>
          </w:p>
        </w:tc>
      </w:tr>
      <w:tr w:rsidR="00441AE6" w:rsidRPr="00D030ED" w14:paraId="63CF8415" w14:textId="77777777" w:rsidTr="00F76215">
        <w:trPr>
          <w:jc w:val="center"/>
        </w:trPr>
        <w:tc>
          <w:tcPr>
            <w:tcW w:w="9690" w:type="dxa"/>
            <w:gridSpan w:val="5"/>
            <w:tcBorders>
              <w:left w:val="nil"/>
              <w:bottom w:val="nil"/>
              <w:right w:val="nil"/>
            </w:tcBorders>
          </w:tcPr>
          <w:p w14:paraId="55F6455A" w14:textId="77777777" w:rsidR="00441AE6" w:rsidRPr="00D030ED" w:rsidRDefault="00441AE6" w:rsidP="00F76215">
            <w:pPr>
              <w:jc w:val="both"/>
              <w:rPr>
                <w:b/>
                <w:bCs/>
                <w:sz w:val="22"/>
                <w:szCs w:val="22"/>
              </w:rPr>
            </w:pPr>
            <w:r w:rsidRPr="00D030ED">
              <w:rPr>
                <w:b/>
                <w:sz w:val="22"/>
                <w:szCs w:val="22"/>
              </w:rPr>
              <w:t>Mave-tarm-kanalen</w:t>
            </w:r>
          </w:p>
        </w:tc>
      </w:tr>
      <w:tr w:rsidR="00441AE6" w:rsidRPr="00D030ED" w14:paraId="7A507C21" w14:textId="77777777" w:rsidTr="00F76215">
        <w:trPr>
          <w:jc w:val="center"/>
        </w:trPr>
        <w:tc>
          <w:tcPr>
            <w:tcW w:w="2658" w:type="dxa"/>
            <w:tcBorders>
              <w:top w:val="nil"/>
              <w:left w:val="nil"/>
              <w:bottom w:val="nil"/>
              <w:right w:val="nil"/>
            </w:tcBorders>
          </w:tcPr>
          <w:p w14:paraId="2B0AF32B"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5E1F94C8"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7C9BA687" w14:textId="77777777" w:rsidR="00441AE6" w:rsidRPr="00D030ED" w:rsidRDefault="00441AE6" w:rsidP="00F76215">
            <w:pPr>
              <w:ind w:left="176"/>
              <w:jc w:val="both"/>
              <w:rPr>
                <w:bCs/>
                <w:sz w:val="22"/>
                <w:szCs w:val="22"/>
              </w:rPr>
            </w:pPr>
            <w:r w:rsidRPr="00D030ED">
              <w:rPr>
                <w:bCs/>
                <w:sz w:val="22"/>
                <w:szCs w:val="22"/>
              </w:rPr>
              <w:t xml:space="preserve">Oral </w:t>
            </w:r>
            <w:proofErr w:type="spellStart"/>
            <w:r w:rsidRPr="00D030ED">
              <w:rPr>
                <w:bCs/>
                <w:sz w:val="22"/>
                <w:szCs w:val="22"/>
              </w:rPr>
              <w:t>pruritus</w:t>
            </w:r>
            <w:proofErr w:type="spellEnd"/>
          </w:p>
        </w:tc>
      </w:tr>
      <w:tr w:rsidR="00441AE6" w:rsidRPr="00D030ED" w14:paraId="7902C451" w14:textId="77777777" w:rsidTr="00F76215">
        <w:trPr>
          <w:jc w:val="center"/>
        </w:trPr>
        <w:tc>
          <w:tcPr>
            <w:tcW w:w="2658" w:type="dxa"/>
            <w:tcBorders>
              <w:top w:val="nil"/>
              <w:left w:val="nil"/>
              <w:bottom w:val="nil"/>
              <w:right w:val="nil"/>
            </w:tcBorders>
          </w:tcPr>
          <w:p w14:paraId="7CB6FE30"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13426F8D"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6BE2E4A" w14:textId="77777777" w:rsidR="00441AE6" w:rsidRPr="00D030ED" w:rsidRDefault="00441AE6" w:rsidP="00F76215">
            <w:pPr>
              <w:ind w:left="176"/>
              <w:rPr>
                <w:bCs/>
                <w:sz w:val="22"/>
                <w:szCs w:val="22"/>
              </w:rPr>
            </w:pPr>
            <w:r w:rsidRPr="00D030ED">
              <w:rPr>
                <w:bCs/>
                <w:sz w:val="22"/>
                <w:szCs w:val="22"/>
              </w:rPr>
              <w:t xml:space="preserve">Mundødem, tungeødem, læbeødem, </w:t>
            </w:r>
            <w:proofErr w:type="spellStart"/>
            <w:r w:rsidRPr="00D030ED">
              <w:rPr>
                <w:sz w:val="22"/>
                <w:szCs w:val="22"/>
              </w:rPr>
              <w:t>orofaryngeal</w:t>
            </w:r>
            <w:proofErr w:type="spellEnd"/>
            <w:r w:rsidRPr="00D030ED">
              <w:rPr>
                <w:sz w:val="22"/>
                <w:szCs w:val="22"/>
              </w:rPr>
              <w:t xml:space="preserve"> blæredannelse</w:t>
            </w:r>
            <w:r w:rsidRPr="00D030ED">
              <w:rPr>
                <w:bCs/>
                <w:sz w:val="22"/>
                <w:szCs w:val="22"/>
              </w:rPr>
              <w:t xml:space="preserve">, </w:t>
            </w:r>
            <w:proofErr w:type="spellStart"/>
            <w:r w:rsidRPr="00D030ED">
              <w:rPr>
                <w:bCs/>
                <w:sz w:val="22"/>
                <w:szCs w:val="22"/>
              </w:rPr>
              <w:t>stomatitis</w:t>
            </w:r>
            <w:proofErr w:type="spellEnd"/>
            <w:r w:rsidRPr="00D030ED">
              <w:rPr>
                <w:bCs/>
                <w:sz w:val="22"/>
                <w:szCs w:val="22"/>
              </w:rPr>
              <w:t xml:space="preserve">, diarré, opkastning, </w:t>
            </w:r>
            <w:proofErr w:type="spellStart"/>
            <w:r w:rsidRPr="00D030ED">
              <w:rPr>
                <w:bCs/>
                <w:sz w:val="22"/>
                <w:szCs w:val="22"/>
              </w:rPr>
              <w:t>abdominale</w:t>
            </w:r>
            <w:proofErr w:type="spellEnd"/>
            <w:r w:rsidRPr="00D030ED">
              <w:rPr>
                <w:bCs/>
                <w:sz w:val="22"/>
                <w:szCs w:val="22"/>
              </w:rPr>
              <w:t xml:space="preserve"> smerter, dyspepsi, </w:t>
            </w:r>
            <w:proofErr w:type="spellStart"/>
            <w:r w:rsidRPr="00D030ED">
              <w:rPr>
                <w:bCs/>
                <w:sz w:val="22"/>
                <w:szCs w:val="22"/>
              </w:rPr>
              <w:t>dysfagi</w:t>
            </w:r>
            <w:proofErr w:type="spellEnd"/>
            <w:r w:rsidRPr="00D030ED">
              <w:rPr>
                <w:bCs/>
                <w:sz w:val="22"/>
                <w:szCs w:val="22"/>
              </w:rPr>
              <w:t xml:space="preserve">, kvalme, </w:t>
            </w:r>
            <w:proofErr w:type="spellStart"/>
            <w:r w:rsidRPr="00D030ED">
              <w:rPr>
                <w:bCs/>
                <w:sz w:val="22"/>
                <w:szCs w:val="22"/>
              </w:rPr>
              <w:t>glossodyni</w:t>
            </w:r>
            <w:proofErr w:type="spellEnd"/>
            <w:r w:rsidRPr="00D030ED">
              <w:rPr>
                <w:bCs/>
                <w:sz w:val="22"/>
                <w:szCs w:val="22"/>
              </w:rPr>
              <w:t xml:space="preserve">, oral </w:t>
            </w:r>
            <w:proofErr w:type="spellStart"/>
            <w:r w:rsidRPr="00D030ED">
              <w:rPr>
                <w:bCs/>
                <w:sz w:val="22"/>
                <w:szCs w:val="22"/>
              </w:rPr>
              <w:t>hypoæstesi</w:t>
            </w:r>
            <w:proofErr w:type="spellEnd"/>
            <w:r w:rsidRPr="00D030ED">
              <w:rPr>
                <w:bCs/>
                <w:sz w:val="22"/>
                <w:szCs w:val="22"/>
              </w:rPr>
              <w:t xml:space="preserve">, oral </w:t>
            </w:r>
            <w:proofErr w:type="spellStart"/>
            <w:r w:rsidRPr="00D030ED">
              <w:rPr>
                <w:bCs/>
                <w:sz w:val="22"/>
                <w:szCs w:val="22"/>
              </w:rPr>
              <w:t>paræstesi</w:t>
            </w:r>
            <w:proofErr w:type="spellEnd"/>
            <w:r w:rsidRPr="00D030ED">
              <w:rPr>
                <w:bCs/>
                <w:sz w:val="22"/>
                <w:szCs w:val="22"/>
              </w:rPr>
              <w:t xml:space="preserve">, </w:t>
            </w:r>
            <w:proofErr w:type="spellStart"/>
            <w:r w:rsidRPr="00D030ED">
              <w:rPr>
                <w:sz w:val="22"/>
                <w:szCs w:val="22"/>
              </w:rPr>
              <w:t>orofaryngeale</w:t>
            </w:r>
            <w:proofErr w:type="spellEnd"/>
            <w:r w:rsidRPr="00D030ED">
              <w:rPr>
                <w:sz w:val="22"/>
                <w:szCs w:val="22"/>
              </w:rPr>
              <w:t xml:space="preserve"> smerter</w:t>
            </w:r>
            <w:r w:rsidRPr="00D030ED">
              <w:rPr>
                <w:bCs/>
                <w:sz w:val="22"/>
                <w:szCs w:val="22"/>
              </w:rPr>
              <w:t xml:space="preserve">, </w:t>
            </w:r>
            <w:proofErr w:type="spellStart"/>
            <w:r w:rsidRPr="00D030ED">
              <w:rPr>
                <w:sz w:val="22"/>
                <w:szCs w:val="22"/>
              </w:rPr>
              <w:t>orofaryngealt</w:t>
            </w:r>
            <w:proofErr w:type="spellEnd"/>
            <w:r w:rsidRPr="00D030ED">
              <w:rPr>
                <w:sz w:val="22"/>
                <w:szCs w:val="22"/>
              </w:rPr>
              <w:t xml:space="preserve"> ubehag</w:t>
            </w:r>
            <w:r w:rsidRPr="00D030ED">
              <w:rPr>
                <w:bCs/>
                <w:sz w:val="22"/>
                <w:szCs w:val="22"/>
              </w:rPr>
              <w:t xml:space="preserve">, oralt ubehag, </w:t>
            </w:r>
            <w:proofErr w:type="spellStart"/>
            <w:r w:rsidRPr="00D030ED">
              <w:rPr>
                <w:bCs/>
                <w:sz w:val="22"/>
                <w:szCs w:val="22"/>
              </w:rPr>
              <w:t>tungepruritus</w:t>
            </w:r>
            <w:proofErr w:type="spellEnd"/>
            <w:r w:rsidRPr="00D030ED">
              <w:rPr>
                <w:bCs/>
                <w:sz w:val="22"/>
                <w:szCs w:val="22"/>
              </w:rPr>
              <w:t xml:space="preserve">, </w:t>
            </w:r>
            <w:proofErr w:type="spellStart"/>
            <w:r w:rsidRPr="00D030ED">
              <w:rPr>
                <w:bCs/>
                <w:sz w:val="22"/>
                <w:szCs w:val="22"/>
              </w:rPr>
              <w:t>læbepruritus</w:t>
            </w:r>
            <w:proofErr w:type="spellEnd"/>
            <w:r w:rsidRPr="00D030ED">
              <w:rPr>
                <w:bCs/>
                <w:sz w:val="22"/>
                <w:szCs w:val="22"/>
              </w:rPr>
              <w:t>, tør mund, tør hals</w:t>
            </w:r>
          </w:p>
        </w:tc>
      </w:tr>
      <w:tr w:rsidR="00441AE6" w:rsidRPr="00D030ED" w14:paraId="624688F7" w14:textId="77777777" w:rsidTr="00F76215">
        <w:trPr>
          <w:jc w:val="center"/>
        </w:trPr>
        <w:tc>
          <w:tcPr>
            <w:tcW w:w="2658" w:type="dxa"/>
            <w:tcBorders>
              <w:top w:val="nil"/>
              <w:left w:val="nil"/>
              <w:bottom w:val="nil"/>
              <w:right w:val="nil"/>
            </w:tcBorders>
          </w:tcPr>
          <w:p w14:paraId="7A3245F1"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75B22BC1" w14:textId="77777777" w:rsidR="00441AE6" w:rsidRDefault="00441AE6" w:rsidP="00F76215">
            <w:pPr>
              <w:jc w:val="right"/>
              <w:rPr>
                <w:bCs/>
                <w:sz w:val="22"/>
                <w:szCs w:val="22"/>
              </w:rPr>
            </w:pPr>
            <w:r w:rsidRPr="00D030ED">
              <w:rPr>
                <w:bCs/>
                <w:sz w:val="22"/>
                <w:szCs w:val="22"/>
              </w:rPr>
              <w:t>Ikke almindelig</w:t>
            </w:r>
          </w:p>
          <w:p w14:paraId="4F457908" w14:textId="77777777" w:rsidR="00441AE6" w:rsidRDefault="00441AE6" w:rsidP="00F76215">
            <w:pPr>
              <w:jc w:val="right"/>
              <w:rPr>
                <w:bCs/>
                <w:sz w:val="22"/>
                <w:szCs w:val="22"/>
              </w:rPr>
            </w:pPr>
          </w:p>
          <w:p w14:paraId="374113BB" w14:textId="77777777" w:rsidR="00441AE6" w:rsidRDefault="00441AE6" w:rsidP="00F76215">
            <w:pPr>
              <w:jc w:val="right"/>
              <w:rPr>
                <w:bCs/>
                <w:sz w:val="22"/>
                <w:szCs w:val="22"/>
              </w:rPr>
            </w:pPr>
          </w:p>
          <w:p w14:paraId="569EAF05" w14:textId="77777777" w:rsidR="00441AE6" w:rsidRDefault="00441AE6" w:rsidP="00F76215">
            <w:pPr>
              <w:jc w:val="right"/>
              <w:rPr>
                <w:bCs/>
                <w:sz w:val="22"/>
                <w:szCs w:val="22"/>
              </w:rPr>
            </w:pPr>
          </w:p>
          <w:p w14:paraId="20AD349A" w14:textId="77777777" w:rsidR="00441AE6" w:rsidRDefault="00441AE6" w:rsidP="00F76215">
            <w:pPr>
              <w:jc w:val="center"/>
              <w:rPr>
                <w:bCs/>
                <w:sz w:val="22"/>
                <w:szCs w:val="22"/>
              </w:rPr>
            </w:pPr>
          </w:p>
          <w:p w14:paraId="2FC7ACFF" w14:textId="77777777" w:rsidR="00441AE6" w:rsidRPr="00D030ED" w:rsidRDefault="00441AE6" w:rsidP="00F76215">
            <w:pPr>
              <w:jc w:val="right"/>
              <w:rPr>
                <w:bCs/>
                <w:sz w:val="22"/>
                <w:szCs w:val="22"/>
              </w:rPr>
            </w:pPr>
            <w:r>
              <w:rPr>
                <w:bCs/>
                <w:sz w:val="22"/>
                <w:szCs w:val="22"/>
              </w:rPr>
              <w:t>Ikke kendt</w:t>
            </w:r>
          </w:p>
        </w:tc>
        <w:tc>
          <w:tcPr>
            <w:tcW w:w="4728" w:type="dxa"/>
            <w:gridSpan w:val="2"/>
            <w:tcBorders>
              <w:top w:val="nil"/>
              <w:left w:val="nil"/>
              <w:bottom w:val="nil"/>
              <w:right w:val="nil"/>
            </w:tcBorders>
          </w:tcPr>
          <w:p w14:paraId="1A447D31" w14:textId="77777777" w:rsidR="00441AE6" w:rsidRDefault="00441AE6" w:rsidP="00F76215">
            <w:pPr>
              <w:ind w:left="176"/>
              <w:rPr>
                <w:bCs/>
                <w:sz w:val="22"/>
                <w:szCs w:val="22"/>
              </w:rPr>
            </w:pPr>
            <w:r w:rsidRPr="00D030ED">
              <w:rPr>
                <w:bCs/>
                <w:sz w:val="22"/>
                <w:szCs w:val="22"/>
              </w:rPr>
              <w:t xml:space="preserve">Ganeødem, gastritis, </w:t>
            </w:r>
            <w:proofErr w:type="spellStart"/>
            <w:r w:rsidRPr="00D030ED">
              <w:rPr>
                <w:sz w:val="22"/>
                <w:szCs w:val="22"/>
              </w:rPr>
              <w:t>gastroøsofageal</w:t>
            </w:r>
            <w:proofErr w:type="spellEnd"/>
            <w:r w:rsidRPr="00D030ED">
              <w:rPr>
                <w:sz w:val="22"/>
                <w:szCs w:val="22"/>
              </w:rPr>
              <w:t xml:space="preserve"> </w:t>
            </w:r>
            <w:proofErr w:type="spellStart"/>
            <w:r w:rsidRPr="00D030ED">
              <w:rPr>
                <w:sz w:val="22"/>
                <w:szCs w:val="22"/>
              </w:rPr>
              <w:t>refluks</w:t>
            </w:r>
            <w:proofErr w:type="spellEnd"/>
            <w:r w:rsidRPr="00D030ED">
              <w:rPr>
                <w:bCs/>
                <w:sz w:val="22"/>
                <w:szCs w:val="22"/>
              </w:rPr>
              <w:t xml:space="preserve">, mundsår, </w:t>
            </w:r>
            <w:proofErr w:type="spellStart"/>
            <w:r w:rsidRPr="00D030ED">
              <w:rPr>
                <w:sz w:val="22"/>
                <w:szCs w:val="22"/>
              </w:rPr>
              <w:t>øsofageale</w:t>
            </w:r>
            <w:proofErr w:type="spellEnd"/>
            <w:r w:rsidRPr="00D030ED">
              <w:rPr>
                <w:sz w:val="22"/>
                <w:szCs w:val="22"/>
              </w:rPr>
              <w:t xml:space="preserve"> smerter</w:t>
            </w:r>
            <w:r w:rsidRPr="00D030ED">
              <w:rPr>
                <w:bCs/>
                <w:sz w:val="22"/>
                <w:szCs w:val="22"/>
              </w:rPr>
              <w:t xml:space="preserve">, orale smerter, </w:t>
            </w:r>
            <w:proofErr w:type="spellStart"/>
            <w:r w:rsidRPr="00D030ED">
              <w:rPr>
                <w:bCs/>
                <w:sz w:val="22"/>
                <w:szCs w:val="22"/>
              </w:rPr>
              <w:t>cheilitis</w:t>
            </w:r>
            <w:proofErr w:type="spellEnd"/>
            <w:r w:rsidRPr="00D030ED">
              <w:rPr>
                <w:bCs/>
                <w:sz w:val="22"/>
                <w:szCs w:val="22"/>
              </w:rPr>
              <w:t xml:space="preserve">, opstød, </w:t>
            </w:r>
            <w:proofErr w:type="spellStart"/>
            <w:r w:rsidRPr="00D030ED">
              <w:rPr>
                <w:bCs/>
                <w:sz w:val="22"/>
                <w:szCs w:val="22"/>
              </w:rPr>
              <w:t>gingivitis</w:t>
            </w:r>
            <w:proofErr w:type="spellEnd"/>
            <w:r w:rsidRPr="00D030ED">
              <w:rPr>
                <w:bCs/>
                <w:sz w:val="22"/>
                <w:szCs w:val="22"/>
              </w:rPr>
              <w:t xml:space="preserve">, </w:t>
            </w:r>
            <w:proofErr w:type="spellStart"/>
            <w:r w:rsidRPr="00D030ED">
              <w:rPr>
                <w:bCs/>
                <w:sz w:val="22"/>
                <w:szCs w:val="22"/>
              </w:rPr>
              <w:t>glossitis</w:t>
            </w:r>
            <w:proofErr w:type="spellEnd"/>
            <w:r w:rsidRPr="00D030ED">
              <w:rPr>
                <w:bCs/>
                <w:sz w:val="22"/>
                <w:szCs w:val="22"/>
              </w:rPr>
              <w:t xml:space="preserve">, </w:t>
            </w:r>
            <w:proofErr w:type="spellStart"/>
            <w:r w:rsidRPr="00D030ED">
              <w:rPr>
                <w:bCs/>
                <w:sz w:val="22"/>
                <w:szCs w:val="22"/>
              </w:rPr>
              <w:t>odynofagi</w:t>
            </w:r>
            <w:proofErr w:type="spellEnd"/>
            <w:r w:rsidRPr="00D030ED">
              <w:rPr>
                <w:bCs/>
                <w:sz w:val="22"/>
                <w:szCs w:val="22"/>
              </w:rPr>
              <w:t xml:space="preserve">, orale lidelser, forstørrede spytkirtler, </w:t>
            </w:r>
            <w:r w:rsidRPr="00D030ED">
              <w:rPr>
                <w:sz w:val="22"/>
                <w:szCs w:val="22"/>
              </w:rPr>
              <w:t>øget spytsekretion</w:t>
            </w:r>
            <w:r w:rsidRPr="00D030ED">
              <w:rPr>
                <w:bCs/>
                <w:sz w:val="22"/>
                <w:szCs w:val="22"/>
              </w:rPr>
              <w:t>, tungesygdomme</w:t>
            </w:r>
          </w:p>
          <w:p w14:paraId="50839060" w14:textId="77777777" w:rsidR="00441AE6" w:rsidRPr="00D030ED" w:rsidRDefault="00441AE6" w:rsidP="00F76215">
            <w:pPr>
              <w:ind w:left="176"/>
              <w:rPr>
                <w:bCs/>
                <w:sz w:val="22"/>
                <w:szCs w:val="22"/>
              </w:rPr>
            </w:pPr>
            <w:proofErr w:type="spellStart"/>
            <w:r w:rsidRPr="00754D2F">
              <w:rPr>
                <w:sz w:val="22"/>
                <w:szCs w:val="22"/>
              </w:rPr>
              <w:t>Eosinofil</w:t>
            </w:r>
            <w:proofErr w:type="spellEnd"/>
            <w:r w:rsidRPr="00754D2F">
              <w:rPr>
                <w:sz w:val="22"/>
                <w:szCs w:val="22"/>
              </w:rPr>
              <w:t xml:space="preserve"> </w:t>
            </w:r>
            <w:proofErr w:type="spellStart"/>
            <w:r w:rsidRPr="00754D2F">
              <w:rPr>
                <w:sz w:val="22"/>
                <w:szCs w:val="22"/>
              </w:rPr>
              <w:t>øsofagitis</w:t>
            </w:r>
            <w:proofErr w:type="spellEnd"/>
          </w:p>
        </w:tc>
      </w:tr>
      <w:tr w:rsidR="00441AE6" w:rsidRPr="00D030ED" w14:paraId="1AE47507" w14:textId="77777777" w:rsidTr="00F76215">
        <w:trPr>
          <w:jc w:val="center"/>
        </w:trPr>
        <w:tc>
          <w:tcPr>
            <w:tcW w:w="9690" w:type="dxa"/>
            <w:gridSpan w:val="5"/>
            <w:tcBorders>
              <w:left w:val="nil"/>
              <w:bottom w:val="nil"/>
              <w:right w:val="nil"/>
            </w:tcBorders>
          </w:tcPr>
          <w:p w14:paraId="4701609E" w14:textId="77777777" w:rsidR="00441AE6" w:rsidRPr="00D030ED" w:rsidDel="00D553A2" w:rsidRDefault="00441AE6" w:rsidP="00F76215">
            <w:pPr>
              <w:jc w:val="both"/>
              <w:rPr>
                <w:b/>
                <w:bCs/>
                <w:sz w:val="22"/>
                <w:szCs w:val="22"/>
              </w:rPr>
            </w:pPr>
            <w:r w:rsidRPr="00D030ED">
              <w:rPr>
                <w:b/>
                <w:sz w:val="22"/>
                <w:szCs w:val="22"/>
              </w:rPr>
              <w:t>Hud og subkutane væv</w:t>
            </w:r>
          </w:p>
        </w:tc>
      </w:tr>
      <w:tr w:rsidR="00441AE6" w:rsidRPr="00D030ED" w14:paraId="7C10EE64" w14:textId="77777777" w:rsidTr="00F76215">
        <w:trPr>
          <w:jc w:val="center"/>
        </w:trPr>
        <w:tc>
          <w:tcPr>
            <w:tcW w:w="2658" w:type="dxa"/>
            <w:tcBorders>
              <w:top w:val="nil"/>
              <w:left w:val="nil"/>
              <w:bottom w:val="nil"/>
              <w:right w:val="nil"/>
            </w:tcBorders>
          </w:tcPr>
          <w:p w14:paraId="496A4909" w14:textId="77777777" w:rsidR="00441AE6" w:rsidRPr="00D030ED" w:rsidDel="00D553A2" w:rsidRDefault="00441AE6" w:rsidP="00F76215">
            <w:pPr>
              <w:jc w:val="both"/>
              <w:rPr>
                <w:sz w:val="22"/>
                <w:szCs w:val="22"/>
              </w:rPr>
            </w:pPr>
          </w:p>
        </w:tc>
        <w:tc>
          <w:tcPr>
            <w:tcW w:w="2304" w:type="dxa"/>
            <w:gridSpan w:val="2"/>
            <w:tcBorders>
              <w:top w:val="nil"/>
              <w:left w:val="nil"/>
              <w:bottom w:val="nil"/>
              <w:right w:val="nil"/>
            </w:tcBorders>
          </w:tcPr>
          <w:p w14:paraId="0D80C0A7" w14:textId="77777777" w:rsidR="00441AE6" w:rsidRPr="00D030ED" w:rsidDel="00D553A2"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1F6B8D1A" w14:textId="77777777" w:rsidR="00441AE6" w:rsidRPr="00D030ED" w:rsidDel="00D553A2" w:rsidRDefault="00441AE6" w:rsidP="00F76215">
            <w:pPr>
              <w:ind w:left="176"/>
              <w:jc w:val="both"/>
              <w:rPr>
                <w:bCs/>
                <w:strike/>
                <w:sz w:val="22"/>
                <w:szCs w:val="22"/>
              </w:rPr>
            </w:pPr>
            <w:proofErr w:type="spellStart"/>
            <w:r w:rsidRPr="00D030ED">
              <w:rPr>
                <w:bCs/>
                <w:sz w:val="22"/>
                <w:szCs w:val="22"/>
              </w:rPr>
              <w:t>Urticaria</w:t>
            </w:r>
            <w:proofErr w:type="spellEnd"/>
            <w:r w:rsidRPr="00D030ED">
              <w:rPr>
                <w:bCs/>
                <w:sz w:val="22"/>
                <w:szCs w:val="22"/>
              </w:rPr>
              <w:t xml:space="preserve">, </w:t>
            </w:r>
            <w:proofErr w:type="spellStart"/>
            <w:r w:rsidRPr="00D030ED">
              <w:rPr>
                <w:bCs/>
                <w:sz w:val="22"/>
                <w:szCs w:val="22"/>
              </w:rPr>
              <w:t>atopisk</w:t>
            </w:r>
            <w:proofErr w:type="spellEnd"/>
            <w:r w:rsidRPr="00D030ED">
              <w:rPr>
                <w:bCs/>
                <w:sz w:val="22"/>
                <w:szCs w:val="22"/>
              </w:rPr>
              <w:t xml:space="preserve"> </w:t>
            </w:r>
            <w:proofErr w:type="spellStart"/>
            <w:r w:rsidRPr="00D030ED">
              <w:rPr>
                <w:bCs/>
                <w:sz w:val="22"/>
                <w:szCs w:val="22"/>
              </w:rPr>
              <w:t>dermatitis</w:t>
            </w:r>
            <w:proofErr w:type="spellEnd"/>
            <w:r w:rsidRPr="00D030ED">
              <w:rPr>
                <w:bCs/>
                <w:sz w:val="22"/>
                <w:szCs w:val="22"/>
              </w:rPr>
              <w:t xml:space="preserve">, </w:t>
            </w:r>
            <w:proofErr w:type="spellStart"/>
            <w:r w:rsidRPr="00D030ED">
              <w:rPr>
                <w:bCs/>
                <w:sz w:val="22"/>
                <w:szCs w:val="22"/>
              </w:rPr>
              <w:t>pruritus</w:t>
            </w:r>
            <w:proofErr w:type="spellEnd"/>
          </w:p>
        </w:tc>
      </w:tr>
      <w:tr w:rsidR="00441AE6" w:rsidRPr="00D030ED" w14:paraId="53B231B9" w14:textId="77777777" w:rsidTr="00F76215">
        <w:trPr>
          <w:jc w:val="center"/>
        </w:trPr>
        <w:tc>
          <w:tcPr>
            <w:tcW w:w="2658" w:type="dxa"/>
            <w:tcBorders>
              <w:top w:val="nil"/>
              <w:left w:val="nil"/>
              <w:bottom w:val="single" w:sz="4" w:space="0" w:color="auto"/>
              <w:right w:val="nil"/>
            </w:tcBorders>
          </w:tcPr>
          <w:p w14:paraId="30966B43"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159DC9C7" w14:textId="77777777" w:rsidR="00441AE6" w:rsidRPr="00D030ED" w:rsidRDefault="00441AE6" w:rsidP="00F76215">
            <w:pPr>
              <w:jc w:val="right"/>
              <w:rPr>
                <w:bCs/>
                <w:sz w:val="22"/>
                <w:szCs w:val="22"/>
              </w:rPr>
            </w:pPr>
            <w:r w:rsidRPr="00D030ED">
              <w:rPr>
                <w:bCs/>
                <w:sz w:val="22"/>
                <w:szCs w:val="22"/>
              </w:rPr>
              <w:t>Ikke almindelig</w:t>
            </w:r>
          </w:p>
          <w:p w14:paraId="61528200" w14:textId="77777777" w:rsidR="00441AE6" w:rsidRPr="00D030ED" w:rsidDel="00D553A2" w:rsidRDefault="00441AE6" w:rsidP="00F76215">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3552285F" w14:textId="77777777" w:rsidR="00441AE6" w:rsidRPr="00D030ED" w:rsidRDefault="00441AE6" w:rsidP="00F76215">
            <w:pPr>
              <w:ind w:left="176"/>
              <w:jc w:val="both"/>
              <w:rPr>
                <w:bCs/>
                <w:sz w:val="22"/>
                <w:szCs w:val="22"/>
              </w:rPr>
            </w:pPr>
            <w:proofErr w:type="spellStart"/>
            <w:r w:rsidRPr="00D030ED">
              <w:rPr>
                <w:bCs/>
                <w:sz w:val="22"/>
                <w:szCs w:val="22"/>
              </w:rPr>
              <w:t>Angioødem</w:t>
            </w:r>
            <w:proofErr w:type="spellEnd"/>
            <w:r w:rsidRPr="00D030ED">
              <w:rPr>
                <w:bCs/>
                <w:sz w:val="22"/>
                <w:szCs w:val="22"/>
              </w:rPr>
              <w:t>, udslæt, akne</w:t>
            </w:r>
          </w:p>
          <w:p w14:paraId="2BE38D58" w14:textId="77777777" w:rsidR="00441AE6" w:rsidRPr="00D030ED" w:rsidDel="00D553A2" w:rsidRDefault="00441AE6" w:rsidP="00F76215">
            <w:pPr>
              <w:ind w:left="176"/>
              <w:jc w:val="both"/>
              <w:rPr>
                <w:bCs/>
                <w:sz w:val="22"/>
                <w:szCs w:val="22"/>
              </w:rPr>
            </w:pPr>
            <w:r w:rsidRPr="00D030ED">
              <w:rPr>
                <w:bCs/>
                <w:sz w:val="22"/>
                <w:szCs w:val="22"/>
              </w:rPr>
              <w:t>Ansigtsødem</w:t>
            </w:r>
          </w:p>
        </w:tc>
      </w:tr>
      <w:tr w:rsidR="00441AE6" w:rsidRPr="00D030ED" w14:paraId="54D88554" w14:textId="77777777" w:rsidTr="00F76215">
        <w:trPr>
          <w:jc w:val="center"/>
        </w:trPr>
        <w:tc>
          <w:tcPr>
            <w:tcW w:w="9690" w:type="dxa"/>
            <w:gridSpan w:val="5"/>
            <w:tcBorders>
              <w:left w:val="nil"/>
              <w:bottom w:val="nil"/>
              <w:right w:val="nil"/>
            </w:tcBorders>
          </w:tcPr>
          <w:p w14:paraId="762A6E5B" w14:textId="77777777" w:rsidR="00441AE6" w:rsidRPr="00D030ED" w:rsidDel="00D553A2" w:rsidRDefault="00441AE6" w:rsidP="00F76215">
            <w:pPr>
              <w:jc w:val="both"/>
              <w:rPr>
                <w:b/>
                <w:sz w:val="22"/>
                <w:szCs w:val="22"/>
              </w:rPr>
            </w:pPr>
            <w:r w:rsidRPr="00D030ED">
              <w:rPr>
                <w:b/>
                <w:sz w:val="22"/>
                <w:szCs w:val="22"/>
              </w:rPr>
              <w:t>Almene symptomer og reaktioner på administrationsstedet</w:t>
            </w:r>
          </w:p>
        </w:tc>
      </w:tr>
      <w:tr w:rsidR="00441AE6" w:rsidRPr="00D030ED" w14:paraId="3CDFEB86" w14:textId="77777777" w:rsidTr="00F76215">
        <w:trPr>
          <w:jc w:val="center"/>
        </w:trPr>
        <w:tc>
          <w:tcPr>
            <w:tcW w:w="2658" w:type="dxa"/>
            <w:tcBorders>
              <w:top w:val="nil"/>
              <w:left w:val="nil"/>
              <w:bottom w:val="nil"/>
              <w:right w:val="nil"/>
            </w:tcBorders>
          </w:tcPr>
          <w:p w14:paraId="117FD37E" w14:textId="77777777" w:rsidR="00441AE6" w:rsidRPr="00D030ED" w:rsidDel="00D553A2" w:rsidRDefault="00441AE6" w:rsidP="00F76215">
            <w:pPr>
              <w:jc w:val="both"/>
              <w:rPr>
                <w:sz w:val="22"/>
                <w:szCs w:val="22"/>
              </w:rPr>
            </w:pPr>
          </w:p>
        </w:tc>
        <w:tc>
          <w:tcPr>
            <w:tcW w:w="2304" w:type="dxa"/>
            <w:gridSpan w:val="2"/>
            <w:tcBorders>
              <w:top w:val="nil"/>
              <w:left w:val="nil"/>
              <w:bottom w:val="nil"/>
              <w:right w:val="nil"/>
            </w:tcBorders>
          </w:tcPr>
          <w:p w14:paraId="6FE1326E" w14:textId="77777777" w:rsidR="00441AE6" w:rsidRPr="00D030ED" w:rsidDel="00D553A2"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2D58A5DD" w14:textId="77777777" w:rsidR="00441AE6" w:rsidRPr="00D030ED" w:rsidDel="00D553A2" w:rsidRDefault="00441AE6" w:rsidP="00F76215">
            <w:pPr>
              <w:ind w:left="176"/>
              <w:jc w:val="both"/>
              <w:rPr>
                <w:bCs/>
                <w:sz w:val="22"/>
                <w:szCs w:val="22"/>
              </w:rPr>
            </w:pPr>
            <w:r w:rsidRPr="00D030ED">
              <w:rPr>
                <w:bCs/>
                <w:sz w:val="22"/>
                <w:szCs w:val="22"/>
              </w:rPr>
              <w:t>Ubehag i brystet</w:t>
            </w:r>
          </w:p>
        </w:tc>
      </w:tr>
      <w:tr w:rsidR="00441AE6" w:rsidRPr="00D030ED" w14:paraId="720B4D80" w14:textId="77777777" w:rsidTr="00F76215">
        <w:trPr>
          <w:jc w:val="center"/>
        </w:trPr>
        <w:tc>
          <w:tcPr>
            <w:tcW w:w="2658" w:type="dxa"/>
            <w:tcBorders>
              <w:top w:val="nil"/>
              <w:left w:val="nil"/>
              <w:bottom w:val="single" w:sz="4" w:space="0" w:color="auto"/>
              <w:right w:val="nil"/>
            </w:tcBorders>
          </w:tcPr>
          <w:p w14:paraId="755B3E28"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486C7380" w14:textId="77777777" w:rsidR="00441AE6" w:rsidRPr="00D030ED" w:rsidDel="00D553A2"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0397CFCB" w14:textId="77777777" w:rsidR="00441AE6" w:rsidRPr="00D030ED" w:rsidDel="00D553A2" w:rsidRDefault="00441AE6" w:rsidP="00F76215">
            <w:pPr>
              <w:ind w:left="176"/>
              <w:jc w:val="both"/>
              <w:rPr>
                <w:bCs/>
                <w:sz w:val="22"/>
                <w:szCs w:val="22"/>
              </w:rPr>
            </w:pPr>
            <w:r w:rsidRPr="00D030ED">
              <w:rPr>
                <w:sz w:val="22"/>
                <w:szCs w:val="22"/>
              </w:rPr>
              <w:t>Følelse af en klump i halsen</w:t>
            </w:r>
            <w:r w:rsidRPr="00D030ED">
              <w:rPr>
                <w:bCs/>
                <w:sz w:val="22"/>
                <w:szCs w:val="22"/>
              </w:rPr>
              <w:t>, asteni, influenza-lignende sygdom</w:t>
            </w:r>
          </w:p>
        </w:tc>
      </w:tr>
      <w:tr w:rsidR="00441AE6" w:rsidRPr="00D030ED" w14:paraId="51F8C7E0" w14:textId="77777777" w:rsidTr="00F76215">
        <w:trPr>
          <w:jc w:val="center"/>
        </w:trPr>
        <w:tc>
          <w:tcPr>
            <w:tcW w:w="2658" w:type="dxa"/>
            <w:tcBorders>
              <w:top w:val="nil"/>
              <w:left w:val="nil"/>
              <w:bottom w:val="nil"/>
              <w:right w:val="nil"/>
            </w:tcBorders>
          </w:tcPr>
          <w:p w14:paraId="36A90E87" w14:textId="77777777" w:rsidR="00441AE6" w:rsidRPr="00D030ED" w:rsidDel="00D553A2" w:rsidRDefault="00441AE6" w:rsidP="00F76215">
            <w:pPr>
              <w:jc w:val="both"/>
              <w:rPr>
                <w:b/>
                <w:sz w:val="22"/>
                <w:szCs w:val="22"/>
              </w:rPr>
            </w:pPr>
            <w:r w:rsidRPr="00D030ED">
              <w:rPr>
                <w:b/>
                <w:sz w:val="22"/>
                <w:szCs w:val="22"/>
              </w:rPr>
              <w:t>Undersøgelser</w:t>
            </w:r>
          </w:p>
        </w:tc>
        <w:tc>
          <w:tcPr>
            <w:tcW w:w="2304" w:type="dxa"/>
            <w:gridSpan w:val="2"/>
            <w:tcBorders>
              <w:top w:val="nil"/>
              <w:left w:val="nil"/>
              <w:bottom w:val="nil"/>
              <w:right w:val="nil"/>
            </w:tcBorders>
          </w:tcPr>
          <w:p w14:paraId="0E9F2198" w14:textId="77777777" w:rsidR="00441AE6" w:rsidRPr="00D030ED" w:rsidRDefault="00441AE6" w:rsidP="00F76215">
            <w:pPr>
              <w:jc w:val="right"/>
              <w:rPr>
                <w:bCs/>
                <w:sz w:val="22"/>
                <w:szCs w:val="22"/>
              </w:rPr>
            </w:pPr>
          </w:p>
        </w:tc>
        <w:tc>
          <w:tcPr>
            <w:tcW w:w="4728" w:type="dxa"/>
            <w:gridSpan w:val="2"/>
            <w:tcBorders>
              <w:top w:val="nil"/>
              <w:left w:val="nil"/>
              <w:bottom w:val="nil"/>
              <w:right w:val="nil"/>
            </w:tcBorders>
          </w:tcPr>
          <w:p w14:paraId="09D881D0" w14:textId="77777777" w:rsidR="00441AE6" w:rsidRPr="00D030ED" w:rsidRDefault="00441AE6" w:rsidP="00F76215">
            <w:pPr>
              <w:ind w:left="176"/>
              <w:jc w:val="both"/>
              <w:rPr>
                <w:bCs/>
                <w:sz w:val="22"/>
                <w:szCs w:val="22"/>
              </w:rPr>
            </w:pPr>
          </w:p>
        </w:tc>
      </w:tr>
      <w:tr w:rsidR="00441AE6" w:rsidRPr="00D030ED" w14:paraId="2D92C52A" w14:textId="77777777" w:rsidTr="00F76215">
        <w:trPr>
          <w:jc w:val="center"/>
        </w:trPr>
        <w:tc>
          <w:tcPr>
            <w:tcW w:w="2658" w:type="dxa"/>
            <w:tcBorders>
              <w:top w:val="nil"/>
              <w:left w:val="nil"/>
              <w:bottom w:val="single" w:sz="4" w:space="0" w:color="auto"/>
              <w:right w:val="nil"/>
            </w:tcBorders>
          </w:tcPr>
          <w:p w14:paraId="5018C8DF"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61DEED73" w14:textId="77777777" w:rsidR="00441AE6" w:rsidRPr="00D030ED" w:rsidRDefault="00441AE6" w:rsidP="00F76215">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404837D5" w14:textId="77777777" w:rsidR="00441AE6" w:rsidRPr="00D030ED" w:rsidRDefault="00441AE6" w:rsidP="00F76215">
            <w:pPr>
              <w:ind w:left="176"/>
              <w:jc w:val="both"/>
              <w:rPr>
                <w:bCs/>
                <w:sz w:val="22"/>
                <w:szCs w:val="22"/>
              </w:rPr>
            </w:pPr>
            <w:r w:rsidRPr="00D030ED">
              <w:rPr>
                <w:sz w:val="22"/>
              </w:rPr>
              <w:t xml:space="preserve">Forhøjet </w:t>
            </w:r>
            <w:proofErr w:type="spellStart"/>
            <w:r w:rsidRPr="00D030ED">
              <w:rPr>
                <w:sz w:val="22"/>
              </w:rPr>
              <w:t>eosinofiltal</w:t>
            </w:r>
            <w:proofErr w:type="spellEnd"/>
          </w:p>
        </w:tc>
      </w:tr>
      <w:tr w:rsidR="00441AE6" w:rsidRPr="00D030ED" w14:paraId="65E61DA0" w14:textId="77777777" w:rsidTr="00F76215">
        <w:trPr>
          <w:jc w:val="center"/>
        </w:trPr>
        <w:tc>
          <w:tcPr>
            <w:tcW w:w="9690" w:type="dxa"/>
            <w:gridSpan w:val="5"/>
            <w:tcBorders>
              <w:left w:val="nil"/>
              <w:bottom w:val="nil"/>
              <w:right w:val="nil"/>
            </w:tcBorders>
          </w:tcPr>
          <w:p w14:paraId="72A2AD7A" w14:textId="77777777" w:rsidR="00441AE6" w:rsidRPr="00D030ED" w:rsidDel="00D553A2" w:rsidRDefault="00441AE6" w:rsidP="00F76215">
            <w:pPr>
              <w:jc w:val="both"/>
              <w:rPr>
                <w:b/>
                <w:bCs/>
                <w:sz w:val="22"/>
                <w:szCs w:val="22"/>
              </w:rPr>
            </w:pPr>
            <w:r w:rsidRPr="00D030ED">
              <w:rPr>
                <w:b/>
                <w:sz w:val="22"/>
                <w:szCs w:val="22"/>
              </w:rPr>
              <w:t>Traumer, forgiftninger og behandlingskomplikationer</w:t>
            </w:r>
          </w:p>
        </w:tc>
      </w:tr>
      <w:tr w:rsidR="00441AE6" w:rsidRPr="00D030ED" w14:paraId="17132830" w14:textId="77777777" w:rsidTr="00F76215">
        <w:trPr>
          <w:jc w:val="center"/>
        </w:trPr>
        <w:tc>
          <w:tcPr>
            <w:tcW w:w="2658" w:type="dxa"/>
            <w:tcBorders>
              <w:top w:val="nil"/>
              <w:left w:val="nil"/>
              <w:bottom w:val="single" w:sz="4" w:space="0" w:color="auto"/>
              <w:right w:val="nil"/>
            </w:tcBorders>
          </w:tcPr>
          <w:p w14:paraId="480B6A27"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78F42AA3" w14:textId="77777777" w:rsidR="00441AE6" w:rsidRPr="00D030ED" w:rsidDel="00D553A2"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4A14B290" w14:textId="77777777" w:rsidR="00441AE6" w:rsidRPr="00D030ED" w:rsidDel="00D553A2" w:rsidRDefault="00441AE6" w:rsidP="00F76215">
            <w:pPr>
              <w:ind w:left="176"/>
              <w:jc w:val="both"/>
              <w:rPr>
                <w:bCs/>
                <w:sz w:val="22"/>
                <w:szCs w:val="22"/>
              </w:rPr>
            </w:pPr>
            <w:r w:rsidRPr="00D030ED">
              <w:rPr>
                <w:bCs/>
                <w:sz w:val="22"/>
                <w:szCs w:val="22"/>
              </w:rPr>
              <w:t>Hudafskrabning</w:t>
            </w:r>
          </w:p>
        </w:tc>
      </w:tr>
      <w:bookmarkEnd w:id="1"/>
    </w:tbl>
    <w:p w14:paraId="54F9862A" w14:textId="77777777" w:rsidR="00441AE6" w:rsidRDefault="00441AE6" w:rsidP="00441AE6">
      <w:pPr>
        <w:tabs>
          <w:tab w:val="left" w:pos="851"/>
        </w:tabs>
        <w:rPr>
          <w:sz w:val="24"/>
          <w:szCs w:val="24"/>
        </w:rPr>
      </w:pPr>
    </w:p>
    <w:p w14:paraId="039CD31A" w14:textId="77777777" w:rsidR="00441AE6" w:rsidRPr="00B51BCA" w:rsidRDefault="00441AE6" w:rsidP="00441AE6">
      <w:pPr>
        <w:tabs>
          <w:tab w:val="left" w:pos="851"/>
        </w:tabs>
        <w:ind w:left="851"/>
        <w:rPr>
          <w:sz w:val="24"/>
          <w:szCs w:val="24"/>
        </w:rPr>
      </w:pPr>
      <w:r w:rsidRPr="00B51BCA">
        <w:rPr>
          <w:sz w:val="24"/>
          <w:szCs w:val="24"/>
        </w:rPr>
        <w:t xml:space="preserve">Sammenlignet med bivirkningerne, der blev rapporteret i den første behandlingsperiode, blev der i den anden og tredje behandlingsperiode rapporteret færre bivirkningstyper og lavere hyppighed hos voksne, som i kliniske studier blev behandlet med </w:t>
      </w:r>
      <w:proofErr w:type="spellStart"/>
      <w:r w:rsidRPr="00B51BCA">
        <w:rPr>
          <w:sz w:val="24"/>
          <w:szCs w:val="24"/>
        </w:rPr>
        <w:t>Aitgrys</w:t>
      </w:r>
      <w:proofErr w:type="spellEnd"/>
      <w:r w:rsidRPr="00B51BCA">
        <w:rPr>
          <w:sz w:val="24"/>
          <w:szCs w:val="24"/>
        </w:rPr>
        <w:t xml:space="preserve"> i tre på hinanden følgende græspollensæsoner.</w:t>
      </w:r>
    </w:p>
    <w:p w14:paraId="325B37C1" w14:textId="77777777" w:rsidR="00441AE6" w:rsidRPr="00B51BCA" w:rsidRDefault="00441AE6" w:rsidP="00441AE6">
      <w:pPr>
        <w:tabs>
          <w:tab w:val="left" w:pos="851"/>
        </w:tabs>
        <w:ind w:left="851"/>
        <w:rPr>
          <w:sz w:val="24"/>
          <w:szCs w:val="24"/>
        </w:rPr>
      </w:pPr>
    </w:p>
    <w:p w14:paraId="7076C080" w14:textId="77777777" w:rsidR="00441AE6" w:rsidRPr="00476924" w:rsidRDefault="00441AE6" w:rsidP="00441AE6">
      <w:pPr>
        <w:tabs>
          <w:tab w:val="left" w:pos="851"/>
        </w:tabs>
        <w:ind w:left="851"/>
        <w:rPr>
          <w:bCs/>
          <w:iCs/>
          <w:sz w:val="24"/>
          <w:szCs w:val="24"/>
          <w:u w:val="single"/>
        </w:rPr>
      </w:pPr>
      <w:r w:rsidRPr="00476924">
        <w:rPr>
          <w:bCs/>
          <w:iCs/>
          <w:sz w:val="24"/>
          <w:szCs w:val="24"/>
          <w:u w:val="single"/>
        </w:rPr>
        <w:t>Beskrivelse af udvalgte bivirkninger</w:t>
      </w:r>
    </w:p>
    <w:p w14:paraId="16C3E317" w14:textId="77777777" w:rsidR="00441AE6" w:rsidRPr="00B51BCA" w:rsidRDefault="00441AE6" w:rsidP="00441AE6">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73EBB51B" w14:textId="77777777" w:rsidR="00441AE6" w:rsidRPr="00B51BCA" w:rsidRDefault="00441AE6" w:rsidP="00441AE6">
      <w:pPr>
        <w:tabs>
          <w:tab w:val="left" w:pos="851"/>
        </w:tabs>
        <w:ind w:left="851"/>
        <w:rPr>
          <w:sz w:val="24"/>
          <w:szCs w:val="24"/>
        </w:rPr>
      </w:pPr>
    </w:p>
    <w:p w14:paraId="348FBF26" w14:textId="77777777" w:rsidR="00441AE6" w:rsidRPr="00B51BCA" w:rsidRDefault="00441AE6" w:rsidP="00441AE6">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09A4F5D7" w14:textId="77777777" w:rsidR="00441AE6" w:rsidRPr="00B51BCA" w:rsidRDefault="00441AE6" w:rsidP="00441AE6">
      <w:pPr>
        <w:tabs>
          <w:tab w:val="left" w:pos="851"/>
        </w:tabs>
        <w:ind w:left="851"/>
        <w:rPr>
          <w:sz w:val="24"/>
          <w:szCs w:val="24"/>
        </w:rPr>
      </w:pPr>
      <w:r w:rsidRPr="00B51BCA">
        <w:rPr>
          <w:sz w:val="24"/>
          <w:szCs w:val="24"/>
        </w:rPr>
        <w:lastRenderedPageBreak/>
        <w:t>Hvis patienten oplever en reaktion på administrationsstedet, kan symptomatisk behandling (f.eks. med antihistaminer) overvejes.</w:t>
      </w:r>
    </w:p>
    <w:p w14:paraId="1877F533" w14:textId="77777777" w:rsidR="00441AE6" w:rsidRPr="00B51BCA" w:rsidRDefault="00441AE6" w:rsidP="00441AE6">
      <w:pPr>
        <w:tabs>
          <w:tab w:val="left" w:pos="851"/>
        </w:tabs>
        <w:ind w:left="851"/>
        <w:rPr>
          <w:sz w:val="24"/>
          <w:szCs w:val="24"/>
        </w:rPr>
      </w:pPr>
    </w:p>
    <w:p w14:paraId="4D0672EE" w14:textId="77777777" w:rsidR="00441AE6" w:rsidRPr="00B51BCA" w:rsidRDefault="00441AE6" w:rsidP="00441AE6">
      <w:pPr>
        <w:tabs>
          <w:tab w:val="left" w:pos="851"/>
        </w:tabs>
        <w:ind w:left="851"/>
        <w:rPr>
          <w:sz w:val="24"/>
          <w:szCs w:val="24"/>
        </w:rPr>
      </w:pPr>
      <w:r w:rsidRPr="00B51BCA">
        <w:rPr>
          <w:sz w:val="24"/>
          <w:szCs w:val="24"/>
        </w:rPr>
        <w:t xml:space="preserve">Som det er tilfældet med enhver allergen-immunterapi, kan der forekomme alvorlige allergiske reaktioner, herunder alvorlige </w:t>
      </w:r>
      <w:proofErr w:type="spellStart"/>
      <w:r w:rsidRPr="00B51BCA">
        <w:rPr>
          <w:sz w:val="24"/>
          <w:szCs w:val="24"/>
        </w:rPr>
        <w:t>laryngopharyngeale</w:t>
      </w:r>
      <w:proofErr w:type="spellEnd"/>
      <w:r w:rsidRPr="00B51BCA">
        <w:rPr>
          <w:sz w:val="24"/>
          <w:szCs w:val="24"/>
        </w:rPr>
        <w:t xml:space="preserve"> forstyrrelser eller </w:t>
      </w:r>
      <w:proofErr w:type="spellStart"/>
      <w:r w:rsidRPr="00B51BCA">
        <w:rPr>
          <w:sz w:val="24"/>
          <w:szCs w:val="24"/>
        </w:rPr>
        <w:t>anafylaktiske</w:t>
      </w:r>
      <w:proofErr w:type="spellEnd"/>
      <w:r w:rsidRPr="00B51BCA">
        <w:rPr>
          <w:sz w:val="24"/>
          <w:szCs w:val="24"/>
        </w:rPr>
        <w:t xml:space="preserve"> reaktioner (dvs. akut opstået sygdom med påvirkning af hud, slimhinder eller begge dele, påvirkning af luftveje, vedvarende </w:t>
      </w:r>
      <w:proofErr w:type="spellStart"/>
      <w:r w:rsidRPr="00B51BCA">
        <w:rPr>
          <w:sz w:val="24"/>
          <w:szCs w:val="24"/>
        </w:rPr>
        <w:t>gastrointestinale</w:t>
      </w:r>
      <w:proofErr w:type="spellEnd"/>
      <w:r w:rsidRPr="00B51BCA">
        <w:rPr>
          <w:sz w:val="24"/>
          <w:szCs w:val="24"/>
        </w:rPr>
        <w:t xml:space="preserve"> symptomer eller nedsat blodtryk og/eller relaterede symptomer).</w:t>
      </w:r>
    </w:p>
    <w:p w14:paraId="0B73E04B" w14:textId="77777777" w:rsidR="00441AE6" w:rsidRPr="00B51BCA" w:rsidRDefault="00441AE6" w:rsidP="00441AE6">
      <w:pPr>
        <w:tabs>
          <w:tab w:val="left" w:pos="851"/>
        </w:tabs>
        <w:ind w:left="851"/>
        <w:rPr>
          <w:sz w:val="24"/>
          <w:szCs w:val="24"/>
        </w:rPr>
      </w:pPr>
      <w:r w:rsidRPr="00B51BCA">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777049D3" w14:textId="77777777" w:rsidR="00441AE6" w:rsidRPr="00B51BCA" w:rsidRDefault="00441AE6" w:rsidP="00441AE6">
      <w:pPr>
        <w:tabs>
          <w:tab w:val="left" w:pos="851"/>
        </w:tabs>
        <w:ind w:left="851"/>
        <w:rPr>
          <w:sz w:val="24"/>
          <w:szCs w:val="24"/>
        </w:rPr>
      </w:pPr>
    </w:p>
    <w:p w14:paraId="29CD26C7" w14:textId="77777777" w:rsidR="00441AE6" w:rsidRPr="00B51BCA" w:rsidRDefault="00441AE6" w:rsidP="00441AE6">
      <w:pPr>
        <w:tabs>
          <w:tab w:val="left" w:pos="851"/>
        </w:tabs>
        <w:ind w:left="851"/>
        <w:rPr>
          <w:sz w:val="24"/>
          <w:szCs w:val="24"/>
          <w:u w:val="single"/>
        </w:rPr>
      </w:pPr>
      <w:r w:rsidRPr="00B51BCA">
        <w:rPr>
          <w:sz w:val="24"/>
          <w:szCs w:val="24"/>
          <w:u w:val="single"/>
        </w:rPr>
        <w:t>Pædiatrisk population</w:t>
      </w:r>
    </w:p>
    <w:p w14:paraId="3E557556" w14:textId="77777777" w:rsidR="00441AE6" w:rsidRPr="00B51BCA" w:rsidRDefault="00441AE6" w:rsidP="00441AE6">
      <w:pPr>
        <w:tabs>
          <w:tab w:val="left" w:pos="851"/>
        </w:tabs>
        <w:ind w:left="851"/>
        <w:rPr>
          <w:sz w:val="24"/>
          <w:szCs w:val="24"/>
        </w:rPr>
      </w:pPr>
      <w:r w:rsidRPr="00B51BCA">
        <w:rPr>
          <w:sz w:val="24"/>
          <w:szCs w:val="24"/>
        </w:rPr>
        <w:t xml:space="preserve">Samlet set er sikkerhedsprofilen for den pædiatriske population den samme som for den voksne population. Følgende bivirkninger fra tabellen over bivirkninger blev rapporteret med en højere hyppighed i den pædiatriske population end hos voksne: hoste, </w:t>
      </w:r>
      <w:proofErr w:type="spellStart"/>
      <w:r w:rsidRPr="00B51BCA">
        <w:rPr>
          <w:sz w:val="24"/>
          <w:szCs w:val="24"/>
        </w:rPr>
        <w:t>nasofaryngitis</w:t>
      </w:r>
      <w:proofErr w:type="spellEnd"/>
      <w:r w:rsidRPr="00B51BCA">
        <w:rPr>
          <w:sz w:val="24"/>
          <w:szCs w:val="24"/>
        </w:rPr>
        <w:t xml:space="preserve">, mundødem (meget almindelig), oralt allergisyndrom, </w:t>
      </w:r>
      <w:proofErr w:type="spellStart"/>
      <w:r w:rsidRPr="00B51BCA">
        <w:rPr>
          <w:sz w:val="24"/>
          <w:szCs w:val="24"/>
        </w:rPr>
        <w:t>cheilitis</w:t>
      </w:r>
      <w:proofErr w:type="spellEnd"/>
      <w:r w:rsidRPr="00B51BCA">
        <w:rPr>
          <w:sz w:val="24"/>
          <w:szCs w:val="24"/>
        </w:rPr>
        <w:t xml:space="preserve">, </w:t>
      </w:r>
      <w:proofErr w:type="spellStart"/>
      <w:r w:rsidRPr="00B51BCA">
        <w:rPr>
          <w:sz w:val="24"/>
          <w:szCs w:val="24"/>
        </w:rPr>
        <w:t>glossitis</w:t>
      </w:r>
      <w:proofErr w:type="spellEnd"/>
      <w:r w:rsidRPr="00B51BCA">
        <w:rPr>
          <w:sz w:val="24"/>
          <w:szCs w:val="24"/>
        </w:rPr>
        <w:t>, følelse af en klump i halsen, ubehag i øret (almindelig).</w:t>
      </w:r>
    </w:p>
    <w:p w14:paraId="6F83444C" w14:textId="77777777" w:rsidR="00441AE6" w:rsidRPr="00B51BCA" w:rsidRDefault="00441AE6" w:rsidP="00441AE6">
      <w:pPr>
        <w:tabs>
          <w:tab w:val="left" w:pos="851"/>
        </w:tabs>
        <w:ind w:left="851"/>
        <w:rPr>
          <w:sz w:val="24"/>
          <w:szCs w:val="24"/>
          <w:u w:val="single"/>
        </w:rPr>
      </w:pPr>
    </w:p>
    <w:p w14:paraId="19E01292" w14:textId="77777777" w:rsidR="00441AE6" w:rsidRPr="00B51BCA" w:rsidRDefault="00441AE6" w:rsidP="00441AE6">
      <w:pPr>
        <w:tabs>
          <w:tab w:val="left" w:pos="851"/>
        </w:tabs>
        <w:ind w:left="851"/>
        <w:rPr>
          <w:sz w:val="24"/>
          <w:szCs w:val="24"/>
        </w:rPr>
      </w:pPr>
      <w:r w:rsidRPr="00B51BCA">
        <w:rPr>
          <w:sz w:val="24"/>
          <w:szCs w:val="24"/>
        </w:rPr>
        <w:t xml:space="preserve">Ud over de reaktioner, der er anført i tabellen, rapporteredes følgende reaktioner hos børn og unge, der fik </w:t>
      </w:r>
      <w:proofErr w:type="spellStart"/>
      <w:r w:rsidRPr="00B51BCA">
        <w:rPr>
          <w:sz w:val="24"/>
          <w:szCs w:val="24"/>
        </w:rPr>
        <w:t>Aitgrys</w:t>
      </w:r>
      <w:proofErr w:type="spellEnd"/>
      <w:r w:rsidRPr="00B51BCA">
        <w:rPr>
          <w:sz w:val="24"/>
          <w:szCs w:val="24"/>
        </w:rPr>
        <w:t xml:space="preserve">: </w:t>
      </w:r>
      <w:proofErr w:type="spellStart"/>
      <w:r w:rsidRPr="00B51BCA">
        <w:rPr>
          <w:sz w:val="24"/>
          <w:szCs w:val="24"/>
        </w:rPr>
        <w:t>tonsillitis</w:t>
      </w:r>
      <w:proofErr w:type="spellEnd"/>
      <w:r w:rsidRPr="00B51BCA">
        <w:rPr>
          <w:sz w:val="24"/>
          <w:szCs w:val="24"/>
        </w:rPr>
        <w:t>, bronkitis, (almindelig), smerter i brystet (ikke almindelig).</w:t>
      </w:r>
    </w:p>
    <w:p w14:paraId="4435215D" w14:textId="77777777" w:rsidR="00441AE6" w:rsidRPr="00B51BCA" w:rsidRDefault="00441AE6" w:rsidP="00441AE6">
      <w:pPr>
        <w:tabs>
          <w:tab w:val="left" w:pos="851"/>
        </w:tabs>
        <w:ind w:left="851"/>
        <w:rPr>
          <w:sz w:val="24"/>
          <w:szCs w:val="24"/>
        </w:rPr>
      </w:pPr>
    </w:p>
    <w:p w14:paraId="454DBAB6" w14:textId="77777777" w:rsidR="00441AE6" w:rsidRPr="00B51BCA" w:rsidRDefault="00441AE6" w:rsidP="00441AE6">
      <w:pPr>
        <w:tabs>
          <w:tab w:val="left" w:pos="851"/>
        </w:tabs>
        <w:ind w:left="851"/>
        <w:rPr>
          <w:sz w:val="24"/>
          <w:szCs w:val="24"/>
          <w:u w:val="single"/>
        </w:rPr>
      </w:pPr>
      <w:r w:rsidRPr="00B51BCA">
        <w:rPr>
          <w:sz w:val="24"/>
          <w:szCs w:val="24"/>
          <w:u w:val="single"/>
        </w:rPr>
        <w:t>Efter markedsføring</w:t>
      </w:r>
    </w:p>
    <w:p w14:paraId="5200AE5C" w14:textId="77777777" w:rsidR="00441AE6" w:rsidRPr="00B51BCA" w:rsidRDefault="00441AE6" w:rsidP="00441AE6">
      <w:pPr>
        <w:tabs>
          <w:tab w:val="left" w:pos="851"/>
        </w:tabs>
        <w:ind w:left="851"/>
        <w:rPr>
          <w:sz w:val="24"/>
          <w:szCs w:val="24"/>
        </w:rPr>
      </w:pPr>
      <w:r>
        <w:rPr>
          <w:sz w:val="24"/>
          <w:szCs w:val="24"/>
        </w:rPr>
        <w:t>F</w:t>
      </w:r>
      <w:r w:rsidRPr="00B51BCA">
        <w:rPr>
          <w:sz w:val="24"/>
          <w:szCs w:val="24"/>
        </w:rPr>
        <w:t xml:space="preserve">ølgende bivirkninger </w:t>
      </w:r>
      <w:r>
        <w:rPr>
          <w:sz w:val="24"/>
          <w:szCs w:val="24"/>
        </w:rPr>
        <w:t xml:space="preserve">er </w:t>
      </w:r>
      <w:r w:rsidRPr="00B51BCA">
        <w:rPr>
          <w:sz w:val="24"/>
          <w:szCs w:val="24"/>
        </w:rPr>
        <w:t>rapporteret i forbindelse med overvågning efter markedsføring hos voksne, unge og børn: astma (</w:t>
      </w:r>
      <w:proofErr w:type="spellStart"/>
      <w:r w:rsidRPr="00B51BCA">
        <w:rPr>
          <w:sz w:val="24"/>
          <w:szCs w:val="24"/>
        </w:rPr>
        <w:t>exacerbation</w:t>
      </w:r>
      <w:proofErr w:type="spellEnd"/>
      <w:r w:rsidRPr="00B51BCA">
        <w:rPr>
          <w:sz w:val="24"/>
          <w:szCs w:val="24"/>
        </w:rPr>
        <w:t xml:space="preserve">), systemiske allergiske reaktioner, </w:t>
      </w:r>
      <w:proofErr w:type="spellStart"/>
      <w:r w:rsidRPr="00B51BCA">
        <w:rPr>
          <w:sz w:val="24"/>
          <w:szCs w:val="24"/>
        </w:rPr>
        <w:t>eosinofil</w:t>
      </w:r>
      <w:proofErr w:type="spellEnd"/>
      <w:r w:rsidRPr="00B51BCA">
        <w:rPr>
          <w:sz w:val="24"/>
          <w:szCs w:val="24"/>
        </w:rPr>
        <w:t xml:space="preserve"> </w:t>
      </w:r>
      <w:proofErr w:type="spellStart"/>
      <w:r w:rsidRPr="00B51BCA">
        <w:rPr>
          <w:sz w:val="24"/>
          <w:szCs w:val="24"/>
        </w:rPr>
        <w:t>øsofagitis</w:t>
      </w:r>
      <w:proofErr w:type="spellEnd"/>
      <w:r w:rsidRPr="00B51BCA">
        <w:rPr>
          <w:sz w:val="24"/>
          <w:szCs w:val="24"/>
        </w:rPr>
        <w:t>.</w:t>
      </w:r>
    </w:p>
    <w:p w14:paraId="7F2DDBE1" w14:textId="77777777" w:rsidR="00441AE6" w:rsidRPr="00B51BCA" w:rsidRDefault="00441AE6" w:rsidP="00441AE6">
      <w:pPr>
        <w:tabs>
          <w:tab w:val="left" w:pos="851"/>
        </w:tabs>
        <w:ind w:left="851"/>
        <w:rPr>
          <w:sz w:val="24"/>
          <w:szCs w:val="24"/>
        </w:rPr>
      </w:pPr>
      <w:r w:rsidRPr="00B51BCA">
        <w:rPr>
          <w:sz w:val="24"/>
          <w:szCs w:val="24"/>
        </w:rPr>
        <w:t xml:space="preserve">Hyppigheden af disse reaktioner ved behandling med </w:t>
      </w:r>
      <w:proofErr w:type="spellStart"/>
      <w:r w:rsidRPr="00B51BCA">
        <w:rPr>
          <w:sz w:val="24"/>
          <w:szCs w:val="24"/>
        </w:rPr>
        <w:t>Aitgrys</w:t>
      </w:r>
      <w:proofErr w:type="spellEnd"/>
      <w:r w:rsidRPr="00B51BCA">
        <w:rPr>
          <w:sz w:val="24"/>
          <w:szCs w:val="24"/>
        </w:rPr>
        <w:t xml:space="preserve"> er ikke kendt.</w:t>
      </w:r>
    </w:p>
    <w:p w14:paraId="1D594C7D" w14:textId="77777777" w:rsidR="00441AE6" w:rsidRPr="00B51BCA" w:rsidRDefault="00441AE6" w:rsidP="00441AE6">
      <w:pPr>
        <w:tabs>
          <w:tab w:val="left" w:pos="851"/>
        </w:tabs>
        <w:ind w:left="851"/>
        <w:rPr>
          <w:sz w:val="24"/>
          <w:szCs w:val="24"/>
        </w:rPr>
      </w:pPr>
    </w:p>
    <w:p w14:paraId="05D813BB" w14:textId="77777777" w:rsidR="00441AE6" w:rsidRPr="00B51BCA" w:rsidRDefault="00441AE6" w:rsidP="00441AE6">
      <w:pPr>
        <w:tabs>
          <w:tab w:val="left" w:pos="851"/>
        </w:tabs>
        <w:ind w:left="851"/>
        <w:rPr>
          <w:sz w:val="24"/>
          <w:szCs w:val="24"/>
          <w:u w:val="single"/>
        </w:rPr>
      </w:pPr>
      <w:r w:rsidRPr="00B51BCA">
        <w:rPr>
          <w:sz w:val="24"/>
          <w:szCs w:val="24"/>
          <w:u w:val="single"/>
        </w:rPr>
        <w:t>Indberetning af formodede bivirkninger</w:t>
      </w:r>
    </w:p>
    <w:p w14:paraId="4D79A8E0" w14:textId="77777777" w:rsidR="00441AE6" w:rsidRPr="00B51BCA" w:rsidRDefault="00441AE6" w:rsidP="00441AE6">
      <w:pPr>
        <w:tabs>
          <w:tab w:val="left" w:pos="851"/>
        </w:tabs>
        <w:ind w:left="851"/>
        <w:rPr>
          <w:sz w:val="24"/>
          <w:szCs w:val="24"/>
        </w:rPr>
      </w:pPr>
      <w:r w:rsidRPr="00B51BCA">
        <w:rPr>
          <w:sz w:val="24"/>
          <w:szCs w:val="24"/>
        </w:rPr>
        <w:t>Når lægemidlet er godkendt, er indberetning af formodede bivirkninger vigtig. Det muliggør løbende overvågning af benefit/</w:t>
      </w:r>
      <w:proofErr w:type="spellStart"/>
      <w:r w:rsidRPr="00B51BCA">
        <w:rPr>
          <w:sz w:val="24"/>
          <w:szCs w:val="24"/>
        </w:rPr>
        <w:t>risk</w:t>
      </w:r>
      <w:proofErr w:type="spellEnd"/>
      <w:r w:rsidRPr="00B51BCA">
        <w:rPr>
          <w:sz w:val="24"/>
          <w:szCs w:val="24"/>
        </w:rPr>
        <w:t xml:space="preserve">-forholdet for lægemidlet. Sundhedspersoner anmodes om at indberette alle formodede bivirkninger via </w:t>
      </w:r>
    </w:p>
    <w:p w14:paraId="4F507F34" w14:textId="77777777" w:rsidR="00441AE6" w:rsidRPr="00B51BCA" w:rsidRDefault="00441AE6" w:rsidP="00441AE6">
      <w:pPr>
        <w:tabs>
          <w:tab w:val="left" w:pos="851"/>
        </w:tabs>
        <w:ind w:left="851"/>
        <w:rPr>
          <w:sz w:val="24"/>
          <w:szCs w:val="24"/>
        </w:rPr>
      </w:pPr>
    </w:p>
    <w:p w14:paraId="5E2CC1F5" w14:textId="77777777" w:rsidR="00441AE6" w:rsidRPr="00B51BCA" w:rsidRDefault="00441AE6" w:rsidP="00441AE6">
      <w:pPr>
        <w:tabs>
          <w:tab w:val="left" w:pos="851"/>
        </w:tabs>
        <w:ind w:left="851"/>
        <w:rPr>
          <w:sz w:val="24"/>
          <w:szCs w:val="24"/>
        </w:rPr>
      </w:pPr>
      <w:r w:rsidRPr="00B51BCA">
        <w:rPr>
          <w:sz w:val="24"/>
          <w:szCs w:val="24"/>
        </w:rPr>
        <w:t>Lægemiddelstyrelsen</w:t>
      </w:r>
    </w:p>
    <w:p w14:paraId="7619CC90" w14:textId="77777777" w:rsidR="00441AE6" w:rsidRPr="00B51BCA" w:rsidRDefault="00441AE6" w:rsidP="00441AE6">
      <w:pPr>
        <w:tabs>
          <w:tab w:val="left" w:pos="851"/>
        </w:tabs>
        <w:ind w:left="851"/>
        <w:rPr>
          <w:sz w:val="24"/>
          <w:szCs w:val="24"/>
        </w:rPr>
      </w:pPr>
      <w:r w:rsidRPr="00B51BCA">
        <w:rPr>
          <w:sz w:val="24"/>
          <w:szCs w:val="24"/>
        </w:rPr>
        <w:t>Axel Heides Gade 1</w:t>
      </w:r>
    </w:p>
    <w:p w14:paraId="56C9941E" w14:textId="77777777" w:rsidR="00441AE6" w:rsidRPr="00B51BCA" w:rsidRDefault="00441AE6" w:rsidP="00441AE6">
      <w:pPr>
        <w:tabs>
          <w:tab w:val="left" w:pos="851"/>
        </w:tabs>
        <w:ind w:left="851"/>
        <w:rPr>
          <w:sz w:val="24"/>
          <w:szCs w:val="24"/>
        </w:rPr>
      </w:pPr>
      <w:r w:rsidRPr="00B51BCA">
        <w:rPr>
          <w:sz w:val="24"/>
          <w:szCs w:val="24"/>
        </w:rPr>
        <w:t>DK-2300 København S</w:t>
      </w:r>
    </w:p>
    <w:p w14:paraId="220841AB" w14:textId="29A0CB45" w:rsidR="00441AE6" w:rsidRDefault="00441AE6" w:rsidP="00441AE6">
      <w:pPr>
        <w:tabs>
          <w:tab w:val="left" w:pos="851"/>
        </w:tabs>
        <w:ind w:left="851"/>
        <w:rPr>
          <w:sz w:val="24"/>
          <w:szCs w:val="24"/>
        </w:rPr>
      </w:pPr>
      <w:r w:rsidRPr="00B51BCA">
        <w:rPr>
          <w:sz w:val="24"/>
          <w:szCs w:val="24"/>
        </w:rPr>
        <w:t xml:space="preserve">Websted: </w:t>
      </w:r>
      <w:hyperlink r:id="rId8" w:history="1">
        <w:r w:rsidRPr="00CB7BBE">
          <w:rPr>
            <w:rStyle w:val="Hyperlink"/>
            <w:sz w:val="24"/>
            <w:szCs w:val="24"/>
          </w:rPr>
          <w:t>www.meldenbivirkning.dk</w:t>
        </w:r>
      </w:hyperlink>
    </w:p>
    <w:p w14:paraId="2FA42B29" w14:textId="77777777" w:rsidR="009260DE" w:rsidRPr="00A10294" w:rsidRDefault="009260DE" w:rsidP="00441AE6">
      <w:pPr>
        <w:tabs>
          <w:tab w:val="left" w:pos="851"/>
        </w:tabs>
        <w:rPr>
          <w:sz w:val="24"/>
          <w:szCs w:val="24"/>
        </w:rPr>
      </w:pPr>
    </w:p>
    <w:p w14:paraId="4818963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9639C6F" w14:textId="77777777" w:rsidR="00B51BCA" w:rsidRPr="00B51BCA" w:rsidRDefault="00B51BCA" w:rsidP="00B51BCA">
      <w:pPr>
        <w:tabs>
          <w:tab w:val="left" w:pos="851"/>
        </w:tabs>
        <w:ind w:left="851"/>
        <w:rPr>
          <w:sz w:val="24"/>
          <w:szCs w:val="24"/>
        </w:rPr>
      </w:pPr>
      <w:r w:rsidRPr="00B51BCA">
        <w:rPr>
          <w:sz w:val="24"/>
          <w:szCs w:val="24"/>
        </w:rPr>
        <w:t>Der er ikke rapporteret tilfælde af overdosering.</w:t>
      </w:r>
    </w:p>
    <w:p w14:paraId="4D750AF1" w14:textId="77777777" w:rsidR="00B51BCA" w:rsidRPr="00B51BCA" w:rsidRDefault="00B51BCA" w:rsidP="00B51BCA">
      <w:pPr>
        <w:tabs>
          <w:tab w:val="left" w:pos="851"/>
        </w:tabs>
        <w:ind w:left="851"/>
        <w:rPr>
          <w:sz w:val="24"/>
          <w:szCs w:val="24"/>
        </w:rPr>
      </w:pPr>
    </w:p>
    <w:p w14:paraId="1E31975E" w14:textId="77777777" w:rsidR="00B51BCA" w:rsidRPr="00B51BCA" w:rsidRDefault="00B51BCA" w:rsidP="00B51BCA">
      <w:pPr>
        <w:tabs>
          <w:tab w:val="left" w:pos="851"/>
        </w:tabs>
        <w:ind w:left="851"/>
        <w:rPr>
          <w:sz w:val="24"/>
          <w:szCs w:val="24"/>
        </w:rPr>
      </w:pPr>
      <w:r w:rsidRPr="00B51BCA">
        <w:rPr>
          <w:sz w:val="24"/>
          <w:szCs w:val="24"/>
        </w:rPr>
        <w:t xml:space="preserve">Hvis der tages højere, daglige doser end anbefalet, kan risikoen for bivirkninger øges, herunder risikoen for systemiske allergiske reaktioner eller alvorlige lokale allergiske reaktioner. I tilfælde af alvorlige reaktioner såsom </w:t>
      </w:r>
      <w:proofErr w:type="spellStart"/>
      <w:r w:rsidRPr="00B51BCA">
        <w:rPr>
          <w:sz w:val="24"/>
          <w:szCs w:val="24"/>
        </w:rPr>
        <w:t>angioødem</w:t>
      </w:r>
      <w:proofErr w:type="spellEnd"/>
      <w:r w:rsidRPr="00B51BCA">
        <w:rPr>
          <w:sz w:val="24"/>
          <w:szCs w:val="24"/>
        </w:rPr>
        <w:t>, synkebesvær, åndedrætsbesvær, stemmeændring eller følelse af sammensnøring i halsen er øjeblikkelig lægehjælp nødvendig.</w:t>
      </w:r>
    </w:p>
    <w:p w14:paraId="6F88C67D" w14:textId="77777777" w:rsidR="00B51BCA" w:rsidRPr="00B51BCA" w:rsidRDefault="00B51BCA" w:rsidP="00B51BCA">
      <w:pPr>
        <w:tabs>
          <w:tab w:val="left" w:pos="851"/>
        </w:tabs>
        <w:ind w:left="851"/>
        <w:rPr>
          <w:sz w:val="24"/>
          <w:szCs w:val="24"/>
        </w:rPr>
      </w:pPr>
    </w:p>
    <w:p w14:paraId="6D33A557" w14:textId="77777777" w:rsidR="00B51BCA" w:rsidRPr="00B51BCA" w:rsidRDefault="00B51BCA" w:rsidP="00B51BCA">
      <w:pPr>
        <w:tabs>
          <w:tab w:val="left" w:pos="851"/>
        </w:tabs>
        <w:ind w:left="851"/>
        <w:rPr>
          <w:sz w:val="24"/>
          <w:szCs w:val="24"/>
        </w:rPr>
      </w:pPr>
      <w:r w:rsidRPr="00B51BCA">
        <w:rPr>
          <w:sz w:val="24"/>
          <w:szCs w:val="24"/>
        </w:rPr>
        <w:t>I tilfælde af overdosering skal bivirkningerne behandles symptomatisk.</w:t>
      </w:r>
    </w:p>
    <w:p w14:paraId="655ED46A" w14:textId="1A1B3E64" w:rsidR="009260DE" w:rsidRDefault="009260DE" w:rsidP="009260DE">
      <w:pPr>
        <w:tabs>
          <w:tab w:val="left" w:pos="851"/>
        </w:tabs>
        <w:ind w:left="851"/>
        <w:rPr>
          <w:sz w:val="24"/>
          <w:szCs w:val="24"/>
        </w:rPr>
      </w:pPr>
    </w:p>
    <w:p w14:paraId="223539DA" w14:textId="77777777" w:rsidR="00441AE6" w:rsidRPr="00C84483" w:rsidRDefault="00441AE6" w:rsidP="009260DE">
      <w:pPr>
        <w:tabs>
          <w:tab w:val="left" w:pos="851"/>
        </w:tabs>
        <w:ind w:left="851"/>
        <w:rPr>
          <w:sz w:val="24"/>
          <w:szCs w:val="24"/>
        </w:rPr>
      </w:pPr>
    </w:p>
    <w:p w14:paraId="0207DC13"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02927828" w14:textId="1548139D" w:rsidR="009260DE" w:rsidRPr="00C84483" w:rsidRDefault="007C5ED8" w:rsidP="009260DE">
      <w:pPr>
        <w:tabs>
          <w:tab w:val="left" w:pos="851"/>
        </w:tabs>
        <w:ind w:left="851"/>
        <w:rPr>
          <w:sz w:val="24"/>
          <w:szCs w:val="24"/>
        </w:rPr>
      </w:pPr>
      <w:r>
        <w:rPr>
          <w:sz w:val="24"/>
          <w:szCs w:val="24"/>
        </w:rPr>
        <w:t>B</w:t>
      </w:r>
    </w:p>
    <w:p w14:paraId="4818534D" w14:textId="77777777" w:rsidR="009260DE" w:rsidRPr="00C84483" w:rsidRDefault="009260DE" w:rsidP="009260DE">
      <w:pPr>
        <w:tabs>
          <w:tab w:val="left" w:pos="851"/>
        </w:tabs>
        <w:ind w:left="851"/>
        <w:rPr>
          <w:sz w:val="24"/>
          <w:szCs w:val="24"/>
        </w:rPr>
      </w:pPr>
    </w:p>
    <w:p w14:paraId="6840875C" w14:textId="77777777" w:rsidR="009260DE" w:rsidRPr="00C84483" w:rsidRDefault="009260DE" w:rsidP="009260DE">
      <w:pPr>
        <w:tabs>
          <w:tab w:val="left" w:pos="851"/>
        </w:tabs>
        <w:ind w:left="851"/>
        <w:rPr>
          <w:sz w:val="24"/>
          <w:szCs w:val="24"/>
        </w:rPr>
      </w:pPr>
    </w:p>
    <w:p w14:paraId="0E95B7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A122A0" w14:textId="77777777" w:rsidR="009260DE" w:rsidRPr="00C84483" w:rsidRDefault="009260DE" w:rsidP="009260DE">
      <w:pPr>
        <w:tabs>
          <w:tab w:val="left" w:pos="851"/>
        </w:tabs>
        <w:ind w:left="851"/>
        <w:rPr>
          <w:sz w:val="24"/>
          <w:szCs w:val="24"/>
        </w:rPr>
      </w:pPr>
    </w:p>
    <w:p w14:paraId="60BA0F7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EF92A86" w14:textId="77777777" w:rsidR="00441AE6" w:rsidRPr="009D22BA" w:rsidRDefault="00441AE6" w:rsidP="00441AE6">
      <w:pPr>
        <w:ind w:left="851"/>
        <w:rPr>
          <w:sz w:val="24"/>
          <w:szCs w:val="24"/>
        </w:rPr>
      </w:pPr>
      <w:proofErr w:type="spellStart"/>
      <w:r w:rsidRPr="009D22BA">
        <w:rPr>
          <w:sz w:val="24"/>
          <w:szCs w:val="24"/>
        </w:rPr>
        <w:t>Farmakoterapeutisk</w:t>
      </w:r>
      <w:proofErr w:type="spellEnd"/>
      <w:r w:rsidRPr="009D22BA">
        <w:rPr>
          <w:sz w:val="24"/>
          <w:szCs w:val="24"/>
        </w:rPr>
        <w:t xml:space="preserve"> klassifikation: Allergenekstrakt, græspollen, ATC-kode: V01AA02</w:t>
      </w:r>
      <w:r>
        <w:rPr>
          <w:sz w:val="24"/>
          <w:szCs w:val="24"/>
        </w:rPr>
        <w:t>.</w:t>
      </w:r>
    </w:p>
    <w:p w14:paraId="67E137B6" w14:textId="77777777" w:rsidR="00441AE6" w:rsidRPr="009D22BA" w:rsidRDefault="00441AE6" w:rsidP="00441AE6">
      <w:pPr>
        <w:suppressAutoHyphens/>
        <w:ind w:left="851"/>
        <w:rPr>
          <w:sz w:val="24"/>
          <w:szCs w:val="24"/>
        </w:rPr>
      </w:pPr>
    </w:p>
    <w:p w14:paraId="462323A6" w14:textId="77777777" w:rsidR="00441AE6" w:rsidRPr="009D22BA" w:rsidRDefault="00441AE6" w:rsidP="00441AE6">
      <w:pPr>
        <w:suppressAutoHyphens/>
        <w:ind w:left="851"/>
        <w:rPr>
          <w:bCs/>
          <w:sz w:val="24"/>
          <w:szCs w:val="24"/>
          <w:u w:val="single"/>
        </w:rPr>
      </w:pPr>
      <w:r w:rsidRPr="009D22BA">
        <w:rPr>
          <w:bCs/>
          <w:sz w:val="24"/>
          <w:szCs w:val="24"/>
          <w:u w:val="single"/>
        </w:rPr>
        <w:t xml:space="preserve">Virkningsmekanisme og </w:t>
      </w:r>
      <w:proofErr w:type="spellStart"/>
      <w:r w:rsidRPr="009D22BA">
        <w:rPr>
          <w:bCs/>
          <w:sz w:val="24"/>
          <w:szCs w:val="24"/>
          <w:u w:val="single"/>
        </w:rPr>
        <w:t>farmakodynamisk</w:t>
      </w:r>
      <w:proofErr w:type="spellEnd"/>
      <w:r w:rsidRPr="009D22BA">
        <w:rPr>
          <w:bCs/>
          <w:sz w:val="24"/>
          <w:szCs w:val="24"/>
          <w:u w:val="single"/>
        </w:rPr>
        <w:t xml:space="preserve"> virkning</w:t>
      </w:r>
    </w:p>
    <w:p w14:paraId="4D1B6BAC" w14:textId="77777777" w:rsidR="00441AE6" w:rsidRPr="009D22BA" w:rsidRDefault="00441AE6" w:rsidP="00441AE6">
      <w:pPr>
        <w:ind w:left="851" w:right="-159"/>
        <w:rPr>
          <w:sz w:val="24"/>
          <w:szCs w:val="24"/>
        </w:rPr>
      </w:pPr>
      <w:proofErr w:type="spellStart"/>
      <w:r w:rsidRPr="009D22BA">
        <w:rPr>
          <w:sz w:val="24"/>
          <w:szCs w:val="24"/>
        </w:rPr>
        <w:t>Aitgrys</w:t>
      </w:r>
      <w:proofErr w:type="spellEnd"/>
      <w:r w:rsidRPr="009D22BA">
        <w:rPr>
          <w:sz w:val="24"/>
          <w:szCs w:val="24"/>
        </w:rPr>
        <w:t xml:space="preserve"> anvendes til behandling af patienter med specifik </w:t>
      </w:r>
      <w:proofErr w:type="spellStart"/>
      <w:r w:rsidRPr="009D22BA">
        <w:rPr>
          <w:sz w:val="24"/>
          <w:szCs w:val="24"/>
        </w:rPr>
        <w:t>IgE</w:t>
      </w:r>
      <w:proofErr w:type="spellEnd"/>
      <w:r w:rsidRPr="009D22BA">
        <w:rPr>
          <w:sz w:val="24"/>
          <w:szCs w:val="24"/>
        </w:rPr>
        <w:t xml:space="preserve">-medierede allergisymptomer på allergisk </w:t>
      </w:r>
      <w:proofErr w:type="spellStart"/>
      <w:r w:rsidRPr="009D22BA">
        <w:rPr>
          <w:sz w:val="24"/>
          <w:szCs w:val="24"/>
        </w:rPr>
        <w:t>rhinitis</w:t>
      </w:r>
      <w:proofErr w:type="spellEnd"/>
      <w:r w:rsidRPr="009D22BA">
        <w:rPr>
          <w:sz w:val="24"/>
          <w:szCs w:val="24"/>
        </w:rPr>
        <w:t xml:space="preserve"> med eller uden </w:t>
      </w:r>
      <w:proofErr w:type="spellStart"/>
      <w:r w:rsidRPr="009D22BA">
        <w:rPr>
          <w:sz w:val="24"/>
          <w:szCs w:val="24"/>
        </w:rPr>
        <w:t>konjunktivitis</w:t>
      </w:r>
      <w:proofErr w:type="spellEnd"/>
      <w:r w:rsidRPr="009D22BA">
        <w:rPr>
          <w:sz w:val="24"/>
          <w:szCs w:val="24"/>
        </w:rPr>
        <w:t xml:space="preserve"> forårsaget af græspollen.</w:t>
      </w:r>
    </w:p>
    <w:p w14:paraId="2FFE938E" w14:textId="77777777" w:rsidR="00441AE6" w:rsidRPr="009D22BA" w:rsidRDefault="00441AE6" w:rsidP="00441AE6">
      <w:pPr>
        <w:ind w:left="851" w:right="-159"/>
        <w:rPr>
          <w:color w:val="000000"/>
          <w:sz w:val="24"/>
          <w:szCs w:val="24"/>
        </w:rPr>
      </w:pPr>
    </w:p>
    <w:p w14:paraId="546F81E8" w14:textId="77777777" w:rsidR="00441AE6" w:rsidRPr="009D22BA" w:rsidRDefault="00441AE6" w:rsidP="00441AE6">
      <w:pPr>
        <w:ind w:left="851" w:right="-159"/>
        <w:rPr>
          <w:sz w:val="24"/>
          <w:szCs w:val="24"/>
        </w:rPr>
      </w:pPr>
      <w:r w:rsidRPr="00A962A4">
        <w:rPr>
          <w:sz w:val="24"/>
          <w:szCs w:val="24"/>
          <w:lang w:val="nb-NO"/>
        </w:rPr>
        <w:t xml:space="preserve">Immunsystemet er målet for den farmakodynamiske effekt. </w:t>
      </w:r>
      <w:r w:rsidRPr="009D22BA">
        <w:rPr>
          <w:sz w:val="24"/>
          <w:szCs w:val="24"/>
        </w:rPr>
        <w:t xml:space="preserve">Hensigten er at inducere et immunrespons mod allergenet, som patienten behandles med. Den komplette og eksakte virkningsmekanisme, hvad angår den kliniske effekt af specifik immunterapi, er ikke fuldt klarlagt og dokumenteret. Det har vist sig, at behandling med </w:t>
      </w:r>
      <w:proofErr w:type="spellStart"/>
      <w:r w:rsidRPr="009D22BA">
        <w:rPr>
          <w:sz w:val="24"/>
          <w:szCs w:val="24"/>
        </w:rPr>
        <w:t>Aitgrys</w:t>
      </w:r>
      <w:proofErr w:type="spellEnd"/>
      <w:r w:rsidRPr="009D22BA">
        <w:rPr>
          <w:sz w:val="24"/>
          <w:szCs w:val="24"/>
        </w:rPr>
        <w:t xml:space="preserve"> inducerer et systemisk </w:t>
      </w:r>
      <w:proofErr w:type="spellStart"/>
      <w:r w:rsidRPr="009D22BA">
        <w:rPr>
          <w:sz w:val="24"/>
          <w:szCs w:val="24"/>
        </w:rPr>
        <w:t>kompetitivt</w:t>
      </w:r>
      <w:proofErr w:type="spellEnd"/>
      <w:r w:rsidRPr="009D22BA">
        <w:rPr>
          <w:sz w:val="24"/>
          <w:szCs w:val="24"/>
        </w:rPr>
        <w:t xml:space="preserve"> antistofrespons mod græs og inducerer en øgning i specifikt </w:t>
      </w:r>
      <w:proofErr w:type="spellStart"/>
      <w:r w:rsidRPr="009D22BA">
        <w:rPr>
          <w:sz w:val="24"/>
          <w:szCs w:val="24"/>
        </w:rPr>
        <w:t>IgG</w:t>
      </w:r>
      <w:proofErr w:type="spellEnd"/>
      <w:r w:rsidRPr="009D22BA">
        <w:rPr>
          <w:sz w:val="24"/>
          <w:szCs w:val="24"/>
        </w:rPr>
        <w:t>. Den kliniske signifikans af disse fund er ikke klarlagt.</w:t>
      </w:r>
    </w:p>
    <w:p w14:paraId="54D77A85" w14:textId="77777777" w:rsidR="00441AE6" w:rsidRPr="009D22BA" w:rsidRDefault="00441AE6" w:rsidP="00441AE6">
      <w:pPr>
        <w:tabs>
          <w:tab w:val="left" w:pos="851"/>
        </w:tabs>
        <w:ind w:left="851"/>
        <w:rPr>
          <w:sz w:val="24"/>
          <w:szCs w:val="24"/>
        </w:rPr>
      </w:pPr>
    </w:p>
    <w:p w14:paraId="698426F7" w14:textId="77777777" w:rsidR="00441AE6" w:rsidRPr="009D22BA" w:rsidRDefault="00441AE6" w:rsidP="00441AE6">
      <w:pPr>
        <w:suppressAutoHyphens/>
        <w:ind w:left="851"/>
        <w:rPr>
          <w:bCs/>
          <w:sz w:val="24"/>
          <w:szCs w:val="24"/>
          <w:u w:val="single"/>
        </w:rPr>
      </w:pPr>
      <w:r w:rsidRPr="009D22BA">
        <w:rPr>
          <w:bCs/>
          <w:sz w:val="24"/>
          <w:szCs w:val="24"/>
          <w:u w:val="single"/>
        </w:rPr>
        <w:t>Klinisk virkning og sikkerhed</w:t>
      </w:r>
    </w:p>
    <w:p w14:paraId="0DD7CC17" w14:textId="77777777" w:rsidR="00441AE6" w:rsidRPr="009D22BA" w:rsidRDefault="00441AE6" w:rsidP="00441AE6">
      <w:pPr>
        <w:suppressAutoHyphens/>
        <w:ind w:left="851"/>
        <w:rPr>
          <w:bCs/>
          <w:sz w:val="24"/>
          <w:szCs w:val="24"/>
          <w:u w:val="single"/>
        </w:rPr>
      </w:pPr>
    </w:p>
    <w:p w14:paraId="2ABD5996" w14:textId="77777777" w:rsidR="00441AE6" w:rsidRPr="0000279E" w:rsidRDefault="00441AE6" w:rsidP="00441AE6">
      <w:pPr>
        <w:ind w:left="851"/>
        <w:rPr>
          <w:i/>
          <w:sz w:val="24"/>
          <w:szCs w:val="24"/>
        </w:rPr>
      </w:pPr>
      <w:r w:rsidRPr="0000279E">
        <w:rPr>
          <w:i/>
          <w:sz w:val="24"/>
          <w:szCs w:val="24"/>
        </w:rPr>
        <w:t>Studie VO34.04</w:t>
      </w:r>
    </w:p>
    <w:p w14:paraId="3D22910E" w14:textId="77777777" w:rsidR="00441AE6" w:rsidRPr="009D22BA" w:rsidRDefault="00441AE6" w:rsidP="00441AE6">
      <w:pPr>
        <w:ind w:left="851"/>
        <w:rPr>
          <w:sz w:val="24"/>
          <w:szCs w:val="24"/>
        </w:rPr>
      </w:pPr>
      <w:r w:rsidRPr="009D22BA">
        <w:rPr>
          <w:sz w:val="24"/>
          <w:szCs w:val="24"/>
        </w:rPr>
        <w:t xml:space="preserve">Der er udført et europæisk, multinationalt, randomiseret, dobbeltblindt, placebokontrolleret multicenterstudie. I studiet deltog 628 voksne med græspollenudløst sæsonbestemt allergisk </w:t>
      </w:r>
      <w:proofErr w:type="spellStart"/>
      <w:r w:rsidRPr="009D22BA">
        <w:rPr>
          <w:sz w:val="24"/>
          <w:szCs w:val="24"/>
        </w:rPr>
        <w:t>rhinitis</w:t>
      </w:r>
      <w:proofErr w:type="spellEnd"/>
      <w:r w:rsidRPr="009D22BA">
        <w:rPr>
          <w:sz w:val="24"/>
          <w:szCs w:val="24"/>
        </w:rPr>
        <w:t xml:space="preserve"> og/eller </w:t>
      </w:r>
      <w:proofErr w:type="spellStart"/>
      <w:r w:rsidRPr="009D22BA">
        <w:rPr>
          <w:sz w:val="24"/>
          <w:szCs w:val="24"/>
        </w:rPr>
        <w:t>rhinokonjunktivitis</w:t>
      </w:r>
      <w:proofErr w:type="spellEnd"/>
      <w:r w:rsidRPr="009D22BA">
        <w:rPr>
          <w:sz w:val="24"/>
          <w:szCs w:val="24"/>
        </w:rPr>
        <w:t xml:space="preserve"> bekræftet via en positiv hudpriktest og/eller specifik </w:t>
      </w:r>
      <w:proofErr w:type="spellStart"/>
      <w:r w:rsidRPr="009D22BA">
        <w:rPr>
          <w:sz w:val="24"/>
          <w:szCs w:val="24"/>
        </w:rPr>
        <w:t>IgE</w:t>
      </w:r>
      <w:proofErr w:type="spellEnd"/>
      <w:r w:rsidRPr="009D22BA">
        <w:rPr>
          <w:sz w:val="24"/>
          <w:szCs w:val="24"/>
        </w:rPr>
        <w:t>-test over for græspollen.</w:t>
      </w:r>
    </w:p>
    <w:p w14:paraId="72239D73" w14:textId="77777777" w:rsidR="00441AE6" w:rsidRPr="009D22BA" w:rsidRDefault="00441AE6" w:rsidP="00441AE6">
      <w:pPr>
        <w:ind w:left="851"/>
        <w:rPr>
          <w:sz w:val="24"/>
          <w:szCs w:val="24"/>
        </w:rPr>
      </w:pPr>
    </w:p>
    <w:p w14:paraId="5B5C3D09" w14:textId="77777777" w:rsidR="00441AE6" w:rsidRPr="009D22BA" w:rsidRDefault="00441AE6" w:rsidP="00441AE6">
      <w:pPr>
        <w:ind w:left="851"/>
        <w:rPr>
          <w:sz w:val="24"/>
          <w:szCs w:val="24"/>
        </w:rPr>
      </w:pPr>
      <w:r w:rsidRPr="009D22BA">
        <w:rPr>
          <w:sz w:val="24"/>
          <w:szCs w:val="24"/>
        </w:rPr>
        <w:t xml:space="preserve">Patienterne blev randomiseret til 4 grupper: placebo (n=156), </w:t>
      </w:r>
      <w:proofErr w:type="spellStart"/>
      <w:r w:rsidRPr="009D22BA">
        <w:rPr>
          <w:sz w:val="24"/>
          <w:szCs w:val="24"/>
        </w:rPr>
        <w:t>Aitgrys</w:t>
      </w:r>
      <w:proofErr w:type="spellEnd"/>
      <w:r w:rsidRPr="009D22BA">
        <w:rPr>
          <w:sz w:val="24"/>
          <w:szCs w:val="24"/>
        </w:rPr>
        <w:t xml:space="preserve"> 100 RI/dag (n=157), </w:t>
      </w:r>
      <w:proofErr w:type="spellStart"/>
      <w:r w:rsidRPr="009D22BA">
        <w:rPr>
          <w:sz w:val="24"/>
          <w:szCs w:val="24"/>
        </w:rPr>
        <w:t>Aitgrys</w:t>
      </w:r>
      <w:proofErr w:type="spellEnd"/>
      <w:r w:rsidRPr="009D22BA">
        <w:rPr>
          <w:sz w:val="24"/>
          <w:szCs w:val="24"/>
        </w:rPr>
        <w:t xml:space="preserve"> 300 RI/dag (n= 155) og </w:t>
      </w:r>
      <w:proofErr w:type="spellStart"/>
      <w:r w:rsidRPr="009D22BA">
        <w:rPr>
          <w:sz w:val="24"/>
          <w:szCs w:val="24"/>
        </w:rPr>
        <w:t>Aitgrys</w:t>
      </w:r>
      <w:proofErr w:type="spellEnd"/>
      <w:r w:rsidRPr="009D22BA">
        <w:rPr>
          <w:sz w:val="24"/>
          <w:szCs w:val="24"/>
        </w:rPr>
        <w:t xml:space="preserve"> 500 RI/dag (n=160).</w:t>
      </w:r>
    </w:p>
    <w:p w14:paraId="7C9E70A3" w14:textId="77777777" w:rsidR="00441AE6" w:rsidRPr="009D22BA" w:rsidRDefault="00441AE6" w:rsidP="00441AE6">
      <w:pPr>
        <w:ind w:left="851"/>
        <w:rPr>
          <w:sz w:val="24"/>
          <w:szCs w:val="24"/>
        </w:rPr>
      </w:pPr>
    </w:p>
    <w:p w14:paraId="65540C68" w14:textId="77777777" w:rsidR="00441AE6" w:rsidRPr="009D22BA" w:rsidRDefault="00441AE6" w:rsidP="00441AE6">
      <w:pPr>
        <w:ind w:left="851"/>
        <w:rPr>
          <w:sz w:val="24"/>
          <w:szCs w:val="24"/>
        </w:rPr>
      </w:pPr>
      <w:r w:rsidRPr="009D22BA">
        <w:rPr>
          <w:sz w:val="24"/>
          <w:szCs w:val="24"/>
        </w:rPr>
        <w:t xml:space="preserve">Hver patient fik en </w:t>
      </w:r>
      <w:proofErr w:type="spellStart"/>
      <w:r w:rsidRPr="009D22BA">
        <w:rPr>
          <w:sz w:val="24"/>
          <w:szCs w:val="24"/>
        </w:rPr>
        <w:t>sublingual</w:t>
      </w:r>
      <w:proofErr w:type="spellEnd"/>
      <w:r w:rsidRPr="009D22BA">
        <w:rPr>
          <w:sz w:val="24"/>
          <w:szCs w:val="24"/>
        </w:rPr>
        <w:t xml:space="preserve"> dosis en gang daglig i ca. 4 måneder før begyndelsen på pollensæsonen og indtil pollensæsonen var slut. Analyse af resultaterne var baseret på 569 </w:t>
      </w:r>
      <w:proofErr w:type="spellStart"/>
      <w:r w:rsidRPr="009D22BA">
        <w:rPr>
          <w:sz w:val="24"/>
          <w:szCs w:val="24"/>
        </w:rPr>
        <w:t>vurderbare</w:t>
      </w:r>
      <w:proofErr w:type="spellEnd"/>
      <w:r w:rsidRPr="009D22BA">
        <w:rPr>
          <w:sz w:val="24"/>
          <w:szCs w:val="24"/>
        </w:rPr>
        <w:t xml:space="preserve"> patienter (placebo, n=148; </w:t>
      </w:r>
      <w:proofErr w:type="spellStart"/>
      <w:r w:rsidRPr="009D22BA">
        <w:rPr>
          <w:sz w:val="24"/>
          <w:szCs w:val="24"/>
        </w:rPr>
        <w:t>Aitgrys</w:t>
      </w:r>
      <w:proofErr w:type="spellEnd"/>
      <w:r w:rsidRPr="009D22BA">
        <w:rPr>
          <w:sz w:val="24"/>
          <w:szCs w:val="24"/>
        </w:rPr>
        <w:t xml:space="preserve"> 100 RI, n=142; </w:t>
      </w:r>
      <w:proofErr w:type="spellStart"/>
      <w:r w:rsidRPr="009D22BA">
        <w:rPr>
          <w:sz w:val="24"/>
          <w:szCs w:val="24"/>
        </w:rPr>
        <w:t>Aitgrys</w:t>
      </w:r>
      <w:proofErr w:type="spellEnd"/>
      <w:r w:rsidRPr="009D22BA">
        <w:rPr>
          <w:sz w:val="24"/>
          <w:szCs w:val="24"/>
        </w:rPr>
        <w:t xml:space="preserve"> 300 RI, n=136; </w:t>
      </w:r>
      <w:proofErr w:type="spellStart"/>
      <w:r w:rsidRPr="009D22BA">
        <w:rPr>
          <w:sz w:val="24"/>
          <w:szCs w:val="24"/>
        </w:rPr>
        <w:t>Aitgrys</w:t>
      </w:r>
      <w:proofErr w:type="spellEnd"/>
      <w:r w:rsidRPr="009D22BA">
        <w:rPr>
          <w:sz w:val="24"/>
          <w:szCs w:val="24"/>
        </w:rPr>
        <w:t xml:space="preserve"> 500 RI, n=143). Virkningen blev vurderet ifølge </w:t>
      </w:r>
      <w:proofErr w:type="spellStart"/>
      <w:r w:rsidRPr="009D22BA">
        <w:rPr>
          <w:i/>
          <w:iCs/>
          <w:sz w:val="24"/>
          <w:szCs w:val="24"/>
        </w:rPr>
        <w:t>Rhinoconjunctivitis</w:t>
      </w:r>
      <w:proofErr w:type="spellEnd"/>
      <w:r w:rsidRPr="009D22BA">
        <w:rPr>
          <w:i/>
          <w:iCs/>
          <w:sz w:val="24"/>
          <w:szCs w:val="24"/>
        </w:rPr>
        <w:t xml:space="preserve"> Total Symptom Score</w:t>
      </w:r>
      <w:r w:rsidRPr="009D22BA">
        <w:rPr>
          <w:sz w:val="24"/>
          <w:szCs w:val="24"/>
        </w:rPr>
        <w:t xml:space="preserve"> RTSS (se yderligere oplysninger nedenfor) i denne ene pollensæson.</w:t>
      </w:r>
    </w:p>
    <w:p w14:paraId="646CE0E6" w14:textId="77777777" w:rsidR="00441AE6" w:rsidRPr="009D22BA" w:rsidRDefault="00441AE6" w:rsidP="00441AE6">
      <w:pPr>
        <w:ind w:left="851"/>
        <w:rPr>
          <w:sz w:val="24"/>
          <w:szCs w:val="24"/>
        </w:rPr>
      </w:pPr>
    </w:p>
    <w:p w14:paraId="3FFCBFB5" w14:textId="77777777" w:rsidR="00441AE6" w:rsidRPr="009D22BA" w:rsidRDefault="00441AE6" w:rsidP="00441AE6">
      <w:pPr>
        <w:ind w:left="851"/>
        <w:rPr>
          <w:sz w:val="24"/>
          <w:szCs w:val="24"/>
        </w:rPr>
      </w:pPr>
      <w:r w:rsidRPr="009D22BA">
        <w:rPr>
          <w:sz w:val="24"/>
          <w:szCs w:val="24"/>
        </w:rPr>
        <w:t>Resultaterne fra dette studie viste en sammenlignelig virkning af 500 og 300 RI med sikkerhedsdata til fordel for 300 RI, hvilket resulterede i en anbefalet dosis på 300 RI pr. dag.</w:t>
      </w:r>
    </w:p>
    <w:p w14:paraId="5E5348A9" w14:textId="77777777" w:rsidR="00441AE6" w:rsidRPr="009D22BA" w:rsidRDefault="00441AE6" w:rsidP="00441AE6">
      <w:pPr>
        <w:ind w:left="851"/>
        <w:rPr>
          <w:sz w:val="24"/>
          <w:szCs w:val="24"/>
        </w:rPr>
      </w:pPr>
    </w:p>
    <w:p w14:paraId="3C17674B" w14:textId="77777777" w:rsidR="00441AE6" w:rsidRPr="009D22BA" w:rsidRDefault="00441AE6" w:rsidP="00441AE6">
      <w:pPr>
        <w:ind w:left="851"/>
        <w:rPr>
          <w:sz w:val="24"/>
          <w:szCs w:val="24"/>
        </w:rPr>
      </w:pPr>
      <w:r w:rsidRPr="009D22BA">
        <w:rPr>
          <w:sz w:val="24"/>
          <w:szCs w:val="24"/>
        </w:rPr>
        <w:t xml:space="preserve">Virkningen i gruppen, der fik 300 RI </w:t>
      </w:r>
      <w:r w:rsidRPr="009D22BA">
        <w:rPr>
          <w:i/>
          <w:iCs/>
          <w:sz w:val="24"/>
          <w:szCs w:val="24"/>
        </w:rPr>
        <w:t>versus</w:t>
      </w:r>
      <w:r w:rsidRPr="009D22BA">
        <w:rPr>
          <w:sz w:val="24"/>
          <w:szCs w:val="24"/>
        </w:rPr>
        <w:t xml:space="preserve"> virkningen i placebogruppen (antal forsøgspersoner i </w:t>
      </w:r>
      <w:r w:rsidRPr="009D22BA">
        <w:rPr>
          <w:i/>
          <w:iCs/>
          <w:sz w:val="24"/>
          <w:szCs w:val="24"/>
        </w:rPr>
        <w:t xml:space="preserve">Intent to </w:t>
      </w:r>
      <w:proofErr w:type="spellStart"/>
      <w:r w:rsidRPr="009D22BA">
        <w:rPr>
          <w:i/>
          <w:iCs/>
          <w:sz w:val="24"/>
          <w:szCs w:val="24"/>
        </w:rPr>
        <w:t>Treat</w:t>
      </w:r>
      <w:proofErr w:type="spellEnd"/>
      <w:r w:rsidRPr="009D22BA">
        <w:rPr>
          <w:sz w:val="24"/>
          <w:szCs w:val="24"/>
        </w:rPr>
        <w:t xml:space="preserve"> (ITT) populationen var henholdsvis 136 og 148) viste følgende resultater:</w:t>
      </w:r>
    </w:p>
    <w:p w14:paraId="68E2714D" w14:textId="77777777" w:rsidR="00441AE6" w:rsidRPr="009D22BA" w:rsidRDefault="00441AE6" w:rsidP="00441AE6">
      <w:pPr>
        <w:ind w:left="851"/>
        <w:rPr>
          <w:color w:val="000000"/>
          <w:sz w:val="24"/>
          <w:szCs w:val="24"/>
        </w:rPr>
      </w:pPr>
    </w:p>
    <w:p w14:paraId="522174A2" w14:textId="77777777" w:rsidR="00441AE6" w:rsidRPr="00403D9B" w:rsidRDefault="00441AE6" w:rsidP="00441AE6">
      <w:pPr>
        <w:ind w:left="851"/>
        <w:rPr>
          <w:i/>
          <w:color w:val="000000"/>
          <w:sz w:val="24"/>
          <w:szCs w:val="24"/>
        </w:rPr>
      </w:pPr>
      <w:r w:rsidRPr="00403D9B">
        <w:rPr>
          <w:i/>
          <w:color w:val="000000"/>
          <w:sz w:val="24"/>
          <w:szCs w:val="24"/>
        </w:rPr>
        <w:t>VO34.04 studiets virkningsresultater (i løbet af en pollensæson)</w:t>
      </w:r>
    </w:p>
    <w:p w14:paraId="688446A3" w14:textId="77777777" w:rsidR="00441AE6" w:rsidRPr="0000279E" w:rsidRDefault="00441AE6" w:rsidP="00441AE6">
      <w:pPr>
        <w:suppressAutoHyphens/>
        <w:ind w:left="851"/>
        <w:rPr>
          <w:bCs/>
          <w:sz w:val="24"/>
          <w:szCs w:val="24"/>
          <w:u w:val="single"/>
        </w:rPr>
      </w:pPr>
    </w:p>
    <w:p w14:paraId="3ADCCEC4" w14:textId="77777777" w:rsidR="001374A4" w:rsidRDefault="001374A4" w:rsidP="00441AE6">
      <w:pPr>
        <w:rPr>
          <w:b/>
          <w:sz w:val="24"/>
          <w:szCs w:val="24"/>
        </w:rPr>
      </w:pPr>
    </w:p>
    <w:p w14:paraId="286F0BC7" w14:textId="77777777" w:rsidR="001374A4" w:rsidRDefault="001374A4" w:rsidP="00441AE6">
      <w:pPr>
        <w:rPr>
          <w:b/>
          <w:sz w:val="24"/>
          <w:szCs w:val="24"/>
        </w:rPr>
      </w:pPr>
    </w:p>
    <w:p w14:paraId="3B77EAE8" w14:textId="77777777" w:rsidR="001374A4" w:rsidRDefault="001374A4" w:rsidP="00441AE6">
      <w:pPr>
        <w:rPr>
          <w:b/>
          <w:sz w:val="24"/>
          <w:szCs w:val="24"/>
        </w:rPr>
      </w:pPr>
    </w:p>
    <w:p w14:paraId="5C7E0E23" w14:textId="77777777" w:rsidR="001374A4" w:rsidRDefault="001374A4" w:rsidP="00441AE6">
      <w:pPr>
        <w:rPr>
          <w:b/>
          <w:sz w:val="24"/>
          <w:szCs w:val="24"/>
        </w:rPr>
      </w:pPr>
    </w:p>
    <w:p w14:paraId="3596C89C" w14:textId="027BA538" w:rsidR="00441AE6" w:rsidRPr="0000279E" w:rsidRDefault="00441AE6" w:rsidP="00441AE6">
      <w:pPr>
        <w:rPr>
          <w:b/>
          <w:sz w:val="24"/>
          <w:szCs w:val="24"/>
        </w:rPr>
      </w:pPr>
      <w:r w:rsidRPr="0000279E">
        <w:rPr>
          <w:b/>
          <w:sz w:val="24"/>
          <w:szCs w:val="24"/>
        </w:rPr>
        <w:lastRenderedPageBreak/>
        <w:t>Primære endepunkt</w:t>
      </w:r>
    </w:p>
    <w:p w14:paraId="749AEA00" w14:textId="77777777" w:rsidR="00441AE6" w:rsidRPr="0000279E" w:rsidRDefault="00441AE6" w:rsidP="00441AE6">
      <w:pPr>
        <w:suppressAutoHyphens/>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441AE6" w14:paraId="20C4F3B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6100053" w14:textId="77777777" w:rsidR="00441AE6" w:rsidRDefault="00441AE6" w:rsidP="00F76215">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5EE979F2" w14:textId="77777777" w:rsidR="00441AE6" w:rsidRPr="00F76215" w:rsidRDefault="00441AE6" w:rsidP="00F76215">
            <w:pPr>
              <w:jc w:val="both"/>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3DF81441" w14:textId="77777777" w:rsidR="00441AE6" w:rsidRPr="00F76215" w:rsidRDefault="00441AE6" w:rsidP="00F76215">
            <w:pPr>
              <w:jc w:val="both"/>
              <w:rPr>
                <w:b/>
                <w:szCs w:val="22"/>
                <w:lang w:val="sv-SE"/>
              </w:rPr>
            </w:pPr>
            <w:proofErr w:type="spellStart"/>
            <w:r w:rsidRPr="00F76215">
              <w:rPr>
                <w:b/>
                <w:szCs w:val="22"/>
                <w:lang w:val="sv-SE"/>
              </w:rPr>
              <w:t>Middel</w:t>
            </w:r>
            <w:proofErr w:type="spellEnd"/>
            <w:r w:rsidRPr="00F76215">
              <w:rPr>
                <w:b/>
                <w:szCs w:val="22"/>
                <w:lang w:val="sv-SE"/>
              </w:rPr>
              <w:t xml:space="preserve"> (SD)</w:t>
            </w:r>
          </w:p>
          <w:p w14:paraId="712DC532" w14:textId="77777777" w:rsidR="00441AE6" w:rsidRPr="00F76215" w:rsidRDefault="00441AE6" w:rsidP="00F76215">
            <w:pPr>
              <w:jc w:val="both"/>
              <w:rPr>
                <w:sz w:val="16"/>
                <w:szCs w:val="16"/>
                <w:lang w:val="sv-SE"/>
              </w:rPr>
            </w:pPr>
          </w:p>
          <w:p w14:paraId="03F3093A" w14:textId="77777777" w:rsidR="00441AE6" w:rsidRPr="00F76215" w:rsidRDefault="00441AE6" w:rsidP="00F76215">
            <w:pPr>
              <w:jc w:val="both"/>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1DB5A581" w14:textId="77777777" w:rsidR="00441AE6" w:rsidRDefault="00441AE6" w:rsidP="00F76215">
            <w:pPr>
              <w:jc w:val="both"/>
              <w:rPr>
                <w:b/>
                <w:szCs w:val="22"/>
                <w:lang w:val="en-GB"/>
              </w:rPr>
            </w:pPr>
            <w:r>
              <w:rPr>
                <w:b/>
                <w:szCs w:val="22"/>
                <w:lang w:val="en-GB"/>
              </w:rPr>
              <w:t>Placebo</w:t>
            </w:r>
          </w:p>
          <w:p w14:paraId="5C9AF883" w14:textId="77777777" w:rsidR="00441AE6" w:rsidRDefault="00441AE6" w:rsidP="00F76215">
            <w:pPr>
              <w:jc w:val="both"/>
              <w:rPr>
                <w:b/>
                <w:szCs w:val="22"/>
                <w:lang w:val="en-GB"/>
              </w:rPr>
            </w:pPr>
            <w:proofErr w:type="spellStart"/>
            <w:r>
              <w:rPr>
                <w:b/>
                <w:szCs w:val="22"/>
                <w:lang w:val="en-GB"/>
              </w:rPr>
              <w:t>Middel</w:t>
            </w:r>
            <w:proofErr w:type="spellEnd"/>
            <w:r>
              <w:rPr>
                <w:b/>
                <w:szCs w:val="22"/>
                <w:lang w:val="en-GB"/>
              </w:rPr>
              <w:t xml:space="preserve"> (SD)</w:t>
            </w:r>
          </w:p>
          <w:p w14:paraId="403CB1B3" w14:textId="77777777" w:rsidR="00441AE6" w:rsidRDefault="00441AE6" w:rsidP="00F76215">
            <w:pPr>
              <w:jc w:val="both"/>
              <w:rPr>
                <w:sz w:val="16"/>
                <w:szCs w:val="16"/>
                <w:lang w:val="en-GB"/>
              </w:rPr>
            </w:pPr>
          </w:p>
          <w:p w14:paraId="737A0062" w14:textId="77777777" w:rsidR="00441AE6" w:rsidRDefault="00441AE6" w:rsidP="00F76215">
            <w:pPr>
              <w:jc w:val="both"/>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6DA012" w14:textId="77777777" w:rsidR="00441AE6" w:rsidRPr="00B51BCA" w:rsidRDefault="00441AE6" w:rsidP="00F76215">
            <w:pPr>
              <w:rPr>
                <w:b/>
                <w:szCs w:val="22"/>
              </w:rPr>
            </w:pPr>
            <w:r w:rsidRPr="00B51BCA">
              <w:rPr>
                <w:b/>
                <w:szCs w:val="22"/>
              </w:rPr>
              <w:t>Absolut gennemsnitlig justeret forskel</w:t>
            </w:r>
          </w:p>
          <w:p w14:paraId="4AA29EBE" w14:textId="77777777" w:rsidR="00441AE6" w:rsidRPr="00B51BCA" w:rsidRDefault="00441AE6" w:rsidP="00F76215">
            <w:pPr>
              <w:rPr>
                <w:b/>
                <w:szCs w:val="22"/>
              </w:rPr>
            </w:pPr>
            <w:r w:rsidRPr="00B51BCA">
              <w:rPr>
                <w:b/>
                <w:szCs w:val="22"/>
              </w:rPr>
              <w:t xml:space="preserve"> [KI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B0AE72" w14:textId="77777777" w:rsidR="00441AE6" w:rsidRDefault="00441AE6" w:rsidP="00F76215">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42139EF" w14:textId="77777777" w:rsidR="00441AE6" w:rsidRDefault="00441AE6" w:rsidP="00F76215">
            <w:pPr>
              <w:jc w:val="both"/>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B85C98" w14:textId="77777777" w:rsidR="00441AE6" w:rsidRDefault="00441AE6" w:rsidP="00F76215">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339B0C24" w14:textId="77777777" w:rsidTr="00F7621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C735D5" w14:textId="77777777" w:rsidR="00441AE6" w:rsidRDefault="00441AE6" w:rsidP="00F76215">
            <w:pPr>
              <w:jc w:val="both"/>
              <w:rPr>
                <w:sz w:val="18"/>
                <w:szCs w:val="18"/>
                <w:lang w:val="en-GB"/>
              </w:rPr>
            </w:pPr>
            <w:proofErr w:type="spellStart"/>
            <w:r>
              <w:rPr>
                <w:sz w:val="18"/>
                <w:szCs w:val="18"/>
                <w:lang w:val="en-GB"/>
              </w:rPr>
              <w:t>Rhinokonjunktivitis</w:t>
            </w:r>
            <w:proofErr w:type="spellEnd"/>
          </w:p>
          <w:p w14:paraId="7B69119B" w14:textId="77777777" w:rsidR="00441AE6" w:rsidRDefault="00441AE6" w:rsidP="00F76215">
            <w:pPr>
              <w:jc w:val="both"/>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5505D" w14:textId="77777777" w:rsidR="00441AE6" w:rsidRDefault="00441AE6" w:rsidP="00F76215">
            <w:pPr>
              <w:jc w:val="both"/>
              <w:rPr>
                <w:sz w:val="18"/>
                <w:szCs w:val="18"/>
                <w:lang w:val="en-GB"/>
              </w:rPr>
            </w:pPr>
            <w:r>
              <w:rPr>
                <w:sz w:val="18"/>
                <w:szCs w:val="18"/>
                <w:lang w:val="en-GB"/>
              </w:rPr>
              <w:t>3,58 (2,98)</w:t>
            </w:r>
          </w:p>
          <w:p w14:paraId="7A78A65F" w14:textId="77777777" w:rsidR="00441AE6" w:rsidRDefault="00441AE6" w:rsidP="00F76215">
            <w:pPr>
              <w:jc w:val="both"/>
              <w:rPr>
                <w:i/>
                <w:sz w:val="18"/>
                <w:szCs w:val="18"/>
                <w:lang w:val="en-GB"/>
              </w:rPr>
            </w:pPr>
            <w:r>
              <w:rPr>
                <w:i/>
                <w:sz w:val="18"/>
                <w:szCs w:val="18"/>
                <w:lang w:val="en-GB"/>
              </w:rPr>
              <w:t>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37943" w14:textId="77777777" w:rsidR="00441AE6" w:rsidRDefault="00441AE6" w:rsidP="00F76215">
            <w:pPr>
              <w:jc w:val="both"/>
              <w:rPr>
                <w:sz w:val="18"/>
                <w:szCs w:val="18"/>
                <w:lang w:val="en-GB"/>
              </w:rPr>
            </w:pPr>
            <w:r>
              <w:rPr>
                <w:sz w:val="18"/>
                <w:szCs w:val="18"/>
                <w:lang w:val="en-GB"/>
              </w:rPr>
              <w:t>4,93 (3,23)</w:t>
            </w:r>
          </w:p>
          <w:p w14:paraId="119F9E70" w14:textId="77777777" w:rsidR="00441AE6" w:rsidRDefault="00441AE6" w:rsidP="00F76215">
            <w:pPr>
              <w:jc w:val="both"/>
              <w:rPr>
                <w:i/>
                <w:sz w:val="18"/>
                <w:szCs w:val="18"/>
                <w:lang w:val="en-GB"/>
              </w:rPr>
            </w:pPr>
            <w:r>
              <w:rPr>
                <w:i/>
                <w:sz w:val="18"/>
                <w:szCs w:val="18"/>
                <w:lang w:val="en-GB"/>
              </w:rPr>
              <w:t>4,62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F0C7" w14:textId="77777777" w:rsidR="00441AE6" w:rsidRDefault="00441AE6" w:rsidP="00F76215">
            <w:pPr>
              <w:jc w:val="both"/>
              <w:rPr>
                <w:sz w:val="18"/>
                <w:szCs w:val="18"/>
                <w:lang w:val="en-GB"/>
              </w:rPr>
            </w:pPr>
            <w:r>
              <w:rPr>
                <w:sz w:val="18"/>
                <w:szCs w:val="18"/>
                <w:lang w:val="en-GB"/>
              </w:rPr>
              <w:t>-1,39 [-2,09; -0,69]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AC936" w14:textId="77777777" w:rsidR="00441AE6" w:rsidRDefault="00441AE6" w:rsidP="00F76215">
            <w:pPr>
              <w:jc w:val="both"/>
              <w:rPr>
                <w:sz w:val="18"/>
                <w:szCs w:val="18"/>
                <w:lang w:val="en-GB"/>
              </w:rPr>
            </w:pPr>
            <w:r>
              <w:rPr>
                <w:sz w:val="18"/>
                <w:szCs w:val="18"/>
                <w:lang w:val="en-GB"/>
              </w:rPr>
              <w:t>27,3 %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606AE" w14:textId="77777777" w:rsidR="00441AE6" w:rsidRDefault="00441AE6" w:rsidP="00F76215">
            <w:pPr>
              <w:jc w:val="both"/>
              <w:rPr>
                <w:sz w:val="18"/>
                <w:szCs w:val="18"/>
                <w:lang w:val="en-GB"/>
              </w:rPr>
            </w:pPr>
            <w:r>
              <w:rPr>
                <w:sz w:val="18"/>
                <w:szCs w:val="18"/>
                <w:lang w:val="en-GB"/>
              </w:rPr>
              <w:t>0,0001</w:t>
            </w:r>
          </w:p>
        </w:tc>
      </w:tr>
    </w:tbl>
    <w:p w14:paraId="5E2D8D21" w14:textId="77777777" w:rsidR="00441AE6" w:rsidRDefault="00441AE6" w:rsidP="00441AE6">
      <w:pPr>
        <w:rPr>
          <w:sz w:val="16"/>
          <w:szCs w:val="16"/>
        </w:rPr>
      </w:pPr>
      <w:r>
        <w:rPr>
          <w:sz w:val="16"/>
          <w:szCs w:val="16"/>
        </w:rPr>
        <w:t>*Relativ gennemsnitlig forskel: Absolut forskel/Placebo</w:t>
      </w:r>
    </w:p>
    <w:p w14:paraId="148C12D8"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5CBB9281" w14:textId="77777777" w:rsidR="00441AE6" w:rsidRDefault="00441AE6" w:rsidP="00441AE6">
      <w:pPr>
        <w:rPr>
          <w:sz w:val="16"/>
          <w:szCs w:val="16"/>
        </w:rPr>
      </w:pPr>
      <w:r>
        <w:rPr>
          <w:sz w:val="16"/>
          <w:szCs w:val="16"/>
          <w:vertAlign w:val="superscript"/>
        </w:rPr>
        <w:t>A</w:t>
      </w:r>
      <w:r>
        <w:rPr>
          <w:sz w:val="16"/>
          <w:szCs w:val="16"/>
        </w:rPr>
        <w:t xml:space="preserve"> Symptomscore: Gennemsnitlig daglig samlet </w:t>
      </w:r>
      <w:proofErr w:type="spellStart"/>
      <w:r>
        <w:rPr>
          <w:sz w:val="16"/>
          <w:szCs w:val="16"/>
        </w:rPr>
        <w:t>rhinokonjunktivitis</w:t>
      </w:r>
      <w:proofErr w:type="spellEnd"/>
      <w:r>
        <w:rPr>
          <w:sz w:val="16"/>
          <w:szCs w:val="16"/>
        </w:rPr>
        <w:t xml:space="preserve">-symptomscore for hver patient i løbet af græspollensæsonen. </w:t>
      </w:r>
      <w:proofErr w:type="spellStart"/>
      <w:r>
        <w:rPr>
          <w:sz w:val="16"/>
          <w:szCs w:val="16"/>
        </w:rPr>
        <w:t>Rhinokonjunktivitis</w:t>
      </w:r>
      <w:proofErr w:type="spellEnd"/>
      <w:r>
        <w:rPr>
          <w:sz w:val="16"/>
          <w:szCs w:val="16"/>
        </w:rPr>
        <w:t xml:space="preserve"> symptomer omfattede </w:t>
      </w:r>
      <w:proofErr w:type="spellStart"/>
      <w:r>
        <w:rPr>
          <w:sz w:val="16"/>
          <w:szCs w:val="16"/>
        </w:rPr>
        <w:t>nysen</w:t>
      </w:r>
      <w:proofErr w:type="spellEnd"/>
      <w:r>
        <w:rPr>
          <w:sz w:val="16"/>
          <w:szCs w:val="16"/>
        </w:rPr>
        <w:t>, næseflåd, kløende næse, tilstopning af næsen, rindende øjne og kløende øjne (scoreinterval på 0-18,</w:t>
      </w:r>
      <w:r>
        <w:rPr>
          <w:b/>
          <w:bCs/>
          <w:sz w:val="16"/>
          <w:szCs w:val="16"/>
        </w:rPr>
        <w:t xml:space="preserve"> </w:t>
      </w:r>
      <w:r>
        <w:rPr>
          <w:sz w:val="16"/>
          <w:szCs w:val="16"/>
        </w:rPr>
        <w:t>den øverste værdi 18 er udtryk for et permanent meget alvorligt niveau af alle seks symptomer).</w:t>
      </w:r>
    </w:p>
    <w:p w14:paraId="22F034E2" w14:textId="77777777" w:rsidR="00441AE6" w:rsidRPr="0000279E" w:rsidRDefault="00441AE6" w:rsidP="00441AE6">
      <w:pPr>
        <w:rPr>
          <w:sz w:val="24"/>
          <w:szCs w:val="24"/>
        </w:rPr>
      </w:pPr>
    </w:p>
    <w:p w14:paraId="742989A8" w14:textId="77777777" w:rsidR="00441AE6" w:rsidRPr="0000279E" w:rsidRDefault="00441AE6" w:rsidP="00441AE6">
      <w:pPr>
        <w:rPr>
          <w:b/>
          <w:sz w:val="24"/>
          <w:szCs w:val="24"/>
        </w:rPr>
      </w:pPr>
      <w:r w:rsidRPr="0000279E">
        <w:rPr>
          <w:b/>
          <w:sz w:val="24"/>
          <w:szCs w:val="24"/>
        </w:rPr>
        <w:t>Sekundære endepunkter</w:t>
      </w:r>
    </w:p>
    <w:p w14:paraId="7892DDC6" w14:textId="77777777" w:rsidR="00441AE6" w:rsidRPr="0000279E" w:rsidRDefault="00441AE6" w:rsidP="00441AE6">
      <w:pPr>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07"/>
        <w:gridCol w:w="1272"/>
        <w:gridCol w:w="2180"/>
        <w:gridCol w:w="1584"/>
        <w:gridCol w:w="1173"/>
      </w:tblGrid>
      <w:tr w:rsidR="00441AE6" w14:paraId="1DEE7596" w14:textId="77777777" w:rsidTr="00F76215">
        <w:trPr>
          <w:jc w:val="center"/>
        </w:trPr>
        <w:tc>
          <w:tcPr>
            <w:tcW w:w="947" w:type="pct"/>
            <w:tcBorders>
              <w:top w:val="single" w:sz="4" w:space="0" w:color="000000"/>
              <w:left w:val="single" w:sz="4" w:space="0" w:color="000000"/>
              <w:bottom w:val="single" w:sz="4" w:space="0" w:color="000000"/>
              <w:right w:val="single" w:sz="4" w:space="0" w:color="000000"/>
            </w:tcBorders>
            <w:vAlign w:val="center"/>
            <w:hideMark/>
          </w:tcPr>
          <w:p w14:paraId="3552FCED" w14:textId="77777777" w:rsidR="00441AE6" w:rsidRDefault="00441AE6" w:rsidP="00F76215">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944" w:type="pct"/>
            <w:tcBorders>
              <w:top w:val="single" w:sz="4" w:space="0" w:color="000000"/>
              <w:left w:val="single" w:sz="4" w:space="0" w:color="000000"/>
              <w:bottom w:val="single" w:sz="4" w:space="0" w:color="000000"/>
              <w:right w:val="single" w:sz="4" w:space="0" w:color="000000"/>
            </w:tcBorders>
            <w:vAlign w:val="center"/>
          </w:tcPr>
          <w:p w14:paraId="4BBDDDA6" w14:textId="77777777" w:rsidR="00441AE6" w:rsidRPr="00F76215" w:rsidRDefault="00441AE6" w:rsidP="00F76215">
            <w:pPr>
              <w:jc w:val="both"/>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4DED0311" w14:textId="77777777" w:rsidR="00441AE6" w:rsidRPr="00F76215" w:rsidRDefault="00441AE6" w:rsidP="00F76215">
            <w:pPr>
              <w:jc w:val="both"/>
              <w:rPr>
                <w:b/>
                <w:szCs w:val="22"/>
                <w:lang w:val="sv-SE"/>
              </w:rPr>
            </w:pPr>
            <w:proofErr w:type="spellStart"/>
            <w:r w:rsidRPr="00F76215">
              <w:rPr>
                <w:b/>
                <w:szCs w:val="22"/>
                <w:lang w:val="sv-SE"/>
              </w:rPr>
              <w:t>Middel</w:t>
            </w:r>
            <w:proofErr w:type="spellEnd"/>
            <w:r w:rsidRPr="00F76215">
              <w:rPr>
                <w:b/>
                <w:szCs w:val="22"/>
                <w:lang w:val="sv-SE"/>
              </w:rPr>
              <w:t xml:space="preserve"> (SD)</w:t>
            </w:r>
          </w:p>
          <w:p w14:paraId="189B943F" w14:textId="77777777" w:rsidR="00441AE6" w:rsidRPr="00F76215" w:rsidRDefault="00441AE6" w:rsidP="00F76215">
            <w:pPr>
              <w:jc w:val="both"/>
              <w:rPr>
                <w:sz w:val="16"/>
                <w:szCs w:val="16"/>
                <w:lang w:val="sv-SE"/>
              </w:rPr>
            </w:pPr>
          </w:p>
          <w:p w14:paraId="2392EC09" w14:textId="77777777" w:rsidR="00441AE6" w:rsidRPr="00F76215" w:rsidRDefault="00441AE6" w:rsidP="00F76215">
            <w:pPr>
              <w:jc w:val="both"/>
              <w:rPr>
                <w:i/>
                <w:sz w:val="22"/>
                <w:szCs w:val="22"/>
                <w:lang w:val="sv-SE"/>
              </w:rPr>
            </w:pPr>
            <w:r w:rsidRPr="00F76215">
              <w:rPr>
                <w:i/>
                <w:szCs w:val="22"/>
                <w:lang w:val="sv-SE"/>
              </w:rPr>
              <w:t>Median</w:t>
            </w:r>
          </w:p>
        </w:tc>
        <w:tc>
          <w:tcPr>
            <w:tcW w:w="718" w:type="pct"/>
            <w:tcBorders>
              <w:top w:val="single" w:sz="4" w:space="0" w:color="000000"/>
              <w:left w:val="single" w:sz="4" w:space="0" w:color="000000"/>
              <w:bottom w:val="single" w:sz="4" w:space="0" w:color="000000"/>
              <w:right w:val="single" w:sz="4" w:space="0" w:color="000000"/>
            </w:tcBorders>
            <w:vAlign w:val="center"/>
          </w:tcPr>
          <w:p w14:paraId="5675E31E" w14:textId="77777777" w:rsidR="00441AE6" w:rsidRDefault="00441AE6" w:rsidP="00F76215">
            <w:pPr>
              <w:jc w:val="both"/>
              <w:rPr>
                <w:b/>
                <w:szCs w:val="22"/>
                <w:lang w:val="en-GB"/>
              </w:rPr>
            </w:pPr>
            <w:r>
              <w:rPr>
                <w:b/>
                <w:szCs w:val="22"/>
                <w:lang w:val="en-GB"/>
              </w:rPr>
              <w:t>Placebo</w:t>
            </w:r>
          </w:p>
          <w:p w14:paraId="0396EB8A" w14:textId="77777777" w:rsidR="00441AE6" w:rsidRDefault="00441AE6" w:rsidP="00F76215">
            <w:pPr>
              <w:jc w:val="both"/>
              <w:rPr>
                <w:b/>
                <w:szCs w:val="22"/>
                <w:lang w:val="en-GB"/>
              </w:rPr>
            </w:pPr>
            <w:proofErr w:type="spellStart"/>
            <w:r>
              <w:rPr>
                <w:b/>
                <w:szCs w:val="22"/>
                <w:lang w:val="en-GB"/>
              </w:rPr>
              <w:t>Middel</w:t>
            </w:r>
            <w:proofErr w:type="spellEnd"/>
            <w:r>
              <w:rPr>
                <w:b/>
                <w:szCs w:val="22"/>
                <w:lang w:val="en-GB"/>
              </w:rPr>
              <w:t xml:space="preserve"> (SD)</w:t>
            </w:r>
          </w:p>
          <w:p w14:paraId="4FD6C75A" w14:textId="77777777" w:rsidR="00441AE6" w:rsidRDefault="00441AE6" w:rsidP="00F76215">
            <w:pPr>
              <w:jc w:val="both"/>
              <w:rPr>
                <w:sz w:val="16"/>
                <w:szCs w:val="16"/>
                <w:lang w:val="en-GB"/>
              </w:rPr>
            </w:pPr>
          </w:p>
          <w:p w14:paraId="7DAAA6B3" w14:textId="77777777" w:rsidR="00441AE6" w:rsidRDefault="00441AE6" w:rsidP="00F76215">
            <w:pPr>
              <w:jc w:val="both"/>
              <w:rPr>
                <w:i/>
                <w:sz w:val="22"/>
                <w:szCs w:val="22"/>
                <w:lang w:val="en-GB"/>
              </w:rPr>
            </w:pPr>
            <w:r>
              <w:rPr>
                <w:i/>
                <w:szCs w:val="22"/>
                <w:lang w:val="en-GB"/>
              </w:rPr>
              <w:t>Median</w:t>
            </w:r>
          </w:p>
        </w:tc>
        <w:tc>
          <w:tcPr>
            <w:tcW w:w="1190" w:type="pct"/>
            <w:tcBorders>
              <w:top w:val="single" w:sz="4" w:space="0" w:color="000000"/>
              <w:left w:val="single" w:sz="4" w:space="0" w:color="000000"/>
              <w:bottom w:val="single" w:sz="4" w:space="0" w:color="000000"/>
              <w:right w:val="single" w:sz="4" w:space="0" w:color="000000"/>
            </w:tcBorders>
            <w:vAlign w:val="center"/>
            <w:hideMark/>
          </w:tcPr>
          <w:p w14:paraId="16CA2D85" w14:textId="77777777" w:rsidR="00441AE6" w:rsidRPr="00B51BCA" w:rsidRDefault="00441AE6" w:rsidP="00F76215">
            <w:pPr>
              <w:jc w:val="both"/>
              <w:rPr>
                <w:b/>
                <w:szCs w:val="22"/>
              </w:rPr>
            </w:pPr>
            <w:r w:rsidRPr="00B51BCA">
              <w:rPr>
                <w:b/>
                <w:szCs w:val="22"/>
              </w:rPr>
              <w:t xml:space="preserve">Absolut gennemsnitlig justeret forskel [KI </w:t>
            </w:r>
            <w:r w:rsidRPr="00B51BCA">
              <w:rPr>
                <w:b/>
                <w:szCs w:val="22"/>
                <w:vertAlign w:val="subscript"/>
              </w:rPr>
              <w:t>95%</w:t>
            </w:r>
            <w:r w:rsidRPr="00B51BCA">
              <w:rPr>
                <w:b/>
                <w:szCs w:val="22"/>
              </w:rPr>
              <w:t>]</w:t>
            </w:r>
          </w:p>
        </w:tc>
        <w:tc>
          <w:tcPr>
            <w:tcW w:w="534" w:type="pct"/>
            <w:tcBorders>
              <w:top w:val="single" w:sz="4" w:space="0" w:color="000000"/>
              <w:left w:val="single" w:sz="4" w:space="0" w:color="000000"/>
              <w:bottom w:val="single" w:sz="4" w:space="0" w:color="000000"/>
              <w:right w:val="single" w:sz="4" w:space="0" w:color="000000"/>
            </w:tcBorders>
            <w:vAlign w:val="center"/>
            <w:hideMark/>
          </w:tcPr>
          <w:p w14:paraId="654110F8" w14:textId="77777777" w:rsidR="00441AE6" w:rsidRDefault="00441AE6" w:rsidP="00F76215">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0C34E924" w14:textId="77777777" w:rsidR="00441AE6" w:rsidRDefault="00441AE6" w:rsidP="00F76215">
            <w:pPr>
              <w:jc w:val="both"/>
              <w:rPr>
                <w:b/>
                <w:szCs w:val="22"/>
                <w:lang w:val="en-GB"/>
              </w:rPr>
            </w:pPr>
            <w:r>
              <w:rPr>
                <w:b/>
                <w:szCs w:val="22"/>
                <w:lang w:val="en-GB"/>
              </w:rPr>
              <w:t>%</w:t>
            </w: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64E0C4E5" w14:textId="77777777" w:rsidR="00441AE6" w:rsidRDefault="00441AE6" w:rsidP="00F76215">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20B6E6AF" w14:textId="77777777" w:rsidTr="00F76215">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6021C0A6" w14:textId="77777777" w:rsidR="00441AE6" w:rsidRDefault="00441AE6" w:rsidP="00F76215">
            <w:pP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proofErr w:type="spellEnd"/>
            <w:r>
              <w:rPr>
                <w:sz w:val="18"/>
                <w:szCs w:val="18"/>
                <w:lang w:val="en-GB"/>
              </w:rPr>
              <w:t xml:space="preserve"> </w:t>
            </w:r>
            <w:r>
              <w:rPr>
                <w:sz w:val="18"/>
                <w:szCs w:val="18"/>
                <w:vertAlign w:val="superscript"/>
                <w:lang w:val="en-GB"/>
              </w:rPr>
              <w:t>B</w:t>
            </w:r>
          </w:p>
        </w:tc>
        <w:tc>
          <w:tcPr>
            <w:tcW w:w="944" w:type="pct"/>
            <w:tcBorders>
              <w:top w:val="single" w:sz="4" w:space="0" w:color="auto"/>
              <w:left w:val="single" w:sz="4" w:space="0" w:color="auto"/>
              <w:bottom w:val="single" w:sz="4" w:space="0" w:color="auto"/>
              <w:right w:val="single" w:sz="4" w:space="0" w:color="auto"/>
            </w:tcBorders>
            <w:vAlign w:val="center"/>
            <w:hideMark/>
          </w:tcPr>
          <w:p w14:paraId="09E89340" w14:textId="77777777" w:rsidR="00441AE6" w:rsidRDefault="00441AE6" w:rsidP="00F76215">
            <w:pPr>
              <w:jc w:val="both"/>
              <w:rPr>
                <w:sz w:val="18"/>
                <w:szCs w:val="18"/>
                <w:lang w:val="en-GB"/>
              </w:rPr>
            </w:pPr>
            <w:r>
              <w:rPr>
                <w:sz w:val="18"/>
                <w:szCs w:val="18"/>
                <w:lang w:val="en-GB"/>
              </w:rPr>
              <w:t>19,7 % (24,8)</w:t>
            </w:r>
          </w:p>
          <w:p w14:paraId="3A65A3CA" w14:textId="77777777" w:rsidR="00441AE6" w:rsidRDefault="00441AE6" w:rsidP="00F76215">
            <w:pPr>
              <w:jc w:val="both"/>
              <w:rPr>
                <w:i/>
                <w:sz w:val="18"/>
                <w:szCs w:val="18"/>
                <w:lang w:val="en-GB"/>
              </w:rPr>
            </w:pPr>
            <w:r>
              <w:rPr>
                <w:i/>
                <w:sz w:val="18"/>
                <w:szCs w:val="18"/>
                <w:lang w:val="en-GB"/>
              </w:rPr>
              <w:t>10,6 %</w:t>
            </w:r>
          </w:p>
        </w:tc>
        <w:tc>
          <w:tcPr>
            <w:tcW w:w="718" w:type="pct"/>
            <w:tcBorders>
              <w:top w:val="single" w:sz="4" w:space="0" w:color="auto"/>
              <w:left w:val="single" w:sz="4" w:space="0" w:color="auto"/>
              <w:bottom w:val="single" w:sz="4" w:space="0" w:color="auto"/>
              <w:right w:val="single" w:sz="4" w:space="0" w:color="auto"/>
            </w:tcBorders>
            <w:vAlign w:val="center"/>
            <w:hideMark/>
          </w:tcPr>
          <w:p w14:paraId="6849564B" w14:textId="77777777" w:rsidR="00441AE6" w:rsidRDefault="00441AE6" w:rsidP="00F76215">
            <w:pPr>
              <w:jc w:val="both"/>
              <w:rPr>
                <w:sz w:val="18"/>
                <w:szCs w:val="18"/>
                <w:lang w:val="en-GB"/>
              </w:rPr>
            </w:pPr>
            <w:r>
              <w:rPr>
                <w:sz w:val="18"/>
                <w:szCs w:val="18"/>
                <w:lang w:val="en-GB"/>
              </w:rPr>
              <w:t>27,9 % (29,3)</w:t>
            </w:r>
          </w:p>
          <w:p w14:paraId="60807A3F" w14:textId="77777777" w:rsidR="00441AE6" w:rsidRDefault="00441AE6" w:rsidP="00F76215">
            <w:pPr>
              <w:jc w:val="both"/>
              <w:rPr>
                <w:i/>
                <w:sz w:val="18"/>
                <w:szCs w:val="18"/>
                <w:lang w:val="en-GB"/>
              </w:rPr>
            </w:pPr>
            <w:r>
              <w:rPr>
                <w:i/>
                <w:sz w:val="18"/>
                <w:szCs w:val="18"/>
                <w:lang w:val="en-GB"/>
              </w:rPr>
              <w:t>19,7 %</w:t>
            </w:r>
          </w:p>
        </w:tc>
        <w:tc>
          <w:tcPr>
            <w:tcW w:w="1190" w:type="pct"/>
            <w:tcBorders>
              <w:top w:val="single" w:sz="4" w:space="0" w:color="auto"/>
              <w:left w:val="single" w:sz="4" w:space="0" w:color="auto"/>
              <w:bottom w:val="single" w:sz="4" w:space="0" w:color="auto"/>
              <w:right w:val="single" w:sz="4" w:space="0" w:color="auto"/>
            </w:tcBorders>
            <w:vAlign w:val="center"/>
            <w:hideMark/>
          </w:tcPr>
          <w:p w14:paraId="3BDEBE85" w14:textId="77777777" w:rsidR="00441AE6" w:rsidRDefault="00441AE6" w:rsidP="00F76215">
            <w:pPr>
              <w:jc w:val="both"/>
              <w:rPr>
                <w:sz w:val="18"/>
                <w:szCs w:val="18"/>
                <w:lang w:val="en-GB"/>
              </w:rPr>
            </w:pPr>
            <w:r>
              <w:rPr>
                <w:sz w:val="18"/>
                <w:szCs w:val="18"/>
                <w:lang w:val="en-GB"/>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6B3FC2EA" w14:textId="77777777" w:rsidR="00441AE6" w:rsidRDefault="00441AE6" w:rsidP="00F76215">
            <w:pPr>
              <w:jc w:val="both"/>
              <w:rPr>
                <w:sz w:val="18"/>
                <w:szCs w:val="18"/>
                <w:lang w:val="en-GB"/>
              </w:rPr>
            </w:pPr>
            <w:r>
              <w:rPr>
                <w:sz w:val="18"/>
                <w:szCs w:val="18"/>
                <w:lang w:val="en-GB"/>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0825799B" w14:textId="77777777" w:rsidR="00441AE6" w:rsidRDefault="00441AE6" w:rsidP="00F76215">
            <w:pPr>
              <w:jc w:val="both"/>
              <w:rPr>
                <w:sz w:val="18"/>
                <w:szCs w:val="18"/>
                <w:lang w:val="en-GB"/>
              </w:rPr>
            </w:pPr>
            <w:r>
              <w:rPr>
                <w:sz w:val="18"/>
                <w:szCs w:val="18"/>
                <w:lang w:val="en-GB"/>
              </w:rPr>
              <w:t>-</w:t>
            </w:r>
          </w:p>
        </w:tc>
      </w:tr>
      <w:tr w:rsidR="00441AE6" w14:paraId="1D1AF18B" w14:textId="77777777" w:rsidTr="00F76215">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23BC83F8" w14:textId="77777777" w:rsidR="00441AE6" w:rsidRDefault="00441AE6" w:rsidP="00F76215">
            <w:pPr>
              <w:rPr>
                <w:sz w:val="18"/>
                <w:szCs w:val="18"/>
                <w:lang w:val="en-GB"/>
              </w:rPr>
            </w:pPr>
            <w:r>
              <w:rPr>
                <w:sz w:val="18"/>
                <w:szCs w:val="18"/>
                <w:lang w:val="en-GB"/>
              </w:rPr>
              <w:t xml:space="preserve">Score for </w:t>
            </w:r>
            <w:proofErr w:type="spellStart"/>
            <w:r>
              <w:rPr>
                <w:sz w:val="18"/>
                <w:szCs w:val="18"/>
                <w:lang w:val="en-GB"/>
              </w:rPr>
              <w:t>livskvalitet</w:t>
            </w:r>
            <w:proofErr w:type="spellEnd"/>
            <w:r>
              <w:rPr>
                <w:sz w:val="18"/>
                <w:szCs w:val="18"/>
                <w:lang w:val="en-GB"/>
              </w:rPr>
              <w:t xml:space="preserve"> </w:t>
            </w:r>
            <w:r>
              <w:rPr>
                <w:sz w:val="18"/>
                <w:szCs w:val="18"/>
                <w:vertAlign w:val="superscript"/>
                <w:lang w:val="en-GB"/>
              </w:rPr>
              <w:t>C</w:t>
            </w:r>
          </w:p>
        </w:tc>
        <w:tc>
          <w:tcPr>
            <w:tcW w:w="944" w:type="pct"/>
            <w:tcBorders>
              <w:top w:val="single" w:sz="4" w:space="0" w:color="auto"/>
              <w:left w:val="single" w:sz="4" w:space="0" w:color="auto"/>
              <w:bottom w:val="single" w:sz="4" w:space="0" w:color="auto"/>
              <w:right w:val="single" w:sz="4" w:space="0" w:color="auto"/>
            </w:tcBorders>
            <w:vAlign w:val="center"/>
            <w:hideMark/>
          </w:tcPr>
          <w:p w14:paraId="121F8402" w14:textId="77777777" w:rsidR="00441AE6" w:rsidRDefault="00441AE6" w:rsidP="00F76215">
            <w:pPr>
              <w:jc w:val="both"/>
              <w:rPr>
                <w:sz w:val="18"/>
                <w:szCs w:val="18"/>
                <w:lang w:val="en-GB"/>
              </w:rPr>
            </w:pPr>
            <w:r>
              <w:rPr>
                <w:sz w:val="18"/>
                <w:szCs w:val="18"/>
                <w:lang w:val="en-GB"/>
              </w:rPr>
              <w:t>1,08 (0,96)</w:t>
            </w:r>
          </w:p>
          <w:p w14:paraId="5E17FC11" w14:textId="77777777" w:rsidR="00441AE6" w:rsidRDefault="00441AE6" w:rsidP="00F76215">
            <w:pPr>
              <w:jc w:val="both"/>
              <w:rPr>
                <w:sz w:val="18"/>
                <w:szCs w:val="18"/>
                <w:lang w:val="en-GB"/>
              </w:rPr>
            </w:pPr>
            <w:r>
              <w:rPr>
                <w:i/>
                <w:sz w:val="18"/>
                <w:szCs w:val="18"/>
                <w:lang w:val="en-GB"/>
              </w:rPr>
              <w:t>0,89</w:t>
            </w:r>
          </w:p>
        </w:tc>
        <w:tc>
          <w:tcPr>
            <w:tcW w:w="718" w:type="pct"/>
            <w:tcBorders>
              <w:top w:val="single" w:sz="4" w:space="0" w:color="auto"/>
              <w:left w:val="single" w:sz="4" w:space="0" w:color="auto"/>
              <w:bottom w:val="single" w:sz="4" w:space="0" w:color="auto"/>
              <w:right w:val="single" w:sz="4" w:space="0" w:color="auto"/>
            </w:tcBorders>
            <w:vAlign w:val="center"/>
            <w:hideMark/>
          </w:tcPr>
          <w:p w14:paraId="592E12FB" w14:textId="77777777" w:rsidR="00441AE6" w:rsidRDefault="00441AE6" w:rsidP="00F76215">
            <w:pPr>
              <w:jc w:val="both"/>
              <w:rPr>
                <w:sz w:val="18"/>
                <w:szCs w:val="18"/>
                <w:lang w:val="en-GB"/>
              </w:rPr>
            </w:pPr>
            <w:r>
              <w:rPr>
                <w:sz w:val="18"/>
                <w:szCs w:val="18"/>
                <w:lang w:val="en-GB"/>
              </w:rPr>
              <w:t>1,37 (1,01)</w:t>
            </w:r>
          </w:p>
          <w:p w14:paraId="579B1C38" w14:textId="77777777" w:rsidR="00441AE6" w:rsidRDefault="00441AE6" w:rsidP="00F76215">
            <w:pPr>
              <w:jc w:val="both"/>
              <w:rPr>
                <w:sz w:val="18"/>
                <w:szCs w:val="18"/>
                <w:lang w:val="en-GB"/>
              </w:rPr>
            </w:pPr>
            <w:r>
              <w:rPr>
                <w:i/>
                <w:sz w:val="18"/>
                <w:szCs w:val="18"/>
                <w:lang w:val="en-GB"/>
              </w:rPr>
              <w:t>1,20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749685E7" w14:textId="77777777" w:rsidR="00441AE6" w:rsidRDefault="00441AE6" w:rsidP="00F76215">
            <w:pPr>
              <w:jc w:val="both"/>
              <w:rPr>
                <w:sz w:val="18"/>
                <w:szCs w:val="18"/>
                <w:lang w:val="en-GB"/>
              </w:rPr>
            </w:pPr>
            <w:r>
              <w:rPr>
                <w:sz w:val="18"/>
                <w:szCs w:val="18"/>
                <w:lang w:val="en-GB"/>
              </w:rPr>
              <w:t>-0,25 [-0,47; -0,04]</w:t>
            </w:r>
          </w:p>
        </w:tc>
        <w:tc>
          <w:tcPr>
            <w:tcW w:w="534" w:type="pct"/>
            <w:tcBorders>
              <w:top w:val="single" w:sz="4" w:space="0" w:color="auto"/>
              <w:left w:val="single" w:sz="4" w:space="0" w:color="auto"/>
              <w:bottom w:val="single" w:sz="4" w:space="0" w:color="auto"/>
              <w:right w:val="single" w:sz="4" w:space="0" w:color="auto"/>
            </w:tcBorders>
            <w:vAlign w:val="center"/>
            <w:hideMark/>
          </w:tcPr>
          <w:p w14:paraId="4D9BEEE5" w14:textId="77777777" w:rsidR="00441AE6" w:rsidRDefault="00441AE6" w:rsidP="00F76215">
            <w:pPr>
              <w:jc w:val="both"/>
              <w:rPr>
                <w:sz w:val="18"/>
                <w:szCs w:val="18"/>
                <w:lang w:val="en-GB"/>
              </w:rPr>
            </w:pPr>
            <w:r>
              <w:rPr>
                <w:sz w:val="18"/>
                <w:szCs w:val="18"/>
                <w:lang w:val="en-GB"/>
              </w:rPr>
              <w:t>21,1 %</w:t>
            </w:r>
          </w:p>
        </w:tc>
        <w:tc>
          <w:tcPr>
            <w:tcW w:w="668" w:type="pct"/>
            <w:tcBorders>
              <w:top w:val="single" w:sz="4" w:space="0" w:color="auto"/>
              <w:left w:val="single" w:sz="4" w:space="0" w:color="auto"/>
              <w:bottom w:val="single" w:sz="4" w:space="0" w:color="auto"/>
              <w:right w:val="single" w:sz="4" w:space="0" w:color="auto"/>
            </w:tcBorders>
            <w:vAlign w:val="center"/>
            <w:hideMark/>
          </w:tcPr>
          <w:p w14:paraId="7228AA52" w14:textId="77777777" w:rsidR="00441AE6" w:rsidRDefault="00441AE6" w:rsidP="00F76215">
            <w:pPr>
              <w:jc w:val="both"/>
              <w:rPr>
                <w:sz w:val="18"/>
                <w:szCs w:val="18"/>
                <w:highlight w:val="yellow"/>
                <w:lang w:val="en-GB"/>
              </w:rPr>
            </w:pPr>
            <w:r>
              <w:rPr>
                <w:sz w:val="18"/>
                <w:szCs w:val="18"/>
                <w:lang w:val="en-GB"/>
              </w:rPr>
              <w:t>0,0199</w:t>
            </w:r>
          </w:p>
        </w:tc>
      </w:tr>
    </w:tbl>
    <w:p w14:paraId="2DB12EC0" w14:textId="77777777" w:rsidR="00441AE6" w:rsidRDefault="00441AE6" w:rsidP="00441AE6">
      <w:pPr>
        <w:rPr>
          <w:sz w:val="16"/>
          <w:szCs w:val="16"/>
        </w:rPr>
      </w:pPr>
      <w:r>
        <w:rPr>
          <w:sz w:val="16"/>
          <w:szCs w:val="16"/>
        </w:rPr>
        <w:t>* Relativ gennemsnitlig forskel: Absolut forskel/Placebo</w:t>
      </w:r>
    </w:p>
    <w:p w14:paraId="015B39A5"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23BF23C5" w14:textId="77777777" w:rsidR="00441AE6" w:rsidRDefault="00441AE6" w:rsidP="00441AE6">
      <w:pPr>
        <w:rPr>
          <w:sz w:val="16"/>
          <w:szCs w:val="16"/>
        </w:rPr>
      </w:pPr>
      <w:r>
        <w:rPr>
          <w:sz w:val="16"/>
          <w:szCs w:val="16"/>
          <w:vertAlign w:val="superscript"/>
        </w:rPr>
        <w:t>B</w:t>
      </w:r>
      <w:r>
        <w:rPr>
          <w:sz w:val="16"/>
          <w:szCs w:val="16"/>
        </w:rPr>
        <w:t xml:space="preserve"> Brug af nødmedicin: Procentdel af dage pr. patient med mindst en gang brug af nødmedicin, </w:t>
      </w:r>
      <w:proofErr w:type="spellStart"/>
      <w:r>
        <w:rPr>
          <w:sz w:val="16"/>
          <w:szCs w:val="16"/>
        </w:rPr>
        <w:t>p-værdi</w:t>
      </w:r>
      <w:proofErr w:type="spellEnd"/>
      <w:r>
        <w:rPr>
          <w:sz w:val="16"/>
          <w:szCs w:val="16"/>
        </w:rPr>
        <w:t xml:space="preserve"> 0,0194 NS (</w:t>
      </w:r>
      <w:proofErr w:type="spellStart"/>
      <w:r>
        <w:rPr>
          <w:sz w:val="16"/>
          <w:szCs w:val="16"/>
        </w:rPr>
        <w:t>Wilcoxon</w:t>
      </w:r>
      <w:proofErr w:type="spellEnd"/>
      <w:r>
        <w:rPr>
          <w:sz w:val="16"/>
          <w:szCs w:val="16"/>
        </w:rPr>
        <w:t xml:space="preserve">). </w:t>
      </w:r>
    </w:p>
    <w:p w14:paraId="76CBF237" w14:textId="77777777" w:rsidR="00441AE6" w:rsidRDefault="00441AE6" w:rsidP="00441AE6">
      <w:pPr>
        <w:rPr>
          <w:sz w:val="16"/>
          <w:szCs w:val="16"/>
        </w:rPr>
      </w:pPr>
      <w:r>
        <w:rPr>
          <w:sz w:val="16"/>
          <w:szCs w:val="16"/>
          <w:vertAlign w:val="superscript"/>
        </w:rPr>
        <w:t>C</w:t>
      </w:r>
      <w:r>
        <w:rPr>
          <w:sz w:val="16"/>
          <w:szCs w:val="16"/>
        </w:rPr>
        <w:t xml:space="preserve"> Livskvalitet blev vurderet mens pollensæsonen var på sit højeste ved hjælp af spørgeskemaet </w:t>
      </w:r>
      <w:proofErr w:type="spellStart"/>
      <w:r>
        <w:rPr>
          <w:i/>
          <w:iCs/>
          <w:sz w:val="16"/>
          <w:szCs w:val="16"/>
        </w:rPr>
        <w:t>Rhinoconjunctivitis</w:t>
      </w:r>
      <w:proofErr w:type="spellEnd"/>
      <w:r>
        <w:rPr>
          <w:i/>
          <w:iCs/>
          <w:sz w:val="16"/>
          <w:szCs w:val="16"/>
        </w:rPr>
        <w:t xml:space="preserve"> </w:t>
      </w:r>
      <w:proofErr w:type="spellStart"/>
      <w:r>
        <w:rPr>
          <w:i/>
          <w:iCs/>
          <w:sz w:val="16"/>
          <w:szCs w:val="16"/>
        </w:rPr>
        <w:t>Quality</w:t>
      </w:r>
      <w:proofErr w:type="spellEnd"/>
      <w:r>
        <w:rPr>
          <w:i/>
          <w:iCs/>
          <w:sz w:val="16"/>
          <w:szCs w:val="16"/>
        </w:rPr>
        <w:t xml:space="preserve"> of Life </w:t>
      </w:r>
      <w:proofErr w:type="spellStart"/>
      <w:r>
        <w:rPr>
          <w:i/>
          <w:iCs/>
          <w:sz w:val="16"/>
          <w:szCs w:val="16"/>
        </w:rPr>
        <w:t>Questionnaire</w:t>
      </w:r>
      <w:proofErr w:type="spellEnd"/>
      <w:r>
        <w:rPr>
          <w:i/>
          <w:iCs/>
          <w:sz w:val="16"/>
          <w:szCs w:val="16"/>
        </w:rPr>
        <w:t xml:space="preserve"> RQLQ</w:t>
      </w:r>
      <w:r>
        <w:rPr>
          <w:sz w:val="16"/>
          <w:szCs w:val="16"/>
        </w:rPr>
        <w:t xml:space="preserve"> (scoreinterval på 0</w:t>
      </w:r>
      <w:r>
        <w:rPr>
          <w:bCs/>
          <w:sz w:val="16"/>
          <w:szCs w:val="16"/>
        </w:rPr>
        <w:t>-7,</w:t>
      </w:r>
      <w:r>
        <w:rPr>
          <w:b/>
          <w:bCs/>
          <w:sz w:val="16"/>
          <w:szCs w:val="16"/>
        </w:rPr>
        <w:t xml:space="preserve"> </w:t>
      </w:r>
      <w:r>
        <w:rPr>
          <w:sz w:val="16"/>
          <w:szCs w:val="16"/>
        </w:rPr>
        <w:t>en høj score er udtryk for</w:t>
      </w:r>
      <w:r>
        <w:rPr>
          <w:b/>
          <w:bCs/>
          <w:sz w:val="16"/>
          <w:szCs w:val="16"/>
        </w:rPr>
        <w:t xml:space="preserve"> </w:t>
      </w:r>
      <w:r>
        <w:rPr>
          <w:sz w:val="16"/>
          <w:szCs w:val="16"/>
        </w:rPr>
        <w:t>en dårlig livskvalitet).</w:t>
      </w:r>
    </w:p>
    <w:p w14:paraId="09180F6C" w14:textId="77777777" w:rsidR="00441AE6" w:rsidRPr="0000279E" w:rsidRDefault="00441AE6" w:rsidP="00441AE6">
      <w:pPr>
        <w:ind w:left="851"/>
        <w:rPr>
          <w:sz w:val="24"/>
          <w:szCs w:val="24"/>
        </w:rPr>
      </w:pPr>
    </w:p>
    <w:p w14:paraId="54677DEA" w14:textId="77777777" w:rsidR="001374A4" w:rsidRPr="0000279E" w:rsidRDefault="001374A4" w:rsidP="001374A4">
      <w:pPr>
        <w:autoSpaceDE w:val="0"/>
        <w:autoSpaceDN w:val="0"/>
        <w:adjustRightInd w:val="0"/>
        <w:ind w:left="851"/>
        <w:rPr>
          <w:sz w:val="24"/>
          <w:szCs w:val="24"/>
        </w:rPr>
      </w:pPr>
      <w:bookmarkStart w:id="2" w:name="_Hlk51581098"/>
      <w:r w:rsidRPr="0000279E">
        <w:rPr>
          <w:sz w:val="24"/>
          <w:szCs w:val="24"/>
        </w:rPr>
        <w:t>Patientens globale evaluering af behandlingens effekt</w:t>
      </w:r>
      <w:bookmarkEnd w:id="2"/>
      <w:r w:rsidRPr="0000279E">
        <w:rPr>
          <w:bCs/>
          <w:sz w:val="24"/>
          <w:szCs w:val="24"/>
        </w:rPr>
        <w:t>: 119/13</w:t>
      </w:r>
      <w:r>
        <w:rPr>
          <w:bCs/>
          <w:sz w:val="24"/>
          <w:szCs w:val="24"/>
        </w:rPr>
        <w:t>6</w:t>
      </w:r>
      <w:r w:rsidRPr="0000279E">
        <w:rPr>
          <w:bCs/>
          <w:sz w:val="24"/>
          <w:szCs w:val="24"/>
        </w:rPr>
        <w:t xml:space="preserve"> patienter (88 %) i gruppen med </w:t>
      </w:r>
      <w:proofErr w:type="spellStart"/>
      <w:r w:rsidRPr="0000279E">
        <w:rPr>
          <w:bCs/>
          <w:sz w:val="24"/>
          <w:szCs w:val="24"/>
        </w:rPr>
        <w:t>Aitgrys</w:t>
      </w:r>
      <w:proofErr w:type="spellEnd"/>
      <w:r w:rsidRPr="0000279E">
        <w:rPr>
          <w:bCs/>
          <w:sz w:val="24"/>
          <w:szCs w:val="24"/>
        </w:rPr>
        <w:t xml:space="preserve"> 300 RI og 108/14</w:t>
      </w:r>
      <w:r>
        <w:rPr>
          <w:bCs/>
          <w:sz w:val="24"/>
          <w:szCs w:val="24"/>
        </w:rPr>
        <w:t>8</w:t>
      </w:r>
      <w:r w:rsidRPr="0000279E">
        <w:rPr>
          <w:bCs/>
          <w:sz w:val="24"/>
          <w:szCs w:val="24"/>
        </w:rPr>
        <w:t xml:space="preserve"> patienter (73 %) i placebogruppen bemærkede let til moderat eller god til fremragende bedring sammenlignet med den forrige pollensæson</w:t>
      </w:r>
      <w:r w:rsidRPr="0000279E">
        <w:rPr>
          <w:sz w:val="24"/>
          <w:szCs w:val="24"/>
        </w:rPr>
        <w:t xml:space="preserve">. </w:t>
      </w:r>
    </w:p>
    <w:p w14:paraId="57A467B8" w14:textId="77777777" w:rsidR="00441AE6" w:rsidRPr="0000279E" w:rsidRDefault="00441AE6" w:rsidP="00441AE6">
      <w:pPr>
        <w:autoSpaceDE w:val="0"/>
        <w:autoSpaceDN w:val="0"/>
        <w:adjustRightInd w:val="0"/>
        <w:ind w:left="851"/>
        <w:rPr>
          <w:sz w:val="24"/>
          <w:szCs w:val="24"/>
        </w:rPr>
      </w:pPr>
    </w:p>
    <w:p w14:paraId="592BD07D" w14:textId="77777777" w:rsidR="00441AE6" w:rsidRPr="0000279E" w:rsidRDefault="00441AE6" w:rsidP="00441AE6">
      <w:pPr>
        <w:ind w:left="851"/>
        <w:rPr>
          <w:sz w:val="24"/>
          <w:szCs w:val="24"/>
        </w:rPr>
      </w:pPr>
      <w:r w:rsidRPr="0000279E">
        <w:rPr>
          <w:sz w:val="24"/>
          <w:szCs w:val="24"/>
        </w:rPr>
        <w:t xml:space="preserve">ANCOVA-resultaterne for hver af de seks individuelle gennemsnitlige symptomscorer fra 0 til 3 viste en forskel til fordel for 300 RI </w:t>
      </w:r>
      <w:proofErr w:type="spellStart"/>
      <w:r w:rsidRPr="0000279E">
        <w:rPr>
          <w:sz w:val="24"/>
          <w:szCs w:val="24"/>
        </w:rPr>
        <w:t>resoribletten</w:t>
      </w:r>
      <w:proofErr w:type="spellEnd"/>
      <w:r w:rsidRPr="0000279E">
        <w:rPr>
          <w:sz w:val="24"/>
          <w:szCs w:val="24"/>
        </w:rPr>
        <w:t xml:space="preserve"> i forhold til placebo med hensyn til </w:t>
      </w:r>
      <w:proofErr w:type="spellStart"/>
      <w:r w:rsidRPr="0000279E">
        <w:rPr>
          <w:sz w:val="24"/>
          <w:szCs w:val="24"/>
        </w:rPr>
        <w:t>nysen</w:t>
      </w:r>
      <w:proofErr w:type="spellEnd"/>
      <w:r w:rsidRPr="0000279E">
        <w:rPr>
          <w:sz w:val="24"/>
          <w:szCs w:val="24"/>
        </w:rPr>
        <w:t xml:space="preserve"> (-0,19), næseflåd (</w:t>
      </w:r>
      <w:r w:rsidRPr="0000279E">
        <w:rPr>
          <w:sz w:val="24"/>
          <w:szCs w:val="24"/>
        </w:rPr>
        <w:softHyphen/>
        <w:t xml:space="preserve">0,23), kløende næse (-0,23), tilstoppet næse (-0,28), kløende øjne (-0,24) og rindende øjne (-0,21). </w:t>
      </w:r>
    </w:p>
    <w:p w14:paraId="00EA32AA" w14:textId="77777777" w:rsidR="00441AE6" w:rsidRPr="0000279E" w:rsidRDefault="00441AE6" w:rsidP="00441AE6">
      <w:pPr>
        <w:autoSpaceDE w:val="0"/>
        <w:autoSpaceDN w:val="0"/>
        <w:adjustRightInd w:val="0"/>
        <w:ind w:left="851"/>
        <w:rPr>
          <w:sz w:val="24"/>
          <w:szCs w:val="24"/>
        </w:rPr>
      </w:pPr>
    </w:p>
    <w:p w14:paraId="33A662C6" w14:textId="77777777" w:rsidR="00441AE6" w:rsidRPr="0000279E" w:rsidRDefault="00441AE6" w:rsidP="00441AE6">
      <w:pPr>
        <w:ind w:left="851"/>
        <w:rPr>
          <w:sz w:val="24"/>
          <w:szCs w:val="24"/>
        </w:rPr>
      </w:pPr>
      <w:r w:rsidRPr="0000279E">
        <w:rPr>
          <w:sz w:val="24"/>
          <w:szCs w:val="24"/>
        </w:rPr>
        <w:t>Andelen af patienter, der ikke anvendte nødmedicin, var 35,3 % i gruppen med 300 RI og 27,0 % i placebogruppen (NS).</w:t>
      </w:r>
    </w:p>
    <w:p w14:paraId="1128168F" w14:textId="77777777" w:rsidR="00441AE6" w:rsidRPr="0000279E" w:rsidRDefault="00441AE6" w:rsidP="00441AE6">
      <w:pPr>
        <w:ind w:left="851"/>
        <w:rPr>
          <w:sz w:val="24"/>
          <w:szCs w:val="24"/>
        </w:rPr>
      </w:pPr>
    </w:p>
    <w:p w14:paraId="49F615A6" w14:textId="77777777" w:rsidR="00441AE6" w:rsidRPr="0000279E" w:rsidRDefault="00441AE6" w:rsidP="00441AE6">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00A94B27"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176"/>
        <w:gridCol w:w="1126"/>
        <w:gridCol w:w="2350"/>
        <w:gridCol w:w="2123"/>
        <w:gridCol w:w="994"/>
      </w:tblGrid>
      <w:tr w:rsidR="00441AE6" w14:paraId="1222D47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B4B7AF" w14:textId="77777777" w:rsidR="00441AE6" w:rsidRDefault="00441AE6" w:rsidP="00F76215">
            <w:pPr>
              <w:jc w:val="center"/>
              <w:rPr>
                <w:b/>
                <w:szCs w:val="22"/>
                <w:lang w:val="en-GB"/>
              </w:rPr>
            </w:pP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24F7AE56" w14:textId="77777777" w:rsidR="00441AE6" w:rsidRPr="00F76215" w:rsidRDefault="00441AE6" w:rsidP="00F76215">
            <w:pPr>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4CE7DEB3" w14:textId="77777777" w:rsidR="00441AE6" w:rsidRPr="00F76215" w:rsidRDefault="00441AE6" w:rsidP="00F76215">
            <w:pPr>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76576179" w14:textId="77777777" w:rsidR="00441AE6" w:rsidRPr="00F76215" w:rsidRDefault="00441AE6" w:rsidP="00F76215">
            <w:pPr>
              <w:jc w:val="center"/>
              <w:rPr>
                <w:sz w:val="16"/>
                <w:szCs w:val="16"/>
                <w:lang w:val="sv-SE"/>
              </w:rPr>
            </w:pPr>
          </w:p>
          <w:p w14:paraId="1143671B" w14:textId="77777777" w:rsidR="00441AE6" w:rsidRPr="00F76215" w:rsidRDefault="00441AE6" w:rsidP="00F76215">
            <w:pPr>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61D72BEE" w14:textId="77777777" w:rsidR="00441AE6" w:rsidRDefault="00441AE6" w:rsidP="00F76215">
            <w:pPr>
              <w:jc w:val="center"/>
              <w:rPr>
                <w:b/>
                <w:szCs w:val="22"/>
                <w:lang w:val="en-GB"/>
              </w:rPr>
            </w:pPr>
            <w:r>
              <w:rPr>
                <w:b/>
                <w:szCs w:val="22"/>
                <w:lang w:val="en-GB"/>
              </w:rPr>
              <w:t>Placebo</w:t>
            </w:r>
          </w:p>
          <w:p w14:paraId="16BD4159" w14:textId="77777777" w:rsidR="00441AE6" w:rsidRDefault="00441AE6" w:rsidP="00F76215">
            <w:pPr>
              <w:jc w:val="center"/>
              <w:rPr>
                <w:b/>
                <w:szCs w:val="22"/>
                <w:lang w:val="en-GB"/>
              </w:rPr>
            </w:pPr>
            <w:proofErr w:type="spellStart"/>
            <w:r>
              <w:rPr>
                <w:b/>
                <w:szCs w:val="22"/>
                <w:lang w:val="en-GB"/>
              </w:rPr>
              <w:t>Middel</w:t>
            </w:r>
            <w:proofErr w:type="spellEnd"/>
            <w:r>
              <w:rPr>
                <w:b/>
                <w:szCs w:val="22"/>
                <w:lang w:val="en-GB"/>
              </w:rPr>
              <w:t xml:space="preserve"> (SD)</w:t>
            </w:r>
          </w:p>
          <w:p w14:paraId="7580BEC8" w14:textId="77777777" w:rsidR="00441AE6" w:rsidRDefault="00441AE6" w:rsidP="00F76215">
            <w:pPr>
              <w:jc w:val="center"/>
              <w:rPr>
                <w:sz w:val="16"/>
                <w:szCs w:val="16"/>
                <w:lang w:val="en-GB"/>
              </w:rPr>
            </w:pPr>
          </w:p>
          <w:p w14:paraId="6723FB7C" w14:textId="77777777" w:rsidR="00441AE6" w:rsidRDefault="00441AE6" w:rsidP="00F76215">
            <w:pPr>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73B590" w14:textId="77777777" w:rsidR="00441AE6" w:rsidRPr="00B51BCA" w:rsidRDefault="00441AE6" w:rsidP="00F76215">
            <w:pPr>
              <w:jc w:val="center"/>
              <w:rPr>
                <w:b/>
                <w:szCs w:val="22"/>
              </w:rPr>
            </w:pPr>
            <w:r w:rsidRPr="00B51BCA">
              <w:rPr>
                <w:b/>
                <w:szCs w:val="22"/>
              </w:rPr>
              <w:t xml:space="preserve">Absolut gennemsnitlig justeret forskel </w:t>
            </w:r>
          </w:p>
          <w:p w14:paraId="74093644" w14:textId="77777777" w:rsidR="00441AE6" w:rsidRPr="00B51BCA" w:rsidRDefault="00441AE6" w:rsidP="00F76215">
            <w:pPr>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73D08E" w14:textId="77777777" w:rsidR="00441AE6" w:rsidRDefault="00441AE6" w:rsidP="00F76215">
            <w:pPr>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1614A930" w14:textId="77777777" w:rsidR="00441AE6" w:rsidRDefault="00441AE6" w:rsidP="00F76215">
            <w:pPr>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B427F" w14:textId="77777777" w:rsidR="00441AE6" w:rsidRDefault="00441AE6" w:rsidP="00F76215">
            <w:pPr>
              <w:jc w:val="center"/>
              <w:rPr>
                <w:b/>
                <w:szCs w:val="22"/>
                <w:lang w:val="en-GB"/>
              </w:rPr>
            </w:pPr>
            <w:r>
              <w:rPr>
                <w:b/>
                <w:szCs w:val="22"/>
                <w:lang w:val="en-GB"/>
              </w:rPr>
              <w:t>p-</w:t>
            </w:r>
            <w:proofErr w:type="spellStart"/>
            <w:r>
              <w:rPr>
                <w:b/>
                <w:szCs w:val="22"/>
                <w:lang w:val="en-GB"/>
              </w:rPr>
              <w:t>værdi</w:t>
            </w:r>
            <w:proofErr w:type="spellEnd"/>
          </w:p>
        </w:tc>
      </w:tr>
      <w:tr w:rsidR="00441AE6" w14:paraId="4168B819"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3E646C" w14:textId="77777777" w:rsidR="00441AE6" w:rsidRDefault="00441AE6" w:rsidP="00F76215">
            <w:pPr>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9F7919" w14:textId="77777777" w:rsidR="00441AE6" w:rsidRDefault="00441AE6" w:rsidP="00F76215">
            <w:pPr>
              <w:jc w:val="center"/>
              <w:rPr>
                <w:sz w:val="18"/>
                <w:szCs w:val="18"/>
                <w:lang w:val="en-GB"/>
              </w:rPr>
            </w:pPr>
            <w:r>
              <w:rPr>
                <w:sz w:val="18"/>
                <w:szCs w:val="18"/>
                <w:lang w:val="en-GB"/>
              </w:rPr>
              <w:t>4,17 (3,39)</w:t>
            </w:r>
          </w:p>
          <w:p w14:paraId="29F58335" w14:textId="77777777" w:rsidR="00441AE6" w:rsidRDefault="00441AE6" w:rsidP="00F76215">
            <w:pPr>
              <w:jc w:val="center"/>
              <w:rPr>
                <w:i/>
                <w:sz w:val="18"/>
                <w:szCs w:val="18"/>
                <w:lang w:val="en-GB"/>
              </w:rPr>
            </w:pPr>
            <w:r>
              <w:rPr>
                <w:i/>
                <w:sz w:val="18"/>
                <w:szCs w:val="18"/>
                <w:lang w:val="en-GB"/>
              </w:rPr>
              <w:t>3,57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B75AE6" w14:textId="77777777" w:rsidR="00441AE6" w:rsidRDefault="00441AE6" w:rsidP="00F76215">
            <w:pPr>
              <w:jc w:val="center"/>
              <w:rPr>
                <w:sz w:val="18"/>
                <w:szCs w:val="18"/>
                <w:lang w:val="en-GB"/>
              </w:rPr>
            </w:pPr>
            <w:r>
              <w:rPr>
                <w:sz w:val="18"/>
                <w:szCs w:val="18"/>
                <w:lang w:val="en-GB"/>
              </w:rPr>
              <w:t>5,88 (3,82)</w:t>
            </w:r>
          </w:p>
          <w:p w14:paraId="772710CE" w14:textId="77777777" w:rsidR="00441AE6" w:rsidRDefault="00441AE6" w:rsidP="00F76215">
            <w:pPr>
              <w:jc w:val="center"/>
              <w:rPr>
                <w:i/>
                <w:sz w:val="18"/>
                <w:szCs w:val="18"/>
                <w:lang w:val="en-GB"/>
              </w:rPr>
            </w:pPr>
            <w:r>
              <w:rPr>
                <w:i/>
                <w:sz w:val="18"/>
                <w:szCs w:val="18"/>
                <w:lang w:val="en-GB"/>
              </w:rPr>
              <w:t>5,26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BC9437" w14:textId="77777777" w:rsidR="00441AE6" w:rsidRDefault="00441AE6" w:rsidP="00F76215">
            <w:pPr>
              <w:jc w:val="center"/>
              <w:rPr>
                <w:sz w:val="18"/>
                <w:szCs w:val="18"/>
                <w:lang w:val="en-GB"/>
              </w:rPr>
            </w:pPr>
            <w:r>
              <w:rPr>
                <w:sz w:val="18"/>
                <w:szCs w:val="18"/>
                <w:lang w:val="en-GB"/>
              </w:rPr>
              <w:t>-1,84 [-2,66; -1,02]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8ED2AE" w14:textId="77777777" w:rsidR="00441AE6" w:rsidRDefault="00441AE6" w:rsidP="00F76215">
            <w:pPr>
              <w:jc w:val="center"/>
              <w:rPr>
                <w:sz w:val="18"/>
                <w:szCs w:val="18"/>
                <w:lang w:val="en-GB"/>
              </w:rPr>
            </w:pPr>
            <w:r>
              <w:rPr>
                <w:sz w:val="18"/>
                <w:szCs w:val="18"/>
                <w:lang w:val="en-GB"/>
              </w:rPr>
              <w:t>29,1 %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3528BC" w14:textId="77777777" w:rsidR="00441AE6" w:rsidRDefault="00441AE6" w:rsidP="00F76215">
            <w:pPr>
              <w:jc w:val="center"/>
              <w:rPr>
                <w:sz w:val="18"/>
                <w:szCs w:val="18"/>
                <w:lang w:val="en-GB"/>
              </w:rPr>
            </w:pPr>
            <w:r>
              <w:rPr>
                <w:sz w:val="18"/>
                <w:szCs w:val="18"/>
                <w:lang w:val="en-GB"/>
              </w:rPr>
              <w:t>&lt;0,0001**</w:t>
            </w:r>
          </w:p>
        </w:tc>
      </w:tr>
      <w:tr w:rsidR="00441AE6" w14:paraId="3C7DB3CB"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6B5E09" w14:textId="77777777" w:rsidR="00441AE6" w:rsidRDefault="00441AE6" w:rsidP="00F76215">
            <w:pPr>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037FFF" w14:textId="77777777" w:rsidR="00441AE6" w:rsidRDefault="00441AE6" w:rsidP="00F76215">
            <w:pPr>
              <w:jc w:val="center"/>
              <w:rPr>
                <w:sz w:val="18"/>
                <w:szCs w:val="18"/>
                <w:lang w:val="en-GB"/>
              </w:rPr>
            </w:pPr>
            <w:r>
              <w:rPr>
                <w:sz w:val="18"/>
                <w:szCs w:val="18"/>
                <w:lang w:val="en-GB"/>
              </w:rPr>
              <w:t>0,31 (0,43)</w:t>
            </w:r>
          </w:p>
          <w:p w14:paraId="3C5235B9" w14:textId="77777777" w:rsidR="00441AE6" w:rsidRDefault="00441AE6" w:rsidP="00F76215">
            <w:pPr>
              <w:jc w:val="center"/>
              <w:rPr>
                <w:i/>
                <w:sz w:val="18"/>
                <w:szCs w:val="18"/>
                <w:lang w:val="en-GB"/>
              </w:rPr>
            </w:pPr>
            <w:r>
              <w:rPr>
                <w:i/>
                <w:sz w:val="18"/>
                <w:szCs w:val="18"/>
                <w:lang w:val="en-GB"/>
              </w:rPr>
              <w:t>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3DD1D" w14:textId="77777777" w:rsidR="00441AE6" w:rsidRDefault="00441AE6" w:rsidP="00F76215">
            <w:pPr>
              <w:jc w:val="center"/>
              <w:rPr>
                <w:sz w:val="18"/>
                <w:szCs w:val="18"/>
                <w:lang w:val="en-GB"/>
              </w:rPr>
            </w:pPr>
            <w:r>
              <w:rPr>
                <w:sz w:val="18"/>
                <w:szCs w:val="18"/>
                <w:lang w:val="en-GB"/>
              </w:rPr>
              <w:t>0.48 (0.53)</w:t>
            </w:r>
          </w:p>
          <w:p w14:paraId="18A67263" w14:textId="77777777" w:rsidR="00441AE6" w:rsidRDefault="00441AE6" w:rsidP="00F76215">
            <w:pPr>
              <w:jc w:val="center"/>
              <w:rPr>
                <w:i/>
                <w:sz w:val="18"/>
                <w:szCs w:val="18"/>
                <w:lang w:val="en-GB"/>
              </w:rPr>
            </w:pPr>
            <w:r>
              <w:rPr>
                <w:i/>
                <w:sz w:val="18"/>
                <w:szCs w:val="18"/>
                <w:lang w:val="en-GB"/>
              </w:rPr>
              <w:t>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7EF311" w14:textId="77777777" w:rsidR="00441AE6" w:rsidRDefault="00441AE6" w:rsidP="00F76215">
            <w:pPr>
              <w:jc w:val="center"/>
              <w:rPr>
                <w:sz w:val="18"/>
                <w:szCs w:val="18"/>
                <w:lang w:val="en-GB"/>
              </w:rPr>
            </w:pPr>
            <w:r>
              <w:rPr>
                <w:sz w:val="18"/>
                <w:szCs w:val="18"/>
                <w:lang w:val="en-GB"/>
              </w:rPr>
              <w:t>-0,17 [-0,29;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3FA85E" w14:textId="77777777" w:rsidR="00441AE6" w:rsidRDefault="00441AE6" w:rsidP="00F76215">
            <w:pPr>
              <w:jc w:val="center"/>
              <w:rPr>
                <w:sz w:val="18"/>
                <w:szCs w:val="18"/>
                <w:lang w:val="en-GB"/>
              </w:rPr>
            </w:pPr>
            <w:r>
              <w:rPr>
                <w:sz w:val="18"/>
                <w:szCs w:val="18"/>
                <w:lang w:val="en-GB"/>
              </w:rPr>
              <w:t>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2B0C26" w14:textId="77777777" w:rsidR="00441AE6" w:rsidRDefault="00441AE6" w:rsidP="00F76215">
            <w:pPr>
              <w:jc w:val="center"/>
              <w:rPr>
                <w:sz w:val="18"/>
                <w:szCs w:val="18"/>
                <w:lang w:val="en-GB"/>
              </w:rPr>
            </w:pPr>
            <w:r>
              <w:rPr>
                <w:sz w:val="18"/>
                <w:szCs w:val="18"/>
                <w:lang w:val="en-GB"/>
              </w:rPr>
              <w:t>0,0047**</w:t>
            </w:r>
          </w:p>
        </w:tc>
      </w:tr>
      <w:tr w:rsidR="00441AE6" w14:paraId="6CB3C50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67501B" w14:textId="77777777" w:rsidR="00441AE6" w:rsidRDefault="00441AE6" w:rsidP="00F76215">
            <w:pPr>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790216" w14:textId="77777777" w:rsidR="00441AE6" w:rsidRDefault="00441AE6" w:rsidP="00F76215">
            <w:pPr>
              <w:jc w:val="center"/>
              <w:rPr>
                <w:sz w:val="18"/>
                <w:szCs w:val="18"/>
                <w:lang w:val="en-GB"/>
              </w:rPr>
            </w:pPr>
            <w:r>
              <w:rPr>
                <w:sz w:val="18"/>
                <w:szCs w:val="18"/>
                <w:lang w:val="en-GB"/>
              </w:rPr>
              <w:t>43,5 % (33,8)</w:t>
            </w:r>
          </w:p>
          <w:p w14:paraId="2051DD83" w14:textId="77777777" w:rsidR="00441AE6" w:rsidRDefault="00441AE6" w:rsidP="00F76215">
            <w:pPr>
              <w:jc w:val="center"/>
              <w:rPr>
                <w:i/>
                <w:sz w:val="18"/>
                <w:szCs w:val="18"/>
                <w:lang w:val="en-GB"/>
              </w:rPr>
            </w:pPr>
            <w:r>
              <w:rPr>
                <w:i/>
                <w:sz w:val="18"/>
                <w:szCs w:val="18"/>
                <w:lang w:val="en-GB"/>
              </w:rPr>
              <w:lastRenderedPageBreak/>
              <w:t>38,6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ABA40E" w14:textId="77777777" w:rsidR="00441AE6" w:rsidRDefault="00441AE6" w:rsidP="00F76215">
            <w:pPr>
              <w:jc w:val="center"/>
              <w:rPr>
                <w:sz w:val="18"/>
                <w:szCs w:val="18"/>
                <w:lang w:val="en-GB"/>
              </w:rPr>
            </w:pPr>
            <w:r>
              <w:rPr>
                <w:sz w:val="18"/>
                <w:szCs w:val="18"/>
                <w:lang w:val="en-GB"/>
              </w:rPr>
              <w:lastRenderedPageBreak/>
              <w:t>28,7% (30,7)</w:t>
            </w:r>
          </w:p>
          <w:p w14:paraId="76C1B980" w14:textId="77777777" w:rsidR="00441AE6" w:rsidRDefault="00441AE6" w:rsidP="00F76215">
            <w:pPr>
              <w:jc w:val="center"/>
              <w:rPr>
                <w:i/>
                <w:sz w:val="18"/>
                <w:szCs w:val="18"/>
                <w:lang w:val="en-GB"/>
              </w:rPr>
            </w:pPr>
            <w:r>
              <w:rPr>
                <w:i/>
                <w:sz w:val="18"/>
                <w:szCs w:val="18"/>
                <w:lang w:val="en-GB"/>
              </w:rPr>
              <w:lastRenderedPageBreak/>
              <w:t>17,1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64CA1" w14:textId="77777777" w:rsidR="00441AE6" w:rsidRDefault="00441AE6" w:rsidP="00F76215">
            <w:pPr>
              <w:jc w:val="center"/>
              <w:rPr>
                <w:sz w:val="18"/>
                <w:szCs w:val="18"/>
                <w:lang w:val="en-GB"/>
              </w:rPr>
            </w:pPr>
            <w:r>
              <w:rPr>
                <w:sz w:val="18"/>
                <w:szCs w:val="18"/>
                <w:lang w:val="en-GB"/>
              </w:rPr>
              <w:lastRenderedPageBreak/>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E669F9"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7C32C0" w14:textId="77777777" w:rsidR="00441AE6" w:rsidRDefault="00441AE6" w:rsidP="00F76215">
            <w:pPr>
              <w:jc w:val="center"/>
              <w:rPr>
                <w:sz w:val="18"/>
                <w:szCs w:val="18"/>
                <w:lang w:val="en-GB"/>
              </w:rPr>
            </w:pPr>
            <w:r>
              <w:rPr>
                <w:sz w:val="18"/>
                <w:szCs w:val="18"/>
                <w:lang w:val="en-GB"/>
              </w:rPr>
              <w:t>0,0001***</w:t>
            </w:r>
          </w:p>
        </w:tc>
      </w:tr>
      <w:tr w:rsidR="00441AE6" w14:paraId="63A9A769"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79B6162" w14:textId="77777777" w:rsidR="00441AE6" w:rsidRDefault="00441AE6" w:rsidP="00F76215">
            <w:pPr>
              <w:jc w:val="center"/>
              <w:rPr>
                <w:sz w:val="18"/>
                <w:szCs w:val="18"/>
                <w:lang w:val="en-GB"/>
              </w:rPr>
            </w:pPr>
            <w:r>
              <w:rPr>
                <w:sz w:val="18"/>
                <w:szCs w:val="18"/>
                <w:lang w:val="en-GB"/>
              </w:rPr>
              <w:t xml:space="preserve">PSFD </w:t>
            </w:r>
            <w:r>
              <w:rPr>
                <w:sz w:val="18"/>
                <w:szCs w:val="18"/>
                <w:vertAlign w:val="superscript"/>
                <w:lang w:val="en-GB"/>
              </w:rPr>
              <w:t>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F3C88A" w14:textId="77777777" w:rsidR="00441AE6" w:rsidRDefault="00441AE6" w:rsidP="00F76215">
            <w:pPr>
              <w:jc w:val="center"/>
              <w:rPr>
                <w:sz w:val="18"/>
                <w:szCs w:val="18"/>
                <w:lang w:val="en-GB"/>
              </w:rPr>
            </w:pPr>
            <w:r>
              <w:rPr>
                <w:sz w:val="18"/>
                <w:szCs w:val="18"/>
                <w:lang w:val="en-GB"/>
              </w:rPr>
              <w:t>25,3 % (30,2)</w:t>
            </w:r>
          </w:p>
          <w:p w14:paraId="59612B1A" w14:textId="77777777" w:rsidR="00441AE6" w:rsidRDefault="00441AE6" w:rsidP="00F76215">
            <w:pPr>
              <w:jc w:val="center"/>
              <w:rPr>
                <w:i/>
                <w:sz w:val="18"/>
                <w:szCs w:val="18"/>
                <w:lang w:val="en-GB"/>
              </w:rPr>
            </w:pPr>
            <w:r>
              <w:rPr>
                <w:i/>
                <w:sz w:val="18"/>
                <w:szCs w:val="18"/>
                <w:lang w:val="en-GB"/>
              </w:rPr>
              <w:t>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BF5D88" w14:textId="77777777" w:rsidR="00441AE6" w:rsidRDefault="00441AE6" w:rsidP="00F76215">
            <w:pPr>
              <w:jc w:val="center"/>
              <w:rPr>
                <w:sz w:val="18"/>
                <w:szCs w:val="18"/>
                <w:lang w:val="en-GB"/>
              </w:rPr>
            </w:pPr>
            <w:r>
              <w:rPr>
                <w:sz w:val="18"/>
                <w:szCs w:val="18"/>
                <w:lang w:val="en-GB"/>
              </w:rPr>
              <w:t>14,9 % (23,6)</w:t>
            </w:r>
          </w:p>
          <w:p w14:paraId="6B74297B" w14:textId="77777777" w:rsidR="00441AE6" w:rsidRDefault="00441AE6" w:rsidP="00F76215">
            <w:pPr>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685648"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C2F912"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DA1D79" w14:textId="77777777" w:rsidR="00441AE6" w:rsidRDefault="00441AE6" w:rsidP="00F76215">
            <w:pPr>
              <w:jc w:val="center"/>
              <w:rPr>
                <w:sz w:val="18"/>
                <w:szCs w:val="18"/>
                <w:lang w:val="en-GB"/>
              </w:rPr>
            </w:pPr>
            <w:r>
              <w:rPr>
                <w:sz w:val="18"/>
                <w:szCs w:val="18"/>
                <w:lang w:val="en-GB" w:eastAsia="de-DE"/>
              </w:rPr>
              <w:t>0.0006</w:t>
            </w:r>
            <w:r>
              <w:rPr>
                <w:sz w:val="18"/>
                <w:szCs w:val="18"/>
                <w:lang w:val="en-GB"/>
              </w:rPr>
              <w:t>***</w:t>
            </w:r>
          </w:p>
        </w:tc>
      </w:tr>
    </w:tbl>
    <w:p w14:paraId="7E885C1B" w14:textId="77777777" w:rsidR="00441AE6" w:rsidRDefault="00441AE6" w:rsidP="00441AE6">
      <w:pPr>
        <w:rPr>
          <w:sz w:val="16"/>
          <w:szCs w:val="16"/>
        </w:rPr>
      </w:pPr>
      <w:r>
        <w:rPr>
          <w:sz w:val="16"/>
          <w:szCs w:val="16"/>
        </w:rPr>
        <w:t>*Relativ gennemsnitlig forskel: Absolut forskel/Placebo</w:t>
      </w:r>
    </w:p>
    <w:p w14:paraId="50426667"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1E5F5B28" w14:textId="77777777" w:rsidR="00441AE6" w:rsidRDefault="00441AE6" w:rsidP="00441AE6">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4B38C9EC" w14:textId="77777777" w:rsidR="00441AE6" w:rsidRDefault="00441AE6" w:rsidP="00441AE6">
      <w:pPr>
        <w:rPr>
          <w:sz w:val="16"/>
          <w:szCs w:val="16"/>
        </w:rPr>
      </w:pPr>
      <w:r>
        <w:rPr>
          <w:sz w:val="16"/>
          <w:szCs w:val="16"/>
          <w:vertAlign w:val="superscript"/>
        </w:rPr>
        <w:t>E</w:t>
      </w:r>
      <w:r>
        <w:rPr>
          <w:sz w:val="16"/>
          <w:szCs w:val="16"/>
        </w:rPr>
        <w:t xml:space="preserve"> Gennemsnitlig score for nødmedicin: Gennemsnitlig daglig score for nødmedicin for alle patienter i løbet af græspollensæsonen. De anvendte lægemidler blev givet score som følger: ingen nødmedicin = 0, antihistaminer (oral og /eller </w:t>
      </w:r>
      <w:proofErr w:type="spellStart"/>
      <w:r>
        <w:rPr>
          <w:sz w:val="16"/>
          <w:szCs w:val="16"/>
        </w:rPr>
        <w:t>okulær</w:t>
      </w:r>
      <w:proofErr w:type="spellEnd"/>
      <w:r>
        <w:rPr>
          <w:sz w:val="16"/>
          <w:szCs w:val="16"/>
        </w:rPr>
        <w:t xml:space="preserve">) = 1, intranasale </w:t>
      </w:r>
      <w:proofErr w:type="spellStart"/>
      <w:r>
        <w:rPr>
          <w:sz w:val="16"/>
          <w:szCs w:val="16"/>
        </w:rPr>
        <w:t>kortikosteroider</w:t>
      </w:r>
      <w:proofErr w:type="spellEnd"/>
      <w:r>
        <w:rPr>
          <w:sz w:val="16"/>
          <w:szCs w:val="16"/>
        </w:rPr>
        <w:t xml:space="preserve"> = 2 og orale </w:t>
      </w:r>
      <w:proofErr w:type="spellStart"/>
      <w:r>
        <w:rPr>
          <w:sz w:val="16"/>
          <w:szCs w:val="16"/>
        </w:rPr>
        <w:t>kortikosteroider</w:t>
      </w:r>
      <w:proofErr w:type="spellEnd"/>
      <w:r>
        <w:rPr>
          <w:sz w:val="16"/>
          <w:szCs w:val="16"/>
        </w:rPr>
        <w:t xml:space="preserve"> = 3.</w:t>
      </w:r>
    </w:p>
    <w:p w14:paraId="5CA74C02" w14:textId="77777777" w:rsidR="00441AE6" w:rsidRDefault="00441AE6" w:rsidP="00441AE6">
      <w:pPr>
        <w:rPr>
          <w:sz w:val="16"/>
          <w:szCs w:val="16"/>
        </w:rPr>
      </w:pPr>
      <w:r>
        <w:rPr>
          <w:sz w:val="16"/>
          <w:szCs w:val="16"/>
          <w:vertAlign w:val="superscript"/>
        </w:rPr>
        <w:t>F</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191BCA70" w14:textId="77777777" w:rsidR="00441AE6" w:rsidRDefault="00441AE6" w:rsidP="00441AE6">
      <w:pPr>
        <w:rPr>
          <w:sz w:val="16"/>
          <w:szCs w:val="16"/>
        </w:rPr>
      </w:pPr>
      <w:r>
        <w:rPr>
          <w:sz w:val="16"/>
          <w:szCs w:val="16"/>
          <w:vertAlign w:val="superscript"/>
        </w:rPr>
        <w:t>G</w:t>
      </w:r>
      <w:r>
        <w:rPr>
          <w:sz w:val="16"/>
          <w:szCs w:val="16"/>
        </w:rPr>
        <w:t xml:space="preserve"> Andelen af dage uden symptomer og uden nødmedicin (PSFD): Procentdel af dage uden symptomer og uden brug af nødmedicin.</w:t>
      </w:r>
    </w:p>
    <w:p w14:paraId="5A31D8C4" w14:textId="77777777" w:rsidR="00441AE6" w:rsidRPr="0000279E" w:rsidRDefault="00441AE6" w:rsidP="00441AE6">
      <w:pPr>
        <w:suppressAutoHyphens/>
        <w:ind w:left="851"/>
        <w:rPr>
          <w:bCs/>
          <w:sz w:val="24"/>
          <w:szCs w:val="24"/>
        </w:rPr>
      </w:pPr>
    </w:p>
    <w:p w14:paraId="4555CC3E" w14:textId="77777777" w:rsidR="00441AE6" w:rsidRPr="0000279E" w:rsidRDefault="00441AE6" w:rsidP="00441AE6">
      <w:pPr>
        <w:ind w:left="851"/>
        <w:rPr>
          <w:sz w:val="24"/>
          <w:szCs w:val="24"/>
        </w:rPr>
      </w:pPr>
      <w:r w:rsidRPr="0000279E">
        <w:rPr>
          <w:sz w:val="24"/>
          <w:szCs w:val="24"/>
        </w:rPr>
        <w:t xml:space="preserve">Enogtres patienter (45 %)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40 patienter (27 %) i placebogruppen.</w:t>
      </w:r>
    </w:p>
    <w:p w14:paraId="078935BA" w14:textId="77777777" w:rsidR="00441AE6" w:rsidRPr="0000279E" w:rsidRDefault="00441AE6" w:rsidP="00441AE6">
      <w:pPr>
        <w:suppressAutoHyphens/>
        <w:ind w:left="851"/>
        <w:rPr>
          <w:bCs/>
          <w:sz w:val="24"/>
          <w:szCs w:val="24"/>
          <w:u w:val="single"/>
        </w:rPr>
      </w:pPr>
    </w:p>
    <w:p w14:paraId="35DED3D2" w14:textId="77777777" w:rsidR="00441AE6" w:rsidRPr="0000279E" w:rsidRDefault="00441AE6" w:rsidP="00441AE6">
      <w:pPr>
        <w:suppressAutoHyphens/>
        <w:ind w:left="851"/>
        <w:rPr>
          <w:bCs/>
          <w:sz w:val="24"/>
          <w:szCs w:val="24"/>
          <w:u w:val="single"/>
        </w:rPr>
      </w:pPr>
      <w:r w:rsidRPr="0000279E">
        <w:rPr>
          <w:bCs/>
          <w:sz w:val="24"/>
          <w:szCs w:val="24"/>
          <w:u w:val="single"/>
        </w:rPr>
        <w:t>Pædiatrisk population</w:t>
      </w:r>
    </w:p>
    <w:p w14:paraId="4071026B" w14:textId="77777777" w:rsidR="00441AE6" w:rsidRPr="0000279E" w:rsidRDefault="00441AE6" w:rsidP="00441AE6">
      <w:pPr>
        <w:suppressAutoHyphens/>
        <w:ind w:left="851"/>
        <w:rPr>
          <w:bCs/>
          <w:sz w:val="24"/>
          <w:szCs w:val="24"/>
          <w:u w:val="single"/>
        </w:rPr>
      </w:pPr>
    </w:p>
    <w:p w14:paraId="4A76A8A0" w14:textId="77777777" w:rsidR="00441AE6" w:rsidRPr="00403D9B" w:rsidRDefault="00441AE6" w:rsidP="00441AE6">
      <w:pPr>
        <w:ind w:left="851"/>
        <w:rPr>
          <w:i/>
          <w:sz w:val="24"/>
          <w:szCs w:val="24"/>
        </w:rPr>
      </w:pPr>
      <w:r w:rsidRPr="00403D9B">
        <w:rPr>
          <w:i/>
          <w:sz w:val="24"/>
          <w:szCs w:val="24"/>
        </w:rPr>
        <w:t>Studie VO52.06</w:t>
      </w:r>
    </w:p>
    <w:p w14:paraId="452FCF3A" w14:textId="77777777" w:rsidR="00441AE6" w:rsidRPr="0000279E" w:rsidRDefault="00441AE6" w:rsidP="00441AE6">
      <w:pPr>
        <w:ind w:left="851"/>
        <w:rPr>
          <w:sz w:val="24"/>
          <w:szCs w:val="24"/>
        </w:rPr>
      </w:pPr>
      <w:r w:rsidRPr="0000279E">
        <w:rPr>
          <w:sz w:val="24"/>
          <w:szCs w:val="24"/>
        </w:rPr>
        <w:t xml:space="preserve">Der er udført et europæisk multinationalt, randomiseret, dobbeltblindt, placebokontrolleret multicenterstudie (studie VO52.06). I studiet deltog 278 patienter i alderen 5-17 år med græspollenudløst sæsonbestemt allergisk </w:t>
      </w:r>
      <w:proofErr w:type="spellStart"/>
      <w:r w:rsidRPr="0000279E">
        <w:rPr>
          <w:sz w:val="24"/>
          <w:szCs w:val="24"/>
        </w:rPr>
        <w:t>rhinitis</w:t>
      </w:r>
      <w:proofErr w:type="spellEnd"/>
      <w:r w:rsidRPr="0000279E">
        <w:rPr>
          <w:sz w:val="24"/>
          <w:szCs w:val="24"/>
        </w:rPr>
        <w:t xml:space="preserve"> og/eller </w:t>
      </w:r>
      <w:proofErr w:type="spellStart"/>
      <w:r w:rsidRPr="0000279E">
        <w:rPr>
          <w:sz w:val="24"/>
          <w:szCs w:val="24"/>
        </w:rPr>
        <w:t>rhinokonjunktivitis</w:t>
      </w:r>
      <w:proofErr w:type="spellEnd"/>
      <w:r w:rsidRPr="0000279E">
        <w:rPr>
          <w:sz w:val="24"/>
          <w:szCs w:val="24"/>
        </w:rPr>
        <w:t xml:space="preserve"> bekræftet via en positiv hudpriktest og</w:t>
      </w:r>
      <w:r>
        <w:rPr>
          <w:sz w:val="24"/>
          <w:szCs w:val="24"/>
        </w:rPr>
        <w:t>/eller</w:t>
      </w:r>
      <w:r w:rsidRPr="0000279E">
        <w:rPr>
          <w:sz w:val="24"/>
          <w:szCs w:val="24"/>
        </w:rPr>
        <w:t xml:space="preserve"> specifik </w:t>
      </w:r>
      <w:proofErr w:type="spellStart"/>
      <w:r w:rsidRPr="0000279E">
        <w:rPr>
          <w:sz w:val="24"/>
          <w:szCs w:val="24"/>
        </w:rPr>
        <w:t>IgE</w:t>
      </w:r>
      <w:proofErr w:type="spellEnd"/>
      <w:r w:rsidRPr="0000279E">
        <w:rPr>
          <w:sz w:val="24"/>
          <w:szCs w:val="24"/>
        </w:rPr>
        <w:t>-test over for græspollen.</w:t>
      </w:r>
    </w:p>
    <w:p w14:paraId="562DBA63" w14:textId="77777777" w:rsidR="00441AE6" w:rsidRPr="0000279E" w:rsidRDefault="00441AE6" w:rsidP="00441AE6">
      <w:pPr>
        <w:ind w:left="851"/>
        <w:rPr>
          <w:sz w:val="24"/>
          <w:szCs w:val="24"/>
        </w:rPr>
      </w:pPr>
    </w:p>
    <w:p w14:paraId="33544B65" w14:textId="77777777" w:rsidR="00441AE6" w:rsidRPr="0000279E" w:rsidRDefault="00441AE6" w:rsidP="00441AE6">
      <w:pPr>
        <w:ind w:left="851"/>
        <w:rPr>
          <w:sz w:val="24"/>
          <w:szCs w:val="24"/>
        </w:rPr>
      </w:pPr>
      <w:r w:rsidRPr="0000279E">
        <w:rPr>
          <w:sz w:val="24"/>
          <w:szCs w:val="24"/>
        </w:rPr>
        <w:t xml:space="preserve">Patienterne blev randomiseret i 2 grupper: placebo (n=139) eller </w:t>
      </w:r>
      <w:proofErr w:type="spellStart"/>
      <w:r w:rsidRPr="0000279E">
        <w:rPr>
          <w:sz w:val="24"/>
          <w:szCs w:val="24"/>
        </w:rPr>
        <w:t>Aitgrys</w:t>
      </w:r>
      <w:proofErr w:type="spellEnd"/>
      <w:r w:rsidRPr="0000279E">
        <w:rPr>
          <w:sz w:val="24"/>
          <w:szCs w:val="24"/>
        </w:rPr>
        <w:t xml:space="preserve"> 300 RI/dag (n= 139). Hver patient fik en </w:t>
      </w:r>
      <w:proofErr w:type="spellStart"/>
      <w:r w:rsidRPr="0000279E">
        <w:rPr>
          <w:sz w:val="24"/>
          <w:szCs w:val="24"/>
        </w:rPr>
        <w:t>sublingual</w:t>
      </w:r>
      <w:proofErr w:type="spellEnd"/>
      <w:r w:rsidRPr="0000279E">
        <w:rPr>
          <w:sz w:val="24"/>
          <w:szCs w:val="24"/>
        </w:rPr>
        <w:t xml:space="preserve"> dosis en gang daglig i ca. 4 måneder før start på pollensæsonen og indtil pollensæsonen var slut. Man fulgte et inkrementelt dosisregime i de første 3 dage af behandlingsperioden, hvor dosis blev øget med 100 RI pr. dag fra en startdosis på 100 RI op til en daglig dosis på 300 RI. Analyse af resultaterne var baseret på 266 </w:t>
      </w:r>
      <w:proofErr w:type="spellStart"/>
      <w:r w:rsidRPr="0000279E">
        <w:rPr>
          <w:sz w:val="24"/>
          <w:szCs w:val="24"/>
        </w:rPr>
        <w:t>vurderbare</w:t>
      </w:r>
      <w:proofErr w:type="spellEnd"/>
      <w:r w:rsidRPr="0000279E">
        <w:rPr>
          <w:sz w:val="24"/>
          <w:szCs w:val="24"/>
        </w:rPr>
        <w:t xml:space="preserve"> patienter (placebo, n=135 og </w:t>
      </w:r>
      <w:proofErr w:type="spellStart"/>
      <w:r w:rsidRPr="0000279E">
        <w:rPr>
          <w:sz w:val="24"/>
          <w:szCs w:val="24"/>
        </w:rPr>
        <w:t>Aitgrys</w:t>
      </w:r>
      <w:proofErr w:type="spellEnd"/>
      <w:r w:rsidRPr="0000279E">
        <w:rPr>
          <w:sz w:val="24"/>
          <w:szCs w:val="24"/>
        </w:rPr>
        <w:t xml:space="preserve"> 300 RI, n=131). Virkningen blev vurderet ifølge </w:t>
      </w:r>
      <w:proofErr w:type="spellStart"/>
      <w:r w:rsidRPr="0000279E">
        <w:rPr>
          <w:i/>
          <w:iCs/>
          <w:sz w:val="24"/>
          <w:szCs w:val="24"/>
        </w:rPr>
        <w:t>Rhinoconjunctivitis</w:t>
      </w:r>
      <w:proofErr w:type="spellEnd"/>
      <w:r w:rsidRPr="0000279E">
        <w:rPr>
          <w:i/>
          <w:iCs/>
          <w:sz w:val="24"/>
          <w:szCs w:val="24"/>
        </w:rPr>
        <w:t xml:space="preserve"> Total Symptom Score RTSS</w:t>
      </w:r>
      <w:r w:rsidRPr="0000279E">
        <w:rPr>
          <w:sz w:val="24"/>
          <w:szCs w:val="24"/>
        </w:rPr>
        <w:t xml:space="preserve"> (se yderligere oplysninger nedenfor) i denne ene pollensæson. </w:t>
      </w:r>
    </w:p>
    <w:p w14:paraId="43DD3CF4" w14:textId="77777777" w:rsidR="00441AE6" w:rsidRPr="0000279E" w:rsidRDefault="00441AE6" w:rsidP="00441AE6">
      <w:pPr>
        <w:ind w:left="851"/>
        <w:rPr>
          <w:sz w:val="24"/>
          <w:szCs w:val="24"/>
        </w:rPr>
      </w:pPr>
    </w:p>
    <w:p w14:paraId="19783FA0" w14:textId="77777777" w:rsidR="00441AE6" w:rsidRPr="0000279E" w:rsidRDefault="00441AE6" w:rsidP="00441AE6">
      <w:pPr>
        <w:ind w:left="851"/>
        <w:rPr>
          <w:sz w:val="24"/>
          <w:szCs w:val="24"/>
        </w:rPr>
      </w:pPr>
      <w:r w:rsidRPr="0000279E">
        <w:rPr>
          <w:sz w:val="24"/>
          <w:szCs w:val="24"/>
        </w:rPr>
        <w:t xml:space="preserve">Effektanalysen i gruppen med 300 RI </w:t>
      </w:r>
      <w:r w:rsidRPr="0000279E">
        <w:rPr>
          <w:i/>
          <w:iCs/>
          <w:sz w:val="24"/>
          <w:szCs w:val="24"/>
        </w:rPr>
        <w:t>versus</w:t>
      </w:r>
      <w:r w:rsidRPr="0000279E">
        <w:rPr>
          <w:sz w:val="24"/>
          <w:szCs w:val="24"/>
        </w:rPr>
        <w:t xml:space="preserve"> placebogruppen (antal forsøgspersoner i </w:t>
      </w:r>
      <w:r w:rsidRPr="0000279E">
        <w:rPr>
          <w:i/>
          <w:iCs/>
          <w:sz w:val="24"/>
          <w:szCs w:val="24"/>
        </w:rPr>
        <w:t xml:space="preserve">Intent to </w:t>
      </w:r>
      <w:proofErr w:type="spellStart"/>
      <w:r w:rsidRPr="0000279E">
        <w:rPr>
          <w:i/>
          <w:iCs/>
          <w:sz w:val="24"/>
          <w:szCs w:val="24"/>
        </w:rPr>
        <w:t>Treat</w:t>
      </w:r>
      <w:proofErr w:type="spellEnd"/>
      <w:r w:rsidRPr="0000279E">
        <w:rPr>
          <w:i/>
          <w:iCs/>
          <w:sz w:val="24"/>
          <w:szCs w:val="24"/>
        </w:rPr>
        <w:t xml:space="preserve"> ITT-</w:t>
      </w:r>
      <w:r w:rsidRPr="0000279E">
        <w:rPr>
          <w:sz w:val="24"/>
          <w:szCs w:val="24"/>
        </w:rPr>
        <w:t>populationen var henholdsvis 131 og 135) viste følgende resultater:</w:t>
      </w:r>
    </w:p>
    <w:p w14:paraId="352D8E94" w14:textId="77777777" w:rsidR="00441AE6" w:rsidRPr="0000279E" w:rsidRDefault="00441AE6" w:rsidP="00441AE6">
      <w:pPr>
        <w:ind w:left="851"/>
        <w:outlineLvl w:val="0"/>
        <w:rPr>
          <w:rFonts w:eastAsia="SimSun"/>
          <w:sz w:val="24"/>
          <w:szCs w:val="24"/>
          <w:lang w:eastAsia="zh-CN"/>
        </w:rPr>
      </w:pPr>
    </w:p>
    <w:p w14:paraId="2FC3991C" w14:textId="77777777" w:rsidR="00441AE6" w:rsidRPr="00403D9B" w:rsidRDefault="00441AE6" w:rsidP="00441AE6">
      <w:pPr>
        <w:ind w:left="851"/>
        <w:rPr>
          <w:i/>
          <w:sz w:val="24"/>
          <w:szCs w:val="24"/>
        </w:rPr>
      </w:pPr>
      <w:r w:rsidRPr="00403D9B">
        <w:rPr>
          <w:i/>
          <w:sz w:val="24"/>
          <w:szCs w:val="24"/>
        </w:rPr>
        <w:t xml:space="preserve">Studie VO52.06: </w:t>
      </w:r>
      <w:r w:rsidRPr="00403D9B">
        <w:rPr>
          <w:i/>
          <w:color w:val="000000"/>
          <w:sz w:val="24"/>
          <w:szCs w:val="24"/>
        </w:rPr>
        <w:t>virkningsresultater (i løbet af en pollensæson)</w:t>
      </w:r>
      <w:r w:rsidRPr="00403D9B">
        <w:rPr>
          <w:i/>
          <w:sz w:val="24"/>
          <w:szCs w:val="24"/>
        </w:rPr>
        <w:t>:</w:t>
      </w:r>
    </w:p>
    <w:p w14:paraId="7DD59CBD" w14:textId="77777777" w:rsidR="00441AE6" w:rsidRPr="0000279E" w:rsidRDefault="00441AE6" w:rsidP="00441AE6">
      <w:pPr>
        <w:ind w:left="851"/>
        <w:rPr>
          <w:sz w:val="24"/>
          <w:szCs w:val="24"/>
        </w:rPr>
      </w:pPr>
    </w:p>
    <w:p w14:paraId="06EAE923" w14:textId="77777777" w:rsidR="00441AE6" w:rsidRPr="0000279E" w:rsidRDefault="00441AE6" w:rsidP="00441AE6">
      <w:pPr>
        <w:rPr>
          <w:color w:val="000000"/>
          <w:sz w:val="24"/>
          <w:szCs w:val="24"/>
        </w:rPr>
      </w:pPr>
      <w:r w:rsidRPr="0000279E">
        <w:rPr>
          <w:b/>
          <w:sz w:val="24"/>
          <w:szCs w:val="24"/>
        </w:rPr>
        <w:t>Primære endepunkt</w:t>
      </w:r>
    </w:p>
    <w:p w14:paraId="7CFE9B88"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441AE6" w14:paraId="3C7E7DB7"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A1BCF9"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2DDB6D02"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55F1A351"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3213401B" w14:textId="77777777" w:rsidR="00441AE6" w:rsidRPr="00F76215" w:rsidRDefault="00441AE6" w:rsidP="00F76215">
            <w:pPr>
              <w:autoSpaceDE w:val="0"/>
              <w:autoSpaceDN w:val="0"/>
              <w:adjustRightInd w:val="0"/>
              <w:jc w:val="center"/>
              <w:rPr>
                <w:sz w:val="16"/>
                <w:szCs w:val="16"/>
                <w:lang w:val="sv-SE"/>
              </w:rPr>
            </w:pPr>
          </w:p>
          <w:p w14:paraId="278F11F1"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36B024FD" w14:textId="77777777" w:rsidR="00441AE6" w:rsidRDefault="00441AE6" w:rsidP="00F76215">
            <w:pPr>
              <w:autoSpaceDE w:val="0"/>
              <w:autoSpaceDN w:val="0"/>
              <w:adjustRightInd w:val="0"/>
              <w:jc w:val="center"/>
              <w:rPr>
                <w:b/>
                <w:szCs w:val="22"/>
                <w:lang w:val="en-GB"/>
              </w:rPr>
            </w:pPr>
            <w:r>
              <w:rPr>
                <w:b/>
                <w:szCs w:val="22"/>
                <w:lang w:val="en-GB"/>
              </w:rPr>
              <w:t>Placebo</w:t>
            </w:r>
          </w:p>
          <w:p w14:paraId="1E87E0F8"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DCE4283" w14:textId="77777777" w:rsidR="00441AE6" w:rsidRDefault="00441AE6" w:rsidP="00F76215">
            <w:pPr>
              <w:autoSpaceDE w:val="0"/>
              <w:autoSpaceDN w:val="0"/>
              <w:adjustRightInd w:val="0"/>
              <w:jc w:val="center"/>
              <w:rPr>
                <w:sz w:val="16"/>
                <w:szCs w:val="16"/>
                <w:lang w:val="en-GB"/>
              </w:rPr>
            </w:pPr>
          </w:p>
          <w:p w14:paraId="4CDA932D"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4CFB4A"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3C512CD6"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31D766"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40212CBC"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BE097A"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55C003DF"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BA99AA3"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Rhinokonjunktivitis</w:t>
            </w:r>
            <w:proofErr w:type="spellEnd"/>
          </w:p>
          <w:p w14:paraId="149E5228"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C29470" w14:textId="77777777" w:rsidR="00441AE6" w:rsidRDefault="00441AE6" w:rsidP="00F76215">
            <w:pPr>
              <w:autoSpaceDE w:val="0"/>
              <w:autoSpaceDN w:val="0"/>
              <w:adjustRightInd w:val="0"/>
              <w:jc w:val="center"/>
              <w:rPr>
                <w:sz w:val="18"/>
                <w:szCs w:val="18"/>
                <w:lang w:val="en-GB"/>
              </w:rPr>
            </w:pPr>
            <w:r>
              <w:rPr>
                <w:sz w:val="18"/>
                <w:szCs w:val="18"/>
                <w:lang w:val="en-GB"/>
              </w:rPr>
              <w:t>3,25 (2,86)</w:t>
            </w:r>
          </w:p>
          <w:p w14:paraId="7BC5403C" w14:textId="77777777" w:rsidR="00441AE6" w:rsidRDefault="00441AE6" w:rsidP="00F76215">
            <w:pPr>
              <w:autoSpaceDE w:val="0"/>
              <w:autoSpaceDN w:val="0"/>
              <w:adjustRightInd w:val="0"/>
              <w:jc w:val="center"/>
              <w:rPr>
                <w:i/>
                <w:sz w:val="18"/>
                <w:szCs w:val="18"/>
                <w:lang w:val="en-GB"/>
              </w:rPr>
            </w:pPr>
            <w:r>
              <w:rPr>
                <w:i/>
                <w:sz w:val="18"/>
                <w:szCs w:val="18"/>
                <w:lang w:val="en-GB"/>
              </w:rPr>
              <w:t>2,48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3E3CCD" w14:textId="77777777" w:rsidR="00441AE6" w:rsidRDefault="00441AE6" w:rsidP="00F76215">
            <w:pPr>
              <w:autoSpaceDE w:val="0"/>
              <w:autoSpaceDN w:val="0"/>
              <w:adjustRightInd w:val="0"/>
              <w:jc w:val="center"/>
              <w:rPr>
                <w:sz w:val="18"/>
                <w:szCs w:val="18"/>
                <w:lang w:val="en-GB"/>
              </w:rPr>
            </w:pPr>
            <w:r>
              <w:rPr>
                <w:sz w:val="18"/>
                <w:szCs w:val="18"/>
                <w:lang w:val="en-GB"/>
              </w:rPr>
              <w:t>4,51 (2,93)</w:t>
            </w:r>
          </w:p>
          <w:p w14:paraId="43AF59D1" w14:textId="77777777" w:rsidR="00441AE6" w:rsidRDefault="00441AE6" w:rsidP="00F76215">
            <w:pPr>
              <w:autoSpaceDE w:val="0"/>
              <w:autoSpaceDN w:val="0"/>
              <w:adjustRightInd w:val="0"/>
              <w:jc w:val="center"/>
              <w:rPr>
                <w:i/>
                <w:sz w:val="18"/>
                <w:szCs w:val="18"/>
                <w:lang w:val="en-GB"/>
              </w:rPr>
            </w:pPr>
            <w:r>
              <w:rPr>
                <w:i/>
                <w:sz w:val="18"/>
                <w:szCs w:val="18"/>
                <w:lang w:val="en-GB"/>
              </w:rPr>
              <w:t>4,08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157C7F" w14:textId="77777777" w:rsidR="00441AE6" w:rsidRDefault="00441AE6" w:rsidP="00F76215">
            <w:pPr>
              <w:autoSpaceDE w:val="0"/>
              <w:autoSpaceDN w:val="0"/>
              <w:adjustRightInd w:val="0"/>
              <w:jc w:val="center"/>
              <w:rPr>
                <w:sz w:val="18"/>
                <w:szCs w:val="18"/>
                <w:lang w:val="en-GB"/>
              </w:rPr>
            </w:pPr>
            <w:r>
              <w:rPr>
                <w:sz w:val="18"/>
                <w:szCs w:val="18"/>
                <w:lang w:val="en-GB"/>
              </w:rPr>
              <w:t>-1,13 [-1,80; -0,46]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55D840" w14:textId="77777777" w:rsidR="00441AE6" w:rsidRDefault="00441AE6" w:rsidP="00F76215">
            <w:pPr>
              <w:autoSpaceDE w:val="0"/>
              <w:autoSpaceDN w:val="0"/>
              <w:adjustRightInd w:val="0"/>
              <w:jc w:val="center"/>
              <w:rPr>
                <w:sz w:val="18"/>
                <w:szCs w:val="18"/>
                <w:lang w:val="en-GB"/>
              </w:rPr>
            </w:pPr>
            <w:r>
              <w:rPr>
                <w:sz w:val="18"/>
                <w:szCs w:val="18"/>
                <w:lang w:val="en-GB"/>
              </w:rPr>
              <w:t>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55C6FF" w14:textId="77777777" w:rsidR="00441AE6" w:rsidRDefault="00441AE6" w:rsidP="00F76215">
            <w:pPr>
              <w:autoSpaceDE w:val="0"/>
              <w:autoSpaceDN w:val="0"/>
              <w:adjustRightInd w:val="0"/>
              <w:jc w:val="center"/>
              <w:rPr>
                <w:sz w:val="18"/>
                <w:szCs w:val="18"/>
                <w:lang w:val="en-GB"/>
              </w:rPr>
            </w:pPr>
            <w:r>
              <w:rPr>
                <w:sz w:val="18"/>
                <w:szCs w:val="18"/>
                <w:lang w:val="en-GB"/>
              </w:rPr>
              <w:t>0,001</w:t>
            </w:r>
          </w:p>
        </w:tc>
      </w:tr>
    </w:tbl>
    <w:p w14:paraId="426156AE" w14:textId="77777777" w:rsidR="00441AE6" w:rsidRDefault="00441AE6" w:rsidP="00441AE6">
      <w:pPr>
        <w:rPr>
          <w:sz w:val="20"/>
        </w:rPr>
      </w:pPr>
      <w:r>
        <w:rPr>
          <w:sz w:val="20"/>
        </w:rPr>
        <w:t>*Relativ gennemsnitlig forskel: Absolut forskel / Placebo</w:t>
      </w:r>
    </w:p>
    <w:p w14:paraId="2B4734CB" w14:textId="77777777" w:rsidR="00441AE6" w:rsidRDefault="00441AE6" w:rsidP="00441AE6">
      <w:pPr>
        <w:rPr>
          <w:sz w:val="20"/>
        </w:rPr>
      </w:pPr>
      <w:r>
        <w:rPr>
          <w:sz w:val="20"/>
        </w:rPr>
        <w:t xml:space="preserve">** </w:t>
      </w:r>
      <w:proofErr w:type="spellStart"/>
      <w:r>
        <w:rPr>
          <w:sz w:val="20"/>
        </w:rPr>
        <w:t>p-værdi</w:t>
      </w:r>
      <w:proofErr w:type="spellEnd"/>
      <w:r>
        <w:rPr>
          <w:sz w:val="20"/>
        </w:rPr>
        <w:t xml:space="preserve"> ANCOVA</w:t>
      </w:r>
    </w:p>
    <w:p w14:paraId="65C11295" w14:textId="77777777" w:rsidR="00441AE6" w:rsidRDefault="00441AE6" w:rsidP="00441AE6">
      <w:pPr>
        <w:rPr>
          <w:sz w:val="20"/>
        </w:rPr>
      </w:pPr>
      <w:r>
        <w:rPr>
          <w:sz w:val="20"/>
          <w:vertAlign w:val="superscript"/>
        </w:rPr>
        <w:t>A</w:t>
      </w:r>
      <w:r>
        <w:rPr>
          <w:sz w:val="20"/>
        </w:rPr>
        <w:t xml:space="preserve"> Symptomscore: Gennemsnitlig daglig samlet </w:t>
      </w:r>
      <w:proofErr w:type="spellStart"/>
      <w:r>
        <w:rPr>
          <w:sz w:val="20"/>
        </w:rPr>
        <w:t>rhinokonjunktivitis</w:t>
      </w:r>
      <w:proofErr w:type="spellEnd"/>
      <w:r>
        <w:rPr>
          <w:sz w:val="20"/>
        </w:rPr>
        <w:t xml:space="preserve">-symptomscore for hver patient i løbet af græspollensæsonen. </w:t>
      </w:r>
      <w:proofErr w:type="spellStart"/>
      <w:r>
        <w:rPr>
          <w:sz w:val="20"/>
        </w:rPr>
        <w:t>Rhinokonjunktivitis</w:t>
      </w:r>
      <w:proofErr w:type="spellEnd"/>
      <w:r>
        <w:rPr>
          <w:sz w:val="20"/>
        </w:rPr>
        <w:t xml:space="preserve"> symptomer omfattede </w:t>
      </w:r>
      <w:proofErr w:type="spellStart"/>
      <w:r>
        <w:rPr>
          <w:sz w:val="20"/>
        </w:rPr>
        <w:t>nysen</w:t>
      </w:r>
      <w:proofErr w:type="spellEnd"/>
      <w:r>
        <w:rPr>
          <w:sz w:val="20"/>
        </w:rPr>
        <w:t>, næseflåd, kløende næse, tilstopning af næsen, rindende øjne og kløende øjne (scoreinterval på 0-18,</w:t>
      </w:r>
      <w:r>
        <w:rPr>
          <w:b/>
          <w:bCs/>
          <w:sz w:val="20"/>
        </w:rPr>
        <w:t xml:space="preserve"> </w:t>
      </w:r>
      <w:r>
        <w:rPr>
          <w:sz w:val="20"/>
        </w:rPr>
        <w:t>den øverste værdi 18 er udtryk for et permanent meget alvorligt niveau af alle seks symptomer).</w:t>
      </w:r>
    </w:p>
    <w:p w14:paraId="3AF2B8DE" w14:textId="77777777" w:rsidR="00441AE6" w:rsidRPr="0000279E" w:rsidRDefault="00441AE6" w:rsidP="00441AE6">
      <w:pPr>
        <w:rPr>
          <w:sz w:val="24"/>
          <w:szCs w:val="24"/>
        </w:rPr>
      </w:pPr>
    </w:p>
    <w:p w14:paraId="0CAAF538" w14:textId="77777777" w:rsidR="00441AE6" w:rsidRPr="0000279E" w:rsidRDefault="00441AE6" w:rsidP="00441AE6">
      <w:pPr>
        <w:rPr>
          <w:color w:val="000000"/>
          <w:sz w:val="24"/>
          <w:szCs w:val="24"/>
        </w:rPr>
      </w:pPr>
      <w:r w:rsidRPr="0000279E">
        <w:rPr>
          <w:b/>
          <w:sz w:val="24"/>
          <w:szCs w:val="24"/>
        </w:rPr>
        <w:lastRenderedPageBreak/>
        <w:t>Sekundære endepunkter</w:t>
      </w:r>
    </w:p>
    <w:p w14:paraId="158E0D49"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172"/>
        <w:gridCol w:w="1123"/>
        <w:gridCol w:w="2335"/>
        <w:gridCol w:w="2112"/>
        <w:gridCol w:w="1086"/>
      </w:tblGrid>
      <w:tr w:rsidR="00441AE6" w14:paraId="1C8F6F82"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A055E2"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730B6097"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1685887B"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1BD18178" w14:textId="77777777" w:rsidR="00441AE6" w:rsidRPr="00F76215" w:rsidRDefault="00441AE6" w:rsidP="00F76215">
            <w:pPr>
              <w:autoSpaceDE w:val="0"/>
              <w:autoSpaceDN w:val="0"/>
              <w:adjustRightInd w:val="0"/>
              <w:jc w:val="center"/>
              <w:rPr>
                <w:sz w:val="16"/>
                <w:szCs w:val="16"/>
                <w:lang w:val="sv-SE"/>
              </w:rPr>
            </w:pPr>
          </w:p>
          <w:p w14:paraId="4F60A791"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4A0950BF" w14:textId="77777777" w:rsidR="00441AE6" w:rsidRDefault="00441AE6" w:rsidP="00F76215">
            <w:pPr>
              <w:autoSpaceDE w:val="0"/>
              <w:autoSpaceDN w:val="0"/>
              <w:adjustRightInd w:val="0"/>
              <w:jc w:val="center"/>
              <w:rPr>
                <w:b/>
                <w:szCs w:val="22"/>
                <w:lang w:val="en-GB"/>
              </w:rPr>
            </w:pPr>
            <w:r>
              <w:rPr>
                <w:b/>
                <w:szCs w:val="22"/>
                <w:lang w:val="en-GB"/>
              </w:rPr>
              <w:t>Placebo</w:t>
            </w:r>
          </w:p>
          <w:p w14:paraId="626B9EE1"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5BB025E" w14:textId="77777777" w:rsidR="00441AE6" w:rsidRDefault="00441AE6" w:rsidP="00F76215">
            <w:pPr>
              <w:autoSpaceDE w:val="0"/>
              <w:autoSpaceDN w:val="0"/>
              <w:adjustRightInd w:val="0"/>
              <w:jc w:val="center"/>
              <w:rPr>
                <w:sz w:val="16"/>
                <w:szCs w:val="16"/>
                <w:lang w:val="en-GB"/>
              </w:rPr>
            </w:pPr>
          </w:p>
          <w:p w14:paraId="0256A7D2"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70C455"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6E28CEB0"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8E36AA"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20D3F3FF"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44481D"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70F0985A" w14:textId="77777777" w:rsidTr="00F76215">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B58227"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B</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4EE749" w14:textId="77777777" w:rsidR="00441AE6" w:rsidRDefault="00441AE6" w:rsidP="00F76215">
            <w:pPr>
              <w:autoSpaceDE w:val="0"/>
              <w:autoSpaceDN w:val="0"/>
              <w:adjustRightInd w:val="0"/>
              <w:jc w:val="center"/>
              <w:rPr>
                <w:sz w:val="18"/>
                <w:szCs w:val="18"/>
                <w:lang w:val="en-GB"/>
              </w:rPr>
            </w:pPr>
            <w:r>
              <w:rPr>
                <w:sz w:val="18"/>
                <w:szCs w:val="18"/>
                <w:lang w:val="en-GB"/>
              </w:rPr>
              <w:t>0,60 (0,61)</w:t>
            </w:r>
          </w:p>
          <w:p w14:paraId="710BC28B" w14:textId="77777777" w:rsidR="00441AE6" w:rsidRDefault="00441AE6" w:rsidP="00F76215">
            <w:pPr>
              <w:autoSpaceDE w:val="0"/>
              <w:autoSpaceDN w:val="0"/>
              <w:adjustRightInd w:val="0"/>
              <w:jc w:val="center"/>
              <w:rPr>
                <w:sz w:val="18"/>
                <w:szCs w:val="18"/>
                <w:lang w:val="en-GB"/>
              </w:rPr>
            </w:pPr>
            <w:r>
              <w:rPr>
                <w:i/>
                <w:sz w:val="18"/>
                <w:szCs w:val="18"/>
                <w:lang w:val="en-GB"/>
              </w:rPr>
              <w:t>0,39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334554" w14:textId="77777777" w:rsidR="00441AE6" w:rsidRDefault="00441AE6" w:rsidP="00F76215">
            <w:pPr>
              <w:autoSpaceDE w:val="0"/>
              <w:autoSpaceDN w:val="0"/>
              <w:adjustRightInd w:val="0"/>
              <w:jc w:val="center"/>
              <w:rPr>
                <w:sz w:val="18"/>
                <w:szCs w:val="18"/>
                <w:lang w:val="en-GB"/>
              </w:rPr>
            </w:pPr>
            <w:r>
              <w:rPr>
                <w:sz w:val="18"/>
                <w:szCs w:val="18"/>
                <w:lang w:val="en-GB"/>
              </w:rPr>
              <w:t>0,79 (0,65)</w:t>
            </w:r>
          </w:p>
          <w:p w14:paraId="28F7AB04" w14:textId="77777777" w:rsidR="00441AE6" w:rsidRDefault="00441AE6" w:rsidP="00F76215">
            <w:pPr>
              <w:autoSpaceDE w:val="0"/>
              <w:autoSpaceDN w:val="0"/>
              <w:adjustRightInd w:val="0"/>
              <w:jc w:val="center"/>
              <w:rPr>
                <w:sz w:val="18"/>
                <w:szCs w:val="18"/>
                <w:lang w:val="en-GB"/>
              </w:rPr>
            </w:pPr>
            <w:r>
              <w:rPr>
                <w:i/>
                <w:sz w:val="18"/>
                <w:szCs w:val="18"/>
                <w:lang w:val="en-GB"/>
              </w:rPr>
              <w:t>0,76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6889E7" w14:textId="77777777" w:rsidR="00441AE6" w:rsidRDefault="00441AE6" w:rsidP="00F76215">
            <w:pPr>
              <w:autoSpaceDE w:val="0"/>
              <w:autoSpaceDN w:val="0"/>
              <w:adjustRightInd w:val="0"/>
              <w:jc w:val="center"/>
              <w:rPr>
                <w:sz w:val="18"/>
                <w:szCs w:val="18"/>
                <w:lang w:val="en-GB"/>
              </w:rPr>
            </w:pPr>
            <w:r>
              <w:rPr>
                <w:sz w:val="18"/>
                <w:szCs w:val="18"/>
                <w:lang w:val="en-GB"/>
              </w:rPr>
              <w:t>-0,20 [-0,34; -0,06]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7F2768" w14:textId="77777777" w:rsidR="00441AE6" w:rsidRDefault="00441AE6" w:rsidP="00F76215">
            <w:pPr>
              <w:autoSpaceDE w:val="0"/>
              <w:autoSpaceDN w:val="0"/>
              <w:adjustRightInd w:val="0"/>
              <w:jc w:val="center"/>
              <w:rPr>
                <w:sz w:val="18"/>
                <w:szCs w:val="18"/>
                <w:lang w:val="en-GB"/>
              </w:rPr>
            </w:pPr>
            <w:r>
              <w:rPr>
                <w:sz w:val="18"/>
                <w:szCs w:val="18"/>
                <w:lang w:val="en-GB"/>
              </w:rPr>
              <w:t>24,1 %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177501" w14:textId="77777777" w:rsidR="00441AE6" w:rsidRDefault="00441AE6" w:rsidP="00F76215">
            <w:pPr>
              <w:autoSpaceDE w:val="0"/>
              <w:autoSpaceDN w:val="0"/>
              <w:adjustRightInd w:val="0"/>
              <w:jc w:val="center"/>
              <w:rPr>
                <w:sz w:val="18"/>
                <w:szCs w:val="18"/>
                <w:lang w:val="en-GB"/>
              </w:rPr>
            </w:pPr>
            <w:r>
              <w:rPr>
                <w:sz w:val="18"/>
                <w:szCs w:val="18"/>
                <w:lang w:val="en-GB"/>
              </w:rPr>
              <w:t>0,0064</w:t>
            </w:r>
          </w:p>
        </w:tc>
      </w:tr>
      <w:tr w:rsidR="00441AE6" w14:paraId="2A2430C9" w14:textId="77777777" w:rsidTr="00F76215">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11B199"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r>
              <w:rPr>
                <w:sz w:val="18"/>
                <w:szCs w:val="18"/>
                <w:vertAlign w:val="superscript"/>
                <w:lang w:val="en-GB"/>
              </w:rPr>
              <w:t>C</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D732FF" w14:textId="77777777" w:rsidR="00441AE6" w:rsidRDefault="00441AE6" w:rsidP="00F76215">
            <w:pPr>
              <w:autoSpaceDE w:val="0"/>
              <w:autoSpaceDN w:val="0"/>
              <w:adjustRightInd w:val="0"/>
              <w:jc w:val="center"/>
              <w:rPr>
                <w:sz w:val="18"/>
                <w:szCs w:val="18"/>
                <w:lang w:val="en-GB"/>
              </w:rPr>
            </w:pPr>
            <w:r>
              <w:rPr>
                <w:sz w:val="18"/>
                <w:szCs w:val="18"/>
                <w:lang w:val="en-GB"/>
              </w:rPr>
              <w:t>35,4 % (33,2)</w:t>
            </w:r>
          </w:p>
          <w:p w14:paraId="58CC1024" w14:textId="77777777" w:rsidR="00441AE6" w:rsidRDefault="00441AE6" w:rsidP="00F76215">
            <w:pPr>
              <w:autoSpaceDE w:val="0"/>
              <w:autoSpaceDN w:val="0"/>
              <w:adjustRightInd w:val="0"/>
              <w:jc w:val="center"/>
              <w:rPr>
                <w:i/>
                <w:sz w:val="18"/>
                <w:szCs w:val="18"/>
                <w:lang w:val="en-GB"/>
              </w:rPr>
            </w:pPr>
            <w:r>
              <w:rPr>
                <w:i/>
                <w:sz w:val="18"/>
                <w:szCs w:val="18"/>
                <w:lang w:val="en-GB"/>
              </w:rPr>
              <w:t>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941510" w14:textId="77777777" w:rsidR="00441AE6" w:rsidRDefault="00441AE6" w:rsidP="00F76215">
            <w:pPr>
              <w:autoSpaceDE w:val="0"/>
              <w:autoSpaceDN w:val="0"/>
              <w:adjustRightInd w:val="0"/>
              <w:jc w:val="center"/>
              <w:rPr>
                <w:sz w:val="18"/>
                <w:szCs w:val="18"/>
                <w:lang w:val="en-GB"/>
              </w:rPr>
            </w:pPr>
            <w:r>
              <w:rPr>
                <w:sz w:val="18"/>
                <w:szCs w:val="18"/>
                <w:lang w:val="en-GB"/>
              </w:rPr>
              <w:t>46,5 % (34,6)</w:t>
            </w:r>
          </w:p>
          <w:p w14:paraId="76F8D46F" w14:textId="77777777" w:rsidR="00441AE6" w:rsidRDefault="00441AE6" w:rsidP="00F76215">
            <w:pPr>
              <w:autoSpaceDE w:val="0"/>
              <w:autoSpaceDN w:val="0"/>
              <w:adjustRightInd w:val="0"/>
              <w:jc w:val="center"/>
              <w:rPr>
                <w:i/>
                <w:sz w:val="18"/>
                <w:szCs w:val="18"/>
                <w:lang w:val="en-GB"/>
              </w:rPr>
            </w:pPr>
            <w:r>
              <w:rPr>
                <w:i/>
                <w:sz w:val="18"/>
                <w:szCs w:val="18"/>
                <w:lang w:val="en-GB"/>
              </w:rPr>
              <w:t>49,0 %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FAAD6C"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DBCEE5"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9CE5AE" w14:textId="77777777" w:rsidR="00441AE6" w:rsidRDefault="00441AE6" w:rsidP="00F76215">
            <w:pPr>
              <w:autoSpaceDE w:val="0"/>
              <w:autoSpaceDN w:val="0"/>
              <w:adjustRightInd w:val="0"/>
              <w:jc w:val="center"/>
              <w:rPr>
                <w:sz w:val="18"/>
                <w:szCs w:val="18"/>
                <w:lang w:val="en-GB"/>
              </w:rPr>
            </w:pPr>
            <w:r>
              <w:rPr>
                <w:sz w:val="18"/>
                <w:szCs w:val="18"/>
                <w:lang w:val="en-GB"/>
              </w:rPr>
              <w:t>-</w:t>
            </w:r>
          </w:p>
        </w:tc>
      </w:tr>
    </w:tbl>
    <w:p w14:paraId="49704A23" w14:textId="77777777" w:rsidR="00441AE6" w:rsidRDefault="00441AE6" w:rsidP="00441AE6">
      <w:pPr>
        <w:autoSpaceDE w:val="0"/>
        <w:autoSpaceDN w:val="0"/>
        <w:adjustRightInd w:val="0"/>
        <w:rPr>
          <w:sz w:val="20"/>
        </w:rPr>
      </w:pPr>
      <w:r>
        <w:rPr>
          <w:sz w:val="20"/>
        </w:rPr>
        <w:t>* Relativ gennemsnitlig forskel: Absolut forskel / Placebo</w:t>
      </w:r>
    </w:p>
    <w:p w14:paraId="73D9069D" w14:textId="77777777" w:rsidR="00441AE6" w:rsidRDefault="00441AE6" w:rsidP="00441AE6">
      <w:pPr>
        <w:autoSpaceDE w:val="0"/>
        <w:autoSpaceDN w:val="0"/>
        <w:adjustRightInd w:val="0"/>
        <w:rPr>
          <w:sz w:val="20"/>
        </w:rPr>
      </w:pPr>
      <w:r>
        <w:rPr>
          <w:sz w:val="20"/>
        </w:rPr>
        <w:t>**</w:t>
      </w:r>
      <w:proofErr w:type="spellStart"/>
      <w:r>
        <w:rPr>
          <w:sz w:val="20"/>
        </w:rPr>
        <w:t>p-værdi</w:t>
      </w:r>
      <w:proofErr w:type="spellEnd"/>
      <w:r>
        <w:rPr>
          <w:sz w:val="20"/>
        </w:rPr>
        <w:t xml:space="preserve"> ANCOVA</w:t>
      </w:r>
    </w:p>
    <w:p w14:paraId="67DFB66F" w14:textId="77777777" w:rsidR="00441AE6" w:rsidRDefault="00441AE6" w:rsidP="00441AE6">
      <w:pPr>
        <w:rPr>
          <w:sz w:val="20"/>
        </w:rPr>
      </w:pPr>
      <w:r>
        <w:rPr>
          <w:sz w:val="20"/>
          <w:vertAlign w:val="superscript"/>
        </w:rPr>
        <w:t>B</w:t>
      </w:r>
      <w:r>
        <w:rPr>
          <w:sz w:val="20"/>
        </w:rPr>
        <w:t xml:space="preserve"> Gennemsnitlig score for nødmedicin: Gennemsnitlig daglig score for nødmedicin for alle patienter i løbet af græspollensæsonen. De anvendte lægemidler blev givet score som følger: ingen nødmedicin = 0, antihistaminer (oral og/eller </w:t>
      </w:r>
      <w:proofErr w:type="spellStart"/>
      <w:r>
        <w:rPr>
          <w:sz w:val="20"/>
        </w:rPr>
        <w:t>okulær</w:t>
      </w:r>
      <w:proofErr w:type="spellEnd"/>
      <w:r>
        <w:rPr>
          <w:sz w:val="20"/>
        </w:rPr>
        <w:t xml:space="preserve">) = 1, intranasale </w:t>
      </w:r>
      <w:proofErr w:type="spellStart"/>
      <w:r>
        <w:rPr>
          <w:sz w:val="20"/>
        </w:rPr>
        <w:t>kortikosteroider</w:t>
      </w:r>
      <w:proofErr w:type="spellEnd"/>
      <w:r>
        <w:rPr>
          <w:sz w:val="20"/>
        </w:rPr>
        <w:t xml:space="preserve"> = 2 og orale </w:t>
      </w:r>
      <w:proofErr w:type="spellStart"/>
      <w:r>
        <w:rPr>
          <w:sz w:val="20"/>
        </w:rPr>
        <w:t>kortikosteroider</w:t>
      </w:r>
      <w:proofErr w:type="spellEnd"/>
      <w:r>
        <w:rPr>
          <w:sz w:val="20"/>
        </w:rPr>
        <w:t xml:space="preserve"> = 3.</w:t>
      </w:r>
    </w:p>
    <w:p w14:paraId="0C66B4D7" w14:textId="77777777" w:rsidR="00441AE6" w:rsidRDefault="00441AE6" w:rsidP="00441AE6">
      <w:pPr>
        <w:autoSpaceDE w:val="0"/>
        <w:autoSpaceDN w:val="0"/>
        <w:adjustRightInd w:val="0"/>
        <w:rPr>
          <w:sz w:val="20"/>
        </w:rPr>
      </w:pPr>
      <w:r>
        <w:rPr>
          <w:sz w:val="18"/>
          <w:szCs w:val="18"/>
          <w:vertAlign w:val="superscript"/>
        </w:rPr>
        <w:t>C</w:t>
      </w:r>
      <w:r>
        <w:rPr>
          <w:sz w:val="20"/>
        </w:rPr>
        <w:t xml:space="preserve"> Brug af nødmedicin: Procentdel af dage pr. patient med mindst en gang brug af nødmedicin, </w:t>
      </w:r>
      <w:proofErr w:type="spellStart"/>
      <w:r>
        <w:rPr>
          <w:sz w:val="20"/>
        </w:rPr>
        <w:t>p-værdi</w:t>
      </w:r>
      <w:proofErr w:type="spellEnd"/>
      <w:r>
        <w:rPr>
          <w:sz w:val="20"/>
        </w:rPr>
        <w:t xml:space="preserve"> 0,0146 NS (</w:t>
      </w:r>
      <w:proofErr w:type="spellStart"/>
      <w:r>
        <w:rPr>
          <w:sz w:val="20"/>
        </w:rPr>
        <w:t>Wilcoxon</w:t>
      </w:r>
      <w:proofErr w:type="spellEnd"/>
      <w:r>
        <w:rPr>
          <w:sz w:val="20"/>
        </w:rPr>
        <w:t>).</w:t>
      </w:r>
    </w:p>
    <w:p w14:paraId="5B3460E3" w14:textId="77777777" w:rsidR="00441AE6" w:rsidRDefault="00441AE6" w:rsidP="00441AE6">
      <w:pPr>
        <w:pStyle w:val="Default"/>
        <w:rPr>
          <w:sz w:val="22"/>
          <w:szCs w:val="22"/>
          <w:u w:val="single"/>
          <w:lang w:val="da-DK"/>
        </w:rPr>
      </w:pPr>
    </w:p>
    <w:p w14:paraId="0375DAEE" w14:textId="77777777" w:rsidR="00441AE6" w:rsidRPr="0000279E" w:rsidRDefault="00441AE6" w:rsidP="00441AE6">
      <w:pPr>
        <w:pStyle w:val="Default"/>
        <w:ind w:left="851"/>
        <w:rPr>
          <w:sz w:val="24"/>
          <w:szCs w:val="24"/>
          <w:lang w:val="da-DK"/>
        </w:rPr>
      </w:pPr>
      <w:r w:rsidRPr="0000279E">
        <w:rPr>
          <w:sz w:val="24"/>
          <w:szCs w:val="24"/>
          <w:lang w:val="da-DK"/>
        </w:rPr>
        <w:t xml:space="preserve">Individuel symptomscore: ANCOVA-resultaterne for hver af de seks individuelle gennemsnitlige symptomscorer fra 0 til 3 viste en forskel til fordel for 300 RI </w:t>
      </w:r>
      <w:proofErr w:type="spellStart"/>
      <w:r w:rsidRPr="0000279E">
        <w:rPr>
          <w:sz w:val="24"/>
          <w:szCs w:val="24"/>
          <w:lang w:val="da-DK"/>
        </w:rPr>
        <w:t>resoribletten</w:t>
      </w:r>
      <w:proofErr w:type="spellEnd"/>
      <w:r w:rsidRPr="0000279E">
        <w:rPr>
          <w:sz w:val="24"/>
          <w:szCs w:val="24"/>
          <w:lang w:val="da-DK"/>
        </w:rPr>
        <w:t xml:space="preserve"> i forhold til placebo med hensyn til næseflåd (-0,16), tilstoppet næse (-0,26), kløende øjne (-0,33) og rindende øjne (</w:t>
      </w:r>
      <w:r w:rsidRPr="0000279E">
        <w:rPr>
          <w:sz w:val="24"/>
          <w:szCs w:val="24"/>
          <w:lang w:val="da-DK"/>
        </w:rPr>
        <w:noBreakHyphen/>
        <w:t xml:space="preserve">0,21). </w:t>
      </w:r>
    </w:p>
    <w:p w14:paraId="5B5C969B" w14:textId="77777777" w:rsidR="00441AE6" w:rsidRPr="0000279E" w:rsidRDefault="00441AE6" w:rsidP="00441AE6">
      <w:pPr>
        <w:pStyle w:val="Default"/>
        <w:ind w:left="851"/>
        <w:rPr>
          <w:sz w:val="24"/>
          <w:szCs w:val="24"/>
          <w:lang w:val="da-DK"/>
        </w:rPr>
      </w:pPr>
    </w:p>
    <w:p w14:paraId="0A0A905A" w14:textId="77777777" w:rsidR="00441AE6" w:rsidRPr="0000279E" w:rsidRDefault="00441AE6" w:rsidP="00441AE6">
      <w:pPr>
        <w:ind w:left="851"/>
        <w:rPr>
          <w:sz w:val="24"/>
          <w:szCs w:val="24"/>
        </w:rPr>
      </w:pPr>
      <w:r w:rsidRPr="0000279E">
        <w:rPr>
          <w:sz w:val="24"/>
          <w:szCs w:val="24"/>
        </w:rPr>
        <w:t>Andelen af patienter, der ikke anvendte nødmedicin, var 18,3 % i gruppen med 300 RI og 14,8 % i placebogruppen (NS).</w:t>
      </w:r>
    </w:p>
    <w:p w14:paraId="52509094" w14:textId="77777777" w:rsidR="00441AE6" w:rsidRPr="0000279E" w:rsidRDefault="00441AE6" w:rsidP="00441AE6">
      <w:pPr>
        <w:ind w:left="851"/>
        <w:outlineLvl w:val="0"/>
        <w:rPr>
          <w:rFonts w:eastAsia="SimSun"/>
          <w:sz w:val="24"/>
          <w:szCs w:val="24"/>
          <w:lang w:eastAsia="zh-CN"/>
        </w:rPr>
      </w:pPr>
    </w:p>
    <w:p w14:paraId="77C76D55" w14:textId="77777777" w:rsidR="00441AE6" w:rsidRPr="0000279E" w:rsidRDefault="00441AE6" w:rsidP="00441AE6">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38BA417A" w14:textId="77777777" w:rsidR="00441AE6" w:rsidRPr="0000279E" w:rsidRDefault="00441AE6" w:rsidP="00441AE6">
      <w:pPr>
        <w:ind w:left="851"/>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184"/>
        <w:gridCol w:w="1130"/>
        <w:gridCol w:w="2375"/>
        <w:gridCol w:w="2121"/>
        <w:gridCol w:w="986"/>
      </w:tblGrid>
      <w:tr w:rsidR="00441AE6" w14:paraId="6C74C64B"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C6EB8DD"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1EB6E46F"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69662A3F"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0F6FAE5F" w14:textId="77777777" w:rsidR="00441AE6" w:rsidRPr="00F76215" w:rsidRDefault="00441AE6" w:rsidP="00F76215">
            <w:pPr>
              <w:autoSpaceDE w:val="0"/>
              <w:autoSpaceDN w:val="0"/>
              <w:adjustRightInd w:val="0"/>
              <w:jc w:val="center"/>
              <w:rPr>
                <w:sz w:val="16"/>
                <w:szCs w:val="16"/>
                <w:lang w:val="sv-SE"/>
              </w:rPr>
            </w:pPr>
          </w:p>
          <w:p w14:paraId="4A81332D"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99515D2" w14:textId="77777777" w:rsidR="00441AE6" w:rsidRDefault="00441AE6" w:rsidP="00F76215">
            <w:pPr>
              <w:autoSpaceDE w:val="0"/>
              <w:autoSpaceDN w:val="0"/>
              <w:adjustRightInd w:val="0"/>
              <w:jc w:val="center"/>
              <w:rPr>
                <w:b/>
                <w:szCs w:val="22"/>
                <w:lang w:val="en-GB"/>
              </w:rPr>
            </w:pPr>
            <w:r>
              <w:rPr>
                <w:b/>
                <w:szCs w:val="22"/>
                <w:lang w:val="en-GB"/>
              </w:rPr>
              <w:t>Placebo</w:t>
            </w:r>
          </w:p>
          <w:p w14:paraId="4772F646"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205EC53B" w14:textId="77777777" w:rsidR="00441AE6" w:rsidRDefault="00441AE6" w:rsidP="00F76215">
            <w:pPr>
              <w:autoSpaceDE w:val="0"/>
              <w:autoSpaceDN w:val="0"/>
              <w:adjustRightInd w:val="0"/>
              <w:jc w:val="center"/>
              <w:rPr>
                <w:sz w:val="16"/>
                <w:szCs w:val="16"/>
                <w:lang w:val="en-GB"/>
              </w:rPr>
            </w:pPr>
          </w:p>
          <w:p w14:paraId="6EC12E30"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15EBC4"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58026949"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E005D"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35B0F0BD"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104D5D"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p>
        </w:tc>
      </w:tr>
      <w:tr w:rsidR="00441AE6" w14:paraId="3575ED90"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E81F75"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p>
          <w:p w14:paraId="220BC138" w14:textId="77777777" w:rsidR="00441AE6" w:rsidRDefault="00441AE6" w:rsidP="00F76215">
            <w:pPr>
              <w:autoSpaceDE w:val="0"/>
              <w:autoSpaceDN w:val="0"/>
              <w:adjustRightInd w:val="0"/>
              <w:jc w:val="center"/>
              <w:rPr>
                <w:sz w:val="18"/>
                <w:szCs w:val="18"/>
                <w:lang w:val="en-GB"/>
              </w:rPr>
            </w:pPr>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004288" w14:textId="77777777" w:rsidR="00441AE6" w:rsidRDefault="00441AE6" w:rsidP="00F76215">
            <w:pPr>
              <w:autoSpaceDE w:val="0"/>
              <w:autoSpaceDN w:val="0"/>
              <w:adjustRightInd w:val="0"/>
              <w:jc w:val="center"/>
              <w:rPr>
                <w:sz w:val="18"/>
                <w:szCs w:val="18"/>
                <w:lang w:val="en-GB"/>
              </w:rPr>
            </w:pPr>
            <w:r>
              <w:rPr>
                <w:sz w:val="18"/>
                <w:szCs w:val="18"/>
                <w:lang w:val="en-GB"/>
              </w:rPr>
              <w:t>4,30 (3,57)</w:t>
            </w:r>
          </w:p>
          <w:p w14:paraId="7D05364A" w14:textId="77777777" w:rsidR="00441AE6" w:rsidRDefault="00441AE6" w:rsidP="00F76215">
            <w:pPr>
              <w:autoSpaceDE w:val="0"/>
              <w:autoSpaceDN w:val="0"/>
              <w:adjustRightInd w:val="0"/>
              <w:jc w:val="center"/>
              <w:rPr>
                <w:i/>
                <w:sz w:val="18"/>
                <w:szCs w:val="18"/>
                <w:lang w:val="en-GB"/>
              </w:rPr>
            </w:pPr>
            <w:r>
              <w:rPr>
                <w:i/>
                <w:sz w:val="18"/>
                <w:szCs w:val="18"/>
                <w:lang w:val="en-GB"/>
              </w:rP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00C1BF" w14:textId="77777777" w:rsidR="00441AE6" w:rsidRDefault="00441AE6" w:rsidP="00F76215">
            <w:pPr>
              <w:autoSpaceDE w:val="0"/>
              <w:autoSpaceDN w:val="0"/>
              <w:adjustRightInd w:val="0"/>
              <w:jc w:val="center"/>
              <w:rPr>
                <w:sz w:val="18"/>
                <w:szCs w:val="18"/>
                <w:lang w:val="en-GB"/>
              </w:rPr>
            </w:pPr>
            <w:r>
              <w:rPr>
                <w:sz w:val="18"/>
                <w:szCs w:val="18"/>
                <w:lang w:val="en-GB"/>
              </w:rPr>
              <w:t>6,12 (3,85)</w:t>
            </w:r>
          </w:p>
          <w:p w14:paraId="5415A8CF" w14:textId="77777777" w:rsidR="00441AE6" w:rsidRDefault="00441AE6" w:rsidP="00F76215">
            <w:pPr>
              <w:autoSpaceDE w:val="0"/>
              <w:autoSpaceDN w:val="0"/>
              <w:adjustRightInd w:val="0"/>
              <w:jc w:val="center"/>
              <w:rPr>
                <w:i/>
                <w:sz w:val="18"/>
                <w:szCs w:val="18"/>
                <w:lang w:val="en-GB"/>
              </w:rPr>
            </w:pPr>
            <w:r>
              <w:rPr>
                <w:i/>
                <w:sz w:val="18"/>
                <w:szCs w:val="18"/>
                <w:lang w:val="en-GB"/>
              </w:rPr>
              <w:t>5,28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F9E0AB" w14:textId="77777777" w:rsidR="00441AE6" w:rsidRDefault="00441AE6" w:rsidP="00F76215">
            <w:pPr>
              <w:autoSpaceDE w:val="0"/>
              <w:autoSpaceDN w:val="0"/>
              <w:adjustRightInd w:val="0"/>
              <w:jc w:val="center"/>
              <w:rPr>
                <w:sz w:val="18"/>
                <w:szCs w:val="18"/>
                <w:lang w:val="en-GB"/>
              </w:rPr>
            </w:pPr>
            <w:r>
              <w:rPr>
                <w:sz w:val="18"/>
                <w:szCs w:val="18"/>
                <w:lang w:val="en-GB"/>
              </w:rPr>
              <w:t>-1,64 [-2,</w:t>
            </w:r>
            <w:proofErr w:type="gramStart"/>
            <w:r>
              <w:rPr>
                <w:sz w:val="18"/>
                <w:szCs w:val="18"/>
                <w:lang w:val="en-GB"/>
              </w:rPr>
              <w:t>51 ;</w:t>
            </w:r>
            <w:proofErr w:type="gramEnd"/>
            <w:r>
              <w:rPr>
                <w:sz w:val="18"/>
                <w:szCs w:val="18"/>
                <w:lang w:val="en-GB"/>
              </w:rPr>
              <w:t xml:space="preserve"> -0,78]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2CE74C" w14:textId="77777777" w:rsidR="00441AE6" w:rsidRDefault="00441AE6" w:rsidP="00F76215">
            <w:pPr>
              <w:autoSpaceDE w:val="0"/>
              <w:autoSpaceDN w:val="0"/>
              <w:adjustRightInd w:val="0"/>
              <w:jc w:val="center"/>
              <w:rPr>
                <w:sz w:val="18"/>
                <w:szCs w:val="18"/>
                <w:lang w:val="en-GB"/>
              </w:rPr>
            </w:pPr>
            <w:r>
              <w:rPr>
                <w:sz w:val="18"/>
                <w:szCs w:val="18"/>
                <w:lang w:val="en-GB"/>
              </w:rPr>
              <w:t>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B22D06" w14:textId="77777777" w:rsidR="00441AE6" w:rsidRDefault="00441AE6" w:rsidP="00F76215">
            <w:pPr>
              <w:autoSpaceDE w:val="0"/>
              <w:autoSpaceDN w:val="0"/>
              <w:adjustRightInd w:val="0"/>
              <w:jc w:val="center"/>
              <w:rPr>
                <w:sz w:val="18"/>
                <w:szCs w:val="18"/>
                <w:lang w:val="en-GB"/>
              </w:rPr>
            </w:pPr>
            <w:r>
              <w:rPr>
                <w:sz w:val="18"/>
                <w:szCs w:val="18"/>
                <w:lang w:val="en-GB"/>
              </w:rPr>
              <w:t>0,0002**</w:t>
            </w:r>
          </w:p>
        </w:tc>
      </w:tr>
      <w:tr w:rsidR="00441AE6" w14:paraId="1D9F4075"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277180" w14:textId="77777777" w:rsidR="00441AE6" w:rsidRDefault="00441AE6" w:rsidP="00F76215">
            <w:pPr>
              <w:autoSpaceDE w:val="0"/>
              <w:autoSpaceDN w:val="0"/>
              <w:adjustRightInd w:val="0"/>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39FA36" w14:textId="77777777" w:rsidR="00441AE6" w:rsidRDefault="00441AE6" w:rsidP="00F76215">
            <w:pPr>
              <w:autoSpaceDE w:val="0"/>
              <w:autoSpaceDN w:val="0"/>
              <w:adjustRightInd w:val="0"/>
              <w:jc w:val="center"/>
              <w:rPr>
                <w:sz w:val="18"/>
                <w:szCs w:val="18"/>
                <w:lang w:val="en-GB"/>
              </w:rPr>
            </w:pPr>
            <w:r>
              <w:rPr>
                <w:sz w:val="18"/>
                <w:szCs w:val="18"/>
                <w:lang w:val="en-GB"/>
              </w:rPr>
              <w:t>33,8 % (30,0)</w:t>
            </w:r>
          </w:p>
          <w:p w14:paraId="0740EB19" w14:textId="77777777" w:rsidR="00441AE6" w:rsidRDefault="00441AE6" w:rsidP="00F76215">
            <w:pPr>
              <w:autoSpaceDE w:val="0"/>
              <w:autoSpaceDN w:val="0"/>
              <w:adjustRightInd w:val="0"/>
              <w:jc w:val="center"/>
              <w:rPr>
                <w:i/>
                <w:sz w:val="18"/>
                <w:szCs w:val="18"/>
                <w:lang w:val="en-GB"/>
              </w:rPr>
            </w:pPr>
            <w:r>
              <w:rPr>
                <w:i/>
                <w:sz w:val="18"/>
                <w:szCs w:val="18"/>
                <w:lang w:val="en-GB"/>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7CCC3" w14:textId="77777777" w:rsidR="00441AE6" w:rsidRDefault="00441AE6" w:rsidP="00F76215">
            <w:pPr>
              <w:autoSpaceDE w:val="0"/>
              <w:autoSpaceDN w:val="0"/>
              <w:adjustRightInd w:val="0"/>
              <w:jc w:val="center"/>
              <w:rPr>
                <w:sz w:val="18"/>
                <w:szCs w:val="18"/>
                <w:lang w:val="en-GB"/>
              </w:rPr>
            </w:pPr>
            <w:r>
              <w:rPr>
                <w:sz w:val="18"/>
                <w:szCs w:val="18"/>
                <w:lang w:val="en-GB"/>
              </w:rPr>
              <w:t>23,7 % (27,2)</w:t>
            </w:r>
          </w:p>
          <w:p w14:paraId="54C734E6" w14:textId="77777777" w:rsidR="00441AE6" w:rsidRDefault="00441AE6" w:rsidP="00F76215">
            <w:pPr>
              <w:autoSpaceDE w:val="0"/>
              <w:autoSpaceDN w:val="0"/>
              <w:adjustRightInd w:val="0"/>
              <w:jc w:val="center"/>
              <w:rPr>
                <w:i/>
                <w:sz w:val="18"/>
                <w:szCs w:val="18"/>
                <w:lang w:val="en-GB"/>
              </w:rPr>
            </w:pPr>
            <w:r>
              <w:rPr>
                <w:i/>
                <w:sz w:val="18"/>
                <w:szCs w:val="18"/>
                <w:lang w:val="en-GB"/>
              </w:rPr>
              <w:t>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453025"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54FE6A"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115D4" w14:textId="77777777" w:rsidR="00441AE6" w:rsidRDefault="00441AE6" w:rsidP="00F76215">
            <w:pPr>
              <w:autoSpaceDE w:val="0"/>
              <w:autoSpaceDN w:val="0"/>
              <w:adjustRightInd w:val="0"/>
              <w:jc w:val="center"/>
              <w:rPr>
                <w:sz w:val="18"/>
                <w:szCs w:val="18"/>
                <w:lang w:val="en-GB"/>
              </w:rPr>
            </w:pPr>
            <w:r>
              <w:rPr>
                <w:sz w:val="18"/>
                <w:szCs w:val="18"/>
                <w:lang w:val="en-GB"/>
              </w:rPr>
              <w:t>0,0107***</w:t>
            </w:r>
          </w:p>
        </w:tc>
      </w:tr>
      <w:tr w:rsidR="00441AE6" w14:paraId="23F3783D"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788533" w14:textId="77777777" w:rsidR="00441AE6" w:rsidRDefault="00441AE6" w:rsidP="00F76215">
            <w:pPr>
              <w:autoSpaceDE w:val="0"/>
              <w:autoSpaceDN w:val="0"/>
              <w:adjustRightInd w:val="0"/>
              <w:jc w:val="center"/>
              <w:rPr>
                <w:sz w:val="18"/>
                <w:szCs w:val="18"/>
                <w:lang w:val="en-GB"/>
              </w:rPr>
            </w:pPr>
            <w:r>
              <w:rPr>
                <w:sz w:val="18"/>
                <w:szCs w:val="18"/>
                <w:lang w:val="en-GB"/>
              </w:rPr>
              <w:t xml:space="preserve">PSFD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9AADF4" w14:textId="77777777" w:rsidR="00441AE6" w:rsidRDefault="00441AE6" w:rsidP="00F76215">
            <w:pPr>
              <w:autoSpaceDE w:val="0"/>
              <w:autoSpaceDN w:val="0"/>
              <w:adjustRightInd w:val="0"/>
              <w:jc w:val="center"/>
              <w:rPr>
                <w:sz w:val="18"/>
                <w:szCs w:val="18"/>
                <w:lang w:val="en-GB"/>
              </w:rPr>
            </w:pPr>
            <w:r>
              <w:rPr>
                <w:sz w:val="18"/>
                <w:szCs w:val="18"/>
                <w:lang w:val="en-GB"/>
              </w:rPr>
              <w:t>19.2 % (24,9)</w:t>
            </w:r>
          </w:p>
          <w:p w14:paraId="54101480" w14:textId="77777777" w:rsidR="00441AE6" w:rsidRDefault="00441AE6" w:rsidP="00F76215">
            <w:pPr>
              <w:autoSpaceDE w:val="0"/>
              <w:autoSpaceDN w:val="0"/>
              <w:adjustRightInd w:val="0"/>
              <w:jc w:val="center"/>
              <w:rPr>
                <w:i/>
                <w:sz w:val="18"/>
                <w:szCs w:val="18"/>
                <w:lang w:val="en-GB"/>
              </w:rPr>
            </w:pPr>
            <w:r>
              <w:rPr>
                <w:i/>
                <w:sz w:val="18"/>
                <w:szCs w:val="18"/>
                <w:lang w:val="en-GB"/>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EF53F3" w14:textId="77777777" w:rsidR="00441AE6" w:rsidRDefault="00441AE6" w:rsidP="00F76215">
            <w:pPr>
              <w:autoSpaceDE w:val="0"/>
              <w:autoSpaceDN w:val="0"/>
              <w:adjustRightInd w:val="0"/>
              <w:jc w:val="center"/>
              <w:rPr>
                <w:sz w:val="18"/>
                <w:szCs w:val="18"/>
                <w:lang w:val="en-GB"/>
              </w:rPr>
            </w:pPr>
            <w:r>
              <w:rPr>
                <w:sz w:val="18"/>
                <w:szCs w:val="18"/>
                <w:lang w:val="en-GB"/>
              </w:rPr>
              <w:t>10,5 % (18,4)</w:t>
            </w:r>
          </w:p>
          <w:p w14:paraId="03743A31" w14:textId="77777777" w:rsidR="00441AE6" w:rsidRDefault="00441AE6" w:rsidP="00F76215">
            <w:pPr>
              <w:autoSpaceDE w:val="0"/>
              <w:autoSpaceDN w:val="0"/>
              <w:adjustRightInd w:val="0"/>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E92406"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7B2D4"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42EC8" w14:textId="77777777" w:rsidR="00441AE6" w:rsidRDefault="00441AE6" w:rsidP="00F76215">
            <w:pPr>
              <w:autoSpaceDE w:val="0"/>
              <w:autoSpaceDN w:val="0"/>
              <w:adjustRightInd w:val="0"/>
              <w:jc w:val="center"/>
              <w:rPr>
                <w:sz w:val="18"/>
                <w:szCs w:val="18"/>
                <w:lang w:val="en-GB"/>
              </w:rPr>
            </w:pPr>
            <w:r>
              <w:rPr>
                <w:sz w:val="18"/>
                <w:szCs w:val="18"/>
                <w:lang w:val="en-GB"/>
              </w:rPr>
              <w:t>0,0037***</w:t>
            </w:r>
          </w:p>
        </w:tc>
      </w:tr>
    </w:tbl>
    <w:p w14:paraId="4E587DDF" w14:textId="77777777" w:rsidR="00441AE6" w:rsidRDefault="00441AE6" w:rsidP="00441AE6">
      <w:pPr>
        <w:autoSpaceDE w:val="0"/>
        <w:autoSpaceDN w:val="0"/>
        <w:adjustRightInd w:val="0"/>
        <w:rPr>
          <w:sz w:val="16"/>
          <w:szCs w:val="16"/>
        </w:rPr>
      </w:pPr>
      <w:r>
        <w:rPr>
          <w:sz w:val="16"/>
          <w:szCs w:val="16"/>
        </w:rPr>
        <w:t>*Relativ gennemsnitlig forskel: Absolut forskel / Placebo</w:t>
      </w:r>
    </w:p>
    <w:p w14:paraId="33E1B951" w14:textId="77777777" w:rsidR="00441AE6" w:rsidRDefault="00441AE6" w:rsidP="00441AE6">
      <w:pPr>
        <w:autoSpaceDE w:val="0"/>
        <w:autoSpaceDN w:val="0"/>
        <w:adjustRightInd w:val="0"/>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758F2214" w14:textId="77777777" w:rsidR="00441AE6" w:rsidRDefault="00441AE6" w:rsidP="00441AE6">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0F1B4850" w14:textId="77777777" w:rsidR="00441AE6" w:rsidRDefault="00441AE6" w:rsidP="00441AE6">
      <w:pPr>
        <w:rPr>
          <w:sz w:val="16"/>
          <w:szCs w:val="16"/>
        </w:rPr>
      </w:pPr>
      <w:r>
        <w:rPr>
          <w:sz w:val="16"/>
          <w:szCs w:val="16"/>
          <w:vertAlign w:val="superscript"/>
        </w:rPr>
        <w:t>E</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24B1E008" w14:textId="77777777" w:rsidR="00441AE6" w:rsidRDefault="00441AE6" w:rsidP="00441AE6">
      <w:pPr>
        <w:rPr>
          <w:sz w:val="16"/>
          <w:szCs w:val="16"/>
        </w:rPr>
      </w:pPr>
      <w:r>
        <w:rPr>
          <w:sz w:val="16"/>
          <w:szCs w:val="16"/>
          <w:vertAlign w:val="superscript"/>
        </w:rPr>
        <w:t>F</w:t>
      </w:r>
      <w:r>
        <w:rPr>
          <w:sz w:val="16"/>
          <w:szCs w:val="16"/>
        </w:rPr>
        <w:t xml:space="preserve"> Andelen af dage uden symptomer og uden nødmedicin (PSFD): Procentdel af dage uden symptomer og uden brug af nødmedicin.</w:t>
      </w:r>
    </w:p>
    <w:p w14:paraId="56EC6ADF" w14:textId="77777777" w:rsidR="00441AE6" w:rsidRPr="0000279E" w:rsidRDefault="00441AE6" w:rsidP="00441AE6">
      <w:pPr>
        <w:autoSpaceDE w:val="0"/>
        <w:autoSpaceDN w:val="0"/>
        <w:adjustRightInd w:val="0"/>
        <w:ind w:left="851"/>
        <w:rPr>
          <w:sz w:val="24"/>
          <w:szCs w:val="24"/>
        </w:rPr>
      </w:pPr>
    </w:p>
    <w:p w14:paraId="46CCD04B" w14:textId="77777777" w:rsidR="00441AE6" w:rsidRPr="0000279E" w:rsidRDefault="00441AE6" w:rsidP="00441AE6">
      <w:pPr>
        <w:ind w:left="851"/>
        <w:rPr>
          <w:sz w:val="24"/>
          <w:szCs w:val="24"/>
        </w:rPr>
      </w:pPr>
      <w:r w:rsidRPr="0000279E">
        <w:rPr>
          <w:sz w:val="24"/>
          <w:szCs w:val="24"/>
        </w:rPr>
        <w:t xml:space="preserve">Fireogfyrre patienter (34 %)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26 patienter (19 %) patienter i placebogruppen. </w:t>
      </w:r>
    </w:p>
    <w:p w14:paraId="0848A550" w14:textId="3A5F9A93" w:rsidR="009260DE" w:rsidRDefault="009260DE" w:rsidP="0000279E">
      <w:pPr>
        <w:tabs>
          <w:tab w:val="left" w:pos="851"/>
        </w:tabs>
        <w:ind w:left="851"/>
        <w:rPr>
          <w:sz w:val="24"/>
          <w:szCs w:val="24"/>
        </w:rPr>
      </w:pPr>
    </w:p>
    <w:p w14:paraId="00B9BE44" w14:textId="77777777" w:rsidR="00441AE6" w:rsidRPr="0000279E" w:rsidRDefault="00441AE6" w:rsidP="0000279E">
      <w:pPr>
        <w:tabs>
          <w:tab w:val="left" w:pos="851"/>
        </w:tabs>
        <w:ind w:left="851"/>
        <w:rPr>
          <w:sz w:val="24"/>
          <w:szCs w:val="24"/>
        </w:rPr>
      </w:pPr>
    </w:p>
    <w:p w14:paraId="65FA96E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D1732A0" w14:textId="77777777" w:rsidR="005452AB" w:rsidRPr="005452AB" w:rsidRDefault="005452AB" w:rsidP="005452AB">
      <w:pPr>
        <w:tabs>
          <w:tab w:val="left" w:pos="851"/>
        </w:tabs>
        <w:ind w:left="851"/>
        <w:rPr>
          <w:iCs/>
          <w:sz w:val="24"/>
          <w:szCs w:val="24"/>
        </w:rPr>
      </w:pPr>
      <w:r w:rsidRPr="005452AB">
        <w:rPr>
          <w:iCs/>
          <w:sz w:val="24"/>
          <w:szCs w:val="24"/>
        </w:rPr>
        <w:t xml:space="preserve">Størstedelen af allergenerne i </w:t>
      </w:r>
      <w:proofErr w:type="spellStart"/>
      <w:r w:rsidRPr="005452AB">
        <w:rPr>
          <w:iCs/>
          <w:sz w:val="24"/>
          <w:szCs w:val="24"/>
        </w:rPr>
        <w:t>Aitgrys</w:t>
      </w:r>
      <w:proofErr w:type="spellEnd"/>
      <w:r w:rsidRPr="005452AB">
        <w:rPr>
          <w:iCs/>
          <w:sz w:val="24"/>
          <w:szCs w:val="24"/>
        </w:rPr>
        <w:t xml:space="preserve"> er en blanding af proteiner og </w:t>
      </w:r>
      <w:proofErr w:type="spellStart"/>
      <w:r w:rsidRPr="005452AB">
        <w:rPr>
          <w:iCs/>
          <w:sz w:val="24"/>
          <w:szCs w:val="24"/>
        </w:rPr>
        <w:t>glycoproteiner</w:t>
      </w:r>
      <w:proofErr w:type="spellEnd"/>
      <w:r w:rsidRPr="005452AB">
        <w:rPr>
          <w:iCs/>
          <w:sz w:val="24"/>
          <w:szCs w:val="24"/>
        </w:rPr>
        <w:t xml:space="preserve">. Der er ingen biotilgængelighed af intakte allergener i blodet. Derfor er der ikke udført </w:t>
      </w:r>
      <w:r w:rsidRPr="005452AB">
        <w:rPr>
          <w:sz w:val="24"/>
          <w:szCs w:val="24"/>
        </w:rPr>
        <w:t xml:space="preserve">nogen </w:t>
      </w:r>
      <w:proofErr w:type="spellStart"/>
      <w:r w:rsidRPr="005452AB">
        <w:rPr>
          <w:sz w:val="24"/>
          <w:szCs w:val="24"/>
        </w:rPr>
        <w:t>farmakokinetiske</w:t>
      </w:r>
      <w:proofErr w:type="spellEnd"/>
      <w:r w:rsidRPr="005452AB">
        <w:rPr>
          <w:sz w:val="24"/>
          <w:szCs w:val="24"/>
        </w:rPr>
        <w:t xml:space="preserve"> studier med dyr eller mennesker med det formål at undersøge </w:t>
      </w:r>
      <w:proofErr w:type="spellStart"/>
      <w:r w:rsidRPr="005452AB">
        <w:rPr>
          <w:sz w:val="24"/>
          <w:szCs w:val="24"/>
        </w:rPr>
        <w:t>Aitgryss</w:t>
      </w:r>
      <w:proofErr w:type="spellEnd"/>
      <w:r w:rsidRPr="005452AB">
        <w:rPr>
          <w:sz w:val="24"/>
          <w:szCs w:val="24"/>
        </w:rPr>
        <w:t xml:space="preserve"> </w:t>
      </w:r>
      <w:proofErr w:type="spellStart"/>
      <w:r w:rsidRPr="005452AB">
        <w:rPr>
          <w:sz w:val="24"/>
          <w:szCs w:val="24"/>
        </w:rPr>
        <w:t>f</w:t>
      </w:r>
      <w:r w:rsidRPr="005452AB">
        <w:rPr>
          <w:iCs/>
          <w:sz w:val="24"/>
          <w:szCs w:val="24"/>
        </w:rPr>
        <w:t>armakokinetiske</w:t>
      </w:r>
      <w:proofErr w:type="spellEnd"/>
      <w:r w:rsidRPr="005452AB">
        <w:rPr>
          <w:iCs/>
          <w:sz w:val="24"/>
          <w:szCs w:val="24"/>
        </w:rPr>
        <w:t xml:space="preserve"> profil og biotransformation.</w:t>
      </w:r>
    </w:p>
    <w:p w14:paraId="7DC787BF" w14:textId="77777777" w:rsidR="009260DE" w:rsidRPr="00C84483" w:rsidRDefault="009260DE" w:rsidP="009260DE">
      <w:pPr>
        <w:tabs>
          <w:tab w:val="left" w:pos="851"/>
        </w:tabs>
        <w:ind w:left="851"/>
        <w:rPr>
          <w:sz w:val="24"/>
          <w:szCs w:val="24"/>
        </w:rPr>
      </w:pPr>
    </w:p>
    <w:p w14:paraId="6AAFB68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1A847B7" w14:textId="77777777" w:rsidR="005452AB" w:rsidRPr="005452AB" w:rsidRDefault="005452AB" w:rsidP="005452AB">
      <w:pPr>
        <w:tabs>
          <w:tab w:val="left" w:pos="851"/>
        </w:tabs>
        <w:ind w:left="851"/>
        <w:rPr>
          <w:sz w:val="24"/>
          <w:szCs w:val="24"/>
        </w:rPr>
      </w:pPr>
      <w:r w:rsidRPr="005452AB">
        <w:rPr>
          <w:sz w:val="24"/>
          <w:szCs w:val="24"/>
        </w:rPr>
        <w:t xml:space="preserve">Non-kliniske data viser ingen speciel risiko for mennesker vurderet ud fra konventionelle studier af sikkerhedsfarmakologi, toksicitet efter gentagne doser, genotoksicitet, lokal tolerance samt </w:t>
      </w:r>
      <w:proofErr w:type="spellStart"/>
      <w:r w:rsidRPr="005452AB">
        <w:rPr>
          <w:sz w:val="24"/>
          <w:szCs w:val="24"/>
        </w:rPr>
        <w:t>embryoføtal</w:t>
      </w:r>
      <w:proofErr w:type="spellEnd"/>
      <w:r w:rsidRPr="005452AB">
        <w:rPr>
          <w:sz w:val="24"/>
          <w:szCs w:val="24"/>
        </w:rPr>
        <w:t xml:space="preserve"> udvikling.</w:t>
      </w:r>
    </w:p>
    <w:p w14:paraId="4FD40EB2" w14:textId="77777777" w:rsidR="005452AB" w:rsidRPr="005452AB" w:rsidRDefault="005452AB" w:rsidP="005452AB">
      <w:pPr>
        <w:tabs>
          <w:tab w:val="left" w:pos="851"/>
        </w:tabs>
        <w:ind w:left="851"/>
        <w:rPr>
          <w:sz w:val="24"/>
          <w:szCs w:val="24"/>
        </w:rPr>
      </w:pPr>
    </w:p>
    <w:p w14:paraId="1544ACFE" w14:textId="77777777" w:rsidR="005452AB" w:rsidRPr="005452AB" w:rsidRDefault="005452AB" w:rsidP="005452AB">
      <w:pPr>
        <w:tabs>
          <w:tab w:val="left" w:pos="851"/>
        </w:tabs>
        <w:ind w:left="851"/>
        <w:rPr>
          <w:sz w:val="24"/>
          <w:szCs w:val="24"/>
        </w:rPr>
      </w:pPr>
      <w:r w:rsidRPr="005452AB">
        <w:rPr>
          <w:sz w:val="24"/>
          <w:szCs w:val="24"/>
        </w:rPr>
        <w:t xml:space="preserve">I et toksicitetsstudie med unge rotter blev en daglig dosis i 10 uger med højeste dosis (300 gange større end den maksimal dosis til mennesker) associeret med signifikant forkortet APTT (Aktiveret Partiel </w:t>
      </w:r>
      <w:proofErr w:type="spellStart"/>
      <w:r w:rsidRPr="005452AB">
        <w:rPr>
          <w:sz w:val="24"/>
          <w:szCs w:val="24"/>
        </w:rPr>
        <w:t>Tromboplastintid</w:t>
      </w:r>
      <w:proofErr w:type="spellEnd"/>
      <w:r w:rsidRPr="005452AB">
        <w:rPr>
          <w:sz w:val="24"/>
          <w:szCs w:val="24"/>
        </w:rPr>
        <w:t xml:space="preserve">) hos hanner, men der blev hverken set kliniske symptomer eller gjort </w:t>
      </w:r>
      <w:proofErr w:type="spellStart"/>
      <w:r w:rsidRPr="005452AB">
        <w:rPr>
          <w:sz w:val="24"/>
          <w:szCs w:val="24"/>
        </w:rPr>
        <w:t>histopatologiske</w:t>
      </w:r>
      <w:proofErr w:type="spellEnd"/>
      <w:r w:rsidRPr="005452AB">
        <w:rPr>
          <w:sz w:val="24"/>
          <w:szCs w:val="24"/>
        </w:rPr>
        <w:t xml:space="preserve"> fund.</w:t>
      </w:r>
    </w:p>
    <w:p w14:paraId="06AD3616" w14:textId="77777777" w:rsidR="005452AB" w:rsidRPr="005452AB" w:rsidRDefault="005452AB" w:rsidP="005452AB">
      <w:pPr>
        <w:tabs>
          <w:tab w:val="left" w:pos="851"/>
        </w:tabs>
        <w:ind w:left="851"/>
        <w:rPr>
          <w:b/>
          <w:sz w:val="24"/>
          <w:szCs w:val="24"/>
        </w:rPr>
      </w:pPr>
    </w:p>
    <w:p w14:paraId="40492CB9" w14:textId="77777777" w:rsidR="009260DE" w:rsidRPr="00C84483" w:rsidRDefault="009260DE" w:rsidP="009260DE">
      <w:pPr>
        <w:tabs>
          <w:tab w:val="left" w:pos="851"/>
        </w:tabs>
        <w:ind w:left="851"/>
        <w:rPr>
          <w:sz w:val="24"/>
          <w:szCs w:val="24"/>
        </w:rPr>
      </w:pPr>
    </w:p>
    <w:p w14:paraId="524578C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E37EE72" w14:textId="77777777" w:rsidR="009260DE" w:rsidRPr="00BA09F1" w:rsidRDefault="009260DE" w:rsidP="009260DE">
      <w:pPr>
        <w:tabs>
          <w:tab w:val="left" w:pos="851"/>
        </w:tabs>
        <w:ind w:left="851"/>
        <w:rPr>
          <w:sz w:val="24"/>
          <w:szCs w:val="24"/>
        </w:rPr>
      </w:pPr>
    </w:p>
    <w:p w14:paraId="52C3581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D81CD72" w14:textId="60AF336E" w:rsidR="005452AB" w:rsidRPr="005452AB" w:rsidRDefault="005452AB" w:rsidP="00D012B4">
      <w:pPr>
        <w:tabs>
          <w:tab w:val="left" w:pos="851"/>
        </w:tabs>
        <w:ind w:left="851"/>
        <w:rPr>
          <w:sz w:val="24"/>
          <w:szCs w:val="24"/>
        </w:rPr>
      </w:pPr>
      <w:r w:rsidRPr="005452AB">
        <w:rPr>
          <w:sz w:val="24"/>
          <w:szCs w:val="24"/>
        </w:rPr>
        <w:t>Cellulose, mikrokrystallinsk</w:t>
      </w:r>
    </w:p>
    <w:p w14:paraId="47B33F44" w14:textId="3C54E6EB" w:rsidR="005452AB" w:rsidRPr="005452AB" w:rsidRDefault="005452AB" w:rsidP="00D012B4">
      <w:pPr>
        <w:tabs>
          <w:tab w:val="left" w:pos="851"/>
        </w:tabs>
        <w:ind w:left="851"/>
        <w:rPr>
          <w:sz w:val="24"/>
          <w:szCs w:val="24"/>
        </w:rPr>
      </w:pPr>
      <w:proofErr w:type="spellStart"/>
      <w:r w:rsidRPr="005452AB">
        <w:rPr>
          <w:sz w:val="24"/>
          <w:szCs w:val="24"/>
        </w:rPr>
        <w:t>Croscarmellosenatrium</w:t>
      </w:r>
      <w:proofErr w:type="spellEnd"/>
    </w:p>
    <w:p w14:paraId="428EFE07" w14:textId="202B9BB1" w:rsidR="005452AB" w:rsidRPr="005452AB" w:rsidRDefault="005452AB" w:rsidP="00D012B4">
      <w:pPr>
        <w:tabs>
          <w:tab w:val="left" w:pos="851"/>
        </w:tabs>
        <w:ind w:left="851"/>
        <w:rPr>
          <w:sz w:val="24"/>
          <w:szCs w:val="24"/>
        </w:rPr>
      </w:pPr>
      <w:proofErr w:type="spellStart"/>
      <w:r w:rsidRPr="005452AB">
        <w:rPr>
          <w:sz w:val="24"/>
          <w:szCs w:val="24"/>
        </w:rPr>
        <w:t>Lactosemonohydrat</w:t>
      </w:r>
      <w:proofErr w:type="spellEnd"/>
    </w:p>
    <w:p w14:paraId="02B422B8" w14:textId="4400925E" w:rsidR="005452AB" w:rsidRPr="005452AB" w:rsidRDefault="005452AB" w:rsidP="00D012B4">
      <w:pPr>
        <w:tabs>
          <w:tab w:val="left" w:pos="851"/>
        </w:tabs>
        <w:ind w:left="851"/>
        <w:rPr>
          <w:sz w:val="24"/>
          <w:szCs w:val="24"/>
        </w:rPr>
      </w:pPr>
      <w:proofErr w:type="spellStart"/>
      <w:r w:rsidRPr="005452AB">
        <w:rPr>
          <w:sz w:val="24"/>
          <w:szCs w:val="24"/>
        </w:rPr>
        <w:t>Magnesiumstearat</w:t>
      </w:r>
      <w:proofErr w:type="spellEnd"/>
    </w:p>
    <w:p w14:paraId="53A4ADF5" w14:textId="31E8CE20" w:rsidR="005452AB" w:rsidRPr="005452AB" w:rsidRDefault="005452AB" w:rsidP="00D012B4">
      <w:pPr>
        <w:tabs>
          <w:tab w:val="left" w:pos="851"/>
        </w:tabs>
        <w:ind w:left="851"/>
        <w:rPr>
          <w:sz w:val="24"/>
          <w:szCs w:val="24"/>
        </w:rPr>
      </w:pPr>
      <w:proofErr w:type="spellStart"/>
      <w:r w:rsidRPr="005452AB">
        <w:rPr>
          <w:sz w:val="24"/>
          <w:szCs w:val="24"/>
        </w:rPr>
        <w:t>Mannitol</w:t>
      </w:r>
      <w:proofErr w:type="spellEnd"/>
      <w:r w:rsidRPr="005452AB">
        <w:rPr>
          <w:sz w:val="24"/>
          <w:szCs w:val="24"/>
        </w:rPr>
        <w:t xml:space="preserve"> (E421)</w:t>
      </w:r>
    </w:p>
    <w:p w14:paraId="6FB263EC" w14:textId="4B387971" w:rsidR="005452AB" w:rsidRPr="005452AB" w:rsidRDefault="005452AB" w:rsidP="00D012B4">
      <w:pPr>
        <w:tabs>
          <w:tab w:val="left" w:pos="851"/>
        </w:tabs>
        <w:ind w:left="851"/>
        <w:rPr>
          <w:sz w:val="24"/>
          <w:szCs w:val="24"/>
        </w:rPr>
      </w:pPr>
      <w:proofErr w:type="spellStart"/>
      <w:r w:rsidRPr="005452AB">
        <w:rPr>
          <w:sz w:val="24"/>
          <w:szCs w:val="24"/>
        </w:rPr>
        <w:t>Silica</w:t>
      </w:r>
      <w:proofErr w:type="spellEnd"/>
      <w:r w:rsidRPr="005452AB">
        <w:rPr>
          <w:sz w:val="24"/>
          <w:szCs w:val="24"/>
        </w:rPr>
        <w:t>, kolloid vandfr</w:t>
      </w:r>
      <w:r w:rsidR="004B27DD">
        <w:rPr>
          <w:sz w:val="24"/>
          <w:szCs w:val="24"/>
        </w:rPr>
        <w:t>i</w:t>
      </w:r>
    </w:p>
    <w:p w14:paraId="13163D28" w14:textId="77777777" w:rsidR="009260DE" w:rsidRPr="00C84483" w:rsidRDefault="009260DE" w:rsidP="004B27DD">
      <w:pPr>
        <w:tabs>
          <w:tab w:val="left" w:pos="851"/>
        </w:tabs>
        <w:ind w:left="1134" w:hanging="283"/>
        <w:rPr>
          <w:sz w:val="24"/>
          <w:szCs w:val="24"/>
        </w:rPr>
      </w:pPr>
    </w:p>
    <w:p w14:paraId="5734DA2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79A07CC" w14:textId="77777777" w:rsidR="005452AB" w:rsidRPr="005452AB" w:rsidRDefault="005452AB" w:rsidP="005452AB">
      <w:pPr>
        <w:tabs>
          <w:tab w:val="left" w:pos="851"/>
        </w:tabs>
        <w:ind w:left="851"/>
        <w:rPr>
          <w:sz w:val="24"/>
          <w:szCs w:val="24"/>
        </w:rPr>
      </w:pPr>
      <w:r w:rsidRPr="005452AB">
        <w:rPr>
          <w:sz w:val="24"/>
          <w:szCs w:val="24"/>
        </w:rPr>
        <w:t>Ikke relevant.</w:t>
      </w:r>
    </w:p>
    <w:p w14:paraId="077C6EA7" w14:textId="77777777" w:rsidR="009260DE" w:rsidRPr="00C84483" w:rsidRDefault="009260DE" w:rsidP="009260DE">
      <w:pPr>
        <w:tabs>
          <w:tab w:val="left" w:pos="851"/>
        </w:tabs>
        <w:ind w:left="851"/>
        <w:rPr>
          <w:sz w:val="24"/>
          <w:szCs w:val="24"/>
        </w:rPr>
      </w:pPr>
    </w:p>
    <w:p w14:paraId="4BADA06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DB6E64" w14:textId="77777777" w:rsidR="005452AB" w:rsidRPr="005452AB" w:rsidRDefault="005452AB" w:rsidP="005452AB">
      <w:pPr>
        <w:tabs>
          <w:tab w:val="left" w:pos="851"/>
        </w:tabs>
        <w:ind w:left="851"/>
        <w:rPr>
          <w:sz w:val="24"/>
          <w:szCs w:val="24"/>
        </w:rPr>
      </w:pPr>
      <w:r w:rsidRPr="005452AB">
        <w:rPr>
          <w:sz w:val="24"/>
          <w:szCs w:val="24"/>
        </w:rPr>
        <w:t>3 år.</w:t>
      </w:r>
    </w:p>
    <w:p w14:paraId="2B174DE3" w14:textId="77777777" w:rsidR="009260DE" w:rsidRPr="00C84483" w:rsidRDefault="009260DE" w:rsidP="009260DE">
      <w:pPr>
        <w:tabs>
          <w:tab w:val="left" w:pos="851"/>
        </w:tabs>
        <w:ind w:left="851"/>
        <w:rPr>
          <w:sz w:val="24"/>
          <w:szCs w:val="24"/>
        </w:rPr>
      </w:pPr>
    </w:p>
    <w:p w14:paraId="3813C9B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AE2978E" w14:textId="77777777" w:rsidR="00D012B4" w:rsidRDefault="003E43F5" w:rsidP="003E43F5">
      <w:pPr>
        <w:tabs>
          <w:tab w:val="left" w:pos="851"/>
        </w:tabs>
        <w:ind w:left="851"/>
        <w:rPr>
          <w:sz w:val="24"/>
          <w:szCs w:val="24"/>
        </w:rPr>
      </w:pPr>
      <w:bookmarkStart w:id="3" w:name="_Hlk130978681"/>
      <w:r w:rsidRPr="003E43F5">
        <w:rPr>
          <w:sz w:val="24"/>
          <w:szCs w:val="24"/>
        </w:rPr>
        <w:t>Der er ingen særlige krav vedrørende opbevaringstemperaturer for dette lægemiddel.</w:t>
      </w:r>
      <w:bookmarkEnd w:id="3"/>
    </w:p>
    <w:p w14:paraId="59C3659E" w14:textId="77777777" w:rsidR="00D012B4" w:rsidRDefault="00D012B4" w:rsidP="003E43F5">
      <w:pPr>
        <w:tabs>
          <w:tab w:val="left" w:pos="851"/>
        </w:tabs>
        <w:ind w:left="851"/>
        <w:rPr>
          <w:sz w:val="24"/>
          <w:szCs w:val="24"/>
        </w:rPr>
      </w:pPr>
    </w:p>
    <w:p w14:paraId="715C32AB" w14:textId="41DD16E0" w:rsidR="003E43F5" w:rsidRPr="003E43F5" w:rsidRDefault="003E43F5" w:rsidP="003E43F5">
      <w:pPr>
        <w:tabs>
          <w:tab w:val="left" w:pos="851"/>
        </w:tabs>
        <w:ind w:left="851"/>
        <w:rPr>
          <w:sz w:val="24"/>
          <w:szCs w:val="24"/>
        </w:rPr>
      </w:pPr>
      <w:r w:rsidRPr="003E43F5">
        <w:rPr>
          <w:sz w:val="24"/>
          <w:szCs w:val="24"/>
        </w:rPr>
        <w:t>Opbevares i den originale pakning for at beskytte mod fugt.</w:t>
      </w:r>
    </w:p>
    <w:p w14:paraId="34C650E8" w14:textId="77777777" w:rsidR="009260DE" w:rsidRPr="00C84483" w:rsidRDefault="009260DE" w:rsidP="009260DE">
      <w:pPr>
        <w:tabs>
          <w:tab w:val="left" w:pos="851"/>
        </w:tabs>
        <w:ind w:left="851"/>
        <w:rPr>
          <w:sz w:val="24"/>
          <w:szCs w:val="24"/>
        </w:rPr>
      </w:pPr>
    </w:p>
    <w:p w14:paraId="371AAB6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6B1B741" w14:textId="2910EFF9" w:rsidR="001374A4" w:rsidRPr="003E43F5" w:rsidRDefault="00204521" w:rsidP="00204521">
      <w:pPr>
        <w:tabs>
          <w:tab w:val="left" w:pos="851"/>
        </w:tabs>
        <w:ind w:left="851"/>
        <w:rPr>
          <w:sz w:val="24"/>
          <w:szCs w:val="24"/>
        </w:rPr>
      </w:pPr>
      <w:r>
        <w:rPr>
          <w:sz w:val="24"/>
          <w:szCs w:val="24"/>
        </w:rPr>
        <w:t>B</w:t>
      </w:r>
      <w:r w:rsidR="001374A4" w:rsidRPr="00754D2F">
        <w:rPr>
          <w:sz w:val="24"/>
          <w:szCs w:val="24"/>
        </w:rPr>
        <w:t>listerpakning</w:t>
      </w:r>
      <w:r>
        <w:rPr>
          <w:sz w:val="24"/>
          <w:szCs w:val="24"/>
        </w:rPr>
        <w:t>.</w:t>
      </w:r>
      <w:r w:rsidR="001374A4" w:rsidRPr="00754D2F">
        <w:rPr>
          <w:sz w:val="24"/>
          <w:szCs w:val="24"/>
        </w:rPr>
        <w:t xml:space="preserve"> </w:t>
      </w:r>
    </w:p>
    <w:p w14:paraId="4E8E4226" w14:textId="77777777" w:rsidR="009260DE" w:rsidRPr="00C84483" w:rsidRDefault="009260DE" w:rsidP="009260DE">
      <w:pPr>
        <w:tabs>
          <w:tab w:val="left" w:pos="851"/>
        </w:tabs>
        <w:ind w:left="851"/>
        <w:rPr>
          <w:sz w:val="24"/>
          <w:szCs w:val="24"/>
        </w:rPr>
      </w:pPr>
    </w:p>
    <w:p w14:paraId="428C92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92C215" w14:textId="77777777" w:rsidR="003E43F5" w:rsidRPr="003E43F5" w:rsidRDefault="003E43F5" w:rsidP="003E43F5">
      <w:pPr>
        <w:tabs>
          <w:tab w:val="left" w:pos="851"/>
        </w:tabs>
        <w:ind w:left="851"/>
        <w:rPr>
          <w:sz w:val="24"/>
          <w:szCs w:val="24"/>
        </w:rPr>
      </w:pPr>
      <w:r w:rsidRPr="003E43F5">
        <w:rPr>
          <w:sz w:val="24"/>
          <w:szCs w:val="24"/>
        </w:rPr>
        <w:t>Ingen særlige forholdsregler.</w:t>
      </w:r>
    </w:p>
    <w:p w14:paraId="029E8313" w14:textId="77777777" w:rsidR="009260DE" w:rsidRPr="00C84483" w:rsidRDefault="009260DE" w:rsidP="000730CA">
      <w:pPr>
        <w:tabs>
          <w:tab w:val="left" w:pos="851"/>
        </w:tabs>
        <w:ind w:left="851"/>
        <w:rPr>
          <w:sz w:val="24"/>
          <w:szCs w:val="24"/>
        </w:rPr>
      </w:pPr>
    </w:p>
    <w:p w14:paraId="161733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B966FD5" w14:textId="77777777" w:rsidR="00204521" w:rsidRPr="00617FDB" w:rsidRDefault="00204521" w:rsidP="0020452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14:paraId="154D240F" w14:textId="77777777" w:rsidR="00204521" w:rsidRPr="00617FDB" w:rsidRDefault="00204521" w:rsidP="0020452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14:paraId="4B6D1995" w14:textId="77777777" w:rsidR="00204521" w:rsidRPr="00617FDB" w:rsidRDefault="00204521" w:rsidP="0020452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14:paraId="75733433" w14:textId="77777777" w:rsidR="009260DE" w:rsidRPr="00204521" w:rsidRDefault="009260DE" w:rsidP="009260DE">
      <w:pPr>
        <w:tabs>
          <w:tab w:val="left" w:pos="851"/>
        </w:tabs>
        <w:ind w:left="851"/>
        <w:rPr>
          <w:sz w:val="24"/>
          <w:szCs w:val="24"/>
          <w:lang w:val="en-US"/>
        </w:rPr>
      </w:pPr>
    </w:p>
    <w:p w14:paraId="7F0D9E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888D114" w14:textId="20FA2E35" w:rsidR="009260DE" w:rsidRPr="00C84483" w:rsidRDefault="00204521" w:rsidP="009260DE">
      <w:pPr>
        <w:tabs>
          <w:tab w:val="left" w:pos="851"/>
        </w:tabs>
        <w:ind w:left="851"/>
        <w:rPr>
          <w:sz w:val="24"/>
          <w:szCs w:val="24"/>
        </w:rPr>
      </w:pPr>
      <w:r>
        <w:rPr>
          <w:sz w:val="24"/>
          <w:szCs w:val="24"/>
        </w:rPr>
        <w:lastRenderedPageBreak/>
        <w:t>73178</w:t>
      </w:r>
    </w:p>
    <w:p w14:paraId="43C9D34B" w14:textId="77777777" w:rsidR="009260DE" w:rsidRPr="00C84483" w:rsidRDefault="009260DE" w:rsidP="009260DE">
      <w:pPr>
        <w:tabs>
          <w:tab w:val="left" w:pos="851"/>
        </w:tabs>
        <w:ind w:left="851"/>
        <w:jc w:val="both"/>
        <w:rPr>
          <w:sz w:val="24"/>
          <w:szCs w:val="24"/>
        </w:rPr>
      </w:pPr>
    </w:p>
    <w:p w14:paraId="30BBB4B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10D3D5" w14:textId="3FEEC5C6" w:rsidR="009260DE" w:rsidRPr="00C84483" w:rsidRDefault="009F1680" w:rsidP="009260DE">
      <w:pPr>
        <w:tabs>
          <w:tab w:val="left" w:pos="851"/>
        </w:tabs>
        <w:ind w:left="851"/>
        <w:rPr>
          <w:sz w:val="24"/>
          <w:szCs w:val="24"/>
        </w:rPr>
      </w:pPr>
      <w:r>
        <w:rPr>
          <w:sz w:val="24"/>
          <w:szCs w:val="24"/>
        </w:rPr>
        <w:t>10</w:t>
      </w:r>
      <w:bookmarkStart w:id="4" w:name="_GoBack"/>
      <w:bookmarkEnd w:id="4"/>
      <w:r w:rsidR="00204521">
        <w:rPr>
          <w:sz w:val="24"/>
          <w:szCs w:val="24"/>
        </w:rPr>
        <w:t>. april 2025</w:t>
      </w:r>
    </w:p>
    <w:p w14:paraId="1C9B55D1" w14:textId="77777777" w:rsidR="009260DE" w:rsidRPr="00C84483" w:rsidRDefault="009260DE" w:rsidP="009260DE">
      <w:pPr>
        <w:tabs>
          <w:tab w:val="left" w:pos="851"/>
        </w:tabs>
        <w:ind w:left="851"/>
        <w:rPr>
          <w:sz w:val="24"/>
          <w:szCs w:val="24"/>
        </w:rPr>
      </w:pPr>
    </w:p>
    <w:p w14:paraId="0E37F8B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4C2F8A" w14:textId="77C8B41D" w:rsidR="009260DE" w:rsidRPr="00C84483" w:rsidRDefault="00204521"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AD23" w14:textId="77777777" w:rsidR="00E21336" w:rsidRDefault="00E21336">
      <w:r>
        <w:separator/>
      </w:r>
    </w:p>
  </w:endnote>
  <w:endnote w:type="continuationSeparator" w:id="0">
    <w:p w14:paraId="75A35BA6" w14:textId="77777777" w:rsidR="00E21336" w:rsidRDefault="00E2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413" w14:textId="77777777" w:rsidR="00E21336" w:rsidRDefault="00E21336">
    <w:pPr>
      <w:pStyle w:val="Sidefod"/>
      <w:pBdr>
        <w:bottom w:val="single" w:sz="6" w:space="1" w:color="auto"/>
      </w:pBdr>
    </w:pPr>
  </w:p>
  <w:p w14:paraId="35E981C2" w14:textId="77777777" w:rsidR="00E21336" w:rsidRDefault="00E21336" w:rsidP="00C42586">
    <w:pPr>
      <w:pStyle w:val="Sidefod"/>
      <w:tabs>
        <w:tab w:val="clear" w:pos="4819"/>
        <w:tab w:val="left" w:pos="8505"/>
      </w:tabs>
      <w:rPr>
        <w:i/>
        <w:sz w:val="18"/>
        <w:szCs w:val="18"/>
      </w:rPr>
    </w:pPr>
  </w:p>
  <w:p w14:paraId="5A23B5D5" w14:textId="328CB6CD" w:rsidR="00E21336" w:rsidRPr="00B373D7" w:rsidRDefault="00E213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04521">
      <w:rPr>
        <w:i/>
        <w:noProof/>
        <w:sz w:val="18"/>
        <w:szCs w:val="18"/>
      </w:rPr>
      <w:t>Aitgrys (Orifarm), sublinguale resoribletter 300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EF2" w14:textId="77777777" w:rsidR="00E21336" w:rsidRDefault="00E21336">
      <w:r>
        <w:separator/>
      </w:r>
    </w:p>
  </w:footnote>
  <w:footnote w:type="continuationSeparator" w:id="0">
    <w:p w14:paraId="5922FA20" w14:textId="77777777" w:rsidR="00E21336" w:rsidRDefault="00E2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A727C"/>
    <w:multiLevelType w:val="singleLevel"/>
    <w:tmpl w:val="B78043A8"/>
    <w:lvl w:ilvl="0">
      <w:start w:val="101"/>
      <w:numFmt w:val="bullet"/>
      <w:lvlText w:val="-"/>
      <w:lvlJc w:val="left"/>
      <w:pPr>
        <w:tabs>
          <w:tab w:val="num" w:pos="360"/>
        </w:tabs>
        <w:ind w:left="36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3E"/>
    <w:rsid w:val="0000279E"/>
    <w:rsid w:val="000259B9"/>
    <w:rsid w:val="00041491"/>
    <w:rsid w:val="00050D16"/>
    <w:rsid w:val="0005167C"/>
    <w:rsid w:val="0007091F"/>
    <w:rsid w:val="000730CA"/>
    <w:rsid w:val="00074F2A"/>
    <w:rsid w:val="000A1CA8"/>
    <w:rsid w:val="000A466B"/>
    <w:rsid w:val="000B058C"/>
    <w:rsid w:val="000D68B0"/>
    <w:rsid w:val="000E4EE6"/>
    <w:rsid w:val="00112AE4"/>
    <w:rsid w:val="001364FF"/>
    <w:rsid w:val="001374A4"/>
    <w:rsid w:val="001454E2"/>
    <w:rsid w:val="00187D22"/>
    <w:rsid w:val="00204521"/>
    <w:rsid w:val="00206CE8"/>
    <w:rsid w:val="0021526C"/>
    <w:rsid w:val="00223F04"/>
    <w:rsid w:val="00226F78"/>
    <w:rsid w:val="00283A2B"/>
    <w:rsid w:val="002913C8"/>
    <w:rsid w:val="002B30AD"/>
    <w:rsid w:val="002C1EC0"/>
    <w:rsid w:val="002C2C01"/>
    <w:rsid w:val="002F39B1"/>
    <w:rsid w:val="002F679E"/>
    <w:rsid w:val="00305CB4"/>
    <w:rsid w:val="0036706B"/>
    <w:rsid w:val="00396FC5"/>
    <w:rsid w:val="003A29AE"/>
    <w:rsid w:val="003A32D7"/>
    <w:rsid w:val="003B4074"/>
    <w:rsid w:val="003C769A"/>
    <w:rsid w:val="003D3A90"/>
    <w:rsid w:val="003E43F5"/>
    <w:rsid w:val="003F1838"/>
    <w:rsid w:val="00403D9B"/>
    <w:rsid w:val="00404770"/>
    <w:rsid w:val="0042597C"/>
    <w:rsid w:val="00441AE6"/>
    <w:rsid w:val="0045746C"/>
    <w:rsid w:val="00476924"/>
    <w:rsid w:val="0049104B"/>
    <w:rsid w:val="004B27DD"/>
    <w:rsid w:val="004C3B58"/>
    <w:rsid w:val="004E3B12"/>
    <w:rsid w:val="00532310"/>
    <w:rsid w:val="005452AB"/>
    <w:rsid w:val="00565F0F"/>
    <w:rsid w:val="00594A86"/>
    <w:rsid w:val="00596D86"/>
    <w:rsid w:val="005B2CB4"/>
    <w:rsid w:val="006304E1"/>
    <w:rsid w:val="00632D94"/>
    <w:rsid w:val="00637F5A"/>
    <w:rsid w:val="00641C65"/>
    <w:rsid w:val="006560B1"/>
    <w:rsid w:val="006756DD"/>
    <w:rsid w:val="0070383E"/>
    <w:rsid w:val="0071241E"/>
    <w:rsid w:val="0071629F"/>
    <w:rsid w:val="00737275"/>
    <w:rsid w:val="00740EEC"/>
    <w:rsid w:val="0078011A"/>
    <w:rsid w:val="00782AF4"/>
    <w:rsid w:val="00790EE7"/>
    <w:rsid w:val="007A2682"/>
    <w:rsid w:val="007B6649"/>
    <w:rsid w:val="007C5ED8"/>
    <w:rsid w:val="007D4162"/>
    <w:rsid w:val="007F1437"/>
    <w:rsid w:val="0082576E"/>
    <w:rsid w:val="00861BE0"/>
    <w:rsid w:val="008665EF"/>
    <w:rsid w:val="008C7E6D"/>
    <w:rsid w:val="00907F75"/>
    <w:rsid w:val="009260DE"/>
    <w:rsid w:val="0093258A"/>
    <w:rsid w:val="009C7BA3"/>
    <w:rsid w:val="009D1F5A"/>
    <w:rsid w:val="009D22BA"/>
    <w:rsid w:val="009F1680"/>
    <w:rsid w:val="00A10294"/>
    <w:rsid w:val="00A415CB"/>
    <w:rsid w:val="00AA72D3"/>
    <w:rsid w:val="00B003BF"/>
    <w:rsid w:val="00B1060F"/>
    <w:rsid w:val="00B13CC8"/>
    <w:rsid w:val="00B373D7"/>
    <w:rsid w:val="00B51BCA"/>
    <w:rsid w:val="00B55271"/>
    <w:rsid w:val="00BA3E6A"/>
    <w:rsid w:val="00BD7931"/>
    <w:rsid w:val="00BF6243"/>
    <w:rsid w:val="00C36276"/>
    <w:rsid w:val="00C42586"/>
    <w:rsid w:val="00C45F6B"/>
    <w:rsid w:val="00C60CCD"/>
    <w:rsid w:val="00C84483"/>
    <w:rsid w:val="00C95551"/>
    <w:rsid w:val="00CB20D7"/>
    <w:rsid w:val="00CB3E57"/>
    <w:rsid w:val="00D012B4"/>
    <w:rsid w:val="00D020B0"/>
    <w:rsid w:val="00D030ED"/>
    <w:rsid w:val="00D11748"/>
    <w:rsid w:val="00D237F6"/>
    <w:rsid w:val="00D34D98"/>
    <w:rsid w:val="00D366CF"/>
    <w:rsid w:val="00D93992"/>
    <w:rsid w:val="00E02B4C"/>
    <w:rsid w:val="00E03961"/>
    <w:rsid w:val="00E108AA"/>
    <w:rsid w:val="00E21336"/>
    <w:rsid w:val="00E3749A"/>
    <w:rsid w:val="00E7437F"/>
    <w:rsid w:val="00E865B8"/>
    <w:rsid w:val="00EC0B9B"/>
    <w:rsid w:val="00ED5E9F"/>
    <w:rsid w:val="00EF4463"/>
    <w:rsid w:val="00F06557"/>
    <w:rsid w:val="00F2184A"/>
    <w:rsid w:val="00F27771"/>
    <w:rsid w:val="00F57427"/>
    <w:rsid w:val="00F66D4F"/>
    <w:rsid w:val="00F726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38DE"/>
  <w15:chartTrackingRefBased/>
  <w15:docId w15:val="{A948BEC5-2A63-4962-8FE2-DA09365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51BCA"/>
    <w:rPr>
      <w:color w:val="0563C1" w:themeColor="hyperlink"/>
      <w:u w:val="single"/>
    </w:rPr>
  </w:style>
  <w:style w:type="character" w:styleId="Ulstomtale">
    <w:name w:val="Unresolved Mention"/>
    <w:basedOn w:val="Standardskrifttypeiafsnit"/>
    <w:uiPriority w:val="99"/>
    <w:semiHidden/>
    <w:unhideWhenUsed/>
    <w:rsid w:val="00B51BCA"/>
    <w:rPr>
      <w:color w:val="605E5C"/>
      <w:shd w:val="clear" w:color="auto" w:fill="E1DFDD"/>
    </w:rPr>
  </w:style>
  <w:style w:type="paragraph" w:customStyle="1" w:styleId="Default">
    <w:name w:val="Default"/>
    <w:rsid w:val="00B51BCA"/>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078">
      <w:bodyDiv w:val="1"/>
      <w:marLeft w:val="0"/>
      <w:marRight w:val="0"/>
      <w:marTop w:val="0"/>
      <w:marBottom w:val="0"/>
      <w:divBdr>
        <w:top w:val="none" w:sz="0" w:space="0" w:color="auto"/>
        <w:left w:val="none" w:sz="0" w:space="0" w:color="auto"/>
        <w:bottom w:val="none" w:sz="0" w:space="0" w:color="auto"/>
        <w:right w:val="none" w:sz="0" w:space="0" w:color="auto"/>
      </w:divBdr>
    </w:div>
    <w:div w:id="102774950">
      <w:bodyDiv w:val="1"/>
      <w:marLeft w:val="0"/>
      <w:marRight w:val="0"/>
      <w:marTop w:val="0"/>
      <w:marBottom w:val="0"/>
      <w:divBdr>
        <w:top w:val="none" w:sz="0" w:space="0" w:color="auto"/>
        <w:left w:val="none" w:sz="0" w:space="0" w:color="auto"/>
        <w:bottom w:val="none" w:sz="0" w:space="0" w:color="auto"/>
        <w:right w:val="none" w:sz="0" w:space="0" w:color="auto"/>
      </w:divBdr>
    </w:div>
    <w:div w:id="1413874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95969">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202014228">
      <w:bodyDiv w:val="1"/>
      <w:marLeft w:val="0"/>
      <w:marRight w:val="0"/>
      <w:marTop w:val="0"/>
      <w:marBottom w:val="0"/>
      <w:divBdr>
        <w:top w:val="none" w:sz="0" w:space="0" w:color="auto"/>
        <w:left w:val="none" w:sz="0" w:space="0" w:color="auto"/>
        <w:bottom w:val="none" w:sz="0" w:space="0" w:color="auto"/>
        <w:right w:val="none" w:sz="0" w:space="0" w:color="auto"/>
      </w:divBdr>
    </w:div>
    <w:div w:id="290016916">
      <w:bodyDiv w:val="1"/>
      <w:marLeft w:val="0"/>
      <w:marRight w:val="0"/>
      <w:marTop w:val="0"/>
      <w:marBottom w:val="0"/>
      <w:divBdr>
        <w:top w:val="none" w:sz="0" w:space="0" w:color="auto"/>
        <w:left w:val="none" w:sz="0" w:space="0" w:color="auto"/>
        <w:bottom w:val="none" w:sz="0" w:space="0" w:color="auto"/>
        <w:right w:val="none" w:sz="0" w:space="0" w:color="auto"/>
      </w:divBdr>
    </w:div>
    <w:div w:id="319039905">
      <w:bodyDiv w:val="1"/>
      <w:marLeft w:val="0"/>
      <w:marRight w:val="0"/>
      <w:marTop w:val="0"/>
      <w:marBottom w:val="0"/>
      <w:divBdr>
        <w:top w:val="none" w:sz="0" w:space="0" w:color="auto"/>
        <w:left w:val="none" w:sz="0" w:space="0" w:color="auto"/>
        <w:bottom w:val="none" w:sz="0" w:space="0" w:color="auto"/>
        <w:right w:val="none" w:sz="0" w:space="0" w:color="auto"/>
      </w:divBdr>
    </w:div>
    <w:div w:id="335885002">
      <w:bodyDiv w:val="1"/>
      <w:marLeft w:val="0"/>
      <w:marRight w:val="0"/>
      <w:marTop w:val="0"/>
      <w:marBottom w:val="0"/>
      <w:divBdr>
        <w:top w:val="none" w:sz="0" w:space="0" w:color="auto"/>
        <w:left w:val="none" w:sz="0" w:space="0" w:color="auto"/>
        <w:bottom w:val="none" w:sz="0" w:space="0" w:color="auto"/>
        <w:right w:val="none" w:sz="0" w:space="0" w:color="auto"/>
      </w:divBdr>
    </w:div>
    <w:div w:id="466826486">
      <w:bodyDiv w:val="1"/>
      <w:marLeft w:val="0"/>
      <w:marRight w:val="0"/>
      <w:marTop w:val="0"/>
      <w:marBottom w:val="0"/>
      <w:divBdr>
        <w:top w:val="none" w:sz="0" w:space="0" w:color="auto"/>
        <w:left w:val="none" w:sz="0" w:space="0" w:color="auto"/>
        <w:bottom w:val="none" w:sz="0" w:space="0" w:color="auto"/>
        <w:right w:val="none" w:sz="0" w:space="0" w:color="auto"/>
      </w:divBdr>
    </w:div>
    <w:div w:id="550851795">
      <w:bodyDiv w:val="1"/>
      <w:marLeft w:val="0"/>
      <w:marRight w:val="0"/>
      <w:marTop w:val="0"/>
      <w:marBottom w:val="0"/>
      <w:divBdr>
        <w:top w:val="none" w:sz="0" w:space="0" w:color="auto"/>
        <w:left w:val="none" w:sz="0" w:space="0" w:color="auto"/>
        <w:bottom w:val="none" w:sz="0" w:space="0" w:color="auto"/>
        <w:right w:val="none" w:sz="0" w:space="0" w:color="auto"/>
      </w:divBdr>
    </w:div>
    <w:div w:id="623078404">
      <w:bodyDiv w:val="1"/>
      <w:marLeft w:val="0"/>
      <w:marRight w:val="0"/>
      <w:marTop w:val="0"/>
      <w:marBottom w:val="0"/>
      <w:divBdr>
        <w:top w:val="none" w:sz="0" w:space="0" w:color="auto"/>
        <w:left w:val="none" w:sz="0" w:space="0" w:color="auto"/>
        <w:bottom w:val="none" w:sz="0" w:space="0" w:color="auto"/>
        <w:right w:val="none" w:sz="0" w:space="0" w:color="auto"/>
      </w:divBdr>
    </w:div>
    <w:div w:id="648244263">
      <w:bodyDiv w:val="1"/>
      <w:marLeft w:val="0"/>
      <w:marRight w:val="0"/>
      <w:marTop w:val="0"/>
      <w:marBottom w:val="0"/>
      <w:divBdr>
        <w:top w:val="none" w:sz="0" w:space="0" w:color="auto"/>
        <w:left w:val="none" w:sz="0" w:space="0" w:color="auto"/>
        <w:bottom w:val="none" w:sz="0" w:space="0" w:color="auto"/>
        <w:right w:val="none" w:sz="0" w:space="0" w:color="auto"/>
      </w:divBdr>
    </w:div>
    <w:div w:id="651983861">
      <w:bodyDiv w:val="1"/>
      <w:marLeft w:val="0"/>
      <w:marRight w:val="0"/>
      <w:marTop w:val="0"/>
      <w:marBottom w:val="0"/>
      <w:divBdr>
        <w:top w:val="none" w:sz="0" w:space="0" w:color="auto"/>
        <w:left w:val="none" w:sz="0" w:space="0" w:color="auto"/>
        <w:bottom w:val="none" w:sz="0" w:space="0" w:color="auto"/>
        <w:right w:val="none" w:sz="0" w:space="0" w:color="auto"/>
      </w:divBdr>
    </w:div>
    <w:div w:id="686054797">
      <w:bodyDiv w:val="1"/>
      <w:marLeft w:val="0"/>
      <w:marRight w:val="0"/>
      <w:marTop w:val="0"/>
      <w:marBottom w:val="0"/>
      <w:divBdr>
        <w:top w:val="none" w:sz="0" w:space="0" w:color="auto"/>
        <w:left w:val="none" w:sz="0" w:space="0" w:color="auto"/>
        <w:bottom w:val="none" w:sz="0" w:space="0" w:color="auto"/>
        <w:right w:val="none" w:sz="0" w:space="0" w:color="auto"/>
      </w:divBdr>
    </w:div>
    <w:div w:id="702294001">
      <w:bodyDiv w:val="1"/>
      <w:marLeft w:val="0"/>
      <w:marRight w:val="0"/>
      <w:marTop w:val="0"/>
      <w:marBottom w:val="0"/>
      <w:divBdr>
        <w:top w:val="none" w:sz="0" w:space="0" w:color="auto"/>
        <w:left w:val="none" w:sz="0" w:space="0" w:color="auto"/>
        <w:bottom w:val="none" w:sz="0" w:space="0" w:color="auto"/>
        <w:right w:val="none" w:sz="0" w:space="0" w:color="auto"/>
      </w:divBdr>
    </w:div>
    <w:div w:id="727806991">
      <w:bodyDiv w:val="1"/>
      <w:marLeft w:val="0"/>
      <w:marRight w:val="0"/>
      <w:marTop w:val="0"/>
      <w:marBottom w:val="0"/>
      <w:divBdr>
        <w:top w:val="none" w:sz="0" w:space="0" w:color="auto"/>
        <w:left w:val="none" w:sz="0" w:space="0" w:color="auto"/>
        <w:bottom w:val="none" w:sz="0" w:space="0" w:color="auto"/>
        <w:right w:val="none" w:sz="0" w:space="0" w:color="auto"/>
      </w:divBdr>
    </w:div>
    <w:div w:id="765267057">
      <w:bodyDiv w:val="1"/>
      <w:marLeft w:val="0"/>
      <w:marRight w:val="0"/>
      <w:marTop w:val="0"/>
      <w:marBottom w:val="0"/>
      <w:divBdr>
        <w:top w:val="none" w:sz="0" w:space="0" w:color="auto"/>
        <w:left w:val="none" w:sz="0" w:space="0" w:color="auto"/>
        <w:bottom w:val="none" w:sz="0" w:space="0" w:color="auto"/>
        <w:right w:val="none" w:sz="0" w:space="0" w:color="auto"/>
      </w:divBdr>
    </w:div>
    <w:div w:id="854610667">
      <w:bodyDiv w:val="1"/>
      <w:marLeft w:val="0"/>
      <w:marRight w:val="0"/>
      <w:marTop w:val="0"/>
      <w:marBottom w:val="0"/>
      <w:divBdr>
        <w:top w:val="none" w:sz="0" w:space="0" w:color="auto"/>
        <w:left w:val="none" w:sz="0" w:space="0" w:color="auto"/>
        <w:bottom w:val="none" w:sz="0" w:space="0" w:color="auto"/>
        <w:right w:val="none" w:sz="0" w:space="0" w:color="auto"/>
      </w:divBdr>
    </w:div>
    <w:div w:id="921598413">
      <w:bodyDiv w:val="1"/>
      <w:marLeft w:val="0"/>
      <w:marRight w:val="0"/>
      <w:marTop w:val="0"/>
      <w:marBottom w:val="0"/>
      <w:divBdr>
        <w:top w:val="none" w:sz="0" w:space="0" w:color="auto"/>
        <w:left w:val="none" w:sz="0" w:space="0" w:color="auto"/>
        <w:bottom w:val="none" w:sz="0" w:space="0" w:color="auto"/>
        <w:right w:val="none" w:sz="0" w:space="0" w:color="auto"/>
      </w:divBdr>
    </w:div>
    <w:div w:id="985861432">
      <w:bodyDiv w:val="1"/>
      <w:marLeft w:val="0"/>
      <w:marRight w:val="0"/>
      <w:marTop w:val="0"/>
      <w:marBottom w:val="0"/>
      <w:divBdr>
        <w:top w:val="none" w:sz="0" w:space="0" w:color="auto"/>
        <w:left w:val="none" w:sz="0" w:space="0" w:color="auto"/>
        <w:bottom w:val="none" w:sz="0" w:space="0" w:color="auto"/>
        <w:right w:val="none" w:sz="0" w:space="0" w:color="auto"/>
      </w:divBdr>
    </w:div>
    <w:div w:id="1014960702">
      <w:bodyDiv w:val="1"/>
      <w:marLeft w:val="0"/>
      <w:marRight w:val="0"/>
      <w:marTop w:val="0"/>
      <w:marBottom w:val="0"/>
      <w:divBdr>
        <w:top w:val="none" w:sz="0" w:space="0" w:color="auto"/>
        <w:left w:val="none" w:sz="0" w:space="0" w:color="auto"/>
        <w:bottom w:val="none" w:sz="0" w:space="0" w:color="auto"/>
        <w:right w:val="none" w:sz="0" w:space="0" w:color="auto"/>
      </w:divBdr>
    </w:div>
    <w:div w:id="1084256898">
      <w:bodyDiv w:val="1"/>
      <w:marLeft w:val="0"/>
      <w:marRight w:val="0"/>
      <w:marTop w:val="0"/>
      <w:marBottom w:val="0"/>
      <w:divBdr>
        <w:top w:val="none" w:sz="0" w:space="0" w:color="auto"/>
        <w:left w:val="none" w:sz="0" w:space="0" w:color="auto"/>
        <w:bottom w:val="none" w:sz="0" w:space="0" w:color="auto"/>
        <w:right w:val="none" w:sz="0" w:space="0" w:color="auto"/>
      </w:divBdr>
    </w:div>
    <w:div w:id="1087070941">
      <w:bodyDiv w:val="1"/>
      <w:marLeft w:val="0"/>
      <w:marRight w:val="0"/>
      <w:marTop w:val="0"/>
      <w:marBottom w:val="0"/>
      <w:divBdr>
        <w:top w:val="none" w:sz="0" w:space="0" w:color="auto"/>
        <w:left w:val="none" w:sz="0" w:space="0" w:color="auto"/>
        <w:bottom w:val="none" w:sz="0" w:space="0" w:color="auto"/>
        <w:right w:val="none" w:sz="0" w:space="0" w:color="auto"/>
      </w:divBdr>
    </w:div>
    <w:div w:id="1218392765">
      <w:bodyDiv w:val="1"/>
      <w:marLeft w:val="0"/>
      <w:marRight w:val="0"/>
      <w:marTop w:val="0"/>
      <w:marBottom w:val="0"/>
      <w:divBdr>
        <w:top w:val="none" w:sz="0" w:space="0" w:color="auto"/>
        <w:left w:val="none" w:sz="0" w:space="0" w:color="auto"/>
        <w:bottom w:val="none" w:sz="0" w:space="0" w:color="auto"/>
        <w:right w:val="none" w:sz="0" w:space="0" w:color="auto"/>
      </w:divBdr>
    </w:div>
    <w:div w:id="1249968846">
      <w:bodyDiv w:val="1"/>
      <w:marLeft w:val="0"/>
      <w:marRight w:val="0"/>
      <w:marTop w:val="0"/>
      <w:marBottom w:val="0"/>
      <w:divBdr>
        <w:top w:val="none" w:sz="0" w:space="0" w:color="auto"/>
        <w:left w:val="none" w:sz="0" w:space="0" w:color="auto"/>
        <w:bottom w:val="none" w:sz="0" w:space="0" w:color="auto"/>
        <w:right w:val="none" w:sz="0" w:space="0" w:color="auto"/>
      </w:divBdr>
    </w:div>
    <w:div w:id="1320962870">
      <w:bodyDiv w:val="1"/>
      <w:marLeft w:val="0"/>
      <w:marRight w:val="0"/>
      <w:marTop w:val="0"/>
      <w:marBottom w:val="0"/>
      <w:divBdr>
        <w:top w:val="none" w:sz="0" w:space="0" w:color="auto"/>
        <w:left w:val="none" w:sz="0" w:space="0" w:color="auto"/>
        <w:bottom w:val="none" w:sz="0" w:space="0" w:color="auto"/>
        <w:right w:val="none" w:sz="0" w:space="0" w:color="auto"/>
      </w:divBdr>
    </w:div>
    <w:div w:id="1331716223">
      <w:bodyDiv w:val="1"/>
      <w:marLeft w:val="0"/>
      <w:marRight w:val="0"/>
      <w:marTop w:val="0"/>
      <w:marBottom w:val="0"/>
      <w:divBdr>
        <w:top w:val="none" w:sz="0" w:space="0" w:color="auto"/>
        <w:left w:val="none" w:sz="0" w:space="0" w:color="auto"/>
        <w:bottom w:val="none" w:sz="0" w:space="0" w:color="auto"/>
        <w:right w:val="none" w:sz="0" w:space="0" w:color="auto"/>
      </w:divBdr>
    </w:div>
    <w:div w:id="1423994759">
      <w:bodyDiv w:val="1"/>
      <w:marLeft w:val="0"/>
      <w:marRight w:val="0"/>
      <w:marTop w:val="0"/>
      <w:marBottom w:val="0"/>
      <w:divBdr>
        <w:top w:val="none" w:sz="0" w:space="0" w:color="auto"/>
        <w:left w:val="none" w:sz="0" w:space="0" w:color="auto"/>
        <w:bottom w:val="none" w:sz="0" w:space="0" w:color="auto"/>
        <w:right w:val="none" w:sz="0" w:space="0" w:color="auto"/>
      </w:divBdr>
    </w:div>
    <w:div w:id="1450273044">
      <w:bodyDiv w:val="1"/>
      <w:marLeft w:val="0"/>
      <w:marRight w:val="0"/>
      <w:marTop w:val="0"/>
      <w:marBottom w:val="0"/>
      <w:divBdr>
        <w:top w:val="none" w:sz="0" w:space="0" w:color="auto"/>
        <w:left w:val="none" w:sz="0" w:space="0" w:color="auto"/>
        <w:bottom w:val="none" w:sz="0" w:space="0" w:color="auto"/>
        <w:right w:val="none" w:sz="0" w:space="0" w:color="auto"/>
      </w:divBdr>
    </w:div>
    <w:div w:id="1540317663">
      <w:bodyDiv w:val="1"/>
      <w:marLeft w:val="0"/>
      <w:marRight w:val="0"/>
      <w:marTop w:val="0"/>
      <w:marBottom w:val="0"/>
      <w:divBdr>
        <w:top w:val="none" w:sz="0" w:space="0" w:color="auto"/>
        <w:left w:val="none" w:sz="0" w:space="0" w:color="auto"/>
        <w:bottom w:val="none" w:sz="0" w:space="0" w:color="auto"/>
        <w:right w:val="none" w:sz="0" w:space="0" w:color="auto"/>
      </w:divBdr>
    </w:div>
    <w:div w:id="1593124539">
      <w:bodyDiv w:val="1"/>
      <w:marLeft w:val="0"/>
      <w:marRight w:val="0"/>
      <w:marTop w:val="0"/>
      <w:marBottom w:val="0"/>
      <w:divBdr>
        <w:top w:val="none" w:sz="0" w:space="0" w:color="auto"/>
        <w:left w:val="none" w:sz="0" w:space="0" w:color="auto"/>
        <w:bottom w:val="none" w:sz="0" w:space="0" w:color="auto"/>
        <w:right w:val="none" w:sz="0" w:space="0" w:color="auto"/>
      </w:divBdr>
    </w:div>
    <w:div w:id="1637375775">
      <w:bodyDiv w:val="1"/>
      <w:marLeft w:val="0"/>
      <w:marRight w:val="0"/>
      <w:marTop w:val="0"/>
      <w:marBottom w:val="0"/>
      <w:divBdr>
        <w:top w:val="none" w:sz="0" w:space="0" w:color="auto"/>
        <w:left w:val="none" w:sz="0" w:space="0" w:color="auto"/>
        <w:bottom w:val="none" w:sz="0" w:space="0" w:color="auto"/>
        <w:right w:val="none" w:sz="0" w:space="0" w:color="auto"/>
      </w:divBdr>
    </w:div>
    <w:div w:id="1735276630">
      <w:bodyDiv w:val="1"/>
      <w:marLeft w:val="0"/>
      <w:marRight w:val="0"/>
      <w:marTop w:val="0"/>
      <w:marBottom w:val="0"/>
      <w:divBdr>
        <w:top w:val="none" w:sz="0" w:space="0" w:color="auto"/>
        <w:left w:val="none" w:sz="0" w:space="0" w:color="auto"/>
        <w:bottom w:val="none" w:sz="0" w:space="0" w:color="auto"/>
        <w:right w:val="none" w:sz="0" w:space="0" w:color="auto"/>
      </w:divBdr>
    </w:div>
    <w:div w:id="1744064319">
      <w:bodyDiv w:val="1"/>
      <w:marLeft w:val="0"/>
      <w:marRight w:val="0"/>
      <w:marTop w:val="0"/>
      <w:marBottom w:val="0"/>
      <w:divBdr>
        <w:top w:val="none" w:sz="0" w:space="0" w:color="auto"/>
        <w:left w:val="none" w:sz="0" w:space="0" w:color="auto"/>
        <w:bottom w:val="none" w:sz="0" w:space="0" w:color="auto"/>
        <w:right w:val="none" w:sz="0" w:space="0" w:color="auto"/>
      </w:divBdr>
    </w:div>
    <w:div w:id="1789349939">
      <w:bodyDiv w:val="1"/>
      <w:marLeft w:val="0"/>
      <w:marRight w:val="0"/>
      <w:marTop w:val="0"/>
      <w:marBottom w:val="0"/>
      <w:divBdr>
        <w:top w:val="none" w:sz="0" w:space="0" w:color="auto"/>
        <w:left w:val="none" w:sz="0" w:space="0" w:color="auto"/>
        <w:bottom w:val="none" w:sz="0" w:space="0" w:color="auto"/>
        <w:right w:val="none" w:sz="0" w:space="0" w:color="auto"/>
      </w:divBdr>
    </w:div>
    <w:div w:id="1902012823">
      <w:bodyDiv w:val="1"/>
      <w:marLeft w:val="0"/>
      <w:marRight w:val="0"/>
      <w:marTop w:val="0"/>
      <w:marBottom w:val="0"/>
      <w:divBdr>
        <w:top w:val="none" w:sz="0" w:space="0" w:color="auto"/>
        <w:left w:val="none" w:sz="0" w:space="0" w:color="auto"/>
        <w:bottom w:val="none" w:sz="0" w:space="0" w:color="auto"/>
        <w:right w:val="none" w:sz="0" w:space="0" w:color="auto"/>
      </w:divBdr>
    </w:div>
    <w:div w:id="1955987583">
      <w:bodyDiv w:val="1"/>
      <w:marLeft w:val="0"/>
      <w:marRight w:val="0"/>
      <w:marTop w:val="0"/>
      <w:marBottom w:val="0"/>
      <w:divBdr>
        <w:top w:val="none" w:sz="0" w:space="0" w:color="auto"/>
        <w:left w:val="none" w:sz="0" w:space="0" w:color="auto"/>
        <w:bottom w:val="none" w:sz="0" w:space="0" w:color="auto"/>
        <w:right w:val="none" w:sz="0" w:space="0" w:color="auto"/>
      </w:divBdr>
    </w:div>
    <w:div w:id="1983076934">
      <w:bodyDiv w:val="1"/>
      <w:marLeft w:val="0"/>
      <w:marRight w:val="0"/>
      <w:marTop w:val="0"/>
      <w:marBottom w:val="0"/>
      <w:divBdr>
        <w:top w:val="none" w:sz="0" w:space="0" w:color="auto"/>
        <w:left w:val="none" w:sz="0" w:space="0" w:color="auto"/>
        <w:bottom w:val="none" w:sz="0" w:space="0" w:color="auto"/>
        <w:right w:val="none" w:sz="0" w:space="0" w:color="auto"/>
      </w:divBdr>
    </w:div>
    <w:div w:id="2003775293">
      <w:bodyDiv w:val="1"/>
      <w:marLeft w:val="0"/>
      <w:marRight w:val="0"/>
      <w:marTop w:val="0"/>
      <w:marBottom w:val="0"/>
      <w:divBdr>
        <w:top w:val="none" w:sz="0" w:space="0" w:color="auto"/>
        <w:left w:val="none" w:sz="0" w:space="0" w:color="auto"/>
        <w:bottom w:val="none" w:sz="0" w:space="0" w:color="auto"/>
        <w:right w:val="none" w:sz="0" w:space="0" w:color="auto"/>
      </w:divBdr>
    </w:div>
    <w:div w:id="2146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TotalTime>
  <Pages>14</Pages>
  <Words>4052</Words>
  <Characters>26714</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2024024020 - pkt. 6.5</dc:description>
  <cp:lastModifiedBy>Camilla Sværke Hansen</cp:lastModifiedBy>
  <cp:revision>6</cp:revision>
  <cp:lastPrinted>2012-08-22T08:53:00Z</cp:lastPrinted>
  <dcterms:created xsi:type="dcterms:W3CDTF">2024-07-16T04:33:00Z</dcterms:created>
  <dcterms:modified xsi:type="dcterms:W3CDTF">2025-04-10T10:50:00Z</dcterms:modified>
</cp:coreProperties>
</file>