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70" w:rsidRPr="008F49E1" w:rsidRDefault="009D3070" w:rsidP="009D3070">
      <w:pPr>
        <w:rPr>
          <w:sz w:val="24"/>
          <w:szCs w:val="24"/>
        </w:rPr>
      </w:pPr>
      <w:r w:rsidRPr="009260DE">
        <w:rPr>
          <w:noProof/>
          <w:sz w:val="24"/>
          <w:szCs w:val="24"/>
          <w:lang w:eastAsia="da-DK"/>
        </w:rPr>
        <w:drawing>
          <wp:anchor distT="0" distB="0" distL="114300" distR="114300" simplePos="0" relativeHeight="251659264" behindDoc="0" locked="0" layoutInCell="1" allowOverlap="1" wp14:anchorId="16185626" wp14:editId="3EADB74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D3070" w:rsidRPr="00E40C49" w:rsidRDefault="009D3070" w:rsidP="009D3070">
      <w:pPr>
        <w:pStyle w:val="Titel"/>
        <w:tabs>
          <w:tab w:val="right" w:pos="9356"/>
        </w:tabs>
        <w:jc w:val="left"/>
        <w:rPr>
          <w:szCs w:val="24"/>
          <w:lang w:eastAsia="en-US"/>
        </w:rPr>
      </w:pPr>
      <w:r w:rsidRPr="00C84483">
        <w:rPr>
          <w:b w:val="0"/>
          <w:szCs w:val="24"/>
          <w:lang w:eastAsia="en-US"/>
        </w:rPr>
        <w:tab/>
      </w:r>
      <w:r w:rsidR="00E40C49" w:rsidRPr="00E40C49">
        <w:rPr>
          <w:szCs w:val="24"/>
          <w:lang w:eastAsia="en-US"/>
        </w:rPr>
        <w:t>12. februar 2025</w:t>
      </w:r>
    </w:p>
    <w:p w:rsidR="009D3070" w:rsidRPr="00C84483" w:rsidRDefault="009D3070" w:rsidP="009D3070">
      <w:pPr>
        <w:pStyle w:val="Titel"/>
        <w:tabs>
          <w:tab w:val="left" w:pos="8222"/>
        </w:tabs>
        <w:jc w:val="left"/>
        <w:rPr>
          <w:b w:val="0"/>
          <w:szCs w:val="24"/>
        </w:rPr>
      </w:pPr>
    </w:p>
    <w:p w:rsidR="009D3070" w:rsidRPr="00C84483" w:rsidRDefault="009D3070" w:rsidP="009D3070">
      <w:pPr>
        <w:pStyle w:val="Titel"/>
        <w:jc w:val="left"/>
        <w:rPr>
          <w:b w:val="0"/>
          <w:szCs w:val="24"/>
        </w:rPr>
      </w:pPr>
    </w:p>
    <w:p w:rsidR="009D3070" w:rsidRPr="00C84483" w:rsidRDefault="009D3070" w:rsidP="009D3070">
      <w:pPr>
        <w:jc w:val="center"/>
        <w:rPr>
          <w:b/>
          <w:sz w:val="24"/>
          <w:szCs w:val="24"/>
        </w:rPr>
      </w:pPr>
      <w:r w:rsidRPr="00C84483">
        <w:rPr>
          <w:b/>
          <w:sz w:val="24"/>
          <w:szCs w:val="24"/>
        </w:rPr>
        <w:t>PRODUKTRESUMÉ</w:t>
      </w:r>
    </w:p>
    <w:p w:rsidR="009D3070" w:rsidRPr="00C84483" w:rsidRDefault="009D3070" w:rsidP="009D3070">
      <w:pPr>
        <w:jc w:val="center"/>
        <w:rPr>
          <w:b/>
          <w:sz w:val="24"/>
          <w:szCs w:val="24"/>
        </w:rPr>
      </w:pPr>
    </w:p>
    <w:p w:rsidR="009D3070" w:rsidRDefault="00191FB3" w:rsidP="00191FB3">
      <w:pPr>
        <w:tabs>
          <w:tab w:val="center" w:pos="4819"/>
        </w:tabs>
        <w:rPr>
          <w:b/>
          <w:sz w:val="24"/>
          <w:szCs w:val="24"/>
        </w:rPr>
      </w:pPr>
      <w:r>
        <w:rPr>
          <w:b/>
          <w:sz w:val="24"/>
          <w:szCs w:val="24"/>
        </w:rPr>
        <w:tab/>
      </w:r>
      <w:r w:rsidR="009D3070" w:rsidRPr="00C84483">
        <w:rPr>
          <w:b/>
          <w:sz w:val="24"/>
          <w:szCs w:val="24"/>
        </w:rPr>
        <w:t>for</w:t>
      </w:r>
    </w:p>
    <w:p w:rsidR="009D3070" w:rsidRPr="00C84483" w:rsidRDefault="009D3070" w:rsidP="009D3070">
      <w:pPr>
        <w:jc w:val="center"/>
        <w:rPr>
          <w:b/>
          <w:sz w:val="24"/>
          <w:szCs w:val="24"/>
        </w:rPr>
      </w:pPr>
    </w:p>
    <w:p w:rsidR="009D3070" w:rsidRPr="00C84483" w:rsidRDefault="009D3070" w:rsidP="009D3070">
      <w:pPr>
        <w:jc w:val="center"/>
        <w:rPr>
          <w:b/>
          <w:sz w:val="24"/>
          <w:szCs w:val="24"/>
        </w:rPr>
      </w:pPr>
      <w:proofErr w:type="spellStart"/>
      <w:r>
        <w:rPr>
          <w:b/>
          <w:sz w:val="24"/>
          <w:szCs w:val="24"/>
        </w:rPr>
        <w:t>Aklief</w:t>
      </w:r>
      <w:proofErr w:type="spellEnd"/>
      <w:r>
        <w:rPr>
          <w:b/>
          <w:sz w:val="24"/>
          <w:szCs w:val="24"/>
        </w:rPr>
        <w:t>, creme</w:t>
      </w:r>
    </w:p>
    <w:p w:rsidR="009D3070" w:rsidRDefault="009D3070" w:rsidP="009D3070">
      <w:pPr>
        <w:jc w:val="both"/>
        <w:rPr>
          <w:sz w:val="24"/>
          <w:szCs w:val="24"/>
        </w:rPr>
      </w:pPr>
    </w:p>
    <w:p w:rsidR="009D3070" w:rsidRPr="00DD3AF2" w:rsidRDefault="009D3070" w:rsidP="009D3070">
      <w:pPr>
        <w:tabs>
          <w:tab w:val="left" w:pos="-720"/>
        </w:tabs>
        <w:suppressAutoHyphens/>
        <w:rPr>
          <w:szCs w:val="22"/>
        </w:rPr>
      </w:pPr>
      <w:r w:rsidRPr="005C5B40">
        <w:rPr>
          <w:noProof/>
          <w:lang w:eastAsia="da-DK"/>
        </w:rPr>
        <w:drawing>
          <wp:inline distT="0" distB="0" distL="0" distR="0" wp14:anchorId="295D504D" wp14:editId="7BDE5935">
            <wp:extent cx="196850" cy="171450"/>
            <wp:effectExtent l="0" t="0" r="0" b="0"/>
            <wp:docPr id="2" name="Billede 2"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Pr="001864F1">
        <w:rPr>
          <w:noProof/>
          <w:szCs w:val="22"/>
        </w:rPr>
        <w:t xml:space="preserve">Dette lægemiddel er underlagt supplerende overvågning. Dermed kan nye sikkerhedsoplysninger hurtigt tilvejebringes. Læger og sundhedspersonale anmodes om at indberette alle </w:t>
      </w:r>
      <w:r>
        <w:rPr>
          <w:noProof/>
          <w:szCs w:val="22"/>
        </w:rPr>
        <w:t>formodede</w:t>
      </w:r>
      <w:r w:rsidRPr="001864F1">
        <w:rPr>
          <w:noProof/>
          <w:szCs w:val="22"/>
        </w:rPr>
        <w:t xml:space="preserve"> bivirkninger. Se i pkt. 4.8, hvordan bivirkninger indberettes</w:t>
      </w:r>
      <w:r>
        <w:rPr>
          <w:noProof/>
          <w:szCs w:val="22"/>
        </w:rPr>
        <w:t>.</w:t>
      </w:r>
    </w:p>
    <w:p w:rsidR="009D3070" w:rsidRPr="00C84483" w:rsidRDefault="009D3070" w:rsidP="009D3070">
      <w:pPr>
        <w:jc w:val="both"/>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0.</w:t>
      </w:r>
      <w:r w:rsidRPr="00C84483">
        <w:rPr>
          <w:b/>
          <w:sz w:val="24"/>
          <w:szCs w:val="24"/>
        </w:rPr>
        <w:tab/>
        <w:t>D.SP.NR.</w:t>
      </w:r>
    </w:p>
    <w:p w:rsidR="009D3070" w:rsidRPr="00C84483" w:rsidRDefault="009D3070" w:rsidP="009D3070">
      <w:pPr>
        <w:tabs>
          <w:tab w:val="left" w:pos="851"/>
        </w:tabs>
        <w:ind w:left="851"/>
        <w:rPr>
          <w:sz w:val="24"/>
          <w:szCs w:val="24"/>
        </w:rPr>
      </w:pPr>
      <w:r>
        <w:rPr>
          <w:sz w:val="24"/>
          <w:szCs w:val="24"/>
        </w:rPr>
        <w:t>31385</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1.</w:t>
      </w:r>
      <w:r w:rsidRPr="00C84483">
        <w:rPr>
          <w:b/>
          <w:sz w:val="24"/>
          <w:szCs w:val="24"/>
        </w:rPr>
        <w:tab/>
        <w:t>LÆGEMIDLETS NAVN</w:t>
      </w:r>
    </w:p>
    <w:p w:rsidR="009D3070" w:rsidRPr="00C84483" w:rsidRDefault="009D3070" w:rsidP="009D3070">
      <w:pPr>
        <w:tabs>
          <w:tab w:val="left" w:pos="851"/>
        </w:tabs>
        <w:ind w:left="851"/>
        <w:rPr>
          <w:sz w:val="24"/>
          <w:szCs w:val="24"/>
        </w:rPr>
      </w:pPr>
      <w:proofErr w:type="spellStart"/>
      <w:r>
        <w:rPr>
          <w:sz w:val="24"/>
          <w:szCs w:val="24"/>
        </w:rPr>
        <w:t>Aklief</w:t>
      </w:r>
      <w:proofErr w:type="spellEnd"/>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D3070" w:rsidRPr="00D0372C" w:rsidRDefault="009D3070" w:rsidP="009D3070">
      <w:pPr>
        <w:tabs>
          <w:tab w:val="left" w:pos="851"/>
        </w:tabs>
        <w:ind w:left="851"/>
        <w:rPr>
          <w:sz w:val="24"/>
          <w:szCs w:val="24"/>
        </w:rPr>
      </w:pPr>
      <w:r>
        <w:rPr>
          <w:sz w:val="24"/>
          <w:szCs w:val="24"/>
        </w:rPr>
        <w:t>E</w:t>
      </w:r>
      <w:r w:rsidRPr="00D0372C">
        <w:rPr>
          <w:sz w:val="24"/>
          <w:szCs w:val="24"/>
        </w:rPr>
        <w:t xml:space="preserve">t gram creme indeholder 50 mikrogram </w:t>
      </w:r>
      <w:proofErr w:type="spellStart"/>
      <w:r w:rsidRPr="00D0372C">
        <w:rPr>
          <w:sz w:val="24"/>
          <w:szCs w:val="24"/>
        </w:rPr>
        <w:t>trifaroten</w:t>
      </w:r>
      <w:proofErr w:type="spellEnd"/>
      <w:r w:rsidRPr="00D0372C">
        <w:rPr>
          <w:sz w:val="24"/>
          <w:szCs w:val="24"/>
        </w:rPr>
        <w:t xml:space="preserve">. </w:t>
      </w:r>
    </w:p>
    <w:p w:rsidR="009D3070" w:rsidRPr="00D0372C" w:rsidRDefault="009D3070" w:rsidP="009D3070">
      <w:pPr>
        <w:tabs>
          <w:tab w:val="left" w:pos="851"/>
        </w:tabs>
        <w:ind w:left="851"/>
        <w:rPr>
          <w:sz w:val="24"/>
          <w:szCs w:val="24"/>
        </w:rPr>
      </w:pPr>
    </w:p>
    <w:p w:rsidR="009D3070" w:rsidRPr="00D0372C" w:rsidRDefault="009D3070" w:rsidP="009D3070">
      <w:pPr>
        <w:tabs>
          <w:tab w:val="left" w:pos="851"/>
        </w:tabs>
        <w:ind w:left="851"/>
        <w:rPr>
          <w:sz w:val="24"/>
          <w:szCs w:val="24"/>
          <w:u w:val="single"/>
        </w:rPr>
      </w:pPr>
      <w:r w:rsidRPr="00D0372C">
        <w:rPr>
          <w:sz w:val="24"/>
          <w:szCs w:val="24"/>
          <w:u w:val="single"/>
        </w:rPr>
        <w:t>Hjælpestof, som behandleren skal være opmærksom på</w:t>
      </w:r>
    </w:p>
    <w:p w:rsidR="009D3070" w:rsidRPr="00D0372C" w:rsidRDefault="009D3070" w:rsidP="009D3070">
      <w:pPr>
        <w:tabs>
          <w:tab w:val="left" w:pos="851"/>
        </w:tabs>
        <w:ind w:left="851"/>
        <w:rPr>
          <w:sz w:val="24"/>
          <w:szCs w:val="24"/>
        </w:rPr>
      </w:pPr>
      <w:r>
        <w:rPr>
          <w:sz w:val="24"/>
          <w:szCs w:val="24"/>
        </w:rPr>
        <w:t>Et</w:t>
      </w:r>
      <w:r w:rsidRPr="00D0372C">
        <w:rPr>
          <w:sz w:val="24"/>
          <w:szCs w:val="24"/>
        </w:rPr>
        <w:t xml:space="preserve"> gram creme indeholder 300 milligram propylenglycol (E1520)</w:t>
      </w:r>
      <w:r w:rsidR="00842CE2">
        <w:rPr>
          <w:sz w:val="24"/>
          <w:szCs w:val="24"/>
        </w:rPr>
        <w:t xml:space="preserve"> og 50 milligram </w:t>
      </w:r>
      <w:proofErr w:type="spellStart"/>
      <w:r w:rsidR="00842CE2">
        <w:rPr>
          <w:sz w:val="24"/>
          <w:szCs w:val="24"/>
        </w:rPr>
        <w:t>ethanol</w:t>
      </w:r>
      <w:proofErr w:type="spellEnd"/>
      <w:r>
        <w:rPr>
          <w:sz w:val="24"/>
          <w:szCs w:val="24"/>
        </w:rPr>
        <w:t>.</w:t>
      </w:r>
    </w:p>
    <w:p w:rsidR="009D3070" w:rsidRPr="00D0372C" w:rsidRDefault="009D3070" w:rsidP="009D3070">
      <w:pPr>
        <w:tabs>
          <w:tab w:val="left" w:pos="851"/>
        </w:tabs>
        <w:ind w:left="851"/>
        <w:rPr>
          <w:sz w:val="24"/>
          <w:szCs w:val="24"/>
        </w:rPr>
      </w:pPr>
    </w:p>
    <w:p w:rsidR="009D3070" w:rsidRPr="00D0372C" w:rsidRDefault="009D3070" w:rsidP="009D3070">
      <w:pPr>
        <w:tabs>
          <w:tab w:val="left" w:pos="851"/>
        </w:tabs>
        <w:ind w:left="851"/>
        <w:rPr>
          <w:sz w:val="24"/>
          <w:szCs w:val="24"/>
        </w:rPr>
      </w:pPr>
      <w:r w:rsidRPr="00D0372C">
        <w:rPr>
          <w:sz w:val="24"/>
          <w:szCs w:val="24"/>
        </w:rPr>
        <w:t>Alle hjælpestoffer er anført under pkt. 6.1.</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3.</w:t>
      </w:r>
      <w:r w:rsidRPr="00C84483">
        <w:rPr>
          <w:b/>
          <w:sz w:val="24"/>
          <w:szCs w:val="24"/>
        </w:rPr>
        <w:tab/>
        <w:t>LÆGEMIDDELFORM</w:t>
      </w:r>
    </w:p>
    <w:p w:rsidR="009D3070" w:rsidRDefault="009D3070" w:rsidP="009D3070">
      <w:pPr>
        <w:tabs>
          <w:tab w:val="left" w:pos="851"/>
        </w:tabs>
        <w:ind w:left="851"/>
        <w:rPr>
          <w:sz w:val="24"/>
          <w:szCs w:val="24"/>
        </w:rPr>
      </w:pPr>
      <w:r w:rsidRPr="00F406C0">
        <w:rPr>
          <w:sz w:val="24"/>
          <w:szCs w:val="24"/>
        </w:rPr>
        <w:t>Creme</w:t>
      </w:r>
    </w:p>
    <w:p w:rsidR="009D3070" w:rsidRPr="00F406C0" w:rsidRDefault="009D3070" w:rsidP="009D3070">
      <w:pPr>
        <w:tabs>
          <w:tab w:val="left" w:pos="851"/>
        </w:tabs>
        <w:ind w:left="851"/>
        <w:rPr>
          <w:sz w:val="24"/>
          <w:szCs w:val="24"/>
        </w:rPr>
      </w:pPr>
    </w:p>
    <w:p w:rsidR="009D3070" w:rsidRPr="00F406C0" w:rsidRDefault="009D3070" w:rsidP="009D3070">
      <w:pPr>
        <w:tabs>
          <w:tab w:val="left" w:pos="851"/>
        </w:tabs>
        <w:ind w:left="851"/>
        <w:rPr>
          <w:sz w:val="24"/>
          <w:szCs w:val="24"/>
        </w:rPr>
      </w:pPr>
      <w:r w:rsidRPr="00F406C0">
        <w:rPr>
          <w:sz w:val="24"/>
          <w:szCs w:val="24"/>
        </w:rPr>
        <w:t>Hvid og homogen creme</w:t>
      </w:r>
      <w:r>
        <w:rPr>
          <w:sz w:val="24"/>
          <w:szCs w:val="24"/>
        </w:rPr>
        <w:t>.</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4.</w:t>
      </w:r>
      <w:r w:rsidRPr="00C84483">
        <w:rPr>
          <w:b/>
          <w:sz w:val="24"/>
          <w:szCs w:val="24"/>
        </w:rPr>
        <w:tab/>
        <w:t>KLINISKE OPLYSNINGER</w:t>
      </w:r>
    </w:p>
    <w:p w:rsidR="009D3070" w:rsidRPr="00C84483" w:rsidRDefault="009D3070" w:rsidP="009D3070">
      <w:pPr>
        <w:tabs>
          <w:tab w:val="left" w:pos="851"/>
        </w:tabs>
        <w:ind w:left="851"/>
        <w:rPr>
          <w:b/>
          <w:sz w:val="24"/>
          <w:szCs w:val="24"/>
        </w:rPr>
      </w:pPr>
    </w:p>
    <w:p w:rsidR="009D3070" w:rsidRPr="00C84483" w:rsidRDefault="009D3070" w:rsidP="009D307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D3070" w:rsidRPr="00624146" w:rsidRDefault="009D3070" w:rsidP="009D3070">
      <w:pPr>
        <w:tabs>
          <w:tab w:val="left" w:pos="851"/>
        </w:tabs>
        <w:ind w:left="851"/>
        <w:rPr>
          <w:sz w:val="24"/>
          <w:szCs w:val="24"/>
        </w:rPr>
      </w:pPr>
      <w:proofErr w:type="spellStart"/>
      <w:r w:rsidRPr="00624146">
        <w:rPr>
          <w:sz w:val="24"/>
          <w:szCs w:val="24"/>
        </w:rPr>
        <w:t>Aklief</w:t>
      </w:r>
      <w:proofErr w:type="spellEnd"/>
      <w:r w:rsidRPr="00624146">
        <w:rPr>
          <w:sz w:val="24"/>
          <w:szCs w:val="24"/>
        </w:rPr>
        <w:t xml:space="preserve"> er indiceret til </w:t>
      </w:r>
      <w:proofErr w:type="spellStart"/>
      <w:r w:rsidRPr="00624146">
        <w:rPr>
          <w:sz w:val="24"/>
          <w:szCs w:val="24"/>
        </w:rPr>
        <w:t>kutan</w:t>
      </w:r>
      <w:proofErr w:type="spellEnd"/>
      <w:r w:rsidRPr="00624146">
        <w:rPr>
          <w:sz w:val="24"/>
          <w:szCs w:val="24"/>
        </w:rPr>
        <w:t xml:space="preserve"> behandling af </w:t>
      </w:r>
      <w:proofErr w:type="spellStart"/>
      <w:r w:rsidRPr="00624146">
        <w:rPr>
          <w:i/>
          <w:iCs/>
          <w:sz w:val="24"/>
          <w:szCs w:val="24"/>
        </w:rPr>
        <w:t>acne</w:t>
      </w:r>
      <w:proofErr w:type="spellEnd"/>
      <w:r w:rsidRPr="00624146">
        <w:rPr>
          <w:i/>
          <w:iCs/>
          <w:sz w:val="24"/>
          <w:szCs w:val="24"/>
        </w:rPr>
        <w:t xml:space="preserve"> </w:t>
      </w:r>
      <w:proofErr w:type="spellStart"/>
      <w:r w:rsidRPr="00624146">
        <w:rPr>
          <w:i/>
          <w:iCs/>
          <w:sz w:val="24"/>
          <w:szCs w:val="24"/>
        </w:rPr>
        <w:t>vulgaris</w:t>
      </w:r>
      <w:proofErr w:type="spellEnd"/>
      <w:r w:rsidRPr="00624146">
        <w:rPr>
          <w:sz w:val="24"/>
          <w:szCs w:val="24"/>
        </w:rPr>
        <w:t xml:space="preserve"> i ansigt og/eller på </w:t>
      </w:r>
      <w:proofErr w:type="spellStart"/>
      <w:r w:rsidRPr="00624146">
        <w:rPr>
          <w:sz w:val="24"/>
          <w:szCs w:val="24"/>
        </w:rPr>
        <w:t>truncus</w:t>
      </w:r>
      <w:proofErr w:type="spellEnd"/>
      <w:r w:rsidRPr="00624146">
        <w:rPr>
          <w:sz w:val="24"/>
          <w:szCs w:val="24"/>
        </w:rPr>
        <w:t xml:space="preserve"> hos patienter i alderen 12 år og ældre ved forekomst af mange </w:t>
      </w:r>
      <w:proofErr w:type="spellStart"/>
      <w:r w:rsidRPr="00624146">
        <w:rPr>
          <w:sz w:val="24"/>
          <w:szCs w:val="24"/>
        </w:rPr>
        <w:t>komedoner</w:t>
      </w:r>
      <w:proofErr w:type="spellEnd"/>
      <w:r w:rsidRPr="00624146">
        <w:rPr>
          <w:sz w:val="24"/>
          <w:szCs w:val="24"/>
        </w:rPr>
        <w:t xml:space="preserve">, </w:t>
      </w:r>
      <w:proofErr w:type="spellStart"/>
      <w:r w:rsidRPr="00624146">
        <w:rPr>
          <w:sz w:val="24"/>
          <w:szCs w:val="24"/>
        </w:rPr>
        <w:t>papler</w:t>
      </w:r>
      <w:proofErr w:type="spellEnd"/>
      <w:r w:rsidRPr="00624146">
        <w:rPr>
          <w:sz w:val="24"/>
          <w:szCs w:val="24"/>
        </w:rPr>
        <w:t xml:space="preserve"> og pustler.</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4.2</w:t>
      </w:r>
      <w:r w:rsidRPr="00C84483">
        <w:rPr>
          <w:b/>
          <w:sz w:val="24"/>
          <w:szCs w:val="24"/>
        </w:rPr>
        <w:tab/>
      </w:r>
      <w:r w:rsidR="00E40C49">
        <w:rPr>
          <w:b/>
          <w:sz w:val="24"/>
          <w:szCs w:val="24"/>
        </w:rPr>
        <w:t>Dosering og administration</w:t>
      </w:r>
    </w:p>
    <w:p w:rsidR="009D3070" w:rsidRPr="00624146" w:rsidRDefault="009D3070" w:rsidP="009D3070">
      <w:pPr>
        <w:tabs>
          <w:tab w:val="left" w:pos="851"/>
        </w:tabs>
        <w:ind w:left="851"/>
        <w:rPr>
          <w:sz w:val="24"/>
          <w:szCs w:val="24"/>
        </w:rPr>
      </w:pPr>
    </w:p>
    <w:p w:rsidR="009D3070" w:rsidRPr="00374D7F" w:rsidRDefault="009D3070" w:rsidP="009D3070">
      <w:pPr>
        <w:tabs>
          <w:tab w:val="left" w:pos="851"/>
        </w:tabs>
        <w:ind w:left="851"/>
        <w:rPr>
          <w:b/>
          <w:sz w:val="24"/>
          <w:szCs w:val="24"/>
        </w:rPr>
      </w:pPr>
      <w:r w:rsidRPr="00374D7F">
        <w:rPr>
          <w:b/>
          <w:sz w:val="24"/>
          <w:szCs w:val="24"/>
        </w:rPr>
        <w:t>Dosering</w:t>
      </w:r>
    </w:p>
    <w:p w:rsidR="009D3070" w:rsidRPr="00624146" w:rsidRDefault="009D3070" w:rsidP="009D3070">
      <w:pPr>
        <w:tabs>
          <w:tab w:val="left" w:pos="851"/>
        </w:tabs>
        <w:ind w:left="851"/>
        <w:rPr>
          <w:sz w:val="24"/>
          <w:szCs w:val="24"/>
        </w:rPr>
      </w:pPr>
      <w:r w:rsidRPr="00624146">
        <w:rPr>
          <w:sz w:val="24"/>
          <w:szCs w:val="24"/>
        </w:rPr>
        <w:t xml:space="preserve">Et tyndt lag </w:t>
      </w:r>
      <w:proofErr w:type="spellStart"/>
      <w:r w:rsidRPr="00624146">
        <w:rPr>
          <w:sz w:val="24"/>
          <w:szCs w:val="24"/>
        </w:rPr>
        <w:t>Aklief</w:t>
      </w:r>
      <w:proofErr w:type="spellEnd"/>
      <w:r w:rsidRPr="00624146">
        <w:rPr>
          <w:sz w:val="24"/>
          <w:szCs w:val="24"/>
        </w:rPr>
        <w:t xml:space="preserve"> creme påføres de ramte områder på ansigt og/eller </w:t>
      </w:r>
      <w:proofErr w:type="spellStart"/>
      <w:r w:rsidRPr="00624146">
        <w:rPr>
          <w:sz w:val="24"/>
          <w:szCs w:val="24"/>
        </w:rPr>
        <w:t>truncus</w:t>
      </w:r>
      <w:proofErr w:type="spellEnd"/>
      <w:r w:rsidRPr="00624146">
        <w:rPr>
          <w:sz w:val="24"/>
          <w:szCs w:val="24"/>
        </w:rPr>
        <w:t xml:space="preserve"> </w:t>
      </w:r>
      <w:r>
        <w:rPr>
          <w:sz w:val="24"/>
          <w:szCs w:val="24"/>
        </w:rPr>
        <w:t>e</w:t>
      </w:r>
      <w:r w:rsidRPr="00624146">
        <w:rPr>
          <w:sz w:val="24"/>
          <w:szCs w:val="24"/>
        </w:rPr>
        <w:t xml:space="preserve">n gang daglig om aftenen på ren og tør hud. </w:t>
      </w:r>
    </w:p>
    <w:p w:rsidR="009D3070" w:rsidRPr="00624146" w:rsidRDefault="009D3070" w:rsidP="009D3070">
      <w:pPr>
        <w:tabs>
          <w:tab w:val="left" w:pos="851"/>
        </w:tabs>
        <w:ind w:left="851"/>
        <w:rPr>
          <w:sz w:val="24"/>
          <w:szCs w:val="24"/>
        </w:rPr>
      </w:pPr>
      <w:r w:rsidRPr="00624146">
        <w:rPr>
          <w:sz w:val="24"/>
          <w:szCs w:val="24"/>
        </w:rPr>
        <w:t>Det anbefales, at lægen vurderer patientens fortsatte bedring efter tre mån</w:t>
      </w:r>
      <w:r>
        <w:rPr>
          <w:sz w:val="24"/>
          <w:szCs w:val="24"/>
        </w:rPr>
        <w:t>e</w:t>
      </w:r>
      <w:r w:rsidRPr="00624146">
        <w:rPr>
          <w:sz w:val="24"/>
          <w:szCs w:val="24"/>
        </w:rPr>
        <w:t>ders behandling.</w:t>
      </w:r>
    </w:p>
    <w:p w:rsidR="009D3070" w:rsidRPr="00624146" w:rsidRDefault="009D3070" w:rsidP="009D3070">
      <w:pPr>
        <w:tabs>
          <w:tab w:val="left" w:pos="851"/>
        </w:tabs>
        <w:ind w:left="851"/>
        <w:rPr>
          <w:sz w:val="24"/>
          <w:szCs w:val="24"/>
        </w:rPr>
      </w:pPr>
    </w:p>
    <w:p w:rsidR="009D3070" w:rsidRPr="00374D7F" w:rsidRDefault="009D3070" w:rsidP="009D3070">
      <w:pPr>
        <w:tabs>
          <w:tab w:val="left" w:pos="851"/>
        </w:tabs>
        <w:ind w:left="851"/>
        <w:rPr>
          <w:bCs/>
          <w:iCs/>
          <w:sz w:val="24"/>
          <w:szCs w:val="24"/>
          <w:u w:val="single"/>
        </w:rPr>
      </w:pPr>
      <w:r w:rsidRPr="00374D7F">
        <w:rPr>
          <w:bCs/>
          <w:iCs/>
          <w:sz w:val="24"/>
          <w:szCs w:val="24"/>
          <w:u w:val="single"/>
        </w:rPr>
        <w:lastRenderedPageBreak/>
        <w:t>Specielle populationer</w:t>
      </w:r>
    </w:p>
    <w:p w:rsidR="009D3070" w:rsidRPr="00624146" w:rsidRDefault="009D3070" w:rsidP="009D3070">
      <w:pPr>
        <w:tabs>
          <w:tab w:val="left" w:pos="851"/>
        </w:tabs>
        <w:ind w:left="851"/>
        <w:rPr>
          <w:bCs/>
          <w:i/>
          <w:iCs/>
          <w:sz w:val="24"/>
          <w:szCs w:val="24"/>
        </w:rPr>
      </w:pPr>
    </w:p>
    <w:p w:rsidR="009D3070" w:rsidRPr="00624146" w:rsidRDefault="009D3070" w:rsidP="009D3070">
      <w:pPr>
        <w:tabs>
          <w:tab w:val="left" w:pos="851"/>
        </w:tabs>
        <w:ind w:left="851"/>
        <w:rPr>
          <w:bCs/>
          <w:i/>
          <w:iCs/>
          <w:sz w:val="24"/>
          <w:szCs w:val="24"/>
        </w:rPr>
      </w:pPr>
      <w:r w:rsidRPr="00624146">
        <w:rPr>
          <w:bCs/>
          <w:i/>
          <w:iCs/>
          <w:sz w:val="24"/>
          <w:szCs w:val="24"/>
        </w:rPr>
        <w:t>Ældre patienter</w:t>
      </w:r>
    </w:p>
    <w:p w:rsidR="009D3070" w:rsidRPr="00624146" w:rsidRDefault="009D3070" w:rsidP="009D3070">
      <w:pPr>
        <w:tabs>
          <w:tab w:val="left" w:pos="851"/>
        </w:tabs>
        <w:ind w:left="851"/>
        <w:rPr>
          <w:sz w:val="24"/>
          <w:szCs w:val="24"/>
        </w:rPr>
      </w:pPr>
      <w:proofErr w:type="spellStart"/>
      <w:r w:rsidRPr="00624146">
        <w:rPr>
          <w:sz w:val="24"/>
          <w:szCs w:val="24"/>
        </w:rPr>
        <w:t>Akliefs</w:t>
      </w:r>
      <w:proofErr w:type="spellEnd"/>
      <w:r w:rsidRPr="00624146">
        <w:rPr>
          <w:sz w:val="24"/>
          <w:szCs w:val="24"/>
        </w:rPr>
        <w:t xml:space="preserve"> sikkerhed og virkning hos geriatriske patienter på 65 år og derover er ikke klarlagt.</w:t>
      </w:r>
    </w:p>
    <w:p w:rsidR="009D3070" w:rsidRPr="00624146" w:rsidRDefault="009D3070" w:rsidP="009D3070">
      <w:pPr>
        <w:tabs>
          <w:tab w:val="left" w:pos="851"/>
        </w:tabs>
        <w:ind w:left="851"/>
        <w:rPr>
          <w:sz w:val="24"/>
          <w:szCs w:val="24"/>
        </w:rPr>
      </w:pPr>
    </w:p>
    <w:p w:rsidR="009D3070" w:rsidRPr="00624146" w:rsidRDefault="009D3070" w:rsidP="009D3070">
      <w:pPr>
        <w:tabs>
          <w:tab w:val="left" w:pos="851"/>
        </w:tabs>
        <w:ind w:left="851"/>
        <w:rPr>
          <w:bCs/>
          <w:i/>
          <w:iCs/>
          <w:sz w:val="24"/>
          <w:szCs w:val="24"/>
        </w:rPr>
      </w:pPr>
      <w:r w:rsidRPr="00624146">
        <w:rPr>
          <w:bCs/>
          <w:i/>
          <w:iCs/>
          <w:sz w:val="24"/>
          <w:szCs w:val="24"/>
        </w:rPr>
        <w:t>Svækket nyre- og leverfunktion</w:t>
      </w:r>
    </w:p>
    <w:p w:rsidR="009D3070" w:rsidRPr="00624146" w:rsidRDefault="009D3070" w:rsidP="009D3070">
      <w:pPr>
        <w:tabs>
          <w:tab w:val="left" w:pos="851"/>
        </w:tabs>
        <w:ind w:left="851"/>
        <w:rPr>
          <w:bCs/>
          <w:i/>
          <w:iCs/>
          <w:sz w:val="24"/>
          <w:szCs w:val="24"/>
        </w:rPr>
      </w:pPr>
      <w:proofErr w:type="spellStart"/>
      <w:r w:rsidRPr="00624146">
        <w:rPr>
          <w:sz w:val="24"/>
          <w:szCs w:val="24"/>
        </w:rPr>
        <w:t>Aklief</w:t>
      </w:r>
      <w:proofErr w:type="spellEnd"/>
      <w:r w:rsidRPr="00624146">
        <w:rPr>
          <w:sz w:val="24"/>
          <w:szCs w:val="24"/>
        </w:rPr>
        <w:t xml:space="preserve"> er ikke blevet undersøgt hos patienter med svækket nyre- eller leverfunktion.</w:t>
      </w:r>
    </w:p>
    <w:p w:rsidR="009D3070" w:rsidRPr="00624146" w:rsidRDefault="009D3070" w:rsidP="009D3070">
      <w:pPr>
        <w:tabs>
          <w:tab w:val="left" w:pos="851"/>
        </w:tabs>
        <w:ind w:left="851"/>
        <w:rPr>
          <w:bCs/>
          <w:i/>
          <w:iCs/>
          <w:sz w:val="24"/>
          <w:szCs w:val="24"/>
        </w:rPr>
      </w:pPr>
    </w:p>
    <w:p w:rsidR="009D3070" w:rsidRPr="00624146" w:rsidRDefault="009D3070" w:rsidP="009D3070">
      <w:pPr>
        <w:tabs>
          <w:tab w:val="left" w:pos="851"/>
        </w:tabs>
        <w:ind w:left="851"/>
        <w:rPr>
          <w:bCs/>
          <w:i/>
          <w:iCs/>
          <w:sz w:val="24"/>
          <w:szCs w:val="24"/>
        </w:rPr>
      </w:pPr>
      <w:r w:rsidRPr="00624146">
        <w:rPr>
          <w:bCs/>
          <w:i/>
          <w:iCs/>
          <w:sz w:val="24"/>
          <w:szCs w:val="24"/>
        </w:rPr>
        <w:t>Pædiatrisk population</w:t>
      </w:r>
    </w:p>
    <w:p w:rsidR="009D3070" w:rsidRPr="00624146" w:rsidRDefault="009D3070" w:rsidP="009D3070">
      <w:pPr>
        <w:tabs>
          <w:tab w:val="left" w:pos="851"/>
        </w:tabs>
        <w:ind w:left="851"/>
        <w:rPr>
          <w:sz w:val="24"/>
          <w:szCs w:val="24"/>
        </w:rPr>
      </w:pPr>
      <w:proofErr w:type="spellStart"/>
      <w:r w:rsidRPr="00624146">
        <w:rPr>
          <w:sz w:val="24"/>
          <w:szCs w:val="24"/>
        </w:rPr>
        <w:t>Akliefs</w:t>
      </w:r>
      <w:proofErr w:type="spellEnd"/>
      <w:r w:rsidRPr="00624146">
        <w:rPr>
          <w:sz w:val="24"/>
          <w:szCs w:val="24"/>
        </w:rPr>
        <w:t xml:space="preserve"> sikkerhed og virkning hos børn under 12 år er ikke klarlagt. </w:t>
      </w:r>
    </w:p>
    <w:p w:rsidR="009D3070" w:rsidRPr="00624146" w:rsidRDefault="009D3070" w:rsidP="009D3070">
      <w:pPr>
        <w:tabs>
          <w:tab w:val="left" w:pos="851"/>
        </w:tabs>
        <w:ind w:left="851"/>
        <w:rPr>
          <w:sz w:val="24"/>
          <w:szCs w:val="24"/>
        </w:rPr>
      </w:pPr>
    </w:p>
    <w:p w:rsidR="009D3070" w:rsidRPr="00374D7F" w:rsidRDefault="009D3070" w:rsidP="009D3070">
      <w:pPr>
        <w:tabs>
          <w:tab w:val="left" w:pos="851"/>
        </w:tabs>
        <w:ind w:left="851"/>
        <w:rPr>
          <w:b/>
          <w:sz w:val="24"/>
          <w:szCs w:val="24"/>
        </w:rPr>
      </w:pPr>
      <w:r w:rsidRPr="00374D7F">
        <w:rPr>
          <w:b/>
          <w:sz w:val="24"/>
          <w:szCs w:val="24"/>
        </w:rPr>
        <w:t>Administration</w:t>
      </w:r>
    </w:p>
    <w:p w:rsidR="009D3070" w:rsidRPr="00624146" w:rsidRDefault="009D3070" w:rsidP="009D3070">
      <w:pPr>
        <w:tabs>
          <w:tab w:val="left" w:pos="851"/>
        </w:tabs>
        <w:ind w:left="851"/>
        <w:rPr>
          <w:sz w:val="24"/>
          <w:szCs w:val="24"/>
        </w:rPr>
      </w:pPr>
      <w:r w:rsidRPr="00624146">
        <w:rPr>
          <w:sz w:val="24"/>
          <w:szCs w:val="24"/>
        </w:rPr>
        <w:t xml:space="preserve">Kun til </w:t>
      </w:r>
      <w:proofErr w:type="spellStart"/>
      <w:r w:rsidRPr="00624146">
        <w:rPr>
          <w:sz w:val="24"/>
          <w:szCs w:val="24"/>
        </w:rPr>
        <w:t>kutan</w:t>
      </w:r>
      <w:proofErr w:type="spellEnd"/>
      <w:r w:rsidRPr="00624146">
        <w:rPr>
          <w:sz w:val="24"/>
          <w:szCs w:val="24"/>
        </w:rPr>
        <w:t xml:space="preserve"> anvendelse. </w:t>
      </w:r>
    </w:p>
    <w:p w:rsidR="009D3070" w:rsidRPr="00624146" w:rsidRDefault="009D3070" w:rsidP="009D3070">
      <w:pPr>
        <w:tabs>
          <w:tab w:val="left" w:pos="851"/>
        </w:tabs>
        <w:ind w:left="851"/>
        <w:rPr>
          <w:sz w:val="24"/>
          <w:szCs w:val="24"/>
        </w:rPr>
      </w:pPr>
      <w:r w:rsidRPr="00624146">
        <w:rPr>
          <w:sz w:val="24"/>
          <w:szCs w:val="24"/>
        </w:rPr>
        <w:t>Inden pumpen anvendes første gang, skal den primes ved at trykke flere gange, indtil en lille mængde af lægemidlet dispenseres (maksimalt 10 gange). Herefter er pumpen klar til brug.</w:t>
      </w:r>
    </w:p>
    <w:p w:rsidR="009D3070" w:rsidRPr="00624146" w:rsidRDefault="009D3070" w:rsidP="009D3070">
      <w:pPr>
        <w:tabs>
          <w:tab w:val="left" w:pos="851"/>
        </w:tabs>
        <w:ind w:left="851"/>
        <w:rPr>
          <w:sz w:val="24"/>
          <w:szCs w:val="24"/>
        </w:rPr>
      </w:pPr>
    </w:p>
    <w:p w:rsidR="009D3070" w:rsidRPr="00624146" w:rsidRDefault="009D3070" w:rsidP="009D3070">
      <w:pPr>
        <w:tabs>
          <w:tab w:val="left" w:pos="851"/>
        </w:tabs>
        <w:ind w:left="851"/>
        <w:rPr>
          <w:sz w:val="24"/>
          <w:szCs w:val="24"/>
        </w:rPr>
      </w:pPr>
      <w:r w:rsidRPr="00624146">
        <w:rPr>
          <w:sz w:val="24"/>
          <w:szCs w:val="24"/>
        </w:rPr>
        <w:t xml:space="preserve">Et tyndt lag </w:t>
      </w:r>
      <w:proofErr w:type="spellStart"/>
      <w:r w:rsidRPr="00624146">
        <w:rPr>
          <w:sz w:val="24"/>
          <w:szCs w:val="24"/>
        </w:rPr>
        <w:t>Aklief</w:t>
      </w:r>
      <w:proofErr w:type="spellEnd"/>
      <w:r w:rsidRPr="00624146">
        <w:rPr>
          <w:sz w:val="24"/>
          <w:szCs w:val="24"/>
        </w:rPr>
        <w:t xml:space="preserve"> creme påføres de ramte områder på ansigt (pande, næse, hage samt højre og venstre kind) og alle ramte områder på </w:t>
      </w:r>
      <w:proofErr w:type="spellStart"/>
      <w:r w:rsidRPr="00624146">
        <w:rPr>
          <w:sz w:val="24"/>
          <w:szCs w:val="24"/>
        </w:rPr>
        <w:t>truncus</w:t>
      </w:r>
      <w:proofErr w:type="spellEnd"/>
      <w:r w:rsidRPr="00624146">
        <w:rPr>
          <w:sz w:val="24"/>
          <w:szCs w:val="24"/>
        </w:rPr>
        <w:t xml:space="preserve"> </w:t>
      </w:r>
      <w:r>
        <w:rPr>
          <w:sz w:val="24"/>
          <w:szCs w:val="24"/>
        </w:rPr>
        <w:t>en</w:t>
      </w:r>
      <w:r w:rsidRPr="00624146">
        <w:rPr>
          <w:sz w:val="24"/>
          <w:szCs w:val="24"/>
        </w:rPr>
        <w:t xml:space="preserve"> gang </w:t>
      </w:r>
      <w:r>
        <w:rPr>
          <w:sz w:val="24"/>
          <w:szCs w:val="24"/>
        </w:rPr>
        <w:t>daglig</w:t>
      </w:r>
      <w:r w:rsidRPr="00624146">
        <w:rPr>
          <w:sz w:val="24"/>
          <w:szCs w:val="24"/>
        </w:rPr>
        <w:t xml:space="preserve"> om aftenen på ren og tør hud:</w:t>
      </w:r>
      <w:r>
        <w:rPr>
          <w:sz w:val="24"/>
          <w:szCs w:val="24"/>
        </w:rPr>
        <w:t xml:space="preserve"> </w:t>
      </w:r>
    </w:p>
    <w:p w:rsidR="009D3070" w:rsidRPr="00624146" w:rsidRDefault="009D3070" w:rsidP="009D3070">
      <w:pPr>
        <w:numPr>
          <w:ilvl w:val="0"/>
          <w:numId w:val="9"/>
        </w:numPr>
        <w:tabs>
          <w:tab w:val="left" w:pos="851"/>
        </w:tabs>
        <w:ind w:left="1134" w:hanging="283"/>
        <w:rPr>
          <w:sz w:val="24"/>
          <w:szCs w:val="24"/>
        </w:rPr>
      </w:pPr>
      <w:r>
        <w:rPr>
          <w:sz w:val="24"/>
          <w:szCs w:val="24"/>
        </w:rPr>
        <w:t>Et</w:t>
      </w:r>
      <w:r w:rsidRPr="00624146">
        <w:rPr>
          <w:sz w:val="24"/>
          <w:szCs w:val="24"/>
        </w:rPr>
        <w:t xml:space="preserve"> pumpetryk bør være tilstrækkeligt til at dække ansigtet (dvs. pande, kinder, næse og hage). </w:t>
      </w:r>
    </w:p>
    <w:p w:rsidR="009D3070" w:rsidRPr="00624146" w:rsidRDefault="009D3070" w:rsidP="009D3070">
      <w:pPr>
        <w:numPr>
          <w:ilvl w:val="0"/>
          <w:numId w:val="9"/>
        </w:numPr>
        <w:tabs>
          <w:tab w:val="left" w:pos="851"/>
        </w:tabs>
        <w:ind w:left="1134" w:hanging="283"/>
        <w:rPr>
          <w:iCs/>
          <w:sz w:val="24"/>
          <w:szCs w:val="24"/>
        </w:rPr>
      </w:pPr>
      <w:r w:rsidRPr="00624146">
        <w:rPr>
          <w:sz w:val="24"/>
          <w:szCs w:val="24"/>
        </w:rPr>
        <w:t xml:space="preserve">To pumpetryk bør være tilstrækkeligt til at dække øvre </w:t>
      </w:r>
      <w:proofErr w:type="spellStart"/>
      <w:r w:rsidRPr="00624146">
        <w:rPr>
          <w:sz w:val="24"/>
          <w:szCs w:val="24"/>
        </w:rPr>
        <w:t>truncus</w:t>
      </w:r>
      <w:proofErr w:type="spellEnd"/>
      <w:r w:rsidRPr="00624146">
        <w:rPr>
          <w:sz w:val="24"/>
          <w:szCs w:val="24"/>
        </w:rPr>
        <w:t xml:space="preserve"> (dvs. den øverste del af ryggen, der kan nås, samt skuldre og bryst). Endnu et pumpetryk kan bruges til at dække den midterste og nederste del af ryggen, hvis der er akne på de steder.</w:t>
      </w:r>
    </w:p>
    <w:p w:rsidR="009D3070" w:rsidRPr="00624146" w:rsidRDefault="009D3070" w:rsidP="009D3070">
      <w:pPr>
        <w:tabs>
          <w:tab w:val="left" w:pos="851"/>
        </w:tabs>
        <w:ind w:left="851"/>
        <w:rPr>
          <w:sz w:val="24"/>
          <w:szCs w:val="24"/>
        </w:rPr>
      </w:pPr>
      <w:r w:rsidRPr="00624146">
        <w:rPr>
          <w:sz w:val="24"/>
          <w:szCs w:val="24"/>
        </w:rPr>
        <w:t>Patienterne skal informeres om, at de skal undgå at berøre øjne, øjenlåg, læber og slimhinder, og at de skal vaske hænder efter påføring af lægemidlet.</w:t>
      </w:r>
    </w:p>
    <w:p w:rsidR="009D3070" w:rsidRPr="00624146" w:rsidRDefault="009D3070" w:rsidP="009D3070">
      <w:pPr>
        <w:tabs>
          <w:tab w:val="left" w:pos="851"/>
        </w:tabs>
        <w:ind w:left="851"/>
        <w:rPr>
          <w:sz w:val="24"/>
          <w:szCs w:val="24"/>
        </w:rPr>
      </w:pPr>
    </w:p>
    <w:p w:rsidR="009D3070" w:rsidRPr="00624146" w:rsidRDefault="009D3070" w:rsidP="009D3070">
      <w:pPr>
        <w:tabs>
          <w:tab w:val="left" w:pos="851"/>
        </w:tabs>
        <w:ind w:left="851"/>
        <w:rPr>
          <w:sz w:val="24"/>
          <w:szCs w:val="24"/>
        </w:rPr>
      </w:pPr>
      <w:r w:rsidRPr="00624146">
        <w:rPr>
          <w:sz w:val="24"/>
          <w:szCs w:val="24"/>
        </w:rPr>
        <w:t xml:space="preserve">Det anbefales at bruge fugtighedscreme efter behov fra behandlingens start. Der skal dog gå tilstrækkelig tid inden og efter påføring af </w:t>
      </w:r>
      <w:proofErr w:type="spellStart"/>
      <w:r w:rsidRPr="00624146">
        <w:rPr>
          <w:sz w:val="24"/>
          <w:szCs w:val="24"/>
        </w:rPr>
        <w:t>Aklief</w:t>
      </w:r>
      <w:proofErr w:type="spellEnd"/>
      <w:r w:rsidRPr="00624146">
        <w:rPr>
          <w:sz w:val="24"/>
          <w:szCs w:val="24"/>
        </w:rPr>
        <w:t xml:space="preserve"> creme, så huden kan nå at tørre.</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4.3</w:t>
      </w:r>
      <w:r w:rsidRPr="00C84483">
        <w:rPr>
          <w:b/>
          <w:sz w:val="24"/>
          <w:szCs w:val="24"/>
        </w:rPr>
        <w:tab/>
        <w:t>Kontraindikationer</w:t>
      </w:r>
    </w:p>
    <w:p w:rsidR="009D3070" w:rsidRPr="00E3673C" w:rsidRDefault="009D3070" w:rsidP="009D3070">
      <w:pPr>
        <w:numPr>
          <w:ilvl w:val="0"/>
          <w:numId w:val="10"/>
        </w:numPr>
        <w:tabs>
          <w:tab w:val="left" w:pos="851"/>
        </w:tabs>
        <w:ind w:left="1134" w:hanging="283"/>
        <w:rPr>
          <w:sz w:val="24"/>
          <w:szCs w:val="24"/>
        </w:rPr>
      </w:pPr>
      <w:r w:rsidRPr="00E3673C">
        <w:rPr>
          <w:sz w:val="24"/>
          <w:szCs w:val="24"/>
        </w:rPr>
        <w:t>Graviditet (se pkt. 4.6)</w:t>
      </w:r>
    </w:p>
    <w:p w:rsidR="009D3070" w:rsidRPr="00E3673C" w:rsidRDefault="009D3070" w:rsidP="009D3070">
      <w:pPr>
        <w:numPr>
          <w:ilvl w:val="0"/>
          <w:numId w:val="10"/>
        </w:numPr>
        <w:tabs>
          <w:tab w:val="left" w:pos="851"/>
        </w:tabs>
        <w:ind w:left="1134" w:hanging="283"/>
        <w:rPr>
          <w:sz w:val="24"/>
          <w:szCs w:val="24"/>
        </w:rPr>
      </w:pPr>
      <w:r w:rsidRPr="00E3673C">
        <w:rPr>
          <w:sz w:val="24"/>
          <w:szCs w:val="24"/>
        </w:rPr>
        <w:t>Planlagt graviditet</w:t>
      </w:r>
    </w:p>
    <w:p w:rsidR="009D3070" w:rsidRPr="00E3673C" w:rsidRDefault="009D3070" w:rsidP="009D3070">
      <w:pPr>
        <w:numPr>
          <w:ilvl w:val="0"/>
          <w:numId w:val="10"/>
        </w:numPr>
        <w:tabs>
          <w:tab w:val="left" w:pos="851"/>
        </w:tabs>
        <w:ind w:left="1134" w:hanging="283"/>
        <w:rPr>
          <w:sz w:val="24"/>
          <w:szCs w:val="24"/>
        </w:rPr>
      </w:pPr>
      <w:r w:rsidRPr="00E3673C">
        <w:rPr>
          <w:sz w:val="24"/>
          <w:szCs w:val="24"/>
        </w:rPr>
        <w:t>Overfølsomhed over for det aktive stof eller over for et eller flere af hjælpestofferne anført i pkt. 6.1.</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D3070" w:rsidRPr="008513DE" w:rsidRDefault="009D3070" w:rsidP="009D3070">
      <w:pPr>
        <w:tabs>
          <w:tab w:val="left" w:pos="851"/>
        </w:tabs>
        <w:ind w:left="851"/>
        <w:rPr>
          <w:sz w:val="24"/>
          <w:szCs w:val="24"/>
        </w:rPr>
      </w:pPr>
      <w:r w:rsidRPr="008513DE">
        <w:rPr>
          <w:sz w:val="24"/>
          <w:szCs w:val="24"/>
        </w:rPr>
        <w:t xml:space="preserve">Der kan opstå </w:t>
      </w:r>
      <w:proofErr w:type="spellStart"/>
      <w:r w:rsidRPr="008513DE">
        <w:rPr>
          <w:sz w:val="24"/>
          <w:szCs w:val="24"/>
        </w:rPr>
        <w:t>erythem</w:t>
      </w:r>
      <w:proofErr w:type="spellEnd"/>
      <w:r w:rsidRPr="008513DE">
        <w:rPr>
          <w:sz w:val="24"/>
          <w:szCs w:val="24"/>
        </w:rPr>
        <w:t xml:space="preserve">, afskalning, tørhed og en stikkende/sviende fornemmelse efter anvendelse af </w:t>
      </w:r>
      <w:proofErr w:type="spellStart"/>
      <w:r w:rsidRPr="008513DE">
        <w:rPr>
          <w:sz w:val="24"/>
          <w:szCs w:val="24"/>
        </w:rPr>
        <w:t>Aklief</w:t>
      </w:r>
      <w:proofErr w:type="spellEnd"/>
      <w:r w:rsidRPr="008513DE">
        <w:rPr>
          <w:sz w:val="24"/>
          <w:szCs w:val="24"/>
        </w:rPr>
        <w:t xml:space="preserve"> creme (se pkt. 4.8). For at forebygge risikoen for sådanne reaktioner skal patienterne </w:t>
      </w:r>
      <w:r>
        <w:rPr>
          <w:sz w:val="24"/>
          <w:szCs w:val="24"/>
        </w:rPr>
        <w:t>instrueres i</w:t>
      </w:r>
      <w:r w:rsidRPr="008513DE">
        <w:rPr>
          <w:sz w:val="24"/>
          <w:szCs w:val="24"/>
        </w:rPr>
        <w:t xml:space="preserve"> at bruge fugtighedscreme fra behandlingens start og om nødvendigt påføre </w:t>
      </w:r>
      <w:proofErr w:type="spellStart"/>
      <w:r w:rsidRPr="008513DE">
        <w:rPr>
          <w:sz w:val="24"/>
          <w:szCs w:val="24"/>
        </w:rPr>
        <w:t>Aklief</w:t>
      </w:r>
      <w:proofErr w:type="spellEnd"/>
      <w:r w:rsidRPr="008513DE">
        <w:rPr>
          <w:sz w:val="24"/>
          <w:szCs w:val="24"/>
        </w:rPr>
        <w:t xml:space="preserve"> creme mindre hyppigt eller afbryde anvendelsen midlertidigt. Behandlingen kan afbrydes, hvis alvorlige reaktioner varer ved på trods af forebyggende foranstaltninger.</w:t>
      </w:r>
    </w:p>
    <w:p w:rsidR="009D3070" w:rsidRPr="008513DE" w:rsidRDefault="009D3070" w:rsidP="009D3070">
      <w:pPr>
        <w:tabs>
          <w:tab w:val="left" w:pos="851"/>
        </w:tabs>
        <w:ind w:left="851"/>
        <w:rPr>
          <w:sz w:val="24"/>
          <w:szCs w:val="24"/>
        </w:rPr>
      </w:pPr>
    </w:p>
    <w:p w:rsidR="009D3070" w:rsidRPr="008513DE" w:rsidRDefault="009D3070" w:rsidP="009D3070">
      <w:pPr>
        <w:tabs>
          <w:tab w:val="left" w:pos="851"/>
        </w:tabs>
        <w:ind w:left="851"/>
        <w:rPr>
          <w:sz w:val="24"/>
          <w:szCs w:val="24"/>
        </w:rPr>
      </w:pPr>
      <w:r w:rsidRPr="008513DE">
        <w:rPr>
          <w:sz w:val="24"/>
          <w:szCs w:val="24"/>
        </w:rPr>
        <w:t xml:space="preserve">Produktet må ikke påføres på hud, der har rifter, hudafskrabninger eller eksem, eller som er solskoldet. </w:t>
      </w:r>
    </w:p>
    <w:p w:rsidR="009D3070" w:rsidRPr="008513DE" w:rsidRDefault="009D3070" w:rsidP="009D3070">
      <w:pPr>
        <w:tabs>
          <w:tab w:val="left" w:pos="851"/>
        </w:tabs>
        <w:ind w:left="851"/>
        <w:rPr>
          <w:sz w:val="24"/>
          <w:szCs w:val="24"/>
        </w:rPr>
      </w:pPr>
    </w:p>
    <w:p w:rsidR="009D3070" w:rsidRPr="008513DE" w:rsidRDefault="009D3070" w:rsidP="009D3070">
      <w:pPr>
        <w:tabs>
          <w:tab w:val="left" w:pos="851"/>
        </w:tabs>
        <w:ind w:left="851"/>
        <w:rPr>
          <w:sz w:val="24"/>
          <w:szCs w:val="24"/>
        </w:rPr>
      </w:pPr>
      <w:r w:rsidRPr="008513DE">
        <w:rPr>
          <w:sz w:val="24"/>
          <w:szCs w:val="24"/>
        </w:rPr>
        <w:t xml:space="preserve">Som det er tilfældet med andre </w:t>
      </w:r>
      <w:proofErr w:type="spellStart"/>
      <w:r w:rsidRPr="008513DE">
        <w:rPr>
          <w:sz w:val="24"/>
          <w:szCs w:val="24"/>
        </w:rPr>
        <w:t>retinoider</w:t>
      </w:r>
      <w:proofErr w:type="spellEnd"/>
      <w:r w:rsidRPr="008513DE">
        <w:rPr>
          <w:sz w:val="24"/>
          <w:szCs w:val="24"/>
        </w:rPr>
        <w:t xml:space="preserve">, skal brug af voks som hårfjerningsmetode undgås på hud, der er behandlet med </w:t>
      </w:r>
      <w:proofErr w:type="spellStart"/>
      <w:r w:rsidRPr="008513DE">
        <w:rPr>
          <w:sz w:val="24"/>
          <w:szCs w:val="24"/>
        </w:rPr>
        <w:t>Aklief</w:t>
      </w:r>
      <w:proofErr w:type="spellEnd"/>
      <w:r w:rsidRPr="008513DE">
        <w:rPr>
          <w:sz w:val="24"/>
          <w:szCs w:val="24"/>
        </w:rPr>
        <w:t>.</w:t>
      </w:r>
    </w:p>
    <w:p w:rsidR="009D3070" w:rsidRPr="008513DE" w:rsidRDefault="009D3070" w:rsidP="009D3070">
      <w:pPr>
        <w:tabs>
          <w:tab w:val="left" w:pos="851"/>
        </w:tabs>
        <w:ind w:left="851"/>
        <w:rPr>
          <w:sz w:val="24"/>
          <w:szCs w:val="24"/>
        </w:rPr>
      </w:pPr>
    </w:p>
    <w:p w:rsidR="009D3070" w:rsidRPr="008513DE" w:rsidRDefault="009D3070" w:rsidP="009D3070">
      <w:pPr>
        <w:tabs>
          <w:tab w:val="left" w:pos="851"/>
        </w:tabs>
        <w:ind w:left="851"/>
        <w:rPr>
          <w:sz w:val="24"/>
          <w:szCs w:val="24"/>
        </w:rPr>
      </w:pPr>
      <w:r w:rsidRPr="008513DE">
        <w:rPr>
          <w:sz w:val="24"/>
          <w:szCs w:val="24"/>
        </w:rPr>
        <w:lastRenderedPageBreak/>
        <w:t xml:space="preserve">Anvendelse af </w:t>
      </w:r>
      <w:proofErr w:type="spellStart"/>
      <w:r w:rsidRPr="008513DE">
        <w:rPr>
          <w:sz w:val="24"/>
          <w:szCs w:val="24"/>
        </w:rPr>
        <w:t>Aklief</w:t>
      </w:r>
      <w:proofErr w:type="spellEnd"/>
      <w:r w:rsidRPr="008513DE">
        <w:rPr>
          <w:sz w:val="24"/>
          <w:szCs w:val="24"/>
        </w:rPr>
        <w:t xml:space="preserve"> skal afbrydes, hvis der opstår en reaktion, som kan tyde på overfølsomhed over for et eller flere af indholdsstofferne i lægemidlet. Forsigtighed tilrådes, hvis der bruges kosmetik eller </w:t>
      </w:r>
      <w:proofErr w:type="spellStart"/>
      <w:r w:rsidRPr="008513DE">
        <w:rPr>
          <w:sz w:val="24"/>
          <w:szCs w:val="24"/>
        </w:rPr>
        <w:t>aknemidler</w:t>
      </w:r>
      <w:proofErr w:type="spellEnd"/>
      <w:r w:rsidRPr="008513DE">
        <w:rPr>
          <w:sz w:val="24"/>
          <w:szCs w:val="24"/>
        </w:rPr>
        <w:t xml:space="preserve"> med afskallende, irriterende eller udtørrende virkninger samtidig med lægemidlet, da de kan forårsage </w:t>
      </w:r>
      <w:proofErr w:type="spellStart"/>
      <w:r w:rsidRPr="008513DE">
        <w:rPr>
          <w:sz w:val="24"/>
          <w:szCs w:val="24"/>
        </w:rPr>
        <w:t>additive</w:t>
      </w:r>
      <w:proofErr w:type="spellEnd"/>
      <w:r w:rsidRPr="008513DE">
        <w:rPr>
          <w:sz w:val="24"/>
          <w:szCs w:val="24"/>
        </w:rPr>
        <w:t xml:space="preserve"> irriterende virkninger.</w:t>
      </w:r>
    </w:p>
    <w:p w:rsidR="009D3070" w:rsidRPr="008513DE" w:rsidRDefault="009D3070" w:rsidP="009D3070">
      <w:pPr>
        <w:tabs>
          <w:tab w:val="left" w:pos="851"/>
        </w:tabs>
        <w:ind w:left="851"/>
        <w:rPr>
          <w:sz w:val="24"/>
          <w:szCs w:val="24"/>
        </w:rPr>
      </w:pPr>
    </w:p>
    <w:p w:rsidR="009D3070" w:rsidRPr="008513DE" w:rsidRDefault="009D3070" w:rsidP="009D3070">
      <w:pPr>
        <w:tabs>
          <w:tab w:val="left" w:pos="851"/>
        </w:tabs>
        <w:ind w:left="851"/>
        <w:rPr>
          <w:sz w:val="24"/>
          <w:szCs w:val="24"/>
        </w:rPr>
      </w:pPr>
      <w:proofErr w:type="spellStart"/>
      <w:r w:rsidRPr="008513DE">
        <w:rPr>
          <w:sz w:val="24"/>
          <w:szCs w:val="24"/>
        </w:rPr>
        <w:t>Aklief</w:t>
      </w:r>
      <w:proofErr w:type="spellEnd"/>
      <w:r w:rsidRPr="008513DE">
        <w:rPr>
          <w:sz w:val="24"/>
          <w:szCs w:val="24"/>
        </w:rPr>
        <w:t xml:space="preserve"> må ikke komme i kontakt med øjne, øjenlåg, læber eller slimhinder. Hvis produktet kommer i øjnene, skylles straks med rigelige mængder </w:t>
      </w:r>
      <w:r w:rsidR="003B0D10">
        <w:rPr>
          <w:sz w:val="24"/>
          <w:szCs w:val="24"/>
        </w:rPr>
        <w:t>lunkent</w:t>
      </w:r>
      <w:r w:rsidRPr="008513DE">
        <w:rPr>
          <w:sz w:val="24"/>
          <w:szCs w:val="24"/>
        </w:rPr>
        <w:t xml:space="preserve"> vand.</w:t>
      </w:r>
    </w:p>
    <w:p w:rsidR="009D3070" w:rsidRPr="008513DE" w:rsidRDefault="009D3070" w:rsidP="009D3070">
      <w:pPr>
        <w:tabs>
          <w:tab w:val="left" w:pos="851"/>
        </w:tabs>
        <w:ind w:left="851"/>
        <w:rPr>
          <w:sz w:val="24"/>
          <w:szCs w:val="24"/>
        </w:rPr>
      </w:pPr>
    </w:p>
    <w:p w:rsidR="009D3070" w:rsidRPr="008513DE" w:rsidRDefault="009D3070" w:rsidP="009D3070">
      <w:pPr>
        <w:tabs>
          <w:tab w:val="left" w:pos="851"/>
        </w:tabs>
        <w:ind w:left="851"/>
        <w:rPr>
          <w:iCs/>
          <w:sz w:val="24"/>
          <w:szCs w:val="24"/>
        </w:rPr>
      </w:pPr>
      <w:r>
        <w:rPr>
          <w:sz w:val="24"/>
          <w:szCs w:val="24"/>
        </w:rPr>
        <w:t>Overdreven</w:t>
      </w:r>
      <w:r w:rsidRPr="008513DE">
        <w:rPr>
          <w:sz w:val="24"/>
          <w:szCs w:val="24"/>
        </w:rPr>
        <w:t xml:space="preserve"> eksponering for sollys, herunder solarier eller lysbehandling, skal undgås under behandlingen.</w:t>
      </w:r>
      <w:r>
        <w:rPr>
          <w:sz w:val="24"/>
          <w:szCs w:val="24"/>
        </w:rPr>
        <w:t xml:space="preserve"> </w:t>
      </w:r>
      <w:r w:rsidRPr="008513DE">
        <w:rPr>
          <w:sz w:val="24"/>
          <w:szCs w:val="24"/>
        </w:rPr>
        <w:t>Hvis eksponering ikke kan undgås, anbefales det at bruge bredspektret, vandfast solbeskyttelse med en solbeskyttelsesfaktor (SPF) på mindst 30 samt beskyttende tøj på de behandlede områder.</w:t>
      </w:r>
    </w:p>
    <w:p w:rsidR="009D3070" w:rsidRPr="008513DE" w:rsidRDefault="009D3070" w:rsidP="009D3070">
      <w:pPr>
        <w:tabs>
          <w:tab w:val="left" w:pos="851"/>
        </w:tabs>
        <w:ind w:left="851"/>
        <w:rPr>
          <w:sz w:val="24"/>
          <w:szCs w:val="24"/>
        </w:rPr>
      </w:pPr>
    </w:p>
    <w:p w:rsidR="009D3070" w:rsidRPr="008513DE" w:rsidRDefault="009D3070" w:rsidP="009D3070">
      <w:pPr>
        <w:tabs>
          <w:tab w:val="left" w:pos="851"/>
        </w:tabs>
        <w:ind w:left="851"/>
        <w:rPr>
          <w:sz w:val="24"/>
          <w:szCs w:val="24"/>
        </w:rPr>
      </w:pPr>
      <w:r w:rsidRPr="008513DE">
        <w:rPr>
          <w:sz w:val="24"/>
          <w:szCs w:val="24"/>
        </w:rPr>
        <w:t xml:space="preserve">Dette </w:t>
      </w:r>
      <w:r>
        <w:rPr>
          <w:sz w:val="24"/>
          <w:szCs w:val="24"/>
        </w:rPr>
        <w:t>lægemiddel</w:t>
      </w:r>
      <w:r w:rsidRPr="008513DE">
        <w:rPr>
          <w:sz w:val="24"/>
          <w:szCs w:val="24"/>
        </w:rPr>
        <w:t xml:space="preserve"> indeholder propylenglycol (E1520), som kan forårsage hudirritation.</w:t>
      </w:r>
    </w:p>
    <w:p w:rsidR="009D3070" w:rsidRDefault="009D3070" w:rsidP="009D3070">
      <w:pPr>
        <w:tabs>
          <w:tab w:val="left" w:pos="851"/>
        </w:tabs>
        <w:ind w:left="851"/>
        <w:rPr>
          <w:sz w:val="24"/>
          <w:szCs w:val="24"/>
        </w:rPr>
      </w:pPr>
    </w:p>
    <w:p w:rsidR="00842CE2" w:rsidRPr="008D1597" w:rsidRDefault="00842CE2" w:rsidP="00842CE2">
      <w:pPr>
        <w:tabs>
          <w:tab w:val="left" w:pos="851"/>
        </w:tabs>
        <w:ind w:left="851"/>
        <w:rPr>
          <w:sz w:val="24"/>
          <w:szCs w:val="24"/>
        </w:rPr>
      </w:pPr>
      <w:proofErr w:type="spellStart"/>
      <w:r>
        <w:rPr>
          <w:sz w:val="24"/>
          <w:szCs w:val="24"/>
        </w:rPr>
        <w:t>Aklief</w:t>
      </w:r>
      <w:proofErr w:type="spellEnd"/>
      <w:r>
        <w:rPr>
          <w:sz w:val="24"/>
          <w:szCs w:val="24"/>
        </w:rPr>
        <w:t xml:space="preserve"> indeholder også 50 mg alkohol (</w:t>
      </w:r>
      <w:proofErr w:type="spellStart"/>
      <w:r>
        <w:rPr>
          <w:sz w:val="24"/>
          <w:szCs w:val="24"/>
        </w:rPr>
        <w:t>ethanol</w:t>
      </w:r>
      <w:proofErr w:type="spellEnd"/>
      <w:r>
        <w:rPr>
          <w:sz w:val="24"/>
          <w:szCs w:val="24"/>
        </w:rPr>
        <w:t xml:space="preserve">) pr. gram svarende til 5% w/w. Det kan forårsage en </w:t>
      </w:r>
      <w:r w:rsidRPr="008D1597">
        <w:rPr>
          <w:sz w:val="24"/>
          <w:szCs w:val="24"/>
        </w:rPr>
        <w:t>br</w:t>
      </w:r>
      <w:r w:rsidRPr="008513DE">
        <w:rPr>
          <w:sz w:val="24"/>
          <w:szCs w:val="24"/>
        </w:rPr>
        <w:t>æ</w:t>
      </w:r>
      <w:r w:rsidRPr="008D1597">
        <w:rPr>
          <w:sz w:val="24"/>
          <w:szCs w:val="24"/>
        </w:rPr>
        <w:t>ndende</w:t>
      </w:r>
      <w:r>
        <w:rPr>
          <w:sz w:val="24"/>
          <w:szCs w:val="24"/>
        </w:rPr>
        <w:t xml:space="preserve"> fornemmelse på skadet hud.</w:t>
      </w:r>
    </w:p>
    <w:p w:rsidR="00842CE2" w:rsidRPr="00C84483" w:rsidRDefault="00842CE2"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D3070" w:rsidRPr="00530BD8" w:rsidRDefault="009D3070" w:rsidP="009D3070">
      <w:pPr>
        <w:tabs>
          <w:tab w:val="left" w:pos="851"/>
        </w:tabs>
        <w:ind w:left="851"/>
        <w:rPr>
          <w:sz w:val="24"/>
          <w:szCs w:val="24"/>
        </w:rPr>
      </w:pPr>
    </w:p>
    <w:p w:rsidR="009D3070" w:rsidRPr="00530BD8" w:rsidRDefault="009D3070" w:rsidP="009D3070">
      <w:pPr>
        <w:tabs>
          <w:tab w:val="left" w:pos="851"/>
        </w:tabs>
        <w:ind w:left="851"/>
        <w:rPr>
          <w:sz w:val="24"/>
          <w:szCs w:val="24"/>
          <w:u w:val="single"/>
        </w:rPr>
      </w:pPr>
      <w:r w:rsidRPr="00530BD8">
        <w:rPr>
          <w:sz w:val="24"/>
          <w:szCs w:val="24"/>
          <w:u w:val="single"/>
        </w:rPr>
        <w:t xml:space="preserve">Virkningen af </w:t>
      </w:r>
      <w:proofErr w:type="spellStart"/>
      <w:r w:rsidRPr="00530BD8">
        <w:rPr>
          <w:sz w:val="24"/>
          <w:szCs w:val="24"/>
          <w:u w:val="single"/>
        </w:rPr>
        <w:t>Aklief</w:t>
      </w:r>
      <w:proofErr w:type="spellEnd"/>
      <w:r w:rsidRPr="00530BD8">
        <w:rPr>
          <w:sz w:val="24"/>
          <w:szCs w:val="24"/>
          <w:u w:val="single"/>
        </w:rPr>
        <w:t xml:space="preserve"> creme på andre lægemidler</w:t>
      </w:r>
    </w:p>
    <w:p w:rsidR="009D3070" w:rsidRPr="00530BD8" w:rsidRDefault="009D3070" w:rsidP="009D3070">
      <w:pPr>
        <w:tabs>
          <w:tab w:val="left" w:pos="851"/>
        </w:tabs>
        <w:ind w:left="851"/>
        <w:rPr>
          <w:sz w:val="24"/>
          <w:szCs w:val="24"/>
        </w:rPr>
      </w:pPr>
      <w:r w:rsidRPr="00530BD8">
        <w:rPr>
          <w:sz w:val="24"/>
          <w:szCs w:val="24"/>
        </w:rPr>
        <w:t xml:space="preserve">Et klinisk interaktionsstudie har vist, at </w:t>
      </w:r>
      <w:proofErr w:type="spellStart"/>
      <w:r w:rsidRPr="00530BD8">
        <w:rPr>
          <w:sz w:val="24"/>
          <w:szCs w:val="24"/>
        </w:rPr>
        <w:t>topi</w:t>
      </w:r>
      <w:r>
        <w:rPr>
          <w:sz w:val="24"/>
          <w:szCs w:val="24"/>
        </w:rPr>
        <w:t>kal</w:t>
      </w:r>
      <w:proofErr w:type="spellEnd"/>
      <w:r w:rsidRPr="00530BD8">
        <w:rPr>
          <w:sz w:val="24"/>
          <w:szCs w:val="24"/>
        </w:rPr>
        <w:t xml:space="preserve"> anvendelse af </w:t>
      </w:r>
      <w:proofErr w:type="spellStart"/>
      <w:r w:rsidRPr="00530BD8">
        <w:rPr>
          <w:sz w:val="24"/>
          <w:szCs w:val="24"/>
        </w:rPr>
        <w:t>trifaroten</w:t>
      </w:r>
      <w:proofErr w:type="spellEnd"/>
      <w:r w:rsidRPr="00530BD8">
        <w:rPr>
          <w:sz w:val="24"/>
          <w:szCs w:val="24"/>
        </w:rPr>
        <w:t xml:space="preserve"> ikke påvirkede de cirkulerende koncentrationer af hormonelle </w:t>
      </w:r>
      <w:proofErr w:type="spellStart"/>
      <w:r w:rsidRPr="00530BD8">
        <w:rPr>
          <w:sz w:val="24"/>
          <w:szCs w:val="24"/>
        </w:rPr>
        <w:t>kontraceptiva</w:t>
      </w:r>
      <w:proofErr w:type="spellEnd"/>
      <w:r w:rsidRPr="00530BD8">
        <w:rPr>
          <w:sz w:val="24"/>
          <w:szCs w:val="24"/>
        </w:rPr>
        <w:t xml:space="preserve"> (</w:t>
      </w:r>
      <w:proofErr w:type="spellStart"/>
      <w:r w:rsidRPr="00530BD8">
        <w:rPr>
          <w:sz w:val="24"/>
          <w:szCs w:val="24"/>
        </w:rPr>
        <w:t>ethinyløstradiol</w:t>
      </w:r>
      <w:proofErr w:type="spellEnd"/>
      <w:r w:rsidRPr="00530BD8">
        <w:rPr>
          <w:sz w:val="24"/>
          <w:szCs w:val="24"/>
        </w:rPr>
        <w:t xml:space="preserve"> og </w:t>
      </w:r>
      <w:proofErr w:type="spellStart"/>
      <w:r w:rsidRPr="00530BD8">
        <w:rPr>
          <w:sz w:val="24"/>
          <w:szCs w:val="24"/>
        </w:rPr>
        <w:t>levonorgestrel</w:t>
      </w:r>
      <w:proofErr w:type="spellEnd"/>
      <w:r w:rsidRPr="00530BD8">
        <w:rPr>
          <w:sz w:val="24"/>
          <w:szCs w:val="24"/>
        </w:rPr>
        <w:t xml:space="preserve">), som blev administreret oralt. </w:t>
      </w:r>
    </w:p>
    <w:p w:rsidR="009D3070" w:rsidRPr="00530BD8" w:rsidRDefault="009D3070" w:rsidP="009D3070">
      <w:pPr>
        <w:tabs>
          <w:tab w:val="left" w:pos="851"/>
        </w:tabs>
        <w:ind w:left="851"/>
        <w:rPr>
          <w:sz w:val="24"/>
          <w:szCs w:val="24"/>
          <w:u w:val="single"/>
        </w:rPr>
      </w:pPr>
    </w:p>
    <w:p w:rsidR="009D3070" w:rsidRPr="00530BD8" w:rsidRDefault="009D3070" w:rsidP="009D3070">
      <w:pPr>
        <w:tabs>
          <w:tab w:val="left" w:pos="851"/>
        </w:tabs>
        <w:ind w:left="851"/>
        <w:rPr>
          <w:sz w:val="24"/>
          <w:szCs w:val="24"/>
          <w:u w:val="single"/>
        </w:rPr>
      </w:pPr>
      <w:r w:rsidRPr="00530BD8">
        <w:rPr>
          <w:sz w:val="24"/>
          <w:szCs w:val="24"/>
          <w:u w:val="single"/>
        </w:rPr>
        <w:t xml:space="preserve">Andre lægemidlers virkning på </w:t>
      </w:r>
      <w:proofErr w:type="spellStart"/>
      <w:r w:rsidRPr="00530BD8">
        <w:rPr>
          <w:sz w:val="24"/>
          <w:szCs w:val="24"/>
          <w:u w:val="single"/>
        </w:rPr>
        <w:t>Aklief</w:t>
      </w:r>
      <w:proofErr w:type="spellEnd"/>
      <w:r w:rsidRPr="00530BD8">
        <w:rPr>
          <w:sz w:val="24"/>
          <w:szCs w:val="24"/>
          <w:u w:val="single"/>
        </w:rPr>
        <w:t xml:space="preserve"> creme</w:t>
      </w:r>
    </w:p>
    <w:p w:rsidR="009D3070" w:rsidRPr="00530BD8" w:rsidRDefault="009D3070" w:rsidP="009D3070">
      <w:pPr>
        <w:tabs>
          <w:tab w:val="left" w:pos="851"/>
        </w:tabs>
        <w:ind w:left="851"/>
        <w:rPr>
          <w:sz w:val="24"/>
          <w:szCs w:val="24"/>
        </w:rPr>
      </w:pPr>
      <w:r w:rsidRPr="00530BD8">
        <w:rPr>
          <w:sz w:val="24"/>
          <w:szCs w:val="24"/>
        </w:rPr>
        <w:t xml:space="preserve">Der blev ikke udført nogen kliniske interaktionsstudier </w:t>
      </w:r>
      <w:r>
        <w:rPr>
          <w:sz w:val="24"/>
          <w:szCs w:val="24"/>
        </w:rPr>
        <w:t>til</w:t>
      </w:r>
      <w:r w:rsidRPr="00530BD8">
        <w:rPr>
          <w:sz w:val="24"/>
          <w:szCs w:val="24"/>
        </w:rPr>
        <w:t xml:space="preserve"> undersøgelse af andre lægemidlers virkning på de systemiske niveauer af </w:t>
      </w:r>
      <w:proofErr w:type="spellStart"/>
      <w:r w:rsidRPr="00530BD8">
        <w:rPr>
          <w:sz w:val="24"/>
          <w:szCs w:val="24"/>
        </w:rPr>
        <w:t>trifaroten</w:t>
      </w:r>
      <w:proofErr w:type="spellEnd"/>
      <w:r w:rsidRPr="00530BD8">
        <w:rPr>
          <w:sz w:val="24"/>
          <w:szCs w:val="24"/>
        </w:rPr>
        <w:t xml:space="preserve"> (se pkt. 5.2). </w:t>
      </w:r>
    </w:p>
    <w:p w:rsidR="009D3070" w:rsidRPr="00530BD8" w:rsidRDefault="009D3070" w:rsidP="009D3070">
      <w:pPr>
        <w:tabs>
          <w:tab w:val="left" w:pos="851"/>
        </w:tabs>
        <w:ind w:left="851"/>
        <w:rPr>
          <w:sz w:val="24"/>
          <w:szCs w:val="24"/>
        </w:rPr>
      </w:pPr>
      <w:r w:rsidRPr="00530BD8">
        <w:rPr>
          <w:sz w:val="24"/>
          <w:szCs w:val="24"/>
        </w:rPr>
        <w:t xml:space="preserve">Der findes ingen data vedrørende </w:t>
      </w:r>
      <w:proofErr w:type="spellStart"/>
      <w:r w:rsidRPr="00530BD8">
        <w:rPr>
          <w:sz w:val="24"/>
          <w:szCs w:val="24"/>
        </w:rPr>
        <w:t>trifarotens</w:t>
      </w:r>
      <w:proofErr w:type="spellEnd"/>
      <w:r w:rsidRPr="00530BD8">
        <w:rPr>
          <w:sz w:val="24"/>
          <w:szCs w:val="24"/>
        </w:rPr>
        <w:t xml:space="preserve"> potentiale for </w:t>
      </w:r>
      <w:proofErr w:type="spellStart"/>
      <w:r w:rsidRPr="00530BD8">
        <w:rPr>
          <w:i/>
          <w:sz w:val="24"/>
          <w:szCs w:val="24"/>
        </w:rPr>
        <w:t>farmakodynamisk</w:t>
      </w:r>
      <w:proofErr w:type="spellEnd"/>
      <w:r w:rsidRPr="00530BD8">
        <w:rPr>
          <w:sz w:val="24"/>
          <w:szCs w:val="24"/>
        </w:rPr>
        <w:t xml:space="preserve"> interaktion. Forsigtighed tilrådes, hvis der bruges kosmetik </w:t>
      </w:r>
      <w:r>
        <w:rPr>
          <w:sz w:val="24"/>
          <w:szCs w:val="24"/>
        </w:rPr>
        <w:t xml:space="preserve">eller </w:t>
      </w:r>
      <w:proofErr w:type="spellStart"/>
      <w:r>
        <w:rPr>
          <w:sz w:val="24"/>
          <w:szCs w:val="24"/>
        </w:rPr>
        <w:t>aknemidler</w:t>
      </w:r>
      <w:proofErr w:type="spellEnd"/>
      <w:r>
        <w:rPr>
          <w:sz w:val="24"/>
          <w:szCs w:val="24"/>
        </w:rPr>
        <w:t xml:space="preserve"> </w:t>
      </w:r>
      <w:r w:rsidRPr="00530BD8">
        <w:rPr>
          <w:sz w:val="24"/>
          <w:szCs w:val="24"/>
        </w:rPr>
        <w:t xml:space="preserve">med afskallende, irriterende eller udtørrende virkninger samtidig med lægemidlet, da de kan forårsage </w:t>
      </w:r>
      <w:proofErr w:type="spellStart"/>
      <w:r w:rsidRPr="00530BD8">
        <w:rPr>
          <w:sz w:val="24"/>
          <w:szCs w:val="24"/>
        </w:rPr>
        <w:t>additive</w:t>
      </w:r>
      <w:proofErr w:type="spellEnd"/>
      <w:r w:rsidRPr="00530BD8">
        <w:rPr>
          <w:sz w:val="24"/>
          <w:szCs w:val="24"/>
        </w:rPr>
        <w:t xml:space="preserve"> irriterende virkninger (se pkt. 4.4).</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4.6</w:t>
      </w:r>
      <w:r w:rsidRPr="00C84483">
        <w:rPr>
          <w:b/>
          <w:sz w:val="24"/>
          <w:szCs w:val="24"/>
        </w:rPr>
        <w:tab/>
      </w:r>
      <w:r w:rsidR="00E40C49">
        <w:rPr>
          <w:b/>
          <w:sz w:val="24"/>
          <w:szCs w:val="24"/>
        </w:rPr>
        <w:t>Fertilitet, graviditet</w:t>
      </w:r>
      <w:r w:rsidRPr="00C84483">
        <w:rPr>
          <w:b/>
          <w:sz w:val="24"/>
          <w:szCs w:val="24"/>
        </w:rPr>
        <w:t xml:space="preserve"> og amning</w:t>
      </w:r>
    </w:p>
    <w:p w:rsidR="009D3070" w:rsidRPr="00602317" w:rsidRDefault="009D3070" w:rsidP="009D3070">
      <w:pPr>
        <w:tabs>
          <w:tab w:val="left" w:pos="851"/>
        </w:tabs>
        <w:ind w:left="851"/>
        <w:rPr>
          <w:sz w:val="24"/>
          <w:szCs w:val="24"/>
        </w:rPr>
      </w:pPr>
      <w:r w:rsidRPr="00602317">
        <w:rPr>
          <w:sz w:val="24"/>
          <w:szCs w:val="24"/>
        </w:rPr>
        <w:t xml:space="preserve">Oralt administrerede </w:t>
      </w:r>
      <w:proofErr w:type="spellStart"/>
      <w:r w:rsidRPr="00602317">
        <w:rPr>
          <w:sz w:val="24"/>
          <w:szCs w:val="24"/>
        </w:rPr>
        <w:t>retinoider</w:t>
      </w:r>
      <w:proofErr w:type="spellEnd"/>
      <w:r w:rsidRPr="00602317">
        <w:rPr>
          <w:sz w:val="24"/>
          <w:szCs w:val="24"/>
        </w:rPr>
        <w:t xml:space="preserve"> har været forbundet med </w:t>
      </w:r>
      <w:proofErr w:type="spellStart"/>
      <w:r w:rsidRPr="00602317">
        <w:rPr>
          <w:sz w:val="24"/>
          <w:szCs w:val="24"/>
        </w:rPr>
        <w:t>kongenitte</w:t>
      </w:r>
      <w:proofErr w:type="spellEnd"/>
      <w:r w:rsidRPr="00602317">
        <w:rPr>
          <w:sz w:val="24"/>
          <w:szCs w:val="24"/>
        </w:rPr>
        <w:t xml:space="preserve"> anomalier. Når topisk administrerede </w:t>
      </w:r>
      <w:proofErr w:type="spellStart"/>
      <w:r w:rsidRPr="00602317">
        <w:rPr>
          <w:sz w:val="24"/>
          <w:szCs w:val="24"/>
        </w:rPr>
        <w:t>retinoider</w:t>
      </w:r>
      <w:proofErr w:type="spellEnd"/>
      <w:r w:rsidRPr="00602317">
        <w:rPr>
          <w:sz w:val="24"/>
          <w:szCs w:val="24"/>
        </w:rPr>
        <w:t xml:space="preserve"> anvendes i overensstemmelse med ordinationsoplysningerne, antages de generelt at medføre lav systemisk eksponering på grund af den minimale absorption gennem huden. Der kan dog være individuelle faktorer (fx beskadiget hudbarriere, overdreven brug), som bidrager til øget systemisk eksponering.</w:t>
      </w:r>
    </w:p>
    <w:p w:rsidR="009D3070" w:rsidRPr="00602317" w:rsidRDefault="009D3070" w:rsidP="009D3070">
      <w:pPr>
        <w:tabs>
          <w:tab w:val="left" w:pos="851"/>
        </w:tabs>
        <w:ind w:left="851"/>
        <w:rPr>
          <w:sz w:val="24"/>
          <w:szCs w:val="24"/>
          <w:u w:val="single"/>
        </w:rPr>
      </w:pPr>
    </w:p>
    <w:p w:rsidR="009D3070" w:rsidRPr="00602317" w:rsidRDefault="009D3070" w:rsidP="009D3070">
      <w:pPr>
        <w:tabs>
          <w:tab w:val="left" w:pos="851"/>
        </w:tabs>
        <w:ind w:left="851"/>
        <w:rPr>
          <w:sz w:val="24"/>
          <w:szCs w:val="24"/>
        </w:rPr>
      </w:pPr>
      <w:r w:rsidRPr="00602317">
        <w:rPr>
          <w:sz w:val="24"/>
          <w:szCs w:val="24"/>
          <w:u w:val="single"/>
        </w:rPr>
        <w:t>Graviditet</w:t>
      </w:r>
    </w:p>
    <w:p w:rsidR="009D3070" w:rsidRPr="00602317" w:rsidRDefault="009D3070" w:rsidP="009D3070">
      <w:pPr>
        <w:tabs>
          <w:tab w:val="left" w:pos="851"/>
        </w:tabs>
        <w:ind w:left="851"/>
        <w:rPr>
          <w:sz w:val="24"/>
          <w:szCs w:val="24"/>
        </w:rPr>
      </w:pPr>
      <w:proofErr w:type="spellStart"/>
      <w:r w:rsidRPr="00602317">
        <w:rPr>
          <w:sz w:val="24"/>
          <w:szCs w:val="24"/>
        </w:rPr>
        <w:t>Aklief</w:t>
      </w:r>
      <w:proofErr w:type="spellEnd"/>
      <w:r w:rsidRPr="00602317">
        <w:rPr>
          <w:sz w:val="24"/>
          <w:szCs w:val="24"/>
        </w:rPr>
        <w:t xml:space="preserve"> er kontraindiceret (se pkt. 4.3) under graviditet eller hos kvinder, der planlægger at blive gravide.</w:t>
      </w:r>
    </w:p>
    <w:p w:rsidR="009D3070" w:rsidRPr="00602317" w:rsidRDefault="009D3070" w:rsidP="009D3070">
      <w:pPr>
        <w:tabs>
          <w:tab w:val="left" w:pos="851"/>
        </w:tabs>
        <w:ind w:left="851"/>
        <w:rPr>
          <w:sz w:val="24"/>
          <w:szCs w:val="24"/>
        </w:rPr>
      </w:pPr>
      <w:r w:rsidRPr="00602317">
        <w:rPr>
          <w:sz w:val="24"/>
          <w:szCs w:val="24"/>
        </w:rPr>
        <w:t>Dyreforsøg med oral</w:t>
      </w:r>
      <w:r>
        <w:rPr>
          <w:sz w:val="24"/>
          <w:szCs w:val="24"/>
        </w:rPr>
        <w:t>t administreret</w:t>
      </w:r>
      <w:r w:rsidRPr="00602317">
        <w:rPr>
          <w:sz w:val="24"/>
          <w:szCs w:val="24"/>
        </w:rPr>
        <w:t xml:space="preserve"> </w:t>
      </w:r>
      <w:proofErr w:type="spellStart"/>
      <w:r w:rsidRPr="00602317">
        <w:rPr>
          <w:sz w:val="24"/>
          <w:szCs w:val="24"/>
        </w:rPr>
        <w:t>trifaroten</w:t>
      </w:r>
      <w:proofErr w:type="spellEnd"/>
      <w:r w:rsidRPr="00602317">
        <w:rPr>
          <w:sz w:val="24"/>
          <w:szCs w:val="24"/>
        </w:rPr>
        <w:t xml:space="preserve"> har påvist reproduktionstoksicitet ved høj systemisk eksponering (se pkt. 5.3). </w:t>
      </w:r>
    </w:p>
    <w:p w:rsidR="009D3070" w:rsidRPr="00602317" w:rsidRDefault="009D3070" w:rsidP="009D3070">
      <w:pPr>
        <w:tabs>
          <w:tab w:val="left" w:pos="851"/>
        </w:tabs>
        <w:ind w:left="851"/>
        <w:rPr>
          <w:sz w:val="24"/>
          <w:szCs w:val="24"/>
        </w:rPr>
      </w:pPr>
      <w:r w:rsidRPr="00602317">
        <w:rPr>
          <w:sz w:val="24"/>
          <w:szCs w:val="24"/>
        </w:rPr>
        <w:t xml:space="preserve">Behandlingen skal afbrydes, hvis </w:t>
      </w:r>
      <w:r>
        <w:rPr>
          <w:sz w:val="24"/>
          <w:szCs w:val="24"/>
        </w:rPr>
        <w:t>lægemidlet</w:t>
      </w:r>
      <w:r w:rsidRPr="00602317">
        <w:rPr>
          <w:sz w:val="24"/>
          <w:szCs w:val="24"/>
        </w:rPr>
        <w:t xml:space="preserve"> anvendes under graviditet, eller hvis patienten bliver gravid, mens hun tager dette lægemiddel.</w:t>
      </w:r>
    </w:p>
    <w:p w:rsidR="009D3070" w:rsidRPr="00602317" w:rsidRDefault="009D3070" w:rsidP="009D3070">
      <w:pPr>
        <w:tabs>
          <w:tab w:val="left" w:pos="851"/>
        </w:tabs>
        <w:ind w:left="851"/>
        <w:rPr>
          <w:sz w:val="24"/>
          <w:szCs w:val="24"/>
        </w:rPr>
      </w:pPr>
    </w:p>
    <w:p w:rsidR="009D3070" w:rsidRPr="00602317" w:rsidRDefault="009D3070" w:rsidP="009D3070">
      <w:pPr>
        <w:tabs>
          <w:tab w:val="left" w:pos="851"/>
        </w:tabs>
        <w:ind w:left="851"/>
        <w:rPr>
          <w:sz w:val="24"/>
          <w:szCs w:val="24"/>
        </w:rPr>
      </w:pPr>
      <w:r w:rsidRPr="00602317">
        <w:rPr>
          <w:sz w:val="24"/>
          <w:szCs w:val="24"/>
          <w:u w:val="single"/>
        </w:rPr>
        <w:t>Amning</w:t>
      </w:r>
    </w:p>
    <w:p w:rsidR="009D3070" w:rsidRPr="00602317" w:rsidRDefault="009D3070" w:rsidP="009D3070">
      <w:pPr>
        <w:tabs>
          <w:tab w:val="left" w:pos="851"/>
        </w:tabs>
        <w:ind w:left="851"/>
        <w:rPr>
          <w:sz w:val="24"/>
          <w:szCs w:val="24"/>
        </w:rPr>
      </w:pPr>
      <w:r w:rsidRPr="00602317">
        <w:rPr>
          <w:sz w:val="24"/>
          <w:szCs w:val="24"/>
        </w:rPr>
        <w:t xml:space="preserve">Det er ukendt, om </w:t>
      </w:r>
      <w:proofErr w:type="spellStart"/>
      <w:r w:rsidRPr="00602317">
        <w:rPr>
          <w:sz w:val="24"/>
          <w:szCs w:val="24"/>
        </w:rPr>
        <w:t>trifaroten</w:t>
      </w:r>
      <w:proofErr w:type="spellEnd"/>
      <w:r>
        <w:rPr>
          <w:sz w:val="24"/>
          <w:szCs w:val="24"/>
        </w:rPr>
        <w:t xml:space="preserve"> eller dets </w:t>
      </w:r>
      <w:r w:rsidRPr="00602317">
        <w:rPr>
          <w:sz w:val="24"/>
          <w:szCs w:val="24"/>
        </w:rPr>
        <w:t>metabolitter udskilles i human mælk.</w:t>
      </w:r>
    </w:p>
    <w:p w:rsidR="009D3070" w:rsidRPr="00602317" w:rsidRDefault="009D3070" w:rsidP="009D3070">
      <w:pPr>
        <w:tabs>
          <w:tab w:val="left" w:pos="851"/>
        </w:tabs>
        <w:ind w:left="851"/>
        <w:rPr>
          <w:sz w:val="24"/>
          <w:szCs w:val="24"/>
        </w:rPr>
      </w:pPr>
      <w:r w:rsidRPr="00602317">
        <w:rPr>
          <w:sz w:val="24"/>
          <w:szCs w:val="24"/>
        </w:rPr>
        <w:lastRenderedPageBreak/>
        <w:t xml:space="preserve">De tilgængelige </w:t>
      </w:r>
      <w:proofErr w:type="spellStart"/>
      <w:r w:rsidRPr="00602317">
        <w:rPr>
          <w:sz w:val="24"/>
          <w:szCs w:val="24"/>
        </w:rPr>
        <w:t>farmakodynamiske</w:t>
      </w:r>
      <w:proofErr w:type="spellEnd"/>
      <w:r w:rsidRPr="00602317">
        <w:rPr>
          <w:sz w:val="24"/>
          <w:szCs w:val="24"/>
        </w:rPr>
        <w:t xml:space="preserve">/toksikologiske data fra dyreforsøg viser, at </w:t>
      </w:r>
      <w:proofErr w:type="spellStart"/>
      <w:r w:rsidRPr="00602317">
        <w:rPr>
          <w:sz w:val="24"/>
          <w:szCs w:val="24"/>
        </w:rPr>
        <w:t>trifaroten</w:t>
      </w:r>
      <w:proofErr w:type="spellEnd"/>
      <w:r w:rsidRPr="00602317">
        <w:rPr>
          <w:sz w:val="24"/>
          <w:szCs w:val="24"/>
        </w:rPr>
        <w:t>/metabolitter udskilles i mælk (se pkt. 5.3 for detaljer).</w:t>
      </w:r>
    </w:p>
    <w:p w:rsidR="009D3070" w:rsidRPr="00602317" w:rsidRDefault="009D3070" w:rsidP="009D3070">
      <w:pPr>
        <w:tabs>
          <w:tab w:val="left" w:pos="851"/>
        </w:tabs>
        <w:ind w:left="851"/>
        <w:rPr>
          <w:sz w:val="24"/>
          <w:szCs w:val="24"/>
        </w:rPr>
      </w:pPr>
      <w:r w:rsidRPr="00602317">
        <w:rPr>
          <w:sz w:val="24"/>
          <w:szCs w:val="24"/>
        </w:rPr>
        <w:t xml:space="preserve">En risiko for det diende barn kan ikke udelukkes. </w:t>
      </w:r>
    </w:p>
    <w:p w:rsidR="009D3070" w:rsidRPr="00602317" w:rsidRDefault="009D3070" w:rsidP="009D3070">
      <w:pPr>
        <w:tabs>
          <w:tab w:val="left" w:pos="851"/>
        </w:tabs>
        <w:ind w:left="851"/>
        <w:rPr>
          <w:sz w:val="24"/>
          <w:szCs w:val="24"/>
        </w:rPr>
      </w:pPr>
      <w:r w:rsidRPr="00602317">
        <w:rPr>
          <w:sz w:val="24"/>
          <w:szCs w:val="24"/>
        </w:rPr>
        <w:t xml:space="preserve">Det skal besluttes, om amning skal ophøre, eller behandling med </w:t>
      </w:r>
      <w:proofErr w:type="spellStart"/>
      <w:r w:rsidRPr="00602317">
        <w:rPr>
          <w:sz w:val="24"/>
          <w:szCs w:val="24"/>
        </w:rPr>
        <w:t>Aklief</w:t>
      </w:r>
      <w:proofErr w:type="spellEnd"/>
      <w:r w:rsidRPr="00602317">
        <w:rPr>
          <w:sz w:val="24"/>
          <w:szCs w:val="24"/>
        </w:rPr>
        <w:t xml:space="preserve"> skal seponeres, idet der tages højde for fordelene ved amning for barnet i forhold til de terapeutiske fordele for moderen.</w:t>
      </w:r>
    </w:p>
    <w:p w:rsidR="009D3070" w:rsidRPr="00602317" w:rsidRDefault="009D3070" w:rsidP="009D3070">
      <w:pPr>
        <w:tabs>
          <w:tab w:val="left" w:pos="851"/>
        </w:tabs>
        <w:ind w:left="851"/>
        <w:rPr>
          <w:sz w:val="24"/>
          <w:szCs w:val="24"/>
        </w:rPr>
      </w:pPr>
      <w:r w:rsidRPr="00602317">
        <w:rPr>
          <w:sz w:val="24"/>
          <w:szCs w:val="24"/>
        </w:rPr>
        <w:t xml:space="preserve">For at undgå risikoen for, at spædbarnet indtager lægemidlet og/eller kommer i kontakt med det, må ammende kvinder ikke påføre </w:t>
      </w:r>
      <w:proofErr w:type="spellStart"/>
      <w:r w:rsidRPr="00602317">
        <w:rPr>
          <w:sz w:val="24"/>
          <w:szCs w:val="24"/>
        </w:rPr>
        <w:t>trifaroten</w:t>
      </w:r>
      <w:proofErr w:type="spellEnd"/>
      <w:r w:rsidRPr="00602317">
        <w:rPr>
          <w:sz w:val="24"/>
          <w:szCs w:val="24"/>
        </w:rPr>
        <w:t xml:space="preserve"> på brystet eller brystområdet.</w:t>
      </w:r>
    </w:p>
    <w:p w:rsidR="009D3070" w:rsidRPr="00602317" w:rsidRDefault="009D3070" w:rsidP="009D3070">
      <w:pPr>
        <w:tabs>
          <w:tab w:val="left" w:pos="851"/>
        </w:tabs>
        <w:ind w:left="851"/>
        <w:rPr>
          <w:sz w:val="24"/>
          <w:szCs w:val="24"/>
        </w:rPr>
      </w:pPr>
    </w:p>
    <w:p w:rsidR="009D3070" w:rsidRPr="00602317" w:rsidRDefault="009D3070" w:rsidP="009D3070">
      <w:pPr>
        <w:tabs>
          <w:tab w:val="left" w:pos="851"/>
        </w:tabs>
        <w:ind w:left="851"/>
        <w:rPr>
          <w:sz w:val="24"/>
          <w:szCs w:val="24"/>
        </w:rPr>
      </w:pPr>
      <w:r w:rsidRPr="00602317">
        <w:rPr>
          <w:sz w:val="24"/>
          <w:szCs w:val="24"/>
          <w:u w:val="single"/>
        </w:rPr>
        <w:t>Fertilitet</w:t>
      </w:r>
    </w:p>
    <w:p w:rsidR="009D3070" w:rsidRPr="00602317" w:rsidRDefault="009D3070" w:rsidP="009D3070">
      <w:pPr>
        <w:tabs>
          <w:tab w:val="left" w:pos="851"/>
        </w:tabs>
        <w:ind w:left="851"/>
        <w:rPr>
          <w:sz w:val="24"/>
          <w:szCs w:val="24"/>
        </w:rPr>
      </w:pPr>
      <w:r w:rsidRPr="00602317">
        <w:rPr>
          <w:sz w:val="24"/>
          <w:szCs w:val="24"/>
        </w:rPr>
        <w:t xml:space="preserve">Der er ikke udført fertilitetsundersøgelser af </w:t>
      </w:r>
      <w:proofErr w:type="spellStart"/>
      <w:r w:rsidRPr="00602317">
        <w:rPr>
          <w:sz w:val="24"/>
          <w:szCs w:val="24"/>
        </w:rPr>
        <w:t>Aklief</w:t>
      </w:r>
      <w:proofErr w:type="spellEnd"/>
      <w:r w:rsidRPr="00602317">
        <w:rPr>
          <w:sz w:val="24"/>
          <w:szCs w:val="24"/>
        </w:rPr>
        <w:t xml:space="preserve"> på mennesker.</w:t>
      </w:r>
    </w:p>
    <w:p w:rsidR="009D3070" w:rsidRPr="00602317" w:rsidRDefault="009D3070" w:rsidP="009D3070">
      <w:pPr>
        <w:tabs>
          <w:tab w:val="left" w:pos="851"/>
        </w:tabs>
        <w:ind w:left="851"/>
        <w:rPr>
          <w:sz w:val="24"/>
          <w:szCs w:val="24"/>
        </w:rPr>
      </w:pPr>
      <w:r w:rsidRPr="00602317">
        <w:rPr>
          <w:sz w:val="24"/>
          <w:szCs w:val="24"/>
        </w:rPr>
        <w:t xml:space="preserve">Der blev ikke observeret nogen virkninger af </w:t>
      </w:r>
      <w:proofErr w:type="spellStart"/>
      <w:r w:rsidRPr="00602317">
        <w:rPr>
          <w:sz w:val="24"/>
          <w:szCs w:val="24"/>
        </w:rPr>
        <w:t>trifaroten</w:t>
      </w:r>
      <w:proofErr w:type="spellEnd"/>
      <w:r w:rsidRPr="00602317">
        <w:rPr>
          <w:sz w:val="24"/>
          <w:szCs w:val="24"/>
        </w:rPr>
        <w:t xml:space="preserve"> på fertiliteten i reproduktionsstudier af rotter. Efter oral administration til hunde blev der dog observeret </w:t>
      </w:r>
      <w:r w:rsidRPr="00602317">
        <w:rPr>
          <w:i/>
          <w:sz w:val="24"/>
          <w:szCs w:val="24"/>
        </w:rPr>
        <w:t xml:space="preserve">degeneration af </w:t>
      </w:r>
      <w:proofErr w:type="spellStart"/>
      <w:r w:rsidRPr="00602317">
        <w:rPr>
          <w:i/>
          <w:sz w:val="24"/>
          <w:szCs w:val="24"/>
        </w:rPr>
        <w:t>germinalceller</w:t>
      </w:r>
      <w:proofErr w:type="spellEnd"/>
      <w:r w:rsidRPr="00602317">
        <w:rPr>
          <w:sz w:val="24"/>
          <w:szCs w:val="24"/>
        </w:rPr>
        <w:t xml:space="preserve"> (se pkt. 5.3).</w:t>
      </w:r>
    </w:p>
    <w:p w:rsidR="009D3070" w:rsidRPr="00602317"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4.7</w:t>
      </w:r>
      <w:r w:rsidRPr="00C84483">
        <w:rPr>
          <w:b/>
          <w:sz w:val="24"/>
          <w:szCs w:val="24"/>
        </w:rPr>
        <w:tab/>
      </w:r>
      <w:r w:rsidR="00E40C49">
        <w:rPr>
          <w:b/>
          <w:sz w:val="24"/>
          <w:szCs w:val="24"/>
        </w:rPr>
        <w:t>Virkning på evnen til at føre motorkøretøj og betjene maskiner</w:t>
      </w:r>
    </w:p>
    <w:p w:rsidR="009D3070" w:rsidRDefault="009D3070" w:rsidP="009D3070">
      <w:pPr>
        <w:tabs>
          <w:tab w:val="left" w:pos="851"/>
        </w:tabs>
        <w:ind w:left="851"/>
        <w:rPr>
          <w:sz w:val="24"/>
          <w:szCs w:val="24"/>
        </w:rPr>
      </w:pPr>
      <w:r>
        <w:rPr>
          <w:sz w:val="24"/>
          <w:szCs w:val="24"/>
        </w:rPr>
        <w:t>Ikke mærkning.</w:t>
      </w:r>
    </w:p>
    <w:p w:rsidR="009D3070" w:rsidRPr="00525C87" w:rsidRDefault="009D3070" w:rsidP="009D3070">
      <w:pPr>
        <w:tabs>
          <w:tab w:val="left" w:pos="851"/>
        </w:tabs>
        <w:ind w:left="851"/>
        <w:rPr>
          <w:sz w:val="24"/>
          <w:szCs w:val="24"/>
        </w:rPr>
      </w:pPr>
      <w:proofErr w:type="spellStart"/>
      <w:r w:rsidRPr="00525C87">
        <w:rPr>
          <w:sz w:val="24"/>
          <w:szCs w:val="24"/>
        </w:rPr>
        <w:t>Aklief</w:t>
      </w:r>
      <w:proofErr w:type="spellEnd"/>
      <w:r w:rsidRPr="00525C87">
        <w:rPr>
          <w:sz w:val="24"/>
          <w:szCs w:val="24"/>
        </w:rPr>
        <w:t xml:space="preserve"> påvirker ikke eller kun i ubetydelig grad evnen til at føre motorkøretøj og betjene maskiner.</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4.8</w:t>
      </w:r>
      <w:r w:rsidRPr="00C84483">
        <w:rPr>
          <w:b/>
          <w:sz w:val="24"/>
          <w:szCs w:val="24"/>
        </w:rPr>
        <w:tab/>
        <w:t>Bivirkninger</w:t>
      </w:r>
    </w:p>
    <w:p w:rsidR="009D3070" w:rsidRPr="004A3390" w:rsidRDefault="009D3070" w:rsidP="009D3070">
      <w:pPr>
        <w:pStyle w:val="Sidehoved"/>
        <w:tabs>
          <w:tab w:val="left" w:pos="851"/>
        </w:tabs>
        <w:ind w:left="851"/>
        <w:rPr>
          <w:szCs w:val="24"/>
        </w:rPr>
      </w:pPr>
    </w:p>
    <w:p w:rsidR="009D3070" w:rsidRPr="004A3390" w:rsidRDefault="009D3070" w:rsidP="009D3070">
      <w:pPr>
        <w:pStyle w:val="Sidehoved"/>
        <w:tabs>
          <w:tab w:val="left" w:pos="851"/>
        </w:tabs>
        <w:ind w:left="851"/>
        <w:rPr>
          <w:szCs w:val="24"/>
          <w:u w:val="single"/>
        </w:rPr>
      </w:pPr>
      <w:r w:rsidRPr="004A3390">
        <w:rPr>
          <w:szCs w:val="24"/>
          <w:u w:val="single"/>
        </w:rPr>
        <w:t>Resumé af sikkerhedsprofilen</w:t>
      </w:r>
    </w:p>
    <w:p w:rsidR="009D3070" w:rsidRPr="004A3390" w:rsidRDefault="009D3070" w:rsidP="009D3070">
      <w:pPr>
        <w:pStyle w:val="Sidehoved"/>
        <w:tabs>
          <w:tab w:val="left" w:pos="851"/>
        </w:tabs>
        <w:ind w:left="851"/>
        <w:rPr>
          <w:szCs w:val="24"/>
        </w:rPr>
      </w:pPr>
      <w:r w:rsidRPr="004A3390">
        <w:rPr>
          <w:szCs w:val="24"/>
        </w:rPr>
        <w:t xml:space="preserve">Der blev indsamlet information om lokale </w:t>
      </w:r>
      <w:proofErr w:type="spellStart"/>
      <w:r w:rsidRPr="004A3390">
        <w:rPr>
          <w:szCs w:val="24"/>
        </w:rPr>
        <w:t>kutane</w:t>
      </w:r>
      <w:proofErr w:type="spellEnd"/>
      <w:r w:rsidRPr="004A3390">
        <w:rPr>
          <w:szCs w:val="24"/>
        </w:rPr>
        <w:t xml:space="preserve"> reaktioner (såsom </w:t>
      </w:r>
      <w:proofErr w:type="spellStart"/>
      <w:r w:rsidRPr="004A3390">
        <w:rPr>
          <w:szCs w:val="24"/>
        </w:rPr>
        <w:t>erythem</w:t>
      </w:r>
      <w:proofErr w:type="spellEnd"/>
      <w:r w:rsidRPr="004A3390">
        <w:rPr>
          <w:szCs w:val="24"/>
        </w:rPr>
        <w:t xml:space="preserve">, afskalning, tørhed og stikkende/sviende fornemmelse) separat fra andre bivirkninger som et mål for den lokale tolerance. Disse </w:t>
      </w:r>
      <w:proofErr w:type="spellStart"/>
      <w:r w:rsidRPr="004A3390">
        <w:rPr>
          <w:szCs w:val="24"/>
        </w:rPr>
        <w:t>kutane</w:t>
      </w:r>
      <w:proofErr w:type="spellEnd"/>
      <w:r w:rsidRPr="004A3390">
        <w:rPr>
          <w:szCs w:val="24"/>
        </w:rPr>
        <w:t xml:space="preserve"> reaktioner er meget almindelige og af let, moderat og svær styrke i ansigtet hos op til henholdsvis 39</w:t>
      </w:r>
      <w:r>
        <w:rPr>
          <w:szCs w:val="24"/>
        </w:rPr>
        <w:t xml:space="preserve"> %</w:t>
      </w:r>
      <w:r w:rsidRPr="004A3390">
        <w:rPr>
          <w:szCs w:val="24"/>
        </w:rPr>
        <w:t>, 29,7</w:t>
      </w:r>
      <w:r>
        <w:rPr>
          <w:szCs w:val="24"/>
        </w:rPr>
        <w:t xml:space="preserve"> %</w:t>
      </w:r>
      <w:r w:rsidRPr="004A3390">
        <w:rPr>
          <w:szCs w:val="24"/>
        </w:rPr>
        <w:t xml:space="preserve"> og 6,2</w:t>
      </w:r>
      <w:r>
        <w:rPr>
          <w:szCs w:val="24"/>
        </w:rPr>
        <w:t xml:space="preserve"> %</w:t>
      </w:r>
      <w:r w:rsidRPr="004A3390">
        <w:rPr>
          <w:szCs w:val="24"/>
        </w:rPr>
        <w:t xml:space="preserve"> af patienterne. På </w:t>
      </w:r>
      <w:proofErr w:type="spellStart"/>
      <w:r w:rsidRPr="004A3390">
        <w:rPr>
          <w:szCs w:val="24"/>
        </w:rPr>
        <w:t>truncus</w:t>
      </w:r>
      <w:proofErr w:type="spellEnd"/>
      <w:r w:rsidRPr="004A3390">
        <w:rPr>
          <w:szCs w:val="24"/>
        </w:rPr>
        <w:t xml:space="preserve"> havde op til henholdsvis 32,9</w:t>
      </w:r>
      <w:r>
        <w:rPr>
          <w:szCs w:val="24"/>
        </w:rPr>
        <w:t xml:space="preserve"> %</w:t>
      </w:r>
      <w:r w:rsidRPr="004A3390">
        <w:rPr>
          <w:szCs w:val="24"/>
        </w:rPr>
        <w:t>, 18,9</w:t>
      </w:r>
      <w:r>
        <w:rPr>
          <w:szCs w:val="24"/>
        </w:rPr>
        <w:t xml:space="preserve"> %</w:t>
      </w:r>
      <w:r w:rsidRPr="004A3390">
        <w:rPr>
          <w:szCs w:val="24"/>
        </w:rPr>
        <w:t xml:space="preserve"> og 5,2</w:t>
      </w:r>
      <w:r>
        <w:rPr>
          <w:szCs w:val="24"/>
        </w:rPr>
        <w:t xml:space="preserve"> %</w:t>
      </w:r>
      <w:r w:rsidRPr="004A3390">
        <w:rPr>
          <w:szCs w:val="24"/>
        </w:rPr>
        <w:t xml:space="preserve"> af patienterne lette, moderate og svære reaktioner. Den maksimale sværhedsgrad forekom typisk i uge 1 for ansigtet og i uge 2-4 for </w:t>
      </w:r>
      <w:proofErr w:type="spellStart"/>
      <w:r w:rsidRPr="004A3390">
        <w:rPr>
          <w:szCs w:val="24"/>
        </w:rPr>
        <w:t>truncus</w:t>
      </w:r>
      <w:proofErr w:type="spellEnd"/>
      <w:r w:rsidRPr="004A3390">
        <w:rPr>
          <w:szCs w:val="24"/>
        </w:rPr>
        <w:t xml:space="preserve"> og faldt i takt med den fortsatte anvendelse af lægemidlet (se pkt. 4.4).</w:t>
      </w:r>
    </w:p>
    <w:p w:rsidR="009D3070" w:rsidRPr="004A3390" w:rsidRDefault="009D3070" w:rsidP="009D3070">
      <w:pPr>
        <w:pStyle w:val="Sidehoved"/>
        <w:tabs>
          <w:tab w:val="left" w:pos="851"/>
        </w:tabs>
        <w:ind w:left="851"/>
        <w:rPr>
          <w:szCs w:val="24"/>
        </w:rPr>
      </w:pPr>
    </w:p>
    <w:p w:rsidR="009D3070" w:rsidRPr="004A3390" w:rsidRDefault="009D3070" w:rsidP="009D3070">
      <w:pPr>
        <w:pStyle w:val="Sidehoved"/>
        <w:tabs>
          <w:tab w:val="left" w:pos="851"/>
        </w:tabs>
        <w:ind w:left="851"/>
        <w:rPr>
          <w:szCs w:val="24"/>
        </w:rPr>
      </w:pPr>
      <w:r w:rsidRPr="004A3390">
        <w:rPr>
          <w:szCs w:val="24"/>
        </w:rPr>
        <w:t xml:space="preserve">De hyppigst indberettede bivirkninger, som beskrevet nedenfor i tabel 1, er irritation og </w:t>
      </w:r>
      <w:proofErr w:type="spellStart"/>
      <w:r w:rsidRPr="004A3390">
        <w:rPr>
          <w:szCs w:val="24"/>
        </w:rPr>
        <w:t>pruritus</w:t>
      </w:r>
      <w:proofErr w:type="spellEnd"/>
      <w:r w:rsidRPr="004A3390">
        <w:rPr>
          <w:szCs w:val="24"/>
        </w:rPr>
        <w:t xml:space="preserve"> på påføringsstedet samt solskoldning, der forekom hos 1,2</w:t>
      </w:r>
      <w:r>
        <w:rPr>
          <w:szCs w:val="24"/>
        </w:rPr>
        <w:t xml:space="preserve"> %</w:t>
      </w:r>
      <w:r w:rsidRPr="004A3390">
        <w:rPr>
          <w:szCs w:val="24"/>
        </w:rPr>
        <w:t xml:space="preserve"> til 6,5</w:t>
      </w:r>
      <w:r>
        <w:rPr>
          <w:szCs w:val="24"/>
        </w:rPr>
        <w:t xml:space="preserve"> %</w:t>
      </w:r>
      <w:r w:rsidRPr="004A3390">
        <w:rPr>
          <w:szCs w:val="24"/>
        </w:rPr>
        <w:t xml:space="preserve"> af de patienter, som blev behandlet med </w:t>
      </w:r>
      <w:proofErr w:type="spellStart"/>
      <w:r w:rsidRPr="004A3390">
        <w:rPr>
          <w:szCs w:val="24"/>
        </w:rPr>
        <w:t>Aklief</w:t>
      </w:r>
      <w:proofErr w:type="spellEnd"/>
      <w:r w:rsidRPr="004A3390">
        <w:rPr>
          <w:szCs w:val="24"/>
        </w:rPr>
        <w:t xml:space="preserve"> creme i kliniske studier. </w:t>
      </w:r>
      <w:r w:rsidRPr="004A3390">
        <w:rPr>
          <w:szCs w:val="24"/>
        </w:rPr>
        <w:tab/>
      </w:r>
    </w:p>
    <w:p w:rsidR="009D3070" w:rsidRPr="004A3390" w:rsidRDefault="009D3070" w:rsidP="009D3070">
      <w:pPr>
        <w:pStyle w:val="Sidehoved"/>
        <w:tabs>
          <w:tab w:val="left" w:pos="851"/>
        </w:tabs>
        <w:ind w:left="851"/>
        <w:rPr>
          <w:szCs w:val="24"/>
        </w:rPr>
      </w:pPr>
    </w:p>
    <w:p w:rsidR="00E40C49" w:rsidRDefault="00E40C49" w:rsidP="00E40C49">
      <w:pPr>
        <w:pStyle w:val="Sidehoved"/>
        <w:tabs>
          <w:tab w:val="left" w:pos="851"/>
        </w:tabs>
        <w:ind w:left="851"/>
        <w:rPr>
          <w:szCs w:val="24"/>
          <w:u w:val="single"/>
        </w:rPr>
      </w:pPr>
      <w:r>
        <w:rPr>
          <w:szCs w:val="24"/>
          <w:u w:val="single"/>
        </w:rPr>
        <w:t>Bivirkningstabel</w:t>
      </w:r>
    </w:p>
    <w:p w:rsidR="00E40C49" w:rsidRDefault="00E40C49" w:rsidP="00E40C49">
      <w:pPr>
        <w:pStyle w:val="Sidehoved"/>
        <w:tabs>
          <w:tab w:val="left" w:pos="851"/>
        </w:tabs>
        <w:ind w:left="851"/>
        <w:rPr>
          <w:szCs w:val="24"/>
        </w:rPr>
      </w:pPr>
      <w:r>
        <w:rPr>
          <w:szCs w:val="24"/>
        </w:rPr>
        <w:t xml:space="preserve">Bivirkninger, der blev indberettet i de 12-ugers vehikelkontrollerede fase 3-studier med patienter, som blev behandlet med </w:t>
      </w:r>
      <w:proofErr w:type="spellStart"/>
      <w:r>
        <w:rPr>
          <w:szCs w:val="24"/>
        </w:rPr>
        <w:t>Aklief</w:t>
      </w:r>
      <w:proofErr w:type="spellEnd"/>
      <w:r>
        <w:rPr>
          <w:szCs w:val="24"/>
        </w:rPr>
        <w:t xml:space="preserve"> creme (og for hvilke </w:t>
      </w:r>
      <w:proofErr w:type="spellStart"/>
      <w:r>
        <w:rPr>
          <w:szCs w:val="24"/>
        </w:rPr>
        <w:t>Aklief</w:t>
      </w:r>
      <w:proofErr w:type="spellEnd"/>
      <w:r>
        <w:rPr>
          <w:szCs w:val="24"/>
        </w:rPr>
        <w:t xml:space="preserve"> cremes bivirkningshyppighed oversteg vehikelcremens bivirkningshyppighed) vises i tabel 1.</w:t>
      </w:r>
    </w:p>
    <w:p w:rsidR="00E40C49" w:rsidRDefault="00E40C49" w:rsidP="00E40C49">
      <w:pPr>
        <w:pStyle w:val="Sidehoved"/>
        <w:tabs>
          <w:tab w:val="left" w:pos="851"/>
        </w:tabs>
        <w:ind w:left="851"/>
        <w:rPr>
          <w:szCs w:val="24"/>
        </w:rPr>
      </w:pPr>
      <w:r>
        <w:rPr>
          <w:szCs w:val="24"/>
        </w:rPr>
        <w:t xml:space="preserve">Bivirkningerne er inddelt efter systemorganklasse og hyppighed i henhold til følgende konvention: Meget almindelig (≥ 1/10), almindelig (≥1/100 til &lt;1/10), ikke almindelig (≥1/1.000 til </w:t>
      </w:r>
      <w:r>
        <w:rPr>
          <w:noProof/>
          <w:szCs w:val="22"/>
        </w:rPr>
        <w:t>&lt;</w:t>
      </w:r>
      <w:r>
        <w:rPr>
          <w:szCs w:val="24"/>
        </w:rPr>
        <w:t xml:space="preserve">1/100), sjælden (≥1/10.000 til &lt;1/1.000), meget sjælden (&lt;1/10.000), ikke kendt (kan ikke estimeres ud fra forhåndenværende data). </w:t>
      </w:r>
    </w:p>
    <w:p w:rsidR="009D3070" w:rsidRPr="004A3390" w:rsidRDefault="009D3070" w:rsidP="009D3070">
      <w:pPr>
        <w:pStyle w:val="Sidehoved"/>
        <w:tabs>
          <w:tab w:val="left" w:pos="851"/>
        </w:tabs>
        <w:ind w:left="851"/>
        <w:rPr>
          <w:szCs w:val="24"/>
        </w:rPr>
      </w:pPr>
    </w:p>
    <w:p w:rsidR="009D3070" w:rsidRPr="004A3390" w:rsidRDefault="009D3070" w:rsidP="009D3070">
      <w:pPr>
        <w:pStyle w:val="Sidehoved"/>
        <w:tabs>
          <w:tab w:val="clear" w:pos="4819"/>
          <w:tab w:val="left" w:pos="851"/>
          <w:tab w:val="left" w:pos="1985"/>
        </w:tabs>
        <w:ind w:left="851"/>
        <w:rPr>
          <w:b/>
          <w:bCs/>
          <w:szCs w:val="24"/>
          <w:lang w:val="x-none"/>
        </w:rPr>
      </w:pPr>
      <w:bookmarkStart w:id="0" w:name="_Ref22856933"/>
      <w:proofErr w:type="spellStart"/>
      <w:r w:rsidRPr="004A3390">
        <w:rPr>
          <w:b/>
          <w:bCs/>
          <w:szCs w:val="24"/>
          <w:lang w:val="en-US"/>
        </w:rPr>
        <w:t>Tabel</w:t>
      </w:r>
      <w:bookmarkEnd w:id="0"/>
      <w:proofErr w:type="spellEnd"/>
      <w:r w:rsidRPr="004A3390">
        <w:rPr>
          <w:b/>
          <w:bCs/>
          <w:szCs w:val="24"/>
          <w:lang w:val="sv-SE"/>
        </w:rPr>
        <w:t xml:space="preserve"> 1</w:t>
      </w:r>
      <w:r w:rsidRPr="004A3390">
        <w:rPr>
          <w:b/>
          <w:bCs/>
          <w:szCs w:val="24"/>
          <w:lang w:val="x-none"/>
        </w:rPr>
        <w:tab/>
        <w:t>Bivirkninger</w:t>
      </w:r>
    </w:p>
    <w:p w:rsidR="009D3070" w:rsidRPr="004A3390" w:rsidRDefault="009D3070" w:rsidP="009D3070">
      <w:pPr>
        <w:pStyle w:val="Sidehoved"/>
        <w:tabs>
          <w:tab w:val="left" w:pos="851"/>
        </w:tabs>
        <w:ind w:left="851"/>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395"/>
        <w:gridCol w:w="3589"/>
      </w:tblGrid>
      <w:tr w:rsidR="009D3070" w:rsidRPr="004A3390" w:rsidTr="00842CE2">
        <w:trPr>
          <w:tblHeader/>
          <w:jc w:val="center"/>
        </w:trPr>
        <w:tc>
          <w:tcPr>
            <w:tcW w:w="2422" w:type="pct"/>
            <w:shd w:val="clear" w:color="auto" w:fill="auto"/>
          </w:tcPr>
          <w:p w:rsidR="009D3070" w:rsidRPr="004A3390" w:rsidRDefault="009D3070" w:rsidP="00842CE2">
            <w:pPr>
              <w:pStyle w:val="Sidehoved"/>
              <w:ind w:left="32"/>
              <w:rPr>
                <w:b/>
                <w:szCs w:val="24"/>
              </w:rPr>
            </w:pPr>
            <w:r w:rsidRPr="004A3390">
              <w:rPr>
                <w:b/>
                <w:szCs w:val="24"/>
              </w:rPr>
              <w:t>Systemorganklasse</w:t>
            </w:r>
          </w:p>
        </w:tc>
        <w:tc>
          <w:tcPr>
            <w:tcW w:w="704" w:type="pct"/>
            <w:shd w:val="clear" w:color="auto" w:fill="auto"/>
          </w:tcPr>
          <w:p w:rsidR="009D3070" w:rsidRPr="004A3390" w:rsidRDefault="009D3070" w:rsidP="00842CE2">
            <w:pPr>
              <w:pStyle w:val="Sidehoved"/>
              <w:ind w:left="45"/>
              <w:rPr>
                <w:b/>
                <w:szCs w:val="24"/>
              </w:rPr>
            </w:pPr>
            <w:r w:rsidRPr="004A3390">
              <w:rPr>
                <w:b/>
                <w:szCs w:val="24"/>
              </w:rPr>
              <w:t>Hyppighed</w:t>
            </w:r>
          </w:p>
        </w:tc>
        <w:tc>
          <w:tcPr>
            <w:tcW w:w="1874" w:type="pct"/>
            <w:shd w:val="clear" w:color="auto" w:fill="auto"/>
          </w:tcPr>
          <w:p w:rsidR="009D3070" w:rsidRPr="004A3390" w:rsidRDefault="009D3070" w:rsidP="00842CE2">
            <w:pPr>
              <w:pStyle w:val="Sidehoved"/>
              <w:ind w:left="87"/>
              <w:rPr>
                <w:b/>
                <w:szCs w:val="24"/>
              </w:rPr>
            </w:pPr>
            <w:r w:rsidRPr="004A3390">
              <w:rPr>
                <w:b/>
                <w:szCs w:val="24"/>
              </w:rPr>
              <w:t>Bivirkning</w:t>
            </w:r>
          </w:p>
        </w:tc>
      </w:tr>
      <w:tr w:rsidR="009D3070" w:rsidRPr="004A3390" w:rsidTr="00842CE2">
        <w:trPr>
          <w:jc w:val="center"/>
        </w:trPr>
        <w:tc>
          <w:tcPr>
            <w:tcW w:w="2422" w:type="pct"/>
            <w:vMerge w:val="restart"/>
            <w:shd w:val="clear" w:color="auto" w:fill="auto"/>
          </w:tcPr>
          <w:p w:rsidR="009D3070" w:rsidRPr="004A3390" w:rsidRDefault="009D3070" w:rsidP="00842CE2">
            <w:pPr>
              <w:pStyle w:val="Sidehoved"/>
              <w:ind w:left="32"/>
              <w:rPr>
                <w:szCs w:val="24"/>
              </w:rPr>
            </w:pPr>
            <w:r w:rsidRPr="004A3390">
              <w:rPr>
                <w:szCs w:val="24"/>
              </w:rPr>
              <w:t>Almene symptomer og reaktioner på administrationsstedet</w:t>
            </w:r>
          </w:p>
        </w:tc>
        <w:tc>
          <w:tcPr>
            <w:tcW w:w="704" w:type="pct"/>
            <w:shd w:val="clear" w:color="auto" w:fill="auto"/>
          </w:tcPr>
          <w:p w:rsidR="009D3070" w:rsidRPr="004A3390" w:rsidRDefault="009D3070" w:rsidP="00842CE2">
            <w:pPr>
              <w:pStyle w:val="Sidehoved"/>
              <w:ind w:left="45"/>
              <w:rPr>
                <w:szCs w:val="24"/>
              </w:rPr>
            </w:pPr>
            <w:r w:rsidRPr="004A3390">
              <w:rPr>
                <w:szCs w:val="24"/>
              </w:rPr>
              <w:t>Almindelig</w:t>
            </w:r>
          </w:p>
        </w:tc>
        <w:tc>
          <w:tcPr>
            <w:tcW w:w="1874" w:type="pct"/>
            <w:shd w:val="clear" w:color="auto" w:fill="auto"/>
          </w:tcPr>
          <w:p w:rsidR="009D3070" w:rsidRPr="004A3390" w:rsidRDefault="009D3070" w:rsidP="00842CE2">
            <w:pPr>
              <w:pStyle w:val="Sidehoved"/>
              <w:ind w:left="87"/>
              <w:rPr>
                <w:szCs w:val="24"/>
              </w:rPr>
            </w:pPr>
            <w:r w:rsidRPr="004A3390">
              <w:rPr>
                <w:szCs w:val="24"/>
              </w:rPr>
              <w:t>Irritation på påføringsstedet</w:t>
            </w:r>
          </w:p>
          <w:p w:rsidR="009D3070" w:rsidRPr="004A3390" w:rsidRDefault="009D3070" w:rsidP="00842CE2">
            <w:pPr>
              <w:pStyle w:val="Sidehoved"/>
              <w:ind w:left="87"/>
              <w:rPr>
                <w:szCs w:val="24"/>
              </w:rPr>
            </w:pPr>
            <w:proofErr w:type="spellStart"/>
            <w:r w:rsidRPr="004A3390">
              <w:rPr>
                <w:szCs w:val="24"/>
              </w:rPr>
              <w:t>Pruritus</w:t>
            </w:r>
            <w:proofErr w:type="spellEnd"/>
            <w:r w:rsidRPr="004A3390">
              <w:rPr>
                <w:szCs w:val="24"/>
              </w:rPr>
              <w:t xml:space="preserve"> på påføringsstedet</w:t>
            </w:r>
          </w:p>
        </w:tc>
      </w:tr>
      <w:tr w:rsidR="009D3070" w:rsidRPr="004A3390" w:rsidTr="00842CE2">
        <w:trPr>
          <w:jc w:val="center"/>
        </w:trPr>
        <w:tc>
          <w:tcPr>
            <w:tcW w:w="2422" w:type="pct"/>
            <w:vMerge/>
            <w:shd w:val="clear" w:color="auto" w:fill="auto"/>
          </w:tcPr>
          <w:p w:rsidR="009D3070" w:rsidRPr="004A3390" w:rsidRDefault="009D3070" w:rsidP="00842CE2">
            <w:pPr>
              <w:pStyle w:val="Sidehoved"/>
              <w:ind w:left="32"/>
              <w:rPr>
                <w:szCs w:val="24"/>
                <w:lang w:val="fr-FR"/>
              </w:rPr>
            </w:pPr>
          </w:p>
        </w:tc>
        <w:tc>
          <w:tcPr>
            <w:tcW w:w="704" w:type="pct"/>
            <w:shd w:val="clear" w:color="auto" w:fill="auto"/>
          </w:tcPr>
          <w:p w:rsidR="009D3070" w:rsidRPr="004A3390" w:rsidRDefault="009D3070" w:rsidP="00842CE2">
            <w:pPr>
              <w:pStyle w:val="Sidehoved"/>
              <w:ind w:left="45"/>
              <w:rPr>
                <w:szCs w:val="24"/>
              </w:rPr>
            </w:pPr>
            <w:r w:rsidRPr="004A3390">
              <w:rPr>
                <w:szCs w:val="24"/>
              </w:rPr>
              <w:t>Ikke almindelig</w:t>
            </w:r>
          </w:p>
        </w:tc>
        <w:tc>
          <w:tcPr>
            <w:tcW w:w="1874" w:type="pct"/>
            <w:shd w:val="clear" w:color="auto" w:fill="auto"/>
          </w:tcPr>
          <w:p w:rsidR="009D3070" w:rsidRPr="004A3390" w:rsidRDefault="009D3070" w:rsidP="00842CE2">
            <w:pPr>
              <w:pStyle w:val="Sidehoved"/>
              <w:ind w:left="87"/>
              <w:rPr>
                <w:szCs w:val="24"/>
              </w:rPr>
            </w:pPr>
            <w:r w:rsidRPr="004A3390">
              <w:rPr>
                <w:szCs w:val="24"/>
              </w:rPr>
              <w:t>Smerter på påføringsstedet</w:t>
            </w:r>
          </w:p>
          <w:p w:rsidR="009D3070" w:rsidRPr="004A3390" w:rsidRDefault="009D3070" w:rsidP="00842CE2">
            <w:pPr>
              <w:pStyle w:val="Sidehoved"/>
              <w:ind w:left="87"/>
              <w:rPr>
                <w:szCs w:val="24"/>
              </w:rPr>
            </w:pPr>
            <w:r w:rsidRPr="004A3390">
              <w:rPr>
                <w:szCs w:val="24"/>
              </w:rPr>
              <w:t>Tørhed på påføringsstedet</w:t>
            </w:r>
          </w:p>
          <w:p w:rsidR="009D3070" w:rsidRPr="004A3390" w:rsidRDefault="009D3070" w:rsidP="00842CE2">
            <w:pPr>
              <w:pStyle w:val="Sidehoved"/>
              <w:ind w:left="87"/>
              <w:rPr>
                <w:szCs w:val="24"/>
              </w:rPr>
            </w:pPr>
            <w:r w:rsidRPr="004A3390">
              <w:rPr>
                <w:szCs w:val="24"/>
              </w:rPr>
              <w:lastRenderedPageBreak/>
              <w:t>Misfarvning på påføringsstedet</w:t>
            </w:r>
          </w:p>
          <w:p w:rsidR="009D3070" w:rsidRPr="004A3390" w:rsidRDefault="009D3070" w:rsidP="00842CE2">
            <w:pPr>
              <w:pStyle w:val="Sidehoved"/>
              <w:ind w:left="87"/>
              <w:rPr>
                <w:szCs w:val="24"/>
              </w:rPr>
            </w:pPr>
            <w:r w:rsidRPr="004A3390">
              <w:rPr>
                <w:szCs w:val="24"/>
              </w:rPr>
              <w:t>Erosion på påføringsstedet</w:t>
            </w:r>
          </w:p>
          <w:p w:rsidR="009D3070" w:rsidRPr="004A3390" w:rsidRDefault="009D3070" w:rsidP="00842CE2">
            <w:pPr>
              <w:pStyle w:val="Sidehoved"/>
              <w:ind w:left="87"/>
              <w:rPr>
                <w:szCs w:val="24"/>
              </w:rPr>
            </w:pPr>
            <w:r w:rsidRPr="004A3390">
              <w:rPr>
                <w:szCs w:val="24"/>
              </w:rPr>
              <w:t>Udslæt på påføringsstedet</w:t>
            </w:r>
          </w:p>
          <w:p w:rsidR="009D3070" w:rsidRPr="004A3390" w:rsidRDefault="009D3070" w:rsidP="00842CE2">
            <w:pPr>
              <w:pStyle w:val="Sidehoved"/>
              <w:ind w:left="87"/>
              <w:rPr>
                <w:szCs w:val="24"/>
              </w:rPr>
            </w:pPr>
            <w:r w:rsidRPr="004A3390">
              <w:rPr>
                <w:szCs w:val="24"/>
              </w:rPr>
              <w:t>Hævelse på påføringsstedet</w:t>
            </w:r>
          </w:p>
        </w:tc>
      </w:tr>
      <w:tr w:rsidR="009D3070" w:rsidRPr="004A3390" w:rsidTr="00842CE2">
        <w:trPr>
          <w:jc w:val="center"/>
        </w:trPr>
        <w:tc>
          <w:tcPr>
            <w:tcW w:w="2422" w:type="pct"/>
            <w:vMerge/>
            <w:shd w:val="clear" w:color="auto" w:fill="auto"/>
          </w:tcPr>
          <w:p w:rsidR="009D3070" w:rsidRPr="004A3390" w:rsidRDefault="009D3070" w:rsidP="00842CE2">
            <w:pPr>
              <w:pStyle w:val="Sidehoved"/>
              <w:ind w:left="32"/>
              <w:rPr>
                <w:szCs w:val="24"/>
                <w:lang w:val="fr-FR"/>
              </w:rPr>
            </w:pPr>
          </w:p>
        </w:tc>
        <w:tc>
          <w:tcPr>
            <w:tcW w:w="704" w:type="pct"/>
            <w:shd w:val="clear" w:color="auto" w:fill="auto"/>
          </w:tcPr>
          <w:p w:rsidR="009D3070" w:rsidRPr="004A3390" w:rsidRDefault="009D3070" w:rsidP="00842CE2">
            <w:pPr>
              <w:pStyle w:val="Sidehoved"/>
              <w:ind w:left="45"/>
              <w:rPr>
                <w:szCs w:val="24"/>
              </w:rPr>
            </w:pPr>
            <w:r w:rsidRPr="004A3390">
              <w:rPr>
                <w:szCs w:val="24"/>
              </w:rPr>
              <w:t>Sjælden</w:t>
            </w:r>
          </w:p>
        </w:tc>
        <w:tc>
          <w:tcPr>
            <w:tcW w:w="1874" w:type="pct"/>
            <w:shd w:val="clear" w:color="auto" w:fill="auto"/>
          </w:tcPr>
          <w:p w:rsidR="009D3070" w:rsidRPr="004A3390" w:rsidRDefault="009D3070" w:rsidP="00842CE2">
            <w:pPr>
              <w:pStyle w:val="Sidehoved"/>
              <w:ind w:left="87"/>
              <w:rPr>
                <w:szCs w:val="24"/>
              </w:rPr>
            </w:pPr>
            <w:proofErr w:type="spellStart"/>
            <w:r w:rsidRPr="004A3390">
              <w:rPr>
                <w:szCs w:val="24"/>
              </w:rPr>
              <w:t>Erythem</w:t>
            </w:r>
            <w:proofErr w:type="spellEnd"/>
            <w:r w:rsidRPr="004A3390">
              <w:rPr>
                <w:szCs w:val="24"/>
              </w:rPr>
              <w:t xml:space="preserve"> på påføringsstedet</w:t>
            </w:r>
          </w:p>
          <w:p w:rsidR="009D3070" w:rsidRPr="004A3390" w:rsidRDefault="009D3070" w:rsidP="00842CE2">
            <w:pPr>
              <w:pStyle w:val="Sidehoved"/>
              <w:ind w:left="87"/>
              <w:rPr>
                <w:szCs w:val="24"/>
              </w:rPr>
            </w:pPr>
            <w:proofErr w:type="spellStart"/>
            <w:r w:rsidRPr="004A3390">
              <w:rPr>
                <w:szCs w:val="24"/>
              </w:rPr>
              <w:t>Urticaria</w:t>
            </w:r>
            <w:proofErr w:type="spellEnd"/>
            <w:r w:rsidRPr="004A3390">
              <w:rPr>
                <w:szCs w:val="24"/>
              </w:rPr>
              <w:t xml:space="preserve"> på påføringsstedet</w:t>
            </w:r>
          </w:p>
          <w:p w:rsidR="009D3070" w:rsidRPr="004A3390" w:rsidRDefault="009D3070" w:rsidP="00842CE2">
            <w:pPr>
              <w:pStyle w:val="Sidehoved"/>
              <w:ind w:left="87"/>
              <w:rPr>
                <w:szCs w:val="24"/>
              </w:rPr>
            </w:pPr>
            <w:proofErr w:type="spellStart"/>
            <w:r w:rsidRPr="004A3390">
              <w:rPr>
                <w:szCs w:val="24"/>
              </w:rPr>
              <w:t>Vesikler</w:t>
            </w:r>
            <w:proofErr w:type="spellEnd"/>
            <w:r w:rsidRPr="004A3390">
              <w:rPr>
                <w:szCs w:val="24"/>
              </w:rPr>
              <w:t xml:space="preserve"> på påføringsstedet</w:t>
            </w:r>
          </w:p>
        </w:tc>
      </w:tr>
      <w:tr w:rsidR="009D3070" w:rsidRPr="004A3390" w:rsidTr="00842CE2">
        <w:trPr>
          <w:trHeight w:val="516"/>
          <w:jc w:val="center"/>
        </w:trPr>
        <w:tc>
          <w:tcPr>
            <w:tcW w:w="2422" w:type="pct"/>
            <w:shd w:val="clear" w:color="auto" w:fill="auto"/>
          </w:tcPr>
          <w:p w:rsidR="009D3070" w:rsidRPr="004A3390" w:rsidRDefault="009D3070" w:rsidP="00842CE2">
            <w:pPr>
              <w:pStyle w:val="Sidehoved"/>
              <w:ind w:left="32"/>
              <w:rPr>
                <w:szCs w:val="24"/>
              </w:rPr>
            </w:pPr>
            <w:r w:rsidRPr="004A3390">
              <w:rPr>
                <w:szCs w:val="24"/>
              </w:rPr>
              <w:t>Traumer, forgiftninger og behandlings-komplikationer</w:t>
            </w:r>
          </w:p>
        </w:tc>
        <w:tc>
          <w:tcPr>
            <w:tcW w:w="704" w:type="pct"/>
            <w:shd w:val="clear" w:color="auto" w:fill="auto"/>
          </w:tcPr>
          <w:p w:rsidR="009D3070" w:rsidRPr="004A3390" w:rsidRDefault="009D3070" w:rsidP="00842CE2">
            <w:pPr>
              <w:pStyle w:val="Sidehoved"/>
              <w:ind w:left="45"/>
              <w:rPr>
                <w:szCs w:val="24"/>
              </w:rPr>
            </w:pPr>
            <w:r w:rsidRPr="004A3390">
              <w:rPr>
                <w:szCs w:val="24"/>
              </w:rPr>
              <w:t>Almindelig</w:t>
            </w:r>
          </w:p>
          <w:p w:rsidR="009D3070" w:rsidRPr="004A3390" w:rsidRDefault="009D3070" w:rsidP="00842CE2">
            <w:pPr>
              <w:pStyle w:val="Sidehoved"/>
              <w:ind w:left="45"/>
              <w:rPr>
                <w:szCs w:val="24"/>
              </w:rPr>
            </w:pPr>
          </w:p>
        </w:tc>
        <w:tc>
          <w:tcPr>
            <w:tcW w:w="1874" w:type="pct"/>
            <w:shd w:val="clear" w:color="auto" w:fill="auto"/>
          </w:tcPr>
          <w:p w:rsidR="009D3070" w:rsidRPr="004A3390" w:rsidRDefault="009D3070" w:rsidP="00842CE2">
            <w:pPr>
              <w:pStyle w:val="Sidehoved"/>
              <w:ind w:left="87"/>
              <w:rPr>
                <w:szCs w:val="24"/>
              </w:rPr>
            </w:pPr>
            <w:r w:rsidRPr="004A3390">
              <w:rPr>
                <w:szCs w:val="24"/>
              </w:rPr>
              <w:t>Solskoldning</w:t>
            </w:r>
          </w:p>
          <w:p w:rsidR="009D3070" w:rsidRPr="004A3390" w:rsidRDefault="009D3070" w:rsidP="00842CE2">
            <w:pPr>
              <w:pStyle w:val="Sidehoved"/>
              <w:ind w:left="87"/>
              <w:rPr>
                <w:szCs w:val="24"/>
              </w:rPr>
            </w:pPr>
          </w:p>
        </w:tc>
      </w:tr>
      <w:tr w:rsidR="009D3070" w:rsidRPr="004A3390" w:rsidTr="00842CE2">
        <w:trPr>
          <w:jc w:val="center"/>
        </w:trPr>
        <w:tc>
          <w:tcPr>
            <w:tcW w:w="2422" w:type="pct"/>
            <w:vMerge w:val="restart"/>
            <w:shd w:val="clear" w:color="auto" w:fill="auto"/>
          </w:tcPr>
          <w:p w:rsidR="009D3070" w:rsidRPr="004A3390" w:rsidRDefault="009D3070" w:rsidP="00842CE2">
            <w:pPr>
              <w:pStyle w:val="Sidehoved"/>
              <w:ind w:left="32"/>
              <w:rPr>
                <w:szCs w:val="24"/>
              </w:rPr>
            </w:pPr>
            <w:r w:rsidRPr="004A3390">
              <w:rPr>
                <w:szCs w:val="24"/>
              </w:rPr>
              <w:t>Hud og subkutane væv</w:t>
            </w:r>
          </w:p>
        </w:tc>
        <w:tc>
          <w:tcPr>
            <w:tcW w:w="704" w:type="pct"/>
            <w:shd w:val="clear" w:color="auto" w:fill="auto"/>
          </w:tcPr>
          <w:p w:rsidR="009D3070" w:rsidRPr="004A3390" w:rsidRDefault="009D3070" w:rsidP="00842CE2">
            <w:pPr>
              <w:pStyle w:val="Sidehoved"/>
              <w:ind w:left="45"/>
              <w:rPr>
                <w:szCs w:val="24"/>
              </w:rPr>
            </w:pPr>
            <w:r w:rsidRPr="004A3390">
              <w:rPr>
                <w:szCs w:val="24"/>
              </w:rPr>
              <w:t>Ikke almindelig</w:t>
            </w:r>
          </w:p>
        </w:tc>
        <w:tc>
          <w:tcPr>
            <w:tcW w:w="1874" w:type="pct"/>
            <w:shd w:val="clear" w:color="auto" w:fill="auto"/>
          </w:tcPr>
          <w:p w:rsidR="009D3070" w:rsidRPr="004A3390" w:rsidRDefault="009D3070" w:rsidP="00842CE2">
            <w:pPr>
              <w:pStyle w:val="Sidehoved"/>
              <w:ind w:left="87"/>
              <w:rPr>
                <w:szCs w:val="24"/>
              </w:rPr>
            </w:pPr>
            <w:r w:rsidRPr="004A3390">
              <w:rPr>
                <w:szCs w:val="24"/>
              </w:rPr>
              <w:t>Hudirritation</w:t>
            </w:r>
          </w:p>
          <w:p w:rsidR="009D3070" w:rsidRPr="004A3390" w:rsidRDefault="009D3070" w:rsidP="00842CE2">
            <w:pPr>
              <w:pStyle w:val="Sidehoved"/>
              <w:ind w:left="87"/>
              <w:rPr>
                <w:szCs w:val="24"/>
              </w:rPr>
            </w:pPr>
            <w:r w:rsidRPr="004A3390">
              <w:rPr>
                <w:szCs w:val="24"/>
              </w:rPr>
              <w:t>Akne</w:t>
            </w:r>
          </w:p>
          <w:p w:rsidR="009D3070" w:rsidRPr="004A3390" w:rsidRDefault="009D3070" w:rsidP="00842CE2">
            <w:pPr>
              <w:pStyle w:val="Sidehoved"/>
              <w:ind w:left="87"/>
              <w:rPr>
                <w:szCs w:val="24"/>
              </w:rPr>
            </w:pPr>
            <w:r w:rsidRPr="004A3390">
              <w:rPr>
                <w:szCs w:val="24"/>
              </w:rPr>
              <w:t xml:space="preserve">Allergisk </w:t>
            </w:r>
            <w:proofErr w:type="spellStart"/>
            <w:r w:rsidRPr="004A3390">
              <w:rPr>
                <w:szCs w:val="24"/>
              </w:rPr>
              <w:t>dermatitis</w:t>
            </w:r>
            <w:proofErr w:type="spellEnd"/>
          </w:p>
          <w:p w:rsidR="009D3070" w:rsidRPr="004A3390" w:rsidRDefault="009D3070" w:rsidP="00842CE2">
            <w:pPr>
              <w:pStyle w:val="Sidehoved"/>
              <w:ind w:left="87"/>
              <w:rPr>
                <w:szCs w:val="24"/>
              </w:rPr>
            </w:pPr>
            <w:proofErr w:type="spellStart"/>
            <w:r w:rsidRPr="004A3390">
              <w:rPr>
                <w:szCs w:val="24"/>
              </w:rPr>
              <w:t>Erythem</w:t>
            </w:r>
            <w:proofErr w:type="spellEnd"/>
          </w:p>
        </w:tc>
      </w:tr>
      <w:tr w:rsidR="009D3070" w:rsidRPr="004A3390" w:rsidTr="00842CE2">
        <w:trPr>
          <w:jc w:val="center"/>
        </w:trPr>
        <w:tc>
          <w:tcPr>
            <w:tcW w:w="2422" w:type="pct"/>
            <w:vMerge/>
            <w:shd w:val="clear" w:color="auto" w:fill="auto"/>
          </w:tcPr>
          <w:p w:rsidR="009D3070" w:rsidRPr="004A3390" w:rsidRDefault="009D3070" w:rsidP="00842CE2">
            <w:pPr>
              <w:pStyle w:val="Sidehoved"/>
              <w:ind w:left="32"/>
              <w:rPr>
                <w:szCs w:val="24"/>
                <w:lang w:val="sv-SE"/>
              </w:rPr>
            </w:pPr>
          </w:p>
        </w:tc>
        <w:tc>
          <w:tcPr>
            <w:tcW w:w="704" w:type="pct"/>
            <w:shd w:val="clear" w:color="auto" w:fill="auto"/>
          </w:tcPr>
          <w:p w:rsidR="009D3070" w:rsidRPr="004A3390" w:rsidRDefault="009D3070" w:rsidP="00842CE2">
            <w:pPr>
              <w:pStyle w:val="Sidehoved"/>
              <w:ind w:left="45"/>
              <w:rPr>
                <w:szCs w:val="24"/>
              </w:rPr>
            </w:pPr>
            <w:r w:rsidRPr="004A3390">
              <w:rPr>
                <w:szCs w:val="24"/>
              </w:rPr>
              <w:t>Sjælden</w:t>
            </w:r>
          </w:p>
        </w:tc>
        <w:tc>
          <w:tcPr>
            <w:tcW w:w="1874" w:type="pct"/>
            <w:shd w:val="clear" w:color="auto" w:fill="auto"/>
          </w:tcPr>
          <w:p w:rsidR="009D3070" w:rsidRPr="004A3390" w:rsidRDefault="009D3070" w:rsidP="00842CE2">
            <w:pPr>
              <w:pStyle w:val="Sidehoved"/>
              <w:ind w:left="87"/>
              <w:rPr>
                <w:szCs w:val="24"/>
              </w:rPr>
            </w:pPr>
            <w:proofErr w:type="spellStart"/>
            <w:r w:rsidRPr="004A3390">
              <w:rPr>
                <w:szCs w:val="24"/>
              </w:rPr>
              <w:t>Asteatotisk</w:t>
            </w:r>
            <w:proofErr w:type="spellEnd"/>
            <w:r w:rsidRPr="004A3390">
              <w:rPr>
                <w:szCs w:val="24"/>
              </w:rPr>
              <w:t xml:space="preserve"> eksem</w:t>
            </w:r>
          </w:p>
          <w:p w:rsidR="009D3070" w:rsidRPr="004A3390" w:rsidRDefault="009D3070" w:rsidP="00842CE2">
            <w:pPr>
              <w:pStyle w:val="Sidehoved"/>
              <w:ind w:left="87"/>
              <w:rPr>
                <w:szCs w:val="24"/>
              </w:rPr>
            </w:pPr>
            <w:proofErr w:type="spellStart"/>
            <w:r w:rsidRPr="004A3390">
              <w:rPr>
                <w:szCs w:val="24"/>
              </w:rPr>
              <w:t>Seboroisk</w:t>
            </w:r>
            <w:proofErr w:type="spellEnd"/>
            <w:r w:rsidRPr="004A3390">
              <w:rPr>
                <w:szCs w:val="24"/>
              </w:rPr>
              <w:t xml:space="preserve"> </w:t>
            </w:r>
            <w:proofErr w:type="spellStart"/>
            <w:r w:rsidRPr="004A3390">
              <w:rPr>
                <w:szCs w:val="24"/>
              </w:rPr>
              <w:t>dermatitis</w:t>
            </w:r>
            <w:proofErr w:type="spellEnd"/>
          </w:p>
          <w:p w:rsidR="009D3070" w:rsidRPr="004A3390" w:rsidRDefault="009D3070" w:rsidP="00842CE2">
            <w:pPr>
              <w:pStyle w:val="Sidehoved"/>
              <w:ind w:left="87"/>
              <w:rPr>
                <w:szCs w:val="24"/>
              </w:rPr>
            </w:pPr>
            <w:r w:rsidRPr="004A3390">
              <w:rPr>
                <w:szCs w:val="24"/>
              </w:rPr>
              <w:t>Brændende følelse i huden</w:t>
            </w:r>
          </w:p>
          <w:p w:rsidR="009D3070" w:rsidRPr="004A3390" w:rsidRDefault="009D3070" w:rsidP="00842CE2">
            <w:pPr>
              <w:pStyle w:val="Sidehoved"/>
              <w:ind w:left="87"/>
              <w:rPr>
                <w:szCs w:val="24"/>
              </w:rPr>
            </w:pPr>
            <w:r w:rsidRPr="004A3390">
              <w:rPr>
                <w:szCs w:val="24"/>
              </w:rPr>
              <w:t>Hudsprækker</w:t>
            </w:r>
          </w:p>
          <w:p w:rsidR="009D3070" w:rsidRPr="004A3390" w:rsidRDefault="009D3070" w:rsidP="00842CE2">
            <w:pPr>
              <w:pStyle w:val="Sidehoved"/>
              <w:ind w:left="87"/>
              <w:rPr>
                <w:szCs w:val="24"/>
              </w:rPr>
            </w:pPr>
            <w:proofErr w:type="spellStart"/>
            <w:r w:rsidRPr="004A3390">
              <w:rPr>
                <w:szCs w:val="24"/>
              </w:rPr>
              <w:t>Hyperpigmentering</w:t>
            </w:r>
            <w:proofErr w:type="spellEnd"/>
            <w:r w:rsidRPr="004A3390">
              <w:rPr>
                <w:szCs w:val="24"/>
              </w:rPr>
              <w:t xml:space="preserve"> af huden</w:t>
            </w:r>
          </w:p>
        </w:tc>
      </w:tr>
      <w:tr w:rsidR="009D3070" w:rsidRPr="004A3390" w:rsidTr="00842CE2">
        <w:trPr>
          <w:trHeight w:val="64"/>
          <w:jc w:val="center"/>
        </w:trPr>
        <w:tc>
          <w:tcPr>
            <w:tcW w:w="2422" w:type="pct"/>
            <w:shd w:val="clear" w:color="auto" w:fill="auto"/>
          </w:tcPr>
          <w:p w:rsidR="009D3070" w:rsidRPr="004A3390" w:rsidRDefault="009D3070" w:rsidP="00842CE2">
            <w:pPr>
              <w:pStyle w:val="Sidehoved"/>
              <w:ind w:left="32"/>
              <w:rPr>
                <w:szCs w:val="24"/>
              </w:rPr>
            </w:pPr>
            <w:r w:rsidRPr="004A3390">
              <w:rPr>
                <w:szCs w:val="24"/>
              </w:rPr>
              <w:t>Øjne</w:t>
            </w:r>
          </w:p>
        </w:tc>
        <w:tc>
          <w:tcPr>
            <w:tcW w:w="704" w:type="pct"/>
            <w:shd w:val="clear" w:color="auto" w:fill="auto"/>
          </w:tcPr>
          <w:p w:rsidR="009D3070" w:rsidRPr="004A3390" w:rsidRDefault="009D3070" w:rsidP="00842CE2">
            <w:pPr>
              <w:pStyle w:val="Sidehoved"/>
              <w:ind w:left="45"/>
              <w:rPr>
                <w:szCs w:val="24"/>
              </w:rPr>
            </w:pPr>
            <w:r w:rsidRPr="004A3390">
              <w:rPr>
                <w:szCs w:val="24"/>
              </w:rPr>
              <w:t>Sjælden</w:t>
            </w:r>
          </w:p>
        </w:tc>
        <w:tc>
          <w:tcPr>
            <w:tcW w:w="1874" w:type="pct"/>
            <w:shd w:val="clear" w:color="auto" w:fill="auto"/>
          </w:tcPr>
          <w:p w:rsidR="009D3070" w:rsidRPr="004A3390" w:rsidRDefault="009D3070" w:rsidP="00842CE2">
            <w:pPr>
              <w:pStyle w:val="Sidehoved"/>
              <w:ind w:left="87"/>
              <w:rPr>
                <w:szCs w:val="24"/>
              </w:rPr>
            </w:pPr>
            <w:r w:rsidRPr="004A3390">
              <w:rPr>
                <w:szCs w:val="24"/>
              </w:rPr>
              <w:t>Eksfoliering af øjenlåg</w:t>
            </w:r>
          </w:p>
          <w:p w:rsidR="009D3070" w:rsidRPr="004A3390" w:rsidRDefault="009D3070" w:rsidP="00842CE2">
            <w:pPr>
              <w:pStyle w:val="Sidehoved"/>
              <w:ind w:left="87"/>
              <w:rPr>
                <w:szCs w:val="24"/>
              </w:rPr>
            </w:pPr>
            <w:r w:rsidRPr="004A3390">
              <w:rPr>
                <w:szCs w:val="24"/>
              </w:rPr>
              <w:t>Øjenlågsødem</w:t>
            </w:r>
          </w:p>
        </w:tc>
      </w:tr>
      <w:tr w:rsidR="009D3070" w:rsidRPr="004A3390" w:rsidTr="00842CE2">
        <w:trPr>
          <w:trHeight w:val="64"/>
          <w:jc w:val="center"/>
        </w:trPr>
        <w:tc>
          <w:tcPr>
            <w:tcW w:w="2422" w:type="pct"/>
            <w:shd w:val="clear" w:color="auto" w:fill="auto"/>
          </w:tcPr>
          <w:p w:rsidR="009D3070" w:rsidRPr="004A3390" w:rsidRDefault="009D3070" w:rsidP="00842CE2">
            <w:pPr>
              <w:pStyle w:val="Sidehoved"/>
              <w:ind w:left="32"/>
              <w:rPr>
                <w:szCs w:val="24"/>
              </w:rPr>
            </w:pPr>
            <w:r w:rsidRPr="004A3390">
              <w:rPr>
                <w:szCs w:val="24"/>
              </w:rPr>
              <w:t>Mave-tarm-kanalen</w:t>
            </w:r>
          </w:p>
        </w:tc>
        <w:tc>
          <w:tcPr>
            <w:tcW w:w="704" w:type="pct"/>
            <w:shd w:val="clear" w:color="auto" w:fill="auto"/>
          </w:tcPr>
          <w:p w:rsidR="009D3070" w:rsidRPr="004A3390" w:rsidRDefault="009D3070" w:rsidP="00842CE2">
            <w:pPr>
              <w:pStyle w:val="Sidehoved"/>
              <w:ind w:left="45"/>
              <w:rPr>
                <w:szCs w:val="24"/>
              </w:rPr>
            </w:pPr>
            <w:r w:rsidRPr="004A3390">
              <w:rPr>
                <w:szCs w:val="24"/>
              </w:rPr>
              <w:t>Sjælden</w:t>
            </w:r>
          </w:p>
        </w:tc>
        <w:tc>
          <w:tcPr>
            <w:tcW w:w="1874" w:type="pct"/>
            <w:shd w:val="clear" w:color="auto" w:fill="auto"/>
          </w:tcPr>
          <w:p w:rsidR="009D3070" w:rsidRPr="004A3390" w:rsidRDefault="009D3070" w:rsidP="00842CE2">
            <w:pPr>
              <w:pStyle w:val="Sidehoved"/>
              <w:ind w:left="87"/>
              <w:rPr>
                <w:szCs w:val="24"/>
              </w:rPr>
            </w:pPr>
            <w:proofErr w:type="spellStart"/>
            <w:r w:rsidRPr="004A3390">
              <w:rPr>
                <w:szCs w:val="24"/>
              </w:rPr>
              <w:t>Cheilitis</w:t>
            </w:r>
            <w:proofErr w:type="spellEnd"/>
          </w:p>
        </w:tc>
      </w:tr>
      <w:tr w:rsidR="009D3070" w:rsidRPr="004A3390" w:rsidTr="00842CE2">
        <w:trPr>
          <w:trHeight w:val="64"/>
          <w:jc w:val="center"/>
        </w:trPr>
        <w:tc>
          <w:tcPr>
            <w:tcW w:w="2422" w:type="pct"/>
            <w:shd w:val="clear" w:color="auto" w:fill="auto"/>
          </w:tcPr>
          <w:p w:rsidR="009D3070" w:rsidRPr="004A3390" w:rsidRDefault="009D3070" w:rsidP="00842CE2">
            <w:pPr>
              <w:pStyle w:val="Sidehoved"/>
              <w:ind w:left="32"/>
              <w:rPr>
                <w:szCs w:val="24"/>
              </w:rPr>
            </w:pPr>
            <w:proofErr w:type="spellStart"/>
            <w:r w:rsidRPr="004A3390">
              <w:rPr>
                <w:szCs w:val="24"/>
              </w:rPr>
              <w:t>Vaskulære</w:t>
            </w:r>
            <w:proofErr w:type="spellEnd"/>
            <w:r w:rsidRPr="004A3390">
              <w:rPr>
                <w:szCs w:val="24"/>
              </w:rPr>
              <w:t xml:space="preserve"> sygdomme</w:t>
            </w:r>
          </w:p>
        </w:tc>
        <w:tc>
          <w:tcPr>
            <w:tcW w:w="704" w:type="pct"/>
            <w:shd w:val="clear" w:color="auto" w:fill="auto"/>
          </w:tcPr>
          <w:p w:rsidR="009D3070" w:rsidRPr="004A3390" w:rsidRDefault="009D3070" w:rsidP="00842CE2">
            <w:pPr>
              <w:pStyle w:val="Sidehoved"/>
              <w:ind w:left="45"/>
              <w:rPr>
                <w:szCs w:val="24"/>
              </w:rPr>
            </w:pPr>
            <w:r w:rsidRPr="004A3390">
              <w:rPr>
                <w:szCs w:val="24"/>
              </w:rPr>
              <w:t>Sjælden</w:t>
            </w:r>
          </w:p>
        </w:tc>
        <w:tc>
          <w:tcPr>
            <w:tcW w:w="1874" w:type="pct"/>
            <w:shd w:val="clear" w:color="auto" w:fill="auto"/>
          </w:tcPr>
          <w:p w:rsidR="009D3070" w:rsidRPr="004A3390" w:rsidRDefault="009D3070" w:rsidP="00842CE2">
            <w:pPr>
              <w:pStyle w:val="Sidehoved"/>
              <w:ind w:left="87"/>
              <w:rPr>
                <w:szCs w:val="24"/>
              </w:rPr>
            </w:pPr>
            <w:r w:rsidRPr="004A3390">
              <w:rPr>
                <w:szCs w:val="24"/>
              </w:rPr>
              <w:t>Rødme</w:t>
            </w:r>
          </w:p>
        </w:tc>
      </w:tr>
    </w:tbl>
    <w:p w:rsidR="009D3070" w:rsidRPr="004A3390" w:rsidRDefault="009D3070" w:rsidP="009D3070">
      <w:pPr>
        <w:pStyle w:val="Sidehoved"/>
        <w:tabs>
          <w:tab w:val="left" w:pos="851"/>
        </w:tabs>
        <w:ind w:left="851"/>
        <w:rPr>
          <w:szCs w:val="24"/>
        </w:rPr>
      </w:pPr>
    </w:p>
    <w:p w:rsidR="009D3070" w:rsidRPr="004A3390" w:rsidRDefault="009D3070" w:rsidP="009D3070">
      <w:pPr>
        <w:pStyle w:val="Sidehoved"/>
        <w:tabs>
          <w:tab w:val="left" w:pos="851"/>
        </w:tabs>
        <w:ind w:left="851"/>
        <w:rPr>
          <w:szCs w:val="24"/>
          <w:u w:val="single"/>
        </w:rPr>
      </w:pPr>
      <w:r w:rsidRPr="004A3390">
        <w:rPr>
          <w:szCs w:val="24"/>
          <w:u w:val="single"/>
        </w:rPr>
        <w:t>Indberetning af formodede bivirkninger</w:t>
      </w:r>
    </w:p>
    <w:p w:rsidR="009D3070" w:rsidRPr="004A3390" w:rsidRDefault="009D3070" w:rsidP="009D3070">
      <w:pPr>
        <w:pStyle w:val="Sidehoved"/>
        <w:tabs>
          <w:tab w:val="left" w:pos="851"/>
        </w:tabs>
        <w:ind w:left="851"/>
        <w:rPr>
          <w:szCs w:val="24"/>
        </w:rPr>
      </w:pPr>
      <w:r w:rsidRPr="004A3390">
        <w:rPr>
          <w:szCs w:val="24"/>
        </w:rPr>
        <w:t>Når lægemidlet er godkendt, er indberetning af formodede bivirkninger vigtig. Det muliggør løbende overvågning af benefit/</w:t>
      </w:r>
      <w:proofErr w:type="spellStart"/>
      <w:r w:rsidRPr="004A3390">
        <w:rPr>
          <w:szCs w:val="24"/>
        </w:rPr>
        <w:t>risk</w:t>
      </w:r>
      <w:proofErr w:type="spellEnd"/>
      <w:r w:rsidRPr="004A3390">
        <w:rPr>
          <w:szCs w:val="24"/>
        </w:rPr>
        <w:t>-forholdet for lægemidlet. Læger og sundhedspersonale anmodes om at indberette alle formodede bivirkninger via:</w:t>
      </w:r>
    </w:p>
    <w:p w:rsidR="009D3070" w:rsidRPr="004A3390" w:rsidRDefault="009D3070" w:rsidP="009D3070">
      <w:pPr>
        <w:pStyle w:val="Sidehoved"/>
        <w:tabs>
          <w:tab w:val="left" w:pos="851"/>
        </w:tabs>
        <w:ind w:left="851"/>
        <w:rPr>
          <w:szCs w:val="24"/>
        </w:rPr>
      </w:pPr>
    </w:p>
    <w:p w:rsidR="009D3070" w:rsidRPr="004A3390" w:rsidRDefault="009D3070" w:rsidP="009D3070">
      <w:pPr>
        <w:pStyle w:val="Sidehoved"/>
        <w:tabs>
          <w:tab w:val="left" w:pos="851"/>
        </w:tabs>
        <w:ind w:left="851"/>
        <w:rPr>
          <w:szCs w:val="24"/>
        </w:rPr>
      </w:pPr>
      <w:r w:rsidRPr="004A3390">
        <w:rPr>
          <w:szCs w:val="24"/>
        </w:rPr>
        <w:t>Lægemiddelstyrelsen</w:t>
      </w:r>
    </w:p>
    <w:p w:rsidR="009D3070" w:rsidRPr="004A3390" w:rsidRDefault="009D3070" w:rsidP="009D3070">
      <w:pPr>
        <w:pStyle w:val="Sidehoved"/>
        <w:tabs>
          <w:tab w:val="left" w:pos="851"/>
        </w:tabs>
        <w:ind w:left="851"/>
        <w:rPr>
          <w:szCs w:val="24"/>
        </w:rPr>
      </w:pPr>
      <w:r w:rsidRPr="004A3390">
        <w:rPr>
          <w:szCs w:val="24"/>
        </w:rPr>
        <w:t>Axel Heides Gade 1</w:t>
      </w:r>
    </w:p>
    <w:p w:rsidR="009D3070" w:rsidRPr="004A3390" w:rsidRDefault="009D3070" w:rsidP="009D3070">
      <w:pPr>
        <w:pStyle w:val="Sidehoved"/>
        <w:tabs>
          <w:tab w:val="left" w:pos="851"/>
        </w:tabs>
        <w:ind w:left="851"/>
        <w:rPr>
          <w:szCs w:val="24"/>
        </w:rPr>
      </w:pPr>
      <w:r w:rsidRPr="004A3390">
        <w:rPr>
          <w:szCs w:val="24"/>
        </w:rPr>
        <w:t>DK-2300 København S</w:t>
      </w:r>
    </w:p>
    <w:p w:rsidR="009D3070" w:rsidRPr="004A3390" w:rsidRDefault="009D3070" w:rsidP="009D3070">
      <w:pPr>
        <w:pStyle w:val="Sidehoved"/>
        <w:tabs>
          <w:tab w:val="left" w:pos="851"/>
        </w:tabs>
        <w:ind w:left="851"/>
        <w:rPr>
          <w:szCs w:val="24"/>
        </w:rPr>
      </w:pPr>
      <w:r w:rsidRPr="004A3390">
        <w:rPr>
          <w:szCs w:val="24"/>
        </w:rPr>
        <w:t xml:space="preserve">Websted: </w:t>
      </w:r>
      <w:hyperlink r:id="rId9" w:history="1">
        <w:r w:rsidRPr="004A3390">
          <w:rPr>
            <w:rStyle w:val="Hyperlink"/>
            <w:szCs w:val="24"/>
          </w:rPr>
          <w:t>www.meldenbivirkning.dk</w:t>
        </w:r>
      </w:hyperlink>
      <w:hyperlink r:id="rId10" w:history="1"/>
    </w:p>
    <w:p w:rsidR="009D3070" w:rsidRPr="00C84483" w:rsidRDefault="009D3070" w:rsidP="009D3070">
      <w:pPr>
        <w:pStyle w:val="Sidehoved"/>
        <w:tabs>
          <w:tab w:val="left" w:pos="851"/>
        </w:tabs>
        <w:ind w:left="851"/>
        <w:rPr>
          <w:szCs w:val="24"/>
        </w:rPr>
      </w:pPr>
    </w:p>
    <w:p w:rsidR="009D3070" w:rsidRPr="00C84483" w:rsidRDefault="009D3070" w:rsidP="009D3070">
      <w:pPr>
        <w:tabs>
          <w:tab w:val="left" w:pos="851"/>
        </w:tabs>
        <w:ind w:left="851" w:hanging="851"/>
        <w:rPr>
          <w:b/>
          <w:sz w:val="24"/>
          <w:szCs w:val="24"/>
        </w:rPr>
      </w:pPr>
      <w:r w:rsidRPr="00C84483">
        <w:rPr>
          <w:b/>
          <w:sz w:val="24"/>
          <w:szCs w:val="24"/>
        </w:rPr>
        <w:t>4.9</w:t>
      </w:r>
      <w:r w:rsidRPr="00C84483">
        <w:rPr>
          <w:b/>
          <w:sz w:val="24"/>
          <w:szCs w:val="24"/>
        </w:rPr>
        <w:tab/>
        <w:t>Overdosering</w:t>
      </w:r>
    </w:p>
    <w:p w:rsidR="009D3070" w:rsidRPr="0046408C" w:rsidRDefault="009D3070" w:rsidP="009D3070">
      <w:pPr>
        <w:tabs>
          <w:tab w:val="left" w:pos="851"/>
        </w:tabs>
        <w:ind w:left="851"/>
        <w:rPr>
          <w:sz w:val="24"/>
          <w:szCs w:val="24"/>
        </w:rPr>
      </w:pPr>
      <w:proofErr w:type="spellStart"/>
      <w:r w:rsidRPr="0046408C">
        <w:rPr>
          <w:sz w:val="24"/>
          <w:szCs w:val="24"/>
        </w:rPr>
        <w:t>Aklief</w:t>
      </w:r>
      <w:proofErr w:type="spellEnd"/>
      <w:r w:rsidRPr="0046408C">
        <w:rPr>
          <w:sz w:val="24"/>
          <w:szCs w:val="24"/>
        </w:rPr>
        <w:t xml:space="preserve"> er kun beregnet til </w:t>
      </w:r>
      <w:proofErr w:type="spellStart"/>
      <w:r w:rsidRPr="0046408C">
        <w:rPr>
          <w:sz w:val="24"/>
          <w:szCs w:val="24"/>
        </w:rPr>
        <w:t>kutan</w:t>
      </w:r>
      <w:proofErr w:type="spellEnd"/>
      <w:r w:rsidRPr="0046408C">
        <w:rPr>
          <w:sz w:val="24"/>
          <w:szCs w:val="24"/>
        </w:rPr>
        <w:t xml:space="preserve"> anvendelse </w:t>
      </w:r>
      <w:r>
        <w:rPr>
          <w:sz w:val="24"/>
          <w:szCs w:val="24"/>
        </w:rPr>
        <w:t>e</w:t>
      </w:r>
      <w:r w:rsidRPr="0046408C">
        <w:rPr>
          <w:sz w:val="24"/>
          <w:szCs w:val="24"/>
        </w:rPr>
        <w:t>n gang daglig</w:t>
      </w:r>
      <w:r>
        <w:rPr>
          <w:sz w:val="24"/>
          <w:szCs w:val="24"/>
        </w:rPr>
        <w:t>.</w:t>
      </w:r>
    </w:p>
    <w:p w:rsidR="009D3070" w:rsidRPr="0046408C" w:rsidRDefault="009D3070" w:rsidP="009D3070">
      <w:pPr>
        <w:tabs>
          <w:tab w:val="left" w:pos="851"/>
        </w:tabs>
        <w:ind w:left="851"/>
        <w:rPr>
          <w:sz w:val="24"/>
          <w:szCs w:val="24"/>
        </w:rPr>
      </w:pPr>
    </w:p>
    <w:p w:rsidR="009D3070" w:rsidRPr="0046408C" w:rsidRDefault="009D3070" w:rsidP="009D3070">
      <w:pPr>
        <w:tabs>
          <w:tab w:val="left" w:pos="851"/>
        </w:tabs>
        <w:ind w:left="851"/>
        <w:rPr>
          <w:sz w:val="24"/>
          <w:szCs w:val="24"/>
        </w:rPr>
      </w:pPr>
      <w:r w:rsidRPr="0046408C">
        <w:rPr>
          <w:sz w:val="24"/>
          <w:szCs w:val="24"/>
        </w:rPr>
        <w:t>Der opnås ikke hurtigere eller bedre resultater, selvom lægemidlet påføres i for store mængder, og der kan opstå udtalt rødme, afskalning eller ubehag i huden. I det tilfælde skal behandlingen afbrydes og først genoptages, når huden er bedret.</w:t>
      </w:r>
    </w:p>
    <w:p w:rsidR="009D3070" w:rsidRPr="0046408C" w:rsidRDefault="009D3070" w:rsidP="009D3070">
      <w:pPr>
        <w:tabs>
          <w:tab w:val="left" w:pos="851"/>
        </w:tabs>
        <w:ind w:left="851"/>
        <w:rPr>
          <w:sz w:val="24"/>
          <w:szCs w:val="24"/>
        </w:rPr>
      </w:pPr>
    </w:p>
    <w:p w:rsidR="009D3070" w:rsidRPr="0046408C" w:rsidRDefault="009D3070" w:rsidP="009D3070">
      <w:pPr>
        <w:tabs>
          <w:tab w:val="left" w:pos="851"/>
        </w:tabs>
        <w:ind w:left="851"/>
        <w:rPr>
          <w:sz w:val="24"/>
          <w:szCs w:val="24"/>
        </w:rPr>
      </w:pPr>
      <w:r w:rsidRPr="0046408C">
        <w:rPr>
          <w:sz w:val="24"/>
          <w:szCs w:val="24"/>
        </w:rPr>
        <w:t xml:space="preserve">Relevante symptomatiske foranstaltninger skal iværksættes i tilfælde af utilsigtet indtagelse. Kronisk indtagelse af lægemidlet kan føre til de samme bivirkninger som dem, der er forbundet </w:t>
      </w:r>
      <w:r>
        <w:rPr>
          <w:sz w:val="24"/>
          <w:szCs w:val="24"/>
        </w:rPr>
        <w:t xml:space="preserve">med </w:t>
      </w:r>
      <w:r w:rsidRPr="0046408C">
        <w:rPr>
          <w:sz w:val="24"/>
          <w:szCs w:val="24"/>
        </w:rPr>
        <w:t>for stor oral indtagelse af vitamin A.</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4.10</w:t>
      </w:r>
      <w:r w:rsidRPr="00C84483">
        <w:rPr>
          <w:b/>
          <w:sz w:val="24"/>
          <w:szCs w:val="24"/>
        </w:rPr>
        <w:tab/>
        <w:t>Udlevering</w:t>
      </w:r>
    </w:p>
    <w:p w:rsidR="009D3070" w:rsidRPr="00C84483" w:rsidRDefault="009D3070" w:rsidP="009D3070">
      <w:pPr>
        <w:tabs>
          <w:tab w:val="left" w:pos="851"/>
        </w:tabs>
        <w:ind w:left="851"/>
        <w:rPr>
          <w:sz w:val="24"/>
          <w:szCs w:val="24"/>
        </w:rPr>
      </w:pPr>
      <w:r>
        <w:rPr>
          <w:sz w:val="24"/>
          <w:szCs w:val="24"/>
        </w:rPr>
        <w:t>A</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D3070" w:rsidRPr="00C84483" w:rsidRDefault="009D3070" w:rsidP="009D3070">
      <w:pPr>
        <w:tabs>
          <w:tab w:val="left" w:pos="851"/>
        </w:tabs>
        <w:ind w:left="851"/>
        <w:rPr>
          <w:sz w:val="24"/>
          <w:szCs w:val="24"/>
        </w:rPr>
      </w:pPr>
    </w:p>
    <w:p w:rsidR="009D3070" w:rsidRPr="0046408C" w:rsidRDefault="009D3070" w:rsidP="009D3070">
      <w:pPr>
        <w:tabs>
          <w:tab w:val="left" w:pos="851"/>
        </w:tabs>
        <w:ind w:left="851"/>
        <w:rPr>
          <w:sz w:val="24"/>
          <w:szCs w:val="24"/>
        </w:rPr>
      </w:pPr>
    </w:p>
    <w:p w:rsidR="009D3070" w:rsidRDefault="009D3070" w:rsidP="009D307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D15F4" w:rsidRPr="004D15F4" w:rsidRDefault="004D15F4" w:rsidP="009D3070">
      <w:pPr>
        <w:tabs>
          <w:tab w:val="num" w:pos="851"/>
        </w:tabs>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w:t>
      </w:r>
      <w:r>
        <w:rPr>
          <w:sz w:val="24"/>
          <w:szCs w:val="24"/>
        </w:rPr>
        <w:t xml:space="preserve">: </w:t>
      </w:r>
      <w:proofErr w:type="spellStart"/>
      <w:r>
        <w:rPr>
          <w:sz w:val="24"/>
          <w:szCs w:val="24"/>
        </w:rPr>
        <w:t>Retinoider</w:t>
      </w:r>
      <w:proofErr w:type="spellEnd"/>
      <w:r>
        <w:rPr>
          <w:sz w:val="24"/>
          <w:szCs w:val="24"/>
        </w:rPr>
        <w:t xml:space="preserve"> til udvortes brug mod a</w:t>
      </w:r>
      <w:r>
        <w:rPr>
          <w:sz w:val="24"/>
          <w:szCs w:val="24"/>
        </w:rPr>
        <w:t>k</w:t>
      </w:r>
      <w:r>
        <w:rPr>
          <w:sz w:val="24"/>
          <w:szCs w:val="24"/>
        </w:rPr>
        <w:t>ne.</w:t>
      </w:r>
      <w:r>
        <w:rPr>
          <w:sz w:val="24"/>
          <w:szCs w:val="24"/>
        </w:rPr>
        <w:t xml:space="preserve">, </w:t>
      </w:r>
      <w:r w:rsidRPr="0046408C">
        <w:rPr>
          <w:sz w:val="24"/>
          <w:szCs w:val="24"/>
        </w:rPr>
        <w:t>ATC-kode: D10AD06</w:t>
      </w:r>
    </w:p>
    <w:p w:rsidR="009D3070" w:rsidRPr="00745B20" w:rsidRDefault="009D3070" w:rsidP="009D3070">
      <w:pPr>
        <w:autoSpaceDE w:val="0"/>
        <w:autoSpaceDN w:val="0"/>
        <w:adjustRightInd w:val="0"/>
        <w:ind w:left="851"/>
        <w:rPr>
          <w:b/>
          <w:sz w:val="24"/>
          <w:szCs w:val="24"/>
        </w:rPr>
      </w:pPr>
    </w:p>
    <w:p w:rsidR="009D3070" w:rsidRPr="00745B20" w:rsidRDefault="009D3070" w:rsidP="009D3070">
      <w:pPr>
        <w:autoSpaceDE w:val="0"/>
        <w:autoSpaceDN w:val="0"/>
        <w:adjustRightInd w:val="0"/>
        <w:ind w:left="851"/>
        <w:rPr>
          <w:sz w:val="24"/>
          <w:szCs w:val="24"/>
          <w:u w:val="single"/>
        </w:rPr>
      </w:pPr>
      <w:r w:rsidRPr="00745B20">
        <w:rPr>
          <w:sz w:val="24"/>
          <w:szCs w:val="24"/>
          <w:u w:val="single"/>
        </w:rPr>
        <w:t>Virkningsmekanisme</w:t>
      </w:r>
    </w:p>
    <w:p w:rsidR="009D3070" w:rsidRPr="00745B20" w:rsidRDefault="009D3070" w:rsidP="009D3070">
      <w:pPr>
        <w:ind w:left="851"/>
        <w:rPr>
          <w:noProof/>
          <w:sz w:val="24"/>
          <w:szCs w:val="24"/>
        </w:rPr>
      </w:pPr>
      <w:proofErr w:type="spellStart"/>
      <w:r w:rsidRPr="00745B20">
        <w:rPr>
          <w:sz w:val="24"/>
          <w:szCs w:val="24"/>
        </w:rPr>
        <w:t>Aklief</w:t>
      </w:r>
      <w:proofErr w:type="spellEnd"/>
      <w:r w:rsidRPr="00745B20">
        <w:rPr>
          <w:sz w:val="24"/>
          <w:szCs w:val="24"/>
        </w:rPr>
        <w:t xml:space="preserve"> creme indeholder 50 mikrogram (</w:t>
      </w:r>
      <w:proofErr w:type="spellStart"/>
      <w:r w:rsidRPr="00745B20">
        <w:rPr>
          <w:sz w:val="24"/>
          <w:szCs w:val="24"/>
        </w:rPr>
        <w:t>mikrog</w:t>
      </w:r>
      <w:proofErr w:type="spellEnd"/>
      <w:r w:rsidRPr="00745B20">
        <w:rPr>
          <w:sz w:val="24"/>
          <w:szCs w:val="24"/>
        </w:rPr>
        <w:t xml:space="preserve">/g) (w/w) </w:t>
      </w:r>
      <w:proofErr w:type="spellStart"/>
      <w:r w:rsidRPr="00745B20">
        <w:rPr>
          <w:sz w:val="24"/>
          <w:szCs w:val="24"/>
        </w:rPr>
        <w:t>trifaroten</w:t>
      </w:r>
      <w:proofErr w:type="spellEnd"/>
      <w:r w:rsidRPr="00745B20">
        <w:rPr>
          <w:sz w:val="24"/>
          <w:szCs w:val="24"/>
        </w:rPr>
        <w:t xml:space="preserve">, som er et kemisk stabilt </w:t>
      </w:r>
      <w:proofErr w:type="spellStart"/>
      <w:r w:rsidRPr="00745B20">
        <w:rPr>
          <w:sz w:val="24"/>
          <w:szCs w:val="24"/>
        </w:rPr>
        <w:t>terphenylsyrederivat</w:t>
      </w:r>
      <w:proofErr w:type="spellEnd"/>
      <w:r w:rsidRPr="00745B20">
        <w:rPr>
          <w:sz w:val="24"/>
          <w:szCs w:val="24"/>
        </w:rPr>
        <w:t xml:space="preserve"> med </w:t>
      </w:r>
      <w:proofErr w:type="spellStart"/>
      <w:r w:rsidRPr="00745B20">
        <w:rPr>
          <w:sz w:val="24"/>
          <w:szCs w:val="24"/>
        </w:rPr>
        <w:t>retinoid</w:t>
      </w:r>
      <w:proofErr w:type="spellEnd"/>
      <w:r w:rsidRPr="00745B20">
        <w:rPr>
          <w:sz w:val="24"/>
          <w:szCs w:val="24"/>
        </w:rPr>
        <w:noBreakHyphen/>
        <w:t>lignende aktivitet. Det er en potent RAR</w:t>
      </w:r>
      <w:r w:rsidRPr="00745B20">
        <w:rPr>
          <w:rFonts w:ascii="Symbol" w:hAnsi="Symbol"/>
          <w:sz w:val="24"/>
          <w:szCs w:val="24"/>
        </w:rPr>
        <w:sym w:font="Symbol" w:char="F067"/>
      </w:r>
      <w:r w:rsidRPr="00745B20">
        <w:rPr>
          <w:sz w:val="24"/>
          <w:szCs w:val="24"/>
        </w:rPr>
        <w:t>-agonist (</w:t>
      </w:r>
      <w:proofErr w:type="spellStart"/>
      <w:r w:rsidRPr="00745B20">
        <w:rPr>
          <w:sz w:val="24"/>
          <w:szCs w:val="24"/>
        </w:rPr>
        <w:t>retinoidsyrereceptor</w:t>
      </w:r>
      <w:proofErr w:type="spellEnd"/>
      <w:r w:rsidRPr="00745B20">
        <w:rPr>
          <w:sz w:val="24"/>
          <w:szCs w:val="24"/>
        </w:rPr>
        <w:t>-</w:t>
      </w:r>
      <w:r w:rsidRPr="00745B20">
        <w:rPr>
          <w:rFonts w:ascii="Symbol" w:hAnsi="Symbol"/>
          <w:sz w:val="24"/>
          <w:szCs w:val="24"/>
        </w:rPr>
        <w:sym w:font="Symbol" w:char="F067"/>
      </w:r>
      <w:r w:rsidRPr="00745B20">
        <w:rPr>
          <w:rFonts w:ascii="Symbol" w:hAnsi="Symbol"/>
          <w:sz w:val="24"/>
          <w:szCs w:val="24"/>
        </w:rPr>
        <w:sym w:font="Symbol" w:char="F020"/>
      </w:r>
      <w:r w:rsidRPr="00745B20">
        <w:rPr>
          <w:sz w:val="24"/>
          <w:szCs w:val="24"/>
        </w:rPr>
        <w:t>agonist), som er kendetegnet ved dets høje specificitet for denne receptor i forhold til RAR</w:t>
      </w:r>
      <w:r w:rsidRPr="00745B20">
        <w:rPr>
          <w:rFonts w:ascii="Symbol" w:hAnsi="Symbol"/>
          <w:sz w:val="24"/>
          <w:szCs w:val="24"/>
          <w:vertAlign w:val="subscript"/>
        </w:rPr>
        <w:sym w:font="Symbol" w:char="F061"/>
      </w:r>
      <w:r w:rsidRPr="00745B20">
        <w:rPr>
          <w:sz w:val="24"/>
          <w:szCs w:val="24"/>
        </w:rPr>
        <w:t>og RAR</w:t>
      </w:r>
      <w:r w:rsidRPr="00745B20">
        <w:rPr>
          <w:rFonts w:ascii="Symbol" w:hAnsi="Symbol"/>
          <w:sz w:val="24"/>
          <w:szCs w:val="24"/>
          <w:vertAlign w:val="subscript"/>
        </w:rPr>
        <w:sym w:font="Symbol" w:char="F062"/>
      </w:r>
      <w:r w:rsidRPr="00745B20">
        <w:rPr>
          <w:sz w:val="24"/>
          <w:szCs w:val="24"/>
        </w:rPr>
        <w:t xml:space="preserve"> (henholdsvis 50 og 8 gange uden nogen </w:t>
      </w:r>
      <w:proofErr w:type="spellStart"/>
      <w:r w:rsidRPr="00745B20">
        <w:rPr>
          <w:sz w:val="24"/>
          <w:szCs w:val="24"/>
        </w:rPr>
        <w:t>retinoid</w:t>
      </w:r>
      <w:proofErr w:type="spellEnd"/>
      <w:r w:rsidRPr="00745B20">
        <w:rPr>
          <w:sz w:val="24"/>
          <w:szCs w:val="24"/>
        </w:rPr>
        <w:t xml:space="preserve"> X-receptor (RXR)-aktivitet). </w:t>
      </w:r>
    </w:p>
    <w:p w:rsidR="009D3070" w:rsidRPr="00745B20" w:rsidRDefault="009D3070" w:rsidP="009D3070">
      <w:pPr>
        <w:ind w:left="851"/>
        <w:rPr>
          <w:sz w:val="24"/>
          <w:szCs w:val="24"/>
        </w:rPr>
      </w:pPr>
      <w:r w:rsidRPr="00745B20">
        <w:rPr>
          <w:sz w:val="24"/>
          <w:szCs w:val="24"/>
        </w:rPr>
        <w:t xml:space="preserve">Desuden modulerer </w:t>
      </w:r>
      <w:proofErr w:type="spellStart"/>
      <w:r w:rsidRPr="00745B20">
        <w:rPr>
          <w:sz w:val="24"/>
          <w:szCs w:val="24"/>
        </w:rPr>
        <w:t>trifaroten</w:t>
      </w:r>
      <w:proofErr w:type="spellEnd"/>
      <w:r w:rsidRPr="00745B20">
        <w:rPr>
          <w:sz w:val="24"/>
          <w:szCs w:val="24"/>
        </w:rPr>
        <w:t xml:space="preserve"> </w:t>
      </w:r>
      <w:proofErr w:type="spellStart"/>
      <w:r w:rsidRPr="00745B20">
        <w:rPr>
          <w:sz w:val="24"/>
          <w:szCs w:val="24"/>
        </w:rPr>
        <w:t>retinoide</w:t>
      </w:r>
      <w:proofErr w:type="spellEnd"/>
      <w:r w:rsidRPr="00745B20">
        <w:rPr>
          <w:sz w:val="24"/>
          <w:szCs w:val="24"/>
        </w:rPr>
        <w:t xml:space="preserve"> målgener (differentieringsprocesser og inflammatoriske processer) i immortaliserede </w:t>
      </w:r>
      <w:proofErr w:type="spellStart"/>
      <w:r w:rsidRPr="00745B20">
        <w:rPr>
          <w:sz w:val="24"/>
          <w:szCs w:val="24"/>
        </w:rPr>
        <w:t>keratinocytter</w:t>
      </w:r>
      <w:proofErr w:type="spellEnd"/>
      <w:r w:rsidRPr="00745B20">
        <w:rPr>
          <w:sz w:val="24"/>
          <w:szCs w:val="24"/>
        </w:rPr>
        <w:t xml:space="preserve"> og rekonstrueret epidermis.</w:t>
      </w:r>
    </w:p>
    <w:p w:rsidR="009D3070" w:rsidRPr="00745B20" w:rsidRDefault="009D3070" w:rsidP="009D3070">
      <w:pPr>
        <w:ind w:left="851"/>
        <w:rPr>
          <w:sz w:val="24"/>
          <w:szCs w:val="24"/>
        </w:rPr>
      </w:pPr>
    </w:p>
    <w:p w:rsidR="009D3070" w:rsidRPr="00745B20" w:rsidRDefault="009D3070" w:rsidP="009D3070">
      <w:pPr>
        <w:autoSpaceDE w:val="0"/>
        <w:autoSpaceDN w:val="0"/>
        <w:adjustRightInd w:val="0"/>
        <w:ind w:left="851"/>
        <w:rPr>
          <w:sz w:val="24"/>
          <w:szCs w:val="24"/>
          <w:u w:val="single"/>
        </w:rPr>
      </w:pPr>
      <w:proofErr w:type="spellStart"/>
      <w:r w:rsidRPr="00745B20">
        <w:rPr>
          <w:sz w:val="24"/>
          <w:szCs w:val="24"/>
          <w:u w:val="single"/>
        </w:rPr>
        <w:t>Farmakodynamisk</w:t>
      </w:r>
      <w:proofErr w:type="spellEnd"/>
      <w:r w:rsidRPr="00745B20">
        <w:rPr>
          <w:sz w:val="24"/>
          <w:szCs w:val="24"/>
          <w:u w:val="single"/>
        </w:rPr>
        <w:t xml:space="preserve"> virkning</w:t>
      </w:r>
    </w:p>
    <w:p w:rsidR="009D3070" w:rsidRPr="00745B20" w:rsidRDefault="009D3070" w:rsidP="009D3070">
      <w:pPr>
        <w:ind w:left="851"/>
        <w:rPr>
          <w:noProof/>
          <w:sz w:val="24"/>
          <w:szCs w:val="24"/>
        </w:rPr>
      </w:pPr>
      <w:r w:rsidRPr="00745B20">
        <w:rPr>
          <w:sz w:val="24"/>
          <w:szCs w:val="24"/>
        </w:rPr>
        <w:t xml:space="preserve">I en model af </w:t>
      </w:r>
      <w:proofErr w:type="spellStart"/>
      <w:r w:rsidRPr="00745B20">
        <w:rPr>
          <w:sz w:val="24"/>
          <w:szCs w:val="24"/>
        </w:rPr>
        <w:t>rhino</w:t>
      </w:r>
      <w:proofErr w:type="spellEnd"/>
      <w:r w:rsidRPr="00745B20">
        <w:rPr>
          <w:sz w:val="24"/>
          <w:szCs w:val="24"/>
        </w:rPr>
        <w:t xml:space="preserve">-mus har </w:t>
      </w:r>
      <w:proofErr w:type="spellStart"/>
      <w:r w:rsidRPr="00745B20">
        <w:rPr>
          <w:sz w:val="24"/>
          <w:szCs w:val="24"/>
        </w:rPr>
        <w:t>trifaroten</w:t>
      </w:r>
      <w:proofErr w:type="spellEnd"/>
      <w:r w:rsidRPr="00745B20">
        <w:rPr>
          <w:sz w:val="24"/>
          <w:szCs w:val="24"/>
        </w:rPr>
        <w:t xml:space="preserve"> udvist udtalt </w:t>
      </w:r>
      <w:proofErr w:type="spellStart"/>
      <w:r w:rsidRPr="00745B20">
        <w:rPr>
          <w:sz w:val="24"/>
          <w:szCs w:val="24"/>
        </w:rPr>
        <w:t>komedolytisk</w:t>
      </w:r>
      <w:proofErr w:type="spellEnd"/>
      <w:r w:rsidRPr="00745B20">
        <w:rPr>
          <w:sz w:val="24"/>
          <w:szCs w:val="24"/>
        </w:rPr>
        <w:t xml:space="preserve"> aktivitet med fald i </w:t>
      </w:r>
      <w:proofErr w:type="spellStart"/>
      <w:r w:rsidRPr="00745B20">
        <w:rPr>
          <w:sz w:val="24"/>
          <w:szCs w:val="24"/>
        </w:rPr>
        <w:t>komedontal</w:t>
      </w:r>
      <w:proofErr w:type="spellEnd"/>
      <w:r w:rsidRPr="00745B20">
        <w:rPr>
          <w:sz w:val="24"/>
          <w:szCs w:val="24"/>
        </w:rPr>
        <w:t xml:space="preserve"> og markant øget tykkelse af epidermis. I denne model gav </w:t>
      </w:r>
      <w:proofErr w:type="spellStart"/>
      <w:r w:rsidRPr="00745B20">
        <w:rPr>
          <w:sz w:val="24"/>
          <w:szCs w:val="24"/>
        </w:rPr>
        <w:t>trifaroten</w:t>
      </w:r>
      <w:proofErr w:type="spellEnd"/>
      <w:r w:rsidRPr="00745B20">
        <w:rPr>
          <w:sz w:val="24"/>
          <w:szCs w:val="24"/>
        </w:rPr>
        <w:t xml:space="preserve"> den samme </w:t>
      </w:r>
      <w:proofErr w:type="spellStart"/>
      <w:r w:rsidRPr="00745B20">
        <w:rPr>
          <w:sz w:val="24"/>
          <w:szCs w:val="24"/>
        </w:rPr>
        <w:t>komedolytiske</w:t>
      </w:r>
      <w:proofErr w:type="spellEnd"/>
      <w:r w:rsidRPr="00745B20">
        <w:rPr>
          <w:sz w:val="24"/>
          <w:szCs w:val="24"/>
        </w:rPr>
        <w:t xml:space="preserve"> virkning som andre kendte </w:t>
      </w:r>
      <w:proofErr w:type="spellStart"/>
      <w:r w:rsidRPr="00745B20">
        <w:rPr>
          <w:sz w:val="24"/>
          <w:szCs w:val="24"/>
        </w:rPr>
        <w:t>retinoider</w:t>
      </w:r>
      <w:proofErr w:type="spellEnd"/>
      <w:r w:rsidRPr="00745B20">
        <w:rPr>
          <w:sz w:val="24"/>
          <w:szCs w:val="24"/>
        </w:rPr>
        <w:t xml:space="preserve"> ved en dosis, som var cirka 10 gange lavere.</w:t>
      </w:r>
    </w:p>
    <w:p w:rsidR="009D3070" w:rsidRPr="00745B20" w:rsidRDefault="009D3070" w:rsidP="009D3070">
      <w:pPr>
        <w:ind w:left="851"/>
        <w:rPr>
          <w:noProof/>
          <w:sz w:val="24"/>
          <w:szCs w:val="24"/>
        </w:rPr>
      </w:pPr>
    </w:p>
    <w:p w:rsidR="009D3070" w:rsidRPr="00745B20" w:rsidRDefault="009D3070" w:rsidP="009D3070">
      <w:pPr>
        <w:ind w:left="851"/>
        <w:rPr>
          <w:noProof/>
          <w:sz w:val="24"/>
          <w:szCs w:val="24"/>
        </w:rPr>
      </w:pPr>
      <w:proofErr w:type="spellStart"/>
      <w:r w:rsidRPr="00745B20">
        <w:rPr>
          <w:sz w:val="24"/>
          <w:szCs w:val="24"/>
        </w:rPr>
        <w:t>Trifaroten</w:t>
      </w:r>
      <w:proofErr w:type="spellEnd"/>
      <w:r w:rsidRPr="00745B20">
        <w:rPr>
          <w:sz w:val="24"/>
          <w:szCs w:val="24"/>
        </w:rPr>
        <w:t xml:space="preserve"> har desuden udvist antiinflammatoriske og </w:t>
      </w:r>
      <w:proofErr w:type="spellStart"/>
      <w:r w:rsidRPr="00745B20">
        <w:rPr>
          <w:sz w:val="24"/>
          <w:szCs w:val="24"/>
        </w:rPr>
        <w:t>afpigmenterende</w:t>
      </w:r>
      <w:proofErr w:type="spellEnd"/>
      <w:r w:rsidRPr="00745B20">
        <w:rPr>
          <w:sz w:val="24"/>
          <w:szCs w:val="24"/>
        </w:rPr>
        <w:t xml:space="preserve"> aktiviteter.</w:t>
      </w:r>
    </w:p>
    <w:p w:rsidR="009D3070" w:rsidRPr="00745B20" w:rsidRDefault="009D3070" w:rsidP="009D3070">
      <w:pPr>
        <w:autoSpaceDE w:val="0"/>
        <w:autoSpaceDN w:val="0"/>
        <w:adjustRightInd w:val="0"/>
        <w:ind w:left="851"/>
        <w:rPr>
          <w:sz w:val="24"/>
          <w:szCs w:val="24"/>
        </w:rPr>
      </w:pPr>
    </w:p>
    <w:p w:rsidR="009D3070" w:rsidRPr="00745B20" w:rsidRDefault="009D3070" w:rsidP="009D3070">
      <w:pPr>
        <w:keepNext/>
        <w:autoSpaceDE w:val="0"/>
        <w:autoSpaceDN w:val="0"/>
        <w:adjustRightInd w:val="0"/>
        <w:ind w:left="851"/>
        <w:rPr>
          <w:sz w:val="24"/>
          <w:szCs w:val="24"/>
          <w:u w:val="single"/>
        </w:rPr>
      </w:pPr>
      <w:r w:rsidRPr="00745B20">
        <w:rPr>
          <w:sz w:val="24"/>
          <w:szCs w:val="24"/>
          <w:u w:val="single"/>
        </w:rPr>
        <w:t>Klinisk virkning og sikkerhed</w:t>
      </w:r>
    </w:p>
    <w:p w:rsidR="009D3070" w:rsidRPr="00745B20" w:rsidRDefault="009D3070" w:rsidP="009D3070">
      <w:pPr>
        <w:ind w:left="851"/>
        <w:rPr>
          <w:noProof/>
          <w:sz w:val="24"/>
          <w:szCs w:val="24"/>
        </w:rPr>
      </w:pPr>
      <w:proofErr w:type="spellStart"/>
      <w:r w:rsidRPr="00745B20">
        <w:rPr>
          <w:sz w:val="24"/>
          <w:szCs w:val="24"/>
        </w:rPr>
        <w:t>Aklief</w:t>
      </w:r>
      <w:proofErr w:type="spellEnd"/>
      <w:r w:rsidRPr="00745B20">
        <w:rPr>
          <w:sz w:val="24"/>
          <w:szCs w:val="24"/>
        </w:rPr>
        <w:t xml:space="preserve"> creme påført </w:t>
      </w:r>
      <w:r>
        <w:rPr>
          <w:sz w:val="24"/>
          <w:szCs w:val="24"/>
        </w:rPr>
        <w:t>en</w:t>
      </w:r>
      <w:r w:rsidRPr="00745B20">
        <w:rPr>
          <w:sz w:val="24"/>
          <w:szCs w:val="24"/>
        </w:rPr>
        <w:t xml:space="preserve"> gang </w:t>
      </w:r>
      <w:r>
        <w:rPr>
          <w:sz w:val="24"/>
          <w:szCs w:val="24"/>
        </w:rPr>
        <w:t>daglig</w:t>
      </w:r>
      <w:r w:rsidRPr="00745B20">
        <w:rPr>
          <w:sz w:val="24"/>
          <w:szCs w:val="24"/>
        </w:rPr>
        <w:t xml:space="preserve"> om aftenen blev evalueret i 12 uger i to randomiserede, dobbeltblinde, vehikelkontrollerede multicenterstudier i parallelgrupper med samme design.</w:t>
      </w:r>
      <w:r>
        <w:rPr>
          <w:sz w:val="24"/>
          <w:szCs w:val="24"/>
        </w:rPr>
        <w:t xml:space="preserve"> </w:t>
      </w:r>
      <w:r w:rsidRPr="00745B20">
        <w:rPr>
          <w:sz w:val="24"/>
          <w:szCs w:val="24"/>
        </w:rPr>
        <w:t xml:space="preserve">De blev gennemført med i alt 2.420 patienter i alderen 9 år og ældre med moderat </w:t>
      </w:r>
      <w:proofErr w:type="spellStart"/>
      <w:r w:rsidRPr="00745B20">
        <w:rPr>
          <w:sz w:val="24"/>
          <w:szCs w:val="24"/>
        </w:rPr>
        <w:t>acne</w:t>
      </w:r>
      <w:proofErr w:type="spellEnd"/>
      <w:r w:rsidRPr="00745B20">
        <w:rPr>
          <w:sz w:val="24"/>
          <w:szCs w:val="24"/>
        </w:rPr>
        <w:t xml:space="preserve"> </w:t>
      </w:r>
      <w:proofErr w:type="spellStart"/>
      <w:r w:rsidRPr="00745B20">
        <w:rPr>
          <w:sz w:val="24"/>
          <w:szCs w:val="24"/>
        </w:rPr>
        <w:t>vulgaris</w:t>
      </w:r>
      <w:proofErr w:type="spellEnd"/>
      <w:r w:rsidRPr="00745B20">
        <w:rPr>
          <w:sz w:val="24"/>
          <w:szCs w:val="24"/>
        </w:rPr>
        <w:t xml:space="preserve"> i ansigtet og på </w:t>
      </w:r>
      <w:proofErr w:type="spellStart"/>
      <w:r w:rsidRPr="00745B20">
        <w:rPr>
          <w:sz w:val="24"/>
          <w:szCs w:val="24"/>
        </w:rPr>
        <w:t>truncus</w:t>
      </w:r>
      <w:proofErr w:type="spellEnd"/>
      <w:r w:rsidRPr="00745B20">
        <w:rPr>
          <w:sz w:val="24"/>
          <w:szCs w:val="24"/>
        </w:rPr>
        <w:t>.</w:t>
      </w:r>
    </w:p>
    <w:p w:rsidR="009D3070" w:rsidRPr="00745B20" w:rsidRDefault="009D3070" w:rsidP="009D3070">
      <w:pPr>
        <w:ind w:left="851"/>
        <w:rPr>
          <w:noProof/>
          <w:sz w:val="24"/>
          <w:szCs w:val="24"/>
        </w:rPr>
      </w:pPr>
    </w:p>
    <w:p w:rsidR="009D3070" w:rsidRPr="00745B20" w:rsidRDefault="009D3070" w:rsidP="009D3070">
      <w:pPr>
        <w:ind w:left="851"/>
        <w:rPr>
          <w:sz w:val="24"/>
          <w:szCs w:val="24"/>
        </w:rPr>
      </w:pPr>
      <w:r w:rsidRPr="00745B20">
        <w:rPr>
          <w:sz w:val="24"/>
          <w:szCs w:val="24"/>
        </w:rPr>
        <w:t xml:space="preserve">Sværhedsgraden af akne blev evalueret ved hjælp af 5-point-skalaen </w:t>
      </w:r>
      <w:proofErr w:type="spellStart"/>
      <w:r w:rsidRPr="00745B20">
        <w:rPr>
          <w:sz w:val="24"/>
          <w:szCs w:val="24"/>
        </w:rPr>
        <w:t>Investigator’s</w:t>
      </w:r>
      <w:proofErr w:type="spellEnd"/>
      <w:r w:rsidRPr="00745B20">
        <w:rPr>
          <w:sz w:val="24"/>
          <w:szCs w:val="24"/>
        </w:rPr>
        <w:t xml:space="preserve"> Global </w:t>
      </w:r>
      <w:proofErr w:type="spellStart"/>
      <w:r w:rsidRPr="00745B20">
        <w:rPr>
          <w:sz w:val="24"/>
          <w:szCs w:val="24"/>
        </w:rPr>
        <w:t>Assessment</w:t>
      </w:r>
      <w:proofErr w:type="spellEnd"/>
      <w:r w:rsidRPr="00745B20">
        <w:rPr>
          <w:sz w:val="24"/>
          <w:szCs w:val="24"/>
        </w:rPr>
        <w:t xml:space="preserve"> (IGA) for ansigtet og skalaen </w:t>
      </w:r>
      <w:proofErr w:type="spellStart"/>
      <w:r w:rsidRPr="00745B20">
        <w:rPr>
          <w:sz w:val="24"/>
          <w:szCs w:val="24"/>
        </w:rPr>
        <w:t>Physician’s</w:t>
      </w:r>
      <w:proofErr w:type="spellEnd"/>
      <w:r w:rsidRPr="00745B20">
        <w:rPr>
          <w:sz w:val="24"/>
          <w:szCs w:val="24"/>
        </w:rPr>
        <w:t xml:space="preserve"> Global </w:t>
      </w:r>
      <w:proofErr w:type="spellStart"/>
      <w:r w:rsidRPr="00745B20">
        <w:rPr>
          <w:sz w:val="24"/>
          <w:szCs w:val="24"/>
        </w:rPr>
        <w:t>Assessment</w:t>
      </w:r>
      <w:proofErr w:type="spellEnd"/>
      <w:r w:rsidRPr="00745B20">
        <w:rPr>
          <w:sz w:val="24"/>
          <w:szCs w:val="24"/>
        </w:rPr>
        <w:t xml:space="preserve"> (PGA) for </w:t>
      </w:r>
      <w:proofErr w:type="spellStart"/>
      <w:r w:rsidRPr="00745B20">
        <w:rPr>
          <w:sz w:val="24"/>
          <w:szCs w:val="24"/>
        </w:rPr>
        <w:t>truncus</w:t>
      </w:r>
      <w:proofErr w:type="spellEnd"/>
      <w:r w:rsidRPr="00745B20">
        <w:rPr>
          <w:sz w:val="24"/>
          <w:szCs w:val="24"/>
        </w:rPr>
        <w:t xml:space="preserve">, hvor moderat </w:t>
      </w:r>
      <w:proofErr w:type="spellStart"/>
      <w:r w:rsidRPr="00745B20">
        <w:rPr>
          <w:sz w:val="24"/>
          <w:szCs w:val="24"/>
        </w:rPr>
        <w:t>acne</w:t>
      </w:r>
      <w:proofErr w:type="spellEnd"/>
      <w:r w:rsidRPr="00745B20">
        <w:rPr>
          <w:sz w:val="24"/>
          <w:szCs w:val="24"/>
        </w:rPr>
        <w:t xml:space="preserve"> </w:t>
      </w:r>
      <w:proofErr w:type="spellStart"/>
      <w:r w:rsidRPr="00745B20">
        <w:rPr>
          <w:sz w:val="24"/>
          <w:szCs w:val="24"/>
        </w:rPr>
        <w:t>vulgaris</w:t>
      </w:r>
      <w:proofErr w:type="spellEnd"/>
      <w:r w:rsidRPr="00745B20">
        <w:rPr>
          <w:sz w:val="24"/>
          <w:szCs w:val="24"/>
        </w:rPr>
        <w:t xml:space="preserve"> er defineret som en score på trin 3-moderat (se tabel 2). </w:t>
      </w:r>
    </w:p>
    <w:p w:rsidR="009D3070" w:rsidRPr="0049759D" w:rsidRDefault="009D3070" w:rsidP="009D3070">
      <w:pPr>
        <w:ind w:left="851"/>
        <w:rPr>
          <w:sz w:val="24"/>
          <w:szCs w:val="24"/>
        </w:rPr>
      </w:pPr>
    </w:p>
    <w:p w:rsidR="009D3070" w:rsidRPr="0049759D" w:rsidRDefault="009D3070" w:rsidP="009D3070">
      <w:pPr>
        <w:pStyle w:val="Billedtekst"/>
        <w:spacing w:before="0" w:after="0"/>
        <w:ind w:left="993" w:hanging="993"/>
        <w:jc w:val="both"/>
        <w:rPr>
          <w:szCs w:val="24"/>
        </w:rPr>
      </w:pPr>
      <w:r w:rsidRPr="0049759D">
        <w:rPr>
          <w:szCs w:val="24"/>
        </w:rPr>
        <w:t>Tabel 2</w:t>
      </w:r>
      <w:r w:rsidRPr="0049759D">
        <w:rPr>
          <w:szCs w:val="24"/>
        </w:rPr>
        <w:tab/>
      </w:r>
      <w:proofErr w:type="spellStart"/>
      <w:r w:rsidRPr="0049759D">
        <w:rPr>
          <w:szCs w:val="24"/>
        </w:rPr>
        <w:t>Investigator’s</w:t>
      </w:r>
      <w:proofErr w:type="spellEnd"/>
      <w:r w:rsidRPr="0049759D">
        <w:rPr>
          <w:szCs w:val="24"/>
        </w:rPr>
        <w:t xml:space="preserve"> Global </w:t>
      </w:r>
      <w:proofErr w:type="spellStart"/>
      <w:r w:rsidRPr="0049759D">
        <w:rPr>
          <w:szCs w:val="24"/>
        </w:rPr>
        <w:t>Assessment</w:t>
      </w:r>
      <w:proofErr w:type="spellEnd"/>
      <w:r w:rsidRPr="0049759D">
        <w:rPr>
          <w:szCs w:val="24"/>
        </w:rPr>
        <w:t xml:space="preserve"> og </w:t>
      </w:r>
      <w:proofErr w:type="spellStart"/>
      <w:r w:rsidRPr="0049759D">
        <w:rPr>
          <w:szCs w:val="24"/>
        </w:rPr>
        <w:t>Physician’s</w:t>
      </w:r>
      <w:proofErr w:type="spellEnd"/>
      <w:r w:rsidRPr="0049759D">
        <w:rPr>
          <w:szCs w:val="24"/>
        </w:rPr>
        <w:t xml:space="preserve"> Global </w:t>
      </w:r>
      <w:proofErr w:type="spellStart"/>
      <w:r w:rsidRPr="0049759D">
        <w:rPr>
          <w:szCs w:val="24"/>
        </w:rPr>
        <w:t>Assessment</w:t>
      </w:r>
      <w:proofErr w:type="spellEnd"/>
    </w:p>
    <w:p w:rsidR="009D3070" w:rsidRPr="0049759D" w:rsidRDefault="009D3070" w:rsidP="009D3070">
      <w:pPr>
        <w:rPr>
          <w:noProof/>
          <w:sz w:val="24"/>
          <w:szCs w:val="24"/>
          <w:lang w:val="en-U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1"/>
        <w:gridCol w:w="1951"/>
        <w:gridCol w:w="7106"/>
      </w:tblGrid>
      <w:tr w:rsidR="009D3070" w:rsidTr="00842CE2">
        <w:tc>
          <w:tcPr>
            <w:tcW w:w="407"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0</w:t>
            </w:r>
          </w:p>
        </w:tc>
        <w:tc>
          <w:tcPr>
            <w:tcW w:w="1441" w:type="dxa"/>
            <w:shd w:val="clear" w:color="auto" w:fill="auto"/>
          </w:tcPr>
          <w:p w:rsidR="009D3070" w:rsidRPr="00B75AE0" w:rsidRDefault="009D3070" w:rsidP="00842CE2">
            <w:pPr>
              <w:keepNext/>
              <w:tabs>
                <w:tab w:val="left" w:pos="284"/>
              </w:tabs>
              <w:suppressAutoHyphens/>
              <w:rPr>
                <w:rFonts w:eastAsia="MS Mincho"/>
                <w:color w:val="000000"/>
                <w:szCs w:val="22"/>
              </w:rPr>
            </w:pPr>
            <w:proofErr w:type="spellStart"/>
            <w:r w:rsidRPr="00B75AE0">
              <w:rPr>
                <w:rFonts w:eastAsia="MS Mincho"/>
                <w:color w:val="000000"/>
                <w:szCs w:val="22"/>
              </w:rPr>
              <w:t>Ophelet</w:t>
            </w:r>
            <w:proofErr w:type="spellEnd"/>
          </w:p>
        </w:tc>
        <w:tc>
          <w:tcPr>
            <w:tcW w:w="5249"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Ren hud uden inflammatoriske eller noninflammatoriske læsioner.</w:t>
            </w:r>
          </w:p>
        </w:tc>
      </w:tr>
      <w:tr w:rsidR="009D3070" w:rsidTr="00842CE2">
        <w:tc>
          <w:tcPr>
            <w:tcW w:w="407"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1</w:t>
            </w:r>
          </w:p>
        </w:tc>
        <w:tc>
          <w:tcPr>
            <w:tcW w:w="1441"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 xml:space="preserve">Næsten </w:t>
            </w:r>
            <w:proofErr w:type="spellStart"/>
            <w:r w:rsidRPr="00B75AE0">
              <w:rPr>
                <w:rFonts w:eastAsia="MS Mincho"/>
                <w:color w:val="000000"/>
                <w:szCs w:val="22"/>
              </w:rPr>
              <w:t>ophelet</w:t>
            </w:r>
            <w:proofErr w:type="spellEnd"/>
          </w:p>
        </w:tc>
        <w:tc>
          <w:tcPr>
            <w:tcW w:w="5249"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 xml:space="preserve">Få spredte </w:t>
            </w:r>
            <w:proofErr w:type="spellStart"/>
            <w:r w:rsidRPr="00B75AE0">
              <w:rPr>
                <w:rFonts w:eastAsia="MS Mincho"/>
                <w:color w:val="000000"/>
                <w:szCs w:val="22"/>
              </w:rPr>
              <w:t>komedoner</w:t>
            </w:r>
            <w:proofErr w:type="spellEnd"/>
            <w:r w:rsidRPr="00B75AE0">
              <w:rPr>
                <w:rFonts w:eastAsia="MS Mincho"/>
                <w:color w:val="000000"/>
                <w:szCs w:val="22"/>
              </w:rPr>
              <w:t xml:space="preserve"> og få små </w:t>
            </w:r>
            <w:proofErr w:type="spellStart"/>
            <w:r w:rsidRPr="00B75AE0">
              <w:rPr>
                <w:rFonts w:eastAsia="MS Mincho"/>
                <w:color w:val="000000"/>
                <w:szCs w:val="22"/>
              </w:rPr>
              <w:t>papler</w:t>
            </w:r>
            <w:proofErr w:type="spellEnd"/>
            <w:r w:rsidRPr="00B75AE0">
              <w:rPr>
                <w:rFonts w:eastAsia="MS Mincho"/>
                <w:color w:val="000000"/>
                <w:szCs w:val="22"/>
              </w:rPr>
              <w:t>.</w:t>
            </w:r>
          </w:p>
        </w:tc>
      </w:tr>
      <w:tr w:rsidR="009D3070" w:rsidTr="00842CE2">
        <w:tc>
          <w:tcPr>
            <w:tcW w:w="407"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2</w:t>
            </w:r>
          </w:p>
        </w:tc>
        <w:tc>
          <w:tcPr>
            <w:tcW w:w="1441"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Mild</w:t>
            </w:r>
          </w:p>
        </w:tc>
        <w:tc>
          <w:tcPr>
            <w:tcW w:w="5249"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 xml:space="preserve">Let genkendelig; mindre end halvdelen af overfladen er ramt. Nogle </w:t>
            </w:r>
            <w:proofErr w:type="spellStart"/>
            <w:r w:rsidRPr="00B75AE0">
              <w:rPr>
                <w:rFonts w:eastAsia="MS Mincho"/>
                <w:color w:val="000000"/>
                <w:szCs w:val="22"/>
              </w:rPr>
              <w:t>komedoner</w:t>
            </w:r>
            <w:proofErr w:type="spellEnd"/>
            <w:r w:rsidRPr="00B75AE0">
              <w:rPr>
                <w:rFonts w:eastAsia="MS Mincho"/>
                <w:color w:val="000000"/>
                <w:szCs w:val="22"/>
              </w:rPr>
              <w:t xml:space="preserve"> og nogle </w:t>
            </w:r>
            <w:proofErr w:type="spellStart"/>
            <w:r w:rsidRPr="00B75AE0">
              <w:rPr>
                <w:rFonts w:eastAsia="MS Mincho"/>
                <w:color w:val="000000"/>
                <w:szCs w:val="22"/>
              </w:rPr>
              <w:t>papler</w:t>
            </w:r>
            <w:proofErr w:type="spellEnd"/>
            <w:r w:rsidRPr="00B75AE0">
              <w:rPr>
                <w:rFonts w:eastAsia="MS Mincho"/>
                <w:color w:val="000000"/>
                <w:szCs w:val="22"/>
              </w:rPr>
              <w:t xml:space="preserve"> og pustler.</w:t>
            </w:r>
          </w:p>
        </w:tc>
      </w:tr>
      <w:tr w:rsidR="009D3070" w:rsidTr="00842CE2">
        <w:tc>
          <w:tcPr>
            <w:tcW w:w="407"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3</w:t>
            </w:r>
          </w:p>
        </w:tc>
        <w:tc>
          <w:tcPr>
            <w:tcW w:w="1441"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Moderat</w:t>
            </w:r>
          </w:p>
        </w:tc>
        <w:tc>
          <w:tcPr>
            <w:tcW w:w="5249" w:type="dxa"/>
            <w:shd w:val="clear" w:color="auto" w:fill="auto"/>
          </w:tcPr>
          <w:p w:rsidR="009D3070" w:rsidRPr="00B75AE0" w:rsidRDefault="009D3070" w:rsidP="00842CE2">
            <w:pPr>
              <w:keepNext/>
              <w:tabs>
                <w:tab w:val="left" w:pos="284"/>
              </w:tabs>
              <w:suppressAutoHyphens/>
              <w:rPr>
                <w:rFonts w:eastAsia="MS Mincho"/>
                <w:color w:val="000000"/>
                <w:szCs w:val="22"/>
              </w:rPr>
            </w:pPr>
            <w:r w:rsidRPr="00B75AE0">
              <w:rPr>
                <w:rFonts w:eastAsia="MS Mincho"/>
                <w:color w:val="000000"/>
                <w:szCs w:val="22"/>
              </w:rPr>
              <w:t xml:space="preserve">Mere end halvdelen af overfladen er ramt. Mange </w:t>
            </w:r>
            <w:proofErr w:type="spellStart"/>
            <w:r w:rsidRPr="00B75AE0">
              <w:rPr>
                <w:rFonts w:eastAsia="MS Mincho"/>
                <w:color w:val="000000"/>
                <w:szCs w:val="22"/>
              </w:rPr>
              <w:t>komedoner</w:t>
            </w:r>
            <w:proofErr w:type="spellEnd"/>
            <w:r w:rsidRPr="00B75AE0">
              <w:rPr>
                <w:rFonts w:eastAsia="MS Mincho"/>
                <w:color w:val="000000"/>
                <w:szCs w:val="22"/>
              </w:rPr>
              <w:t xml:space="preserve">, </w:t>
            </w:r>
            <w:proofErr w:type="spellStart"/>
            <w:r w:rsidRPr="00B75AE0">
              <w:rPr>
                <w:rFonts w:eastAsia="MS Mincho"/>
                <w:color w:val="000000"/>
                <w:szCs w:val="22"/>
              </w:rPr>
              <w:t>papler</w:t>
            </w:r>
            <w:proofErr w:type="spellEnd"/>
            <w:r w:rsidRPr="00B75AE0">
              <w:rPr>
                <w:rFonts w:eastAsia="MS Mincho"/>
                <w:color w:val="000000"/>
                <w:szCs w:val="22"/>
              </w:rPr>
              <w:t xml:space="preserve"> og pustler. Der kan være en enkelt knude.</w:t>
            </w:r>
          </w:p>
        </w:tc>
      </w:tr>
      <w:tr w:rsidR="009D3070" w:rsidTr="00842CE2">
        <w:tc>
          <w:tcPr>
            <w:tcW w:w="407" w:type="dxa"/>
            <w:shd w:val="clear" w:color="auto" w:fill="auto"/>
          </w:tcPr>
          <w:p w:rsidR="009D3070" w:rsidRPr="00B75AE0" w:rsidRDefault="009D3070" w:rsidP="00842CE2">
            <w:pPr>
              <w:tabs>
                <w:tab w:val="left" w:pos="284"/>
              </w:tabs>
              <w:suppressAutoHyphens/>
              <w:rPr>
                <w:rFonts w:eastAsia="MS Mincho"/>
                <w:color w:val="000000"/>
                <w:szCs w:val="22"/>
              </w:rPr>
            </w:pPr>
            <w:r w:rsidRPr="00B75AE0">
              <w:rPr>
                <w:rFonts w:eastAsia="MS Mincho"/>
                <w:color w:val="000000"/>
                <w:szCs w:val="22"/>
              </w:rPr>
              <w:t>4</w:t>
            </w:r>
          </w:p>
        </w:tc>
        <w:tc>
          <w:tcPr>
            <w:tcW w:w="1441" w:type="dxa"/>
            <w:shd w:val="clear" w:color="auto" w:fill="auto"/>
          </w:tcPr>
          <w:p w:rsidR="009D3070" w:rsidRPr="00B75AE0" w:rsidRDefault="009D3070" w:rsidP="00842CE2">
            <w:pPr>
              <w:tabs>
                <w:tab w:val="left" w:pos="284"/>
              </w:tabs>
              <w:suppressAutoHyphens/>
              <w:rPr>
                <w:rFonts w:eastAsia="MS Mincho"/>
                <w:color w:val="000000"/>
                <w:szCs w:val="22"/>
              </w:rPr>
            </w:pPr>
            <w:r w:rsidRPr="00B75AE0">
              <w:rPr>
                <w:rFonts w:eastAsia="MS Mincho"/>
                <w:color w:val="000000"/>
                <w:szCs w:val="22"/>
              </w:rPr>
              <w:t>Svær</w:t>
            </w:r>
          </w:p>
        </w:tc>
        <w:tc>
          <w:tcPr>
            <w:tcW w:w="5249" w:type="dxa"/>
            <w:shd w:val="clear" w:color="auto" w:fill="auto"/>
          </w:tcPr>
          <w:p w:rsidR="009D3070" w:rsidRPr="00B75AE0" w:rsidRDefault="009D3070" w:rsidP="00842CE2">
            <w:pPr>
              <w:tabs>
                <w:tab w:val="left" w:pos="284"/>
              </w:tabs>
              <w:suppressAutoHyphens/>
              <w:rPr>
                <w:rFonts w:eastAsia="MS Mincho"/>
                <w:color w:val="000000"/>
                <w:szCs w:val="22"/>
              </w:rPr>
            </w:pPr>
            <w:r w:rsidRPr="00B75AE0">
              <w:rPr>
                <w:rFonts w:eastAsia="MS Mincho"/>
                <w:color w:val="000000"/>
                <w:szCs w:val="22"/>
              </w:rPr>
              <w:t xml:space="preserve">Hele overfladen er ramt. Dækket med </w:t>
            </w:r>
            <w:proofErr w:type="spellStart"/>
            <w:r w:rsidRPr="00B75AE0">
              <w:rPr>
                <w:rFonts w:eastAsia="MS Mincho"/>
                <w:color w:val="000000"/>
                <w:szCs w:val="22"/>
              </w:rPr>
              <w:t>komedoner</w:t>
            </w:r>
            <w:proofErr w:type="spellEnd"/>
            <w:r w:rsidRPr="00B75AE0">
              <w:rPr>
                <w:rFonts w:eastAsia="MS Mincho"/>
                <w:color w:val="000000"/>
                <w:szCs w:val="22"/>
              </w:rPr>
              <w:t xml:space="preserve">, adskillige </w:t>
            </w:r>
            <w:proofErr w:type="spellStart"/>
            <w:r w:rsidRPr="00B75AE0">
              <w:rPr>
                <w:rFonts w:eastAsia="MS Mincho"/>
                <w:color w:val="000000"/>
                <w:szCs w:val="22"/>
              </w:rPr>
              <w:t>papler</w:t>
            </w:r>
            <w:proofErr w:type="spellEnd"/>
            <w:r w:rsidRPr="00B75AE0">
              <w:rPr>
                <w:rFonts w:eastAsia="MS Mincho"/>
                <w:color w:val="000000"/>
                <w:szCs w:val="22"/>
              </w:rPr>
              <w:t xml:space="preserve"> og pustler. Der kan være nogle få knuder.</w:t>
            </w:r>
          </w:p>
        </w:tc>
      </w:tr>
    </w:tbl>
    <w:p w:rsidR="009D3070" w:rsidRPr="00321C75" w:rsidRDefault="009D3070" w:rsidP="009D3070">
      <w:pPr>
        <w:rPr>
          <w:noProof/>
          <w:szCs w:val="22"/>
        </w:rPr>
      </w:pPr>
    </w:p>
    <w:p w:rsidR="009D3070" w:rsidRPr="0049759D" w:rsidRDefault="009D3070" w:rsidP="009D3070">
      <w:pPr>
        <w:ind w:left="851"/>
        <w:rPr>
          <w:noProof/>
          <w:sz w:val="24"/>
          <w:szCs w:val="24"/>
        </w:rPr>
      </w:pPr>
      <w:r w:rsidRPr="0049759D">
        <w:rPr>
          <w:sz w:val="24"/>
          <w:szCs w:val="24"/>
        </w:rPr>
        <w:t xml:space="preserve">Der var tre ens </w:t>
      </w:r>
      <w:proofErr w:type="spellStart"/>
      <w:r w:rsidRPr="0049759D">
        <w:rPr>
          <w:sz w:val="24"/>
          <w:szCs w:val="24"/>
        </w:rPr>
        <w:t>co</w:t>
      </w:r>
      <w:proofErr w:type="spellEnd"/>
      <w:r w:rsidRPr="0049759D">
        <w:rPr>
          <w:sz w:val="24"/>
          <w:szCs w:val="24"/>
        </w:rPr>
        <w:t>-primære endemål for effekt i begge pivotale studier: 1) succesraten baseret på IGA- og PGA-resultat (procentdelen af patienter med “</w:t>
      </w:r>
      <w:proofErr w:type="spellStart"/>
      <w:r w:rsidRPr="0049759D">
        <w:rPr>
          <w:sz w:val="24"/>
          <w:szCs w:val="24"/>
        </w:rPr>
        <w:t>ophelet</w:t>
      </w:r>
      <w:proofErr w:type="spellEnd"/>
      <w:r w:rsidRPr="0049759D">
        <w:rPr>
          <w:sz w:val="24"/>
          <w:szCs w:val="24"/>
        </w:rPr>
        <w:t xml:space="preserve">” og “næsten </w:t>
      </w:r>
      <w:proofErr w:type="spellStart"/>
      <w:r w:rsidRPr="0049759D">
        <w:rPr>
          <w:sz w:val="24"/>
          <w:szCs w:val="24"/>
        </w:rPr>
        <w:t>ophelet</w:t>
      </w:r>
      <w:proofErr w:type="spellEnd"/>
      <w:r w:rsidRPr="0049759D">
        <w:rPr>
          <w:sz w:val="24"/>
          <w:szCs w:val="24"/>
        </w:rPr>
        <w:t>” og med en ændring på mindst 2 trin i forhold til baseline)</w:t>
      </w:r>
      <w:r>
        <w:rPr>
          <w:sz w:val="24"/>
          <w:szCs w:val="24"/>
        </w:rPr>
        <w:t xml:space="preserve"> og absolutte og procentvise ændringer i forhold til baseline </w:t>
      </w:r>
      <w:r w:rsidRPr="0049759D">
        <w:rPr>
          <w:sz w:val="24"/>
          <w:szCs w:val="24"/>
        </w:rPr>
        <w:t>i 2) antal inflammatoriske og 3) noninflammatoriske læsioner ved uge 12.</w:t>
      </w:r>
    </w:p>
    <w:p w:rsidR="009D3070" w:rsidRPr="0049759D" w:rsidRDefault="009D3070" w:rsidP="009D3070">
      <w:pPr>
        <w:ind w:left="851"/>
        <w:rPr>
          <w:noProof/>
          <w:sz w:val="24"/>
          <w:szCs w:val="24"/>
        </w:rPr>
      </w:pPr>
    </w:p>
    <w:p w:rsidR="009D3070" w:rsidRPr="0049759D" w:rsidRDefault="009D3070" w:rsidP="009D3070">
      <w:pPr>
        <w:autoSpaceDE w:val="0"/>
        <w:autoSpaceDN w:val="0"/>
        <w:adjustRightInd w:val="0"/>
        <w:ind w:left="851"/>
        <w:rPr>
          <w:noProof/>
          <w:sz w:val="24"/>
          <w:szCs w:val="24"/>
        </w:rPr>
      </w:pPr>
      <w:r w:rsidRPr="0049759D">
        <w:rPr>
          <w:sz w:val="24"/>
          <w:szCs w:val="24"/>
        </w:rPr>
        <w:lastRenderedPageBreak/>
        <w:t>Samlet set var 87</w:t>
      </w:r>
      <w:r>
        <w:rPr>
          <w:sz w:val="24"/>
          <w:szCs w:val="24"/>
        </w:rPr>
        <w:t xml:space="preserve"> %</w:t>
      </w:r>
      <w:r w:rsidRPr="0049759D">
        <w:rPr>
          <w:sz w:val="24"/>
          <w:szCs w:val="24"/>
        </w:rPr>
        <w:t xml:space="preserve"> af patienterne europide, og 55</w:t>
      </w:r>
      <w:r>
        <w:rPr>
          <w:sz w:val="24"/>
          <w:szCs w:val="24"/>
        </w:rPr>
        <w:t xml:space="preserve"> %</w:t>
      </w:r>
      <w:r w:rsidRPr="0049759D">
        <w:rPr>
          <w:sz w:val="24"/>
          <w:szCs w:val="24"/>
        </w:rPr>
        <w:t xml:space="preserve"> var kvinder. Fireogtredive (1,4</w:t>
      </w:r>
      <w:r>
        <w:rPr>
          <w:sz w:val="24"/>
          <w:szCs w:val="24"/>
        </w:rPr>
        <w:t xml:space="preserve"> %</w:t>
      </w:r>
      <w:r w:rsidRPr="0049759D">
        <w:rPr>
          <w:sz w:val="24"/>
          <w:szCs w:val="24"/>
        </w:rPr>
        <w:t>) patienter var 9-11 år, 1.128 (47</w:t>
      </w:r>
      <w:r>
        <w:rPr>
          <w:sz w:val="24"/>
          <w:szCs w:val="24"/>
        </w:rPr>
        <w:t xml:space="preserve"> %</w:t>
      </w:r>
      <w:r w:rsidRPr="0049759D">
        <w:rPr>
          <w:sz w:val="24"/>
          <w:szCs w:val="24"/>
        </w:rPr>
        <w:t>) patienter var 12-17 år, og 1.258 (52</w:t>
      </w:r>
      <w:r>
        <w:rPr>
          <w:sz w:val="24"/>
          <w:szCs w:val="24"/>
        </w:rPr>
        <w:t xml:space="preserve"> %</w:t>
      </w:r>
      <w:r w:rsidRPr="0049759D">
        <w:rPr>
          <w:sz w:val="24"/>
          <w:szCs w:val="24"/>
        </w:rPr>
        <w:t>) patienter var 18 år og ældre.</w:t>
      </w:r>
      <w:r>
        <w:rPr>
          <w:sz w:val="24"/>
          <w:szCs w:val="24"/>
        </w:rPr>
        <w:t xml:space="preserve"> </w:t>
      </w:r>
      <w:r w:rsidRPr="0049759D">
        <w:rPr>
          <w:sz w:val="24"/>
          <w:szCs w:val="24"/>
        </w:rPr>
        <w:t xml:space="preserve">Alle patienter havde moderat </w:t>
      </w:r>
      <w:proofErr w:type="spellStart"/>
      <w:r w:rsidRPr="0049759D">
        <w:rPr>
          <w:sz w:val="24"/>
          <w:szCs w:val="24"/>
        </w:rPr>
        <w:t>acne</w:t>
      </w:r>
      <w:proofErr w:type="spellEnd"/>
      <w:r w:rsidRPr="0049759D">
        <w:rPr>
          <w:sz w:val="24"/>
          <w:szCs w:val="24"/>
        </w:rPr>
        <w:t xml:space="preserve"> </w:t>
      </w:r>
      <w:proofErr w:type="spellStart"/>
      <w:r w:rsidRPr="0049759D">
        <w:rPr>
          <w:sz w:val="24"/>
          <w:szCs w:val="24"/>
        </w:rPr>
        <w:t>vulgaris</w:t>
      </w:r>
      <w:proofErr w:type="spellEnd"/>
      <w:r w:rsidRPr="0049759D">
        <w:rPr>
          <w:sz w:val="24"/>
          <w:szCs w:val="24"/>
        </w:rPr>
        <w:t xml:space="preserve"> i ansigtet og 99</w:t>
      </w:r>
      <w:r>
        <w:rPr>
          <w:sz w:val="24"/>
          <w:szCs w:val="24"/>
        </w:rPr>
        <w:t xml:space="preserve"> %</w:t>
      </w:r>
      <w:r w:rsidRPr="0049759D">
        <w:rPr>
          <w:sz w:val="24"/>
          <w:szCs w:val="24"/>
        </w:rPr>
        <w:t xml:space="preserve"> på </w:t>
      </w:r>
      <w:proofErr w:type="spellStart"/>
      <w:r w:rsidRPr="0049759D">
        <w:rPr>
          <w:sz w:val="24"/>
          <w:szCs w:val="24"/>
        </w:rPr>
        <w:t>truncus</w:t>
      </w:r>
      <w:proofErr w:type="spellEnd"/>
      <w:r w:rsidRPr="0049759D">
        <w:rPr>
          <w:sz w:val="24"/>
          <w:szCs w:val="24"/>
        </w:rPr>
        <w:t xml:space="preserve">. Ved baseline havde patienterne mellem 7 og 200 (gennemsnitligt 36) inflammatoriske læsioner i ansigtet og mellem 0 og 220 (gennemsnitligt 38) på </w:t>
      </w:r>
      <w:proofErr w:type="spellStart"/>
      <w:r w:rsidRPr="0049759D">
        <w:rPr>
          <w:sz w:val="24"/>
          <w:szCs w:val="24"/>
        </w:rPr>
        <w:t>truncus</w:t>
      </w:r>
      <w:proofErr w:type="spellEnd"/>
      <w:r w:rsidRPr="0049759D">
        <w:rPr>
          <w:sz w:val="24"/>
          <w:szCs w:val="24"/>
        </w:rPr>
        <w:t>.</w:t>
      </w:r>
      <w:r>
        <w:rPr>
          <w:sz w:val="24"/>
          <w:szCs w:val="24"/>
        </w:rPr>
        <w:t xml:space="preserve"> </w:t>
      </w:r>
      <w:r w:rsidRPr="0049759D">
        <w:rPr>
          <w:sz w:val="24"/>
          <w:szCs w:val="24"/>
        </w:rPr>
        <w:t xml:space="preserve">Ved baseline havde patienterne yderligere 21-305 (gennemsnitligt 52) noninflammatoriske læsioner i ansigtet og 0-260 (gennemsnitligt 46) på </w:t>
      </w:r>
      <w:proofErr w:type="spellStart"/>
      <w:r w:rsidRPr="0049759D">
        <w:rPr>
          <w:sz w:val="24"/>
          <w:szCs w:val="24"/>
        </w:rPr>
        <w:t>truncus</w:t>
      </w:r>
      <w:proofErr w:type="spellEnd"/>
      <w:r w:rsidRPr="0049759D">
        <w:rPr>
          <w:sz w:val="24"/>
          <w:szCs w:val="24"/>
        </w:rPr>
        <w:t>.</w:t>
      </w:r>
    </w:p>
    <w:p w:rsidR="009D3070" w:rsidRPr="0049759D" w:rsidRDefault="009D3070" w:rsidP="009D3070">
      <w:pPr>
        <w:autoSpaceDE w:val="0"/>
        <w:autoSpaceDN w:val="0"/>
        <w:adjustRightInd w:val="0"/>
        <w:ind w:left="851"/>
        <w:rPr>
          <w:noProof/>
          <w:sz w:val="24"/>
          <w:szCs w:val="24"/>
        </w:rPr>
      </w:pPr>
    </w:p>
    <w:p w:rsidR="009D3070" w:rsidRPr="0049759D" w:rsidRDefault="009D3070" w:rsidP="009D3070">
      <w:pPr>
        <w:ind w:left="851"/>
        <w:rPr>
          <w:sz w:val="24"/>
          <w:szCs w:val="24"/>
        </w:rPr>
      </w:pPr>
      <w:r w:rsidRPr="0049759D">
        <w:rPr>
          <w:sz w:val="24"/>
          <w:szCs w:val="24"/>
        </w:rPr>
        <w:t>Succesraterne ifølge IGA og PGA, gennemsnitlige absolutte og procentvise reduktion</w:t>
      </w:r>
      <w:r>
        <w:rPr>
          <w:sz w:val="24"/>
          <w:szCs w:val="24"/>
        </w:rPr>
        <w:t>er</w:t>
      </w:r>
      <w:r w:rsidRPr="0049759D">
        <w:rPr>
          <w:sz w:val="24"/>
          <w:szCs w:val="24"/>
        </w:rPr>
        <w:t xml:space="preserve"> i antal </w:t>
      </w:r>
      <w:proofErr w:type="spellStart"/>
      <w:r w:rsidRPr="0049759D">
        <w:rPr>
          <w:sz w:val="24"/>
          <w:szCs w:val="24"/>
        </w:rPr>
        <w:t>aknelæsioner</w:t>
      </w:r>
      <w:proofErr w:type="spellEnd"/>
      <w:r w:rsidRPr="0049759D">
        <w:rPr>
          <w:sz w:val="24"/>
          <w:szCs w:val="24"/>
        </w:rPr>
        <w:t xml:space="preserve"> i forhold til baseline efter 12 ugers behandling vises i følgende tabeller:</w:t>
      </w:r>
    </w:p>
    <w:p w:rsidR="009D3070" w:rsidRPr="0049759D" w:rsidRDefault="009D3070" w:rsidP="009D3070">
      <w:pPr>
        <w:rPr>
          <w:sz w:val="24"/>
          <w:szCs w:val="24"/>
        </w:rPr>
      </w:pPr>
    </w:p>
    <w:p w:rsidR="009D3070" w:rsidRPr="0049759D" w:rsidRDefault="009D3070" w:rsidP="009D3070">
      <w:pPr>
        <w:pStyle w:val="Billedtekst"/>
        <w:spacing w:before="0" w:after="0"/>
        <w:ind w:left="993" w:hanging="993"/>
        <w:jc w:val="both"/>
        <w:rPr>
          <w:szCs w:val="24"/>
          <w:lang w:val="da-DK"/>
        </w:rPr>
      </w:pPr>
      <w:r w:rsidRPr="0049759D">
        <w:rPr>
          <w:rFonts w:eastAsia="Times New Roman"/>
          <w:bCs w:val="0"/>
          <w:color w:val="auto"/>
          <w:szCs w:val="24"/>
          <w:lang w:val="da-DK"/>
        </w:rPr>
        <w:t>Tabel 3</w:t>
      </w:r>
      <w:r w:rsidRPr="0049759D">
        <w:rPr>
          <w:rFonts w:eastAsia="Times New Roman"/>
          <w:bCs w:val="0"/>
          <w:color w:val="auto"/>
          <w:szCs w:val="24"/>
          <w:lang w:val="da-DK"/>
        </w:rPr>
        <w:tab/>
        <w:t xml:space="preserve">Forbedring af akne i ansigtet på </w:t>
      </w:r>
      <w:proofErr w:type="spellStart"/>
      <w:r w:rsidRPr="0049759D">
        <w:rPr>
          <w:rFonts w:eastAsia="Times New Roman"/>
          <w:bCs w:val="0"/>
          <w:color w:val="auto"/>
          <w:szCs w:val="24"/>
          <w:lang w:val="da-DK"/>
        </w:rPr>
        <w:t>Investigator’s</w:t>
      </w:r>
      <w:proofErr w:type="spellEnd"/>
      <w:r w:rsidRPr="0049759D">
        <w:rPr>
          <w:rFonts w:eastAsia="Times New Roman"/>
          <w:bCs w:val="0"/>
          <w:color w:val="auto"/>
          <w:szCs w:val="24"/>
          <w:lang w:val="da-DK"/>
        </w:rPr>
        <w:t xml:space="preserve"> Global </w:t>
      </w:r>
      <w:proofErr w:type="spellStart"/>
      <w:r w:rsidRPr="0049759D">
        <w:rPr>
          <w:rFonts w:eastAsia="Times New Roman"/>
          <w:bCs w:val="0"/>
          <w:color w:val="auto"/>
          <w:szCs w:val="24"/>
          <w:lang w:val="da-DK"/>
        </w:rPr>
        <w:t>Assessment</w:t>
      </w:r>
      <w:proofErr w:type="spellEnd"/>
      <w:r w:rsidRPr="0049759D">
        <w:rPr>
          <w:rFonts w:eastAsia="Times New Roman"/>
          <w:bCs w:val="0"/>
          <w:color w:val="auto"/>
          <w:szCs w:val="24"/>
          <w:lang w:val="da-DK"/>
        </w:rPr>
        <w:t xml:space="preserve"> og ændring i</w:t>
      </w:r>
      <w:r w:rsidRPr="0049759D">
        <w:rPr>
          <w:szCs w:val="24"/>
          <w:lang w:val="da-DK"/>
        </w:rPr>
        <w:t xml:space="preserve"> antal læsioner ved uge 12 (intent-to-</w:t>
      </w:r>
      <w:proofErr w:type="spellStart"/>
      <w:r w:rsidRPr="0049759D">
        <w:rPr>
          <w:szCs w:val="24"/>
          <w:lang w:val="da-DK"/>
        </w:rPr>
        <w:t>treat</w:t>
      </w:r>
      <w:proofErr w:type="spellEnd"/>
      <w:r w:rsidRPr="0049759D">
        <w:rPr>
          <w:szCs w:val="24"/>
          <w:lang w:val="da-DK"/>
        </w:rPr>
        <w:t xml:space="preserve">; multipel </w:t>
      </w:r>
      <w:proofErr w:type="spellStart"/>
      <w:r w:rsidRPr="0049759D">
        <w:rPr>
          <w:szCs w:val="24"/>
          <w:lang w:val="da-DK"/>
        </w:rPr>
        <w:t>imputation</w:t>
      </w:r>
      <w:proofErr w:type="spellEnd"/>
      <w:r w:rsidRPr="0049759D">
        <w:rPr>
          <w:szCs w:val="24"/>
          <w:lang w:val="da-DK"/>
        </w:rPr>
        <w:t>)</w:t>
      </w:r>
    </w:p>
    <w:p w:rsidR="009D3070" w:rsidRPr="0049759D" w:rsidRDefault="009D3070" w:rsidP="009D3070">
      <w:pPr>
        <w:ind w:left="993" w:hanging="993"/>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1904"/>
        <w:gridCol w:w="1456"/>
        <w:gridCol w:w="1542"/>
        <w:gridCol w:w="1026"/>
      </w:tblGrid>
      <w:tr w:rsidR="009D3070" w:rsidRPr="001402A8" w:rsidTr="00842CE2">
        <w:trPr>
          <w:trHeight w:val="315"/>
          <w:tblHeader/>
        </w:trPr>
        <w:tc>
          <w:tcPr>
            <w:tcW w:w="1921" w:type="pct"/>
            <w:shd w:val="clear" w:color="auto" w:fill="auto"/>
            <w:vAlign w:val="center"/>
            <w:hideMark/>
          </w:tcPr>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Primære endemål for effekt</w:t>
            </w:r>
          </w:p>
        </w:tc>
        <w:tc>
          <w:tcPr>
            <w:tcW w:w="1745" w:type="pct"/>
            <w:gridSpan w:val="2"/>
            <w:shd w:val="clear" w:color="auto" w:fill="auto"/>
            <w:vAlign w:val="center"/>
            <w:hideMark/>
          </w:tcPr>
          <w:p w:rsidR="009D3070" w:rsidRPr="001402A8" w:rsidRDefault="009D3070" w:rsidP="00842CE2">
            <w:pPr>
              <w:pStyle w:val="TableText"/>
              <w:jc w:val="center"/>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Studie 18251</w:t>
            </w:r>
          </w:p>
        </w:tc>
        <w:tc>
          <w:tcPr>
            <w:tcW w:w="1334" w:type="pct"/>
            <w:gridSpan w:val="2"/>
            <w:shd w:val="clear" w:color="auto" w:fill="auto"/>
            <w:vAlign w:val="center"/>
            <w:hideMark/>
          </w:tcPr>
          <w:p w:rsidR="009D3070" w:rsidRPr="001402A8" w:rsidRDefault="009D3070" w:rsidP="00842CE2">
            <w:pPr>
              <w:pStyle w:val="TableText"/>
              <w:jc w:val="center"/>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Studie 18252</w:t>
            </w:r>
          </w:p>
        </w:tc>
      </w:tr>
      <w:tr w:rsidR="009D3070" w:rsidRPr="001402A8" w:rsidTr="00842CE2">
        <w:trPr>
          <w:trHeight w:val="548"/>
          <w:tblHeader/>
        </w:trPr>
        <w:tc>
          <w:tcPr>
            <w:tcW w:w="1921" w:type="pct"/>
            <w:vMerge w:val="restart"/>
            <w:shd w:val="clear" w:color="auto" w:fill="auto"/>
            <w:vAlign w:val="center"/>
            <w:hideMark/>
          </w:tcPr>
          <w:p w:rsidR="009D3070" w:rsidRPr="001402A8" w:rsidRDefault="009D3070" w:rsidP="00842CE2">
            <w:pPr>
              <w:pStyle w:val="TableText"/>
              <w:rPr>
                <w:rFonts w:ascii="Times New Roman" w:eastAsia="Times New Roman" w:hAnsi="Times New Roman"/>
                <w:sz w:val="22"/>
                <w:szCs w:val="22"/>
                <w:lang w:val="da-DK" w:eastAsia="fr-FR"/>
              </w:rPr>
            </w:pPr>
          </w:p>
        </w:tc>
        <w:tc>
          <w:tcPr>
            <w:tcW w:w="989"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AKLIEF creme</w:t>
            </w:r>
          </w:p>
        </w:tc>
        <w:tc>
          <w:tcPr>
            <w:tcW w:w="756"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Vehikel- creme</w:t>
            </w:r>
          </w:p>
        </w:tc>
        <w:tc>
          <w:tcPr>
            <w:tcW w:w="801"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AKLIEF creme</w:t>
            </w:r>
          </w:p>
        </w:tc>
        <w:tc>
          <w:tcPr>
            <w:tcW w:w="533"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Vehikel- creme</w:t>
            </w:r>
          </w:p>
        </w:tc>
      </w:tr>
      <w:tr w:rsidR="009D3070" w:rsidRPr="001402A8" w:rsidTr="00842CE2">
        <w:trPr>
          <w:trHeight w:val="315"/>
          <w:tblHeader/>
        </w:trPr>
        <w:tc>
          <w:tcPr>
            <w:tcW w:w="1921" w:type="pct"/>
            <w:vMerge/>
            <w:vAlign w:val="center"/>
            <w:hideMark/>
          </w:tcPr>
          <w:p w:rsidR="009D3070" w:rsidRPr="001402A8" w:rsidRDefault="009D3070" w:rsidP="00842CE2">
            <w:pPr>
              <w:pStyle w:val="TableText"/>
              <w:rPr>
                <w:rFonts w:ascii="Times New Roman" w:eastAsia="Times New Roman" w:hAnsi="Times New Roman"/>
                <w:sz w:val="22"/>
                <w:szCs w:val="22"/>
                <w:lang w:val="da-DK" w:eastAsia="fr-FR"/>
              </w:rPr>
            </w:pPr>
          </w:p>
        </w:tc>
        <w:tc>
          <w:tcPr>
            <w:tcW w:w="989"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Pr>
                <w:rFonts w:ascii="Times New Roman" w:eastAsia="Times New Roman" w:hAnsi="Times New Roman"/>
                <w:sz w:val="22"/>
                <w:szCs w:val="22"/>
                <w:lang w:val="da-DK" w:eastAsia="fr-FR"/>
              </w:rPr>
              <w:t>N=</w:t>
            </w:r>
            <w:r w:rsidRPr="001402A8">
              <w:rPr>
                <w:rFonts w:ascii="Times New Roman" w:eastAsia="Times New Roman" w:hAnsi="Times New Roman"/>
                <w:sz w:val="22"/>
                <w:szCs w:val="22"/>
                <w:lang w:val="da-DK" w:eastAsia="fr-FR"/>
              </w:rPr>
              <w:t>612</w:t>
            </w:r>
          </w:p>
        </w:tc>
        <w:tc>
          <w:tcPr>
            <w:tcW w:w="756"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Pr>
                <w:rFonts w:ascii="Times New Roman" w:eastAsia="Times New Roman" w:hAnsi="Times New Roman"/>
                <w:sz w:val="22"/>
                <w:szCs w:val="22"/>
                <w:lang w:val="da-DK" w:eastAsia="fr-FR"/>
              </w:rPr>
              <w:t>N=</w:t>
            </w:r>
            <w:r w:rsidRPr="001402A8">
              <w:rPr>
                <w:rFonts w:ascii="Times New Roman" w:eastAsia="Times New Roman" w:hAnsi="Times New Roman"/>
                <w:sz w:val="22"/>
                <w:szCs w:val="22"/>
                <w:lang w:val="da-DK" w:eastAsia="fr-FR"/>
              </w:rPr>
              <w:t>596</w:t>
            </w:r>
          </w:p>
        </w:tc>
        <w:tc>
          <w:tcPr>
            <w:tcW w:w="801"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Pr>
                <w:rFonts w:ascii="Times New Roman" w:eastAsia="Times New Roman" w:hAnsi="Times New Roman"/>
                <w:sz w:val="22"/>
                <w:szCs w:val="22"/>
                <w:lang w:val="da-DK" w:eastAsia="fr-FR"/>
              </w:rPr>
              <w:t>N=</w:t>
            </w:r>
            <w:r w:rsidRPr="001402A8">
              <w:rPr>
                <w:rFonts w:ascii="Times New Roman" w:eastAsia="Times New Roman" w:hAnsi="Times New Roman"/>
                <w:sz w:val="22"/>
                <w:szCs w:val="22"/>
                <w:lang w:val="da-DK" w:eastAsia="fr-FR"/>
              </w:rPr>
              <w:t>602</w:t>
            </w:r>
          </w:p>
        </w:tc>
        <w:tc>
          <w:tcPr>
            <w:tcW w:w="533"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N=610</w:t>
            </w:r>
          </w:p>
        </w:tc>
      </w:tr>
      <w:tr w:rsidR="009D3070" w:rsidRPr="001402A8" w:rsidTr="00842CE2">
        <w:trPr>
          <w:trHeight w:val="683"/>
        </w:trPr>
        <w:tc>
          <w:tcPr>
            <w:tcW w:w="1921" w:type="pct"/>
            <w:shd w:val="clear" w:color="auto" w:fill="auto"/>
            <w:vAlign w:val="center"/>
          </w:tcPr>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 xml:space="preserve">Succesrate iflg. IGA </w:t>
            </w:r>
            <w:proofErr w:type="gramStart"/>
            <w:r w:rsidRPr="001402A8">
              <w:rPr>
                <w:rFonts w:ascii="Times New Roman" w:eastAsia="Times New Roman" w:hAnsi="Times New Roman"/>
                <w:b/>
                <w:sz w:val="22"/>
                <w:szCs w:val="22"/>
                <w:lang w:val="da-DK" w:eastAsia="fr-FR"/>
              </w:rPr>
              <w:t>(</w:t>
            </w:r>
            <w:r>
              <w:rPr>
                <w:rFonts w:ascii="Times New Roman" w:eastAsia="Times New Roman" w:hAnsi="Times New Roman"/>
                <w:b/>
                <w:sz w:val="22"/>
                <w:szCs w:val="22"/>
                <w:lang w:val="da-DK" w:eastAsia="fr-FR"/>
              </w:rPr>
              <w:t xml:space="preserve"> %</w:t>
            </w:r>
            <w:proofErr w:type="gramEnd"/>
            <w:r w:rsidRPr="001402A8">
              <w:rPr>
                <w:rFonts w:ascii="Times New Roman" w:eastAsia="Times New Roman" w:hAnsi="Times New Roman"/>
                <w:b/>
                <w:sz w:val="22"/>
                <w:szCs w:val="22"/>
                <w:lang w:val="da-DK" w:eastAsia="fr-FR"/>
              </w:rPr>
              <w:t>)</w:t>
            </w:r>
          </w:p>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(E</w:t>
            </w:r>
            <w:r w:rsidRPr="001402A8">
              <w:rPr>
                <w:rFonts w:ascii="Times New Roman" w:hAnsi="Times New Roman"/>
                <w:b/>
                <w:sz w:val="22"/>
                <w:szCs w:val="22"/>
                <w:lang w:val="da-DK"/>
              </w:rPr>
              <w:t>n forbedring på mindst 2 trin og IGA-scoren “</w:t>
            </w:r>
            <w:proofErr w:type="spellStart"/>
            <w:r w:rsidRPr="001402A8">
              <w:rPr>
                <w:rFonts w:ascii="Times New Roman" w:hAnsi="Times New Roman"/>
                <w:b/>
                <w:sz w:val="22"/>
                <w:szCs w:val="22"/>
                <w:lang w:val="da-DK"/>
              </w:rPr>
              <w:t>Ophelet</w:t>
            </w:r>
            <w:proofErr w:type="spellEnd"/>
            <w:r w:rsidRPr="001402A8">
              <w:rPr>
                <w:rFonts w:ascii="Times New Roman" w:hAnsi="Times New Roman"/>
                <w:b/>
                <w:sz w:val="22"/>
                <w:szCs w:val="22"/>
                <w:lang w:val="da-DK"/>
              </w:rPr>
              <w:t xml:space="preserve">” (0) eller “Næsten </w:t>
            </w:r>
            <w:proofErr w:type="spellStart"/>
            <w:r w:rsidRPr="001402A8">
              <w:rPr>
                <w:rFonts w:ascii="Times New Roman" w:hAnsi="Times New Roman"/>
                <w:b/>
                <w:sz w:val="22"/>
                <w:szCs w:val="22"/>
                <w:lang w:val="da-DK"/>
              </w:rPr>
              <w:t>ophelet</w:t>
            </w:r>
            <w:proofErr w:type="spellEnd"/>
            <w:r w:rsidRPr="001402A8">
              <w:rPr>
                <w:rFonts w:ascii="Times New Roman" w:hAnsi="Times New Roman"/>
                <w:b/>
                <w:sz w:val="22"/>
                <w:szCs w:val="22"/>
                <w:lang w:val="da-DK"/>
              </w:rPr>
              <w:t>” (1))</w:t>
            </w:r>
          </w:p>
        </w:tc>
        <w:tc>
          <w:tcPr>
            <w:tcW w:w="989"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29,4</w:t>
            </w:r>
          </w:p>
        </w:tc>
        <w:tc>
          <w:tcPr>
            <w:tcW w:w="756"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19,5</w:t>
            </w:r>
          </w:p>
        </w:tc>
        <w:tc>
          <w:tcPr>
            <w:tcW w:w="801"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42,3</w:t>
            </w:r>
          </w:p>
        </w:tc>
        <w:tc>
          <w:tcPr>
            <w:tcW w:w="533"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25,7</w:t>
            </w:r>
          </w:p>
        </w:tc>
      </w:tr>
      <w:tr w:rsidR="009D3070" w:rsidRPr="001402A8" w:rsidTr="00842CE2">
        <w:trPr>
          <w:trHeight w:val="359"/>
        </w:trPr>
        <w:tc>
          <w:tcPr>
            <w:tcW w:w="1921" w:type="pct"/>
            <w:shd w:val="clear" w:color="auto" w:fill="auto"/>
            <w:vAlign w:val="center"/>
          </w:tcPr>
          <w:p w:rsidR="009D3070" w:rsidRPr="001402A8" w:rsidRDefault="009D3070" w:rsidP="00842CE2">
            <w:pPr>
              <w:pStyle w:val="TableText"/>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Gennemsnitlig ændring i forhold til vehikel (95</w:t>
            </w:r>
            <w:r>
              <w:rPr>
                <w:rFonts w:ascii="Times New Roman" w:eastAsia="Times New Roman" w:hAnsi="Times New Roman"/>
                <w:sz w:val="22"/>
                <w:szCs w:val="22"/>
                <w:lang w:val="da-DK" w:eastAsia="fr-FR"/>
              </w:rPr>
              <w:t xml:space="preserve"> %</w:t>
            </w:r>
            <w:r w:rsidRPr="001402A8">
              <w:rPr>
                <w:rFonts w:ascii="Times New Roman" w:eastAsia="Times New Roman" w:hAnsi="Times New Roman"/>
                <w:sz w:val="22"/>
                <w:szCs w:val="22"/>
                <w:lang w:val="da-DK" w:eastAsia="fr-FR"/>
              </w:rPr>
              <w:t xml:space="preserve"> CI)</w:t>
            </w:r>
          </w:p>
        </w:tc>
        <w:tc>
          <w:tcPr>
            <w:tcW w:w="989"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 xml:space="preserve">9,8 </w:t>
            </w:r>
          </w:p>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(4,8; 14,8)</w:t>
            </w:r>
            <w:r w:rsidRPr="001402A8">
              <w:rPr>
                <w:rFonts w:ascii="Times New Roman" w:eastAsia="Times New Roman" w:hAnsi="Times New Roman"/>
                <w:sz w:val="22"/>
                <w:szCs w:val="22"/>
                <w:lang w:val="da-DK" w:eastAsia="fr-FR"/>
              </w:rPr>
              <w:br/>
            </w:r>
            <w:r w:rsidRPr="001402A8">
              <w:rPr>
                <w:rFonts w:ascii="Times New Roman" w:hAnsi="Times New Roman"/>
                <w:i/>
                <w:sz w:val="22"/>
                <w:szCs w:val="22"/>
                <w:lang w:val="da-DK"/>
              </w:rPr>
              <w:t xml:space="preserve"> p ˂ 0,001</w:t>
            </w:r>
          </w:p>
        </w:tc>
        <w:tc>
          <w:tcPr>
            <w:tcW w:w="756"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w:t>
            </w:r>
          </w:p>
        </w:tc>
        <w:tc>
          <w:tcPr>
            <w:tcW w:w="801"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 xml:space="preserve">16,6 </w:t>
            </w:r>
          </w:p>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(11,3; 22,0)</w:t>
            </w:r>
          </w:p>
          <w:p w:rsidR="009D3070" w:rsidRPr="001402A8" w:rsidRDefault="009D3070" w:rsidP="00842CE2">
            <w:pPr>
              <w:pStyle w:val="TableText"/>
              <w:jc w:val="center"/>
              <w:rPr>
                <w:rFonts w:ascii="Times New Roman" w:eastAsia="Times New Roman" w:hAnsi="Times New Roman"/>
                <w:i/>
                <w:sz w:val="22"/>
                <w:szCs w:val="22"/>
                <w:lang w:val="da-DK" w:eastAsia="fr-FR"/>
              </w:rPr>
            </w:pPr>
            <w:r w:rsidRPr="001402A8">
              <w:rPr>
                <w:rFonts w:ascii="Times New Roman" w:hAnsi="Times New Roman"/>
                <w:i/>
                <w:sz w:val="22"/>
                <w:szCs w:val="22"/>
                <w:lang w:val="da-DK"/>
              </w:rPr>
              <w:t xml:space="preserve">p ˂ 0,001 </w:t>
            </w:r>
          </w:p>
        </w:tc>
        <w:tc>
          <w:tcPr>
            <w:tcW w:w="533"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w:t>
            </w:r>
          </w:p>
        </w:tc>
      </w:tr>
      <w:tr w:rsidR="009D3070" w:rsidRPr="001402A8" w:rsidTr="00842CE2">
        <w:trPr>
          <w:trHeight w:val="521"/>
        </w:trPr>
        <w:tc>
          <w:tcPr>
            <w:tcW w:w="5000" w:type="pct"/>
            <w:gridSpan w:val="5"/>
            <w:shd w:val="clear" w:color="auto" w:fill="auto"/>
            <w:vAlign w:val="center"/>
          </w:tcPr>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Inflammatoriske læsioner</w:t>
            </w:r>
          </w:p>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Gennemsnitlig absolut ændring i forhold til baseline</w:t>
            </w:r>
          </w:p>
        </w:tc>
      </w:tr>
      <w:tr w:rsidR="009D3070" w:rsidRPr="001402A8" w:rsidTr="00842CE2">
        <w:trPr>
          <w:trHeight w:val="395"/>
        </w:trPr>
        <w:tc>
          <w:tcPr>
            <w:tcW w:w="1921" w:type="pct"/>
            <w:shd w:val="clear" w:color="auto" w:fill="auto"/>
            <w:vAlign w:val="center"/>
          </w:tcPr>
          <w:p w:rsidR="009D3070" w:rsidRPr="001402A8" w:rsidRDefault="009D3070" w:rsidP="00842CE2">
            <w:pPr>
              <w:pStyle w:val="TableText"/>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LS-gennemsnit (SE)</w:t>
            </w:r>
          </w:p>
        </w:tc>
        <w:tc>
          <w:tcPr>
            <w:tcW w:w="989"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-19,0 (0,50)</w:t>
            </w:r>
          </w:p>
        </w:tc>
        <w:tc>
          <w:tcPr>
            <w:tcW w:w="756"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-15,4 (0,51)</w:t>
            </w:r>
          </w:p>
        </w:tc>
        <w:tc>
          <w:tcPr>
            <w:tcW w:w="801"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-24,2 (0,51)</w:t>
            </w:r>
          </w:p>
        </w:tc>
        <w:tc>
          <w:tcPr>
            <w:tcW w:w="533"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-18,7 (0,51)</w:t>
            </w:r>
          </w:p>
        </w:tc>
      </w:tr>
      <w:tr w:rsidR="009D3070" w:rsidRPr="001402A8" w:rsidTr="00842CE2">
        <w:trPr>
          <w:trHeight w:val="440"/>
        </w:trPr>
        <w:tc>
          <w:tcPr>
            <w:tcW w:w="1921" w:type="pct"/>
            <w:shd w:val="clear" w:color="auto" w:fill="auto"/>
            <w:vAlign w:val="center"/>
            <w:hideMark/>
          </w:tcPr>
          <w:p w:rsidR="009D3070" w:rsidRPr="001402A8" w:rsidRDefault="009D3070" w:rsidP="00842CE2">
            <w:pPr>
              <w:pStyle w:val="TableText"/>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Forskel i LS-gennemsnit i forhold til vehikel (95</w:t>
            </w:r>
            <w:r>
              <w:rPr>
                <w:rFonts w:ascii="Times New Roman" w:eastAsia="Times New Roman" w:hAnsi="Times New Roman"/>
                <w:sz w:val="22"/>
                <w:szCs w:val="22"/>
                <w:lang w:val="da-DK" w:eastAsia="fr-FR"/>
              </w:rPr>
              <w:t xml:space="preserve"> %</w:t>
            </w:r>
            <w:r w:rsidRPr="001402A8">
              <w:rPr>
                <w:rFonts w:ascii="Times New Roman" w:eastAsia="Times New Roman" w:hAnsi="Times New Roman"/>
                <w:sz w:val="22"/>
                <w:szCs w:val="22"/>
                <w:lang w:val="da-DK" w:eastAsia="fr-FR"/>
              </w:rPr>
              <w:t xml:space="preserve"> CI)</w:t>
            </w:r>
          </w:p>
        </w:tc>
        <w:tc>
          <w:tcPr>
            <w:tcW w:w="989" w:type="pct"/>
            <w:shd w:val="clear" w:color="auto" w:fill="auto"/>
            <w:vAlign w:val="center"/>
            <w:hideMark/>
          </w:tcPr>
          <w:p w:rsidR="009D3070"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 xml:space="preserve">-3,6 </w:t>
            </w:r>
          </w:p>
          <w:p w:rsidR="009D3070" w:rsidRPr="001402A8" w:rsidRDefault="009D3070" w:rsidP="00842CE2">
            <w:pPr>
              <w:pStyle w:val="TableText"/>
              <w:jc w:val="center"/>
              <w:rPr>
                <w:rFonts w:ascii="Times New Roman" w:eastAsia="Times New Roman" w:hAnsi="Times New Roman"/>
                <w:i/>
                <w:sz w:val="22"/>
                <w:szCs w:val="22"/>
                <w:lang w:val="da-DK" w:eastAsia="fr-FR"/>
              </w:rPr>
            </w:pPr>
            <w:r w:rsidRPr="001402A8">
              <w:rPr>
                <w:rFonts w:ascii="Times New Roman" w:eastAsia="Times New Roman" w:hAnsi="Times New Roman"/>
                <w:sz w:val="22"/>
                <w:szCs w:val="22"/>
                <w:lang w:val="da-DK" w:eastAsia="fr-FR"/>
              </w:rPr>
              <w:t>(-4,9; -2,2)</w:t>
            </w:r>
            <w:r w:rsidRPr="001402A8">
              <w:rPr>
                <w:rFonts w:ascii="Times New Roman" w:hAnsi="Times New Roman"/>
                <w:i/>
                <w:sz w:val="22"/>
                <w:szCs w:val="22"/>
                <w:lang w:val="da-DK"/>
              </w:rPr>
              <w:t xml:space="preserve"> </w:t>
            </w:r>
            <w:r w:rsidRPr="001402A8">
              <w:rPr>
                <w:rFonts w:ascii="Times New Roman" w:hAnsi="Times New Roman"/>
                <w:i/>
                <w:sz w:val="22"/>
                <w:szCs w:val="22"/>
                <w:lang w:val="da-DK"/>
              </w:rPr>
              <w:br/>
              <w:t>p ˂ 0,</w:t>
            </w:r>
            <w:r>
              <w:rPr>
                <w:rFonts w:ascii="Times New Roman" w:hAnsi="Times New Roman"/>
                <w:i/>
                <w:sz w:val="22"/>
                <w:szCs w:val="22"/>
                <w:lang w:val="da-DK"/>
              </w:rPr>
              <w:t>001</w:t>
            </w:r>
          </w:p>
          <w:p w:rsidR="009D3070" w:rsidRPr="001402A8" w:rsidRDefault="009D3070" w:rsidP="00842CE2">
            <w:pPr>
              <w:pStyle w:val="TableText"/>
              <w:jc w:val="center"/>
              <w:rPr>
                <w:rFonts w:ascii="Times New Roman" w:eastAsia="Times New Roman" w:hAnsi="Times New Roman"/>
                <w:sz w:val="22"/>
                <w:szCs w:val="22"/>
                <w:lang w:val="da-DK" w:eastAsia="fr-FR"/>
              </w:rPr>
            </w:pPr>
          </w:p>
        </w:tc>
        <w:tc>
          <w:tcPr>
            <w:tcW w:w="756"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w:t>
            </w:r>
          </w:p>
        </w:tc>
        <w:tc>
          <w:tcPr>
            <w:tcW w:w="801" w:type="pct"/>
            <w:shd w:val="clear" w:color="auto" w:fill="auto"/>
            <w:vAlign w:val="center"/>
            <w:hideMark/>
          </w:tcPr>
          <w:p w:rsidR="009D3070"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 xml:space="preserve">-5,6 </w:t>
            </w:r>
          </w:p>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(-6,9; -4,3)</w:t>
            </w:r>
          </w:p>
          <w:p w:rsidR="009D3070" w:rsidRPr="001402A8" w:rsidRDefault="009D3070" w:rsidP="00842CE2">
            <w:pPr>
              <w:pStyle w:val="TableText"/>
              <w:jc w:val="center"/>
              <w:rPr>
                <w:rFonts w:ascii="Times New Roman" w:hAnsi="Times New Roman"/>
                <w:i/>
                <w:sz w:val="22"/>
                <w:szCs w:val="22"/>
                <w:lang w:val="da-DK"/>
              </w:rPr>
            </w:pPr>
            <w:r w:rsidRPr="001402A8">
              <w:rPr>
                <w:rFonts w:ascii="Times New Roman" w:hAnsi="Times New Roman"/>
                <w:i/>
                <w:sz w:val="22"/>
                <w:szCs w:val="22"/>
                <w:lang w:val="da-DK"/>
              </w:rPr>
              <w:t>p ˂ 0,</w:t>
            </w:r>
            <w:r>
              <w:rPr>
                <w:rFonts w:ascii="Times New Roman" w:hAnsi="Times New Roman"/>
                <w:i/>
                <w:sz w:val="22"/>
                <w:szCs w:val="22"/>
                <w:lang w:val="da-DK"/>
              </w:rPr>
              <w:t>001</w:t>
            </w:r>
          </w:p>
        </w:tc>
        <w:tc>
          <w:tcPr>
            <w:tcW w:w="533"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w:t>
            </w:r>
          </w:p>
        </w:tc>
      </w:tr>
      <w:tr w:rsidR="009D3070" w:rsidRPr="001402A8" w:rsidTr="00842CE2">
        <w:trPr>
          <w:trHeight w:val="440"/>
        </w:trPr>
        <w:tc>
          <w:tcPr>
            <w:tcW w:w="5000" w:type="pct"/>
            <w:gridSpan w:val="5"/>
            <w:shd w:val="clear" w:color="auto" w:fill="auto"/>
            <w:vAlign w:val="center"/>
          </w:tcPr>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 xml:space="preserve">Gennemsnitlig procentvis ændring i forhold til baseline </w:t>
            </w:r>
            <w:proofErr w:type="gramStart"/>
            <w:r w:rsidRPr="001402A8">
              <w:rPr>
                <w:rFonts w:ascii="Times New Roman" w:eastAsia="Times New Roman" w:hAnsi="Times New Roman"/>
                <w:b/>
                <w:sz w:val="22"/>
                <w:szCs w:val="22"/>
                <w:lang w:val="da-DK" w:eastAsia="fr-FR"/>
              </w:rPr>
              <w:t>(</w:t>
            </w:r>
            <w:r>
              <w:rPr>
                <w:rFonts w:ascii="Times New Roman" w:eastAsia="Times New Roman" w:hAnsi="Times New Roman"/>
                <w:b/>
                <w:sz w:val="22"/>
                <w:szCs w:val="22"/>
                <w:lang w:val="da-DK" w:eastAsia="fr-FR"/>
              </w:rPr>
              <w:t xml:space="preserve"> %</w:t>
            </w:r>
            <w:proofErr w:type="gramEnd"/>
            <w:r w:rsidRPr="001402A8">
              <w:rPr>
                <w:rFonts w:ascii="Times New Roman" w:eastAsia="Times New Roman" w:hAnsi="Times New Roman"/>
                <w:b/>
                <w:sz w:val="22"/>
                <w:szCs w:val="22"/>
                <w:lang w:val="da-DK" w:eastAsia="fr-FR"/>
              </w:rPr>
              <w:t>)</w:t>
            </w:r>
          </w:p>
        </w:tc>
      </w:tr>
      <w:tr w:rsidR="009D3070" w:rsidRPr="001402A8" w:rsidTr="00842CE2">
        <w:trPr>
          <w:trHeight w:val="440"/>
        </w:trPr>
        <w:tc>
          <w:tcPr>
            <w:tcW w:w="1921" w:type="pct"/>
            <w:shd w:val="clear" w:color="auto" w:fill="auto"/>
            <w:vAlign w:val="center"/>
          </w:tcPr>
          <w:p w:rsidR="009D3070" w:rsidRPr="001402A8" w:rsidRDefault="009D3070" w:rsidP="00842CE2">
            <w:pPr>
              <w:pStyle w:val="TableText"/>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Gennemsnit (SE)</w:t>
            </w:r>
          </w:p>
        </w:tc>
        <w:tc>
          <w:tcPr>
            <w:tcW w:w="989"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15,7 (0,52)</w:t>
            </w:r>
          </w:p>
        </w:tc>
        <w:tc>
          <w:tcPr>
            <w:tcW w:w="756"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19,3 (0,64)</w:t>
            </w:r>
          </w:p>
        </w:tc>
        <w:tc>
          <w:tcPr>
            <w:tcW w:w="801"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12,0 (0,51)</w:t>
            </w:r>
          </w:p>
        </w:tc>
        <w:tc>
          <w:tcPr>
            <w:tcW w:w="533"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17,6 (0,</w:t>
            </w:r>
            <w:proofErr w:type="gramStart"/>
            <w:r w:rsidRPr="001402A8">
              <w:rPr>
                <w:rFonts w:ascii="Times New Roman" w:eastAsia="Times New Roman" w:hAnsi="Times New Roman"/>
                <w:sz w:val="22"/>
                <w:szCs w:val="22"/>
                <w:lang w:val="da-DK" w:eastAsia="fr-FR"/>
              </w:rPr>
              <w:t>58 )</w:t>
            </w:r>
            <w:proofErr w:type="gramEnd"/>
          </w:p>
        </w:tc>
      </w:tr>
      <w:tr w:rsidR="009D3070" w:rsidRPr="001402A8" w:rsidTr="00842CE2">
        <w:trPr>
          <w:trHeight w:val="440"/>
        </w:trPr>
        <w:tc>
          <w:tcPr>
            <w:tcW w:w="1921" w:type="pct"/>
            <w:shd w:val="clear" w:color="auto" w:fill="auto"/>
            <w:vAlign w:val="center"/>
          </w:tcPr>
          <w:p w:rsidR="009D3070" w:rsidRPr="001402A8" w:rsidRDefault="009D3070" w:rsidP="00842CE2">
            <w:pPr>
              <w:pStyle w:val="TableText"/>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 xml:space="preserve">Gennemsnitlig procentvis ændring i forhold til baseline </w:t>
            </w:r>
          </w:p>
        </w:tc>
        <w:tc>
          <w:tcPr>
            <w:tcW w:w="989" w:type="pct"/>
            <w:shd w:val="clear" w:color="auto" w:fill="auto"/>
            <w:vAlign w:val="center"/>
          </w:tcPr>
          <w:p w:rsidR="009D3070" w:rsidRPr="001402A8" w:rsidRDefault="009D3070" w:rsidP="00842CE2">
            <w:pPr>
              <w:pStyle w:val="TableText"/>
              <w:jc w:val="center"/>
              <w:rPr>
                <w:rFonts w:ascii="Times New Roman" w:hAnsi="Times New Roman"/>
                <w:i/>
                <w:sz w:val="22"/>
                <w:szCs w:val="22"/>
                <w:lang w:val="da-DK"/>
              </w:rPr>
            </w:pPr>
            <w:r w:rsidRPr="001402A8">
              <w:rPr>
                <w:rFonts w:ascii="Times New Roman" w:eastAsia="Times New Roman" w:hAnsi="Times New Roman"/>
                <w:sz w:val="22"/>
                <w:szCs w:val="22"/>
                <w:lang w:val="da-DK" w:eastAsia="fr-FR"/>
              </w:rPr>
              <w:t>-54,4</w:t>
            </w:r>
          </w:p>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hAnsi="Times New Roman"/>
                <w:i/>
                <w:sz w:val="22"/>
                <w:szCs w:val="22"/>
                <w:lang w:val="da-DK"/>
              </w:rPr>
              <w:t>p ˂ 0,001 vs. vehikel</w:t>
            </w:r>
          </w:p>
        </w:tc>
        <w:tc>
          <w:tcPr>
            <w:tcW w:w="756" w:type="pct"/>
            <w:shd w:val="clear" w:color="auto" w:fill="auto"/>
            <w:vAlign w:val="center"/>
          </w:tcPr>
          <w:p w:rsidR="009D3070" w:rsidRPr="001402A8" w:rsidRDefault="009D3070" w:rsidP="00842CE2">
            <w:pPr>
              <w:pStyle w:val="TableText"/>
              <w:jc w:val="center"/>
              <w:rPr>
                <w:rFonts w:ascii="Times New Roman" w:hAnsi="Times New Roman"/>
                <w:i/>
                <w:sz w:val="22"/>
                <w:szCs w:val="22"/>
                <w:lang w:val="da-DK"/>
              </w:rPr>
            </w:pPr>
            <w:r w:rsidRPr="001402A8">
              <w:rPr>
                <w:rFonts w:ascii="Times New Roman" w:eastAsia="Times New Roman" w:hAnsi="Times New Roman"/>
                <w:sz w:val="22"/>
                <w:szCs w:val="22"/>
                <w:lang w:val="da-DK" w:eastAsia="fr-FR"/>
              </w:rPr>
              <w:t>-44,8</w:t>
            </w:r>
          </w:p>
          <w:p w:rsidR="009D3070" w:rsidRPr="001402A8" w:rsidRDefault="009D3070" w:rsidP="00842CE2">
            <w:pPr>
              <w:pStyle w:val="TableText"/>
              <w:jc w:val="center"/>
              <w:rPr>
                <w:rFonts w:ascii="Times New Roman" w:eastAsia="Times New Roman" w:hAnsi="Times New Roman"/>
                <w:sz w:val="22"/>
                <w:szCs w:val="22"/>
                <w:lang w:val="da-DK" w:eastAsia="fr-FR"/>
              </w:rPr>
            </w:pPr>
          </w:p>
          <w:p w:rsidR="009D3070" w:rsidRPr="001402A8" w:rsidRDefault="009D3070" w:rsidP="00842CE2">
            <w:pPr>
              <w:pStyle w:val="TableText"/>
              <w:jc w:val="center"/>
              <w:rPr>
                <w:rFonts w:ascii="Times New Roman" w:eastAsia="Times New Roman" w:hAnsi="Times New Roman"/>
                <w:sz w:val="22"/>
                <w:szCs w:val="22"/>
                <w:lang w:val="da-DK" w:eastAsia="fr-FR"/>
              </w:rPr>
            </w:pPr>
          </w:p>
        </w:tc>
        <w:tc>
          <w:tcPr>
            <w:tcW w:w="801"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-66,2</w:t>
            </w:r>
          </w:p>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hAnsi="Times New Roman"/>
                <w:i/>
                <w:sz w:val="22"/>
                <w:szCs w:val="22"/>
                <w:lang w:val="da-DK"/>
              </w:rPr>
              <w:t>p ˂ 0,001 vs. vehikel</w:t>
            </w:r>
          </w:p>
        </w:tc>
        <w:tc>
          <w:tcPr>
            <w:tcW w:w="533"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-51,2</w:t>
            </w:r>
          </w:p>
        </w:tc>
      </w:tr>
      <w:tr w:rsidR="009D3070" w:rsidRPr="001402A8" w:rsidTr="00842CE2">
        <w:trPr>
          <w:trHeight w:val="521"/>
        </w:trPr>
        <w:tc>
          <w:tcPr>
            <w:tcW w:w="5000" w:type="pct"/>
            <w:gridSpan w:val="5"/>
            <w:shd w:val="clear" w:color="auto" w:fill="auto"/>
            <w:vAlign w:val="center"/>
          </w:tcPr>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Noninflammatoriske læsioner</w:t>
            </w:r>
          </w:p>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Gennemsnitlig absolut ændring i forhold til baseline</w:t>
            </w:r>
          </w:p>
        </w:tc>
      </w:tr>
      <w:tr w:rsidR="009D3070" w:rsidRPr="001402A8" w:rsidTr="00842CE2">
        <w:trPr>
          <w:trHeight w:val="530"/>
        </w:trPr>
        <w:tc>
          <w:tcPr>
            <w:tcW w:w="1921" w:type="pct"/>
            <w:shd w:val="clear" w:color="auto" w:fill="auto"/>
            <w:vAlign w:val="center"/>
          </w:tcPr>
          <w:p w:rsidR="009D3070" w:rsidRPr="001402A8" w:rsidRDefault="009D3070" w:rsidP="00842CE2">
            <w:pPr>
              <w:pStyle w:val="TableText"/>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LS-gennemsnit (SE)</w:t>
            </w:r>
          </w:p>
        </w:tc>
        <w:tc>
          <w:tcPr>
            <w:tcW w:w="989"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-25,0 (0,87)</w:t>
            </w:r>
          </w:p>
        </w:tc>
        <w:tc>
          <w:tcPr>
            <w:tcW w:w="756"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-17,9 (0,87)</w:t>
            </w:r>
          </w:p>
        </w:tc>
        <w:tc>
          <w:tcPr>
            <w:tcW w:w="801"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-30,1 (0,71)</w:t>
            </w:r>
          </w:p>
        </w:tc>
        <w:tc>
          <w:tcPr>
            <w:tcW w:w="533"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-21,6 (0,71)</w:t>
            </w:r>
          </w:p>
        </w:tc>
      </w:tr>
      <w:tr w:rsidR="009D3070" w:rsidRPr="001402A8" w:rsidTr="00842CE2">
        <w:trPr>
          <w:trHeight w:val="440"/>
        </w:trPr>
        <w:tc>
          <w:tcPr>
            <w:tcW w:w="1921" w:type="pct"/>
            <w:shd w:val="clear" w:color="auto" w:fill="auto"/>
            <w:vAlign w:val="center"/>
            <w:hideMark/>
          </w:tcPr>
          <w:p w:rsidR="009D3070" w:rsidRPr="001402A8" w:rsidRDefault="009D3070" w:rsidP="00842CE2">
            <w:pPr>
              <w:pStyle w:val="TableText"/>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Forskel i LS-gennemsnit i forhold til vehikel (95</w:t>
            </w:r>
            <w:r>
              <w:rPr>
                <w:rFonts w:ascii="Times New Roman" w:eastAsia="Times New Roman" w:hAnsi="Times New Roman"/>
                <w:sz w:val="22"/>
                <w:szCs w:val="22"/>
                <w:lang w:val="da-DK" w:eastAsia="fr-FR"/>
              </w:rPr>
              <w:t xml:space="preserve"> %</w:t>
            </w:r>
            <w:r w:rsidRPr="001402A8">
              <w:rPr>
                <w:rFonts w:ascii="Times New Roman" w:eastAsia="Times New Roman" w:hAnsi="Times New Roman"/>
                <w:sz w:val="22"/>
                <w:szCs w:val="22"/>
                <w:lang w:val="da-DK" w:eastAsia="fr-FR"/>
              </w:rPr>
              <w:t xml:space="preserve"> CI) </w:t>
            </w:r>
          </w:p>
        </w:tc>
        <w:tc>
          <w:tcPr>
            <w:tcW w:w="989" w:type="pct"/>
            <w:shd w:val="clear" w:color="auto" w:fill="auto"/>
            <w:vAlign w:val="center"/>
            <w:hideMark/>
          </w:tcPr>
          <w:p w:rsidR="009D3070"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 xml:space="preserve">-7,1 </w:t>
            </w:r>
          </w:p>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(-9,4; -4,8)</w:t>
            </w:r>
            <w:r w:rsidRPr="001402A8">
              <w:rPr>
                <w:rFonts w:ascii="Times New Roman" w:eastAsia="Times New Roman" w:hAnsi="Times New Roman"/>
                <w:sz w:val="22"/>
                <w:szCs w:val="22"/>
                <w:lang w:val="da-DK" w:eastAsia="fr-FR"/>
              </w:rPr>
              <w:br/>
            </w:r>
            <w:r w:rsidRPr="001402A8">
              <w:rPr>
                <w:rFonts w:ascii="Times New Roman" w:hAnsi="Times New Roman"/>
                <w:i/>
                <w:sz w:val="22"/>
                <w:szCs w:val="22"/>
                <w:lang w:val="da-DK"/>
              </w:rPr>
              <w:t xml:space="preserve"> p ˂ 0,</w:t>
            </w:r>
            <w:r>
              <w:rPr>
                <w:rFonts w:ascii="Times New Roman" w:hAnsi="Times New Roman"/>
                <w:i/>
                <w:sz w:val="22"/>
                <w:szCs w:val="22"/>
                <w:lang w:val="da-DK"/>
              </w:rPr>
              <w:t>001</w:t>
            </w:r>
          </w:p>
        </w:tc>
        <w:tc>
          <w:tcPr>
            <w:tcW w:w="756"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w:t>
            </w:r>
          </w:p>
        </w:tc>
        <w:tc>
          <w:tcPr>
            <w:tcW w:w="801" w:type="pct"/>
            <w:shd w:val="clear" w:color="auto" w:fill="auto"/>
            <w:vAlign w:val="center"/>
            <w:hideMark/>
          </w:tcPr>
          <w:p w:rsidR="009D3070"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 xml:space="preserve">-8,5 </w:t>
            </w:r>
          </w:p>
          <w:p w:rsidR="009D3070" w:rsidRDefault="009D3070" w:rsidP="00842CE2">
            <w:pPr>
              <w:pStyle w:val="TableText"/>
              <w:jc w:val="center"/>
              <w:rPr>
                <w:rFonts w:ascii="Times New Roman" w:hAnsi="Times New Roman"/>
                <w:i/>
                <w:sz w:val="22"/>
                <w:szCs w:val="22"/>
                <w:lang w:val="da-DK"/>
              </w:rPr>
            </w:pPr>
            <w:r w:rsidRPr="001402A8">
              <w:rPr>
                <w:rFonts w:ascii="Times New Roman" w:eastAsia="Times New Roman" w:hAnsi="Times New Roman"/>
                <w:sz w:val="22"/>
                <w:szCs w:val="22"/>
                <w:lang w:val="da-DK" w:eastAsia="fr-FR"/>
              </w:rPr>
              <w:t>(-10,3; -6,6)</w:t>
            </w:r>
            <w:r w:rsidRPr="001402A8">
              <w:rPr>
                <w:rFonts w:ascii="Times New Roman" w:hAnsi="Times New Roman"/>
                <w:i/>
                <w:sz w:val="22"/>
                <w:szCs w:val="22"/>
                <w:lang w:val="da-DK"/>
              </w:rPr>
              <w:t xml:space="preserve"> </w:t>
            </w:r>
          </w:p>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hAnsi="Times New Roman"/>
                <w:i/>
                <w:sz w:val="22"/>
                <w:szCs w:val="22"/>
                <w:lang w:val="da-DK"/>
              </w:rPr>
              <w:t>p ˂ 0,</w:t>
            </w:r>
            <w:r>
              <w:rPr>
                <w:rFonts w:ascii="Times New Roman" w:hAnsi="Times New Roman"/>
                <w:i/>
                <w:sz w:val="22"/>
                <w:szCs w:val="22"/>
                <w:lang w:val="da-DK"/>
              </w:rPr>
              <w:t>001</w:t>
            </w:r>
          </w:p>
        </w:tc>
        <w:tc>
          <w:tcPr>
            <w:tcW w:w="533" w:type="pct"/>
            <w:shd w:val="clear" w:color="auto" w:fill="auto"/>
            <w:vAlign w:val="center"/>
            <w:hideMark/>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w:t>
            </w:r>
          </w:p>
        </w:tc>
      </w:tr>
      <w:tr w:rsidR="009D3070" w:rsidRPr="001402A8" w:rsidTr="00842CE2">
        <w:trPr>
          <w:trHeight w:val="440"/>
        </w:trPr>
        <w:tc>
          <w:tcPr>
            <w:tcW w:w="5000" w:type="pct"/>
            <w:gridSpan w:val="5"/>
            <w:shd w:val="clear" w:color="auto" w:fill="auto"/>
            <w:vAlign w:val="center"/>
          </w:tcPr>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 xml:space="preserve">Gennemsnitlig procentvis ændring i forhold til baseline </w:t>
            </w:r>
            <w:proofErr w:type="gramStart"/>
            <w:r w:rsidRPr="001402A8">
              <w:rPr>
                <w:rFonts w:ascii="Times New Roman" w:eastAsia="Times New Roman" w:hAnsi="Times New Roman"/>
                <w:b/>
                <w:sz w:val="22"/>
                <w:szCs w:val="22"/>
                <w:lang w:val="da-DK" w:eastAsia="fr-FR"/>
              </w:rPr>
              <w:t>(</w:t>
            </w:r>
            <w:r>
              <w:rPr>
                <w:rFonts w:ascii="Times New Roman" w:eastAsia="Times New Roman" w:hAnsi="Times New Roman"/>
                <w:b/>
                <w:sz w:val="22"/>
                <w:szCs w:val="22"/>
                <w:lang w:val="da-DK" w:eastAsia="fr-FR"/>
              </w:rPr>
              <w:t xml:space="preserve"> %</w:t>
            </w:r>
            <w:proofErr w:type="gramEnd"/>
            <w:r w:rsidRPr="001402A8">
              <w:rPr>
                <w:rFonts w:ascii="Times New Roman" w:eastAsia="Times New Roman" w:hAnsi="Times New Roman"/>
                <w:b/>
                <w:sz w:val="22"/>
                <w:szCs w:val="22"/>
                <w:lang w:val="da-DK" w:eastAsia="fr-FR"/>
              </w:rPr>
              <w:t>)</w:t>
            </w:r>
          </w:p>
        </w:tc>
      </w:tr>
      <w:tr w:rsidR="009D3070" w:rsidRPr="001402A8" w:rsidTr="00842CE2">
        <w:trPr>
          <w:trHeight w:val="440"/>
        </w:trPr>
        <w:tc>
          <w:tcPr>
            <w:tcW w:w="1921" w:type="pct"/>
            <w:shd w:val="clear" w:color="auto" w:fill="auto"/>
            <w:vAlign w:val="center"/>
          </w:tcPr>
          <w:p w:rsidR="009D3070" w:rsidRPr="001402A8" w:rsidRDefault="009D3070" w:rsidP="00842CE2">
            <w:pPr>
              <w:pStyle w:val="TableText"/>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Gennemsnit</w:t>
            </w:r>
          </w:p>
        </w:tc>
        <w:tc>
          <w:tcPr>
            <w:tcW w:w="989"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28,0 (1,08)</w:t>
            </w:r>
          </w:p>
        </w:tc>
        <w:tc>
          <w:tcPr>
            <w:tcW w:w="756"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34,5 (1,22)</w:t>
            </w:r>
          </w:p>
        </w:tc>
        <w:tc>
          <w:tcPr>
            <w:tcW w:w="801"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20,6 (0,71)</w:t>
            </w:r>
          </w:p>
        </w:tc>
        <w:tc>
          <w:tcPr>
            <w:tcW w:w="533"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28,9 (0,97)</w:t>
            </w:r>
          </w:p>
        </w:tc>
      </w:tr>
      <w:tr w:rsidR="009D3070" w:rsidRPr="001402A8" w:rsidTr="00842CE2">
        <w:trPr>
          <w:trHeight w:val="440"/>
        </w:trPr>
        <w:tc>
          <w:tcPr>
            <w:tcW w:w="1921" w:type="pct"/>
            <w:shd w:val="clear" w:color="auto" w:fill="auto"/>
            <w:vAlign w:val="center"/>
          </w:tcPr>
          <w:p w:rsidR="009D3070" w:rsidRPr="001402A8" w:rsidRDefault="009D3070" w:rsidP="00842CE2">
            <w:pPr>
              <w:pStyle w:val="TableText"/>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Gennemsnitlig procentvis ændring i forhold til baseline</w:t>
            </w:r>
          </w:p>
        </w:tc>
        <w:tc>
          <w:tcPr>
            <w:tcW w:w="989" w:type="pct"/>
            <w:shd w:val="clear" w:color="auto" w:fill="auto"/>
            <w:vAlign w:val="center"/>
          </w:tcPr>
          <w:p w:rsidR="009D3070" w:rsidRPr="001402A8" w:rsidRDefault="009D3070" w:rsidP="00842CE2">
            <w:pPr>
              <w:pStyle w:val="TableText"/>
              <w:jc w:val="center"/>
              <w:rPr>
                <w:rFonts w:ascii="Times New Roman" w:hAnsi="Times New Roman"/>
                <w:i/>
                <w:sz w:val="22"/>
                <w:szCs w:val="22"/>
                <w:lang w:val="da-DK"/>
              </w:rPr>
            </w:pPr>
            <w:r w:rsidRPr="001402A8">
              <w:rPr>
                <w:rFonts w:ascii="Times New Roman" w:eastAsia="Times New Roman" w:hAnsi="Times New Roman"/>
                <w:sz w:val="22"/>
                <w:szCs w:val="22"/>
                <w:lang w:val="da-DK" w:eastAsia="fr-FR"/>
              </w:rPr>
              <w:t>-49,7</w:t>
            </w:r>
          </w:p>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hAnsi="Times New Roman"/>
                <w:i/>
                <w:sz w:val="22"/>
                <w:szCs w:val="22"/>
                <w:lang w:val="da-DK"/>
              </w:rPr>
              <w:t>p ˂ 0,001 vs. vehikel</w:t>
            </w:r>
          </w:p>
        </w:tc>
        <w:tc>
          <w:tcPr>
            <w:tcW w:w="756"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-35,7</w:t>
            </w:r>
          </w:p>
          <w:p w:rsidR="009D3070" w:rsidRPr="001402A8" w:rsidRDefault="009D3070" w:rsidP="00842CE2">
            <w:pPr>
              <w:pStyle w:val="TableText"/>
              <w:jc w:val="center"/>
              <w:rPr>
                <w:rFonts w:ascii="Times New Roman" w:eastAsia="Times New Roman" w:hAnsi="Times New Roman"/>
                <w:sz w:val="22"/>
                <w:szCs w:val="22"/>
                <w:lang w:val="da-DK" w:eastAsia="fr-FR"/>
              </w:rPr>
            </w:pPr>
          </w:p>
        </w:tc>
        <w:tc>
          <w:tcPr>
            <w:tcW w:w="801" w:type="pct"/>
            <w:shd w:val="clear" w:color="auto" w:fill="auto"/>
            <w:vAlign w:val="center"/>
          </w:tcPr>
          <w:p w:rsidR="009D3070" w:rsidRPr="001402A8" w:rsidRDefault="009D3070" w:rsidP="00842CE2">
            <w:pPr>
              <w:pStyle w:val="TableText"/>
              <w:jc w:val="center"/>
              <w:rPr>
                <w:rFonts w:ascii="Times New Roman" w:hAnsi="Times New Roman"/>
                <w:i/>
                <w:sz w:val="22"/>
                <w:szCs w:val="22"/>
                <w:lang w:val="da-DK"/>
              </w:rPr>
            </w:pPr>
            <w:r w:rsidRPr="001402A8">
              <w:rPr>
                <w:rFonts w:ascii="Times New Roman" w:eastAsia="Times New Roman" w:hAnsi="Times New Roman"/>
                <w:sz w:val="22"/>
                <w:szCs w:val="22"/>
                <w:lang w:val="da-DK" w:eastAsia="fr-FR"/>
              </w:rPr>
              <w:t>-57,7</w:t>
            </w:r>
          </w:p>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hAnsi="Times New Roman"/>
                <w:i/>
                <w:sz w:val="22"/>
                <w:szCs w:val="22"/>
                <w:lang w:val="da-DK"/>
              </w:rPr>
              <w:t>p ˂ 0,001 vs. vehikel</w:t>
            </w:r>
          </w:p>
        </w:tc>
        <w:tc>
          <w:tcPr>
            <w:tcW w:w="533" w:type="pct"/>
            <w:shd w:val="clear" w:color="auto" w:fill="auto"/>
            <w:vAlign w:val="center"/>
          </w:tcPr>
          <w:p w:rsidR="009D3070" w:rsidRPr="001402A8" w:rsidRDefault="009D3070" w:rsidP="00842CE2">
            <w:pPr>
              <w:pStyle w:val="TableText"/>
              <w:jc w:val="center"/>
              <w:rPr>
                <w:rFonts w:ascii="Times New Roman" w:eastAsia="Times New Roman" w:hAnsi="Times New Roman"/>
                <w:sz w:val="22"/>
                <w:szCs w:val="22"/>
                <w:lang w:val="da-DK" w:eastAsia="fr-FR"/>
              </w:rPr>
            </w:pPr>
            <w:r w:rsidRPr="001402A8">
              <w:rPr>
                <w:rFonts w:ascii="Times New Roman" w:eastAsia="Times New Roman" w:hAnsi="Times New Roman"/>
                <w:sz w:val="22"/>
                <w:szCs w:val="22"/>
                <w:lang w:val="da-DK" w:eastAsia="fr-FR"/>
              </w:rPr>
              <w:t>-43,9</w:t>
            </w:r>
          </w:p>
        </w:tc>
      </w:tr>
    </w:tbl>
    <w:p w:rsidR="009D3070" w:rsidRPr="001D446A" w:rsidRDefault="009D3070" w:rsidP="009D3070">
      <w:pPr>
        <w:pStyle w:val="Billedtekst"/>
        <w:spacing w:before="0" w:after="0"/>
        <w:ind w:left="1134" w:hanging="1134"/>
        <w:jc w:val="both"/>
        <w:rPr>
          <w:szCs w:val="24"/>
          <w:lang w:val="da-DK"/>
        </w:rPr>
      </w:pPr>
      <w:r w:rsidRPr="001D446A">
        <w:rPr>
          <w:szCs w:val="24"/>
          <w:lang w:val="da-DK"/>
        </w:rPr>
        <w:lastRenderedPageBreak/>
        <w:t>Tabel 4</w:t>
      </w:r>
      <w:r w:rsidRPr="001D446A">
        <w:rPr>
          <w:szCs w:val="24"/>
          <w:lang w:val="da-DK"/>
        </w:rPr>
        <w:tab/>
        <w:t xml:space="preserve">Forbedring af akne på </w:t>
      </w:r>
      <w:proofErr w:type="spellStart"/>
      <w:r w:rsidRPr="001D446A">
        <w:rPr>
          <w:szCs w:val="24"/>
          <w:lang w:val="da-DK"/>
        </w:rPr>
        <w:t>truncus</w:t>
      </w:r>
      <w:proofErr w:type="spellEnd"/>
      <w:r w:rsidRPr="001D446A">
        <w:rPr>
          <w:szCs w:val="24"/>
          <w:lang w:val="da-DK"/>
        </w:rPr>
        <w:t xml:space="preserve"> på </w:t>
      </w:r>
      <w:proofErr w:type="spellStart"/>
      <w:r w:rsidRPr="001D446A">
        <w:rPr>
          <w:szCs w:val="24"/>
          <w:lang w:val="da-DK"/>
        </w:rPr>
        <w:t>Physician’s</w:t>
      </w:r>
      <w:proofErr w:type="spellEnd"/>
      <w:r w:rsidRPr="001D446A">
        <w:rPr>
          <w:szCs w:val="24"/>
          <w:lang w:val="da-DK"/>
        </w:rPr>
        <w:t xml:space="preserve"> Global </w:t>
      </w:r>
      <w:proofErr w:type="spellStart"/>
      <w:r w:rsidRPr="001D446A">
        <w:rPr>
          <w:szCs w:val="24"/>
          <w:lang w:val="da-DK"/>
        </w:rPr>
        <w:t>Assessment</w:t>
      </w:r>
      <w:proofErr w:type="spellEnd"/>
      <w:r w:rsidRPr="001D446A">
        <w:rPr>
          <w:szCs w:val="24"/>
          <w:lang w:val="da-DK"/>
        </w:rPr>
        <w:t xml:space="preserve"> og ændring i antal læsioner ved uge 12 (intent-to-</w:t>
      </w:r>
      <w:proofErr w:type="spellStart"/>
      <w:r w:rsidRPr="001D446A">
        <w:rPr>
          <w:szCs w:val="24"/>
          <w:lang w:val="da-DK"/>
        </w:rPr>
        <w:t>treat</w:t>
      </w:r>
      <w:proofErr w:type="spellEnd"/>
      <w:r w:rsidRPr="001D446A">
        <w:rPr>
          <w:szCs w:val="24"/>
          <w:lang w:val="da-DK"/>
        </w:rPr>
        <w:t xml:space="preserve"> på </w:t>
      </w:r>
      <w:proofErr w:type="spellStart"/>
      <w:r w:rsidRPr="001D446A">
        <w:rPr>
          <w:szCs w:val="24"/>
          <w:lang w:val="da-DK"/>
        </w:rPr>
        <w:t>truncus</w:t>
      </w:r>
      <w:proofErr w:type="spellEnd"/>
      <w:r w:rsidRPr="001D446A">
        <w:rPr>
          <w:szCs w:val="24"/>
          <w:lang w:val="da-DK"/>
        </w:rPr>
        <w:t xml:space="preserve">; multipel </w:t>
      </w:r>
      <w:proofErr w:type="spellStart"/>
      <w:r w:rsidRPr="001D446A">
        <w:rPr>
          <w:szCs w:val="24"/>
          <w:lang w:val="da-DK"/>
        </w:rPr>
        <w:t>imputation</w:t>
      </w:r>
      <w:proofErr w:type="spellEnd"/>
      <w:r w:rsidRPr="001D446A">
        <w:rPr>
          <w:szCs w:val="24"/>
          <w:lang w:val="da-DK"/>
        </w:rPr>
        <w:t>)</w:t>
      </w:r>
    </w:p>
    <w:p w:rsidR="009D3070" w:rsidRPr="001D446A" w:rsidRDefault="009D3070" w:rsidP="009D3070">
      <w:pPr>
        <w:ind w:left="1134" w:hanging="1134"/>
        <w:rPr>
          <w:sz w:val="24"/>
          <w:szCs w:val="24"/>
        </w:rPr>
      </w:pPr>
    </w:p>
    <w:tbl>
      <w:tblPr>
        <w:tblW w:w="9356" w:type="dxa"/>
        <w:tblInd w:w="212"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0"/>
        <w:gridCol w:w="1263"/>
        <w:gridCol w:w="1196"/>
        <w:gridCol w:w="1559"/>
        <w:gridCol w:w="1418"/>
      </w:tblGrid>
      <w:tr w:rsidR="009D3070" w:rsidRPr="001402A8" w:rsidTr="00842CE2">
        <w:trPr>
          <w:trHeight w:val="335"/>
          <w:tblHeader/>
        </w:trPr>
        <w:tc>
          <w:tcPr>
            <w:tcW w:w="3920" w:type="dxa"/>
            <w:shd w:val="clear" w:color="auto" w:fill="auto"/>
            <w:vAlign w:val="center"/>
            <w:hideMark/>
          </w:tcPr>
          <w:p w:rsidR="009D3070" w:rsidRPr="001402A8" w:rsidRDefault="009D3070" w:rsidP="00842CE2">
            <w:pPr>
              <w:rPr>
                <w:b/>
                <w:bCs/>
                <w:lang w:eastAsia="fr-FR"/>
              </w:rPr>
            </w:pPr>
            <w:r>
              <w:rPr>
                <w:b/>
                <w:bCs/>
                <w:lang w:eastAsia="fr-FR"/>
              </w:rPr>
              <w:t xml:space="preserve">Sekundære endemål </w:t>
            </w:r>
          </w:p>
        </w:tc>
        <w:tc>
          <w:tcPr>
            <w:tcW w:w="2459" w:type="dxa"/>
            <w:gridSpan w:val="2"/>
            <w:shd w:val="clear" w:color="auto" w:fill="auto"/>
            <w:vAlign w:val="center"/>
            <w:hideMark/>
          </w:tcPr>
          <w:p w:rsidR="009D3070" w:rsidRPr="001402A8" w:rsidRDefault="009D3070" w:rsidP="00842CE2">
            <w:pPr>
              <w:jc w:val="center"/>
              <w:rPr>
                <w:b/>
                <w:bCs/>
                <w:lang w:eastAsia="fr-FR"/>
              </w:rPr>
            </w:pPr>
            <w:r w:rsidRPr="001402A8">
              <w:rPr>
                <w:b/>
                <w:bCs/>
                <w:lang w:eastAsia="fr-FR"/>
              </w:rPr>
              <w:t>Studie 18251</w:t>
            </w:r>
          </w:p>
        </w:tc>
        <w:tc>
          <w:tcPr>
            <w:tcW w:w="2977" w:type="dxa"/>
            <w:gridSpan w:val="2"/>
            <w:shd w:val="clear" w:color="auto" w:fill="auto"/>
            <w:vAlign w:val="center"/>
            <w:hideMark/>
          </w:tcPr>
          <w:p w:rsidR="009D3070" w:rsidRPr="001402A8" w:rsidRDefault="009D3070" w:rsidP="00842CE2">
            <w:pPr>
              <w:jc w:val="center"/>
              <w:rPr>
                <w:b/>
                <w:bCs/>
                <w:lang w:eastAsia="fr-FR"/>
              </w:rPr>
            </w:pPr>
            <w:r w:rsidRPr="001402A8">
              <w:rPr>
                <w:b/>
                <w:bCs/>
                <w:lang w:eastAsia="fr-FR"/>
              </w:rPr>
              <w:t>Studie 18252</w:t>
            </w:r>
          </w:p>
        </w:tc>
      </w:tr>
      <w:tr w:rsidR="009D3070" w:rsidRPr="001402A8" w:rsidTr="00842CE2">
        <w:trPr>
          <w:trHeight w:val="583"/>
          <w:tblHeader/>
        </w:trPr>
        <w:tc>
          <w:tcPr>
            <w:tcW w:w="3920" w:type="dxa"/>
            <w:vMerge w:val="restart"/>
            <w:shd w:val="clear" w:color="auto" w:fill="auto"/>
            <w:vAlign w:val="center"/>
            <w:hideMark/>
          </w:tcPr>
          <w:p w:rsidR="009D3070" w:rsidRPr="001402A8" w:rsidRDefault="009D3070" w:rsidP="00842CE2">
            <w:pPr>
              <w:rPr>
                <w:lang w:eastAsia="fr-FR"/>
              </w:rPr>
            </w:pPr>
          </w:p>
        </w:tc>
        <w:tc>
          <w:tcPr>
            <w:tcW w:w="1263" w:type="dxa"/>
            <w:shd w:val="clear" w:color="auto" w:fill="auto"/>
            <w:vAlign w:val="center"/>
            <w:hideMark/>
          </w:tcPr>
          <w:p w:rsidR="009D3070" w:rsidRPr="001402A8" w:rsidRDefault="009D3070" w:rsidP="00842CE2">
            <w:pPr>
              <w:jc w:val="center"/>
              <w:rPr>
                <w:iCs/>
                <w:vertAlign w:val="superscript"/>
                <w:lang w:eastAsia="en-CA"/>
              </w:rPr>
            </w:pPr>
            <w:r w:rsidRPr="001402A8">
              <w:rPr>
                <w:lang w:eastAsia="fr-FR"/>
              </w:rPr>
              <w:t>AKLIEF</w:t>
            </w:r>
          </w:p>
          <w:p w:rsidR="009D3070" w:rsidRPr="001402A8" w:rsidRDefault="009D3070" w:rsidP="00842CE2">
            <w:pPr>
              <w:jc w:val="center"/>
              <w:rPr>
                <w:lang w:eastAsia="fr-FR"/>
              </w:rPr>
            </w:pPr>
            <w:r w:rsidRPr="001402A8">
              <w:rPr>
                <w:lang w:eastAsia="fr-FR"/>
              </w:rPr>
              <w:t>creme</w:t>
            </w:r>
          </w:p>
        </w:tc>
        <w:tc>
          <w:tcPr>
            <w:tcW w:w="1196" w:type="dxa"/>
            <w:shd w:val="clear" w:color="auto" w:fill="auto"/>
            <w:vAlign w:val="center"/>
            <w:hideMark/>
          </w:tcPr>
          <w:p w:rsidR="009D3070" w:rsidRPr="001402A8" w:rsidRDefault="009D3070" w:rsidP="00842CE2">
            <w:pPr>
              <w:jc w:val="center"/>
              <w:rPr>
                <w:lang w:eastAsia="fr-FR"/>
              </w:rPr>
            </w:pPr>
            <w:r w:rsidRPr="001402A8">
              <w:rPr>
                <w:lang w:eastAsia="fr-FR"/>
              </w:rPr>
              <w:t>Vehikel-creme</w:t>
            </w:r>
          </w:p>
        </w:tc>
        <w:tc>
          <w:tcPr>
            <w:tcW w:w="1559" w:type="dxa"/>
            <w:shd w:val="clear" w:color="auto" w:fill="auto"/>
            <w:vAlign w:val="center"/>
            <w:hideMark/>
          </w:tcPr>
          <w:p w:rsidR="009D3070" w:rsidRPr="001402A8" w:rsidRDefault="009D3070" w:rsidP="00842CE2">
            <w:pPr>
              <w:jc w:val="center"/>
              <w:rPr>
                <w:lang w:eastAsia="fr-FR"/>
              </w:rPr>
            </w:pPr>
            <w:r w:rsidRPr="001402A8">
              <w:rPr>
                <w:lang w:eastAsia="fr-FR"/>
              </w:rPr>
              <w:t>AKLIEF creme</w:t>
            </w:r>
          </w:p>
        </w:tc>
        <w:tc>
          <w:tcPr>
            <w:tcW w:w="1418" w:type="dxa"/>
            <w:shd w:val="clear" w:color="auto" w:fill="auto"/>
            <w:vAlign w:val="center"/>
            <w:hideMark/>
          </w:tcPr>
          <w:p w:rsidR="009D3070" w:rsidRPr="001402A8" w:rsidRDefault="009D3070" w:rsidP="00842CE2">
            <w:pPr>
              <w:jc w:val="center"/>
              <w:rPr>
                <w:lang w:eastAsia="fr-FR"/>
              </w:rPr>
            </w:pPr>
            <w:r w:rsidRPr="001402A8">
              <w:rPr>
                <w:lang w:eastAsia="fr-FR"/>
              </w:rPr>
              <w:t>Vehikel-creme</w:t>
            </w:r>
          </w:p>
        </w:tc>
      </w:tr>
      <w:tr w:rsidR="009D3070" w:rsidRPr="001402A8" w:rsidTr="00842CE2">
        <w:trPr>
          <w:trHeight w:val="335"/>
          <w:tblHeader/>
        </w:trPr>
        <w:tc>
          <w:tcPr>
            <w:tcW w:w="3920" w:type="dxa"/>
            <w:vMerge/>
            <w:vAlign w:val="center"/>
            <w:hideMark/>
          </w:tcPr>
          <w:p w:rsidR="009D3070" w:rsidRPr="001402A8" w:rsidRDefault="009D3070" w:rsidP="00842CE2">
            <w:pPr>
              <w:rPr>
                <w:lang w:eastAsia="fr-FR"/>
              </w:rPr>
            </w:pPr>
          </w:p>
        </w:tc>
        <w:tc>
          <w:tcPr>
            <w:tcW w:w="1263" w:type="dxa"/>
            <w:shd w:val="clear" w:color="auto" w:fill="auto"/>
            <w:vAlign w:val="center"/>
            <w:hideMark/>
          </w:tcPr>
          <w:p w:rsidR="009D3070" w:rsidRPr="001402A8" w:rsidRDefault="009D3070" w:rsidP="00842CE2">
            <w:pPr>
              <w:jc w:val="center"/>
              <w:rPr>
                <w:lang w:eastAsia="fr-FR"/>
              </w:rPr>
            </w:pPr>
            <w:r>
              <w:rPr>
                <w:lang w:eastAsia="fr-FR"/>
              </w:rPr>
              <w:t>N=</w:t>
            </w:r>
            <w:r w:rsidRPr="001402A8">
              <w:rPr>
                <w:lang w:eastAsia="fr-FR"/>
              </w:rPr>
              <w:t>600</w:t>
            </w:r>
          </w:p>
        </w:tc>
        <w:tc>
          <w:tcPr>
            <w:tcW w:w="1196" w:type="dxa"/>
            <w:shd w:val="clear" w:color="auto" w:fill="auto"/>
            <w:vAlign w:val="center"/>
            <w:hideMark/>
          </w:tcPr>
          <w:p w:rsidR="009D3070" w:rsidRPr="001402A8" w:rsidRDefault="009D3070" w:rsidP="00842CE2">
            <w:pPr>
              <w:jc w:val="center"/>
              <w:rPr>
                <w:lang w:eastAsia="fr-FR"/>
              </w:rPr>
            </w:pPr>
            <w:r w:rsidRPr="001402A8">
              <w:rPr>
                <w:lang w:eastAsia="fr-FR"/>
              </w:rPr>
              <w:t>N=585</w:t>
            </w:r>
          </w:p>
        </w:tc>
        <w:tc>
          <w:tcPr>
            <w:tcW w:w="1559" w:type="dxa"/>
            <w:shd w:val="clear" w:color="auto" w:fill="auto"/>
            <w:vAlign w:val="center"/>
            <w:hideMark/>
          </w:tcPr>
          <w:p w:rsidR="009D3070" w:rsidRPr="001402A8" w:rsidRDefault="009D3070" w:rsidP="00842CE2">
            <w:pPr>
              <w:jc w:val="center"/>
              <w:rPr>
                <w:lang w:eastAsia="fr-FR"/>
              </w:rPr>
            </w:pPr>
            <w:r>
              <w:rPr>
                <w:lang w:eastAsia="fr-FR"/>
              </w:rPr>
              <w:t>N=</w:t>
            </w:r>
            <w:r w:rsidRPr="001402A8">
              <w:rPr>
                <w:lang w:eastAsia="fr-FR"/>
              </w:rPr>
              <w:t>598</w:t>
            </w:r>
          </w:p>
        </w:tc>
        <w:tc>
          <w:tcPr>
            <w:tcW w:w="1418" w:type="dxa"/>
            <w:shd w:val="clear" w:color="auto" w:fill="auto"/>
            <w:vAlign w:val="center"/>
            <w:hideMark/>
          </w:tcPr>
          <w:p w:rsidR="009D3070" w:rsidRPr="001402A8" w:rsidRDefault="009D3070" w:rsidP="00842CE2">
            <w:pPr>
              <w:jc w:val="center"/>
              <w:rPr>
                <w:lang w:eastAsia="fr-FR"/>
              </w:rPr>
            </w:pPr>
            <w:r w:rsidRPr="001402A8">
              <w:rPr>
                <w:lang w:eastAsia="fr-FR"/>
              </w:rPr>
              <w:t>N=609</w:t>
            </w:r>
          </w:p>
        </w:tc>
      </w:tr>
      <w:tr w:rsidR="009D3070" w:rsidRPr="001402A8" w:rsidTr="00842CE2">
        <w:trPr>
          <w:trHeight w:val="692"/>
        </w:trPr>
        <w:tc>
          <w:tcPr>
            <w:tcW w:w="3920" w:type="dxa"/>
            <w:shd w:val="clear" w:color="auto" w:fill="auto"/>
            <w:vAlign w:val="center"/>
          </w:tcPr>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 xml:space="preserve">Succesrate iflg. PGA </w:t>
            </w:r>
            <w:proofErr w:type="gramStart"/>
            <w:r w:rsidRPr="001402A8">
              <w:rPr>
                <w:rFonts w:ascii="Times New Roman" w:eastAsia="Times New Roman" w:hAnsi="Times New Roman"/>
                <w:b/>
                <w:sz w:val="22"/>
                <w:szCs w:val="22"/>
                <w:lang w:val="da-DK" w:eastAsia="fr-FR"/>
              </w:rPr>
              <w:t>(</w:t>
            </w:r>
            <w:r>
              <w:rPr>
                <w:rFonts w:ascii="Times New Roman" w:eastAsia="Times New Roman" w:hAnsi="Times New Roman"/>
                <w:b/>
                <w:sz w:val="22"/>
                <w:szCs w:val="22"/>
                <w:lang w:val="da-DK" w:eastAsia="fr-FR"/>
              </w:rPr>
              <w:t xml:space="preserve"> %</w:t>
            </w:r>
            <w:proofErr w:type="gramEnd"/>
            <w:r w:rsidRPr="001402A8">
              <w:rPr>
                <w:rFonts w:ascii="Times New Roman" w:eastAsia="Times New Roman" w:hAnsi="Times New Roman"/>
                <w:b/>
                <w:sz w:val="22"/>
                <w:szCs w:val="22"/>
                <w:lang w:val="da-DK" w:eastAsia="fr-FR"/>
              </w:rPr>
              <w:t>)</w:t>
            </w:r>
          </w:p>
          <w:p w:rsidR="009D3070" w:rsidRPr="001402A8" w:rsidRDefault="009D3070" w:rsidP="00842CE2">
            <w:pPr>
              <w:rPr>
                <w:b/>
                <w:lang w:eastAsia="fr-FR"/>
              </w:rPr>
            </w:pPr>
            <w:r w:rsidRPr="001402A8">
              <w:rPr>
                <w:b/>
                <w:szCs w:val="22"/>
                <w:lang w:eastAsia="fr-FR"/>
              </w:rPr>
              <w:t>(</w:t>
            </w:r>
            <w:r>
              <w:rPr>
                <w:b/>
                <w:szCs w:val="22"/>
                <w:lang w:eastAsia="fr-FR"/>
              </w:rPr>
              <w:t>E</w:t>
            </w:r>
            <w:r w:rsidRPr="001402A8">
              <w:rPr>
                <w:rFonts w:eastAsia="MS Mincho"/>
                <w:b/>
                <w:color w:val="000000"/>
                <w:szCs w:val="22"/>
              </w:rPr>
              <w:t xml:space="preserve">n forbedring på mindst 2 trin </w:t>
            </w:r>
            <w:r w:rsidRPr="001402A8">
              <w:rPr>
                <w:b/>
                <w:szCs w:val="22"/>
              </w:rPr>
              <w:t>og P</w:t>
            </w:r>
            <w:r>
              <w:rPr>
                <w:b/>
                <w:szCs w:val="22"/>
              </w:rPr>
              <w:t>GA-scoren “</w:t>
            </w:r>
            <w:proofErr w:type="spellStart"/>
            <w:r>
              <w:rPr>
                <w:b/>
                <w:szCs w:val="22"/>
              </w:rPr>
              <w:t>O</w:t>
            </w:r>
            <w:r w:rsidRPr="001402A8">
              <w:rPr>
                <w:b/>
                <w:szCs w:val="22"/>
              </w:rPr>
              <w:t>phelet</w:t>
            </w:r>
            <w:proofErr w:type="spellEnd"/>
            <w:r w:rsidRPr="001402A8">
              <w:rPr>
                <w:b/>
                <w:szCs w:val="22"/>
              </w:rPr>
              <w:t xml:space="preserve">” </w:t>
            </w:r>
            <w:r>
              <w:rPr>
                <w:b/>
                <w:szCs w:val="22"/>
              </w:rPr>
              <w:t>(</w:t>
            </w:r>
            <w:r w:rsidRPr="001402A8">
              <w:rPr>
                <w:rFonts w:eastAsia="MS Mincho"/>
                <w:b/>
                <w:color w:val="000000"/>
                <w:szCs w:val="22"/>
              </w:rPr>
              <w:t>0</w:t>
            </w:r>
            <w:r>
              <w:rPr>
                <w:b/>
                <w:szCs w:val="22"/>
              </w:rPr>
              <w:t>)</w:t>
            </w:r>
            <w:r>
              <w:rPr>
                <w:rFonts w:eastAsia="MS Mincho"/>
                <w:b/>
                <w:color w:val="000000"/>
                <w:szCs w:val="22"/>
              </w:rPr>
              <w:t xml:space="preserve"> eller “N</w:t>
            </w:r>
            <w:r w:rsidRPr="001402A8">
              <w:rPr>
                <w:rFonts w:eastAsia="MS Mincho"/>
                <w:b/>
                <w:color w:val="000000"/>
                <w:szCs w:val="22"/>
              </w:rPr>
              <w:t xml:space="preserve">æsten </w:t>
            </w:r>
            <w:proofErr w:type="spellStart"/>
            <w:r w:rsidRPr="001402A8">
              <w:rPr>
                <w:rFonts w:eastAsia="MS Mincho"/>
                <w:b/>
                <w:color w:val="000000"/>
                <w:szCs w:val="22"/>
              </w:rPr>
              <w:t>ophelet</w:t>
            </w:r>
            <w:proofErr w:type="spellEnd"/>
            <w:r w:rsidRPr="001402A8">
              <w:rPr>
                <w:rFonts w:eastAsia="MS Mincho"/>
                <w:b/>
                <w:color w:val="000000"/>
                <w:szCs w:val="22"/>
              </w:rPr>
              <w:t>”</w:t>
            </w:r>
            <w:r w:rsidRPr="001402A8">
              <w:rPr>
                <w:b/>
                <w:szCs w:val="22"/>
              </w:rPr>
              <w:t xml:space="preserve"> </w:t>
            </w:r>
            <w:r>
              <w:rPr>
                <w:b/>
                <w:szCs w:val="22"/>
              </w:rPr>
              <w:t>(</w:t>
            </w:r>
            <w:r w:rsidRPr="001402A8">
              <w:rPr>
                <w:b/>
                <w:szCs w:val="22"/>
              </w:rPr>
              <w:t>1</w:t>
            </w:r>
            <w:r>
              <w:rPr>
                <w:b/>
                <w:szCs w:val="22"/>
              </w:rPr>
              <w:t>)</w:t>
            </w:r>
            <w:r w:rsidRPr="001402A8">
              <w:rPr>
                <w:b/>
                <w:szCs w:val="22"/>
              </w:rPr>
              <w:t>)</w:t>
            </w:r>
          </w:p>
          <w:p w:rsidR="009D3070" w:rsidRPr="001402A8" w:rsidRDefault="009D3070" w:rsidP="00842CE2">
            <w:pPr>
              <w:rPr>
                <w:b/>
                <w:lang w:eastAsia="fr-FR"/>
              </w:rPr>
            </w:pPr>
          </w:p>
        </w:tc>
        <w:tc>
          <w:tcPr>
            <w:tcW w:w="1263" w:type="dxa"/>
            <w:shd w:val="clear" w:color="auto" w:fill="auto"/>
            <w:vAlign w:val="center"/>
          </w:tcPr>
          <w:p w:rsidR="009D3070" w:rsidRPr="001402A8" w:rsidRDefault="009D3070" w:rsidP="00842CE2">
            <w:pPr>
              <w:jc w:val="center"/>
              <w:rPr>
                <w:lang w:eastAsia="fr-FR"/>
              </w:rPr>
            </w:pPr>
            <w:r w:rsidRPr="001402A8">
              <w:rPr>
                <w:lang w:eastAsia="fr-FR"/>
              </w:rPr>
              <w:t>35,7</w:t>
            </w:r>
          </w:p>
        </w:tc>
        <w:tc>
          <w:tcPr>
            <w:tcW w:w="1196" w:type="dxa"/>
            <w:shd w:val="clear" w:color="auto" w:fill="auto"/>
            <w:vAlign w:val="center"/>
          </w:tcPr>
          <w:p w:rsidR="009D3070" w:rsidRPr="001402A8" w:rsidRDefault="009D3070" w:rsidP="00842CE2">
            <w:pPr>
              <w:jc w:val="center"/>
              <w:rPr>
                <w:lang w:eastAsia="fr-FR"/>
              </w:rPr>
            </w:pPr>
            <w:r w:rsidRPr="001402A8">
              <w:rPr>
                <w:lang w:eastAsia="fr-FR"/>
              </w:rPr>
              <w:t>25,0</w:t>
            </w:r>
          </w:p>
        </w:tc>
        <w:tc>
          <w:tcPr>
            <w:tcW w:w="1559" w:type="dxa"/>
            <w:shd w:val="clear" w:color="auto" w:fill="auto"/>
            <w:vAlign w:val="center"/>
          </w:tcPr>
          <w:p w:rsidR="009D3070" w:rsidRPr="001402A8" w:rsidRDefault="009D3070" w:rsidP="00842CE2">
            <w:pPr>
              <w:jc w:val="center"/>
              <w:rPr>
                <w:lang w:eastAsia="fr-FR"/>
              </w:rPr>
            </w:pPr>
            <w:r w:rsidRPr="001402A8">
              <w:rPr>
                <w:lang w:eastAsia="fr-FR"/>
              </w:rPr>
              <w:t>42,6</w:t>
            </w:r>
          </w:p>
        </w:tc>
        <w:tc>
          <w:tcPr>
            <w:tcW w:w="1418" w:type="dxa"/>
            <w:shd w:val="clear" w:color="auto" w:fill="auto"/>
            <w:vAlign w:val="center"/>
          </w:tcPr>
          <w:p w:rsidR="009D3070" w:rsidRPr="001402A8" w:rsidRDefault="009D3070" w:rsidP="00842CE2">
            <w:pPr>
              <w:jc w:val="center"/>
              <w:rPr>
                <w:lang w:eastAsia="fr-FR"/>
              </w:rPr>
            </w:pPr>
            <w:r w:rsidRPr="001402A8">
              <w:rPr>
                <w:lang w:eastAsia="fr-FR"/>
              </w:rPr>
              <w:t>29,9</w:t>
            </w:r>
          </w:p>
        </w:tc>
      </w:tr>
      <w:tr w:rsidR="009D3070" w:rsidRPr="001402A8" w:rsidTr="00842CE2">
        <w:trPr>
          <w:trHeight w:val="440"/>
        </w:trPr>
        <w:tc>
          <w:tcPr>
            <w:tcW w:w="3920" w:type="dxa"/>
            <w:shd w:val="clear" w:color="auto" w:fill="auto"/>
            <w:vAlign w:val="center"/>
            <w:hideMark/>
          </w:tcPr>
          <w:p w:rsidR="009D3070" w:rsidRPr="001402A8" w:rsidRDefault="009D3070" w:rsidP="00842CE2">
            <w:pPr>
              <w:rPr>
                <w:lang w:eastAsia="fr-FR"/>
              </w:rPr>
            </w:pPr>
            <w:r w:rsidRPr="001402A8">
              <w:rPr>
                <w:lang w:eastAsia="fr-FR"/>
              </w:rPr>
              <w:t>Procentvis ændring i forhold til vehikel (95</w:t>
            </w:r>
            <w:r>
              <w:rPr>
                <w:lang w:eastAsia="fr-FR"/>
              </w:rPr>
              <w:t xml:space="preserve"> %</w:t>
            </w:r>
            <w:r w:rsidRPr="001402A8">
              <w:rPr>
                <w:lang w:eastAsia="fr-FR"/>
              </w:rPr>
              <w:t xml:space="preserve"> CI)</w:t>
            </w:r>
          </w:p>
        </w:tc>
        <w:tc>
          <w:tcPr>
            <w:tcW w:w="1263" w:type="dxa"/>
            <w:shd w:val="clear" w:color="auto" w:fill="auto"/>
            <w:vAlign w:val="center"/>
            <w:hideMark/>
          </w:tcPr>
          <w:p w:rsidR="009D3070" w:rsidRDefault="009D3070" w:rsidP="00842CE2">
            <w:pPr>
              <w:jc w:val="center"/>
              <w:rPr>
                <w:lang w:eastAsia="fr-FR"/>
              </w:rPr>
            </w:pPr>
            <w:r w:rsidRPr="001402A8">
              <w:rPr>
                <w:lang w:eastAsia="fr-FR"/>
              </w:rPr>
              <w:t xml:space="preserve">10,7 </w:t>
            </w:r>
          </w:p>
          <w:p w:rsidR="009D3070" w:rsidRPr="001402A8" w:rsidRDefault="009D3070" w:rsidP="00842CE2">
            <w:pPr>
              <w:jc w:val="center"/>
              <w:rPr>
                <w:lang w:eastAsia="fr-FR"/>
              </w:rPr>
            </w:pPr>
            <w:r w:rsidRPr="001402A8">
              <w:rPr>
                <w:lang w:eastAsia="fr-FR"/>
              </w:rPr>
              <w:t>(5,4; 16,1)</w:t>
            </w:r>
          </w:p>
          <w:p w:rsidR="009D3070" w:rsidRPr="001402A8" w:rsidRDefault="009D3070" w:rsidP="00842CE2">
            <w:pPr>
              <w:jc w:val="center"/>
              <w:rPr>
                <w:i/>
                <w:lang w:eastAsia="fr-FR"/>
              </w:rPr>
            </w:pPr>
            <w:r w:rsidRPr="001402A8">
              <w:rPr>
                <w:i/>
              </w:rPr>
              <w:t xml:space="preserve">p ˂ 0,001 </w:t>
            </w:r>
          </w:p>
        </w:tc>
        <w:tc>
          <w:tcPr>
            <w:tcW w:w="1196" w:type="dxa"/>
            <w:shd w:val="clear" w:color="auto" w:fill="auto"/>
            <w:vAlign w:val="center"/>
            <w:hideMark/>
          </w:tcPr>
          <w:p w:rsidR="009D3070" w:rsidRPr="001402A8" w:rsidRDefault="009D3070" w:rsidP="00842CE2">
            <w:pPr>
              <w:jc w:val="center"/>
              <w:rPr>
                <w:lang w:eastAsia="fr-FR"/>
              </w:rPr>
            </w:pPr>
            <w:r w:rsidRPr="001402A8">
              <w:rPr>
                <w:lang w:eastAsia="fr-FR"/>
              </w:rPr>
              <w:t>-</w:t>
            </w:r>
          </w:p>
        </w:tc>
        <w:tc>
          <w:tcPr>
            <w:tcW w:w="1559" w:type="dxa"/>
            <w:shd w:val="clear" w:color="auto" w:fill="auto"/>
            <w:vAlign w:val="center"/>
          </w:tcPr>
          <w:p w:rsidR="009D3070" w:rsidRDefault="009D3070" w:rsidP="00842CE2">
            <w:pPr>
              <w:jc w:val="center"/>
              <w:rPr>
                <w:lang w:eastAsia="fr-FR"/>
              </w:rPr>
            </w:pPr>
            <w:r w:rsidRPr="001402A8">
              <w:rPr>
                <w:lang w:eastAsia="fr-FR"/>
              </w:rPr>
              <w:t xml:space="preserve">12,7 </w:t>
            </w:r>
          </w:p>
          <w:p w:rsidR="009D3070" w:rsidRPr="001402A8" w:rsidRDefault="009D3070" w:rsidP="00842CE2">
            <w:pPr>
              <w:jc w:val="center"/>
              <w:rPr>
                <w:lang w:eastAsia="fr-FR"/>
              </w:rPr>
            </w:pPr>
            <w:r w:rsidRPr="001402A8">
              <w:rPr>
                <w:lang w:eastAsia="fr-FR"/>
              </w:rPr>
              <w:t>(7,2; 18,2)</w:t>
            </w:r>
          </w:p>
          <w:p w:rsidR="009D3070" w:rsidRPr="001402A8" w:rsidRDefault="009D3070" w:rsidP="00842CE2">
            <w:pPr>
              <w:jc w:val="center"/>
              <w:rPr>
                <w:lang w:eastAsia="fr-FR"/>
              </w:rPr>
            </w:pPr>
            <w:r w:rsidRPr="001402A8">
              <w:rPr>
                <w:i/>
              </w:rPr>
              <w:t>p ˂ 0,</w:t>
            </w:r>
            <w:r>
              <w:rPr>
                <w:i/>
              </w:rPr>
              <w:t>001</w:t>
            </w:r>
          </w:p>
        </w:tc>
        <w:tc>
          <w:tcPr>
            <w:tcW w:w="1418" w:type="dxa"/>
            <w:shd w:val="clear" w:color="auto" w:fill="auto"/>
            <w:vAlign w:val="center"/>
          </w:tcPr>
          <w:p w:rsidR="009D3070" w:rsidRPr="001402A8" w:rsidRDefault="009D3070" w:rsidP="00842CE2">
            <w:pPr>
              <w:jc w:val="center"/>
              <w:rPr>
                <w:lang w:eastAsia="fr-FR"/>
              </w:rPr>
            </w:pPr>
            <w:r w:rsidRPr="001402A8">
              <w:rPr>
                <w:lang w:eastAsia="fr-FR"/>
              </w:rPr>
              <w:t>-</w:t>
            </w:r>
          </w:p>
        </w:tc>
      </w:tr>
      <w:tr w:rsidR="009D3070" w:rsidRPr="001402A8" w:rsidTr="00842CE2">
        <w:trPr>
          <w:trHeight w:val="530"/>
        </w:trPr>
        <w:tc>
          <w:tcPr>
            <w:tcW w:w="9356" w:type="dxa"/>
            <w:gridSpan w:val="5"/>
            <w:shd w:val="clear" w:color="auto" w:fill="auto"/>
            <w:vAlign w:val="center"/>
          </w:tcPr>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Inflammatoriske læsioner</w:t>
            </w:r>
          </w:p>
          <w:p w:rsidR="009D3070" w:rsidRPr="001402A8" w:rsidRDefault="009D3070" w:rsidP="00842CE2">
            <w:pPr>
              <w:rPr>
                <w:b/>
                <w:lang w:eastAsia="fr-FR"/>
              </w:rPr>
            </w:pPr>
            <w:r w:rsidRPr="001402A8">
              <w:rPr>
                <w:b/>
                <w:szCs w:val="22"/>
                <w:lang w:eastAsia="fr-FR"/>
              </w:rPr>
              <w:t>Gennemsnitlig absolut ændring i forhold til baseline</w:t>
            </w:r>
          </w:p>
          <w:p w:rsidR="009D3070" w:rsidRPr="001402A8" w:rsidRDefault="009D3070" w:rsidP="00842CE2">
            <w:pPr>
              <w:rPr>
                <w:b/>
                <w:lang w:eastAsia="fr-FR"/>
              </w:rPr>
            </w:pPr>
          </w:p>
        </w:tc>
      </w:tr>
      <w:tr w:rsidR="009D3070" w:rsidRPr="001402A8" w:rsidTr="00842CE2">
        <w:trPr>
          <w:trHeight w:val="269"/>
        </w:trPr>
        <w:tc>
          <w:tcPr>
            <w:tcW w:w="3920" w:type="dxa"/>
            <w:shd w:val="clear" w:color="auto" w:fill="auto"/>
            <w:vAlign w:val="center"/>
          </w:tcPr>
          <w:p w:rsidR="009D3070" w:rsidRPr="001402A8" w:rsidRDefault="009D3070" w:rsidP="00842CE2">
            <w:pPr>
              <w:rPr>
                <w:lang w:eastAsia="fr-FR"/>
              </w:rPr>
            </w:pPr>
            <w:r w:rsidRPr="001402A8">
              <w:rPr>
                <w:lang w:eastAsia="fr-FR"/>
              </w:rPr>
              <w:t>LS-gennemsnit (SE)</w:t>
            </w:r>
          </w:p>
        </w:tc>
        <w:tc>
          <w:tcPr>
            <w:tcW w:w="1263" w:type="dxa"/>
            <w:shd w:val="clear" w:color="auto" w:fill="auto"/>
            <w:vAlign w:val="center"/>
          </w:tcPr>
          <w:p w:rsidR="009D3070" w:rsidRPr="001402A8" w:rsidRDefault="009D3070" w:rsidP="00842CE2">
            <w:pPr>
              <w:rPr>
                <w:lang w:eastAsia="fr-FR"/>
              </w:rPr>
            </w:pPr>
            <w:r w:rsidRPr="001402A8">
              <w:rPr>
                <w:lang w:eastAsia="fr-FR"/>
              </w:rPr>
              <w:t>-21,4 (0,54)</w:t>
            </w:r>
          </w:p>
        </w:tc>
        <w:tc>
          <w:tcPr>
            <w:tcW w:w="1196" w:type="dxa"/>
            <w:shd w:val="clear" w:color="auto" w:fill="auto"/>
            <w:vAlign w:val="center"/>
          </w:tcPr>
          <w:p w:rsidR="009D3070" w:rsidRPr="001402A8" w:rsidRDefault="009D3070" w:rsidP="00842CE2">
            <w:pPr>
              <w:jc w:val="center"/>
              <w:rPr>
                <w:lang w:eastAsia="fr-FR"/>
              </w:rPr>
            </w:pPr>
            <w:r w:rsidRPr="001402A8">
              <w:rPr>
                <w:lang w:eastAsia="fr-FR"/>
              </w:rPr>
              <w:t>-18,8 (0,55)</w:t>
            </w:r>
          </w:p>
        </w:tc>
        <w:tc>
          <w:tcPr>
            <w:tcW w:w="1559" w:type="dxa"/>
            <w:shd w:val="clear" w:color="auto" w:fill="auto"/>
            <w:vAlign w:val="center"/>
          </w:tcPr>
          <w:p w:rsidR="009D3070" w:rsidRPr="001402A8" w:rsidRDefault="009D3070" w:rsidP="00842CE2">
            <w:pPr>
              <w:jc w:val="center"/>
              <w:rPr>
                <w:lang w:eastAsia="fr-FR"/>
              </w:rPr>
            </w:pPr>
            <w:r w:rsidRPr="001402A8">
              <w:rPr>
                <w:lang w:eastAsia="fr-FR"/>
              </w:rPr>
              <w:t>-25,5 (0,59)</w:t>
            </w:r>
          </w:p>
        </w:tc>
        <w:tc>
          <w:tcPr>
            <w:tcW w:w="1418" w:type="dxa"/>
            <w:shd w:val="clear" w:color="auto" w:fill="auto"/>
            <w:vAlign w:val="center"/>
          </w:tcPr>
          <w:p w:rsidR="009D3070" w:rsidRPr="001402A8" w:rsidRDefault="009D3070" w:rsidP="00842CE2">
            <w:pPr>
              <w:jc w:val="center"/>
              <w:rPr>
                <w:lang w:eastAsia="fr-FR"/>
              </w:rPr>
            </w:pPr>
            <w:r w:rsidRPr="001402A8">
              <w:rPr>
                <w:lang w:eastAsia="fr-FR"/>
              </w:rPr>
              <w:t>-19,8 (0,58)</w:t>
            </w:r>
          </w:p>
        </w:tc>
      </w:tr>
      <w:tr w:rsidR="009D3070" w:rsidRPr="001402A8" w:rsidTr="00842CE2">
        <w:trPr>
          <w:trHeight w:val="341"/>
        </w:trPr>
        <w:tc>
          <w:tcPr>
            <w:tcW w:w="3920" w:type="dxa"/>
            <w:shd w:val="clear" w:color="auto" w:fill="auto"/>
            <w:vAlign w:val="center"/>
            <w:hideMark/>
          </w:tcPr>
          <w:p w:rsidR="009D3070" w:rsidRPr="001402A8" w:rsidRDefault="009D3070" w:rsidP="00842CE2">
            <w:pPr>
              <w:rPr>
                <w:lang w:eastAsia="fr-FR"/>
              </w:rPr>
            </w:pPr>
            <w:r w:rsidRPr="001402A8">
              <w:rPr>
                <w:szCs w:val="22"/>
                <w:lang w:eastAsia="fr-FR"/>
              </w:rPr>
              <w:t>Forskel i LS-gennemsnit i forhold til vehikel (95</w:t>
            </w:r>
            <w:r>
              <w:rPr>
                <w:szCs w:val="22"/>
                <w:lang w:eastAsia="fr-FR"/>
              </w:rPr>
              <w:t xml:space="preserve"> %</w:t>
            </w:r>
            <w:r w:rsidRPr="001402A8">
              <w:rPr>
                <w:szCs w:val="22"/>
                <w:lang w:eastAsia="fr-FR"/>
              </w:rPr>
              <w:t xml:space="preserve"> CI)</w:t>
            </w:r>
          </w:p>
        </w:tc>
        <w:tc>
          <w:tcPr>
            <w:tcW w:w="1263" w:type="dxa"/>
            <w:shd w:val="clear" w:color="auto" w:fill="auto"/>
            <w:vAlign w:val="center"/>
            <w:hideMark/>
          </w:tcPr>
          <w:p w:rsidR="009D3070" w:rsidRDefault="009D3070" w:rsidP="00842CE2">
            <w:pPr>
              <w:jc w:val="center"/>
              <w:rPr>
                <w:lang w:eastAsia="fr-FR"/>
              </w:rPr>
            </w:pPr>
            <w:r w:rsidRPr="001402A8">
              <w:rPr>
                <w:lang w:eastAsia="fr-FR"/>
              </w:rPr>
              <w:t xml:space="preserve">-2,5 </w:t>
            </w:r>
          </w:p>
          <w:p w:rsidR="009D3070" w:rsidRPr="001402A8" w:rsidRDefault="009D3070" w:rsidP="00842CE2">
            <w:pPr>
              <w:jc w:val="center"/>
              <w:rPr>
                <w:lang w:eastAsia="fr-FR"/>
              </w:rPr>
            </w:pPr>
            <w:r w:rsidRPr="001402A8">
              <w:rPr>
                <w:lang w:eastAsia="fr-FR"/>
              </w:rPr>
              <w:t>(-4,0; -1,1)</w:t>
            </w:r>
            <w:r w:rsidRPr="001402A8">
              <w:rPr>
                <w:i/>
              </w:rPr>
              <w:t xml:space="preserve"> p ˂ 0,</w:t>
            </w:r>
            <w:r>
              <w:rPr>
                <w:i/>
              </w:rPr>
              <w:t>001</w:t>
            </w:r>
          </w:p>
        </w:tc>
        <w:tc>
          <w:tcPr>
            <w:tcW w:w="1196" w:type="dxa"/>
            <w:shd w:val="clear" w:color="auto" w:fill="auto"/>
            <w:vAlign w:val="center"/>
            <w:hideMark/>
          </w:tcPr>
          <w:p w:rsidR="009D3070" w:rsidRPr="001402A8" w:rsidRDefault="009D3070" w:rsidP="00842CE2">
            <w:pPr>
              <w:jc w:val="center"/>
              <w:rPr>
                <w:lang w:eastAsia="fr-FR"/>
              </w:rPr>
            </w:pPr>
            <w:r w:rsidRPr="001402A8">
              <w:rPr>
                <w:lang w:eastAsia="fr-FR"/>
              </w:rPr>
              <w:t>-</w:t>
            </w:r>
          </w:p>
        </w:tc>
        <w:tc>
          <w:tcPr>
            <w:tcW w:w="1559" w:type="dxa"/>
            <w:shd w:val="clear" w:color="auto" w:fill="auto"/>
            <w:vAlign w:val="center"/>
          </w:tcPr>
          <w:p w:rsidR="009D3070" w:rsidRDefault="009D3070" w:rsidP="00842CE2">
            <w:pPr>
              <w:jc w:val="center"/>
              <w:rPr>
                <w:lang w:eastAsia="fr-FR"/>
              </w:rPr>
            </w:pPr>
            <w:r w:rsidRPr="001402A8">
              <w:rPr>
                <w:lang w:eastAsia="fr-FR"/>
              </w:rPr>
              <w:t xml:space="preserve">-5,7 </w:t>
            </w:r>
          </w:p>
          <w:p w:rsidR="009D3070" w:rsidRDefault="009D3070" w:rsidP="00842CE2">
            <w:pPr>
              <w:jc w:val="center"/>
              <w:rPr>
                <w:i/>
              </w:rPr>
            </w:pPr>
            <w:r w:rsidRPr="001402A8">
              <w:rPr>
                <w:lang w:eastAsia="fr-FR"/>
              </w:rPr>
              <w:t>(-7,2; -4,2)</w:t>
            </w:r>
            <w:r w:rsidRPr="001402A8">
              <w:rPr>
                <w:i/>
              </w:rPr>
              <w:t xml:space="preserve"> </w:t>
            </w:r>
          </w:p>
          <w:p w:rsidR="009D3070" w:rsidRPr="001402A8" w:rsidRDefault="009D3070" w:rsidP="00842CE2">
            <w:pPr>
              <w:jc w:val="center"/>
              <w:rPr>
                <w:lang w:eastAsia="fr-FR"/>
              </w:rPr>
            </w:pPr>
            <w:r w:rsidRPr="001402A8">
              <w:rPr>
                <w:i/>
              </w:rPr>
              <w:t>p ˂ 0,</w:t>
            </w:r>
            <w:r>
              <w:rPr>
                <w:i/>
              </w:rPr>
              <w:t>001</w:t>
            </w:r>
          </w:p>
        </w:tc>
        <w:tc>
          <w:tcPr>
            <w:tcW w:w="1418" w:type="dxa"/>
            <w:shd w:val="clear" w:color="auto" w:fill="auto"/>
            <w:vAlign w:val="center"/>
          </w:tcPr>
          <w:p w:rsidR="009D3070" w:rsidRPr="001402A8" w:rsidRDefault="009D3070" w:rsidP="00842CE2">
            <w:pPr>
              <w:jc w:val="center"/>
              <w:rPr>
                <w:lang w:eastAsia="fr-FR"/>
              </w:rPr>
            </w:pPr>
            <w:r w:rsidRPr="001402A8">
              <w:rPr>
                <w:lang w:eastAsia="fr-FR"/>
              </w:rPr>
              <w:t>-</w:t>
            </w:r>
          </w:p>
        </w:tc>
      </w:tr>
      <w:tr w:rsidR="009D3070" w:rsidRPr="001402A8" w:rsidTr="00842CE2">
        <w:trPr>
          <w:trHeight w:val="341"/>
        </w:trPr>
        <w:tc>
          <w:tcPr>
            <w:tcW w:w="9356" w:type="dxa"/>
            <w:gridSpan w:val="5"/>
            <w:shd w:val="clear" w:color="auto" w:fill="auto"/>
            <w:vAlign w:val="center"/>
          </w:tcPr>
          <w:p w:rsidR="009D3070" w:rsidRPr="001402A8" w:rsidRDefault="009D3070" w:rsidP="00842CE2">
            <w:pPr>
              <w:rPr>
                <w:lang w:eastAsia="fr-FR"/>
              </w:rPr>
            </w:pPr>
            <w:r w:rsidRPr="001402A8">
              <w:rPr>
                <w:b/>
                <w:szCs w:val="22"/>
                <w:lang w:eastAsia="fr-FR"/>
              </w:rPr>
              <w:t xml:space="preserve">Gennemsnitlig procentvis ændring i forhold til baseline </w:t>
            </w:r>
            <w:proofErr w:type="gramStart"/>
            <w:r w:rsidRPr="001402A8">
              <w:rPr>
                <w:b/>
                <w:szCs w:val="22"/>
                <w:lang w:eastAsia="fr-FR"/>
              </w:rPr>
              <w:t>(</w:t>
            </w:r>
            <w:r>
              <w:rPr>
                <w:b/>
                <w:szCs w:val="22"/>
                <w:lang w:eastAsia="fr-FR"/>
              </w:rPr>
              <w:t xml:space="preserve"> %</w:t>
            </w:r>
            <w:proofErr w:type="gramEnd"/>
            <w:r w:rsidRPr="001402A8">
              <w:rPr>
                <w:b/>
                <w:szCs w:val="22"/>
                <w:lang w:eastAsia="fr-FR"/>
              </w:rPr>
              <w:t>)</w:t>
            </w:r>
          </w:p>
        </w:tc>
      </w:tr>
      <w:tr w:rsidR="009D3070" w:rsidRPr="001402A8" w:rsidTr="00842CE2">
        <w:trPr>
          <w:trHeight w:val="341"/>
        </w:trPr>
        <w:tc>
          <w:tcPr>
            <w:tcW w:w="3920" w:type="dxa"/>
            <w:shd w:val="clear" w:color="auto" w:fill="auto"/>
            <w:vAlign w:val="center"/>
          </w:tcPr>
          <w:p w:rsidR="009D3070" w:rsidRPr="001402A8" w:rsidRDefault="009D3070" w:rsidP="00842CE2">
            <w:pPr>
              <w:rPr>
                <w:lang w:eastAsia="fr-FR"/>
              </w:rPr>
            </w:pPr>
            <w:r w:rsidRPr="001402A8">
              <w:rPr>
                <w:lang w:eastAsia="fr-FR"/>
              </w:rPr>
              <w:t>Gennemsnit (SE)</w:t>
            </w:r>
          </w:p>
        </w:tc>
        <w:tc>
          <w:tcPr>
            <w:tcW w:w="1263" w:type="dxa"/>
            <w:shd w:val="clear" w:color="auto" w:fill="auto"/>
            <w:vAlign w:val="center"/>
          </w:tcPr>
          <w:p w:rsidR="009D3070" w:rsidRPr="001402A8" w:rsidRDefault="009D3070" w:rsidP="00842CE2">
            <w:pPr>
              <w:jc w:val="center"/>
              <w:rPr>
                <w:lang w:eastAsia="fr-FR"/>
              </w:rPr>
            </w:pPr>
            <w:r w:rsidRPr="001402A8">
              <w:rPr>
                <w:lang w:eastAsia="fr-FR"/>
              </w:rPr>
              <w:t>15,9 (0,60)</w:t>
            </w:r>
          </w:p>
        </w:tc>
        <w:tc>
          <w:tcPr>
            <w:tcW w:w="1196" w:type="dxa"/>
            <w:shd w:val="clear" w:color="auto" w:fill="auto"/>
            <w:vAlign w:val="center"/>
          </w:tcPr>
          <w:p w:rsidR="009D3070" w:rsidRPr="001402A8" w:rsidRDefault="009D3070" w:rsidP="00842CE2">
            <w:pPr>
              <w:jc w:val="center"/>
              <w:rPr>
                <w:lang w:eastAsia="fr-FR"/>
              </w:rPr>
            </w:pPr>
            <w:r w:rsidRPr="001402A8">
              <w:rPr>
                <w:lang w:eastAsia="fr-FR"/>
              </w:rPr>
              <w:t>17,9 (0,64)</w:t>
            </w:r>
          </w:p>
        </w:tc>
        <w:tc>
          <w:tcPr>
            <w:tcW w:w="1559" w:type="dxa"/>
            <w:shd w:val="clear" w:color="auto" w:fill="auto"/>
            <w:vAlign w:val="center"/>
          </w:tcPr>
          <w:p w:rsidR="009D3070" w:rsidRPr="001402A8" w:rsidRDefault="009D3070" w:rsidP="00842CE2">
            <w:pPr>
              <w:jc w:val="center"/>
              <w:rPr>
                <w:lang w:eastAsia="fr-FR"/>
              </w:rPr>
            </w:pPr>
            <w:r w:rsidRPr="001402A8">
              <w:rPr>
                <w:lang w:eastAsia="fr-FR"/>
              </w:rPr>
              <w:t>13,5 (0,57)</w:t>
            </w:r>
          </w:p>
        </w:tc>
        <w:tc>
          <w:tcPr>
            <w:tcW w:w="1418" w:type="dxa"/>
            <w:shd w:val="clear" w:color="auto" w:fill="auto"/>
            <w:vAlign w:val="center"/>
          </w:tcPr>
          <w:p w:rsidR="009D3070" w:rsidRPr="001402A8" w:rsidRDefault="009D3070" w:rsidP="00842CE2">
            <w:pPr>
              <w:jc w:val="center"/>
              <w:rPr>
                <w:lang w:eastAsia="fr-FR"/>
              </w:rPr>
            </w:pPr>
            <w:r w:rsidRPr="001402A8">
              <w:rPr>
                <w:lang w:eastAsia="fr-FR"/>
              </w:rPr>
              <w:t>18,8 (0,71)</w:t>
            </w:r>
          </w:p>
        </w:tc>
      </w:tr>
      <w:tr w:rsidR="009D3070" w:rsidRPr="001402A8" w:rsidTr="00842CE2">
        <w:trPr>
          <w:trHeight w:val="341"/>
        </w:trPr>
        <w:tc>
          <w:tcPr>
            <w:tcW w:w="3920" w:type="dxa"/>
            <w:shd w:val="clear" w:color="auto" w:fill="auto"/>
            <w:vAlign w:val="center"/>
          </w:tcPr>
          <w:p w:rsidR="009D3070" w:rsidRPr="001402A8" w:rsidRDefault="009D3070" w:rsidP="00842CE2">
            <w:pPr>
              <w:rPr>
                <w:lang w:eastAsia="fr-FR"/>
              </w:rPr>
            </w:pPr>
            <w:r w:rsidRPr="001402A8">
              <w:rPr>
                <w:lang w:eastAsia="fr-FR"/>
              </w:rPr>
              <w:t>Gennemsnitlig procentvis ændring i forhold til baseline</w:t>
            </w:r>
          </w:p>
        </w:tc>
        <w:tc>
          <w:tcPr>
            <w:tcW w:w="1263" w:type="dxa"/>
            <w:shd w:val="clear" w:color="auto" w:fill="auto"/>
            <w:vAlign w:val="center"/>
          </w:tcPr>
          <w:p w:rsidR="009D3070" w:rsidRPr="001402A8" w:rsidRDefault="009D3070" w:rsidP="00842CE2">
            <w:pPr>
              <w:jc w:val="center"/>
              <w:rPr>
                <w:i/>
              </w:rPr>
            </w:pPr>
            <w:r w:rsidRPr="001402A8">
              <w:rPr>
                <w:lang w:eastAsia="fr-FR"/>
              </w:rPr>
              <w:t>-57,4</w:t>
            </w:r>
            <w:r w:rsidRPr="001402A8">
              <w:rPr>
                <w:i/>
              </w:rPr>
              <w:t xml:space="preserve"> </w:t>
            </w:r>
          </w:p>
          <w:p w:rsidR="009D3070" w:rsidRPr="001402A8" w:rsidRDefault="009D3070" w:rsidP="00842CE2">
            <w:pPr>
              <w:jc w:val="center"/>
              <w:rPr>
                <w:lang w:eastAsia="fr-FR"/>
              </w:rPr>
            </w:pPr>
            <w:r w:rsidRPr="001402A8">
              <w:rPr>
                <w:i/>
              </w:rPr>
              <w:t>p ˂ 0.001 vs. vehikel</w:t>
            </w:r>
          </w:p>
        </w:tc>
        <w:tc>
          <w:tcPr>
            <w:tcW w:w="1196" w:type="dxa"/>
            <w:shd w:val="clear" w:color="auto" w:fill="auto"/>
            <w:vAlign w:val="center"/>
          </w:tcPr>
          <w:p w:rsidR="009D3070" w:rsidRPr="001402A8" w:rsidRDefault="009D3070" w:rsidP="00842CE2">
            <w:pPr>
              <w:jc w:val="center"/>
              <w:rPr>
                <w:lang w:eastAsia="fr-FR"/>
              </w:rPr>
            </w:pPr>
            <w:r w:rsidRPr="001402A8">
              <w:rPr>
                <w:lang w:eastAsia="fr-FR"/>
              </w:rPr>
              <w:t>-50,0</w:t>
            </w:r>
          </w:p>
        </w:tc>
        <w:tc>
          <w:tcPr>
            <w:tcW w:w="1559" w:type="dxa"/>
            <w:shd w:val="clear" w:color="auto" w:fill="auto"/>
            <w:vAlign w:val="center"/>
          </w:tcPr>
          <w:p w:rsidR="009D3070" w:rsidRPr="001402A8" w:rsidRDefault="009D3070" w:rsidP="00842CE2">
            <w:pPr>
              <w:jc w:val="center"/>
              <w:rPr>
                <w:i/>
              </w:rPr>
            </w:pPr>
            <w:r w:rsidRPr="001402A8">
              <w:rPr>
                <w:lang w:eastAsia="fr-FR"/>
              </w:rPr>
              <w:t>-65,4</w:t>
            </w:r>
            <w:r w:rsidRPr="001402A8">
              <w:rPr>
                <w:i/>
              </w:rPr>
              <w:t xml:space="preserve"> </w:t>
            </w:r>
          </w:p>
          <w:p w:rsidR="009D3070" w:rsidRPr="001402A8" w:rsidRDefault="009D3070" w:rsidP="00842CE2">
            <w:pPr>
              <w:jc w:val="center"/>
              <w:rPr>
                <w:lang w:eastAsia="fr-FR"/>
              </w:rPr>
            </w:pPr>
            <w:r w:rsidRPr="001402A8">
              <w:rPr>
                <w:i/>
              </w:rPr>
              <w:t>p ˂ 0,001 vs. vehikel</w:t>
            </w:r>
          </w:p>
        </w:tc>
        <w:tc>
          <w:tcPr>
            <w:tcW w:w="1418" w:type="dxa"/>
            <w:shd w:val="clear" w:color="auto" w:fill="auto"/>
            <w:vAlign w:val="center"/>
          </w:tcPr>
          <w:p w:rsidR="009D3070" w:rsidRPr="001402A8" w:rsidRDefault="009D3070" w:rsidP="00842CE2">
            <w:pPr>
              <w:jc w:val="center"/>
              <w:rPr>
                <w:lang w:eastAsia="fr-FR"/>
              </w:rPr>
            </w:pPr>
            <w:r w:rsidRPr="001402A8">
              <w:rPr>
                <w:lang w:eastAsia="fr-FR"/>
              </w:rPr>
              <w:t>-51,1</w:t>
            </w:r>
          </w:p>
        </w:tc>
      </w:tr>
      <w:tr w:rsidR="009D3070" w:rsidRPr="001402A8" w:rsidTr="00842CE2">
        <w:trPr>
          <w:trHeight w:val="530"/>
        </w:trPr>
        <w:tc>
          <w:tcPr>
            <w:tcW w:w="9356" w:type="dxa"/>
            <w:gridSpan w:val="5"/>
            <w:shd w:val="clear" w:color="auto" w:fill="auto"/>
            <w:vAlign w:val="center"/>
          </w:tcPr>
          <w:p w:rsidR="009D3070" w:rsidRPr="001402A8" w:rsidRDefault="009D3070" w:rsidP="00842CE2">
            <w:pPr>
              <w:pStyle w:val="TableText"/>
              <w:rPr>
                <w:rFonts w:ascii="Times New Roman" w:eastAsia="Times New Roman" w:hAnsi="Times New Roman"/>
                <w:b/>
                <w:sz w:val="22"/>
                <w:szCs w:val="22"/>
                <w:lang w:val="da-DK" w:eastAsia="fr-FR"/>
              </w:rPr>
            </w:pPr>
            <w:r w:rsidRPr="001402A8">
              <w:rPr>
                <w:rFonts w:ascii="Times New Roman" w:eastAsia="Times New Roman" w:hAnsi="Times New Roman"/>
                <w:b/>
                <w:sz w:val="22"/>
                <w:szCs w:val="22"/>
                <w:lang w:val="da-DK" w:eastAsia="fr-FR"/>
              </w:rPr>
              <w:t>Noninflammatoriske læsioner</w:t>
            </w:r>
          </w:p>
          <w:p w:rsidR="009D3070" w:rsidRPr="001402A8" w:rsidRDefault="009D3070" w:rsidP="00842CE2">
            <w:pPr>
              <w:rPr>
                <w:b/>
                <w:lang w:eastAsia="fr-FR"/>
              </w:rPr>
            </w:pPr>
            <w:r w:rsidRPr="001402A8">
              <w:rPr>
                <w:b/>
                <w:szCs w:val="22"/>
                <w:lang w:eastAsia="fr-FR"/>
              </w:rPr>
              <w:t>Gennemsnitlig absolut ændring i forhold til baseline</w:t>
            </w:r>
          </w:p>
          <w:p w:rsidR="009D3070" w:rsidRPr="001402A8" w:rsidRDefault="009D3070" w:rsidP="00842CE2">
            <w:pPr>
              <w:rPr>
                <w:b/>
                <w:lang w:eastAsia="fr-FR"/>
              </w:rPr>
            </w:pPr>
          </w:p>
        </w:tc>
      </w:tr>
      <w:tr w:rsidR="009D3070" w:rsidRPr="001402A8" w:rsidTr="00842CE2">
        <w:trPr>
          <w:trHeight w:val="350"/>
        </w:trPr>
        <w:tc>
          <w:tcPr>
            <w:tcW w:w="3920" w:type="dxa"/>
            <w:shd w:val="clear" w:color="auto" w:fill="auto"/>
            <w:vAlign w:val="center"/>
          </w:tcPr>
          <w:p w:rsidR="009D3070" w:rsidRPr="001402A8" w:rsidRDefault="009D3070" w:rsidP="00842CE2">
            <w:pPr>
              <w:rPr>
                <w:lang w:eastAsia="fr-FR"/>
              </w:rPr>
            </w:pPr>
            <w:r w:rsidRPr="001402A8">
              <w:rPr>
                <w:lang w:eastAsia="fr-FR"/>
              </w:rPr>
              <w:t>LS-gennemsnit (SE)</w:t>
            </w:r>
          </w:p>
        </w:tc>
        <w:tc>
          <w:tcPr>
            <w:tcW w:w="1263" w:type="dxa"/>
            <w:shd w:val="clear" w:color="auto" w:fill="auto"/>
            <w:vAlign w:val="center"/>
          </w:tcPr>
          <w:p w:rsidR="009D3070" w:rsidRPr="001402A8" w:rsidRDefault="009D3070" w:rsidP="00842CE2">
            <w:pPr>
              <w:jc w:val="center"/>
              <w:rPr>
                <w:lang w:eastAsia="fr-FR"/>
              </w:rPr>
            </w:pPr>
            <w:r w:rsidRPr="001402A8">
              <w:rPr>
                <w:lang w:eastAsia="fr-FR"/>
              </w:rPr>
              <w:t>-21,9 (0,93)</w:t>
            </w:r>
          </w:p>
        </w:tc>
        <w:tc>
          <w:tcPr>
            <w:tcW w:w="1196" w:type="dxa"/>
            <w:shd w:val="clear" w:color="auto" w:fill="auto"/>
            <w:vAlign w:val="center"/>
          </w:tcPr>
          <w:p w:rsidR="009D3070" w:rsidRPr="001402A8" w:rsidRDefault="009D3070" w:rsidP="00842CE2">
            <w:pPr>
              <w:jc w:val="center"/>
              <w:rPr>
                <w:lang w:eastAsia="fr-FR"/>
              </w:rPr>
            </w:pPr>
            <w:r w:rsidRPr="001402A8">
              <w:rPr>
                <w:lang w:eastAsia="fr-FR"/>
              </w:rPr>
              <w:t>-17,8 (0,94)</w:t>
            </w:r>
          </w:p>
        </w:tc>
        <w:tc>
          <w:tcPr>
            <w:tcW w:w="1559" w:type="dxa"/>
            <w:shd w:val="clear" w:color="auto" w:fill="auto"/>
            <w:vAlign w:val="center"/>
          </w:tcPr>
          <w:p w:rsidR="009D3070" w:rsidRPr="001402A8" w:rsidRDefault="009D3070" w:rsidP="00842CE2">
            <w:pPr>
              <w:jc w:val="center"/>
              <w:rPr>
                <w:lang w:eastAsia="fr-FR"/>
              </w:rPr>
            </w:pPr>
            <w:r w:rsidRPr="001402A8">
              <w:rPr>
                <w:lang w:eastAsia="fr-FR"/>
              </w:rPr>
              <w:t>-25,9 (0,67)</w:t>
            </w:r>
          </w:p>
        </w:tc>
        <w:tc>
          <w:tcPr>
            <w:tcW w:w="1418" w:type="dxa"/>
            <w:shd w:val="clear" w:color="auto" w:fill="auto"/>
            <w:vAlign w:val="center"/>
          </w:tcPr>
          <w:p w:rsidR="009D3070" w:rsidRPr="001402A8" w:rsidRDefault="009D3070" w:rsidP="00842CE2">
            <w:pPr>
              <w:jc w:val="center"/>
              <w:rPr>
                <w:lang w:eastAsia="fr-FR"/>
              </w:rPr>
            </w:pPr>
            <w:r w:rsidRPr="001402A8">
              <w:rPr>
                <w:lang w:eastAsia="fr-FR"/>
              </w:rPr>
              <w:t>-20,8 (0,66)</w:t>
            </w:r>
          </w:p>
        </w:tc>
      </w:tr>
      <w:tr w:rsidR="009D3070" w:rsidRPr="001402A8" w:rsidTr="00842CE2">
        <w:trPr>
          <w:trHeight w:val="350"/>
        </w:trPr>
        <w:tc>
          <w:tcPr>
            <w:tcW w:w="3920" w:type="dxa"/>
            <w:shd w:val="clear" w:color="auto" w:fill="auto"/>
            <w:vAlign w:val="center"/>
            <w:hideMark/>
          </w:tcPr>
          <w:p w:rsidR="009D3070" w:rsidRPr="001402A8" w:rsidRDefault="009D3070" w:rsidP="00842CE2">
            <w:pPr>
              <w:rPr>
                <w:lang w:eastAsia="fr-FR"/>
              </w:rPr>
            </w:pPr>
            <w:r w:rsidRPr="001402A8">
              <w:rPr>
                <w:szCs w:val="22"/>
                <w:lang w:eastAsia="fr-FR"/>
              </w:rPr>
              <w:t>Forskel i LS-gennemsnit i forhold til vehikel (95</w:t>
            </w:r>
            <w:r>
              <w:rPr>
                <w:szCs w:val="22"/>
                <w:lang w:eastAsia="fr-FR"/>
              </w:rPr>
              <w:t xml:space="preserve"> %</w:t>
            </w:r>
            <w:r w:rsidRPr="001402A8">
              <w:rPr>
                <w:szCs w:val="22"/>
                <w:lang w:eastAsia="fr-FR"/>
              </w:rPr>
              <w:t xml:space="preserve"> CI)</w:t>
            </w:r>
          </w:p>
        </w:tc>
        <w:tc>
          <w:tcPr>
            <w:tcW w:w="1263" w:type="dxa"/>
            <w:shd w:val="clear" w:color="auto" w:fill="auto"/>
            <w:vAlign w:val="center"/>
            <w:hideMark/>
          </w:tcPr>
          <w:p w:rsidR="009D3070" w:rsidRDefault="009D3070" w:rsidP="00842CE2">
            <w:pPr>
              <w:jc w:val="center"/>
              <w:rPr>
                <w:lang w:eastAsia="fr-FR"/>
              </w:rPr>
            </w:pPr>
            <w:r w:rsidRPr="001402A8">
              <w:rPr>
                <w:lang w:eastAsia="fr-FR"/>
              </w:rPr>
              <w:t xml:space="preserve">-4,1 </w:t>
            </w:r>
          </w:p>
          <w:p w:rsidR="009D3070" w:rsidRPr="001402A8" w:rsidRDefault="009D3070" w:rsidP="00842CE2">
            <w:pPr>
              <w:jc w:val="center"/>
              <w:rPr>
                <w:lang w:eastAsia="fr-FR"/>
              </w:rPr>
            </w:pPr>
            <w:r w:rsidRPr="001402A8">
              <w:rPr>
                <w:lang w:eastAsia="fr-FR"/>
              </w:rPr>
              <w:t>(-6,6; -1,7)</w:t>
            </w:r>
            <w:r w:rsidRPr="001402A8">
              <w:rPr>
                <w:i/>
              </w:rPr>
              <w:t xml:space="preserve"> p = 0,001 </w:t>
            </w:r>
          </w:p>
        </w:tc>
        <w:tc>
          <w:tcPr>
            <w:tcW w:w="1196" w:type="dxa"/>
            <w:shd w:val="clear" w:color="auto" w:fill="auto"/>
            <w:vAlign w:val="center"/>
            <w:hideMark/>
          </w:tcPr>
          <w:p w:rsidR="009D3070" w:rsidRPr="001402A8" w:rsidRDefault="009D3070" w:rsidP="00842CE2">
            <w:pPr>
              <w:jc w:val="center"/>
              <w:rPr>
                <w:lang w:eastAsia="fr-FR"/>
              </w:rPr>
            </w:pPr>
            <w:r w:rsidRPr="001402A8">
              <w:rPr>
                <w:lang w:eastAsia="fr-FR"/>
              </w:rPr>
              <w:t>-</w:t>
            </w:r>
          </w:p>
        </w:tc>
        <w:tc>
          <w:tcPr>
            <w:tcW w:w="1559" w:type="dxa"/>
            <w:shd w:val="clear" w:color="auto" w:fill="auto"/>
            <w:vAlign w:val="center"/>
          </w:tcPr>
          <w:p w:rsidR="009D3070" w:rsidRDefault="009D3070" w:rsidP="00842CE2">
            <w:pPr>
              <w:jc w:val="center"/>
              <w:rPr>
                <w:lang w:eastAsia="fr-FR"/>
              </w:rPr>
            </w:pPr>
            <w:r w:rsidRPr="001402A8">
              <w:rPr>
                <w:lang w:eastAsia="fr-FR"/>
              </w:rPr>
              <w:t xml:space="preserve">-5,0 </w:t>
            </w:r>
          </w:p>
          <w:p w:rsidR="009D3070" w:rsidRPr="001402A8" w:rsidRDefault="009D3070" w:rsidP="00842CE2">
            <w:pPr>
              <w:jc w:val="center"/>
              <w:rPr>
                <w:lang w:eastAsia="fr-FR"/>
              </w:rPr>
            </w:pPr>
            <w:r w:rsidRPr="001402A8">
              <w:rPr>
                <w:lang w:eastAsia="fr-FR"/>
              </w:rPr>
              <w:t>(-6,8; -3,3)</w:t>
            </w:r>
          </w:p>
          <w:p w:rsidR="009D3070" w:rsidRPr="001402A8" w:rsidRDefault="009D3070" w:rsidP="00842CE2">
            <w:pPr>
              <w:jc w:val="center"/>
              <w:rPr>
                <w:lang w:eastAsia="fr-FR"/>
              </w:rPr>
            </w:pPr>
            <w:r w:rsidRPr="001402A8">
              <w:rPr>
                <w:i/>
              </w:rPr>
              <w:t>p ˂ 0,</w:t>
            </w:r>
            <w:r>
              <w:rPr>
                <w:i/>
              </w:rPr>
              <w:t>001</w:t>
            </w:r>
          </w:p>
        </w:tc>
        <w:tc>
          <w:tcPr>
            <w:tcW w:w="1418" w:type="dxa"/>
            <w:shd w:val="clear" w:color="auto" w:fill="auto"/>
            <w:vAlign w:val="center"/>
          </w:tcPr>
          <w:p w:rsidR="009D3070" w:rsidRPr="001402A8" w:rsidRDefault="009D3070" w:rsidP="00842CE2">
            <w:pPr>
              <w:jc w:val="center"/>
              <w:rPr>
                <w:lang w:eastAsia="fr-FR"/>
              </w:rPr>
            </w:pPr>
            <w:r w:rsidRPr="001402A8">
              <w:rPr>
                <w:lang w:eastAsia="fr-FR"/>
              </w:rPr>
              <w:t>-</w:t>
            </w:r>
          </w:p>
        </w:tc>
      </w:tr>
      <w:tr w:rsidR="009D3070" w:rsidRPr="001402A8" w:rsidTr="00842CE2">
        <w:trPr>
          <w:trHeight w:val="350"/>
        </w:trPr>
        <w:tc>
          <w:tcPr>
            <w:tcW w:w="9356" w:type="dxa"/>
            <w:gridSpan w:val="5"/>
            <w:shd w:val="clear" w:color="auto" w:fill="auto"/>
            <w:vAlign w:val="center"/>
          </w:tcPr>
          <w:p w:rsidR="009D3070" w:rsidRPr="001402A8" w:rsidRDefault="009D3070" w:rsidP="00842CE2">
            <w:pPr>
              <w:rPr>
                <w:lang w:eastAsia="fr-FR"/>
              </w:rPr>
            </w:pPr>
            <w:r w:rsidRPr="001402A8">
              <w:rPr>
                <w:b/>
                <w:lang w:eastAsia="fr-FR"/>
              </w:rPr>
              <w:t xml:space="preserve">Gennemsnitlig procentvis ændring i forhold til baseline </w:t>
            </w:r>
            <w:proofErr w:type="gramStart"/>
            <w:r w:rsidRPr="001402A8">
              <w:rPr>
                <w:b/>
                <w:lang w:eastAsia="fr-FR"/>
              </w:rPr>
              <w:t>(</w:t>
            </w:r>
            <w:r>
              <w:rPr>
                <w:b/>
                <w:lang w:eastAsia="fr-FR"/>
              </w:rPr>
              <w:t xml:space="preserve"> %</w:t>
            </w:r>
            <w:proofErr w:type="gramEnd"/>
            <w:r w:rsidRPr="001402A8">
              <w:rPr>
                <w:b/>
                <w:lang w:eastAsia="fr-FR"/>
              </w:rPr>
              <w:t>)</w:t>
            </w:r>
          </w:p>
        </w:tc>
      </w:tr>
      <w:tr w:rsidR="009D3070" w:rsidRPr="001402A8" w:rsidTr="00842CE2">
        <w:trPr>
          <w:trHeight w:val="350"/>
        </w:trPr>
        <w:tc>
          <w:tcPr>
            <w:tcW w:w="3920" w:type="dxa"/>
            <w:shd w:val="clear" w:color="auto" w:fill="auto"/>
            <w:vAlign w:val="center"/>
          </w:tcPr>
          <w:p w:rsidR="009D3070" w:rsidRPr="001402A8" w:rsidRDefault="009D3070" w:rsidP="00842CE2">
            <w:pPr>
              <w:rPr>
                <w:lang w:eastAsia="fr-FR"/>
              </w:rPr>
            </w:pPr>
            <w:r w:rsidRPr="001402A8">
              <w:rPr>
                <w:lang w:eastAsia="fr-FR"/>
              </w:rPr>
              <w:t>Gennemsnit (SE)</w:t>
            </w:r>
          </w:p>
        </w:tc>
        <w:tc>
          <w:tcPr>
            <w:tcW w:w="1263" w:type="dxa"/>
            <w:shd w:val="clear" w:color="auto" w:fill="auto"/>
            <w:vAlign w:val="center"/>
          </w:tcPr>
          <w:p w:rsidR="009D3070" w:rsidRPr="001402A8" w:rsidRDefault="009D3070" w:rsidP="00842CE2">
            <w:pPr>
              <w:jc w:val="center"/>
              <w:rPr>
                <w:lang w:eastAsia="fr-FR"/>
              </w:rPr>
            </w:pPr>
            <w:r w:rsidRPr="001402A8">
              <w:rPr>
                <w:lang w:eastAsia="fr-FR"/>
              </w:rPr>
              <w:t>24,5 (1,01)</w:t>
            </w:r>
          </w:p>
        </w:tc>
        <w:tc>
          <w:tcPr>
            <w:tcW w:w="1196" w:type="dxa"/>
            <w:shd w:val="clear" w:color="auto" w:fill="auto"/>
            <w:vAlign w:val="center"/>
          </w:tcPr>
          <w:p w:rsidR="009D3070" w:rsidRPr="001402A8" w:rsidRDefault="009D3070" w:rsidP="00842CE2">
            <w:pPr>
              <w:jc w:val="center"/>
              <w:rPr>
                <w:lang w:eastAsia="fr-FR"/>
              </w:rPr>
            </w:pPr>
            <w:r w:rsidRPr="001402A8">
              <w:rPr>
                <w:lang w:eastAsia="fr-FR"/>
              </w:rPr>
              <w:t>29,4 (1,17)</w:t>
            </w:r>
          </w:p>
        </w:tc>
        <w:tc>
          <w:tcPr>
            <w:tcW w:w="1559" w:type="dxa"/>
            <w:shd w:val="clear" w:color="auto" w:fill="auto"/>
            <w:vAlign w:val="center"/>
          </w:tcPr>
          <w:p w:rsidR="009D3070" w:rsidRPr="001402A8" w:rsidRDefault="009D3070" w:rsidP="00842CE2">
            <w:pPr>
              <w:jc w:val="center"/>
              <w:rPr>
                <w:lang w:eastAsia="fr-FR"/>
              </w:rPr>
            </w:pPr>
            <w:r w:rsidRPr="001402A8">
              <w:rPr>
                <w:lang w:eastAsia="fr-FR"/>
              </w:rPr>
              <w:t>20,5 (0,78)</w:t>
            </w:r>
          </w:p>
        </w:tc>
        <w:tc>
          <w:tcPr>
            <w:tcW w:w="1418" w:type="dxa"/>
            <w:shd w:val="clear" w:color="auto" w:fill="auto"/>
            <w:vAlign w:val="center"/>
          </w:tcPr>
          <w:p w:rsidR="009D3070" w:rsidRPr="001402A8" w:rsidRDefault="009D3070" w:rsidP="00842CE2">
            <w:pPr>
              <w:jc w:val="center"/>
              <w:rPr>
                <w:lang w:eastAsia="fr-FR"/>
              </w:rPr>
            </w:pPr>
            <w:r w:rsidRPr="001402A8">
              <w:rPr>
                <w:lang w:eastAsia="fr-FR"/>
              </w:rPr>
              <w:t xml:space="preserve"> 24,5 (0,77)</w:t>
            </w:r>
          </w:p>
        </w:tc>
      </w:tr>
      <w:tr w:rsidR="009D3070" w:rsidRPr="001402A8" w:rsidTr="00842CE2">
        <w:trPr>
          <w:trHeight w:val="350"/>
        </w:trPr>
        <w:tc>
          <w:tcPr>
            <w:tcW w:w="3920" w:type="dxa"/>
            <w:shd w:val="clear" w:color="auto" w:fill="auto"/>
            <w:vAlign w:val="center"/>
          </w:tcPr>
          <w:p w:rsidR="009D3070" w:rsidRPr="001402A8" w:rsidRDefault="009D3070" w:rsidP="00842CE2">
            <w:pPr>
              <w:rPr>
                <w:lang w:eastAsia="fr-FR"/>
              </w:rPr>
            </w:pPr>
            <w:r w:rsidRPr="001402A8">
              <w:rPr>
                <w:lang w:eastAsia="fr-FR"/>
              </w:rPr>
              <w:t>Gennemsnitlig procentvis ændring i forhold til baseline</w:t>
            </w:r>
          </w:p>
        </w:tc>
        <w:tc>
          <w:tcPr>
            <w:tcW w:w="1263" w:type="dxa"/>
            <w:shd w:val="clear" w:color="auto" w:fill="auto"/>
            <w:vAlign w:val="center"/>
          </w:tcPr>
          <w:p w:rsidR="009D3070" w:rsidRPr="001402A8" w:rsidRDefault="009D3070" w:rsidP="00842CE2">
            <w:pPr>
              <w:jc w:val="center"/>
              <w:rPr>
                <w:lang w:eastAsia="fr-FR"/>
              </w:rPr>
            </w:pPr>
            <w:r w:rsidRPr="001402A8">
              <w:rPr>
                <w:lang w:eastAsia="fr-FR"/>
              </w:rPr>
              <w:t>-49,1</w:t>
            </w:r>
          </w:p>
          <w:p w:rsidR="009D3070" w:rsidRPr="001402A8" w:rsidRDefault="009D3070" w:rsidP="00842CE2">
            <w:pPr>
              <w:jc w:val="center"/>
              <w:rPr>
                <w:lang w:eastAsia="fr-FR"/>
              </w:rPr>
            </w:pPr>
            <w:r w:rsidRPr="001402A8">
              <w:rPr>
                <w:i/>
              </w:rPr>
              <w:t xml:space="preserve"> p ˂ 0,001 vs. vehikel</w:t>
            </w:r>
          </w:p>
          <w:p w:rsidR="009D3070" w:rsidRPr="001402A8" w:rsidRDefault="009D3070" w:rsidP="00842CE2">
            <w:pPr>
              <w:jc w:val="center"/>
              <w:rPr>
                <w:lang w:eastAsia="fr-FR"/>
              </w:rPr>
            </w:pPr>
          </w:p>
        </w:tc>
        <w:tc>
          <w:tcPr>
            <w:tcW w:w="1196" w:type="dxa"/>
            <w:shd w:val="clear" w:color="auto" w:fill="auto"/>
            <w:vAlign w:val="center"/>
          </w:tcPr>
          <w:p w:rsidR="009D3070" w:rsidRPr="001402A8" w:rsidRDefault="009D3070" w:rsidP="00842CE2">
            <w:pPr>
              <w:jc w:val="center"/>
              <w:rPr>
                <w:lang w:eastAsia="fr-FR"/>
              </w:rPr>
            </w:pPr>
            <w:r w:rsidRPr="001402A8">
              <w:rPr>
                <w:lang w:eastAsia="fr-FR"/>
              </w:rPr>
              <w:t>-40,3</w:t>
            </w:r>
          </w:p>
        </w:tc>
        <w:tc>
          <w:tcPr>
            <w:tcW w:w="1559" w:type="dxa"/>
            <w:shd w:val="clear" w:color="auto" w:fill="auto"/>
            <w:vAlign w:val="center"/>
          </w:tcPr>
          <w:p w:rsidR="009D3070" w:rsidRPr="001402A8" w:rsidRDefault="009D3070" w:rsidP="00842CE2">
            <w:pPr>
              <w:jc w:val="center"/>
              <w:rPr>
                <w:i/>
              </w:rPr>
            </w:pPr>
            <w:r w:rsidRPr="001402A8">
              <w:rPr>
                <w:lang w:eastAsia="fr-FR"/>
              </w:rPr>
              <w:t>-55,2</w:t>
            </w:r>
            <w:r w:rsidRPr="001402A8">
              <w:rPr>
                <w:i/>
              </w:rPr>
              <w:t xml:space="preserve"> </w:t>
            </w:r>
          </w:p>
          <w:p w:rsidR="009D3070" w:rsidRPr="001402A8" w:rsidRDefault="009D3070" w:rsidP="00842CE2">
            <w:pPr>
              <w:jc w:val="center"/>
              <w:rPr>
                <w:lang w:eastAsia="fr-FR"/>
              </w:rPr>
            </w:pPr>
            <w:r w:rsidRPr="001402A8">
              <w:rPr>
                <w:i/>
              </w:rPr>
              <w:t>p ˂ 0,001 vs. vehikel</w:t>
            </w:r>
          </w:p>
        </w:tc>
        <w:tc>
          <w:tcPr>
            <w:tcW w:w="1418" w:type="dxa"/>
            <w:shd w:val="clear" w:color="auto" w:fill="auto"/>
            <w:vAlign w:val="center"/>
          </w:tcPr>
          <w:p w:rsidR="009D3070" w:rsidRPr="001402A8" w:rsidRDefault="009D3070" w:rsidP="00842CE2">
            <w:pPr>
              <w:jc w:val="center"/>
              <w:rPr>
                <w:lang w:eastAsia="fr-FR"/>
              </w:rPr>
            </w:pPr>
            <w:r w:rsidRPr="001402A8">
              <w:rPr>
                <w:lang w:eastAsia="fr-FR"/>
              </w:rPr>
              <w:t>-45,1</w:t>
            </w:r>
          </w:p>
        </w:tc>
      </w:tr>
    </w:tbl>
    <w:p w:rsidR="009D3070" w:rsidRPr="00FB22F4" w:rsidRDefault="009D3070" w:rsidP="009D3070">
      <w:pPr>
        <w:ind w:left="851"/>
        <w:rPr>
          <w:sz w:val="24"/>
          <w:szCs w:val="24"/>
        </w:rPr>
      </w:pPr>
    </w:p>
    <w:p w:rsidR="009D3070" w:rsidRPr="00FB22F4" w:rsidRDefault="009D3070" w:rsidP="009D3070">
      <w:pPr>
        <w:ind w:left="851"/>
        <w:rPr>
          <w:sz w:val="24"/>
          <w:szCs w:val="24"/>
          <w:u w:val="single"/>
        </w:rPr>
      </w:pPr>
      <w:r w:rsidRPr="00FB22F4">
        <w:rPr>
          <w:sz w:val="24"/>
          <w:szCs w:val="24"/>
          <w:u w:val="single"/>
        </w:rPr>
        <w:t>Pædiatrisk population</w:t>
      </w:r>
    </w:p>
    <w:p w:rsidR="009D3070" w:rsidRPr="00FB22F4" w:rsidRDefault="009D3070" w:rsidP="009D3070">
      <w:pPr>
        <w:ind w:left="851"/>
        <w:rPr>
          <w:i/>
          <w:sz w:val="24"/>
          <w:szCs w:val="24"/>
        </w:rPr>
      </w:pPr>
    </w:p>
    <w:p w:rsidR="009D3070" w:rsidRPr="00FB22F4" w:rsidRDefault="009D3070" w:rsidP="009D3070">
      <w:pPr>
        <w:ind w:left="851"/>
        <w:rPr>
          <w:i/>
          <w:sz w:val="24"/>
          <w:szCs w:val="24"/>
        </w:rPr>
      </w:pPr>
      <w:r w:rsidRPr="00FB22F4">
        <w:rPr>
          <w:i/>
          <w:sz w:val="24"/>
          <w:szCs w:val="24"/>
        </w:rPr>
        <w:t>Aldersgruppen 9-11 år</w:t>
      </w:r>
    </w:p>
    <w:p w:rsidR="009D3070" w:rsidRPr="00FB22F4" w:rsidRDefault="009D3070" w:rsidP="009D3070">
      <w:pPr>
        <w:ind w:left="851"/>
        <w:rPr>
          <w:sz w:val="24"/>
          <w:szCs w:val="24"/>
        </w:rPr>
      </w:pPr>
      <w:r w:rsidRPr="00FB22F4">
        <w:rPr>
          <w:sz w:val="24"/>
          <w:szCs w:val="24"/>
        </w:rPr>
        <w:t>I fase 3-studierne blev der kun inkluderet i alt 34 børn i denne aldersgruppe; 19 af disse i studie 18251 og 15 i studie 18252. Antal patienter i denne aldersgruppe var lavt, og effekten kunne ikke påvises.</w:t>
      </w:r>
    </w:p>
    <w:p w:rsidR="009D3070" w:rsidRPr="00FB22F4" w:rsidRDefault="009D3070" w:rsidP="009D3070">
      <w:pPr>
        <w:ind w:left="851"/>
        <w:rPr>
          <w:sz w:val="24"/>
          <w:szCs w:val="24"/>
        </w:rPr>
      </w:pPr>
    </w:p>
    <w:p w:rsidR="009D3070" w:rsidRPr="00FB22F4" w:rsidRDefault="009D3070" w:rsidP="009D3070">
      <w:pPr>
        <w:ind w:left="851"/>
        <w:rPr>
          <w:i/>
          <w:sz w:val="24"/>
          <w:szCs w:val="24"/>
        </w:rPr>
      </w:pPr>
      <w:r w:rsidRPr="00FB22F4">
        <w:rPr>
          <w:i/>
          <w:sz w:val="24"/>
          <w:szCs w:val="24"/>
        </w:rPr>
        <w:lastRenderedPageBreak/>
        <w:t>Aldersgruppen 12-17 år</w:t>
      </w:r>
    </w:p>
    <w:p w:rsidR="009D3070" w:rsidRPr="00FB22F4" w:rsidRDefault="009D3070" w:rsidP="009D3070">
      <w:pPr>
        <w:ind w:left="851"/>
        <w:rPr>
          <w:sz w:val="24"/>
          <w:szCs w:val="24"/>
        </w:rPr>
      </w:pPr>
      <w:r w:rsidRPr="00FB22F4">
        <w:rPr>
          <w:sz w:val="24"/>
          <w:szCs w:val="24"/>
        </w:rPr>
        <w:t xml:space="preserve">I fase 3-studierne blev der inkluderet i alt 1.128 børn i alderen 12-17 år med moderat </w:t>
      </w:r>
      <w:proofErr w:type="spellStart"/>
      <w:r w:rsidRPr="00FB22F4">
        <w:rPr>
          <w:sz w:val="24"/>
          <w:szCs w:val="24"/>
        </w:rPr>
        <w:t>acne</w:t>
      </w:r>
      <w:proofErr w:type="spellEnd"/>
      <w:r w:rsidRPr="00FB22F4">
        <w:rPr>
          <w:sz w:val="24"/>
          <w:szCs w:val="24"/>
        </w:rPr>
        <w:t xml:space="preserve"> </w:t>
      </w:r>
      <w:proofErr w:type="spellStart"/>
      <w:r w:rsidRPr="00FB22F4">
        <w:rPr>
          <w:sz w:val="24"/>
          <w:szCs w:val="24"/>
        </w:rPr>
        <w:t>vulgaris</w:t>
      </w:r>
      <w:proofErr w:type="spellEnd"/>
      <w:r w:rsidRPr="00FB22F4">
        <w:rPr>
          <w:sz w:val="24"/>
          <w:szCs w:val="24"/>
        </w:rPr>
        <w:t xml:space="preserve">: 573 af disse i studie 18251 og 555 børn i studie 18252. </w:t>
      </w:r>
    </w:p>
    <w:p w:rsidR="009D3070" w:rsidRPr="00FB22F4" w:rsidRDefault="009D3070" w:rsidP="009D3070">
      <w:pPr>
        <w:ind w:left="851"/>
        <w:rPr>
          <w:sz w:val="24"/>
          <w:szCs w:val="24"/>
        </w:rPr>
      </w:pPr>
    </w:p>
    <w:p w:rsidR="009D3070" w:rsidRPr="00FB22F4" w:rsidRDefault="009D3070" w:rsidP="009D3070">
      <w:pPr>
        <w:ind w:left="851"/>
        <w:rPr>
          <w:sz w:val="24"/>
          <w:szCs w:val="24"/>
        </w:rPr>
      </w:pPr>
      <w:r w:rsidRPr="00FB22F4">
        <w:rPr>
          <w:sz w:val="24"/>
          <w:szCs w:val="24"/>
        </w:rPr>
        <w:t xml:space="preserve">Succesraterne ifølge IGA og PGA, gennemsnitlige absolutte og </w:t>
      </w:r>
      <w:proofErr w:type="spellStart"/>
      <w:r w:rsidRPr="00FB22F4">
        <w:rPr>
          <w:sz w:val="24"/>
          <w:szCs w:val="24"/>
        </w:rPr>
        <w:t>procenvise</w:t>
      </w:r>
      <w:proofErr w:type="spellEnd"/>
      <w:r w:rsidRPr="00FB22F4">
        <w:rPr>
          <w:sz w:val="24"/>
          <w:szCs w:val="24"/>
        </w:rPr>
        <w:t xml:space="preserve"> reduktion i antal læsioner fra baseline og indtil efter 12 ugers behandling vises i nedenstående tabeller:</w:t>
      </w:r>
    </w:p>
    <w:p w:rsidR="009D3070" w:rsidRDefault="009D3070" w:rsidP="009D3070">
      <w:pPr>
        <w:ind w:left="851"/>
        <w:rPr>
          <w:sz w:val="24"/>
          <w:szCs w:val="24"/>
        </w:rPr>
      </w:pPr>
    </w:p>
    <w:p w:rsidR="009D3070" w:rsidRPr="00FB22F4" w:rsidRDefault="009D3070" w:rsidP="009D3070">
      <w:pPr>
        <w:ind w:left="993" w:hanging="993"/>
        <w:rPr>
          <w:b/>
          <w:bCs/>
          <w:sz w:val="24"/>
          <w:szCs w:val="24"/>
        </w:rPr>
      </w:pPr>
      <w:bookmarkStart w:id="1" w:name="_Ref26780913"/>
      <w:bookmarkStart w:id="2" w:name="_Toc26804353"/>
      <w:r w:rsidRPr="00FB22F4">
        <w:rPr>
          <w:b/>
          <w:bCs/>
          <w:sz w:val="24"/>
          <w:szCs w:val="24"/>
        </w:rPr>
        <w:t>Tab</w:t>
      </w:r>
      <w:bookmarkEnd w:id="1"/>
      <w:r w:rsidRPr="00FB22F4">
        <w:rPr>
          <w:b/>
          <w:bCs/>
          <w:sz w:val="24"/>
          <w:szCs w:val="24"/>
        </w:rPr>
        <w:t>el 5</w:t>
      </w:r>
      <w:r w:rsidRPr="00FB22F4">
        <w:rPr>
          <w:b/>
          <w:bCs/>
          <w:sz w:val="24"/>
          <w:szCs w:val="24"/>
        </w:rPr>
        <w:tab/>
      </w:r>
      <w:bookmarkEnd w:id="2"/>
      <w:r w:rsidRPr="00FB22F4">
        <w:rPr>
          <w:b/>
          <w:bCs/>
          <w:sz w:val="24"/>
          <w:szCs w:val="24"/>
        </w:rPr>
        <w:t xml:space="preserve">Forbedring af akne i ansigtet på </w:t>
      </w:r>
      <w:proofErr w:type="spellStart"/>
      <w:r w:rsidRPr="00FB22F4">
        <w:rPr>
          <w:b/>
          <w:bCs/>
          <w:sz w:val="24"/>
          <w:szCs w:val="24"/>
        </w:rPr>
        <w:t>Investigator’s</w:t>
      </w:r>
      <w:proofErr w:type="spellEnd"/>
      <w:r w:rsidRPr="00FB22F4">
        <w:rPr>
          <w:b/>
          <w:bCs/>
          <w:sz w:val="24"/>
          <w:szCs w:val="24"/>
        </w:rPr>
        <w:t xml:space="preserve"> Global </w:t>
      </w:r>
      <w:proofErr w:type="spellStart"/>
      <w:r w:rsidRPr="00FB22F4">
        <w:rPr>
          <w:b/>
          <w:bCs/>
          <w:sz w:val="24"/>
          <w:szCs w:val="24"/>
        </w:rPr>
        <w:t>Assessment</w:t>
      </w:r>
      <w:proofErr w:type="spellEnd"/>
      <w:r w:rsidRPr="00FB22F4">
        <w:rPr>
          <w:b/>
          <w:bCs/>
          <w:sz w:val="24"/>
          <w:szCs w:val="24"/>
        </w:rPr>
        <w:t xml:space="preserve"> og ændring i antal læsioner ved uge 12 hos 12-17-årige (intent-to-</w:t>
      </w:r>
      <w:proofErr w:type="spellStart"/>
      <w:r w:rsidRPr="00FB22F4">
        <w:rPr>
          <w:b/>
          <w:bCs/>
          <w:sz w:val="24"/>
          <w:szCs w:val="24"/>
        </w:rPr>
        <w:t>treat</w:t>
      </w:r>
      <w:proofErr w:type="spellEnd"/>
      <w:r w:rsidRPr="00FB22F4">
        <w:rPr>
          <w:b/>
          <w:bCs/>
          <w:sz w:val="24"/>
          <w:szCs w:val="24"/>
        </w:rPr>
        <w:t xml:space="preserve">-population; multipel </w:t>
      </w:r>
      <w:proofErr w:type="spellStart"/>
      <w:r w:rsidRPr="00FB22F4">
        <w:rPr>
          <w:b/>
          <w:bCs/>
          <w:sz w:val="24"/>
          <w:szCs w:val="24"/>
        </w:rPr>
        <w:t>imputation</w:t>
      </w:r>
      <w:proofErr w:type="spellEnd"/>
      <w:r w:rsidRPr="00FB22F4">
        <w:rPr>
          <w:b/>
          <w:bCs/>
          <w:sz w:val="24"/>
          <w:szCs w:val="24"/>
        </w:rPr>
        <w:t>)</w:t>
      </w:r>
    </w:p>
    <w:p w:rsidR="009D3070" w:rsidRPr="00FB22F4" w:rsidRDefault="009D3070" w:rsidP="009D3070">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5"/>
        <w:gridCol w:w="1631"/>
        <w:gridCol w:w="1483"/>
        <w:gridCol w:w="1631"/>
        <w:gridCol w:w="1548"/>
      </w:tblGrid>
      <w:tr w:rsidR="009D3070" w:rsidRPr="001402A8" w:rsidTr="00842CE2">
        <w:trPr>
          <w:trHeight w:val="251"/>
          <w:tblHeader/>
          <w:jc w:val="center"/>
        </w:trPr>
        <w:tc>
          <w:tcPr>
            <w:tcW w:w="3335" w:type="dxa"/>
            <w:tcMar>
              <w:top w:w="0" w:type="dxa"/>
              <w:left w:w="70" w:type="dxa"/>
              <w:bottom w:w="0" w:type="dxa"/>
              <w:right w:w="70" w:type="dxa"/>
            </w:tcMar>
            <w:vAlign w:val="center"/>
            <w:hideMark/>
          </w:tcPr>
          <w:p w:rsidR="009D3070" w:rsidRPr="001402A8" w:rsidRDefault="009D3070" w:rsidP="00842CE2">
            <w:pPr>
              <w:rPr>
                <w:szCs w:val="22"/>
              </w:rPr>
            </w:pPr>
            <w:r w:rsidRPr="001402A8">
              <w:rPr>
                <w:b/>
                <w:szCs w:val="22"/>
                <w:lang w:eastAsia="fr-FR"/>
              </w:rPr>
              <w:t>Primære endemål for effekt</w:t>
            </w:r>
          </w:p>
        </w:tc>
        <w:tc>
          <w:tcPr>
            <w:tcW w:w="3114" w:type="dxa"/>
            <w:gridSpan w:val="2"/>
            <w:tcMar>
              <w:top w:w="0" w:type="dxa"/>
              <w:left w:w="70" w:type="dxa"/>
              <w:bottom w:w="0" w:type="dxa"/>
              <w:right w:w="70" w:type="dxa"/>
            </w:tcMar>
            <w:vAlign w:val="center"/>
            <w:hideMark/>
          </w:tcPr>
          <w:p w:rsidR="009D3070" w:rsidRPr="001402A8" w:rsidRDefault="009D3070" w:rsidP="00842CE2">
            <w:pPr>
              <w:jc w:val="center"/>
              <w:rPr>
                <w:rFonts w:eastAsia="Malgun Gothic"/>
                <w:b/>
                <w:szCs w:val="22"/>
                <w:lang w:eastAsia="fr-FR"/>
              </w:rPr>
            </w:pPr>
            <w:r w:rsidRPr="001402A8">
              <w:rPr>
                <w:rFonts w:eastAsia="Malgun Gothic"/>
                <w:b/>
                <w:szCs w:val="22"/>
                <w:lang w:eastAsia="fr-FR"/>
              </w:rPr>
              <w:t>Studie 18251</w:t>
            </w:r>
          </w:p>
        </w:tc>
        <w:tc>
          <w:tcPr>
            <w:tcW w:w="3179" w:type="dxa"/>
            <w:gridSpan w:val="2"/>
            <w:tcMar>
              <w:top w:w="0" w:type="dxa"/>
              <w:left w:w="70" w:type="dxa"/>
              <w:bottom w:w="0" w:type="dxa"/>
              <w:right w:w="70" w:type="dxa"/>
            </w:tcMar>
            <w:vAlign w:val="center"/>
            <w:hideMark/>
          </w:tcPr>
          <w:p w:rsidR="009D3070" w:rsidRPr="001402A8" w:rsidRDefault="009D3070" w:rsidP="00842CE2">
            <w:pPr>
              <w:jc w:val="center"/>
              <w:rPr>
                <w:rFonts w:eastAsia="Malgun Gothic"/>
                <w:b/>
                <w:szCs w:val="22"/>
                <w:lang w:eastAsia="fr-FR"/>
              </w:rPr>
            </w:pPr>
            <w:r w:rsidRPr="001402A8">
              <w:rPr>
                <w:rFonts w:eastAsia="Malgun Gothic"/>
                <w:b/>
                <w:szCs w:val="22"/>
                <w:lang w:eastAsia="fr-FR"/>
              </w:rPr>
              <w:t>Studie 18252</w:t>
            </w:r>
          </w:p>
        </w:tc>
      </w:tr>
      <w:tr w:rsidR="009D3070" w:rsidRPr="001402A8" w:rsidTr="00842CE2">
        <w:trPr>
          <w:trHeight w:val="438"/>
          <w:tblHeader/>
          <w:jc w:val="center"/>
        </w:trPr>
        <w:tc>
          <w:tcPr>
            <w:tcW w:w="3335" w:type="dxa"/>
            <w:vMerge w:val="restart"/>
            <w:vAlign w:val="center"/>
            <w:hideMark/>
          </w:tcPr>
          <w:p w:rsidR="009D3070" w:rsidRPr="001402A8" w:rsidRDefault="009D3070" w:rsidP="00842CE2">
            <w:pPr>
              <w:rPr>
                <w:szCs w:val="22"/>
              </w:rPr>
            </w:pPr>
          </w:p>
        </w:tc>
        <w:tc>
          <w:tcPr>
            <w:tcW w:w="1631" w:type="dxa"/>
            <w:tcMar>
              <w:top w:w="0" w:type="dxa"/>
              <w:left w:w="70" w:type="dxa"/>
              <w:bottom w:w="0" w:type="dxa"/>
              <w:right w:w="70" w:type="dxa"/>
            </w:tcMar>
            <w:vAlign w:val="center"/>
            <w:hideMark/>
          </w:tcPr>
          <w:p w:rsidR="009D3070" w:rsidRPr="00AF6EF9" w:rsidRDefault="009D3070" w:rsidP="00842CE2">
            <w:pPr>
              <w:jc w:val="center"/>
              <w:rPr>
                <w:rFonts w:eastAsia="Malgun Gothic"/>
                <w:szCs w:val="22"/>
                <w:lang w:eastAsia="fr-FR"/>
              </w:rPr>
            </w:pPr>
            <w:r w:rsidRPr="00AF6EF9">
              <w:rPr>
                <w:rFonts w:eastAsia="Malgun Gothic"/>
                <w:szCs w:val="22"/>
                <w:lang w:eastAsia="fr-FR"/>
              </w:rPr>
              <w:t>AKLIEF creme</w:t>
            </w:r>
          </w:p>
        </w:tc>
        <w:tc>
          <w:tcPr>
            <w:tcW w:w="1483" w:type="dxa"/>
            <w:tcMar>
              <w:top w:w="0" w:type="dxa"/>
              <w:left w:w="70" w:type="dxa"/>
              <w:bottom w:w="0" w:type="dxa"/>
              <w:right w:w="70" w:type="dxa"/>
            </w:tcMar>
            <w:vAlign w:val="center"/>
            <w:hideMark/>
          </w:tcPr>
          <w:p w:rsidR="009D3070" w:rsidRPr="00AF6EF9" w:rsidRDefault="009D3070" w:rsidP="00842CE2">
            <w:pPr>
              <w:jc w:val="center"/>
              <w:rPr>
                <w:rFonts w:eastAsia="Malgun Gothic"/>
                <w:szCs w:val="22"/>
                <w:lang w:eastAsia="fr-FR"/>
              </w:rPr>
            </w:pPr>
            <w:r w:rsidRPr="00AF6EF9">
              <w:rPr>
                <w:rFonts w:eastAsia="Malgun Gothic"/>
                <w:szCs w:val="22"/>
                <w:lang w:eastAsia="fr-FR"/>
              </w:rPr>
              <w:t>Vehikel-creme</w:t>
            </w:r>
          </w:p>
        </w:tc>
        <w:tc>
          <w:tcPr>
            <w:tcW w:w="1631" w:type="dxa"/>
            <w:tcMar>
              <w:top w:w="0" w:type="dxa"/>
              <w:left w:w="70" w:type="dxa"/>
              <w:bottom w:w="0" w:type="dxa"/>
              <w:right w:w="70" w:type="dxa"/>
            </w:tcMar>
            <w:vAlign w:val="center"/>
            <w:hideMark/>
          </w:tcPr>
          <w:p w:rsidR="009D3070" w:rsidRPr="00AF6EF9" w:rsidRDefault="009D3070" w:rsidP="00842CE2">
            <w:pPr>
              <w:jc w:val="center"/>
              <w:rPr>
                <w:rFonts w:eastAsia="Malgun Gothic"/>
                <w:szCs w:val="22"/>
                <w:lang w:eastAsia="fr-FR"/>
              </w:rPr>
            </w:pPr>
            <w:r w:rsidRPr="00AF6EF9">
              <w:rPr>
                <w:rFonts w:eastAsia="Malgun Gothic"/>
                <w:szCs w:val="22"/>
                <w:lang w:eastAsia="fr-FR"/>
              </w:rPr>
              <w:t>AKLIEF creme</w:t>
            </w:r>
          </w:p>
        </w:tc>
        <w:tc>
          <w:tcPr>
            <w:tcW w:w="1548" w:type="dxa"/>
            <w:tcMar>
              <w:top w:w="0" w:type="dxa"/>
              <w:left w:w="70" w:type="dxa"/>
              <w:bottom w:w="0" w:type="dxa"/>
              <w:right w:w="70" w:type="dxa"/>
            </w:tcMar>
            <w:vAlign w:val="center"/>
            <w:hideMark/>
          </w:tcPr>
          <w:p w:rsidR="009D3070" w:rsidRPr="00AF6EF9" w:rsidRDefault="009D3070" w:rsidP="00842CE2">
            <w:pPr>
              <w:jc w:val="center"/>
              <w:rPr>
                <w:rFonts w:eastAsia="Malgun Gothic"/>
                <w:szCs w:val="22"/>
                <w:lang w:eastAsia="fr-FR"/>
              </w:rPr>
            </w:pPr>
            <w:r w:rsidRPr="00AF6EF9">
              <w:rPr>
                <w:rFonts w:eastAsia="Malgun Gothic"/>
                <w:szCs w:val="22"/>
                <w:lang w:eastAsia="fr-FR"/>
              </w:rPr>
              <w:t>Vehikel-creme</w:t>
            </w:r>
          </w:p>
        </w:tc>
      </w:tr>
      <w:tr w:rsidR="009D3070" w:rsidRPr="001402A8" w:rsidTr="00842CE2">
        <w:trPr>
          <w:trHeight w:val="251"/>
          <w:tblHeader/>
          <w:jc w:val="center"/>
        </w:trPr>
        <w:tc>
          <w:tcPr>
            <w:tcW w:w="3335" w:type="dxa"/>
            <w:vMerge/>
            <w:vAlign w:val="center"/>
            <w:hideMark/>
          </w:tcPr>
          <w:p w:rsidR="009D3070" w:rsidRPr="001402A8" w:rsidRDefault="009D3070" w:rsidP="00842CE2">
            <w:pPr>
              <w:rPr>
                <w:szCs w:val="22"/>
              </w:rPr>
            </w:pPr>
          </w:p>
        </w:tc>
        <w:tc>
          <w:tcPr>
            <w:tcW w:w="1631" w:type="dxa"/>
            <w:tcMar>
              <w:top w:w="0" w:type="dxa"/>
              <w:left w:w="70" w:type="dxa"/>
              <w:bottom w:w="0" w:type="dxa"/>
              <w:right w:w="70" w:type="dxa"/>
            </w:tcMar>
            <w:vAlign w:val="center"/>
            <w:hideMark/>
          </w:tcPr>
          <w:p w:rsidR="009D3070" w:rsidRPr="00AF6EF9" w:rsidRDefault="009D3070" w:rsidP="00842CE2">
            <w:pPr>
              <w:jc w:val="center"/>
              <w:rPr>
                <w:rFonts w:eastAsia="Malgun Gothic"/>
                <w:bCs/>
                <w:szCs w:val="22"/>
                <w:lang w:eastAsia="fr-FR"/>
              </w:rPr>
            </w:pPr>
            <w:r>
              <w:rPr>
                <w:rFonts w:eastAsia="Malgun Gothic"/>
                <w:bCs/>
                <w:szCs w:val="22"/>
                <w:lang w:eastAsia="fr-FR"/>
              </w:rPr>
              <w:t>(n=</w:t>
            </w:r>
            <w:r w:rsidRPr="00AF6EF9">
              <w:rPr>
                <w:rFonts w:eastAsia="Malgun Gothic"/>
                <w:bCs/>
                <w:szCs w:val="22"/>
                <w:lang w:eastAsia="fr-FR"/>
              </w:rPr>
              <w:t>304)</w:t>
            </w:r>
          </w:p>
        </w:tc>
        <w:tc>
          <w:tcPr>
            <w:tcW w:w="1483" w:type="dxa"/>
            <w:tcMar>
              <w:top w:w="0" w:type="dxa"/>
              <w:left w:w="70" w:type="dxa"/>
              <w:bottom w:w="0" w:type="dxa"/>
              <w:right w:w="70" w:type="dxa"/>
            </w:tcMar>
            <w:vAlign w:val="center"/>
            <w:hideMark/>
          </w:tcPr>
          <w:p w:rsidR="009D3070" w:rsidRPr="00AF6EF9" w:rsidRDefault="009D3070" w:rsidP="00842CE2">
            <w:pPr>
              <w:jc w:val="center"/>
              <w:rPr>
                <w:rFonts w:eastAsia="Malgun Gothic"/>
                <w:bCs/>
                <w:szCs w:val="22"/>
                <w:lang w:eastAsia="fr-FR"/>
              </w:rPr>
            </w:pPr>
            <w:r w:rsidRPr="00AF6EF9">
              <w:rPr>
                <w:rFonts w:eastAsia="Malgun Gothic"/>
                <w:bCs/>
                <w:szCs w:val="22"/>
                <w:lang w:eastAsia="fr-FR"/>
              </w:rPr>
              <w:t>(n=269)</w:t>
            </w:r>
          </w:p>
        </w:tc>
        <w:tc>
          <w:tcPr>
            <w:tcW w:w="1631" w:type="dxa"/>
            <w:tcMar>
              <w:top w:w="0" w:type="dxa"/>
              <w:left w:w="70" w:type="dxa"/>
              <w:bottom w:w="0" w:type="dxa"/>
              <w:right w:w="70" w:type="dxa"/>
            </w:tcMar>
            <w:vAlign w:val="center"/>
            <w:hideMark/>
          </w:tcPr>
          <w:p w:rsidR="009D3070" w:rsidRPr="00AF6EF9" w:rsidRDefault="009D3070" w:rsidP="00842CE2">
            <w:pPr>
              <w:jc w:val="center"/>
              <w:rPr>
                <w:rFonts w:eastAsia="Malgun Gothic"/>
                <w:bCs/>
                <w:szCs w:val="22"/>
                <w:lang w:eastAsia="fr-FR"/>
              </w:rPr>
            </w:pPr>
            <w:r>
              <w:rPr>
                <w:rFonts w:eastAsia="Malgun Gothic"/>
                <w:bCs/>
                <w:szCs w:val="22"/>
                <w:lang w:eastAsia="fr-FR"/>
              </w:rPr>
              <w:t>(n=</w:t>
            </w:r>
            <w:r w:rsidRPr="00AF6EF9">
              <w:rPr>
                <w:rFonts w:eastAsia="Malgun Gothic"/>
                <w:bCs/>
                <w:szCs w:val="22"/>
                <w:lang w:eastAsia="fr-FR"/>
              </w:rPr>
              <w:t>267)</w:t>
            </w:r>
          </w:p>
        </w:tc>
        <w:tc>
          <w:tcPr>
            <w:tcW w:w="1548" w:type="dxa"/>
            <w:tcMar>
              <w:top w:w="0" w:type="dxa"/>
              <w:left w:w="70" w:type="dxa"/>
              <w:bottom w:w="0" w:type="dxa"/>
              <w:right w:w="70" w:type="dxa"/>
            </w:tcMar>
            <w:vAlign w:val="center"/>
            <w:hideMark/>
          </w:tcPr>
          <w:p w:rsidR="009D3070" w:rsidRPr="00AF6EF9" w:rsidRDefault="009D3070" w:rsidP="00842CE2">
            <w:pPr>
              <w:jc w:val="center"/>
              <w:rPr>
                <w:rFonts w:eastAsia="Malgun Gothic"/>
                <w:bCs/>
                <w:szCs w:val="22"/>
                <w:lang w:eastAsia="fr-FR"/>
              </w:rPr>
            </w:pPr>
            <w:r w:rsidRPr="00AF6EF9">
              <w:rPr>
                <w:rFonts w:eastAsia="Malgun Gothic"/>
                <w:bCs/>
                <w:szCs w:val="22"/>
                <w:lang w:eastAsia="fr-FR"/>
              </w:rPr>
              <w:t>(n=288)</w:t>
            </w:r>
          </w:p>
        </w:tc>
      </w:tr>
      <w:tr w:rsidR="009D3070" w:rsidRPr="001402A8" w:rsidTr="00842CE2">
        <w:trPr>
          <w:trHeight w:val="650"/>
          <w:jc w:val="center"/>
        </w:trPr>
        <w:tc>
          <w:tcPr>
            <w:tcW w:w="3335" w:type="dxa"/>
            <w:tcMar>
              <w:top w:w="0" w:type="dxa"/>
              <w:left w:w="70" w:type="dxa"/>
              <w:bottom w:w="0" w:type="dxa"/>
              <w:right w:w="70" w:type="dxa"/>
            </w:tcMar>
            <w:hideMark/>
          </w:tcPr>
          <w:p w:rsidR="009D3070" w:rsidRPr="00AF6EF9" w:rsidRDefault="009D3070" w:rsidP="00842CE2">
            <w:pPr>
              <w:pStyle w:val="TableText"/>
              <w:rPr>
                <w:rFonts w:ascii="Times New Roman" w:eastAsia="Times New Roman" w:hAnsi="Times New Roman"/>
                <w:b/>
                <w:sz w:val="22"/>
                <w:szCs w:val="22"/>
                <w:lang w:val="da-DK" w:eastAsia="fr-FR"/>
              </w:rPr>
            </w:pPr>
            <w:r w:rsidRPr="00AF6EF9">
              <w:rPr>
                <w:rFonts w:ascii="Times New Roman" w:eastAsia="Times New Roman" w:hAnsi="Times New Roman"/>
                <w:b/>
                <w:sz w:val="22"/>
                <w:szCs w:val="22"/>
                <w:lang w:val="da-DK" w:eastAsia="fr-FR"/>
              </w:rPr>
              <w:t xml:space="preserve">Succesrate iflg. IGA </w:t>
            </w:r>
            <w:proofErr w:type="gramStart"/>
            <w:r w:rsidRPr="00AF6EF9">
              <w:rPr>
                <w:rFonts w:ascii="Times New Roman" w:eastAsia="Times New Roman" w:hAnsi="Times New Roman"/>
                <w:b/>
                <w:sz w:val="22"/>
                <w:szCs w:val="22"/>
                <w:lang w:val="da-DK" w:eastAsia="fr-FR"/>
              </w:rPr>
              <w:t>(</w:t>
            </w:r>
            <w:r>
              <w:rPr>
                <w:rFonts w:ascii="Times New Roman" w:eastAsia="Times New Roman" w:hAnsi="Times New Roman"/>
                <w:b/>
                <w:sz w:val="22"/>
                <w:szCs w:val="22"/>
                <w:lang w:val="da-DK" w:eastAsia="fr-FR"/>
              </w:rPr>
              <w:t xml:space="preserve"> %</w:t>
            </w:r>
            <w:proofErr w:type="gramEnd"/>
            <w:r w:rsidRPr="00AF6EF9">
              <w:rPr>
                <w:rFonts w:ascii="Times New Roman" w:eastAsia="Times New Roman" w:hAnsi="Times New Roman"/>
                <w:b/>
                <w:sz w:val="22"/>
                <w:szCs w:val="22"/>
                <w:lang w:val="da-DK" w:eastAsia="fr-FR"/>
              </w:rPr>
              <w:t>)</w:t>
            </w:r>
          </w:p>
          <w:p w:rsidR="009D3070" w:rsidRPr="00AF6EF9" w:rsidRDefault="009D3070" w:rsidP="00842CE2">
            <w:pPr>
              <w:rPr>
                <w:rFonts w:eastAsia="Malgun Gothic"/>
                <w:b/>
                <w:szCs w:val="22"/>
                <w:lang w:eastAsia="fr-FR"/>
              </w:rPr>
            </w:pPr>
            <w:r w:rsidRPr="00AF6EF9">
              <w:rPr>
                <w:b/>
                <w:szCs w:val="22"/>
              </w:rPr>
              <w:t>En forbedring på mindst 2 trin og IGA-scoren “</w:t>
            </w:r>
            <w:proofErr w:type="spellStart"/>
            <w:r>
              <w:rPr>
                <w:b/>
                <w:szCs w:val="22"/>
              </w:rPr>
              <w:t>O</w:t>
            </w:r>
            <w:r w:rsidRPr="00AF6EF9">
              <w:rPr>
                <w:b/>
                <w:szCs w:val="22"/>
              </w:rPr>
              <w:t>phelet</w:t>
            </w:r>
            <w:proofErr w:type="spellEnd"/>
            <w:r w:rsidRPr="00AF6EF9">
              <w:rPr>
                <w:b/>
                <w:szCs w:val="22"/>
              </w:rPr>
              <w:t>” (0)</w:t>
            </w:r>
            <w:r>
              <w:rPr>
                <w:b/>
                <w:szCs w:val="22"/>
              </w:rPr>
              <w:t xml:space="preserve"> eller “N</w:t>
            </w:r>
            <w:r w:rsidRPr="00AF6EF9">
              <w:rPr>
                <w:b/>
                <w:szCs w:val="22"/>
              </w:rPr>
              <w:t xml:space="preserve">æsten </w:t>
            </w:r>
            <w:proofErr w:type="spellStart"/>
            <w:r w:rsidRPr="00AF6EF9">
              <w:rPr>
                <w:b/>
                <w:szCs w:val="22"/>
              </w:rPr>
              <w:t>ophelet</w:t>
            </w:r>
            <w:proofErr w:type="spellEnd"/>
            <w:r w:rsidRPr="00AF6EF9">
              <w:rPr>
                <w:b/>
                <w:szCs w:val="22"/>
              </w:rPr>
              <w:t>” (1)</w:t>
            </w:r>
          </w:p>
        </w:tc>
        <w:tc>
          <w:tcPr>
            <w:tcW w:w="1631" w:type="dxa"/>
            <w:tcMar>
              <w:top w:w="0" w:type="dxa"/>
              <w:left w:w="70" w:type="dxa"/>
              <w:bottom w:w="0" w:type="dxa"/>
              <w:right w:w="70" w:type="dxa"/>
            </w:tcMar>
            <w:hideMark/>
          </w:tcPr>
          <w:p w:rsidR="009D3070" w:rsidRPr="001402A8" w:rsidRDefault="009D3070" w:rsidP="00842CE2">
            <w:pPr>
              <w:jc w:val="center"/>
              <w:rPr>
                <w:szCs w:val="22"/>
                <w:lang w:eastAsia="fr-FR"/>
              </w:rPr>
            </w:pPr>
            <w:r w:rsidRPr="001402A8">
              <w:rPr>
                <w:szCs w:val="22"/>
                <w:lang w:eastAsia="fr-FR"/>
              </w:rPr>
              <w:t>25,6</w:t>
            </w:r>
          </w:p>
          <w:p w:rsidR="009D3070" w:rsidRPr="001402A8" w:rsidRDefault="009D3070" w:rsidP="00842CE2">
            <w:pPr>
              <w:jc w:val="center"/>
              <w:rPr>
                <w:rFonts w:eastAsia="Malgun Gothic"/>
                <w:szCs w:val="22"/>
                <w:lang w:eastAsia="fr-FR"/>
              </w:rPr>
            </w:pPr>
          </w:p>
        </w:tc>
        <w:tc>
          <w:tcPr>
            <w:tcW w:w="1483" w:type="dxa"/>
            <w:tcMar>
              <w:top w:w="0" w:type="dxa"/>
              <w:left w:w="70" w:type="dxa"/>
              <w:bottom w:w="0" w:type="dxa"/>
              <w:right w:w="70" w:type="dxa"/>
            </w:tcMar>
            <w:hideMark/>
          </w:tcPr>
          <w:p w:rsidR="009D3070" w:rsidRPr="001402A8" w:rsidRDefault="009D3070" w:rsidP="00842CE2">
            <w:pPr>
              <w:jc w:val="center"/>
              <w:rPr>
                <w:rFonts w:eastAsia="Malgun Gothic"/>
                <w:szCs w:val="22"/>
                <w:lang w:eastAsia="fr-FR"/>
              </w:rPr>
            </w:pPr>
            <w:r w:rsidRPr="001402A8">
              <w:rPr>
                <w:szCs w:val="22"/>
                <w:lang w:eastAsia="fr-FR"/>
              </w:rPr>
              <w:t>14,7</w:t>
            </w:r>
          </w:p>
        </w:tc>
        <w:tc>
          <w:tcPr>
            <w:tcW w:w="1631" w:type="dxa"/>
            <w:tcMar>
              <w:top w:w="0" w:type="dxa"/>
              <w:left w:w="70" w:type="dxa"/>
              <w:bottom w:w="0" w:type="dxa"/>
              <w:right w:w="70" w:type="dxa"/>
            </w:tcMar>
            <w:hideMark/>
          </w:tcPr>
          <w:p w:rsidR="009D3070" w:rsidRPr="001402A8" w:rsidRDefault="009D3070" w:rsidP="00842CE2">
            <w:pPr>
              <w:jc w:val="center"/>
              <w:rPr>
                <w:szCs w:val="22"/>
                <w:lang w:eastAsia="fr-FR"/>
              </w:rPr>
            </w:pPr>
            <w:r w:rsidRPr="001402A8">
              <w:rPr>
                <w:szCs w:val="22"/>
                <w:lang w:eastAsia="fr-FR"/>
              </w:rPr>
              <w:t>35,8</w:t>
            </w:r>
          </w:p>
          <w:p w:rsidR="009D3070" w:rsidRPr="001402A8" w:rsidRDefault="009D3070" w:rsidP="00842CE2">
            <w:pPr>
              <w:jc w:val="center"/>
              <w:rPr>
                <w:rFonts w:eastAsia="Malgun Gothic"/>
                <w:szCs w:val="22"/>
                <w:lang w:eastAsia="fr-FR"/>
              </w:rPr>
            </w:pPr>
          </w:p>
        </w:tc>
        <w:tc>
          <w:tcPr>
            <w:tcW w:w="1548" w:type="dxa"/>
            <w:tcMar>
              <w:top w:w="0" w:type="dxa"/>
              <w:left w:w="70" w:type="dxa"/>
              <w:bottom w:w="0" w:type="dxa"/>
              <w:right w:w="70" w:type="dxa"/>
            </w:tcMar>
            <w:hideMark/>
          </w:tcPr>
          <w:p w:rsidR="009D3070" w:rsidRPr="001402A8" w:rsidRDefault="009D3070" w:rsidP="00842CE2">
            <w:pPr>
              <w:jc w:val="center"/>
              <w:rPr>
                <w:rFonts w:eastAsia="Malgun Gothic"/>
                <w:szCs w:val="22"/>
                <w:lang w:eastAsia="fr-FR"/>
              </w:rPr>
            </w:pPr>
            <w:r w:rsidRPr="001402A8">
              <w:rPr>
                <w:szCs w:val="22"/>
                <w:lang w:eastAsia="fr-FR"/>
              </w:rPr>
              <w:t>20,4</w:t>
            </w:r>
          </w:p>
        </w:tc>
      </w:tr>
      <w:tr w:rsidR="009D3070" w:rsidRPr="001402A8" w:rsidTr="00842CE2">
        <w:trPr>
          <w:trHeight w:val="493"/>
          <w:jc w:val="center"/>
        </w:trPr>
        <w:tc>
          <w:tcPr>
            <w:tcW w:w="3335" w:type="dxa"/>
            <w:tcMar>
              <w:top w:w="0" w:type="dxa"/>
              <w:left w:w="70" w:type="dxa"/>
              <w:bottom w:w="0" w:type="dxa"/>
              <w:right w:w="70" w:type="dxa"/>
            </w:tcMar>
          </w:tcPr>
          <w:p w:rsidR="009D3070" w:rsidRPr="001402A8" w:rsidRDefault="009D3070" w:rsidP="00842CE2">
            <w:pPr>
              <w:rPr>
                <w:rFonts w:eastAsia="Malgun Gothic"/>
                <w:bCs/>
                <w:szCs w:val="22"/>
                <w:lang w:eastAsia="fr-FR"/>
              </w:rPr>
            </w:pPr>
            <w:r w:rsidRPr="001402A8">
              <w:rPr>
                <w:rFonts w:eastAsia="Malgun Gothic"/>
                <w:bCs/>
                <w:szCs w:val="22"/>
                <w:lang w:eastAsia="fr-FR"/>
              </w:rPr>
              <w:t>Procentvis forskel i succesrate i forhold til vehikel (95</w:t>
            </w:r>
            <w:r>
              <w:rPr>
                <w:rFonts w:eastAsia="Malgun Gothic"/>
                <w:bCs/>
                <w:szCs w:val="22"/>
                <w:lang w:eastAsia="fr-FR"/>
              </w:rPr>
              <w:t xml:space="preserve"> %</w:t>
            </w:r>
            <w:r w:rsidRPr="001402A8">
              <w:rPr>
                <w:rFonts w:eastAsia="Malgun Gothic"/>
                <w:bCs/>
                <w:szCs w:val="22"/>
                <w:lang w:eastAsia="fr-FR"/>
              </w:rPr>
              <w:t xml:space="preserve"> CI)</w:t>
            </w:r>
          </w:p>
        </w:tc>
        <w:tc>
          <w:tcPr>
            <w:tcW w:w="1631" w:type="dxa"/>
            <w:tcMar>
              <w:top w:w="0" w:type="dxa"/>
              <w:left w:w="70" w:type="dxa"/>
              <w:bottom w:w="0" w:type="dxa"/>
              <w:right w:w="70" w:type="dxa"/>
            </w:tcMar>
          </w:tcPr>
          <w:p w:rsidR="009D3070" w:rsidRPr="001402A8" w:rsidRDefault="009D3070" w:rsidP="00842CE2">
            <w:pPr>
              <w:jc w:val="center"/>
              <w:rPr>
                <w:rFonts w:eastAsia="TimesNewRoman,Bold"/>
                <w:bCs/>
                <w:szCs w:val="22"/>
              </w:rPr>
            </w:pPr>
            <w:r w:rsidRPr="001402A8">
              <w:rPr>
                <w:rFonts w:eastAsia="TimesNewRoman,Bold"/>
                <w:bCs/>
                <w:szCs w:val="22"/>
              </w:rPr>
              <w:t>10,9 (4,3; 17,6)</w:t>
            </w:r>
          </w:p>
          <w:p w:rsidR="009D3070" w:rsidRPr="001402A8" w:rsidRDefault="009D3070" w:rsidP="00842CE2">
            <w:pPr>
              <w:jc w:val="center"/>
              <w:rPr>
                <w:szCs w:val="22"/>
                <w:lang w:eastAsia="fr-FR"/>
              </w:rPr>
            </w:pPr>
            <w:r w:rsidRPr="001402A8">
              <w:rPr>
                <w:rFonts w:eastAsia="TimesNewRoman,Bold"/>
                <w:bCs/>
                <w:szCs w:val="22"/>
              </w:rPr>
              <w:t>p &lt; 0,001</w:t>
            </w:r>
          </w:p>
        </w:tc>
        <w:tc>
          <w:tcPr>
            <w:tcW w:w="1483"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w:t>
            </w:r>
          </w:p>
        </w:tc>
        <w:tc>
          <w:tcPr>
            <w:tcW w:w="1631" w:type="dxa"/>
            <w:tcMar>
              <w:top w:w="0" w:type="dxa"/>
              <w:left w:w="70" w:type="dxa"/>
              <w:bottom w:w="0" w:type="dxa"/>
              <w:right w:w="70" w:type="dxa"/>
            </w:tcMar>
          </w:tcPr>
          <w:p w:rsidR="009D3070" w:rsidRPr="001402A8" w:rsidRDefault="009D3070" w:rsidP="00842CE2">
            <w:pPr>
              <w:jc w:val="center"/>
              <w:rPr>
                <w:rFonts w:eastAsia="TimesNewRoman,Bold"/>
                <w:bCs/>
                <w:szCs w:val="22"/>
              </w:rPr>
            </w:pPr>
            <w:r w:rsidRPr="001402A8">
              <w:rPr>
                <w:rFonts w:eastAsia="TimesNewRoman,Bold"/>
                <w:bCs/>
                <w:szCs w:val="22"/>
              </w:rPr>
              <w:t>15,4 (7,9; 23,0)</w:t>
            </w:r>
          </w:p>
          <w:p w:rsidR="009D3070" w:rsidRPr="001402A8" w:rsidRDefault="009D3070" w:rsidP="00842CE2">
            <w:pPr>
              <w:jc w:val="center"/>
              <w:rPr>
                <w:szCs w:val="22"/>
                <w:lang w:eastAsia="fr-FR"/>
              </w:rPr>
            </w:pPr>
            <w:r w:rsidRPr="001402A8">
              <w:rPr>
                <w:rFonts w:eastAsia="TimesNewRoman,Bold"/>
                <w:bCs/>
                <w:szCs w:val="22"/>
              </w:rPr>
              <w:t>p &lt; 0,001</w:t>
            </w:r>
          </w:p>
        </w:tc>
        <w:tc>
          <w:tcPr>
            <w:tcW w:w="1548"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w:t>
            </w:r>
          </w:p>
        </w:tc>
      </w:tr>
      <w:tr w:rsidR="009D3070" w:rsidRPr="001402A8" w:rsidTr="00842CE2">
        <w:trPr>
          <w:trHeight w:val="131"/>
          <w:jc w:val="center"/>
        </w:trPr>
        <w:tc>
          <w:tcPr>
            <w:tcW w:w="9628" w:type="dxa"/>
            <w:gridSpan w:val="5"/>
            <w:tcMar>
              <w:top w:w="0" w:type="dxa"/>
              <w:left w:w="70" w:type="dxa"/>
              <w:bottom w:w="0" w:type="dxa"/>
              <w:right w:w="70" w:type="dxa"/>
            </w:tcMar>
          </w:tcPr>
          <w:p w:rsidR="009D3070" w:rsidRPr="001402A8" w:rsidRDefault="009D3070" w:rsidP="00842CE2">
            <w:pPr>
              <w:rPr>
                <w:rFonts w:eastAsia="Malgun Gothic"/>
                <w:bCs/>
                <w:szCs w:val="22"/>
                <w:lang w:eastAsia="fr-FR"/>
              </w:rPr>
            </w:pPr>
          </w:p>
        </w:tc>
      </w:tr>
      <w:tr w:rsidR="009D3070" w:rsidRPr="001402A8" w:rsidTr="00842CE2">
        <w:trPr>
          <w:trHeight w:val="699"/>
          <w:jc w:val="center"/>
        </w:trPr>
        <w:tc>
          <w:tcPr>
            <w:tcW w:w="3335" w:type="dxa"/>
            <w:tcMar>
              <w:top w:w="0" w:type="dxa"/>
              <w:left w:w="70" w:type="dxa"/>
              <w:bottom w:w="0" w:type="dxa"/>
              <w:right w:w="70" w:type="dxa"/>
            </w:tcMar>
          </w:tcPr>
          <w:p w:rsidR="009D3070" w:rsidRPr="001402A8" w:rsidRDefault="009D3070" w:rsidP="00842CE2">
            <w:pPr>
              <w:rPr>
                <w:rFonts w:eastAsia="Malgun Gothic"/>
                <w:b/>
                <w:bCs/>
                <w:szCs w:val="22"/>
                <w:lang w:eastAsia="fr-FR"/>
              </w:rPr>
            </w:pPr>
            <w:r w:rsidRPr="001402A8">
              <w:rPr>
                <w:rFonts w:eastAsia="Malgun Gothic"/>
                <w:b/>
                <w:bCs/>
                <w:szCs w:val="22"/>
                <w:lang w:eastAsia="fr-FR"/>
              </w:rPr>
              <w:t>Inflammatoriske læsioner</w:t>
            </w:r>
          </w:p>
          <w:p w:rsidR="009D3070" w:rsidRPr="00AF6EF9" w:rsidRDefault="009D3070" w:rsidP="00842CE2">
            <w:pPr>
              <w:rPr>
                <w:rFonts w:eastAsia="Malgun Gothic"/>
                <w:b/>
                <w:bCs/>
                <w:szCs w:val="22"/>
                <w:lang w:eastAsia="fr-FR"/>
              </w:rPr>
            </w:pPr>
            <w:r w:rsidRPr="00AF6EF9">
              <w:rPr>
                <w:rFonts w:eastAsia="Malgun Gothic"/>
                <w:b/>
                <w:szCs w:val="22"/>
                <w:lang w:eastAsia="fr-FR"/>
              </w:rPr>
              <w:t>Gennemsnitlig absolut ændring i forhold til baseline</w:t>
            </w:r>
          </w:p>
        </w:tc>
        <w:tc>
          <w:tcPr>
            <w:tcW w:w="1631"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-18,7</w:t>
            </w:r>
          </w:p>
          <w:p w:rsidR="009D3070" w:rsidRPr="001402A8" w:rsidRDefault="009D3070" w:rsidP="00842CE2">
            <w:pPr>
              <w:jc w:val="center"/>
              <w:rPr>
                <w:szCs w:val="22"/>
                <w:lang w:eastAsia="fr-FR"/>
              </w:rPr>
            </w:pPr>
          </w:p>
        </w:tc>
        <w:tc>
          <w:tcPr>
            <w:tcW w:w="1483"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-14,8</w:t>
            </w:r>
          </w:p>
        </w:tc>
        <w:tc>
          <w:tcPr>
            <w:tcW w:w="1631"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-24,0</w:t>
            </w:r>
          </w:p>
          <w:p w:rsidR="009D3070" w:rsidRPr="001402A8" w:rsidRDefault="009D3070" w:rsidP="00842CE2">
            <w:pPr>
              <w:jc w:val="center"/>
              <w:rPr>
                <w:szCs w:val="22"/>
                <w:lang w:eastAsia="fr-FR"/>
              </w:rPr>
            </w:pPr>
          </w:p>
        </w:tc>
        <w:tc>
          <w:tcPr>
            <w:tcW w:w="1548"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-18,7</w:t>
            </w:r>
          </w:p>
        </w:tc>
      </w:tr>
      <w:tr w:rsidR="009D3070" w:rsidRPr="001402A8" w:rsidTr="00842CE2">
        <w:trPr>
          <w:trHeight w:val="411"/>
          <w:jc w:val="center"/>
        </w:trPr>
        <w:tc>
          <w:tcPr>
            <w:tcW w:w="3335" w:type="dxa"/>
            <w:tcMar>
              <w:top w:w="0" w:type="dxa"/>
              <w:left w:w="70" w:type="dxa"/>
              <w:bottom w:w="0" w:type="dxa"/>
              <w:right w:w="70" w:type="dxa"/>
            </w:tcMar>
          </w:tcPr>
          <w:p w:rsidR="009D3070" w:rsidRPr="001402A8" w:rsidRDefault="009D3070" w:rsidP="00842CE2">
            <w:pPr>
              <w:rPr>
                <w:rFonts w:eastAsia="Malgun Gothic"/>
                <w:bCs/>
                <w:szCs w:val="22"/>
                <w:lang w:eastAsia="fr-FR"/>
              </w:rPr>
            </w:pPr>
            <w:r w:rsidRPr="001402A8">
              <w:rPr>
                <w:rFonts w:eastAsia="Malgun Gothic"/>
                <w:bCs/>
                <w:szCs w:val="22"/>
                <w:lang w:eastAsia="fr-FR"/>
              </w:rPr>
              <w:t>Gennemsnitlig ændring i forhold til vehikel (95</w:t>
            </w:r>
            <w:r>
              <w:rPr>
                <w:rFonts w:eastAsia="Malgun Gothic"/>
                <w:bCs/>
                <w:szCs w:val="22"/>
                <w:lang w:eastAsia="fr-FR"/>
              </w:rPr>
              <w:t xml:space="preserve"> %</w:t>
            </w:r>
            <w:r w:rsidRPr="001402A8">
              <w:rPr>
                <w:rFonts w:eastAsia="Malgun Gothic"/>
                <w:bCs/>
                <w:szCs w:val="22"/>
                <w:lang w:eastAsia="fr-FR"/>
              </w:rPr>
              <w:t xml:space="preserve"> CI)</w:t>
            </w:r>
          </w:p>
        </w:tc>
        <w:tc>
          <w:tcPr>
            <w:tcW w:w="1631" w:type="dxa"/>
            <w:tcMar>
              <w:top w:w="0" w:type="dxa"/>
              <w:left w:w="70" w:type="dxa"/>
              <w:bottom w:w="0" w:type="dxa"/>
              <w:right w:w="70" w:type="dxa"/>
            </w:tcMar>
          </w:tcPr>
          <w:p w:rsidR="009D3070" w:rsidRPr="001402A8" w:rsidRDefault="009D3070" w:rsidP="00842CE2">
            <w:pPr>
              <w:jc w:val="center"/>
              <w:rPr>
                <w:rFonts w:eastAsia="TimesNewRoman,Bold"/>
                <w:bCs/>
                <w:szCs w:val="22"/>
              </w:rPr>
            </w:pPr>
            <w:r w:rsidRPr="001402A8">
              <w:rPr>
                <w:rFonts w:eastAsia="TimesNewRoman,Bold"/>
                <w:bCs/>
                <w:szCs w:val="22"/>
              </w:rPr>
              <w:t>-3,8 (-6,5; -1,2)</w:t>
            </w:r>
          </w:p>
          <w:p w:rsidR="009D3070" w:rsidRPr="001402A8" w:rsidRDefault="009D3070" w:rsidP="00842CE2">
            <w:pPr>
              <w:jc w:val="center"/>
              <w:rPr>
                <w:szCs w:val="22"/>
                <w:lang w:eastAsia="fr-FR"/>
              </w:rPr>
            </w:pPr>
            <w:r w:rsidRPr="001402A8">
              <w:rPr>
                <w:rFonts w:eastAsia="TimesNewRoman,Bold"/>
                <w:bCs/>
                <w:szCs w:val="22"/>
              </w:rPr>
              <w:t>p &lt; 0,001</w:t>
            </w:r>
          </w:p>
        </w:tc>
        <w:tc>
          <w:tcPr>
            <w:tcW w:w="1483"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w:t>
            </w:r>
          </w:p>
        </w:tc>
        <w:tc>
          <w:tcPr>
            <w:tcW w:w="1631" w:type="dxa"/>
            <w:tcMar>
              <w:top w:w="0" w:type="dxa"/>
              <w:left w:w="70" w:type="dxa"/>
              <w:bottom w:w="0" w:type="dxa"/>
              <w:right w:w="70" w:type="dxa"/>
            </w:tcMar>
          </w:tcPr>
          <w:p w:rsidR="009D3070" w:rsidRPr="001402A8" w:rsidRDefault="009D3070" w:rsidP="00842CE2">
            <w:pPr>
              <w:jc w:val="center"/>
              <w:rPr>
                <w:rFonts w:eastAsia="TimesNewRoman,Bold"/>
                <w:bCs/>
                <w:szCs w:val="22"/>
              </w:rPr>
            </w:pPr>
            <w:r w:rsidRPr="001402A8">
              <w:rPr>
                <w:rFonts w:eastAsia="TimesNewRoman,Bold"/>
                <w:bCs/>
                <w:szCs w:val="22"/>
              </w:rPr>
              <w:t>-5,3 (-8,1; -2,6)</w:t>
            </w:r>
          </w:p>
          <w:p w:rsidR="009D3070" w:rsidRPr="001402A8" w:rsidRDefault="009D3070" w:rsidP="00842CE2">
            <w:pPr>
              <w:jc w:val="center"/>
              <w:rPr>
                <w:szCs w:val="22"/>
                <w:lang w:eastAsia="fr-FR"/>
              </w:rPr>
            </w:pPr>
            <w:r w:rsidRPr="001402A8">
              <w:rPr>
                <w:rFonts w:eastAsia="TimesNewRoman,Bold"/>
                <w:bCs/>
                <w:szCs w:val="22"/>
              </w:rPr>
              <w:t>p &lt; 0,001</w:t>
            </w:r>
          </w:p>
        </w:tc>
        <w:tc>
          <w:tcPr>
            <w:tcW w:w="1548"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w:t>
            </w:r>
          </w:p>
        </w:tc>
      </w:tr>
      <w:tr w:rsidR="009D3070" w:rsidRPr="001402A8" w:rsidTr="00842CE2">
        <w:trPr>
          <w:trHeight w:val="56"/>
          <w:jc w:val="center"/>
        </w:trPr>
        <w:tc>
          <w:tcPr>
            <w:tcW w:w="9628" w:type="dxa"/>
            <w:gridSpan w:val="5"/>
            <w:tcMar>
              <w:top w:w="0" w:type="dxa"/>
              <w:left w:w="70" w:type="dxa"/>
              <w:bottom w:w="0" w:type="dxa"/>
              <w:right w:w="70" w:type="dxa"/>
            </w:tcMar>
          </w:tcPr>
          <w:p w:rsidR="009D3070" w:rsidRPr="001402A8" w:rsidRDefault="009D3070" w:rsidP="00842CE2">
            <w:pPr>
              <w:rPr>
                <w:rFonts w:eastAsia="Malgun Gothic"/>
                <w:bCs/>
                <w:szCs w:val="22"/>
                <w:lang w:eastAsia="fr-FR"/>
              </w:rPr>
            </w:pPr>
          </w:p>
        </w:tc>
      </w:tr>
      <w:tr w:rsidR="009D3070" w:rsidRPr="001402A8" w:rsidTr="00842CE2">
        <w:trPr>
          <w:trHeight w:val="545"/>
          <w:jc w:val="center"/>
        </w:trPr>
        <w:tc>
          <w:tcPr>
            <w:tcW w:w="3335" w:type="dxa"/>
            <w:tcMar>
              <w:top w:w="0" w:type="dxa"/>
              <w:left w:w="70" w:type="dxa"/>
              <w:bottom w:w="0" w:type="dxa"/>
              <w:right w:w="70" w:type="dxa"/>
            </w:tcMar>
          </w:tcPr>
          <w:p w:rsidR="009D3070" w:rsidRPr="001402A8" w:rsidRDefault="009D3070" w:rsidP="00842CE2">
            <w:pPr>
              <w:rPr>
                <w:rFonts w:eastAsia="Malgun Gothic"/>
                <w:szCs w:val="22"/>
                <w:lang w:eastAsia="fr-FR"/>
              </w:rPr>
            </w:pPr>
            <w:r w:rsidRPr="001402A8">
              <w:rPr>
                <w:rFonts w:eastAsia="Malgun Gothic"/>
                <w:b/>
                <w:bCs/>
                <w:szCs w:val="22"/>
                <w:lang w:eastAsia="fr-FR"/>
              </w:rPr>
              <w:t>Noninflammatoriske læsioner</w:t>
            </w:r>
          </w:p>
          <w:p w:rsidR="009D3070" w:rsidRPr="00AF6EF9" w:rsidRDefault="009D3070" w:rsidP="00842CE2">
            <w:pPr>
              <w:rPr>
                <w:rFonts w:eastAsia="Malgun Gothic"/>
                <w:b/>
                <w:szCs w:val="22"/>
                <w:lang w:eastAsia="fr-FR"/>
              </w:rPr>
            </w:pPr>
            <w:r w:rsidRPr="00AF6EF9">
              <w:rPr>
                <w:rFonts w:eastAsia="Malgun Gothic"/>
                <w:b/>
                <w:szCs w:val="22"/>
                <w:lang w:eastAsia="fr-FR"/>
              </w:rPr>
              <w:t>Gennemsnitlig absolut ændring i forhold til baseline</w:t>
            </w:r>
          </w:p>
        </w:tc>
        <w:tc>
          <w:tcPr>
            <w:tcW w:w="1631"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-26,5</w:t>
            </w:r>
          </w:p>
          <w:p w:rsidR="009D3070" w:rsidRPr="001402A8" w:rsidRDefault="009D3070" w:rsidP="00842CE2">
            <w:pPr>
              <w:jc w:val="center"/>
              <w:rPr>
                <w:szCs w:val="22"/>
                <w:lang w:eastAsia="fr-FR"/>
              </w:rPr>
            </w:pPr>
          </w:p>
        </w:tc>
        <w:tc>
          <w:tcPr>
            <w:tcW w:w="1483"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-16,8</w:t>
            </w:r>
          </w:p>
        </w:tc>
        <w:tc>
          <w:tcPr>
            <w:tcW w:w="1631"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-33,8</w:t>
            </w:r>
          </w:p>
          <w:p w:rsidR="009D3070" w:rsidRPr="001402A8" w:rsidRDefault="009D3070" w:rsidP="00842CE2">
            <w:pPr>
              <w:jc w:val="center"/>
              <w:rPr>
                <w:szCs w:val="22"/>
                <w:lang w:eastAsia="fr-FR"/>
              </w:rPr>
            </w:pPr>
          </w:p>
        </w:tc>
        <w:tc>
          <w:tcPr>
            <w:tcW w:w="1548"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-22,8</w:t>
            </w:r>
          </w:p>
        </w:tc>
      </w:tr>
      <w:tr w:rsidR="009D3070" w:rsidRPr="001402A8" w:rsidTr="00842CE2">
        <w:trPr>
          <w:trHeight w:val="157"/>
          <w:jc w:val="center"/>
        </w:trPr>
        <w:tc>
          <w:tcPr>
            <w:tcW w:w="3335" w:type="dxa"/>
            <w:tcMar>
              <w:top w:w="0" w:type="dxa"/>
              <w:left w:w="70" w:type="dxa"/>
              <w:bottom w:w="0" w:type="dxa"/>
              <w:right w:w="70" w:type="dxa"/>
            </w:tcMar>
          </w:tcPr>
          <w:p w:rsidR="009D3070" w:rsidRPr="001402A8" w:rsidRDefault="009D3070" w:rsidP="00842CE2">
            <w:pPr>
              <w:rPr>
                <w:rFonts w:eastAsia="Malgun Gothic"/>
                <w:b/>
                <w:bCs/>
                <w:szCs w:val="22"/>
                <w:lang w:eastAsia="fr-FR"/>
              </w:rPr>
            </w:pPr>
            <w:r w:rsidRPr="001402A8">
              <w:rPr>
                <w:rFonts w:eastAsia="Malgun Gothic"/>
                <w:bCs/>
                <w:szCs w:val="22"/>
                <w:lang w:eastAsia="fr-FR"/>
              </w:rPr>
              <w:t>Gennemsnitlig forskel i forhold til vehikel (95</w:t>
            </w:r>
            <w:r>
              <w:rPr>
                <w:rFonts w:eastAsia="Malgun Gothic"/>
                <w:bCs/>
                <w:szCs w:val="22"/>
                <w:lang w:eastAsia="fr-FR"/>
              </w:rPr>
              <w:t xml:space="preserve"> %</w:t>
            </w:r>
            <w:r w:rsidRPr="001402A8">
              <w:rPr>
                <w:rFonts w:eastAsia="Malgun Gothic"/>
                <w:bCs/>
                <w:szCs w:val="22"/>
                <w:lang w:eastAsia="fr-FR"/>
              </w:rPr>
              <w:t xml:space="preserve"> CI)</w:t>
            </w:r>
          </w:p>
        </w:tc>
        <w:tc>
          <w:tcPr>
            <w:tcW w:w="1631" w:type="dxa"/>
            <w:tcMar>
              <w:top w:w="0" w:type="dxa"/>
              <w:left w:w="70" w:type="dxa"/>
              <w:bottom w:w="0" w:type="dxa"/>
              <w:right w:w="70" w:type="dxa"/>
            </w:tcMar>
          </w:tcPr>
          <w:p w:rsidR="009D3070" w:rsidRDefault="009D3070" w:rsidP="00842CE2">
            <w:pPr>
              <w:jc w:val="center"/>
              <w:rPr>
                <w:rFonts w:eastAsia="TimesNewRoman,Bold"/>
                <w:bCs/>
                <w:szCs w:val="22"/>
              </w:rPr>
            </w:pPr>
            <w:r w:rsidRPr="001402A8">
              <w:rPr>
                <w:rFonts w:eastAsia="TimesNewRoman,Bold"/>
                <w:bCs/>
                <w:szCs w:val="22"/>
              </w:rPr>
              <w:t xml:space="preserve">-9,6 </w:t>
            </w:r>
          </w:p>
          <w:p w:rsidR="009D3070" w:rsidRPr="001402A8" w:rsidRDefault="009D3070" w:rsidP="00842CE2">
            <w:pPr>
              <w:jc w:val="center"/>
              <w:rPr>
                <w:rFonts w:eastAsia="TimesNewRoman,Bold"/>
                <w:bCs/>
                <w:szCs w:val="22"/>
              </w:rPr>
            </w:pPr>
            <w:r w:rsidRPr="001402A8">
              <w:rPr>
                <w:rFonts w:eastAsia="TimesNewRoman,Bold"/>
                <w:bCs/>
                <w:szCs w:val="22"/>
              </w:rPr>
              <w:t>(-13,8; -5,4)</w:t>
            </w:r>
          </w:p>
          <w:p w:rsidR="009D3070" w:rsidRPr="001402A8" w:rsidRDefault="009D3070" w:rsidP="00842CE2">
            <w:pPr>
              <w:jc w:val="center"/>
              <w:rPr>
                <w:szCs w:val="22"/>
                <w:lang w:eastAsia="fr-FR"/>
              </w:rPr>
            </w:pPr>
            <w:r w:rsidRPr="001402A8">
              <w:rPr>
                <w:rFonts w:eastAsia="TimesNewRoman,Bold"/>
                <w:bCs/>
                <w:szCs w:val="22"/>
              </w:rPr>
              <w:t>p &lt; 0,001</w:t>
            </w:r>
          </w:p>
        </w:tc>
        <w:tc>
          <w:tcPr>
            <w:tcW w:w="1483"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w:t>
            </w:r>
          </w:p>
        </w:tc>
        <w:tc>
          <w:tcPr>
            <w:tcW w:w="1631" w:type="dxa"/>
            <w:tcMar>
              <w:top w:w="0" w:type="dxa"/>
              <w:left w:w="70" w:type="dxa"/>
              <w:bottom w:w="0" w:type="dxa"/>
              <w:right w:w="70" w:type="dxa"/>
            </w:tcMar>
          </w:tcPr>
          <w:p w:rsidR="009D3070" w:rsidRDefault="009D3070" w:rsidP="00842CE2">
            <w:pPr>
              <w:jc w:val="center"/>
              <w:rPr>
                <w:rFonts w:eastAsia="TimesNewRoman,Bold"/>
                <w:bCs/>
                <w:szCs w:val="22"/>
              </w:rPr>
            </w:pPr>
            <w:r w:rsidRPr="001402A8">
              <w:rPr>
                <w:rFonts w:eastAsia="TimesNewRoman,Bold"/>
                <w:bCs/>
                <w:szCs w:val="22"/>
              </w:rPr>
              <w:t xml:space="preserve">-11,0 </w:t>
            </w:r>
          </w:p>
          <w:p w:rsidR="009D3070" w:rsidRPr="001402A8" w:rsidRDefault="009D3070" w:rsidP="00842CE2">
            <w:pPr>
              <w:jc w:val="center"/>
              <w:rPr>
                <w:rFonts w:eastAsia="TimesNewRoman,Bold"/>
                <w:bCs/>
                <w:szCs w:val="22"/>
              </w:rPr>
            </w:pPr>
            <w:r w:rsidRPr="001402A8">
              <w:rPr>
                <w:rFonts w:eastAsia="TimesNewRoman,Bold"/>
                <w:bCs/>
                <w:szCs w:val="22"/>
              </w:rPr>
              <w:t>(-15,2; -6,8)</w:t>
            </w:r>
          </w:p>
          <w:p w:rsidR="009D3070" w:rsidRPr="001402A8" w:rsidRDefault="009D3070" w:rsidP="00842CE2">
            <w:pPr>
              <w:jc w:val="center"/>
              <w:rPr>
                <w:szCs w:val="22"/>
                <w:lang w:eastAsia="fr-FR"/>
              </w:rPr>
            </w:pPr>
            <w:r w:rsidRPr="001402A8">
              <w:rPr>
                <w:rFonts w:eastAsia="TimesNewRoman,Bold"/>
                <w:bCs/>
                <w:szCs w:val="22"/>
              </w:rPr>
              <w:t>p &lt; 0,001</w:t>
            </w:r>
          </w:p>
        </w:tc>
        <w:tc>
          <w:tcPr>
            <w:tcW w:w="1548" w:type="dxa"/>
            <w:tcMar>
              <w:top w:w="0" w:type="dxa"/>
              <w:left w:w="70" w:type="dxa"/>
              <w:bottom w:w="0" w:type="dxa"/>
              <w:right w:w="70" w:type="dxa"/>
            </w:tcMar>
          </w:tcPr>
          <w:p w:rsidR="009D3070" w:rsidRPr="001402A8" w:rsidRDefault="009D3070" w:rsidP="00842CE2">
            <w:pPr>
              <w:jc w:val="center"/>
              <w:rPr>
                <w:szCs w:val="22"/>
                <w:lang w:eastAsia="fr-FR"/>
              </w:rPr>
            </w:pPr>
            <w:r w:rsidRPr="001402A8">
              <w:rPr>
                <w:szCs w:val="22"/>
                <w:lang w:eastAsia="fr-FR"/>
              </w:rPr>
              <w:t>-</w:t>
            </w:r>
          </w:p>
        </w:tc>
      </w:tr>
    </w:tbl>
    <w:p w:rsidR="009D3070" w:rsidRDefault="009D3070" w:rsidP="009D3070">
      <w:pPr>
        <w:ind w:left="851"/>
        <w:rPr>
          <w:sz w:val="24"/>
          <w:szCs w:val="24"/>
        </w:rPr>
      </w:pPr>
    </w:p>
    <w:p w:rsidR="009D3070" w:rsidRDefault="009D3070" w:rsidP="009D3070">
      <w:pPr>
        <w:ind w:left="851"/>
        <w:rPr>
          <w:sz w:val="24"/>
          <w:szCs w:val="24"/>
        </w:rPr>
      </w:pPr>
    </w:p>
    <w:p w:rsidR="009D3070" w:rsidRPr="00196579" w:rsidRDefault="009D3070" w:rsidP="009D3070">
      <w:pPr>
        <w:ind w:left="993" w:hanging="993"/>
        <w:rPr>
          <w:b/>
          <w:bCs/>
          <w:sz w:val="24"/>
          <w:szCs w:val="24"/>
        </w:rPr>
      </w:pPr>
      <w:bookmarkStart w:id="3" w:name="_Ref26780919"/>
      <w:bookmarkStart w:id="4" w:name="_Toc26804354"/>
      <w:r w:rsidRPr="00196579">
        <w:rPr>
          <w:b/>
          <w:bCs/>
          <w:sz w:val="24"/>
          <w:szCs w:val="24"/>
        </w:rPr>
        <w:t>Tab</w:t>
      </w:r>
      <w:bookmarkEnd w:id="3"/>
      <w:r w:rsidRPr="00196579">
        <w:rPr>
          <w:b/>
          <w:bCs/>
          <w:sz w:val="24"/>
          <w:szCs w:val="24"/>
        </w:rPr>
        <w:t>el 6</w:t>
      </w:r>
      <w:r w:rsidRPr="00196579">
        <w:rPr>
          <w:b/>
          <w:bCs/>
          <w:sz w:val="24"/>
          <w:szCs w:val="24"/>
        </w:rPr>
        <w:tab/>
      </w:r>
      <w:bookmarkEnd w:id="4"/>
      <w:r w:rsidRPr="00196579">
        <w:rPr>
          <w:b/>
          <w:bCs/>
          <w:sz w:val="24"/>
          <w:szCs w:val="24"/>
        </w:rPr>
        <w:t xml:space="preserve">Forbedring af akne på </w:t>
      </w:r>
      <w:proofErr w:type="spellStart"/>
      <w:r w:rsidRPr="00196579">
        <w:rPr>
          <w:b/>
          <w:bCs/>
          <w:sz w:val="24"/>
          <w:szCs w:val="24"/>
        </w:rPr>
        <w:t>truncus</w:t>
      </w:r>
      <w:proofErr w:type="spellEnd"/>
      <w:r w:rsidRPr="00196579">
        <w:rPr>
          <w:b/>
          <w:bCs/>
          <w:sz w:val="24"/>
          <w:szCs w:val="24"/>
        </w:rPr>
        <w:t xml:space="preserve"> på </w:t>
      </w:r>
      <w:proofErr w:type="spellStart"/>
      <w:r w:rsidRPr="00196579">
        <w:rPr>
          <w:b/>
          <w:bCs/>
          <w:sz w:val="24"/>
          <w:szCs w:val="24"/>
        </w:rPr>
        <w:t>Physician’s</w:t>
      </w:r>
      <w:proofErr w:type="spellEnd"/>
      <w:r w:rsidRPr="00196579">
        <w:rPr>
          <w:b/>
          <w:bCs/>
          <w:sz w:val="24"/>
          <w:szCs w:val="24"/>
        </w:rPr>
        <w:t xml:space="preserve"> Global </w:t>
      </w:r>
      <w:proofErr w:type="spellStart"/>
      <w:r w:rsidRPr="00196579">
        <w:rPr>
          <w:b/>
          <w:bCs/>
          <w:sz w:val="24"/>
          <w:szCs w:val="24"/>
        </w:rPr>
        <w:t>Assessment</w:t>
      </w:r>
      <w:proofErr w:type="spellEnd"/>
      <w:r w:rsidRPr="00196579">
        <w:rPr>
          <w:b/>
          <w:bCs/>
          <w:sz w:val="24"/>
          <w:szCs w:val="24"/>
        </w:rPr>
        <w:t xml:space="preserve"> og ændring i antal læsioner ved uge 12 hos 12-17-årige (intent-to-</w:t>
      </w:r>
      <w:proofErr w:type="spellStart"/>
      <w:r w:rsidRPr="00196579">
        <w:rPr>
          <w:b/>
          <w:bCs/>
          <w:sz w:val="24"/>
          <w:szCs w:val="24"/>
        </w:rPr>
        <w:t>treat</w:t>
      </w:r>
      <w:proofErr w:type="spellEnd"/>
      <w:r w:rsidRPr="00196579">
        <w:rPr>
          <w:b/>
          <w:bCs/>
          <w:sz w:val="24"/>
          <w:szCs w:val="24"/>
        </w:rPr>
        <w:t xml:space="preserve">- population, </w:t>
      </w:r>
      <w:proofErr w:type="spellStart"/>
      <w:r w:rsidRPr="00196579">
        <w:rPr>
          <w:b/>
          <w:bCs/>
          <w:sz w:val="24"/>
          <w:szCs w:val="24"/>
        </w:rPr>
        <w:t>truncus</w:t>
      </w:r>
      <w:proofErr w:type="spellEnd"/>
      <w:r w:rsidRPr="00196579">
        <w:rPr>
          <w:b/>
          <w:bCs/>
          <w:sz w:val="24"/>
          <w:szCs w:val="24"/>
        </w:rPr>
        <w:t xml:space="preserve">; multipel </w:t>
      </w:r>
      <w:proofErr w:type="spellStart"/>
      <w:r w:rsidRPr="00196579">
        <w:rPr>
          <w:b/>
          <w:bCs/>
          <w:sz w:val="24"/>
          <w:szCs w:val="24"/>
        </w:rPr>
        <w:t>imputation</w:t>
      </w:r>
      <w:proofErr w:type="spellEnd"/>
      <w:r w:rsidRPr="00196579">
        <w:rPr>
          <w:b/>
          <w:bCs/>
          <w:sz w:val="24"/>
          <w:szCs w:val="24"/>
        </w:rPr>
        <w:t>)</w:t>
      </w:r>
    </w:p>
    <w:p w:rsidR="009D3070" w:rsidRPr="00196579" w:rsidRDefault="009D3070" w:rsidP="009D3070">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8"/>
        <w:gridCol w:w="1928"/>
        <w:gridCol w:w="1483"/>
        <w:gridCol w:w="1631"/>
        <w:gridCol w:w="1548"/>
      </w:tblGrid>
      <w:tr w:rsidR="009D3070" w:rsidRPr="00196579" w:rsidTr="00842CE2">
        <w:trPr>
          <w:trHeight w:val="251"/>
          <w:tblHeader/>
          <w:jc w:val="center"/>
        </w:trPr>
        <w:tc>
          <w:tcPr>
            <w:tcW w:w="2905" w:type="dxa"/>
            <w:tcMar>
              <w:top w:w="0" w:type="dxa"/>
              <w:left w:w="70" w:type="dxa"/>
              <w:bottom w:w="0" w:type="dxa"/>
              <w:right w:w="70" w:type="dxa"/>
            </w:tcMar>
            <w:vAlign w:val="center"/>
            <w:hideMark/>
          </w:tcPr>
          <w:p w:rsidR="009D3070" w:rsidRPr="00196579" w:rsidRDefault="009D3070" w:rsidP="00842CE2">
            <w:pPr>
              <w:ind w:left="62"/>
              <w:rPr>
                <w:szCs w:val="23"/>
              </w:rPr>
            </w:pPr>
            <w:r w:rsidRPr="00196579">
              <w:rPr>
                <w:b/>
                <w:bCs/>
                <w:szCs w:val="23"/>
              </w:rPr>
              <w:t xml:space="preserve">Sekundære endemål </w:t>
            </w:r>
          </w:p>
        </w:tc>
        <w:tc>
          <w:tcPr>
            <w:tcW w:w="3261" w:type="dxa"/>
            <w:gridSpan w:val="2"/>
            <w:tcMar>
              <w:top w:w="0" w:type="dxa"/>
              <w:left w:w="70" w:type="dxa"/>
              <w:bottom w:w="0" w:type="dxa"/>
              <w:right w:w="70" w:type="dxa"/>
            </w:tcMar>
            <w:vAlign w:val="center"/>
            <w:hideMark/>
          </w:tcPr>
          <w:p w:rsidR="009D3070" w:rsidRPr="00196579" w:rsidRDefault="009D3070" w:rsidP="00842CE2">
            <w:pPr>
              <w:ind w:left="72"/>
              <w:rPr>
                <w:b/>
                <w:szCs w:val="23"/>
              </w:rPr>
            </w:pPr>
            <w:r w:rsidRPr="00196579">
              <w:rPr>
                <w:b/>
                <w:szCs w:val="23"/>
              </w:rPr>
              <w:t>Studie 18251</w:t>
            </w:r>
          </w:p>
        </w:tc>
        <w:tc>
          <w:tcPr>
            <w:tcW w:w="3039" w:type="dxa"/>
            <w:gridSpan w:val="2"/>
            <w:tcMar>
              <w:top w:w="0" w:type="dxa"/>
              <w:left w:w="70" w:type="dxa"/>
              <w:bottom w:w="0" w:type="dxa"/>
              <w:right w:w="70" w:type="dxa"/>
            </w:tcMar>
            <w:vAlign w:val="center"/>
            <w:hideMark/>
          </w:tcPr>
          <w:p w:rsidR="009D3070" w:rsidRPr="00196579" w:rsidRDefault="009D3070" w:rsidP="00842CE2">
            <w:pPr>
              <w:ind w:left="110"/>
              <w:rPr>
                <w:b/>
                <w:szCs w:val="23"/>
              </w:rPr>
            </w:pPr>
            <w:r w:rsidRPr="00196579">
              <w:rPr>
                <w:b/>
                <w:szCs w:val="23"/>
              </w:rPr>
              <w:t>Studie 18252</w:t>
            </w:r>
          </w:p>
        </w:tc>
      </w:tr>
      <w:tr w:rsidR="009D3070" w:rsidRPr="00196579" w:rsidTr="00842CE2">
        <w:trPr>
          <w:trHeight w:val="438"/>
          <w:tblHeader/>
          <w:jc w:val="center"/>
        </w:trPr>
        <w:tc>
          <w:tcPr>
            <w:tcW w:w="2905" w:type="dxa"/>
            <w:vMerge w:val="restart"/>
            <w:vAlign w:val="center"/>
            <w:hideMark/>
          </w:tcPr>
          <w:p w:rsidR="009D3070" w:rsidRPr="00196579" w:rsidRDefault="009D3070" w:rsidP="00842CE2">
            <w:pPr>
              <w:ind w:left="62"/>
              <w:rPr>
                <w:szCs w:val="23"/>
              </w:rPr>
            </w:pPr>
          </w:p>
        </w:tc>
        <w:tc>
          <w:tcPr>
            <w:tcW w:w="1843" w:type="dxa"/>
            <w:tcMar>
              <w:top w:w="0" w:type="dxa"/>
              <w:left w:w="70" w:type="dxa"/>
              <w:bottom w:w="0" w:type="dxa"/>
              <w:right w:w="70" w:type="dxa"/>
            </w:tcMar>
            <w:vAlign w:val="center"/>
            <w:hideMark/>
          </w:tcPr>
          <w:p w:rsidR="009D3070" w:rsidRPr="00196579" w:rsidRDefault="009D3070" w:rsidP="00842CE2">
            <w:pPr>
              <w:ind w:left="72"/>
              <w:rPr>
                <w:szCs w:val="23"/>
              </w:rPr>
            </w:pPr>
            <w:r w:rsidRPr="00196579">
              <w:rPr>
                <w:szCs w:val="23"/>
              </w:rPr>
              <w:t>AKLIEF creme</w:t>
            </w:r>
          </w:p>
        </w:tc>
        <w:tc>
          <w:tcPr>
            <w:tcW w:w="1418" w:type="dxa"/>
            <w:tcMar>
              <w:top w:w="0" w:type="dxa"/>
              <w:left w:w="70" w:type="dxa"/>
              <w:bottom w:w="0" w:type="dxa"/>
              <w:right w:w="70" w:type="dxa"/>
            </w:tcMar>
            <w:vAlign w:val="center"/>
            <w:hideMark/>
          </w:tcPr>
          <w:p w:rsidR="009D3070" w:rsidRPr="00196579" w:rsidRDefault="009D3070" w:rsidP="00842CE2">
            <w:pPr>
              <w:ind w:left="72"/>
              <w:rPr>
                <w:szCs w:val="23"/>
              </w:rPr>
            </w:pPr>
            <w:r w:rsidRPr="00196579">
              <w:rPr>
                <w:szCs w:val="23"/>
              </w:rPr>
              <w:t>Vehikel- creme</w:t>
            </w:r>
          </w:p>
        </w:tc>
        <w:tc>
          <w:tcPr>
            <w:tcW w:w="1559" w:type="dxa"/>
            <w:tcMar>
              <w:top w:w="0" w:type="dxa"/>
              <w:left w:w="70" w:type="dxa"/>
              <w:bottom w:w="0" w:type="dxa"/>
              <w:right w:w="70" w:type="dxa"/>
            </w:tcMar>
            <w:vAlign w:val="center"/>
            <w:hideMark/>
          </w:tcPr>
          <w:p w:rsidR="009D3070" w:rsidRPr="00196579" w:rsidRDefault="009D3070" w:rsidP="00842CE2">
            <w:pPr>
              <w:ind w:left="110"/>
              <w:rPr>
                <w:szCs w:val="23"/>
              </w:rPr>
            </w:pPr>
            <w:r w:rsidRPr="00196579">
              <w:rPr>
                <w:szCs w:val="23"/>
              </w:rPr>
              <w:t>AKLIEF creme</w:t>
            </w:r>
          </w:p>
        </w:tc>
        <w:tc>
          <w:tcPr>
            <w:tcW w:w="1480" w:type="dxa"/>
            <w:tcMar>
              <w:top w:w="0" w:type="dxa"/>
              <w:left w:w="70" w:type="dxa"/>
              <w:bottom w:w="0" w:type="dxa"/>
              <w:right w:w="70" w:type="dxa"/>
            </w:tcMar>
            <w:vAlign w:val="center"/>
            <w:hideMark/>
          </w:tcPr>
          <w:p w:rsidR="009D3070" w:rsidRPr="00196579" w:rsidRDefault="009D3070" w:rsidP="00842CE2">
            <w:pPr>
              <w:ind w:left="110"/>
              <w:rPr>
                <w:szCs w:val="23"/>
              </w:rPr>
            </w:pPr>
            <w:r w:rsidRPr="00196579">
              <w:rPr>
                <w:szCs w:val="23"/>
              </w:rPr>
              <w:t>Vehikel- creme</w:t>
            </w:r>
          </w:p>
        </w:tc>
      </w:tr>
      <w:tr w:rsidR="009D3070" w:rsidRPr="00196579" w:rsidTr="00842CE2">
        <w:trPr>
          <w:trHeight w:val="251"/>
          <w:tblHeader/>
          <w:jc w:val="center"/>
        </w:trPr>
        <w:tc>
          <w:tcPr>
            <w:tcW w:w="2905" w:type="dxa"/>
            <w:vMerge/>
            <w:vAlign w:val="center"/>
            <w:hideMark/>
          </w:tcPr>
          <w:p w:rsidR="009D3070" w:rsidRPr="00196579" w:rsidRDefault="009D3070" w:rsidP="00842CE2">
            <w:pPr>
              <w:ind w:left="62"/>
              <w:rPr>
                <w:szCs w:val="23"/>
              </w:rPr>
            </w:pPr>
          </w:p>
        </w:tc>
        <w:tc>
          <w:tcPr>
            <w:tcW w:w="1843" w:type="dxa"/>
            <w:tcMar>
              <w:top w:w="0" w:type="dxa"/>
              <w:left w:w="70" w:type="dxa"/>
              <w:bottom w:w="0" w:type="dxa"/>
              <w:right w:w="70" w:type="dxa"/>
            </w:tcMar>
            <w:vAlign w:val="center"/>
            <w:hideMark/>
          </w:tcPr>
          <w:p w:rsidR="009D3070" w:rsidRPr="00196579" w:rsidRDefault="009D3070" w:rsidP="00842CE2">
            <w:pPr>
              <w:ind w:left="72"/>
              <w:rPr>
                <w:bCs/>
                <w:szCs w:val="23"/>
              </w:rPr>
            </w:pPr>
            <w:r w:rsidRPr="00196579">
              <w:rPr>
                <w:bCs/>
                <w:szCs w:val="23"/>
              </w:rPr>
              <w:t>(n= 302)</w:t>
            </w:r>
          </w:p>
        </w:tc>
        <w:tc>
          <w:tcPr>
            <w:tcW w:w="1418" w:type="dxa"/>
            <w:tcMar>
              <w:top w:w="0" w:type="dxa"/>
              <w:left w:w="70" w:type="dxa"/>
              <w:bottom w:w="0" w:type="dxa"/>
              <w:right w:w="70" w:type="dxa"/>
            </w:tcMar>
            <w:vAlign w:val="center"/>
            <w:hideMark/>
          </w:tcPr>
          <w:p w:rsidR="009D3070" w:rsidRPr="00196579" w:rsidRDefault="009D3070" w:rsidP="00842CE2">
            <w:pPr>
              <w:ind w:left="72"/>
              <w:rPr>
                <w:bCs/>
                <w:szCs w:val="23"/>
              </w:rPr>
            </w:pPr>
            <w:r w:rsidRPr="00196579">
              <w:rPr>
                <w:bCs/>
                <w:szCs w:val="23"/>
              </w:rPr>
              <w:t>(n=269)</w:t>
            </w:r>
          </w:p>
        </w:tc>
        <w:tc>
          <w:tcPr>
            <w:tcW w:w="1559" w:type="dxa"/>
            <w:tcMar>
              <w:top w:w="0" w:type="dxa"/>
              <w:left w:w="70" w:type="dxa"/>
              <w:bottom w:w="0" w:type="dxa"/>
              <w:right w:w="70" w:type="dxa"/>
            </w:tcMar>
            <w:vAlign w:val="center"/>
            <w:hideMark/>
          </w:tcPr>
          <w:p w:rsidR="009D3070" w:rsidRPr="00196579" w:rsidRDefault="009D3070" w:rsidP="00842CE2">
            <w:pPr>
              <w:ind w:left="110"/>
              <w:rPr>
                <w:bCs/>
                <w:szCs w:val="23"/>
              </w:rPr>
            </w:pPr>
            <w:r w:rsidRPr="00196579">
              <w:rPr>
                <w:bCs/>
                <w:szCs w:val="23"/>
              </w:rPr>
              <w:t>(n= 267)</w:t>
            </w:r>
          </w:p>
        </w:tc>
        <w:tc>
          <w:tcPr>
            <w:tcW w:w="1480" w:type="dxa"/>
            <w:tcMar>
              <w:top w:w="0" w:type="dxa"/>
              <w:left w:w="70" w:type="dxa"/>
              <w:bottom w:w="0" w:type="dxa"/>
              <w:right w:w="70" w:type="dxa"/>
            </w:tcMar>
            <w:vAlign w:val="center"/>
            <w:hideMark/>
          </w:tcPr>
          <w:p w:rsidR="009D3070" w:rsidRPr="00196579" w:rsidRDefault="009D3070" w:rsidP="00842CE2">
            <w:pPr>
              <w:ind w:left="110"/>
              <w:rPr>
                <w:bCs/>
                <w:szCs w:val="23"/>
              </w:rPr>
            </w:pPr>
            <w:r w:rsidRPr="00196579">
              <w:rPr>
                <w:bCs/>
                <w:szCs w:val="23"/>
              </w:rPr>
              <w:t>(n=288)</w:t>
            </w:r>
          </w:p>
        </w:tc>
      </w:tr>
      <w:tr w:rsidR="009D3070" w:rsidRPr="00196579" w:rsidTr="00842CE2">
        <w:trPr>
          <w:trHeight w:val="650"/>
          <w:jc w:val="center"/>
        </w:trPr>
        <w:tc>
          <w:tcPr>
            <w:tcW w:w="2905" w:type="dxa"/>
            <w:tcMar>
              <w:top w:w="0" w:type="dxa"/>
              <w:left w:w="70" w:type="dxa"/>
              <w:bottom w:w="0" w:type="dxa"/>
              <w:right w:w="70" w:type="dxa"/>
            </w:tcMar>
            <w:hideMark/>
          </w:tcPr>
          <w:p w:rsidR="009D3070" w:rsidRPr="00196579" w:rsidRDefault="009D3070" w:rsidP="00842CE2">
            <w:pPr>
              <w:ind w:left="62"/>
              <w:rPr>
                <w:b/>
                <w:szCs w:val="23"/>
              </w:rPr>
            </w:pPr>
            <w:r w:rsidRPr="00196579">
              <w:rPr>
                <w:b/>
                <w:szCs w:val="23"/>
              </w:rPr>
              <w:t xml:space="preserve">Succesrate iflg. PGA </w:t>
            </w:r>
            <w:proofErr w:type="gramStart"/>
            <w:r w:rsidRPr="00196579">
              <w:rPr>
                <w:b/>
                <w:szCs w:val="23"/>
              </w:rPr>
              <w:t>(</w:t>
            </w:r>
            <w:r>
              <w:rPr>
                <w:b/>
                <w:szCs w:val="23"/>
              </w:rPr>
              <w:t xml:space="preserve"> %</w:t>
            </w:r>
            <w:proofErr w:type="gramEnd"/>
            <w:r w:rsidRPr="00196579">
              <w:rPr>
                <w:b/>
                <w:szCs w:val="23"/>
              </w:rPr>
              <w:t>)</w:t>
            </w:r>
          </w:p>
          <w:p w:rsidR="009D3070" w:rsidRPr="00196579" w:rsidRDefault="009D3070" w:rsidP="00842CE2">
            <w:pPr>
              <w:ind w:left="62"/>
              <w:rPr>
                <w:szCs w:val="23"/>
              </w:rPr>
            </w:pPr>
            <w:r w:rsidRPr="00196579">
              <w:rPr>
                <w:b/>
                <w:szCs w:val="23"/>
              </w:rPr>
              <w:t>En forbedring på mindst 2 trin og PGA-scoren “</w:t>
            </w:r>
            <w:proofErr w:type="spellStart"/>
            <w:r w:rsidRPr="00196579">
              <w:rPr>
                <w:b/>
                <w:szCs w:val="23"/>
              </w:rPr>
              <w:t>Ophelet</w:t>
            </w:r>
            <w:proofErr w:type="spellEnd"/>
            <w:r w:rsidRPr="00196579">
              <w:rPr>
                <w:b/>
                <w:szCs w:val="23"/>
              </w:rPr>
              <w:t xml:space="preserve">” (0) eller “Næsten </w:t>
            </w:r>
            <w:proofErr w:type="spellStart"/>
            <w:r w:rsidRPr="00196579">
              <w:rPr>
                <w:b/>
                <w:szCs w:val="23"/>
              </w:rPr>
              <w:t>ophelet</w:t>
            </w:r>
            <w:proofErr w:type="spellEnd"/>
            <w:r w:rsidRPr="00196579">
              <w:rPr>
                <w:b/>
                <w:szCs w:val="23"/>
              </w:rPr>
              <w:t>” (1)</w:t>
            </w:r>
          </w:p>
        </w:tc>
        <w:tc>
          <w:tcPr>
            <w:tcW w:w="1843" w:type="dxa"/>
            <w:tcMar>
              <w:top w:w="0" w:type="dxa"/>
              <w:left w:w="70" w:type="dxa"/>
              <w:bottom w:w="0" w:type="dxa"/>
              <w:right w:w="70" w:type="dxa"/>
            </w:tcMar>
            <w:hideMark/>
          </w:tcPr>
          <w:p w:rsidR="009D3070" w:rsidRPr="00196579" w:rsidRDefault="009D3070" w:rsidP="00842CE2">
            <w:pPr>
              <w:ind w:left="72"/>
              <w:rPr>
                <w:szCs w:val="23"/>
              </w:rPr>
            </w:pPr>
            <w:r w:rsidRPr="00196579">
              <w:rPr>
                <w:szCs w:val="23"/>
              </w:rPr>
              <w:t>31,8</w:t>
            </w:r>
          </w:p>
          <w:p w:rsidR="009D3070" w:rsidRPr="00196579" w:rsidRDefault="009D3070" w:rsidP="00842CE2">
            <w:pPr>
              <w:ind w:left="72"/>
              <w:rPr>
                <w:szCs w:val="23"/>
              </w:rPr>
            </w:pPr>
          </w:p>
        </w:tc>
        <w:tc>
          <w:tcPr>
            <w:tcW w:w="1418" w:type="dxa"/>
            <w:tcMar>
              <w:top w:w="0" w:type="dxa"/>
              <w:left w:w="70" w:type="dxa"/>
              <w:bottom w:w="0" w:type="dxa"/>
              <w:right w:w="70" w:type="dxa"/>
            </w:tcMar>
            <w:hideMark/>
          </w:tcPr>
          <w:p w:rsidR="009D3070" w:rsidRPr="00196579" w:rsidRDefault="009D3070" w:rsidP="00842CE2">
            <w:pPr>
              <w:ind w:left="72"/>
              <w:rPr>
                <w:szCs w:val="23"/>
              </w:rPr>
            </w:pPr>
            <w:r w:rsidRPr="00196579">
              <w:rPr>
                <w:szCs w:val="23"/>
              </w:rPr>
              <w:t>21,0</w:t>
            </w:r>
          </w:p>
        </w:tc>
        <w:tc>
          <w:tcPr>
            <w:tcW w:w="1559" w:type="dxa"/>
            <w:tcMar>
              <w:top w:w="0" w:type="dxa"/>
              <w:left w:w="70" w:type="dxa"/>
              <w:bottom w:w="0" w:type="dxa"/>
              <w:right w:w="70" w:type="dxa"/>
            </w:tcMar>
            <w:hideMark/>
          </w:tcPr>
          <w:p w:rsidR="009D3070" w:rsidRPr="00196579" w:rsidRDefault="009D3070" w:rsidP="00842CE2">
            <w:pPr>
              <w:ind w:left="110"/>
              <w:rPr>
                <w:szCs w:val="23"/>
              </w:rPr>
            </w:pPr>
            <w:r w:rsidRPr="00196579">
              <w:rPr>
                <w:szCs w:val="23"/>
              </w:rPr>
              <w:t>38,7</w:t>
            </w:r>
          </w:p>
          <w:p w:rsidR="009D3070" w:rsidRPr="00196579" w:rsidRDefault="009D3070" w:rsidP="00842CE2">
            <w:pPr>
              <w:ind w:left="110"/>
              <w:rPr>
                <w:szCs w:val="23"/>
              </w:rPr>
            </w:pPr>
          </w:p>
        </w:tc>
        <w:tc>
          <w:tcPr>
            <w:tcW w:w="1480" w:type="dxa"/>
            <w:tcMar>
              <w:top w:w="0" w:type="dxa"/>
              <w:left w:w="70" w:type="dxa"/>
              <w:bottom w:w="0" w:type="dxa"/>
              <w:right w:w="70" w:type="dxa"/>
            </w:tcMar>
            <w:hideMark/>
          </w:tcPr>
          <w:p w:rsidR="009D3070" w:rsidRPr="00196579" w:rsidRDefault="009D3070" w:rsidP="00842CE2">
            <w:pPr>
              <w:ind w:left="110"/>
              <w:rPr>
                <w:szCs w:val="23"/>
              </w:rPr>
            </w:pPr>
            <w:r w:rsidRPr="00196579">
              <w:rPr>
                <w:szCs w:val="23"/>
              </w:rPr>
              <w:t>25,8</w:t>
            </w:r>
          </w:p>
        </w:tc>
      </w:tr>
      <w:tr w:rsidR="009D3070" w:rsidRPr="00196579" w:rsidTr="00842CE2">
        <w:trPr>
          <w:trHeight w:val="493"/>
          <w:jc w:val="center"/>
        </w:trPr>
        <w:tc>
          <w:tcPr>
            <w:tcW w:w="2905" w:type="dxa"/>
            <w:tcMar>
              <w:top w:w="0" w:type="dxa"/>
              <w:left w:w="70" w:type="dxa"/>
              <w:bottom w:w="0" w:type="dxa"/>
              <w:right w:w="70" w:type="dxa"/>
            </w:tcMar>
          </w:tcPr>
          <w:p w:rsidR="009D3070" w:rsidRPr="00196579" w:rsidRDefault="009D3070" w:rsidP="00842CE2">
            <w:pPr>
              <w:ind w:left="62"/>
              <w:rPr>
                <w:bCs/>
                <w:szCs w:val="23"/>
              </w:rPr>
            </w:pPr>
            <w:r w:rsidRPr="00196579">
              <w:rPr>
                <w:bCs/>
                <w:szCs w:val="23"/>
              </w:rPr>
              <w:t>Procentvis forskel i succesrate i forhold til vehikel (95</w:t>
            </w:r>
            <w:r>
              <w:rPr>
                <w:bCs/>
                <w:szCs w:val="23"/>
              </w:rPr>
              <w:t xml:space="preserve"> %</w:t>
            </w:r>
            <w:r w:rsidRPr="00196579">
              <w:rPr>
                <w:bCs/>
                <w:szCs w:val="23"/>
              </w:rPr>
              <w:t xml:space="preserve"> CI)</w:t>
            </w:r>
          </w:p>
        </w:tc>
        <w:tc>
          <w:tcPr>
            <w:tcW w:w="1843" w:type="dxa"/>
            <w:tcMar>
              <w:top w:w="0" w:type="dxa"/>
              <w:left w:w="70" w:type="dxa"/>
              <w:bottom w:w="0" w:type="dxa"/>
              <w:right w:w="70" w:type="dxa"/>
            </w:tcMar>
          </w:tcPr>
          <w:p w:rsidR="009D3070" w:rsidRPr="00196579" w:rsidRDefault="009D3070" w:rsidP="00842CE2">
            <w:pPr>
              <w:ind w:left="72"/>
              <w:rPr>
                <w:bCs/>
                <w:szCs w:val="23"/>
              </w:rPr>
            </w:pPr>
            <w:r w:rsidRPr="00196579">
              <w:rPr>
                <w:bCs/>
                <w:szCs w:val="23"/>
              </w:rPr>
              <w:t>10,8 (3,5; 18,1)</w:t>
            </w:r>
          </w:p>
          <w:p w:rsidR="009D3070" w:rsidRPr="00196579" w:rsidRDefault="009D3070" w:rsidP="00842CE2">
            <w:pPr>
              <w:ind w:left="72"/>
              <w:rPr>
                <w:szCs w:val="23"/>
              </w:rPr>
            </w:pPr>
            <w:r w:rsidRPr="00196579">
              <w:rPr>
                <w:bCs/>
                <w:szCs w:val="23"/>
              </w:rPr>
              <w:t>p &lt; 0,001</w:t>
            </w:r>
          </w:p>
        </w:tc>
        <w:tc>
          <w:tcPr>
            <w:tcW w:w="1418" w:type="dxa"/>
            <w:tcMar>
              <w:top w:w="0" w:type="dxa"/>
              <w:left w:w="70" w:type="dxa"/>
              <w:bottom w:w="0" w:type="dxa"/>
              <w:right w:w="70" w:type="dxa"/>
            </w:tcMar>
          </w:tcPr>
          <w:p w:rsidR="009D3070" w:rsidRPr="00196579" w:rsidRDefault="009D3070" w:rsidP="00842CE2">
            <w:pPr>
              <w:ind w:left="72"/>
              <w:rPr>
                <w:szCs w:val="23"/>
              </w:rPr>
            </w:pPr>
            <w:r w:rsidRPr="00196579">
              <w:rPr>
                <w:szCs w:val="23"/>
              </w:rPr>
              <w:t>-</w:t>
            </w:r>
          </w:p>
        </w:tc>
        <w:tc>
          <w:tcPr>
            <w:tcW w:w="1559" w:type="dxa"/>
            <w:tcMar>
              <w:top w:w="0" w:type="dxa"/>
              <w:left w:w="70" w:type="dxa"/>
              <w:bottom w:w="0" w:type="dxa"/>
              <w:right w:w="70" w:type="dxa"/>
            </w:tcMar>
          </w:tcPr>
          <w:p w:rsidR="009D3070" w:rsidRPr="00196579" w:rsidRDefault="009D3070" w:rsidP="00842CE2">
            <w:pPr>
              <w:ind w:left="110"/>
              <w:rPr>
                <w:bCs/>
                <w:szCs w:val="23"/>
              </w:rPr>
            </w:pPr>
            <w:r w:rsidRPr="00196579">
              <w:rPr>
                <w:bCs/>
                <w:szCs w:val="23"/>
              </w:rPr>
              <w:t>12,9 (5,0; 20,8)</w:t>
            </w:r>
          </w:p>
          <w:p w:rsidR="009D3070" w:rsidRPr="00196579" w:rsidRDefault="009D3070" w:rsidP="00842CE2">
            <w:pPr>
              <w:ind w:left="110"/>
              <w:rPr>
                <w:szCs w:val="23"/>
              </w:rPr>
            </w:pPr>
            <w:r w:rsidRPr="00196579">
              <w:rPr>
                <w:bCs/>
                <w:szCs w:val="23"/>
              </w:rPr>
              <w:t>p &lt; 0,001</w:t>
            </w:r>
          </w:p>
        </w:tc>
        <w:tc>
          <w:tcPr>
            <w:tcW w:w="1480" w:type="dxa"/>
            <w:tcMar>
              <w:top w:w="0" w:type="dxa"/>
              <w:left w:w="70" w:type="dxa"/>
              <w:bottom w:w="0" w:type="dxa"/>
              <w:right w:w="70" w:type="dxa"/>
            </w:tcMar>
          </w:tcPr>
          <w:p w:rsidR="009D3070" w:rsidRPr="00196579" w:rsidRDefault="009D3070" w:rsidP="00842CE2">
            <w:pPr>
              <w:ind w:left="110"/>
              <w:rPr>
                <w:szCs w:val="23"/>
              </w:rPr>
            </w:pPr>
            <w:r w:rsidRPr="00196579">
              <w:rPr>
                <w:szCs w:val="23"/>
              </w:rPr>
              <w:t>-</w:t>
            </w:r>
          </w:p>
        </w:tc>
      </w:tr>
      <w:tr w:rsidR="009D3070" w:rsidRPr="00196579" w:rsidTr="00842CE2">
        <w:trPr>
          <w:trHeight w:val="131"/>
          <w:jc w:val="center"/>
        </w:trPr>
        <w:tc>
          <w:tcPr>
            <w:tcW w:w="9205" w:type="dxa"/>
            <w:gridSpan w:val="5"/>
            <w:tcMar>
              <w:top w:w="0" w:type="dxa"/>
              <w:left w:w="70" w:type="dxa"/>
              <w:bottom w:w="0" w:type="dxa"/>
              <w:right w:w="70" w:type="dxa"/>
            </w:tcMar>
          </w:tcPr>
          <w:p w:rsidR="009D3070" w:rsidRPr="00196579" w:rsidRDefault="009D3070" w:rsidP="00842CE2">
            <w:pPr>
              <w:ind w:left="110"/>
              <w:rPr>
                <w:bCs/>
                <w:szCs w:val="23"/>
              </w:rPr>
            </w:pPr>
          </w:p>
        </w:tc>
      </w:tr>
      <w:tr w:rsidR="009D3070" w:rsidRPr="00196579" w:rsidTr="00842CE2">
        <w:trPr>
          <w:trHeight w:val="699"/>
          <w:jc w:val="center"/>
        </w:trPr>
        <w:tc>
          <w:tcPr>
            <w:tcW w:w="2905" w:type="dxa"/>
            <w:tcMar>
              <w:top w:w="0" w:type="dxa"/>
              <w:left w:w="70" w:type="dxa"/>
              <w:bottom w:w="0" w:type="dxa"/>
              <w:right w:w="70" w:type="dxa"/>
            </w:tcMar>
          </w:tcPr>
          <w:p w:rsidR="009D3070" w:rsidRPr="00196579" w:rsidRDefault="009D3070" w:rsidP="00842CE2">
            <w:pPr>
              <w:ind w:left="62"/>
              <w:rPr>
                <w:b/>
                <w:bCs/>
                <w:szCs w:val="23"/>
              </w:rPr>
            </w:pPr>
            <w:r w:rsidRPr="00196579">
              <w:rPr>
                <w:b/>
                <w:bCs/>
                <w:szCs w:val="23"/>
              </w:rPr>
              <w:t>Inflammatoriske læsioner</w:t>
            </w:r>
          </w:p>
          <w:p w:rsidR="009D3070" w:rsidRPr="00196579" w:rsidRDefault="009D3070" w:rsidP="00842CE2">
            <w:pPr>
              <w:ind w:left="62"/>
              <w:rPr>
                <w:b/>
                <w:bCs/>
                <w:szCs w:val="23"/>
              </w:rPr>
            </w:pPr>
            <w:r w:rsidRPr="00196579">
              <w:rPr>
                <w:b/>
                <w:szCs w:val="23"/>
              </w:rPr>
              <w:t>Gennemsnitlig absolut ændring i forhold til baseline</w:t>
            </w:r>
          </w:p>
        </w:tc>
        <w:tc>
          <w:tcPr>
            <w:tcW w:w="1843" w:type="dxa"/>
            <w:tcMar>
              <w:top w:w="0" w:type="dxa"/>
              <w:left w:w="70" w:type="dxa"/>
              <w:bottom w:w="0" w:type="dxa"/>
              <w:right w:w="70" w:type="dxa"/>
            </w:tcMar>
          </w:tcPr>
          <w:p w:rsidR="009D3070" w:rsidRPr="00196579" w:rsidRDefault="009D3070" w:rsidP="00842CE2">
            <w:pPr>
              <w:ind w:left="72"/>
              <w:rPr>
                <w:szCs w:val="23"/>
              </w:rPr>
            </w:pPr>
            <w:r w:rsidRPr="00196579">
              <w:rPr>
                <w:szCs w:val="23"/>
              </w:rPr>
              <w:t>-21,4</w:t>
            </w:r>
          </w:p>
          <w:p w:rsidR="009D3070" w:rsidRPr="00196579" w:rsidRDefault="009D3070" w:rsidP="00842CE2">
            <w:pPr>
              <w:ind w:left="72"/>
              <w:rPr>
                <w:szCs w:val="23"/>
              </w:rPr>
            </w:pPr>
          </w:p>
        </w:tc>
        <w:tc>
          <w:tcPr>
            <w:tcW w:w="1418" w:type="dxa"/>
            <w:tcMar>
              <w:top w:w="0" w:type="dxa"/>
              <w:left w:w="70" w:type="dxa"/>
              <w:bottom w:w="0" w:type="dxa"/>
              <w:right w:w="70" w:type="dxa"/>
            </w:tcMar>
          </w:tcPr>
          <w:p w:rsidR="009D3070" w:rsidRPr="00196579" w:rsidRDefault="009D3070" w:rsidP="00842CE2">
            <w:pPr>
              <w:ind w:left="72"/>
              <w:rPr>
                <w:szCs w:val="23"/>
              </w:rPr>
            </w:pPr>
            <w:r w:rsidRPr="00196579">
              <w:rPr>
                <w:szCs w:val="23"/>
              </w:rPr>
              <w:t>-18,0</w:t>
            </w:r>
          </w:p>
        </w:tc>
        <w:tc>
          <w:tcPr>
            <w:tcW w:w="1559" w:type="dxa"/>
            <w:tcMar>
              <w:top w:w="0" w:type="dxa"/>
              <w:left w:w="70" w:type="dxa"/>
              <w:bottom w:w="0" w:type="dxa"/>
              <w:right w:w="70" w:type="dxa"/>
            </w:tcMar>
          </w:tcPr>
          <w:p w:rsidR="009D3070" w:rsidRPr="00196579" w:rsidRDefault="009D3070" w:rsidP="00842CE2">
            <w:pPr>
              <w:ind w:left="110"/>
              <w:rPr>
                <w:szCs w:val="23"/>
              </w:rPr>
            </w:pPr>
            <w:r w:rsidRPr="00196579">
              <w:rPr>
                <w:szCs w:val="23"/>
              </w:rPr>
              <w:t>-25,4</w:t>
            </w:r>
          </w:p>
          <w:p w:rsidR="009D3070" w:rsidRPr="00196579" w:rsidRDefault="009D3070" w:rsidP="00842CE2">
            <w:pPr>
              <w:ind w:left="110"/>
              <w:rPr>
                <w:szCs w:val="23"/>
              </w:rPr>
            </w:pPr>
          </w:p>
        </w:tc>
        <w:tc>
          <w:tcPr>
            <w:tcW w:w="1480" w:type="dxa"/>
            <w:tcMar>
              <w:top w:w="0" w:type="dxa"/>
              <w:left w:w="70" w:type="dxa"/>
              <w:bottom w:w="0" w:type="dxa"/>
              <w:right w:w="70" w:type="dxa"/>
            </w:tcMar>
          </w:tcPr>
          <w:p w:rsidR="009D3070" w:rsidRPr="00196579" w:rsidRDefault="009D3070" w:rsidP="00842CE2">
            <w:pPr>
              <w:ind w:left="110"/>
              <w:rPr>
                <w:szCs w:val="23"/>
              </w:rPr>
            </w:pPr>
            <w:r w:rsidRPr="00196579">
              <w:rPr>
                <w:szCs w:val="23"/>
              </w:rPr>
              <w:t>-19,2</w:t>
            </w:r>
          </w:p>
        </w:tc>
      </w:tr>
      <w:tr w:rsidR="009D3070" w:rsidRPr="00196579" w:rsidTr="00842CE2">
        <w:trPr>
          <w:trHeight w:val="411"/>
          <w:jc w:val="center"/>
        </w:trPr>
        <w:tc>
          <w:tcPr>
            <w:tcW w:w="2905" w:type="dxa"/>
            <w:tcMar>
              <w:top w:w="0" w:type="dxa"/>
              <w:left w:w="70" w:type="dxa"/>
              <w:bottom w:w="0" w:type="dxa"/>
              <w:right w:w="70" w:type="dxa"/>
            </w:tcMar>
          </w:tcPr>
          <w:p w:rsidR="009D3070" w:rsidRPr="00196579" w:rsidRDefault="009D3070" w:rsidP="00842CE2">
            <w:pPr>
              <w:ind w:left="62"/>
              <w:rPr>
                <w:bCs/>
                <w:szCs w:val="23"/>
              </w:rPr>
            </w:pPr>
            <w:r w:rsidRPr="00196579">
              <w:rPr>
                <w:bCs/>
                <w:szCs w:val="23"/>
              </w:rPr>
              <w:t>Gennemsnitlig forskel i forhold til vehikel (95</w:t>
            </w:r>
            <w:r>
              <w:rPr>
                <w:bCs/>
                <w:szCs w:val="23"/>
              </w:rPr>
              <w:t xml:space="preserve"> %</w:t>
            </w:r>
            <w:r w:rsidRPr="00196579">
              <w:rPr>
                <w:bCs/>
                <w:szCs w:val="23"/>
              </w:rPr>
              <w:t xml:space="preserve"> CI)</w:t>
            </w:r>
          </w:p>
        </w:tc>
        <w:tc>
          <w:tcPr>
            <w:tcW w:w="1843" w:type="dxa"/>
            <w:tcMar>
              <w:top w:w="0" w:type="dxa"/>
              <w:left w:w="70" w:type="dxa"/>
              <w:bottom w:w="0" w:type="dxa"/>
              <w:right w:w="70" w:type="dxa"/>
            </w:tcMar>
          </w:tcPr>
          <w:p w:rsidR="009D3070" w:rsidRPr="00196579" w:rsidRDefault="009D3070" w:rsidP="00842CE2">
            <w:pPr>
              <w:ind w:left="72"/>
              <w:rPr>
                <w:bCs/>
                <w:szCs w:val="23"/>
              </w:rPr>
            </w:pPr>
            <w:r w:rsidRPr="00196579">
              <w:rPr>
                <w:bCs/>
                <w:szCs w:val="23"/>
              </w:rPr>
              <w:t>-3,4 (-6,3; -0,5)</w:t>
            </w:r>
          </w:p>
          <w:p w:rsidR="009D3070" w:rsidRPr="00196579" w:rsidRDefault="009D3070" w:rsidP="00842CE2">
            <w:pPr>
              <w:ind w:left="72"/>
              <w:rPr>
                <w:szCs w:val="23"/>
              </w:rPr>
            </w:pPr>
            <w:r w:rsidRPr="00196579">
              <w:rPr>
                <w:bCs/>
                <w:szCs w:val="23"/>
              </w:rPr>
              <w:t>p &lt; 0,01</w:t>
            </w:r>
          </w:p>
        </w:tc>
        <w:tc>
          <w:tcPr>
            <w:tcW w:w="1418" w:type="dxa"/>
            <w:tcMar>
              <w:top w:w="0" w:type="dxa"/>
              <w:left w:w="70" w:type="dxa"/>
              <w:bottom w:w="0" w:type="dxa"/>
              <w:right w:w="70" w:type="dxa"/>
            </w:tcMar>
          </w:tcPr>
          <w:p w:rsidR="009D3070" w:rsidRPr="00196579" w:rsidRDefault="009D3070" w:rsidP="00842CE2">
            <w:pPr>
              <w:ind w:left="72"/>
              <w:rPr>
                <w:szCs w:val="23"/>
              </w:rPr>
            </w:pPr>
            <w:r w:rsidRPr="00196579">
              <w:rPr>
                <w:szCs w:val="23"/>
              </w:rPr>
              <w:t>-</w:t>
            </w:r>
          </w:p>
        </w:tc>
        <w:tc>
          <w:tcPr>
            <w:tcW w:w="1559" w:type="dxa"/>
            <w:tcMar>
              <w:top w:w="0" w:type="dxa"/>
              <w:left w:w="70" w:type="dxa"/>
              <w:bottom w:w="0" w:type="dxa"/>
              <w:right w:w="70" w:type="dxa"/>
            </w:tcMar>
          </w:tcPr>
          <w:p w:rsidR="009D3070" w:rsidRPr="00196579" w:rsidRDefault="009D3070" w:rsidP="00842CE2">
            <w:pPr>
              <w:ind w:left="110"/>
              <w:rPr>
                <w:bCs/>
                <w:szCs w:val="23"/>
              </w:rPr>
            </w:pPr>
            <w:r w:rsidRPr="00196579">
              <w:rPr>
                <w:bCs/>
                <w:szCs w:val="23"/>
              </w:rPr>
              <w:t>-6,2 (-9,2; -3,3)</w:t>
            </w:r>
          </w:p>
          <w:p w:rsidR="009D3070" w:rsidRPr="00196579" w:rsidRDefault="009D3070" w:rsidP="00842CE2">
            <w:pPr>
              <w:ind w:left="110"/>
              <w:rPr>
                <w:szCs w:val="23"/>
              </w:rPr>
            </w:pPr>
            <w:r w:rsidRPr="00196579">
              <w:rPr>
                <w:bCs/>
                <w:szCs w:val="23"/>
              </w:rPr>
              <w:t>p &lt; 0,001</w:t>
            </w:r>
          </w:p>
        </w:tc>
        <w:tc>
          <w:tcPr>
            <w:tcW w:w="1480" w:type="dxa"/>
            <w:tcMar>
              <w:top w:w="0" w:type="dxa"/>
              <w:left w:w="70" w:type="dxa"/>
              <w:bottom w:w="0" w:type="dxa"/>
              <w:right w:w="70" w:type="dxa"/>
            </w:tcMar>
          </w:tcPr>
          <w:p w:rsidR="009D3070" w:rsidRPr="00196579" w:rsidRDefault="009D3070" w:rsidP="00842CE2">
            <w:pPr>
              <w:ind w:left="110"/>
              <w:rPr>
                <w:szCs w:val="23"/>
              </w:rPr>
            </w:pPr>
            <w:r w:rsidRPr="00196579">
              <w:rPr>
                <w:szCs w:val="23"/>
              </w:rPr>
              <w:t>-</w:t>
            </w:r>
          </w:p>
        </w:tc>
      </w:tr>
      <w:tr w:rsidR="009D3070" w:rsidRPr="00196579" w:rsidTr="00842CE2">
        <w:trPr>
          <w:trHeight w:val="56"/>
          <w:jc w:val="center"/>
        </w:trPr>
        <w:tc>
          <w:tcPr>
            <w:tcW w:w="9205" w:type="dxa"/>
            <w:gridSpan w:val="5"/>
            <w:tcMar>
              <w:top w:w="0" w:type="dxa"/>
              <w:left w:w="70" w:type="dxa"/>
              <w:bottom w:w="0" w:type="dxa"/>
              <w:right w:w="70" w:type="dxa"/>
            </w:tcMar>
          </w:tcPr>
          <w:p w:rsidR="009D3070" w:rsidRPr="00196579" w:rsidRDefault="009D3070" w:rsidP="00842CE2">
            <w:pPr>
              <w:ind w:left="110"/>
              <w:rPr>
                <w:bCs/>
                <w:szCs w:val="23"/>
              </w:rPr>
            </w:pPr>
          </w:p>
        </w:tc>
      </w:tr>
      <w:tr w:rsidR="009D3070" w:rsidRPr="00196579" w:rsidTr="00842CE2">
        <w:trPr>
          <w:trHeight w:val="545"/>
          <w:jc w:val="center"/>
        </w:trPr>
        <w:tc>
          <w:tcPr>
            <w:tcW w:w="2905" w:type="dxa"/>
            <w:tcMar>
              <w:top w:w="0" w:type="dxa"/>
              <w:left w:w="70" w:type="dxa"/>
              <w:bottom w:w="0" w:type="dxa"/>
              <w:right w:w="70" w:type="dxa"/>
            </w:tcMar>
          </w:tcPr>
          <w:p w:rsidR="009D3070" w:rsidRPr="00196579" w:rsidRDefault="009D3070" w:rsidP="00842CE2">
            <w:pPr>
              <w:ind w:left="62"/>
              <w:rPr>
                <w:szCs w:val="23"/>
              </w:rPr>
            </w:pPr>
            <w:r w:rsidRPr="00196579">
              <w:rPr>
                <w:b/>
                <w:bCs/>
                <w:szCs w:val="23"/>
              </w:rPr>
              <w:t>Noninflammatoriske læsioner</w:t>
            </w:r>
          </w:p>
          <w:p w:rsidR="009D3070" w:rsidRPr="00196579" w:rsidRDefault="009D3070" w:rsidP="00842CE2">
            <w:pPr>
              <w:ind w:left="62"/>
              <w:rPr>
                <w:b/>
                <w:szCs w:val="23"/>
              </w:rPr>
            </w:pPr>
            <w:r w:rsidRPr="00196579">
              <w:rPr>
                <w:b/>
                <w:szCs w:val="23"/>
              </w:rPr>
              <w:t>Gennemsnitlig absolut ændring i forhold til baseline</w:t>
            </w:r>
          </w:p>
        </w:tc>
        <w:tc>
          <w:tcPr>
            <w:tcW w:w="1843" w:type="dxa"/>
            <w:tcMar>
              <w:top w:w="0" w:type="dxa"/>
              <w:left w:w="70" w:type="dxa"/>
              <w:bottom w:w="0" w:type="dxa"/>
              <w:right w:w="70" w:type="dxa"/>
            </w:tcMar>
          </w:tcPr>
          <w:p w:rsidR="009D3070" w:rsidRPr="00196579" w:rsidRDefault="009D3070" w:rsidP="00842CE2">
            <w:pPr>
              <w:ind w:left="72"/>
              <w:rPr>
                <w:szCs w:val="23"/>
              </w:rPr>
            </w:pPr>
            <w:r w:rsidRPr="00196579">
              <w:rPr>
                <w:szCs w:val="23"/>
              </w:rPr>
              <w:t>-22,2</w:t>
            </w:r>
          </w:p>
          <w:p w:rsidR="009D3070" w:rsidRPr="00196579" w:rsidRDefault="009D3070" w:rsidP="00842CE2">
            <w:pPr>
              <w:ind w:left="72"/>
              <w:rPr>
                <w:szCs w:val="23"/>
              </w:rPr>
            </w:pPr>
          </w:p>
        </w:tc>
        <w:tc>
          <w:tcPr>
            <w:tcW w:w="1418" w:type="dxa"/>
            <w:tcMar>
              <w:top w:w="0" w:type="dxa"/>
              <w:left w:w="70" w:type="dxa"/>
              <w:bottom w:w="0" w:type="dxa"/>
              <w:right w:w="70" w:type="dxa"/>
            </w:tcMar>
          </w:tcPr>
          <w:p w:rsidR="009D3070" w:rsidRPr="00196579" w:rsidRDefault="009D3070" w:rsidP="00842CE2">
            <w:pPr>
              <w:ind w:left="72"/>
              <w:rPr>
                <w:szCs w:val="23"/>
              </w:rPr>
            </w:pPr>
            <w:r w:rsidRPr="00196579">
              <w:rPr>
                <w:szCs w:val="23"/>
              </w:rPr>
              <w:t>-17,2</w:t>
            </w:r>
          </w:p>
        </w:tc>
        <w:tc>
          <w:tcPr>
            <w:tcW w:w="1559" w:type="dxa"/>
            <w:tcMar>
              <w:top w:w="0" w:type="dxa"/>
              <w:left w:w="70" w:type="dxa"/>
              <w:bottom w:w="0" w:type="dxa"/>
              <w:right w:w="70" w:type="dxa"/>
            </w:tcMar>
          </w:tcPr>
          <w:p w:rsidR="009D3070" w:rsidRPr="00196579" w:rsidRDefault="009D3070" w:rsidP="00842CE2">
            <w:pPr>
              <w:ind w:left="110"/>
              <w:rPr>
                <w:szCs w:val="23"/>
              </w:rPr>
            </w:pPr>
            <w:r w:rsidRPr="00196579">
              <w:rPr>
                <w:szCs w:val="23"/>
              </w:rPr>
              <w:t>-25,7</w:t>
            </w:r>
          </w:p>
          <w:p w:rsidR="009D3070" w:rsidRPr="00196579" w:rsidRDefault="009D3070" w:rsidP="00842CE2">
            <w:pPr>
              <w:ind w:left="110"/>
              <w:rPr>
                <w:szCs w:val="23"/>
              </w:rPr>
            </w:pPr>
          </w:p>
        </w:tc>
        <w:tc>
          <w:tcPr>
            <w:tcW w:w="1480" w:type="dxa"/>
            <w:tcMar>
              <w:top w:w="0" w:type="dxa"/>
              <w:left w:w="70" w:type="dxa"/>
              <w:bottom w:w="0" w:type="dxa"/>
              <w:right w:w="70" w:type="dxa"/>
            </w:tcMar>
          </w:tcPr>
          <w:p w:rsidR="009D3070" w:rsidRPr="00196579" w:rsidRDefault="009D3070" w:rsidP="00842CE2">
            <w:pPr>
              <w:ind w:left="110"/>
              <w:rPr>
                <w:szCs w:val="23"/>
              </w:rPr>
            </w:pPr>
            <w:r w:rsidRPr="00196579">
              <w:rPr>
                <w:szCs w:val="23"/>
              </w:rPr>
              <w:t>-20,1</w:t>
            </w:r>
          </w:p>
        </w:tc>
      </w:tr>
      <w:tr w:rsidR="009D3070" w:rsidRPr="00196579" w:rsidTr="00842CE2">
        <w:trPr>
          <w:trHeight w:val="157"/>
          <w:jc w:val="center"/>
        </w:trPr>
        <w:tc>
          <w:tcPr>
            <w:tcW w:w="2905" w:type="dxa"/>
            <w:tcMar>
              <w:top w:w="0" w:type="dxa"/>
              <w:left w:w="70" w:type="dxa"/>
              <w:bottom w:w="0" w:type="dxa"/>
              <w:right w:w="70" w:type="dxa"/>
            </w:tcMar>
          </w:tcPr>
          <w:p w:rsidR="009D3070" w:rsidRPr="00196579" w:rsidRDefault="009D3070" w:rsidP="00842CE2">
            <w:pPr>
              <w:ind w:left="62"/>
              <w:rPr>
                <w:b/>
                <w:bCs/>
                <w:szCs w:val="23"/>
              </w:rPr>
            </w:pPr>
            <w:r w:rsidRPr="00196579">
              <w:rPr>
                <w:bCs/>
                <w:szCs w:val="23"/>
              </w:rPr>
              <w:t>Gennemsnitlig forskel i forhold til vehikel (95</w:t>
            </w:r>
            <w:r>
              <w:rPr>
                <w:bCs/>
                <w:szCs w:val="23"/>
              </w:rPr>
              <w:t xml:space="preserve"> %</w:t>
            </w:r>
            <w:r w:rsidRPr="00196579">
              <w:rPr>
                <w:bCs/>
                <w:szCs w:val="23"/>
              </w:rPr>
              <w:t xml:space="preserve"> CI)</w:t>
            </w:r>
          </w:p>
        </w:tc>
        <w:tc>
          <w:tcPr>
            <w:tcW w:w="1843" w:type="dxa"/>
            <w:tcMar>
              <w:top w:w="0" w:type="dxa"/>
              <w:left w:w="70" w:type="dxa"/>
              <w:bottom w:w="0" w:type="dxa"/>
              <w:right w:w="70" w:type="dxa"/>
            </w:tcMar>
          </w:tcPr>
          <w:p w:rsidR="009D3070" w:rsidRPr="00196579" w:rsidRDefault="009D3070" w:rsidP="00842CE2">
            <w:pPr>
              <w:ind w:left="72"/>
              <w:rPr>
                <w:bCs/>
                <w:szCs w:val="23"/>
              </w:rPr>
            </w:pPr>
            <w:r w:rsidRPr="00196579">
              <w:rPr>
                <w:bCs/>
                <w:szCs w:val="23"/>
              </w:rPr>
              <w:t>-5,0 (-9,1; -0,8)</w:t>
            </w:r>
          </w:p>
          <w:p w:rsidR="009D3070" w:rsidRPr="00196579" w:rsidRDefault="009D3070" w:rsidP="00842CE2">
            <w:pPr>
              <w:ind w:left="72"/>
              <w:rPr>
                <w:szCs w:val="23"/>
              </w:rPr>
            </w:pPr>
            <w:r w:rsidRPr="00196579">
              <w:rPr>
                <w:bCs/>
                <w:szCs w:val="23"/>
              </w:rPr>
              <w:t>p &lt; 0,001</w:t>
            </w:r>
          </w:p>
        </w:tc>
        <w:tc>
          <w:tcPr>
            <w:tcW w:w="1418" w:type="dxa"/>
            <w:tcMar>
              <w:top w:w="0" w:type="dxa"/>
              <w:left w:w="70" w:type="dxa"/>
              <w:bottom w:w="0" w:type="dxa"/>
              <w:right w:w="70" w:type="dxa"/>
            </w:tcMar>
          </w:tcPr>
          <w:p w:rsidR="009D3070" w:rsidRPr="00196579" w:rsidRDefault="009D3070" w:rsidP="00842CE2">
            <w:pPr>
              <w:ind w:left="72"/>
              <w:rPr>
                <w:szCs w:val="23"/>
              </w:rPr>
            </w:pPr>
            <w:r w:rsidRPr="00196579">
              <w:rPr>
                <w:szCs w:val="23"/>
              </w:rPr>
              <w:t>-</w:t>
            </w:r>
          </w:p>
        </w:tc>
        <w:tc>
          <w:tcPr>
            <w:tcW w:w="1559" w:type="dxa"/>
            <w:tcMar>
              <w:top w:w="0" w:type="dxa"/>
              <w:left w:w="70" w:type="dxa"/>
              <w:bottom w:w="0" w:type="dxa"/>
              <w:right w:w="70" w:type="dxa"/>
            </w:tcMar>
          </w:tcPr>
          <w:p w:rsidR="009D3070" w:rsidRPr="00196579" w:rsidRDefault="009D3070" w:rsidP="00842CE2">
            <w:pPr>
              <w:ind w:left="110"/>
              <w:rPr>
                <w:bCs/>
                <w:szCs w:val="23"/>
              </w:rPr>
            </w:pPr>
            <w:r w:rsidRPr="00196579">
              <w:rPr>
                <w:bCs/>
                <w:szCs w:val="23"/>
              </w:rPr>
              <w:t>-5,7 (-9,1; -2,2)</w:t>
            </w:r>
          </w:p>
          <w:p w:rsidR="009D3070" w:rsidRPr="00196579" w:rsidRDefault="009D3070" w:rsidP="00842CE2">
            <w:pPr>
              <w:ind w:left="110"/>
              <w:rPr>
                <w:szCs w:val="23"/>
              </w:rPr>
            </w:pPr>
            <w:r w:rsidRPr="00196579">
              <w:rPr>
                <w:bCs/>
                <w:szCs w:val="23"/>
              </w:rPr>
              <w:t>p &lt; 0,001</w:t>
            </w:r>
          </w:p>
        </w:tc>
        <w:tc>
          <w:tcPr>
            <w:tcW w:w="1480" w:type="dxa"/>
            <w:tcMar>
              <w:top w:w="0" w:type="dxa"/>
              <w:left w:w="70" w:type="dxa"/>
              <w:bottom w:w="0" w:type="dxa"/>
              <w:right w:w="70" w:type="dxa"/>
            </w:tcMar>
          </w:tcPr>
          <w:p w:rsidR="009D3070" w:rsidRPr="00196579" w:rsidRDefault="009D3070" w:rsidP="00842CE2">
            <w:pPr>
              <w:ind w:left="110"/>
              <w:rPr>
                <w:szCs w:val="23"/>
              </w:rPr>
            </w:pPr>
            <w:r w:rsidRPr="00196579">
              <w:rPr>
                <w:szCs w:val="23"/>
              </w:rPr>
              <w:t>-</w:t>
            </w:r>
          </w:p>
        </w:tc>
      </w:tr>
    </w:tbl>
    <w:p w:rsidR="009D3070" w:rsidRPr="00196579" w:rsidRDefault="009D3070" w:rsidP="009D3070">
      <w:pPr>
        <w:ind w:left="851"/>
        <w:rPr>
          <w:sz w:val="24"/>
          <w:szCs w:val="24"/>
        </w:rPr>
      </w:pPr>
    </w:p>
    <w:p w:rsidR="009D3070" w:rsidRPr="00196579" w:rsidRDefault="009D3070" w:rsidP="009D3070">
      <w:pPr>
        <w:ind w:left="851"/>
        <w:rPr>
          <w:b/>
          <w:sz w:val="24"/>
          <w:szCs w:val="24"/>
        </w:rPr>
      </w:pPr>
      <w:r w:rsidRPr="00196579">
        <w:rPr>
          <w:b/>
          <w:sz w:val="24"/>
          <w:szCs w:val="24"/>
        </w:rPr>
        <w:t>Langsigtet virkning</w:t>
      </w:r>
    </w:p>
    <w:p w:rsidR="009D3070" w:rsidRPr="00196579" w:rsidRDefault="009D3070" w:rsidP="009D3070">
      <w:pPr>
        <w:ind w:left="851"/>
        <w:rPr>
          <w:sz w:val="24"/>
          <w:szCs w:val="24"/>
        </w:rPr>
      </w:pPr>
      <w:r w:rsidRPr="00196579">
        <w:rPr>
          <w:sz w:val="24"/>
          <w:szCs w:val="24"/>
        </w:rPr>
        <w:t xml:space="preserve">I </w:t>
      </w:r>
      <w:r w:rsidRPr="00196579">
        <w:rPr>
          <w:i/>
          <w:sz w:val="24"/>
          <w:szCs w:val="24"/>
        </w:rPr>
        <w:t>studie 3</w:t>
      </w:r>
      <w:r w:rsidRPr="00196579">
        <w:rPr>
          <w:sz w:val="24"/>
          <w:szCs w:val="24"/>
        </w:rPr>
        <w:t xml:space="preserve">, et 1-årigt åbent sikkerhedsstudie med 453 patienter på 9 år og ældre med moderat </w:t>
      </w:r>
      <w:proofErr w:type="spellStart"/>
      <w:r w:rsidRPr="00196579">
        <w:rPr>
          <w:sz w:val="24"/>
          <w:szCs w:val="24"/>
        </w:rPr>
        <w:t>acne</w:t>
      </w:r>
      <w:proofErr w:type="spellEnd"/>
      <w:r w:rsidRPr="00196579">
        <w:rPr>
          <w:sz w:val="24"/>
          <w:szCs w:val="24"/>
        </w:rPr>
        <w:t xml:space="preserve"> </w:t>
      </w:r>
      <w:proofErr w:type="spellStart"/>
      <w:r w:rsidRPr="00196579">
        <w:rPr>
          <w:sz w:val="24"/>
          <w:szCs w:val="24"/>
        </w:rPr>
        <w:t>vulgaris</w:t>
      </w:r>
      <w:proofErr w:type="spellEnd"/>
      <w:r w:rsidRPr="00196579">
        <w:rPr>
          <w:sz w:val="24"/>
          <w:szCs w:val="24"/>
        </w:rPr>
        <w:t xml:space="preserve"> i ansigtet og på </w:t>
      </w:r>
      <w:proofErr w:type="spellStart"/>
      <w:r w:rsidRPr="00196579">
        <w:rPr>
          <w:sz w:val="24"/>
          <w:szCs w:val="24"/>
        </w:rPr>
        <w:t>truncus</w:t>
      </w:r>
      <w:proofErr w:type="spellEnd"/>
      <w:r w:rsidRPr="00196579">
        <w:rPr>
          <w:sz w:val="24"/>
          <w:szCs w:val="24"/>
        </w:rPr>
        <w:t>,</w:t>
      </w:r>
      <w:r>
        <w:rPr>
          <w:sz w:val="24"/>
          <w:szCs w:val="24"/>
        </w:rPr>
        <w:t xml:space="preserve"> </w:t>
      </w:r>
      <w:r w:rsidRPr="00196579">
        <w:rPr>
          <w:sz w:val="24"/>
          <w:szCs w:val="24"/>
        </w:rPr>
        <w:t xml:space="preserve">viste </w:t>
      </w:r>
      <w:proofErr w:type="spellStart"/>
      <w:r w:rsidRPr="00196579">
        <w:rPr>
          <w:sz w:val="24"/>
          <w:szCs w:val="24"/>
        </w:rPr>
        <w:t>Aklief</w:t>
      </w:r>
      <w:proofErr w:type="spellEnd"/>
      <w:r w:rsidRPr="00196579">
        <w:rPr>
          <w:sz w:val="24"/>
          <w:szCs w:val="24"/>
        </w:rPr>
        <w:t xml:space="preserve"> creme en klinisk relevant forbedring med stigninger i succesraterne ifølge IGA og PGA: </w:t>
      </w:r>
    </w:p>
    <w:p w:rsidR="009D3070" w:rsidRPr="00196579" w:rsidRDefault="009D3070" w:rsidP="009D3070">
      <w:pPr>
        <w:numPr>
          <w:ilvl w:val="0"/>
          <w:numId w:val="9"/>
        </w:numPr>
        <w:ind w:left="1134" w:hanging="283"/>
        <w:rPr>
          <w:sz w:val="24"/>
          <w:szCs w:val="24"/>
        </w:rPr>
      </w:pPr>
      <w:r w:rsidRPr="00196579">
        <w:rPr>
          <w:sz w:val="24"/>
          <w:szCs w:val="24"/>
        </w:rPr>
        <w:t>fra 26,6</w:t>
      </w:r>
      <w:r>
        <w:rPr>
          <w:sz w:val="24"/>
          <w:szCs w:val="24"/>
        </w:rPr>
        <w:t xml:space="preserve"> %</w:t>
      </w:r>
      <w:r w:rsidRPr="00196579">
        <w:rPr>
          <w:sz w:val="24"/>
          <w:szCs w:val="24"/>
        </w:rPr>
        <w:t xml:space="preserve"> ved besøget i uge 12 til 65,1</w:t>
      </w:r>
      <w:r>
        <w:rPr>
          <w:sz w:val="24"/>
          <w:szCs w:val="24"/>
        </w:rPr>
        <w:t xml:space="preserve"> %</w:t>
      </w:r>
      <w:r w:rsidRPr="00196579">
        <w:rPr>
          <w:sz w:val="24"/>
          <w:szCs w:val="24"/>
        </w:rPr>
        <w:t xml:space="preserve"> ved besøget i uge 52 for ansigtet og </w:t>
      </w:r>
    </w:p>
    <w:p w:rsidR="009D3070" w:rsidRPr="00196579" w:rsidRDefault="009D3070" w:rsidP="009D3070">
      <w:pPr>
        <w:numPr>
          <w:ilvl w:val="0"/>
          <w:numId w:val="9"/>
        </w:numPr>
        <w:ind w:left="1134" w:hanging="283"/>
        <w:rPr>
          <w:sz w:val="24"/>
          <w:szCs w:val="24"/>
        </w:rPr>
      </w:pPr>
      <w:r w:rsidRPr="00196579">
        <w:rPr>
          <w:sz w:val="24"/>
          <w:szCs w:val="24"/>
        </w:rPr>
        <w:t>fra 38,6</w:t>
      </w:r>
      <w:r>
        <w:rPr>
          <w:sz w:val="24"/>
          <w:szCs w:val="24"/>
        </w:rPr>
        <w:t xml:space="preserve"> %</w:t>
      </w:r>
      <w:r w:rsidRPr="00196579">
        <w:rPr>
          <w:sz w:val="24"/>
          <w:szCs w:val="24"/>
        </w:rPr>
        <w:t xml:space="preserve"> ved besøget i uge 12 til 66,9</w:t>
      </w:r>
      <w:r>
        <w:rPr>
          <w:sz w:val="24"/>
          <w:szCs w:val="24"/>
        </w:rPr>
        <w:t xml:space="preserve"> %</w:t>
      </w:r>
      <w:r w:rsidRPr="00196579">
        <w:rPr>
          <w:sz w:val="24"/>
          <w:szCs w:val="24"/>
        </w:rPr>
        <w:t xml:space="preserve"> ved besøget i uge 52 for </w:t>
      </w:r>
      <w:proofErr w:type="spellStart"/>
      <w:r w:rsidRPr="00196579">
        <w:rPr>
          <w:sz w:val="24"/>
          <w:szCs w:val="24"/>
        </w:rPr>
        <w:t>truncus</w:t>
      </w:r>
      <w:proofErr w:type="spellEnd"/>
      <w:r w:rsidRPr="00196579">
        <w:rPr>
          <w:sz w:val="24"/>
          <w:szCs w:val="24"/>
        </w:rPr>
        <w:t>. </w:t>
      </w:r>
    </w:p>
    <w:p w:rsidR="009D3070" w:rsidRDefault="009D3070" w:rsidP="009D3070">
      <w:pPr>
        <w:ind w:left="851"/>
        <w:rPr>
          <w:sz w:val="24"/>
          <w:szCs w:val="24"/>
        </w:rPr>
      </w:pPr>
      <w:r w:rsidRPr="00196579">
        <w:rPr>
          <w:sz w:val="24"/>
          <w:szCs w:val="24"/>
        </w:rPr>
        <w:t>Succes ifølge IGA og PGA, som samme patient opnåede, steg fra 22,0</w:t>
      </w:r>
      <w:r>
        <w:rPr>
          <w:sz w:val="24"/>
          <w:szCs w:val="24"/>
        </w:rPr>
        <w:t xml:space="preserve"> %</w:t>
      </w:r>
      <w:r w:rsidRPr="00196579">
        <w:rPr>
          <w:sz w:val="24"/>
          <w:szCs w:val="24"/>
        </w:rPr>
        <w:t xml:space="preserve"> ved uge 12 til 57,9</w:t>
      </w:r>
      <w:r>
        <w:rPr>
          <w:sz w:val="24"/>
          <w:szCs w:val="24"/>
        </w:rPr>
        <w:t xml:space="preserve"> %</w:t>
      </w:r>
      <w:r w:rsidRPr="00196579">
        <w:rPr>
          <w:sz w:val="24"/>
          <w:szCs w:val="24"/>
        </w:rPr>
        <w:t xml:space="preserve"> ved uge 52. </w:t>
      </w:r>
    </w:p>
    <w:p w:rsidR="004D15F4" w:rsidRDefault="004D15F4" w:rsidP="009D3070">
      <w:pPr>
        <w:ind w:left="851"/>
        <w:rPr>
          <w:sz w:val="24"/>
          <w:szCs w:val="24"/>
        </w:rPr>
      </w:pPr>
    </w:p>
    <w:p w:rsidR="004D15F4" w:rsidRDefault="004D15F4" w:rsidP="004D15F4">
      <w:pPr>
        <w:adjustRightInd w:val="0"/>
        <w:ind w:left="851"/>
        <w:rPr>
          <w:b/>
          <w:bCs/>
          <w:sz w:val="24"/>
          <w:szCs w:val="24"/>
        </w:rPr>
      </w:pPr>
      <w:r>
        <w:rPr>
          <w:b/>
          <w:bCs/>
          <w:sz w:val="24"/>
          <w:szCs w:val="24"/>
        </w:rPr>
        <w:t>START-studiet</w:t>
      </w:r>
    </w:p>
    <w:p w:rsidR="004D15F4" w:rsidRDefault="004D15F4" w:rsidP="004D15F4">
      <w:pPr>
        <w:adjustRightInd w:val="0"/>
        <w:ind w:left="851"/>
      </w:pPr>
      <w:r>
        <w:t xml:space="preserve">Virkningen af </w:t>
      </w:r>
      <w:proofErr w:type="spellStart"/>
      <w:r>
        <w:t>Aklief</w:t>
      </w:r>
      <w:proofErr w:type="spellEnd"/>
      <w:r>
        <w:t xml:space="preserve"> creme mod dannelse af </w:t>
      </w:r>
      <w:proofErr w:type="spellStart"/>
      <w:r>
        <w:t>aknear</w:t>
      </w:r>
      <w:proofErr w:type="spellEnd"/>
      <w:r>
        <w:t xml:space="preserve"> under behandlingen af </w:t>
      </w:r>
      <w:proofErr w:type="spellStart"/>
      <w:r>
        <w:t>acne</w:t>
      </w:r>
      <w:proofErr w:type="spellEnd"/>
      <w:r>
        <w:t xml:space="preserve"> </w:t>
      </w:r>
      <w:proofErr w:type="spellStart"/>
      <w:r>
        <w:t>vulgaris</w:t>
      </w:r>
      <w:proofErr w:type="spellEnd"/>
      <w:r>
        <w:t xml:space="preserve"> blev undersøgt i START-studiet. START-studiet var et randomiseret, dobbeltblindt, vehikelkontrolleret multicenterstudie med </w:t>
      </w:r>
      <w:proofErr w:type="spellStart"/>
      <w:r>
        <w:t>intra</w:t>
      </w:r>
      <w:proofErr w:type="spellEnd"/>
      <w:r>
        <w:t>-individuel sammenligning (højre ansigtshalvdel vs. venstre ansigtshalvdel) med undersøgelse af antal atrofiske ar under 24 ugers behandling.</w:t>
      </w:r>
    </w:p>
    <w:p w:rsidR="004D15F4" w:rsidRDefault="004D15F4" w:rsidP="004D15F4">
      <w:pPr>
        <w:adjustRightInd w:val="0"/>
        <w:ind w:left="851"/>
      </w:pPr>
    </w:p>
    <w:p w:rsidR="004D15F4" w:rsidRDefault="004D15F4" w:rsidP="004D15F4">
      <w:pPr>
        <w:ind w:left="851"/>
        <w:rPr>
          <w:rStyle w:val="eop"/>
        </w:rPr>
      </w:pPr>
      <w:r>
        <w:t xml:space="preserve">START-studiet bestod fortrinsvis af deltagere med moderat akne ved baseline (over 90 % deltagere med en IGA-score på 3). De </w:t>
      </w:r>
      <w:r>
        <w:rPr>
          <w:rStyle w:val="normaltextrun"/>
          <w:shd w:val="clear" w:color="auto" w:fill="FFFFFF"/>
        </w:rPr>
        <w:t xml:space="preserve">121 deltagere i studiet havde atrofiske </w:t>
      </w:r>
      <w:proofErr w:type="spellStart"/>
      <w:r>
        <w:rPr>
          <w:rStyle w:val="normaltextrun"/>
          <w:shd w:val="clear" w:color="auto" w:fill="FFFFFF"/>
        </w:rPr>
        <w:t>aknear</w:t>
      </w:r>
      <w:proofErr w:type="spellEnd"/>
      <w:r>
        <w:rPr>
          <w:rStyle w:val="normaltextrun"/>
          <w:shd w:val="clear" w:color="auto" w:fill="FFFFFF"/>
        </w:rPr>
        <w:t xml:space="preserve"> af fortrinsvis let og moderat sværhedsgrad ifølge </w:t>
      </w:r>
      <w:proofErr w:type="spellStart"/>
      <w:r>
        <w:rPr>
          <w:rStyle w:val="normaltextrun"/>
          <w:shd w:val="clear" w:color="auto" w:fill="FFFFFF"/>
        </w:rPr>
        <w:t>Investigator</w:t>
      </w:r>
      <w:proofErr w:type="spellEnd"/>
      <w:r>
        <w:rPr>
          <w:rStyle w:val="normaltextrun"/>
          <w:shd w:val="clear" w:color="auto" w:fill="FFFFFF"/>
        </w:rPr>
        <w:t xml:space="preserve"> </w:t>
      </w:r>
      <w:proofErr w:type="spellStart"/>
      <w:r>
        <w:rPr>
          <w:rStyle w:val="normaltextrun"/>
          <w:shd w:val="clear" w:color="auto" w:fill="FFFFFF"/>
        </w:rPr>
        <w:t>Scar</w:t>
      </w:r>
      <w:proofErr w:type="spellEnd"/>
      <w:r>
        <w:rPr>
          <w:rStyle w:val="normaltextrun"/>
          <w:shd w:val="clear" w:color="auto" w:fill="FFFFFF"/>
        </w:rPr>
        <w:t xml:space="preserve"> Global </w:t>
      </w:r>
      <w:proofErr w:type="spellStart"/>
      <w:r>
        <w:rPr>
          <w:rStyle w:val="normaltextrun"/>
          <w:shd w:val="clear" w:color="auto" w:fill="FFFFFF"/>
        </w:rPr>
        <w:t>Assessment</w:t>
      </w:r>
      <w:proofErr w:type="spellEnd"/>
      <w:r>
        <w:rPr>
          <w:rStyle w:val="normaltextrun"/>
          <w:shd w:val="clear" w:color="auto" w:fill="FFFFFF"/>
        </w:rPr>
        <w:t xml:space="preserve"> i begge ansigtshalvdele.</w:t>
      </w:r>
      <w:r>
        <w:rPr>
          <w:rStyle w:val="eop"/>
          <w:shd w:val="clear" w:color="auto" w:fill="FFFFFF"/>
        </w:rPr>
        <w:t> </w:t>
      </w:r>
    </w:p>
    <w:p w:rsidR="004D15F4" w:rsidRDefault="004D15F4" w:rsidP="004D15F4">
      <w:pPr>
        <w:adjustRightInd w:val="0"/>
        <w:ind w:left="851"/>
      </w:pPr>
    </w:p>
    <w:p w:rsidR="004D15F4" w:rsidRDefault="004D15F4" w:rsidP="004D15F4">
      <w:pPr>
        <w:adjustRightInd w:val="0"/>
        <w:ind w:left="851"/>
      </w:pPr>
      <w:r>
        <w:t xml:space="preserve">Medianalderen for alle deltagere var 22 år (med en minimumsalder på 17 år og en maksimumalder på 34 år). Størstedelen af deltagerne (102 [84,3 %]) var voksne </w:t>
      </w:r>
      <w:proofErr w:type="gramStart"/>
      <w:r>
        <w:t>( ≥</w:t>
      </w:r>
      <w:proofErr w:type="gramEnd"/>
      <w:r>
        <w:t>18 år),  kvindelige (88 [72,7 %] deltagere), hvide (97 [80,2 %] og ikke- latinamerikanske(95 [78,5 %]).</w:t>
      </w:r>
    </w:p>
    <w:p w:rsidR="004D15F4" w:rsidRDefault="004D15F4" w:rsidP="004D15F4">
      <w:pPr>
        <w:adjustRightInd w:val="0"/>
        <w:ind w:left="851"/>
        <w:rPr>
          <w:rFonts w:eastAsia="CIDFont+F1"/>
        </w:rPr>
      </w:pPr>
    </w:p>
    <w:p w:rsidR="004D15F4" w:rsidRDefault="004D15F4" w:rsidP="004D15F4">
      <w:pPr>
        <w:adjustRightInd w:val="0"/>
        <w:ind w:left="851"/>
      </w:pPr>
      <w:r>
        <w:rPr>
          <w:rFonts w:eastAsia="CIDFont+F1"/>
        </w:rPr>
        <w:t xml:space="preserve">Det primære endemål for effekt var den absolutte ændring fra baseline i samlet antal atrofiske </w:t>
      </w:r>
      <w:proofErr w:type="spellStart"/>
      <w:r>
        <w:rPr>
          <w:rFonts w:eastAsia="CIDFont+F1"/>
        </w:rPr>
        <w:t>aknear</w:t>
      </w:r>
      <w:proofErr w:type="spellEnd"/>
      <w:r>
        <w:rPr>
          <w:rFonts w:eastAsia="CIDFont+F1"/>
        </w:rPr>
        <w:t xml:space="preserve"> pr. </w:t>
      </w:r>
      <w:proofErr w:type="gramStart"/>
      <w:r>
        <w:rPr>
          <w:rFonts w:eastAsia="CIDFont+F1"/>
        </w:rPr>
        <w:t>ansigtshalvdel  ved</w:t>
      </w:r>
      <w:proofErr w:type="gramEnd"/>
      <w:r>
        <w:rPr>
          <w:rFonts w:eastAsia="CIDFont+F1"/>
        </w:rPr>
        <w:t xml:space="preserve"> uge 24. </w:t>
      </w:r>
      <w:r>
        <w:rPr>
          <w:shd w:val="clear" w:color="auto" w:fill="FFFFFF"/>
        </w:rPr>
        <w:t xml:space="preserve">Det samlede antal atrofiske </w:t>
      </w:r>
      <w:proofErr w:type="spellStart"/>
      <w:r>
        <w:rPr>
          <w:shd w:val="clear" w:color="auto" w:fill="FFFFFF"/>
        </w:rPr>
        <w:t>aknear</w:t>
      </w:r>
      <w:proofErr w:type="spellEnd"/>
      <w:r>
        <w:rPr>
          <w:shd w:val="clear" w:color="auto" w:fill="FFFFFF"/>
        </w:rPr>
        <w:t xml:space="preserve"> faldt betydeligt med </w:t>
      </w:r>
      <w:proofErr w:type="spellStart"/>
      <w:r>
        <w:rPr>
          <w:rStyle w:val="normaltextrun"/>
          <w:shd w:val="clear" w:color="auto" w:fill="FFFFFF"/>
        </w:rPr>
        <w:t>Aklief</w:t>
      </w:r>
      <w:proofErr w:type="spellEnd"/>
      <w:r>
        <w:rPr>
          <w:rStyle w:val="normaltextrun"/>
          <w:shd w:val="clear" w:color="auto" w:fill="FFFFFF"/>
        </w:rPr>
        <w:t xml:space="preserve"> sammenlignet med vehiklet </w:t>
      </w:r>
      <w:r>
        <w:t>(se tabel 7).</w:t>
      </w:r>
    </w:p>
    <w:p w:rsidR="004D15F4" w:rsidRDefault="004D15F4" w:rsidP="004D15F4">
      <w:pPr>
        <w:adjustRightInd w:val="0"/>
        <w:ind w:left="851"/>
      </w:pPr>
    </w:p>
    <w:p w:rsidR="004D15F4" w:rsidRDefault="004D15F4" w:rsidP="004D15F4">
      <w:pPr>
        <w:adjustRightInd w:val="0"/>
        <w:spacing w:before="120" w:after="120"/>
        <w:ind w:left="851"/>
        <w:rPr>
          <w:b/>
          <w:bCs/>
        </w:rPr>
      </w:pPr>
      <w:r>
        <w:rPr>
          <w:b/>
          <w:bCs/>
        </w:rPr>
        <w:lastRenderedPageBreak/>
        <w:t xml:space="preserve">Tabel 7: Ændring fra baseline i samlet antal atrofiske </w:t>
      </w:r>
      <w:proofErr w:type="spellStart"/>
      <w:r>
        <w:rPr>
          <w:b/>
          <w:bCs/>
        </w:rPr>
        <w:t>aknear</w:t>
      </w:r>
      <w:proofErr w:type="spellEnd"/>
      <w:r>
        <w:rPr>
          <w:b/>
          <w:bCs/>
        </w:rPr>
        <w:t xml:space="preserve"> ved uge 24 gennem </w:t>
      </w:r>
      <w:proofErr w:type="spellStart"/>
      <w:r>
        <w:rPr>
          <w:b/>
          <w:bCs/>
        </w:rPr>
        <w:t>imputation</w:t>
      </w:r>
      <w:proofErr w:type="spellEnd"/>
      <w:r>
        <w:rPr>
          <w:b/>
          <w:bCs/>
        </w:rPr>
        <w:t xml:space="preserve"> af manglende data med anvendelse af multipel </w:t>
      </w:r>
      <w:proofErr w:type="spellStart"/>
      <w:r>
        <w:rPr>
          <w:b/>
          <w:bCs/>
        </w:rPr>
        <w:t>imputation</w:t>
      </w:r>
      <w:proofErr w:type="spellEnd"/>
      <w:r>
        <w:rPr>
          <w:b/>
          <w:bCs/>
        </w:rPr>
        <w:t xml:space="preserve"> under antagelsen vilkårligt manglende (ITT-population)</w:t>
      </w:r>
    </w:p>
    <w:p w:rsidR="004D15F4" w:rsidRDefault="004D15F4" w:rsidP="004D15F4">
      <w:pPr>
        <w:adjustRightInd w:val="0"/>
        <w:spacing w:before="120" w:after="120"/>
        <w:ind w:left="851"/>
        <w:rPr>
          <w:b/>
          <w:bCs/>
        </w:rPr>
      </w:pPr>
    </w:p>
    <w:p w:rsidR="004D15F4" w:rsidRDefault="004D15F4" w:rsidP="004D15F4">
      <w:pPr>
        <w:rPr>
          <w:rFonts w:asciiTheme="minorHAnsi" w:hAnsiTheme="minorHAnsi" w:cstheme="minorHAnsi"/>
        </w:rPr>
      </w:pPr>
    </w:p>
    <w:p w:rsidR="004D15F4" w:rsidRDefault="004D15F4" w:rsidP="004D15F4">
      <w:pPr>
        <w:rPr>
          <w:rFonts w:asciiTheme="minorHAnsi" w:hAnsiTheme="minorHAnsi" w:cstheme="minorHAnsi"/>
        </w:rPr>
      </w:pPr>
    </w:p>
    <w:p w:rsidR="004D15F4" w:rsidRDefault="004D15F4" w:rsidP="004D15F4">
      <w:pPr>
        <w:rPr>
          <w:rFonts w:asciiTheme="minorHAnsi" w:hAnsiTheme="minorHAnsi" w:cstheme="minorHAnsi"/>
        </w:rPr>
      </w:pPr>
    </w:p>
    <w:tbl>
      <w:tblPr>
        <w:tblStyle w:val="Tabel-Gitter"/>
        <w:tblW w:w="5000" w:type="pct"/>
        <w:jc w:val="center"/>
        <w:tblInd w:w="0" w:type="dxa"/>
        <w:tblLayout w:type="fixed"/>
        <w:tblCellMar>
          <w:top w:w="0" w:type="dxa"/>
          <w:left w:w="0" w:type="dxa"/>
          <w:bottom w:w="0" w:type="dxa"/>
          <w:right w:w="0" w:type="dxa"/>
        </w:tblCellMar>
        <w:tblLook w:val="04A0" w:firstRow="1" w:lastRow="0" w:firstColumn="1" w:lastColumn="0" w:noHBand="0" w:noVBand="1"/>
      </w:tblPr>
      <w:tblGrid>
        <w:gridCol w:w="1470"/>
        <w:gridCol w:w="1471"/>
        <w:gridCol w:w="1471"/>
        <w:gridCol w:w="1472"/>
        <w:gridCol w:w="1567"/>
        <w:gridCol w:w="1244"/>
        <w:gridCol w:w="913"/>
      </w:tblGrid>
      <w:tr w:rsidR="004D15F4" w:rsidTr="004D15F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872" w:type="dxa"/>
            <w:gridSpan w:val="2"/>
            <w:vAlign w:val="bottom"/>
            <w:hideMark/>
          </w:tcPr>
          <w:p w:rsidR="004D15F4" w:rsidRDefault="004D15F4">
            <w:pPr>
              <w:adjustRightInd w:val="0"/>
              <w:spacing w:before="60" w:beforeAutospacing="0" w:after="60" w:afterAutospacing="0"/>
              <w:ind w:left="72" w:right="72"/>
              <w:jc w:val="center"/>
              <w:rPr>
                <w:rFonts w:ascii="Times New Roman" w:hAnsi="Times New Roman" w:cs="Times New Roman"/>
                <w:sz w:val="20"/>
                <w:szCs w:val="20"/>
              </w:rPr>
            </w:pPr>
            <w:proofErr w:type="spellStart"/>
            <w:r>
              <w:rPr>
                <w:rFonts w:ascii="Times New Roman" w:hAnsi="Times New Roman" w:cs="Times New Roman"/>
                <w:sz w:val="20"/>
                <w:szCs w:val="20"/>
              </w:rPr>
              <w:t>Aklief</w:t>
            </w:r>
            <w:proofErr w:type="spellEnd"/>
            <w:r>
              <w:rPr>
                <w:rFonts w:ascii="Times New Roman" w:hAnsi="Times New Roman" w:cs="Times New Roman"/>
                <w:sz w:val="20"/>
                <w:szCs w:val="20"/>
              </w:rPr>
              <w:t xml:space="preserve"> (N=121)</w:t>
            </w:r>
          </w:p>
        </w:tc>
        <w:tc>
          <w:tcPr>
            <w:tcW w:w="2873" w:type="dxa"/>
            <w:gridSpan w:val="2"/>
            <w:vAlign w:val="bottom"/>
            <w:hideMark/>
          </w:tcPr>
          <w:p w:rsidR="004D15F4" w:rsidRDefault="004D15F4">
            <w:pPr>
              <w:adjustRightInd w:val="0"/>
              <w:spacing w:before="60" w:beforeAutospacing="0" w:after="60" w:afterAutospacing="0"/>
              <w:ind w:left="72" w:right="72"/>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Pr>
                <w:rFonts w:ascii="Times New Roman" w:hAnsi="Times New Roman"/>
                <w:sz w:val="20"/>
                <w:szCs w:val="20"/>
              </w:rPr>
              <w:t>Vehikel</w:t>
            </w:r>
            <w:proofErr w:type="spellEnd"/>
            <w:r>
              <w:rPr>
                <w:rFonts w:ascii="Times New Roman" w:hAnsi="Times New Roman"/>
                <w:sz w:val="20"/>
                <w:szCs w:val="20"/>
              </w:rPr>
              <w:t xml:space="preserve"> (N=121)</w:t>
            </w:r>
          </w:p>
        </w:tc>
        <w:tc>
          <w:tcPr>
            <w:tcW w:w="3637" w:type="dxa"/>
            <w:gridSpan w:val="3"/>
            <w:vAlign w:val="bottom"/>
            <w:hideMark/>
          </w:tcPr>
          <w:p w:rsidR="004D15F4" w:rsidRDefault="004D15F4">
            <w:pPr>
              <w:adjustRightInd w:val="0"/>
              <w:spacing w:before="60" w:beforeAutospacing="0" w:after="60" w:afterAutospacing="0"/>
              <w:ind w:left="72" w:right="72"/>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Pr>
                <w:rFonts w:ascii="Times New Roman" w:hAnsi="Times New Roman"/>
                <w:sz w:val="20"/>
                <w:szCs w:val="20"/>
              </w:rPr>
              <w:t>Behandlingsforskel</w:t>
            </w:r>
            <w:proofErr w:type="spellEnd"/>
            <w:r>
              <w:rPr>
                <w:rFonts w:ascii="Times New Roman" w:hAnsi="Times New Roman"/>
                <w:sz w:val="20"/>
                <w:szCs w:val="20"/>
              </w:rPr>
              <w:t xml:space="preserve"> (N=121)</w:t>
            </w:r>
          </w:p>
        </w:tc>
      </w:tr>
      <w:tr w:rsidR="004D15F4" w:rsidTr="004D15F4">
        <w:trPr>
          <w:jc w:val="center"/>
        </w:trPr>
        <w:tc>
          <w:tcPr>
            <w:cnfStyle w:val="001000000000" w:firstRow="0" w:lastRow="0" w:firstColumn="1" w:lastColumn="0" w:oddVBand="0" w:evenVBand="0" w:oddHBand="0" w:evenHBand="0" w:firstRowFirstColumn="0" w:firstRowLastColumn="0" w:lastRowFirstColumn="0" w:lastRowLastColumn="0"/>
            <w:tcW w:w="1436" w:type="dxa"/>
            <w:tcBorders>
              <w:top w:val="single" w:sz="6" w:space="0" w:color="000000"/>
              <w:left w:val="single" w:sz="12" w:space="0" w:color="000000"/>
              <w:bottom w:val="single" w:sz="6" w:space="0" w:color="000000"/>
              <w:right w:val="single" w:sz="6" w:space="0" w:color="000000"/>
            </w:tcBorders>
            <w:vAlign w:val="bottom"/>
            <w:hideMark/>
          </w:tcPr>
          <w:p w:rsidR="004D15F4" w:rsidRPr="004D15F4" w:rsidRDefault="004D15F4">
            <w:pPr>
              <w:adjustRightInd w:val="0"/>
              <w:spacing w:before="60" w:beforeAutospacing="0" w:after="60" w:afterAutospacing="0"/>
              <w:ind w:left="72" w:right="72"/>
              <w:jc w:val="center"/>
              <w:rPr>
                <w:rFonts w:ascii="Times New Roman" w:hAnsi="Times New Roman" w:cs="Times New Roman"/>
                <w:b/>
                <w:bCs/>
                <w:sz w:val="20"/>
                <w:lang w:val="da-DK"/>
              </w:rPr>
            </w:pPr>
            <w:proofErr w:type="spellStart"/>
            <w:r>
              <w:rPr>
                <w:rFonts w:cs="Times New Roman"/>
                <w:b/>
                <w:bCs/>
                <w:sz w:val="20"/>
                <w:szCs w:val="24"/>
                <w:lang w:val="sv-SE"/>
              </w:rPr>
              <w:t>Gennemsnitligt</w:t>
            </w:r>
            <w:proofErr w:type="spellEnd"/>
            <w:r>
              <w:rPr>
                <w:rFonts w:cs="Times New Roman"/>
                <w:b/>
                <w:bCs/>
                <w:sz w:val="20"/>
                <w:szCs w:val="24"/>
                <w:lang w:val="sv-SE"/>
              </w:rPr>
              <w:t xml:space="preserve"> antal ar ved </w:t>
            </w:r>
            <w:proofErr w:type="spellStart"/>
            <w:r>
              <w:rPr>
                <w:rFonts w:cs="Times New Roman"/>
                <w:b/>
                <w:bCs/>
                <w:sz w:val="20"/>
                <w:szCs w:val="24"/>
                <w:lang w:val="sv-SE"/>
              </w:rPr>
              <w:t>baseline</w:t>
            </w:r>
            <w:proofErr w:type="spellEnd"/>
          </w:p>
        </w:tc>
        <w:tc>
          <w:tcPr>
            <w:tcW w:w="1436" w:type="dxa"/>
            <w:tcBorders>
              <w:top w:val="single" w:sz="6" w:space="0" w:color="000000"/>
              <w:left w:val="single" w:sz="6" w:space="0" w:color="000000"/>
              <w:bottom w:val="single" w:sz="6" w:space="0" w:color="000000"/>
              <w:right w:val="single" w:sz="6" w:space="0" w:color="000000"/>
            </w:tcBorders>
            <w:vAlign w:val="bottom"/>
            <w:hideMark/>
          </w:tcPr>
          <w:p w:rsidR="004D15F4" w:rsidRDefault="004D15F4">
            <w:pPr>
              <w:adjustRightInd w:val="0"/>
              <w:spacing w:before="60" w:after="60"/>
              <w:ind w:left="72" w:right="72"/>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roofErr w:type="spellStart"/>
            <w:r>
              <w:rPr>
                <w:b/>
                <w:bCs/>
                <w:sz w:val="20"/>
                <w:lang w:val="sv-SE"/>
              </w:rPr>
              <w:t>Gennemsnitlig</w:t>
            </w:r>
            <w:proofErr w:type="spellEnd"/>
            <w:r>
              <w:rPr>
                <w:b/>
                <w:bCs/>
                <w:sz w:val="20"/>
                <w:lang w:val="sv-SE"/>
              </w:rPr>
              <w:t xml:space="preserve"> </w:t>
            </w:r>
            <w:proofErr w:type="spellStart"/>
            <w:r>
              <w:rPr>
                <w:b/>
                <w:bCs/>
                <w:sz w:val="20"/>
                <w:lang w:val="sv-SE"/>
              </w:rPr>
              <w:t>ændring</w:t>
            </w:r>
            <w:proofErr w:type="spellEnd"/>
            <w:r>
              <w:rPr>
                <w:b/>
                <w:bCs/>
                <w:sz w:val="20"/>
                <w:lang w:val="sv-SE"/>
              </w:rPr>
              <w:t xml:space="preserve"> </w:t>
            </w:r>
            <w:proofErr w:type="spellStart"/>
            <w:r>
              <w:rPr>
                <w:b/>
                <w:bCs/>
                <w:sz w:val="20"/>
                <w:lang w:val="sv-SE"/>
              </w:rPr>
              <w:t>fra</w:t>
            </w:r>
            <w:proofErr w:type="spellEnd"/>
            <w:r>
              <w:rPr>
                <w:b/>
                <w:bCs/>
                <w:sz w:val="20"/>
                <w:lang w:val="sv-SE"/>
              </w:rPr>
              <w:t xml:space="preserve"> </w:t>
            </w:r>
            <w:proofErr w:type="spellStart"/>
            <w:r>
              <w:rPr>
                <w:b/>
                <w:bCs/>
                <w:sz w:val="20"/>
                <w:lang w:val="sv-SE"/>
              </w:rPr>
              <w:t>baseline</w:t>
            </w:r>
            <w:proofErr w:type="spellEnd"/>
          </w:p>
        </w:tc>
        <w:tc>
          <w:tcPr>
            <w:tcW w:w="1436" w:type="dxa"/>
            <w:tcBorders>
              <w:top w:val="single" w:sz="6" w:space="0" w:color="000000"/>
              <w:left w:val="single" w:sz="6" w:space="0" w:color="000000"/>
              <w:bottom w:val="single" w:sz="6" w:space="0" w:color="000000"/>
              <w:right w:val="single" w:sz="6" w:space="0" w:color="000000"/>
            </w:tcBorders>
            <w:vAlign w:val="bottom"/>
            <w:hideMark/>
          </w:tcPr>
          <w:p w:rsidR="004D15F4" w:rsidRPr="004D15F4" w:rsidRDefault="004D15F4">
            <w:pPr>
              <w:adjustRightInd w:val="0"/>
              <w:spacing w:before="60" w:after="60"/>
              <w:ind w:left="72" w:right="72"/>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da-DK"/>
              </w:rPr>
            </w:pPr>
            <w:proofErr w:type="spellStart"/>
            <w:r>
              <w:rPr>
                <w:b/>
                <w:bCs/>
                <w:sz w:val="20"/>
                <w:lang w:val="sv-SE"/>
              </w:rPr>
              <w:t>Gennemsnitligt</w:t>
            </w:r>
            <w:proofErr w:type="spellEnd"/>
            <w:r>
              <w:rPr>
                <w:b/>
                <w:bCs/>
                <w:sz w:val="20"/>
                <w:lang w:val="sv-SE"/>
              </w:rPr>
              <w:t xml:space="preserve"> antal ar ved </w:t>
            </w:r>
            <w:proofErr w:type="spellStart"/>
            <w:r>
              <w:rPr>
                <w:b/>
                <w:bCs/>
                <w:sz w:val="20"/>
                <w:lang w:val="sv-SE"/>
              </w:rPr>
              <w:t>baseline</w:t>
            </w:r>
            <w:proofErr w:type="spellEnd"/>
          </w:p>
        </w:tc>
        <w:tc>
          <w:tcPr>
            <w:tcW w:w="1437" w:type="dxa"/>
            <w:tcBorders>
              <w:top w:val="single" w:sz="6" w:space="0" w:color="000000"/>
              <w:left w:val="single" w:sz="6" w:space="0" w:color="000000"/>
              <w:bottom w:val="single" w:sz="6" w:space="0" w:color="000000"/>
              <w:right w:val="single" w:sz="6" w:space="0" w:color="000000"/>
            </w:tcBorders>
            <w:vAlign w:val="bottom"/>
            <w:hideMark/>
          </w:tcPr>
          <w:p w:rsidR="004D15F4" w:rsidRDefault="004D15F4">
            <w:pPr>
              <w:adjustRightInd w:val="0"/>
              <w:spacing w:before="60" w:after="60"/>
              <w:ind w:left="72" w:right="72"/>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roofErr w:type="spellStart"/>
            <w:r>
              <w:rPr>
                <w:rFonts w:ascii="Times New Roman" w:hAnsi="Times New Roman"/>
                <w:b/>
                <w:bCs/>
                <w:sz w:val="20"/>
                <w:szCs w:val="20"/>
              </w:rPr>
              <w:t>Gennemsnitlig</w:t>
            </w:r>
            <w:proofErr w:type="spellEnd"/>
            <w:r>
              <w:rPr>
                <w:rFonts w:ascii="Times New Roman" w:hAnsi="Times New Roman"/>
                <w:b/>
                <w:bCs/>
                <w:sz w:val="20"/>
                <w:szCs w:val="20"/>
              </w:rPr>
              <w:t xml:space="preserve"> </w:t>
            </w:r>
            <w:proofErr w:type="spellStart"/>
            <w:r>
              <w:rPr>
                <w:rFonts w:ascii="Times New Roman" w:hAnsi="Times New Roman"/>
                <w:b/>
                <w:bCs/>
                <w:sz w:val="20"/>
                <w:szCs w:val="20"/>
              </w:rPr>
              <w:t>ændring</w:t>
            </w:r>
            <w:proofErr w:type="spellEnd"/>
            <w:r>
              <w:rPr>
                <w:rFonts w:ascii="Times New Roman" w:hAnsi="Times New Roman"/>
                <w:b/>
                <w:bCs/>
                <w:sz w:val="20"/>
                <w:szCs w:val="20"/>
              </w:rPr>
              <w:t xml:space="preserve"> </w:t>
            </w:r>
            <w:proofErr w:type="spellStart"/>
            <w:r>
              <w:rPr>
                <w:rFonts w:ascii="Times New Roman" w:hAnsi="Times New Roman"/>
                <w:b/>
                <w:bCs/>
                <w:sz w:val="20"/>
                <w:szCs w:val="20"/>
              </w:rPr>
              <w:t>fra</w:t>
            </w:r>
            <w:proofErr w:type="spellEnd"/>
            <w:r>
              <w:rPr>
                <w:rFonts w:ascii="Times New Roman" w:hAnsi="Times New Roman"/>
                <w:b/>
                <w:bCs/>
                <w:sz w:val="20"/>
                <w:szCs w:val="20"/>
              </w:rPr>
              <w:t xml:space="preserve"> baseline</w:t>
            </w:r>
          </w:p>
        </w:tc>
        <w:tc>
          <w:tcPr>
            <w:tcW w:w="1530" w:type="dxa"/>
            <w:tcBorders>
              <w:top w:val="single" w:sz="6" w:space="0" w:color="000000"/>
              <w:left w:val="single" w:sz="6" w:space="0" w:color="000000"/>
              <w:bottom w:val="single" w:sz="6" w:space="0" w:color="000000"/>
              <w:right w:val="single" w:sz="6" w:space="0" w:color="000000"/>
            </w:tcBorders>
            <w:vAlign w:val="bottom"/>
            <w:hideMark/>
          </w:tcPr>
          <w:p w:rsidR="004D15F4" w:rsidRPr="004D15F4" w:rsidRDefault="004D15F4">
            <w:pPr>
              <w:adjustRightInd w:val="0"/>
              <w:spacing w:before="60" w:after="60"/>
              <w:ind w:left="72" w:right="72"/>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da-DK"/>
              </w:rPr>
            </w:pPr>
            <w:proofErr w:type="spellStart"/>
            <w:r>
              <w:rPr>
                <w:b/>
                <w:bCs/>
                <w:sz w:val="20"/>
                <w:lang w:val="sv-SE"/>
              </w:rPr>
              <w:t>Gennemsnitlig</w:t>
            </w:r>
            <w:proofErr w:type="spellEnd"/>
            <w:r>
              <w:rPr>
                <w:b/>
                <w:bCs/>
                <w:sz w:val="20"/>
                <w:lang w:val="sv-SE"/>
              </w:rPr>
              <w:t xml:space="preserve"> (SE) </w:t>
            </w:r>
            <w:proofErr w:type="spellStart"/>
            <w:r>
              <w:rPr>
                <w:b/>
                <w:bCs/>
                <w:sz w:val="20"/>
                <w:lang w:val="sv-SE"/>
              </w:rPr>
              <w:t>forskel</w:t>
            </w:r>
            <w:proofErr w:type="spellEnd"/>
            <w:r>
              <w:rPr>
                <w:b/>
                <w:bCs/>
                <w:sz w:val="20"/>
                <w:lang w:val="sv-SE"/>
              </w:rPr>
              <w:t xml:space="preserve"> i </w:t>
            </w:r>
            <w:proofErr w:type="spellStart"/>
            <w:r>
              <w:rPr>
                <w:b/>
                <w:bCs/>
                <w:sz w:val="20"/>
                <w:lang w:val="sv-SE"/>
              </w:rPr>
              <w:t>ændring</w:t>
            </w:r>
            <w:proofErr w:type="spellEnd"/>
            <w:r>
              <w:rPr>
                <w:b/>
                <w:bCs/>
                <w:sz w:val="20"/>
                <w:lang w:val="sv-SE"/>
              </w:rPr>
              <w:t xml:space="preserve"> </w:t>
            </w:r>
            <w:proofErr w:type="spellStart"/>
            <w:r>
              <w:rPr>
                <w:b/>
                <w:bCs/>
                <w:sz w:val="20"/>
                <w:lang w:val="sv-SE"/>
              </w:rPr>
              <w:t>fra</w:t>
            </w:r>
            <w:proofErr w:type="spellEnd"/>
            <w:r>
              <w:rPr>
                <w:b/>
                <w:bCs/>
                <w:sz w:val="20"/>
                <w:lang w:val="sv-SE"/>
              </w:rPr>
              <w:t xml:space="preserve"> </w:t>
            </w:r>
            <w:proofErr w:type="spellStart"/>
            <w:r>
              <w:rPr>
                <w:b/>
                <w:bCs/>
                <w:sz w:val="20"/>
                <w:lang w:val="sv-SE"/>
              </w:rPr>
              <w:t>baseline</w:t>
            </w:r>
            <w:proofErr w:type="spellEnd"/>
          </w:p>
        </w:tc>
        <w:tc>
          <w:tcPr>
            <w:tcW w:w="1215" w:type="dxa"/>
            <w:tcBorders>
              <w:top w:val="single" w:sz="6" w:space="0" w:color="000000"/>
              <w:left w:val="single" w:sz="6" w:space="0" w:color="000000"/>
              <w:bottom w:val="single" w:sz="6" w:space="0" w:color="000000"/>
              <w:right w:val="single" w:sz="6" w:space="0" w:color="000000"/>
            </w:tcBorders>
            <w:vAlign w:val="bottom"/>
            <w:hideMark/>
          </w:tcPr>
          <w:p w:rsidR="004D15F4" w:rsidRDefault="004D15F4">
            <w:pPr>
              <w:adjustRightInd w:val="0"/>
              <w:spacing w:before="60" w:after="60"/>
              <w:ind w:left="72" w:right="72"/>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95 %</w:t>
            </w:r>
            <w:r>
              <w:rPr>
                <w:rFonts w:ascii="Times New Roman" w:hAnsi="Times New Roman"/>
                <w:b/>
                <w:bCs/>
                <w:sz w:val="20"/>
                <w:szCs w:val="20"/>
              </w:rPr>
              <w:br w:type="textWrapping" w:clear="all"/>
            </w:r>
            <w:proofErr w:type="spellStart"/>
            <w:r>
              <w:rPr>
                <w:rFonts w:ascii="Times New Roman" w:hAnsi="Times New Roman"/>
                <w:b/>
                <w:bCs/>
                <w:sz w:val="20"/>
                <w:szCs w:val="20"/>
              </w:rPr>
              <w:t>konfidens</w:t>
            </w:r>
            <w:proofErr w:type="spellEnd"/>
            <w:r>
              <w:rPr>
                <w:rFonts w:ascii="Times New Roman" w:hAnsi="Times New Roman"/>
                <w:b/>
                <w:bCs/>
                <w:sz w:val="20"/>
                <w:szCs w:val="20"/>
              </w:rPr>
              <w:t>-interval</w:t>
            </w:r>
          </w:p>
        </w:tc>
        <w:tc>
          <w:tcPr>
            <w:tcW w:w="892" w:type="dxa"/>
            <w:tcBorders>
              <w:top w:val="single" w:sz="6" w:space="0" w:color="000000"/>
              <w:left w:val="single" w:sz="6" w:space="0" w:color="000000"/>
              <w:bottom w:val="single" w:sz="6" w:space="0" w:color="000000"/>
              <w:right w:val="single" w:sz="12" w:space="0" w:color="000000"/>
            </w:tcBorders>
            <w:vAlign w:val="bottom"/>
            <w:hideMark/>
          </w:tcPr>
          <w:p w:rsidR="004D15F4" w:rsidRDefault="004D15F4">
            <w:pPr>
              <w:adjustRightInd w:val="0"/>
              <w:spacing w:before="60" w:after="60"/>
              <w:ind w:left="72" w:right="72"/>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p-</w:t>
            </w:r>
            <w:proofErr w:type="spellStart"/>
            <w:r>
              <w:rPr>
                <w:rFonts w:ascii="Times New Roman" w:hAnsi="Times New Roman"/>
                <w:b/>
                <w:bCs/>
                <w:sz w:val="20"/>
                <w:szCs w:val="20"/>
              </w:rPr>
              <w:t>værdi</w:t>
            </w:r>
            <w:proofErr w:type="spellEnd"/>
          </w:p>
        </w:tc>
      </w:tr>
      <w:tr w:rsidR="004D15F4" w:rsidTr="004D15F4">
        <w:trPr>
          <w:jc w:val="center"/>
        </w:trPr>
        <w:tc>
          <w:tcPr>
            <w:cnfStyle w:val="001000000000" w:firstRow="0" w:lastRow="0" w:firstColumn="1" w:lastColumn="0" w:oddVBand="0" w:evenVBand="0" w:oddHBand="0" w:evenHBand="0" w:firstRowFirstColumn="0" w:firstRowLastColumn="0" w:lastRowFirstColumn="0" w:lastRowLastColumn="0"/>
            <w:tcW w:w="1436" w:type="dxa"/>
            <w:tcBorders>
              <w:top w:val="single" w:sz="6" w:space="0" w:color="000000"/>
              <w:left w:val="single" w:sz="12" w:space="0" w:color="000000"/>
              <w:bottom w:val="single" w:sz="12" w:space="0" w:color="000000"/>
              <w:right w:val="single" w:sz="6" w:space="0" w:color="000000"/>
            </w:tcBorders>
            <w:hideMark/>
          </w:tcPr>
          <w:p w:rsidR="004D15F4" w:rsidRDefault="004D15F4">
            <w:pPr>
              <w:adjustRightInd w:val="0"/>
              <w:spacing w:before="60" w:beforeAutospacing="0" w:after="60" w:afterAutospacing="0"/>
              <w:ind w:left="72" w:right="72"/>
              <w:jc w:val="center"/>
              <w:rPr>
                <w:rFonts w:ascii="Times New Roman" w:hAnsi="Times New Roman" w:cs="Times New Roman"/>
                <w:sz w:val="20"/>
              </w:rPr>
            </w:pPr>
            <w:r>
              <w:rPr>
                <w:rFonts w:ascii="Times New Roman" w:hAnsi="Times New Roman" w:cs="Times New Roman"/>
                <w:sz w:val="20"/>
              </w:rPr>
              <w:t>11,4</w:t>
            </w:r>
          </w:p>
        </w:tc>
        <w:tc>
          <w:tcPr>
            <w:tcW w:w="1436" w:type="dxa"/>
            <w:tcBorders>
              <w:top w:val="single" w:sz="6" w:space="0" w:color="000000"/>
              <w:left w:val="single" w:sz="6" w:space="0" w:color="000000"/>
              <w:bottom w:val="single" w:sz="12" w:space="0" w:color="000000"/>
              <w:right w:val="single" w:sz="6" w:space="0" w:color="000000"/>
            </w:tcBorders>
            <w:hideMark/>
          </w:tcPr>
          <w:p w:rsidR="004D15F4" w:rsidRDefault="004D15F4">
            <w:pPr>
              <w:adjustRightInd w:val="0"/>
              <w:spacing w:before="60" w:after="60"/>
              <w:ind w:left="72" w:right="72"/>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-5,9</w:t>
            </w:r>
          </w:p>
        </w:tc>
        <w:tc>
          <w:tcPr>
            <w:tcW w:w="1436" w:type="dxa"/>
            <w:tcBorders>
              <w:top w:val="single" w:sz="6" w:space="0" w:color="000000"/>
              <w:left w:val="single" w:sz="6" w:space="0" w:color="000000"/>
              <w:bottom w:val="single" w:sz="12" w:space="0" w:color="000000"/>
              <w:right w:val="single" w:sz="6" w:space="0" w:color="000000"/>
            </w:tcBorders>
            <w:hideMark/>
          </w:tcPr>
          <w:p w:rsidR="004D15F4" w:rsidRDefault="004D15F4">
            <w:pPr>
              <w:adjustRightInd w:val="0"/>
              <w:spacing w:before="60" w:after="60"/>
              <w:ind w:left="72" w:right="72"/>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11,6</w:t>
            </w:r>
          </w:p>
        </w:tc>
        <w:tc>
          <w:tcPr>
            <w:tcW w:w="1437" w:type="dxa"/>
            <w:tcBorders>
              <w:top w:val="single" w:sz="6" w:space="0" w:color="000000"/>
              <w:left w:val="single" w:sz="6" w:space="0" w:color="000000"/>
              <w:bottom w:val="single" w:sz="12" w:space="0" w:color="000000"/>
              <w:right w:val="single" w:sz="6" w:space="0" w:color="000000"/>
            </w:tcBorders>
            <w:hideMark/>
          </w:tcPr>
          <w:p w:rsidR="004D15F4" w:rsidRDefault="004D15F4">
            <w:pPr>
              <w:adjustRightInd w:val="0"/>
              <w:spacing w:before="60" w:after="60"/>
              <w:ind w:left="72" w:right="72"/>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-2,7</w:t>
            </w:r>
          </w:p>
        </w:tc>
        <w:tc>
          <w:tcPr>
            <w:tcW w:w="1530" w:type="dxa"/>
            <w:tcBorders>
              <w:top w:val="single" w:sz="6" w:space="0" w:color="000000"/>
              <w:left w:val="single" w:sz="6" w:space="0" w:color="000000"/>
              <w:bottom w:val="single" w:sz="12" w:space="0" w:color="000000"/>
              <w:right w:val="single" w:sz="6" w:space="0" w:color="000000"/>
            </w:tcBorders>
            <w:hideMark/>
          </w:tcPr>
          <w:p w:rsidR="004D15F4" w:rsidRDefault="004D15F4">
            <w:pPr>
              <w:adjustRightInd w:val="0"/>
              <w:spacing w:before="60" w:after="60"/>
              <w:ind w:left="72" w:right="72"/>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-3,2 (0,60)</w:t>
            </w:r>
          </w:p>
        </w:tc>
        <w:tc>
          <w:tcPr>
            <w:tcW w:w="1215" w:type="dxa"/>
            <w:tcBorders>
              <w:top w:val="single" w:sz="6" w:space="0" w:color="000000"/>
              <w:left w:val="single" w:sz="6" w:space="0" w:color="000000"/>
              <w:bottom w:val="single" w:sz="12" w:space="0" w:color="000000"/>
              <w:right w:val="single" w:sz="6" w:space="0" w:color="000000"/>
            </w:tcBorders>
          </w:tcPr>
          <w:p w:rsidR="004D15F4" w:rsidRDefault="004D15F4">
            <w:pPr>
              <w:adjustRightInd w:val="0"/>
              <w:spacing w:before="60" w:after="60"/>
              <w:ind w:left="72" w:right="72"/>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-4,4; -2,0</w:t>
            </w:r>
          </w:p>
          <w:p w:rsidR="004D15F4" w:rsidRDefault="004D15F4">
            <w:pPr>
              <w:adjustRightInd w:val="0"/>
              <w:spacing w:before="60" w:after="60"/>
              <w:ind w:right="72"/>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892" w:type="dxa"/>
            <w:tcBorders>
              <w:top w:val="single" w:sz="6" w:space="0" w:color="000000"/>
              <w:left w:val="single" w:sz="6" w:space="0" w:color="000000"/>
              <w:bottom w:val="single" w:sz="12" w:space="0" w:color="000000"/>
              <w:right w:val="single" w:sz="12" w:space="0" w:color="000000"/>
            </w:tcBorders>
            <w:hideMark/>
          </w:tcPr>
          <w:p w:rsidR="004D15F4" w:rsidRDefault="004D15F4">
            <w:pPr>
              <w:adjustRightInd w:val="0"/>
              <w:spacing w:before="60" w:after="60"/>
              <w:ind w:left="72" w:right="72"/>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&lt;0,0001</w:t>
            </w:r>
          </w:p>
        </w:tc>
      </w:tr>
    </w:tbl>
    <w:p w:rsidR="004D15F4" w:rsidRDefault="004D15F4" w:rsidP="004D15F4">
      <w:pPr>
        <w:rPr>
          <w:rFonts w:asciiTheme="minorHAnsi" w:hAnsiTheme="minorHAnsi" w:cstheme="minorHAnsi"/>
        </w:rPr>
      </w:pPr>
    </w:p>
    <w:p w:rsidR="004D15F4" w:rsidRDefault="004D15F4" w:rsidP="004D15F4">
      <w:pPr>
        <w:rPr>
          <w:rFonts w:asciiTheme="minorHAnsi" w:hAnsiTheme="minorHAnsi" w:cstheme="minorHAnsi"/>
        </w:rPr>
      </w:pPr>
    </w:p>
    <w:p w:rsidR="004D15F4" w:rsidRDefault="004D15F4" w:rsidP="004D15F4">
      <w:pPr>
        <w:ind w:left="851"/>
        <w:contextualSpacing/>
      </w:pPr>
      <w:r>
        <w:t xml:space="preserve">Deskriptiv statistik viste, at </w:t>
      </w:r>
      <w:proofErr w:type="spellStart"/>
      <w:r>
        <w:t>trifaroten</w:t>
      </w:r>
      <w:proofErr w:type="spellEnd"/>
      <w:r>
        <w:t xml:space="preserve"> klarede sig numerisk bedre på atrofiske ar på 2-4 mm end på atrofiske ar på &gt;4 mm.</w:t>
      </w:r>
    </w:p>
    <w:p w:rsidR="004D15F4" w:rsidRDefault="004D15F4" w:rsidP="004D15F4">
      <w:pPr>
        <w:ind w:left="851"/>
        <w:rPr>
          <w:sz w:val="24"/>
          <w:szCs w:val="24"/>
        </w:rPr>
      </w:pPr>
    </w:p>
    <w:p w:rsidR="004D15F4" w:rsidRPr="00196579" w:rsidRDefault="004D15F4" w:rsidP="009D3070">
      <w:pPr>
        <w:ind w:left="851"/>
        <w:rPr>
          <w:sz w:val="24"/>
          <w:szCs w:val="24"/>
        </w:rPr>
      </w:pPr>
    </w:p>
    <w:p w:rsidR="009D3070" w:rsidRDefault="009D3070" w:rsidP="009D3070">
      <w:pPr>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D3070" w:rsidRPr="0038281E" w:rsidRDefault="009D3070" w:rsidP="009D3070">
      <w:pPr>
        <w:tabs>
          <w:tab w:val="left" w:pos="851"/>
        </w:tabs>
        <w:ind w:left="851"/>
        <w:rPr>
          <w:sz w:val="24"/>
          <w:szCs w:val="24"/>
        </w:rPr>
      </w:pPr>
    </w:p>
    <w:p w:rsidR="009D3070" w:rsidRPr="0038281E" w:rsidRDefault="009D3070" w:rsidP="009D3070">
      <w:pPr>
        <w:tabs>
          <w:tab w:val="left" w:pos="851"/>
        </w:tabs>
        <w:ind w:left="851"/>
        <w:rPr>
          <w:iCs/>
          <w:sz w:val="24"/>
          <w:szCs w:val="24"/>
          <w:u w:val="single"/>
        </w:rPr>
      </w:pPr>
      <w:r w:rsidRPr="0038281E">
        <w:rPr>
          <w:iCs/>
          <w:sz w:val="24"/>
          <w:szCs w:val="24"/>
          <w:u w:val="single"/>
        </w:rPr>
        <w:t>Absorption</w:t>
      </w:r>
    </w:p>
    <w:p w:rsidR="009D3070" w:rsidRPr="0038281E" w:rsidRDefault="009D3070" w:rsidP="009D3070">
      <w:pPr>
        <w:tabs>
          <w:tab w:val="left" w:pos="851"/>
        </w:tabs>
        <w:ind w:left="851"/>
        <w:rPr>
          <w:sz w:val="24"/>
          <w:szCs w:val="24"/>
        </w:rPr>
      </w:pPr>
      <w:r w:rsidRPr="0038281E">
        <w:rPr>
          <w:sz w:val="24"/>
          <w:szCs w:val="24"/>
        </w:rPr>
        <w:t xml:space="preserve">Absorptionen af </w:t>
      </w:r>
      <w:proofErr w:type="spellStart"/>
      <w:r w:rsidRPr="0038281E">
        <w:rPr>
          <w:sz w:val="24"/>
          <w:szCs w:val="24"/>
        </w:rPr>
        <w:t>trifaroten</w:t>
      </w:r>
      <w:proofErr w:type="spellEnd"/>
      <w:r w:rsidRPr="0038281E">
        <w:rPr>
          <w:sz w:val="24"/>
          <w:szCs w:val="24"/>
        </w:rPr>
        <w:t xml:space="preserve"> fra </w:t>
      </w:r>
      <w:proofErr w:type="spellStart"/>
      <w:r w:rsidRPr="0038281E">
        <w:rPr>
          <w:sz w:val="24"/>
          <w:szCs w:val="24"/>
        </w:rPr>
        <w:t>Aklief</w:t>
      </w:r>
      <w:proofErr w:type="spellEnd"/>
      <w:r w:rsidRPr="0038281E">
        <w:rPr>
          <w:sz w:val="24"/>
          <w:szCs w:val="24"/>
        </w:rPr>
        <w:t xml:space="preserve"> creme blev undersøgt hos voksne og pædiatriske (10-17 år) patienter med </w:t>
      </w:r>
      <w:proofErr w:type="spellStart"/>
      <w:r w:rsidRPr="0038281E">
        <w:rPr>
          <w:sz w:val="24"/>
          <w:szCs w:val="24"/>
        </w:rPr>
        <w:t>acne</w:t>
      </w:r>
      <w:proofErr w:type="spellEnd"/>
      <w:r w:rsidRPr="0038281E">
        <w:rPr>
          <w:sz w:val="24"/>
          <w:szCs w:val="24"/>
        </w:rPr>
        <w:t xml:space="preserve"> </w:t>
      </w:r>
      <w:proofErr w:type="spellStart"/>
      <w:r w:rsidRPr="0038281E">
        <w:rPr>
          <w:sz w:val="24"/>
          <w:szCs w:val="24"/>
        </w:rPr>
        <w:t>vulgaris</w:t>
      </w:r>
      <w:proofErr w:type="spellEnd"/>
      <w:r w:rsidRPr="0038281E">
        <w:rPr>
          <w:sz w:val="24"/>
          <w:szCs w:val="24"/>
        </w:rPr>
        <w:t>.</w:t>
      </w:r>
      <w:r>
        <w:rPr>
          <w:sz w:val="24"/>
          <w:szCs w:val="24"/>
        </w:rPr>
        <w:t xml:space="preserve"> </w:t>
      </w:r>
      <w:r w:rsidRPr="0038281E">
        <w:rPr>
          <w:sz w:val="24"/>
          <w:szCs w:val="24"/>
        </w:rPr>
        <w:t xml:space="preserve">Patienterne blev behandlet </w:t>
      </w:r>
      <w:r>
        <w:rPr>
          <w:sz w:val="24"/>
          <w:szCs w:val="24"/>
        </w:rPr>
        <w:t>en</w:t>
      </w:r>
      <w:r w:rsidRPr="0038281E">
        <w:rPr>
          <w:sz w:val="24"/>
          <w:szCs w:val="24"/>
        </w:rPr>
        <w:t xml:space="preserve"> gang </w:t>
      </w:r>
      <w:r>
        <w:rPr>
          <w:sz w:val="24"/>
          <w:szCs w:val="24"/>
        </w:rPr>
        <w:t>daglig</w:t>
      </w:r>
      <w:r w:rsidRPr="0038281E">
        <w:rPr>
          <w:sz w:val="24"/>
          <w:szCs w:val="24"/>
        </w:rPr>
        <w:t xml:space="preserve"> i 30 dage med </w:t>
      </w:r>
      <w:proofErr w:type="spellStart"/>
      <w:r>
        <w:rPr>
          <w:sz w:val="24"/>
          <w:szCs w:val="24"/>
        </w:rPr>
        <w:t>Aklief</w:t>
      </w:r>
      <w:proofErr w:type="spellEnd"/>
      <w:r>
        <w:rPr>
          <w:sz w:val="24"/>
          <w:szCs w:val="24"/>
        </w:rPr>
        <w:t xml:space="preserve"> </w:t>
      </w:r>
      <w:r w:rsidRPr="0038281E">
        <w:rPr>
          <w:sz w:val="24"/>
          <w:szCs w:val="24"/>
        </w:rPr>
        <w:t xml:space="preserve">2 gram/dag påført på ansigt, skuldre, bryst og det øverste af ryggen. </w:t>
      </w:r>
    </w:p>
    <w:p w:rsidR="009D3070" w:rsidRPr="0038281E" w:rsidRDefault="009D3070" w:rsidP="009D3070">
      <w:pPr>
        <w:tabs>
          <w:tab w:val="left" w:pos="851"/>
        </w:tabs>
        <w:ind w:left="851"/>
        <w:rPr>
          <w:sz w:val="24"/>
          <w:szCs w:val="24"/>
        </w:rPr>
      </w:pPr>
      <w:r w:rsidRPr="0038281E">
        <w:rPr>
          <w:sz w:val="24"/>
          <w:szCs w:val="24"/>
        </w:rPr>
        <w:t>Generelt var de systemiske eksponeringsniveauer lave og ens hos den voksne og pædiatriske population.</w:t>
      </w:r>
    </w:p>
    <w:p w:rsidR="009D3070" w:rsidRPr="0038281E" w:rsidRDefault="009D3070" w:rsidP="009D3070">
      <w:pPr>
        <w:tabs>
          <w:tab w:val="left" w:pos="851"/>
        </w:tabs>
        <w:ind w:left="851"/>
        <w:rPr>
          <w:sz w:val="24"/>
          <w:szCs w:val="24"/>
        </w:rPr>
      </w:pPr>
      <w:r w:rsidRPr="0038281E">
        <w:rPr>
          <w:sz w:val="24"/>
          <w:szCs w:val="24"/>
        </w:rPr>
        <w:t>Efter 4 ugers behandling havde 7 ud af 19 (37</w:t>
      </w:r>
      <w:r>
        <w:rPr>
          <w:sz w:val="24"/>
          <w:szCs w:val="24"/>
        </w:rPr>
        <w:t xml:space="preserve"> %</w:t>
      </w:r>
      <w:r w:rsidRPr="0038281E">
        <w:rPr>
          <w:sz w:val="24"/>
          <w:szCs w:val="24"/>
        </w:rPr>
        <w:t xml:space="preserve">) voksne patienter kvantificerbare niveauer af </w:t>
      </w:r>
      <w:proofErr w:type="spellStart"/>
      <w:r w:rsidRPr="0038281E">
        <w:rPr>
          <w:sz w:val="24"/>
          <w:szCs w:val="24"/>
        </w:rPr>
        <w:t>trifaroten</w:t>
      </w:r>
      <w:proofErr w:type="spellEnd"/>
      <w:r w:rsidRPr="0038281E">
        <w:rPr>
          <w:sz w:val="24"/>
          <w:szCs w:val="24"/>
        </w:rPr>
        <w:t xml:space="preserve"> i plasma. </w:t>
      </w:r>
      <w:proofErr w:type="spellStart"/>
      <w:r w:rsidRPr="0038281E">
        <w:rPr>
          <w:sz w:val="24"/>
          <w:szCs w:val="24"/>
        </w:rPr>
        <w:t>Cmax</w:t>
      </w:r>
      <w:proofErr w:type="spellEnd"/>
      <w:r w:rsidRPr="0038281E">
        <w:rPr>
          <w:sz w:val="24"/>
          <w:szCs w:val="24"/>
        </w:rPr>
        <w:t xml:space="preserve"> lå fra under kvantificeringsgrænsen (LOQ &lt; 5 </w:t>
      </w:r>
      <w:proofErr w:type="spellStart"/>
      <w:r w:rsidRPr="0038281E">
        <w:rPr>
          <w:sz w:val="24"/>
          <w:szCs w:val="24"/>
        </w:rPr>
        <w:t>pg</w:t>
      </w:r>
      <w:proofErr w:type="spellEnd"/>
      <w:r w:rsidRPr="0038281E">
        <w:rPr>
          <w:sz w:val="24"/>
          <w:szCs w:val="24"/>
        </w:rPr>
        <w:t>/ml) til 10 </w:t>
      </w:r>
      <w:proofErr w:type="spellStart"/>
      <w:r w:rsidRPr="0038281E">
        <w:rPr>
          <w:sz w:val="24"/>
          <w:szCs w:val="24"/>
        </w:rPr>
        <w:t>pg</w:t>
      </w:r>
      <w:proofErr w:type="spellEnd"/>
      <w:r w:rsidRPr="0038281E">
        <w:rPr>
          <w:sz w:val="24"/>
          <w:szCs w:val="24"/>
        </w:rPr>
        <w:t>/ml, og AUC</w:t>
      </w:r>
      <w:r w:rsidRPr="0038281E">
        <w:rPr>
          <w:sz w:val="24"/>
          <w:szCs w:val="24"/>
          <w:vertAlign w:val="subscript"/>
        </w:rPr>
        <w:t>0</w:t>
      </w:r>
      <w:r w:rsidRPr="0038281E">
        <w:rPr>
          <w:sz w:val="24"/>
          <w:szCs w:val="24"/>
          <w:vertAlign w:val="subscript"/>
        </w:rPr>
        <w:noBreakHyphen/>
        <w:t>24t</w:t>
      </w:r>
      <w:r w:rsidRPr="0038281E">
        <w:rPr>
          <w:sz w:val="24"/>
          <w:szCs w:val="24"/>
        </w:rPr>
        <w:t xml:space="preserve"> var fra 75 til 104 pg.t/ml.</w:t>
      </w:r>
    </w:p>
    <w:p w:rsidR="009D3070" w:rsidRPr="0038281E" w:rsidRDefault="009D3070" w:rsidP="009D3070">
      <w:pPr>
        <w:tabs>
          <w:tab w:val="left" w:pos="851"/>
        </w:tabs>
        <w:ind w:left="851"/>
        <w:rPr>
          <w:sz w:val="24"/>
          <w:szCs w:val="24"/>
        </w:rPr>
      </w:pPr>
      <w:r w:rsidRPr="0038281E">
        <w:rPr>
          <w:sz w:val="24"/>
          <w:szCs w:val="24"/>
        </w:rPr>
        <w:t>Tre ud af de 17 (18</w:t>
      </w:r>
      <w:r>
        <w:rPr>
          <w:sz w:val="24"/>
          <w:szCs w:val="24"/>
        </w:rPr>
        <w:t xml:space="preserve"> %</w:t>
      </w:r>
      <w:r w:rsidRPr="0038281E">
        <w:rPr>
          <w:sz w:val="24"/>
          <w:szCs w:val="24"/>
        </w:rPr>
        <w:t xml:space="preserve">) pædiatriske patienter havde kvantificerbar systemisk eksponering. </w:t>
      </w:r>
      <w:proofErr w:type="spellStart"/>
      <w:r w:rsidRPr="0038281E">
        <w:rPr>
          <w:sz w:val="24"/>
          <w:szCs w:val="24"/>
        </w:rPr>
        <w:t>Cmax</w:t>
      </w:r>
      <w:proofErr w:type="spellEnd"/>
      <w:r w:rsidRPr="0038281E">
        <w:rPr>
          <w:sz w:val="24"/>
          <w:szCs w:val="24"/>
        </w:rPr>
        <w:t xml:space="preserve"> lå fra under kvantificeringsgrænsen (LOQ &lt; 5 </w:t>
      </w:r>
      <w:proofErr w:type="spellStart"/>
      <w:r w:rsidRPr="0038281E">
        <w:rPr>
          <w:sz w:val="24"/>
          <w:szCs w:val="24"/>
        </w:rPr>
        <w:t>pg</w:t>
      </w:r>
      <w:proofErr w:type="spellEnd"/>
      <w:r w:rsidRPr="0038281E">
        <w:rPr>
          <w:sz w:val="24"/>
          <w:szCs w:val="24"/>
        </w:rPr>
        <w:t>/ml) til 9 </w:t>
      </w:r>
      <w:proofErr w:type="spellStart"/>
      <w:r w:rsidRPr="0038281E">
        <w:rPr>
          <w:sz w:val="24"/>
          <w:szCs w:val="24"/>
        </w:rPr>
        <w:t>pg</w:t>
      </w:r>
      <w:proofErr w:type="spellEnd"/>
      <w:r w:rsidRPr="0038281E">
        <w:rPr>
          <w:sz w:val="24"/>
          <w:szCs w:val="24"/>
        </w:rPr>
        <w:t>/ml, og AUC</w:t>
      </w:r>
      <w:r w:rsidRPr="0038281E">
        <w:rPr>
          <w:sz w:val="24"/>
          <w:szCs w:val="24"/>
          <w:vertAlign w:val="subscript"/>
        </w:rPr>
        <w:t>0-24t</w:t>
      </w:r>
      <w:r w:rsidRPr="0038281E">
        <w:rPr>
          <w:sz w:val="24"/>
          <w:szCs w:val="24"/>
        </w:rPr>
        <w:t xml:space="preserve"> var fra 89 til 106 pg.t/ml. </w:t>
      </w:r>
    </w:p>
    <w:p w:rsidR="009D3070" w:rsidRPr="0038281E" w:rsidRDefault="009D3070" w:rsidP="009D3070">
      <w:pPr>
        <w:tabs>
          <w:tab w:val="left" w:pos="851"/>
        </w:tabs>
        <w:ind w:left="851"/>
        <w:rPr>
          <w:sz w:val="24"/>
          <w:szCs w:val="24"/>
        </w:rPr>
      </w:pPr>
      <w:r w:rsidRPr="0038281E">
        <w:rPr>
          <w:sz w:val="24"/>
          <w:szCs w:val="24"/>
        </w:rPr>
        <w:t xml:space="preserve">Tilstande med </w:t>
      </w:r>
      <w:proofErr w:type="spellStart"/>
      <w:r w:rsidRPr="0038281E">
        <w:rPr>
          <w:sz w:val="24"/>
          <w:szCs w:val="24"/>
        </w:rPr>
        <w:t>steady</w:t>
      </w:r>
      <w:proofErr w:type="spellEnd"/>
      <w:r w:rsidRPr="0038281E">
        <w:rPr>
          <w:sz w:val="24"/>
          <w:szCs w:val="24"/>
        </w:rPr>
        <w:t xml:space="preserve"> </w:t>
      </w:r>
      <w:proofErr w:type="spellStart"/>
      <w:r w:rsidRPr="0038281E">
        <w:rPr>
          <w:sz w:val="24"/>
          <w:szCs w:val="24"/>
        </w:rPr>
        <w:t>state</w:t>
      </w:r>
      <w:proofErr w:type="spellEnd"/>
      <w:r w:rsidRPr="0038281E">
        <w:rPr>
          <w:sz w:val="24"/>
          <w:szCs w:val="24"/>
        </w:rPr>
        <w:t xml:space="preserve"> blev opnået hos voksne og pædiatriske patienter efter 2 ugers topisk administration. Der forventes ingen akkumulering af lægemidlet efter langtidsbehandling.</w:t>
      </w:r>
    </w:p>
    <w:p w:rsidR="009D3070" w:rsidRPr="0038281E" w:rsidRDefault="009D3070" w:rsidP="009D3070">
      <w:pPr>
        <w:tabs>
          <w:tab w:val="left" w:pos="851"/>
        </w:tabs>
        <w:ind w:left="851"/>
        <w:rPr>
          <w:sz w:val="24"/>
          <w:szCs w:val="24"/>
        </w:rPr>
      </w:pPr>
    </w:p>
    <w:p w:rsidR="009D3070" w:rsidRPr="0038281E" w:rsidRDefault="009D3070" w:rsidP="009D3070">
      <w:pPr>
        <w:tabs>
          <w:tab w:val="left" w:pos="851"/>
        </w:tabs>
        <w:ind w:left="851"/>
        <w:rPr>
          <w:iCs/>
          <w:sz w:val="24"/>
          <w:szCs w:val="24"/>
          <w:u w:val="single"/>
        </w:rPr>
      </w:pPr>
      <w:r w:rsidRPr="0038281E">
        <w:rPr>
          <w:iCs/>
          <w:sz w:val="24"/>
          <w:szCs w:val="24"/>
          <w:u w:val="single"/>
        </w:rPr>
        <w:t>Fordeling</w:t>
      </w:r>
    </w:p>
    <w:p w:rsidR="009D3070" w:rsidRPr="0038281E" w:rsidRDefault="009D3070" w:rsidP="009D3070">
      <w:pPr>
        <w:tabs>
          <w:tab w:val="left" w:pos="851"/>
        </w:tabs>
        <w:ind w:left="851"/>
        <w:rPr>
          <w:sz w:val="24"/>
          <w:szCs w:val="24"/>
        </w:rPr>
      </w:pPr>
      <w:proofErr w:type="spellStart"/>
      <w:r w:rsidRPr="0038281E">
        <w:rPr>
          <w:sz w:val="24"/>
          <w:szCs w:val="24"/>
        </w:rPr>
        <w:t>Trifaroten</w:t>
      </w:r>
      <w:proofErr w:type="spellEnd"/>
      <w:r w:rsidRPr="0038281E">
        <w:rPr>
          <w:sz w:val="24"/>
          <w:szCs w:val="24"/>
        </w:rPr>
        <w:t xml:space="preserve"> trænger ind i huden med en eksponentiel fordeling fra stratum </w:t>
      </w:r>
      <w:proofErr w:type="spellStart"/>
      <w:r w:rsidRPr="0038281E">
        <w:rPr>
          <w:sz w:val="24"/>
          <w:szCs w:val="24"/>
        </w:rPr>
        <w:t>corneum</w:t>
      </w:r>
      <w:proofErr w:type="spellEnd"/>
      <w:r w:rsidRPr="0038281E">
        <w:rPr>
          <w:sz w:val="24"/>
          <w:szCs w:val="24"/>
        </w:rPr>
        <w:t xml:space="preserve"> til epidermis og </w:t>
      </w:r>
      <w:proofErr w:type="spellStart"/>
      <w:r w:rsidRPr="0038281E">
        <w:rPr>
          <w:sz w:val="24"/>
          <w:szCs w:val="24"/>
        </w:rPr>
        <w:t>dermis</w:t>
      </w:r>
      <w:proofErr w:type="spellEnd"/>
      <w:r w:rsidRPr="0038281E">
        <w:rPr>
          <w:sz w:val="24"/>
          <w:szCs w:val="24"/>
        </w:rPr>
        <w:t>.</w:t>
      </w:r>
    </w:p>
    <w:p w:rsidR="009D3070" w:rsidRPr="0038281E" w:rsidRDefault="009D3070" w:rsidP="009D3070">
      <w:pPr>
        <w:tabs>
          <w:tab w:val="left" w:pos="851"/>
        </w:tabs>
        <w:ind w:left="851"/>
        <w:rPr>
          <w:sz w:val="24"/>
          <w:szCs w:val="24"/>
        </w:rPr>
      </w:pPr>
      <w:r w:rsidRPr="0038281E">
        <w:rPr>
          <w:sz w:val="24"/>
          <w:szCs w:val="24"/>
        </w:rPr>
        <w:t xml:space="preserve">Et </w:t>
      </w:r>
      <w:r w:rsidRPr="00090FDF">
        <w:rPr>
          <w:i/>
          <w:sz w:val="24"/>
          <w:szCs w:val="24"/>
        </w:rPr>
        <w:t xml:space="preserve">in </w:t>
      </w:r>
      <w:proofErr w:type="spellStart"/>
      <w:r w:rsidRPr="00090FDF">
        <w:rPr>
          <w:i/>
          <w:sz w:val="24"/>
          <w:szCs w:val="24"/>
        </w:rPr>
        <w:t>vitro</w:t>
      </w:r>
      <w:proofErr w:type="spellEnd"/>
      <w:r w:rsidRPr="00090FDF">
        <w:rPr>
          <w:i/>
          <w:sz w:val="24"/>
          <w:szCs w:val="24"/>
        </w:rPr>
        <w:t xml:space="preserve"> </w:t>
      </w:r>
      <w:r w:rsidRPr="0038281E">
        <w:rPr>
          <w:sz w:val="24"/>
          <w:szCs w:val="24"/>
        </w:rPr>
        <w:t xml:space="preserve">studie viste, at </w:t>
      </w:r>
      <w:proofErr w:type="spellStart"/>
      <w:r w:rsidRPr="0038281E">
        <w:rPr>
          <w:sz w:val="24"/>
          <w:szCs w:val="24"/>
        </w:rPr>
        <w:t>trifaroten</w:t>
      </w:r>
      <w:proofErr w:type="spellEnd"/>
      <w:r w:rsidRPr="0038281E">
        <w:rPr>
          <w:sz w:val="24"/>
          <w:szCs w:val="24"/>
        </w:rPr>
        <w:t xml:space="preserve"> er mere end 99,9</w:t>
      </w:r>
      <w:r>
        <w:rPr>
          <w:sz w:val="24"/>
          <w:szCs w:val="24"/>
        </w:rPr>
        <w:t xml:space="preserve"> %</w:t>
      </w:r>
      <w:r w:rsidRPr="0038281E">
        <w:rPr>
          <w:sz w:val="24"/>
          <w:szCs w:val="24"/>
        </w:rPr>
        <w:t xml:space="preserve"> bundet til plasmaproteiner. Der blev ikke observeret nogen signifikant binding af </w:t>
      </w:r>
      <w:proofErr w:type="spellStart"/>
      <w:r w:rsidRPr="0038281E">
        <w:rPr>
          <w:sz w:val="24"/>
          <w:szCs w:val="24"/>
        </w:rPr>
        <w:t>trifaroten</w:t>
      </w:r>
      <w:proofErr w:type="spellEnd"/>
      <w:r w:rsidRPr="0038281E">
        <w:rPr>
          <w:sz w:val="24"/>
          <w:szCs w:val="24"/>
        </w:rPr>
        <w:t xml:space="preserve"> til </w:t>
      </w:r>
      <w:proofErr w:type="spellStart"/>
      <w:r w:rsidRPr="0038281E">
        <w:rPr>
          <w:sz w:val="24"/>
          <w:szCs w:val="24"/>
        </w:rPr>
        <w:t>erythrocytter</w:t>
      </w:r>
      <w:proofErr w:type="spellEnd"/>
      <w:r w:rsidRPr="0038281E">
        <w:rPr>
          <w:sz w:val="24"/>
          <w:szCs w:val="24"/>
        </w:rPr>
        <w:t>.</w:t>
      </w:r>
    </w:p>
    <w:p w:rsidR="009D3070" w:rsidRPr="0038281E" w:rsidRDefault="009D3070" w:rsidP="009D3070">
      <w:pPr>
        <w:tabs>
          <w:tab w:val="left" w:pos="851"/>
        </w:tabs>
        <w:ind w:left="851"/>
        <w:rPr>
          <w:iCs/>
          <w:sz w:val="24"/>
          <w:szCs w:val="24"/>
          <w:u w:val="single"/>
        </w:rPr>
      </w:pPr>
    </w:p>
    <w:p w:rsidR="009D3070" w:rsidRPr="0038281E" w:rsidRDefault="009D3070" w:rsidP="009D3070">
      <w:pPr>
        <w:tabs>
          <w:tab w:val="left" w:pos="851"/>
        </w:tabs>
        <w:ind w:left="851"/>
        <w:rPr>
          <w:iCs/>
          <w:sz w:val="24"/>
          <w:szCs w:val="24"/>
          <w:u w:val="single"/>
        </w:rPr>
      </w:pPr>
      <w:bookmarkStart w:id="5" w:name="_Hlk779427"/>
      <w:r w:rsidRPr="0038281E">
        <w:rPr>
          <w:iCs/>
          <w:sz w:val="24"/>
          <w:szCs w:val="24"/>
          <w:u w:val="single"/>
        </w:rPr>
        <w:t>Biotransformation</w:t>
      </w:r>
    </w:p>
    <w:p w:rsidR="009D3070" w:rsidRPr="0038281E" w:rsidRDefault="009D3070" w:rsidP="009D3070">
      <w:pPr>
        <w:tabs>
          <w:tab w:val="left" w:pos="851"/>
        </w:tabs>
        <w:ind w:left="851"/>
        <w:rPr>
          <w:sz w:val="24"/>
          <w:szCs w:val="24"/>
        </w:rPr>
      </w:pPr>
      <w:bookmarkStart w:id="6" w:name="_Hlk780810"/>
      <w:bookmarkEnd w:id="5"/>
      <w:r w:rsidRPr="00DE2AD9">
        <w:rPr>
          <w:i/>
          <w:sz w:val="24"/>
          <w:szCs w:val="24"/>
        </w:rPr>
        <w:t xml:space="preserve">In </w:t>
      </w:r>
      <w:proofErr w:type="spellStart"/>
      <w:r w:rsidRPr="00DE2AD9">
        <w:rPr>
          <w:i/>
          <w:sz w:val="24"/>
          <w:szCs w:val="24"/>
        </w:rPr>
        <w:t>vitro</w:t>
      </w:r>
      <w:proofErr w:type="spellEnd"/>
      <w:r w:rsidRPr="00DE2AD9">
        <w:rPr>
          <w:i/>
          <w:sz w:val="24"/>
          <w:szCs w:val="24"/>
        </w:rPr>
        <w:t xml:space="preserve"> </w:t>
      </w:r>
      <w:r>
        <w:rPr>
          <w:sz w:val="24"/>
          <w:szCs w:val="24"/>
        </w:rPr>
        <w:t>s</w:t>
      </w:r>
      <w:r w:rsidRPr="0038281E">
        <w:rPr>
          <w:sz w:val="24"/>
          <w:szCs w:val="24"/>
        </w:rPr>
        <w:t xml:space="preserve">tudier, hvor der blev brugt humane </w:t>
      </w:r>
      <w:proofErr w:type="spellStart"/>
      <w:r w:rsidRPr="0038281E">
        <w:rPr>
          <w:sz w:val="24"/>
          <w:szCs w:val="24"/>
        </w:rPr>
        <w:t>levermikrosomer</w:t>
      </w:r>
      <w:proofErr w:type="spellEnd"/>
      <w:r w:rsidRPr="0038281E">
        <w:rPr>
          <w:sz w:val="24"/>
          <w:szCs w:val="24"/>
        </w:rPr>
        <w:t xml:space="preserve"> og </w:t>
      </w:r>
      <w:proofErr w:type="spellStart"/>
      <w:r w:rsidRPr="0038281E">
        <w:rPr>
          <w:sz w:val="24"/>
          <w:szCs w:val="24"/>
        </w:rPr>
        <w:t>rekombinante</w:t>
      </w:r>
      <w:proofErr w:type="spellEnd"/>
      <w:r w:rsidRPr="0038281E">
        <w:rPr>
          <w:sz w:val="24"/>
          <w:szCs w:val="24"/>
        </w:rPr>
        <w:t xml:space="preserve"> CYP450-enzymer, har vist, at </w:t>
      </w:r>
      <w:proofErr w:type="spellStart"/>
      <w:r w:rsidRPr="0038281E">
        <w:rPr>
          <w:sz w:val="24"/>
          <w:szCs w:val="24"/>
        </w:rPr>
        <w:t>trifaroten</w:t>
      </w:r>
      <w:proofErr w:type="spellEnd"/>
      <w:r w:rsidRPr="0038281E">
        <w:rPr>
          <w:sz w:val="24"/>
          <w:szCs w:val="24"/>
        </w:rPr>
        <w:t xml:space="preserve"> fortrinsvis </w:t>
      </w:r>
      <w:proofErr w:type="spellStart"/>
      <w:r w:rsidRPr="0038281E">
        <w:rPr>
          <w:sz w:val="24"/>
          <w:szCs w:val="24"/>
        </w:rPr>
        <w:t>metaboliseres</w:t>
      </w:r>
      <w:proofErr w:type="spellEnd"/>
      <w:r w:rsidRPr="0038281E">
        <w:rPr>
          <w:sz w:val="24"/>
          <w:szCs w:val="24"/>
        </w:rPr>
        <w:t xml:space="preserve"> af CYP2C9, CYP3A4, CYP2C8 og i mindre udstrækning af CYP2B6. </w:t>
      </w:r>
    </w:p>
    <w:bookmarkEnd w:id="6"/>
    <w:p w:rsidR="009D3070" w:rsidRPr="0038281E" w:rsidRDefault="009D3070" w:rsidP="009D3070">
      <w:pPr>
        <w:tabs>
          <w:tab w:val="left" w:pos="851"/>
        </w:tabs>
        <w:ind w:left="851"/>
        <w:rPr>
          <w:sz w:val="24"/>
          <w:szCs w:val="24"/>
        </w:rPr>
      </w:pPr>
    </w:p>
    <w:p w:rsidR="009D3070" w:rsidRPr="0038281E" w:rsidRDefault="009D3070" w:rsidP="009D3070">
      <w:pPr>
        <w:tabs>
          <w:tab w:val="left" w:pos="851"/>
        </w:tabs>
        <w:ind w:left="851"/>
        <w:rPr>
          <w:sz w:val="24"/>
          <w:szCs w:val="24"/>
          <w:u w:val="single"/>
        </w:rPr>
      </w:pPr>
      <w:r w:rsidRPr="0038281E">
        <w:rPr>
          <w:sz w:val="24"/>
          <w:szCs w:val="24"/>
          <w:u w:val="single"/>
        </w:rPr>
        <w:lastRenderedPageBreak/>
        <w:t xml:space="preserve">Potentiale for </w:t>
      </w:r>
      <w:proofErr w:type="spellStart"/>
      <w:r w:rsidRPr="0038281E">
        <w:rPr>
          <w:sz w:val="24"/>
          <w:szCs w:val="24"/>
          <w:u w:val="single"/>
        </w:rPr>
        <w:t>farmakokinetisk</w:t>
      </w:r>
      <w:proofErr w:type="spellEnd"/>
      <w:r w:rsidRPr="0038281E">
        <w:rPr>
          <w:sz w:val="24"/>
          <w:szCs w:val="24"/>
          <w:u w:val="single"/>
        </w:rPr>
        <w:t xml:space="preserve"> lægemiddelinteraktion </w:t>
      </w:r>
    </w:p>
    <w:p w:rsidR="009D3070" w:rsidRPr="0038281E" w:rsidRDefault="009D3070" w:rsidP="009D3070">
      <w:pPr>
        <w:tabs>
          <w:tab w:val="left" w:pos="851"/>
        </w:tabs>
        <w:ind w:left="851"/>
        <w:rPr>
          <w:sz w:val="24"/>
          <w:szCs w:val="24"/>
        </w:rPr>
      </w:pPr>
      <w:r w:rsidRPr="00DE2AD9">
        <w:rPr>
          <w:i/>
          <w:sz w:val="24"/>
          <w:szCs w:val="24"/>
        </w:rPr>
        <w:t xml:space="preserve">In </w:t>
      </w:r>
      <w:proofErr w:type="spellStart"/>
      <w:r w:rsidRPr="00DE2AD9">
        <w:rPr>
          <w:i/>
          <w:sz w:val="24"/>
          <w:szCs w:val="24"/>
        </w:rPr>
        <w:t>vitro</w:t>
      </w:r>
      <w:proofErr w:type="spellEnd"/>
      <w:r w:rsidRPr="00DE2AD9">
        <w:rPr>
          <w:i/>
          <w:sz w:val="24"/>
          <w:szCs w:val="24"/>
        </w:rPr>
        <w:t xml:space="preserve"> </w:t>
      </w:r>
      <w:r>
        <w:rPr>
          <w:sz w:val="24"/>
          <w:szCs w:val="24"/>
        </w:rPr>
        <w:t>s</w:t>
      </w:r>
      <w:r w:rsidRPr="0038281E">
        <w:rPr>
          <w:sz w:val="24"/>
          <w:szCs w:val="24"/>
        </w:rPr>
        <w:t xml:space="preserve">tudier viser, at </w:t>
      </w:r>
      <w:proofErr w:type="spellStart"/>
      <w:r w:rsidRPr="0038281E">
        <w:rPr>
          <w:sz w:val="24"/>
          <w:szCs w:val="24"/>
        </w:rPr>
        <w:t>Aklief</w:t>
      </w:r>
      <w:proofErr w:type="spellEnd"/>
      <w:r w:rsidRPr="0038281E">
        <w:rPr>
          <w:sz w:val="24"/>
          <w:szCs w:val="24"/>
        </w:rPr>
        <w:t xml:space="preserve"> creme i de koncentrationer, som opnås systemisk efter </w:t>
      </w:r>
      <w:proofErr w:type="spellStart"/>
      <w:r w:rsidRPr="0038281E">
        <w:rPr>
          <w:sz w:val="24"/>
          <w:szCs w:val="24"/>
        </w:rPr>
        <w:t>topi</w:t>
      </w:r>
      <w:r>
        <w:rPr>
          <w:sz w:val="24"/>
          <w:szCs w:val="24"/>
        </w:rPr>
        <w:t>kal</w:t>
      </w:r>
      <w:proofErr w:type="spellEnd"/>
      <w:r w:rsidRPr="0038281E">
        <w:rPr>
          <w:sz w:val="24"/>
          <w:szCs w:val="24"/>
        </w:rPr>
        <w:t xml:space="preserve"> administration, ikke hæmmede CYP450-isoenzymerne CYP1A2, 2B6, 2C8, 2C9, 2C19, 2D6 og 3A4 og ikke inducerede CYP1A2, 2B6 eller 3A4.</w:t>
      </w:r>
    </w:p>
    <w:p w:rsidR="009D3070" w:rsidRPr="0038281E" w:rsidRDefault="009D3070" w:rsidP="009D3070">
      <w:pPr>
        <w:tabs>
          <w:tab w:val="left" w:pos="851"/>
        </w:tabs>
        <w:ind w:left="851"/>
        <w:rPr>
          <w:sz w:val="24"/>
          <w:szCs w:val="24"/>
        </w:rPr>
      </w:pPr>
      <w:r w:rsidRPr="00DE2AD9">
        <w:rPr>
          <w:i/>
          <w:sz w:val="24"/>
          <w:szCs w:val="24"/>
        </w:rPr>
        <w:t xml:space="preserve">In </w:t>
      </w:r>
      <w:proofErr w:type="spellStart"/>
      <w:r w:rsidRPr="00DE2AD9">
        <w:rPr>
          <w:i/>
          <w:sz w:val="24"/>
          <w:szCs w:val="24"/>
        </w:rPr>
        <w:t>vitro</w:t>
      </w:r>
      <w:proofErr w:type="spellEnd"/>
      <w:r w:rsidRPr="00DE2AD9">
        <w:rPr>
          <w:i/>
          <w:sz w:val="24"/>
          <w:szCs w:val="24"/>
        </w:rPr>
        <w:t xml:space="preserve"> </w:t>
      </w:r>
      <w:r>
        <w:rPr>
          <w:sz w:val="24"/>
          <w:szCs w:val="24"/>
        </w:rPr>
        <w:t>s</w:t>
      </w:r>
      <w:r w:rsidRPr="0038281E">
        <w:rPr>
          <w:sz w:val="24"/>
          <w:szCs w:val="24"/>
        </w:rPr>
        <w:t xml:space="preserve">tudier har vist, at </w:t>
      </w:r>
      <w:proofErr w:type="spellStart"/>
      <w:r w:rsidRPr="0038281E">
        <w:rPr>
          <w:sz w:val="24"/>
          <w:szCs w:val="24"/>
        </w:rPr>
        <w:t>Aklief</w:t>
      </w:r>
      <w:proofErr w:type="spellEnd"/>
      <w:r w:rsidRPr="0038281E">
        <w:rPr>
          <w:sz w:val="24"/>
          <w:szCs w:val="24"/>
        </w:rPr>
        <w:t xml:space="preserve"> creme i de koncentrationer, som opnås systemisk efter </w:t>
      </w:r>
      <w:proofErr w:type="spellStart"/>
      <w:r w:rsidRPr="0038281E">
        <w:rPr>
          <w:sz w:val="24"/>
          <w:szCs w:val="24"/>
        </w:rPr>
        <w:t>topik</w:t>
      </w:r>
      <w:r>
        <w:rPr>
          <w:sz w:val="24"/>
          <w:szCs w:val="24"/>
        </w:rPr>
        <w:t>al</w:t>
      </w:r>
      <w:proofErr w:type="spellEnd"/>
      <w:r w:rsidRPr="0038281E">
        <w:rPr>
          <w:sz w:val="24"/>
          <w:szCs w:val="24"/>
        </w:rPr>
        <w:t xml:space="preserve"> administration, ikke hæmmede optagelsestransportørerne MATE, OATP, OAT eller OCT eller </w:t>
      </w:r>
      <w:proofErr w:type="spellStart"/>
      <w:r w:rsidRPr="0038281E">
        <w:rPr>
          <w:sz w:val="24"/>
          <w:szCs w:val="24"/>
        </w:rPr>
        <w:t>effluxtransportørerne</w:t>
      </w:r>
      <w:proofErr w:type="spellEnd"/>
      <w:r w:rsidRPr="0038281E">
        <w:rPr>
          <w:sz w:val="24"/>
          <w:szCs w:val="24"/>
        </w:rPr>
        <w:t xml:space="preserve"> BCRP, </w:t>
      </w:r>
      <w:proofErr w:type="spellStart"/>
      <w:r w:rsidRPr="0038281E">
        <w:rPr>
          <w:sz w:val="24"/>
          <w:szCs w:val="24"/>
        </w:rPr>
        <w:t>PgP</w:t>
      </w:r>
      <w:proofErr w:type="spellEnd"/>
      <w:r w:rsidRPr="0038281E">
        <w:rPr>
          <w:sz w:val="24"/>
          <w:szCs w:val="24"/>
        </w:rPr>
        <w:t>, BSEP eller MPR.</w:t>
      </w:r>
    </w:p>
    <w:p w:rsidR="009D3070" w:rsidRPr="0038281E"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5.3</w:t>
      </w:r>
      <w:r w:rsidRPr="00C84483">
        <w:rPr>
          <w:b/>
          <w:sz w:val="24"/>
          <w:szCs w:val="24"/>
        </w:rPr>
        <w:tab/>
      </w:r>
      <w:r w:rsidR="004D15F4">
        <w:rPr>
          <w:b/>
          <w:sz w:val="24"/>
          <w:szCs w:val="24"/>
        </w:rPr>
        <w:t>Non-kliniske sikkerhedsdata</w:t>
      </w:r>
    </w:p>
    <w:p w:rsidR="009D3070" w:rsidRPr="0050188D" w:rsidRDefault="009D3070" w:rsidP="009D3070">
      <w:pPr>
        <w:tabs>
          <w:tab w:val="left" w:pos="851"/>
        </w:tabs>
        <w:ind w:left="851"/>
        <w:rPr>
          <w:sz w:val="24"/>
          <w:szCs w:val="24"/>
        </w:rPr>
      </w:pPr>
      <w:r w:rsidRPr="0050188D">
        <w:rPr>
          <w:sz w:val="24"/>
          <w:szCs w:val="24"/>
        </w:rPr>
        <w:t xml:space="preserve">Bemærk: Beregningerne af </w:t>
      </w:r>
      <w:r>
        <w:rPr>
          <w:sz w:val="24"/>
          <w:szCs w:val="24"/>
        </w:rPr>
        <w:t>sikkerhedsmargin til</w:t>
      </w:r>
      <w:r w:rsidRPr="0050188D">
        <w:rPr>
          <w:sz w:val="24"/>
          <w:szCs w:val="24"/>
        </w:rPr>
        <w:t xml:space="preserve"> den humane systemiske eksponering er baseret på sammenligninger af </w:t>
      </w:r>
      <w:proofErr w:type="spellStart"/>
      <w:r w:rsidRPr="0050188D">
        <w:rPr>
          <w:sz w:val="24"/>
          <w:szCs w:val="24"/>
        </w:rPr>
        <w:t>area</w:t>
      </w:r>
      <w:proofErr w:type="spellEnd"/>
      <w:r w:rsidRPr="0050188D">
        <w:rPr>
          <w:sz w:val="24"/>
          <w:szCs w:val="24"/>
        </w:rPr>
        <w:t xml:space="preserve"> under the </w:t>
      </w:r>
      <w:proofErr w:type="spellStart"/>
      <w:r w:rsidRPr="0050188D">
        <w:rPr>
          <w:sz w:val="24"/>
          <w:szCs w:val="24"/>
        </w:rPr>
        <w:t>curve</w:t>
      </w:r>
      <w:proofErr w:type="spellEnd"/>
      <w:r w:rsidRPr="0050188D">
        <w:rPr>
          <w:sz w:val="24"/>
          <w:szCs w:val="24"/>
        </w:rPr>
        <w:t xml:space="preserve"> (AUC) for en </w:t>
      </w:r>
      <w:proofErr w:type="spellStart"/>
      <w:r w:rsidRPr="0050188D">
        <w:rPr>
          <w:sz w:val="24"/>
          <w:szCs w:val="24"/>
        </w:rPr>
        <w:t>topik</w:t>
      </w:r>
      <w:r>
        <w:rPr>
          <w:sz w:val="24"/>
          <w:szCs w:val="24"/>
        </w:rPr>
        <w:t>al</w:t>
      </w:r>
      <w:proofErr w:type="spellEnd"/>
      <w:r w:rsidRPr="0050188D">
        <w:rPr>
          <w:sz w:val="24"/>
          <w:szCs w:val="24"/>
        </w:rPr>
        <w:t xml:space="preserve"> human dosis på 2 g </w:t>
      </w:r>
      <w:proofErr w:type="spellStart"/>
      <w:r w:rsidRPr="0050188D">
        <w:rPr>
          <w:sz w:val="24"/>
          <w:szCs w:val="24"/>
        </w:rPr>
        <w:t>Aklief</w:t>
      </w:r>
      <w:proofErr w:type="spellEnd"/>
      <w:r w:rsidRPr="0050188D">
        <w:rPr>
          <w:sz w:val="24"/>
          <w:szCs w:val="24"/>
        </w:rPr>
        <w:t xml:space="preserve"> creme påført </w:t>
      </w:r>
      <w:r>
        <w:rPr>
          <w:sz w:val="24"/>
          <w:szCs w:val="24"/>
        </w:rPr>
        <w:t>en</w:t>
      </w:r>
      <w:r w:rsidRPr="0050188D">
        <w:rPr>
          <w:sz w:val="24"/>
          <w:szCs w:val="24"/>
        </w:rPr>
        <w:t xml:space="preserve"> gang </w:t>
      </w:r>
      <w:r>
        <w:rPr>
          <w:sz w:val="24"/>
          <w:szCs w:val="24"/>
        </w:rPr>
        <w:t>daglig</w:t>
      </w:r>
      <w:r w:rsidRPr="0050188D">
        <w:rPr>
          <w:sz w:val="24"/>
          <w:szCs w:val="24"/>
        </w:rPr>
        <w:t xml:space="preserve">. </w:t>
      </w:r>
    </w:p>
    <w:p w:rsidR="009D3070" w:rsidRPr="0050188D" w:rsidRDefault="009D3070" w:rsidP="009D3070">
      <w:pPr>
        <w:tabs>
          <w:tab w:val="left" w:pos="851"/>
        </w:tabs>
        <w:ind w:left="851"/>
        <w:rPr>
          <w:sz w:val="24"/>
          <w:szCs w:val="24"/>
        </w:rPr>
      </w:pPr>
    </w:p>
    <w:p w:rsidR="009D3070" w:rsidRPr="0050188D" w:rsidRDefault="009D3070" w:rsidP="009D3070">
      <w:pPr>
        <w:tabs>
          <w:tab w:val="left" w:pos="851"/>
        </w:tabs>
        <w:ind w:left="851"/>
        <w:rPr>
          <w:sz w:val="24"/>
          <w:szCs w:val="24"/>
        </w:rPr>
      </w:pPr>
      <w:r w:rsidRPr="0050188D">
        <w:rPr>
          <w:sz w:val="24"/>
          <w:szCs w:val="24"/>
        </w:rPr>
        <w:t xml:space="preserve">Prækliniske data viser ingen speciel risiko for mennesker vurderet ud fra konventionelle studier af sikkerhedsfarmakologi, toksicitet efter gentagne orale doser, genotoksicitet og </w:t>
      </w:r>
      <w:proofErr w:type="spellStart"/>
      <w:r w:rsidRPr="0050188D">
        <w:rPr>
          <w:sz w:val="24"/>
          <w:szCs w:val="24"/>
        </w:rPr>
        <w:t>karcinogenicitet</w:t>
      </w:r>
      <w:proofErr w:type="spellEnd"/>
      <w:r w:rsidRPr="0050188D">
        <w:rPr>
          <w:sz w:val="24"/>
          <w:szCs w:val="24"/>
        </w:rPr>
        <w:t xml:space="preserve">. </w:t>
      </w:r>
    </w:p>
    <w:p w:rsidR="009D3070" w:rsidRPr="0050188D" w:rsidRDefault="009D3070" w:rsidP="009D3070">
      <w:pPr>
        <w:tabs>
          <w:tab w:val="left" w:pos="851"/>
        </w:tabs>
        <w:ind w:left="851"/>
        <w:rPr>
          <w:sz w:val="24"/>
          <w:szCs w:val="24"/>
        </w:rPr>
      </w:pPr>
    </w:p>
    <w:p w:rsidR="009D3070" w:rsidRPr="0050188D" w:rsidRDefault="009D3070" w:rsidP="009D3070">
      <w:pPr>
        <w:tabs>
          <w:tab w:val="left" w:pos="851"/>
        </w:tabs>
        <w:ind w:left="851"/>
        <w:rPr>
          <w:sz w:val="24"/>
          <w:szCs w:val="24"/>
        </w:rPr>
      </w:pPr>
      <w:r w:rsidRPr="0050188D">
        <w:rPr>
          <w:sz w:val="24"/>
          <w:szCs w:val="24"/>
        </w:rPr>
        <w:t xml:space="preserve">I </w:t>
      </w:r>
      <w:r>
        <w:rPr>
          <w:sz w:val="24"/>
          <w:szCs w:val="24"/>
        </w:rPr>
        <w:t xml:space="preserve">dermatologiske </w:t>
      </w:r>
      <w:r w:rsidRPr="0050188D">
        <w:rPr>
          <w:sz w:val="24"/>
          <w:szCs w:val="24"/>
        </w:rPr>
        <w:t xml:space="preserve">studier af toksiciteten efter gentagne orale doser til minigrise i op til 9 måneder var den systemiske eksponering for </w:t>
      </w:r>
      <w:proofErr w:type="spellStart"/>
      <w:r w:rsidRPr="0050188D">
        <w:rPr>
          <w:sz w:val="24"/>
          <w:szCs w:val="24"/>
        </w:rPr>
        <w:t>trifaroten</w:t>
      </w:r>
      <w:proofErr w:type="spellEnd"/>
      <w:r w:rsidRPr="0050188D">
        <w:rPr>
          <w:sz w:val="24"/>
          <w:szCs w:val="24"/>
        </w:rPr>
        <w:t xml:space="preserve"> meget lav og generelt under kvantificeringsgrænsen. Der var ingen systemiske virkninger, og det eneste bemærkelsesværdige fund var reversibel hudirritation på påføringsstederne.</w:t>
      </w:r>
    </w:p>
    <w:p w:rsidR="009D3070" w:rsidRPr="0050188D" w:rsidRDefault="009D3070" w:rsidP="009D3070">
      <w:pPr>
        <w:tabs>
          <w:tab w:val="left" w:pos="851"/>
        </w:tabs>
        <w:ind w:left="851"/>
        <w:rPr>
          <w:sz w:val="24"/>
          <w:szCs w:val="24"/>
        </w:rPr>
      </w:pPr>
      <w:r w:rsidRPr="0050188D">
        <w:rPr>
          <w:sz w:val="24"/>
          <w:szCs w:val="24"/>
        </w:rPr>
        <w:t xml:space="preserve">I reproduktionsstudier på dyr medførte oral administration af </w:t>
      </w:r>
      <w:proofErr w:type="spellStart"/>
      <w:r w:rsidRPr="0050188D">
        <w:rPr>
          <w:sz w:val="24"/>
          <w:szCs w:val="24"/>
        </w:rPr>
        <w:t>trifaroten</w:t>
      </w:r>
      <w:proofErr w:type="spellEnd"/>
      <w:r w:rsidRPr="0050188D">
        <w:rPr>
          <w:sz w:val="24"/>
          <w:szCs w:val="24"/>
        </w:rPr>
        <w:t xml:space="preserve"> til drægtige rotter og kaniner under </w:t>
      </w:r>
      <w:proofErr w:type="spellStart"/>
      <w:r w:rsidRPr="0050188D">
        <w:rPr>
          <w:sz w:val="24"/>
          <w:szCs w:val="24"/>
        </w:rPr>
        <w:t>organogenesen</w:t>
      </w:r>
      <w:proofErr w:type="spellEnd"/>
      <w:r w:rsidRPr="0050188D">
        <w:rPr>
          <w:sz w:val="24"/>
          <w:szCs w:val="24"/>
        </w:rPr>
        <w:t xml:space="preserve"> </w:t>
      </w:r>
      <w:proofErr w:type="spellStart"/>
      <w:r w:rsidRPr="0050188D">
        <w:rPr>
          <w:sz w:val="24"/>
          <w:szCs w:val="24"/>
        </w:rPr>
        <w:t>teratogen</w:t>
      </w:r>
      <w:proofErr w:type="spellEnd"/>
      <w:r w:rsidRPr="0050188D">
        <w:rPr>
          <w:sz w:val="24"/>
          <w:szCs w:val="24"/>
        </w:rPr>
        <w:t xml:space="preserve"> og embryotoksisk virkning ved eksponeringer (AUC), som var 1.614 til 18.245 gange og 800 til 4.622 gange højere end dem, der er observeret hos mennesker </w:t>
      </w:r>
      <w:r>
        <w:rPr>
          <w:sz w:val="24"/>
          <w:szCs w:val="24"/>
        </w:rPr>
        <w:t>ved</w:t>
      </w:r>
      <w:r w:rsidRPr="0050188D">
        <w:rPr>
          <w:sz w:val="24"/>
          <w:szCs w:val="24"/>
        </w:rPr>
        <w:t xml:space="preserve"> den maksimale anbefalede humane dosis (MRHD) på 2 g. </w:t>
      </w:r>
    </w:p>
    <w:p w:rsidR="009D3070" w:rsidRPr="0050188D" w:rsidRDefault="009D3070" w:rsidP="009D3070">
      <w:pPr>
        <w:tabs>
          <w:tab w:val="left" w:pos="851"/>
        </w:tabs>
        <w:ind w:left="851"/>
        <w:rPr>
          <w:sz w:val="24"/>
          <w:szCs w:val="24"/>
        </w:rPr>
      </w:pPr>
    </w:p>
    <w:p w:rsidR="009D3070" w:rsidRPr="0050188D" w:rsidRDefault="009D3070" w:rsidP="009D3070">
      <w:pPr>
        <w:tabs>
          <w:tab w:val="left" w:pos="851"/>
        </w:tabs>
        <w:ind w:left="851"/>
        <w:rPr>
          <w:sz w:val="24"/>
          <w:szCs w:val="24"/>
        </w:rPr>
      </w:pPr>
      <w:proofErr w:type="spellStart"/>
      <w:r w:rsidRPr="0050188D">
        <w:rPr>
          <w:sz w:val="24"/>
          <w:szCs w:val="24"/>
        </w:rPr>
        <w:t>Trifaroten</w:t>
      </w:r>
      <w:proofErr w:type="spellEnd"/>
      <w:r w:rsidRPr="0050188D">
        <w:rPr>
          <w:sz w:val="24"/>
          <w:szCs w:val="24"/>
        </w:rPr>
        <w:t xml:space="preserve"> var ikke </w:t>
      </w:r>
      <w:proofErr w:type="spellStart"/>
      <w:r w:rsidRPr="0050188D">
        <w:rPr>
          <w:sz w:val="24"/>
          <w:szCs w:val="24"/>
        </w:rPr>
        <w:t>teratogent</w:t>
      </w:r>
      <w:proofErr w:type="spellEnd"/>
      <w:r w:rsidRPr="0050188D">
        <w:rPr>
          <w:sz w:val="24"/>
          <w:szCs w:val="24"/>
        </w:rPr>
        <w:t xml:space="preserve"> hos rotter og kaniner ved systemiske eksponeringer, der svarede til henholdsvis 534 og 98 gange dem, som er observeret hos mennesker.</w:t>
      </w:r>
    </w:p>
    <w:p w:rsidR="009D3070" w:rsidRPr="0050188D" w:rsidRDefault="009D3070" w:rsidP="009D3070">
      <w:pPr>
        <w:tabs>
          <w:tab w:val="left" w:pos="851"/>
        </w:tabs>
        <w:ind w:left="851"/>
        <w:rPr>
          <w:sz w:val="24"/>
          <w:szCs w:val="24"/>
        </w:rPr>
      </w:pPr>
      <w:proofErr w:type="spellStart"/>
      <w:r w:rsidRPr="0050188D">
        <w:rPr>
          <w:sz w:val="24"/>
          <w:szCs w:val="24"/>
        </w:rPr>
        <w:t>Trifaroten</w:t>
      </w:r>
      <w:proofErr w:type="spellEnd"/>
      <w:r w:rsidRPr="0050188D">
        <w:rPr>
          <w:sz w:val="24"/>
          <w:szCs w:val="24"/>
        </w:rPr>
        <w:t xml:space="preserve"> havde ingen virkning på den præ- og </w:t>
      </w:r>
      <w:proofErr w:type="spellStart"/>
      <w:r w:rsidRPr="0050188D">
        <w:rPr>
          <w:sz w:val="24"/>
          <w:szCs w:val="24"/>
        </w:rPr>
        <w:t>postnatale</w:t>
      </w:r>
      <w:proofErr w:type="spellEnd"/>
      <w:r w:rsidRPr="0050188D">
        <w:rPr>
          <w:sz w:val="24"/>
          <w:szCs w:val="24"/>
        </w:rPr>
        <w:t xml:space="preserve"> udvikling hos rotter op til de højeste orale doser, der blev undersøgt, hvilket svarede til systemiske eksponeringer (AUC), som var 595 til 1.877 gange højere end dem, der er observeret hos mennesker. </w:t>
      </w:r>
    </w:p>
    <w:p w:rsidR="009D3070" w:rsidRPr="0050188D" w:rsidRDefault="009D3070" w:rsidP="009D3070">
      <w:pPr>
        <w:tabs>
          <w:tab w:val="left" w:pos="851"/>
        </w:tabs>
        <w:ind w:left="851"/>
        <w:rPr>
          <w:sz w:val="24"/>
          <w:szCs w:val="24"/>
        </w:rPr>
      </w:pPr>
      <w:proofErr w:type="spellStart"/>
      <w:r w:rsidRPr="0050188D">
        <w:rPr>
          <w:sz w:val="24"/>
          <w:szCs w:val="24"/>
        </w:rPr>
        <w:t>Trifaroten</w:t>
      </w:r>
      <w:proofErr w:type="spellEnd"/>
      <w:r w:rsidRPr="0050188D">
        <w:rPr>
          <w:sz w:val="24"/>
          <w:szCs w:val="24"/>
        </w:rPr>
        <w:t xml:space="preserve"> viste ingen uønskede virkninger på rotters fertilitet, da det blev administreret oralt i doser, som var cirka 1.754 (hanner) og 1.877 (hunner) gange den humane dosis på 2 g. Efter oral administration til hunde var </w:t>
      </w:r>
      <w:r w:rsidRPr="0050188D">
        <w:rPr>
          <w:i/>
          <w:sz w:val="24"/>
          <w:szCs w:val="24"/>
        </w:rPr>
        <w:t xml:space="preserve">degenerationen af </w:t>
      </w:r>
      <w:proofErr w:type="spellStart"/>
      <w:r w:rsidRPr="0050188D">
        <w:rPr>
          <w:i/>
          <w:sz w:val="24"/>
          <w:szCs w:val="24"/>
        </w:rPr>
        <w:t>germinalceller</w:t>
      </w:r>
      <w:proofErr w:type="spellEnd"/>
      <w:r w:rsidRPr="0050188D">
        <w:rPr>
          <w:sz w:val="24"/>
          <w:szCs w:val="24"/>
        </w:rPr>
        <w:t xml:space="preserve"> med </w:t>
      </w:r>
      <w:proofErr w:type="spellStart"/>
      <w:r w:rsidRPr="0050188D">
        <w:rPr>
          <w:sz w:val="24"/>
          <w:szCs w:val="24"/>
        </w:rPr>
        <w:t>pyknotiske</w:t>
      </w:r>
      <w:proofErr w:type="spellEnd"/>
      <w:r w:rsidRPr="0050188D">
        <w:rPr>
          <w:sz w:val="24"/>
          <w:szCs w:val="24"/>
        </w:rPr>
        <w:t>/</w:t>
      </w:r>
      <w:proofErr w:type="spellStart"/>
      <w:r w:rsidRPr="0050188D">
        <w:rPr>
          <w:sz w:val="24"/>
          <w:szCs w:val="24"/>
        </w:rPr>
        <w:t>apoptotiske</w:t>
      </w:r>
      <w:proofErr w:type="spellEnd"/>
      <w:r w:rsidRPr="0050188D">
        <w:rPr>
          <w:sz w:val="24"/>
          <w:szCs w:val="24"/>
        </w:rPr>
        <w:t xml:space="preserve"> </w:t>
      </w:r>
      <w:proofErr w:type="spellStart"/>
      <w:r w:rsidRPr="0050188D">
        <w:rPr>
          <w:sz w:val="24"/>
          <w:szCs w:val="24"/>
        </w:rPr>
        <w:t>germinalceller</w:t>
      </w:r>
      <w:proofErr w:type="spellEnd"/>
      <w:r w:rsidRPr="0050188D">
        <w:rPr>
          <w:sz w:val="24"/>
          <w:szCs w:val="24"/>
        </w:rPr>
        <w:t xml:space="preserve"> imidlertid evident fra den laveste undersøgte dosis på 0,2 mg/kg/dag, svarende til en systemisk eksponering, som var 1.170 gange højere end den, der er observeret hos mennesker. Alle dyr med dette fund udviste desuden </w:t>
      </w:r>
      <w:proofErr w:type="spellStart"/>
      <w:r w:rsidRPr="0050188D">
        <w:rPr>
          <w:i/>
          <w:sz w:val="24"/>
          <w:szCs w:val="24"/>
        </w:rPr>
        <w:t>hypospermatogenese</w:t>
      </w:r>
      <w:proofErr w:type="spellEnd"/>
      <w:r w:rsidRPr="0050188D">
        <w:rPr>
          <w:i/>
          <w:sz w:val="24"/>
          <w:szCs w:val="24"/>
        </w:rPr>
        <w:t xml:space="preserve"> og </w:t>
      </w:r>
      <w:proofErr w:type="spellStart"/>
      <w:r w:rsidRPr="0050188D">
        <w:rPr>
          <w:i/>
          <w:sz w:val="24"/>
          <w:szCs w:val="24"/>
        </w:rPr>
        <w:t>debris</w:t>
      </w:r>
      <w:proofErr w:type="spellEnd"/>
      <w:r w:rsidRPr="0050188D">
        <w:rPr>
          <w:i/>
          <w:sz w:val="24"/>
          <w:szCs w:val="24"/>
        </w:rPr>
        <w:t xml:space="preserve"> i </w:t>
      </w:r>
      <w:proofErr w:type="spellStart"/>
      <w:r w:rsidRPr="0050188D">
        <w:rPr>
          <w:i/>
          <w:sz w:val="24"/>
          <w:szCs w:val="24"/>
        </w:rPr>
        <w:t>epididymis</w:t>
      </w:r>
      <w:proofErr w:type="spellEnd"/>
      <w:r w:rsidRPr="0050188D">
        <w:rPr>
          <w:sz w:val="24"/>
          <w:szCs w:val="24"/>
        </w:rPr>
        <w:t>. Fundene var ikke helt svundet efter 8 uger, hvilket tyder på en langvarig og muligvis kronisk effekt. Da disse virkninger også blev konstateret ved den laveste undersøgte dosis, er fundenes relevans for lavere doser ukendt.</w:t>
      </w:r>
    </w:p>
    <w:p w:rsidR="009D3070" w:rsidRPr="0050188D" w:rsidRDefault="009D3070" w:rsidP="009D3070">
      <w:pPr>
        <w:tabs>
          <w:tab w:val="left" w:pos="851"/>
        </w:tabs>
        <w:ind w:left="851"/>
        <w:rPr>
          <w:sz w:val="24"/>
          <w:szCs w:val="24"/>
        </w:rPr>
      </w:pPr>
      <w:r w:rsidRPr="0050188D">
        <w:rPr>
          <w:sz w:val="24"/>
          <w:szCs w:val="24"/>
        </w:rPr>
        <w:t xml:space="preserve">Et oralt studie på rotter har vist, at </w:t>
      </w:r>
      <w:proofErr w:type="spellStart"/>
      <w:r w:rsidRPr="0050188D">
        <w:rPr>
          <w:sz w:val="24"/>
          <w:szCs w:val="24"/>
        </w:rPr>
        <w:t>trifaroten</w:t>
      </w:r>
      <w:proofErr w:type="spellEnd"/>
      <w:r w:rsidRPr="0050188D">
        <w:rPr>
          <w:sz w:val="24"/>
          <w:szCs w:val="24"/>
        </w:rPr>
        <w:t xml:space="preserve"> og/eller relaterede metabolitter udskilles i modermælk.</w:t>
      </w:r>
    </w:p>
    <w:p w:rsidR="009D3070" w:rsidRPr="00C84483" w:rsidRDefault="009D3070" w:rsidP="009D3070">
      <w:pPr>
        <w:tabs>
          <w:tab w:val="left" w:pos="851"/>
        </w:tabs>
        <w:rPr>
          <w:sz w:val="24"/>
          <w:szCs w:val="24"/>
        </w:rPr>
      </w:pP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D3070" w:rsidRPr="00BA09F1"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6.1</w:t>
      </w:r>
      <w:r w:rsidRPr="00C84483">
        <w:rPr>
          <w:b/>
          <w:sz w:val="24"/>
          <w:szCs w:val="24"/>
        </w:rPr>
        <w:tab/>
        <w:t>Hjælpestoffer</w:t>
      </w:r>
    </w:p>
    <w:p w:rsidR="009D3070" w:rsidRPr="006E5237" w:rsidRDefault="009D3070" w:rsidP="009D3070">
      <w:pPr>
        <w:ind w:left="851"/>
        <w:rPr>
          <w:noProof/>
          <w:sz w:val="24"/>
          <w:szCs w:val="24"/>
        </w:rPr>
      </w:pPr>
      <w:proofErr w:type="spellStart"/>
      <w:r w:rsidRPr="006E5237">
        <w:rPr>
          <w:sz w:val="24"/>
          <w:szCs w:val="24"/>
        </w:rPr>
        <w:t>Allantoin</w:t>
      </w:r>
      <w:proofErr w:type="spellEnd"/>
    </w:p>
    <w:p w:rsidR="009D3070" w:rsidRPr="006E5237" w:rsidRDefault="009D3070" w:rsidP="009D3070">
      <w:pPr>
        <w:ind w:left="851"/>
        <w:rPr>
          <w:sz w:val="24"/>
          <w:szCs w:val="24"/>
        </w:rPr>
      </w:pPr>
      <w:proofErr w:type="spellStart"/>
      <w:r w:rsidRPr="006E5237">
        <w:rPr>
          <w:sz w:val="24"/>
          <w:szCs w:val="24"/>
        </w:rPr>
        <w:t>Simulgel</w:t>
      </w:r>
      <w:proofErr w:type="spellEnd"/>
      <w:r w:rsidRPr="006E5237">
        <w:rPr>
          <w:sz w:val="24"/>
          <w:szCs w:val="24"/>
        </w:rPr>
        <w:t xml:space="preserve"> 600 PHA (</w:t>
      </w:r>
      <w:proofErr w:type="spellStart"/>
      <w:r w:rsidRPr="006E5237">
        <w:rPr>
          <w:sz w:val="24"/>
          <w:szCs w:val="24"/>
        </w:rPr>
        <w:t>copolymer</w:t>
      </w:r>
      <w:proofErr w:type="spellEnd"/>
      <w:r w:rsidRPr="006E5237">
        <w:rPr>
          <w:sz w:val="24"/>
          <w:szCs w:val="24"/>
        </w:rPr>
        <w:t xml:space="preserve"> af </w:t>
      </w:r>
      <w:proofErr w:type="spellStart"/>
      <w:r w:rsidRPr="006E5237">
        <w:rPr>
          <w:sz w:val="24"/>
          <w:szCs w:val="24"/>
        </w:rPr>
        <w:t>acrylamid</w:t>
      </w:r>
      <w:proofErr w:type="spellEnd"/>
      <w:r w:rsidRPr="006E5237">
        <w:rPr>
          <w:sz w:val="24"/>
          <w:szCs w:val="24"/>
        </w:rPr>
        <w:t xml:space="preserve"> og </w:t>
      </w:r>
      <w:proofErr w:type="spellStart"/>
      <w:r w:rsidRPr="006E5237">
        <w:rPr>
          <w:sz w:val="24"/>
          <w:szCs w:val="24"/>
        </w:rPr>
        <w:t>natriumacrylodimethyltaurat</w:t>
      </w:r>
      <w:proofErr w:type="spellEnd"/>
      <w:r w:rsidRPr="006E5237">
        <w:rPr>
          <w:sz w:val="24"/>
          <w:szCs w:val="24"/>
        </w:rPr>
        <w:t xml:space="preserve">, </w:t>
      </w:r>
      <w:proofErr w:type="spellStart"/>
      <w:r w:rsidRPr="006E5237">
        <w:rPr>
          <w:sz w:val="24"/>
          <w:szCs w:val="24"/>
        </w:rPr>
        <w:t>isohexadecan</w:t>
      </w:r>
      <w:proofErr w:type="spellEnd"/>
      <w:r w:rsidRPr="006E5237">
        <w:rPr>
          <w:sz w:val="24"/>
          <w:szCs w:val="24"/>
        </w:rPr>
        <w:t xml:space="preserve">, </w:t>
      </w:r>
      <w:proofErr w:type="spellStart"/>
      <w:r w:rsidRPr="006E5237">
        <w:rPr>
          <w:sz w:val="24"/>
          <w:szCs w:val="24"/>
        </w:rPr>
        <w:t>polysorbat</w:t>
      </w:r>
      <w:proofErr w:type="spellEnd"/>
      <w:r w:rsidRPr="006E5237">
        <w:rPr>
          <w:sz w:val="24"/>
          <w:szCs w:val="24"/>
        </w:rPr>
        <w:t xml:space="preserve"> 80, </w:t>
      </w:r>
      <w:proofErr w:type="spellStart"/>
      <w:r w:rsidRPr="006E5237">
        <w:rPr>
          <w:sz w:val="24"/>
          <w:szCs w:val="24"/>
        </w:rPr>
        <w:t>sorbitanoleat</w:t>
      </w:r>
      <w:proofErr w:type="spellEnd"/>
      <w:r w:rsidRPr="006E5237">
        <w:rPr>
          <w:sz w:val="24"/>
          <w:szCs w:val="24"/>
        </w:rPr>
        <w:t>)</w:t>
      </w:r>
    </w:p>
    <w:p w:rsidR="009D3070" w:rsidRPr="006E5237" w:rsidRDefault="009D3070" w:rsidP="009D3070">
      <w:pPr>
        <w:ind w:left="851"/>
        <w:rPr>
          <w:noProof/>
          <w:sz w:val="24"/>
          <w:szCs w:val="24"/>
          <w:lang w:val="en-US"/>
        </w:rPr>
      </w:pPr>
      <w:proofErr w:type="spellStart"/>
      <w:r w:rsidRPr="006E5237">
        <w:rPr>
          <w:sz w:val="24"/>
          <w:szCs w:val="24"/>
          <w:lang w:val="en-US"/>
        </w:rPr>
        <w:t>Cyclomethicon</w:t>
      </w:r>
      <w:proofErr w:type="spellEnd"/>
      <w:r w:rsidRPr="006E5237">
        <w:rPr>
          <w:strike/>
          <w:sz w:val="24"/>
          <w:szCs w:val="24"/>
          <w:lang w:val="en-US"/>
        </w:rPr>
        <w:t xml:space="preserve"> </w:t>
      </w:r>
    </w:p>
    <w:p w:rsidR="009D3070" w:rsidRPr="006E5237" w:rsidRDefault="009D3070" w:rsidP="009D3070">
      <w:pPr>
        <w:ind w:left="851"/>
        <w:rPr>
          <w:strike/>
          <w:noProof/>
          <w:sz w:val="24"/>
          <w:szCs w:val="24"/>
          <w:lang w:val="en-US"/>
        </w:rPr>
      </w:pPr>
      <w:r w:rsidRPr="006E5237">
        <w:rPr>
          <w:sz w:val="24"/>
          <w:szCs w:val="24"/>
          <w:lang w:val="en-US"/>
        </w:rPr>
        <w:lastRenderedPageBreak/>
        <w:t>Ethanol</w:t>
      </w:r>
    </w:p>
    <w:p w:rsidR="009D3070" w:rsidRPr="006E5237" w:rsidRDefault="009D3070" w:rsidP="009D3070">
      <w:pPr>
        <w:ind w:left="851"/>
        <w:rPr>
          <w:noProof/>
          <w:sz w:val="24"/>
          <w:szCs w:val="24"/>
          <w:lang w:val="en-US"/>
        </w:rPr>
      </w:pPr>
      <w:r w:rsidRPr="006E5237">
        <w:rPr>
          <w:sz w:val="24"/>
          <w:szCs w:val="24"/>
          <w:lang w:val="en-US"/>
        </w:rPr>
        <w:t>Phenoxyethanol</w:t>
      </w:r>
    </w:p>
    <w:p w:rsidR="009D3070" w:rsidRPr="006E5237" w:rsidRDefault="009D3070" w:rsidP="009D3070">
      <w:pPr>
        <w:ind w:left="851"/>
        <w:rPr>
          <w:noProof/>
          <w:sz w:val="24"/>
          <w:szCs w:val="24"/>
          <w:lang w:val="en-US"/>
        </w:rPr>
      </w:pPr>
      <w:proofErr w:type="spellStart"/>
      <w:r w:rsidRPr="006E5237">
        <w:rPr>
          <w:sz w:val="24"/>
          <w:szCs w:val="24"/>
          <w:lang w:val="en-US"/>
        </w:rPr>
        <w:t>Propylenglycol</w:t>
      </w:r>
      <w:proofErr w:type="spellEnd"/>
      <w:r w:rsidRPr="006E5237">
        <w:rPr>
          <w:sz w:val="24"/>
          <w:szCs w:val="24"/>
          <w:lang w:val="en-US"/>
        </w:rPr>
        <w:t xml:space="preserve"> (E1520)</w:t>
      </w:r>
    </w:p>
    <w:p w:rsidR="009D3070" w:rsidRPr="006E5237" w:rsidRDefault="009D3070" w:rsidP="009D3070">
      <w:pPr>
        <w:ind w:left="851"/>
        <w:rPr>
          <w:noProof/>
          <w:sz w:val="24"/>
          <w:szCs w:val="24"/>
        </w:rPr>
      </w:pPr>
      <w:r>
        <w:rPr>
          <w:sz w:val="24"/>
          <w:szCs w:val="24"/>
        </w:rPr>
        <w:t>T</w:t>
      </w:r>
      <w:r w:rsidRPr="006E5237">
        <w:rPr>
          <w:sz w:val="24"/>
          <w:szCs w:val="24"/>
        </w:rPr>
        <w:t>riglycerider</w:t>
      </w:r>
      <w:r>
        <w:rPr>
          <w:sz w:val="24"/>
          <w:szCs w:val="24"/>
        </w:rPr>
        <w:t>, middelkædelængde</w:t>
      </w:r>
    </w:p>
    <w:p w:rsidR="009D3070" w:rsidRPr="00C84483" w:rsidRDefault="009D3070" w:rsidP="009D3070">
      <w:pPr>
        <w:ind w:left="851"/>
        <w:rPr>
          <w:noProof/>
          <w:sz w:val="24"/>
          <w:szCs w:val="24"/>
        </w:rPr>
      </w:pPr>
      <w:r w:rsidRPr="006E5237">
        <w:rPr>
          <w:sz w:val="24"/>
          <w:szCs w:val="24"/>
        </w:rPr>
        <w:t>Renset vand</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6.2</w:t>
      </w:r>
      <w:r w:rsidRPr="00C84483">
        <w:rPr>
          <w:b/>
          <w:sz w:val="24"/>
          <w:szCs w:val="24"/>
        </w:rPr>
        <w:tab/>
        <w:t>Uforligeligheder</w:t>
      </w:r>
    </w:p>
    <w:p w:rsidR="009D3070" w:rsidRPr="00C84483" w:rsidRDefault="009D3070" w:rsidP="009D3070">
      <w:pPr>
        <w:tabs>
          <w:tab w:val="left" w:pos="851"/>
        </w:tabs>
        <w:ind w:left="851"/>
        <w:rPr>
          <w:sz w:val="24"/>
          <w:szCs w:val="24"/>
        </w:rPr>
      </w:pPr>
      <w:r>
        <w:rPr>
          <w:sz w:val="24"/>
          <w:szCs w:val="24"/>
        </w:rPr>
        <w:t>Ikke relevant.</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6.3</w:t>
      </w:r>
      <w:r w:rsidRPr="00C84483">
        <w:rPr>
          <w:b/>
          <w:sz w:val="24"/>
          <w:szCs w:val="24"/>
        </w:rPr>
        <w:tab/>
        <w:t>Opbevaringstid</w:t>
      </w:r>
    </w:p>
    <w:p w:rsidR="009D3070" w:rsidRDefault="009D3070" w:rsidP="009D3070">
      <w:pPr>
        <w:tabs>
          <w:tab w:val="left" w:pos="851"/>
        </w:tabs>
        <w:ind w:left="851"/>
        <w:rPr>
          <w:sz w:val="24"/>
          <w:szCs w:val="24"/>
        </w:rPr>
      </w:pPr>
      <w:r>
        <w:rPr>
          <w:sz w:val="24"/>
          <w:szCs w:val="24"/>
        </w:rPr>
        <w:t>2 år.</w:t>
      </w:r>
    </w:p>
    <w:p w:rsidR="009D3070" w:rsidRDefault="009D3070" w:rsidP="009D3070">
      <w:pPr>
        <w:tabs>
          <w:tab w:val="left" w:pos="851"/>
        </w:tabs>
        <w:ind w:left="851"/>
        <w:rPr>
          <w:sz w:val="24"/>
          <w:szCs w:val="24"/>
        </w:rPr>
      </w:pPr>
    </w:p>
    <w:p w:rsidR="009D3070" w:rsidRPr="00C84483" w:rsidRDefault="009D3070" w:rsidP="009D3070">
      <w:pPr>
        <w:tabs>
          <w:tab w:val="left" w:pos="851"/>
        </w:tabs>
        <w:ind w:left="851"/>
        <w:rPr>
          <w:sz w:val="24"/>
          <w:szCs w:val="24"/>
        </w:rPr>
      </w:pPr>
      <w:r>
        <w:rPr>
          <w:sz w:val="24"/>
          <w:szCs w:val="24"/>
        </w:rPr>
        <w:t>Efter anbrud: 6 måneder.</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D3070" w:rsidRPr="000724EC" w:rsidRDefault="009D3070" w:rsidP="009D3070">
      <w:pPr>
        <w:tabs>
          <w:tab w:val="left" w:pos="851"/>
        </w:tabs>
        <w:ind w:left="851"/>
        <w:rPr>
          <w:sz w:val="24"/>
          <w:szCs w:val="24"/>
        </w:rPr>
      </w:pPr>
      <w:r w:rsidRPr="000724EC">
        <w:rPr>
          <w:sz w:val="24"/>
          <w:szCs w:val="24"/>
        </w:rPr>
        <w:t>Dette lægemiddel kræver ingen særlige forholdsregler vedrørende opbevaringen.</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D3070" w:rsidRPr="000724EC" w:rsidRDefault="009D3070" w:rsidP="009D3070">
      <w:pPr>
        <w:tabs>
          <w:tab w:val="left" w:pos="851"/>
        </w:tabs>
        <w:ind w:left="851"/>
        <w:rPr>
          <w:b/>
          <w:bCs/>
          <w:iCs/>
          <w:sz w:val="24"/>
          <w:szCs w:val="24"/>
        </w:rPr>
      </w:pPr>
    </w:p>
    <w:p w:rsidR="009D3070" w:rsidRPr="00A92851" w:rsidRDefault="009D3070" w:rsidP="009D3070">
      <w:pPr>
        <w:tabs>
          <w:tab w:val="left" w:pos="851"/>
        </w:tabs>
        <w:ind w:left="851"/>
        <w:rPr>
          <w:bCs/>
          <w:iCs/>
          <w:sz w:val="24"/>
          <w:szCs w:val="24"/>
          <w:u w:val="single"/>
        </w:rPr>
      </w:pPr>
      <w:r w:rsidRPr="00A92851">
        <w:rPr>
          <w:bCs/>
          <w:iCs/>
          <w:sz w:val="24"/>
          <w:szCs w:val="24"/>
          <w:u w:val="single"/>
        </w:rPr>
        <w:t>Tube</w:t>
      </w:r>
    </w:p>
    <w:p w:rsidR="009D3070" w:rsidRPr="000724EC" w:rsidRDefault="009D3070" w:rsidP="009D3070">
      <w:pPr>
        <w:tabs>
          <w:tab w:val="left" w:pos="851"/>
        </w:tabs>
        <w:ind w:left="851"/>
        <w:rPr>
          <w:sz w:val="24"/>
          <w:szCs w:val="24"/>
        </w:rPr>
      </w:pPr>
      <w:r w:rsidRPr="000724EC">
        <w:rPr>
          <w:sz w:val="24"/>
          <w:szCs w:val="24"/>
        </w:rPr>
        <w:t xml:space="preserve">Hvid low </w:t>
      </w:r>
      <w:proofErr w:type="spellStart"/>
      <w:r w:rsidRPr="000724EC">
        <w:rPr>
          <w:sz w:val="24"/>
          <w:szCs w:val="24"/>
        </w:rPr>
        <w:t>density</w:t>
      </w:r>
      <w:proofErr w:type="spellEnd"/>
      <w:r w:rsidRPr="000724EC">
        <w:rPr>
          <w:sz w:val="24"/>
          <w:szCs w:val="24"/>
        </w:rPr>
        <w:t xml:space="preserve"> </w:t>
      </w:r>
      <w:proofErr w:type="spellStart"/>
      <w:r w:rsidRPr="000724EC">
        <w:rPr>
          <w:sz w:val="24"/>
          <w:szCs w:val="24"/>
        </w:rPr>
        <w:t>polyethylen</w:t>
      </w:r>
      <w:proofErr w:type="spellEnd"/>
      <w:r w:rsidRPr="000724EC">
        <w:rPr>
          <w:sz w:val="24"/>
          <w:szCs w:val="24"/>
        </w:rPr>
        <w:t xml:space="preserve"> (LDPE)/aluminium</w:t>
      </w:r>
      <w:r>
        <w:rPr>
          <w:sz w:val="24"/>
          <w:szCs w:val="24"/>
        </w:rPr>
        <w:t xml:space="preserve"> (Al)</w:t>
      </w:r>
      <w:r w:rsidRPr="000724EC">
        <w:rPr>
          <w:sz w:val="24"/>
          <w:szCs w:val="24"/>
        </w:rPr>
        <w:t xml:space="preserve">/high </w:t>
      </w:r>
      <w:proofErr w:type="spellStart"/>
      <w:r w:rsidRPr="000724EC">
        <w:rPr>
          <w:sz w:val="24"/>
          <w:szCs w:val="24"/>
        </w:rPr>
        <w:t>density</w:t>
      </w:r>
      <w:proofErr w:type="spellEnd"/>
      <w:r w:rsidRPr="000724EC">
        <w:rPr>
          <w:sz w:val="24"/>
          <w:szCs w:val="24"/>
        </w:rPr>
        <w:t xml:space="preserve"> </w:t>
      </w:r>
      <w:proofErr w:type="spellStart"/>
      <w:r w:rsidRPr="000724EC">
        <w:rPr>
          <w:sz w:val="24"/>
          <w:szCs w:val="24"/>
        </w:rPr>
        <w:t>polyethylen</w:t>
      </w:r>
      <w:proofErr w:type="spellEnd"/>
      <w:r w:rsidRPr="000724EC">
        <w:rPr>
          <w:sz w:val="24"/>
          <w:szCs w:val="24"/>
        </w:rPr>
        <w:t xml:space="preserve"> (HDPE) </w:t>
      </w:r>
      <w:r>
        <w:rPr>
          <w:sz w:val="24"/>
          <w:szCs w:val="24"/>
        </w:rPr>
        <w:t xml:space="preserve">lamineret tube, </w:t>
      </w:r>
      <w:r w:rsidRPr="000724EC">
        <w:rPr>
          <w:sz w:val="24"/>
          <w:szCs w:val="24"/>
        </w:rPr>
        <w:t xml:space="preserve">med en hvid top af high </w:t>
      </w:r>
      <w:proofErr w:type="spellStart"/>
      <w:r w:rsidRPr="000724EC">
        <w:rPr>
          <w:sz w:val="24"/>
          <w:szCs w:val="24"/>
        </w:rPr>
        <w:t>density</w:t>
      </w:r>
      <w:proofErr w:type="spellEnd"/>
      <w:r w:rsidRPr="000724EC">
        <w:rPr>
          <w:sz w:val="24"/>
          <w:szCs w:val="24"/>
        </w:rPr>
        <w:t xml:space="preserve"> </w:t>
      </w:r>
      <w:proofErr w:type="spellStart"/>
      <w:r w:rsidRPr="000724EC">
        <w:rPr>
          <w:sz w:val="24"/>
          <w:szCs w:val="24"/>
        </w:rPr>
        <w:t>polyethylen</w:t>
      </w:r>
      <w:proofErr w:type="spellEnd"/>
      <w:r w:rsidRPr="000724EC">
        <w:rPr>
          <w:sz w:val="24"/>
          <w:szCs w:val="24"/>
        </w:rPr>
        <w:t xml:space="preserve"> (HDPE) og en hvid </w:t>
      </w:r>
      <w:r>
        <w:rPr>
          <w:sz w:val="24"/>
          <w:szCs w:val="24"/>
        </w:rPr>
        <w:t>hætte</w:t>
      </w:r>
      <w:r w:rsidRPr="000724EC">
        <w:rPr>
          <w:sz w:val="24"/>
          <w:szCs w:val="24"/>
        </w:rPr>
        <w:t xml:space="preserve"> af polypropylen (PP).</w:t>
      </w:r>
    </w:p>
    <w:p w:rsidR="009D3070" w:rsidRPr="000724EC" w:rsidRDefault="009D3070" w:rsidP="009D3070">
      <w:pPr>
        <w:tabs>
          <w:tab w:val="left" w:pos="851"/>
        </w:tabs>
        <w:ind w:left="851"/>
        <w:rPr>
          <w:b/>
          <w:bCs/>
          <w:iCs/>
          <w:sz w:val="24"/>
          <w:szCs w:val="24"/>
        </w:rPr>
      </w:pPr>
    </w:p>
    <w:p w:rsidR="00971A99" w:rsidRPr="00FD14DD" w:rsidRDefault="00971A99" w:rsidP="00971A99">
      <w:pPr>
        <w:tabs>
          <w:tab w:val="left" w:pos="851"/>
        </w:tabs>
        <w:ind w:left="851"/>
        <w:rPr>
          <w:bCs/>
          <w:iCs/>
          <w:sz w:val="24"/>
          <w:szCs w:val="24"/>
          <w:u w:val="single"/>
        </w:rPr>
      </w:pPr>
      <w:r w:rsidRPr="00FD14DD">
        <w:rPr>
          <w:sz w:val="24"/>
          <w:szCs w:val="24"/>
          <w:u w:val="single"/>
        </w:rPr>
        <w:t xml:space="preserve">Flerdosisbeholder med </w:t>
      </w:r>
      <w:proofErr w:type="spellStart"/>
      <w:r>
        <w:rPr>
          <w:sz w:val="24"/>
          <w:szCs w:val="24"/>
          <w:u w:val="single"/>
        </w:rPr>
        <w:t>luftfri</w:t>
      </w:r>
      <w:proofErr w:type="spellEnd"/>
      <w:r w:rsidRPr="00FD14DD">
        <w:rPr>
          <w:sz w:val="24"/>
          <w:szCs w:val="24"/>
          <w:u w:val="single"/>
        </w:rPr>
        <w:t xml:space="preserve"> pumpe</w:t>
      </w:r>
    </w:p>
    <w:p w:rsidR="00971A99" w:rsidRPr="000724EC" w:rsidRDefault="00971A99" w:rsidP="00971A99">
      <w:pPr>
        <w:tabs>
          <w:tab w:val="left" w:pos="851"/>
        </w:tabs>
        <w:ind w:left="851"/>
        <w:rPr>
          <w:sz w:val="24"/>
          <w:szCs w:val="24"/>
        </w:rPr>
      </w:pPr>
      <w:r w:rsidRPr="000724EC">
        <w:rPr>
          <w:sz w:val="24"/>
          <w:szCs w:val="24"/>
        </w:rPr>
        <w:t xml:space="preserve">Hvid, </w:t>
      </w:r>
      <w:proofErr w:type="spellStart"/>
      <w:r w:rsidRPr="000724EC">
        <w:rPr>
          <w:sz w:val="24"/>
          <w:szCs w:val="24"/>
        </w:rPr>
        <w:t>luftfri</w:t>
      </w:r>
      <w:proofErr w:type="spellEnd"/>
      <w:r w:rsidRPr="000724EC">
        <w:rPr>
          <w:sz w:val="24"/>
          <w:szCs w:val="24"/>
        </w:rPr>
        <w:t xml:space="preserve"> flaske af polypropylen (PP)/high </w:t>
      </w:r>
      <w:proofErr w:type="spellStart"/>
      <w:r w:rsidRPr="000724EC">
        <w:rPr>
          <w:sz w:val="24"/>
          <w:szCs w:val="24"/>
        </w:rPr>
        <w:t>density</w:t>
      </w:r>
      <w:proofErr w:type="spellEnd"/>
      <w:r w:rsidRPr="000724EC">
        <w:rPr>
          <w:sz w:val="24"/>
          <w:szCs w:val="24"/>
        </w:rPr>
        <w:t xml:space="preserve"> </w:t>
      </w:r>
      <w:proofErr w:type="spellStart"/>
      <w:r w:rsidRPr="000724EC">
        <w:rPr>
          <w:sz w:val="24"/>
          <w:szCs w:val="24"/>
        </w:rPr>
        <w:t>polyethylen</w:t>
      </w:r>
      <w:proofErr w:type="spellEnd"/>
      <w:r w:rsidRPr="000724EC">
        <w:rPr>
          <w:sz w:val="24"/>
          <w:szCs w:val="24"/>
        </w:rPr>
        <w:t xml:space="preserve"> (HDPE) lukket med en hvid pumpe af polypropylen (PP) og en hvid hætte af polypropylen (PP).</w:t>
      </w:r>
    </w:p>
    <w:p w:rsidR="009D3070" w:rsidRPr="000724EC" w:rsidRDefault="009D3070" w:rsidP="009D3070">
      <w:pPr>
        <w:tabs>
          <w:tab w:val="left" w:pos="851"/>
        </w:tabs>
        <w:ind w:left="851"/>
        <w:rPr>
          <w:sz w:val="24"/>
          <w:szCs w:val="24"/>
        </w:rPr>
      </w:pPr>
    </w:p>
    <w:p w:rsidR="009D3070" w:rsidRDefault="009D3070" w:rsidP="009D3070">
      <w:pPr>
        <w:tabs>
          <w:tab w:val="left" w:pos="851"/>
        </w:tabs>
        <w:ind w:left="851"/>
        <w:rPr>
          <w:sz w:val="24"/>
          <w:szCs w:val="24"/>
        </w:rPr>
      </w:pPr>
      <w:r w:rsidRPr="00D10652">
        <w:rPr>
          <w:sz w:val="24"/>
          <w:szCs w:val="24"/>
          <w:u w:val="single"/>
        </w:rPr>
        <w:t>Pakningsstørrelser</w:t>
      </w:r>
    </w:p>
    <w:p w:rsidR="009D3070" w:rsidRDefault="009D3070" w:rsidP="009D3070">
      <w:pPr>
        <w:tabs>
          <w:tab w:val="left" w:pos="851"/>
        </w:tabs>
        <w:ind w:left="851"/>
        <w:rPr>
          <w:sz w:val="24"/>
          <w:szCs w:val="24"/>
        </w:rPr>
      </w:pPr>
      <w:r>
        <w:rPr>
          <w:sz w:val="24"/>
          <w:szCs w:val="24"/>
        </w:rPr>
        <w:t>T</w:t>
      </w:r>
      <w:r w:rsidRPr="000724EC">
        <w:rPr>
          <w:sz w:val="24"/>
          <w:szCs w:val="24"/>
        </w:rPr>
        <w:t>ube</w:t>
      </w:r>
      <w:r>
        <w:rPr>
          <w:sz w:val="24"/>
          <w:szCs w:val="24"/>
        </w:rPr>
        <w:t xml:space="preserve">: </w:t>
      </w:r>
      <w:r w:rsidRPr="000724EC">
        <w:rPr>
          <w:sz w:val="24"/>
          <w:szCs w:val="24"/>
        </w:rPr>
        <w:t>5 g</w:t>
      </w:r>
      <w:r>
        <w:rPr>
          <w:sz w:val="24"/>
          <w:szCs w:val="24"/>
        </w:rPr>
        <w:t>.</w:t>
      </w:r>
    </w:p>
    <w:p w:rsidR="009D3070" w:rsidRDefault="009D3070" w:rsidP="009D3070">
      <w:pPr>
        <w:tabs>
          <w:tab w:val="left" w:pos="851"/>
        </w:tabs>
        <w:ind w:left="851"/>
        <w:rPr>
          <w:sz w:val="24"/>
          <w:szCs w:val="24"/>
        </w:rPr>
      </w:pPr>
      <w:r>
        <w:rPr>
          <w:sz w:val="24"/>
          <w:szCs w:val="24"/>
        </w:rPr>
        <w:t>Fl</w:t>
      </w:r>
      <w:r w:rsidRPr="000724EC">
        <w:rPr>
          <w:sz w:val="24"/>
          <w:szCs w:val="24"/>
        </w:rPr>
        <w:t>aske</w:t>
      </w:r>
      <w:r>
        <w:rPr>
          <w:sz w:val="24"/>
          <w:szCs w:val="24"/>
        </w:rPr>
        <w:t xml:space="preserve">: </w:t>
      </w:r>
      <w:r w:rsidRPr="000724EC">
        <w:rPr>
          <w:sz w:val="24"/>
          <w:szCs w:val="24"/>
        </w:rPr>
        <w:t xml:space="preserve">15, 30 </w:t>
      </w:r>
      <w:r>
        <w:rPr>
          <w:sz w:val="24"/>
          <w:szCs w:val="24"/>
        </w:rPr>
        <w:t>og</w:t>
      </w:r>
      <w:r w:rsidRPr="000724EC">
        <w:rPr>
          <w:sz w:val="24"/>
          <w:szCs w:val="24"/>
        </w:rPr>
        <w:t xml:space="preserve"> 75 g.</w:t>
      </w:r>
    </w:p>
    <w:p w:rsidR="009D3070" w:rsidRPr="000724EC" w:rsidRDefault="009D3070" w:rsidP="009D3070">
      <w:pPr>
        <w:tabs>
          <w:tab w:val="left" w:pos="851"/>
        </w:tabs>
        <w:ind w:left="851"/>
        <w:rPr>
          <w:sz w:val="24"/>
          <w:szCs w:val="24"/>
        </w:rPr>
      </w:pPr>
    </w:p>
    <w:p w:rsidR="009D3070" w:rsidRPr="000724EC" w:rsidRDefault="009D3070" w:rsidP="009D3070">
      <w:pPr>
        <w:tabs>
          <w:tab w:val="left" w:pos="851"/>
        </w:tabs>
        <w:ind w:left="851"/>
        <w:rPr>
          <w:sz w:val="24"/>
          <w:szCs w:val="24"/>
        </w:rPr>
      </w:pPr>
      <w:r w:rsidRPr="000724EC">
        <w:rPr>
          <w:sz w:val="24"/>
          <w:szCs w:val="24"/>
        </w:rPr>
        <w:t>Ikke alle pakningsstørrelser er nødvendigvis markedsført.</w:t>
      </w:r>
    </w:p>
    <w:p w:rsidR="009D3070" w:rsidRPr="000724EC" w:rsidRDefault="009D3070" w:rsidP="009D3070">
      <w:pPr>
        <w:tabs>
          <w:tab w:val="left" w:pos="851"/>
        </w:tabs>
        <w:ind w:left="851"/>
        <w:rPr>
          <w:bCs/>
          <w:sz w:val="24"/>
          <w:szCs w:val="24"/>
        </w:rPr>
      </w:pPr>
    </w:p>
    <w:p w:rsidR="009D3070" w:rsidRPr="00C84483" w:rsidRDefault="009D3070" w:rsidP="009D3070">
      <w:pPr>
        <w:tabs>
          <w:tab w:val="left" w:pos="851"/>
        </w:tabs>
        <w:ind w:left="851" w:hanging="851"/>
        <w:rPr>
          <w:b/>
          <w:sz w:val="24"/>
          <w:szCs w:val="24"/>
        </w:rPr>
      </w:pPr>
      <w:r w:rsidRPr="00C84483">
        <w:rPr>
          <w:b/>
          <w:sz w:val="24"/>
          <w:szCs w:val="24"/>
        </w:rPr>
        <w:t>6.6</w:t>
      </w:r>
      <w:r w:rsidRPr="00C84483">
        <w:rPr>
          <w:b/>
          <w:sz w:val="24"/>
          <w:szCs w:val="24"/>
        </w:rPr>
        <w:tab/>
      </w:r>
      <w:r w:rsidR="004D15F4">
        <w:rPr>
          <w:b/>
          <w:sz w:val="24"/>
          <w:szCs w:val="24"/>
        </w:rPr>
        <w:t>Regler for bortskaffelse og anden håndtering</w:t>
      </w:r>
    </w:p>
    <w:p w:rsidR="009D3070" w:rsidRPr="005D0DF7" w:rsidRDefault="009D3070" w:rsidP="009D3070">
      <w:pPr>
        <w:tabs>
          <w:tab w:val="left" w:pos="851"/>
        </w:tabs>
        <w:ind w:left="851"/>
        <w:jc w:val="both"/>
        <w:rPr>
          <w:sz w:val="24"/>
          <w:szCs w:val="24"/>
        </w:rPr>
      </w:pPr>
      <w:r w:rsidRPr="005D0DF7">
        <w:rPr>
          <w:sz w:val="24"/>
          <w:szCs w:val="24"/>
        </w:rPr>
        <w:t>Ikke anvendt lægemiddel samt affald heraf skal bortskaffes i henhold til lokale retningslinjer.</w:t>
      </w:r>
    </w:p>
    <w:p w:rsidR="009D3070" w:rsidRPr="00C84483" w:rsidRDefault="009D3070" w:rsidP="009D3070">
      <w:pPr>
        <w:tabs>
          <w:tab w:val="left" w:pos="851"/>
        </w:tabs>
        <w:ind w:left="851"/>
        <w:jc w:val="both"/>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D3070" w:rsidRPr="005D0DF7" w:rsidRDefault="009D3070" w:rsidP="009D3070">
      <w:pPr>
        <w:tabs>
          <w:tab w:val="left" w:pos="851"/>
        </w:tabs>
        <w:ind w:left="851"/>
        <w:rPr>
          <w:sz w:val="24"/>
          <w:szCs w:val="24"/>
        </w:rPr>
      </w:pPr>
      <w:proofErr w:type="spellStart"/>
      <w:r w:rsidRPr="005D0DF7">
        <w:rPr>
          <w:sz w:val="24"/>
          <w:szCs w:val="24"/>
        </w:rPr>
        <w:t>Galderma</w:t>
      </w:r>
      <w:proofErr w:type="spellEnd"/>
      <w:r w:rsidRPr="005D0DF7">
        <w:rPr>
          <w:sz w:val="24"/>
          <w:szCs w:val="24"/>
        </w:rPr>
        <w:t xml:space="preserve"> Nordic AB</w:t>
      </w:r>
    </w:p>
    <w:p w:rsidR="009D3070" w:rsidRPr="005D0DF7" w:rsidRDefault="009D3070" w:rsidP="009D3070">
      <w:pPr>
        <w:tabs>
          <w:tab w:val="left" w:pos="851"/>
        </w:tabs>
        <w:ind w:left="851"/>
        <w:rPr>
          <w:sz w:val="24"/>
          <w:szCs w:val="24"/>
        </w:rPr>
      </w:pPr>
      <w:proofErr w:type="spellStart"/>
      <w:r w:rsidRPr="005D0DF7">
        <w:rPr>
          <w:sz w:val="24"/>
          <w:szCs w:val="24"/>
        </w:rPr>
        <w:t>Seminariegatan</w:t>
      </w:r>
      <w:proofErr w:type="spellEnd"/>
      <w:r w:rsidRPr="005D0DF7">
        <w:rPr>
          <w:sz w:val="24"/>
          <w:szCs w:val="24"/>
        </w:rPr>
        <w:t xml:space="preserve"> </w:t>
      </w:r>
      <w:bookmarkStart w:id="7" w:name="_GoBack"/>
      <w:bookmarkEnd w:id="7"/>
      <w:r w:rsidRPr="005D0DF7">
        <w:rPr>
          <w:sz w:val="24"/>
          <w:szCs w:val="24"/>
        </w:rPr>
        <w:t>21</w:t>
      </w:r>
    </w:p>
    <w:p w:rsidR="009D3070" w:rsidRPr="005D0DF7" w:rsidRDefault="009D3070" w:rsidP="009D3070">
      <w:pPr>
        <w:tabs>
          <w:tab w:val="left" w:pos="851"/>
        </w:tabs>
        <w:ind w:left="851"/>
        <w:rPr>
          <w:sz w:val="24"/>
          <w:szCs w:val="24"/>
        </w:rPr>
      </w:pPr>
      <w:r w:rsidRPr="005D0DF7">
        <w:rPr>
          <w:sz w:val="24"/>
          <w:szCs w:val="24"/>
        </w:rPr>
        <w:t>752 28 Uppsala</w:t>
      </w:r>
    </w:p>
    <w:p w:rsidR="009D3070" w:rsidRPr="005D0DF7" w:rsidRDefault="009D3070" w:rsidP="009D3070">
      <w:pPr>
        <w:tabs>
          <w:tab w:val="left" w:pos="851"/>
        </w:tabs>
        <w:ind w:left="851"/>
        <w:rPr>
          <w:sz w:val="24"/>
          <w:szCs w:val="24"/>
        </w:rPr>
      </w:pPr>
      <w:r w:rsidRPr="005D0DF7">
        <w:rPr>
          <w:sz w:val="24"/>
          <w:szCs w:val="24"/>
        </w:rPr>
        <w:t>Sverige</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D3070" w:rsidRPr="00C84483" w:rsidRDefault="009D3070" w:rsidP="009D3070">
      <w:pPr>
        <w:tabs>
          <w:tab w:val="left" w:pos="851"/>
        </w:tabs>
        <w:ind w:left="851"/>
        <w:rPr>
          <w:sz w:val="24"/>
          <w:szCs w:val="24"/>
        </w:rPr>
      </w:pPr>
      <w:r>
        <w:rPr>
          <w:sz w:val="24"/>
          <w:szCs w:val="24"/>
        </w:rPr>
        <w:t>61878</w:t>
      </w:r>
    </w:p>
    <w:p w:rsidR="009D3070" w:rsidRPr="00C84483" w:rsidRDefault="009D3070" w:rsidP="009D3070">
      <w:pPr>
        <w:tabs>
          <w:tab w:val="left" w:pos="851"/>
        </w:tabs>
        <w:ind w:left="851"/>
        <w:jc w:val="both"/>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D3070" w:rsidRPr="00C84483" w:rsidRDefault="009D3070" w:rsidP="009D3070">
      <w:pPr>
        <w:tabs>
          <w:tab w:val="left" w:pos="851"/>
        </w:tabs>
        <w:ind w:left="851"/>
        <w:rPr>
          <w:sz w:val="24"/>
          <w:szCs w:val="24"/>
        </w:rPr>
      </w:pPr>
      <w:r>
        <w:rPr>
          <w:sz w:val="24"/>
          <w:szCs w:val="24"/>
        </w:rPr>
        <w:t>20. januar 2020</w:t>
      </w:r>
    </w:p>
    <w:p w:rsidR="009D3070" w:rsidRPr="00C84483" w:rsidRDefault="009D3070" w:rsidP="009D3070">
      <w:pPr>
        <w:tabs>
          <w:tab w:val="left" w:pos="851"/>
        </w:tabs>
        <w:ind w:left="851"/>
        <w:rPr>
          <w:sz w:val="24"/>
          <w:szCs w:val="24"/>
        </w:rPr>
      </w:pPr>
    </w:p>
    <w:p w:rsidR="009D3070" w:rsidRPr="00C84483" w:rsidRDefault="009D3070" w:rsidP="009D307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D3070" w:rsidRPr="00C84483" w:rsidRDefault="00E40C49" w:rsidP="009D3070">
      <w:pPr>
        <w:tabs>
          <w:tab w:val="left" w:pos="851"/>
        </w:tabs>
        <w:ind w:left="851"/>
        <w:rPr>
          <w:sz w:val="24"/>
          <w:szCs w:val="24"/>
        </w:rPr>
      </w:pPr>
      <w:r>
        <w:rPr>
          <w:sz w:val="24"/>
          <w:szCs w:val="24"/>
        </w:rPr>
        <w:t>12. februar 2025</w:t>
      </w:r>
    </w:p>
    <w:p w:rsidR="009D3070" w:rsidRPr="00AF7079" w:rsidRDefault="009D3070" w:rsidP="009D3070"/>
    <w:p w:rsidR="009D3070" w:rsidRPr="007E0B11" w:rsidRDefault="009D3070" w:rsidP="009D3070"/>
    <w:p w:rsidR="009260DE" w:rsidRPr="009D3070" w:rsidRDefault="009260DE" w:rsidP="009D3070"/>
    <w:sectPr w:rsidR="009260DE" w:rsidRPr="009D3070"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C49" w:rsidRDefault="00E40C49">
      <w:r>
        <w:separator/>
      </w:r>
    </w:p>
  </w:endnote>
  <w:endnote w:type="continuationSeparator" w:id="0">
    <w:p w:rsidR="00E40C49" w:rsidRDefault="00E4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Bold">
    <w:altName w:val="MS Gothic"/>
    <w:panose1 w:val="00000000000000000000"/>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C49" w:rsidRDefault="00E40C49">
    <w:pPr>
      <w:pStyle w:val="Sidefod"/>
      <w:pBdr>
        <w:bottom w:val="single" w:sz="6" w:space="1" w:color="auto"/>
      </w:pBdr>
    </w:pPr>
  </w:p>
  <w:p w:rsidR="00E40C49" w:rsidRDefault="00E40C49" w:rsidP="00C42586">
    <w:pPr>
      <w:pStyle w:val="Sidefod"/>
      <w:tabs>
        <w:tab w:val="clear" w:pos="4819"/>
        <w:tab w:val="left" w:pos="8505"/>
      </w:tabs>
      <w:rPr>
        <w:i/>
        <w:sz w:val="18"/>
        <w:szCs w:val="18"/>
      </w:rPr>
    </w:pPr>
  </w:p>
  <w:p w:rsidR="00E40C49" w:rsidRPr="00B373D7" w:rsidRDefault="00E40C4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Aklief, creme 50 mikrogram-g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C49" w:rsidRDefault="00E40C49">
      <w:r>
        <w:separator/>
      </w:r>
    </w:p>
  </w:footnote>
  <w:footnote w:type="continuationSeparator" w:id="0">
    <w:p w:rsidR="00E40C49" w:rsidRDefault="00E40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6B45E5"/>
    <w:multiLevelType w:val="hybridMultilevel"/>
    <w:tmpl w:val="4D5E88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4814C1"/>
    <w:multiLevelType w:val="hybridMultilevel"/>
    <w:tmpl w:val="83608328"/>
    <w:lvl w:ilvl="0" w:tplc="FFFFFFFF">
      <w:start w:val="9"/>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70"/>
    <w:rsid w:val="00024466"/>
    <w:rsid w:val="000259B9"/>
    <w:rsid w:val="0003628C"/>
    <w:rsid w:val="00041491"/>
    <w:rsid w:val="00050D16"/>
    <w:rsid w:val="00074F2A"/>
    <w:rsid w:val="000A1CA8"/>
    <w:rsid w:val="000A466B"/>
    <w:rsid w:val="000B058C"/>
    <w:rsid w:val="000E4EE6"/>
    <w:rsid w:val="00114EAB"/>
    <w:rsid w:val="001454E2"/>
    <w:rsid w:val="00191FB3"/>
    <w:rsid w:val="00206CE8"/>
    <w:rsid w:val="0021526C"/>
    <w:rsid w:val="00283A2B"/>
    <w:rsid w:val="002B30AD"/>
    <w:rsid w:val="002C2C01"/>
    <w:rsid w:val="0033155F"/>
    <w:rsid w:val="003A29AE"/>
    <w:rsid w:val="003A2DFD"/>
    <w:rsid w:val="003A32D7"/>
    <w:rsid w:val="003B0D10"/>
    <w:rsid w:val="003B4074"/>
    <w:rsid w:val="003C769A"/>
    <w:rsid w:val="003F1838"/>
    <w:rsid w:val="0045746C"/>
    <w:rsid w:val="0049104B"/>
    <w:rsid w:val="004D15F4"/>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E3EBE"/>
    <w:rsid w:val="0081546F"/>
    <w:rsid w:val="0082576E"/>
    <w:rsid w:val="00842CE2"/>
    <w:rsid w:val="00887E0D"/>
    <w:rsid w:val="00907F75"/>
    <w:rsid w:val="009260DE"/>
    <w:rsid w:val="0093258A"/>
    <w:rsid w:val="00971A99"/>
    <w:rsid w:val="009C7BA3"/>
    <w:rsid w:val="009D1F5A"/>
    <w:rsid w:val="009D3070"/>
    <w:rsid w:val="009D6069"/>
    <w:rsid w:val="00A63468"/>
    <w:rsid w:val="00B003BF"/>
    <w:rsid w:val="00B373D7"/>
    <w:rsid w:val="00C36276"/>
    <w:rsid w:val="00C42586"/>
    <w:rsid w:val="00C60CCD"/>
    <w:rsid w:val="00C77270"/>
    <w:rsid w:val="00C84483"/>
    <w:rsid w:val="00C95551"/>
    <w:rsid w:val="00CB20D7"/>
    <w:rsid w:val="00D020B0"/>
    <w:rsid w:val="00D11748"/>
    <w:rsid w:val="00D30151"/>
    <w:rsid w:val="00D366CF"/>
    <w:rsid w:val="00E108AA"/>
    <w:rsid w:val="00E31812"/>
    <w:rsid w:val="00E3749A"/>
    <w:rsid w:val="00E40C49"/>
    <w:rsid w:val="00E7437F"/>
    <w:rsid w:val="00E865B8"/>
    <w:rsid w:val="00EB0061"/>
    <w:rsid w:val="00EC0B9B"/>
    <w:rsid w:val="00ED5E9F"/>
    <w:rsid w:val="00F66D4F"/>
    <w:rsid w:val="00FB6D01"/>
    <w:rsid w:val="00FC26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E6E35"/>
  <w15:chartTrackingRefBased/>
  <w15:docId w15:val="{D9CA9006-5D94-4BFC-B045-152BA91A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D3070"/>
    <w:rPr>
      <w:color w:val="808080"/>
    </w:rPr>
  </w:style>
  <w:style w:type="character" w:styleId="Hyperlink">
    <w:name w:val="Hyperlink"/>
    <w:basedOn w:val="Standardskrifttypeiafsnit"/>
    <w:uiPriority w:val="99"/>
    <w:unhideWhenUsed/>
    <w:rsid w:val="009D3070"/>
    <w:rPr>
      <w:color w:val="0563C1" w:themeColor="hyperlink"/>
      <w:u w:val="single"/>
    </w:rPr>
  </w:style>
  <w:style w:type="character" w:styleId="Ulstomtale">
    <w:name w:val="Unresolved Mention"/>
    <w:basedOn w:val="Standardskrifttypeiafsnit"/>
    <w:uiPriority w:val="99"/>
    <w:semiHidden/>
    <w:unhideWhenUsed/>
    <w:rsid w:val="009D3070"/>
    <w:rPr>
      <w:color w:val="605E5C"/>
      <w:shd w:val="clear" w:color="auto" w:fill="E1DFDD"/>
    </w:rPr>
  </w:style>
  <w:style w:type="paragraph" w:styleId="Billedtekst">
    <w:name w:val="caption"/>
    <w:aliases w:val="GRD Caption"/>
    <w:basedOn w:val="Normal"/>
    <w:next w:val="Normal"/>
    <w:link w:val="BilledtekstTegn"/>
    <w:qFormat/>
    <w:rsid w:val="009D3070"/>
    <w:pPr>
      <w:keepNext/>
      <w:keepLines/>
      <w:suppressAutoHyphens/>
      <w:spacing w:before="480" w:after="240"/>
      <w:ind w:left="1418" w:hanging="1418"/>
    </w:pPr>
    <w:rPr>
      <w:rFonts w:eastAsia="MS Mincho"/>
      <w:b/>
      <w:bCs/>
      <w:color w:val="000000"/>
      <w:sz w:val="24"/>
      <w:szCs w:val="18"/>
      <w:lang w:val="x-none"/>
    </w:rPr>
  </w:style>
  <w:style w:type="paragraph" w:customStyle="1" w:styleId="TableText">
    <w:name w:val="Table Text"/>
    <w:basedOn w:val="Normal"/>
    <w:link w:val="TableTextChar"/>
    <w:rsid w:val="009D3070"/>
    <w:pPr>
      <w:suppressAutoHyphens/>
    </w:pPr>
    <w:rPr>
      <w:rFonts w:ascii="Arial" w:eastAsia="MS Mincho" w:hAnsi="Arial"/>
      <w:color w:val="000000"/>
      <w:sz w:val="18"/>
      <w:szCs w:val="24"/>
      <w:lang w:val="en-US"/>
    </w:rPr>
  </w:style>
  <w:style w:type="character" w:customStyle="1" w:styleId="TableTextChar">
    <w:name w:val="Table Text Char"/>
    <w:link w:val="TableText"/>
    <w:rsid w:val="009D3070"/>
    <w:rPr>
      <w:rFonts w:ascii="Arial" w:eastAsia="MS Mincho" w:hAnsi="Arial"/>
      <w:color w:val="000000"/>
      <w:sz w:val="18"/>
      <w:szCs w:val="24"/>
      <w:lang w:val="en-US" w:eastAsia="en-US"/>
    </w:rPr>
  </w:style>
  <w:style w:type="character" w:customStyle="1" w:styleId="BilledtekstTegn">
    <w:name w:val="Billedtekst Tegn"/>
    <w:aliases w:val="GRD Caption Tegn"/>
    <w:link w:val="Billedtekst"/>
    <w:rsid w:val="009D3070"/>
    <w:rPr>
      <w:rFonts w:eastAsia="MS Mincho"/>
      <w:b/>
      <w:bCs/>
      <w:color w:val="000000"/>
      <w:sz w:val="24"/>
      <w:szCs w:val="18"/>
      <w:lang w:val="x-none" w:eastAsia="en-US"/>
    </w:rPr>
  </w:style>
  <w:style w:type="character" w:customStyle="1" w:styleId="normaltextrun">
    <w:name w:val="normaltextrun"/>
    <w:basedOn w:val="Standardskrifttypeiafsnit"/>
    <w:rsid w:val="004D15F4"/>
  </w:style>
  <w:style w:type="character" w:customStyle="1" w:styleId="eop">
    <w:name w:val="eop"/>
    <w:basedOn w:val="Standardskrifttypeiafsnit"/>
    <w:rsid w:val="004D15F4"/>
  </w:style>
  <w:style w:type="table" w:styleId="Tabel-Gitter">
    <w:name w:val="Table Grid"/>
    <w:aliases w:val="Table centered,Table centered cells,Table (centered cells)"/>
    <w:basedOn w:val="Tabel-Normal"/>
    <w:uiPriority w:val="59"/>
    <w:rsid w:val="004D15F4"/>
    <w:pPr>
      <w:jc w:val="center"/>
    </w:pPr>
    <w:rPr>
      <w:rFonts w:ascii="Arial" w:eastAsiaTheme="minorEastAsia" w:hAnsi="Arial"/>
      <w:color w:val="000000"/>
      <w:sz w:val="18"/>
      <w:szCs w:val="24"/>
      <w:lang w:val="en-US" w:eastAsia="en-U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blStylePr w:type="firstRow">
      <w:pPr>
        <w:wordWrap/>
        <w:spacing w:beforeLines="0" w:before="100" w:beforeAutospacing="1" w:afterLines="0" w:after="100" w:afterAutospacing="1"/>
        <w:jc w:val="center"/>
      </w:pPr>
      <w:rPr>
        <w:b/>
        <w:sz w:val="18"/>
        <w:szCs w:val="18"/>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tcPr>
    </w:tblStylePr>
    <w:tblStylePr w:type="lastRow">
      <w:pPr>
        <w:wordWrap/>
        <w:spacing w:beforeLines="0" w:before="100" w:beforeAutospacing="1" w:afterLines="0" w:after="100" w:afterAutospacing="1"/>
        <w:jc w:val="center"/>
      </w:pPr>
      <w:tblPr/>
      <w:tcPr>
        <w:vAlign w:val="center"/>
      </w:tcPr>
    </w:tblStylePr>
    <w:tblStylePr w:type="firstCol">
      <w:pPr>
        <w:wordWrap/>
        <w:spacing w:beforeLines="0" w:before="100" w:beforeAutospacing="1" w:afterLines="0" w:after="100" w:afterAutospacing="1"/>
        <w:jc w:val="left"/>
      </w:pPr>
      <w:rPr>
        <w:rFonts w:ascii="Arial" w:hAnsi="Arial" w:cs="Arial" w:hint="default"/>
        <w:sz w:val="20"/>
        <w:szCs w:val="20"/>
      </w:rPr>
    </w:tblStylePr>
    <w:tblStylePr w:type="lastCol">
      <w:pPr>
        <w:wordWrap/>
        <w:spacing w:beforeLines="0" w:before="100" w:beforeAutospacing="1" w:afterLines="0" w:after="100" w:afterAutospacing="1"/>
        <w:jc w:val="center"/>
      </w:pPr>
    </w:tblStylePr>
    <w:tblStylePr w:type="neCell">
      <w:pPr>
        <w:wordWrap/>
        <w:spacing w:beforeLines="0" w:before="100" w:beforeAutospacing="1" w:afterLines="0" w:after="100" w:afterAutospacing="1"/>
      </w:pPr>
    </w:tblStylePr>
    <w:tblStylePr w:type="nwCell">
      <w:pPr>
        <w:wordWrap/>
        <w:spacing w:beforeLines="0" w:before="100" w:beforeAutospacing="1" w:afterLines="0" w:after="100" w:afterAutospacing="1"/>
        <w:jc w:val="left"/>
      </w:pPr>
    </w:tblStylePr>
    <w:tblStylePr w:type="seCell">
      <w:pPr>
        <w:wordWrap/>
        <w:spacing w:beforeLines="0" w:before="100" w:beforeAutospacing="1" w:afterLines="0" w:after="100" w:afterAutospacing="1"/>
      </w:pPr>
    </w:tblStylePr>
    <w:tblStylePr w:type="swCell">
      <w:pPr>
        <w:wordWrap/>
        <w:spacing w:beforeLines="0" w:before="100" w:beforeAutospacing="1" w:afterLines="0" w:after="100" w:afterAutospacing="1"/>
        <w:jc w:val="left"/>
      </w:p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3296028">
      <w:bodyDiv w:val="1"/>
      <w:marLeft w:val="0"/>
      <w:marRight w:val="0"/>
      <w:marTop w:val="0"/>
      <w:marBottom w:val="0"/>
      <w:divBdr>
        <w:top w:val="none" w:sz="0" w:space="0" w:color="auto"/>
        <w:left w:val="none" w:sz="0" w:space="0" w:color="auto"/>
        <w:bottom w:val="none" w:sz="0" w:space="0" w:color="auto"/>
        <w:right w:val="none" w:sz="0" w:space="0" w:color="auto"/>
      </w:divBdr>
    </w:div>
    <w:div w:id="867790318">
      <w:bodyDiv w:val="1"/>
      <w:marLeft w:val="0"/>
      <w:marRight w:val="0"/>
      <w:marTop w:val="0"/>
      <w:marBottom w:val="0"/>
      <w:divBdr>
        <w:top w:val="none" w:sz="0" w:space="0" w:color="auto"/>
        <w:left w:val="none" w:sz="0" w:space="0" w:color="auto"/>
        <w:bottom w:val="none" w:sz="0" w:space="0" w:color="auto"/>
        <w:right w:val="none" w:sz="0" w:space="0" w:color="auto"/>
      </w:divBdr>
    </w:div>
    <w:div w:id="87497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4089</Words>
  <Characters>24201</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Anastacia Madsen</dc:creator>
  <cp:keywords/>
  <dc:description>2024013696, pkt. 4.2, 4.6, 4.7, 4.8, 5.0, 5.1, 5.3, 6.5, 6.6, 9.</dc:description>
  <cp:lastModifiedBy>Anastacia Madsen</cp:lastModifiedBy>
  <cp:revision>2</cp:revision>
  <cp:lastPrinted>2012-08-22T08:53:00Z</cp:lastPrinted>
  <dcterms:created xsi:type="dcterms:W3CDTF">2025-02-10T10:05:00Z</dcterms:created>
  <dcterms:modified xsi:type="dcterms:W3CDTF">2025-02-10T10:05:00Z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