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6AC9" w14:textId="3A6E4132" w:rsidR="00F947A6" w:rsidRDefault="009851AB">
      <w:pPr>
        <w:pStyle w:val="Titel"/>
        <w:tabs>
          <w:tab w:val="left" w:pos="7938"/>
        </w:tabs>
        <w:jc w:val="left"/>
        <w:rPr>
          <w:b w:val="0"/>
        </w:rPr>
      </w:pPr>
      <w:r>
        <w:rPr>
          <w:noProof/>
        </w:rPr>
        <w:drawing>
          <wp:inline distT="0" distB="0" distL="0" distR="0" wp14:anchorId="5C954015" wp14:editId="65D90E58">
            <wp:extent cx="2465070" cy="6877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5070" cy="687705"/>
                    </a:xfrm>
                    <a:prstGeom prst="rect">
                      <a:avLst/>
                    </a:prstGeom>
                    <a:noFill/>
                    <a:ln>
                      <a:noFill/>
                    </a:ln>
                  </pic:spPr>
                </pic:pic>
              </a:graphicData>
            </a:graphic>
          </wp:inline>
        </w:drawing>
      </w:r>
    </w:p>
    <w:p w14:paraId="36EA68E0" w14:textId="77777777" w:rsidR="003A0922" w:rsidRDefault="003A0922">
      <w:pPr>
        <w:pStyle w:val="Titel"/>
        <w:tabs>
          <w:tab w:val="left" w:pos="6804"/>
        </w:tabs>
        <w:jc w:val="right"/>
      </w:pPr>
    </w:p>
    <w:p w14:paraId="59C63AA1" w14:textId="0F1D2DE8" w:rsidR="003A0922" w:rsidRDefault="00287A3A" w:rsidP="003A0922">
      <w:pPr>
        <w:pStyle w:val="Titel"/>
        <w:tabs>
          <w:tab w:val="left" w:pos="6804"/>
        </w:tabs>
        <w:jc w:val="right"/>
      </w:pPr>
      <w:r>
        <w:t>13. marts 2026</w:t>
      </w:r>
    </w:p>
    <w:p w14:paraId="24C429DA" w14:textId="77777777" w:rsidR="000900A1" w:rsidRDefault="000900A1">
      <w:pPr>
        <w:pStyle w:val="Titel"/>
        <w:jc w:val="left"/>
        <w:rPr>
          <w:b w:val="0"/>
        </w:rPr>
      </w:pPr>
    </w:p>
    <w:p w14:paraId="1486513C" w14:textId="6E417289" w:rsidR="000900A1" w:rsidRDefault="000900A1">
      <w:pPr>
        <w:pStyle w:val="Titel"/>
        <w:jc w:val="left"/>
        <w:rPr>
          <w:b w:val="0"/>
        </w:rPr>
      </w:pPr>
    </w:p>
    <w:p w14:paraId="7FE737BF" w14:textId="77777777" w:rsidR="000900A1" w:rsidRDefault="000900A1">
      <w:pPr>
        <w:jc w:val="center"/>
        <w:rPr>
          <w:b/>
        </w:rPr>
      </w:pPr>
      <w:r>
        <w:rPr>
          <w:b/>
        </w:rPr>
        <w:t>PRODUKTRESUMÉ</w:t>
      </w:r>
    </w:p>
    <w:p w14:paraId="64528921" w14:textId="77777777" w:rsidR="000900A1" w:rsidRDefault="000900A1">
      <w:pPr>
        <w:jc w:val="center"/>
        <w:rPr>
          <w:b/>
        </w:rPr>
      </w:pPr>
    </w:p>
    <w:p w14:paraId="4D63A2CF" w14:textId="77777777" w:rsidR="000900A1" w:rsidRDefault="00742D0B" w:rsidP="00742D0B">
      <w:pPr>
        <w:tabs>
          <w:tab w:val="center" w:pos="4819"/>
        </w:tabs>
        <w:rPr>
          <w:b/>
        </w:rPr>
      </w:pPr>
      <w:r>
        <w:rPr>
          <w:b/>
        </w:rPr>
        <w:tab/>
      </w:r>
      <w:r w:rsidR="000900A1">
        <w:rPr>
          <w:b/>
        </w:rPr>
        <w:t>for</w:t>
      </w:r>
    </w:p>
    <w:p w14:paraId="0269C7A7" w14:textId="77777777" w:rsidR="000900A1" w:rsidRDefault="00B6525E">
      <w:pPr>
        <w:jc w:val="center"/>
        <w:rPr>
          <w:b/>
        </w:rPr>
      </w:pPr>
      <w:r>
        <w:rPr>
          <w:b/>
        </w:rPr>
        <w:t xml:space="preserve"> </w:t>
      </w:r>
    </w:p>
    <w:p w14:paraId="2F1D0D16" w14:textId="77777777" w:rsidR="000900A1" w:rsidRDefault="001F2C08">
      <w:pPr>
        <w:jc w:val="center"/>
        <w:rPr>
          <w:b/>
        </w:rPr>
      </w:pPr>
      <w:r>
        <w:rPr>
          <w:b/>
        </w:rPr>
        <w:t xml:space="preserve">Alendronat </w:t>
      </w:r>
      <w:r w:rsidR="00C22DDF">
        <w:rPr>
          <w:b/>
        </w:rPr>
        <w:t>"</w:t>
      </w:r>
      <w:r>
        <w:rPr>
          <w:b/>
        </w:rPr>
        <w:t>Sandoz</w:t>
      </w:r>
      <w:r w:rsidR="00C22DDF">
        <w:rPr>
          <w:b/>
        </w:rPr>
        <w:t>"</w:t>
      </w:r>
      <w:r>
        <w:rPr>
          <w:b/>
        </w:rPr>
        <w:t>, filmovertrukne tabletter</w:t>
      </w:r>
    </w:p>
    <w:p w14:paraId="088BE069" w14:textId="77777777" w:rsidR="000900A1" w:rsidRDefault="000900A1" w:rsidP="00406811">
      <w:pPr>
        <w:jc w:val="both"/>
      </w:pPr>
    </w:p>
    <w:p w14:paraId="792CD756" w14:textId="77777777" w:rsidR="000900A1" w:rsidRDefault="000900A1" w:rsidP="00406811">
      <w:pPr>
        <w:jc w:val="both"/>
      </w:pPr>
    </w:p>
    <w:p w14:paraId="484DEB1D" w14:textId="77777777" w:rsidR="000900A1" w:rsidRDefault="000900A1" w:rsidP="00406811">
      <w:pPr>
        <w:numPr>
          <w:ilvl w:val="0"/>
          <w:numId w:val="1"/>
        </w:numPr>
        <w:tabs>
          <w:tab w:val="clear" w:pos="855"/>
          <w:tab w:val="left" w:pos="851"/>
        </w:tabs>
        <w:rPr>
          <w:b/>
        </w:rPr>
      </w:pPr>
      <w:r>
        <w:rPr>
          <w:b/>
        </w:rPr>
        <w:t>D.SP.NR.</w:t>
      </w:r>
    </w:p>
    <w:p w14:paraId="70418E86" w14:textId="77777777" w:rsidR="000900A1" w:rsidRDefault="001F2C08" w:rsidP="00C22DDF">
      <w:pPr>
        <w:tabs>
          <w:tab w:val="left" w:pos="851"/>
        </w:tabs>
        <w:ind w:left="851"/>
      </w:pPr>
      <w:r>
        <w:t>25148</w:t>
      </w:r>
    </w:p>
    <w:p w14:paraId="1E05A677" w14:textId="77777777" w:rsidR="000900A1" w:rsidRDefault="000900A1" w:rsidP="00C22DDF">
      <w:pPr>
        <w:tabs>
          <w:tab w:val="left" w:pos="851"/>
        </w:tabs>
        <w:ind w:left="851"/>
      </w:pPr>
    </w:p>
    <w:p w14:paraId="59CFD967" w14:textId="77777777" w:rsidR="000900A1" w:rsidRDefault="000900A1" w:rsidP="00C22DDF">
      <w:pPr>
        <w:numPr>
          <w:ilvl w:val="0"/>
          <w:numId w:val="1"/>
        </w:numPr>
        <w:ind w:left="851"/>
        <w:rPr>
          <w:b/>
        </w:rPr>
      </w:pPr>
      <w:r>
        <w:rPr>
          <w:b/>
        </w:rPr>
        <w:t>LÆGEMIDLETS NAVN</w:t>
      </w:r>
    </w:p>
    <w:p w14:paraId="15D42AC6" w14:textId="77777777" w:rsidR="000900A1" w:rsidRDefault="001F2C08" w:rsidP="00C22DDF">
      <w:pPr>
        <w:tabs>
          <w:tab w:val="left" w:pos="851"/>
        </w:tabs>
        <w:ind w:left="851"/>
      </w:pPr>
      <w:r>
        <w:t xml:space="preserve">Alendronat </w:t>
      </w:r>
      <w:r w:rsidR="00C22DDF">
        <w:t>"</w:t>
      </w:r>
      <w:r>
        <w:t>Sandoz</w:t>
      </w:r>
      <w:r w:rsidR="00C22DDF">
        <w:t>"</w:t>
      </w:r>
    </w:p>
    <w:p w14:paraId="0779A60E" w14:textId="77777777" w:rsidR="000900A1" w:rsidRDefault="000900A1" w:rsidP="00C22DDF">
      <w:pPr>
        <w:tabs>
          <w:tab w:val="left" w:pos="851"/>
        </w:tabs>
        <w:ind w:left="851"/>
      </w:pPr>
      <w:r>
        <w:tab/>
      </w:r>
    </w:p>
    <w:p w14:paraId="60E41C6F" w14:textId="77777777" w:rsidR="000900A1" w:rsidRDefault="000900A1" w:rsidP="00C22DDF">
      <w:pPr>
        <w:numPr>
          <w:ilvl w:val="0"/>
          <w:numId w:val="1"/>
        </w:numPr>
        <w:ind w:left="851"/>
        <w:rPr>
          <w:b/>
        </w:rPr>
      </w:pPr>
      <w:r>
        <w:rPr>
          <w:b/>
        </w:rPr>
        <w:t>KVALITATIV OG KVANTITATIV SAMMENSÆTNING</w:t>
      </w:r>
    </w:p>
    <w:p w14:paraId="2A23B4C1" w14:textId="77777777" w:rsidR="003A0922" w:rsidRDefault="00845652" w:rsidP="002C29EF">
      <w:pPr>
        <w:tabs>
          <w:tab w:val="left" w:pos="851"/>
        </w:tabs>
        <w:ind w:left="851"/>
      </w:pPr>
      <w:r>
        <w:t>Hver filmovertrukket tablet indeholder 70 mg alendronsyre (som natriumtrihydrat).</w:t>
      </w:r>
    </w:p>
    <w:p w14:paraId="36DA0F34" w14:textId="77777777" w:rsidR="00213C5A" w:rsidRPr="00213C5A" w:rsidRDefault="00213C5A" w:rsidP="00C22DDF">
      <w:pPr>
        <w:tabs>
          <w:tab w:val="left" w:pos="851"/>
        </w:tabs>
        <w:ind w:left="851"/>
      </w:pPr>
    </w:p>
    <w:p w14:paraId="6686157B" w14:textId="77777777" w:rsidR="00213C5A" w:rsidRPr="00213C5A" w:rsidRDefault="00213C5A" w:rsidP="00C22DDF">
      <w:pPr>
        <w:tabs>
          <w:tab w:val="left" w:pos="851"/>
        </w:tabs>
        <w:ind w:left="851"/>
      </w:pPr>
      <w:r w:rsidRPr="00213C5A">
        <w:t>Alle hjælpestoffer er anført under pkt. 6.1.</w:t>
      </w:r>
    </w:p>
    <w:p w14:paraId="40F2F67C" w14:textId="77777777" w:rsidR="000900A1" w:rsidRDefault="000900A1" w:rsidP="00C22DDF">
      <w:pPr>
        <w:tabs>
          <w:tab w:val="left" w:pos="851"/>
        </w:tabs>
        <w:ind w:left="851"/>
      </w:pPr>
    </w:p>
    <w:p w14:paraId="43E6D4FA" w14:textId="77777777" w:rsidR="000900A1" w:rsidRDefault="000900A1" w:rsidP="00C22DDF">
      <w:pPr>
        <w:numPr>
          <w:ilvl w:val="0"/>
          <w:numId w:val="1"/>
        </w:numPr>
        <w:ind w:left="851"/>
        <w:rPr>
          <w:b/>
        </w:rPr>
      </w:pPr>
      <w:r>
        <w:rPr>
          <w:b/>
        </w:rPr>
        <w:t>LÆGEMIDDELFORM</w:t>
      </w:r>
    </w:p>
    <w:p w14:paraId="0985642C" w14:textId="77777777" w:rsidR="00B4589A" w:rsidRPr="00215673" w:rsidRDefault="00B4589A" w:rsidP="002C29EF">
      <w:pPr>
        <w:suppressAutoHyphens/>
        <w:ind w:left="851"/>
        <w:rPr>
          <w:szCs w:val="24"/>
        </w:rPr>
      </w:pPr>
      <w:r>
        <w:rPr>
          <w:szCs w:val="24"/>
        </w:rPr>
        <w:t>Filmovertrukne</w:t>
      </w:r>
      <w:r w:rsidRPr="00215673">
        <w:rPr>
          <w:szCs w:val="24"/>
        </w:rPr>
        <w:t xml:space="preserve"> tablet</w:t>
      </w:r>
      <w:r>
        <w:rPr>
          <w:szCs w:val="24"/>
        </w:rPr>
        <w:t>ter.</w:t>
      </w:r>
    </w:p>
    <w:p w14:paraId="5D60AE4B" w14:textId="77777777" w:rsidR="003A0922" w:rsidRDefault="003A0922" w:rsidP="00C22DDF">
      <w:pPr>
        <w:tabs>
          <w:tab w:val="left" w:pos="851"/>
        </w:tabs>
        <w:ind w:left="851"/>
        <w:rPr>
          <w:szCs w:val="24"/>
        </w:rPr>
      </w:pPr>
    </w:p>
    <w:p w14:paraId="610B69EE" w14:textId="77777777" w:rsidR="000900A1" w:rsidRDefault="003A0922" w:rsidP="00C22DDF">
      <w:pPr>
        <w:tabs>
          <w:tab w:val="left" w:pos="851"/>
        </w:tabs>
        <w:ind w:left="851"/>
      </w:pPr>
      <w:r>
        <w:rPr>
          <w:szCs w:val="24"/>
        </w:rPr>
        <w:t xml:space="preserve">Hvid, rund, bikonveks, filmovertrukket tablet, præget med </w:t>
      </w:r>
      <w:r w:rsidR="00C22DDF">
        <w:rPr>
          <w:szCs w:val="24"/>
        </w:rPr>
        <w:t>"</w:t>
      </w:r>
      <w:r>
        <w:rPr>
          <w:szCs w:val="24"/>
        </w:rPr>
        <w:t>ALN 70</w:t>
      </w:r>
      <w:r w:rsidR="00C22DDF">
        <w:rPr>
          <w:szCs w:val="24"/>
        </w:rPr>
        <w:t>"</w:t>
      </w:r>
      <w:r>
        <w:rPr>
          <w:szCs w:val="24"/>
        </w:rPr>
        <w:t xml:space="preserve"> på den ene side. Diameter er ca. 10 mm.</w:t>
      </w:r>
    </w:p>
    <w:p w14:paraId="0DEBC4E0" w14:textId="77777777" w:rsidR="000900A1" w:rsidRDefault="000900A1" w:rsidP="00C22DDF">
      <w:pPr>
        <w:tabs>
          <w:tab w:val="left" w:pos="851"/>
        </w:tabs>
        <w:ind w:left="851"/>
      </w:pPr>
    </w:p>
    <w:p w14:paraId="28EC910E" w14:textId="77777777" w:rsidR="003A0922" w:rsidRDefault="003A0922" w:rsidP="00C22DDF">
      <w:pPr>
        <w:tabs>
          <w:tab w:val="left" w:pos="851"/>
        </w:tabs>
        <w:ind w:left="851"/>
      </w:pPr>
    </w:p>
    <w:p w14:paraId="16858B19" w14:textId="77777777" w:rsidR="000900A1" w:rsidRDefault="000900A1" w:rsidP="00C22DDF">
      <w:pPr>
        <w:numPr>
          <w:ilvl w:val="0"/>
          <w:numId w:val="1"/>
        </w:numPr>
        <w:ind w:left="851"/>
        <w:rPr>
          <w:b/>
        </w:rPr>
      </w:pPr>
      <w:r>
        <w:rPr>
          <w:b/>
        </w:rPr>
        <w:t>KLINISKE OPLYSNINGER</w:t>
      </w:r>
    </w:p>
    <w:p w14:paraId="1C35FCB9" w14:textId="77777777" w:rsidR="000900A1" w:rsidRDefault="000900A1" w:rsidP="00C22DDF">
      <w:pPr>
        <w:tabs>
          <w:tab w:val="left" w:pos="851"/>
        </w:tabs>
        <w:ind w:left="851"/>
        <w:rPr>
          <w:b/>
        </w:rPr>
      </w:pPr>
    </w:p>
    <w:p w14:paraId="5E2D195A" w14:textId="77777777" w:rsidR="000900A1" w:rsidRDefault="000900A1" w:rsidP="00C22DDF">
      <w:pPr>
        <w:numPr>
          <w:ilvl w:val="1"/>
          <w:numId w:val="1"/>
        </w:numPr>
        <w:ind w:left="851"/>
        <w:rPr>
          <w:b/>
          <w:u w:val="single"/>
        </w:rPr>
      </w:pPr>
      <w:r>
        <w:rPr>
          <w:b/>
        </w:rPr>
        <w:t>Terapeutiske indikationer</w:t>
      </w:r>
    </w:p>
    <w:p w14:paraId="03326ADD" w14:textId="77777777" w:rsidR="003A0922" w:rsidRDefault="003A0922" w:rsidP="00C22DDF">
      <w:pPr>
        <w:ind w:left="851"/>
        <w:rPr>
          <w:szCs w:val="24"/>
        </w:rPr>
      </w:pPr>
      <w:r>
        <w:rPr>
          <w:szCs w:val="24"/>
        </w:rPr>
        <w:t xml:space="preserve">Alendronat </w:t>
      </w:r>
      <w:r w:rsidR="00C22DDF">
        <w:rPr>
          <w:szCs w:val="24"/>
        </w:rPr>
        <w:t>"</w:t>
      </w:r>
      <w:r>
        <w:rPr>
          <w:szCs w:val="24"/>
        </w:rPr>
        <w:t>Sandoz</w:t>
      </w:r>
      <w:r w:rsidR="00C22DDF">
        <w:rPr>
          <w:szCs w:val="24"/>
        </w:rPr>
        <w:t>"</w:t>
      </w:r>
      <w:r>
        <w:rPr>
          <w:szCs w:val="24"/>
        </w:rPr>
        <w:t xml:space="preserve"> er indiceret til behandling af postmenopausal osteoporose.</w:t>
      </w:r>
    </w:p>
    <w:p w14:paraId="403A599B" w14:textId="77777777" w:rsidR="003A0922" w:rsidRDefault="003A0922" w:rsidP="00C22DDF">
      <w:pPr>
        <w:ind w:left="851"/>
        <w:rPr>
          <w:szCs w:val="24"/>
        </w:rPr>
      </w:pPr>
      <w:r>
        <w:rPr>
          <w:szCs w:val="24"/>
        </w:rPr>
        <w:t>Alendronat reducerer risikoen for vertebrale frakturer og hoftefrakturer.</w:t>
      </w:r>
    </w:p>
    <w:p w14:paraId="198C676E" w14:textId="77777777" w:rsidR="000900A1" w:rsidRDefault="000900A1" w:rsidP="00C22DDF">
      <w:pPr>
        <w:tabs>
          <w:tab w:val="left" w:pos="851"/>
        </w:tabs>
        <w:ind w:left="851"/>
      </w:pPr>
    </w:p>
    <w:p w14:paraId="3A68A274" w14:textId="7CED6774" w:rsidR="000900A1" w:rsidRDefault="000900A1" w:rsidP="00C22DDF">
      <w:pPr>
        <w:numPr>
          <w:ilvl w:val="1"/>
          <w:numId w:val="1"/>
        </w:numPr>
        <w:ind w:left="851"/>
        <w:rPr>
          <w:b/>
        </w:rPr>
      </w:pPr>
      <w:r>
        <w:rPr>
          <w:b/>
        </w:rPr>
        <w:t xml:space="preserve">Dosering og </w:t>
      </w:r>
      <w:r w:rsidR="00E642B3">
        <w:rPr>
          <w:b/>
        </w:rPr>
        <w:t>administration</w:t>
      </w:r>
    </w:p>
    <w:p w14:paraId="5B2D1E85" w14:textId="77777777" w:rsidR="002C29EF" w:rsidRDefault="002C29EF" w:rsidP="002C29EF">
      <w:pPr>
        <w:ind w:left="851"/>
        <w:jc w:val="both"/>
        <w:rPr>
          <w:szCs w:val="24"/>
          <w:u w:val="single"/>
        </w:rPr>
      </w:pPr>
    </w:p>
    <w:p w14:paraId="6CF8C11C" w14:textId="77777777" w:rsidR="00450224" w:rsidRDefault="00450224" w:rsidP="002C29EF">
      <w:pPr>
        <w:ind w:left="851"/>
        <w:jc w:val="both"/>
        <w:rPr>
          <w:szCs w:val="24"/>
          <w:u w:val="single"/>
        </w:rPr>
      </w:pPr>
      <w:r>
        <w:rPr>
          <w:szCs w:val="24"/>
          <w:u w:val="single"/>
        </w:rPr>
        <w:t>Dosering</w:t>
      </w:r>
    </w:p>
    <w:p w14:paraId="1E15457C" w14:textId="77777777" w:rsidR="00450224" w:rsidRDefault="00450224" w:rsidP="002C29EF">
      <w:pPr>
        <w:ind w:left="851"/>
        <w:jc w:val="both"/>
        <w:rPr>
          <w:szCs w:val="24"/>
        </w:rPr>
      </w:pPr>
      <w:r w:rsidRPr="00215673">
        <w:rPr>
          <w:szCs w:val="24"/>
        </w:rPr>
        <w:t>Den anbefalede dosis er en 70 mg tablet per uge.</w:t>
      </w:r>
    </w:p>
    <w:p w14:paraId="4361E486" w14:textId="77777777" w:rsidR="00657703" w:rsidRDefault="00657703" w:rsidP="002C29EF">
      <w:pPr>
        <w:ind w:left="851"/>
        <w:jc w:val="both"/>
        <w:rPr>
          <w:szCs w:val="24"/>
        </w:rPr>
      </w:pPr>
    </w:p>
    <w:p w14:paraId="0DFA941D" w14:textId="77777777" w:rsidR="00657703" w:rsidRPr="00657703" w:rsidRDefault="00657703" w:rsidP="00657703">
      <w:pPr>
        <w:ind w:left="851"/>
        <w:jc w:val="both"/>
        <w:rPr>
          <w:szCs w:val="24"/>
        </w:rPr>
      </w:pPr>
      <w:r w:rsidRPr="00657703">
        <w:rPr>
          <w:szCs w:val="24"/>
        </w:rPr>
        <w:t>Patienterne bør instrueres i, at hvis de glemmer at tage 1 tablet Alendronat ”Sandoz”, skal de tage en tablet morgenen efter, de kommer i tanke herom. De må ikke tage 2 tabletter samme dag, men skal fortsætte med at tage 1 tablet, 1 gang ugentligt, på den dag de oprindelig har valgt.</w:t>
      </w:r>
    </w:p>
    <w:p w14:paraId="311778B2" w14:textId="77777777" w:rsidR="00450224" w:rsidRDefault="00450224" w:rsidP="002C29EF">
      <w:pPr>
        <w:ind w:left="851"/>
        <w:jc w:val="both"/>
        <w:rPr>
          <w:szCs w:val="24"/>
        </w:rPr>
      </w:pPr>
    </w:p>
    <w:p w14:paraId="6C7E058D" w14:textId="77777777" w:rsidR="00450224" w:rsidRPr="00BB7A5D" w:rsidRDefault="00450224" w:rsidP="00C22DDF">
      <w:pPr>
        <w:widowControl w:val="0"/>
        <w:tabs>
          <w:tab w:val="left" w:pos="567"/>
        </w:tabs>
        <w:ind w:left="851"/>
        <w:rPr>
          <w:szCs w:val="24"/>
        </w:rPr>
      </w:pPr>
      <w:r w:rsidRPr="00BB7A5D">
        <w:rPr>
          <w:szCs w:val="24"/>
        </w:rPr>
        <w:t>Den optimale varighed af bis</w:t>
      </w:r>
      <w:r>
        <w:rPr>
          <w:szCs w:val="24"/>
        </w:rPr>
        <w:t>f</w:t>
      </w:r>
      <w:r w:rsidRPr="00BB7A5D">
        <w:rPr>
          <w:szCs w:val="24"/>
        </w:rPr>
        <w:t>os</w:t>
      </w:r>
      <w:r>
        <w:rPr>
          <w:szCs w:val="24"/>
        </w:rPr>
        <w:t>f</w:t>
      </w:r>
      <w:r w:rsidRPr="00BB7A5D">
        <w:rPr>
          <w:szCs w:val="24"/>
        </w:rPr>
        <w:t xml:space="preserve">onatbehandling af osteoporose er ikke fastlagt. Behovet for fortsat behandling skal revurderes regelmæssigt, baseret på fordele og mulige risici </w:t>
      </w:r>
      <w:r>
        <w:rPr>
          <w:szCs w:val="24"/>
        </w:rPr>
        <w:t>ved</w:t>
      </w:r>
      <w:r w:rsidRPr="00BB7A5D">
        <w:rPr>
          <w:szCs w:val="24"/>
        </w:rPr>
        <w:t xml:space="preserve"> Alendronat </w:t>
      </w:r>
      <w:r w:rsidR="00C22DDF">
        <w:rPr>
          <w:szCs w:val="24"/>
        </w:rPr>
        <w:t>"</w:t>
      </w:r>
      <w:r w:rsidRPr="00BB7A5D">
        <w:rPr>
          <w:szCs w:val="24"/>
        </w:rPr>
        <w:t>Sandoz</w:t>
      </w:r>
      <w:r w:rsidR="00C22DDF">
        <w:rPr>
          <w:szCs w:val="24"/>
        </w:rPr>
        <w:t>"</w:t>
      </w:r>
      <w:r w:rsidRPr="00BB7A5D">
        <w:rPr>
          <w:i/>
          <w:iCs/>
          <w:szCs w:val="24"/>
        </w:rPr>
        <w:t xml:space="preserve"> </w:t>
      </w:r>
      <w:r w:rsidRPr="00BB7A5D">
        <w:rPr>
          <w:szCs w:val="24"/>
        </w:rPr>
        <w:t>for den enkelte patient, især efter anvendelse i 5 år eller mere.</w:t>
      </w:r>
    </w:p>
    <w:p w14:paraId="39A7D79A" w14:textId="77777777" w:rsidR="00450224" w:rsidRPr="00215673" w:rsidRDefault="00450224" w:rsidP="00C22DDF">
      <w:pPr>
        <w:widowControl w:val="0"/>
        <w:tabs>
          <w:tab w:val="left" w:pos="567"/>
        </w:tabs>
        <w:ind w:left="851"/>
        <w:rPr>
          <w:szCs w:val="24"/>
        </w:rPr>
      </w:pPr>
      <w:r>
        <w:rPr>
          <w:szCs w:val="24"/>
        </w:rPr>
        <w:lastRenderedPageBreak/>
        <w:tab/>
      </w:r>
    </w:p>
    <w:p w14:paraId="7706FFA4" w14:textId="77777777" w:rsidR="00450224" w:rsidRPr="00215673" w:rsidRDefault="00450224" w:rsidP="00C22DDF">
      <w:pPr>
        <w:ind w:left="851"/>
        <w:rPr>
          <w:szCs w:val="24"/>
        </w:rPr>
      </w:pPr>
      <w:r w:rsidRPr="00215673">
        <w:rPr>
          <w:szCs w:val="24"/>
        </w:rPr>
        <w:t>Patienterne bør have et kalcium- og vitamin D-tilskud, hvis der ikke indtages nok gennem føden (se pkt. 4.4).</w:t>
      </w:r>
    </w:p>
    <w:p w14:paraId="628A2878" w14:textId="77777777" w:rsidR="00450224" w:rsidRDefault="00450224" w:rsidP="00C22DDF">
      <w:pPr>
        <w:ind w:left="851" w:firstLine="855"/>
        <w:jc w:val="both"/>
        <w:rPr>
          <w:szCs w:val="24"/>
        </w:rPr>
      </w:pPr>
    </w:p>
    <w:p w14:paraId="693F6107" w14:textId="77777777" w:rsidR="00820B49" w:rsidRDefault="00820B49" w:rsidP="00C22DDF">
      <w:pPr>
        <w:ind w:left="851" w:firstLine="855"/>
        <w:jc w:val="both"/>
        <w:rPr>
          <w:szCs w:val="24"/>
        </w:rPr>
      </w:pPr>
    </w:p>
    <w:p w14:paraId="3F7A36CA" w14:textId="77777777" w:rsidR="00450224" w:rsidRDefault="00450224" w:rsidP="002C29EF">
      <w:pPr>
        <w:ind w:left="851"/>
        <w:jc w:val="both"/>
        <w:rPr>
          <w:i/>
          <w:szCs w:val="24"/>
        </w:rPr>
      </w:pPr>
      <w:r>
        <w:rPr>
          <w:i/>
          <w:szCs w:val="24"/>
        </w:rPr>
        <w:t>Ældre</w:t>
      </w:r>
    </w:p>
    <w:p w14:paraId="4E94B6C7" w14:textId="77777777" w:rsidR="00450224" w:rsidRPr="00215673" w:rsidRDefault="00450224" w:rsidP="00C22DDF">
      <w:pPr>
        <w:widowControl w:val="0"/>
        <w:tabs>
          <w:tab w:val="left" w:pos="567"/>
        </w:tabs>
        <w:ind w:left="851"/>
        <w:rPr>
          <w:szCs w:val="24"/>
        </w:rPr>
      </w:pPr>
      <w:r w:rsidRPr="00215673">
        <w:rPr>
          <w:szCs w:val="24"/>
        </w:rPr>
        <w:t xml:space="preserve">I kliniske studier er der ikke fundet aldersrelaterede forskelle med hensyn til effekt eller sikkerhedsprofil af alendronat. Dosisjustering er derfor ikke nødvendig hos ældre patienter. </w:t>
      </w:r>
    </w:p>
    <w:p w14:paraId="3A34D080" w14:textId="77777777" w:rsidR="00450224" w:rsidRDefault="00450224" w:rsidP="00C22DDF">
      <w:pPr>
        <w:ind w:left="851" w:firstLine="855"/>
        <w:jc w:val="both"/>
        <w:rPr>
          <w:i/>
          <w:szCs w:val="24"/>
        </w:rPr>
      </w:pPr>
    </w:p>
    <w:p w14:paraId="172FA109" w14:textId="77777777" w:rsidR="003A0922" w:rsidRDefault="003A0922" w:rsidP="002C29EF">
      <w:pPr>
        <w:widowControl w:val="0"/>
        <w:tabs>
          <w:tab w:val="left" w:pos="567"/>
        </w:tabs>
        <w:ind w:left="851"/>
        <w:rPr>
          <w:i/>
          <w:szCs w:val="24"/>
        </w:rPr>
      </w:pPr>
      <w:r>
        <w:rPr>
          <w:i/>
          <w:szCs w:val="24"/>
        </w:rPr>
        <w:t>Nedsat nyrefunktion</w:t>
      </w:r>
    </w:p>
    <w:p w14:paraId="19418447" w14:textId="77777777" w:rsidR="003A0922" w:rsidRDefault="003A0922" w:rsidP="00C22DDF">
      <w:pPr>
        <w:ind w:left="851"/>
        <w:rPr>
          <w:szCs w:val="24"/>
        </w:rPr>
      </w:pPr>
      <w:r>
        <w:rPr>
          <w:szCs w:val="24"/>
        </w:rPr>
        <w:t>Dosisjustering er ikke nødvendig hos patienter med creatinin clearance højere end 35 ml/min. På grund af manglende erfaring frarådes alendronat til patienter med nedsat nyrefunktion, hvor creatinin clearance er mindre end 35 ml/min.</w:t>
      </w:r>
    </w:p>
    <w:p w14:paraId="017C5F81" w14:textId="77777777" w:rsidR="00450224" w:rsidRDefault="00450224" w:rsidP="00C22DDF">
      <w:pPr>
        <w:ind w:left="851" w:firstLine="855"/>
        <w:jc w:val="both"/>
        <w:rPr>
          <w:i/>
          <w:szCs w:val="24"/>
        </w:rPr>
      </w:pPr>
    </w:p>
    <w:p w14:paraId="1B6884D3" w14:textId="77777777" w:rsidR="00450224" w:rsidRPr="00215673" w:rsidRDefault="00450224" w:rsidP="002C29EF">
      <w:pPr>
        <w:widowControl w:val="0"/>
        <w:tabs>
          <w:tab w:val="left" w:pos="567"/>
        </w:tabs>
        <w:ind w:left="851"/>
        <w:rPr>
          <w:i/>
          <w:szCs w:val="24"/>
        </w:rPr>
      </w:pPr>
      <w:r w:rsidRPr="00215673">
        <w:rPr>
          <w:i/>
          <w:szCs w:val="24"/>
        </w:rPr>
        <w:t>Nedsat leverfunktion</w:t>
      </w:r>
    </w:p>
    <w:p w14:paraId="13BC4588" w14:textId="77777777" w:rsidR="00450224" w:rsidRDefault="00450224" w:rsidP="002C29EF">
      <w:pPr>
        <w:widowControl w:val="0"/>
        <w:tabs>
          <w:tab w:val="left" w:pos="567"/>
        </w:tabs>
        <w:ind w:left="851"/>
        <w:rPr>
          <w:szCs w:val="24"/>
        </w:rPr>
      </w:pPr>
      <w:r w:rsidRPr="00215673">
        <w:rPr>
          <w:szCs w:val="24"/>
        </w:rPr>
        <w:t>Dosisjustering er ikke nødvendig.</w:t>
      </w:r>
    </w:p>
    <w:p w14:paraId="38C43E32" w14:textId="77777777" w:rsidR="00450224" w:rsidRDefault="00450224" w:rsidP="00C22DDF">
      <w:pPr>
        <w:widowControl w:val="0"/>
        <w:tabs>
          <w:tab w:val="left" w:pos="567"/>
        </w:tabs>
        <w:ind w:left="851" w:firstLine="851"/>
        <w:rPr>
          <w:szCs w:val="24"/>
        </w:rPr>
      </w:pPr>
    </w:p>
    <w:p w14:paraId="5B92E6CE" w14:textId="77777777" w:rsidR="00450224" w:rsidRPr="00553790" w:rsidRDefault="00450224" w:rsidP="002C29EF">
      <w:pPr>
        <w:widowControl w:val="0"/>
        <w:tabs>
          <w:tab w:val="left" w:pos="567"/>
        </w:tabs>
        <w:ind w:left="851"/>
        <w:rPr>
          <w:i/>
          <w:szCs w:val="24"/>
        </w:rPr>
      </w:pPr>
      <w:r>
        <w:rPr>
          <w:i/>
          <w:szCs w:val="24"/>
        </w:rPr>
        <w:t>Pædiatrisk population</w:t>
      </w:r>
    </w:p>
    <w:p w14:paraId="2DAD5EE1" w14:textId="77777777" w:rsidR="00450224" w:rsidRDefault="00450224" w:rsidP="00C22DDF">
      <w:pPr>
        <w:ind w:left="851"/>
        <w:rPr>
          <w:szCs w:val="24"/>
        </w:rPr>
      </w:pPr>
      <w:r w:rsidRPr="00553790">
        <w:rPr>
          <w:szCs w:val="24"/>
        </w:rPr>
        <w:t>Natriumalendronat frarådes til brug til børn under 18 år på grund af utilstrækkelige data om sikkerhed og virkning ved tilstande i forbindelse med pædiatrisk osteoporose (se også pkt. 5.1).</w:t>
      </w:r>
    </w:p>
    <w:p w14:paraId="6F1DA2BF" w14:textId="77777777" w:rsidR="00450224" w:rsidRDefault="00450224" w:rsidP="00C22DDF">
      <w:pPr>
        <w:ind w:left="851"/>
        <w:rPr>
          <w:szCs w:val="24"/>
        </w:rPr>
      </w:pPr>
    </w:p>
    <w:p w14:paraId="5EF95E63" w14:textId="77777777" w:rsidR="00450224" w:rsidRDefault="00450224" w:rsidP="00C22DDF">
      <w:pPr>
        <w:ind w:left="851"/>
        <w:rPr>
          <w:szCs w:val="24"/>
        </w:rPr>
      </w:pPr>
      <w:r w:rsidRPr="00553790">
        <w:rPr>
          <w:szCs w:val="24"/>
        </w:rPr>
        <w:t xml:space="preserve">Alendronat </w:t>
      </w:r>
      <w:r w:rsidR="00C22DDF">
        <w:rPr>
          <w:szCs w:val="24"/>
        </w:rPr>
        <w:t>"</w:t>
      </w:r>
      <w:r w:rsidRPr="00553790">
        <w:rPr>
          <w:szCs w:val="24"/>
        </w:rPr>
        <w:t>Sandoz</w:t>
      </w:r>
      <w:r w:rsidR="00C22DDF">
        <w:rPr>
          <w:szCs w:val="24"/>
        </w:rPr>
        <w:t>"</w:t>
      </w:r>
      <w:r w:rsidRPr="00553790">
        <w:rPr>
          <w:szCs w:val="24"/>
        </w:rPr>
        <w:t xml:space="preserve"> er ikke blevet undersøgt til behandling af glukokortikoid-induceret osteoporose.</w:t>
      </w:r>
    </w:p>
    <w:p w14:paraId="1FA6F67A" w14:textId="77777777" w:rsidR="00450224" w:rsidRDefault="00450224" w:rsidP="00C22DDF">
      <w:pPr>
        <w:ind w:left="851"/>
        <w:rPr>
          <w:szCs w:val="24"/>
        </w:rPr>
      </w:pPr>
    </w:p>
    <w:p w14:paraId="634A591F" w14:textId="77777777" w:rsidR="00450224" w:rsidRPr="00574F62" w:rsidRDefault="00450224" w:rsidP="00C22DDF">
      <w:pPr>
        <w:ind w:left="851"/>
        <w:rPr>
          <w:szCs w:val="24"/>
          <w:u w:val="single"/>
        </w:rPr>
      </w:pPr>
      <w:r w:rsidRPr="00574F62">
        <w:rPr>
          <w:szCs w:val="24"/>
          <w:u w:val="single"/>
        </w:rPr>
        <w:t xml:space="preserve">Administration </w:t>
      </w:r>
    </w:p>
    <w:p w14:paraId="3649D9F2" w14:textId="77777777" w:rsidR="00450224" w:rsidRPr="00574F62" w:rsidRDefault="00450224" w:rsidP="00C22DDF">
      <w:pPr>
        <w:ind w:left="851"/>
        <w:rPr>
          <w:szCs w:val="24"/>
        </w:rPr>
      </w:pPr>
      <w:r w:rsidRPr="00574F62">
        <w:rPr>
          <w:szCs w:val="24"/>
        </w:rPr>
        <w:t>Til oral anvendelse.</w:t>
      </w:r>
    </w:p>
    <w:p w14:paraId="4A3AF108" w14:textId="77777777" w:rsidR="00450224" w:rsidRPr="00553790" w:rsidRDefault="00450224" w:rsidP="00C22DDF">
      <w:pPr>
        <w:ind w:left="851"/>
        <w:rPr>
          <w:szCs w:val="24"/>
        </w:rPr>
      </w:pPr>
    </w:p>
    <w:p w14:paraId="523D8AC2" w14:textId="77777777" w:rsidR="00450224" w:rsidRPr="00215673" w:rsidRDefault="00450224" w:rsidP="002C29EF">
      <w:pPr>
        <w:ind w:left="851"/>
        <w:rPr>
          <w:i/>
          <w:szCs w:val="24"/>
        </w:rPr>
      </w:pPr>
      <w:r w:rsidRPr="00215673">
        <w:rPr>
          <w:i/>
          <w:szCs w:val="24"/>
        </w:rPr>
        <w:t>For at opnå tilfredsstillende optagelse af alendronat</w:t>
      </w:r>
    </w:p>
    <w:p w14:paraId="1E011FED" w14:textId="77777777" w:rsidR="00450224" w:rsidRPr="00215673" w:rsidRDefault="00450224" w:rsidP="00C22DDF">
      <w:pPr>
        <w:ind w:left="851"/>
        <w:rPr>
          <w:szCs w:val="24"/>
        </w:rPr>
      </w:pPr>
      <w:r>
        <w:rPr>
          <w:szCs w:val="24"/>
        </w:rPr>
        <w:t xml:space="preserve">Alendronat </w:t>
      </w:r>
      <w:r w:rsidR="00C22DDF">
        <w:rPr>
          <w:szCs w:val="24"/>
        </w:rPr>
        <w:t>"</w:t>
      </w:r>
      <w:r>
        <w:rPr>
          <w:szCs w:val="24"/>
        </w:rPr>
        <w:t>Sandoz</w:t>
      </w:r>
      <w:r w:rsidR="00C22DDF">
        <w:rPr>
          <w:szCs w:val="24"/>
        </w:rPr>
        <w:t>"</w:t>
      </w:r>
      <w:r w:rsidRPr="00215673">
        <w:rPr>
          <w:szCs w:val="24"/>
        </w:rPr>
        <w:t xml:space="preserve"> skal indtages på tom mave </w:t>
      </w:r>
      <w:r>
        <w:rPr>
          <w:szCs w:val="24"/>
        </w:rPr>
        <w:t xml:space="preserve">umiddelbart efter opståen </w:t>
      </w:r>
      <w:r w:rsidRPr="00215673">
        <w:rPr>
          <w:szCs w:val="24"/>
        </w:rPr>
        <w:t xml:space="preserve">om morgenen sammen med vand, mindst </w:t>
      </w:r>
      <w:r>
        <w:rPr>
          <w:szCs w:val="24"/>
        </w:rPr>
        <w:t xml:space="preserve">30 minutter </w:t>
      </w:r>
      <w:r w:rsidRPr="00215673">
        <w:rPr>
          <w:szCs w:val="24"/>
        </w:rPr>
        <w:t xml:space="preserve">før indtagelse af andre føde- og drikkevarer eller anden medicin. Andre drikkevarer (inklusive kulsyreholdigt mineralvand), føde og anden medicin kan reducere absorptionen af alendronat (se pkt. 4.5). </w:t>
      </w:r>
    </w:p>
    <w:p w14:paraId="2C328CB5" w14:textId="77777777" w:rsidR="00450224" w:rsidRPr="00215673" w:rsidRDefault="00450224" w:rsidP="00C22DDF">
      <w:pPr>
        <w:ind w:left="851"/>
        <w:jc w:val="both"/>
        <w:rPr>
          <w:szCs w:val="24"/>
        </w:rPr>
      </w:pPr>
    </w:p>
    <w:p w14:paraId="2A4CCBC7" w14:textId="77777777" w:rsidR="00450224" w:rsidRPr="00215673" w:rsidRDefault="00450224" w:rsidP="00C22DDF">
      <w:pPr>
        <w:ind w:left="851"/>
        <w:rPr>
          <w:i/>
          <w:szCs w:val="24"/>
        </w:rPr>
      </w:pPr>
      <w:r w:rsidRPr="00215673">
        <w:rPr>
          <w:i/>
          <w:szCs w:val="24"/>
        </w:rPr>
        <w:t xml:space="preserve">For at lette transporten til maven og dermed mindske risikoen for irritation/lokale bivirkninger og oesophagusirritation </w:t>
      </w:r>
      <w:r w:rsidRPr="00393CF9">
        <w:rPr>
          <w:i/>
          <w:szCs w:val="24"/>
        </w:rPr>
        <w:t>(se pkt. 4.4)</w:t>
      </w:r>
    </w:p>
    <w:p w14:paraId="5F326AD5" w14:textId="77777777" w:rsidR="00450224" w:rsidRPr="00215673" w:rsidRDefault="00450224" w:rsidP="002C29EF">
      <w:pPr>
        <w:widowControl w:val="0"/>
        <w:numPr>
          <w:ilvl w:val="0"/>
          <w:numId w:val="8"/>
        </w:numPr>
        <w:tabs>
          <w:tab w:val="clear" w:pos="1215"/>
          <w:tab w:val="num" w:pos="1134"/>
        </w:tabs>
        <w:ind w:left="1134" w:hanging="283"/>
        <w:rPr>
          <w:szCs w:val="24"/>
        </w:rPr>
      </w:pPr>
      <w:r>
        <w:rPr>
          <w:szCs w:val="24"/>
        </w:rPr>
        <w:t xml:space="preserve">Alendronat </w:t>
      </w:r>
      <w:r w:rsidR="00C22DDF">
        <w:rPr>
          <w:szCs w:val="24"/>
        </w:rPr>
        <w:t>"</w:t>
      </w:r>
      <w:r>
        <w:rPr>
          <w:szCs w:val="24"/>
        </w:rPr>
        <w:t>Sandoz</w:t>
      </w:r>
      <w:r w:rsidR="00C22DDF">
        <w:rPr>
          <w:szCs w:val="24"/>
        </w:rPr>
        <w:t>"</w:t>
      </w:r>
      <w:r w:rsidRPr="00215673">
        <w:rPr>
          <w:szCs w:val="24"/>
        </w:rPr>
        <w:t xml:space="preserve"> skal indtages, når man står op om morgenen, med et helt glas postevand (ikke mindre end 200 ml).</w:t>
      </w:r>
    </w:p>
    <w:p w14:paraId="2C39498B" w14:textId="77777777" w:rsidR="00450224" w:rsidRPr="00215673" w:rsidRDefault="00450224" w:rsidP="002C29EF">
      <w:pPr>
        <w:widowControl w:val="0"/>
        <w:numPr>
          <w:ilvl w:val="0"/>
          <w:numId w:val="9"/>
        </w:numPr>
        <w:tabs>
          <w:tab w:val="clear" w:pos="1215"/>
          <w:tab w:val="num" w:pos="1134"/>
        </w:tabs>
        <w:ind w:left="1134" w:hanging="283"/>
        <w:rPr>
          <w:szCs w:val="24"/>
        </w:rPr>
      </w:pPr>
      <w:r>
        <w:rPr>
          <w:szCs w:val="24"/>
        </w:rPr>
        <w:t xml:space="preserve">Alendronat </w:t>
      </w:r>
      <w:r w:rsidR="00C22DDF">
        <w:rPr>
          <w:szCs w:val="24"/>
        </w:rPr>
        <w:t>"</w:t>
      </w:r>
      <w:r>
        <w:rPr>
          <w:szCs w:val="24"/>
        </w:rPr>
        <w:t>Sandoz</w:t>
      </w:r>
      <w:r w:rsidR="00C22DDF">
        <w:rPr>
          <w:szCs w:val="24"/>
        </w:rPr>
        <w:t>"</w:t>
      </w:r>
      <w:r>
        <w:rPr>
          <w:szCs w:val="24"/>
        </w:rPr>
        <w:t>-</w:t>
      </w:r>
      <w:r w:rsidRPr="00215673">
        <w:rPr>
          <w:szCs w:val="24"/>
        </w:rPr>
        <w:t>tabletter skal synkes hele. Tabletterne må ikke tygges</w:t>
      </w:r>
      <w:r>
        <w:rPr>
          <w:szCs w:val="24"/>
        </w:rPr>
        <w:t xml:space="preserve">, suges </w:t>
      </w:r>
      <w:r w:rsidRPr="00215673">
        <w:rPr>
          <w:szCs w:val="24"/>
        </w:rPr>
        <w:t xml:space="preserve"> eller opløses i munden på grund af risiko for </w:t>
      </w:r>
      <w:r>
        <w:rPr>
          <w:szCs w:val="24"/>
        </w:rPr>
        <w:t>oropharyngeal ulceration.</w:t>
      </w:r>
    </w:p>
    <w:p w14:paraId="2CC71D02" w14:textId="77777777" w:rsidR="00450224" w:rsidRPr="00215673" w:rsidRDefault="00450224" w:rsidP="002C29EF">
      <w:pPr>
        <w:widowControl w:val="0"/>
        <w:numPr>
          <w:ilvl w:val="0"/>
          <w:numId w:val="10"/>
        </w:numPr>
        <w:tabs>
          <w:tab w:val="clear" w:pos="1215"/>
          <w:tab w:val="num" w:pos="1134"/>
        </w:tabs>
        <w:ind w:left="1134" w:hanging="283"/>
        <w:rPr>
          <w:szCs w:val="24"/>
        </w:rPr>
      </w:pPr>
      <w:r w:rsidRPr="00215673">
        <w:rPr>
          <w:szCs w:val="24"/>
        </w:rPr>
        <w:t xml:space="preserve">Patienten må ikke ligge ned, før dagens første måltid er indtaget, hvilket bør være mindst </w:t>
      </w:r>
      <w:r>
        <w:rPr>
          <w:szCs w:val="24"/>
        </w:rPr>
        <w:t>30 minutter</w:t>
      </w:r>
      <w:r w:rsidRPr="00215673">
        <w:rPr>
          <w:szCs w:val="24"/>
        </w:rPr>
        <w:t xml:space="preserve"> efter tabletindtagelsen.</w:t>
      </w:r>
    </w:p>
    <w:p w14:paraId="6DB0A273" w14:textId="77777777" w:rsidR="00450224" w:rsidRPr="00215673" w:rsidRDefault="00450224" w:rsidP="002C29EF">
      <w:pPr>
        <w:widowControl w:val="0"/>
        <w:numPr>
          <w:ilvl w:val="0"/>
          <w:numId w:val="11"/>
        </w:numPr>
        <w:tabs>
          <w:tab w:val="clear" w:pos="1215"/>
          <w:tab w:val="num" w:pos="1134"/>
        </w:tabs>
        <w:ind w:left="1134" w:hanging="283"/>
        <w:rPr>
          <w:szCs w:val="24"/>
        </w:rPr>
      </w:pPr>
      <w:r w:rsidRPr="00215673">
        <w:rPr>
          <w:szCs w:val="24"/>
        </w:rPr>
        <w:t>Patiente</w:t>
      </w:r>
      <w:r>
        <w:rPr>
          <w:szCs w:val="24"/>
        </w:rPr>
        <w:t>n</w:t>
      </w:r>
      <w:r w:rsidRPr="00215673">
        <w:rPr>
          <w:szCs w:val="24"/>
        </w:rPr>
        <w:t xml:space="preserve"> må ikke ligge ned i de efterfølgende 30 minutter efter indtagelse af </w:t>
      </w:r>
      <w:r>
        <w:rPr>
          <w:szCs w:val="24"/>
        </w:rPr>
        <w:t xml:space="preserve">Alendronat </w:t>
      </w:r>
      <w:r w:rsidR="00C22DDF">
        <w:rPr>
          <w:szCs w:val="24"/>
        </w:rPr>
        <w:t>"</w:t>
      </w:r>
      <w:r>
        <w:rPr>
          <w:szCs w:val="24"/>
        </w:rPr>
        <w:t>Sandoz</w:t>
      </w:r>
      <w:r w:rsidR="00C22DDF">
        <w:rPr>
          <w:szCs w:val="24"/>
        </w:rPr>
        <w:t>"</w:t>
      </w:r>
      <w:r w:rsidRPr="00215673">
        <w:rPr>
          <w:szCs w:val="24"/>
        </w:rPr>
        <w:t>.</w:t>
      </w:r>
    </w:p>
    <w:p w14:paraId="2C5515FB" w14:textId="77777777" w:rsidR="00450224" w:rsidRPr="00215673" w:rsidRDefault="00450224" w:rsidP="002C29EF">
      <w:pPr>
        <w:widowControl w:val="0"/>
        <w:numPr>
          <w:ilvl w:val="0"/>
          <w:numId w:val="12"/>
        </w:numPr>
        <w:tabs>
          <w:tab w:val="clear" w:pos="1215"/>
          <w:tab w:val="num" w:pos="1134"/>
        </w:tabs>
        <w:ind w:left="1134" w:hanging="283"/>
        <w:rPr>
          <w:szCs w:val="24"/>
        </w:rPr>
      </w:pPr>
      <w:r>
        <w:rPr>
          <w:szCs w:val="24"/>
        </w:rPr>
        <w:t xml:space="preserve">Alendronat </w:t>
      </w:r>
      <w:r w:rsidR="00C22DDF">
        <w:rPr>
          <w:szCs w:val="24"/>
        </w:rPr>
        <w:t>"</w:t>
      </w:r>
      <w:r>
        <w:rPr>
          <w:szCs w:val="24"/>
        </w:rPr>
        <w:t>Sandoz</w:t>
      </w:r>
      <w:r w:rsidR="00C22DDF">
        <w:rPr>
          <w:szCs w:val="24"/>
        </w:rPr>
        <w:t>"</w:t>
      </w:r>
      <w:r w:rsidRPr="00215673">
        <w:rPr>
          <w:szCs w:val="24"/>
        </w:rPr>
        <w:t xml:space="preserve"> må ikke indtages ved sengetid, eller før patienten står op om morgenen.</w:t>
      </w:r>
    </w:p>
    <w:p w14:paraId="57390FEE" w14:textId="77777777" w:rsidR="000900A1" w:rsidRDefault="000900A1" w:rsidP="00C22DDF">
      <w:pPr>
        <w:tabs>
          <w:tab w:val="left" w:pos="851"/>
        </w:tabs>
        <w:ind w:left="851"/>
      </w:pPr>
    </w:p>
    <w:p w14:paraId="4324FDD2" w14:textId="77777777" w:rsidR="000900A1" w:rsidRDefault="000900A1" w:rsidP="00C22DDF">
      <w:pPr>
        <w:numPr>
          <w:ilvl w:val="1"/>
          <w:numId w:val="1"/>
        </w:numPr>
        <w:ind w:left="851"/>
        <w:rPr>
          <w:b/>
        </w:rPr>
      </w:pPr>
      <w:r>
        <w:rPr>
          <w:b/>
        </w:rPr>
        <w:t>Kontraindikationer</w:t>
      </w:r>
    </w:p>
    <w:p w14:paraId="7D2A2B64" w14:textId="77777777" w:rsidR="00450224" w:rsidRDefault="00450224" w:rsidP="002C29EF">
      <w:pPr>
        <w:numPr>
          <w:ilvl w:val="0"/>
          <w:numId w:val="12"/>
        </w:numPr>
        <w:tabs>
          <w:tab w:val="clear" w:pos="1215"/>
          <w:tab w:val="num" w:pos="1134"/>
        </w:tabs>
        <w:ind w:left="1134" w:hanging="283"/>
        <w:rPr>
          <w:szCs w:val="24"/>
        </w:rPr>
      </w:pPr>
      <w:r>
        <w:rPr>
          <w:szCs w:val="24"/>
        </w:rPr>
        <w:t>Overfølsomhed over for det aktive stof eller over for et eller flere af hjælpestofferne anført i pkt. 6.1.</w:t>
      </w:r>
    </w:p>
    <w:p w14:paraId="55CF8DD1" w14:textId="77777777" w:rsidR="00450224" w:rsidRPr="00215673" w:rsidRDefault="00450224" w:rsidP="002C29EF">
      <w:pPr>
        <w:numPr>
          <w:ilvl w:val="0"/>
          <w:numId w:val="12"/>
        </w:numPr>
        <w:tabs>
          <w:tab w:val="clear" w:pos="1215"/>
          <w:tab w:val="num" w:pos="1134"/>
        </w:tabs>
        <w:ind w:left="1134" w:hanging="283"/>
        <w:rPr>
          <w:szCs w:val="24"/>
        </w:rPr>
      </w:pPr>
      <w:r w:rsidRPr="00215673">
        <w:rPr>
          <w:szCs w:val="24"/>
        </w:rPr>
        <w:lastRenderedPageBreak/>
        <w:t>Abnormaliteter i oesophagus</w:t>
      </w:r>
      <w:r>
        <w:rPr>
          <w:szCs w:val="24"/>
        </w:rPr>
        <w:t xml:space="preserve"> eller andre faktorer</w:t>
      </w:r>
      <w:r w:rsidRPr="00215673">
        <w:rPr>
          <w:szCs w:val="24"/>
        </w:rPr>
        <w:t>, der forsinker spiserørstømning, f.eks. striktur eller akalasi.</w:t>
      </w:r>
    </w:p>
    <w:p w14:paraId="168079BF" w14:textId="77777777" w:rsidR="00450224" w:rsidRPr="00215673" w:rsidRDefault="00450224" w:rsidP="002C29EF">
      <w:pPr>
        <w:numPr>
          <w:ilvl w:val="0"/>
          <w:numId w:val="12"/>
        </w:numPr>
        <w:tabs>
          <w:tab w:val="clear" w:pos="1215"/>
          <w:tab w:val="num" w:pos="1134"/>
        </w:tabs>
        <w:ind w:left="1134" w:hanging="283"/>
        <w:rPr>
          <w:szCs w:val="24"/>
        </w:rPr>
      </w:pPr>
      <w:r w:rsidRPr="00215673">
        <w:rPr>
          <w:szCs w:val="24"/>
        </w:rPr>
        <w:t>Manglende evne til at stå eller sidde oprejst i mindst 30 minutter.</w:t>
      </w:r>
    </w:p>
    <w:p w14:paraId="59CB60AA" w14:textId="77777777" w:rsidR="00B4589A" w:rsidRPr="00215673" w:rsidRDefault="00450224" w:rsidP="002C29EF">
      <w:pPr>
        <w:numPr>
          <w:ilvl w:val="0"/>
          <w:numId w:val="12"/>
        </w:numPr>
        <w:tabs>
          <w:tab w:val="clear" w:pos="1215"/>
          <w:tab w:val="num" w:pos="1134"/>
        </w:tabs>
        <w:ind w:left="1134" w:hanging="283"/>
        <w:rPr>
          <w:szCs w:val="24"/>
        </w:rPr>
      </w:pPr>
      <w:r w:rsidRPr="00215673">
        <w:rPr>
          <w:szCs w:val="24"/>
        </w:rPr>
        <w:t>Hypocalcæmi.</w:t>
      </w:r>
    </w:p>
    <w:p w14:paraId="6A483026" w14:textId="77777777" w:rsidR="000900A1" w:rsidRPr="003A0922" w:rsidRDefault="00B4589A" w:rsidP="00C22DDF">
      <w:pPr>
        <w:tabs>
          <w:tab w:val="left" w:pos="851"/>
        </w:tabs>
        <w:ind w:left="851"/>
        <w:rPr>
          <w:szCs w:val="24"/>
        </w:rPr>
      </w:pPr>
      <w:r w:rsidRPr="00215673">
        <w:rPr>
          <w:szCs w:val="24"/>
        </w:rPr>
        <w:tab/>
      </w:r>
    </w:p>
    <w:p w14:paraId="6E6C0C33" w14:textId="77777777" w:rsidR="000900A1" w:rsidRDefault="000900A1" w:rsidP="00C22DDF">
      <w:pPr>
        <w:numPr>
          <w:ilvl w:val="1"/>
          <w:numId w:val="1"/>
        </w:numPr>
        <w:ind w:left="851"/>
        <w:rPr>
          <w:b/>
        </w:rPr>
      </w:pPr>
      <w:r>
        <w:rPr>
          <w:b/>
        </w:rPr>
        <w:t>Særlige advarsler og forsigtighedsregler vedrørende brugen</w:t>
      </w:r>
    </w:p>
    <w:p w14:paraId="421CFE08" w14:textId="77777777" w:rsidR="002C29EF" w:rsidRDefault="002C29EF" w:rsidP="002C29EF">
      <w:pPr>
        <w:tabs>
          <w:tab w:val="left" w:pos="851"/>
        </w:tabs>
        <w:ind w:left="851"/>
        <w:rPr>
          <w:szCs w:val="24"/>
        </w:rPr>
      </w:pPr>
    </w:p>
    <w:p w14:paraId="6D4A5C55" w14:textId="77777777" w:rsidR="003A0922" w:rsidRDefault="003A0922" w:rsidP="002C29EF">
      <w:pPr>
        <w:tabs>
          <w:tab w:val="left" w:pos="851"/>
        </w:tabs>
        <w:ind w:left="851"/>
        <w:rPr>
          <w:szCs w:val="24"/>
          <w:u w:val="single"/>
        </w:rPr>
      </w:pPr>
      <w:r>
        <w:rPr>
          <w:szCs w:val="24"/>
          <w:u w:val="single"/>
        </w:rPr>
        <w:t>Øvre gastrointestinale bivirkninger</w:t>
      </w:r>
    </w:p>
    <w:p w14:paraId="58C52A81" w14:textId="77777777" w:rsidR="00DC073A" w:rsidRPr="00215673" w:rsidRDefault="00450224" w:rsidP="0018430E">
      <w:pPr>
        <w:tabs>
          <w:tab w:val="left" w:pos="851"/>
        </w:tabs>
        <w:ind w:left="851"/>
        <w:rPr>
          <w:szCs w:val="24"/>
        </w:rPr>
      </w:pPr>
      <w:r>
        <w:rPr>
          <w:szCs w:val="24"/>
        </w:rPr>
        <w:t xml:space="preserve">Alendronat </w:t>
      </w:r>
      <w:r w:rsidR="00C22DDF">
        <w:rPr>
          <w:szCs w:val="24"/>
        </w:rPr>
        <w:t>"</w:t>
      </w:r>
      <w:r>
        <w:rPr>
          <w:szCs w:val="24"/>
        </w:rPr>
        <w:t>Sandoz</w:t>
      </w:r>
      <w:r w:rsidR="00C22DDF">
        <w:rPr>
          <w:szCs w:val="24"/>
        </w:rPr>
        <w:t>"</w:t>
      </w:r>
      <w:r w:rsidRPr="00215673">
        <w:rPr>
          <w:szCs w:val="24"/>
        </w:rPr>
        <w:t xml:space="preserve"> kan forårsage lokal irritation af slimhinderne i den øvre del af mave-tarm</w:t>
      </w:r>
      <w:r>
        <w:rPr>
          <w:szCs w:val="24"/>
        </w:rPr>
        <w:t>-</w:t>
      </w:r>
      <w:r w:rsidRPr="00215673">
        <w:rPr>
          <w:szCs w:val="24"/>
        </w:rPr>
        <w:t xml:space="preserve">kanalen. Da der er en risiko for forværring af de underliggende lidelser, bør forsigtighed udvises, hvis alendronat gives til patienter med aktive </w:t>
      </w:r>
      <w:r>
        <w:rPr>
          <w:szCs w:val="24"/>
        </w:rPr>
        <w:t xml:space="preserve">problemer i den </w:t>
      </w:r>
      <w:r w:rsidRPr="00215673">
        <w:rPr>
          <w:szCs w:val="24"/>
        </w:rPr>
        <w:t>øvre mave</w:t>
      </w:r>
      <w:r>
        <w:rPr>
          <w:szCs w:val="24"/>
        </w:rPr>
        <w:t>-</w:t>
      </w:r>
      <w:r w:rsidRPr="00215673">
        <w:rPr>
          <w:szCs w:val="24"/>
        </w:rPr>
        <w:t>tarm</w:t>
      </w:r>
      <w:r>
        <w:rPr>
          <w:szCs w:val="24"/>
        </w:rPr>
        <w:t>-</w:t>
      </w:r>
      <w:r w:rsidRPr="00215673">
        <w:rPr>
          <w:szCs w:val="24"/>
        </w:rPr>
        <w:t>kanal såsom dysphagi, spiserørslidelser, gastritis, duodenitis eller ulcus eller i tilfælde af nylig (indenfor det sidste år) svær mavetarm lidelse såsom peptisk ulcus, aktiv gastrointestinal blødning eller operation i den øvre mave</w:t>
      </w:r>
      <w:r>
        <w:rPr>
          <w:szCs w:val="24"/>
        </w:rPr>
        <w:t>-</w:t>
      </w:r>
      <w:r w:rsidRPr="00215673">
        <w:rPr>
          <w:szCs w:val="24"/>
        </w:rPr>
        <w:t>tarm</w:t>
      </w:r>
      <w:r>
        <w:rPr>
          <w:szCs w:val="24"/>
        </w:rPr>
        <w:t>-</w:t>
      </w:r>
      <w:r w:rsidRPr="00215673">
        <w:rPr>
          <w:szCs w:val="24"/>
        </w:rPr>
        <w:t>kanal ud over pyloroplastik (se pkt. 4.3).</w:t>
      </w:r>
      <w:r w:rsidRPr="007645B0">
        <w:rPr>
          <w:szCs w:val="24"/>
        </w:rPr>
        <w:t xml:space="preserve"> </w:t>
      </w:r>
      <w:r w:rsidRPr="00170837">
        <w:rPr>
          <w:szCs w:val="24"/>
        </w:rPr>
        <w:t>Hos patienter med Barretts oesophagus bør lægen overveje fordele og mulige risici ved alendronat individuelt fra patient til patient.</w:t>
      </w:r>
      <w:r w:rsidRPr="00215673">
        <w:rPr>
          <w:szCs w:val="24"/>
        </w:rPr>
        <w:t xml:space="preserve"> </w:t>
      </w:r>
      <w:r w:rsidR="00DC073A" w:rsidRPr="00215673">
        <w:rPr>
          <w:szCs w:val="24"/>
        </w:rPr>
        <w:t xml:space="preserve"> </w:t>
      </w:r>
      <w:r w:rsidR="00DC073A" w:rsidRPr="00215673">
        <w:rPr>
          <w:szCs w:val="24"/>
        </w:rPr>
        <w:tab/>
      </w:r>
    </w:p>
    <w:p w14:paraId="1EFC79FF" w14:textId="77777777" w:rsidR="00DC073A" w:rsidRPr="00215673" w:rsidRDefault="00DC073A" w:rsidP="0018430E">
      <w:pPr>
        <w:tabs>
          <w:tab w:val="left" w:pos="851"/>
        </w:tabs>
        <w:ind w:left="851"/>
        <w:rPr>
          <w:szCs w:val="24"/>
        </w:rPr>
      </w:pPr>
    </w:p>
    <w:p w14:paraId="5C0DB252" w14:textId="77777777" w:rsidR="00657703" w:rsidRPr="00657703" w:rsidRDefault="00DC073A" w:rsidP="00657703">
      <w:pPr>
        <w:tabs>
          <w:tab w:val="left" w:pos="851"/>
        </w:tabs>
        <w:ind w:left="851"/>
        <w:rPr>
          <w:szCs w:val="24"/>
        </w:rPr>
      </w:pPr>
      <w:r w:rsidRPr="00215673">
        <w:rPr>
          <w:szCs w:val="24"/>
        </w:rPr>
        <w:t xml:space="preserve">Bivirkninger i spiserøret (i nogle tilfælde alvorlige og som kræver hospitalsindlæggelse) f.eks. oesophagitis, oesophagal ulcus og oesophagal erosion, i sjældne tilfælde fulgt af spiserørsforsnævring, har været rapporteret hos patienter, der behandles med alendronat. Lægen skal derfor være opmærksom på potentielle symptomer på spiserørsreaktion. Patienterne skal instrueres i at standse behandlingen med alendronat og søge læge, hvis de udvikler symptomer på spiserørsirritation såsom dysphagi, synkesmerter, retrosternal </w:t>
      </w:r>
      <w:r w:rsidR="00657703" w:rsidRPr="00657703">
        <w:rPr>
          <w:szCs w:val="24"/>
        </w:rPr>
        <w:t>smerte eller ny/forværret halsbrand (se pkt. 4.8).</w:t>
      </w:r>
    </w:p>
    <w:p w14:paraId="0DA538A6" w14:textId="147EEA1B" w:rsidR="00DC073A" w:rsidRPr="00215673" w:rsidRDefault="00DC073A" w:rsidP="0018430E">
      <w:pPr>
        <w:tabs>
          <w:tab w:val="left" w:pos="851"/>
        </w:tabs>
        <w:ind w:left="851"/>
        <w:rPr>
          <w:szCs w:val="24"/>
        </w:rPr>
      </w:pPr>
    </w:p>
    <w:p w14:paraId="167AE843" w14:textId="77777777" w:rsidR="00DC073A" w:rsidRDefault="00DC073A" w:rsidP="0018430E">
      <w:pPr>
        <w:tabs>
          <w:tab w:val="left" w:pos="851"/>
        </w:tabs>
        <w:ind w:left="851"/>
        <w:rPr>
          <w:szCs w:val="24"/>
        </w:rPr>
      </w:pPr>
      <w:r w:rsidRPr="00215673">
        <w:rPr>
          <w:szCs w:val="24"/>
        </w:rPr>
        <w:t>Risikoen for at få alvorlige spiserørsbivirkninger synes større hos patienter, der ikke tager alendronat som foreskrevet og/eller som fortsætter med at tage alendronat efter at have udviklet symptomer, der tyder på spiserørsirritation. Det er meget vigtigt, at patienterne modtager og forstår fyldestgørende instruktioner i indtagelse af alendronat (se pkt. 4.2). Patienterne skal informeres om, at der er øget risiko for spiserørsproblemer, hvis disse instruktioner ikke følges.</w:t>
      </w:r>
    </w:p>
    <w:p w14:paraId="042D0F69" w14:textId="77777777" w:rsidR="00450224" w:rsidRPr="00215673" w:rsidRDefault="00450224" w:rsidP="0018430E">
      <w:pPr>
        <w:tabs>
          <w:tab w:val="left" w:pos="851"/>
        </w:tabs>
        <w:ind w:left="851"/>
        <w:rPr>
          <w:szCs w:val="24"/>
        </w:rPr>
      </w:pPr>
    </w:p>
    <w:p w14:paraId="426898DE" w14:textId="77777777" w:rsidR="00657703" w:rsidRPr="00657703" w:rsidRDefault="00820B49" w:rsidP="00657703">
      <w:pPr>
        <w:tabs>
          <w:tab w:val="left" w:pos="851"/>
        </w:tabs>
        <w:ind w:left="851"/>
        <w:rPr>
          <w:szCs w:val="24"/>
        </w:rPr>
      </w:pPr>
      <w:r>
        <w:rPr>
          <w:szCs w:val="24"/>
        </w:rPr>
        <w:t xml:space="preserve">Selv om der i omfattende kliniske undersøgelser ikke er observeret en forøget risiko, har der efter klinisk ibrugtagning været sjældne rapporter om bivirkninger som mavesår og ulcus duodeni. Nogle af disse tilfælde har været alvorlige og med </w:t>
      </w:r>
      <w:r w:rsidR="00657703" w:rsidRPr="00657703">
        <w:rPr>
          <w:szCs w:val="24"/>
        </w:rPr>
        <w:t>komplikationer (se pkt. 4.8).</w:t>
      </w:r>
    </w:p>
    <w:p w14:paraId="699D5CF9" w14:textId="41BD4E2C" w:rsidR="00820B49" w:rsidRDefault="00820B49" w:rsidP="0018430E">
      <w:pPr>
        <w:tabs>
          <w:tab w:val="left" w:pos="851"/>
        </w:tabs>
        <w:ind w:left="851"/>
        <w:rPr>
          <w:szCs w:val="24"/>
        </w:rPr>
      </w:pPr>
    </w:p>
    <w:p w14:paraId="5504BAA3" w14:textId="77777777" w:rsidR="003A0922" w:rsidRDefault="003A0922" w:rsidP="0018430E">
      <w:pPr>
        <w:tabs>
          <w:tab w:val="left" w:pos="851"/>
        </w:tabs>
        <w:ind w:left="851"/>
        <w:rPr>
          <w:szCs w:val="24"/>
        </w:rPr>
      </w:pPr>
      <w:r>
        <w:rPr>
          <w:spacing w:val="-3"/>
          <w:u w:val="single"/>
        </w:rPr>
        <w:t>Osteonekrose i kæben</w:t>
      </w:r>
    </w:p>
    <w:p w14:paraId="3178D48F" w14:textId="77777777" w:rsidR="003A0922" w:rsidRDefault="003A0922" w:rsidP="0018430E">
      <w:pPr>
        <w:tabs>
          <w:tab w:val="left" w:pos="851"/>
        </w:tabs>
        <w:ind w:left="851"/>
        <w:rPr>
          <w:szCs w:val="24"/>
        </w:rPr>
      </w:pPr>
      <w:r>
        <w:rPr>
          <w:szCs w:val="24"/>
        </w:rPr>
        <w:t>Osteonekrose i kæben, generelt associeret med tandudtrækning og/eller lokal infektion (inklusive osteomyelitis) er blevet rapporteret hos patienter med cancer, som modtager behandling inklusive primært intravenøst administrerede bisfosfonater. Mange af disse patienter modtog også kemoterapi og kortikosteroider. Osteonekrose i kæberne er også blevet rapporteret hos patienter med osteoporose som behandles med orale bisfosfonater.</w:t>
      </w:r>
    </w:p>
    <w:p w14:paraId="037F4785" w14:textId="77777777" w:rsidR="003A0922" w:rsidRDefault="003A0922" w:rsidP="0018430E">
      <w:pPr>
        <w:tabs>
          <w:tab w:val="left" w:pos="851"/>
        </w:tabs>
        <w:ind w:left="851"/>
        <w:rPr>
          <w:szCs w:val="24"/>
        </w:rPr>
      </w:pPr>
    </w:p>
    <w:p w14:paraId="44E77D6D" w14:textId="77777777" w:rsidR="003A0922" w:rsidRDefault="003A0922" w:rsidP="0018430E">
      <w:pPr>
        <w:ind w:left="851"/>
        <w:rPr>
          <w:szCs w:val="24"/>
        </w:rPr>
      </w:pPr>
      <w:r>
        <w:rPr>
          <w:szCs w:val="24"/>
        </w:rPr>
        <w:t>Følgende risikofaktorer bør tages i betragtning ved vurdering af den enkelte patients risiko for at udvikle osteonekrose i kæben:</w:t>
      </w:r>
    </w:p>
    <w:p w14:paraId="7FC39CB4" w14:textId="77777777" w:rsidR="003A0922" w:rsidRDefault="003A0922" w:rsidP="00091AFC">
      <w:pPr>
        <w:numPr>
          <w:ilvl w:val="0"/>
          <w:numId w:val="15"/>
        </w:numPr>
        <w:ind w:left="1134" w:hanging="283"/>
        <w:rPr>
          <w:szCs w:val="24"/>
        </w:rPr>
      </w:pPr>
      <w:r>
        <w:rPr>
          <w:szCs w:val="24"/>
        </w:rPr>
        <w:t>Styrken af det anvendte bisfosfonat (størst for zoledronsyre), administrationsvej (se ovenfor) og den kumulative dosis.</w:t>
      </w:r>
    </w:p>
    <w:p w14:paraId="0E5FAAFE" w14:textId="77777777" w:rsidR="003A0922" w:rsidRDefault="003A0922" w:rsidP="00091AFC">
      <w:pPr>
        <w:numPr>
          <w:ilvl w:val="0"/>
          <w:numId w:val="15"/>
        </w:numPr>
        <w:ind w:left="1134" w:hanging="283"/>
        <w:rPr>
          <w:szCs w:val="24"/>
        </w:rPr>
      </w:pPr>
      <w:r>
        <w:rPr>
          <w:szCs w:val="24"/>
        </w:rPr>
        <w:t>Cancer, kemoterapi, strålebehandling, kortikosteroider, angiogenesehæmmer, rygning.</w:t>
      </w:r>
    </w:p>
    <w:p w14:paraId="072F80A8" w14:textId="77777777" w:rsidR="003A0922" w:rsidRDefault="003A0922" w:rsidP="00091AFC">
      <w:pPr>
        <w:numPr>
          <w:ilvl w:val="0"/>
          <w:numId w:val="15"/>
        </w:numPr>
        <w:ind w:left="1134" w:hanging="283"/>
        <w:rPr>
          <w:szCs w:val="24"/>
        </w:rPr>
      </w:pPr>
      <w:r>
        <w:rPr>
          <w:szCs w:val="24"/>
        </w:rPr>
        <w:lastRenderedPageBreak/>
        <w:t>Tidligere tandsygdomme, dårlig mundhygiejne, parodontale lidelser, invasiv tandbehandling og dårligt siddende tandproteser.</w:t>
      </w:r>
    </w:p>
    <w:p w14:paraId="44677137" w14:textId="77777777" w:rsidR="003A0922" w:rsidRDefault="003A0922" w:rsidP="0018430E">
      <w:pPr>
        <w:ind w:left="851"/>
        <w:rPr>
          <w:szCs w:val="24"/>
        </w:rPr>
      </w:pPr>
    </w:p>
    <w:p w14:paraId="4F6F300F" w14:textId="77777777" w:rsidR="003A0922" w:rsidRDefault="003A0922" w:rsidP="0018430E">
      <w:pPr>
        <w:tabs>
          <w:tab w:val="left" w:pos="851"/>
        </w:tabs>
        <w:ind w:left="851"/>
        <w:rPr>
          <w:szCs w:val="24"/>
        </w:rPr>
      </w:pPr>
      <w:r>
        <w:rPr>
          <w:szCs w:val="24"/>
        </w:rPr>
        <w:t>Et tandeftersyn med passende forebyggende tandpleje bør overvejes før behandlingen med orale bisfosfonater til patienter med dårlig tandstatus.</w:t>
      </w:r>
    </w:p>
    <w:p w14:paraId="77938A8F" w14:textId="77777777" w:rsidR="003A0922" w:rsidRDefault="003A0922" w:rsidP="0018430E">
      <w:pPr>
        <w:tabs>
          <w:tab w:val="left" w:pos="851"/>
        </w:tabs>
        <w:ind w:left="851"/>
        <w:rPr>
          <w:szCs w:val="24"/>
        </w:rPr>
      </w:pPr>
    </w:p>
    <w:p w14:paraId="72378B5A" w14:textId="77777777" w:rsidR="003A0922" w:rsidRDefault="003A0922" w:rsidP="0018430E">
      <w:pPr>
        <w:tabs>
          <w:tab w:val="left" w:pos="851"/>
        </w:tabs>
        <w:ind w:left="851"/>
        <w:rPr>
          <w:szCs w:val="24"/>
        </w:rPr>
      </w:pPr>
      <w:r>
        <w:rPr>
          <w:szCs w:val="24"/>
        </w:rPr>
        <w:t xml:space="preserve">Mens disse patienter er under behandling, bør de, hvis muligt undgå invasive tandlægeindgreb. Hos patienter, der udvikler osteonekrose i kæberne, mens de er under behandling med bisfosfonat, kan oralkirugi forværre tilstanden. For patienter, som skal have foretaget tandlægebehandlinger, forefindes der ingen data, der indikerer, at ophør af behandlingen med bisfosfonat nedsætter risikoen for osteonekrose i kæberne.     </w:t>
      </w:r>
    </w:p>
    <w:p w14:paraId="57EA0231" w14:textId="77777777" w:rsidR="003A0922" w:rsidRDefault="003A0922" w:rsidP="0018430E">
      <w:pPr>
        <w:tabs>
          <w:tab w:val="left" w:pos="851"/>
        </w:tabs>
        <w:ind w:left="851"/>
        <w:rPr>
          <w:szCs w:val="24"/>
        </w:rPr>
      </w:pPr>
    </w:p>
    <w:p w14:paraId="4762ED70" w14:textId="77777777" w:rsidR="003A0922" w:rsidRDefault="003A0922" w:rsidP="0018430E">
      <w:pPr>
        <w:tabs>
          <w:tab w:val="left" w:pos="851"/>
        </w:tabs>
        <w:ind w:left="851"/>
        <w:rPr>
          <w:szCs w:val="24"/>
        </w:rPr>
      </w:pPr>
      <w:r>
        <w:rPr>
          <w:szCs w:val="24"/>
        </w:rPr>
        <w:t xml:space="preserve">Den behandlende læge bør via en klinisk vurdering strukturere hver enkelt patients behandlingsstrategi efter en individuel vurdering af fordele kontra ulemper. </w:t>
      </w:r>
    </w:p>
    <w:p w14:paraId="393BC126" w14:textId="77777777" w:rsidR="003A0922" w:rsidRDefault="003A0922" w:rsidP="0018430E">
      <w:pPr>
        <w:tabs>
          <w:tab w:val="left" w:pos="851"/>
        </w:tabs>
        <w:ind w:left="851"/>
        <w:rPr>
          <w:szCs w:val="24"/>
        </w:rPr>
      </w:pPr>
    </w:p>
    <w:p w14:paraId="446D9204" w14:textId="77777777" w:rsidR="003A0922" w:rsidRDefault="003A0922" w:rsidP="0018430E">
      <w:pPr>
        <w:tabs>
          <w:tab w:val="left" w:pos="851"/>
        </w:tabs>
        <w:ind w:left="851"/>
        <w:rPr>
          <w:szCs w:val="24"/>
        </w:rPr>
      </w:pPr>
      <w:r>
        <w:rPr>
          <w:szCs w:val="24"/>
        </w:rPr>
        <w:t>Under behandling med bisfosfonat skal alle patienter opfordres til at opretholde en god mundhygiejne, få foretaget rutinemæssige tandeftersyn og indberette alle orale symptomer som f.eks.tandmobilitet, smerte eller hævelse.</w:t>
      </w:r>
    </w:p>
    <w:p w14:paraId="3A877AAC" w14:textId="77777777" w:rsidR="003A0922" w:rsidRDefault="003A0922" w:rsidP="0018430E">
      <w:pPr>
        <w:tabs>
          <w:tab w:val="left" w:pos="851"/>
        </w:tabs>
        <w:ind w:left="851"/>
        <w:rPr>
          <w:szCs w:val="24"/>
        </w:rPr>
      </w:pPr>
    </w:p>
    <w:p w14:paraId="7A79DC71" w14:textId="77777777" w:rsidR="003A0922" w:rsidRDefault="003A0922" w:rsidP="0018430E">
      <w:pPr>
        <w:tabs>
          <w:tab w:val="left" w:pos="851"/>
        </w:tabs>
        <w:ind w:left="851"/>
        <w:rPr>
          <w:spacing w:val="-3"/>
          <w:u w:val="single"/>
        </w:rPr>
      </w:pPr>
      <w:r>
        <w:rPr>
          <w:spacing w:val="-3"/>
          <w:u w:val="single"/>
        </w:rPr>
        <w:t>Osteonekrose af øregangen</w:t>
      </w:r>
    </w:p>
    <w:p w14:paraId="4B7C5736" w14:textId="77777777" w:rsidR="00657703" w:rsidRPr="00657703" w:rsidRDefault="003A0922" w:rsidP="00657703">
      <w:pPr>
        <w:tabs>
          <w:tab w:val="left" w:pos="851"/>
        </w:tabs>
        <w:ind w:left="851"/>
        <w:rPr>
          <w:szCs w:val="24"/>
        </w:rPr>
      </w:pPr>
      <w:r>
        <w:rPr>
          <w:szCs w:val="24"/>
        </w:rPr>
        <w:t xml:space="preserve">Der er rapporteret osteonekrose af øregangen med bisfosfonater, hovedsageligt i forbindelse med langtidsbehandling. Mulige risikofaktorer for osteonekrose af øregangen inkluderer steroider og kemoterapi og/eller lokale risikofaktorer som infektioner eller traumer. Muligheden for osteonekrose af øregangen skal overvejes hos patienter, der får behandling med bisfosfonater, og som udviser </w:t>
      </w:r>
      <w:r w:rsidR="00657703" w:rsidRPr="00657703">
        <w:rPr>
          <w:szCs w:val="24"/>
        </w:rPr>
        <w:t xml:space="preserve">øresymptomer </w:t>
      </w:r>
      <w:r w:rsidR="00657703" w:rsidRPr="00657703">
        <w:rPr>
          <w:iCs/>
          <w:szCs w:val="24"/>
        </w:rPr>
        <w:t>såsom øresmerter eller udflåd fra øret, eller</w:t>
      </w:r>
      <w:r w:rsidR="00657703" w:rsidRPr="00657703">
        <w:rPr>
          <w:szCs w:val="24"/>
        </w:rPr>
        <w:t xml:space="preserve"> kroniske øreinfektioner.</w:t>
      </w:r>
    </w:p>
    <w:p w14:paraId="2A174F1F" w14:textId="7C2A8BEE" w:rsidR="003A0922" w:rsidRDefault="003A0922" w:rsidP="0018430E">
      <w:pPr>
        <w:tabs>
          <w:tab w:val="left" w:pos="851"/>
        </w:tabs>
        <w:ind w:left="851"/>
        <w:rPr>
          <w:szCs w:val="24"/>
        </w:rPr>
      </w:pPr>
    </w:p>
    <w:p w14:paraId="5B4313C1" w14:textId="77777777" w:rsidR="003A0922" w:rsidRDefault="003A0922" w:rsidP="0018430E">
      <w:pPr>
        <w:tabs>
          <w:tab w:val="left" w:pos="851"/>
        </w:tabs>
        <w:ind w:left="851"/>
        <w:rPr>
          <w:szCs w:val="24"/>
        </w:rPr>
      </w:pPr>
      <w:r>
        <w:rPr>
          <w:spacing w:val="-3"/>
          <w:u w:val="single"/>
        </w:rPr>
        <w:t>Knogle-, led- og muskelsmerter</w:t>
      </w:r>
    </w:p>
    <w:p w14:paraId="3759B57F" w14:textId="77777777" w:rsidR="003A0922" w:rsidRDefault="003A0922" w:rsidP="0018430E">
      <w:pPr>
        <w:tabs>
          <w:tab w:val="left" w:pos="851"/>
        </w:tabs>
        <w:ind w:left="851"/>
        <w:rPr>
          <w:szCs w:val="24"/>
        </w:rPr>
      </w:pPr>
      <w:r>
        <w:rPr>
          <w:szCs w:val="24"/>
        </w:rPr>
        <w:t xml:space="preserve">Der er rapporter om knogle-, led- og muskelsmerter hos patienter, der har taget bisfosfonater. Erfaringen efter markedsføring har vist, at disse symptomer kun sjældent har været alvorlige og/eller invaliderende (se pkt. 4.8). Frembruddet af disse symptomer er indtruffet på forskellige tidspunkter, spændende fra 1 dag til flere måneder efter behandlingens start. Hos de fleste patienter lindres symptomerne efter endt behandling. En del af disse patienter oplevede et tilbagefald i symptomerne, når de genoptog behandlingen med det samme lægemiddel eller andre bisfosfonater. </w:t>
      </w:r>
    </w:p>
    <w:p w14:paraId="07948F93" w14:textId="77777777" w:rsidR="003A0922" w:rsidRDefault="003A0922" w:rsidP="0018430E">
      <w:pPr>
        <w:tabs>
          <w:tab w:val="left" w:pos="851"/>
        </w:tabs>
        <w:ind w:left="851"/>
        <w:rPr>
          <w:szCs w:val="24"/>
        </w:rPr>
      </w:pPr>
    </w:p>
    <w:p w14:paraId="6954A3FC" w14:textId="77777777" w:rsidR="003A0922" w:rsidRDefault="003A0922" w:rsidP="0018430E">
      <w:pPr>
        <w:tabs>
          <w:tab w:val="left" w:pos="851"/>
        </w:tabs>
        <w:ind w:left="851"/>
        <w:rPr>
          <w:iCs/>
          <w:szCs w:val="24"/>
        </w:rPr>
      </w:pPr>
      <w:r>
        <w:rPr>
          <w:bCs/>
          <w:szCs w:val="24"/>
          <w:u w:val="single"/>
        </w:rPr>
        <w:t>Atypiske femurfrakturer</w:t>
      </w:r>
      <w:r>
        <w:rPr>
          <w:iCs/>
          <w:szCs w:val="24"/>
        </w:rPr>
        <w:t xml:space="preserve"> </w:t>
      </w:r>
    </w:p>
    <w:p w14:paraId="6F23F37B" w14:textId="77777777" w:rsidR="003A0922" w:rsidRDefault="003A0922" w:rsidP="0018430E">
      <w:pPr>
        <w:tabs>
          <w:tab w:val="left" w:pos="851"/>
        </w:tabs>
        <w:ind w:left="851"/>
        <w:rPr>
          <w:szCs w:val="24"/>
        </w:rPr>
      </w:pPr>
      <w:r>
        <w:rPr>
          <w:iCs/>
          <w:szCs w:val="24"/>
        </w:rPr>
        <w:t xml:space="preserve">Der er rapporteret om atypiske subtrochantære og diafyseale femurfrakturer ved bisfosfonatbehandling, primært hos patienter i langtidsbehandling af osteoporose. Disse transverse eller korte oblikke frakturer kan forekomme hvor som helst på femur, fra lige under trochanter minor til lige over det suprakondylære svaj. Disse frakturer forekommer efter minimalt eller intet traume, men nogle patienter får lår- eller lyskesmerter, ofte med tilhørende billedmæssige karakteristika af stressfrakturer, uger til måneder før den komplette femurfraktur viser sig. Frakturerne er ofte bilaterale. Derfor bør den kontralaterale femur undersøges hos patienter, som behandles med bisfosfonater, og som har pådraget sig en fraktur af lårbensskaftet. Dårlig heling af disse frakturer er også blevet rapporteret. Det bør overvejes at seponere bisfosfonat hos patienter med mistanke om atypisk femurfraktur, indtil der foreligger en evaluering af patienten, baseret på en individuel benefit/risk-vurdering. </w:t>
      </w:r>
    </w:p>
    <w:p w14:paraId="514095F7" w14:textId="77777777" w:rsidR="003A0922" w:rsidRDefault="003A0922" w:rsidP="0018430E">
      <w:pPr>
        <w:tabs>
          <w:tab w:val="left" w:pos="851"/>
        </w:tabs>
        <w:ind w:left="851"/>
        <w:rPr>
          <w:iCs/>
          <w:szCs w:val="24"/>
        </w:rPr>
      </w:pPr>
      <w:r>
        <w:rPr>
          <w:iCs/>
          <w:szCs w:val="24"/>
        </w:rPr>
        <w:t>Patienten skal informeres om at rapportere enhver lår-, hofte- eller lyskesmerte under bisfosfonatbehandlingen, og alle patienter, som fremviser disse symptomer, skal evalueres for en ufuldstændig femurfraktur.</w:t>
      </w:r>
    </w:p>
    <w:p w14:paraId="78DED597" w14:textId="77777777" w:rsidR="00657703" w:rsidRDefault="00657703" w:rsidP="0018430E">
      <w:pPr>
        <w:tabs>
          <w:tab w:val="left" w:pos="851"/>
        </w:tabs>
        <w:ind w:left="851"/>
        <w:rPr>
          <w:iCs/>
          <w:szCs w:val="24"/>
        </w:rPr>
      </w:pPr>
    </w:p>
    <w:p w14:paraId="1D0699F0" w14:textId="77777777" w:rsidR="00657703" w:rsidRPr="00657703" w:rsidRDefault="00657703" w:rsidP="00657703">
      <w:pPr>
        <w:tabs>
          <w:tab w:val="left" w:pos="851"/>
        </w:tabs>
        <w:ind w:left="851"/>
        <w:rPr>
          <w:bCs/>
          <w:iCs/>
          <w:szCs w:val="24"/>
          <w:u w:val="single"/>
        </w:rPr>
      </w:pPr>
      <w:r w:rsidRPr="00657703">
        <w:rPr>
          <w:bCs/>
          <w:iCs/>
          <w:szCs w:val="24"/>
          <w:u w:val="single"/>
        </w:rPr>
        <w:t>Atypiske frakturer på andre knogler</w:t>
      </w:r>
    </w:p>
    <w:p w14:paraId="214C3E2B" w14:textId="77777777" w:rsidR="00657703" w:rsidRPr="00657703" w:rsidRDefault="00657703" w:rsidP="00657703">
      <w:pPr>
        <w:tabs>
          <w:tab w:val="left" w:pos="851"/>
        </w:tabs>
        <w:ind w:left="851"/>
        <w:rPr>
          <w:bCs/>
          <w:szCs w:val="24"/>
        </w:rPr>
      </w:pPr>
      <w:r w:rsidRPr="00657703">
        <w:rPr>
          <w:bCs/>
          <w:szCs w:val="24"/>
        </w:rPr>
        <w:t>Atypiske frakturer på andre knogler, såsom ulna og tibia, er også blevet rapporteret hos patienter, der får langvarig behandling. Som med atypiske femurfrakturer opstår disse brud efter minimalt eller intet traume, og nogle patienter oplever prodromale smerter, før et fuldstændig brud forekommer. I tilfælde af ulnafraktur kan dette være forbundet med gentagen stressbelastning i forbindelse med langvarig brug af ganghjælpemidler.</w:t>
      </w:r>
    </w:p>
    <w:p w14:paraId="35C60E4E" w14:textId="77777777" w:rsidR="003A0922" w:rsidRDefault="003A0922" w:rsidP="0018430E">
      <w:pPr>
        <w:tabs>
          <w:tab w:val="left" w:pos="851"/>
        </w:tabs>
        <w:ind w:left="851"/>
        <w:rPr>
          <w:szCs w:val="24"/>
        </w:rPr>
      </w:pPr>
    </w:p>
    <w:p w14:paraId="0A1F9D8E" w14:textId="77777777" w:rsidR="003A0922" w:rsidRDefault="003A0922" w:rsidP="0018430E">
      <w:pPr>
        <w:ind w:left="851"/>
        <w:rPr>
          <w:szCs w:val="24"/>
        </w:rPr>
      </w:pPr>
      <w:r>
        <w:rPr>
          <w:spacing w:val="-3"/>
          <w:u w:val="single"/>
        </w:rPr>
        <w:t>Hudreaktioner</w:t>
      </w:r>
      <w:r>
        <w:rPr>
          <w:szCs w:val="24"/>
        </w:rPr>
        <w:t xml:space="preserve"> </w:t>
      </w:r>
    </w:p>
    <w:p w14:paraId="5FF6C68B" w14:textId="77777777" w:rsidR="00657703" w:rsidRDefault="003A0922" w:rsidP="0018430E">
      <w:pPr>
        <w:ind w:left="851"/>
        <w:rPr>
          <w:szCs w:val="24"/>
        </w:rPr>
      </w:pPr>
      <w:r>
        <w:rPr>
          <w:szCs w:val="24"/>
        </w:rPr>
        <w:t>Efter markedsføring er der i sjældne tilfælde rapporteret om alvorlige hudreaktioner, herunder Stevens-Johnsons syndrom og toksisk epidermal nekrolyse.</w:t>
      </w:r>
    </w:p>
    <w:p w14:paraId="3D2FB1D7" w14:textId="77777777" w:rsidR="00657703" w:rsidRDefault="00657703" w:rsidP="0018430E">
      <w:pPr>
        <w:ind w:left="851"/>
        <w:rPr>
          <w:szCs w:val="24"/>
        </w:rPr>
      </w:pPr>
    </w:p>
    <w:p w14:paraId="386ED8AB" w14:textId="77777777" w:rsidR="003A0922" w:rsidRDefault="003A0922" w:rsidP="0018430E">
      <w:pPr>
        <w:tabs>
          <w:tab w:val="left" w:pos="851"/>
        </w:tabs>
        <w:ind w:left="851"/>
        <w:rPr>
          <w:szCs w:val="24"/>
        </w:rPr>
      </w:pPr>
      <w:r>
        <w:rPr>
          <w:spacing w:val="-3"/>
          <w:u w:val="single"/>
        </w:rPr>
        <w:t>Nedsat nyrefunktion</w:t>
      </w:r>
      <w:r>
        <w:rPr>
          <w:szCs w:val="24"/>
        </w:rPr>
        <w:t xml:space="preserve"> </w:t>
      </w:r>
    </w:p>
    <w:p w14:paraId="0F7AE167" w14:textId="77777777" w:rsidR="003A0922" w:rsidRDefault="003A0922" w:rsidP="0018430E">
      <w:pPr>
        <w:tabs>
          <w:tab w:val="left" w:pos="851"/>
        </w:tabs>
        <w:ind w:left="851"/>
        <w:rPr>
          <w:szCs w:val="24"/>
        </w:rPr>
      </w:pPr>
      <w:r>
        <w:rPr>
          <w:szCs w:val="24"/>
        </w:rPr>
        <w:t xml:space="preserve">Alendronat </w:t>
      </w:r>
      <w:r w:rsidR="00C22DDF">
        <w:rPr>
          <w:szCs w:val="24"/>
        </w:rPr>
        <w:t>"</w:t>
      </w:r>
      <w:r>
        <w:rPr>
          <w:szCs w:val="24"/>
        </w:rPr>
        <w:t>Sandoz</w:t>
      </w:r>
      <w:r w:rsidR="00C22DDF">
        <w:rPr>
          <w:szCs w:val="24"/>
        </w:rPr>
        <w:t>"</w:t>
      </w:r>
      <w:r>
        <w:rPr>
          <w:szCs w:val="24"/>
        </w:rPr>
        <w:t xml:space="preserve"> anbefales ikke til patienter med nedsat nyrefunktion, hvor creatinin clearance er under 35 ml/min (se pkt. 4.2).</w:t>
      </w:r>
    </w:p>
    <w:p w14:paraId="7825F89E" w14:textId="77777777" w:rsidR="003A0922" w:rsidRDefault="003A0922" w:rsidP="0018430E">
      <w:pPr>
        <w:tabs>
          <w:tab w:val="left" w:pos="851"/>
        </w:tabs>
        <w:ind w:left="851"/>
        <w:rPr>
          <w:szCs w:val="24"/>
        </w:rPr>
      </w:pPr>
    </w:p>
    <w:p w14:paraId="63BFBB2F" w14:textId="77777777" w:rsidR="003A0922" w:rsidRDefault="003A0922" w:rsidP="0018430E">
      <w:pPr>
        <w:tabs>
          <w:tab w:val="left" w:pos="851"/>
        </w:tabs>
        <w:ind w:left="851"/>
        <w:rPr>
          <w:szCs w:val="24"/>
        </w:rPr>
      </w:pPr>
      <w:r>
        <w:rPr>
          <w:spacing w:val="-3"/>
          <w:u w:val="single"/>
        </w:rPr>
        <w:t>Knogle- og mineralmetabolisme</w:t>
      </w:r>
      <w:r>
        <w:rPr>
          <w:szCs w:val="24"/>
        </w:rPr>
        <w:t xml:space="preserve"> </w:t>
      </w:r>
    </w:p>
    <w:p w14:paraId="4D7CE898" w14:textId="77777777" w:rsidR="003A0922" w:rsidRDefault="003A0922" w:rsidP="0018430E">
      <w:pPr>
        <w:tabs>
          <w:tab w:val="left" w:pos="851"/>
        </w:tabs>
        <w:ind w:left="851"/>
        <w:rPr>
          <w:szCs w:val="24"/>
        </w:rPr>
      </w:pPr>
      <w:r>
        <w:rPr>
          <w:szCs w:val="24"/>
        </w:rPr>
        <w:t>Andre årsager til osteoporose end østrogenmangel og aldring bør overvejes.</w:t>
      </w:r>
    </w:p>
    <w:p w14:paraId="4BF3E5FC" w14:textId="77777777" w:rsidR="003A0922" w:rsidRDefault="003A0922" w:rsidP="0018430E">
      <w:pPr>
        <w:tabs>
          <w:tab w:val="left" w:pos="851"/>
        </w:tabs>
        <w:ind w:left="851"/>
        <w:rPr>
          <w:szCs w:val="24"/>
        </w:rPr>
      </w:pPr>
      <w:r>
        <w:rPr>
          <w:szCs w:val="24"/>
        </w:rPr>
        <w:t xml:space="preserve">Hypocalcæmi bør korrigeres, før en behandling med alendronat påbegyndes (se pkt. 4.3). Andre forstyrrelser i mineralstofskiftet (som f.eks. D-vitaminmangel og hypoparathyroidisme) bør ligeledes behandles effektivt før behandling med alendronat påbegyndes. Hos patienter med disse lidelser bør serum-kalcium og symptomer på hypocalcæmi monitoreres under behandling med alendronat. </w:t>
      </w:r>
    </w:p>
    <w:p w14:paraId="66CADB6C" w14:textId="77777777" w:rsidR="003A0922" w:rsidRDefault="003A0922" w:rsidP="0018430E">
      <w:pPr>
        <w:tabs>
          <w:tab w:val="left" w:pos="851"/>
        </w:tabs>
        <w:ind w:left="851"/>
        <w:rPr>
          <w:szCs w:val="24"/>
        </w:rPr>
      </w:pPr>
    </w:p>
    <w:p w14:paraId="0F50A723" w14:textId="77777777" w:rsidR="003A0922" w:rsidRDefault="003A0922" w:rsidP="0018430E">
      <w:pPr>
        <w:tabs>
          <w:tab w:val="left" w:pos="851"/>
        </w:tabs>
        <w:ind w:left="851"/>
        <w:rPr>
          <w:szCs w:val="24"/>
        </w:rPr>
      </w:pPr>
      <w:r>
        <w:rPr>
          <w:szCs w:val="24"/>
        </w:rPr>
        <w:t>På grund af alendronats positive effekt på øgning i knoglemineraltætheden kan der forekomme fald i serum-kalcium og serum fosfat, især hos patienter der tager glucokortikoider, da calciumabsorptionen kan være nedsat. Disse er sædvanligvis mindre og asymptomatiske. I sjældne tilfælde er symptomatisk hypocalcæmi rapporteret, som til tider har været alvorlig og oftest hos patienter med prædisponerede lidelser (f.eks. hypoparathyrodisme, D-vitaminmangel og i tilfælde af nedsat kalciumabsorption).</w:t>
      </w:r>
    </w:p>
    <w:p w14:paraId="2428A895" w14:textId="77777777" w:rsidR="003A0922" w:rsidRDefault="003A0922" w:rsidP="0018430E">
      <w:pPr>
        <w:tabs>
          <w:tab w:val="left" w:pos="851"/>
        </w:tabs>
        <w:ind w:left="851"/>
        <w:rPr>
          <w:szCs w:val="24"/>
        </w:rPr>
      </w:pPr>
    </w:p>
    <w:p w14:paraId="46D81ED1" w14:textId="77777777" w:rsidR="003A0922" w:rsidRDefault="003A0922" w:rsidP="0018430E">
      <w:pPr>
        <w:tabs>
          <w:tab w:val="left" w:pos="851"/>
        </w:tabs>
        <w:ind w:left="851"/>
        <w:rPr>
          <w:szCs w:val="24"/>
        </w:rPr>
      </w:pPr>
      <w:r>
        <w:rPr>
          <w:szCs w:val="24"/>
        </w:rPr>
        <w:t>Det er derfor særlig vigtigt at sikre en tilstrækkeligt indtagelse af kalcium og D-vitamin hos patienter i glukokorticoidbehandling.</w:t>
      </w:r>
    </w:p>
    <w:p w14:paraId="6C2304BA" w14:textId="77777777" w:rsidR="000900A1" w:rsidRDefault="000900A1" w:rsidP="0018430E">
      <w:pPr>
        <w:tabs>
          <w:tab w:val="left" w:pos="851"/>
        </w:tabs>
        <w:ind w:left="851"/>
        <w:rPr>
          <w:iCs/>
          <w:szCs w:val="24"/>
        </w:rPr>
      </w:pPr>
    </w:p>
    <w:p w14:paraId="16793461" w14:textId="77777777" w:rsidR="00664D00" w:rsidRPr="00880066" w:rsidRDefault="00664D00" w:rsidP="0018430E">
      <w:pPr>
        <w:ind w:left="851"/>
        <w:rPr>
          <w:szCs w:val="24"/>
          <w:u w:val="single"/>
        </w:rPr>
      </w:pPr>
      <w:r w:rsidRPr="006C580A">
        <w:rPr>
          <w:szCs w:val="24"/>
          <w:u w:val="single"/>
        </w:rPr>
        <w:t xml:space="preserve">Alendronat </w:t>
      </w:r>
      <w:r w:rsidR="00C22DDF">
        <w:rPr>
          <w:szCs w:val="24"/>
          <w:u w:val="single"/>
        </w:rPr>
        <w:t>"</w:t>
      </w:r>
      <w:r w:rsidRPr="006C580A">
        <w:rPr>
          <w:szCs w:val="24"/>
          <w:u w:val="single"/>
        </w:rPr>
        <w:t>Sandoz</w:t>
      </w:r>
      <w:r w:rsidR="00C22DDF">
        <w:rPr>
          <w:szCs w:val="24"/>
          <w:u w:val="single"/>
        </w:rPr>
        <w:t>"</w:t>
      </w:r>
      <w:r w:rsidRPr="006C580A">
        <w:rPr>
          <w:szCs w:val="24"/>
          <w:u w:val="single"/>
        </w:rPr>
        <w:t xml:space="preserve"> indeholder natrium</w:t>
      </w:r>
    </w:p>
    <w:p w14:paraId="42DB3ACA" w14:textId="77777777" w:rsidR="00664D00" w:rsidRDefault="00664D00" w:rsidP="0018430E">
      <w:pPr>
        <w:ind w:left="851"/>
        <w:rPr>
          <w:szCs w:val="24"/>
        </w:rPr>
      </w:pPr>
      <w:r w:rsidRPr="00F935F4">
        <w:rPr>
          <w:szCs w:val="24"/>
        </w:rPr>
        <w:t xml:space="preserve">Dette lægemiddel indeholder mindre end 1 mmol (23 mg) natrium pr. </w:t>
      </w:r>
      <w:r>
        <w:rPr>
          <w:szCs w:val="24"/>
        </w:rPr>
        <w:t>filmovertrukken tablet</w:t>
      </w:r>
      <w:r w:rsidRPr="00F935F4">
        <w:rPr>
          <w:szCs w:val="24"/>
        </w:rPr>
        <w:t>, dvs. den er i det væsentlige natriumfri.</w:t>
      </w:r>
    </w:p>
    <w:p w14:paraId="6F6B3125" w14:textId="77777777" w:rsidR="00664D00" w:rsidRDefault="00664D00" w:rsidP="0018430E">
      <w:pPr>
        <w:tabs>
          <w:tab w:val="left" w:pos="851"/>
        </w:tabs>
        <w:ind w:left="851"/>
      </w:pPr>
    </w:p>
    <w:p w14:paraId="7E494981" w14:textId="77777777" w:rsidR="000900A1" w:rsidRDefault="000900A1" w:rsidP="00C22DDF">
      <w:pPr>
        <w:numPr>
          <w:ilvl w:val="1"/>
          <w:numId w:val="1"/>
        </w:numPr>
        <w:ind w:left="851"/>
        <w:rPr>
          <w:b/>
        </w:rPr>
      </w:pPr>
      <w:r>
        <w:rPr>
          <w:b/>
        </w:rPr>
        <w:t>Interaktion med andre lægemidler og andre former for interaktion</w:t>
      </w:r>
    </w:p>
    <w:p w14:paraId="5C95DDD0" w14:textId="77777777" w:rsidR="00B4589A" w:rsidRPr="00215673" w:rsidRDefault="00B4589A" w:rsidP="0018430E">
      <w:pPr>
        <w:tabs>
          <w:tab w:val="left" w:pos="851"/>
        </w:tabs>
        <w:ind w:left="851"/>
        <w:rPr>
          <w:szCs w:val="24"/>
        </w:rPr>
      </w:pPr>
      <w:r w:rsidRPr="00215673">
        <w:rPr>
          <w:szCs w:val="24"/>
        </w:rPr>
        <w:t>Hvis alendronat indtages sammen med mad og drikke (inklusiv</w:t>
      </w:r>
      <w:r w:rsidR="00450224">
        <w:rPr>
          <w:szCs w:val="24"/>
        </w:rPr>
        <w:t>e</w:t>
      </w:r>
      <w:r w:rsidR="003A0922">
        <w:rPr>
          <w:szCs w:val="24"/>
        </w:rPr>
        <w:t xml:space="preserve"> mineralvand), kalcium</w:t>
      </w:r>
      <w:r w:rsidRPr="00215673">
        <w:rPr>
          <w:szCs w:val="24"/>
        </w:rPr>
        <w:t xml:space="preserve">tilskud, antacida og visse peroralt administrerede lægemidler, er det sandsynligt, at det vil påvirke absorptionen af alendronat. Derfor skal patienterne vente mindst en halv time efter indtagelse af alendronat, før der indtages andre orale lægemidler (se pkt. 4.2). </w:t>
      </w:r>
    </w:p>
    <w:p w14:paraId="7C6B4974" w14:textId="77777777" w:rsidR="00B4589A" w:rsidRPr="00215673" w:rsidRDefault="00B4589A" w:rsidP="0018430E">
      <w:pPr>
        <w:tabs>
          <w:tab w:val="left" w:pos="851"/>
        </w:tabs>
        <w:ind w:left="851"/>
        <w:rPr>
          <w:szCs w:val="24"/>
        </w:rPr>
      </w:pPr>
    </w:p>
    <w:p w14:paraId="3AEDDFA0" w14:textId="77777777" w:rsidR="00B4589A" w:rsidRPr="00215673" w:rsidRDefault="00B4589A" w:rsidP="0018430E">
      <w:pPr>
        <w:tabs>
          <w:tab w:val="left" w:pos="851"/>
        </w:tabs>
        <w:ind w:left="851"/>
        <w:rPr>
          <w:szCs w:val="24"/>
        </w:rPr>
      </w:pPr>
      <w:r>
        <w:rPr>
          <w:szCs w:val="24"/>
        </w:rPr>
        <w:t xml:space="preserve">Alendronat </w:t>
      </w:r>
      <w:r w:rsidR="00C22DDF">
        <w:rPr>
          <w:szCs w:val="24"/>
        </w:rPr>
        <w:t>"</w:t>
      </w:r>
      <w:r>
        <w:rPr>
          <w:szCs w:val="24"/>
        </w:rPr>
        <w:t>Sandoz</w:t>
      </w:r>
      <w:r w:rsidR="00C22DDF">
        <w:rPr>
          <w:szCs w:val="24"/>
        </w:rPr>
        <w:t>"</w:t>
      </w:r>
      <w:r w:rsidRPr="00215673">
        <w:rPr>
          <w:szCs w:val="24"/>
        </w:rPr>
        <w:t xml:space="preserve"> forventes ikke at have andre lægemiddelinteraktioner af klinisk signifikans. Et antal af patienter i de kliniske tests fik østrogen (intravaginalt, transdermalt eller peroralt) samtidigt med alendronat. Ingen bivirkninger kunne relateres til kombinationsbehandlingen.</w:t>
      </w:r>
    </w:p>
    <w:p w14:paraId="52A8D9F6" w14:textId="77777777" w:rsidR="00B4589A" w:rsidRDefault="00B4589A" w:rsidP="0018430E">
      <w:pPr>
        <w:tabs>
          <w:tab w:val="left" w:pos="851"/>
        </w:tabs>
        <w:ind w:left="851"/>
        <w:rPr>
          <w:szCs w:val="24"/>
        </w:rPr>
      </w:pPr>
    </w:p>
    <w:p w14:paraId="32BE8E3B" w14:textId="77777777" w:rsidR="00450224" w:rsidRPr="00574F62" w:rsidRDefault="00450224" w:rsidP="0018430E">
      <w:pPr>
        <w:ind w:left="851"/>
        <w:rPr>
          <w:szCs w:val="24"/>
        </w:rPr>
      </w:pPr>
      <w:r w:rsidRPr="00574F62">
        <w:rPr>
          <w:szCs w:val="24"/>
        </w:rPr>
        <w:t xml:space="preserve">Da anvendelse af NSAID er forbundet med gastrointestinal irritation, skal </w:t>
      </w:r>
      <w:r>
        <w:rPr>
          <w:szCs w:val="24"/>
        </w:rPr>
        <w:t xml:space="preserve">der udvises </w:t>
      </w:r>
      <w:r w:rsidRPr="00574F62">
        <w:rPr>
          <w:szCs w:val="24"/>
        </w:rPr>
        <w:t>forsigtighed ved samtidig behandling med alendronat.</w:t>
      </w:r>
    </w:p>
    <w:p w14:paraId="53633B6F" w14:textId="77777777" w:rsidR="00450224" w:rsidRPr="00215673" w:rsidRDefault="00450224" w:rsidP="0018430E">
      <w:pPr>
        <w:tabs>
          <w:tab w:val="left" w:pos="851"/>
        </w:tabs>
        <w:ind w:left="851"/>
        <w:rPr>
          <w:szCs w:val="24"/>
        </w:rPr>
      </w:pPr>
    </w:p>
    <w:p w14:paraId="20EBEE8A" w14:textId="77777777" w:rsidR="00B4589A" w:rsidRDefault="00B4589A" w:rsidP="0018430E">
      <w:pPr>
        <w:tabs>
          <w:tab w:val="left" w:pos="851"/>
        </w:tabs>
        <w:ind w:left="851"/>
        <w:rPr>
          <w:szCs w:val="24"/>
        </w:rPr>
      </w:pPr>
      <w:r w:rsidRPr="00215673">
        <w:rPr>
          <w:szCs w:val="24"/>
        </w:rPr>
        <w:t xml:space="preserve">Ingen specifikke interaktionsstudier er blevet udført, men alendronat er i kliniske forsøg administreret samtidigt med en lang række almindeligt anvendte lægemidler uden tegn på klinisk ugunstige interaktioner. </w:t>
      </w:r>
    </w:p>
    <w:p w14:paraId="162AD61D" w14:textId="69C65A99" w:rsidR="00DC073A" w:rsidRPr="00215673" w:rsidRDefault="00DC073A" w:rsidP="0018430E">
      <w:pPr>
        <w:tabs>
          <w:tab w:val="left" w:pos="851"/>
        </w:tabs>
        <w:ind w:left="851"/>
        <w:rPr>
          <w:szCs w:val="24"/>
        </w:rPr>
      </w:pPr>
    </w:p>
    <w:p w14:paraId="0464CFEF" w14:textId="3BB2D007" w:rsidR="000900A1" w:rsidRDefault="00E642B3" w:rsidP="00C22DDF">
      <w:pPr>
        <w:numPr>
          <w:ilvl w:val="1"/>
          <w:numId w:val="1"/>
        </w:numPr>
        <w:ind w:left="851"/>
        <w:rPr>
          <w:b/>
        </w:rPr>
      </w:pPr>
      <w:r>
        <w:rPr>
          <w:b/>
        </w:rPr>
        <w:t>Fertilitet, g</w:t>
      </w:r>
      <w:r w:rsidR="000900A1">
        <w:rPr>
          <w:b/>
        </w:rPr>
        <w:t>raviditet og amning</w:t>
      </w:r>
    </w:p>
    <w:p w14:paraId="2A89BC8C" w14:textId="77777777" w:rsidR="0018430E" w:rsidRDefault="0018430E" w:rsidP="0018430E">
      <w:pPr>
        <w:tabs>
          <w:tab w:val="left" w:pos="851"/>
        </w:tabs>
        <w:ind w:left="851"/>
        <w:rPr>
          <w:szCs w:val="24"/>
        </w:rPr>
      </w:pPr>
    </w:p>
    <w:p w14:paraId="01130D99" w14:textId="77777777" w:rsidR="00B4589A" w:rsidRPr="00957165" w:rsidRDefault="00957165" w:rsidP="0018430E">
      <w:pPr>
        <w:tabs>
          <w:tab w:val="left" w:pos="851"/>
        </w:tabs>
        <w:ind w:left="851"/>
        <w:rPr>
          <w:szCs w:val="24"/>
          <w:u w:val="single"/>
        </w:rPr>
      </w:pPr>
      <w:r w:rsidRPr="00957165">
        <w:rPr>
          <w:szCs w:val="24"/>
          <w:u w:val="single"/>
        </w:rPr>
        <w:t>Graviditet</w:t>
      </w:r>
    </w:p>
    <w:p w14:paraId="52FD45AD" w14:textId="77777777" w:rsidR="003A0922" w:rsidRDefault="003A0922" w:rsidP="0018430E">
      <w:pPr>
        <w:tabs>
          <w:tab w:val="left" w:pos="851"/>
        </w:tabs>
        <w:ind w:left="851"/>
        <w:rPr>
          <w:szCs w:val="24"/>
        </w:rPr>
      </w:pPr>
      <w:r>
        <w:rPr>
          <w:szCs w:val="24"/>
        </w:rPr>
        <w:t>Der er ingen eller utilstrækkelige data fra anvendelse af alendronat til gravide kvinder. Dyreforsøg har påvist reproduktionstoksicitet.</w:t>
      </w:r>
    </w:p>
    <w:p w14:paraId="5966E64C" w14:textId="77777777" w:rsidR="003A0922" w:rsidRDefault="003A0922" w:rsidP="0018430E">
      <w:pPr>
        <w:tabs>
          <w:tab w:val="left" w:pos="851"/>
        </w:tabs>
        <w:ind w:left="851"/>
        <w:rPr>
          <w:szCs w:val="24"/>
        </w:rPr>
      </w:pPr>
      <w:r>
        <w:rPr>
          <w:szCs w:val="24"/>
        </w:rPr>
        <w:t xml:space="preserve">Alendronat administreret til gravide rotter forårsagede hypocalcæmi-relateret fødselshindring (se pkt. 5.3). </w:t>
      </w:r>
    </w:p>
    <w:p w14:paraId="5B9DDEDA" w14:textId="77777777" w:rsidR="003A0922" w:rsidRDefault="003A0922" w:rsidP="0018430E">
      <w:pPr>
        <w:tabs>
          <w:tab w:val="left" w:pos="851"/>
        </w:tabs>
        <w:ind w:left="851"/>
        <w:rPr>
          <w:szCs w:val="24"/>
        </w:rPr>
      </w:pPr>
      <w:r>
        <w:rPr>
          <w:szCs w:val="24"/>
        </w:rPr>
        <w:t xml:space="preserve">Alendronat bør ikke anvendes under graviditet. </w:t>
      </w:r>
    </w:p>
    <w:p w14:paraId="527B4AF4" w14:textId="77777777" w:rsidR="003A0922" w:rsidRDefault="003A0922" w:rsidP="0018430E">
      <w:pPr>
        <w:tabs>
          <w:tab w:val="left" w:pos="851"/>
        </w:tabs>
        <w:ind w:left="851"/>
        <w:rPr>
          <w:szCs w:val="24"/>
        </w:rPr>
      </w:pPr>
    </w:p>
    <w:p w14:paraId="5EF752D9" w14:textId="77777777" w:rsidR="003A0922" w:rsidRDefault="003A0922" w:rsidP="0018430E">
      <w:pPr>
        <w:tabs>
          <w:tab w:val="left" w:pos="851"/>
        </w:tabs>
        <w:ind w:left="851"/>
        <w:rPr>
          <w:szCs w:val="24"/>
          <w:u w:val="single"/>
        </w:rPr>
      </w:pPr>
      <w:r>
        <w:rPr>
          <w:szCs w:val="24"/>
          <w:u w:val="single"/>
        </w:rPr>
        <w:t>Amning</w:t>
      </w:r>
    </w:p>
    <w:p w14:paraId="5132315D" w14:textId="77777777" w:rsidR="003A0922" w:rsidRDefault="003A0922" w:rsidP="0018430E">
      <w:pPr>
        <w:tabs>
          <w:tab w:val="left" w:pos="851"/>
        </w:tabs>
        <w:ind w:left="851"/>
        <w:rPr>
          <w:szCs w:val="24"/>
        </w:rPr>
      </w:pPr>
      <w:r>
        <w:rPr>
          <w:szCs w:val="24"/>
        </w:rPr>
        <w:t xml:space="preserve">Det er ukendt om alendronat/metabolitter udskilles i human brystmælk. En risiko for nyfødte/spædbørn kan ikke udelukkes. Alendronat bør ikke anvendes af ammende kvinder. </w:t>
      </w:r>
    </w:p>
    <w:p w14:paraId="0D9C9128" w14:textId="77777777" w:rsidR="003A0922" w:rsidRDefault="003A0922" w:rsidP="0018430E">
      <w:pPr>
        <w:tabs>
          <w:tab w:val="left" w:pos="851"/>
        </w:tabs>
        <w:ind w:left="851"/>
        <w:rPr>
          <w:szCs w:val="24"/>
        </w:rPr>
      </w:pPr>
    </w:p>
    <w:p w14:paraId="4A79733D" w14:textId="77777777" w:rsidR="003A0922" w:rsidRDefault="003A0922" w:rsidP="00C22DDF">
      <w:pPr>
        <w:tabs>
          <w:tab w:val="left" w:pos="851"/>
        </w:tabs>
        <w:ind w:left="851"/>
        <w:rPr>
          <w:szCs w:val="24"/>
          <w:u w:val="single"/>
        </w:rPr>
      </w:pPr>
      <w:r>
        <w:rPr>
          <w:szCs w:val="24"/>
          <w:u w:val="single"/>
        </w:rPr>
        <w:t>Fertilitet</w:t>
      </w:r>
    </w:p>
    <w:p w14:paraId="3046BE7B" w14:textId="77777777" w:rsidR="003A0922" w:rsidRDefault="003A0922" w:rsidP="00C22DDF">
      <w:pPr>
        <w:tabs>
          <w:tab w:val="left" w:pos="851"/>
        </w:tabs>
        <w:ind w:left="851"/>
        <w:rPr>
          <w:szCs w:val="24"/>
        </w:rPr>
      </w:pPr>
      <w:r>
        <w:rPr>
          <w:szCs w:val="24"/>
        </w:rPr>
        <w:t>Bisphosphonater inkorporeres i knoglematrix, hvorfra de gradvist frigives over en årelang periode. Mængden af bisphosphonat, der inkorporeres i knoglerne hos voksne, og dermed den mængde, der er tilgængelig for frigivelse tilbage til systemisk cirkulation, er direkte relateret til dosis og varigheden af bisphosphonatbehandlingen (se pkt. 5.2). Der er ingen data vedrørende føtal risiko hos mennesker. Der er dog en teoretisk risiko for fosterskader, fortrinsvis af knoglemæssig karakter, hvis en kvinde bliver gravid efter afsluttet behandlingsforløb med bisphosphonat. Det er ikke undersøgt, om variabler, såsom tiden fra seponering af behandling med bisphosphonat til undfangelse, den specifikke type bisphosphonat samt indgivelsesmåde (intravenøs versus oral), har indflydelse på risikoen.</w:t>
      </w:r>
    </w:p>
    <w:p w14:paraId="25064DED" w14:textId="77777777" w:rsidR="000900A1" w:rsidRDefault="000900A1" w:rsidP="00C22DDF">
      <w:pPr>
        <w:tabs>
          <w:tab w:val="left" w:pos="851"/>
        </w:tabs>
        <w:ind w:left="851"/>
      </w:pPr>
    </w:p>
    <w:p w14:paraId="7DE83D62" w14:textId="48288AF8" w:rsidR="000900A1" w:rsidRDefault="000900A1" w:rsidP="00C22DDF">
      <w:pPr>
        <w:numPr>
          <w:ilvl w:val="1"/>
          <w:numId w:val="1"/>
        </w:numPr>
        <w:ind w:left="851"/>
        <w:rPr>
          <w:b/>
        </w:rPr>
      </w:pPr>
      <w:r>
        <w:rPr>
          <w:b/>
        </w:rPr>
        <w:t xml:space="preserve">Virkning på evnen til at føre motorkøretøj </w:t>
      </w:r>
      <w:r w:rsidR="00E642B3">
        <w:rPr>
          <w:b/>
        </w:rPr>
        <w:t>og</w:t>
      </w:r>
      <w:r>
        <w:rPr>
          <w:b/>
        </w:rPr>
        <w:t xml:space="preserve"> betjene maskiner</w:t>
      </w:r>
    </w:p>
    <w:p w14:paraId="509E9C05" w14:textId="77777777" w:rsidR="00657703" w:rsidRPr="00657703" w:rsidRDefault="00657703" w:rsidP="00657703">
      <w:pPr>
        <w:pStyle w:val="Listeafsnit"/>
        <w:tabs>
          <w:tab w:val="left" w:pos="851"/>
        </w:tabs>
        <w:ind w:left="855"/>
        <w:rPr>
          <w:szCs w:val="24"/>
        </w:rPr>
      </w:pPr>
      <w:r w:rsidRPr="00657703">
        <w:rPr>
          <w:szCs w:val="24"/>
        </w:rPr>
        <w:t>Ikke mærkning.</w:t>
      </w:r>
    </w:p>
    <w:p w14:paraId="6FD4584F" w14:textId="77777777" w:rsidR="00657703" w:rsidRPr="00657703" w:rsidRDefault="00657703" w:rsidP="00657703">
      <w:pPr>
        <w:pStyle w:val="Listeafsnit"/>
        <w:tabs>
          <w:tab w:val="left" w:pos="851"/>
        </w:tabs>
        <w:ind w:left="855"/>
        <w:rPr>
          <w:szCs w:val="24"/>
        </w:rPr>
      </w:pPr>
      <w:r w:rsidRPr="00657703">
        <w:rPr>
          <w:szCs w:val="24"/>
        </w:rPr>
        <w:t xml:space="preserve">Alendronat påvirker ikke eller kun i ubetydelig grad evnen til at føre motorkøretøj og betjene maskiner. Visse bivirkninger </w:t>
      </w:r>
      <w:r>
        <w:t>(f.eks. sløret syn, svimmelhed og svære knogle-, muskel- eller ledsmerter (se pkt. 4.8))</w:t>
      </w:r>
      <w:r w:rsidRPr="00657703">
        <w:rPr>
          <w:szCs w:val="24"/>
        </w:rPr>
        <w:t>, som er indberettet med alendronat, kan dog påvirke nogle patienters evne til at føre motorkøretøj og betjene maskiner. Individuelle reaktioner på alendronat kan variere (se pkt. 4.8).</w:t>
      </w:r>
    </w:p>
    <w:p w14:paraId="52CE7904" w14:textId="77777777" w:rsidR="000900A1" w:rsidRDefault="000900A1" w:rsidP="00C22DDF">
      <w:pPr>
        <w:tabs>
          <w:tab w:val="left" w:pos="851"/>
        </w:tabs>
        <w:ind w:left="851"/>
      </w:pPr>
    </w:p>
    <w:p w14:paraId="560561B3" w14:textId="77777777" w:rsidR="000900A1" w:rsidRDefault="000900A1" w:rsidP="00C22DDF">
      <w:pPr>
        <w:numPr>
          <w:ilvl w:val="1"/>
          <w:numId w:val="1"/>
        </w:numPr>
        <w:ind w:left="851"/>
        <w:rPr>
          <w:b/>
        </w:rPr>
      </w:pPr>
      <w:r>
        <w:rPr>
          <w:b/>
        </w:rPr>
        <w:t>Bivirkninger</w:t>
      </w:r>
    </w:p>
    <w:p w14:paraId="3CD36862" w14:textId="77777777" w:rsidR="003A0922" w:rsidRDefault="003A0922" w:rsidP="0018430E">
      <w:pPr>
        <w:tabs>
          <w:tab w:val="left" w:pos="851"/>
        </w:tabs>
        <w:ind w:left="851"/>
        <w:rPr>
          <w:szCs w:val="24"/>
          <w:u w:val="single"/>
        </w:rPr>
      </w:pPr>
      <w:r>
        <w:rPr>
          <w:szCs w:val="24"/>
          <w:u w:val="single"/>
        </w:rPr>
        <w:t>Oversigt over sikkerhedsprofilen</w:t>
      </w:r>
    </w:p>
    <w:p w14:paraId="15584B39" w14:textId="77777777" w:rsidR="00B4589A" w:rsidRPr="00215673" w:rsidRDefault="00B4589A" w:rsidP="0018430E">
      <w:pPr>
        <w:tabs>
          <w:tab w:val="left" w:pos="851"/>
        </w:tabs>
        <w:ind w:left="851"/>
        <w:rPr>
          <w:szCs w:val="24"/>
        </w:rPr>
      </w:pPr>
      <w:r w:rsidRPr="00215673">
        <w:rPr>
          <w:szCs w:val="24"/>
        </w:rPr>
        <w:t xml:space="preserve">I en 1-årig undersøgelse med postmenopausale kvinder med osteoporose svarede den overordnede sikkerhedsprofil af alendronat 70 mg, 1 gang ugentligt (n=519) til sikkerhedsprofilen for alendronat 10 mg </w:t>
      </w:r>
      <w:r w:rsidR="0093730F">
        <w:rPr>
          <w:szCs w:val="24"/>
        </w:rPr>
        <w:t>daglig</w:t>
      </w:r>
      <w:r w:rsidRPr="00215673">
        <w:rPr>
          <w:szCs w:val="24"/>
        </w:rPr>
        <w:t xml:space="preserve"> (n=370).</w:t>
      </w:r>
    </w:p>
    <w:p w14:paraId="774A9874" w14:textId="77777777" w:rsidR="00B4589A" w:rsidRPr="00215673" w:rsidRDefault="00B4589A" w:rsidP="0018430E">
      <w:pPr>
        <w:tabs>
          <w:tab w:val="left" w:pos="851"/>
        </w:tabs>
        <w:ind w:left="851"/>
        <w:rPr>
          <w:szCs w:val="24"/>
        </w:rPr>
      </w:pPr>
    </w:p>
    <w:p w14:paraId="03C796AD" w14:textId="77777777" w:rsidR="00B4589A" w:rsidRPr="00215673" w:rsidRDefault="00B4589A" w:rsidP="0018430E">
      <w:pPr>
        <w:tabs>
          <w:tab w:val="left" w:pos="851"/>
        </w:tabs>
        <w:ind w:left="851"/>
        <w:rPr>
          <w:szCs w:val="24"/>
        </w:rPr>
      </w:pPr>
      <w:r w:rsidRPr="00215673">
        <w:rPr>
          <w:szCs w:val="24"/>
        </w:rPr>
        <w:t>I to næsten identisk tilrettelagte 3-årige undersøgelser med postmenopausale kvinder (alendronat 10 mg: n=196, placebo: n=397) var den overordnede sikkerhedsprofil af alendronat 10 mg/dag og placebo ens.</w:t>
      </w:r>
    </w:p>
    <w:p w14:paraId="1AEC1A21" w14:textId="77777777" w:rsidR="00B4589A" w:rsidRPr="00215673" w:rsidRDefault="00B4589A" w:rsidP="0018430E">
      <w:pPr>
        <w:tabs>
          <w:tab w:val="left" w:pos="851"/>
        </w:tabs>
        <w:ind w:left="851"/>
        <w:rPr>
          <w:szCs w:val="24"/>
        </w:rPr>
      </w:pPr>
    </w:p>
    <w:p w14:paraId="6EB32F10" w14:textId="77777777" w:rsidR="003A0922" w:rsidRDefault="003A0922" w:rsidP="0018430E">
      <w:pPr>
        <w:tabs>
          <w:tab w:val="left" w:pos="851"/>
        </w:tabs>
        <w:ind w:left="851"/>
        <w:rPr>
          <w:szCs w:val="24"/>
        </w:rPr>
      </w:pPr>
      <w:r>
        <w:rPr>
          <w:szCs w:val="24"/>
        </w:rPr>
        <w:t xml:space="preserve">Bivirkninger indberettet af investigatorerne som værende mulige, sandsynlige eller med sikkerhed relateret til lægemidlet er vist nedenfor, såfremt de havde en incidens på ≥ 1 % i en af behandlingsgrupperne i 1-års undersøgelsen, eller såfremt de i en af de 3-årige undersøgelser havde en incidens på ≥ 1 % hos patienter i behandling med alendronat 10 mg </w:t>
      </w:r>
      <w:r w:rsidR="0093730F">
        <w:rPr>
          <w:szCs w:val="24"/>
        </w:rPr>
        <w:t>daglig</w:t>
      </w:r>
      <w:r>
        <w:rPr>
          <w:szCs w:val="24"/>
        </w:rPr>
        <w:t xml:space="preserve"> og en større incidens end hos patienter, der fik placebo:</w:t>
      </w:r>
    </w:p>
    <w:p w14:paraId="6B21792A" w14:textId="77777777" w:rsidR="003A0922" w:rsidRDefault="003A0922" w:rsidP="0018430E">
      <w:pPr>
        <w:tabs>
          <w:tab w:val="left" w:pos="851"/>
        </w:tabs>
        <w:ind w:left="851"/>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1787"/>
        <w:gridCol w:w="1787"/>
        <w:gridCol w:w="1787"/>
        <w:gridCol w:w="1653"/>
      </w:tblGrid>
      <w:tr w:rsidR="00B4589A" w:rsidRPr="009C58F3" w14:paraId="0FAFFFAB" w14:textId="77777777" w:rsidTr="009C58F3">
        <w:trPr>
          <w:jc w:val="center"/>
        </w:trPr>
        <w:tc>
          <w:tcPr>
            <w:tcW w:w="2017" w:type="dxa"/>
          </w:tcPr>
          <w:p w14:paraId="7E321FF0" w14:textId="77777777" w:rsidR="00B4589A" w:rsidRPr="009C58F3" w:rsidRDefault="00B4589A" w:rsidP="00C22DDF">
            <w:pPr>
              <w:tabs>
                <w:tab w:val="left" w:pos="851"/>
              </w:tabs>
              <w:ind w:left="851" w:hanging="851"/>
              <w:rPr>
                <w:szCs w:val="24"/>
              </w:rPr>
            </w:pPr>
          </w:p>
        </w:tc>
        <w:tc>
          <w:tcPr>
            <w:tcW w:w="3486" w:type="dxa"/>
            <w:gridSpan w:val="2"/>
          </w:tcPr>
          <w:p w14:paraId="640038BD" w14:textId="77777777" w:rsidR="00B4589A" w:rsidRPr="009C58F3" w:rsidRDefault="00B4589A" w:rsidP="00C22DDF">
            <w:pPr>
              <w:tabs>
                <w:tab w:val="left" w:pos="851"/>
              </w:tabs>
              <w:ind w:left="851" w:hanging="851"/>
              <w:rPr>
                <w:szCs w:val="24"/>
              </w:rPr>
            </w:pPr>
            <w:r w:rsidRPr="009C58F3">
              <w:rPr>
                <w:szCs w:val="24"/>
                <w:lang w:val="en-GB"/>
              </w:rPr>
              <w:t>1-årig undersøgelse</w:t>
            </w:r>
            <w:r w:rsidRPr="009C58F3">
              <w:rPr>
                <w:szCs w:val="24"/>
              </w:rPr>
              <w:t xml:space="preserve"> </w:t>
            </w:r>
          </w:p>
        </w:tc>
        <w:tc>
          <w:tcPr>
            <w:tcW w:w="3392" w:type="dxa"/>
            <w:gridSpan w:val="2"/>
          </w:tcPr>
          <w:p w14:paraId="778DA2EB" w14:textId="77777777" w:rsidR="00B4589A" w:rsidRPr="009C58F3" w:rsidRDefault="00B4589A" w:rsidP="00C22DDF">
            <w:pPr>
              <w:tabs>
                <w:tab w:val="left" w:pos="851"/>
              </w:tabs>
              <w:ind w:left="851" w:hanging="851"/>
              <w:rPr>
                <w:szCs w:val="24"/>
              </w:rPr>
            </w:pPr>
            <w:r w:rsidRPr="009C58F3">
              <w:rPr>
                <w:szCs w:val="24"/>
              </w:rPr>
              <w:t xml:space="preserve">3-årig undersøgelse </w:t>
            </w:r>
          </w:p>
        </w:tc>
      </w:tr>
      <w:tr w:rsidR="00B4589A" w:rsidRPr="009C58F3" w14:paraId="66A8EDF4" w14:textId="77777777" w:rsidTr="009C58F3">
        <w:trPr>
          <w:jc w:val="center"/>
        </w:trPr>
        <w:tc>
          <w:tcPr>
            <w:tcW w:w="2017" w:type="dxa"/>
          </w:tcPr>
          <w:p w14:paraId="6DF004FB" w14:textId="77777777" w:rsidR="00B4589A" w:rsidRPr="009C58F3" w:rsidRDefault="00B4589A" w:rsidP="00C22DDF">
            <w:pPr>
              <w:tabs>
                <w:tab w:val="left" w:pos="851"/>
              </w:tabs>
              <w:ind w:left="851" w:hanging="851"/>
              <w:rPr>
                <w:szCs w:val="24"/>
              </w:rPr>
            </w:pPr>
          </w:p>
        </w:tc>
        <w:tc>
          <w:tcPr>
            <w:tcW w:w="1748" w:type="dxa"/>
          </w:tcPr>
          <w:p w14:paraId="2BFC046D" w14:textId="77777777" w:rsidR="00B4589A" w:rsidRPr="009C58F3" w:rsidRDefault="00B4589A" w:rsidP="00C22DDF">
            <w:pPr>
              <w:tabs>
                <w:tab w:val="left" w:pos="851"/>
              </w:tabs>
              <w:ind w:left="851" w:hanging="851"/>
              <w:rPr>
                <w:szCs w:val="24"/>
              </w:rPr>
            </w:pPr>
            <w:r w:rsidRPr="009C58F3">
              <w:rPr>
                <w:szCs w:val="24"/>
              </w:rPr>
              <w:t>Alendronat</w:t>
            </w:r>
          </w:p>
          <w:p w14:paraId="7E428B28" w14:textId="77777777" w:rsidR="00B4589A" w:rsidRPr="009C58F3" w:rsidRDefault="00B4589A" w:rsidP="00C22DDF">
            <w:pPr>
              <w:tabs>
                <w:tab w:val="left" w:pos="851"/>
              </w:tabs>
              <w:ind w:left="851" w:hanging="851"/>
              <w:rPr>
                <w:szCs w:val="24"/>
              </w:rPr>
            </w:pPr>
            <w:r w:rsidRPr="009C58F3">
              <w:rPr>
                <w:szCs w:val="24"/>
              </w:rPr>
              <w:t>70 mg/uge</w:t>
            </w:r>
          </w:p>
          <w:p w14:paraId="59E17B42" w14:textId="77777777" w:rsidR="00B4589A" w:rsidRPr="009C58F3" w:rsidRDefault="00B4589A" w:rsidP="00C22DDF">
            <w:pPr>
              <w:tabs>
                <w:tab w:val="left" w:pos="851"/>
              </w:tabs>
              <w:ind w:left="851" w:hanging="851"/>
              <w:rPr>
                <w:szCs w:val="24"/>
              </w:rPr>
            </w:pPr>
            <w:r w:rsidRPr="009C58F3">
              <w:rPr>
                <w:szCs w:val="24"/>
              </w:rPr>
              <w:t>(n=519)</w:t>
            </w:r>
          </w:p>
          <w:p w14:paraId="3A428B63" w14:textId="77777777" w:rsidR="00B4589A" w:rsidRPr="009C58F3" w:rsidRDefault="00B4589A" w:rsidP="00C22DDF">
            <w:pPr>
              <w:tabs>
                <w:tab w:val="left" w:pos="851"/>
              </w:tabs>
              <w:ind w:left="851" w:hanging="851"/>
              <w:rPr>
                <w:szCs w:val="24"/>
              </w:rPr>
            </w:pPr>
            <w:r w:rsidRPr="009C58F3">
              <w:rPr>
                <w:szCs w:val="24"/>
              </w:rPr>
              <w:t>%</w:t>
            </w:r>
          </w:p>
        </w:tc>
        <w:tc>
          <w:tcPr>
            <w:tcW w:w="1738" w:type="dxa"/>
          </w:tcPr>
          <w:p w14:paraId="25EA2AD6" w14:textId="77777777" w:rsidR="00B4589A" w:rsidRPr="009C58F3" w:rsidRDefault="00B4589A" w:rsidP="00C22DDF">
            <w:pPr>
              <w:tabs>
                <w:tab w:val="left" w:pos="851"/>
              </w:tabs>
              <w:ind w:left="851" w:hanging="851"/>
              <w:rPr>
                <w:szCs w:val="24"/>
              </w:rPr>
            </w:pPr>
            <w:r w:rsidRPr="009C58F3">
              <w:rPr>
                <w:szCs w:val="24"/>
              </w:rPr>
              <w:t>Alendronat</w:t>
            </w:r>
          </w:p>
          <w:p w14:paraId="237A0D5D" w14:textId="77777777" w:rsidR="00B4589A" w:rsidRPr="009C58F3" w:rsidRDefault="00B4589A" w:rsidP="00C22DDF">
            <w:pPr>
              <w:tabs>
                <w:tab w:val="left" w:pos="851"/>
              </w:tabs>
              <w:ind w:left="851" w:hanging="851"/>
              <w:rPr>
                <w:szCs w:val="24"/>
              </w:rPr>
            </w:pPr>
            <w:r w:rsidRPr="009C58F3">
              <w:rPr>
                <w:szCs w:val="24"/>
              </w:rPr>
              <w:t>10 mg/dag</w:t>
            </w:r>
          </w:p>
          <w:p w14:paraId="1C5F766A" w14:textId="77777777" w:rsidR="00B4589A" w:rsidRPr="009C58F3" w:rsidRDefault="00B4589A" w:rsidP="00C22DDF">
            <w:pPr>
              <w:tabs>
                <w:tab w:val="left" w:pos="851"/>
              </w:tabs>
              <w:ind w:left="851" w:hanging="851"/>
              <w:rPr>
                <w:szCs w:val="24"/>
              </w:rPr>
            </w:pPr>
            <w:r w:rsidRPr="009C58F3">
              <w:rPr>
                <w:szCs w:val="24"/>
              </w:rPr>
              <w:t>(n=370)</w:t>
            </w:r>
          </w:p>
          <w:p w14:paraId="154E7AE1" w14:textId="77777777" w:rsidR="00B4589A" w:rsidRPr="009C58F3" w:rsidRDefault="00B4589A" w:rsidP="00C22DDF">
            <w:pPr>
              <w:tabs>
                <w:tab w:val="left" w:pos="851"/>
              </w:tabs>
              <w:ind w:left="851" w:hanging="851"/>
              <w:rPr>
                <w:szCs w:val="24"/>
              </w:rPr>
            </w:pPr>
            <w:r w:rsidRPr="009C58F3">
              <w:rPr>
                <w:szCs w:val="24"/>
              </w:rPr>
              <w:t>%</w:t>
            </w:r>
          </w:p>
        </w:tc>
        <w:tc>
          <w:tcPr>
            <w:tcW w:w="1739" w:type="dxa"/>
          </w:tcPr>
          <w:p w14:paraId="7ECCD051" w14:textId="77777777" w:rsidR="00B4589A" w:rsidRPr="009C58F3" w:rsidRDefault="00B4589A" w:rsidP="00C22DDF">
            <w:pPr>
              <w:tabs>
                <w:tab w:val="left" w:pos="851"/>
              </w:tabs>
              <w:ind w:left="851" w:hanging="851"/>
              <w:rPr>
                <w:szCs w:val="24"/>
              </w:rPr>
            </w:pPr>
            <w:r w:rsidRPr="009C58F3">
              <w:rPr>
                <w:szCs w:val="24"/>
              </w:rPr>
              <w:t>Alendronat</w:t>
            </w:r>
          </w:p>
          <w:p w14:paraId="1260B7AD" w14:textId="77777777" w:rsidR="00B4589A" w:rsidRPr="009C58F3" w:rsidRDefault="00B4589A" w:rsidP="00C22DDF">
            <w:pPr>
              <w:tabs>
                <w:tab w:val="left" w:pos="851"/>
              </w:tabs>
              <w:ind w:left="851" w:hanging="851"/>
              <w:rPr>
                <w:szCs w:val="24"/>
              </w:rPr>
            </w:pPr>
            <w:r w:rsidRPr="009C58F3">
              <w:rPr>
                <w:szCs w:val="24"/>
              </w:rPr>
              <w:t>10 mg/dag</w:t>
            </w:r>
          </w:p>
          <w:p w14:paraId="23733241" w14:textId="77777777" w:rsidR="00B4589A" w:rsidRPr="009C58F3" w:rsidRDefault="00B4589A" w:rsidP="00C22DDF">
            <w:pPr>
              <w:tabs>
                <w:tab w:val="left" w:pos="851"/>
              </w:tabs>
              <w:ind w:left="851" w:hanging="851"/>
              <w:rPr>
                <w:szCs w:val="24"/>
              </w:rPr>
            </w:pPr>
            <w:r w:rsidRPr="009C58F3">
              <w:rPr>
                <w:szCs w:val="24"/>
              </w:rPr>
              <w:t>(n=196)</w:t>
            </w:r>
          </w:p>
          <w:p w14:paraId="155BA941" w14:textId="77777777" w:rsidR="00B4589A" w:rsidRPr="009C58F3" w:rsidRDefault="00B4589A" w:rsidP="00C22DDF">
            <w:pPr>
              <w:tabs>
                <w:tab w:val="left" w:pos="851"/>
              </w:tabs>
              <w:ind w:left="851" w:hanging="851"/>
              <w:rPr>
                <w:szCs w:val="24"/>
              </w:rPr>
            </w:pPr>
            <w:r w:rsidRPr="009C58F3">
              <w:rPr>
                <w:szCs w:val="24"/>
              </w:rPr>
              <w:t>%</w:t>
            </w:r>
          </w:p>
        </w:tc>
        <w:tc>
          <w:tcPr>
            <w:tcW w:w="1653" w:type="dxa"/>
          </w:tcPr>
          <w:p w14:paraId="7878DA95" w14:textId="77777777" w:rsidR="00B4589A" w:rsidRPr="009C58F3" w:rsidRDefault="00B4589A" w:rsidP="00C22DDF">
            <w:pPr>
              <w:tabs>
                <w:tab w:val="left" w:pos="851"/>
              </w:tabs>
              <w:ind w:left="851" w:hanging="851"/>
              <w:rPr>
                <w:szCs w:val="24"/>
              </w:rPr>
            </w:pPr>
            <w:r w:rsidRPr="009C58F3">
              <w:rPr>
                <w:szCs w:val="24"/>
              </w:rPr>
              <w:t>Placebo</w:t>
            </w:r>
          </w:p>
          <w:p w14:paraId="4F667A44" w14:textId="77777777" w:rsidR="00B4589A" w:rsidRPr="009C58F3" w:rsidRDefault="00B4589A" w:rsidP="00C22DDF">
            <w:pPr>
              <w:tabs>
                <w:tab w:val="left" w:pos="851"/>
              </w:tabs>
              <w:ind w:left="851" w:hanging="851"/>
              <w:rPr>
                <w:szCs w:val="24"/>
              </w:rPr>
            </w:pPr>
            <w:r w:rsidRPr="009C58F3">
              <w:rPr>
                <w:szCs w:val="24"/>
              </w:rPr>
              <w:t>(n=397)</w:t>
            </w:r>
          </w:p>
          <w:p w14:paraId="296D7186" w14:textId="77777777" w:rsidR="00B4589A" w:rsidRPr="009C58F3" w:rsidRDefault="00B4589A" w:rsidP="00C22DDF">
            <w:pPr>
              <w:tabs>
                <w:tab w:val="left" w:pos="851"/>
              </w:tabs>
              <w:ind w:left="851" w:hanging="851"/>
              <w:rPr>
                <w:szCs w:val="24"/>
              </w:rPr>
            </w:pPr>
            <w:r w:rsidRPr="009C58F3">
              <w:rPr>
                <w:szCs w:val="24"/>
              </w:rPr>
              <w:t>%</w:t>
            </w:r>
          </w:p>
        </w:tc>
      </w:tr>
      <w:tr w:rsidR="00B4589A" w:rsidRPr="009C58F3" w14:paraId="7BA55B16" w14:textId="77777777" w:rsidTr="009C58F3">
        <w:trPr>
          <w:jc w:val="center"/>
        </w:trPr>
        <w:tc>
          <w:tcPr>
            <w:tcW w:w="8895" w:type="dxa"/>
            <w:gridSpan w:val="5"/>
          </w:tcPr>
          <w:p w14:paraId="79BDA665" w14:textId="77777777" w:rsidR="00B4589A" w:rsidRPr="009C58F3" w:rsidRDefault="00B4589A" w:rsidP="00C22DDF">
            <w:pPr>
              <w:tabs>
                <w:tab w:val="left" w:pos="851"/>
              </w:tabs>
              <w:ind w:left="851" w:hanging="851"/>
              <w:rPr>
                <w:i/>
                <w:szCs w:val="24"/>
              </w:rPr>
            </w:pPr>
            <w:r w:rsidRPr="009C58F3">
              <w:rPr>
                <w:i/>
                <w:szCs w:val="24"/>
              </w:rPr>
              <w:t>Mave-tarm</w:t>
            </w:r>
            <w:r w:rsidR="00951419">
              <w:rPr>
                <w:i/>
                <w:szCs w:val="24"/>
              </w:rPr>
              <w:t>-</w:t>
            </w:r>
            <w:r w:rsidRPr="009C58F3">
              <w:rPr>
                <w:i/>
                <w:szCs w:val="24"/>
              </w:rPr>
              <w:t>kanalen</w:t>
            </w:r>
          </w:p>
        </w:tc>
      </w:tr>
      <w:tr w:rsidR="00B4589A" w:rsidRPr="009C58F3" w14:paraId="6BB88907" w14:textId="77777777" w:rsidTr="009C58F3">
        <w:trPr>
          <w:jc w:val="center"/>
        </w:trPr>
        <w:tc>
          <w:tcPr>
            <w:tcW w:w="2017" w:type="dxa"/>
          </w:tcPr>
          <w:p w14:paraId="11A45880" w14:textId="77777777" w:rsidR="00B4589A" w:rsidRPr="009C58F3" w:rsidRDefault="00B4589A" w:rsidP="00C22DDF">
            <w:pPr>
              <w:tabs>
                <w:tab w:val="left" w:pos="851"/>
              </w:tabs>
              <w:ind w:left="851" w:hanging="851"/>
              <w:rPr>
                <w:szCs w:val="24"/>
              </w:rPr>
            </w:pPr>
            <w:r w:rsidRPr="009C58F3">
              <w:rPr>
                <w:szCs w:val="24"/>
              </w:rPr>
              <w:t>Abdominalsmerter</w:t>
            </w:r>
          </w:p>
        </w:tc>
        <w:tc>
          <w:tcPr>
            <w:tcW w:w="1748" w:type="dxa"/>
          </w:tcPr>
          <w:p w14:paraId="68E3E390" w14:textId="77777777" w:rsidR="00B4589A" w:rsidRPr="009C58F3" w:rsidRDefault="00B4589A" w:rsidP="00C22DDF">
            <w:pPr>
              <w:tabs>
                <w:tab w:val="left" w:pos="851"/>
              </w:tabs>
              <w:ind w:left="851" w:hanging="851"/>
              <w:rPr>
                <w:szCs w:val="24"/>
              </w:rPr>
            </w:pPr>
            <w:r w:rsidRPr="009C58F3">
              <w:rPr>
                <w:szCs w:val="24"/>
              </w:rPr>
              <w:t>3,7</w:t>
            </w:r>
          </w:p>
        </w:tc>
        <w:tc>
          <w:tcPr>
            <w:tcW w:w="1738" w:type="dxa"/>
          </w:tcPr>
          <w:p w14:paraId="099E0CF1" w14:textId="77777777" w:rsidR="00B4589A" w:rsidRPr="009C58F3" w:rsidRDefault="00B4589A" w:rsidP="00C22DDF">
            <w:pPr>
              <w:tabs>
                <w:tab w:val="left" w:pos="851"/>
              </w:tabs>
              <w:ind w:left="851" w:hanging="851"/>
              <w:rPr>
                <w:szCs w:val="24"/>
              </w:rPr>
            </w:pPr>
            <w:r w:rsidRPr="009C58F3">
              <w:rPr>
                <w:szCs w:val="24"/>
              </w:rPr>
              <w:t>3,0</w:t>
            </w:r>
          </w:p>
        </w:tc>
        <w:tc>
          <w:tcPr>
            <w:tcW w:w="1739" w:type="dxa"/>
          </w:tcPr>
          <w:p w14:paraId="0F63362C" w14:textId="77777777" w:rsidR="00B4589A" w:rsidRPr="009C58F3" w:rsidRDefault="00B4589A" w:rsidP="00C22DDF">
            <w:pPr>
              <w:tabs>
                <w:tab w:val="left" w:pos="851"/>
              </w:tabs>
              <w:ind w:left="851" w:hanging="851"/>
              <w:rPr>
                <w:szCs w:val="24"/>
              </w:rPr>
            </w:pPr>
            <w:r w:rsidRPr="009C58F3">
              <w:rPr>
                <w:szCs w:val="24"/>
              </w:rPr>
              <w:t>6,6</w:t>
            </w:r>
          </w:p>
        </w:tc>
        <w:tc>
          <w:tcPr>
            <w:tcW w:w="1653" w:type="dxa"/>
          </w:tcPr>
          <w:p w14:paraId="6C21E76F" w14:textId="77777777" w:rsidR="00B4589A" w:rsidRPr="009C58F3" w:rsidRDefault="00B4589A" w:rsidP="00C22DDF">
            <w:pPr>
              <w:tabs>
                <w:tab w:val="left" w:pos="851"/>
              </w:tabs>
              <w:ind w:left="851" w:hanging="851"/>
              <w:rPr>
                <w:szCs w:val="24"/>
              </w:rPr>
            </w:pPr>
            <w:r w:rsidRPr="009C58F3">
              <w:rPr>
                <w:szCs w:val="24"/>
              </w:rPr>
              <w:t>4,8</w:t>
            </w:r>
          </w:p>
        </w:tc>
      </w:tr>
      <w:tr w:rsidR="00B4589A" w:rsidRPr="009C58F3" w14:paraId="35239B70" w14:textId="77777777" w:rsidTr="009C58F3">
        <w:trPr>
          <w:jc w:val="center"/>
        </w:trPr>
        <w:tc>
          <w:tcPr>
            <w:tcW w:w="2017" w:type="dxa"/>
          </w:tcPr>
          <w:p w14:paraId="216DCD8D" w14:textId="77777777" w:rsidR="00B4589A" w:rsidRPr="009C58F3" w:rsidRDefault="00B4589A" w:rsidP="00C22DDF">
            <w:pPr>
              <w:tabs>
                <w:tab w:val="left" w:pos="851"/>
              </w:tabs>
              <w:ind w:left="851" w:hanging="851"/>
              <w:rPr>
                <w:szCs w:val="24"/>
              </w:rPr>
            </w:pPr>
            <w:r w:rsidRPr="009C58F3">
              <w:rPr>
                <w:szCs w:val="24"/>
              </w:rPr>
              <w:t>Dyspepsi</w:t>
            </w:r>
          </w:p>
        </w:tc>
        <w:tc>
          <w:tcPr>
            <w:tcW w:w="1748" w:type="dxa"/>
          </w:tcPr>
          <w:p w14:paraId="0C736561" w14:textId="77777777" w:rsidR="00B4589A" w:rsidRPr="009C58F3" w:rsidRDefault="00B4589A" w:rsidP="00C22DDF">
            <w:pPr>
              <w:tabs>
                <w:tab w:val="left" w:pos="851"/>
              </w:tabs>
              <w:ind w:left="851" w:hanging="851"/>
              <w:rPr>
                <w:szCs w:val="24"/>
              </w:rPr>
            </w:pPr>
            <w:r w:rsidRPr="009C58F3">
              <w:rPr>
                <w:szCs w:val="24"/>
              </w:rPr>
              <w:t>2,7</w:t>
            </w:r>
          </w:p>
        </w:tc>
        <w:tc>
          <w:tcPr>
            <w:tcW w:w="1738" w:type="dxa"/>
          </w:tcPr>
          <w:p w14:paraId="4204F4D5" w14:textId="77777777" w:rsidR="00B4589A" w:rsidRPr="009C58F3" w:rsidRDefault="00B4589A" w:rsidP="00C22DDF">
            <w:pPr>
              <w:tabs>
                <w:tab w:val="left" w:pos="851"/>
              </w:tabs>
              <w:ind w:left="851" w:hanging="851"/>
              <w:rPr>
                <w:szCs w:val="24"/>
              </w:rPr>
            </w:pPr>
            <w:r w:rsidRPr="009C58F3">
              <w:rPr>
                <w:szCs w:val="24"/>
              </w:rPr>
              <w:t>2,2</w:t>
            </w:r>
          </w:p>
        </w:tc>
        <w:tc>
          <w:tcPr>
            <w:tcW w:w="1739" w:type="dxa"/>
          </w:tcPr>
          <w:p w14:paraId="53316ADE" w14:textId="77777777" w:rsidR="00B4589A" w:rsidRPr="009C58F3" w:rsidRDefault="00B4589A" w:rsidP="00C22DDF">
            <w:pPr>
              <w:tabs>
                <w:tab w:val="left" w:pos="851"/>
              </w:tabs>
              <w:ind w:left="851" w:hanging="851"/>
              <w:rPr>
                <w:szCs w:val="24"/>
              </w:rPr>
            </w:pPr>
            <w:r w:rsidRPr="009C58F3">
              <w:rPr>
                <w:szCs w:val="24"/>
              </w:rPr>
              <w:t>3,6</w:t>
            </w:r>
          </w:p>
        </w:tc>
        <w:tc>
          <w:tcPr>
            <w:tcW w:w="1653" w:type="dxa"/>
          </w:tcPr>
          <w:p w14:paraId="29DD982C" w14:textId="77777777" w:rsidR="00B4589A" w:rsidRPr="009C58F3" w:rsidRDefault="00B4589A" w:rsidP="00C22DDF">
            <w:pPr>
              <w:tabs>
                <w:tab w:val="left" w:pos="851"/>
              </w:tabs>
              <w:ind w:left="851" w:hanging="851"/>
              <w:rPr>
                <w:szCs w:val="24"/>
              </w:rPr>
            </w:pPr>
            <w:r w:rsidRPr="009C58F3">
              <w:rPr>
                <w:szCs w:val="24"/>
              </w:rPr>
              <w:t>3,5</w:t>
            </w:r>
          </w:p>
        </w:tc>
      </w:tr>
      <w:tr w:rsidR="00B4589A" w:rsidRPr="009C58F3" w14:paraId="68CB687D" w14:textId="77777777" w:rsidTr="009C58F3">
        <w:trPr>
          <w:jc w:val="center"/>
        </w:trPr>
        <w:tc>
          <w:tcPr>
            <w:tcW w:w="2017" w:type="dxa"/>
          </w:tcPr>
          <w:p w14:paraId="320EEE28" w14:textId="77777777" w:rsidR="00B4589A" w:rsidRPr="009C58F3" w:rsidRDefault="00B4589A" w:rsidP="00C22DDF">
            <w:pPr>
              <w:tabs>
                <w:tab w:val="left" w:pos="851"/>
              </w:tabs>
              <w:ind w:left="851" w:hanging="851"/>
              <w:rPr>
                <w:szCs w:val="24"/>
              </w:rPr>
            </w:pPr>
            <w:r w:rsidRPr="009C58F3">
              <w:rPr>
                <w:szCs w:val="24"/>
              </w:rPr>
              <w:t>Syreregurgitation</w:t>
            </w:r>
          </w:p>
        </w:tc>
        <w:tc>
          <w:tcPr>
            <w:tcW w:w="1748" w:type="dxa"/>
          </w:tcPr>
          <w:p w14:paraId="01D33F8A" w14:textId="77777777" w:rsidR="00B4589A" w:rsidRPr="009C58F3" w:rsidRDefault="00B4589A" w:rsidP="00C22DDF">
            <w:pPr>
              <w:tabs>
                <w:tab w:val="left" w:pos="851"/>
              </w:tabs>
              <w:ind w:left="851" w:hanging="851"/>
              <w:rPr>
                <w:szCs w:val="24"/>
              </w:rPr>
            </w:pPr>
            <w:r w:rsidRPr="009C58F3">
              <w:rPr>
                <w:szCs w:val="24"/>
              </w:rPr>
              <w:t>1,9</w:t>
            </w:r>
          </w:p>
        </w:tc>
        <w:tc>
          <w:tcPr>
            <w:tcW w:w="1738" w:type="dxa"/>
          </w:tcPr>
          <w:p w14:paraId="20393DCB" w14:textId="77777777" w:rsidR="00B4589A" w:rsidRPr="009C58F3" w:rsidRDefault="00B4589A" w:rsidP="00C22DDF">
            <w:pPr>
              <w:tabs>
                <w:tab w:val="left" w:pos="851"/>
              </w:tabs>
              <w:ind w:left="851" w:hanging="851"/>
              <w:rPr>
                <w:szCs w:val="24"/>
              </w:rPr>
            </w:pPr>
            <w:r w:rsidRPr="009C58F3">
              <w:rPr>
                <w:szCs w:val="24"/>
              </w:rPr>
              <w:t>2,4</w:t>
            </w:r>
          </w:p>
        </w:tc>
        <w:tc>
          <w:tcPr>
            <w:tcW w:w="1739" w:type="dxa"/>
          </w:tcPr>
          <w:p w14:paraId="4F04521D" w14:textId="77777777" w:rsidR="00B4589A" w:rsidRPr="009C58F3" w:rsidRDefault="00B4589A" w:rsidP="00C22DDF">
            <w:pPr>
              <w:tabs>
                <w:tab w:val="left" w:pos="851"/>
              </w:tabs>
              <w:ind w:left="851" w:hanging="851"/>
              <w:rPr>
                <w:szCs w:val="24"/>
              </w:rPr>
            </w:pPr>
            <w:r w:rsidRPr="009C58F3">
              <w:rPr>
                <w:szCs w:val="24"/>
              </w:rPr>
              <w:t>2,0</w:t>
            </w:r>
          </w:p>
        </w:tc>
        <w:tc>
          <w:tcPr>
            <w:tcW w:w="1653" w:type="dxa"/>
          </w:tcPr>
          <w:p w14:paraId="73CF0A4F" w14:textId="77777777" w:rsidR="00B4589A" w:rsidRPr="009C58F3" w:rsidRDefault="00B4589A" w:rsidP="00C22DDF">
            <w:pPr>
              <w:tabs>
                <w:tab w:val="left" w:pos="851"/>
              </w:tabs>
              <w:ind w:left="851" w:hanging="851"/>
              <w:rPr>
                <w:szCs w:val="24"/>
              </w:rPr>
            </w:pPr>
            <w:r w:rsidRPr="009C58F3">
              <w:rPr>
                <w:szCs w:val="24"/>
              </w:rPr>
              <w:t>4,3</w:t>
            </w:r>
          </w:p>
        </w:tc>
      </w:tr>
      <w:tr w:rsidR="00B4589A" w:rsidRPr="009C58F3" w14:paraId="5330307B" w14:textId="77777777" w:rsidTr="009C58F3">
        <w:trPr>
          <w:jc w:val="center"/>
        </w:trPr>
        <w:tc>
          <w:tcPr>
            <w:tcW w:w="2017" w:type="dxa"/>
          </w:tcPr>
          <w:p w14:paraId="5E7483E9" w14:textId="77777777" w:rsidR="00B4589A" w:rsidRPr="009C58F3" w:rsidRDefault="00B4589A" w:rsidP="00C22DDF">
            <w:pPr>
              <w:tabs>
                <w:tab w:val="left" w:pos="851"/>
              </w:tabs>
              <w:ind w:left="851" w:hanging="851"/>
              <w:rPr>
                <w:szCs w:val="24"/>
              </w:rPr>
            </w:pPr>
            <w:r w:rsidRPr="009C58F3">
              <w:rPr>
                <w:szCs w:val="24"/>
              </w:rPr>
              <w:t>Kvalme</w:t>
            </w:r>
          </w:p>
        </w:tc>
        <w:tc>
          <w:tcPr>
            <w:tcW w:w="1748" w:type="dxa"/>
          </w:tcPr>
          <w:p w14:paraId="36F56F31" w14:textId="77777777" w:rsidR="00B4589A" w:rsidRPr="009C58F3" w:rsidRDefault="00B4589A" w:rsidP="00C22DDF">
            <w:pPr>
              <w:tabs>
                <w:tab w:val="left" w:pos="851"/>
              </w:tabs>
              <w:ind w:left="851" w:hanging="851"/>
              <w:rPr>
                <w:szCs w:val="24"/>
              </w:rPr>
            </w:pPr>
            <w:r w:rsidRPr="009C58F3">
              <w:rPr>
                <w:szCs w:val="24"/>
              </w:rPr>
              <w:t>1,9</w:t>
            </w:r>
          </w:p>
        </w:tc>
        <w:tc>
          <w:tcPr>
            <w:tcW w:w="1738" w:type="dxa"/>
          </w:tcPr>
          <w:p w14:paraId="00B773B6" w14:textId="77777777" w:rsidR="00B4589A" w:rsidRPr="009C58F3" w:rsidRDefault="00B4589A" w:rsidP="00C22DDF">
            <w:pPr>
              <w:tabs>
                <w:tab w:val="left" w:pos="851"/>
              </w:tabs>
              <w:ind w:left="851" w:hanging="851"/>
              <w:rPr>
                <w:szCs w:val="24"/>
              </w:rPr>
            </w:pPr>
            <w:r w:rsidRPr="009C58F3">
              <w:rPr>
                <w:szCs w:val="24"/>
              </w:rPr>
              <w:t>2,4</w:t>
            </w:r>
          </w:p>
        </w:tc>
        <w:tc>
          <w:tcPr>
            <w:tcW w:w="1739" w:type="dxa"/>
          </w:tcPr>
          <w:p w14:paraId="18DEB67B" w14:textId="77777777" w:rsidR="00B4589A" w:rsidRPr="009C58F3" w:rsidRDefault="00B4589A" w:rsidP="00C22DDF">
            <w:pPr>
              <w:tabs>
                <w:tab w:val="left" w:pos="851"/>
              </w:tabs>
              <w:ind w:left="851" w:hanging="851"/>
              <w:rPr>
                <w:szCs w:val="24"/>
              </w:rPr>
            </w:pPr>
            <w:r w:rsidRPr="009C58F3">
              <w:rPr>
                <w:szCs w:val="24"/>
              </w:rPr>
              <w:t>3,6</w:t>
            </w:r>
          </w:p>
        </w:tc>
        <w:tc>
          <w:tcPr>
            <w:tcW w:w="1653" w:type="dxa"/>
          </w:tcPr>
          <w:p w14:paraId="330B4A5A" w14:textId="77777777" w:rsidR="00B4589A" w:rsidRPr="009C58F3" w:rsidRDefault="00B4589A" w:rsidP="00C22DDF">
            <w:pPr>
              <w:tabs>
                <w:tab w:val="left" w:pos="851"/>
              </w:tabs>
              <w:ind w:left="851" w:hanging="851"/>
              <w:rPr>
                <w:szCs w:val="24"/>
              </w:rPr>
            </w:pPr>
            <w:r w:rsidRPr="009C58F3">
              <w:rPr>
                <w:szCs w:val="24"/>
              </w:rPr>
              <w:t>4,0</w:t>
            </w:r>
          </w:p>
        </w:tc>
      </w:tr>
      <w:tr w:rsidR="00B4589A" w:rsidRPr="009C58F3" w14:paraId="3036CA9A" w14:textId="77777777" w:rsidTr="009C58F3">
        <w:trPr>
          <w:jc w:val="center"/>
        </w:trPr>
        <w:tc>
          <w:tcPr>
            <w:tcW w:w="2017" w:type="dxa"/>
          </w:tcPr>
          <w:p w14:paraId="7AC0AF57" w14:textId="77777777" w:rsidR="00B4589A" w:rsidRPr="009C58F3" w:rsidRDefault="00B4589A" w:rsidP="00C22DDF">
            <w:pPr>
              <w:tabs>
                <w:tab w:val="left" w:pos="851"/>
              </w:tabs>
              <w:ind w:left="851" w:hanging="851"/>
              <w:rPr>
                <w:szCs w:val="24"/>
              </w:rPr>
            </w:pPr>
            <w:r w:rsidRPr="009C58F3">
              <w:rPr>
                <w:szCs w:val="24"/>
              </w:rPr>
              <w:t>Abdominal</w:t>
            </w:r>
          </w:p>
          <w:p w14:paraId="4D139E3B" w14:textId="77777777" w:rsidR="00B4589A" w:rsidRPr="009C58F3" w:rsidRDefault="00B4589A" w:rsidP="00C22DDF">
            <w:pPr>
              <w:tabs>
                <w:tab w:val="left" w:pos="851"/>
              </w:tabs>
              <w:ind w:left="851" w:hanging="851"/>
              <w:rPr>
                <w:szCs w:val="24"/>
              </w:rPr>
            </w:pPr>
            <w:r w:rsidRPr="009C58F3">
              <w:rPr>
                <w:szCs w:val="24"/>
              </w:rPr>
              <w:t>udspiling</w:t>
            </w:r>
          </w:p>
        </w:tc>
        <w:tc>
          <w:tcPr>
            <w:tcW w:w="1748" w:type="dxa"/>
          </w:tcPr>
          <w:p w14:paraId="04AA2091" w14:textId="77777777" w:rsidR="00B4589A" w:rsidRPr="009C58F3" w:rsidRDefault="00B4589A" w:rsidP="00C22DDF">
            <w:pPr>
              <w:tabs>
                <w:tab w:val="left" w:pos="851"/>
              </w:tabs>
              <w:ind w:left="851" w:hanging="851"/>
              <w:rPr>
                <w:szCs w:val="24"/>
              </w:rPr>
            </w:pPr>
            <w:r w:rsidRPr="009C58F3">
              <w:rPr>
                <w:szCs w:val="24"/>
              </w:rPr>
              <w:t>1,0</w:t>
            </w:r>
          </w:p>
        </w:tc>
        <w:tc>
          <w:tcPr>
            <w:tcW w:w="1738" w:type="dxa"/>
          </w:tcPr>
          <w:p w14:paraId="0DB01A12" w14:textId="77777777" w:rsidR="00B4589A" w:rsidRPr="009C58F3" w:rsidRDefault="00B4589A" w:rsidP="00C22DDF">
            <w:pPr>
              <w:tabs>
                <w:tab w:val="left" w:pos="851"/>
              </w:tabs>
              <w:ind w:left="851" w:hanging="851"/>
              <w:rPr>
                <w:szCs w:val="24"/>
              </w:rPr>
            </w:pPr>
            <w:r w:rsidRPr="009C58F3">
              <w:rPr>
                <w:szCs w:val="24"/>
              </w:rPr>
              <w:t>1,4</w:t>
            </w:r>
          </w:p>
        </w:tc>
        <w:tc>
          <w:tcPr>
            <w:tcW w:w="1739" w:type="dxa"/>
          </w:tcPr>
          <w:p w14:paraId="37E4CB47" w14:textId="77777777" w:rsidR="00B4589A" w:rsidRPr="009C58F3" w:rsidRDefault="00B4589A" w:rsidP="00C22DDF">
            <w:pPr>
              <w:tabs>
                <w:tab w:val="left" w:pos="851"/>
              </w:tabs>
              <w:ind w:left="851" w:hanging="851"/>
              <w:rPr>
                <w:szCs w:val="24"/>
              </w:rPr>
            </w:pPr>
            <w:r w:rsidRPr="009C58F3">
              <w:rPr>
                <w:szCs w:val="24"/>
              </w:rPr>
              <w:t>1,0</w:t>
            </w:r>
          </w:p>
        </w:tc>
        <w:tc>
          <w:tcPr>
            <w:tcW w:w="1653" w:type="dxa"/>
          </w:tcPr>
          <w:p w14:paraId="5F57391C" w14:textId="77777777" w:rsidR="00B4589A" w:rsidRPr="009C58F3" w:rsidRDefault="00B4589A" w:rsidP="00C22DDF">
            <w:pPr>
              <w:tabs>
                <w:tab w:val="left" w:pos="851"/>
              </w:tabs>
              <w:ind w:left="851" w:hanging="851"/>
              <w:rPr>
                <w:szCs w:val="24"/>
              </w:rPr>
            </w:pPr>
            <w:r w:rsidRPr="009C58F3">
              <w:rPr>
                <w:szCs w:val="24"/>
              </w:rPr>
              <w:t>0,8</w:t>
            </w:r>
          </w:p>
        </w:tc>
      </w:tr>
      <w:tr w:rsidR="00B4589A" w:rsidRPr="009C58F3" w14:paraId="12F0452F" w14:textId="77777777" w:rsidTr="009C58F3">
        <w:trPr>
          <w:jc w:val="center"/>
        </w:trPr>
        <w:tc>
          <w:tcPr>
            <w:tcW w:w="2017" w:type="dxa"/>
          </w:tcPr>
          <w:p w14:paraId="41075135" w14:textId="77777777" w:rsidR="00B4589A" w:rsidRPr="009C58F3" w:rsidRDefault="00B4589A" w:rsidP="00C22DDF">
            <w:pPr>
              <w:tabs>
                <w:tab w:val="left" w:pos="851"/>
              </w:tabs>
              <w:ind w:left="851" w:hanging="851"/>
              <w:rPr>
                <w:szCs w:val="24"/>
              </w:rPr>
            </w:pPr>
            <w:r w:rsidRPr="009C58F3">
              <w:rPr>
                <w:szCs w:val="24"/>
              </w:rPr>
              <w:t>Obstipation</w:t>
            </w:r>
          </w:p>
        </w:tc>
        <w:tc>
          <w:tcPr>
            <w:tcW w:w="1748" w:type="dxa"/>
          </w:tcPr>
          <w:p w14:paraId="50C3413C" w14:textId="77777777" w:rsidR="00B4589A" w:rsidRPr="009C58F3" w:rsidRDefault="00B4589A" w:rsidP="00C22DDF">
            <w:pPr>
              <w:tabs>
                <w:tab w:val="left" w:pos="851"/>
              </w:tabs>
              <w:ind w:left="851" w:hanging="851"/>
              <w:rPr>
                <w:szCs w:val="24"/>
              </w:rPr>
            </w:pPr>
            <w:r w:rsidRPr="009C58F3">
              <w:rPr>
                <w:szCs w:val="24"/>
              </w:rPr>
              <w:t>0,8</w:t>
            </w:r>
          </w:p>
        </w:tc>
        <w:tc>
          <w:tcPr>
            <w:tcW w:w="1738" w:type="dxa"/>
          </w:tcPr>
          <w:p w14:paraId="6DAA729C" w14:textId="77777777" w:rsidR="00B4589A" w:rsidRPr="009C58F3" w:rsidRDefault="00B4589A" w:rsidP="00C22DDF">
            <w:pPr>
              <w:tabs>
                <w:tab w:val="left" w:pos="851"/>
              </w:tabs>
              <w:ind w:left="851" w:hanging="851"/>
              <w:rPr>
                <w:szCs w:val="24"/>
              </w:rPr>
            </w:pPr>
            <w:r w:rsidRPr="009C58F3">
              <w:rPr>
                <w:szCs w:val="24"/>
              </w:rPr>
              <w:t>1,6</w:t>
            </w:r>
          </w:p>
        </w:tc>
        <w:tc>
          <w:tcPr>
            <w:tcW w:w="1739" w:type="dxa"/>
          </w:tcPr>
          <w:p w14:paraId="3EFBC661" w14:textId="77777777" w:rsidR="00B4589A" w:rsidRPr="009C58F3" w:rsidRDefault="00B4589A" w:rsidP="00C22DDF">
            <w:pPr>
              <w:tabs>
                <w:tab w:val="left" w:pos="851"/>
              </w:tabs>
              <w:ind w:left="851" w:hanging="851"/>
              <w:rPr>
                <w:szCs w:val="24"/>
              </w:rPr>
            </w:pPr>
            <w:r w:rsidRPr="009C58F3">
              <w:rPr>
                <w:szCs w:val="24"/>
              </w:rPr>
              <w:t>3,1</w:t>
            </w:r>
          </w:p>
        </w:tc>
        <w:tc>
          <w:tcPr>
            <w:tcW w:w="1653" w:type="dxa"/>
          </w:tcPr>
          <w:p w14:paraId="5BF64CE1" w14:textId="77777777" w:rsidR="00B4589A" w:rsidRPr="009C58F3" w:rsidRDefault="00B4589A" w:rsidP="00C22DDF">
            <w:pPr>
              <w:tabs>
                <w:tab w:val="left" w:pos="851"/>
              </w:tabs>
              <w:ind w:left="851" w:hanging="851"/>
              <w:rPr>
                <w:szCs w:val="24"/>
              </w:rPr>
            </w:pPr>
            <w:r w:rsidRPr="009C58F3">
              <w:rPr>
                <w:szCs w:val="24"/>
              </w:rPr>
              <w:t>1,8</w:t>
            </w:r>
          </w:p>
        </w:tc>
      </w:tr>
      <w:tr w:rsidR="00B4589A" w:rsidRPr="009C58F3" w14:paraId="3ABC2C5A" w14:textId="77777777" w:rsidTr="009C58F3">
        <w:trPr>
          <w:jc w:val="center"/>
        </w:trPr>
        <w:tc>
          <w:tcPr>
            <w:tcW w:w="2017" w:type="dxa"/>
          </w:tcPr>
          <w:p w14:paraId="269ACFB4" w14:textId="77777777" w:rsidR="00B4589A" w:rsidRPr="009C58F3" w:rsidRDefault="00B4589A" w:rsidP="00C22DDF">
            <w:pPr>
              <w:tabs>
                <w:tab w:val="left" w:pos="851"/>
              </w:tabs>
              <w:ind w:left="851" w:hanging="851"/>
              <w:rPr>
                <w:szCs w:val="24"/>
              </w:rPr>
            </w:pPr>
            <w:r w:rsidRPr="009C58F3">
              <w:rPr>
                <w:szCs w:val="24"/>
              </w:rPr>
              <w:t>Diarré</w:t>
            </w:r>
          </w:p>
        </w:tc>
        <w:tc>
          <w:tcPr>
            <w:tcW w:w="1748" w:type="dxa"/>
          </w:tcPr>
          <w:p w14:paraId="1C1EE5A3" w14:textId="77777777" w:rsidR="00B4589A" w:rsidRPr="009C58F3" w:rsidRDefault="00B4589A" w:rsidP="00C22DDF">
            <w:pPr>
              <w:tabs>
                <w:tab w:val="left" w:pos="851"/>
              </w:tabs>
              <w:ind w:left="851" w:hanging="851"/>
              <w:rPr>
                <w:szCs w:val="24"/>
              </w:rPr>
            </w:pPr>
            <w:r w:rsidRPr="009C58F3">
              <w:rPr>
                <w:szCs w:val="24"/>
              </w:rPr>
              <w:t>0,6</w:t>
            </w:r>
          </w:p>
        </w:tc>
        <w:tc>
          <w:tcPr>
            <w:tcW w:w="1738" w:type="dxa"/>
          </w:tcPr>
          <w:p w14:paraId="685C6F5C" w14:textId="77777777" w:rsidR="00B4589A" w:rsidRPr="009C58F3" w:rsidRDefault="00B4589A" w:rsidP="00C22DDF">
            <w:pPr>
              <w:tabs>
                <w:tab w:val="left" w:pos="851"/>
              </w:tabs>
              <w:ind w:left="851" w:hanging="851"/>
              <w:rPr>
                <w:szCs w:val="24"/>
              </w:rPr>
            </w:pPr>
            <w:r w:rsidRPr="009C58F3">
              <w:rPr>
                <w:szCs w:val="24"/>
              </w:rPr>
              <w:t>0,5</w:t>
            </w:r>
          </w:p>
        </w:tc>
        <w:tc>
          <w:tcPr>
            <w:tcW w:w="1739" w:type="dxa"/>
          </w:tcPr>
          <w:p w14:paraId="3D2911C3" w14:textId="77777777" w:rsidR="00B4589A" w:rsidRPr="009C58F3" w:rsidRDefault="00B4589A" w:rsidP="00C22DDF">
            <w:pPr>
              <w:tabs>
                <w:tab w:val="left" w:pos="851"/>
              </w:tabs>
              <w:ind w:left="851" w:hanging="851"/>
              <w:rPr>
                <w:szCs w:val="24"/>
              </w:rPr>
            </w:pPr>
            <w:r w:rsidRPr="009C58F3">
              <w:rPr>
                <w:szCs w:val="24"/>
              </w:rPr>
              <w:t>3,1</w:t>
            </w:r>
          </w:p>
        </w:tc>
        <w:tc>
          <w:tcPr>
            <w:tcW w:w="1653" w:type="dxa"/>
          </w:tcPr>
          <w:p w14:paraId="6B9B2A8C" w14:textId="77777777" w:rsidR="00B4589A" w:rsidRPr="009C58F3" w:rsidRDefault="00B4589A" w:rsidP="00C22DDF">
            <w:pPr>
              <w:tabs>
                <w:tab w:val="left" w:pos="851"/>
              </w:tabs>
              <w:ind w:left="851" w:hanging="851"/>
              <w:rPr>
                <w:szCs w:val="24"/>
              </w:rPr>
            </w:pPr>
            <w:r w:rsidRPr="009C58F3">
              <w:rPr>
                <w:szCs w:val="24"/>
              </w:rPr>
              <w:t>1,8</w:t>
            </w:r>
          </w:p>
        </w:tc>
      </w:tr>
      <w:tr w:rsidR="00B4589A" w:rsidRPr="009C58F3" w14:paraId="1C0E9C5E" w14:textId="77777777" w:rsidTr="009C58F3">
        <w:trPr>
          <w:jc w:val="center"/>
        </w:trPr>
        <w:tc>
          <w:tcPr>
            <w:tcW w:w="2017" w:type="dxa"/>
          </w:tcPr>
          <w:p w14:paraId="5FFE5D53" w14:textId="77777777" w:rsidR="00B4589A" w:rsidRPr="009C58F3" w:rsidRDefault="00B4589A" w:rsidP="00C22DDF">
            <w:pPr>
              <w:tabs>
                <w:tab w:val="left" w:pos="851"/>
              </w:tabs>
              <w:ind w:left="851" w:hanging="851"/>
              <w:rPr>
                <w:szCs w:val="24"/>
              </w:rPr>
            </w:pPr>
            <w:r w:rsidRPr="009C58F3">
              <w:rPr>
                <w:szCs w:val="24"/>
              </w:rPr>
              <w:t>Dysphagi</w:t>
            </w:r>
          </w:p>
        </w:tc>
        <w:tc>
          <w:tcPr>
            <w:tcW w:w="1748" w:type="dxa"/>
          </w:tcPr>
          <w:p w14:paraId="3C4F10D2" w14:textId="77777777" w:rsidR="00B4589A" w:rsidRPr="009C58F3" w:rsidRDefault="00B4589A" w:rsidP="00C22DDF">
            <w:pPr>
              <w:tabs>
                <w:tab w:val="left" w:pos="851"/>
              </w:tabs>
              <w:ind w:left="851" w:hanging="851"/>
              <w:rPr>
                <w:szCs w:val="24"/>
              </w:rPr>
            </w:pPr>
            <w:r w:rsidRPr="009C58F3">
              <w:rPr>
                <w:szCs w:val="24"/>
              </w:rPr>
              <w:t>0,4</w:t>
            </w:r>
          </w:p>
        </w:tc>
        <w:tc>
          <w:tcPr>
            <w:tcW w:w="1738" w:type="dxa"/>
          </w:tcPr>
          <w:p w14:paraId="40450FB2" w14:textId="77777777" w:rsidR="00B4589A" w:rsidRPr="009C58F3" w:rsidRDefault="00B4589A" w:rsidP="00C22DDF">
            <w:pPr>
              <w:tabs>
                <w:tab w:val="left" w:pos="851"/>
              </w:tabs>
              <w:ind w:left="851" w:hanging="851"/>
              <w:rPr>
                <w:szCs w:val="24"/>
              </w:rPr>
            </w:pPr>
            <w:r w:rsidRPr="009C58F3">
              <w:rPr>
                <w:szCs w:val="24"/>
              </w:rPr>
              <w:t>0,5</w:t>
            </w:r>
          </w:p>
        </w:tc>
        <w:tc>
          <w:tcPr>
            <w:tcW w:w="1739" w:type="dxa"/>
          </w:tcPr>
          <w:p w14:paraId="3477FD7A" w14:textId="77777777" w:rsidR="00B4589A" w:rsidRPr="009C58F3" w:rsidRDefault="00B4589A" w:rsidP="00C22DDF">
            <w:pPr>
              <w:tabs>
                <w:tab w:val="left" w:pos="851"/>
              </w:tabs>
              <w:ind w:left="851" w:hanging="851"/>
              <w:rPr>
                <w:szCs w:val="24"/>
              </w:rPr>
            </w:pPr>
            <w:r w:rsidRPr="009C58F3">
              <w:rPr>
                <w:szCs w:val="24"/>
              </w:rPr>
              <w:t>1,0</w:t>
            </w:r>
          </w:p>
        </w:tc>
        <w:tc>
          <w:tcPr>
            <w:tcW w:w="1653" w:type="dxa"/>
          </w:tcPr>
          <w:p w14:paraId="7A43F4AD" w14:textId="77777777" w:rsidR="00B4589A" w:rsidRPr="009C58F3" w:rsidRDefault="00B4589A" w:rsidP="00C22DDF">
            <w:pPr>
              <w:tabs>
                <w:tab w:val="left" w:pos="851"/>
              </w:tabs>
              <w:ind w:left="851" w:hanging="851"/>
              <w:rPr>
                <w:szCs w:val="24"/>
              </w:rPr>
            </w:pPr>
            <w:r w:rsidRPr="009C58F3">
              <w:rPr>
                <w:szCs w:val="24"/>
              </w:rPr>
              <w:t>0,0</w:t>
            </w:r>
          </w:p>
        </w:tc>
      </w:tr>
      <w:tr w:rsidR="00B4589A" w:rsidRPr="009C58F3" w14:paraId="277D400F" w14:textId="77777777" w:rsidTr="009C58F3">
        <w:trPr>
          <w:jc w:val="center"/>
        </w:trPr>
        <w:tc>
          <w:tcPr>
            <w:tcW w:w="2017" w:type="dxa"/>
          </w:tcPr>
          <w:p w14:paraId="77917E03" w14:textId="77777777" w:rsidR="00B4589A" w:rsidRPr="009C58F3" w:rsidRDefault="00B4589A" w:rsidP="00C22DDF">
            <w:pPr>
              <w:tabs>
                <w:tab w:val="left" w:pos="851"/>
              </w:tabs>
              <w:ind w:left="851" w:hanging="851"/>
              <w:rPr>
                <w:szCs w:val="24"/>
              </w:rPr>
            </w:pPr>
            <w:r w:rsidRPr="009C58F3">
              <w:rPr>
                <w:szCs w:val="24"/>
              </w:rPr>
              <w:t>Flatulens</w:t>
            </w:r>
          </w:p>
        </w:tc>
        <w:tc>
          <w:tcPr>
            <w:tcW w:w="1748" w:type="dxa"/>
          </w:tcPr>
          <w:p w14:paraId="239C3E50" w14:textId="77777777" w:rsidR="00B4589A" w:rsidRPr="009C58F3" w:rsidRDefault="00B4589A" w:rsidP="00C22DDF">
            <w:pPr>
              <w:tabs>
                <w:tab w:val="left" w:pos="851"/>
              </w:tabs>
              <w:ind w:left="851" w:hanging="851"/>
              <w:rPr>
                <w:szCs w:val="24"/>
              </w:rPr>
            </w:pPr>
            <w:r w:rsidRPr="009C58F3">
              <w:rPr>
                <w:szCs w:val="24"/>
              </w:rPr>
              <w:t>0,4</w:t>
            </w:r>
          </w:p>
        </w:tc>
        <w:tc>
          <w:tcPr>
            <w:tcW w:w="1738" w:type="dxa"/>
          </w:tcPr>
          <w:p w14:paraId="3C0F5B67" w14:textId="77777777" w:rsidR="00B4589A" w:rsidRPr="009C58F3" w:rsidRDefault="00B4589A" w:rsidP="00C22DDF">
            <w:pPr>
              <w:tabs>
                <w:tab w:val="left" w:pos="851"/>
              </w:tabs>
              <w:ind w:left="851" w:hanging="851"/>
              <w:rPr>
                <w:szCs w:val="24"/>
              </w:rPr>
            </w:pPr>
            <w:r w:rsidRPr="009C58F3">
              <w:rPr>
                <w:szCs w:val="24"/>
              </w:rPr>
              <w:t>1,6</w:t>
            </w:r>
          </w:p>
        </w:tc>
        <w:tc>
          <w:tcPr>
            <w:tcW w:w="1739" w:type="dxa"/>
          </w:tcPr>
          <w:p w14:paraId="34325E2D" w14:textId="77777777" w:rsidR="00B4589A" w:rsidRPr="009C58F3" w:rsidRDefault="00B4589A" w:rsidP="00C22DDF">
            <w:pPr>
              <w:tabs>
                <w:tab w:val="left" w:pos="851"/>
              </w:tabs>
              <w:ind w:left="851" w:hanging="851"/>
              <w:rPr>
                <w:szCs w:val="24"/>
              </w:rPr>
            </w:pPr>
            <w:r w:rsidRPr="009C58F3">
              <w:rPr>
                <w:szCs w:val="24"/>
              </w:rPr>
              <w:t>2,6</w:t>
            </w:r>
          </w:p>
        </w:tc>
        <w:tc>
          <w:tcPr>
            <w:tcW w:w="1653" w:type="dxa"/>
          </w:tcPr>
          <w:p w14:paraId="0B53C36F" w14:textId="77777777" w:rsidR="00B4589A" w:rsidRPr="009C58F3" w:rsidRDefault="00B4589A" w:rsidP="00C22DDF">
            <w:pPr>
              <w:tabs>
                <w:tab w:val="left" w:pos="851"/>
              </w:tabs>
              <w:ind w:left="851" w:hanging="851"/>
              <w:rPr>
                <w:szCs w:val="24"/>
              </w:rPr>
            </w:pPr>
            <w:r w:rsidRPr="009C58F3">
              <w:rPr>
                <w:szCs w:val="24"/>
              </w:rPr>
              <w:t>0,5</w:t>
            </w:r>
          </w:p>
        </w:tc>
      </w:tr>
      <w:tr w:rsidR="00B4589A" w:rsidRPr="009C58F3" w14:paraId="6DC8DFF5" w14:textId="77777777" w:rsidTr="009C58F3">
        <w:trPr>
          <w:jc w:val="center"/>
        </w:trPr>
        <w:tc>
          <w:tcPr>
            <w:tcW w:w="2017" w:type="dxa"/>
          </w:tcPr>
          <w:p w14:paraId="0B0F44E9" w14:textId="77777777" w:rsidR="00B4589A" w:rsidRPr="009C58F3" w:rsidRDefault="00B4589A" w:rsidP="00C22DDF">
            <w:pPr>
              <w:tabs>
                <w:tab w:val="left" w:pos="851"/>
              </w:tabs>
              <w:ind w:left="851" w:hanging="851"/>
              <w:rPr>
                <w:szCs w:val="24"/>
              </w:rPr>
            </w:pPr>
            <w:r w:rsidRPr="009C58F3">
              <w:rPr>
                <w:szCs w:val="24"/>
              </w:rPr>
              <w:t>Gastritis</w:t>
            </w:r>
          </w:p>
        </w:tc>
        <w:tc>
          <w:tcPr>
            <w:tcW w:w="1748" w:type="dxa"/>
          </w:tcPr>
          <w:p w14:paraId="63D360BB" w14:textId="77777777" w:rsidR="00B4589A" w:rsidRPr="009C58F3" w:rsidRDefault="00B4589A" w:rsidP="00C22DDF">
            <w:pPr>
              <w:tabs>
                <w:tab w:val="left" w:pos="851"/>
              </w:tabs>
              <w:ind w:left="851" w:hanging="851"/>
              <w:rPr>
                <w:szCs w:val="24"/>
              </w:rPr>
            </w:pPr>
            <w:r w:rsidRPr="009C58F3">
              <w:rPr>
                <w:szCs w:val="24"/>
              </w:rPr>
              <w:t>0,2</w:t>
            </w:r>
          </w:p>
        </w:tc>
        <w:tc>
          <w:tcPr>
            <w:tcW w:w="1738" w:type="dxa"/>
          </w:tcPr>
          <w:p w14:paraId="3F32C7B7" w14:textId="77777777" w:rsidR="00B4589A" w:rsidRPr="009C58F3" w:rsidRDefault="00B4589A" w:rsidP="00C22DDF">
            <w:pPr>
              <w:tabs>
                <w:tab w:val="left" w:pos="851"/>
              </w:tabs>
              <w:ind w:left="851" w:hanging="851"/>
              <w:rPr>
                <w:szCs w:val="24"/>
              </w:rPr>
            </w:pPr>
            <w:r w:rsidRPr="009C58F3">
              <w:rPr>
                <w:szCs w:val="24"/>
              </w:rPr>
              <w:t>1,1</w:t>
            </w:r>
          </w:p>
        </w:tc>
        <w:tc>
          <w:tcPr>
            <w:tcW w:w="1739" w:type="dxa"/>
          </w:tcPr>
          <w:p w14:paraId="1A2492E5" w14:textId="77777777" w:rsidR="00B4589A" w:rsidRPr="009C58F3" w:rsidRDefault="00B4589A" w:rsidP="00C22DDF">
            <w:pPr>
              <w:tabs>
                <w:tab w:val="left" w:pos="851"/>
              </w:tabs>
              <w:ind w:left="851" w:hanging="851"/>
              <w:rPr>
                <w:szCs w:val="24"/>
              </w:rPr>
            </w:pPr>
            <w:r w:rsidRPr="009C58F3">
              <w:rPr>
                <w:szCs w:val="24"/>
              </w:rPr>
              <w:t>0,5</w:t>
            </w:r>
          </w:p>
        </w:tc>
        <w:tc>
          <w:tcPr>
            <w:tcW w:w="1653" w:type="dxa"/>
          </w:tcPr>
          <w:p w14:paraId="082425C0" w14:textId="77777777" w:rsidR="00B4589A" w:rsidRPr="009C58F3" w:rsidRDefault="00B4589A" w:rsidP="00C22DDF">
            <w:pPr>
              <w:tabs>
                <w:tab w:val="left" w:pos="851"/>
              </w:tabs>
              <w:ind w:left="851" w:hanging="851"/>
              <w:rPr>
                <w:szCs w:val="24"/>
              </w:rPr>
            </w:pPr>
            <w:r w:rsidRPr="009C58F3">
              <w:rPr>
                <w:szCs w:val="24"/>
              </w:rPr>
              <w:t>1,3</w:t>
            </w:r>
          </w:p>
        </w:tc>
      </w:tr>
      <w:tr w:rsidR="00B4589A" w:rsidRPr="009C58F3" w14:paraId="336BE9FD" w14:textId="77777777" w:rsidTr="009C58F3">
        <w:trPr>
          <w:jc w:val="center"/>
        </w:trPr>
        <w:tc>
          <w:tcPr>
            <w:tcW w:w="2017" w:type="dxa"/>
          </w:tcPr>
          <w:p w14:paraId="4E44B676" w14:textId="77777777" w:rsidR="00B4589A" w:rsidRPr="009C58F3" w:rsidRDefault="00B4589A" w:rsidP="00C22DDF">
            <w:pPr>
              <w:tabs>
                <w:tab w:val="left" w:pos="851"/>
              </w:tabs>
              <w:ind w:left="851" w:hanging="851"/>
              <w:rPr>
                <w:szCs w:val="24"/>
              </w:rPr>
            </w:pPr>
            <w:r w:rsidRPr="009C58F3">
              <w:rPr>
                <w:szCs w:val="24"/>
              </w:rPr>
              <w:t>Gastrisk ulcus</w:t>
            </w:r>
          </w:p>
        </w:tc>
        <w:tc>
          <w:tcPr>
            <w:tcW w:w="1748" w:type="dxa"/>
          </w:tcPr>
          <w:p w14:paraId="3D189B78" w14:textId="77777777" w:rsidR="00B4589A" w:rsidRPr="009C58F3" w:rsidRDefault="00B4589A" w:rsidP="00C22DDF">
            <w:pPr>
              <w:tabs>
                <w:tab w:val="left" w:pos="851"/>
              </w:tabs>
              <w:ind w:left="851" w:hanging="851"/>
              <w:rPr>
                <w:szCs w:val="24"/>
              </w:rPr>
            </w:pPr>
            <w:r w:rsidRPr="009C58F3">
              <w:rPr>
                <w:szCs w:val="24"/>
              </w:rPr>
              <w:t>0,0</w:t>
            </w:r>
          </w:p>
        </w:tc>
        <w:tc>
          <w:tcPr>
            <w:tcW w:w="1738" w:type="dxa"/>
          </w:tcPr>
          <w:p w14:paraId="741112D2" w14:textId="77777777" w:rsidR="00B4589A" w:rsidRPr="009C58F3" w:rsidRDefault="00B4589A" w:rsidP="00C22DDF">
            <w:pPr>
              <w:tabs>
                <w:tab w:val="left" w:pos="851"/>
              </w:tabs>
              <w:ind w:left="851" w:hanging="851"/>
              <w:rPr>
                <w:szCs w:val="24"/>
              </w:rPr>
            </w:pPr>
            <w:r w:rsidRPr="009C58F3">
              <w:rPr>
                <w:szCs w:val="24"/>
              </w:rPr>
              <w:t>1,1</w:t>
            </w:r>
          </w:p>
        </w:tc>
        <w:tc>
          <w:tcPr>
            <w:tcW w:w="1739" w:type="dxa"/>
          </w:tcPr>
          <w:p w14:paraId="4E0C0663" w14:textId="77777777" w:rsidR="00B4589A" w:rsidRPr="009C58F3" w:rsidRDefault="00B4589A" w:rsidP="00C22DDF">
            <w:pPr>
              <w:tabs>
                <w:tab w:val="left" w:pos="851"/>
              </w:tabs>
              <w:ind w:left="851" w:hanging="851"/>
              <w:rPr>
                <w:szCs w:val="24"/>
              </w:rPr>
            </w:pPr>
            <w:r w:rsidRPr="009C58F3">
              <w:rPr>
                <w:szCs w:val="24"/>
              </w:rPr>
              <w:t>0,0</w:t>
            </w:r>
          </w:p>
        </w:tc>
        <w:tc>
          <w:tcPr>
            <w:tcW w:w="1653" w:type="dxa"/>
          </w:tcPr>
          <w:p w14:paraId="3E5DE6CC" w14:textId="77777777" w:rsidR="00B4589A" w:rsidRPr="009C58F3" w:rsidRDefault="00B4589A" w:rsidP="00C22DDF">
            <w:pPr>
              <w:tabs>
                <w:tab w:val="left" w:pos="851"/>
              </w:tabs>
              <w:ind w:left="851" w:hanging="851"/>
              <w:rPr>
                <w:szCs w:val="24"/>
              </w:rPr>
            </w:pPr>
            <w:r w:rsidRPr="009C58F3">
              <w:rPr>
                <w:szCs w:val="24"/>
              </w:rPr>
              <w:t>0,0</w:t>
            </w:r>
          </w:p>
        </w:tc>
      </w:tr>
      <w:tr w:rsidR="00B4589A" w:rsidRPr="009C58F3" w14:paraId="036F0015" w14:textId="77777777" w:rsidTr="009C58F3">
        <w:trPr>
          <w:jc w:val="center"/>
        </w:trPr>
        <w:tc>
          <w:tcPr>
            <w:tcW w:w="2017" w:type="dxa"/>
          </w:tcPr>
          <w:p w14:paraId="4DFC6C7F" w14:textId="77777777" w:rsidR="00B4589A" w:rsidRPr="009C58F3" w:rsidRDefault="00B4589A" w:rsidP="00C22DDF">
            <w:pPr>
              <w:tabs>
                <w:tab w:val="left" w:pos="851"/>
              </w:tabs>
              <w:ind w:left="851" w:hanging="851"/>
              <w:rPr>
                <w:szCs w:val="24"/>
              </w:rPr>
            </w:pPr>
            <w:r w:rsidRPr="009C58F3">
              <w:rPr>
                <w:szCs w:val="24"/>
              </w:rPr>
              <w:t>Eosophagus ulcus</w:t>
            </w:r>
          </w:p>
        </w:tc>
        <w:tc>
          <w:tcPr>
            <w:tcW w:w="1748" w:type="dxa"/>
          </w:tcPr>
          <w:p w14:paraId="67DB18F4" w14:textId="77777777" w:rsidR="00B4589A" w:rsidRPr="009C58F3" w:rsidRDefault="00B4589A" w:rsidP="00C22DDF">
            <w:pPr>
              <w:tabs>
                <w:tab w:val="left" w:pos="851"/>
              </w:tabs>
              <w:ind w:left="851" w:hanging="851"/>
              <w:rPr>
                <w:szCs w:val="24"/>
              </w:rPr>
            </w:pPr>
            <w:r w:rsidRPr="009C58F3">
              <w:rPr>
                <w:szCs w:val="24"/>
              </w:rPr>
              <w:t>0,0</w:t>
            </w:r>
          </w:p>
        </w:tc>
        <w:tc>
          <w:tcPr>
            <w:tcW w:w="1738" w:type="dxa"/>
          </w:tcPr>
          <w:p w14:paraId="5B593A28" w14:textId="77777777" w:rsidR="00B4589A" w:rsidRPr="009C58F3" w:rsidRDefault="00B4589A" w:rsidP="00C22DDF">
            <w:pPr>
              <w:tabs>
                <w:tab w:val="left" w:pos="851"/>
              </w:tabs>
              <w:ind w:left="851" w:hanging="851"/>
              <w:rPr>
                <w:szCs w:val="24"/>
              </w:rPr>
            </w:pPr>
            <w:r w:rsidRPr="009C58F3">
              <w:rPr>
                <w:szCs w:val="24"/>
              </w:rPr>
              <w:t>0,0</w:t>
            </w:r>
          </w:p>
        </w:tc>
        <w:tc>
          <w:tcPr>
            <w:tcW w:w="1739" w:type="dxa"/>
          </w:tcPr>
          <w:p w14:paraId="0918F17E" w14:textId="77777777" w:rsidR="00B4589A" w:rsidRPr="009C58F3" w:rsidRDefault="00B4589A" w:rsidP="00C22DDF">
            <w:pPr>
              <w:tabs>
                <w:tab w:val="left" w:pos="851"/>
              </w:tabs>
              <w:ind w:left="851" w:hanging="851"/>
              <w:rPr>
                <w:szCs w:val="24"/>
              </w:rPr>
            </w:pPr>
            <w:r w:rsidRPr="009C58F3">
              <w:rPr>
                <w:szCs w:val="24"/>
              </w:rPr>
              <w:t>1,5</w:t>
            </w:r>
          </w:p>
        </w:tc>
        <w:tc>
          <w:tcPr>
            <w:tcW w:w="1653" w:type="dxa"/>
          </w:tcPr>
          <w:p w14:paraId="1CF523E6" w14:textId="77777777" w:rsidR="00B4589A" w:rsidRPr="009C58F3" w:rsidRDefault="00B4589A" w:rsidP="00C22DDF">
            <w:pPr>
              <w:tabs>
                <w:tab w:val="left" w:pos="851"/>
              </w:tabs>
              <w:ind w:left="851" w:hanging="851"/>
              <w:rPr>
                <w:szCs w:val="24"/>
              </w:rPr>
            </w:pPr>
            <w:r w:rsidRPr="009C58F3">
              <w:rPr>
                <w:szCs w:val="24"/>
              </w:rPr>
              <w:t>0,0</w:t>
            </w:r>
          </w:p>
        </w:tc>
      </w:tr>
      <w:tr w:rsidR="00B4589A" w:rsidRPr="009C58F3" w14:paraId="6D07CB4F" w14:textId="77777777" w:rsidTr="009C58F3">
        <w:trPr>
          <w:jc w:val="center"/>
        </w:trPr>
        <w:tc>
          <w:tcPr>
            <w:tcW w:w="8895" w:type="dxa"/>
            <w:gridSpan w:val="5"/>
          </w:tcPr>
          <w:p w14:paraId="5462CAB8" w14:textId="77777777" w:rsidR="00B4589A" w:rsidRPr="009C58F3" w:rsidRDefault="00B4589A" w:rsidP="00C22DDF">
            <w:pPr>
              <w:tabs>
                <w:tab w:val="left" w:pos="851"/>
              </w:tabs>
              <w:ind w:left="851" w:hanging="851"/>
              <w:rPr>
                <w:i/>
                <w:szCs w:val="24"/>
              </w:rPr>
            </w:pPr>
            <w:r w:rsidRPr="009C58F3">
              <w:rPr>
                <w:i/>
                <w:szCs w:val="24"/>
              </w:rPr>
              <w:t>Knogler, led, muskler og bindevæv</w:t>
            </w:r>
          </w:p>
        </w:tc>
      </w:tr>
      <w:tr w:rsidR="00B4589A" w:rsidRPr="009C58F3" w14:paraId="54EEC3BC" w14:textId="77777777" w:rsidTr="009C58F3">
        <w:trPr>
          <w:jc w:val="center"/>
        </w:trPr>
        <w:tc>
          <w:tcPr>
            <w:tcW w:w="2017" w:type="dxa"/>
          </w:tcPr>
          <w:p w14:paraId="5F0F8710" w14:textId="77777777" w:rsidR="00B4589A" w:rsidRPr="009C58F3" w:rsidRDefault="00B4589A" w:rsidP="00C22DDF">
            <w:pPr>
              <w:tabs>
                <w:tab w:val="left" w:pos="851"/>
              </w:tabs>
              <w:ind w:left="851" w:hanging="851"/>
              <w:rPr>
                <w:szCs w:val="24"/>
              </w:rPr>
            </w:pPr>
            <w:r w:rsidRPr="009C58F3">
              <w:rPr>
                <w:szCs w:val="24"/>
              </w:rPr>
              <w:t>Muskeloskeletale</w:t>
            </w:r>
          </w:p>
          <w:p w14:paraId="71BD6A45" w14:textId="77777777" w:rsidR="00B4589A" w:rsidRPr="009C58F3" w:rsidRDefault="00B4589A" w:rsidP="00C22DDF">
            <w:pPr>
              <w:tabs>
                <w:tab w:val="left" w:pos="851"/>
              </w:tabs>
              <w:ind w:left="851" w:hanging="851"/>
              <w:rPr>
                <w:szCs w:val="24"/>
              </w:rPr>
            </w:pPr>
            <w:r w:rsidRPr="009C58F3">
              <w:rPr>
                <w:szCs w:val="24"/>
              </w:rPr>
              <w:t>smerter (knogle,</w:t>
            </w:r>
          </w:p>
          <w:p w14:paraId="0AA2C3C5" w14:textId="77777777" w:rsidR="00B4589A" w:rsidRPr="009C58F3" w:rsidRDefault="00B4589A" w:rsidP="00C22DDF">
            <w:pPr>
              <w:tabs>
                <w:tab w:val="left" w:pos="851"/>
              </w:tabs>
              <w:ind w:left="851" w:hanging="851"/>
              <w:rPr>
                <w:szCs w:val="24"/>
              </w:rPr>
            </w:pPr>
            <w:r w:rsidRPr="009C58F3">
              <w:rPr>
                <w:szCs w:val="24"/>
              </w:rPr>
              <w:t>muskel eller led)</w:t>
            </w:r>
          </w:p>
        </w:tc>
        <w:tc>
          <w:tcPr>
            <w:tcW w:w="1748" w:type="dxa"/>
          </w:tcPr>
          <w:p w14:paraId="213D02DB" w14:textId="77777777" w:rsidR="00B4589A" w:rsidRPr="009C58F3" w:rsidRDefault="00B4589A" w:rsidP="00C22DDF">
            <w:pPr>
              <w:tabs>
                <w:tab w:val="left" w:pos="851"/>
              </w:tabs>
              <w:ind w:left="851" w:hanging="851"/>
              <w:rPr>
                <w:szCs w:val="24"/>
              </w:rPr>
            </w:pPr>
            <w:r w:rsidRPr="009C58F3">
              <w:rPr>
                <w:szCs w:val="24"/>
              </w:rPr>
              <w:t>2,9</w:t>
            </w:r>
          </w:p>
        </w:tc>
        <w:tc>
          <w:tcPr>
            <w:tcW w:w="1738" w:type="dxa"/>
          </w:tcPr>
          <w:p w14:paraId="3CA35E6E" w14:textId="77777777" w:rsidR="00B4589A" w:rsidRPr="009C58F3" w:rsidRDefault="00B4589A" w:rsidP="00C22DDF">
            <w:pPr>
              <w:tabs>
                <w:tab w:val="left" w:pos="851"/>
              </w:tabs>
              <w:ind w:left="851" w:hanging="851"/>
              <w:rPr>
                <w:szCs w:val="24"/>
              </w:rPr>
            </w:pPr>
            <w:r w:rsidRPr="009C58F3">
              <w:rPr>
                <w:szCs w:val="24"/>
              </w:rPr>
              <w:t>3,2</w:t>
            </w:r>
          </w:p>
        </w:tc>
        <w:tc>
          <w:tcPr>
            <w:tcW w:w="1739" w:type="dxa"/>
          </w:tcPr>
          <w:p w14:paraId="626A77C1" w14:textId="77777777" w:rsidR="00B4589A" w:rsidRPr="009C58F3" w:rsidRDefault="00B4589A" w:rsidP="00C22DDF">
            <w:pPr>
              <w:tabs>
                <w:tab w:val="left" w:pos="851"/>
              </w:tabs>
              <w:ind w:left="851" w:hanging="851"/>
              <w:rPr>
                <w:szCs w:val="24"/>
              </w:rPr>
            </w:pPr>
            <w:r w:rsidRPr="009C58F3">
              <w:rPr>
                <w:szCs w:val="24"/>
              </w:rPr>
              <w:t>4,1</w:t>
            </w:r>
          </w:p>
        </w:tc>
        <w:tc>
          <w:tcPr>
            <w:tcW w:w="1653" w:type="dxa"/>
          </w:tcPr>
          <w:p w14:paraId="29810021" w14:textId="77777777" w:rsidR="00B4589A" w:rsidRPr="009C58F3" w:rsidRDefault="00B4589A" w:rsidP="00C22DDF">
            <w:pPr>
              <w:tabs>
                <w:tab w:val="left" w:pos="851"/>
              </w:tabs>
              <w:ind w:left="851" w:hanging="851"/>
              <w:rPr>
                <w:szCs w:val="24"/>
              </w:rPr>
            </w:pPr>
            <w:r w:rsidRPr="009C58F3">
              <w:rPr>
                <w:szCs w:val="24"/>
              </w:rPr>
              <w:t>2,5</w:t>
            </w:r>
          </w:p>
        </w:tc>
      </w:tr>
      <w:tr w:rsidR="00B4589A" w:rsidRPr="009C58F3" w14:paraId="68969790" w14:textId="77777777" w:rsidTr="009C58F3">
        <w:trPr>
          <w:jc w:val="center"/>
        </w:trPr>
        <w:tc>
          <w:tcPr>
            <w:tcW w:w="2017" w:type="dxa"/>
          </w:tcPr>
          <w:p w14:paraId="66D7E3A7" w14:textId="77777777" w:rsidR="00B4589A" w:rsidRPr="009C58F3" w:rsidRDefault="00B4589A" w:rsidP="00C22DDF">
            <w:pPr>
              <w:tabs>
                <w:tab w:val="left" w:pos="851"/>
              </w:tabs>
              <w:ind w:left="851" w:hanging="851"/>
              <w:rPr>
                <w:szCs w:val="24"/>
              </w:rPr>
            </w:pPr>
            <w:r w:rsidRPr="009C58F3">
              <w:rPr>
                <w:szCs w:val="24"/>
              </w:rPr>
              <w:t>Muskelkramper</w:t>
            </w:r>
          </w:p>
        </w:tc>
        <w:tc>
          <w:tcPr>
            <w:tcW w:w="1748" w:type="dxa"/>
          </w:tcPr>
          <w:p w14:paraId="03456E24" w14:textId="77777777" w:rsidR="00B4589A" w:rsidRPr="009C58F3" w:rsidRDefault="00B4589A" w:rsidP="00C22DDF">
            <w:pPr>
              <w:tabs>
                <w:tab w:val="left" w:pos="851"/>
              </w:tabs>
              <w:ind w:left="851" w:hanging="851"/>
              <w:rPr>
                <w:szCs w:val="24"/>
              </w:rPr>
            </w:pPr>
            <w:r w:rsidRPr="009C58F3">
              <w:rPr>
                <w:szCs w:val="24"/>
              </w:rPr>
              <w:t>0,2</w:t>
            </w:r>
          </w:p>
        </w:tc>
        <w:tc>
          <w:tcPr>
            <w:tcW w:w="1738" w:type="dxa"/>
          </w:tcPr>
          <w:p w14:paraId="199F00D8" w14:textId="77777777" w:rsidR="00B4589A" w:rsidRPr="009C58F3" w:rsidRDefault="00B4589A" w:rsidP="00C22DDF">
            <w:pPr>
              <w:tabs>
                <w:tab w:val="left" w:pos="851"/>
              </w:tabs>
              <w:ind w:left="851" w:hanging="851"/>
              <w:rPr>
                <w:szCs w:val="24"/>
              </w:rPr>
            </w:pPr>
            <w:r w:rsidRPr="009C58F3">
              <w:rPr>
                <w:szCs w:val="24"/>
              </w:rPr>
              <w:t>1,1</w:t>
            </w:r>
          </w:p>
        </w:tc>
        <w:tc>
          <w:tcPr>
            <w:tcW w:w="1739" w:type="dxa"/>
          </w:tcPr>
          <w:p w14:paraId="03F026EE" w14:textId="77777777" w:rsidR="00B4589A" w:rsidRPr="009C58F3" w:rsidRDefault="00B4589A" w:rsidP="00C22DDF">
            <w:pPr>
              <w:tabs>
                <w:tab w:val="left" w:pos="851"/>
              </w:tabs>
              <w:ind w:left="851" w:hanging="851"/>
              <w:rPr>
                <w:szCs w:val="24"/>
              </w:rPr>
            </w:pPr>
            <w:r w:rsidRPr="009C58F3">
              <w:rPr>
                <w:szCs w:val="24"/>
              </w:rPr>
              <w:t>0,0</w:t>
            </w:r>
          </w:p>
        </w:tc>
        <w:tc>
          <w:tcPr>
            <w:tcW w:w="1653" w:type="dxa"/>
          </w:tcPr>
          <w:p w14:paraId="2F123561" w14:textId="77777777" w:rsidR="00B4589A" w:rsidRPr="009C58F3" w:rsidRDefault="00B4589A" w:rsidP="00C22DDF">
            <w:pPr>
              <w:tabs>
                <w:tab w:val="left" w:pos="851"/>
              </w:tabs>
              <w:ind w:left="851" w:hanging="851"/>
              <w:rPr>
                <w:szCs w:val="24"/>
              </w:rPr>
            </w:pPr>
            <w:r w:rsidRPr="009C58F3">
              <w:rPr>
                <w:szCs w:val="24"/>
              </w:rPr>
              <w:t>1,0</w:t>
            </w:r>
          </w:p>
        </w:tc>
      </w:tr>
      <w:tr w:rsidR="00B4589A" w:rsidRPr="009C58F3" w14:paraId="0A3B10D7" w14:textId="77777777" w:rsidTr="009C58F3">
        <w:trPr>
          <w:jc w:val="center"/>
        </w:trPr>
        <w:tc>
          <w:tcPr>
            <w:tcW w:w="8895" w:type="dxa"/>
            <w:gridSpan w:val="5"/>
          </w:tcPr>
          <w:p w14:paraId="74415A88" w14:textId="77777777" w:rsidR="00B4589A" w:rsidRPr="009C58F3" w:rsidRDefault="00B4589A" w:rsidP="00C22DDF">
            <w:pPr>
              <w:tabs>
                <w:tab w:val="left" w:pos="851"/>
              </w:tabs>
              <w:ind w:left="851" w:hanging="851"/>
              <w:rPr>
                <w:i/>
                <w:szCs w:val="24"/>
              </w:rPr>
            </w:pPr>
            <w:r w:rsidRPr="009C58F3">
              <w:rPr>
                <w:i/>
                <w:szCs w:val="24"/>
              </w:rPr>
              <w:t>Neurologiske lidelser</w:t>
            </w:r>
          </w:p>
        </w:tc>
      </w:tr>
      <w:tr w:rsidR="00B4589A" w:rsidRPr="009C58F3" w14:paraId="725F7293" w14:textId="77777777" w:rsidTr="009C58F3">
        <w:trPr>
          <w:jc w:val="center"/>
        </w:trPr>
        <w:tc>
          <w:tcPr>
            <w:tcW w:w="2017" w:type="dxa"/>
          </w:tcPr>
          <w:p w14:paraId="1701BE48" w14:textId="77777777" w:rsidR="00B4589A" w:rsidRPr="009C58F3" w:rsidRDefault="00B4589A" w:rsidP="00C22DDF">
            <w:pPr>
              <w:tabs>
                <w:tab w:val="left" w:pos="851"/>
              </w:tabs>
              <w:ind w:left="851" w:hanging="851"/>
              <w:rPr>
                <w:szCs w:val="24"/>
              </w:rPr>
            </w:pPr>
            <w:r w:rsidRPr="009C58F3">
              <w:rPr>
                <w:szCs w:val="24"/>
              </w:rPr>
              <w:t>Hovedpine</w:t>
            </w:r>
          </w:p>
        </w:tc>
        <w:tc>
          <w:tcPr>
            <w:tcW w:w="1748" w:type="dxa"/>
          </w:tcPr>
          <w:p w14:paraId="38ED9025" w14:textId="77777777" w:rsidR="00B4589A" w:rsidRPr="009C58F3" w:rsidRDefault="00B4589A" w:rsidP="00C22DDF">
            <w:pPr>
              <w:tabs>
                <w:tab w:val="left" w:pos="851"/>
              </w:tabs>
              <w:ind w:left="851" w:hanging="851"/>
              <w:rPr>
                <w:szCs w:val="24"/>
              </w:rPr>
            </w:pPr>
            <w:r w:rsidRPr="009C58F3">
              <w:rPr>
                <w:szCs w:val="24"/>
              </w:rPr>
              <w:t>0,4</w:t>
            </w:r>
          </w:p>
        </w:tc>
        <w:tc>
          <w:tcPr>
            <w:tcW w:w="1738" w:type="dxa"/>
          </w:tcPr>
          <w:p w14:paraId="0CBFB9EE" w14:textId="77777777" w:rsidR="00B4589A" w:rsidRPr="009C58F3" w:rsidRDefault="00B4589A" w:rsidP="00C22DDF">
            <w:pPr>
              <w:tabs>
                <w:tab w:val="left" w:pos="851"/>
              </w:tabs>
              <w:ind w:left="851" w:hanging="851"/>
              <w:rPr>
                <w:szCs w:val="24"/>
              </w:rPr>
            </w:pPr>
            <w:r w:rsidRPr="009C58F3">
              <w:rPr>
                <w:szCs w:val="24"/>
              </w:rPr>
              <w:t>0,3</w:t>
            </w:r>
          </w:p>
        </w:tc>
        <w:tc>
          <w:tcPr>
            <w:tcW w:w="1739" w:type="dxa"/>
          </w:tcPr>
          <w:p w14:paraId="324C94D0" w14:textId="77777777" w:rsidR="00B4589A" w:rsidRPr="009C58F3" w:rsidRDefault="00B4589A" w:rsidP="00C22DDF">
            <w:pPr>
              <w:tabs>
                <w:tab w:val="left" w:pos="851"/>
              </w:tabs>
              <w:ind w:left="851" w:hanging="851"/>
              <w:rPr>
                <w:szCs w:val="24"/>
              </w:rPr>
            </w:pPr>
            <w:r w:rsidRPr="009C58F3">
              <w:rPr>
                <w:szCs w:val="24"/>
              </w:rPr>
              <w:t>2,6</w:t>
            </w:r>
          </w:p>
        </w:tc>
        <w:tc>
          <w:tcPr>
            <w:tcW w:w="1653" w:type="dxa"/>
          </w:tcPr>
          <w:p w14:paraId="3EF5AFA0" w14:textId="77777777" w:rsidR="00B4589A" w:rsidRPr="009C58F3" w:rsidRDefault="00B4589A" w:rsidP="00C22DDF">
            <w:pPr>
              <w:tabs>
                <w:tab w:val="left" w:pos="851"/>
              </w:tabs>
              <w:ind w:left="851" w:hanging="851"/>
              <w:rPr>
                <w:szCs w:val="24"/>
              </w:rPr>
            </w:pPr>
            <w:r w:rsidRPr="009C58F3">
              <w:rPr>
                <w:szCs w:val="24"/>
              </w:rPr>
              <w:t>1,5</w:t>
            </w:r>
          </w:p>
        </w:tc>
      </w:tr>
    </w:tbl>
    <w:p w14:paraId="52BB6F5B" w14:textId="77777777" w:rsidR="00B4589A" w:rsidRPr="00215673" w:rsidRDefault="00B4589A" w:rsidP="0018430E">
      <w:pPr>
        <w:tabs>
          <w:tab w:val="left" w:pos="851"/>
        </w:tabs>
        <w:ind w:left="851"/>
        <w:rPr>
          <w:szCs w:val="24"/>
        </w:rPr>
      </w:pPr>
    </w:p>
    <w:p w14:paraId="7BABDCEF" w14:textId="77777777" w:rsidR="00B4589A" w:rsidRPr="00215673" w:rsidRDefault="00B4589A" w:rsidP="00C22DDF">
      <w:pPr>
        <w:tabs>
          <w:tab w:val="left" w:pos="851"/>
        </w:tabs>
        <w:ind w:left="851"/>
        <w:rPr>
          <w:szCs w:val="24"/>
        </w:rPr>
      </w:pPr>
      <w:r w:rsidRPr="00215673">
        <w:rPr>
          <w:szCs w:val="24"/>
        </w:rPr>
        <w:t>Følgende bivirkninger er indberettet under kliniske undersøgelser og/eller efter markedsføring:</w:t>
      </w:r>
    </w:p>
    <w:p w14:paraId="0B47A5BA" w14:textId="77777777" w:rsidR="00B4589A" w:rsidRPr="00215673" w:rsidRDefault="00B4589A" w:rsidP="00C22DDF">
      <w:pPr>
        <w:tabs>
          <w:tab w:val="left" w:pos="851"/>
        </w:tabs>
        <w:ind w:left="851"/>
        <w:rPr>
          <w:szCs w:val="24"/>
        </w:rPr>
      </w:pPr>
    </w:p>
    <w:p w14:paraId="56AD8F6F" w14:textId="77777777" w:rsidR="003A0922" w:rsidRPr="00471474" w:rsidRDefault="003A0922" w:rsidP="00C22DDF">
      <w:pPr>
        <w:tabs>
          <w:tab w:val="left" w:pos="851"/>
        </w:tabs>
        <w:ind w:left="851"/>
        <w:rPr>
          <w:szCs w:val="24"/>
          <w:u w:val="single"/>
        </w:rPr>
      </w:pPr>
      <w:r w:rsidRPr="00471474">
        <w:rPr>
          <w:szCs w:val="24"/>
          <w:u w:val="single"/>
        </w:rPr>
        <w:t>Hyppigheden er defineret som</w:t>
      </w:r>
    </w:p>
    <w:p w14:paraId="5B647E5F" w14:textId="77777777" w:rsidR="003A0922" w:rsidRDefault="003A0922" w:rsidP="00C22DDF">
      <w:pPr>
        <w:tabs>
          <w:tab w:val="left" w:pos="851"/>
        </w:tabs>
        <w:ind w:left="851"/>
        <w:rPr>
          <w:szCs w:val="24"/>
        </w:rPr>
      </w:pPr>
      <w:r>
        <w:rPr>
          <w:szCs w:val="24"/>
        </w:rPr>
        <w:t>Meget almindelig (</w:t>
      </w:r>
      <w:r>
        <w:rPr>
          <w:rFonts w:ascii="Symbol" w:hAnsi="Symbol"/>
          <w:szCs w:val="24"/>
        </w:rPr>
        <w:t></w:t>
      </w:r>
      <w:r>
        <w:rPr>
          <w:rFonts w:ascii="Symbol" w:hAnsi="Symbol"/>
          <w:szCs w:val="24"/>
        </w:rPr>
        <w:t></w:t>
      </w:r>
      <w:r>
        <w:rPr>
          <w:szCs w:val="24"/>
        </w:rPr>
        <w:t>1/10)</w:t>
      </w:r>
    </w:p>
    <w:p w14:paraId="3950F5AD" w14:textId="77777777" w:rsidR="003A0922" w:rsidRDefault="003A0922" w:rsidP="00C22DDF">
      <w:pPr>
        <w:tabs>
          <w:tab w:val="left" w:pos="851"/>
        </w:tabs>
        <w:ind w:left="851"/>
        <w:rPr>
          <w:szCs w:val="24"/>
        </w:rPr>
      </w:pPr>
      <w:r>
        <w:rPr>
          <w:szCs w:val="24"/>
        </w:rPr>
        <w:t>Almindelig (</w:t>
      </w:r>
      <w:r>
        <w:rPr>
          <w:rFonts w:ascii="Symbol" w:hAnsi="Symbol"/>
          <w:szCs w:val="24"/>
        </w:rPr>
        <w:t></w:t>
      </w:r>
      <w:r>
        <w:rPr>
          <w:rFonts w:ascii="Symbol" w:hAnsi="Symbol"/>
          <w:szCs w:val="24"/>
        </w:rPr>
        <w:t></w:t>
      </w:r>
      <w:r>
        <w:rPr>
          <w:szCs w:val="24"/>
        </w:rPr>
        <w:t>1/100 til &lt; 1/10)</w:t>
      </w:r>
    </w:p>
    <w:p w14:paraId="71EDCEA7" w14:textId="77777777" w:rsidR="003A0922" w:rsidRDefault="003A0922" w:rsidP="00C22DDF">
      <w:pPr>
        <w:tabs>
          <w:tab w:val="left" w:pos="851"/>
        </w:tabs>
        <w:ind w:left="851"/>
        <w:rPr>
          <w:szCs w:val="24"/>
        </w:rPr>
      </w:pPr>
      <w:r>
        <w:rPr>
          <w:szCs w:val="24"/>
        </w:rPr>
        <w:t>Ikke almindelig (</w:t>
      </w:r>
      <w:r>
        <w:rPr>
          <w:rFonts w:ascii="Symbol" w:hAnsi="Symbol"/>
          <w:szCs w:val="24"/>
        </w:rPr>
        <w:t></w:t>
      </w:r>
      <w:r>
        <w:rPr>
          <w:rFonts w:ascii="Symbol" w:hAnsi="Symbol"/>
          <w:szCs w:val="24"/>
        </w:rPr>
        <w:t></w:t>
      </w:r>
      <w:r>
        <w:rPr>
          <w:szCs w:val="24"/>
        </w:rPr>
        <w:t xml:space="preserve">1/1.000 til </w:t>
      </w:r>
      <w:r>
        <w:rPr>
          <w:rFonts w:ascii="Symbol" w:hAnsi="Symbol"/>
          <w:szCs w:val="24"/>
        </w:rPr>
        <w:t></w:t>
      </w:r>
      <w:r>
        <w:rPr>
          <w:rFonts w:ascii="Symbol" w:hAnsi="Symbol"/>
          <w:szCs w:val="24"/>
        </w:rPr>
        <w:t></w:t>
      </w:r>
      <w:r>
        <w:rPr>
          <w:szCs w:val="24"/>
        </w:rPr>
        <w:t>1/100)</w:t>
      </w:r>
    </w:p>
    <w:p w14:paraId="6FEDE889" w14:textId="77777777" w:rsidR="00657703" w:rsidRPr="00657703" w:rsidRDefault="00657703" w:rsidP="00657703">
      <w:pPr>
        <w:tabs>
          <w:tab w:val="left" w:pos="851"/>
        </w:tabs>
        <w:ind w:left="851"/>
        <w:rPr>
          <w:szCs w:val="24"/>
        </w:rPr>
      </w:pPr>
      <w:r w:rsidRPr="00657703">
        <w:rPr>
          <w:szCs w:val="24"/>
        </w:rPr>
        <w:t>Meget sjælden (&lt; 1/10.000, herunder isolerede tilfælde)</w:t>
      </w:r>
    </w:p>
    <w:p w14:paraId="14FEB719" w14:textId="77777777" w:rsidR="00657703" w:rsidRPr="00657703" w:rsidRDefault="00657703" w:rsidP="00657703">
      <w:pPr>
        <w:tabs>
          <w:tab w:val="left" w:pos="851"/>
        </w:tabs>
        <w:ind w:left="851"/>
        <w:rPr>
          <w:szCs w:val="24"/>
        </w:rPr>
      </w:pPr>
      <w:r w:rsidRPr="00657703">
        <w:rPr>
          <w:szCs w:val="24"/>
        </w:rPr>
        <w:t>Ikke kendt (kan ikke estimeres ud fra forhåndenværende data)</w:t>
      </w:r>
    </w:p>
    <w:p w14:paraId="5C9FA4C4" w14:textId="77777777" w:rsidR="00951419" w:rsidRPr="00215673" w:rsidRDefault="00951419" w:rsidP="00332728">
      <w:pPr>
        <w:tabs>
          <w:tab w:val="left" w:pos="851"/>
        </w:tabs>
        <w:ind w:left="851"/>
        <w:rPr>
          <w:szCs w:val="24"/>
        </w:rPr>
      </w:pPr>
    </w:p>
    <w:p w14:paraId="7380CC97" w14:textId="77777777" w:rsidR="00951419" w:rsidRPr="00215673" w:rsidRDefault="00951419" w:rsidP="00C22DDF">
      <w:pPr>
        <w:tabs>
          <w:tab w:val="left" w:pos="851"/>
        </w:tabs>
        <w:ind w:left="851"/>
        <w:rPr>
          <w:szCs w:val="24"/>
          <w:u w:val="single"/>
        </w:rPr>
      </w:pPr>
      <w:r>
        <w:rPr>
          <w:szCs w:val="24"/>
          <w:u w:val="single"/>
        </w:rPr>
        <w:t>Immunsystemet</w:t>
      </w:r>
    </w:p>
    <w:p w14:paraId="2F35B172" w14:textId="77777777" w:rsidR="00951419" w:rsidRPr="00215673" w:rsidRDefault="00951419" w:rsidP="00C22DDF">
      <w:pPr>
        <w:tabs>
          <w:tab w:val="left" w:pos="851"/>
        </w:tabs>
        <w:ind w:left="851"/>
        <w:rPr>
          <w:szCs w:val="24"/>
        </w:rPr>
      </w:pPr>
      <w:r w:rsidRPr="00215673">
        <w:rPr>
          <w:i/>
          <w:szCs w:val="24"/>
        </w:rPr>
        <w:t xml:space="preserve">Sjælden: </w:t>
      </w:r>
      <w:r w:rsidR="00471474">
        <w:rPr>
          <w:szCs w:val="24"/>
        </w:rPr>
        <w:t>O</w:t>
      </w:r>
      <w:r w:rsidRPr="00215673">
        <w:rPr>
          <w:szCs w:val="24"/>
        </w:rPr>
        <w:t xml:space="preserve">verfølsomhedsreaktioner inklusive </w:t>
      </w:r>
      <w:r>
        <w:rPr>
          <w:szCs w:val="24"/>
        </w:rPr>
        <w:t>urticaria</w:t>
      </w:r>
      <w:r w:rsidRPr="00215673">
        <w:rPr>
          <w:szCs w:val="24"/>
        </w:rPr>
        <w:t xml:space="preserve"> og angioødem</w:t>
      </w:r>
    </w:p>
    <w:p w14:paraId="39E52E2B" w14:textId="77777777" w:rsidR="00951419" w:rsidRDefault="00951419" w:rsidP="00C22DDF">
      <w:pPr>
        <w:tabs>
          <w:tab w:val="left" w:pos="851"/>
        </w:tabs>
        <w:ind w:left="851"/>
        <w:rPr>
          <w:szCs w:val="24"/>
          <w:u w:val="single"/>
        </w:rPr>
      </w:pPr>
    </w:p>
    <w:p w14:paraId="2828F39A" w14:textId="77777777" w:rsidR="00951419" w:rsidRPr="00215673" w:rsidRDefault="00951419" w:rsidP="00C22DDF">
      <w:pPr>
        <w:tabs>
          <w:tab w:val="left" w:pos="851"/>
        </w:tabs>
        <w:ind w:left="851"/>
        <w:rPr>
          <w:szCs w:val="24"/>
          <w:u w:val="single"/>
        </w:rPr>
      </w:pPr>
      <w:r>
        <w:rPr>
          <w:szCs w:val="24"/>
          <w:u w:val="single"/>
        </w:rPr>
        <w:t>Metabolisme og ernæring</w:t>
      </w:r>
    </w:p>
    <w:p w14:paraId="46161577" w14:textId="77777777" w:rsidR="00951419" w:rsidRPr="00215673" w:rsidRDefault="00951419" w:rsidP="00C22DDF">
      <w:pPr>
        <w:tabs>
          <w:tab w:val="left" w:pos="851"/>
        </w:tabs>
        <w:ind w:left="851"/>
        <w:rPr>
          <w:szCs w:val="24"/>
        </w:rPr>
      </w:pPr>
      <w:r w:rsidRPr="00215673">
        <w:rPr>
          <w:i/>
          <w:szCs w:val="24"/>
        </w:rPr>
        <w:t>Sjælden</w:t>
      </w:r>
      <w:r>
        <w:rPr>
          <w:szCs w:val="24"/>
        </w:rPr>
        <w:t xml:space="preserve">: </w:t>
      </w:r>
      <w:r w:rsidR="00471474">
        <w:rPr>
          <w:szCs w:val="24"/>
        </w:rPr>
        <w:t>S</w:t>
      </w:r>
      <w:r w:rsidRPr="00215673">
        <w:rPr>
          <w:szCs w:val="24"/>
        </w:rPr>
        <w:t xml:space="preserve">ymptomatisk hypocalcæmi, </w:t>
      </w:r>
      <w:r>
        <w:rPr>
          <w:szCs w:val="24"/>
        </w:rPr>
        <w:t>ofte</w:t>
      </w:r>
      <w:r w:rsidRPr="00215673">
        <w:rPr>
          <w:szCs w:val="24"/>
        </w:rPr>
        <w:t xml:space="preserve"> i forbindelse prædisponerende </w:t>
      </w:r>
      <w:r>
        <w:rPr>
          <w:szCs w:val="24"/>
        </w:rPr>
        <w:t>tilstande</w:t>
      </w:r>
      <w:r w:rsidRPr="00393CF9">
        <w:rPr>
          <w:sz w:val="22"/>
          <w:szCs w:val="22"/>
          <w:vertAlign w:val="superscript"/>
        </w:rPr>
        <w:t>$</w:t>
      </w:r>
      <w:r w:rsidRPr="00215673">
        <w:rPr>
          <w:szCs w:val="24"/>
        </w:rPr>
        <w:t xml:space="preserve"> </w:t>
      </w:r>
    </w:p>
    <w:p w14:paraId="58424AC0" w14:textId="77777777" w:rsidR="00951419" w:rsidRDefault="00951419" w:rsidP="00C22DDF">
      <w:pPr>
        <w:tabs>
          <w:tab w:val="left" w:pos="851"/>
        </w:tabs>
        <w:ind w:left="851"/>
        <w:rPr>
          <w:szCs w:val="24"/>
          <w:u w:val="single"/>
        </w:rPr>
      </w:pPr>
    </w:p>
    <w:p w14:paraId="023A7D66" w14:textId="77777777" w:rsidR="00951419" w:rsidRPr="00215673" w:rsidRDefault="00951419" w:rsidP="00C22DDF">
      <w:pPr>
        <w:tabs>
          <w:tab w:val="left" w:pos="851"/>
        </w:tabs>
        <w:ind w:left="851"/>
        <w:rPr>
          <w:szCs w:val="24"/>
          <w:u w:val="single"/>
        </w:rPr>
      </w:pPr>
      <w:r>
        <w:rPr>
          <w:szCs w:val="24"/>
          <w:u w:val="single"/>
        </w:rPr>
        <w:t>Nervesystemet</w:t>
      </w:r>
    </w:p>
    <w:p w14:paraId="18E956C6" w14:textId="77777777" w:rsidR="00951419" w:rsidRPr="0007015A" w:rsidRDefault="00951419" w:rsidP="00332728">
      <w:pPr>
        <w:autoSpaceDE w:val="0"/>
        <w:autoSpaceDN w:val="0"/>
        <w:adjustRightInd w:val="0"/>
        <w:ind w:left="851"/>
        <w:rPr>
          <w:sz w:val="18"/>
          <w:szCs w:val="18"/>
        </w:rPr>
      </w:pPr>
      <w:r w:rsidRPr="00215673">
        <w:rPr>
          <w:i/>
          <w:szCs w:val="24"/>
        </w:rPr>
        <w:t>Almindelig</w:t>
      </w:r>
      <w:r w:rsidRPr="00215673">
        <w:rPr>
          <w:szCs w:val="24"/>
        </w:rPr>
        <w:t xml:space="preserve">: </w:t>
      </w:r>
      <w:r w:rsidR="00471474">
        <w:rPr>
          <w:szCs w:val="24"/>
        </w:rPr>
        <w:t>H</w:t>
      </w:r>
      <w:r w:rsidRPr="00215673">
        <w:rPr>
          <w:szCs w:val="24"/>
        </w:rPr>
        <w:t>ovedpine</w:t>
      </w:r>
      <w:r>
        <w:rPr>
          <w:iCs/>
          <w:szCs w:val="22"/>
        </w:rPr>
        <w:t xml:space="preserve">, </w:t>
      </w:r>
      <w:r w:rsidRPr="00C063E1">
        <w:rPr>
          <w:iCs/>
          <w:szCs w:val="22"/>
        </w:rPr>
        <w:t>svimmelhed</w:t>
      </w:r>
      <w:r w:rsidRPr="00393CF9">
        <w:rPr>
          <w:sz w:val="22"/>
          <w:szCs w:val="22"/>
          <w:vertAlign w:val="superscript"/>
        </w:rPr>
        <w:t>†</w:t>
      </w:r>
    </w:p>
    <w:p w14:paraId="4AB29D8F" w14:textId="77777777" w:rsidR="00951419" w:rsidRPr="00EC702C" w:rsidRDefault="00951419" w:rsidP="00C22DDF">
      <w:pPr>
        <w:ind w:left="851"/>
        <w:rPr>
          <w:i/>
          <w:iCs/>
          <w:szCs w:val="22"/>
        </w:rPr>
      </w:pPr>
      <w:r w:rsidRPr="00C063E1">
        <w:rPr>
          <w:i/>
          <w:iCs/>
          <w:szCs w:val="22"/>
        </w:rPr>
        <w:t xml:space="preserve">Ikke almindelig: </w:t>
      </w:r>
      <w:r w:rsidR="00471474">
        <w:rPr>
          <w:iCs/>
          <w:szCs w:val="22"/>
        </w:rPr>
        <w:t>S</w:t>
      </w:r>
      <w:r w:rsidRPr="00C063E1">
        <w:rPr>
          <w:iCs/>
          <w:szCs w:val="22"/>
        </w:rPr>
        <w:t>magsforstyrrelser</w:t>
      </w:r>
      <w:r w:rsidRPr="00393CF9">
        <w:rPr>
          <w:sz w:val="22"/>
          <w:szCs w:val="22"/>
          <w:vertAlign w:val="superscript"/>
        </w:rPr>
        <w:t>†</w:t>
      </w:r>
    </w:p>
    <w:p w14:paraId="41534733" w14:textId="77777777" w:rsidR="00951419" w:rsidRPr="00215673" w:rsidRDefault="00951419" w:rsidP="00332728">
      <w:pPr>
        <w:tabs>
          <w:tab w:val="left" w:pos="851"/>
        </w:tabs>
        <w:ind w:left="851"/>
        <w:rPr>
          <w:szCs w:val="24"/>
        </w:rPr>
      </w:pPr>
    </w:p>
    <w:p w14:paraId="32DF379C" w14:textId="77777777" w:rsidR="00951419" w:rsidRPr="00215673" w:rsidRDefault="00951419" w:rsidP="00332728">
      <w:pPr>
        <w:tabs>
          <w:tab w:val="left" w:pos="851"/>
        </w:tabs>
        <w:ind w:left="851"/>
        <w:rPr>
          <w:szCs w:val="24"/>
          <w:u w:val="single"/>
        </w:rPr>
      </w:pPr>
      <w:r>
        <w:rPr>
          <w:szCs w:val="24"/>
          <w:u w:val="single"/>
        </w:rPr>
        <w:t>Øjne</w:t>
      </w:r>
    </w:p>
    <w:p w14:paraId="38652B79" w14:textId="77777777" w:rsidR="00951419" w:rsidRPr="00215673" w:rsidRDefault="00951419" w:rsidP="00332728">
      <w:pPr>
        <w:tabs>
          <w:tab w:val="left" w:pos="851"/>
        </w:tabs>
        <w:ind w:left="851"/>
        <w:rPr>
          <w:szCs w:val="24"/>
        </w:rPr>
      </w:pPr>
      <w:r w:rsidRPr="00C063E1">
        <w:rPr>
          <w:i/>
          <w:iCs/>
          <w:szCs w:val="22"/>
        </w:rPr>
        <w:t xml:space="preserve">Ikke almindelig: </w:t>
      </w:r>
      <w:r w:rsidR="00471474">
        <w:rPr>
          <w:iCs/>
          <w:szCs w:val="22"/>
        </w:rPr>
        <w:t>Ø</w:t>
      </w:r>
      <w:r w:rsidRPr="00C063E1">
        <w:rPr>
          <w:iCs/>
          <w:szCs w:val="22"/>
        </w:rPr>
        <w:t>jenbetændelse</w:t>
      </w:r>
      <w:r>
        <w:rPr>
          <w:szCs w:val="24"/>
        </w:rPr>
        <w:t xml:space="preserve"> (u</w:t>
      </w:r>
      <w:r w:rsidRPr="00215673">
        <w:rPr>
          <w:szCs w:val="24"/>
        </w:rPr>
        <w:t>veitis, scleritis, episcleritis</w:t>
      </w:r>
      <w:r>
        <w:rPr>
          <w:szCs w:val="24"/>
        </w:rPr>
        <w:t>)</w:t>
      </w:r>
    </w:p>
    <w:p w14:paraId="1C418598" w14:textId="77777777" w:rsidR="00951419" w:rsidRDefault="00951419" w:rsidP="00332728">
      <w:pPr>
        <w:tabs>
          <w:tab w:val="left" w:pos="851"/>
        </w:tabs>
        <w:ind w:left="851"/>
        <w:rPr>
          <w:szCs w:val="24"/>
        </w:rPr>
      </w:pPr>
    </w:p>
    <w:p w14:paraId="18AEDA62" w14:textId="77777777" w:rsidR="003A0922" w:rsidRDefault="003A0922" w:rsidP="00332728">
      <w:pPr>
        <w:tabs>
          <w:tab w:val="left" w:pos="851"/>
        </w:tabs>
        <w:ind w:left="851"/>
        <w:rPr>
          <w:szCs w:val="24"/>
          <w:u w:val="single"/>
        </w:rPr>
      </w:pPr>
      <w:r>
        <w:rPr>
          <w:szCs w:val="24"/>
          <w:u w:val="single"/>
        </w:rPr>
        <w:t>Øre og labyrint</w:t>
      </w:r>
    </w:p>
    <w:p w14:paraId="06FCA3FE" w14:textId="77777777" w:rsidR="003A0922" w:rsidRDefault="003A0922" w:rsidP="00332728">
      <w:pPr>
        <w:tabs>
          <w:tab w:val="left" w:pos="851"/>
        </w:tabs>
        <w:ind w:left="851"/>
        <w:rPr>
          <w:szCs w:val="24"/>
        </w:rPr>
      </w:pPr>
      <w:r>
        <w:rPr>
          <w:i/>
          <w:szCs w:val="24"/>
        </w:rPr>
        <w:t xml:space="preserve">Almindelig: </w:t>
      </w:r>
      <w:r w:rsidR="00471474">
        <w:rPr>
          <w:szCs w:val="24"/>
        </w:rPr>
        <w:t>V</w:t>
      </w:r>
      <w:r>
        <w:rPr>
          <w:szCs w:val="24"/>
        </w:rPr>
        <w:t>ertigo</w:t>
      </w:r>
      <w:r>
        <w:rPr>
          <w:sz w:val="22"/>
          <w:szCs w:val="22"/>
          <w:vertAlign w:val="superscript"/>
        </w:rPr>
        <w:t>†</w:t>
      </w:r>
    </w:p>
    <w:p w14:paraId="252BF834" w14:textId="77777777" w:rsidR="003A0922" w:rsidRDefault="003A0922" w:rsidP="00C22DDF">
      <w:pPr>
        <w:tabs>
          <w:tab w:val="left" w:pos="851"/>
        </w:tabs>
        <w:ind w:left="851"/>
        <w:rPr>
          <w:iCs/>
          <w:szCs w:val="22"/>
        </w:rPr>
      </w:pPr>
      <w:r>
        <w:rPr>
          <w:i/>
          <w:iCs/>
          <w:szCs w:val="22"/>
        </w:rPr>
        <w:t>Meget sjælden:</w:t>
      </w:r>
      <w:r>
        <w:rPr>
          <w:iCs/>
          <w:szCs w:val="22"/>
        </w:rPr>
        <w:t xml:space="preserve"> </w:t>
      </w:r>
      <w:r w:rsidR="00471474">
        <w:rPr>
          <w:iCs/>
          <w:szCs w:val="22"/>
        </w:rPr>
        <w:t>O</w:t>
      </w:r>
      <w:r>
        <w:rPr>
          <w:iCs/>
          <w:szCs w:val="22"/>
        </w:rPr>
        <w:t>steonekrose af øregangen (klasse-bivirkning for bisfosfonater)</w:t>
      </w:r>
    </w:p>
    <w:p w14:paraId="22DDADD2" w14:textId="77777777" w:rsidR="00951419" w:rsidRDefault="00951419" w:rsidP="00332728">
      <w:pPr>
        <w:tabs>
          <w:tab w:val="left" w:pos="851"/>
        </w:tabs>
        <w:ind w:left="851"/>
        <w:rPr>
          <w:szCs w:val="24"/>
        </w:rPr>
      </w:pPr>
    </w:p>
    <w:p w14:paraId="2D621D58" w14:textId="77777777" w:rsidR="003A0922" w:rsidRDefault="003A0922" w:rsidP="00C22DDF">
      <w:pPr>
        <w:tabs>
          <w:tab w:val="left" w:pos="851"/>
        </w:tabs>
        <w:ind w:left="851"/>
        <w:rPr>
          <w:szCs w:val="24"/>
          <w:u w:val="single"/>
        </w:rPr>
      </w:pPr>
      <w:r>
        <w:rPr>
          <w:szCs w:val="24"/>
          <w:u w:val="single"/>
        </w:rPr>
        <w:t>Mave-tarm-kanalen</w:t>
      </w:r>
    </w:p>
    <w:p w14:paraId="0F8B8923" w14:textId="77777777" w:rsidR="00657703" w:rsidRPr="00657703" w:rsidRDefault="00657703" w:rsidP="00657703">
      <w:pPr>
        <w:tabs>
          <w:tab w:val="left" w:pos="851"/>
        </w:tabs>
        <w:ind w:left="851"/>
        <w:rPr>
          <w:i/>
          <w:szCs w:val="24"/>
        </w:rPr>
      </w:pPr>
      <w:r w:rsidRPr="00657703">
        <w:rPr>
          <w:i/>
          <w:szCs w:val="24"/>
        </w:rPr>
        <w:t>Almindelig: abdominalsmerter, dyspepsi, forstoppelse, diarré, flatulens, ulceration af spiserøret*, dysphagi*, abdominal udspiling og syreregurgitation</w:t>
      </w:r>
    </w:p>
    <w:p w14:paraId="7718C007" w14:textId="5D4046E6" w:rsidR="00657703" w:rsidRPr="00657703" w:rsidRDefault="00657703" w:rsidP="00657703">
      <w:pPr>
        <w:tabs>
          <w:tab w:val="left" w:pos="851"/>
        </w:tabs>
        <w:ind w:left="851"/>
        <w:rPr>
          <w:i/>
          <w:szCs w:val="24"/>
        </w:rPr>
      </w:pPr>
      <w:r w:rsidRPr="00657703">
        <w:rPr>
          <w:i/>
          <w:szCs w:val="24"/>
        </w:rPr>
        <w:t>Ikke almindelig: kvalme, opkastning, gastritis, oesophagitis*, oesophagal erosion*, blod i afføring (melæna)</w:t>
      </w:r>
      <w:r w:rsidRPr="00657703">
        <w:rPr>
          <w:i/>
          <w:szCs w:val="24"/>
          <w:vertAlign w:val="superscript"/>
        </w:rPr>
        <w:t>†</w:t>
      </w:r>
    </w:p>
    <w:p w14:paraId="0B8BD537" w14:textId="05ECD9C6" w:rsidR="00657703" w:rsidRPr="00657703" w:rsidRDefault="00657703" w:rsidP="00657703">
      <w:pPr>
        <w:tabs>
          <w:tab w:val="left" w:pos="851"/>
        </w:tabs>
        <w:ind w:left="851"/>
        <w:rPr>
          <w:i/>
          <w:szCs w:val="24"/>
        </w:rPr>
      </w:pPr>
      <w:r w:rsidRPr="00657703">
        <w:rPr>
          <w:i/>
          <w:szCs w:val="24"/>
        </w:rPr>
        <w:t>Sjælden: spiserørsforsnævring*, oropharyngeal ulceration*, øvre mavetarmkanal PUB (perforation, ulcus, blødning)</w:t>
      </w:r>
      <w:r w:rsidRPr="00657703">
        <w:rPr>
          <w:i/>
          <w:szCs w:val="24"/>
          <w:vertAlign w:val="superscript"/>
        </w:rPr>
        <w:t>§</w:t>
      </w:r>
      <w:r w:rsidRPr="00657703">
        <w:rPr>
          <w:i/>
          <w:szCs w:val="24"/>
        </w:rPr>
        <w:t xml:space="preserve"> </w:t>
      </w:r>
    </w:p>
    <w:p w14:paraId="75D8FFBE" w14:textId="77777777" w:rsidR="003A0922" w:rsidRDefault="003A0922" w:rsidP="00C22DDF">
      <w:pPr>
        <w:tabs>
          <w:tab w:val="left" w:pos="851"/>
        </w:tabs>
        <w:ind w:left="851"/>
        <w:rPr>
          <w:szCs w:val="24"/>
        </w:rPr>
      </w:pPr>
    </w:p>
    <w:p w14:paraId="20D81EC7" w14:textId="77777777" w:rsidR="003A0922" w:rsidRDefault="003A0922" w:rsidP="00C22DDF">
      <w:pPr>
        <w:tabs>
          <w:tab w:val="left" w:pos="851"/>
        </w:tabs>
        <w:ind w:left="851"/>
        <w:rPr>
          <w:szCs w:val="24"/>
          <w:u w:val="single"/>
        </w:rPr>
      </w:pPr>
      <w:r>
        <w:rPr>
          <w:szCs w:val="24"/>
          <w:u w:val="single"/>
        </w:rPr>
        <w:t>Hud og subkutane væv</w:t>
      </w:r>
    </w:p>
    <w:p w14:paraId="1E216A6C" w14:textId="77777777" w:rsidR="003A0922" w:rsidRDefault="003A0922" w:rsidP="00C22DDF">
      <w:pPr>
        <w:autoSpaceDE w:val="0"/>
        <w:autoSpaceDN w:val="0"/>
        <w:adjustRightInd w:val="0"/>
        <w:ind w:left="851"/>
        <w:rPr>
          <w:sz w:val="18"/>
          <w:szCs w:val="18"/>
        </w:rPr>
      </w:pPr>
      <w:r>
        <w:rPr>
          <w:i/>
          <w:iCs/>
          <w:szCs w:val="22"/>
        </w:rPr>
        <w:t xml:space="preserve">Almindelig: </w:t>
      </w:r>
      <w:r w:rsidR="00471474">
        <w:rPr>
          <w:szCs w:val="22"/>
        </w:rPr>
        <w:t>A</w:t>
      </w:r>
      <w:r>
        <w:rPr>
          <w:szCs w:val="22"/>
        </w:rPr>
        <w:t>lopeci</w:t>
      </w:r>
      <w:r>
        <w:rPr>
          <w:sz w:val="22"/>
          <w:szCs w:val="22"/>
          <w:vertAlign w:val="superscript"/>
        </w:rPr>
        <w:t>†</w:t>
      </w:r>
      <w:r>
        <w:rPr>
          <w:szCs w:val="22"/>
        </w:rPr>
        <w:t>, pruritus</w:t>
      </w:r>
      <w:r>
        <w:rPr>
          <w:sz w:val="22"/>
          <w:szCs w:val="22"/>
          <w:vertAlign w:val="superscript"/>
        </w:rPr>
        <w:t>†</w:t>
      </w:r>
    </w:p>
    <w:p w14:paraId="02FC7892" w14:textId="77777777" w:rsidR="003A0922" w:rsidRDefault="003A0922" w:rsidP="00C22DDF">
      <w:pPr>
        <w:tabs>
          <w:tab w:val="left" w:pos="851"/>
        </w:tabs>
        <w:ind w:left="851"/>
        <w:rPr>
          <w:szCs w:val="24"/>
        </w:rPr>
      </w:pPr>
      <w:r>
        <w:rPr>
          <w:i/>
          <w:szCs w:val="24"/>
        </w:rPr>
        <w:t>Ikke almindelig</w:t>
      </w:r>
      <w:r>
        <w:rPr>
          <w:szCs w:val="24"/>
        </w:rPr>
        <w:t xml:space="preserve">: </w:t>
      </w:r>
      <w:r w:rsidR="00471474">
        <w:rPr>
          <w:szCs w:val="24"/>
        </w:rPr>
        <w:t>H</w:t>
      </w:r>
      <w:r>
        <w:rPr>
          <w:szCs w:val="24"/>
        </w:rPr>
        <w:t>ududslæt, erythema</w:t>
      </w:r>
    </w:p>
    <w:p w14:paraId="2AAA2985" w14:textId="77777777" w:rsidR="003A0922" w:rsidRDefault="003A0922" w:rsidP="00C22DDF">
      <w:pPr>
        <w:tabs>
          <w:tab w:val="left" w:pos="851"/>
        </w:tabs>
        <w:ind w:left="851"/>
        <w:rPr>
          <w:szCs w:val="24"/>
          <w:u w:val="single"/>
        </w:rPr>
      </w:pPr>
      <w:r>
        <w:rPr>
          <w:i/>
          <w:szCs w:val="24"/>
        </w:rPr>
        <w:t>Sjælden</w:t>
      </w:r>
      <w:r>
        <w:rPr>
          <w:szCs w:val="24"/>
        </w:rPr>
        <w:t xml:space="preserve">: </w:t>
      </w:r>
      <w:r w:rsidR="00471474">
        <w:rPr>
          <w:szCs w:val="24"/>
        </w:rPr>
        <w:t>H</w:t>
      </w:r>
      <w:r>
        <w:rPr>
          <w:szCs w:val="24"/>
        </w:rPr>
        <w:t>ududslæt med lysoverfølsomhed, alvorlige hudreaktioner inklusive Stevens- Johnsons syndrom og toksisk epidermal nekrolyse</w:t>
      </w:r>
      <w:r>
        <w:rPr>
          <w:sz w:val="22"/>
          <w:szCs w:val="22"/>
          <w:vertAlign w:val="superscript"/>
        </w:rPr>
        <w:t>‡</w:t>
      </w:r>
      <w:r>
        <w:rPr>
          <w:szCs w:val="24"/>
        </w:rPr>
        <w:t>.</w:t>
      </w:r>
    </w:p>
    <w:p w14:paraId="5D079ACD" w14:textId="77777777" w:rsidR="003A0922" w:rsidRDefault="003A0922" w:rsidP="00332728">
      <w:pPr>
        <w:tabs>
          <w:tab w:val="left" w:pos="851"/>
        </w:tabs>
        <w:ind w:left="851"/>
        <w:rPr>
          <w:szCs w:val="24"/>
          <w:u w:val="single"/>
        </w:rPr>
      </w:pPr>
    </w:p>
    <w:p w14:paraId="07CA7FE5" w14:textId="77777777" w:rsidR="003A0922" w:rsidRDefault="003A0922" w:rsidP="00C22DDF">
      <w:pPr>
        <w:tabs>
          <w:tab w:val="left" w:pos="851"/>
        </w:tabs>
        <w:ind w:left="851"/>
        <w:rPr>
          <w:szCs w:val="24"/>
          <w:u w:val="single"/>
        </w:rPr>
      </w:pPr>
      <w:r>
        <w:rPr>
          <w:szCs w:val="24"/>
          <w:u w:val="single"/>
        </w:rPr>
        <w:t>Knogler, led, muskler og bindevæv</w:t>
      </w:r>
    </w:p>
    <w:p w14:paraId="7E992A5C" w14:textId="77777777" w:rsidR="003A0922" w:rsidRDefault="003A0922" w:rsidP="00C22DDF">
      <w:pPr>
        <w:autoSpaceDE w:val="0"/>
        <w:autoSpaceDN w:val="0"/>
        <w:adjustRightInd w:val="0"/>
        <w:ind w:left="851"/>
        <w:rPr>
          <w:sz w:val="18"/>
          <w:szCs w:val="18"/>
        </w:rPr>
      </w:pPr>
      <w:r>
        <w:rPr>
          <w:i/>
          <w:iCs/>
          <w:szCs w:val="22"/>
        </w:rPr>
        <w:t xml:space="preserve">Meget almindelig: </w:t>
      </w:r>
      <w:r w:rsidR="00471474">
        <w:rPr>
          <w:iCs/>
          <w:szCs w:val="22"/>
        </w:rPr>
        <w:t>M</w:t>
      </w:r>
      <w:r>
        <w:rPr>
          <w:iCs/>
          <w:szCs w:val="22"/>
        </w:rPr>
        <w:t>uskuloskeletale smerter (knogle-, muskel- eller ledsmerter),</w:t>
      </w:r>
      <w:r>
        <w:rPr>
          <w:szCs w:val="22"/>
        </w:rPr>
        <w:t xml:space="preserve"> som kan være voldsomme</w:t>
      </w:r>
      <w:r>
        <w:rPr>
          <w:sz w:val="22"/>
          <w:szCs w:val="22"/>
          <w:vertAlign w:val="superscript"/>
        </w:rPr>
        <w:t>†§</w:t>
      </w:r>
    </w:p>
    <w:p w14:paraId="54FB1823" w14:textId="77777777" w:rsidR="003A0922" w:rsidRDefault="003A0922" w:rsidP="00C22DDF">
      <w:pPr>
        <w:autoSpaceDE w:val="0"/>
        <w:autoSpaceDN w:val="0"/>
        <w:adjustRightInd w:val="0"/>
        <w:ind w:left="851"/>
        <w:rPr>
          <w:sz w:val="18"/>
          <w:szCs w:val="18"/>
        </w:rPr>
      </w:pPr>
      <w:r>
        <w:rPr>
          <w:i/>
          <w:iCs/>
          <w:szCs w:val="22"/>
        </w:rPr>
        <w:t xml:space="preserve">Almindelig: </w:t>
      </w:r>
      <w:r w:rsidR="00471474">
        <w:rPr>
          <w:iCs/>
          <w:szCs w:val="22"/>
        </w:rPr>
        <w:t>H</w:t>
      </w:r>
      <w:r>
        <w:rPr>
          <w:iCs/>
          <w:szCs w:val="22"/>
        </w:rPr>
        <w:t>ævelser i led</w:t>
      </w:r>
      <w:r>
        <w:rPr>
          <w:sz w:val="22"/>
          <w:szCs w:val="22"/>
          <w:vertAlign w:val="superscript"/>
        </w:rPr>
        <w:t>†</w:t>
      </w:r>
    </w:p>
    <w:p w14:paraId="3FD9D55A" w14:textId="77777777" w:rsidR="003A0922" w:rsidRDefault="003A0922" w:rsidP="00332728">
      <w:pPr>
        <w:tabs>
          <w:tab w:val="left" w:pos="851"/>
        </w:tabs>
        <w:ind w:left="851"/>
        <w:rPr>
          <w:rFonts w:ascii="Cambria Math" w:hAnsi="Cambria Math" w:cs="Cambria Math"/>
          <w:sz w:val="22"/>
          <w:szCs w:val="22"/>
          <w:vertAlign w:val="superscript"/>
        </w:rPr>
      </w:pPr>
      <w:r>
        <w:rPr>
          <w:i/>
          <w:iCs/>
          <w:szCs w:val="22"/>
        </w:rPr>
        <w:t xml:space="preserve">Sjælden: </w:t>
      </w:r>
      <w:r w:rsidR="00471474">
        <w:rPr>
          <w:iCs/>
          <w:szCs w:val="22"/>
        </w:rPr>
        <w:t>K</w:t>
      </w:r>
      <w:r>
        <w:rPr>
          <w:iCs/>
          <w:szCs w:val="22"/>
        </w:rPr>
        <w:t>æbeosteonekrose</w:t>
      </w:r>
      <w:r>
        <w:rPr>
          <w:sz w:val="22"/>
          <w:szCs w:val="22"/>
          <w:vertAlign w:val="superscript"/>
        </w:rPr>
        <w:t>‡§</w:t>
      </w:r>
      <w:r>
        <w:rPr>
          <w:szCs w:val="22"/>
        </w:rPr>
        <w:t>, atypiske subtrochantære og diafysale femurfrakturer (biphosphonat-klassebivirkning)</w:t>
      </w:r>
      <w:r>
        <w:rPr>
          <w:rFonts w:ascii="Cambria Math" w:hAnsi="Cambria Math" w:cs="Cambria Math"/>
          <w:sz w:val="22"/>
          <w:szCs w:val="22"/>
          <w:vertAlign w:val="superscript"/>
        </w:rPr>
        <w:t>⊥</w:t>
      </w:r>
    </w:p>
    <w:p w14:paraId="37B83102" w14:textId="77777777" w:rsidR="00657703" w:rsidRPr="00657703" w:rsidRDefault="00657703" w:rsidP="00657703">
      <w:pPr>
        <w:tabs>
          <w:tab w:val="left" w:pos="851"/>
        </w:tabs>
        <w:ind w:left="851"/>
      </w:pPr>
      <w:r w:rsidRPr="00657703">
        <w:rPr>
          <w:i/>
          <w:iCs/>
        </w:rPr>
        <w:t xml:space="preserve">Ikke kendt: </w:t>
      </w:r>
      <w:r w:rsidRPr="00657703">
        <w:t>Atypiske frakturer på andre knogler.</w:t>
      </w:r>
    </w:p>
    <w:p w14:paraId="22DAA0FC" w14:textId="77777777" w:rsidR="003A0922" w:rsidRDefault="003A0922" w:rsidP="00E34761">
      <w:pPr>
        <w:tabs>
          <w:tab w:val="left" w:pos="851"/>
        </w:tabs>
        <w:ind w:left="851"/>
        <w:rPr>
          <w:szCs w:val="24"/>
        </w:rPr>
      </w:pPr>
    </w:p>
    <w:p w14:paraId="385E9B5F" w14:textId="77777777" w:rsidR="003A0922" w:rsidRDefault="003A0922" w:rsidP="00C22DDF">
      <w:pPr>
        <w:ind w:left="851"/>
        <w:rPr>
          <w:szCs w:val="24"/>
          <w:u w:val="single"/>
        </w:rPr>
      </w:pPr>
      <w:r>
        <w:rPr>
          <w:szCs w:val="24"/>
          <w:u w:val="single"/>
        </w:rPr>
        <w:t>Almene symptomer og reaktioner på administrationsstedet</w:t>
      </w:r>
    </w:p>
    <w:p w14:paraId="207B4B5A" w14:textId="77777777" w:rsidR="003A0922" w:rsidRDefault="003A0922" w:rsidP="00C22DDF">
      <w:pPr>
        <w:ind w:left="851"/>
        <w:rPr>
          <w:szCs w:val="24"/>
        </w:rPr>
      </w:pPr>
      <w:r>
        <w:rPr>
          <w:i/>
          <w:szCs w:val="24"/>
        </w:rPr>
        <w:t xml:space="preserve">Almindelig: </w:t>
      </w:r>
      <w:r w:rsidR="0093730F">
        <w:rPr>
          <w:szCs w:val="24"/>
        </w:rPr>
        <w:t>A</w:t>
      </w:r>
      <w:r>
        <w:rPr>
          <w:szCs w:val="24"/>
        </w:rPr>
        <w:t>steni</w:t>
      </w:r>
      <w:r>
        <w:rPr>
          <w:szCs w:val="24"/>
          <w:vertAlign w:val="superscript"/>
        </w:rPr>
        <w:t>†</w:t>
      </w:r>
      <w:r>
        <w:rPr>
          <w:szCs w:val="24"/>
        </w:rPr>
        <w:t>, perifert ødem</w:t>
      </w:r>
      <w:r>
        <w:rPr>
          <w:szCs w:val="24"/>
          <w:vertAlign w:val="superscript"/>
        </w:rPr>
        <w:t>†</w:t>
      </w:r>
    </w:p>
    <w:p w14:paraId="35068C3F" w14:textId="77777777" w:rsidR="003A0922" w:rsidRDefault="003A0922" w:rsidP="00C22DDF">
      <w:pPr>
        <w:ind w:left="851"/>
        <w:rPr>
          <w:szCs w:val="24"/>
        </w:rPr>
      </w:pPr>
      <w:r>
        <w:rPr>
          <w:i/>
          <w:szCs w:val="24"/>
        </w:rPr>
        <w:t xml:space="preserve">Ikke almindelig: </w:t>
      </w:r>
      <w:r w:rsidR="0093730F">
        <w:rPr>
          <w:szCs w:val="24"/>
        </w:rPr>
        <w:t>F</w:t>
      </w:r>
      <w:r>
        <w:rPr>
          <w:szCs w:val="24"/>
        </w:rPr>
        <w:t>orbigående symptomer som i et akut-fase respons (myalgi, utilpashed og sjældent feber), typisk i forbindelse med behandlingsstart</w:t>
      </w:r>
      <w:r>
        <w:rPr>
          <w:szCs w:val="24"/>
          <w:vertAlign w:val="superscript"/>
        </w:rPr>
        <w:t>†</w:t>
      </w:r>
      <w:r>
        <w:rPr>
          <w:szCs w:val="24"/>
        </w:rPr>
        <w:t>.</w:t>
      </w:r>
    </w:p>
    <w:p w14:paraId="573F0A7A" w14:textId="77777777" w:rsidR="003A0922" w:rsidRDefault="003A0922" w:rsidP="00C22DDF">
      <w:pPr>
        <w:ind w:left="851"/>
        <w:rPr>
          <w:szCs w:val="24"/>
        </w:rPr>
      </w:pPr>
    </w:p>
    <w:p w14:paraId="2881D000" w14:textId="77777777" w:rsidR="003A0922" w:rsidRDefault="003A0922" w:rsidP="00C22DDF">
      <w:pPr>
        <w:ind w:left="851"/>
        <w:rPr>
          <w:szCs w:val="24"/>
        </w:rPr>
      </w:pPr>
      <w:r>
        <w:rPr>
          <w:szCs w:val="24"/>
          <w:vertAlign w:val="superscript"/>
        </w:rPr>
        <w:t>§</w:t>
      </w:r>
      <w:r>
        <w:rPr>
          <w:szCs w:val="24"/>
        </w:rPr>
        <w:t>Se pkt. 4.4</w:t>
      </w:r>
    </w:p>
    <w:p w14:paraId="17155623" w14:textId="77777777" w:rsidR="003A0922" w:rsidRDefault="003A0922" w:rsidP="00C22DDF">
      <w:pPr>
        <w:ind w:left="851"/>
        <w:rPr>
          <w:szCs w:val="24"/>
        </w:rPr>
      </w:pPr>
      <w:r>
        <w:rPr>
          <w:szCs w:val="24"/>
          <w:vertAlign w:val="superscript"/>
        </w:rPr>
        <w:t>†</w:t>
      </w:r>
      <w:r>
        <w:rPr>
          <w:szCs w:val="24"/>
        </w:rPr>
        <w:t>I kliniske studier var hyppigheden den samme i lægemiddel- og placebogruppen.</w:t>
      </w:r>
    </w:p>
    <w:p w14:paraId="289630CB" w14:textId="77777777" w:rsidR="003A0922" w:rsidRDefault="003A0922" w:rsidP="00C22DDF">
      <w:pPr>
        <w:ind w:left="851"/>
        <w:rPr>
          <w:szCs w:val="24"/>
        </w:rPr>
      </w:pPr>
      <w:r>
        <w:rPr>
          <w:szCs w:val="24"/>
          <w:vertAlign w:val="superscript"/>
        </w:rPr>
        <w:t>*</w:t>
      </w:r>
      <w:r>
        <w:rPr>
          <w:szCs w:val="24"/>
        </w:rPr>
        <w:t>Se pkt. 4.2 og 4.4.</w:t>
      </w:r>
    </w:p>
    <w:p w14:paraId="24DA9871" w14:textId="77777777" w:rsidR="003A0922" w:rsidRDefault="003A0922" w:rsidP="00C22DDF">
      <w:pPr>
        <w:ind w:left="851"/>
        <w:rPr>
          <w:szCs w:val="24"/>
        </w:rPr>
      </w:pPr>
      <w:r>
        <w:rPr>
          <w:szCs w:val="24"/>
          <w:vertAlign w:val="superscript"/>
        </w:rPr>
        <w:t>‡</w:t>
      </w:r>
      <w:r>
        <w:rPr>
          <w:szCs w:val="24"/>
        </w:rPr>
        <w:t>Denne bivirkning blev set efter markedsføring. Hyppigheden blev vurderet som sjælden baseret på relevante kliniske forsøg.</w:t>
      </w:r>
    </w:p>
    <w:p w14:paraId="7116DF78" w14:textId="77777777" w:rsidR="003A0922" w:rsidRDefault="003A0922" w:rsidP="00C22DDF">
      <w:pPr>
        <w:ind w:left="851"/>
        <w:rPr>
          <w:szCs w:val="24"/>
        </w:rPr>
      </w:pPr>
      <w:r>
        <w:rPr>
          <w:rFonts w:ascii="Cambria Math" w:hAnsi="Cambria Math"/>
          <w:szCs w:val="24"/>
          <w:vertAlign w:val="superscript"/>
        </w:rPr>
        <w:t>⊥</w:t>
      </w:r>
      <w:r>
        <w:rPr>
          <w:szCs w:val="24"/>
        </w:rPr>
        <w:t>Observeret efter markedsføring.</w:t>
      </w:r>
    </w:p>
    <w:p w14:paraId="42B10284" w14:textId="77777777" w:rsidR="00657703" w:rsidRDefault="00657703" w:rsidP="00C22DDF">
      <w:pPr>
        <w:ind w:left="851"/>
        <w:rPr>
          <w:szCs w:val="24"/>
        </w:rPr>
      </w:pPr>
    </w:p>
    <w:p w14:paraId="1CA75BC2" w14:textId="77777777" w:rsidR="00657703" w:rsidRPr="00657703" w:rsidRDefault="00657703" w:rsidP="00657703">
      <w:pPr>
        <w:ind w:left="851"/>
        <w:rPr>
          <w:szCs w:val="24"/>
        </w:rPr>
      </w:pPr>
      <w:r w:rsidRPr="00657703">
        <w:rPr>
          <w:szCs w:val="24"/>
        </w:rPr>
        <w:t>Beskrivelse af udvalgte bivirkninger</w:t>
      </w:r>
    </w:p>
    <w:p w14:paraId="5B77D267" w14:textId="77777777" w:rsidR="00657703" w:rsidRPr="00657703" w:rsidRDefault="00657703" w:rsidP="00657703">
      <w:pPr>
        <w:ind w:left="851"/>
        <w:rPr>
          <w:szCs w:val="24"/>
        </w:rPr>
      </w:pPr>
    </w:p>
    <w:p w14:paraId="1ECFAAB6" w14:textId="5A7B8DEC" w:rsidR="00657703" w:rsidRPr="00657703" w:rsidRDefault="00657703" w:rsidP="00657703">
      <w:pPr>
        <w:ind w:left="851"/>
        <w:rPr>
          <w:i/>
          <w:iCs/>
          <w:szCs w:val="24"/>
        </w:rPr>
      </w:pPr>
      <w:r w:rsidRPr="00657703">
        <w:rPr>
          <w:i/>
          <w:iCs/>
          <w:szCs w:val="24"/>
        </w:rPr>
        <w:t>Atypiske subtrochanteriske og diafyseale femurfrakturer</w:t>
      </w:r>
    </w:p>
    <w:p w14:paraId="1FD4D42C" w14:textId="51006F99" w:rsidR="00657703" w:rsidRPr="00657703" w:rsidRDefault="00657703" w:rsidP="00657703">
      <w:pPr>
        <w:ind w:left="851"/>
        <w:rPr>
          <w:szCs w:val="24"/>
        </w:rPr>
      </w:pPr>
      <w:r w:rsidRPr="00657703">
        <w:rPr>
          <w:szCs w:val="24"/>
        </w:rPr>
        <w:t>Selvom patofysiologien er usikker, tyder konsistente beviser fra epidemiologiske undersøgelser på en øget risiko for atypiske subtrochanteriske og diafyseale femurfrakturer med langvarig bisfosfonatbehandling for postmenopausal osteoporose, især over tre til fem års brug. Den absolutte risiko for atypiske subtrochanteriske og diafyseale femurfrakturer (bisfonat-klassebivirkning) er fortsat sjælden.</w:t>
      </w:r>
    </w:p>
    <w:p w14:paraId="1587F62F" w14:textId="77777777" w:rsidR="003A0922" w:rsidRDefault="003A0922" w:rsidP="00E34761">
      <w:pPr>
        <w:tabs>
          <w:tab w:val="left" w:pos="851"/>
        </w:tabs>
        <w:ind w:left="851"/>
        <w:rPr>
          <w:szCs w:val="24"/>
        </w:rPr>
      </w:pPr>
    </w:p>
    <w:p w14:paraId="1BFC18A8" w14:textId="77777777" w:rsidR="003A0922" w:rsidRDefault="003A0922" w:rsidP="00E34761">
      <w:pPr>
        <w:tabs>
          <w:tab w:val="left" w:pos="851"/>
        </w:tabs>
        <w:ind w:left="851"/>
        <w:rPr>
          <w:szCs w:val="24"/>
        </w:rPr>
      </w:pPr>
      <w:r>
        <w:rPr>
          <w:szCs w:val="24"/>
          <w:u w:val="single"/>
        </w:rPr>
        <w:t>Indberetning af formodede bivirkninger</w:t>
      </w:r>
    </w:p>
    <w:p w14:paraId="314AA59F" w14:textId="77777777" w:rsidR="003A0922" w:rsidRDefault="003A0922" w:rsidP="00E34761">
      <w:pPr>
        <w:tabs>
          <w:tab w:val="left" w:pos="851"/>
        </w:tabs>
        <w:ind w:left="851"/>
        <w:rPr>
          <w:szCs w:val="24"/>
        </w:rPr>
      </w:pPr>
      <w:r>
        <w:rPr>
          <w:szCs w:val="24"/>
        </w:rPr>
        <w:t xml:space="preserve">Når lægemidlet er godkendt, er indberetning af formodede bivirkninger vigtig. Det muliggør løbende overvågning af benefit/risk-forholdet for lægemidlet. </w:t>
      </w:r>
      <w:r w:rsidR="00E34761">
        <w:rPr>
          <w:szCs w:val="24"/>
        </w:rPr>
        <w:t xml:space="preserve">Sundhedspersoner </w:t>
      </w:r>
      <w:r>
        <w:rPr>
          <w:szCs w:val="24"/>
        </w:rPr>
        <w:t>anmodes om at indberette alle formodede bivirkninger via:</w:t>
      </w:r>
    </w:p>
    <w:p w14:paraId="17C08E45" w14:textId="77777777" w:rsidR="003A0922" w:rsidRDefault="003A0922" w:rsidP="00E34761">
      <w:pPr>
        <w:tabs>
          <w:tab w:val="left" w:pos="851"/>
        </w:tabs>
        <w:ind w:left="851"/>
        <w:rPr>
          <w:szCs w:val="24"/>
        </w:rPr>
      </w:pPr>
    </w:p>
    <w:p w14:paraId="511EA7CF" w14:textId="77777777" w:rsidR="003A0922" w:rsidRDefault="003A0922" w:rsidP="00E34761">
      <w:pPr>
        <w:tabs>
          <w:tab w:val="left" w:pos="851"/>
        </w:tabs>
        <w:ind w:left="851"/>
        <w:rPr>
          <w:szCs w:val="24"/>
        </w:rPr>
      </w:pPr>
      <w:r>
        <w:rPr>
          <w:szCs w:val="24"/>
        </w:rPr>
        <w:t>Lægemiddelstyrelsen</w:t>
      </w:r>
    </w:p>
    <w:p w14:paraId="201899A0" w14:textId="77777777" w:rsidR="003A0922" w:rsidRDefault="003A0922" w:rsidP="00E34761">
      <w:pPr>
        <w:tabs>
          <w:tab w:val="left" w:pos="851"/>
        </w:tabs>
        <w:ind w:left="851"/>
        <w:rPr>
          <w:szCs w:val="24"/>
        </w:rPr>
      </w:pPr>
      <w:r>
        <w:rPr>
          <w:szCs w:val="24"/>
        </w:rPr>
        <w:t>Axel Heides Gade 1</w:t>
      </w:r>
    </w:p>
    <w:p w14:paraId="6ACA5867" w14:textId="77777777" w:rsidR="003A0922" w:rsidRDefault="003A0922" w:rsidP="00E34761">
      <w:pPr>
        <w:tabs>
          <w:tab w:val="left" w:pos="851"/>
        </w:tabs>
        <w:ind w:left="851"/>
        <w:rPr>
          <w:szCs w:val="24"/>
        </w:rPr>
      </w:pPr>
      <w:r>
        <w:rPr>
          <w:szCs w:val="24"/>
        </w:rPr>
        <w:t>DK-2300 København S</w:t>
      </w:r>
    </w:p>
    <w:p w14:paraId="0EBEE80D" w14:textId="379FC064" w:rsidR="00B4589A" w:rsidRPr="0041682B" w:rsidRDefault="00657703" w:rsidP="00E34761">
      <w:pPr>
        <w:tabs>
          <w:tab w:val="left" w:pos="851"/>
        </w:tabs>
        <w:ind w:left="851"/>
        <w:rPr>
          <w:szCs w:val="24"/>
        </w:rPr>
      </w:pPr>
      <w:r w:rsidRPr="0041682B">
        <w:rPr>
          <w:szCs w:val="24"/>
        </w:rPr>
        <w:t xml:space="preserve">Websted: </w:t>
      </w:r>
      <w:hyperlink r:id="rId11" w:history="1">
        <w:r w:rsidRPr="0041682B">
          <w:rPr>
            <w:rStyle w:val="Hyperlink"/>
            <w:szCs w:val="24"/>
          </w:rPr>
          <w:t>www.meldenbivirkning.dk</w:t>
        </w:r>
      </w:hyperlink>
    </w:p>
    <w:p w14:paraId="1FC62FA3" w14:textId="77777777" w:rsidR="00657703" w:rsidRPr="0041682B" w:rsidRDefault="00657703" w:rsidP="00E34761">
      <w:pPr>
        <w:tabs>
          <w:tab w:val="left" w:pos="851"/>
        </w:tabs>
        <w:ind w:left="851"/>
        <w:rPr>
          <w:szCs w:val="24"/>
        </w:rPr>
      </w:pPr>
    </w:p>
    <w:p w14:paraId="4CD8E38F" w14:textId="77777777" w:rsidR="000900A1" w:rsidRDefault="000900A1" w:rsidP="00C22DDF">
      <w:pPr>
        <w:numPr>
          <w:ilvl w:val="1"/>
          <w:numId w:val="1"/>
        </w:numPr>
        <w:ind w:left="851"/>
        <w:rPr>
          <w:b/>
        </w:rPr>
      </w:pPr>
      <w:r>
        <w:rPr>
          <w:b/>
        </w:rPr>
        <w:t>Overdosering</w:t>
      </w:r>
    </w:p>
    <w:p w14:paraId="379EBE90" w14:textId="77777777" w:rsidR="00840A40" w:rsidRDefault="00840A40" w:rsidP="00C22DDF">
      <w:pPr>
        <w:tabs>
          <w:tab w:val="left" w:pos="851"/>
        </w:tabs>
        <w:ind w:left="851"/>
        <w:rPr>
          <w:szCs w:val="24"/>
          <w:u w:val="single"/>
        </w:rPr>
      </w:pPr>
    </w:p>
    <w:p w14:paraId="60017D71" w14:textId="77777777" w:rsidR="003A0922" w:rsidRDefault="003A0922" w:rsidP="00C22DDF">
      <w:pPr>
        <w:tabs>
          <w:tab w:val="left" w:pos="851"/>
        </w:tabs>
        <w:ind w:left="851"/>
        <w:rPr>
          <w:szCs w:val="24"/>
          <w:u w:val="single"/>
        </w:rPr>
      </w:pPr>
      <w:r>
        <w:rPr>
          <w:szCs w:val="24"/>
          <w:u w:val="single"/>
        </w:rPr>
        <w:t xml:space="preserve">Symptomer </w:t>
      </w:r>
    </w:p>
    <w:p w14:paraId="34363DCE" w14:textId="77777777" w:rsidR="003A0922" w:rsidRDefault="003A0922" w:rsidP="00C22DDF">
      <w:pPr>
        <w:tabs>
          <w:tab w:val="left" w:pos="851"/>
        </w:tabs>
        <w:ind w:left="851"/>
        <w:rPr>
          <w:szCs w:val="24"/>
        </w:rPr>
      </w:pPr>
      <w:r>
        <w:rPr>
          <w:szCs w:val="24"/>
        </w:rPr>
        <w:t>Overdosering kan forårsage hypocalcæmi, hypofosfatæmi og øvre gastrointesti</w:t>
      </w:r>
      <w:r>
        <w:rPr>
          <w:szCs w:val="24"/>
        </w:rPr>
        <w:softHyphen/>
        <w:t xml:space="preserve">nale symptomer, som f.eks. mavetilfælde, halsbrand, esofagitis, gastritis eller ulcus. </w:t>
      </w:r>
    </w:p>
    <w:p w14:paraId="1FEDD4F0" w14:textId="77777777" w:rsidR="003A0922" w:rsidRDefault="003A0922" w:rsidP="00C22DDF">
      <w:pPr>
        <w:tabs>
          <w:tab w:val="left" w:pos="851"/>
        </w:tabs>
        <w:ind w:left="851"/>
        <w:rPr>
          <w:szCs w:val="24"/>
        </w:rPr>
      </w:pPr>
    </w:p>
    <w:p w14:paraId="020ED182" w14:textId="77777777" w:rsidR="003A0922" w:rsidRDefault="003A0922" w:rsidP="00C22DDF">
      <w:pPr>
        <w:tabs>
          <w:tab w:val="left" w:pos="851"/>
        </w:tabs>
        <w:ind w:left="851"/>
        <w:rPr>
          <w:szCs w:val="24"/>
          <w:u w:val="single"/>
        </w:rPr>
      </w:pPr>
      <w:r>
        <w:rPr>
          <w:szCs w:val="24"/>
          <w:u w:val="single"/>
        </w:rPr>
        <w:t xml:space="preserve">Behandling </w:t>
      </w:r>
    </w:p>
    <w:p w14:paraId="0D88254C" w14:textId="77777777" w:rsidR="003A0922" w:rsidRDefault="003A0922" w:rsidP="00C22DDF">
      <w:pPr>
        <w:tabs>
          <w:tab w:val="left" w:pos="851"/>
        </w:tabs>
        <w:ind w:left="851"/>
        <w:rPr>
          <w:szCs w:val="24"/>
        </w:rPr>
      </w:pPr>
      <w:r>
        <w:rPr>
          <w:szCs w:val="24"/>
        </w:rPr>
        <w:t>Der er ingen specifik information vedrørende behandling af overdosering med alendronat. Der bør indtages mælk eller antacida med henblik på at binde alendronat. På grund af risiko for oesofageal irritation, bør opkastning ikke induceres, og patienten skal forblive oprejst.</w:t>
      </w:r>
    </w:p>
    <w:p w14:paraId="3B0B8983" w14:textId="77777777" w:rsidR="000900A1" w:rsidRDefault="000900A1" w:rsidP="00C22DDF">
      <w:pPr>
        <w:tabs>
          <w:tab w:val="left" w:pos="851"/>
        </w:tabs>
        <w:ind w:left="851"/>
      </w:pPr>
    </w:p>
    <w:p w14:paraId="44A73A36" w14:textId="77777777" w:rsidR="00DC073A" w:rsidRDefault="00DC073A" w:rsidP="00C22DDF">
      <w:pPr>
        <w:tabs>
          <w:tab w:val="left" w:pos="851"/>
        </w:tabs>
        <w:ind w:left="851"/>
      </w:pPr>
    </w:p>
    <w:p w14:paraId="5E70F85E" w14:textId="77777777" w:rsidR="000900A1" w:rsidRDefault="000900A1" w:rsidP="00C22DDF">
      <w:pPr>
        <w:numPr>
          <w:ilvl w:val="1"/>
          <w:numId w:val="1"/>
        </w:numPr>
        <w:ind w:left="851"/>
        <w:rPr>
          <w:b/>
        </w:rPr>
      </w:pPr>
      <w:r>
        <w:rPr>
          <w:b/>
        </w:rPr>
        <w:t>Udlevering</w:t>
      </w:r>
    </w:p>
    <w:p w14:paraId="2EF50451" w14:textId="77777777" w:rsidR="000900A1" w:rsidRDefault="00B4589A" w:rsidP="00840A40">
      <w:pPr>
        <w:tabs>
          <w:tab w:val="left" w:pos="851"/>
        </w:tabs>
        <w:ind w:left="851"/>
      </w:pPr>
      <w:r>
        <w:t>B</w:t>
      </w:r>
    </w:p>
    <w:p w14:paraId="08B36CEC" w14:textId="77777777" w:rsidR="000900A1" w:rsidRDefault="000900A1" w:rsidP="00C22DDF">
      <w:pPr>
        <w:tabs>
          <w:tab w:val="left" w:pos="851"/>
        </w:tabs>
        <w:ind w:left="851"/>
      </w:pPr>
    </w:p>
    <w:p w14:paraId="666656E0" w14:textId="77777777" w:rsidR="0082080D" w:rsidRDefault="0082080D" w:rsidP="00C22DDF">
      <w:pPr>
        <w:tabs>
          <w:tab w:val="left" w:pos="851"/>
        </w:tabs>
        <w:ind w:left="851"/>
      </w:pPr>
    </w:p>
    <w:p w14:paraId="7F1FB19A" w14:textId="77777777" w:rsidR="000900A1" w:rsidRDefault="000900A1" w:rsidP="00C22DDF">
      <w:pPr>
        <w:numPr>
          <w:ilvl w:val="0"/>
          <w:numId w:val="1"/>
        </w:numPr>
        <w:ind w:left="851"/>
        <w:rPr>
          <w:b/>
        </w:rPr>
      </w:pPr>
      <w:r>
        <w:rPr>
          <w:b/>
        </w:rPr>
        <w:t xml:space="preserve">FARMAKOLOGISKE </w:t>
      </w:r>
      <w:r w:rsidR="00452AA8">
        <w:rPr>
          <w:b/>
        </w:rPr>
        <w:t>EGENSKABER</w:t>
      </w:r>
    </w:p>
    <w:p w14:paraId="7DED662A" w14:textId="77777777" w:rsidR="000900A1" w:rsidRDefault="000900A1" w:rsidP="00C22DDF">
      <w:pPr>
        <w:tabs>
          <w:tab w:val="left" w:pos="851"/>
        </w:tabs>
        <w:ind w:left="851"/>
      </w:pPr>
    </w:p>
    <w:p w14:paraId="69EE50BD" w14:textId="77777777" w:rsidR="000900A1" w:rsidRDefault="000900A1" w:rsidP="00C22DDF">
      <w:pPr>
        <w:numPr>
          <w:ilvl w:val="1"/>
          <w:numId w:val="2"/>
        </w:numPr>
        <w:tabs>
          <w:tab w:val="clear" w:pos="2159"/>
          <w:tab w:val="num" w:pos="851"/>
        </w:tabs>
        <w:ind w:left="851" w:hanging="851"/>
        <w:rPr>
          <w:b/>
        </w:rPr>
      </w:pPr>
      <w:r>
        <w:rPr>
          <w:b/>
        </w:rPr>
        <w:t>Farmakodynamiske egenskaber</w:t>
      </w:r>
    </w:p>
    <w:p w14:paraId="5C4D4718" w14:textId="56D8D669" w:rsidR="00E642B3" w:rsidRPr="00215673" w:rsidRDefault="00E642B3" w:rsidP="00E642B3">
      <w:pPr>
        <w:tabs>
          <w:tab w:val="left" w:pos="851"/>
        </w:tabs>
        <w:ind w:left="851"/>
        <w:rPr>
          <w:szCs w:val="24"/>
        </w:rPr>
      </w:pPr>
      <w:r w:rsidRPr="00C922B2">
        <w:rPr>
          <w:szCs w:val="24"/>
        </w:rPr>
        <w:t>Farmakoterapeutisk klassifikation:</w:t>
      </w:r>
      <w:r>
        <w:rPr>
          <w:szCs w:val="24"/>
        </w:rPr>
        <w:t xml:space="preserve"> L</w:t>
      </w:r>
      <w:r w:rsidRPr="00215673">
        <w:rPr>
          <w:szCs w:val="24"/>
        </w:rPr>
        <w:t>ægemidler til behandling af knoglesygdomme, bis</w:t>
      </w:r>
      <w:r>
        <w:rPr>
          <w:szCs w:val="24"/>
        </w:rPr>
        <w:t>f</w:t>
      </w:r>
      <w:r w:rsidRPr="00215673">
        <w:rPr>
          <w:szCs w:val="24"/>
        </w:rPr>
        <w:t>os</w:t>
      </w:r>
      <w:r>
        <w:rPr>
          <w:szCs w:val="24"/>
        </w:rPr>
        <w:t>f</w:t>
      </w:r>
      <w:r w:rsidRPr="00215673">
        <w:rPr>
          <w:szCs w:val="24"/>
        </w:rPr>
        <w:t>onater</w:t>
      </w:r>
      <w:r>
        <w:rPr>
          <w:szCs w:val="24"/>
        </w:rPr>
        <w:t xml:space="preserve">, </w:t>
      </w:r>
      <w:r w:rsidRPr="00215673">
        <w:rPr>
          <w:szCs w:val="24"/>
        </w:rPr>
        <w:t>ATC-kode: M</w:t>
      </w:r>
      <w:r>
        <w:rPr>
          <w:szCs w:val="24"/>
        </w:rPr>
        <w:t xml:space="preserve"> </w:t>
      </w:r>
      <w:r w:rsidRPr="00215673">
        <w:rPr>
          <w:szCs w:val="24"/>
        </w:rPr>
        <w:t>05</w:t>
      </w:r>
      <w:r>
        <w:rPr>
          <w:szCs w:val="24"/>
        </w:rPr>
        <w:t xml:space="preserve"> </w:t>
      </w:r>
      <w:r w:rsidRPr="00215673">
        <w:rPr>
          <w:szCs w:val="24"/>
        </w:rPr>
        <w:t>BA</w:t>
      </w:r>
      <w:r>
        <w:rPr>
          <w:szCs w:val="24"/>
        </w:rPr>
        <w:t xml:space="preserve"> </w:t>
      </w:r>
      <w:r w:rsidRPr="00215673">
        <w:rPr>
          <w:szCs w:val="24"/>
        </w:rPr>
        <w:t>04</w:t>
      </w:r>
      <w:r>
        <w:rPr>
          <w:szCs w:val="24"/>
        </w:rPr>
        <w:t>.</w:t>
      </w:r>
    </w:p>
    <w:p w14:paraId="769C4EDB" w14:textId="1BAD3DEF" w:rsidR="0093730F" w:rsidRDefault="0093730F" w:rsidP="00C22DDF">
      <w:pPr>
        <w:tabs>
          <w:tab w:val="left" w:pos="851"/>
        </w:tabs>
        <w:ind w:left="851"/>
        <w:rPr>
          <w:szCs w:val="24"/>
          <w:u w:val="single"/>
        </w:rPr>
      </w:pPr>
    </w:p>
    <w:p w14:paraId="658A0C7C" w14:textId="77777777" w:rsidR="00951419" w:rsidRDefault="00951419" w:rsidP="00C22DDF">
      <w:pPr>
        <w:tabs>
          <w:tab w:val="left" w:pos="851"/>
        </w:tabs>
        <w:ind w:left="851"/>
        <w:rPr>
          <w:szCs w:val="24"/>
        </w:rPr>
      </w:pPr>
      <w:r>
        <w:rPr>
          <w:szCs w:val="24"/>
          <w:u w:val="single"/>
        </w:rPr>
        <w:t>Virkningsmekanisme</w:t>
      </w:r>
    </w:p>
    <w:p w14:paraId="7C0DE4A8" w14:textId="77777777" w:rsidR="00B4589A" w:rsidRPr="00215673" w:rsidRDefault="00951419" w:rsidP="00840A40">
      <w:pPr>
        <w:tabs>
          <w:tab w:val="left" w:pos="851"/>
        </w:tabs>
        <w:ind w:left="851"/>
        <w:rPr>
          <w:bCs/>
          <w:szCs w:val="24"/>
        </w:rPr>
      </w:pPr>
      <w:r w:rsidRPr="00215673">
        <w:rPr>
          <w:bCs/>
          <w:szCs w:val="24"/>
        </w:rPr>
        <w:t xml:space="preserve">Det aktive indholdsstof i </w:t>
      </w:r>
      <w:r>
        <w:rPr>
          <w:bCs/>
          <w:szCs w:val="24"/>
        </w:rPr>
        <w:t xml:space="preserve">Alendronat </w:t>
      </w:r>
      <w:r w:rsidR="00C22DDF">
        <w:rPr>
          <w:bCs/>
          <w:szCs w:val="24"/>
        </w:rPr>
        <w:t>"</w:t>
      </w:r>
      <w:r>
        <w:rPr>
          <w:bCs/>
          <w:szCs w:val="24"/>
        </w:rPr>
        <w:t>Sandoz</w:t>
      </w:r>
      <w:r w:rsidR="00C22DDF">
        <w:rPr>
          <w:bCs/>
          <w:szCs w:val="24"/>
        </w:rPr>
        <w:t>"</w:t>
      </w:r>
      <w:r w:rsidRPr="00215673">
        <w:rPr>
          <w:bCs/>
          <w:szCs w:val="24"/>
        </w:rPr>
        <w:t xml:space="preserve"> 70 mg tabletter, natriumalendronattrihydrat</w:t>
      </w:r>
      <w:r>
        <w:rPr>
          <w:bCs/>
          <w:szCs w:val="24"/>
        </w:rPr>
        <w:t>,</w:t>
      </w:r>
      <w:r w:rsidRPr="00215673">
        <w:rPr>
          <w:bCs/>
          <w:szCs w:val="24"/>
        </w:rPr>
        <w:t xml:space="preserve"> er et bis</w:t>
      </w:r>
      <w:r>
        <w:rPr>
          <w:bCs/>
          <w:szCs w:val="24"/>
        </w:rPr>
        <w:t>f</w:t>
      </w:r>
      <w:r w:rsidRPr="00215673">
        <w:rPr>
          <w:bCs/>
          <w:szCs w:val="24"/>
        </w:rPr>
        <w:t>os</w:t>
      </w:r>
      <w:r>
        <w:rPr>
          <w:bCs/>
          <w:szCs w:val="24"/>
        </w:rPr>
        <w:t>f</w:t>
      </w:r>
      <w:r w:rsidRPr="00215673">
        <w:rPr>
          <w:bCs/>
          <w:szCs w:val="24"/>
        </w:rPr>
        <w:t>onat, som hæmmer osteoklasters knogleresorption uden direkte effekt på knogleopbygningen. Prækliniske undersøgelser har vist, at alendronat primært lokaliseres til steder med aktiv resorption. Osteoklastaktiviteten hæmmes, men dannelse eller binding af osteoklaster påvirkes ikke. Knoglemassen, der dannes under behandling med alendronat, er af normal kvalitet.</w:t>
      </w:r>
      <w:r w:rsidR="00B4589A" w:rsidRPr="00215673">
        <w:rPr>
          <w:bCs/>
          <w:szCs w:val="24"/>
        </w:rPr>
        <w:t xml:space="preserve"> </w:t>
      </w:r>
    </w:p>
    <w:p w14:paraId="3C0A0BA6" w14:textId="77777777" w:rsidR="00B4589A" w:rsidRPr="00215673" w:rsidRDefault="00B4589A" w:rsidP="00840A40">
      <w:pPr>
        <w:tabs>
          <w:tab w:val="left" w:pos="851"/>
        </w:tabs>
        <w:ind w:left="851"/>
        <w:rPr>
          <w:i/>
          <w:szCs w:val="24"/>
        </w:rPr>
      </w:pPr>
    </w:p>
    <w:p w14:paraId="686DBAA4" w14:textId="77777777" w:rsidR="003A0922" w:rsidRDefault="003A0922" w:rsidP="00C22DDF">
      <w:pPr>
        <w:tabs>
          <w:tab w:val="left" w:pos="851"/>
        </w:tabs>
        <w:ind w:left="851"/>
        <w:rPr>
          <w:szCs w:val="24"/>
          <w:u w:val="single"/>
        </w:rPr>
      </w:pPr>
      <w:r>
        <w:rPr>
          <w:szCs w:val="24"/>
          <w:u w:val="single"/>
        </w:rPr>
        <w:t>Klinisk virkning og sikkerhed</w:t>
      </w:r>
    </w:p>
    <w:p w14:paraId="549E0F87" w14:textId="77777777" w:rsidR="0093730F" w:rsidRDefault="0093730F" w:rsidP="00C22DDF">
      <w:pPr>
        <w:tabs>
          <w:tab w:val="left" w:pos="851"/>
        </w:tabs>
        <w:ind w:left="851"/>
        <w:rPr>
          <w:i/>
          <w:szCs w:val="24"/>
        </w:rPr>
      </w:pPr>
    </w:p>
    <w:p w14:paraId="4EC681BD" w14:textId="77777777" w:rsidR="003A0922" w:rsidRDefault="003A0922" w:rsidP="00C22DDF">
      <w:pPr>
        <w:tabs>
          <w:tab w:val="left" w:pos="851"/>
        </w:tabs>
        <w:ind w:left="851"/>
        <w:rPr>
          <w:i/>
          <w:szCs w:val="24"/>
        </w:rPr>
      </w:pPr>
      <w:r>
        <w:rPr>
          <w:i/>
          <w:szCs w:val="24"/>
        </w:rPr>
        <w:t>Behandling af postmenopausal osteoporose</w:t>
      </w:r>
    </w:p>
    <w:p w14:paraId="306C0561" w14:textId="77777777" w:rsidR="003A0922" w:rsidRDefault="003A0922" w:rsidP="00840A40">
      <w:pPr>
        <w:tabs>
          <w:tab w:val="left" w:pos="851"/>
        </w:tabs>
        <w:ind w:left="851"/>
        <w:rPr>
          <w:i/>
          <w:szCs w:val="24"/>
        </w:rPr>
      </w:pPr>
    </w:p>
    <w:p w14:paraId="3B172C49" w14:textId="77777777" w:rsidR="003A0922" w:rsidRDefault="003A0922" w:rsidP="00840A40">
      <w:pPr>
        <w:tabs>
          <w:tab w:val="left" w:pos="851"/>
        </w:tabs>
        <w:ind w:left="851"/>
        <w:rPr>
          <w:b/>
          <w:szCs w:val="24"/>
        </w:rPr>
      </w:pPr>
      <w:r>
        <w:rPr>
          <w:b/>
          <w:szCs w:val="24"/>
        </w:rPr>
        <w:t xml:space="preserve">Osteoporose defineres som en knoglemineraltæthed (BMD - </w:t>
      </w:r>
      <w:r>
        <w:rPr>
          <w:b/>
          <w:i/>
          <w:szCs w:val="24"/>
        </w:rPr>
        <w:t>Bone Mineral Density</w:t>
      </w:r>
      <w:r>
        <w:rPr>
          <w:b/>
          <w:szCs w:val="24"/>
        </w:rPr>
        <w:t>) i rygrad eller hofte på 2,5 standarddeviationer under gennemsnitsværdien for en normal yngre population, eller som en tidligere skørhedsfraktur uanset BMD.</w:t>
      </w:r>
    </w:p>
    <w:p w14:paraId="030AC264" w14:textId="77777777" w:rsidR="003A0922" w:rsidRDefault="003A0922" w:rsidP="00840A40">
      <w:pPr>
        <w:tabs>
          <w:tab w:val="left" w:pos="851"/>
        </w:tabs>
        <w:ind w:left="851"/>
        <w:rPr>
          <w:szCs w:val="24"/>
        </w:rPr>
      </w:pPr>
    </w:p>
    <w:p w14:paraId="4ED02FF3" w14:textId="77777777" w:rsidR="003A0922" w:rsidRDefault="003A0922" w:rsidP="00840A40">
      <w:pPr>
        <w:tabs>
          <w:tab w:val="left" w:pos="851"/>
        </w:tabs>
        <w:ind w:left="851"/>
        <w:rPr>
          <w:szCs w:val="24"/>
        </w:rPr>
      </w:pPr>
      <w:r>
        <w:rPr>
          <w:szCs w:val="24"/>
        </w:rPr>
        <w:t xml:space="preserve">Den terapeutiske ækvivalens af alendronat 70 mg 1 gang ugentlig (n=519), og alendronat 10 mg </w:t>
      </w:r>
      <w:r w:rsidR="0093730F">
        <w:rPr>
          <w:szCs w:val="24"/>
        </w:rPr>
        <w:t>daglig</w:t>
      </w:r>
      <w:r>
        <w:rPr>
          <w:szCs w:val="24"/>
        </w:rPr>
        <w:t xml:space="preserve"> (n=370), blev vist i en 1-årig multicenterundersøgelse med postmenopausale kvinder med osteoporose. De gennemsnitlige stigninger fra baseline i columna lumbalis BMD efter 1 år var 5,1 % (95 % CI: 4,8; 5,4 %) i 70 mg en gang ugentlig-gruppen og 5,4 % (95 % CI: 5,0; 5,8 %) i 10 mg daglig-gruppen. De gennemsnitlige øgninger i BMD var i behandlingsgrupperne med 70 mg en gang ugentlig og 10 mg en gang daglig henholdsvis 2,3 % og 2,9 % i lårbenshalsen og 2,9 % og 3,1 % i hele hoften. De to behandlingsgrupper var også ens med hensyn til stigninger i BMD andre steder.</w:t>
      </w:r>
    </w:p>
    <w:p w14:paraId="23CC4AE8" w14:textId="77777777" w:rsidR="003A0922" w:rsidRDefault="003A0922" w:rsidP="00840A40">
      <w:pPr>
        <w:tabs>
          <w:tab w:val="left" w:pos="851"/>
        </w:tabs>
        <w:ind w:left="851"/>
        <w:rPr>
          <w:szCs w:val="24"/>
        </w:rPr>
      </w:pPr>
    </w:p>
    <w:p w14:paraId="6F6277A7" w14:textId="77777777" w:rsidR="003A0922" w:rsidRDefault="003A0922" w:rsidP="00840A40">
      <w:pPr>
        <w:tabs>
          <w:tab w:val="left" w:pos="851"/>
        </w:tabs>
        <w:ind w:left="851"/>
        <w:rPr>
          <w:szCs w:val="24"/>
        </w:rPr>
      </w:pPr>
      <w:r>
        <w:rPr>
          <w:szCs w:val="24"/>
        </w:rPr>
        <w:t xml:space="preserve">Alendronats effekt på BMD og frakturincidensen hos postmenopausale kvinder er undersøgt i to ens tilrettelagte initial effekt-undersøgelser (n=994), samt i undersøgelsen </w:t>
      </w:r>
      <w:r w:rsidR="00C22DDF">
        <w:rPr>
          <w:szCs w:val="24"/>
        </w:rPr>
        <w:t>"</w:t>
      </w:r>
      <w:r>
        <w:rPr>
          <w:szCs w:val="24"/>
        </w:rPr>
        <w:t>Fracture Intervention Trial</w:t>
      </w:r>
      <w:r w:rsidR="00C22DDF">
        <w:rPr>
          <w:szCs w:val="24"/>
        </w:rPr>
        <w:t>"</w:t>
      </w:r>
      <w:r>
        <w:rPr>
          <w:szCs w:val="24"/>
        </w:rPr>
        <w:t xml:space="preserve"> (FIT: n=6459).</w:t>
      </w:r>
    </w:p>
    <w:p w14:paraId="2F95258C" w14:textId="77777777" w:rsidR="003A0922" w:rsidRDefault="003A0922" w:rsidP="00840A40">
      <w:pPr>
        <w:tabs>
          <w:tab w:val="left" w:pos="851"/>
        </w:tabs>
        <w:ind w:left="851"/>
        <w:rPr>
          <w:szCs w:val="24"/>
        </w:rPr>
      </w:pPr>
    </w:p>
    <w:p w14:paraId="07CE4AA6" w14:textId="77777777" w:rsidR="003A0922" w:rsidRDefault="003A0922" w:rsidP="00840A40">
      <w:pPr>
        <w:tabs>
          <w:tab w:val="left" w:pos="851"/>
        </w:tabs>
        <w:ind w:left="851"/>
        <w:rPr>
          <w:szCs w:val="24"/>
        </w:rPr>
      </w:pPr>
      <w:r>
        <w:rPr>
          <w:szCs w:val="24"/>
        </w:rPr>
        <w:t xml:space="preserve">I de initiale effekt-undersøgelser sås, efter 3 års behandling med alendronat 10 mg </w:t>
      </w:r>
      <w:r w:rsidR="0093730F">
        <w:rPr>
          <w:szCs w:val="24"/>
        </w:rPr>
        <w:t>daglig</w:t>
      </w:r>
      <w:r>
        <w:rPr>
          <w:szCs w:val="24"/>
        </w:rPr>
        <w:t>, gennemsnitlige stigninger i BMD på henholdsvis 8,8 %, 5,9 % og 7,8 % i rygrad, lårbenshals og trochanter, sammenlignet med placebo. Total BMD øgedes signifikant. Af patienter i behandling med alendronat oplevede 48 % færre, en eller flere vertebrale frakturer (alendronat 3,2 % versus placebo 6,2 %) sammenlignet med patienter behandlet med placebo. I den 2-årige forlængelse af disse undersøgelser sås fortsat stigning i BMD i rygrad og trochanter. BMD i lårbenshalsen og total-BMD blev opretholdt.</w:t>
      </w:r>
    </w:p>
    <w:p w14:paraId="10126D2B" w14:textId="77777777" w:rsidR="003A0922" w:rsidRDefault="003A0922" w:rsidP="00840A40">
      <w:pPr>
        <w:tabs>
          <w:tab w:val="left" w:pos="851"/>
        </w:tabs>
        <w:ind w:left="851"/>
        <w:rPr>
          <w:szCs w:val="24"/>
        </w:rPr>
      </w:pPr>
    </w:p>
    <w:p w14:paraId="2DF2BA34" w14:textId="77777777" w:rsidR="003A0922" w:rsidRDefault="003A0922" w:rsidP="00840A40">
      <w:pPr>
        <w:tabs>
          <w:tab w:val="left" w:pos="851"/>
        </w:tabs>
        <w:ind w:left="851"/>
        <w:rPr>
          <w:szCs w:val="24"/>
        </w:rPr>
      </w:pPr>
      <w:r>
        <w:rPr>
          <w:szCs w:val="24"/>
        </w:rPr>
        <w:t xml:space="preserve">FIT-studiet bestod af to placebokontrollerede undersøgelser med alendronat (5 mg daglig i 2 år og 10 mg daglig i yderligere enten 1 eller 2 år): </w:t>
      </w:r>
    </w:p>
    <w:p w14:paraId="53DE1D7A" w14:textId="77777777" w:rsidR="0093730F" w:rsidRPr="0093730F" w:rsidRDefault="003A0922" w:rsidP="00C8533A">
      <w:pPr>
        <w:numPr>
          <w:ilvl w:val="0"/>
          <w:numId w:val="16"/>
        </w:numPr>
        <w:tabs>
          <w:tab w:val="clear" w:pos="1215"/>
          <w:tab w:val="num" w:pos="1134"/>
        </w:tabs>
        <w:ind w:left="1134" w:hanging="283"/>
        <w:rPr>
          <w:spacing w:val="-3"/>
          <w:u w:val="single"/>
        </w:rPr>
      </w:pPr>
      <w:r w:rsidRPr="0093730F">
        <w:rPr>
          <w:szCs w:val="24"/>
        </w:rPr>
        <w:t xml:space="preserve">FIT 1: En 3-årig undersøgelse af 2.027 patienter som havde mindst en vertebral (kompressions) fraktur ved baseline. I denne undersøgelse reducerede alendronat en gang daglig incidensen af </w:t>
      </w:r>
      <w:r>
        <w:rPr>
          <w:szCs w:val="24"/>
        </w:rPr>
        <w:sym w:font="Symbol" w:char="F0B3"/>
      </w:r>
      <w:r w:rsidRPr="0093730F">
        <w:rPr>
          <w:szCs w:val="24"/>
        </w:rPr>
        <w:t xml:space="preserve"> 1 ny vertebral fraktur med 47 % (alendronat 7,9 % versus placebo 15,0 %). Derudover sås en statistisk signifikant reduktion i incidensen af hoftefrakturer (1,1 % versus 2,2 %, en reduktion på 51 %).</w:t>
      </w:r>
    </w:p>
    <w:p w14:paraId="0B1DC131" w14:textId="77777777" w:rsidR="003A0922" w:rsidRPr="0093730F" w:rsidRDefault="003A0922" w:rsidP="00C8533A">
      <w:pPr>
        <w:numPr>
          <w:ilvl w:val="0"/>
          <w:numId w:val="16"/>
        </w:numPr>
        <w:tabs>
          <w:tab w:val="clear" w:pos="1215"/>
          <w:tab w:val="num" w:pos="1134"/>
        </w:tabs>
        <w:ind w:left="1134" w:hanging="283"/>
        <w:rPr>
          <w:spacing w:val="-3"/>
          <w:u w:val="single"/>
        </w:rPr>
      </w:pPr>
      <w:r w:rsidRPr="0093730F">
        <w:rPr>
          <w:szCs w:val="24"/>
        </w:rPr>
        <w:t xml:space="preserve">FIT 2: En 4-årig undersøgelse af 4.432 patienter med lav knoglemasse, men uden vertebral fraktur ved baseline. I denne undersøgelse observeredes en signifikant forskel i en analyse af en undergruppe af osteoporotiske kvinder (37 % af global population som havde osteoporose svarende til ovennævnte definition) i incidensen af hoftefrakturer (alendronat 1,0 % versus placebo 2,2 %, en reduktion på 56 %) og i incidensen af </w:t>
      </w:r>
      <w:r>
        <w:rPr>
          <w:szCs w:val="24"/>
        </w:rPr>
        <w:sym w:font="Symbol" w:char="F0B3"/>
      </w:r>
      <w:r w:rsidRPr="0093730F">
        <w:rPr>
          <w:szCs w:val="24"/>
        </w:rPr>
        <w:t>1 vertebral fraktur (2,9 % versus 5,8 %, en reduktion på 50 %).</w:t>
      </w:r>
      <w:r w:rsidRPr="0093730F">
        <w:rPr>
          <w:szCs w:val="24"/>
        </w:rPr>
        <w:br/>
      </w:r>
    </w:p>
    <w:p w14:paraId="0F892F8C" w14:textId="77777777" w:rsidR="003A0922" w:rsidRDefault="003A0922" w:rsidP="00840A40">
      <w:pPr>
        <w:ind w:left="851"/>
        <w:rPr>
          <w:szCs w:val="24"/>
          <w:u w:val="single"/>
        </w:rPr>
      </w:pPr>
      <w:r>
        <w:rPr>
          <w:szCs w:val="24"/>
          <w:u w:val="single"/>
        </w:rPr>
        <w:t>Undersøgelser</w:t>
      </w:r>
    </w:p>
    <w:p w14:paraId="1CF1D0EC" w14:textId="77777777" w:rsidR="003A0922" w:rsidRPr="00C8533A" w:rsidRDefault="003A0922" w:rsidP="00840A40">
      <w:pPr>
        <w:ind w:left="851"/>
        <w:rPr>
          <w:szCs w:val="24"/>
        </w:rPr>
      </w:pPr>
      <w:r w:rsidRPr="00C8533A">
        <w:rPr>
          <w:szCs w:val="24"/>
        </w:rPr>
        <w:t xml:space="preserve">Der er i kliniske undersøgelser set asymptomatiske, milde og forbigående fald i serum calcium og serum fosfat hos henholdsvis ca. 18 % og 10 % af de patienter der fik alendronat 10 mg/dag versus ca. 12 % og 3 % af de patienter, der fik placebo. Imidlertid var incidensen af fald i serum calcium til &lt;8,0 mg/dl (2,0 mmol/l) og serum fosfat til </w:t>
      </w:r>
      <w:r w:rsidRPr="00C8533A">
        <w:rPr>
          <w:szCs w:val="24"/>
        </w:rPr>
        <w:sym w:font="Symbol" w:char="F0A3"/>
      </w:r>
      <w:r w:rsidRPr="00C8533A">
        <w:rPr>
          <w:szCs w:val="24"/>
        </w:rPr>
        <w:t>2,0 mg/dl (0,65 mmol/l) ens i begge behandlingsgrupper.</w:t>
      </w:r>
    </w:p>
    <w:p w14:paraId="03E8B705" w14:textId="77777777" w:rsidR="003A0922" w:rsidRDefault="003A0922" w:rsidP="00840A40">
      <w:pPr>
        <w:tabs>
          <w:tab w:val="left" w:pos="851"/>
        </w:tabs>
        <w:ind w:left="851"/>
        <w:rPr>
          <w:szCs w:val="24"/>
        </w:rPr>
      </w:pPr>
    </w:p>
    <w:p w14:paraId="11C1E0A9" w14:textId="77777777" w:rsidR="003A0922" w:rsidRDefault="003A0922" w:rsidP="00840A40">
      <w:pPr>
        <w:ind w:left="851"/>
        <w:rPr>
          <w:szCs w:val="24"/>
        </w:rPr>
      </w:pPr>
      <w:r>
        <w:rPr>
          <w:szCs w:val="24"/>
          <w:u w:val="single"/>
        </w:rPr>
        <w:t>Pædiatrisk population</w:t>
      </w:r>
    </w:p>
    <w:p w14:paraId="55D45C74" w14:textId="77777777" w:rsidR="003A0922" w:rsidRDefault="003A0922" w:rsidP="00840A40">
      <w:pPr>
        <w:ind w:left="851"/>
        <w:rPr>
          <w:szCs w:val="24"/>
        </w:rPr>
      </w:pPr>
      <w:r>
        <w:rPr>
          <w:szCs w:val="24"/>
        </w:rPr>
        <w:t xml:space="preserve">Alendronat er blevet undersøgt hos et lille antal patienter under 18 år med osteogenesis imperfecta. Resultaterne er utilstrækkelige til at understøtte brugen af alendronat til børn. </w:t>
      </w:r>
    </w:p>
    <w:p w14:paraId="4EEBBCA9" w14:textId="77777777" w:rsidR="003A0922" w:rsidRDefault="003A0922" w:rsidP="00840A40">
      <w:pPr>
        <w:tabs>
          <w:tab w:val="left" w:pos="851"/>
        </w:tabs>
        <w:ind w:left="851"/>
        <w:rPr>
          <w:szCs w:val="24"/>
        </w:rPr>
      </w:pPr>
    </w:p>
    <w:p w14:paraId="44B17629" w14:textId="77777777" w:rsidR="000900A1" w:rsidRDefault="000900A1" w:rsidP="00C22DDF">
      <w:pPr>
        <w:numPr>
          <w:ilvl w:val="1"/>
          <w:numId w:val="3"/>
        </w:numPr>
        <w:ind w:left="851"/>
        <w:rPr>
          <w:b/>
        </w:rPr>
      </w:pPr>
      <w:r>
        <w:rPr>
          <w:b/>
        </w:rPr>
        <w:t>Farmakokinetiske egenskaber</w:t>
      </w:r>
    </w:p>
    <w:p w14:paraId="670EE9C5" w14:textId="77777777" w:rsidR="00C8533A" w:rsidRDefault="00C8533A" w:rsidP="00C8533A">
      <w:pPr>
        <w:tabs>
          <w:tab w:val="left" w:pos="851"/>
        </w:tabs>
        <w:ind w:left="851"/>
        <w:rPr>
          <w:szCs w:val="24"/>
        </w:rPr>
      </w:pPr>
    </w:p>
    <w:p w14:paraId="422B1377" w14:textId="77777777" w:rsidR="00B4589A" w:rsidRPr="00215673" w:rsidRDefault="00B4589A" w:rsidP="00C8533A">
      <w:pPr>
        <w:tabs>
          <w:tab w:val="left" w:pos="851"/>
        </w:tabs>
        <w:ind w:left="851"/>
        <w:rPr>
          <w:i/>
          <w:szCs w:val="24"/>
        </w:rPr>
      </w:pPr>
      <w:r w:rsidRPr="00951419">
        <w:rPr>
          <w:szCs w:val="24"/>
          <w:u w:val="single"/>
        </w:rPr>
        <w:t>Absorption</w:t>
      </w:r>
    </w:p>
    <w:p w14:paraId="0996A176" w14:textId="77777777" w:rsidR="00B4589A" w:rsidRPr="00215673" w:rsidRDefault="00B4589A" w:rsidP="00C8533A">
      <w:pPr>
        <w:tabs>
          <w:tab w:val="left" w:pos="851"/>
        </w:tabs>
        <w:ind w:left="851"/>
        <w:rPr>
          <w:szCs w:val="24"/>
        </w:rPr>
      </w:pPr>
      <w:r w:rsidRPr="00215673">
        <w:rPr>
          <w:szCs w:val="24"/>
        </w:rPr>
        <w:t>I forhold til intravenøs referencedosis, er den gennemsnitlige orale biotilgængelighed for alendronat, når det administreres efter en nats faste og 2 timer før et standardiseret morgenmåltid, 0,64 % hos kvinder ved doser fra 5-70 mg. Bi</w:t>
      </w:r>
      <w:r w:rsidRPr="00215673">
        <w:rPr>
          <w:szCs w:val="24"/>
        </w:rPr>
        <w:softHyphen/>
        <w:t>otilgængelig</w:t>
      </w:r>
      <w:r w:rsidRPr="00215673">
        <w:rPr>
          <w:szCs w:val="24"/>
        </w:rPr>
        <w:softHyphen/>
        <w:t>heden blev reduceret til estimeret 0,46 % og 0,39 % når alendronat blev administreret en time, eller en halv time, før et standardi</w:t>
      </w:r>
      <w:r w:rsidRPr="00215673">
        <w:rPr>
          <w:szCs w:val="24"/>
        </w:rPr>
        <w:softHyphen/>
        <w:t xml:space="preserve">seret morgenmåltid. </w:t>
      </w:r>
    </w:p>
    <w:p w14:paraId="72BCEE8D" w14:textId="77777777" w:rsidR="00B4589A" w:rsidRPr="00215673" w:rsidRDefault="00B4589A" w:rsidP="00C8533A">
      <w:pPr>
        <w:tabs>
          <w:tab w:val="left" w:pos="851"/>
        </w:tabs>
        <w:ind w:left="851"/>
        <w:rPr>
          <w:szCs w:val="24"/>
        </w:rPr>
      </w:pPr>
      <w:r w:rsidRPr="00215673">
        <w:rPr>
          <w:szCs w:val="24"/>
        </w:rPr>
        <w:t>I osteoporoseundersøgelserne var alendronat effektivt når det administreredes mindst 30 minutter før dagens første måltid eller indtagelse af drikkevarer.</w:t>
      </w:r>
    </w:p>
    <w:p w14:paraId="55188A63" w14:textId="77777777" w:rsidR="00B4589A" w:rsidRPr="00215673" w:rsidRDefault="00B4589A" w:rsidP="00C8533A">
      <w:pPr>
        <w:tabs>
          <w:tab w:val="left" w:pos="851"/>
        </w:tabs>
        <w:ind w:left="851"/>
        <w:rPr>
          <w:szCs w:val="24"/>
        </w:rPr>
      </w:pPr>
      <w:r w:rsidRPr="00215673">
        <w:rPr>
          <w:szCs w:val="24"/>
        </w:rPr>
        <w:t xml:space="preserve">Biotilgængeligheden var ubetydelig, hvad enten alendronat blev administreret sammen med eller op til 2 timer efter et standardiseret morgenmåltid. Samtidig administration af alendronat og kaffe eller appelsinjuice reducerede biotilgængeligheden med ca. 60 %. Hos raske forsøgspersoner medførte oral prednison (20 mg tre gange </w:t>
      </w:r>
      <w:r w:rsidR="0093730F">
        <w:rPr>
          <w:szCs w:val="24"/>
        </w:rPr>
        <w:t>daglig</w:t>
      </w:r>
      <w:r w:rsidRPr="00215673">
        <w:rPr>
          <w:szCs w:val="24"/>
        </w:rPr>
        <w:t xml:space="preserve"> i fem dage) ingen klinisk relevant forandring af alendronats orale biotilgængelighed (gennemsnitlig stigning fra 20-44 %).</w:t>
      </w:r>
    </w:p>
    <w:p w14:paraId="2981D8D9" w14:textId="77777777" w:rsidR="00B4589A" w:rsidRPr="00215673" w:rsidRDefault="00B4589A" w:rsidP="00C8533A">
      <w:pPr>
        <w:tabs>
          <w:tab w:val="left" w:pos="851"/>
        </w:tabs>
        <w:ind w:left="851"/>
        <w:rPr>
          <w:szCs w:val="24"/>
        </w:rPr>
      </w:pPr>
    </w:p>
    <w:p w14:paraId="7568D159" w14:textId="77777777" w:rsidR="00B4589A" w:rsidRPr="00215673" w:rsidRDefault="00951419" w:rsidP="00C8533A">
      <w:pPr>
        <w:tabs>
          <w:tab w:val="left" w:pos="851"/>
        </w:tabs>
        <w:ind w:left="851"/>
        <w:rPr>
          <w:i/>
          <w:szCs w:val="24"/>
        </w:rPr>
      </w:pPr>
      <w:r w:rsidRPr="00393CF9">
        <w:rPr>
          <w:szCs w:val="24"/>
          <w:u w:val="single"/>
        </w:rPr>
        <w:t>Fordeling</w:t>
      </w:r>
    </w:p>
    <w:p w14:paraId="51343F56" w14:textId="77777777" w:rsidR="00B4589A" w:rsidRPr="00215673" w:rsidRDefault="00B4589A" w:rsidP="00C8533A">
      <w:pPr>
        <w:tabs>
          <w:tab w:val="left" w:pos="851"/>
        </w:tabs>
        <w:ind w:left="851"/>
        <w:rPr>
          <w:szCs w:val="24"/>
        </w:rPr>
      </w:pPr>
      <w:r w:rsidRPr="00215673">
        <w:rPr>
          <w:szCs w:val="24"/>
        </w:rPr>
        <w:t>Undersøgelser med rotter viser, at alendronat forbigående distribueres i blødt væv efter intravenøs administration af 1 mg/kg, men redistribueres herefter hurtigt til knogler eller udskilles i urinen. Det gennemsnitlige steady-state fordelingsvolumen, ikke medregnende knogler, er mindst 28 liter hos mennesker. Plasmakoncentrationer af lægemidlet efter terapeutiske, orale doser er under analysegrænsen (</w:t>
      </w:r>
      <w:r w:rsidRPr="00215673">
        <w:rPr>
          <w:szCs w:val="24"/>
        </w:rPr>
        <w:sym w:font="Symbol" w:char="F03C"/>
      </w:r>
      <w:r w:rsidRPr="00215673">
        <w:rPr>
          <w:szCs w:val="24"/>
        </w:rPr>
        <w:t xml:space="preserve"> 5 ng/ml). Proteinbindingen i humant plasma er ca. 78 %. </w:t>
      </w:r>
    </w:p>
    <w:p w14:paraId="5C6EB7C2" w14:textId="77777777" w:rsidR="00C8533A" w:rsidRDefault="00C8533A" w:rsidP="00C8533A">
      <w:pPr>
        <w:tabs>
          <w:tab w:val="left" w:pos="851"/>
        </w:tabs>
        <w:ind w:left="851"/>
        <w:rPr>
          <w:i/>
          <w:szCs w:val="24"/>
        </w:rPr>
      </w:pPr>
    </w:p>
    <w:p w14:paraId="1E8C6E70" w14:textId="77777777" w:rsidR="00B4589A" w:rsidRPr="00215673" w:rsidRDefault="00B4589A" w:rsidP="00C8533A">
      <w:pPr>
        <w:tabs>
          <w:tab w:val="left" w:pos="851"/>
        </w:tabs>
        <w:ind w:left="851"/>
        <w:rPr>
          <w:i/>
          <w:szCs w:val="24"/>
        </w:rPr>
      </w:pPr>
      <w:r w:rsidRPr="00951419">
        <w:rPr>
          <w:szCs w:val="24"/>
          <w:u w:val="single"/>
        </w:rPr>
        <w:t>Biotransformation</w:t>
      </w:r>
    </w:p>
    <w:p w14:paraId="0C7573D1" w14:textId="77777777" w:rsidR="00B4589A" w:rsidRPr="00215673" w:rsidRDefault="00B4589A" w:rsidP="00C8533A">
      <w:pPr>
        <w:tabs>
          <w:tab w:val="left" w:pos="851"/>
        </w:tabs>
        <w:ind w:left="851"/>
        <w:rPr>
          <w:szCs w:val="24"/>
        </w:rPr>
      </w:pPr>
      <w:r w:rsidRPr="00215673">
        <w:rPr>
          <w:szCs w:val="24"/>
        </w:rPr>
        <w:t xml:space="preserve">Der er ikke fundet tegn på, at alendronat metaboliseres i dyr eller mennesker. </w:t>
      </w:r>
    </w:p>
    <w:p w14:paraId="10E8C416" w14:textId="77777777" w:rsidR="00B4589A" w:rsidRPr="00215673" w:rsidRDefault="00B4589A" w:rsidP="00C8533A">
      <w:pPr>
        <w:tabs>
          <w:tab w:val="left" w:pos="851"/>
        </w:tabs>
        <w:ind w:left="851"/>
        <w:rPr>
          <w:szCs w:val="24"/>
        </w:rPr>
      </w:pPr>
    </w:p>
    <w:p w14:paraId="4CB74B72" w14:textId="77777777" w:rsidR="00B4589A" w:rsidRPr="00215673" w:rsidRDefault="00B4589A" w:rsidP="00C8533A">
      <w:pPr>
        <w:tabs>
          <w:tab w:val="left" w:pos="851"/>
        </w:tabs>
        <w:ind w:left="851"/>
        <w:rPr>
          <w:i/>
          <w:szCs w:val="24"/>
        </w:rPr>
      </w:pPr>
      <w:r w:rsidRPr="00951419">
        <w:rPr>
          <w:szCs w:val="24"/>
          <w:u w:val="single"/>
        </w:rPr>
        <w:t>Elimination</w:t>
      </w:r>
    </w:p>
    <w:p w14:paraId="2ED62AE2" w14:textId="77777777" w:rsidR="00B4589A" w:rsidRPr="00215673" w:rsidRDefault="00B4589A" w:rsidP="00C8533A">
      <w:pPr>
        <w:tabs>
          <w:tab w:val="left" w:pos="851"/>
        </w:tabs>
        <w:ind w:left="851"/>
        <w:rPr>
          <w:szCs w:val="24"/>
        </w:rPr>
      </w:pPr>
      <w:r w:rsidRPr="00215673">
        <w:rPr>
          <w:szCs w:val="24"/>
        </w:rPr>
        <w:t>Efter en enkelt intravenøs dosis (</w:t>
      </w:r>
      <w:r w:rsidRPr="00215673">
        <w:rPr>
          <w:szCs w:val="24"/>
          <w:vertAlign w:val="superscript"/>
        </w:rPr>
        <w:t>14</w:t>
      </w:r>
      <w:r w:rsidRPr="00215673">
        <w:rPr>
          <w:szCs w:val="24"/>
        </w:rPr>
        <w:t>C) alendronat, blev ca. 50 % af radioaktiviteten udskilt i urinen inden for 72 timer og meget lidt eller ingen radioaktivitet kunne genfindes i fæces. Efter en enkelt intravenøs dosis på 10 mg var den renale clearance af alendronat 71 ml/minut og den systemiske clearance oversteg ikke 200 ml/min. Plasmakoncentrationen faldt med mere end 95 % inden for 6 timer efter intravenøs administration. Halveringstiden hos mennesker vurderes til at være over 10 år, vurderet på baggrund af frigivelse af alendronat fra skelettet. Hos rotter udskilles alendronat ikke via nyrernes syre- eller basetransportsystem og hos mennesker forventes det derfor ikke at interferere med andre lægemidlers udskillelse via disse systemer.</w:t>
      </w:r>
    </w:p>
    <w:p w14:paraId="6937EB1A" w14:textId="77777777" w:rsidR="00B4589A" w:rsidRPr="00215673" w:rsidRDefault="00B4589A" w:rsidP="00C8533A">
      <w:pPr>
        <w:tabs>
          <w:tab w:val="left" w:pos="851"/>
        </w:tabs>
        <w:ind w:left="851"/>
        <w:rPr>
          <w:szCs w:val="24"/>
        </w:rPr>
      </w:pPr>
    </w:p>
    <w:p w14:paraId="21433DD5" w14:textId="77777777" w:rsidR="003A0922" w:rsidRDefault="003A0922" w:rsidP="00C8533A">
      <w:pPr>
        <w:tabs>
          <w:tab w:val="left" w:pos="851"/>
        </w:tabs>
        <w:ind w:left="851"/>
        <w:rPr>
          <w:i/>
          <w:szCs w:val="24"/>
        </w:rPr>
      </w:pPr>
      <w:r>
        <w:rPr>
          <w:szCs w:val="24"/>
          <w:u w:val="single"/>
        </w:rPr>
        <w:t>Nedsat nyrefunktion</w:t>
      </w:r>
    </w:p>
    <w:p w14:paraId="2BA7D1BF" w14:textId="77777777" w:rsidR="00B4589A" w:rsidRPr="00215673" w:rsidRDefault="00B4589A" w:rsidP="00C8533A">
      <w:pPr>
        <w:tabs>
          <w:tab w:val="left" w:pos="851"/>
        </w:tabs>
        <w:ind w:left="851"/>
        <w:rPr>
          <w:szCs w:val="24"/>
        </w:rPr>
      </w:pPr>
      <w:r w:rsidRPr="00215673">
        <w:rPr>
          <w:szCs w:val="24"/>
        </w:rPr>
        <w:t>Prækliniske undersøgelser viser, at det lægemiddel, der ikke er deponeret i knogler, hurtigt udskilles i urinen. Der blev ikke vist mætning af knogleoptagelsen efter kronisk dosering med kumulative, intravenøse doser på op til 35 mg/kg hos dyr. Der foreligger ingen kliniske data, men det er sandsynligt at eliminationen af alendronat via nyrerne, ligesom hos dyr, vil være reduceret hos patienter med nedsat nyrefunktion. Der kan derfor muligvis forventes en større akkumulering af alendronat i knogler hos patienter med nedsat nyrefunktion (se pkt. 4.2).</w:t>
      </w:r>
    </w:p>
    <w:p w14:paraId="60265D28" w14:textId="77777777" w:rsidR="000900A1" w:rsidRDefault="000900A1" w:rsidP="00C8533A">
      <w:pPr>
        <w:tabs>
          <w:tab w:val="left" w:pos="851"/>
        </w:tabs>
        <w:ind w:left="851"/>
      </w:pPr>
    </w:p>
    <w:p w14:paraId="3AD0C064" w14:textId="35C41B63" w:rsidR="000900A1" w:rsidRDefault="00E642B3" w:rsidP="00C22DDF">
      <w:pPr>
        <w:numPr>
          <w:ilvl w:val="1"/>
          <w:numId w:val="4"/>
        </w:numPr>
        <w:ind w:left="851"/>
        <w:rPr>
          <w:b/>
        </w:rPr>
      </w:pPr>
      <w:r>
        <w:rPr>
          <w:b/>
        </w:rPr>
        <w:t>Non-</w:t>
      </w:r>
      <w:r w:rsidR="000900A1">
        <w:rPr>
          <w:b/>
        </w:rPr>
        <w:t>kliniske sikkerhedsdata</w:t>
      </w:r>
    </w:p>
    <w:p w14:paraId="757195A4" w14:textId="4F9864C3" w:rsidR="00B4589A" w:rsidRPr="00215673" w:rsidRDefault="00E642B3" w:rsidP="00C22DDF">
      <w:pPr>
        <w:ind w:left="851"/>
        <w:rPr>
          <w:spacing w:val="-3"/>
          <w:szCs w:val="24"/>
        </w:rPr>
      </w:pPr>
      <w:r>
        <w:rPr>
          <w:spacing w:val="-3"/>
          <w:szCs w:val="24"/>
        </w:rPr>
        <w:t>Non-</w:t>
      </w:r>
      <w:r w:rsidR="00951419" w:rsidRPr="00215673">
        <w:rPr>
          <w:spacing w:val="-3"/>
          <w:szCs w:val="24"/>
        </w:rPr>
        <w:t xml:space="preserve">kliniske data </w:t>
      </w:r>
      <w:r w:rsidR="00951419">
        <w:rPr>
          <w:spacing w:val="-3"/>
          <w:szCs w:val="24"/>
        </w:rPr>
        <w:t>viser</w:t>
      </w:r>
      <w:r w:rsidR="00951419" w:rsidRPr="00215673">
        <w:rPr>
          <w:spacing w:val="-3"/>
          <w:szCs w:val="24"/>
        </w:rPr>
        <w:t xml:space="preserve"> ingen </w:t>
      </w:r>
      <w:r w:rsidR="00951419">
        <w:rPr>
          <w:spacing w:val="-3"/>
          <w:szCs w:val="24"/>
        </w:rPr>
        <w:t>speciel</w:t>
      </w:r>
      <w:r w:rsidR="00951419" w:rsidRPr="00215673">
        <w:rPr>
          <w:spacing w:val="-3"/>
          <w:szCs w:val="24"/>
        </w:rPr>
        <w:t xml:space="preserve"> risiko for mennesker</w:t>
      </w:r>
      <w:r w:rsidR="00951419">
        <w:rPr>
          <w:spacing w:val="-3"/>
          <w:szCs w:val="24"/>
        </w:rPr>
        <w:t xml:space="preserve"> vurderet ud fra</w:t>
      </w:r>
      <w:r w:rsidR="00951419" w:rsidRPr="00215673">
        <w:rPr>
          <w:spacing w:val="-3"/>
          <w:szCs w:val="24"/>
        </w:rPr>
        <w:t xml:space="preserve"> konventionelle </w:t>
      </w:r>
      <w:r w:rsidR="00951419">
        <w:rPr>
          <w:spacing w:val="-3"/>
          <w:szCs w:val="24"/>
        </w:rPr>
        <w:t>studier</w:t>
      </w:r>
      <w:r w:rsidR="00951419" w:rsidRPr="00215673">
        <w:rPr>
          <w:spacing w:val="-3"/>
          <w:szCs w:val="24"/>
        </w:rPr>
        <w:t xml:space="preserve"> af sikkerhedsfarmakologi, toksicitet </w:t>
      </w:r>
      <w:r w:rsidR="00951419">
        <w:rPr>
          <w:spacing w:val="-3"/>
          <w:szCs w:val="24"/>
        </w:rPr>
        <w:t>efter</w:t>
      </w:r>
      <w:r w:rsidR="00951419" w:rsidRPr="00215673">
        <w:rPr>
          <w:spacing w:val="-3"/>
          <w:szCs w:val="24"/>
        </w:rPr>
        <w:t xml:space="preserve"> gentagne doser, genotoksicitet og </w:t>
      </w:r>
      <w:r w:rsidR="00951419">
        <w:rPr>
          <w:spacing w:val="-3"/>
          <w:szCs w:val="24"/>
        </w:rPr>
        <w:t>karcinogenicitet</w:t>
      </w:r>
      <w:r w:rsidR="00951419" w:rsidRPr="00215673">
        <w:rPr>
          <w:spacing w:val="-3"/>
          <w:szCs w:val="24"/>
        </w:rPr>
        <w:t xml:space="preserve">. Undersøgelser med </w:t>
      </w:r>
      <w:r w:rsidR="00951419">
        <w:rPr>
          <w:spacing w:val="-3"/>
          <w:szCs w:val="24"/>
        </w:rPr>
        <w:t>hun</w:t>
      </w:r>
      <w:r w:rsidR="00951419" w:rsidRPr="00215673">
        <w:rPr>
          <w:spacing w:val="-3"/>
          <w:szCs w:val="24"/>
        </w:rPr>
        <w:t xml:space="preserve">rotter har vist, at behandling med alendronat under graviditet var associeret med hypocalcæmirelateret fødselshindring. Undersøgelser, hvor rotter fik høje doser, viste en øget incidens af ufuldstændig </w:t>
      </w:r>
      <w:r w:rsidR="00657703" w:rsidRPr="00657703">
        <w:rPr>
          <w:spacing w:val="-3"/>
          <w:szCs w:val="24"/>
        </w:rPr>
        <w:t xml:space="preserve">føtal ossifikation. </w:t>
      </w:r>
      <w:r w:rsidR="00951419" w:rsidRPr="00215673">
        <w:rPr>
          <w:spacing w:val="-3"/>
          <w:szCs w:val="24"/>
        </w:rPr>
        <w:t>Relevansen for mennesker er ukendt.</w:t>
      </w:r>
    </w:p>
    <w:p w14:paraId="2186A233" w14:textId="77777777" w:rsidR="000900A1" w:rsidRDefault="000900A1" w:rsidP="00C22DDF">
      <w:pPr>
        <w:tabs>
          <w:tab w:val="left" w:pos="851"/>
        </w:tabs>
        <w:ind w:left="851"/>
      </w:pPr>
    </w:p>
    <w:p w14:paraId="45094E7A" w14:textId="77777777" w:rsidR="00820B49" w:rsidRDefault="00820B49" w:rsidP="00C22DDF">
      <w:pPr>
        <w:tabs>
          <w:tab w:val="left" w:pos="851"/>
        </w:tabs>
        <w:ind w:left="851"/>
      </w:pPr>
    </w:p>
    <w:p w14:paraId="111470E5" w14:textId="77777777" w:rsidR="000900A1" w:rsidRDefault="000900A1" w:rsidP="00C22DDF">
      <w:pPr>
        <w:numPr>
          <w:ilvl w:val="0"/>
          <w:numId w:val="3"/>
        </w:numPr>
        <w:ind w:left="851"/>
        <w:rPr>
          <w:b/>
        </w:rPr>
      </w:pPr>
      <w:r>
        <w:rPr>
          <w:b/>
        </w:rPr>
        <w:t>FARMACEUTISKE OPLYSNINGER</w:t>
      </w:r>
    </w:p>
    <w:p w14:paraId="583BBB1C" w14:textId="77777777" w:rsidR="000900A1" w:rsidRDefault="000900A1" w:rsidP="00C22DDF">
      <w:pPr>
        <w:tabs>
          <w:tab w:val="left" w:pos="851"/>
        </w:tabs>
        <w:ind w:left="851"/>
        <w:rPr>
          <w:b/>
        </w:rPr>
      </w:pPr>
    </w:p>
    <w:p w14:paraId="06860AAD" w14:textId="77777777" w:rsidR="000900A1" w:rsidRDefault="000900A1" w:rsidP="00C22DDF">
      <w:pPr>
        <w:numPr>
          <w:ilvl w:val="1"/>
          <w:numId w:val="5"/>
        </w:numPr>
        <w:ind w:left="851"/>
        <w:rPr>
          <w:b/>
        </w:rPr>
      </w:pPr>
      <w:r>
        <w:rPr>
          <w:b/>
        </w:rPr>
        <w:t>Hjælpestoffer</w:t>
      </w:r>
    </w:p>
    <w:p w14:paraId="5F5438BB" w14:textId="77777777" w:rsidR="00B4589A" w:rsidRPr="00215673" w:rsidRDefault="00B4589A" w:rsidP="00C8533A">
      <w:pPr>
        <w:ind w:left="851"/>
        <w:rPr>
          <w:spacing w:val="-3"/>
          <w:szCs w:val="24"/>
        </w:rPr>
      </w:pPr>
      <w:r w:rsidRPr="00215673">
        <w:rPr>
          <w:spacing w:val="-3"/>
          <w:szCs w:val="24"/>
        </w:rPr>
        <w:t xml:space="preserve">Cellulose, mikrokrystallinsk  </w:t>
      </w:r>
    </w:p>
    <w:p w14:paraId="3D114C61" w14:textId="77777777" w:rsidR="00B4589A" w:rsidRPr="00215673" w:rsidRDefault="00B4589A" w:rsidP="00C8533A">
      <w:pPr>
        <w:ind w:left="851"/>
        <w:rPr>
          <w:spacing w:val="-3"/>
          <w:szCs w:val="24"/>
        </w:rPr>
      </w:pPr>
      <w:r w:rsidRPr="00215673">
        <w:rPr>
          <w:spacing w:val="-3"/>
          <w:szCs w:val="24"/>
        </w:rPr>
        <w:t>Silica, kolloid, vandfri</w:t>
      </w:r>
    </w:p>
    <w:p w14:paraId="5BABF509" w14:textId="77777777" w:rsidR="00B4589A" w:rsidRPr="00215673" w:rsidRDefault="00B4589A" w:rsidP="00C8533A">
      <w:pPr>
        <w:ind w:left="851"/>
        <w:jc w:val="both"/>
        <w:rPr>
          <w:spacing w:val="-3"/>
          <w:szCs w:val="24"/>
        </w:rPr>
      </w:pPr>
      <w:r w:rsidRPr="00215673">
        <w:rPr>
          <w:spacing w:val="-3"/>
          <w:szCs w:val="24"/>
        </w:rPr>
        <w:t xml:space="preserve">Croscarmellosenatrium  </w:t>
      </w:r>
    </w:p>
    <w:p w14:paraId="6EE44544" w14:textId="77777777" w:rsidR="00B4589A" w:rsidRPr="00215673" w:rsidRDefault="00B4589A" w:rsidP="00C8533A">
      <w:pPr>
        <w:ind w:left="851"/>
        <w:jc w:val="both"/>
        <w:rPr>
          <w:spacing w:val="-3"/>
          <w:szCs w:val="24"/>
        </w:rPr>
      </w:pPr>
      <w:r w:rsidRPr="00215673">
        <w:rPr>
          <w:spacing w:val="-3"/>
          <w:szCs w:val="24"/>
        </w:rPr>
        <w:t xml:space="preserve">Magnesiumstearat </w:t>
      </w:r>
    </w:p>
    <w:p w14:paraId="46422A3A" w14:textId="77777777" w:rsidR="00B4589A" w:rsidRPr="00215673" w:rsidRDefault="00B4589A" w:rsidP="00C8533A">
      <w:pPr>
        <w:ind w:left="851"/>
        <w:jc w:val="both"/>
        <w:rPr>
          <w:spacing w:val="-3"/>
          <w:szCs w:val="24"/>
        </w:rPr>
      </w:pPr>
      <w:r w:rsidRPr="00215673">
        <w:rPr>
          <w:spacing w:val="-3"/>
          <w:szCs w:val="24"/>
        </w:rPr>
        <w:t>Carrageenan</w:t>
      </w:r>
    </w:p>
    <w:p w14:paraId="735ADBE4" w14:textId="77777777" w:rsidR="00B4589A" w:rsidRPr="00215673" w:rsidRDefault="00B4589A" w:rsidP="00C8533A">
      <w:pPr>
        <w:ind w:left="851"/>
        <w:jc w:val="both"/>
        <w:rPr>
          <w:szCs w:val="24"/>
        </w:rPr>
      </w:pPr>
      <w:r w:rsidRPr="00215673">
        <w:rPr>
          <w:spacing w:val="-3"/>
          <w:szCs w:val="24"/>
        </w:rPr>
        <w:t>Macrogol</w:t>
      </w:r>
    </w:p>
    <w:p w14:paraId="7FB2BE73" w14:textId="77777777" w:rsidR="000900A1" w:rsidRDefault="000900A1" w:rsidP="00C22DDF">
      <w:pPr>
        <w:tabs>
          <w:tab w:val="left" w:pos="851"/>
        </w:tabs>
        <w:ind w:left="851"/>
      </w:pPr>
    </w:p>
    <w:p w14:paraId="07412F1A" w14:textId="77777777" w:rsidR="000900A1" w:rsidRDefault="000900A1" w:rsidP="00C22DDF">
      <w:pPr>
        <w:numPr>
          <w:ilvl w:val="1"/>
          <w:numId w:val="5"/>
        </w:numPr>
        <w:ind w:left="851"/>
        <w:rPr>
          <w:b/>
        </w:rPr>
      </w:pPr>
      <w:r>
        <w:rPr>
          <w:b/>
        </w:rPr>
        <w:t>Uforligeligheder</w:t>
      </w:r>
    </w:p>
    <w:p w14:paraId="6AB8AC85" w14:textId="77777777" w:rsidR="00B4589A" w:rsidRPr="00215673" w:rsidRDefault="00B4589A" w:rsidP="00422C27">
      <w:pPr>
        <w:tabs>
          <w:tab w:val="left" w:pos="851"/>
        </w:tabs>
        <w:ind w:left="851"/>
        <w:rPr>
          <w:szCs w:val="24"/>
        </w:rPr>
      </w:pPr>
      <w:r w:rsidRPr="00215673">
        <w:rPr>
          <w:szCs w:val="24"/>
        </w:rPr>
        <w:t>Ikke relevant.</w:t>
      </w:r>
    </w:p>
    <w:p w14:paraId="49BF4D5F" w14:textId="77777777" w:rsidR="000900A1" w:rsidRDefault="000900A1" w:rsidP="00422C27">
      <w:pPr>
        <w:tabs>
          <w:tab w:val="left" w:pos="851"/>
        </w:tabs>
        <w:ind w:left="851"/>
      </w:pPr>
    </w:p>
    <w:p w14:paraId="4B08144C" w14:textId="77777777" w:rsidR="000900A1" w:rsidRDefault="000900A1" w:rsidP="00C22DDF">
      <w:pPr>
        <w:numPr>
          <w:ilvl w:val="1"/>
          <w:numId w:val="5"/>
        </w:numPr>
        <w:ind w:left="851"/>
        <w:rPr>
          <w:b/>
        </w:rPr>
      </w:pPr>
      <w:r>
        <w:rPr>
          <w:b/>
        </w:rPr>
        <w:t>Opbevaringstid</w:t>
      </w:r>
    </w:p>
    <w:p w14:paraId="0FFF78D6" w14:textId="77777777" w:rsidR="00B4589A" w:rsidRPr="00215673" w:rsidRDefault="00B4589A" w:rsidP="00422C27">
      <w:pPr>
        <w:tabs>
          <w:tab w:val="left" w:pos="851"/>
        </w:tabs>
        <w:ind w:left="851"/>
        <w:rPr>
          <w:szCs w:val="24"/>
        </w:rPr>
      </w:pPr>
      <w:r w:rsidRPr="00215673">
        <w:rPr>
          <w:szCs w:val="24"/>
        </w:rPr>
        <w:t>3 år.</w:t>
      </w:r>
    </w:p>
    <w:p w14:paraId="56CB5952" w14:textId="77777777" w:rsidR="003A0922" w:rsidRDefault="003A0922" w:rsidP="00C22DDF">
      <w:pPr>
        <w:tabs>
          <w:tab w:val="left" w:pos="851"/>
        </w:tabs>
        <w:ind w:left="851"/>
      </w:pPr>
    </w:p>
    <w:p w14:paraId="522E85BD" w14:textId="77777777" w:rsidR="000900A1" w:rsidRDefault="000900A1" w:rsidP="00C22DDF">
      <w:pPr>
        <w:numPr>
          <w:ilvl w:val="1"/>
          <w:numId w:val="5"/>
        </w:numPr>
        <w:ind w:left="851"/>
        <w:rPr>
          <w:b/>
        </w:rPr>
      </w:pPr>
      <w:r>
        <w:rPr>
          <w:b/>
        </w:rPr>
        <w:t>Særlige opbevaringsforhold</w:t>
      </w:r>
    </w:p>
    <w:p w14:paraId="5DCD9387" w14:textId="77777777" w:rsidR="00B4589A" w:rsidRPr="00215673" w:rsidRDefault="003A0922" w:rsidP="00422C27">
      <w:pPr>
        <w:tabs>
          <w:tab w:val="left" w:pos="851"/>
        </w:tabs>
        <w:ind w:left="851"/>
        <w:rPr>
          <w:szCs w:val="24"/>
        </w:rPr>
      </w:pPr>
      <w:r>
        <w:rPr>
          <w:szCs w:val="24"/>
        </w:rPr>
        <w:t>Dette lægemiddel kræver ingen særlige opbevaringsbetingelser.</w:t>
      </w:r>
    </w:p>
    <w:p w14:paraId="32A18327" w14:textId="77777777" w:rsidR="000900A1" w:rsidRDefault="000900A1" w:rsidP="00422C27">
      <w:pPr>
        <w:tabs>
          <w:tab w:val="left" w:pos="851"/>
        </w:tabs>
        <w:ind w:left="851"/>
      </w:pPr>
    </w:p>
    <w:p w14:paraId="7931323A" w14:textId="245E7B10" w:rsidR="000900A1" w:rsidRDefault="000900A1" w:rsidP="00C22DDF">
      <w:pPr>
        <w:numPr>
          <w:ilvl w:val="1"/>
          <w:numId w:val="5"/>
        </w:numPr>
        <w:ind w:left="851"/>
        <w:rPr>
          <w:b/>
        </w:rPr>
      </w:pPr>
      <w:r>
        <w:rPr>
          <w:b/>
        </w:rPr>
        <w:t>Emballage</w:t>
      </w:r>
      <w:r w:rsidR="00452AA8">
        <w:rPr>
          <w:b/>
        </w:rPr>
        <w:t>type og pakningsstørrelser</w:t>
      </w:r>
    </w:p>
    <w:p w14:paraId="6F60CAB6" w14:textId="55B74FA4" w:rsidR="00837753" w:rsidRDefault="00C53EC6" w:rsidP="00C22DDF">
      <w:pPr>
        <w:suppressAutoHyphens/>
        <w:ind w:left="851" w:firstLine="4"/>
        <w:rPr>
          <w:szCs w:val="24"/>
        </w:rPr>
      </w:pPr>
      <w:r w:rsidRPr="00215673">
        <w:rPr>
          <w:szCs w:val="24"/>
        </w:rPr>
        <w:t>OPA-Aluminium-PVC/Aluminiumsblister</w:t>
      </w:r>
      <w:r w:rsidR="00422C27">
        <w:rPr>
          <w:szCs w:val="24"/>
        </w:rPr>
        <w:t>,</w:t>
      </w:r>
      <w:r w:rsidR="00E642B3">
        <w:rPr>
          <w:szCs w:val="24"/>
        </w:rPr>
        <w:t xml:space="preserve"> </w:t>
      </w:r>
      <w:r>
        <w:rPr>
          <w:szCs w:val="24"/>
        </w:rPr>
        <w:t>i æske.</w:t>
      </w:r>
    </w:p>
    <w:p w14:paraId="6F4D9AD4" w14:textId="77777777" w:rsidR="00837753" w:rsidRDefault="00837753" w:rsidP="00C22DDF">
      <w:pPr>
        <w:suppressAutoHyphens/>
        <w:ind w:left="851" w:firstLine="4"/>
        <w:rPr>
          <w:szCs w:val="24"/>
        </w:rPr>
      </w:pPr>
    </w:p>
    <w:p w14:paraId="0F39BAD1" w14:textId="77777777" w:rsidR="00422C27" w:rsidRDefault="00837753" w:rsidP="00422C27">
      <w:pPr>
        <w:suppressAutoHyphens/>
        <w:ind w:left="851" w:firstLine="4"/>
        <w:rPr>
          <w:szCs w:val="24"/>
          <w:u w:val="single"/>
        </w:rPr>
      </w:pPr>
      <w:r w:rsidRPr="00422C27">
        <w:rPr>
          <w:szCs w:val="24"/>
          <w:u w:val="single"/>
        </w:rPr>
        <w:t>Pa</w:t>
      </w:r>
      <w:r w:rsidR="00B4589A" w:rsidRPr="00422C27">
        <w:rPr>
          <w:szCs w:val="24"/>
          <w:u w:val="single"/>
        </w:rPr>
        <w:t>kningsstørrelser</w:t>
      </w:r>
    </w:p>
    <w:p w14:paraId="34C0AAE2" w14:textId="77777777" w:rsidR="00B4589A" w:rsidRDefault="00B4589A" w:rsidP="00422C27">
      <w:pPr>
        <w:suppressAutoHyphens/>
        <w:ind w:left="851" w:firstLine="4"/>
        <w:rPr>
          <w:szCs w:val="24"/>
        </w:rPr>
      </w:pPr>
      <w:r w:rsidRPr="00215673">
        <w:rPr>
          <w:szCs w:val="24"/>
        </w:rPr>
        <w:t>2, 4, 6, 8, 12</w:t>
      </w:r>
      <w:r w:rsidR="00091AFC">
        <w:rPr>
          <w:szCs w:val="24"/>
        </w:rPr>
        <w:t xml:space="preserve"> og</w:t>
      </w:r>
      <w:r w:rsidR="008811F8">
        <w:rPr>
          <w:szCs w:val="24"/>
        </w:rPr>
        <w:t xml:space="preserve"> 14</w:t>
      </w:r>
      <w:r w:rsidRPr="00215673">
        <w:rPr>
          <w:szCs w:val="24"/>
        </w:rPr>
        <w:t xml:space="preserve"> </w:t>
      </w:r>
      <w:r w:rsidR="00091AFC">
        <w:rPr>
          <w:szCs w:val="24"/>
        </w:rPr>
        <w:t>stk</w:t>
      </w:r>
      <w:r w:rsidRPr="00215673">
        <w:rPr>
          <w:szCs w:val="24"/>
        </w:rPr>
        <w:t>.</w:t>
      </w:r>
    </w:p>
    <w:p w14:paraId="5E687A77" w14:textId="77777777" w:rsidR="00091AFC" w:rsidRPr="00422C27" w:rsidRDefault="00091AFC" w:rsidP="00422C27">
      <w:pPr>
        <w:suppressAutoHyphens/>
        <w:ind w:left="851" w:firstLine="4"/>
        <w:rPr>
          <w:szCs w:val="24"/>
          <w:u w:val="single"/>
        </w:rPr>
      </w:pPr>
    </w:p>
    <w:p w14:paraId="692F0351" w14:textId="77777777" w:rsidR="00B4589A" w:rsidRPr="00215673" w:rsidRDefault="00B4589A" w:rsidP="00C22DDF">
      <w:pPr>
        <w:tabs>
          <w:tab w:val="left" w:pos="851"/>
        </w:tabs>
        <w:ind w:left="851"/>
        <w:rPr>
          <w:szCs w:val="24"/>
        </w:rPr>
      </w:pPr>
      <w:r w:rsidRPr="00215673">
        <w:rPr>
          <w:szCs w:val="24"/>
        </w:rPr>
        <w:t>Ikke alle pakningsstørrelser er nødvendigvis markedsført.</w:t>
      </w:r>
    </w:p>
    <w:p w14:paraId="4B9F1D55" w14:textId="77777777" w:rsidR="000900A1" w:rsidRDefault="000900A1" w:rsidP="00C22DDF">
      <w:pPr>
        <w:tabs>
          <w:tab w:val="left" w:pos="851"/>
        </w:tabs>
        <w:ind w:left="851"/>
      </w:pPr>
    </w:p>
    <w:p w14:paraId="323516BA" w14:textId="2583AB3D" w:rsidR="000900A1" w:rsidRDefault="003C71B7" w:rsidP="00C22DDF">
      <w:pPr>
        <w:numPr>
          <w:ilvl w:val="1"/>
          <w:numId w:val="5"/>
        </w:numPr>
        <w:ind w:left="851"/>
        <w:rPr>
          <w:b/>
        </w:rPr>
      </w:pPr>
      <w:r>
        <w:rPr>
          <w:b/>
        </w:rPr>
        <w:t>Regler for</w:t>
      </w:r>
      <w:r w:rsidR="000900A1">
        <w:rPr>
          <w:b/>
        </w:rPr>
        <w:t xml:space="preserve"> </w:t>
      </w:r>
      <w:r w:rsidR="00E642B3">
        <w:rPr>
          <w:b/>
        </w:rPr>
        <w:t>bortskaffelse</w:t>
      </w:r>
      <w:r>
        <w:rPr>
          <w:b/>
        </w:rPr>
        <w:t xml:space="preserve"> og anden håndtering</w:t>
      </w:r>
    </w:p>
    <w:p w14:paraId="39B5B709" w14:textId="77777777" w:rsidR="00B4589A" w:rsidRPr="00215673" w:rsidRDefault="000B5D25" w:rsidP="00091AFC">
      <w:pPr>
        <w:tabs>
          <w:tab w:val="left" w:pos="851"/>
        </w:tabs>
        <w:ind w:left="851"/>
        <w:rPr>
          <w:szCs w:val="24"/>
        </w:rPr>
      </w:pPr>
      <w:r w:rsidRPr="00767586">
        <w:rPr>
          <w:szCs w:val="24"/>
        </w:rPr>
        <w:t>Ikke anvendt lægemiddel samt affald heraf skal bortskaffes i henhold til lokale retningslinjer.</w:t>
      </w:r>
    </w:p>
    <w:p w14:paraId="0B3BA977" w14:textId="77777777" w:rsidR="000B5D25" w:rsidRDefault="000B5D25" w:rsidP="00C22DDF">
      <w:pPr>
        <w:tabs>
          <w:tab w:val="left" w:pos="851"/>
        </w:tabs>
        <w:ind w:left="851"/>
        <w:jc w:val="both"/>
      </w:pPr>
    </w:p>
    <w:p w14:paraId="0AE101DE" w14:textId="77777777" w:rsidR="000900A1" w:rsidRDefault="000900A1" w:rsidP="00C22DDF">
      <w:pPr>
        <w:tabs>
          <w:tab w:val="left" w:pos="851"/>
        </w:tabs>
        <w:ind w:left="851" w:hanging="851"/>
        <w:rPr>
          <w:b/>
        </w:rPr>
      </w:pPr>
      <w:r>
        <w:rPr>
          <w:b/>
        </w:rPr>
        <w:t>7.</w:t>
      </w:r>
      <w:r>
        <w:rPr>
          <w:b/>
        </w:rPr>
        <w:tab/>
        <w:t>INDEHAVER AF MARKEDSFØRINGSTILLADELSEN</w:t>
      </w:r>
    </w:p>
    <w:p w14:paraId="751147A2" w14:textId="77777777" w:rsidR="00B4589A" w:rsidRPr="00091AFC" w:rsidRDefault="00B4589A" w:rsidP="00091AFC">
      <w:pPr>
        <w:tabs>
          <w:tab w:val="left" w:pos="851"/>
        </w:tabs>
        <w:ind w:left="851"/>
        <w:rPr>
          <w:szCs w:val="24"/>
        </w:rPr>
      </w:pPr>
      <w:r w:rsidRPr="00091AFC">
        <w:rPr>
          <w:szCs w:val="24"/>
        </w:rPr>
        <w:t>Sandoz A/S</w:t>
      </w:r>
    </w:p>
    <w:p w14:paraId="32F61594" w14:textId="77777777" w:rsidR="00B4589A" w:rsidRPr="00091AFC" w:rsidRDefault="00F947A6" w:rsidP="00091AFC">
      <w:pPr>
        <w:tabs>
          <w:tab w:val="left" w:pos="851"/>
        </w:tabs>
        <w:ind w:left="851"/>
        <w:rPr>
          <w:szCs w:val="24"/>
        </w:rPr>
      </w:pPr>
      <w:r w:rsidRPr="00091AFC">
        <w:rPr>
          <w:szCs w:val="24"/>
        </w:rPr>
        <w:t>Edvard Thomsens Vej 14</w:t>
      </w:r>
    </w:p>
    <w:p w14:paraId="25A68ED5" w14:textId="77777777" w:rsidR="00B4589A" w:rsidRPr="00215673" w:rsidRDefault="00F947A6" w:rsidP="00091AFC">
      <w:pPr>
        <w:tabs>
          <w:tab w:val="left" w:pos="851"/>
        </w:tabs>
        <w:ind w:left="851"/>
        <w:rPr>
          <w:szCs w:val="24"/>
        </w:rPr>
      </w:pPr>
      <w:r>
        <w:rPr>
          <w:szCs w:val="24"/>
        </w:rPr>
        <w:t>2300 København S</w:t>
      </w:r>
    </w:p>
    <w:p w14:paraId="01C24079" w14:textId="77777777" w:rsidR="000900A1" w:rsidRDefault="000900A1" w:rsidP="00091AFC">
      <w:pPr>
        <w:tabs>
          <w:tab w:val="left" w:pos="851"/>
        </w:tabs>
        <w:ind w:left="851"/>
      </w:pPr>
    </w:p>
    <w:p w14:paraId="14301330" w14:textId="474D0060" w:rsidR="000900A1" w:rsidRDefault="000900A1" w:rsidP="00C22DDF">
      <w:pPr>
        <w:tabs>
          <w:tab w:val="left" w:pos="851"/>
        </w:tabs>
        <w:ind w:left="851" w:hanging="851"/>
        <w:rPr>
          <w:b/>
        </w:rPr>
      </w:pPr>
      <w:r>
        <w:rPr>
          <w:b/>
        </w:rPr>
        <w:t>8.</w:t>
      </w:r>
      <w:r>
        <w:rPr>
          <w:b/>
        </w:rPr>
        <w:tab/>
        <w:t>MARKEDSFØRINGSTILLADELSESNUMMER</w:t>
      </w:r>
      <w:r w:rsidR="003C71B7">
        <w:rPr>
          <w:b/>
        </w:rPr>
        <w:t xml:space="preserve"> (</w:t>
      </w:r>
      <w:r w:rsidR="00E642B3">
        <w:rPr>
          <w:b/>
        </w:rPr>
        <w:t>-</w:t>
      </w:r>
      <w:r w:rsidR="003C71B7">
        <w:rPr>
          <w:b/>
        </w:rPr>
        <w:t>NUMRE)</w:t>
      </w:r>
    </w:p>
    <w:p w14:paraId="135CD8E2" w14:textId="77777777" w:rsidR="000900A1" w:rsidRDefault="00837753" w:rsidP="00091AFC">
      <w:pPr>
        <w:tabs>
          <w:tab w:val="left" w:pos="851"/>
        </w:tabs>
        <w:ind w:left="851"/>
      </w:pPr>
      <w:r>
        <w:t>41106</w:t>
      </w:r>
    </w:p>
    <w:p w14:paraId="6BF9024F" w14:textId="77777777" w:rsidR="000900A1" w:rsidRDefault="000900A1" w:rsidP="00091AFC">
      <w:pPr>
        <w:tabs>
          <w:tab w:val="left" w:pos="851"/>
        </w:tabs>
        <w:ind w:left="851"/>
        <w:jc w:val="both"/>
      </w:pPr>
    </w:p>
    <w:p w14:paraId="4ADA70FB" w14:textId="77777777" w:rsidR="000900A1" w:rsidRDefault="000900A1" w:rsidP="00C22DDF">
      <w:pPr>
        <w:tabs>
          <w:tab w:val="left" w:pos="851"/>
        </w:tabs>
        <w:ind w:left="851" w:hanging="851"/>
        <w:rPr>
          <w:b/>
        </w:rPr>
      </w:pPr>
      <w:r>
        <w:rPr>
          <w:b/>
        </w:rPr>
        <w:t>9.</w:t>
      </w:r>
      <w:r>
        <w:rPr>
          <w:b/>
        </w:rPr>
        <w:tab/>
        <w:t>DATO FOR FØRSTE MARKEDSFØRINGSTILLADELSE</w:t>
      </w:r>
    </w:p>
    <w:p w14:paraId="392D36C2" w14:textId="77777777" w:rsidR="000900A1" w:rsidRDefault="00837753" w:rsidP="00C22DDF">
      <w:pPr>
        <w:tabs>
          <w:tab w:val="left" w:pos="851"/>
        </w:tabs>
        <w:ind w:left="851"/>
      </w:pPr>
      <w:r>
        <w:t>3. april 2008</w:t>
      </w:r>
    </w:p>
    <w:p w14:paraId="169A87B2" w14:textId="77777777" w:rsidR="000900A1" w:rsidRDefault="000900A1" w:rsidP="00C22DDF">
      <w:pPr>
        <w:tabs>
          <w:tab w:val="left" w:pos="851"/>
        </w:tabs>
        <w:ind w:left="851"/>
      </w:pPr>
    </w:p>
    <w:p w14:paraId="41547BA0" w14:textId="77777777" w:rsidR="000900A1" w:rsidRDefault="000900A1" w:rsidP="00C22DDF">
      <w:pPr>
        <w:tabs>
          <w:tab w:val="left" w:pos="851"/>
        </w:tabs>
        <w:ind w:left="851" w:hanging="851"/>
        <w:rPr>
          <w:b/>
        </w:rPr>
      </w:pPr>
      <w:r>
        <w:rPr>
          <w:b/>
        </w:rPr>
        <w:t>10.</w:t>
      </w:r>
      <w:r>
        <w:rPr>
          <w:b/>
        </w:rPr>
        <w:tab/>
        <w:t>DATO FOR ÆNDRING AF TEKSTEN</w:t>
      </w:r>
    </w:p>
    <w:p w14:paraId="6117794C" w14:textId="76FEC475" w:rsidR="000900A1" w:rsidRDefault="00287A3A" w:rsidP="00C22DDF">
      <w:pPr>
        <w:tabs>
          <w:tab w:val="left" w:pos="851"/>
        </w:tabs>
        <w:ind w:left="851"/>
      </w:pPr>
      <w:r>
        <w:t>13. marts 2026</w:t>
      </w:r>
      <w:r w:rsidR="008B1D63">
        <w:t xml:space="preserve"> </w:t>
      </w:r>
    </w:p>
    <w:sectPr w:rsidR="000900A1" w:rsidSect="00C22DDF">
      <w:headerReference w:type="default" r:id="rId12"/>
      <w:footerReference w:type="default" r:id="rId13"/>
      <w:footerReference w:type="first" r:id="rId14"/>
      <w:pgSz w:w="11906" w:h="16838" w:code="9"/>
      <w:pgMar w:top="851" w:right="1134" w:bottom="1418"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D55F" w14:textId="77777777" w:rsidR="00D97A3C" w:rsidRDefault="00D97A3C">
      <w:r>
        <w:separator/>
      </w:r>
    </w:p>
  </w:endnote>
  <w:endnote w:type="continuationSeparator" w:id="0">
    <w:p w14:paraId="60B894B1" w14:textId="77777777" w:rsidR="00D97A3C" w:rsidRDefault="00D9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5C4A" w14:textId="77777777" w:rsidR="0082080D" w:rsidRDefault="0082080D">
    <w:pPr>
      <w:pStyle w:val="Sidefod"/>
      <w:pBdr>
        <w:bottom w:val="single" w:sz="6" w:space="1" w:color="auto"/>
      </w:pBdr>
    </w:pPr>
  </w:p>
  <w:p w14:paraId="08F7748D" w14:textId="77777777" w:rsidR="0082080D" w:rsidRDefault="0082080D">
    <w:pPr>
      <w:pStyle w:val="Sidefod"/>
      <w:tabs>
        <w:tab w:val="clear" w:pos="4819"/>
        <w:tab w:val="left" w:pos="8647"/>
      </w:tabs>
      <w:rPr>
        <w:i/>
        <w:snapToGrid w:val="0"/>
        <w:sz w:val="18"/>
      </w:rPr>
    </w:pPr>
  </w:p>
  <w:p w14:paraId="183F0DD5" w14:textId="77777777" w:rsidR="0082080D" w:rsidRDefault="0082080D">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435DBB">
      <w:rPr>
        <w:i/>
        <w:noProof/>
        <w:snapToGrid w:val="0"/>
        <w:sz w:val="18"/>
      </w:rPr>
      <w:t>Alendronat Sandoz, filmovertrukne tabletter 70 mg.doc</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sidR="0042322C">
      <w:rPr>
        <w:i/>
        <w:noProof/>
        <w:snapToGrid w:val="0"/>
        <w:sz w:val="18"/>
      </w:rPr>
      <w:t>12</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sidR="0042322C">
      <w:rPr>
        <w:i/>
        <w:noProof/>
        <w:snapToGrid w:val="0"/>
        <w:sz w:val="18"/>
      </w:rPr>
      <w:t>12</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9D95" w14:textId="77777777" w:rsidR="0082080D" w:rsidRDefault="0082080D">
    <w:pPr>
      <w:pStyle w:val="Sidefod"/>
      <w:pBdr>
        <w:bottom w:val="single" w:sz="6" w:space="1" w:color="auto"/>
      </w:pBdr>
      <w:tabs>
        <w:tab w:val="clear" w:pos="4819"/>
        <w:tab w:val="left" w:pos="8789"/>
      </w:tabs>
      <w:rPr>
        <w:i/>
        <w:snapToGrid w:val="0"/>
        <w:sz w:val="18"/>
      </w:rPr>
    </w:pPr>
  </w:p>
  <w:p w14:paraId="034D4848" w14:textId="77777777" w:rsidR="0082080D" w:rsidRDefault="0082080D">
    <w:pPr>
      <w:pStyle w:val="Sidefod"/>
      <w:tabs>
        <w:tab w:val="clear" w:pos="4819"/>
        <w:tab w:val="left" w:pos="8789"/>
      </w:tabs>
      <w:rPr>
        <w:i/>
        <w:snapToGrid w:val="0"/>
        <w:sz w:val="18"/>
      </w:rPr>
    </w:pPr>
  </w:p>
  <w:p w14:paraId="46DA9BE4" w14:textId="77777777" w:rsidR="0082080D" w:rsidRDefault="0082080D">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435DBB">
      <w:rPr>
        <w:i/>
        <w:noProof/>
        <w:snapToGrid w:val="0"/>
        <w:sz w:val="18"/>
      </w:rPr>
      <w:t>Alendronat Sandoz, filmovertrukne tabletter 70 mg.doc</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sidR="0042322C">
      <w:rPr>
        <w:i/>
        <w:noProof/>
        <w:snapToGrid w:val="0"/>
        <w:sz w:val="18"/>
      </w:rPr>
      <w:t>1</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sidR="0042322C">
      <w:rPr>
        <w:i/>
        <w:noProof/>
        <w:snapToGrid w:val="0"/>
        <w:sz w:val="18"/>
      </w:rPr>
      <w:t>12</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5844" w14:textId="77777777" w:rsidR="00D97A3C" w:rsidRDefault="00D97A3C">
      <w:r>
        <w:separator/>
      </w:r>
    </w:p>
  </w:footnote>
  <w:footnote w:type="continuationSeparator" w:id="0">
    <w:p w14:paraId="43A7E0E4" w14:textId="77777777" w:rsidR="00D97A3C" w:rsidRDefault="00D9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EC6E" w14:textId="77777777" w:rsidR="0082080D" w:rsidRDefault="0082080D">
    <w:pPr>
      <w:pStyle w:val="Sidehoved"/>
      <w:jc w:val="right"/>
      <w:rPr>
        <w:rStyle w:val="Sidetal"/>
      </w:rPr>
    </w:pPr>
  </w:p>
  <w:p w14:paraId="223D2090" w14:textId="77777777" w:rsidR="0082080D" w:rsidRDefault="0082080D">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073"/>
    <w:multiLevelType w:val="hybridMultilevel"/>
    <w:tmpl w:val="453200D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02A5196C"/>
    <w:multiLevelType w:val="hybridMultilevel"/>
    <w:tmpl w:val="F10A94D0"/>
    <w:lvl w:ilvl="0" w:tplc="04060001">
      <w:start w:val="1"/>
      <w:numFmt w:val="bullet"/>
      <w:lvlText w:val=""/>
      <w:lvlJc w:val="left"/>
      <w:pPr>
        <w:tabs>
          <w:tab w:val="num" w:pos="1215"/>
        </w:tabs>
        <w:ind w:left="1215" w:hanging="360"/>
      </w:pPr>
      <w:rPr>
        <w:rFonts w:ascii="Symbol" w:hAnsi="Symbol" w:hint="default"/>
      </w:rPr>
    </w:lvl>
    <w:lvl w:ilvl="1" w:tplc="04060003" w:tentative="1">
      <w:start w:val="1"/>
      <w:numFmt w:val="bullet"/>
      <w:lvlText w:val="o"/>
      <w:lvlJc w:val="left"/>
      <w:pPr>
        <w:tabs>
          <w:tab w:val="num" w:pos="1935"/>
        </w:tabs>
        <w:ind w:left="1935" w:hanging="360"/>
      </w:pPr>
      <w:rPr>
        <w:rFonts w:ascii="Courier New" w:hAnsi="Courier New" w:cs="Courier New" w:hint="default"/>
      </w:rPr>
    </w:lvl>
    <w:lvl w:ilvl="2" w:tplc="04060005" w:tentative="1">
      <w:start w:val="1"/>
      <w:numFmt w:val="bullet"/>
      <w:lvlText w:val=""/>
      <w:lvlJc w:val="left"/>
      <w:pPr>
        <w:tabs>
          <w:tab w:val="num" w:pos="2655"/>
        </w:tabs>
        <w:ind w:left="2655" w:hanging="360"/>
      </w:pPr>
      <w:rPr>
        <w:rFonts w:ascii="Wingdings" w:hAnsi="Wingdings" w:hint="default"/>
      </w:rPr>
    </w:lvl>
    <w:lvl w:ilvl="3" w:tplc="04060001" w:tentative="1">
      <w:start w:val="1"/>
      <w:numFmt w:val="bullet"/>
      <w:lvlText w:val=""/>
      <w:lvlJc w:val="left"/>
      <w:pPr>
        <w:tabs>
          <w:tab w:val="num" w:pos="3375"/>
        </w:tabs>
        <w:ind w:left="3375" w:hanging="360"/>
      </w:pPr>
      <w:rPr>
        <w:rFonts w:ascii="Symbol" w:hAnsi="Symbol" w:hint="default"/>
      </w:rPr>
    </w:lvl>
    <w:lvl w:ilvl="4" w:tplc="04060003" w:tentative="1">
      <w:start w:val="1"/>
      <w:numFmt w:val="bullet"/>
      <w:lvlText w:val="o"/>
      <w:lvlJc w:val="left"/>
      <w:pPr>
        <w:tabs>
          <w:tab w:val="num" w:pos="4095"/>
        </w:tabs>
        <w:ind w:left="4095" w:hanging="360"/>
      </w:pPr>
      <w:rPr>
        <w:rFonts w:ascii="Courier New" w:hAnsi="Courier New" w:cs="Courier New" w:hint="default"/>
      </w:rPr>
    </w:lvl>
    <w:lvl w:ilvl="5" w:tplc="04060005" w:tentative="1">
      <w:start w:val="1"/>
      <w:numFmt w:val="bullet"/>
      <w:lvlText w:val=""/>
      <w:lvlJc w:val="left"/>
      <w:pPr>
        <w:tabs>
          <w:tab w:val="num" w:pos="4815"/>
        </w:tabs>
        <w:ind w:left="4815" w:hanging="360"/>
      </w:pPr>
      <w:rPr>
        <w:rFonts w:ascii="Wingdings" w:hAnsi="Wingdings" w:hint="default"/>
      </w:rPr>
    </w:lvl>
    <w:lvl w:ilvl="6" w:tplc="04060001" w:tentative="1">
      <w:start w:val="1"/>
      <w:numFmt w:val="bullet"/>
      <w:lvlText w:val=""/>
      <w:lvlJc w:val="left"/>
      <w:pPr>
        <w:tabs>
          <w:tab w:val="num" w:pos="5535"/>
        </w:tabs>
        <w:ind w:left="5535" w:hanging="360"/>
      </w:pPr>
      <w:rPr>
        <w:rFonts w:ascii="Symbol" w:hAnsi="Symbol" w:hint="default"/>
      </w:rPr>
    </w:lvl>
    <w:lvl w:ilvl="7" w:tplc="04060003" w:tentative="1">
      <w:start w:val="1"/>
      <w:numFmt w:val="bullet"/>
      <w:lvlText w:val="o"/>
      <w:lvlJc w:val="left"/>
      <w:pPr>
        <w:tabs>
          <w:tab w:val="num" w:pos="6255"/>
        </w:tabs>
        <w:ind w:left="6255" w:hanging="360"/>
      </w:pPr>
      <w:rPr>
        <w:rFonts w:ascii="Courier New" w:hAnsi="Courier New" w:cs="Courier New" w:hint="default"/>
      </w:rPr>
    </w:lvl>
    <w:lvl w:ilvl="8" w:tplc="04060005" w:tentative="1">
      <w:start w:val="1"/>
      <w:numFmt w:val="bullet"/>
      <w:lvlText w:val=""/>
      <w:lvlJc w:val="left"/>
      <w:pPr>
        <w:tabs>
          <w:tab w:val="num" w:pos="6975"/>
        </w:tabs>
        <w:ind w:left="6975" w:hanging="360"/>
      </w:pPr>
      <w:rPr>
        <w:rFonts w:ascii="Wingdings" w:hAnsi="Wingdings" w:hint="default"/>
      </w:rPr>
    </w:lvl>
  </w:abstractNum>
  <w:abstractNum w:abstractNumId="2" w15:restartNumberingAfterBreak="0">
    <w:nsid w:val="0DF52984"/>
    <w:multiLevelType w:val="hybridMultilevel"/>
    <w:tmpl w:val="B724965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612F05"/>
    <w:multiLevelType w:val="hybridMultilevel"/>
    <w:tmpl w:val="83A4B2F6"/>
    <w:lvl w:ilvl="0" w:tplc="04060001">
      <w:start w:val="1"/>
      <w:numFmt w:val="bullet"/>
      <w:lvlText w:val=""/>
      <w:lvlJc w:val="left"/>
      <w:pPr>
        <w:tabs>
          <w:tab w:val="num" w:pos="1215"/>
        </w:tabs>
        <w:ind w:left="1215" w:hanging="360"/>
      </w:pPr>
      <w:rPr>
        <w:rFonts w:ascii="Symbol" w:hAnsi="Symbol" w:hint="default"/>
      </w:rPr>
    </w:lvl>
    <w:lvl w:ilvl="1" w:tplc="04060003" w:tentative="1">
      <w:start w:val="1"/>
      <w:numFmt w:val="bullet"/>
      <w:lvlText w:val="o"/>
      <w:lvlJc w:val="left"/>
      <w:pPr>
        <w:tabs>
          <w:tab w:val="num" w:pos="1935"/>
        </w:tabs>
        <w:ind w:left="1935" w:hanging="360"/>
      </w:pPr>
      <w:rPr>
        <w:rFonts w:ascii="Courier New" w:hAnsi="Courier New" w:cs="Courier New" w:hint="default"/>
      </w:rPr>
    </w:lvl>
    <w:lvl w:ilvl="2" w:tplc="04060005" w:tentative="1">
      <w:start w:val="1"/>
      <w:numFmt w:val="bullet"/>
      <w:lvlText w:val=""/>
      <w:lvlJc w:val="left"/>
      <w:pPr>
        <w:tabs>
          <w:tab w:val="num" w:pos="2655"/>
        </w:tabs>
        <w:ind w:left="2655" w:hanging="360"/>
      </w:pPr>
      <w:rPr>
        <w:rFonts w:ascii="Wingdings" w:hAnsi="Wingdings" w:hint="default"/>
      </w:rPr>
    </w:lvl>
    <w:lvl w:ilvl="3" w:tplc="04060001" w:tentative="1">
      <w:start w:val="1"/>
      <w:numFmt w:val="bullet"/>
      <w:lvlText w:val=""/>
      <w:lvlJc w:val="left"/>
      <w:pPr>
        <w:tabs>
          <w:tab w:val="num" w:pos="3375"/>
        </w:tabs>
        <w:ind w:left="3375" w:hanging="360"/>
      </w:pPr>
      <w:rPr>
        <w:rFonts w:ascii="Symbol" w:hAnsi="Symbol" w:hint="default"/>
      </w:rPr>
    </w:lvl>
    <w:lvl w:ilvl="4" w:tplc="04060003" w:tentative="1">
      <w:start w:val="1"/>
      <w:numFmt w:val="bullet"/>
      <w:lvlText w:val="o"/>
      <w:lvlJc w:val="left"/>
      <w:pPr>
        <w:tabs>
          <w:tab w:val="num" w:pos="4095"/>
        </w:tabs>
        <w:ind w:left="4095" w:hanging="360"/>
      </w:pPr>
      <w:rPr>
        <w:rFonts w:ascii="Courier New" w:hAnsi="Courier New" w:cs="Courier New" w:hint="default"/>
      </w:rPr>
    </w:lvl>
    <w:lvl w:ilvl="5" w:tplc="04060005" w:tentative="1">
      <w:start w:val="1"/>
      <w:numFmt w:val="bullet"/>
      <w:lvlText w:val=""/>
      <w:lvlJc w:val="left"/>
      <w:pPr>
        <w:tabs>
          <w:tab w:val="num" w:pos="4815"/>
        </w:tabs>
        <w:ind w:left="4815" w:hanging="360"/>
      </w:pPr>
      <w:rPr>
        <w:rFonts w:ascii="Wingdings" w:hAnsi="Wingdings" w:hint="default"/>
      </w:rPr>
    </w:lvl>
    <w:lvl w:ilvl="6" w:tplc="04060001" w:tentative="1">
      <w:start w:val="1"/>
      <w:numFmt w:val="bullet"/>
      <w:lvlText w:val=""/>
      <w:lvlJc w:val="left"/>
      <w:pPr>
        <w:tabs>
          <w:tab w:val="num" w:pos="5535"/>
        </w:tabs>
        <w:ind w:left="5535" w:hanging="360"/>
      </w:pPr>
      <w:rPr>
        <w:rFonts w:ascii="Symbol" w:hAnsi="Symbol" w:hint="default"/>
      </w:rPr>
    </w:lvl>
    <w:lvl w:ilvl="7" w:tplc="04060003" w:tentative="1">
      <w:start w:val="1"/>
      <w:numFmt w:val="bullet"/>
      <w:lvlText w:val="o"/>
      <w:lvlJc w:val="left"/>
      <w:pPr>
        <w:tabs>
          <w:tab w:val="num" w:pos="6255"/>
        </w:tabs>
        <w:ind w:left="6255" w:hanging="360"/>
      </w:pPr>
      <w:rPr>
        <w:rFonts w:ascii="Courier New" w:hAnsi="Courier New" w:cs="Courier New" w:hint="default"/>
      </w:rPr>
    </w:lvl>
    <w:lvl w:ilvl="8" w:tplc="04060005" w:tentative="1">
      <w:start w:val="1"/>
      <w:numFmt w:val="bullet"/>
      <w:lvlText w:val=""/>
      <w:lvlJc w:val="left"/>
      <w:pPr>
        <w:tabs>
          <w:tab w:val="num" w:pos="6975"/>
        </w:tabs>
        <w:ind w:left="6975" w:hanging="360"/>
      </w:pPr>
      <w:rPr>
        <w:rFonts w:ascii="Wingdings" w:hAnsi="Wingdings" w:hint="default"/>
      </w:rPr>
    </w:lvl>
  </w:abstractNum>
  <w:abstractNum w:abstractNumId="5" w15:restartNumberingAfterBreak="0">
    <w:nsid w:val="248F43F8"/>
    <w:multiLevelType w:val="multilevel"/>
    <w:tmpl w:val="7D0A47EE"/>
    <w:lvl w:ilvl="0">
      <w:start w:val="8"/>
      <w:numFmt w:val="decimal"/>
      <w:lvlText w:val="%1."/>
      <w:lvlJc w:val="left"/>
      <w:pPr>
        <w:tabs>
          <w:tab w:val="num" w:pos="360"/>
        </w:tabs>
        <w:ind w:left="360" w:hanging="360"/>
      </w:pPr>
      <w:rPr>
        <w:rFonts w:hint="default"/>
        <w:b w:val="0"/>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85092C"/>
    <w:multiLevelType w:val="hybridMultilevel"/>
    <w:tmpl w:val="330A7CCA"/>
    <w:lvl w:ilvl="0" w:tplc="04060001">
      <w:start w:val="1"/>
      <w:numFmt w:val="bullet"/>
      <w:lvlText w:val=""/>
      <w:lvlJc w:val="left"/>
      <w:pPr>
        <w:tabs>
          <w:tab w:val="num" w:pos="1215"/>
        </w:tabs>
        <w:ind w:left="1215" w:hanging="360"/>
      </w:pPr>
      <w:rPr>
        <w:rFonts w:ascii="Symbol" w:hAnsi="Symbol" w:hint="default"/>
      </w:rPr>
    </w:lvl>
    <w:lvl w:ilvl="1" w:tplc="B40A73DE">
      <w:start w:val="10"/>
      <w:numFmt w:val="bullet"/>
      <w:lvlText w:val="-"/>
      <w:lvlJc w:val="left"/>
      <w:pPr>
        <w:tabs>
          <w:tab w:val="num" w:pos="1935"/>
        </w:tabs>
        <w:ind w:left="1935" w:hanging="360"/>
      </w:pPr>
      <w:rPr>
        <w:rFonts w:ascii="Times New Roman" w:eastAsia="Times New Roman" w:hAnsi="Times New Roman" w:cs="Times New Roman" w:hint="default"/>
      </w:rPr>
    </w:lvl>
    <w:lvl w:ilvl="2" w:tplc="04060005" w:tentative="1">
      <w:start w:val="1"/>
      <w:numFmt w:val="bullet"/>
      <w:lvlText w:val=""/>
      <w:lvlJc w:val="left"/>
      <w:pPr>
        <w:tabs>
          <w:tab w:val="num" w:pos="2655"/>
        </w:tabs>
        <w:ind w:left="2655" w:hanging="360"/>
      </w:pPr>
      <w:rPr>
        <w:rFonts w:ascii="Wingdings" w:hAnsi="Wingdings" w:hint="default"/>
      </w:rPr>
    </w:lvl>
    <w:lvl w:ilvl="3" w:tplc="04060001" w:tentative="1">
      <w:start w:val="1"/>
      <w:numFmt w:val="bullet"/>
      <w:lvlText w:val=""/>
      <w:lvlJc w:val="left"/>
      <w:pPr>
        <w:tabs>
          <w:tab w:val="num" w:pos="3375"/>
        </w:tabs>
        <w:ind w:left="3375" w:hanging="360"/>
      </w:pPr>
      <w:rPr>
        <w:rFonts w:ascii="Symbol" w:hAnsi="Symbol" w:hint="default"/>
      </w:rPr>
    </w:lvl>
    <w:lvl w:ilvl="4" w:tplc="04060003" w:tentative="1">
      <w:start w:val="1"/>
      <w:numFmt w:val="bullet"/>
      <w:lvlText w:val="o"/>
      <w:lvlJc w:val="left"/>
      <w:pPr>
        <w:tabs>
          <w:tab w:val="num" w:pos="4095"/>
        </w:tabs>
        <w:ind w:left="4095" w:hanging="360"/>
      </w:pPr>
      <w:rPr>
        <w:rFonts w:ascii="Courier New" w:hAnsi="Courier New" w:cs="Courier New" w:hint="default"/>
      </w:rPr>
    </w:lvl>
    <w:lvl w:ilvl="5" w:tplc="04060005" w:tentative="1">
      <w:start w:val="1"/>
      <w:numFmt w:val="bullet"/>
      <w:lvlText w:val=""/>
      <w:lvlJc w:val="left"/>
      <w:pPr>
        <w:tabs>
          <w:tab w:val="num" w:pos="4815"/>
        </w:tabs>
        <w:ind w:left="4815" w:hanging="360"/>
      </w:pPr>
      <w:rPr>
        <w:rFonts w:ascii="Wingdings" w:hAnsi="Wingdings" w:hint="default"/>
      </w:rPr>
    </w:lvl>
    <w:lvl w:ilvl="6" w:tplc="04060001" w:tentative="1">
      <w:start w:val="1"/>
      <w:numFmt w:val="bullet"/>
      <w:lvlText w:val=""/>
      <w:lvlJc w:val="left"/>
      <w:pPr>
        <w:tabs>
          <w:tab w:val="num" w:pos="5535"/>
        </w:tabs>
        <w:ind w:left="5535" w:hanging="360"/>
      </w:pPr>
      <w:rPr>
        <w:rFonts w:ascii="Symbol" w:hAnsi="Symbol" w:hint="default"/>
      </w:rPr>
    </w:lvl>
    <w:lvl w:ilvl="7" w:tplc="04060003" w:tentative="1">
      <w:start w:val="1"/>
      <w:numFmt w:val="bullet"/>
      <w:lvlText w:val="o"/>
      <w:lvlJc w:val="left"/>
      <w:pPr>
        <w:tabs>
          <w:tab w:val="num" w:pos="6255"/>
        </w:tabs>
        <w:ind w:left="6255" w:hanging="360"/>
      </w:pPr>
      <w:rPr>
        <w:rFonts w:ascii="Courier New" w:hAnsi="Courier New" w:cs="Courier New" w:hint="default"/>
      </w:rPr>
    </w:lvl>
    <w:lvl w:ilvl="8" w:tplc="04060005" w:tentative="1">
      <w:start w:val="1"/>
      <w:numFmt w:val="bullet"/>
      <w:lvlText w:val=""/>
      <w:lvlJc w:val="left"/>
      <w:pPr>
        <w:tabs>
          <w:tab w:val="num" w:pos="6975"/>
        </w:tabs>
        <w:ind w:left="6975" w:hanging="360"/>
      </w:pPr>
      <w:rPr>
        <w:rFonts w:ascii="Wingdings" w:hAnsi="Wingdings" w:hint="default"/>
      </w:rPr>
    </w:lvl>
  </w:abstractNum>
  <w:abstractNum w:abstractNumId="8" w15:restartNumberingAfterBreak="0">
    <w:nsid w:val="35BF28CF"/>
    <w:multiLevelType w:val="hybridMultilevel"/>
    <w:tmpl w:val="875EB2C4"/>
    <w:lvl w:ilvl="0" w:tplc="04060001">
      <w:start w:val="1"/>
      <w:numFmt w:val="bullet"/>
      <w:lvlText w:val=""/>
      <w:lvlJc w:val="left"/>
      <w:pPr>
        <w:tabs>
          <w:tab w:val="num" w:pos="1215"/>
        </w:tabs>
        <w:ind w:left="1215" w:hanging="360"/>
      </w:pPr>
      <w:rPr>
        <w:rFonts w:ascii="Symbol" w:hAnsi="Symbol" w:hint="default"/>
      </w:rPr>
    </w:lvl>
    <w:lvl w:ilvl="1" w:tplc="04060003" w:tentative="1">
      <w:start w:val="1"/>
      <w:numFmt w:val="bullet"/>
      <w:lvlText w:val="o"/>
      <w:lvlJc w:val="left"/>
      <w:pPr>
        <w:tabs>
          <w:tab w:val="num" w:pos="1935"/>
        </w:tabs>
        <w:ind w:left="1935" w:hanging="360"/>
      </w:pPr>
      <w:rPr>
        <w:rFonts w:ascii="Courier New" w:hAnsi="Courier New" w:cs="Courier New" w:hint="default"/>
      </w:rPr>
    </w:lvl>
    <w:lvl w:ilvl="2" w:tplc="04060005" w:tentative="1">
      <w:start w:val="1"/>
      <w:numFmt w:val="bullet"/>
      <w:lvlText w:val=""/>
      <w:lvlJc w:val="left"/>
      <w:pPr>
        <w:tabs>
          <w:tab w:val="num" w:pos="2655"/>
        </w:tabs>
        <w:ind w:left="2655" w:hanging="360"/>
      </w:pPr>
      <w:rPr>
        <w:rFonts w:ascii="Wingdings" w:hAnsi="Wingdings" w:hint="default"/>
      </w:rPr>
    </w:lvl>
    <w:lvl w:ilvl="3" w:tplc="04060001" w:tentative="1">
      <w:start w:val="1"/>
      <w:numFmt w:val="bullet"/>
      <w:lvlText w:val=""/>
      <w:lvlJc w:val="left"/>
      <w:pPr>
        <w:tabs>
          <w:tab w:val="num" w:pos="3375"/>
        </w:tabs>
        <w:ind w:left="3375" w:hanging="360"/>
      </w:pPr>
      <w:rPr>
        <w:rFonts w:ascii="Symbol" w:hAnsi="Symbol" w:hint="default"/>
      </w:rPr>
    </w:lvl>
    <w:lvl w:ilvl="4" w:tplc="04060003" w:tentative="1">
      <w:start w:val="1"/>
      <w:numFmt w:val="bullet"/>
      <w:lvlText w:val="o"/>
      <w:lvlJc w:val="left"/>
      <w:pPr>
        <w:tabs>
          <w:tab w:val="num" w:pos="4095"/>
        </w:tabs>
        <w:ind w:left="4095" w:hanging="360"/>
      </w:pPr>
      <w:rPr>
        <w:rFonts w:ascii="Courier New" w:hAnsi="Courier New" w:cs="Courier New" w:hint="default"/>
      </w:rPr>
    </w:lvl>
    <w:lvl w:ilvl="5" w:tplc="04060005" w:tentative="1">
      <w:start w:val="1"/>
      <w:numFmt w:val="bullet"/>
      <w:lvlText w:val=""/>
      <w:lvlJc w:val="left"/>
      <w:pPr>
        <w:tabs>
          <w:tab w:val="num" w:pos="4815"/>
        </w:tabs>
        <w:ind w:left="4815" w:hanging="360"/>
      </w:pPr>
      <w:rPr>
        <w:rFonts w:ascii="Wingdings" w:hAnsi="Wingdings" w:hint="default"/>
      </w:rPr>
    </w:lvl>
    <w:lvl w:ilvl="6" w:tplc="04060001" w:tentative="1">
      <w:start w:val="1"/>
      <w:numFmt w:val="bullet"/>
      <w:lvlText w:val=""/>
      <w:lvlJc w:val="left"/>
      <w:pPr>
        <w:tabs>
          <w:tab w:val="num" w:pos="5535"/>
        </w:tabs>
        <w:ind w:left="5535" w:hanging="360"/>
      </w:pPr>
      <w:rPr>
        <w:rFonts w:ascii="Symbol" w:hAnsi="Symbol" w:hint="default"/>
      </w:rPr>
    </w:lvl>
    <w:lvl w:ilvl="7" w:tplc="04060003" w:tentative="1">
      <w:start w:val="1"/>
      <w:numFmt w:val="bullet"/>
      <w:lvlText w:val="o"/>
      <w:lvlJc w:val="left"/>
      <w:pPr>
        <w:tabs>
          <w:tab w:val="num" w:pos="6255"/>
        </w:tabs>
        <w:ind w:left="6255" w:hanging="360"/>
      </w:pPr>
      <w:rPr>
        <w:rFonts w:ascii="Courier New" w:hAnsi="Courier New" w:cs="Courier New" w:hint="default"/>
      </w:rPr>
    </w:lvl>
    <w:lvl w:ilvl="8" w:tplc="04060005" w:tentative="1">
      <w:start w:val="1"/>
      <w:numFmt w:val="bullet"/>
      <w:lvlText w:val=""/>
      <w:lvlJc w:val="left"/>
      <w:pPr>
        <w:tabs>
          <w:tab w:val="num" w:pos="6975"/>
        </w:tabs>
        <w:ind w:left="6975" w:hanging="360"/>
      </w:pPr>
      <w:rPr>
        <w:rFonts w:ascii="Wingdings" w:hAnsi="Wingdings" w:hint="default"/>
      </w:rPr>
    </w:lvl>
  </w:abstractNum>
  <w:abstractNum w:abstractNumId="9" w15:restartNumberingAfterBreak="0">
    <w:nsid w:val="364660C3"/>
    <w:multiLevelType w:val="multilevel"/>
    <w:tmpl w:val="DAF0ED20"/>
    <w:lvl w:ilvl="0">
      <w:start w:val="5"/>
      <w:numFmt w:val="decimal"/>
      <w:lvlText w:val="%1.0"/>
      <w:lvlJc w:val="left"/>
      <w:pPr>
        <w:tabs>
          <w:tab w:val="num" w:pos="855"/>
        </w:tabs>
        <w:ind w:left="855" w:hanging="855"/>
      </w:pPr>
      <w:rPr>
        <w:rFonts w:hint="default"/>
      </w:rPr>
    </w:lvl>
    <w:lvl w:ilvl="1">
      <w:start w:val="1"/>
      <w:numFmt w:val="decimal"/>
      <w:lvlText w:val="%1.%2"/>
      <w:lvlJc w:val="left"/>
      <w:pPr>
        <w:tabs>
          <w:tab w:val="num" w:pos="2159"/>
        </w:tabs>
        <w:ind w:left="2159" w:hanging="855"/>
      </w:pPr>
      <w:rPr>
        <w:rFonts w:hint="default"/>
      </w:rPr>
    </w:lvl>
    <w:lvl w:ilvl="2">
      <w:start w:val="1"/>
      <w:numFmt w:val="decimal"/>
      <w:lvlText w:val="%1.%2.%3"/>
      <w:lvlJc w:val="left"/>
      <w:pPr>
        <w:tabs>
          <w:tab w:val="num" w:pos="3463"/>
        </w:tabs>
        <w:ind w:left="3463" w:hanging="855"/>
      </w:pPr>
      <w:rPr>
        <w:rFonts w:hint="default"/>
      </w:rPr>
    </w:lvl>
    <w:lvl w:ilvl="3">
      <w:start w:val="1"/>
      <w:numFmt w:val="decimal"/>
      <w:lvlText w:val="%1.%2.%3.%4"/>
      <w:lvlJc w:val="left"/>
      <w:pPr>
        <w:tabs>
          <w:tab w:val="num" w:pos="4767"/>
        </w:tabs>
        <w:ind w:left="4767" w:hanging="855"/>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10" w15:restartNumberingAfterBreak="0">
    <w:nsid w:val="405C5D3C"/>
    <w:multiLevelType w:val="multilevel"/>
    <w:tmpl w:val="9CBC71D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u w:val="none"/>
      </w:rPr>
    </w:lvl>
    <w:lvl w:ilvl="2">
      <w:start w:val="1"/>
      <w:numFmt w:val="decimal"/>
      <w:isLgl/>
      <w:lvlText w:val="%1.%2.%3"/>
      <w:lvlJc w:val="left"/>
      <w:pPr>
        <w:tabs>
          <w:tab w:val="num" w:pos="855"/>
        </w:tabs>
        <w:ind w:left="855" w:hanging="855"/>
      </w:pPr>
      <w:rPr>
        <w:rFonts w:hint="default"/>
        <w:u w:val="none"/>
      </w:rPr>
    </w:lvl>
    <w:lvl w:ilvl="3">
      <w:start w:val="1"/>
      <w:numFmt w:val="decimal"/>
      <w:isLgl/>
      <w:lvlText w:val="%1.%2.%3.%4"/>
      <w:lvlJc w:val="left"/>
      <w:pPr>
        <w:tabs>
          <w:tab w:val="num" w:pos="855"/>
        </w:tabs>
        <w:ind w:left="855" w:hanging="855"/>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1" w15:restartNumberingAfterBreak="0">
    <w:nsid w:val="55542CAA"/>
    <w:multiLevelType w:val="multilevel"/>
    <w:tmpl w:val="6E481CAC"/>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E2E0443"/>
    <w:multiLevelType w:val="hybridMultilevel"/>
    <w:tmpl w:val="4A50514E"/>
    <w:lvl w:ilvl="0" w:tplc="04060001">
      <w:start w:val="1"/>
      <w:numFmt w:val="bullet"/>
      <w:lvlText w:val=""/>
      <w:lvlJc w:val="left"/>
      <w:pPr>
        <w:tabs>
          <w:tab w:val="num" w:pos="1215"/>
        </w:tabs>
        <w:ind w:left="1215" w:hanging="360"/>
      </w:pPr>
      <w:rPr>
        <w:rFonts w:ascii="Symbol" w:hAnsi="Symbol" w:hint="default"/>
      </w:rPr>
    </w:lvl>
    <w:lvl w:ilvl="1" w:tplc="04060003" w:tentative="1">
      <w:start w:val="1"/>
      <w:numFmt w:val="bullet"/>
      <w:lvlText w:val="o"/>
      <w:lvlJc w:val="left"/>
      <w:pPr>
        <w:tabs>
          <w:tab w:val="num" w:pos="1935"/>
        </w:tabs>
        <w:ind w:left="1935" w:hanging="360"/>
      </w:pPr>
      <w:rPr>
        <w:rFonts w:ascii="Courier New" w:hAnsi="Courier New" w:cs="Courier New" w:hint="default"/>
      </w:rPr>
    </w:lvl>
    <w:lvl w:ilvl="2" w:tplc="04060005" w:tentative="1">
      <w:start w:val="1"/>
      <w:numFmt w:val="bullet"/>
      <w:lvlText w:val=""/>
      <w:lvlJc w:val="left"/>
      <w:pPr>
        <w:tabs>
          <w:tab w:val="num" w:pos="2655"/>
        </w:tabs>
        <w:ind w:left="2655" w:hanging="360"/>
      </w:pPr>
      <w:rPr>
        <w:rFonts w:ascii="Wingdings" w:hAnsi="Wingdings" w:hint="default"/>
      </w:rPr>
    </w:lvl>
    <w:lvl w:ilvl="3" w:tplc="04060001" w:tentative="1">
      <w:start w:val="1"/>
      <w:numFmt w:val="bullet"/>
      <w:lvlText w:val=""/>
      <w:lvlJc w:val="left"/>
      <w:pPr>
        <w:tabs>
          <w:tab w:val="num" w:pos="3375"/>
        </w:tabs>
        <w:ind w:left="3375" w:hanging="360"/>
      </w:pPr>
      <w:rPr>
        <w:rFonts w:ascii="Symbol" w:hAnsi="Symbol" w:hint="default"/>
      </w:rPr>
    </w:lvl>
    <w:lvl w:ilvl="4" w:tplc="04060003" w:tentative="1">
      <w:start w:val="1"/>
      <w:numFmt w:val="bullet"/>
      <w:lvlText w:val="o"/>
      <w:lvlJc w:val="left"/>
      <w:pPr>
        <w:tabs>
          <w:tab w:val="num" w:pos="4095"/>
        </w:tabs>
        <w:ind w:left="4095" w:hanging="360"/>
      </w:pPr>
      <w:rPr>
        <w:rFonts w:ascii="Courier New" w:hAnsi="Courier New" w:cs="Courier New" w:hint="default"/>
      </w:rPr>
    </w:lvl>
    <w:lvl w:ilvl="5" w:tplc="04060005" w:tentative="1">
      <w:start w:val="1"/>
      <w:numFmt w:val="bullet"/>
      <w:lvlText w:val=""/>
      <w:lvlJc w:val="left"/>
      <w:pPr>
        <w:tabs>
          <w:tab w:val="num" w:pos="4815"/>
        </w:tabs>
        <w:ind w:left="4815" w:hanging="360"/>
      </w:pPr>
      <w:rPr>
        <w:rFonts w:ascii="Wingdings" w:hAnsi="Wingdings" w:hint="default"/>
      </w:rPr>
    </w:lvl>
    <w:lvl w:ilvl="6" w:tplc="04060001" w:tentative="1">
      <w:start w:val="1"/>
      <w:numFmt w:val="bullet"/>
      <w:lvlText w:val=""/>
      <w:lvlJc w:val="left"/>
      <w:pPr>
        <w:tabs>
          <w:tab w:val="num" w:pos="5535"/>
        </w:tabs>
        <w:ind w:left="5535" w:hanging="360"/>
      </w:pPr>
      <w:rPr>
        <w:rFonts w:ascii="Symbol" w:hAnsi="Symbol" w:hint="default"/>
      </w:rPr>
    </w:lvl>
    <w:lvl w:ilvl="7" w:tplc="04060003" w:tentative="1">
      <w:start w:val="1"/>
      <w:numFmt w:val="bullet"/>
      <w:lvlText w:val="o"/>
      <w:lvlJc w:val="left"/>
      <w:pPr>
        <w:tabs>
          <w:tab w:val="num" w:pos="6255"/>
        </w:tabs>
        <w:ind w:left="6255" w:hanging="360"/>
      </w:pPr>
      <w:rPr>
        <w:rFonts w:ascii="Courier New" w:hAnsi="Courier New" w:cs="Courier New" w:hint="default"/>
      </w:rPr>
    </w:lvl>
    <w:lvl w:ilvl="8" w:tplc="04060005" w:tentative="1">
      <w:start w:val="1"/>
      <w:numFmt w:val="bullet"/>
      <w:lvlText w:val=""/>
      <w:lvlJc w:val="left"/>
      <w:pPr>
        <w:tabs>
          <w:tab w:val="num" w:pos="6975"/>
        </w:tabs>
        <w:ind w:left="6975" w:hanging="360"/>
      </w:pPr>
      <w:rPr>
        <w:rFonts w:ascii="Wingdings" w:hAnsi="Wingdings" w:hint="default"/>
      </w:rPr>
    </w:lvl>
  </w:abstractNum>
  <w:abstractNum w:abstractNumId="13" w15:restartNumberingAfterBreak="0">
    <w:nsid w:val="7F471487"/>
    <w:multiLevelType w:val="hybridMultilevel"/>
    <w:tmpl w:val="579A0D7E"/>
    <w:lvl w:ilvl="0" w:tplc="A7C014A8">
      <w:start w:val="4"/>
      <w:numFmt w:val="bullet"/>
      <w:lvlText w:val=""/>
      <w:lvlJc w:val="left"/>
      <w:pPr>
        <w:tabs>
          <w:tab w:val="num" w:pos="1215"/>
        </w:tabs>
        <w:ind w:left="1215"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819735575">
    <w:abstractNumId w:val="10"/>
  </w:num>
  <w:num w:numId="2" w16cid:durableId="836386076">
    <w:abstractNumId w:val="9"/>
  </w:num>
  <w:num w:numId="3" w16cid:durableId="494810361">
    <w:abstractNumId w:val="11"/>
  </w:num>
  <w:num w:numId="4" w16cid:durableId="2016420749">
    <w:abstractNumId w:val="6"/>
  </w:num>
  <w:num w:numId="5" w16cid:durableId="436680538">
    <w:abstractNumId w:val="3"/>
  </w:num>
  <w:num w:numId="6" w16cid:durableId="1070273325">
    <w:abstractNumId w:val="5"/>
  </w:num>
  <w:num w:numId="7" w16cid:durableId="1610089851">
    <w:abstractNumId w:val="0"/>
  </w:num>
  <w:num w:numId="8" w16cid:durableId="1753351720">
    <w:abstractNumId w:val="8"/>
  </w:num>
  <w:num w:numId="9" w16cid:durableId="1657296653">
    <w:abstractNumId w:val="1"/>
  </w:num>
  <w:num w:numId="10" w16cid:durableId="1422407498">
    <w:abstractNumId w:val="12"/>
  </w:num>
  <w:num w:numId="11" w16cid:durableId="1641036471">
    <w:abstractNumId w:val="7"/>
  </w:num>
  <w:num w:numId="12" w16cid:durableId="1287542813">
    <w:abstractNumId w:val="4"/>
  </w:num>
  <w:num w:numId="13" w16cid:durableId="148443212">
    <w:abstractNumId w:val="13"/>
  </w:num>
  <w:num w:numId="14" w16cid:durableId="1514881224">
    <w:abstractNumId w:val="2"/>
  </w:num>
  <w:num w:numId="15" w16cid:durableId="156195078">
    <w:abstractNumId w:val="2"/>
  </w:num>
  <w:num w:numId="16" w16cid:durableId="2066447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A4"/>
    <w:rsid w:val="000335F8"/>
    <w:rsid w:val="0003686D"/>
    <w:rsid w:val="00051B1B"/>
    <w:rsid w:val="000632A8"/>
    <w:rsid w:val="00065165"/>
    <w:rsid w:val="000900A1"/>
    <w:rsid w:val="00091AFC"/>
    <w:rsid w:val="000A564E"/>
    <w:rsid w:val="000B5D25"/>
    <w:rsid w:val="00110090"/>
    <w:rsid w:val="00125A4B"/>
    <w:rsid w:val="00145379"/>
    <w:rsid w:val="00165622"/>
    <w:rsid w:val="00175078"/>
    <w:rsid w:val="0018430E"/>
    <w:rsid w:val="001F2C08"/>
    <w:rsid w:val="00213C5A"/>
    <w:rsid w:val="00260C4E"/>
    <w:rsid w:val="00267AD7"/>
    <w:rsid w:val="00287A3A"/>
    <w:rsid w:val="002C29EF"/>
    <w:rsid w:val="00332728"/>
    <w:rsid w:val="0033312E"/>
    <w:rsid w:val="00392734"/>
    <w:rsid w:val="003A0922"/>
    <w:rsid w:val="003C71B7"/>
    <w:rsid w:val="003D6D8E"/>
    <w:rsid w:val="003E2AC7"/>
    <w:rsid w:val="00406811"/>
    <w:rsid w:val="0041682B"/>
    <w:rsid w:val="00422C27"/>
    <w:rsid w:val="0042322C"/>
    <w:rsid w:val="00435DBB"/>
    <w:rsid w:val="00450224"/>
    <w:rsid w:val="00452AA8"/>
    <w:rsid w:val="00471474"/>
    <w:rsid w:val="004A4A57"/>
    <w:rsid w:val="004D1062"/>
    <w:rsid w:val="00553E42"/>
    <w:rsid w:val="005B2993"/>
    <w:rsid w:val="005D38B1"/>
    <w:rsid w:val="005D78A7"/>
    <w:rsid w:val="00604081"/>
    <w:rsid w:val="00627570"/>
    <w:rsid w:val="00657703"/>
    <w:rsid w:val="0066285A"/>
    <w:rsid w:val="00664D00"/>
    <w:rsid w:val="00692D01"/>
    <w:rsid w:val="006E7C1A"/>
    <w:rsid w:val="006F7986"/>
    <w:rsid w:val="00742D0B"/>
    <w:rsid w:val="007E3E23"/>
    <w:rsid w:val="007F0B62"/>
    <w:rsid w:val="0082080D"/>
    <w:rsid w:val="00820B49"/>
    <w:rsid w:val="00837753"/>
    <w:rsid w:val="00840A40"/>
    <w:rsid w:val="00845652"/>
    <w:rsid w:val="008570B2"/>
    <w:rsid w:val="0085723B"/>
    <w:rsid w:val="008811F8"/>
    <w:rsid w:val="00896A3B"/>
    <w:rsid w:val="008B1D63"/>
    <w:rsid w:val="0093730F"/>
    <w:rsid w:val="00951419"/>
    <w:rsid w:val="00957165"/>
    <w:rsid w:val="009851AB"/>
    <w:rsid w:val="009C58F3"/>
    <w:rsid w:val="009E2430"/>
    <w:rsid w:val="00A3196F"/>
    <w:rsid w:val="00AB6D07"/>
    <w:rsid w:val="00AC113C"/>
    <w:rsid w:val="00B0073C"/>
    <w:rsid w:val="00B30C2A"/>
    <w:rsid w:val="00B42BA4"/>
    <w:rsid w:val="00B4589A"/>
    <w:rsid w:val="00B6525E"/>
    <w:rsid w:val="00B92689"/>
    <w:rsid w:val="00BB2596"/>
    <w:rsid w:val="00BB7A5D"/>
    <w:rsid w:val="00BF5959"/>
    <w:rsid w:val="00C22DDF"/>
    <w:rsid w:val="00C53EC6"/>
    <w:rsid w:val="00C572A1"/>
    <w:rsid w:val="00C61592"/>
    <w:rsid w:val="00C8533A"/>
    <w:rsid w:val="00CC721A"/>
    <w:rsid w:val="00CD33AA"/>
    <w:rsid w:val="00CD407C"/>
    <w:rsid w:val="00CE5B41"/>
    <w:rsid w:val="00D6412F"/>
    <w:rsid w:val="00D85832"/>
    <w:rsid w:val="00D97A3C"/>
    <w:rsid w:val="00DA0317"/>
    <w:rsid w:val="00DB0232"/>
    <w:rsid w:val="00DC073A"/>
    <w:rsid w:val="00E34761"/>
    <w:rsid w:val="00E560A7"/>
    <w:rsid w:val="00E642B3"/>
    <w:rsid w:val="00EB3E0C"/>
    <w:rsid w:val="00EC53B3"/>
    <w:rsid w:val="00ED1EDA"/>
    <w:rsid w:val="00F134C9"/>
    <w:rsid w:val="00F23F00"/>
    <w:rsid w:val="00F431A8"/>
    <w:rsid w:val="00F560C9"/>
    <w:rsid w:val="00F947A6"/>
    <w:rsid w:val="00FB762E"/>
    <w:rsid w:val="00FD65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D546C"/>
  <w15:chartTrackingRefBased/>
  <w15:docId w15:val="{AEE04F28-4AFD-4C62-81F2-ED7601FE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B3"/>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pPr>
      <w:jc w:val="center"/>
    </w:pPr>
    <w:rPr>
      <w:b/>
    </w:rPr>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table" w:styleId="Tabel-Gitter">
    <w:name w:val="Table Grid"/>
    <w:basedOn w:val="Tabel-Normal"/>
    <w:rsid w:val="00B4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1419"/>
    <w:rPr>
      <w:color w:val="0563C1"/>
      <w:u w:val="single"/>
    </w:rPr>
  </w:style>
  <w:style w:type="paragraph" w:styleId="Kommentartekst">
    <w:name w:val="annotation text"/>
    <w:basedOn w:val="Normal"/>
    <w:link w:val="KommentartekstTegn"/>
    <w:uiPriority w:val="99"/>
    <w:semiHidden/>
    <w:unhideWhenUsed/>
    <w:rsid w:val="003A0922"/>
    <w:rPr>
      <w:sz w:val="20"/>
    </w:rPr>
  </w:style>
  <w:style w:type="character" w:customStyle="1" w:styleId="KommentartekstTegn">
    <w:name w:val="Kommentartekst Tegn"/>
    <w:basedOn w:val="Standardskrifttypeiafsnit"/>
    <w:link w:val="Kommentartekst"/>
    <w:uiPriority w:val="99"/>
    <w:semiHidden/>
    <w:rsid w:val="003A0922"/>
  </w:style>
  <w:style w:type="character" w:styleId="Kommentarhenvisning">
    <w:name w:val="annotation reference"/>
    <w:uiPriority w:val="99"/>
    <w:semiHidden/>
    <w:unhideWhenUsed/>
    <w:rsid w:val="003A0922"/>
    <w:rPr>
      <w:sz w:val="16"/>
      <w:szCs w:val="16"/>
    </w:rPr>
  </w:style>
  <w:style w:type="paragraph" w:styleId="Markeringsbobletekst">
    <w:name w:val="Balloon Text"/>
    <w:basedOn w:val="Normal"/>
    <w:link w:val="MarkeringsbobletekstTegn"/>
    <w:uiPriority w:val="99"/>
    <w:semiHidden/>
    <w:unhideWhenUsed/>
    <w:rsid w:val="003A0922"/>
    <w:rPr>
      <w:rFonts w:ascii="Segoe UI" w:hAnsi="Segoe UI" w:cs="Segoe UI"/>
      <w:sz w:val="18"/>
      <w:szCs w:val="18"/>
    </w:rPr>
  </w:style>
  <w:style w:type="character" w:customStyle="1" w:styleId="MarkeringsbobletekstTegn">
    <w:name w:val="Markeringsbobletekst Tegn"/>
    <w:link w:val="Markeringsbobletekst"/>
    <w:uiPriority w:val="99"/>
    <w:semiHidden/>
    <w:rsid w:val="003A0922"/>
    <w:rPr>
      <w:rFonts w:ascii="Segoe UI" w:hAnsi="Segoe UI" w:cs="Segoe UI"/>
      <w:sz w:val="18"/>
      <w:szCs w:val="18"/>
    </w:rPr>
  </w:style>
  <w:style w:type="paragraph" w:styleId="Listeafsnit">
    <w:name w:val="List Paragraph"/>
    <w:basedOn w:val="Normal"/>
    <w:uiPriority w:val="34"/>
    <w:qFormat/>
    <w:rsid w:val="00657703"/>
    <w:pPr>
      <w:ind w:left="720"/>
      <w:contextualSpacing/>
    </w:pPr>
  </w:style>
  <w:style w:type="character" w:styleId="Ulstomtale">
    <w:name w:val="Unresolved Mention"/>
    <w:basedOn w:val="Standardskrifttypeiafsnit"/>
    <w:uiPriority w:val="99"/>
    <w:semiHidden/>
    <w:unhideWhenUsed/>
    <w:rsid w:val="00657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7505">
      <w:bodyDiv w:val="1"/>
      <w:marLeft w:val="0"/>
      <w:marRight w:val="0"/>
      <w:marTop w:val="0"/>
      <w:marBottom w:val="0"/>
      <w:divBdr>
        <w:top w:val="none" w:sz="0" w:space="0" w:color="auto"/>
        <w:left w:val="none" w:sz="0" w:space="0" w:color="auto"/>
        <w:bottom w:val="none" w:sz="0" w:space="0" w:color="auto"/>
        <w:right w:val="none" w:sz="0" w:space="0" w:color="auto"/>
      </w:divBdr>
    </w:div>
    <w:div w:id="88623795">
      <w:bodyDiv w:val="1"/>
      <w:marLeft w:val="0"/>
      <w:marRight w:val="0"/>
      <w:marTop w:val="0"/>
      <w:marBottom w:val="0"/>
      <w:divBdr>
        <w:top w:val="none" w:sz="0" w:space="0" w:color="auto"/>
        <w:left w:val="none" w:sz="0" w:space="0" w:color="auto"/>
        <w:bottom w:val="none" w:sz="0" w:space="0" w:color="auto"/>
        <w:right w:val="none" w:sz="0" w:space="0" w:color="auto"/>
      </w:divBdr>
    </w:div>
    <w:div w:id="133909100">
      <w:bodyDiv w:val="1"/>
      <w:marLeft w:val="0"/>
      <w:marRight w:val="0"/>
      <w:marTop w:val="0"/>
      <w:marBottom w:val="0"/>
      <w:divBdr>
        <w:top w:val="none" w:sz="0" w:space="0" w:color="auto"/>
        <w:left w:val="none" w:sz="0" w:space="0" w:color="auto"/>
        <w:bottom w:val="none" w:sz="0" w:space="0" w:color="auto"/>
        <w:right w:val="none" w:sz="0" w:space="0" w:color="auto"/>
      </w:divBdr>
    </w:div>
    <w:div w:id="251354156">
      <w:bodyDiv w:val="1"/>
      <w:marLeft w:val="0"/>
      <w:marRight w:val="0"/>
      <w:marTop w:val="0"/>
      <w:marBottom w:val="0"/>
      <w:divBdr>
        <w:top w:val="none" w:sz="0" w:space="0" w:color="auto"/>
        <w:left w:val="none" w:sz="0" w:space="0" w:color="auto"/>
        <w:bottom w:val="none" w:sz="0" w:space="0" w:color="auto"/>
        <w:right w:val="none" w:sz="0" w:space="0" w:color="auto"/>
      </w:divBdr>
    </w:div>
    <w:div w:id="304432536">
      <w:bodyDiv w:val="1"/>
      <w:marLeft w:val="0"/>
      <w:marRight w:val="0"/>
      <w:marTop w:val="0"/>
      <w:marBottom w:val="0"/>
      <w:divBdr>
        <w:top w:val="none" w:sz="0" w:space="0" w:color="auto"/>
        <w:left w:val="none" w:sz="0" w:space="0" w:color="auto"/>
        <w:bottom w:val="none" w:sz="0" w:space="0" w:color="auto"/>
        <w:right w:val="none" w:sz="0" w:space="0" w:color="auto"/>
      </w:divBdr>
    </w:div>
    <w:div w:id="334768460">
      <w:bodyDiv w:val="1"/>
      <w:marLeft w:val="0"/>
      <w:marRight w:val="0"/>
      <w:marTop w:val="0"/>
      <w:marBottom w:val="0"/>
      <w:divBdr>
        <w:top w:val="none" w:sz="0" w:space="0" w:color="auto"/>
        <w:left w:val="none" w:sz="0" w:space="0" w:color="auto"/>
        <w:bottom w:val="none" w:sz="0" w:space="0" w:color="auto"/>
        <w:right w:val="none" w:sz="0" w:space="0" w:color="auto"/>
      </w:divBdr>
    </w:div>
    <w:div w:id="405104983">
      <w:bodyDiv w:val="1"/>
      <w:marLeft w:val="0"/>
      <w:marRight w:val="0"/>
      <w:marTop w:val="0"/>
      <w:marBottom w:val="0"/>
      <w:divBdr>
        <w:top w:val="none" w:sz="0" w:space="0" w:color="auto"/>
        <w:left w:val="none" w:sz="0" w:space="0" w:color="auto"/>
        <w:bottom w:val="none" w:sz="0" w:space="0" w:color="auto"/>
        <w:right w:val="none" w:sz="0" w:space="0" w:color="auto"/>
      </w:divBdr>
    </w:div>
    <w:div w:id="405809790">
      <w:bodyDiv w:val="1"/>
      <w:marLeft w:val="0"/>
      <w:marRight w:val="0"/>
      <w:marTop w:val="0"/>
      <w:marBottom w:val="0"/>
      <w:divBdr>
        <w:top w:val="none" w:sz="0" w:space="0" w:color="auto"/>
        <w:left w:val="none" w:sz="0" w:space="0" w:color="auto"/>
        <w:bottom w:val="none" w:sz="0" w:space="0" w:color="auto"/>
        <w:right w:val="none" w:sz="0" w:space="0" w:color="auto"/>
      </w:divBdr>
    </w:div>
    <w:div w:id="468089565">
      <w:bodyDiv w:val="1"/>
      <w:marLeft w:val="0"/>
      <w:marRight w:val="0"/>
      <w:marTop w:val="0"/>
      <w:marBottom w:val="0"/>
      <w:divBdr>
        <w:top w:val="none" w:sz="0" w:space="0" w:color="auto"/>
        <w:left w:val="none" w:sz="0" w:space="0" w:color="auto"/>
        <w:bottom w:val="none" w:sz="0" w:space="0" w:color="auto"/>
        <w:right w:val="none" w:sz="0" w:space="0" w:color="auto"/>
      </w:divBdr>
    </w:div>
    <w:div w:id="469978623">
      <w:bodyDiv w:val="1"/>
      <w:marLeft w:val="0"/>
      <w:marRight w:val="0"/>
      <w:marTop w:val="0"/>
      <w:marBottom w:val="0"/>
      <w:divBdr>
        <w:top w:val="none" w:sz="0" w:space="0" w:color="auto"/>
        <w:left w:val="none" w:sz="0" w:space="0" w:color="auto"/>
        <w:bottom w:val="none" w:sz="0" w:space="0" w:color="auto"/>
        <w:right w:val="none" w:sz="0" w:space="0" w:color="auto"/>
      </w:divBdr>
    </w:div>
    <w:div w:id="564529517">
      <w:bodyDiv w:val="1"/>
      <w:marLeft w:val="0"/>
      <w:marRight w:val="0"/>
      <w:marTop w:val="0"/>
      <w:marBottom w:val="0"/>
      <w:divBdr>
        <w:top w:val="none" w:sz="0" w:space="0" w:color="auto"/>
        <w:left w:val="none" w:sz="0" w:space="0" w:color="auto"/>
        <w:bottom w:val="none" w:sz="0" w:space="0" w:color="auto"/>
        <w:right w:val="none" w:sz="0" w:space="0" w:color="auto"/>
      </w:divBdr>
    </w:div>
    <w:div w:id="598101725">
      <w:bodyDiv w:val="1"/>
      <w:marLeft w:val="0"/>
      <w:marRight w:val="0"/>
      <w:marTop w:val="0"/>
      <w:marBottom w:val="0"/>
      <w:divBdr>
        <w:top w:val="none" w:sz="0" w:space="0" w:color="auto"/>
        <w:left w:val="none" w:sz="0" w:space="0" w:color="auto"/>
        <w:bottom w:val="none" w:sz="0" w:space="0" w:color="auto"/>
        <w:right w:val="none" w:sz="0" w:space="0" w:color="auto"/>
      </w:divBdr>
    </w:div>
    <w:div w:id="726295097">
      <w:bodyDiv w:val="1"/>
      <w:marLeft w:val="0"/>
      <w:marRight w:val="0"/>
      <w:marTop w:val="0"/>
      <w:marBottom w:val="0"/>
      <w:divBdr>
        <w:top w:val="none" w:sz="0" w:space="0" w:color="auto"/>
        <w:left w:val="none" w:sz="0" w:space="0" w:color="auto"/>
        <w:bottom w:val="none" w:sz="0" w:space="0" w:color="auto"/>
        <w:right w:val="none" w:sz="0" w:space="0" w:color="auto"/>
      </w:divBdr>
    </w:div>
    <w:div w:id="844133945">
      <w:bodyDiv w:val="1"/>
      <w:marLeft w:val="0"/>
      <w:marRight w:val="0"/>
      <w:marTop w:val="0"/>
      <w:marBottom w:val="0"/>
      <w:divBdr>
        <w:top w:val="none" w:sz="0" w:space="0" w:color="auto"/>
        <w:left w:val="none" w:sz="0" w:space="0" w:color="auto"/>
        <w:bottom w:val="none" w:sz="0" w:space="0" w:color="auto"/>
        <w:right w:val="none" w:sz="0" w:space="0" w:color="auto"/>
      </w:divBdr>
    </w:div>
    <w:div w:id="998582657">
      <w:bodyDiv w:val="1"/>
      <w:marLeft w:val="0"/>
      <w:marRight w:val="0"/>
      <w:marTop w:val="0"/>
      <w:marBottom w:val="0"/>
      <w:divBdr>
        <w:top w:val="none" w:sz="0" w:space="0" w:color="auto"/>
        <w:left w:val="none" w:sz="0" w:space="0" w:color="auto"/>
        <w:bottom w:val="none" w:sz="0" w:space="0" w:color="auto"/>
        <w:right w:val="none" w:sz="0" w:space="0" w:color="auto"/>
      </w:divBdr>
    </w:div>
    <w:div w:id="1003975399">
      <w:bodyDiv w:val="1"/>
      <w:marLeft w:val="0"/>
      <w:marRight w:val="0"/>
      <w:marTop w:val="0"/>
      <w:marBottom w:val="0"/>
      <w:divBdr>
        <w:top w:val="none" w:sz="0" w:space="0" w:color="auto"/>
        <w:left w:val="none" w:sz="0" w:space="0" w:color="auto"/>
        <w:bottom w:val="none" w:sz="0" w:space="0" w:color="auto"/>
        <w:right w:val="none" w:sz="0" w:space="0" w:color="auto"/>
      </w:divBdr>
    </w:div>
    <w:div w:id="1020013418">
      <w:bodyDiv w:val="1"/>
      <w:marLeft w:val="0"/>
      <w:marRight w:val="0"/>
      <w:marTop w:val="0"/>
      <w:marBottom w:val="0"/>
      <w:divBdr>
        <w:top w:val="none" w:sz="0" w:space="0" w:color="auto"/>
        <w:left w:val="none" w:sz="0" w:space="0" w:color="auto"/>
        <w:bottom w:val="none" w:sz="0" w:space="0" w:color="auto"/>
        <w:right w:val="none" w:sz="0" w:space="0" w:color="auto"/>
      </w:divBdr>
    </w:div>
    <w:div w:id="1046376245">
      <w:bodyDiv w:val="1"/>
      <w:marLeft w:val="0"/>
      <w:marRight w:val="0"/>
      <w:marTop w:val="0"/>
      <w:marBottom w:val="0"/>
      <w:divBdr>
        <w:top w:val="none" w:sz="0" w:space="0" w:color="auto"/>
        <w:left w:val="none" w:sz="0" w:space="0" w:color="auto"/>
        <w:bottom w:val="none" w:sz="0" w:space="0" w:color="auto"/>
        <w:right w:val="none" w:sz="0" w:space="0" w:color="auto"/>
      </w:divBdr>
    </w:div>
    <w:div w:id="1180043328">
      <w:bodyDiv w:val="1"/>
      <w:marLeft w:val="0"/>
      <w:marRight w:val="0"/>
      <w:marTop w:val="0"/>
      <w:marBottom w:val="0"/>
      <w:divBdr>
        <w:top w:val="none" w:sz="0" w:space="0" w:color="auto"/>
        <w:left w:val="none" w:sz="0" w:space="0" w:color="auto"/>
        <w:bottom w:val="none" w:sz="0" w:space="0" w:color="auto"/>
        <w:right w:val="none" w:sz="0" w:space="0" w:color="auto"/>
      </w:divBdr>
    </w:div>
    <w:div w:id="1201406292">
      <w:bodyDiv w:val="1"/>
      <w:marLeft w:val="0"/>
      <w:marRight w:val="0"/>
      <w:marTop w:val="0"/>
      <w:marBottom w:val="0"/>
      <w:divBdr>
        <w:top w:val="none" w:sz="0" w:space="0" w:color="auto"/>
        <w:left w:val="none" w:sz="0" w:space="0" w:color="auto"/>
        <w:bottom w:val="none" w:sz="0" w:space="0" w:color="auto"/>
        <w:right w:val="none" w:sz="0" w:space="0" w:color="auto"/>
      </w:divBdr>
    </w:div>
    <w:div w:id="1203789940">
      <w:bodyDiv w:val="1"/>
      <w:marLeft w:val="0"/>
      <w:marRight w:val="0"/>
      <w:marTop w:val="0"/>
      <w:marBottom w:val="0"/>
      <w:divBdr>
        <w:top w:val="none" w:sz="0" w:space="0" w:color="auto"/>
        <w:left w:val="none" w:sz="0" w:space="0" w:color="auto"/>
        <w:bottom w:val="none" w:sz="0" w:space="0" w:color="auto"/>
        <w:right w:val="none" w:sz="0" w:space="0" w:color="auto"/>
      </w:divBdr>
    </w:div>
    <w:div w:id="1208226316">
      <w:bodyDiv w:val="1"/>
      <w:marLeft w:val="0"/>
      <w:marRight w:val="0"/>
      <w:marTop w:val="0"/>
      <w:marBottom w:val="0"/>
      <w:divBdr>
        <w:top w:val="none" w:sz="0" w:space="0" w:color="auto"/>
        <w:left w:val="none" w:sz="0" w:space="0" w:color="auto"/>
        <w:bottom w:val="none" w:sz="0" w:space="0" w:color="auto"/>
        <w:right w:val="none" w:sz="0" w:space="0" w:color="auto"/>
      </w:divBdr>
    </w:div>
    <w:div w:id="1285767017">
      <w:bodyDiv w:val="1"/>
      <w:marLeft w:val="0"/>
      <w:marRight w:val="0"/>
      <w:marTop w:val="0"/>
      <w:marBottom w:val="0"/>
      <w:divBdr>
        <w:top w:val="none" w:sz="0" w:space="0" w:color="auto"/>
        <w:left w:val="none" w:sz="0" w:space="0" w:color="auto"/>
        <w:bottom w:val="none" w:sz="0" w:space="0" w:color="auto"/>
        <w:right w:val="none" w:sz="0" w:space="0" w:color="auto"/>
      </w:divBdr>
    </w:div>
    <w:div w:id="1306274639">
      <w:bodyDiv w:val="1"/>
      <w:marLeft w:val="0"/>
      <w:marRight w:val="0"/>
      <w:marTop w:val="0"/>
      <w:marBottom w:val="0"/>
      <w:divBdr>
        <w:top w:val="none" w:sz="0" w:space="0" w:color="auto"/>
        <w:left w:val="none" w:sz="0" w:space="0" w:color="auto"/>
        <w:bottom w:val="none" w:sz="0" w:space="0" w:color="auto"/>
        <w:right w:val="none" w:sz="0" w:space="0" w:color="auto"/>
      </w:divBdr>
    </w:div>
    <w:div w:id="1309169668">
      <w:bodyDiv w:val="1"/>
      <w:marLeft w:val="0"/>
      <w:marRight w:val="0"/>
      <w:marTop w:val="0"/>
      <w:marBottom w:val="0"/>
      <w:divBdr>
        <w:top w:val="none" w:sz="0" w:space="0" w:color="auto"/>
        <w:left w:val="none" w:sz="0" w:space="0" w:color="auto"/>
        <w:bottom w:val="none" w:sz="0" w:space="0" w:color="auto"/>
        <w:right w:val="none" w:sz="0" w:space="0" w:color="auto"/>
      </w:divBdr>
    </w:div>
    <w:div w:id="1320385156">
      <w:bodyDiv w:val="1"/>
      <w:marLeft w:val="0"/>
      <w:marRight w:val="0"/>
      <w:marTop w:val="0"/>
      <w:marBottom w:val="0"/>
      <w:divBdr>
        <w:top w:val="none" w:sz="0" w:space="0" w:color="auto"/>
        <w:left w:val="none" w:sz="0" w:space="0" w:color="auto"/>
        <w:bottom w:val="none" w:sz="0" w:space="0" w:color="auto"/>
        <w:right w:val="none" w:sz="0" w:space="0" w:color="auto"/>
      </w:divBdr>
    </w:div>
    <w:div w:id="1399981342">
      <w:bodyDiv w:val="1"/>
      <w:marLeft w:val="0"/>
      <w:marRight w:val="0"/>
      <w:marTop w:val="0"/>
      <w:marBottom w:val="0"/>
      <w:divBdr>
        <w:top w:val="none" w:sz="0" w:space="0" w:color="auto"/>
        <w:left w:val="none" w:sz="0" w:space="0" w:color="auto"/>
        <w:bottom w:val="none" w:sz="0" w:space="0" w:color="auto"/>
        <w:right w:val="none" w:sz="0" w:space="0" w:color="auto"/>
      </w:divBdr>
    </w:div>
    <w:div w:id="1416973348">
      <w:bodyDiv w:val="1"/>
      <w:marLeft w:val="0"/>
      <w:marRight w:val="0"/>
      <w:marTop w:val="0"/>
      <w:marBottom w:val="0"/>
      <w:divBdr>
        <w:top w:val="none" w:sz="0" w:space="0" w:color="auto"/>
        <w:left w:val="none" w:sz="0" w:space="0" w:color="auto"/>
        <w:bottom w:val="none" w:sz="0" w:space="0" w:color="auto"/>
        <w:right w:val="none" w:sz="0" w:space="0" w:color="auto"/>
      </w:divBdr>
    </w:div>
    <w:div w:id="1476337110">
      <w:bodyDiv w:val="1"/>
      <w:marLeft w:val="0"/>
      <w:marRight w:val="0"/>
      <w:marTop w:val="0"/>
      <w:marBottom w:val="0"/>
      <w:divBdr>
        <w:top w:val="none" w:sz="0" w:space="0" w:color="auto"/>
        <w:left w:val="none" w:sz="0" w:space="0" w:color="auto"/>
        <w:bottom w:val="none" w:sz="0" w:space="0" w:color="auto"/>
        <w:right w:val="none" w:sz="0" w:space="0" w:color="auto"/>
      </w:divBdr>
    </w:div>
    <w:div w:id="1504278684">
      <w:bodyDiv w:val="1"/>
      <w:marLeft w:val="0"/>
      <w:marRight w:val="0"/>
      <w:marTop w:val="0"/>
      <w:marBottom w:val="0"/>
      <w:divBdr>
        <w:top w:val="none" w:sz="0" w:space="0" w:color="auto"/>
        <w:left w:val="none" w:sz="0" w:space="0" w:color="auto"/>
        <w:bottom w:val="none" w:sz="0" w:space="0" w:color="auto"/>
        <w:right w:val="none" w:sz="0" w:space="0" w:color="auto"/>
      </w:divBdr>
    </w:div>
    <w:div w:id="1564483084">
      <w:bodyDiv w:val="1"/>
      <w:marLeft w:val="0"/>
      <w:marRight w:val="0"/>
      <w:marTop w:val="0"/>
      <w:marBottom w:val="0"/>
      <w:divBdr>
        <w:top w:val="none" w:sz="0" w:space="0" w:color="auto"/>
        <w:left w:val="none" w:sz="0" w:space="0" w:color="auto"/>
        <w:bottom w:val="none" w:sz="0" w:space="0" w:color="auto"/>
        <w:right w:val="none" w:sz="0" w:space="0" w:color="auto"/>
      </w:divBdr>
    </w:div>
    <w:div w:id="1631285035">
      <w:bodyDiv w:val="1"/>
      <w:marLeft w:val="0"/>
      <w:marRight w:val="0"/>
      <w:marTop w:val="0"/>
      <w:marBottom w:val="0"/>
      <w:divBdr>
        <w:top w:val="none" w:sz="0" w:space="0" w:color="auto"/>
        <w:left w:val="none" w:sz="0" w:space="0" w:color="auto"/>
        <w:bottom w:val="none" w:sz="0" w:space="0" w:color="auto"/>
        <w:right w:val="none" w:sz="0" w:space="0" w:color="auto"/>
      </w:divBdr>
    </w:div>
    <w:div w:id="1652631595">
      <w:bodyDiv w:val="1"/>
      <w:marLeft w:val="0"/>
      <w:marRight w:val="0"/>
      <w:marTop w:val="0"/>
      <w:marBottom w:val="0"/>
      <w:divBdr>
        <w:top w:val="none" w:sz="0" w:space="0" w:color="auto"/>
        <w:left w:val="none" w:sz="0" w:space="0" w:color="auto"/>
        <w:bottom w:val="none" w:sz="0" w:space="0" w:color="auto"/>
        <w:right w:val="none" w:sz="0" w:space="0" w:color="auto"/>
      </w:divBdr>
    </w:div>
    <w:div w:id="1663391249">
      <w:bodyDiv w:val="1"/>
      <w:marLeft w:val="0"/>
      <w:marRight w:val="0"/>
      <w:marTop w:val="0"/>
      <w:marBottom w:val="0"/>
      <w:divBdr>
        <w:top w:val="none" w:sz="0" w:space="0" w:color="auto"/>
        <w:left w:val="none" w:sz="0" w:space="0" w:color="auto"/>
        <w:bottom w:val="none" w:sz="0" w:space="0" w:color="auto"/>
        <w:right w:val="none" w:sz="0" w:space="0" w:color="auto"/>
      </w:divBdr>
    </w:div>
    <w:div w:id="1664822337">
      <w:bodyDiv w:val="1"/>
      <w:marLeft w:val="0"/>
      <w:marRight w:val="0"/>
      <w:marTop w:val="0"/>
      <w:marBottom w:val="0"/>
      <w:divBdr>
        <w:top w:val="none" w:sz="0" w:space="0" w:color="auto"/>
        <w:left w:val="none" w:sz="0" w:space="0" w:color="auto"/>
        <w:bottom w:val="none" w:sz="0" w:space="0" w:color="auto"/>
        <w:right w:val="none" w:sz="0" w:space="0" w:color="auto"/>
      </w:divBdr>
    </w:div>
    <w:div w:id="1757552603">
      <w:bodyDiv w:val="1"/>
      <w:marLeft w:val="0"/>
      <w:marRight w:val="0"/>
      <w:marTop w:val="0"/>
      <w:marBottom w:val="0"/>
      <w:divBdr>
        <w:top w:val="none" w:sz="0" w:space="0" w:color="auto"/>
        <w:left w:val="none" w:sz="0" w:space="0" w:color="auto"/>
        <w:bottom w:val="none" w:sz="0" w:space="0" w:color="auto"/>
        <w:right w:val="none" w:sz="0" w:space="0" w:color="auto"/>
      </w:divBdr>
    </w:div>
    <w:div w:id="1857887027">
      <w:bodyDiv w:val="1"/>
      <w:marLeft w:val="0"/>
      <w:marRight w:val="0"/>
      <w:marTop w:val="0"/>
      <w:marBottom w:val="0"/>
      <w:divBdr>
        <w:top w:val="none" w:sz="0" w:space="0" w:color="auto"/>
        <w:left w:val="none" w:sz="0" w:space="0" w:color="auto"/>
        <w:bottom w:val="none" w:sz="0" w:space="0" w:color="auto"/>
        <w:right w:val="none" w:sz="0" w:space="0" w:color="auto"/>
      </w:divBdr>
    </w:div>
    <w:div w:id="1972440114">
      <w:bodyDiv w:val="1"/>
      <w:marLeft w:val="0"/>
      <w:marRight w:val="0"/>
      <w:marTop w:val="0"/>
      <w:marBottom w:val="0"/>
      <w:divBdr>
        <w:top w:val="none" w:sz="0" w:space="0" w:color="auto"/>
        <w:left w:val="none" w:sz="0" w:space="0" w:color="auto"/>
        <w:bottom w:val="none" w:sz="0" w:space="0" w:color="auto"/>
        <w:right w:val="none" w:sz="0" w:space="0" w:color="auto"/>
      </w:divBdr>
    </w:div>
    <w:div w:id="1984039559">
      <w:bodyDiv w:val="1"/>
      <w:marLeft w:val="0"/>
      <w:marRight w:val="0"/>
      <w:marTop w:val="0"/>
      <w:marBottom w:val="0"/>
      <w:divBdr>
        <w:top w:val="none" w:sz="0" w:space="0" w:color="auto"/>
        <w:left w:val="none" w:sz="0" w:space="0" w:color="auto"/>
        <w:bottom w:val="none" w:sz="0" w:space="0" w:color="auto"/>
        <w:right w:val="none" w:sz="0" w:space="0" w:color="auto"/>
      </w:divBdr>
    </w:div>
    <w:div w:id="2016955375">
      <w:bodyDiv w:val="1"/>
      <w:marLeft w:val="0"/>
      <w:marRight w:val="0"/>
      <w:marTop w:val="0"/>
      <w:marBottom w:val="0"/>
      <w:divBdr>
        <w:top w:val="none" w:sz="0" w:space="0" w:color="auto"/>
        <w:left w:val="none" w:sz="0" w:space="0" w:color="auto"/>
        <w:bottom w:val="none" w:sz="0" w:space="0" w:color="auto"/>
        <w:right w:val="none" w:sz="0" w:space="0" w:color="auto"/>
      </w:divBdr>
    </w:div>
    <w:div w:id="2035574768">
      <w:bodyDiv w:val="1"/>
      <w:marLeft w:val="0"/>
      <w:marRight w:val="0"/>
      <w:marTop w:val="0"/>
      <w:marBottom w:val="0"/>
      <w:divBdr>
        <w:top w:val="none" w:sz="0" w:space="0" w:color="auto"/>
        <w:left w:val="none" w:sz="0" w:space="0" w:color="auto"/>
        <w:bottom w:val="none" w:sz="0" w:space="0" w:color="auto"/>
        <w:right w:val="none" w:sz="0" w:space="0" w:color="auto"/>
      </w:divBdr>
    </w:div>
    <w:div w:id="20676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ldenbivirkning.d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9C14E576F15D04BA72CC2859C24555C" ma:contentTypeVersion="1" ma:contentTypeDescription="Opret et nyt dokument." ma:contentTypeScope="" ma:versionID="1a0331b47e7788dd4422a6d39005cad5">
  <xsd:schema xmlns:xsd="http://www.w3.org/2001/XMLSchema" xmlns:xs="http://www.w3.org/2001/XMLSchema" xmlns:p="http://schemas.microsoft.com/office/2006/metadata/properties" xmlns:ns3="77b83af6-e056-4b91-98a8-47da96f4673e" targetNamespace="http://schemas.microsoft.com/office/2006/metadata/properties" ma:root="true" ma:fieldsID="94a1b99e2b92126a13e6f8ddef364c8a" ns3:_="">
    <xsd:import namespace="77b83af6-e056-4b91-98a8-47da96f4673e"/>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83af6-e056-4b91-98a8-47da96f467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4745A-6121-4301-BBDF-6D8284D4F7C2}">
  <ds:schemaRef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 ds:uri="77b83af6-e056-4b91-98a8-47da96f4673e"/>
  </ds:schemaRefs>
</ds:datastoreItem>
</file>

<file path=customXml/itemProps2.xml><?xml version="1.0" encoding="utf-8"?>
<ds:datastoreItem xmlns:ds="http://schemas.openxmlformats.org/officeDocument/2006/customXml" ds:itemID="{98FDC62E-9B4D-4E11-A40A-42A08F39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83af6-e056-4b91-98a8-47da96f46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B0A6D-B174-4C08-91ED-9F5CADD87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3847</Words>
  <Characters>24860</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Ronnovius</dc:creator>
  <cp:keywords/>
  <dc:description>2025100689 SPC pkt. 4.2, 4.4, 4.7, 4.8, 5.3, QRD9</dc:description>
  <cp:lastModifiedBy>Gitte Ronnovius</cp:lastModifiedBy>
  <cp:revision>3</cp:revision>
  <cp:lastPrinted>2011-07-05T09:45:00Z</cp:lastPrinted>
  <dcterms:created xsi:type="dcterms:W3CDTF">2026-03-13T12:35:00Z</dcterms:created>
  <dcterms:modified xsi:type="dcterms:W3CDTF">2026-03-13T12:36:00Z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1143362010</vt:i4>
  </property>
  <property fmtid="{D5CDD505-2E9C-101B-9397-08002B2CF9AE}" pid="3" name="_EmailSubject">
    <vt:lpwstr>SV: </vt:lpwstr>
  </property>
  <property fmtid="{D5CDD505-2E9C-101B-9397-08002B2CF9AE}" pid="4" name="_AuthorEmail">
    <vt:lpwstr>HTI@dkma.dk</vt:lpwstr>
  </property>
  <property fmtid="{D5CDD505-2E9C-101B-9397-08002B2CF9AE}" pid="5" name="_AuthorEmailDisplayName">
    <vt:lpwstr>HANNE THY IVERSEN - 9268</vt:lpwstr>
  </property>
  <property fmtid="{D5CDD505-2E9C-101B-9397-08002B2CF9AE}" pid="6" name="_ReviewingToolsShownOnce">
    <vt:lpwstr/>
  </property>
  <property fmtid="{D5CDD505-2E9C-101B-9397-08002B2CF9AE}" pid="7" name="ContentTypeId">
    <vt:lpwstr>0x01010079C14E576F15D04BA72CC2859C24555C</vt:lpwstr>
  </property>
</Properties>
</file>