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AB06B" w14:textId="77777777" w:rsidR="004A3BF4" w:rsidRPr="00C5726D" w:rsidRDefault="00056601" w:rsidP="004A3BF4">
      <w:pPr>
        <w:rPr>
          <w:sz w:val="24"/>
          <w:szCs w:val="24"/>
          <w:lang w:val="en-GB"/>
        </w:rPr>
      </w:pPr>
      <w:bookmarkStart w:id="0" w:name="_GoBack"/>
      <w:bookmarkEnd w:id="0"/>
      <w:r w:rsidRPr="00C5726D">
        <w:rPr>
          <w:noProof/>
          <w:sz w:val="24"/>
          <w:szCs w:val="24"/>
          <w:lang w:val="en-GB"/>
        </w:rPr>
        <w:drawing>
          <wp:inline distT="0" distB="0" distL="0" distR="0" wp14:anchorId="79CF8B49" wp14:editId="2A1F753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4DECC6B" w14:textId="77777777" w:rsidR="006B3847" w:rsidRPr="00C5726D" w:rsidRDefault="006B3847" w:rsidP="006B3847">
      <w:pPr>
        <w:rPr>
          <w:sz w:val="24"/>
          <w:szCs w:val="24"/>
          <w:lang w:val="en-GB"/>
        </w:rPr>
      </w:pPr>
    </w:p>
    <w:p w14:paraId="1254ECA8" w14:textId="06371B00" w:rsidR="006B3847" w:rsidRPr="00C5726D" w:rsidRDefault="006B3847" w:rsidP="006B3847">
      <w:pPr>
        <w:tabs>
          <w:tab w:val="right" w:pos="9356"/>
        </w:tabs>
        <w:rPr>
          <w:b/>
          <w:sz w:val="24"/>
          <w:szCs w:val="24"/>
          <w:lang w:val="en-GB"/>
        </w:rPr>
      </w:pPr>
      <w:r w:rsidRPr="00C5726D">
        <w:rPr>
          <w:b/>
          <w:sz w:val="24"/>
          <w:szCs w:val="24"/>
          <w:lang w:val="en-GB"/>
        </w:rPr>
        <w:tab/>
      </w:r>
      <w:r w:rsidR="00174F65" w:rsidRPr="00C5726D">
        <w:rPr>
          <w:b/>
          <w:sz w:val="24"/>
          <w:szCs w:val="24"/>
          <w:lang w:val="en-GB"/>
        </w:rPr>
        <w:t>16 October 2024</w:t>
      </w:r>
    </w:p>
    <w:p w14:paraId="5F079CF4" w14:textId="77777777" w:rsidR="006B3847" w:rsidRPr="00C5726D" w:rsidRDefault="006B3847" w:rsidP="006B3847">
      <w:pPr>
        <w:rPr>
          <w:sz w:val="24"/>
          <w:szCs w:val="24"/>
          <w:lang w:val="en-GB"/>
        </w:rPr>
      </w:pPr>
    </w:p>
    <w:p w14:paraId="421D381F" w14:textId="77777777" w:rsidR="007C5D2A" w:rsidRPr="00C5726D" w:rsidRDefault="007C5D2A" w:rsidP="007C5D2A">
      <w:pPr>
        <w:rPr>
          <w:sz w:val="24"/>
          <w:szCs w:val="24"/>
          <w:lang w:val="en-GB"/>
        </w:rPr>
      </w:pPr>
    </w:p>
    <w:p w14:paraId="75FEE449" w14:textId="77777777" w:rsidR="007C5D2A" w:rsidRPr="00C5726D" w:rsidRDefault="007C5D2A" w:rsidP="007C5D2A">
      <w:pPr>
        <w:rPr>
          <w:sz w:val="24"/>
          <w:szCs w:val="24"/>
          <w:lang w:val="en-GB"/>
        </w:rPr>
      </w:pPr>
    </w:p>
    <w:p w14:paraId="4E88BB5B" w14:textId="77777777" w:rsidR="007C5D2A" w:rsidRPr="00C5726D" w:rsidRDefault="007C5D2A" w:rsidP="007C5D2A">
      <w:pPr>
        <w:jc w:val="center"/>
        <w:rPr>
          <w:b/>
          <w:sz w:val="24"/>
          <w:szCs w:val="24"/>
          <w:lang w:val="en-GB"/>
        </w:rPr>
      </w:pPr>
      <w:bookmarkStart w:id="1" w:name="_Hlk49158549"/>
      <w:r w:rsidRPr="00C5726D">
        <w:rPr>
          <w:b/>
          <w:sz w:val="24"/>
          <w:szCs w:val="24"/>
          <w:lang w:val="en-GB"/>
        </w:rPr>
        <w:t>SUMMARY OF PRODUCT CHARACTERISTICS</w:t>
      </w:r>
    </w:p>
    <w:bookmarkEnd w:id="1"/>
    <w:p w14:paraId="6E886F31" w14:textId="77777777" w:rsidR="007C5D2A" w:rsidRPr="00C5726D" w:rsidRDefault="007C5D2A" w:rsidP="007C5D2A">
      <w:pPr>
        <w:jc w:val="center"/>
        <w:rPr>
          <w:sz w:val="24"/>
          <w:szCs w:val="24"/>
          <w:lang w:val="en-GB"/>
        </w:rPr>
      </w:pPr>
    </w:p>
    <w:p w14:paraId="031EA28A" w14:textId="77777777" w:rsidR="007C5D2A" w:rsidRPr="00C5726D" w:rsidRDefault="007C5D2A" w:rsidP="007C5D2A">
      <w:pPr>
        <w:jc w:val="center"/>
        <w:rPr>
          <w:b/>
          <w:sz w:val="24"/>
          <w:szCs w:val="24"/>
          <w:lang w:val="en-GB"/>
        </w:rPr>
      </w:pPr>
      <w:r w:rsidRPr="00C5726D">
        <w:rPr>
          <w:b/>
          <w:sz w:val="24"/>
          <w:szCs w:val="24"/>
          <w:lang w:val="en-GB"/>
        </w:rPr>
        <w:t>for</w:t>
      </w:r>
    </w:p>
    <w:p w14:paraId="494E45CC" w14:textId="77777777" w:rsidR="007C5D2A" w:rsidRPr="00C5726D" w:rsidRDefault="007C5D2A" w:rsidP="007C5D2A">
      <w:pPr>
        <w:jc w:val="center"/>
        <w:rPr>
          <w:sz w:val="24"/>
          <w:szCs w:val="24"/>
          <w:lang w:val="en-GB"/>
        </w:rPr>
      </w:pPr>
    </w:p>
    <w:p w14:paraId="5AD88FC2" w14:textId="28475563" w:rsidR="007C5D2A" w:rsidRPr="00C5726D" w:rsidRDefault="00174F65" w:rsidP="007C5D2A">
      <w:pPr>
        <w:jc w:val="center"/>
        <w:rPr>
          <w:b/>
          <w:sz w:val="24"/>
          <w:szCs w:val="24"/>
          <w:lang w:val="en-GB"/>
        </w:rPr>
      </w:pPr>
      <w:proofErr w:type="spellStart"/>
      <w:r w:rsidRPr="00C5726D">
        <w:rPr>
          <w:b/>
          <w:sz w:val="24"/>
          <w:szCs w:val="24"/>
          <w:lang w:val="en-US"/>
        </w:rPr>
        <w:t>Alendronat</w:t>
      </w:r>
      <w:proofErr w:type="spellEnd"/>
      <w:r w:rsidRPr="00C5726D">
        <w:rPr>
          <w:b/>
          <w:sz w:val="24"/>
          <w:szCs w:val="24"/>
          <w:lang w:val="en-US"/>
        </w:rPr>
        <w:t xml:space="preserve"> "Teva", tablet</w:t>
      </w:r>
      <w:r w:rsidR="00DD50E4" w:rsidRPr="00C5726D">
        <w:rPr>
          <w:b/>
          <w:sz w:val="24"/>
          <w:szCs w:val="24"/>
          <w:lang w:val="en-US"/>
        </w:rPr>
        <w:t>s</w:t>
      </w:r>
      <w:r w:rsidRPr="00C5726D">
        <w:rPr>
          <w:b/>
          <w:sz w:val="24"/>
          <w:szCs w:val="24"/>
          <w:lang w:val="en-US"/>
        </w:rPr>
        <w:t xml:space="preserve"> 10 mg</w:t>
      </w:r>
      <w:r w:rsidRPr="00C5726D">
        <w:rPr>
          <w:rStyle w:val="Kommentarhenvisning"/>
          <w:b/>
          <w:sz w:val="24"/>
          <w:szCs w:val="24"/>
          <w:lang w:val="en-GB"/>
        </w:rPr>
        <w:t xml:space="preserve"> </w:t>
      </w:r>
    </w:p>
    <w:p w14:paraId="410FDE7E" w14:textId="77777777" w:rsidR="007C5D2A" w:rsidRPr="00C5726D" w:rsidRDefault="007C5D2A" w:rsidP="007C5D2A">
      <w:pPr>
        <w:jc w:val="both"/>
        <w:rPr>
          <w:sz w:val="24"/>
          <w:szCs w:val="24"/>
          <w:lang w:val="en-GB"/>
        </w:rPr>
      </w:pPr>
    </w:p>
    <w:p w14:paraId="18D75986" w14:textId="77777777" w:rsidR="0042292D" w:rsidRPr="00C5726D" w:rsidRDefault="0042292D" w:rsidP="007C5D2A">
      <w:pPr>
        <w:jc w:val="both"/>
        <w:rPr>
          <w:sz w:val="24"/>
          <w:szCs w:val="24"/>
          <w:lang w:val="en-GB"/>
        </w:rPr>
      </w:pPr>
    </w:p>
    <w:p w14:paraId="189223AD" w14:textId="77777777" w:rsidR="008F2F8C" w:rsidRPr="00C5726D" w:rsidRDefault="008F2F8C" w:rsidP="008F2F8C">
      <w:pPr>
        <w:tabs>
          <w:tab w:val="left" w:pos="8222"/>
        </w:tabs>
        <w:ind w:left="851" w:hanging="851"/>
        <w:rPr>
          <w:b/>
          <w:sz w:val="24"/>
          <w:szCs w:val="24"/>
          <w:lang w:val="en-GB"/>
        </w:rPr>
      </w:pPr>
      <w:r w:rsidRPr="00C5726D">
        <w:rPr>
          <w:b/>
          <w:sz w:val="24"/>
          <w:szCs w:val="24"/>
          <w:lang w:val="en-GB"/>
        </w:rPr>
        <w:t>0.</w:t>
      </w:r>
      <w:r w:rsidRPr="00C5726D">
        <w:rPr>
          <w:b/>
          <w:sz w:val="24"/>
          <w:szCs w:val="24"/>
          <w:lang w:val="en-GB"/>
        </w:rPr>
        <w:tab/>
      </w:r>
      <w:proofErr w:type="gramStart"/>
      <w:r w:rsidRPr="00C5726D">
        <w:rPr>
          <w:b/>
          <w:sz w:val="24"/>
          <w:szCs w:val="24"/>
          <w:lang w:val="en-GB"/>
        </w:rPr>
        <w:t>D.SP.NO</w:t>
      </w:r>
      <w:proofErr w:type="gramEnd"/>
      <w:r w:rsidRPr="00C5726D">
        <w:rPr>
          <w:b/>
          <w:sz w:val="24"/>
          <w:szCs w:val="24"/>
          <w:lang w:val="en-GB"/>
        </w:rPr>
        <w:t>.</w:t>
      </w:r>
    </w:p>
    <w:p w14:paraId="34FB6F1E" w14:textId="77777777" w:rsidR="00174F65" w:rsidRPr="00C5726D" w:rsidRDefault="00174F65" w:rsidP="00174F65">
      <w:pPr>
        <w:ind w:left="851"/>
        <w:rPr>
          <w:sz w:val="24"/>
          <w:szCs w:val="24"/>
          <w:lang w:val="en-US"/>
        </w:rPr>
      </w:pPr>
      <w:r w:rsidRPr="00C5726D">
        <w:rPr>
          <w:sz w:val="24"/>
          <w:szCs w:val="24"/>
          <w:lang w:val="en-US"/>
        </w:rPr>
        <w:t>20651</w:t>
      </w:r>
    </w:p>
    <w:p w14:paraId="396F6DF4" w14:textId="4AFF08A5" w:rsidR="008F2F8C" w:rsidRPr="00C5726D" w:rsidRDefault="008F2F8C" w:rsidP="008F2F8C">
      <w:pPr>
        <w:tabs>
          <w:tab w:val="left" w:pos="8222"/>
        </w:tabs>
        <w:ind w:left="851"/>
        <w:rPr>
          <w:sz w:val="24"/>
          <w:szCs w:val="24"/>
          <w:lang w:val="en-GB"/>
        </w:rPr>
      </w:pPr>
    </w:p>
    <w:p w14:paraId="7EB64F05" w14:textId="77777777" w:rsidR="007C5D2A" w:rsidRPr="00C5726D" w:rsidRDefault="009925C9" w:rsidP="007C5D2A">
      <w:pPr>
        <w:tabs>
          <w:tab w:val="left" w:pos="851"/>
        </w:tabs>
        <w:ind w:left="851" w:hanging="851"/>
        <w:rPr>
          <w:sz w:val="24"/>
          <w:szCs w:val="24"/>
          <w:lang w:val="en-GB"/>
        </w:rPr>
      </w:pPr>
      <w:r w:rsidRPr="00C5726D">
        <w:rPr>
          <w:b/>
          <w:sz w:val="24"/>
          <w:szCs w:val="24"/>
          <w:lang w:val="en-GB"/>
        </w:rPr>
        <w:t>1.</w:t>
      </w:r>
      <w:r w:rsidR="007C5D2A" w:rsidRPr="00C5726D">
        <w:rPr>
          <w:b/>
          <w:sz w:val="24"/>
          <w:szCs w:val="24"/>
          <w:lang w:val="en-GB"/>
        </w:rPr>
        <w:tab/>
        <w:t>NAME OF THE MEDICINAL PRODUCT</w:t>
      </w:r>
    </w:p>
    <w:p w14:paraId="1041F43E" w14:textId="77777777" w:rsidR="00174F65" w:rsidRPr="00C5726D" w:rsidRDefault="00174F65" w:rsidP="00174F65">
      <w:pPr>
        <w:ind w:left="851"/>
        <w:rPr>
          <w:sz w:val="24"/>
          <w:szCs w:val="24"/>
          <w:lang w:val="en-US"/>
        </w:rPr>
      </w:pPr>
      <w:proofErr w:type="spellStart"/>
      <w:r w:rsidRPr="00C5726D">
        <w:rPr>
          <w:sz w:val="24"/>
          <w:szCs w:val="24"/>
          <w:lang w:val="en-US"/>
        </w:rPr>
        <w:t>Alendronat</w:t>
      </w:r>
      <w:proofErr w:type="spellEnd"/>
      <w:r w:rsidRPr="00C5726D">
        <w:rPr>
          <w:sz w:val="24"/>
          <w:szCs w:val="24"/>
          <w:lang w:val="en-US"/>
        </w:rPr>
        <w:t xml:space="preserve"> "Teva"</w:t>
      </w:r>
    </w:p>
    <w:p w14:paraId="7DFB26F8" w14:textId="77777777" w:rsidR="007C5D2A" w:rsidRPr="00C5726D" w:rsidRDefault="007C5D2A" w:rsidP="004A3BF4">
      <w:pPr>
        <w:tabs>
          <w:tab w:val="left" w:pos="851"/>
        </w:tabs>
        <w:ind w:left="851"/>
        <w:rPr>
          <w:sz w:val="24"/>
          <w:szCs w:val="24"/>
          <w:lang w:val="en-GB"/>
        </w:rPr>
      </w:pPr>
    </w:p>
    <w:p w14:paraId="271306C2" w14:textId="77777777" w:rsidR="007C5D2A" w:rsidRPr="00C5726D" w:rsidRDefault="009925C9" w:rsidP="007C5D2A">
      <w:pPr>
        <w:ind w:left="851" w:hanging="851"/>
        <w:rPr>
          <w:b/>
          <w:sz w:val="24"/>
          <w:szCs w:val="24"/>
          <w:lang w:val="en-GB"/>
        </w:rPr>
      </w:pPr>
      <w:r w:rsidRPr="00C5726D">
        <w:rPr>
          <w:b/>
          <w:sz w:val="24"/>
          <w:szCs w:val="24"/>
          <w:lang w:val="en-GB"/>
        </w:rPr>
        <w:t>2.</w:t>
      </w:r>
      <w:r w:rsidR="007C5D2A" w:rsidRPr="00C5726D">
        <w:rPr>
          <w:b/>
          <w:sz w:val="24"/>
          <w:szCs w:val="24"/>
          <w:lang w:val="en-GB"/>
        </w:rPr>
        <w:tab/>
        <w:t>QUALITATIVE AND QUANTITATIVE COMPOSITION</w:t>
      </w:r>
    </w:p>
    <w:p w14:paraId="128E5E4F" w14:textId="77777777" w:rsidR="00DD50E4" w:rsidRPr="00C5726D" w:rsidRDefault="00DD50E4" w:rsidP="00C5726D">
      <w:pPr>
        <w:ind w:left="851"/>
        <w:rPr>
          <w:color w:val="000000"/>
          <w:sz w:val="24"/>
          <w:szCs w:val="24"/>
          <w:lang w:val="en-US"/>
        </w:rPr>
      </w:pPr>
      <w:r w:rsidRPr="00C5726D">
        <w:rPr>
          <w:color w:val="000000"/>
          <w:sz w:val="24"/>
          <w:szCs w:val="24"/>
          <w:lang w:val="en-US"/>
        </w:rPr>
        <w:t xml:space="preserve">Each tablet contains 10 mg </w:t>
      </w:r>
      <w:proofErr w:type="spellStart"/>
      <w:r w:rsidRPr="00C5726D">
        <w:rPr>
          <w:color w:val="000000"/>
          <w:sz w:val="24"/>
          <w:szCs w:val="24"/>
          <w:lang w:val="en-US"/>
        </w:rPr>
        <w:t>alendronic</w:t>
      </w:r>
      <w:proofErr w:type="spellEnd"/>
      <w:r w:rsidRPr="00C5726D">
        <w:rPr>
          <w:color w:val="000000"/>
          <w:sz w:val="24"/>
          <w:szCs w:val="24"/>
          <w:lang w:val="en-US"/>
        </w:rPr>
        <w:t xml:space="preserve"> acid (equivalent to 11.6 mg alendronate sodium monohydrate).</w:t>
      </w:r>
    </w:p>
    <w:p w14:paraId="7AC4BA10" w14:textId="77777777" w:rsidR="00DD50E4" w:rsidRPr="00C5726D" w:rsidRDefault="00DD50E4" w:rsidP="00C5726D">
      <w:pPr>
        <w:ind w:left="851"/>
        <w:rPr>
          <w:color w:val="000000"/>
          <w:sz w:val="24"/>
          <w:szCs w:val="24"/>
          <w:lang w:val="en-US"/>
        </w:rPr>
      </w:pPr>
      <w:r w:rsidRPr="00C5726D">
        <w:rPr>
          <w:color w:val="000000"/>
          <w:sz w:val="24"/>
          <w:szCs w:val="24"/>
          <w:lang w:val="en-US"/>
        </w:rPr>
        <w:t>For the full list of excipients, see section 6.1.</w:t>
      </w:r>
    </w:p>
    <w:p w14:paraId="64D37171" w14:textId="77777777" w:rsidR="007C5D2A" w:rsidRPr="00C5726D" w:rsidRDefault="007C5D2A" w:rsidP="004A3BF4">
      <w:pPr>
        <w:tabs>
          <w:tab w:val="left" w:pos="851"/>
        </w:tabs>
        <w:ind w:left="851"/>
        <w:rPr>
          <w:sz w:val="24"/>
          <w:szCs w:val="24"/>
          <w:lang w:val="en-GB"/>
        </w:rPr>
      </w:pPr>
    </w:p>
    <w:p w14:paraId="1EB3EC39" w14:textId="77777777" w:rsidR="007C5D2A" w:rsidRPr="00C5726D" w:rsidRDefault="007C5D2A" w:rsidP="007C5D2A">
      <w:pPr>
        <w:tabs>
          <w:tab w:val="left" w:pos="851"/>
        </w:tabs>
        <w:ind w:left="851" w:hanging="851"/>
        <w:rPr>
          <w:b/>
          <w:sz w:val="24"/>
          <w:szCs w:val="24"/>
          <w:lang w:val="en-GB"/>
        </w:rPr>
      </w:pPr>
      <w:r w:rsidRPr="00C5726D">
        <w:rPr>
          <w:b/>
          <w:sz w:val="24"/>
          <w:szCs w:val="24"/>
          <w:lang w:val="en-GB"/>
        </w:rPr>
        <w:t>3.</w:t>
      </w:r>
      <w:r w:rsidRPr="00C5726D">
        <w:rPr>
          <w:b/>
          <w:sz w:val="24"/>
          <w:szCs w:val="24"/>
          <w:lang w:val="en-GB"/>
        </w:rPr>
        <w:tab/>
        <w:t>PHARMACEUTICAL FORM</w:t>
      </w:r>
    </w:p>
    <w:p w14:paraId="511B6638" w14:textId="53272886" w:rsidR="00DD50E4" w:rsidRPr="00C5726D" w:rsidRDefault="00DD50E4" w:rsidP="00C5726D">
      <w:pPr>
        <w:ind w:left="851"/>
        <w:rPr>
          <w:color w:val="000000"/>
          <w:sz w:val="24"/>
          <w:szCs w:val="24"/>
          <w:lang w:val="en-US"/>
        </w:rPr>
      </w:pPr>
      <w:r w:rsidRPr="00C5726D">
        <w:rPr>
          <w:color w:val="000000"/>
          <w:sz w:val="24"/>
          <w:szCs w:val="24"/>
          <w:lang w:val="en-US"/>
        </w:rPr>
        <w:t>Tablet</w:t>
      </w:r>
      <w:r w:rsidR="00C261C0">
        <w:rPr>
          <w:color w:val="000000"/>
          <w:sz w:val="24"/>
          <w:szCs w:val="24"/>
          <w:lang w:val="en-US"/>
        </w:rPr>
        <w:t>s</w:t>
      </w:r>
    </w:p>
    <w:p w14:paraId="232D4524" w14:textId="77777777" w:rsidR="00DD50E4" w:rsidRPr="00C5726D" w:rsidRDefault="00DD50E4" w:rsidP="00C5726D">
      <w:pPr>
        <w:ind w:left="851"/>
        <w:rPr>
          <w:color w:val="000000"/>
          <w:sz w:val="24"/>
          <w:szCs w:val="24"/>
          <w:lang w:val="en-US"/>
        </w:rPr>
      </w:pPr>
      <w:r w:rsidRPr="00C5726D">
        <w:rPr>
          <w:color w:val="000000"/>
          <w:sz w:val="24"/>
          <w:szCs w:val="24"/>
          <w:lang w:val="en-US"/>
        </w:rPr>
        <w:t>White to off-white, round biconvex tablet, debossed with “T” on one side and “10” on the other side.</w:t>
      </w:r>
    </w:p>
    <w:p w14:paraId="1D04144F" w14:textId="77777777" w:rsidR="007C5D2A" w:rsidRPr="00C5726D" w:rsidRDefault="007C5D2A" w:rsidP="004A3BF4">
      <w:pPr>
        <w:tabs>
          <w:tab w:val="left" w:pos="851"/>
        </w:tabs>
        <w:ind w:left="851"/>
        <w:rPr>
          <w:sz w:val="24"/>
          <w:szCs w:val="24"/>
          <w:lang w:val="en-GB"/>
        </w:rPr>
      </w:pPr>
    </w:p>
    <w:p w14:paraId="408BE58E" w14:textId="77777777" w:rsidR="007C5D2A" w:rsidRPr="00C5726D" w:rsidRDefault="007C5D2A" w:rsidP="004A3BF4">
      <w:pPr>
        <w:tabs>
          <w:tab w:val="left" w:pos="851"/>
        </w:tabs>
        <w:ind w:left="851"/>
        <w:rPr>
          <w:sz w:val="24"/>
          <w:szCs w:val="24"/>
          <w:lang w:val="en-GB"/>
        </w:rPr>
      </w:pPr>
    </w:p>
    <w:p w14:paraId="51F23DAB" w14:textId="77777777" w:rsidR="007C5D2A" w:rsidRPr="00C5726D" w:rsidRDefault="007C5D2A" w:rsidP="007C5D2A">
      <w:pPr>
        <w:ind w:left="851" w:hanging="851"/>
        <w:rPr>
          <w:b/>
          <w:sz w:val="24"/>
          <w:szCs w:val="24"/>
          <w:lang w:val="en-GB"/>
        </w:rPr>
      </w:pPr>
      <w:r w:rsidRPr="00C5726D">
        <w:rPr>
          <w:b/>
          <w:sz w:val="24"/>
          <w:szCs w:val="24"/>
          <w:lang w:val="en-GB"/>
        </w:rPr>
        <w:t>4.</w:t>
      </w:r>
      <w:r w:rsidRPr="00C5726D">
        <w:rPr>
          <w:b/>
          <w:sz w:val="24"/>
          <w:szCs w:val="24"/>
          <w:lang w:val="en-GB"/>
        </w:rPr>
        <w:tab/>
        <w:t>CLINICAL PARTICULARS</w:t>
      </w:r>
    </w:p>
    <w:p w14:paraId="5534B517" w14:textId="77777777" w:rsidR="007C5D2A" w:rsidRPr="00C5726D" w:rsidRDefault="007C5D2A" w:rsidP="004A3BF4">
      <w:pPr>
        <w:tabs>
          <w:tab w:val="left" w:pos="851"/>
        </w:tabs>
        <w:ind w:left="851"/>
        <w:rPr>
          <w:sz w:val="24"/>
          <w:szCs w:val="24"/>
          <w:lang w:val="en-GB"/>
        </w:rPr>
      </w:pPr>
    </w:p>
    <w:p w14:paraId="621429BE" w14:textId="77777777" w:rsidR="007C5D2A" w:rsidRPr="00C5726D" w:rsidRDefault="007C5D2A" w:rsidP="007C5D2A">
      <w:pPr>
        <w:ind w:left="851" w:hanging="851"/>
        <w:rPr>
          <w:b/>
          <w:sz w:val="24"/>
          <w:szCs w:val="24"/>
          <w:u w:val="single"/>
          <w:lang w:val="en-GB"/>
        </w:rPr>
      </w:pPr>
      <w:r w:rsidRPr="00C5726D">
        <w:rPr>
          <w:b/>
          <w:sz w:val="24"/>
          <w:szCs w:val="24"/>
          <w:lang w:val="en-GB"/>
        </w:rPr>
        <w:t>4.1</w:t>
      </w:r>
      <w:r w:rsidRPr="00C5726D">
        <w:rPr>
          <w:b/>
          <w:sz w:val="24"/>
          <w:szCs w:val="24"/>
          <w:lang w:val="en-GB"/>
        </w:rPr>
        <w:tab/>
        <w:t>Therapeutic indications</w:t>
      </w:r>
    </w:p>
    <w:p w14:paraId="363E12EF" w14:textId="05A86827" w:rsidR="00DD50E4" w:rsidRPr="00C5726D" w:rsidRDefault="00134C49" w:rsidP="00C5726D">
      <w:pPr>
        <w:ind w:left="851"/>
        <w:rPr>
          <w:color w:val="000000"/>
          <w:sz w:val="24"/>
          <w:szCs w:val="24"/>
          <w:lang w:val="en-US"/>
        </w:rPr>
      </w:pPr>
      <w:proofErr w:type="spellStart"/>
      <w:r>
        <w:rPr>
          <w:color w:val="000000"/>
          <w:sz w:val="24"/>
          <w:szCs w:val="24"/>
          <w:lang w:val="en-US"/>
        </w:rPr>
        <w:t>Alendronat</w:t>
      </w:r>
      <w:proofErr w:type="spellEnd"/>
      <w:r>
        <w:rPr>
          <w:color w:val="000000"/>
          <w:sz w:val="24"/>
          <w:szCs w:val="24"/>
          <w:lang w:val="en-US"/>
        </w:rPr>
        <w:t xml:space="preserve"> "Teva"</w:t>
      </w:r>
      <w:r w:rsidR="00DD50E4" w:rsidRPr="00C5726D">
        <w:rPr>
          <w:color w:val="000000"/>
          <w:sz w:val="24"/>
          <w:szCs w:val="24"/>
          <w:lang w:val="en-US"/>
        </w:rPr>
        <w:t xml:space="preserve"> is indicated in adults for the treatment of osteoporosis in post-menopausal women. Alendronate reduces the risk of vertebral and hip fractures.</w:t>
      </w:r>
    </w:p>
    <w:p w14:paraId="166A6B7A" w14:textId="77777777" w:rsidR="007C5D2A" w:rsidRPr="00C5726D" w:rsidRDefault="007C5D2A" w:rsidP="00A85D26">
      <w:pPr>
        <w:tabs>
          <w:tab w:val="left" w:pos="851"/>
        </w:tabs>
        <w:ind w:left="851"/>
        <w:rPr>
          <w:sz w:val="24"/>
          <w:szCs w:val="24"/>
          <w:lang w:val="en-GB"/>
        </w:rPr>
      </w:pPr>
    </w:p>
    <w:p w14:paraId="0BA9EAD6" w14:textId="77777777" w:rsidR="007C5D2A" w:rsidRPr="00C5726D" w:rsidRDefault="009925C9" w:rsidP="007C5D2A">
      <w:pPr>
        <w:tabs>
          <w:tab w:val="left" w:pos="851"/>
        </w:tabs>
        <w:ind w:left="851" w:hanging="851"/>
        <w:rPr>
          <w:sz w:val="24"/>
          <w:szCs w:val="24"/>
          <w:lang w:val="en-GB"/>
        </w:rPr>
      </w:pPr>
      <w:r w:rsidRPr="00C5726D">
        <w:rPr>
          <w:b/>
          <w:sz w:val="24"/>
          <w:szCs w:val="24"/>
          <w:lang w:val="en-GB"/>
        </w:rPr>
        <w:t>4.2</w:t>
      </w:r>
      <w:r w:rsidR="007C5D2A" w:rsidRPr="00C5726D">
        <w:rPr>
          <w:b/>
          <w:sz w:val="24"/>
          <w:szCs w:val="24"/>
          <w:lang w:val="en-GB"/>
        </w:rPr>
        <w:tab/>
        <w:t>Posology and method of administration</w:t>
      </w:r>
    </w:p>
    <w:p w14:paraId="62898B4F" w14:textId="77777777" w:rsidR="00C261C0" w:rsidRDefault="00C261C0" w:rsidP="00C5726D">
      <w:pPr>
        <w:ind w:left="851"/>
        <w:rPr>
          <w:sz w:val="24"/>
          <w:szCs w:val="24"/>
          <w:lang w:val="en-US"/>
        </w:rPr>
      </w:pPr>
    </w:p>
    <w:p w14:paraId="26EA966E" w14:textId="204A6ECE" w:rsidR="00DD50E4" w:rsidRPr="00C261C0" w:rsidRDefault="00DD50E4" w:rsidP="00C5726D">
      <w:pPr>
        <w:ind w:left="851"/>
        <w:rPr>
          <w:sz w:val="24"/>
          <w:szCs w:val="24"/>
          <w:u w:val="single"/>
          <w:lang w:val="en-US"/>
        </w:rPr>
      </w:pPr>
      <w:r w:rsidRPr="00C261C0">
        <w:rPr>
          <w:sz w:val="24"/>
          <w:szCs w:val="24"/>
          <w:u w:val="single"/>
          <w:lang w:val="en-US"/>
        </w:rPr>
        <w:t>Posology</w:t>
      </w:r>
    </w:p>
    <w:p w14:paraId="1099B8FB" w14:textId="77777777" w:rsidR="00DD50E4" w:rsidRPr="00C5726D" w:rsidRDefault="00DD50E4" w:rsidP="00C5726D">
      <w:pPr>
        <w:ind w:left="851"/>
        <w:rPr>
          <w:sz w:val="24"/>
          <w:szCs w:val="24"/>
          <w:lang w:val="en-US"/>
        </w:rPr>
      </w:pPr>
      <w:r w:rsidRPr="00C5726D">
        <w:rPr>
          <w:sz w:val="24"/>
          <w:szCs w:val="24"/>
          <w:lang w:val="en-US"/>
        </w:rPr>
        <w:t>The recommended dosage is one 10 mg tablet once a day.</w:t>
      </w:r>
    </w:p>
    <w:p w14:paraId="745A1F71" w14:textId="77777777" w:rsidR="00DD50E4" w:rsidRPr="00C5726D" w:rsidRDefault="00DD50E4" w:rsidP="00C5726D">
      <w:pPr>
        <w:ind w:left="851"/>
        <w:rPr>
          <w:sz w:val="24"/>
          <w:szCs w:val="24"/>
          <w:lang w:val="en-US"/>
        </w:rPr>
      </w:pPr>
    </w:p>
    <w:p w14:paraId="40751CF9" w14:textId="77777777" w:rsidR="00DD50E4" w:rsidRPr="00C5726D" w:rsidRDefault="00DD50E4" w:rsidP="00C5726D">
      <w:pPr>
        <w:ind w:left="851"/>
        <w:rPr>
          <w:sz w:val="24"/>
          <w:szCs w:val="24"/>
          <w:lang w:val="en-US"/>
        </w:rPr>
      </w:pPr>
      <w:r w:rsidRPr="00C5726D">
        <w:rPr>
          <w:sz w:val="24"/>
          <w:szCs w:val="24"/>
          <w:lang w:val="en-US"/>
        </w:rPr>
        <w:t>Patients should be instructed that if they miss a dose of alendronate, they should take one tablet on the morning after they remember. They should not take two tablets on the same day but should return to taking one tablet once a day, as originally scheduled.</w:t>
      </w:r>
    </w:p>
    <w:p w14:paraId="67E55E16" w14:textId="77777777" w:rsidR="00DD50E4" w:rsidRPr="00C5726D" w:rsidRDefault="00DD50E4" w:rsidP="00C5726D">
      <w:pPr>
        <w:ind w:left="851"/>
        <w:rPr>
          <w:sz w:val="24"/>
          <w:szCs w:val="24"/>
          <w:lang w:val="en-US"/>
        </w:rPr>
      </w:pPr>
    </w:p>
    <w:p w14:paraId="655765D4" w14:textId="77777777" w:rsidR="00DD50E4" w:rsidRPr="00C5726D" w:rsidRDefault="00DD50E4" w:rsidP="00C5726D">
      <w:pPr>
        <w:ind w:left="851"/>
        <w:rPr>
          <w:sz w:val="24"/>
          <w:szCs w:val="24"/>
          <w:lang w:val="en-US"/>
        </w:rPr>
      </w:pPr>
      <w:r w:rsidRPr="00C5726D">
        <w:rPr>
          <w:sz w:val="24"/>
          <w:szCs w:val="24"/>
          <w:lang w:val="en-US"/>
        </w:rPr>
        <w:t xml:space="preserve">The optimal duration of bisphosphonate treatment for osteoporosis has not been established. The need for continued treatment should be re-evaluated periodically based on the benefits and potential risks of </w:t>
      </w:r>
      <w:proofErr w:type="spellStart"/>
      <w:r w:rsidRPr="00C5726D">
        <w:rPr>
          <w:sz w:val="24"/>
          <w:szCs w:val="24"/>
          <w:lang w:val="en-US"/>
        </w:rPr>
        <w:t>alendronic</w:t>
      </w:r>
      <w:proofErr w:type="spellEnd"/>
      <w:r w:rsidRPr="00C5726D">
        <w:rPr>
          <w:sz w:val="24"/>
          <w:szCs w:val="24"/>
          <w:lang w:val="en-US"/>
        </w:rPr>
        <w:t xml:space="preserve"> acid on an individual patient basis, particularly after 5 or more years of use.</w:t>
      </w:r>
    </w:p>
    <w:p w14:paraId="64EA6F2C" w14:textId="77777777" w:rsidR="00DD50E4" w:rsidRPr="00C261C0" w:rsidRDefault="00DD50E4" w:rsidP="00C5726D">
      <w:pPr>
        <w:ind w:left="851"/>
        <w:rPr>
          <w:sz w:val="24"/>
          <w:szCs w:val="24"/>
          <w:lang w:val="en-US"/>
        </w:rPr>
      </w:pPr>
    </w:p>
    <w:p w14:paraId="10B7E02D" w14:textId="77777777" w:rsidR="00DD50E4" w:rsidRPr="00C5726D" w:rsidRDefault="00DD50E4" w:rsidP="00C5726D">
      <w:pPr>
        <w:ind w:left="851"/>
        <w:rPr>
          <w:i/>
          <w:sz w:val="24"/>
          <w:szCs w:val="24"/>
          <w:lang w:val="en-US"/>
        </w:rPr>
      </w:pPr>
      <w:bookmarkStart w:id="2" w:name="posology"/>
      <w:bookmarkEnd w:id="2"/>
      <w:r w:rsidRPr="00C5726D">
        <w:rPr>
          <w:i/>
          <w:sz w:val="24"/>
          <w:szCs w:val="24"/>
          <w:lang w:val="en-US"/>
        </w:rPr>
        <w:t>Elderly</w:t>
      </w:r>
    </w:p>
    <w:p w14:paraId="791FD51E" w14:textId="51B23190" w:rsidR="00DD50E4" w:rsidRPr="00C5726D" w:rsidRDefault="00DD50E4" w:rsidP="00C5726D">
      <w:pPr>
        <w:ind w:left="851"/>
        <w:rPr>
          <w:sz w:val="24"/>
          <w:szCs w:val="24"/>
          <w:lang w:val="en-US"/>
        </w:rPr>
      </w:pPr>
      <w:r w:rsidRPr="00C5726D">
        <w:rPr>
          <w:sz w:val="24"/>
          <w:szCs w:val="24"/>
          <w:lang w:val="en-US"/>
        </w:rPr>
        <w:t>In clinical studies there was no age-related difference in the efficacy or safety profiles of alendronate. Therefore</w:t>
      </w:r>
      <w:r w:rsidR="00C261C0">
        <w:rPr>
          <w:sz w:val="24"/>
          <w:szCs w:val="24"/>
          <w:lang w:val="en-US"/>
        </w:rPr>
        <w:t>,</w:t>
      </w:r>
      <w:r w:rsidRPr="00C5726D">
        <w:rPr>
          <w:sz w:val="24"/>
          <w:szCs w:val="24"/>
          <w:lang w:val="en-US"/>
        </w:rPr>
        <w:t xml:space="preserve"> no dosage adjustment is necessary for the elderly.</w:t>
      </w:r>
    </w:p>
    <w:p w14:paraId="553FD7A2" w14:textId="77777777" w:rsidR="00DD50E4" w:rsidRPr="00C5726D" w:rsidRDefault="00DD50E4" w:rsidP="00C5726D">
      <w:pPr>
        <w:ind w:left="851"/>
        <w:rPr>
          <w:sz w:val="24"/>
          <w:szCs w:val="24"/>
          <w:lang w:val="en-US"/>
        </w:rPr>
      </w:pPr>
    </w:p>
    <w:p w14:paraId="0D4045E2" w14:textId="77777777" w:rsidR="00DD50E4" w:rsidRPr="00C5726D" w:rsidRDefault="00DD50E4" w:rsidP="00C5726D">
      <w:pPr>
        <w:ind w:left="851"/>
        <w:rPr>
          <w:i/>
          <w:sz w:val="24"/>
          <w:szCs w:val="24"/>
          <w:lang w:val="en-US"/>
        </w:rPr>
      </w:pPr>
      <w:r w:rsidRPr="00C5726D">
        <w:rPr>
          <w:i/>
          <w:sz w:val="24"/>
          <w:szCs w:val="24"/>
          <w:lang w:val="en-US"/>
        </w:rPr>
        <w:t>Renal impairment</w:t>
      </w:r>
    </w:p>
    <w:p w14:paraId="75C5B562" w14:textId="77777777" w:rsidR="00DD50E4" w:rsidRPr="00C5726D" w:rsidRDefault="00DD50E4" w:rsidP="00C5726D">
      <w:pPr>
        <w:ind w:left="851"/>
        <w:rPr>
          <w:sz w:val="24"/>
          <w:szCs w:val="24"/>
          <w:lang w:val="en-US"/>
        </w:rPr>
      </w:pPr>
      <w:r w:rsidRPr="00C5726D">
        <w:rPr>
          <w:sz w:val="24"/>
          <w:szCs w:val="24"/>
          <w:lang w:val="en-US"/>
        </w:rPr>
        <w:t>No dosage adjustment is necessary for patients with creatinine clearance greater than 35 ml/min. Alendronate is not recommended for patients with renal impairment where creatinine clearance is less than 35 ml/min, due to lack of experience.</w:t>
      </w:r>
    </w:p>
    <w:p w14:paraId="3CCC58FA" w14:textId="77777777" w:rsidR="00DD50E4" w:rsidRPr="00C5726D" w:rsidRDefault="00DD50E4" w:rsidP="00C5726D">
      <w:pPr>
        <w:ind w:left="851"/>
        <w:rPr>
          <w:sz w:val="24"/>
          <w:szCs w:val="24"/>
          <w:lang w:val="en-US"/>
        </w:rPr>
      </w:pPr>
    </w:p>
    <w:p w14:paraId="067E49B6" w14:textId="77777777" w:rsidR="00DD50E4" w:rsidRPr="00C5726D" w:rsidRDefault="00DD50E4" w:rsidP="00C5726D">
      <w:pPr>
        <w:ind w:left="851"/>
        <w:rPr>
          <w:sz w:val="24"/>
          <w:szCs w:val="24"/>
          <w:lang w:val="en-US" w:eastAsia="de-DE"/>
        </w:rPr>
      </w:pPr>
      <w:r w:rsidRPr="00C5726D">
        <w:rPr>
          <w:i/>
          <w:iCs/>
          <w:sz w:val="24"/>
          <w:szCs w:val="24"/>
          <w:lang w:val="en-US" w:eastAsia="de-DE"/>
        </w:rPr>
        <w:t xml:space="preserve">Paediatric population </w:t>
      </w:r>
    </w:p>
    <w:p w14:paraId="35DE8B42" w14:textId="77777777" w:rsidR="00DD50E4" w:rsidRPr="00C5726D" w:rsidRDefault="00DD50E4" w:rsidP="00C5726D">
      <w:pPr>
        <w:ind w:left="851"/>
        <w:rPr>
          <w:sz w:val="24"/>
          <w:szCs w:val="24"/>
          <w:lang w:val="en-US" w:eastAsia="de-DE"/>
        </w:rPr>
      </w:pPr>
      <w:r w:rsidRPr="00C5726D">
        <w:rPr>
          <w:sz w:val="24"/>
          <w:szCs w:val="24"/>
          <w:lang w:val="en-US" w:eastAsia="de-DE"/>
        </w:rPr>
        <w:t xml:space="preserve">The safety and efficacy of </w:t>
      </w:r>
      <w:r w:rsidRPr="00C5726D">
        <w:rPr>
          <w:sz w:val="24"/>
          <w:szCs w:val="24"/>
          <w:lang w:val="en-US"/>
        </w:rPr>
        <w:t>alendronate</w:t>
      </w:r>
      <w:r w:rsidRPr="00C5726D">
        <w:rPr>
          <w:sz w:val="24"/>
          <w:szCs w:val="24"/>
          <w:lang w:val="en-US" w:eastAsia="de-DE"/>
        </w:rPr>
        <w:t xml:space="preserve"> in children less than 18 years of age has not been established. This medicinal product should not be used in children less than 18 years of age. Currently available data for </w:t>
      </w:r>
      <w:proofErr w:type="spellStart"/>
      <w:r w:rsidRPr="00C5726D">
        <w:rPr>
          <w:sz w:val="24"/>
          <w:szCs w:val="24"/>
          <w:lang w:val="en-US" w:eastAsia="de-DE"/>
        </w:rPr>
        <w:t>alendronic</w:t>
      </w:r>
      <w:proofErr w:type="spellEnd"/>
      <w:r w:rsidRPr="00C5726D">
        <w:rPr>
          <w:sz w:val="24"/>
          <w:szCs w:val="24"/>
          <w:lang w:val="en-US" w:eastAsia="de-DE"/>
        </w:rPr>
        <w:t xml:space="preserve"> acid in the paediatric population is described in section 5.1.</w:t>
      </w:r>
    </w:p>
    <w:p w14:paraId="35912909" w14:textId="77777777" w:rsidR="00DD50E4" w:rsidRPr="00C5726D" w:rsidRDefault="00DD50E4" w:rsidP="00C5726D">
      <w:pPr>
        <w:ind w:left="851"/>
        <w:rPr>
          <w:sz w:val="24"/>
          <w:szCs w:val="24"/>
          <w:lang w:val="en-US" w:eastAsia="de-DE"/>
        </w:rPr>
      </w:pPr>
    </w:p>
    <w:p w14:paraId="1CE011BE" w14:textId="77777777" w:rsidR="00DD50E4" w:rsidRPr="00C261C0" w:rsidRDefault="00DD50E4" w:rsidP="00C5726D">
      <w:pPr>
        <w:ind w:left="851"/>
        <w:rPr>
          <w:sz w:val="24"/>
          <w:szCs w:val="24"/>
          <w:u w:val="single"/>
          <w:lang w:val="en-GB" w:eastAsia="en-US"/>
        </w:rPr>
      </w:pPr>
      <w:r w:rsidRPr="00C261C0">
        <w:rPr>
          <w:sz w:val="24"/>
          <w:szCs w:val="24"/>
          <w:u w:val="single"/>
          <w:lang w:val="en-US"/>
        </w:rPr>
        <w:t>Method of administration</w:t>
      </w:r>
    </w:p>
    <w:p w14:paraId="5B1566D6" w14:textId="77777777" w:rsidR="00DD50E4" w:rsidRPr="00C261C0" w:rsidRDefault="00DD50E4" w:rsidP="00C5726D">
      <w:pPr>
        <w:ind w:left="851"/>
        <w:rPr>
          <w:sz w:val="24"/>
          <w:szCs w:val="24"/>
          <w:lang w:val="en-US"/>
        </w:rPr>
      </w:pPr>
      <w:r w:rsidRPr="00C261C0">
        <w:rPr>
          <w:sz w:val="24"/>
          <w:szCs w:val="24"/>
          <w:lang w:val="en-US"/>
        </w:rPr>
        <w:t>Oral use.</w:t>
      </w:r>
    </w:p>
    <w:p w14:paraId="5F16FE26" w14:textId="77777777" w:rsidR="00DD50E4" w:rsidRPr="00C261C0" w:rsidRDefault="00DD50E4" w:rsidP="00C5726D">
      <w:pPr>
        <w:ind w:left="851"/>
        <w:rPr>
          <w:sz w:val="24"/>
          <w:szCs w:val="24"/>
          <w:lang w:val="en-US"/>
        </w:rPr>
      </w:pPr>
    </w:p>
    <w:p w14:paraId="1020F2EA" w14:textId="77777777" w:rsidR="00DD50E4" w:rsidRPr="00C5726D" w:rsidRDefault="00DD50E4" w:rsidP="00C5726D">
      <w:pPr>
        <w:ind w:left="851"/>
        <w:rPr>
          <w:i/>
          <w:sz w:val="24"/>
          <w:szCs w:val="24"/>
          <w:lang w:val="en-US"/>
        </w:rPr>
      </w:pPr>
      <w:r w:rsidRPr="00C5726D">
        <w:rPr>
          <w:i/>
          <w:sz w:val="24"/>
          <w:szCs w:val="24"/>
          <w:lang w:val="en-US"/>
        </w:rPr>
        <w:t>To permit adequate absorption of alendronate:</w:t>
      </w:r>
    </w:p>
    <w:p w14:paraId="5B13BF31" w14:textId="77777777" w:rsidR="00DD50E4" w:rsidRPr="00C5726D" w:rsidRDefault="00DD50E4" w:rsidP="00C5726D">
      <w:pPr>
        <w:ind w:left="851"/>
        <w:rPr>
          <w:sz w:val="24"/>
          <w:szCs w:val="24"/>
          <w:lang w:val="en-US"/>
        </w:rPr>
      </w:pPr>
      <w:r w:rsidRPr="00C5726D">
        <w:rPr>
          <w:sz w:val="24"/>
          <w:szCs w:val="24"/>
          <w:lang w:val="en-US"/>
        </w:rPr>
        <w:t>Alendronate must be taken at least 30 minutes before the first food, beverage, or medicinal product of the day with plain water only. Other beverages (including mineral water), food and some medicinal products are likely to reduce the absorption of alendronate (see section 4.5).</w:t>
      </w:r>
    </w:p>
    <w:p w14:paraId="1F9A9FE2" w14:textId="77777777" w:rsidR="00DD50E4" w:rsidRPr="00C5726D" w:rsidRDefault="00DD50E4" w:rsidP="00C5726D">
      <w:pPr>
        <w:ind w:left="851"/>
        <w:rPr>
          <w:sz w:val="24"/>
          <w:szCs w:val="24"/>
          <w:lang w:val="en-US"/>
        </w:rPr>
      </w:pPr>
    </w:p>
    <w:p w14:paraId="09F455DB" w14:textId="77777777" w:rsidR="00DD50E4" w:rsidRPr="00C5726D" w:rsidRDefault="00DD50E4" w:rsidP="00C5726D">
      <w:pPr>
        <w:ind w:left="851"/>
        <w:rPr>
          <w:sz w:val="24"/>
          <w:szCs w:val="24"/>
          <w:lang w:val="en-US"/>
        </w:rPr>
      </w:pPr>
      <w:r w:rsidRPr="00C5726D">
        <w:rPr>
          <w:sz w:val="24"/>
          <w:szCs w:val="24"/>
          <w:lang w:val="en-US"/>
        </w:rPr>
        <w:t xml:space="preserve">To facilitate delivery to the stomach and thus reduce the potential for local and </w:t>
      </w:r>
      <w:proofErr w:type="spellStart"/>
      <w:r w:rsidRPr="00C5726D">
        <w:rPr>
          <w:sz w:val="24"/>
          <w:szCs w:val="24"/>
          <w:lang w:val="en-US"/>
        </w:rPr>
        <w:t>oesophageal</w:t>
      </w:r>
      <w:proofErr w:type="spellEnd"/>
      <w:r w:rsidRPr="00C5726D">
        <w:rPr>
          <w:sz w:val="24"/>
          <w:szCs w:val="24"/>
          <w:lang w:val="en-US"/>
        </w:rPr>
        <w:t xml:space="preserve"> irritation/adverse experiences (see section 4.4):</w:t>
      </w:r>
    </w:p>
    <w:p w14:paraId="7D8E613C" w14:textId="77777777" w:rsidR="00DD50E4" w:rsidRPr="00965D23" w:rsidRDefault="00DD50E4" w:rsidP="00965D23">
      <w:pPr>
        <w:pStyle w:val="Listeafsnit"/>
        <w:numPr>
          <w:ilvl w:val="0"/>
          <w:numId w:val="9"/>
        </w:numPr>
        <w:ind w:left="1276" w:hanging="425"/>
        <w:rPr>
          <w:sz w:val="24"/>
          <w:szCs w:val="24"/>
          <w:lang w:val="en-US"/>
        </w:rPr>
      </w:pPr>
      <w:r w:rsidRPr="00965D23">
        <w:rPr>
          <w:sz w:val="24"/>
          <w:szCs w:val="24"/>
          <w:lang w:val="en-US"/>
        </w:rPr>
        <w:t>Alendronate should only be swallowed upon arising for the day with a full glass of water (not less than 200 ml).</w:t>
      </w:r>
    </w:p>
    <w:p w14:paraId="5A354138" w14:textId="77777777" w:rsidR="00DD50E4" w:rsidRPr="00965D23" w:rsidRDefault="00DD50E4" w:rsidP="00965D23">
      <w:pPr>
        <w:pStyle w:val="Listeafsnit"/>
        <w:numPr>
          <w:ilvl w:val="0"/>
          <w:numId w:val="9"/>
        </w:numPr>
        <w:ind w:left="1276" w:hanging="425"/>
        <w:rPr>
          <w:sz w:val="24"/>
          <w:szCs w:val="24"/>
          <w:lang w:val="en-US"/>
        </w:rPr>
      </w:pPr>
      <w:r w:rsidRPr="00965D23">
        <w:rPr>
          <w:sz w:val="24"/>
          <w:szCs w:val="24"/>
          <w:lang w:val="en-US"/>
        </w:rPr>
        <w:t xml:space="preserve">Patients should only swallow alendronate whole. Patients should not crush or chew the tablet or allow the tablet to dissolve in their mouths because of a potential for oropharyngeal ulceration. </w:t>
      </w:r>
    </w:p>
    <w:p w14:paraId="4813D616" w14:textId="77777777" w:rsidR="00DD50E4" w:rsidRPr="00965D23" w:rsidRDefault="00DD50E4" w:rsidP="00965D23">
      <w:pPr>
        <w:pStyle w:val="Listeafsnit"/>
        <w:numPr>
          <w:ilvl w:val="0"/>
          <w:numId w:val="9"/>
        </w:numPr>
        <w:ind w:left="1276" w:hanging="425"/>
        <w:rPr>
          <w:sz w:val="24"/>
          <w:szCs w:val="24"/>
          <w:lang w:val="en-US"/>
        </w:rPr>
      </w:pPr>
      <w:r w:rsidRPr="00965D23">
        <w:rPr>
          <w:sz w:val="24"/>
          <w:szCs w:val="24"/>
          <w:lang w:val="en-US"/>
        </w:rPr>
        <w:t xml:space="preserve">Patients should not lie down for at least 30 minutes after taking </w:t>
      </w:r>
      <w:r w:rsidRPr="00965D23">
        <w:rPr>
          <w:sz w:val="24"/>
          <w:szCs w:val="24"/>
          <w:lang w:val="fr-FR"/>
        </w:rPr>
        <w:t>alendronate and until after the first food of the day</w:t>
      </w:r>
      <w:r w:rsidRPr="00965D23">
        <w:rPr>
          <w:sz w:val="24"/>
          <w:szCs w:val="24"/>
          <w:lang w:val="en-US"/>
        </w:rPr>
        <w:t>.</w:t>
      </w:r>
    </w:p>
    <w:p w14:paraId="3C08F48A" w14:textId="77777777" w:rsidR="00DD50E4" w:rsidRPr="00965D23" w:rsidRDefault="00DD50E4" w:rsidP="00965D23">
      <w:pPr>
        <w:pStyle w:val="Listeafsnit"/>
        <w:numPr>
          <w:ilvl w:val="0"/>
          <w:numId w:val="9"/>
        </w:numPr>
        <w:ind w:left="1276" w:hanging="425"/>
        <w:rPr>
          <w:sz w:val="24"/>
          <w:szCs w:val="24"/>
          <w:lang w:val="en-US"/>
        </w:rPr>
      </w:pPr>
      <w:r w:rsidRPr="00965D23">
        <w:rPr>
          <w:sz w:val="24"/>
          <w:szCs w:val="24"/>
          <w:lang w:val="en-US"/>
        </w:rPr>
        <w:t>Alendronate should not be taken at bedtime or before arising for the day.</w:t>
      </w:r>
    </w:p>
    <w:p w14:paraId="3E9A3736" w14:textId="77777777" w:rsidR="00DD50E4" w:rsidRPr="00C5726D" w:rsidRDefault="00DD50E4" w:rsidP="00C5726D">
      <w:pPr>
        <w:ind w:left="851"/>
        <w:rPr>
          <w:sz w:val="24"/>
          <w:szCs w:val="24"/>
          <w:lang w:val="en-US"/>
        </w:rPr>
      </w:pPr>
    </w:p>
    <w:p w14:paraId="3D44EDBB" w14:textId="77777777" w:rsidR="00DD50E4" w:rsidRPr="00C5726D" w:rsidRDefault="00DD50E4" w:rsidP="00C5726D">
      <w:pPr>
        <w:ind w:left="851"/>
        <w:rPr>
          <w:sz w:val="24"/>
          <w:szCs w:val="24"/>
          <w:lang w:val="en-US"/>
        </w:rPr>
      </w:pPr>
      <w:r w:rsidRPr="00C5726D">
        <w:rPr>
          <w:sz w:val="24"/>
          <w:szCs w:val="24"/>
          <w:lang w:val="en-US"/>
        </w:rPr>
        <w:t>Patients should receive supplemental calcium and vitamin-D if dietary intake is inadequate (see section 4.4).</w:t>
      </w:r>
    </w:p>
    <w:p w14:paraId="1860F3FB" w14:textId="77777777" w:rsidR="00DD50E4" w:rsidRPr="00C5726D" w:rsidRDefault="00DD50E4" w:rsidP="00C5726D">
      <w:pPr>
        <w:ind w:left="851"/>
        <w:rPr>
          <w:sz w:val="24"/>
          <w:szCs w:val="24"/>
          <w:lang w:val="en-US"/>
        </w:rPr>
      </w:pPr>
    </w:p>
    <w:p w14:paraId="5A7C9DE1" w14:textId="77777777" w:rsidR="00DD50E4" w:rsidRPr="00C5726D" w:rsidRDefault="00DD50E4" w:rsidP="00C5726D">
      <w:pPr>
        <w:ind w:left="851"/>
        <w:rPr>
          <w:sz w:val="24"/>
          <w:szCs w:val="24"/>
          <w:lang w:val="en-US"/>
        </w:rPr>
      </w:pPr>
      <w:r w:rsidRPr="00C5726D">
        <w:rPr>
          <w:sz w:val="24"/>
          <w:szCs w:val="24"/>
          <w:lang w:val="en-US"/>
        </w:rPr>
        <w:t>Alendronate 10 mg has not been investigated in the treatment of glucocorticoid-induced osteoporosis.</w:t>
      </w:r>
    </w:p>
    <w:p w14:paraId="4DCA77A6" w14:textId="77777777" w:rsidR="007C5D2A" w:rsidRPr="00C5726D" w:rsidRDefault="007C5D2A" w:rsidP="00A85D26">
      <w:pPr>
        <w:tabs>
          <w:tab w:val="left" w:pos="851"/>
        </w:tabs>
        <w:ind w:left="851"/>
        <w:rPr>
          <w:sz w:val="24"/>
          <w:szCs w:val="24"/>
          <w:lang w:val="en-GB"/>
        </w:rPr>
      </w:pPr>
    </w:p>
    <w:p w14:paraId="6B5CECF9" w14:textId="77777777" w:rsidR="007C5D2A" w:rsidRPr="00C5726D" w:rsidRDefault="007C5D2A" w:rsidP="007C5D2A">
      <w:pPr>
        <w:tabs>
          <w:tab w:val="left" w:pos="851"/>
        </w:tabs>
        <w:ind w:left="851" w:hanging="851"/>
        <w:rPr>
          <w:b/>
          <w:sz w:val="24"/>
          <w:szCs w:val="24"/>
          <w:lang w:val="en-GB"/>
        </w:rPr>
      </w:pPr>
      <w:r w:rsidRPr="00C5726D">
        <w:rPr>
          <w:b/>
          <w:sz w:val="24"/>
          <w:szCs w:val="24"/>
          <w:lang w:val="en-GB"/>
        </w:rPr>
        <w:t>4.3</w:t>
      </w:r>
      <w:r w:rsidRPr="00C5726D">
        <w:rPr>
          <w:b/>
          <w:sz w:val="24"/>
          <w:szCs w:val="24"/>
          <w:lang w:val="en-GB"/>
        </w:rPr>
        <w:tab/>
        <w:t>Contraindications</w:t>
      </w:r>
    </w:p>
    <w:p w14:paraId="1AAA7210" w14:textId="77777777" w:rsidR="00DD50E4" w:rsidRPr="00965D23" w:rsidRDefault="00DD50E4" w:rsidP="00965D23">
      <w:pPr>
        <w:pStyle w:val="Listeafsnit"/>
        <w:numPr>
          <w:ilvl w:val="0"/>
          <w:numId w:val="10"/>
        </w:numPr>
        <w:ind w:left="1276" w:hanging="425"/>
        <w:rPr>
          <w:sz w:val="24"/>
          <w:szCs w:val="24"/>
          <w:lang w:val="en-US"/>
        </w:rPr>
      </w:pPr>
      <w:r w:rsidRPr="00965D23">
        <w:rPr>
          <w:sz w:val="24"/>
          <w:szCs w:val="24"/>
          <w:lang w:val="en-US"/>
        </w:rPr>
        <w:t>Hypersensitivity to the active substance, other bisphosphonates, or to any of the excipients listed in section 6.1.</w:t>
      </w:r>
    </w:p>
    <w:p w14:paraId="17E68CF5" w14:textId="77777777" w:rsidR="00DD50E4" w:rsidRPr="00965D23" w:rsidRDefault="00DD50E4" w:rsidP="00965D23">
      <w:pPr>
        <w:pStyle w:val="Listeafsnit"/>
        <w:numPr>
          <w:ilvl w:val="0"/>
          <w:numId w:val="10"/>
        </w:numPr>
        <w:ind w:left="1276" w:hanging="425"/>
        <w:rPr>
          <w:sz w:val="24"/>
          <w:szCs w:val="24"/>
          <w:lang w:val="en-US"/>
        </w:rPr>
      </w:pPr>
      <w:r w:rsidRPr="00965D23">
        <w:rPr>
          <w:sz w:val="24"/>
          <w:szCs w:val="24"/>
          <w:lang w:val="en-US"/>
        </w:rPr>
        <w:t xml:space="preserve">Abnormalities of the </w:t>
      </w:r>
      <w:proofErr w:type="spellStart"/>
      <w:r w:rsidRPr="00965D23">
        <w:rPr>
          <w:sz w:val="24"/>
          <w:szCs w:val="24"/>
          <w:lang w:val="en-US"/>
        </w:rPr>
        <w:t>oesophagus</w:t>
      </w:r>
      <w:proofErr w:type="spellEnd"/>
      <w:r w:rsidRPr="00965D23">
        <w:rPr>
          <w:sz w:val="24"/>
          <w:szCs w:val="24"/>
          <w:lang w:val="en-US"/>
        </w:rPr>
        <w:t xml:space="preserve"> and other factors which delay </w:t>
      </w:r>
      <w:proofErr w:type="spellStart"/>
      <w:r w:rsidRPr="00965D23">
        <w:rPr>
          <w:sz w:val="24"/>
          <w:szCs w:val="24"/>
          <w:lang w:val="en-US"/>
        </w:rPr>
        <w:t>oesophageal</w:t>
      </w:r>
      <w:proofErr w:type="spellEnd"/>
      <w:r w:rsidRPr="00965D23">
        <w:rPr>
          <w:sz w:val="24"/>
          <w:szCs w:val="24"/>
          <w:lang w:val="en-US"/>
        </w:rPr>
        <w:t xml:space="preserve"> emptying such as stricture or achalasia.</w:t>
      </w:r>
    </w:p>
    <w:p w14:paraId="02BA4EE0" w14:textId="77777777" w:rsidR="00DD50E4" w:rsidRPr="00965D23" w:rsidRDefault="00DD50E4" w:rsidP="00965D23">
      <w:pPr>
        <w:pStyle w:val="Listeafsnit"/>
        <w:numPr>
          <w:ilvl w:val="0"/>
          <w:numId w:val="10"/>
        </w:numPr>
        <w:ind w:left="1276" w:hanging="425"/>
        <w:rPr>
          <w:sz w:val="24"/>
          <w:szCs w:val="24"/>
          <w:lang w:val="en-US"/>
        </w:rPr>
      </w:pPr>
      <w:r w:rsidRPr="00965D23">
        <w:rPr>
          <w:sz w:val="24"/>
          <w:szCs w:val="24"/>
          <w:lang w:val="en-US"/>
        </w:rPr>
        <w:t>Inability to stand or sit upright for at least 30 minutes.</w:t>
      </w:r>
    </w:p>
    <w:p w14:paraId="40709FDF" w14:textId="77777777" w:rsidR="00DD50E4" w:rsidRPr="00965D23" w:rsidRDefault="00DD50E4" w:rsidP="00965D23">
      <w:pPr>
        <w:pStyle w:val="Listeafsnit"/>
        <w:numPr>
          <w:ilvl w:val="0"/>
          <w:numId w:val="10"/>
        </w:numPr>
        <w:ind w:left="1276" w:hanging="425"/>
        <w:rPr>
          <w:sz w:val="24"/>
          <w:szCs w:val="24"/>
        </w:rPr>
      </w:pPr>
      <w:proofErr w:type="spellStart"/>
      <w:r w:rsidRPr="00965D23">
        <w:rPr>
          <w:sz w:val="24"/>
          <w:szCs w:val="24"/>
        </w:rPr>
        <w:t>Hypocalcaemia</w:t>
      </w:r>
      <w:proofErr w:type="spellEnd"/>
      <w:r w:rsidRPr="00965D23">
        <w:rPr>
          <w:sz w:val="24"/>
          <w:szCs w:val="24"/>
        </w:rPr>
        <w:t>.</w:t>
      </w:r>
    </w:p>
    <w:p w14:paraId="6E6D41EA" w14:textId="77777777" w:rsidR="007C5D2A" w:rsidRPr="00C5726D" w:rsidRDefault="007C5D2A" w:rsidP="003E0341">
      <w:pPr>
        <w:tabs>
          <w:tab w:val="left" w:pos="851"/>
        </w:tabs>
        <w:ind w:left="851"/>
        <w:rPr>
          <w:sz w:val="24"/>
          <w:szCs w:val="24"/>
          <w:lang w:val="en-GB"/>
        </w:rPr>
      </w:pPr>
    </w:p>
    <w:p w14:paraId="7086A717" w14:textId="77777777" w:rsidR="007C5D2A" w:rsidRPr="00C5726D" w:rsidRDefault="007C5D2A" w:rsidP="007C5D2A">
      <w:pPr>
        <w:tabs>
          <w:tab w:val="left" w:pos="851"/>
        </w:tabs>
        <w:rPr>
          <w:b/>
          <w:sz w:val="24"/>
          <w:szCs w:val="24"/>
          <w:lang w:val="en-GB"/>
        </w:rPr>
      </w:pPr>
      <w:r w:rsidRPr="00C5726D">
        <w:rPr>
          <w:b/>
          <w:sz w:val="24"/>
          <w:szCs w:val="24"/>
          <w:lang w:val="en-GB"/>
        </w:rPr>
        <w:t>4.4</w:t>
      </w:r>
      <w:r w:rsidRPr="00C5726D">
        <w:rPr>
          <w:b/>
          <w:sz w:val="24"/>
          <w:szCs w:val="24"/>
          <w:lang w:val="en-GB"/>
        </w:rPr>
        <w:tab/>
        <w:t>Special warnings and precautions for use</w:t>
      </w:r>
    </w:p>
    <w:p w14:paraId="469399BE" w14:textId="77777777" w:rsidR="00965D23" w:rsidRDefault="00965D23" w:rsidP="00C5726D">
      <w:pPr>
        <w:ind w:left="851"/>
        <w:rPr>
          <w:sz w:val="24"/>
          <w:szCs w:val="24"/>
          <w:lang w:val="en-US"/>
        </w:rPr>
      </w:pPr>
    </w:p>
    <w:p w14:paraId="1EF56170" w14:textId="267DE3A9" w:rsidR="00DD50E4" w:rsidRPr="00965D23" w:rsidRDefault="00DD50E4" w:rsidP="00C5726D">
      <w:pPr>
        <w:ind w:left="851"/>
        <w:rPr>
          <w:b/>
          <w:color w:val="000000"/>
          <w:sz w:val="24"/>
          <w:szCs w:val="24"/>
          <w:u w:val="single"/>
          <w:lang w:val="en-US"/>
        </w:rPr>
      </w:pPr>
      <w:r w:rsidRPr="00965D23">
        <w:rPr>
          <w:sz w:val="24"/>
          <w:szCs w:val="24"/>
          <w:u w:val="single"/>
          <w:lang w:val="en-US"/>
        </w:rPr>
        <w:t>Upper gastrointestinal adverse reactions</w:t>
      </w:r>
    </w:p>
    <w:p w14:paraId="46A7BB43" w14:textId="77777777" w:rsidR="00DD50E4" w:rsidRPr="00C5726D" w:rsidRDefault="00DD50E4" w:rsidP="00C5726D">
      <w:pPr>
        <w:ind w:left="851"/>
        <w:rPr>
          <w:color w:val="000000"/>
          <w:sz w:val="24"/>
          <w:szCs w:val="24"/>
          <w:lang w:val="en-US"/>
        </w:rPr>
      </w:pPr>
      <w:bookmarkStart w:id="3" w:name="Warning"/>
      <w:bookmarkEnd w:id="3"/>
      <w:r w:rsidRPr="00C5726D">
        <w:rPr>
          <w:color w:val="000000"/>
          <w:sz w:val="24"/>
          <w:szCs w:val="24"/>
          <w:lang w:val="en-US"/>
        </w:rPr>
        <w:t xml:space="preserve">Alendronate can cause local irritation of the upper gastrointestinal mucosa. Because there is a potential for worsening of the underlying disease, caution should be used when alendronate is given to patients with active upper gastrointestinal problems, such as dysphagia, </w:t>
      </w:r>
      <w:proofErr w:type="spellStart"/>
      <w:r w:rsidRPr="00C5726D">
        <w:rPr>
          <w:color w:val="000000"/>
          <w:sz w:val="24"/>
          <w:szCs w:val="24"/>
          <w:lang w:val="en-US"/>
        </w:rPr>
        <w:t>oesophageal</w:t>
      </w:r>
      <w:proofErr w:type="spellEnd"/>
      <w:r w:rsidRPr="00C5726D">
        <w:rPr>
          <w:color w:val="000000"/>
          <w:sz w:val="24"/>
          <w:szCs w:val="24"/>
          <w:lang w:val="en-US"/>
        </w:rPr>
        <w:t xml:space="preserve"> disease, gastritis, duodenitis, ulcers, or with a recent history (within the previous year) of major gastrointestinal disease such as peptic ulcer, or active gastrointestinal bleeding, or surgery of the upper gastrointestinal tract other than pyloroplasty (see section 4.3). In patients with known Barrett's </w:t>
      </w:r>
      <w:proofErr w:type="spellStart"/>
      <w:r w:rsidRPr="00C5726D">
        <w:rPr>
          <w:color w:val="000000"/>
          <w:sz w:val="24"/>
          <w:szCs w:val="24"/>
          <w:lang w:val="en-US"/>
        </w:rPr>
        <w:t>oesophagus</w:t>
      </w:r>
      <w:proofErr w:type="spellEnd"/>
      <w:r w:rsidRPr="00C5726D">
        <w:rPr>
          <w:color w:val="000000"/>
          <w:sz w:val="24"/>
          <w:szCs w:val="24"/>
          <w:lang w:val="en-US"/>
        </w:rPr>
        <w:t>, prescribers should consider the benefits and potential risks of alendronate on an individual patient basis.</w:t>
      </w:r>
    </w:p>
    <w:p w14:paraId="2BC7CE4F" w14:textId="77777777" w:rsidR="00DD50E4" w:rsidRPr="00C5726D" w:rsidRDefault="00DD50E4" w:rsidP="00C5726D">
      <w:pPr>
        <w:ind w:left="851"/>
        <w:rPr>
          <w:color w:val="000000"/>
          <w:sz w:val="24"/>
          <w:szCs w:val="24"/>
          <w:lang w:val="en-US"/>
        </w:rPr>
      </w:pPr>
    </w:p>
    <w:p w14:paraId="2B4285CA" w14:textId="77777777" w:rsidR="00DD50E4" w:rsidRPr="00C5726D" w:rsidRDefault="00DD50E4" w:rsidP="00C5726D">
      <w:pPr>
        <w:ind w:left="851"/>
        <w:rPr>
          <w:color w:val="000000"/>
          <w:sz w:val="24"/>
          <w:szCs w:val="24"/>
          <w:lang w:val="en-US"/>
        </w:rPr>
      </w:pPr>
      <w:proofErr w:type="spellStart"/>
      <w:r w:rsidRPr="00C5726D">
        <w:rPr>
          <w:color w:val="000000"/>
          <w:sz w:val="24"/>
          <w:szCs w:val="24"/>
          <w:lang w:val="en-US"/>
        </w:rPr>
        <w:t>Oesophageal</w:t>
      </w:r>
      <w:proofErr w:type="spellEnd"/>
      <w:r w:rsidRPr="00C5726D">
        <w:rPr>
          <w:color w:val="000000"/>
          <w:sz w:val="24"/>
          <w:szCs w:val="24"/>
          <w:lang w:val="en-US"/>
        </w:rPr>
        <w:t xml:space="preserve"> reactions (sometimes severe and requiring </w:t>
      </w:r>
      <w:proofErr w:type="spellStart"/>
      <w:r w:rsidRPr="00C5726D">
        <w:rPr>
          <w:color w:val="000000"/>
          <w:sz w:val="24"/>
          <w:szCs w:val="24"/>
          <w:lang w:val="en-US"/>
        </w:rPr>
        <w:t>hospitalisation</w:t>
      </w:r>
      <w:proofErr w:type="spellEnd"/>
      <w:r w:rsidRPr="00C5726D">
        <w:rPr>
          <w:color w:val="000000"/>
          <w:sz w:val="24"/>
          <w:szCs w:val="24"/>
          <w:lang w:val="en-US"/>
        </w:rPr>
        <w:t xml:space="preserve">), such as </w:t>
      </w:r>
      <w:proofErr w:type="spellStart"/>
      <w:r w:rsidRPr="00C5726D">
        <w:rPr>
          <w:color w:val="000000"/>
          <w:sz w:val="24"/>
          <w:szCs w:val="24"/>
          <w:lang w:val="en-US"/>
        </w:rPr>
        <w:t>oesophagitis</w:t>
      </w:r>
      <w:proofErr w:type="spellEnd"/>
      <w:r w:rsidRPr="00C5726D">
        <w:rPr>
          <w:color w:val="000000"/>
          <w:sz w:val="24"/>
          <w:szCs w:val="24"/>
          <w:lang w:val="en-US"/>
        </w:rPr>
        <w:t xml:space="preserve">, </w:t>
      </w:r>
      <w:proofErr w:type="spellStart"/>
      <w:r w:rsidRPr="00C5726D">
        <w:rPr>
          <w:color w:val="000000"/>
          <w:sz w:val="24"/>
          <w:szCs w:val="24"/>
          <w:lang w:val="en-US"/>
        </w:rPr>
        <w:t>oesophageal</w:t>
      </w:r>
      <w:proofErr w:type="spellEnd"/>
      <w:r w:rsidRPr="00C5726D">
        <w:rPr>
          <w:color w:val="000000"/>
          <w:sz w:val="24"/>
          <w:szCs w:val="24"/>
          <w:lang w:val="en-US"/>
        </w:rPr>
        <w:t xml:space="preserve"> ulcers and </w:t>
      </w:r>
      <w:proofErr w:type="spellStart"/>
      <w:r w:rsidRPr="00C5726D">
        <w:rPr>
          <w:color w:val="000000"/>
          <w:sz w:val="24"/>
          <w:szCs w:val="24"/>
          <w:lang w:val="en-US"/>
        </w:rPr>
        <w:t>oesophageal</w:t>
      </w:r>
      <w:proofErr w:type="spellEnd"/>
      <w:r w:rsidRPr="00C5726D">
        <w:rPr>
          <w:color w:val="000000"/>
          <w:sz w:val="24"/>
          <w:szCs w:val="24"/>
          <w:lang w:val="en-US"/>
        </w:rPr>
        <w:t xml:space="preserve"> erosions, rarely followed by </w:t>
      </w:r>
      <w:proofErr w:type="spellStart"/>
      <w:r w:rsidRPr="00C5726D">
        <w:rPr>
          <w:color w:val="000000"/>
          <w:sz w:val="24"/>
          <w:szCs w:val="24"/>
          <w:lang w:val="en-US"/>
        </w:rPr>
        <w:t>oesophageal</w:t>
      </w:r>
      <w:proofErr w:type="spellEnd"/>
      <w:r w:rsidRPr="00C5726D">
        <w:rPr>
          <w:color w:val="000000"/>
          <w:sz w:val="24"/>
          <w:szCs w:val="24"/>
          <w:lang w:val="en-US"/>
        </w:rPr>
        <w:t xml:space="preserve"> stricture, have been reported in patients receiving alendronate. Physicians should therefore be alert to any signs or symptoms </w:t>
      </w:r>
      <w:proofErr w:type="spellStart"/>
      <w:r w:rsidRPr="00C5726D">
        <w:rPr>
          <w:color w:val="000000"/>
          <w:sz w:val="24"/>
          <w:szCs w:val="24"/>
          <w:lang w:val="en-US"/>
        </w:rPr>
        <w:t>signalling</w:t>
      </w:r>
      <w:proofErr w:type="spellEnd"/>
      <w:r w:rsidRPr="00C5726D">
        <w:rPr>
          <w:color w:val="000000"/>
          <w:sz w:val="24"/>
          <w:szCs w:val="24"/>
          <w:lang w:val="en-US"/>
        </w:rPr>
        <w:t xml:space="preserve"> a possible </w:t>
      </w:r>
      <w:proofErr w:type="spellStart"/>
      <w:r w:rsidRPr="00C5726D">
        <w:rPr>
          <w:color w:val="000000"/>
          <w:sz w:val="24"/>
          <w:szCs w:val="24"/>
          <w:lang w:val="en-US"/>
        </w:rPr>
        <w:t>oesophageal</w:t>
      </w:r>
      <w:proofErr w:type="spellEnd"/>
      <w:r w:rsidRPr="00C5726D">
        <w:rPr>
          <w:color w:val="000000"/>
          <w:sz w:val="24"/>
          <w:szCs w:val="24"/>
          <w:lang w:val="en-US"/>
        </w:rPr>
        <w:t xml:space="preserve"> reaction and patients should be instructed to discontinue alendronate and seek medical attention if they develop symptoms of </w:t>
      </w:r>
      <w:proofErr w:type="spellStart"/>
      <w:r w:rsidRPr="00C5726D">
        <w:rPr>
          <w:color w:val="000000"/>
          <w:sz w:val="24"/>
          <w:szCs w:val="24"/>
          <w:lang w:val="en-US"/>
        </w:rPr>
        <w:t>oesophageal</w:t>
      </w:r>
      <w:proofErr w:type="spellEnd"/>
      <w:r w:rsidRPr="00C5726D">
        <w:rPr>
          <w:color w:val="000000"/>
          <w:sz w:val="24"/>
          <w:szCs w:val="24"/>
          <w:lang w:val="en-US"/>
        </w:rPr>
        <w:t xml:space="preserve"> irritation such as dysphagia, pain on swallowing or retrosternal pain, new or worsening heartburn (see section 4.8).</w:t>
      </w:r>
    </w:p>
    <w:p w14:paraId="32136F19" w14:textId="77777777" w:rsidR="00DD50E4" w:rsidRPr="00C5726D" w:rsidRDefault="00DD50E4" w:rsidP="00C5726D">
      <w:pPr>
        <w:ind w:left="851"/>
        <w:rPr>
          <w:color w:val="000000"/>
          <w:sz w:val="24"/>
          <w:szCs w:val="24"/>
          <w:lang w:val="en-US"/>
        </w:rPr>
      </w:pPr>
    </w:p>
    <w:p w14:paraId="2E99EE52" w14:textId="77777777" w:rsidR="00DD50E4" w:rsidRPr="00C5726D" w:rsidRDefault="00DD50E4" w:rsidP="00C5726D">
      <w:pPr>
        <w:ind w:left="851"/>
        <w:rPr>
          <w:color w:val="000000"/>
          <w:sz w:val="24"/>
          <w:szCs w:val="24"/>
          <w:lang w:val="en-US"/>
        </w:rPr>
      </w:pPr>
      <w:r w:rsidRPr="00C5726D">
        <w:rPr>
          <w:color w:val="000000"/>
          <w:sz w:val="24"/>
          <w:szCs w:val="24"/>
          <w:lang w:val="en-US"/>
        </w:rPr>
        <w:t xml:space="preserve">The risk of severe </w:t>
      </w:r>
      <w:proofErr w:type="spellStart"/>
      <w:r w:rsidRPr="00C5726D">
        <w:rPr>
          <w:color w:val="000000"/>
          <w:sz w:val="24"/>
          <w:szCs w:val="24"/>
          <w:lang w:val="en-US"/>
        </w:rPr>
        <w:t>oesophageal</w:t>
      </w:r>
      <w:proofErr w:type="spellEnd"/>
      <w:r w:rsidRPr="00C5726D">
        <w:rPr>
          <w:color w:val="000000"/>
          <w:sz w:val="24"/>
          <w:szCs w:val="24"/>
          <w:lang w:val="en-US"/>
        </w:rPr>
        <w:t xml:space="preserve"> adverse experiences appears to be greater in patients who fail to take alendronate properly and/or who continue to take alendronate after developing symptoms suggestive of </w:t>
      </w:r>
      <w:proofErr w:type="spellStart"/>
      <w:r w:rsidRPr="00C5726D">
        <w:rPr>
          <w:color w:val="000000"/>
          <w:sz w:val="24"/>
          <w:szCs w:val="24"/>
          <w:lang w:val="en-US"/>
        </w:rPr>
        <w:t>oesophageal</w:t>
      </w:r>
      <w:proofErr w:type="spellEnd"/>
      <w:r w:rsidRPr="00C5726D">
        <w:rPr>
          <w:color w:val="000000"/>
          <w:sz w:val="24"/>
          <w:szCs w:val="24"/>
          <w:lang w:val="en-US"/>
        </w:rPr>
        <w:t xml:space="preserve"> irritation. It is very important that the full dosing instructions are provided to, and understood by the patient (see section 4.2). Patients should be informed that failure to follow these instructions may increase their risk of </w:t>
      </w:r>
      <w:proofErr w:type="spellStart"/>
      <w:r w:rsidRPr="00C5726D">
        <w:rPr>
          <w:color w:val="000000"/>
          <w:sz w:val="24"/>
          <w:szCs w:val="24"/>
          <w:lang w:val="en-US"/>
        </w:rPr>
        <w:t>oesophageal</w:t>
      </w:r>
      <w:proofErr w:type="spellEnd"/>
      <w:r w:rsidRPr="00C5726D">
        <w:rPr>
          <w:color w:val="000000"/>
          <w:sz w:val="24"/>
          <w:szCs w:val="24"/>
          <w:lang w:val="en-US"/>
        </w:rPr>
        <w:t xml:space="preserve"> problems.</w:t>
      </w:r>
    </w:p>
    <w:p w14:paraId="62588A44" w14:textId="77777777" w:rsidR="00DD50E4" w:rsidRPr="00C5726D" w:rsidRDefault="00DD50E4" w:rsidP="00C5726D">
      <w:pPr>
        <w:ind w:left="851"/>
        <w:rPr>
          <w:color w:val="000000"/>
          <w:sz w:val="24"/>
          <w:szCs w:val="24"/>
          <w:lang w:val="en-US"/>
        </w:rPr>
      </w:pPr>
    </w:p>
    <w:p w14:paraId="79BD41AB" w14:textId="77777777" w:rsidR="00DD50E4" w:rsidRPr="00C5726D" w:rsidRDefault="00DD50E4" w:rsidP="00C5726D">
      <w:pPr>
        <w:ind w:left="851"/>
        <w:rPr>
          <w:color w:val="000000"/>
          <w:sz w:val="24"/>
          <w:szCs w:val="24"/>
          <w:lang w:val="en-US"/>
        </w:rPr>
      </w:pPr>
      <w:r w:rsidRPr="00C5726D">
        <w:rPr>
          <w:color w:val="000000"/>
          <w:sz w:val="24"/>
          <w:szCs w:val="24"/>
          <w:lang w:val="en-US"/>
        </w:rPr>
        <w:t xml:space="preserve">While no increased risk was observed in extensive clinical trials, there have been rare (post-marketing) reports of gastric and duodenal ulcers, some severe and with complications (see section 4.8). </w:t>
      </w:r>
    </w:p>
    <w:p w14:paraId="6C8D3DB2" w14:textId="77777777" w:rsidR="00DD50E4" w:rsidRPr="00C5726D" w:rsidRDefault="00DD50E4" w:rsidP="00C5726D">
      <w:pPr>
        <w:ind w:left="851"/>
        <w:rPr>
          <w:color w:val="000000"/>
          <w:sz w:val="24"/>
          <w:szCs w:val="24"/>
          <w:lang w:val="en-US"/>
        </w:rPr>
      </w:pPr>
    </w:p>
    <w:p w14:paraId="0184CA2F" w14:textId="77777777" w:rsidR="00DD50E4" w:rsidRPr="00965D23" w:rsidRDefault="00DD50E4" w:rsidP="00C5726D">
      <w:pPr>
        <w:ind w:left="851"/>
        <w:rPr>
          <w:color w:val="000000"/>
          <w:sz w:val="24"/>
          <w:szCs w:val="24"/>
          <w:u w:val="single"/>
          <w:lang w:val="en-US"/>
        </w:rPr>
      </w:pPr>
      <w:r w:rsidRPr="00965D23">
        <w:rPr>
          <w:sz w:val="24"/>
          <w:szCs w:val="24"/>
          <w:u w:val="single"/>
          <w:lang w:val="en-US"/>
        </w:rPr>
        <w:t>Osteonecrosis of the jaw</w:t>
      </w:r>
    </w:p>
    <w:p w14:paraId="5E4D0B92" w14:textId="77777777" w:rsidR="00DD50E4" w:rsidRPr="00C5726D" w:rsidRDefault="00DD50E4" w:rsidP="00C5726D">
      <w:pPr>
        <w:ind w:left="851"/>
        <w:rPr>
          <w:color w:val="000000"/>
          <w:sz w:val="24"/>
          <w:szCs w:val="24"/>
          <w:lang w:val="en-US"/>
        </w:rPr>
      </w:pPr>
      <w:r w:rsidRPr="00C5726D">
        <w:rPr>
          <w:color w:val="000000"/>
          <w:sz w:val="24"/>
          <w:szCs w:val="24"/>
          <w:lang w:val="en-US"/>
        </w:rPr>
        <w:t>Osteonecrosis of the jaw, generally associated with tooth extraction and/or local infection (including osteomyelitis) has been reported in patients with cancer who are receiving treatment regimens including primarily intravenously administered bisphosphonates. Many of these patients were also receiving chemotherapy and corticosteroids. Osteonecrosis of the jaw has also been reported in patients with osteoporosis receiving oral bisphosphonates.</w:t>
      </w:r>
    </w:p>
    <w:p w14:paraId="4CC1B71B" w14:textId="77777777" w:rsidR="00DD50E4" w:rsidRPr="00C5726D" w:rsidRDefault="00DD50E4" w:rsidP="00C5726D">
      <w:pPr>
        <w:ind w:left="851"/>
        <w:rPr>
          <w:color w:val="000000"/>
          <w:sz w:val="24"/>
          <w:szCs w:val="24"/>
          <w:lang w:val="en-US"/>
        </w:rPr>
      </w:pPr>
    </w:p>
    <w:p w14:paraId="3E9A6EA9" w14:textId="77777777" w:rsidR="00DD50E4" w:rsidRPr="00C5726D" w:rsidRDefault="00DD50E4" w:rsidP="00C5726D">
      <w:pPr>
        <w:ind w:left="851"/>
        <w:rPr>
          <w:color w:val="000000"/>
          <w:sz w:val="24"/>
          <w:szCs w:val="24"/>
          <w:lang w:val="en-US"/>
        </w:rPr>
      </w:pPr>
      <w:r w:rsidRPr="00C5726D">
        <w:rPr>
          <w:color w:val="000000"/>
          <w:sz w:val="24"/>
          <w:szCs w:val="24"/>
          <w:lang w:val="en-US"/>
        </w:rPr>
        <w:t>The following risk factors should be considered when evaluating an individual’s risk of developing osteonecrosis of the jaw:</w:t>
      </w:r>
    </w:p>
    <w:p w14:paraId="459419CB" w14:textId="77777777" w:rsidR="00DD50E4" w:rsidRPr="00965D23" w:rsidRDefault="00DD50E4" w:rsidP="00965D23">
      <w:pPr>
        <w:pStyle w:val="Listeafsnit"/>
        <w:numPr>
          <w:ilvl w:val="0"/>
          <w:numId w:val="11"/>
        </w:numPr>
        <w:ind w:left="1276" w:hanging="425"/>
        <w:rPr>
          <w:color w:val="000000"/>
          <w:sz w:val="24"/>
          <w:szCs w:val="24"/>
          <w:lang w:val="en-US"/>
        </w:rPr>
      </w:pPr>
      <w:r w:rsidRPr="00965D23">
        <w:rPr>
          <w:color w:val="000000"/>
          <w:sz w:val="24"/>
          <w:szCs w:val="24"/>
          <w:lang w:val="en-US"/>
        </w:rPr>
        <w:t>potency of the bisphosphonate (highest for zoledronic acid), route of administration (see above) and cumulative dose</w:t>
      </w:r>
    </w:p>
    <w:p w14:paraId="5DAE56C3" w14:textId="77777777" w:rsidR="00DD50E4" w:rsidRPr="00965D23" w:rsidRDefault="00DD50E4" w:rsidP="00965D23">
      <w:pPr>
        <w:pStyle w:val="Listeafsnit"/>
        <w:numPr>
          <w:ilvl w:val="0"/>
          <w:numId w:val="11"/>
        </w:numPr>
        <w:ind w:left="1276" w:hanging="425"/>
        <w:rPr>
          <w:color w:val="000000"/>
          <w:sz w:val="24"/>
          <w:szCs w:val="24"/>
          <w:lang w:val="en-US"/>
        </w:rPr>
      </w:pPr>
      <w:r w:rsidRPr="00965D23">
        <w:rPr>
          <w:color w:val="000000"/>
          <w:sz w:val="24"/>
          <w:szCs w:val="24"/>
          <w:lang w:val="en-US"/>
        </w:rPr>
        <w:t>cancer, chemotherapy, radiotherapy, corticosteroids, angiogenesis inhibitors, smoking</w:t>
      </w:r>
    </w:p>
    <w:p w14:paraId="044364C3" w14:textId="77777777" w:rsidR="00DD50E4" w:rsidRPr="00965D23" w:rsidRDefault="00DD50E4" w:rsidP="00965D23">
      <w:pPr>
        <w:pStyle w:val="Listeafsnit"/>
        <w:numPr>
          <w:ilvl w:val="0"/>
          <w:numId w:val="11"/>
        </w:numPr>
        <w:ind w:left="1276" w:hanging="425"/>
        <w:rPr>
          <w:color w:val="000000"/>
          <w:sz w:val="24"/>
          <w:szCs w:val="24"/>
          <w:lang w:val="en-US"/>
        </w:rPr>
      </w:pPr>
      <w:r w:rsidRPr="00965D23">
        <w:rPr>
          <w:color w:val="000000"/>
          <w:sz w:val="24"/>
          <w:szCs w:val="24"/>
          <w:lang w:val="en-US"/>
        </w:rPr>
        <w:t>a history of dental disease, poor oral hygiene, periodontal disease, invasive dental procedures and poorly fitting dentures.</w:t>
      </w:r>
    </w:p>
    <w:p w14:paraId="287D523A" w14:textId="77777777" w:rsidR="00DD50E4" w:rsidRPr="00C5726D" w:rsidRDefault="00DD50E4" w:rsidP="00C5726D">
      <w:pPr>
        <w:ind w:left="851"/>
        <w:rPr>
          <w:color w:val="000000"/>
          <w:sz w:val="24"/>
          <w:szCs w:val="24"/>
          <w:lang w:val="en-US"/>
        </w:rPr>
      </w:pPr>
    </w:p>
    <w:p w14:paraId="6AC83630" w14:textId="77777777" w:rsidR="00DD50E4" w:rsidRPr="00C5726D" w:rsidRDefault="00DD50E4" w:rsidP="00C5726D">
      <w:pPr>
        <w:ind w:left="851"/>
        <w:rPr>
          <w:color w:val="000000"/>
          <w:sz w:val="24"/>
          <w:szCs w:val="24"/>
          <w:lang w:val="en-US"/>
        </w:rPr>
      </w:pPr>
      <w:r w:rsidRPr="00C5726D">
        <w:rPr>
          <w:color w:val="000000"/>
          <w:sz w:val="24"/>
          <w:szCs w:val="24"/>
          <w:lang w:val="en-US"/>
        </w:rPr>
        <w:t>A dental examination with appropriate preventive dentistry should be considered prior to treatment with oral bisphosphonates in patients with poor dental status.</w:t>
      </w:r>
    </w:p>
    <w:p w14:paraId="1DD3B558" w14:textId="77777777" w:rsidR="00DD50E4" w:rsidRPr="00C5726D" w:rsidRDefault="00DD50E4" w:rsidP="00C5726D">
      <w:pPr>
        <w:ind w:left="851"/>
        <w:rPr>
          <w:color w:val="000000"/>
          <w:sz w:val="24"/>
          <w:szCs w:val="24"/>
          <w:lang w:val="en-US"/>
        </w:rPr>
      </w:pPr>
    </w:p>
    <w:p w14:paraId="5DE0A5A4" w14:textId="77777777" w:rsidR="00DD50E4" w:rsidRPr="00C5726D" w:rsidRDefault="00DD50E4" w:rsidP="00C5726D">
      <w:pPr>
        <w:ind w:left="851"/>
        <w:rPr>
          <w:color w:val="000000"/>
          <w:sz w:val="24"/>
          <w:szCs w:val="24"/>
          <w:lang w:val="en-US"/>
        </w:rPr>
      </w:pPr>
      <w:r w:rsidRPr="00C5726D">
        <w:rPr>
          <w:color w:val="000000"/>
          <w:sz w:val="24"/>
          <w:szCs w:val="24"/>
          <w:lang w:val="en-US"/>
        </w:rPr>
        <w:t>While on treatment, these patients should avoid invasive dental procedures if possible. For patients who develop osteonecrosis of the jaw while on bisphosphonate therapy, dental surgery may exacerbate the condition. For patients requiring dental procedures, there are no data available to suggest whether discontinuation of bisphosphonate treatment reduces the risk of osteonecrosis of the jaw. Clinical judgement of the treating physician should guide the management plan of each patient based on individual benefit/risk assessment.</w:t>
      </w:r>
    </w:p>
    <w:p w14:paraId="0E3F7905" w14:textId="77777777" w:rsidR="00DD50E4" w:rsidRPr="00C5726D" w:rsidRDefault="00DD50E4" w:rsidP="00C5726D">
      <w:pPr>
        <w:ind w:left="851"/>
        <w:rPr>
          <w:color w:val="000000"/>
          <w:sz w:val="24"/>
          <w:szCs w:val="24"/>
          <w:lang w:val="en-US"/>
        </w:rPr>
      </w:pPr>
    </w:p>
    <w:p w14:paraId="341272A2" w14:textId="77777777" w:rsidR="00DD50E4" w:rsidRPr="00C5726D" w:rsidRDefault="00DD50E4" w:rsidP="00C5726D">
      <w:pPr>
        <w:ind w:left="851"/>
        <w:rPr>
          <w:color w:val="000000"/>
          <w:sz w:val="24"/>
          <w:szCs w:val="24"/>
          <w:lang w:val="en-US"/>
        </w:rPr>
      </w:pPr>
      <w:r w:rsidRPr="00C5726D">
        <w:rPr>
          <w:color w:val="000000"/>
          <w:sz w:val="24"/>
          <w:szCs w:val="24"/>
          <w:lang w:val="en-US"/>
        </w:rPr>
        <w:t>During bisphosphonate treatment, all patients should be encouraged to maintain good oral hygiene, receive routine dental check-ups, and report any oral symptoms such as dental mobility, pain, or swelling.</w:t>
      </w:r>
    </w:p>
    <w:p w14:paraId="42C48512" w14:textId="77777777" w:rsidR="00DD50E4" w:rsidRPr="00C5726D" w:rsidRDefault="00DD50E4" w:rsidP="00C5726D">
      <w:pPr>
        <w:ind w:left="851"/>
        <w:rPr>
          <w:color w:val="000000"/>
          <w:sz w:val="24"/>
          <w:szCs w:val="24"/>
          <w:lang w:val="en-US"/>
        </w:rPr>
      </w:pPr>
    </w:p>
    <w:p w14:paraId="0831E3AD" w14:textId="77777777" w:rsidR="00DD50E4" w:rsidRPr="00965D23" w:rsidRDefault="00DD50E4" w:rsidP="00C5726D">
      <w:pPr>
        <w:ind w:left="851"/>
        <w:rPr>
          <w:sz w:val="24"/>
          <w:szCs w:val="24"/>
          <w:u w:val="single"/>
          <w:lang w:val="en-US"/>
        </w:rPr>
      </w:pPr>
      <w:r w:rsidRPr="00965D23">
        <w:rPr>
          <w:sz w:val="24"/>
          <w:szCs w:val="24"/>
          <w:u w:val="single"/>
          <w:lang w:val="en-US"/>
        </w:rPr>
        <w:t>Osteonecrosis of the external auditory canal</w:t>
      </w:r>
    </w:p>
    <w:p w14:paraId="7CF8190B" w14:textId="77777777" w:rsidR="00DD50E4" w:rsidRPr="00C5726D" w:rsidRDefault="00DD50E4" w:rsidP="00C5726D">
      <w:pPr>
        <w:ind w:left="851"/>
        <w:rPr>
          <w:color w:val="000000"/>
          <w:sz w:val="24"/>
          <w:szCs w:val="24"/>
          <w:lang w:val="en-US"/>
        </w:rPr>
      </w:pPr>
      <w:r w:rsidRPr="00C5726D">
        <w:rPr>
          <w:color w:val="000000"/>
          <w:sz w:val="24"/>
          <w:szCs w:val="24"/>
          <w:lang w:val="en-US"/>
        </w:rPr>
        <w:t xml:space="preserve">Osteonecrosis of the external auditory canal has been reported with bisphosphonates, mainly in association with long-term therapy. Possible risk factors for osteonecrosis of the external auditory canal include steroid use and chemotherapy and/or local risk factors such as infection or trauma. The possibility of osteonecrosis of the external auditory canal should be considered in patients receiving bisphosphonates who present with ear symptoms </w:t>
      </w:r>
      <w:r w:rsidRPr="00C5726D">
        <w:rPr>
          <w:sz w:val="24"/>
          <w:szCs w:val="24"/>
          <w:lang w:val="en-US"/>
        </w:rPr>
        <w:t>such as pain or discharge, or</w:t>
      </w:r>
      <w:r w:rsidRPr="00C5726D">
        <w:rPr>
          <w:color w:val="000000"/>
          <w:sz w:val="24"/>
          <w:szCs w:val="24"/>
          <w:lang w:val="en-US"/>
        </w:rPr>
        <w:t xml:space="preserve"> chronic ear infections. </w:t>
      </w:r>
    </w:p>
    <w:p w14:paraId="54E5B9D9" w14:textId="77777777" w:rsidR="00DD50E4" w:rsidRPr="00C5726D" w:rsidRDefault="00DD50E4" w:rsidP="00C5726D">
      <w:pPr>
        <w:ind w:left="851"/>
        <w:rPr>
          <w:color w:val="000000"/>
          <w:sz w:val="24"/>
          <w:szCs w:val="24"/>
          <w:lang w:val="en-US"/>
        </w:rPr>
      </w:pPr>
    </w:p>
    <w:p w14:paraId="0C17A79B" w14:textId="77777777" w:rsidR="00DD50E4" w:rsidRPr="00965D23" w:rsidRDefault="00DD50E4" w:rsidP="00C5726D">
      <w:pPr>
        <w:ind w:left="851"/>
        <w:rPr>
          <w:color w:val="000000"/>
          <w:sz w:val="24"/>
          <w:szCs w:val="24"/>
          <w:u w:val="single"/>
          <w:lang w:val="en-US"/>
        </w:rPr>
      </w:pPr>
      <w:r w:rsidRPr="00965D23">
        <w:rPr>
          <w:color w:val="000000"/>
          <w:sz w:val="24"/>
          <w:szCs w:val="24"/>
          <w:u w:val="single"/>
          <w:lang w:val="en-US"/>
        </w:rPr>
        <w:t>Musculoskeletal pain</w:t>
      </w:r>
    </w:p>
    <w:p w14:paraId="02859CC2" w14:textId="77777777" w:rsidR="00DD50E4" w:rsidRPr="00C5726D" w:rsidRDefault="00DD50E4" w:rsidP="00C5726D">
      <w:pPr>
        <w:ind w:left="851"/>
        <w:rPr>
          <w:color w:val="000000"/>
          <w:sz w:val="24"/>
          <w:szCs w:val="24"/>
          <w:lang w:val="en-US"/>
        </w:rPr>
      </w:pPr>
      <w:r w:rsidRPr="00C5726D">
        <w:rPr>
          <w:color w:val="000000"/>
          <w:sz w:val="24"/>
          <w:szCs w:val="24"/>
          <w:lang w:val="en-US"/>
        </w:rPr>
        <w:t xml:space="preserve">Bone, joint, and/or muscle pain has been reported in patients taking bisphosphonates. In post-marketing experience, these symptoms have rarely been severe and/or incapacitating (see section 4.8). The time to onset of symptoms varied from one day to several months after starting treatment. Most patients had relief of symptoms after stopping treatment. A subset had recurrence of symptoms when </w:t>
      </w:r>
      <w:proofErr w:type="spellStart"/>
      <w:r w:rsidRPr="00C5726D">
        <w:rPr>
          <w:color w:val="000000"/>
          <w:sz w:val="24"/>
          <w:szCs w:val="24"/>
          <w:lang w:val="en-US"/>
        </w:rPr>
        <w:t>rechallenged</w:t>
      </w:r>
      <w:proofErr w:type="spellEnd"/>
      <w:r w:rsidRPr="00C5726D">
        <w:rPr>
          <w:color w:val="000000"/>
          <w:sz w:val="24"/>
          <w:szCs w:val="24"/>
          <w:lang w:val="en-US"/>
        </w:rPr>
        <w:t xml:space="preserve"> with the same medicinal product or another bisphosphonate.</w:t>
      </w:r>
    </w:p>
    <w:p w14:paraId="5ADB81D6" w14:textId="77777777" w:rsidR="00DD50E4" w:rsidRPr="00C5726D" w:rsidRDefault="00DD50E4" w:rsidP="00C5726D">
      <w:pPr>
        <w:ind w:left="851"/>
        <w:rPr>
          <w:color w:val="000000"/>
          <w:sz w:val="24"/>
          <w:szCs w:val="24"/>
          <w:lang w:val="en-US"/>
        </w:rPr>
      </w:pPr>
    </w:p>
    <w:p w14:paraId="3210D3E6" w14:textId="77777777" w:rsidR="00DD50E4" w:rsidRPr="00965D23" w:rsidRDefault="00DD50E4" w:rsidP="00C5726D">
      <w:pPr>
        <w:ind w:left="851"/>
        <w:rPr>
          <w:color w:val="000000"/>
          <w:sz w:val="24"/>
          <w:szCs w:val="24"/>
          <w:u w:val="single"/>
          <w:lang w:val="en-US"/>
        </w:rPr>
      </w:pPr>
      <w:r w:rsidRPr="00965D23">
        <w:rPr>
          <w:color w:val="000000"/>
          <w:sz w:val="24"/>
          <w:szCs w:val="24"/>
          <w:u w:val="single"/>
          <w:lang w:val="en-US"/>
        </w:rPr>
        <w:t>Atypical fractures of the femur</w:t>
      </w:r>
    </w:p>
    <w:p w14:paraId="4A9DF146" w14:textId="3FFE408F" w:rsidR="00DD50E4" w:rsidRPr="00C5726D" w:rsidRDefault="00DD50E4" w:rsidP="00C5726D">
      <w:pPr>
        <w:ind w:left="851"/>
        <w:rPr>
          <w:color w:val="000000"/>
          <w:sz w:val="24"/>
          <w:szCs w:val="24"/>
          <w:lang w:val="en-US"/>
        </w:rPr>
      </w:pPr>
      <w:r w:rsidRPr="00C5726D">
        <w:rPr>
          <w:color w:val="000000"/>
          <w:sz w:val="24"/>
          <w:szCs w:val="24"/>
          <w:lang w:val="en-US"/>
        </w:rPr>
        <w:t>Atypical subtrochanteric and diaphyseal femoral fractures have been reported with bisphosphonate therapy, primarily in patients receiving long-term treatment for osteoporosis. These transverse or short oblique fractures can occur anywhere along the femur from just below the lesser trochanter to just above the supracondylar flare. These fractures occur after minimal or no trauma and some patients experience thigh or groin pain, often associated with imaging features of stress fractures, weeks to months before presenting with a complete femoral fracture. Fractures are often bilateral; therefore</w:t>
      </w:r>
      <w:r w:rsidR="00965D23">
        <w:rPr>
          <w:color w:val="000000"/>
          <w:sz w:val="24"/>
          <w:szCs w:val="24"/>
          <w:lang w:val="en-US"/>
        </w:rPr>
        <w:t>,</w:t>
      </w:r>
      <w:r w:rsidRPr="00C5726D">
        <w:rPr>
          <w:color w:val="000000"/>
          <w:sz w:val="24"/>
          <w:szCs w:val="24"/>
          <w:lang w:val="en-US"/>
        </w:rPr>
        <w:t xml:space="preserve"> the contralateral femur should be examined in bisphosphonate-treated patients who have sustained a femoral shaft fracture. Poor healing of these fractures has also been reported. Discontinuation of bisphosphonate therapy in patients suspected to have an atypical femur fracture should be considered pending evaluation of the patient, based on an individual benefit risk assessment.</w:t>
      </w:r>
    </w:p>
    <w:p w14:paraId="283DF8A7" w14:textId="77777777" w:rsidR="00DD50E4" w:rsidRPr="00C5726D" w:rsidRDefault="00DD50E4" w:rsidP="00C5726D">
      <w:pPr>
        <w:ind w:left="851"/>
        <w:rPr>
          <w:color w:val="000000"/>
          <w:sz w:val="24"/>
          <w:szCs w:val="24"/>
          <w:lang w:val="en-US"/>
        </w:rPr>
      </w:pPr>
    </w:p>
    <w:p w14:paraId="6C78D98F" w14:textId="77777777" w:rsidR="00DD50E4" w:rsidRPr="00C5726D" w:rsidRDefault="00DD50E4" w:rsidP="00C5726D">
      <w:pPr>
        <w:ind w:left="851"/>
        <w:rPr>
          <w:color w:val="000000"/>
          <w:sz w:val="24"/>
          <w:szCs w:val="24"/>
          <w:lang w:val="en-US"/>
        </w:rPr>
      </w:pPr>
      <w:r w:rsidRPr="00C5726D">
        <w:rPr>
          <w:color w:val="000000"/>
          <w:sz w:val="24"/>
          <w:szCs w:val="24"/>
          <w:lang w:val="en-US"/>
        </w:rPr>
        <w:t>During bisphosphonate treatment patients should be advised to report any thigh, hip or groin pain and any patient presenting with such symptoms should be evaluated for an incomplete femur fracture.</w:t>
      </w:r>
    </w:p>
    <w:p w14:paraId="733F3A4F" w14:textId="77777777" w:rsidR="00DD50E4" w:rsidRPr="00C5726D" w:rsidRDefault="00DD50E4" w:rsidP="00C5726D">
      <w:pPr>
        <w:ind w:left="851"/>
        <w:rPr>
          <w:color w:val="000000"/>
          <w:sz w:val="24"/>
          <w:szCs w:val="24"/>
          <w:lang w:val="en-US"/>
        </w:rPr>
      </w:pPr>
    </w:p>
    <w:p w14:paraId="5BACD02D" w14:textId="77777777" w:rsidR="00DD50E4" w:rsidRPr="00C5726D" w:rsidRDefault="00DD50E4" w:rsidP="00C5726D">
      <w:pPr>
        <w:ind w:left="851"/>
        <w:rPr>
          <w:color w:val="000000"/>
          <w:sz w:val="24"/>
          <w:szCs w:val="24"/>
          <w:lang w:val="en-US"/>
        </w:rPr>
      </w:pPr>
      <w:r w:rsidRPr="00C5726D">
        <w:rPr>
          <w:color w:val="000000"/>
          <w:sz w:val="24"/>
          <w:szCs w:val="24"/>
          <w:lang w:val="en-US"/>
        </w:rPr>
        <w:t>Alendronate is not recommended for patients with renal impairment where creatinine clearance is less than 35 ml/min (see section 4.2).</w:t>
      </w:r>
    </w:p>
    <w:p w14:paraId="0FBB2258" w14:textId="77777777" w:rsidR="00DD50E4" w:rsidRPr="00C5726D" w:rsidRDefault="00DD50E4" w:rsidP="00C5726D">
      <w:pPr>
        <w:ind w:left="851"/>
        <w:rPr>
          <w:i/>
          <w:sz w:val="24"/>
          <w:szCs w:val="24"/>
          <w:lang w:val="en-US"/>
        </w:rPr>
      </w:pPr>
    </w:p>
    <w:p w14:paraId="19215533" w14:textId="77777777" w:rsidR="00DD50E4" w:rsidRPr="00965D23" w:rsidRDefault="00DD50E4" w:rsidP="00C5726D">
      <w:pPr>
        <w:ind w:left="851"/>
        <w:rPr>
          <w:color w:val="000000"/>
          <w:sz w:val="24"/>
          <w:szCs w:val="24"/>
          <w:u w:val="single"/>
          <w:lang w:val="en-US"/>
        </w:rPr>
      </w:pPr>
      <w:r w:rsidRPr="00965D23">
        <w:rPr>
          <w:sz w:val="24"/>
          <w:szCs w:val="24"/>
          <w:u w:val="single"/>
          <w:lang w:val="en-US"/>
        </w:rPr>
        <w:t>Bone and mineral metabolism</w:t>
      </w:r>
    </w:p>
    <w:p w14:paraId="2ECE4717" w14:textId="77777777" w:rsidR="00DD50E4" w:rsidRPr="00C5726D" w:rsidRDefault="00DD50E4" w:rsidP="00C5726D">
      <w:pPr>
        <w:ind w:left="851"/>
        <w:rPr>
          <w:color w:val="000000"/>
          <w:sz w:val="24"/>
          <w:szCs w:val="24"/>
          <w:lang w:val="en-US"/>
        </w:rPr>
      </w:pPr>
      <w:r w:rsidRPr="00C5726D">
        <w:rPr>
          <w:color w:val="000000"/>
          <w:sz w:val="24"/>
          <w:szCs w:val="24"/>
          <w:lang w:val="en-US"/>
        </w:rPr>
        <w:t xml:space="preserve">Causes of osteoporosis other than </w:t>
      </w:r>
      <w:proofErr w:type="spellStart"/>
      <w:r w:rsidRPr="00C5726D">
        <w:rPr>
          <w:color w:val="000000"/>
          <w:sz w:val="24"/>
          <w:szCs w:val="24"/>
          <w:lang w:val="en-US"/>
        </w:rPr>
        <w:t>oestrogen</w:t>
      </w:r>
      <w:proofErr w:type="spellEnd"/>
      <w:r w:rsidRPr="00C5726D">
        <w:rPr>
          <w:color w:val="000000"/>
          <w:sz w:val="24"/>
          <w:szCs w:val="24"/>
          <w:lang w:val="en-US"/>
        </w:rPr>
        <w:t xml:space="preserve"> deficiency and ageing should be considered.</w:t>
      </w:r>
    </w:p>
    <w:p w14:paraId="3A8A14B9" w14:textId="77777777" w:rsidR="00DD50E4" w:rsidRPr="00C5726D" w:rsidRDefault="00DD50E4" w:rsidP="00C5726D">
      <w:pPr>
        <w:ind w:left="851"/>
        <w:rPr>
          <w:color w:val="000000"/>
          <w:sz w:val="24"/>
          <w:szCs w:val="24"/>
          <w:lang w:val="en-US"/>
        </w:rPr>
      </w:pPr>
    </w:p>
    <w:p w14:paraId="5E49CF1A" w14:textId="77777777" w:rsidR="00DD50E4" w:rsidRPr="00C5726D" w:rsidRDefault="00DD50E4" w:rsidP="00C5726D">
      <w:pPr>
        <w:ind w:left="851"/>
        <w:rPr>
          <w:color w:val="000000"/>
          <w:sz w:val="24"/>
          <w:szCs w:val="24"/>
          <w:lang w:val="en-US"/>
        </w:rPr>
      </w:pPr>
      <w:proofErr w:type="spellStart"/>
      <w:r w:rsidRPr="00C5726D">
        <w:rPr>
          <w:color w:val="000000"/>
          <w:sz w:val="24"/>
          <w:szCs w:val="24"/>
          <w:lang w:val="en-US"/>
        </w:rPr>
        <w:t>Hypocalcaemia</w:t>
      </w:r>
      <w:proofErr w:type="spellEnd"/>
      <w:r w:rsidRPr="00C5726D">
        <w:rPr>
          <w:color w:val="000000"/>
          <w:sz w:val="24"/>
          <w:szCs w:val="24"/>
          <w:lang w:val="en-US"/>
        </w:rPr>
        <w:t xml:space="preserve"> must be corrected before initiating therapy with alendronate (see section 4.3). Other disorders affecting mineral metabolism (such as vitamin D deficiency</w:t>
      </w:r>
      <w:r w:rsidRPr="00C5726D">
        <w:rPr>
          <w:b/>
          <w:color w:val="000000"/>
          <w:sz w:val="24"/>
          <w:szCs w:val="24"/>
          <w:lang w:val="en-US"/>
        </w:rPr>
        <w:t xml:space="preserve"> </w:t>
      </w:r>
      <w:r w:rsidRPr="00C5726D">
        <w:rPr>
          <w:color w:val="000000"/>
          <w:sz w:val="24"/>
          <w:szCs w:val="24"/>
          <w:lang w:val="en-US"/>
        </w:rPr>
        <w:t xml:space="preserve">and hypoparathyroidism) should also be effectively treated before starting this medicinal product. In patients with these conditions, serum calcium and symptoms of </w:t>
      </w:r>
      <w:proofErr w:type="spellStart"/>
      <w:r w:rsidRPr="00C5726D">
        <w:rPr>
          <w:color w:val="000000"/>
          <w:sz w:val="24"/>
          <w:szCs w:val="24"/>
          <w:lang w:val="en-US"/>
        </w:rPr>
        <w:t>hypocalcaemia</w:t>
      </w:r>
      <w:proofErr w:type="spellEnd"/>
      <w:r w:rsidRPr="00C5726D">
        <w:rPr>
          <w:color w:val="000000"/>
          <w:sz w:val="24"/>
          <w:szCs w:val="24"/>
          <w:lang w:val="en-US"/>
        </w:rPr>
        <w:t xml:space="preserve"> should be monitored during therapy with alendronate.</w:t>
      </w:r>
    </w:p>
    <w:p w14:paraId="509B06BD" w14:textId="77777777" w:rsidR="00DD50E4" w:rsidRPr="00C5726D" w:rsidRDefault="00DD50E4" w:rsidP="00C5726D">
      <w:pPr>
        <w:ind w:left="851"/>
        <w:rPr>
          <w:color w:val="000000"/>
          <w:sz w:val="24"/>
          <w:szCs w:val="24"/>
          <w:lang w:val="en-US"/>
        </w:rPr>
      </w:pPr>
    </w:p>
    <w:p w14:paraId="665E68E2" w14:textId="77777777" w:rsidR="00DD50E4" w:rsidRPr="00C5726D" w:rsidRDefault="00DD50E4" w:rsidP="00C5726D">
      <w:pPr>
        <w:ind w:left="851"/>
        <w:rPr>
          <w:color w:val="000000"/>
          <w:sz w:val="24"/>
          <w:szCs w:val="24"/>
          <w:lang w:val="en-US"/>
        </w:rPr>
      </w:pPr>
      <w:r w:rsidRPr="00C5726D">
        <w:rPr>
          <w:color w:val="000000"/>
          <w:sz w:val="24"/>
          <w:szCs w:val="24"/>
          <w:lang w:val="en-US"/>
        </w:rPr>
        <w:t xml:space="preserve">Due to the positive effects of alendronate in increasing bone mineral, decreases in serum calcium and phosphate may occur especially in patients taking glucocorticoids in whom calcium absorption may be decreased. These are usually small and asymptomatic. However, there have been rare reports of symptomatic </w:t>
      </w:r>
      <w:proofErr w:type="spellStart"/>
      <w:r w:rsidRPr="00C5726D">
        <w:rPr>
          <w:color w:val="000000"/>
          <w:sz w:val="24"/>
          <w:szCs w:val="24"/>
          <w:lang w:val="en-US"/>
        </w:rPr>
        <w:t>hypocalcaemia</w:t>
      </w:r>
      <w:proofErr w:type="spellEnd"/>
      <w:r w:rsidRPr="00C5726D">
        <w:rPr>
          <w:color w:val="000000"/>
          <w:sz w:val="24"/>
          <w:szCs w:val="24"/>
          <w:lang w:val="en-US"/>
        </w:rPr>
        <w:t>, which have occasionally been severe and often occurred in patients with predisposing conditions (e.g. hypoparathyroidism, vitamin D deficiency and calcium malabsorption).</w:t>
      </w:r>
    </w:p>
    <w:p w14:paraId="4EEA9957" w14:textId="77777777" w:rsidR="00DD50E4" w:rsidRPr="00C5726D" w:rsidRDefault="00DD50E4" w:rsidP="00C5726D">
      <w:pPr>
        <w:ind w:left="851"/>
        <w:rPr>
          <w:color w:val="000000"/>
          <w:sz w:val="24"/>
          <w:szCs w:val="24"/>
          <w:lang w:val="en-US"/>
        </w:rPr>
      </w:pPr>
    </w:p>
    <w:p w14:paraId="19098662" w14:textId="77777777" w:rsidR="00DD50E4" w:rsidRPr="00C5726D" w:rsidRDefault="00DD50E4" w:rsidP="00C5726D">
      <w:pPr>
        <w:ind w:left="851"/>
        <w:rPr>
          <w:color w:val="000000"/>
          <w:sz w:val="24"/>
          <w:szCs w:val="24"/>
          <w:lang w:val="en-US"/>
        </w:rPr>
      </w:pPr>
      <w:r w:rsidRPr="00C5726D">
        <w:rPr>
          <w:color w:val="000000"/>
          <w:sz w:val="24"/>
          <w:szCs w:val="24"/>
          <w:lang w:val="en-US"/>
        </w:rPr>
        <w:t>Ensuring adequate calcium and vitamin D intake is particularly important in patients receiving glucocorticoids.</w:t>
      </w:r>
    </w:p>
    <w:p w14:paraId="1D752709" w14:textId="77777777" w:rsidR="00DD50E4" w:rsidRPr="00C5726D" w:rsidRDefault="00DD50E4" w:rsidP="00C5726D">
      <w:pPr>
        <w:ind w:left="851"/>
        <w:rPr>
          <w:color w:val="000000"/>
          <w:sz w:val="24"/>
          <w:szCs w:val="24"/>
          <w:lang w:val="en-US"/>
        </w:rPr>
      </w:pPr>
    </w:p>
    <w:p w14:paraId="3267380C" w14:textId="77777777" w:rsidR="00DD50E4" w:rsidRPr="00C5726D" w:rsidRDefault="00DD50E4" w:rsidP="00C5726D">
      <w:pPr>
        <w:ind w:left="851"/>
        <w:rPr>
          <w:color w:val="000000"/>
          <w:sz w:val="24"/>
          <w:szCs w:val="24"/>
          <w:lang w:val="en-US"/>
        </w:rPr>
      </w:pPr>
      <w:r w:rsidRPr="00C5726D">
        <w:rPr>
          <w:color w:val="000000"/>
          <w:sz w:val="24"/>
          <w:szCs w:val="24"/>
          <w:lang w:val="en-US"/>
        </w:rPr>
        <w:t>In post-marketing experience, there have been rare reports of severe skin reactions including Stevens Johnson syndrome and toxic epidermal necrolysis.</w:t>
      </w:r>
    </w:p>
    <w:p w14:paraId="3CDDEB8B" w14:textId="77777777" w:rsidR="00DD50E4" w:rsidRPr="00C5726D" w:rsidRDefault="00DD50E4" w:rsidP="00C5726D">
      <w:pPr>
        <w:ind w:left="851"/>
        <w:rPr>
          <w:color w:val="000000"/>
          <w:sz w:val="24"/>
          <w:szCs w:val="24"/>
          <w:lang w:val="en-US"/>
        </w:rPr>
      </w:pPr>
    </w:p>
    <w:p w14:paraId="28A1FC67" w14:textId="77777777" w:rsidR="00DD50E4" w:rsidRPr="00965D23" w:rsidRDefault="00DD50E4" w:rsidP="00C5726D">
      <w:pPr>
        <w:ind w:left="851"/>
        <w:rPr>
          <w:color w:val="000000"/>
          <w:sz w:val="24"/>
          <w:szCs w:val="24"/>
          <w:u w:val="single"/>
          <w:lang w:val="en-US"/>
        </w:rPr>
      </w:pPr>
      <w:r w:rsidRPr="00965D23">
        <w:rPr>
          <w:color w:val="000000"/>
          <w:sz w:val="24"/>
          <w:szCs w:val="24"/>
          <w:u w:val="single"/>
          <w:lang w:val="en-US"/>
        </w:rPr>
        <w:t>Excipient</w:t>
      </w:r>
    </w:p>
    <w:p w14:paraId="695CCB24" w14:textId="77777777" w:rsidR="00DD50E4" w:rsidRPr="00C5726D" w:rsidRDefault="00DD50E4" w:rsidP="00C5726D">
      <w:pPr>
        <w:ind w:left="851"/>
        <w:rPr>
          <w:sz w:val="24"/>
          <w:szCs w:val="24"/>
          <w:lang w:val="en-US" w:eastAsia="de-DE"/>
        </w:rPr>
      </w:pPr>
    </w:p>
    <w:p w14:paraId="27EA081C" w14:textId="77777777" w:rsidR="00DD50E4" w:rsidRPr="00C5726D" w:rsidRDefault="00DD50E4" w:rsidP="00C5726D">
      <w:pPr>
        <w:ind w:left="851"/>
        <w:rPr>
          <w:i/>
          <w:sz w:val="24"/>
          <w:szCs w:val="24"/>
          <w:lang w:val="en-US" w:eastAsia="en-US"/>
        </w:rPr>
      </w:pPr>
      <w:r w:rsidRPr="00C5726D">
        <w:rPr>
          <w:i/>
          <w:sz w:val="24"/>
          <w:szCs w:val="24"/>
          <w:lang w:val="en-US"/>
        </w:rPr>
        <w:t>Sodium</w:t>
      </w:r>
    </w:p>
    <w:p w14:paraId="5845E074" w14:textId="77777777" w:rsidR="00DD50E4" w:rsidRPr="00C5726D" w:rsidRDefault="00DD50E4" w:rsidP="00C5726D">
      <w:pPr>
        <w:ind w:left="851"/>
        <w:rPr>
          <w:sz w:val="24"/>
          <w:szCs w:val="24"/>
          <w:lang w:val="en-US" w:eastAsia="de-DE"/>
        </w:rPr>
      </w:pPr>
      <w:r w:rsidRPr="00C5726D">
        <w:rPr>
          <w:sz w:val="24"/>
          <w:szCs w:val="24"/>
          <w:lang w:val="en-US" w:eastAsia="de-DE"/>
        </w:rPr>
        <w:t>This medicinal product contains less than 1 mmol sodium (23 mg) per tablet, that is to say essentially “sodium-free”.</w:t>
      </w:r>
    </w:p>
    <w:p w14:paraId="3A59E7BC" w14:textId="77777777" w:rsidR="007C5D2A" w:rsidRPr="00C5726D" w:rsidRDefault="007C5D2A" w:rsidP="003E0341">
      <w:pPr>
        <w:tabs>
          <w:tab w:val="left" w:pos="851"/>
        </w:tabs>
        <w:ind w:left="851"/>
        <w:rPr>
          <w:sz w:val="24"/>
          <w:szCs w:val="24"/>
          <w:lang w:val="en-GB"/>
        </w:rPr>
      </w:pPr>
    </w:p>
    <w:p w14:paraId="261BEF57" w14:textId="77777777" w:rsidR="007C5D2A" w:rsidRPr="00C5726D" w:rsidRDefault="007C5D2A" w:rsidP="007C5D2A">
      <w:pPr>
        <w:ind w:left="851" w:hanging="851"/>
        <w:rPr>
          <w:b/>
          <w:sz w:val="24"/>
          <w:szCs w:val="24"/>
          <w:lang w:val="en-GB"/>
        </w:rPr>
      </w:pPr>
      <w:r w:rsidRPr="00C5726D">
        <w:rPr>
          <w:b/>
          <w:sz w:val="24"/>
          <w:szCs w:val="24"/>
          <w:lang w:val="en-GB"/>
        </w:rPr>
        <w:t>4.5</w:t>
      </w:r>
      <w:r w:rsidRPr="00C5726D">
        <w:rPr>
          <w:b/>
          <w:sz w:val="24"/>
          <w:szCs w:val="24"/>
          <w:lang w:val="en-GB"/>
        </w:rPr>
        <w:tab/>
        <w:t>Interaction with other medicinal products and other forms of interaction</w:t>
      </w:r>
    </w:p>
    <w:p w14:paraId="50913D1B" w14:textId="77777777" w:rsidR="00DD50E4" w:rsidRPr="00C5726D" w:rsidRDefault="00DD50E4" w:rsidP="00C5726D">
      <w:pPr>
        <w:ind w:left="851"/>
        <w:rPr>
          <w:sz w:val="24"/>
          <w:szCs w:val="24"/>
          <w:lang w:val="en-US"/>
        </w:rPr>
      </w:pPr>
      <w:r w:rsidRPr="00C5726D">
        <w:rPr>
          <w:sz w:val="24"/>
          <w:szCs w:val="24"/>
          <w:lang w:val="en-US"/>
        </w:rPr>
        <w:t>If taken at the same time, it is likely that food and beverages (including mineral water), calcium supplements, antacids, and some oral medicinal products will interfere with absorption of alendronate. Therefore, patients must wait at least 30 minutes after taking alendronate before taking any other oral medicinal product (see sections 4.2 and 5.2).</w:t>
      </w:r>
    </w:p>
    <w:p w14:paraId="6EE2062E" w14:textId="77777777" w:rsidR="00DD50E4" w:rsidRPr="00C5726D" w:rsidRDefault="00DD50E4" w:rsidP="00C5726D">
      <w:pPr>
        <w:ind w:left="851"/>
        <w:rPr>
          <w:sz w:val="24"/>
          <w:szCs w:val="24"/>
          <w:lang w:val="en-US"/>
        </w:rPr>
      </w:pPr>
    </w:p>
    <w:p w14:paraId="7013F696" w14:textId="77777777" w:rsidR="00DD50E4" w:rsidRPr="00C5726D" w:rsidRDefault="00DD50E4" w:rsidP="00C5726D">
      <w:pPr>
        <w:ind w:left="851"/>
        <w:rPr>
          <w:sz w:val="24"/>
          <w:szCs w:val="24"/>
          <w:lang w:val="en-US"/>
        </w:rPr>
      </w:pPr>
      <w:r w:rsidRPr="00C5726D">
        <w:rPr>
          <w:sz w:val="24"/>
          <w:szCs w:val="24"/>
          <w:lang w:val="en-US"/>
        </w:rPr>
        <w:t xml:space="preserve">No other interactions with medicinal products of clinical significance are anticipated. A number of patients in the clinical trials received </w:t>
      </w:r>
      <w:proofErr w:type="spellStart"/>
      <w:r w:rsidRPr="00C5726D">
        <w:rPr>
          <w:sz w:val="24"/>
          <w:szCs w:val="24"/>
          <w:lang w:val="en-US"/>
        </w:rPr>
        <w:t>oestrogen</w:t>
      </w:r>
      <w:proofErr w:type="spellEnd"/>
      <w:r w:rsidRPr="00C5726D">
        <w:rPr>
          <w:sz w:val="24"/>
          <w:szCs w:val="24"/>
          <w:lang w:val="en-US"/>
        </w:rPr>
        <w:t xml:space="preserve"> (intravaginal, transdermal or oral) while taking alendronate. No adverse experiences attributable to their concomitant use were identified.</w:t>
      </w:r>
    </w:p>
    <w:p w14:paraId="48E7DDA4" w14:textId="77777777" w:rsidR="00DD50E4" w:rsidRPr="00C5726D" w:rsidRDefault="00DD50E4" w:rsidP="00C5726D">
      <w:pPr>
        <w:ind w:left="851"/>
        <w:rPr>
          <w:sz w:val="24"/>
          <w:szCs w:val="24"/>
          <w:lang w:val="en-US"/>
        </w:rPr>
      </w:pPr>
    </w:p>
    <w:p w14:paraId="022EADE1" w14:textId="77777777" w:rsidR="00DD50E4" w:rsidRPr="00C5726D" w:rsidRDefault="00DD50E4" w:rsidP="00C5726D">
      <w:pPr>
        <w:ind w:left="851"/>
        <w:rPr>
          <w:sz w:val="24"/>
          <w:szCs w:val="24"/>
          <w:lang w:val="en-US"/>
        </w:rPr>
      </w:pPr>
      <w:r w:rsidRPr="00C5726D">
        <w:rPr>
          <w:sz w:val="24"/>
          <w:szCs w:val="24"/>
          <w:lang w:val="en-US"/>
        </w:rPr>
        <w:t>Since NSAID use is associated with gastrointestinal irritation, caution should be used during concomitant use with alendronate.</w:t>
      </w:r>
    </w:p>
    <w:p w14:paraId="53D14749" w14:textId="77777777" w:rsidR="00DD50E4" w:rsidRPr="00C5726D" w:rsidRDefault="00DD50E4" w:rsidP="00C5726D">
      <w:pPr>
        <w:ind w:left="851"/>
        <w:rPr>
          <w:sz w:val="24"/>
          <w:szCs w:val="24"/>
          <w:lang w:val="en-US"/>
        </w:rPr>
      </w:pPr>
    </w:p>
    <w:p w14:paraId="1EA89E5B" w14:textId="77777777" w:rsidR="00DD50E4" w:rsidRPr="00C5726D" w:rsidRDefault="00DD50E4" w:rsidP="00C5726D">
      <w:pPr>
        <w:ind w:left="851"/>
        <w:rPr>
          <w:sz w:val="24"/>
          <w:szCs w:val="24"/>
          <w:lang w:val="en-US"/>
        </w:rPr>
      </w:pPr>
      <w:r w:rsidRPr="00C5726D">
        <w:rPr>
          <w:sz w:val="24"/>
          <w:szCs w:val="24"/>
          <w:lang w:val="en-US"/>
        </w:rPr>
        <w:t>Although specific interaction studies were not performed, in clinical studies alendronate was used concomitantly with a wide range of commonly prescribed medicinal products without evidence of clinical adverse interactions.</w:t>
      </w:r>
    </w:p>
    <w:p w14:paraId="244ECAFB" w14:textId="77777777" w:rsidR="007C5D2A" w:rsidRPr="00C5726D" w:rsidRDefault="007C5D2A" w:rsidP="003E0341">
      <w:pPr>
        <w:tabs>
          <w:tab w:val="left" w:pos="851"/>
        </w:tabs>
        <w:ind w:left="851"/>
        <w:rPr>
          <w:sz w:val="24"/>
          <w:szCs w:val="24"/>
          <w:lang w:val="en-GB"/>
        </w:rPr>
      </w:pPr>
    </w:p>
    <w:p w14:paraId="7DCDC46A" w14:textId="77777777" w:rsidR="007C5D2A" w:rsidRPr="00C5726D" w:rsidRDefault="007C5D2A" w:rsidP="007C5D2A">
      <w:pPr>
        <w:tabs>
          <w:tab w:val="left" w:pos="851"/>
        </w:tabs>
        <w:ind w:left="851" w:hanging="851"/>
        <w:rPr>
          <w:b/>
          <w:sz w:val="24"/>
          <w:szCs w:val="24"/>
          <w:lang w:val="en-GB"/>
        </w:rPr>
      </w:pPr>
      <w:r w:rsidRPr="00C5726D">
        <w:rPr>
          <w:b/>
          <w:sz w:val="24"/>
          <w:szCs w:val="24"/>
          <w:lang w:val="en-GB"/>
        </w:rPr>
        <w:t>4.6</w:t>
      </w:r>
      <w:r w:rsidRPr="00C5726D">
        <w:rPr>
          <w:b/>
          <w:sz w:val="24"/>
          <w:szCs w:val="24"/>
          <w:lang w:val="en-GB"/>
        </w:rPr>
        <w:tab/>
      </w:r>
      <w:r w:rsidR="004860D3" w:rsidRPr="00C5726D">
        <w:rPr>
          <w:b/>
          <w:sz w:val="24"/>
          <w:szCs w:val="24"/>
          <w:lang w:val="en-GB"/>
        </w:rPr>
        <w:t>Fertility, p</w:t>
      </w:r>
      <w:r w:rsidRPr="00C5726D">
        <w:rPr>
          <w:b/>
          <w:sz w:val="24"/>
          <w:szCs w:val="24"/>
          <w:lang w:val="en-GB"/>
        </w:rPr>
        <w:t>regnancy and lactation</w:t>
      </w:r>
    </w:p>
    <w:p w14:paraId="4090677D" w14:textId="77777777" w:rsidR="00965D23" w:rsidRDefault="00965D23" w:rsidP="00C5726D">
      <w:pPr>
        <w:ind w:left="851"/>
        <w:rPr>
          <w:sz w:val="24"/>
          <w:szCs w:val="24"/>
          <w:lang w:val="en-US"/>
        </w:rPr>
      </w:pPr>
    </w:p>
    <w:p w14:paraId="27BE2E61" w14:textId="17FF84A5" w:rsidR="00DD50E4" w:rsidRPr="00965D23" w:rsidRDefault="00DD50E4" w:rsidP="00C5726D">
      <w:pPr>
        <w:ind w:left="851"/>
        <w:rPr>
          <w:i/>
          <w:sz w:val="24"/>
          <w:szCs w:val="24"/>
          <w:u w:val="single"/>
          <w:lang w:val="en-US"/>
        </w:rPr>
      </w:pPr>
      <w:r w:rsidRPr="00965D23">
        <w:rPr>
          <w:sz w:val="24"/>
          <w:szCs w:val="24"/>
          <w:u w:val="single"/>
          <w:lang w:val="en-US"/>
        </w:rPr>
        <w:t>Pregnancy</w:t>
      </w:r>
    </w:p>
    <w:p w14:paraId="46060C31" w14:textId="77777777" w:rsidR="00DD50E4" w:rsidRPr="00C5726D" w:rsidRDefault="00DD50E4" w:rsidP="00C5726D">
      <w:pPr>
        <w:ind w:left="851"/>
        <w:rPr>
          <w:sz w:val="24"/>
          <w:szCs w:val="24"/>
          <w:lang w:val="en-US"/>
        </w:rPr>
      </w:pPr>
      <w:r w:rsidRPr="00C5726D">
        <w:rPr>
          <w:sz w:val="24"/>
          <w:szCs w:val="24"/>
          <w:lang w:val="en-US"/>
        </w:rPr>
        <w:t xml:space="preserve">There are no or limited amount of data from the use of alendronate in pregnant women. Studies in animals have shown reproductive toxicity. Alendronate given during pregnancy in rats caused dystocia related to </w:t>
      </w:r>
      <w:proofErr w:type="spellStart"/>
      <w:r w:rsidRPr="00C5726D">
        <w:rPr>
          <w:sz w:val="24"/>
          <w:szCs w:val="24"/>
          <w:lang w:val="en-US"/>
        </w:rPr>
        <w:t>hypocalcaemia</w:t>
      </w:r>
      <w:proofErr w:type="spellEnd"/>
      <w:r w:rsidRPr="00C5726D">
        <w:rPr>
          <w:sz w:val="24"/>
          <w:szCs w:val="24"/>
          <w:lang w:val="en-US"/>
        </w:rPr>
        <w:t xml:space="preserve"> (see section 5.3). Alendronate should not be used during pregnancy.</w:t>
      </w:r>
    </w:p>
    <w:p w14:paraId="710E7C2E" w14:textId="77777777" w:rsidR="00DD50E4" w:rsidRPr="00C5726D" w:rsidRDefault="00DD50E4" w:rsidP="00C5726D">
      <w:pPr>
        <w:ind w:left="851"/>
        <w:rPr>
          <w:sz w:val="24"/>
          <w:szCs w:val="24"/>
          <w:lang w:val="en-US"/>
        </w:rPr>
      </w:pPr>
    </w:p>
    <w:p w14:paraId="53BEDC62" w14:textId="77777777" w:rsidR="00DD50E4" w:rsidRPr="00965D23" w:rsidRDefault="00DD50E4" w:rsidP="00C5726D">
      <w:pPr>
        <w:ind w:left="851"/>
        <w:rPr>
          <w:sz w:val="24"/>
          <w:szCs w:val="24"/>
          <w:u w:val="single"/>
          <w:lang w:val="en-US"/>
        </w:rPr>
      </w:pPr>
      <w:r w:rsidRPr="00965D23">
        <w:rPr>
          <w:sz w:val="24"/>
          <w:szCs w:val="24"/>
          <w:u w:val="single"/>
          <w:lang w:val="en-US"/>
        </w:rPr>
        <w:t>Breast-feeding</w:t>
      </w:r>
    </w:p>
    <w:p w14:paraId="5C197630" w14:textId="77777777" w:rsidR="00DD50E4" w:rsidRPr="00C5726D" w:rsidRDefault="00DD50E4" w:rsidP="00C5726D">
      <w:pPr>
        <w:ind w:left="851"/>
        <w:rPr>
          <w:sz w:val="24"/>
          <w:szCs w:val="24"/>
          <w:lang w:val="en-US"/>
        </w:rPr>
      </w:pPr>
      <w:r w:rsidRPr="00C5726D">
        <w:rPr>
          <w:sz w:val="24"/>
          <w:szCs w:val="24"/>
          <w:lang w:val="en-US"/>
        </w:rPr>
        <w:t>It is unknown whether alendronate/metabolites are excreted in human milk. A risk to the newborns/infants cannot be excluded. Alendronate should not be used during breast-feeding.</w:t>
      </w:r>
    </w:p>
    <w:p w14:paraId="57D8006E" w14:textId="77777777" w:rsidR="00DD50E4" w:rsidRPr="00C5726D" w:rsidRDefault="00DD50E4" w:rsidP="00C5726D">
      <w:pPr>
        <w:ind w:left="851"/>
        <w:rPr>
          <w:sz w:val="24"/>
          <w:szCs w:val="24"/>
          <w:lang w:val="en-US"/>
        </w:rPr>
      </w:pPr>
    </w:p>
    <w:p w14:paraId="14955282" w14:textId="77777777" w:rsidR="00DD50E4" w:rsidRPr="00965D23" w:rsidRDefault="00DD50E4" w:rsidP="00C5726D">
      <w:pPr>
        <w:ind w:left="851"/>
        <w:rPr>
          <w:sz w:val="24"/>
          <w:szCs w:val="24"/>
          <w:u w:val="single"/>
          <w:lang w:val="en-GB"/>
        </w:rPr>
      </w:pPr>
      <w:r w:rsidRPr="00965D23">
        <w:rPr>
          <w:sz w:val="24"/>
          <w:szCs w:val="24"/>
          <w:u w:val="single"/>
          <w:lang w:val="en-GB"/>
        </w:rPr>
        <w:t>Fertility</w:t>
      </w:r>
    </w:p>
    <w:p w14:paraId="3F8AF0D6" w14:textId="77777777" w:rsidR="00DD50E4" w:rsidRPr="00965D23" w:rsidRDefault="00DD50E4" w:rsidP="00C5726D">
      <w:pPr>
        <w:ind w:left="851"/>
        <w:rPr>
          <w:sz w:val="24"/>
          <w:szCs w:val="24"/>
          <w:lang w:val="en-GB"/>
        </w:rPr>
      </w:pPr>
      <w:r w:rsidRPr="00965D23">
        <w:rPr>
          <w:spacing w:val="-5"/>
          <w:sz w:val="24"/>
          <w:szCs w:val="24"/>
          <w:lang w:val="en-US"/>
        </w:rPr>
        <w:t xml:space="preserve">Bisphosphonates </w:t>
      </w:r>
      <w:r w:rsidRPr="00965D23">
        <w:rPr>
          <w:sz w:val="24"/>
          <w:szCs w:val="24"/>
          <w:lang w:val="en-US"/>
        </w:rPr>
        <w:t xml:space="preserve">are </w:t>
      </w:r>
      <w:r w:rsidRPr="00965D23">
        <w:rPr>
          <w:spacing w:val="-4"/>
          <w:sz w:val="24"/>
          <w:szCs w:val="24"/>
          <w:lang w:val="en-US"/>
        </w:rPr>
        <w:t xml:space="preserve">incorporated </w:t>
      </w:r>
      <w:r w:rsidRPr="00965D23">
        <w:rPr>
          <w:spacing w:val="-8"/>
          <w:sz w:val="24"/>
          <w:szCs w:val="24"/>
          <w:lang w:val="en-US"/>
        </w:rPr>
        <w:t xml:space="preserve">into </w:t>
      </w:r>
      <w:r w:rsidRPr="00965D23">
        <w:rPr>
          <w:spacing w:val="-4"/>
          <w:sz w:val="24"/>
          <w:szCs w:val="24"/>
          <w:lang w:val="en-US"/>
        </w:rPr>
        <w:t xml:space="preserve">the </w:t>
      </w:r>
      <w:r w:rsidRPr="00965D23">
        <w:rPr>
          <w:spacing w:val="-6"/>
          <w:sz w:val="24"/>
          <w:szCs w:val="24"/>
          <w:lang w:val="en-US"/>
        </w:rPr>
        <w:t xml:space="preserve">bone matrix, </w:t>
      </w:r>
      <w:r w:rsidRPr="00965D23">
        <w:rPr>
          <w:sz w:val="24"/>
          <w:szCs w:val="24"/>
          <w:lang w:val="en-US"/>
        </w:rPr>
        <w:t xml:space="preserve">from </w:t>
      </w:r>
      <w:r w:rsidRPr="00965D23">
        <w:rPr>
          <w:spacing w:val="-4"/>
          <w:sz w:val="24"/>
          <w:szCs w:val="24"/>
          <w:lang w:val="en-US"/>
        </w:rPr>
        <w:t xml:space="preserve">which </w:t>
      </w:r>
      <w:r w:rsidRPr="00965D23">
        <w:rPr>
          <w:sz w:val="24"/>
          <w:szCs w:val="24"/>
          <w:lang w:val="en-US"/>
        </w:rPr>
        <w:t xml:space="preserve">they are </w:t>
      </w:r>
      <w:r w:rsidRPr="00965D23">
        <w:rPr>
          <w:spacing w:val="-6"/>
          <w:sz w:val="24"/>
          <w:szCs w:val="24"/>
          <w:lang w:val="en-US"/>
        </w:rPr>
        <w:t xml:space="preserve">gradually </w:t>
      </w:r>
      <w:r w:rsidRPr="00965D23">
        <w:rPr>
          <w:sz w:val="24"/>
          <w:szCs w:val="24"/>
          <w:lang w:val="en-US"/>
        </w:rPr>
        <w:t xml:space="preserve">released </w:t>
      </w:r>
      <w:r w:rsidRPr="00965D23">
        <w:rPr>
          <w:spacing w:val="-3"/>
          <w:sz w:val="24"/>
          <w:szCs w:val="24"/>
          <w:lang w:val="en-US"/>
        </w:rPr>
        <w:t xml:space="preserve">over </w:t>
      </w:r>
      <w:r w:rsidRPr="00965D23">
        <w:rPr>
          <w:sz w:val="24"/>
          <w:szCs w:val="24"/>
          <w:lang w:val="en-US"/>
        </w:rPr>
        <w:t xml:space="preserve">a </w:t>
      </w:r>
      <w:r w:rsidRPr="00965D23">
        <w:rPr>
          <w:spacing w:val="-5"/>
          <w:sz w:val="24"/>
          <w:szCs w:val="24"/>
          <w:lang w:val="en-US"/>
        </w:rPr>
        <w:t xml:space="preserve">period </w:t>
      </w:r>
      <w:r w:rsidRPr="00965D23">
        <w:rPr>
          <w:spacing w:val="-4"/>
          <w:sz w:val="24"/>
          <w:szCs w:val="24"/>
          <w:lang w:val="en-US"/>
        </w:rPr>
        <w:t xml:space="preserve">of </w:t>
      </w:r>
      <w:r w:rsidRPr="00965D23">
        <w:rPr>
          <w:sz w:val="24"/>
          <w:szCs w:val="24"/>
          <w:lang w:val="en-US"/>
        </w:rPr>
        <w:t xml:space="preserve">years. </w:t>
      </w:r>
      <w:r w:rsidRPr="00965D23">
        <w:rPr>
          <w:spacing w:val="-4"/>
          <w:sz w:val="24"/>
          <w:szCs w:val="24"/>
          <w:lang w:val="en-US"/>
        </w:rPr>
        <w:t xml:space="preserve">The </w:t>
      </w:r>
      <w:r w:rsidRPr="00965D23">
        <w:rPr>
          <w:spacing w:val="-6"/>
          <w:sz w:val="24"/>
          <w:szCs w:val="24"/>
          <w:lang w:val="en-US"/>
        </w:rPr>
        <w:t xml:space="preserve">amount </w:t>
      </w:r>
      <w:r w:rsidRPr="00965D23">
        <w:rPr>
          <w:spacing w:val="-4"/>
          <w:sz w:val="24"/>
          <w:szCs w:val="24"/>
          <w:lang w:val="en-US"/>
        </w:rPr>
        <w:t xml:space="preserve">of </w:t>
      </w:r>
      <w:r w:rsidRPr="00965D23">
        <w:rPr>
          <w:spacing w:val="-6"/>
          <w:sz w:val="24"/>
          <w:szCs w:val="24"/>
          <w:lang w:val="en-US"/>
        </w:rPr>
        <w:t xml:space="preserve">bisphosphonate </w:t>
      </w:r>
      <w:r w:rsidRPr="00965D23">
        <w:rPr>
          <w:spacing w:val="-4"/>
          <w:sz w:val="24"/>
          <w:szCs w:val="24"/>
          <w:lang w:val="en-US"/>
        </w:rPr>
        <w:t xml:space="preserve">incorporated </w:t>
      </w:r>
      <w:r w:rsidRPr="00965D23">
        <w:rPr>
          <w:spacing w:val="-5"/>
          <w:sz w:val="24"/>
          <w:szCs w:val="24"/>
          <w:lang w:val="en-US"/>
        </w:rPr>
        <w:t xml:space="preserve">into </w:t>
      </w:r>
      <w:r w:rsidRPr="00965D23">
        <w:rPr>
          <w:spacing w:val="-6"/>
          <w:sz w:val="24"/>
          <w:szCs w:val="24"/>
          <w:lang w:val="en-US"/>
        </w:rPr>
        <w:t xml:space="preserve">adult </w:t>
      </w:r>
      <w:r w:rsidRPr="00965D23">
        <w:rPr>
          <w:spacing w:val="-4"/>
          <w:sz w:val="24"/>
          <w:szCs w:val="24"/>
          <w:lang w:val="en-US"/>
        </w:rPr>
        <w:t xml:space="preserve">bone, </w:t>
      </w:r>
      <w:r w:rsidRPr="00965D23">
        <w:rPr>
          <w:sz w:val="24"/>
          <w:szCs w:val="24"/>
          <w:lang w:val="en-US"/>
        </w:rPr>
        <w:t xml:space="preserve">and hence, </w:t>
      </w:r>
      <w:r w:rsidRPr="00965D23">
        <w:rPr>
          <w:spacing w:val="-4"/>
          <w:sz w:val="24"/>
          <w:szCs w:val="24"/>
          <w:lang w:val="en-US"/>
        </w:rPr>
        <w:t xml:space="preserve">the </w:t>
      </w:r>
      <w:r w:rsidRPr="00965D23">
        <w:rPr>
          <w:spacing w:val="-6"/>
          <w:sz w:val="24"/>
          <w:szCs w:val="24"/>
          <w:lang w:val="en-US"/>
        </w:rPr>
        <w:t xml:space="preserve">amount </w:t>
      </w:r>
      <w:r w:rsidRPr="00965D23">
        <w:rPr>
          <w:spacing w:val="-7"/>
          <w:sz w:val="24"/>
          <w:szCs w:val="24"/>
          <w:lang w:val="en-US"/>
        </w:rPr>
        <w:t xml:space="preserve">available </w:t>
      </w:r>
      <w:r w:rsidRPr="00965D23">
        <w:rPr>
          <w:spacing w:val="-3"/>
          <w:sz w:val="24"/>
          <w:szCs w:val="24"/>
          <w:lang w:val="en-US"/>
        </w:rPr>
        <w:t xml:space="preserve">for </w:t>
      </w:r>
      <w:r w:rsidRPr="00965D23">
        <w:rPr>
          <w:sz w:val="24"/>
          <w:szCs w:val="24"/>
          <w:lang w:val="en-US"/>
        </w:rPr>
        <w:t xml:space="preserve">release back </w:t>
      </w:r>
      <w:r w:rsidRPr="00965D23">
        <w:rPr>
          <w:spacing w:val="-8"/>
          <w:sz w:val="24"/>
          <w:szCs w:val="24"/>
          <w:lang w:val="en-US"/>
        </w:rPr>
        <w:t xml:space="preserve">into </w:t>
      </w:r>
      <w:r w:rsidRPr="00965D23">
        <w:rPr>
          <w:spacing w:val="-4"/>
          <w:sz w:val="24"/>
          <w:szCs w:val="24"/>
          <w:lang w:val="en-US"/>
        </w:rPr>
        <w:t xml:space="preserve">the systemic </w:t>
      </w:r>
      <w:r w:rsidRPr="00965D23">
        <w:rPr>
          <w:spacing w:val="-6"/>
          <w:sz w:val="24"/>
          <w:szCs w:val="24"/>
          <w:lang w:val="en-US"/>
        </w:rPr>
        <w:t xml:space="preserve">circulation, </w:t>
      </w:r>
      <w:r w:rsidRPr="00965D23">
        <w:rPr>
          <w:spacing w:val="-9"/>
          <w:sz w:val="24"/>
          <w:szCs w:val="24"/>
          <w:lang w:val="en-US"/>
        </w:rPr>
        <w:t xml:space="preserve">is </w:t>
      </w:r>
      <w:r w:rsidRPr="00965D23">
        <w:rPr>
          <w:spacing w:val="-5"/>
          <w:sz w:val="24"/>
          <w:szCs w:val="24"/>
          <w:lang w:val="en-US"/>
        </w:rPr>
        <w:t xml:space="preserve">directly </w:t>
      </w:r>
      <w:r w:rsidRPr="00965D23">
        <w:rPr>
          <w:sz w:val="24"/>
          <w:szCs w:val="24"/>
          <w:lang w:val="en-US"/>
        </w:rPr>
        <w:t xml:space="preserve">related to </w:t>
      </w:r>
      <w:r w:rsidRPr="00965D23">
        <w:rPr>
          <w:spacing w:val="-4"/>
          <w:sz w:val="24"/>
          <w:szCs w:val="24"/>
          <w:lang w:val="en-US"/>
        </w:rPr>
        <w:t xml:space="preserve">the dose </w:t>
      </w:r>
      <w:r w:rsidRPr="00965D23">
        <w:rPr>
          <w:sz w:val="24"/>
          <w:szCs w:val="24"/>
          <w:lang w:val="en-US"/>
        </w:rPr>
        <w:t xml:space="preserve">and </w:t>
      </w:r>
      <w:r w:rsidRPr="00965D23">
        <w:rPr>
          <w:spacing w:val="-6"/>
          <w:sz w:val="24"/>
          <w:szCs w:val="24"/>
          <w:lang w:val="en-US"/>
        </w:rPr>
        <w:t xml:space="preserve">duration </w:t>
      </w:r>
      <w:r w:rsidRPr="00965D23">
        <w:rPr>
          <w:spacing w:val="-4"/>
          <w:sz w:val="24"/>
          <w:szCs w:val="24"/>
          <w:lang w:val="en-US"/>
        </w:rPr>
        <w:t xml:space="preserve">of </w:t>
      </w:r>
      <w:r w:rsidRPr="00965D23">
        <w:rPr>
          <w:spacing w:val="-6"/>
          <w:sz w:val="24"/>
          <w:szCs w:val="24"/>
          <w:lang w:val="en-US"/>
        </w:rPr>
        <w:t xml:space="preserve">bisphosphonate </w:t>
      </w:r>
      <w:r w:rsidRPr="00965D23">
        <w:rPr>
          <w:spacing w:val="-2"/>
          <w:sz w:val="24"/>
          <w:szCs w:val="24"/>
          <w:lang w:val="en-US"/>
        </w:rPr>
        <w:t xml:space="preserve">use </w:t>
      </w:r>
      <w:r w:rsidRPr="00965D23">
        <w:rPr>
          <w:sz w:val="24"/>
          <w:szCs w:val="24"/>
          <w:lang w:val="en-US"/>
        </w:rPr>
        <w:t xml:space="preserve">(see </w:t>
      </w:r>
      <w:r w:rsidRPr="00965D23">
        <w:rPr>
          <w:spacing w:val="-3"/>
          <w:sz w:val="24"/>
          <w:szCs w:val="24"/>
          <w:lang w:val="en-US"/>
        </w:rPr>
        <w:t xml:space="preserve">section 5.2). </w:t>
      </w:r>
      <w:r w:rsidRPr="00965D23">
        <w:rPr>
          <w:sz w:val="24"/>
          <w:szCs w:val="24"/>
          <w:lang w:val="en-US"/>
        </w:rPr>
        <w:t xml:space="preserve">There are </w:t>
      </w:r>
      <w:r w:rsidRPr="00965D23">
        <w:rPr>
          <w:spacing w:val="-4"/>
          <w:sz w:val="24"/>
          <w:szCs w:val="24"/>
          <w:lang w:val="en-US"/>
        </w:rPr>
        <w:t xml:space="preserve">no </w:t>
      </w:r>
      <w:r w:rsidRPr="00965D23">
        <w:rPr>
          <w:sz w:val="24"/>
          <w:szCs w:val="24"/>
          <w:lang w:val="en-US"/>
        </w:rPr>
        <w:t xml:space="preserve">data </w:t>
      </w:r>
      <w:r w:rsidRPr="00965D23">
        <w:rPr>
          <w:spacing w:val="-4"/>
          <w:sz w:val="24"/>
          <w:szCs w:val="24"/>
          <w:lang w:val="en-US"/>
        </w:rPr>
        <w:t xml:space="preserve">on </w:t>
      </w:r>
      <w:proofErr w:type="spellStart"/>
      <w:r w:rsidRPr="00965D23">
        <w:rPr>
          <w:sz w:val="24"/>
          <w:szCs w:val="24"/>
          <w:lang w:val="en-US"/>
        </w:rPr>
        <w:t>foetal</w:t>
      </w:r>
      <w:proofErr w:type="spellEnd"/>
      <w:r w:rsidRPr="00965D23">
        <w:rPr>
          <w:sz w:val="24"/>
          <w:szCs w:val="24"/>
          <w:lang w:val="en-US"/>
        </w:rPr>
        <w:t xml:space="preserve"> </w:t>
      </w:r>
      <w:r w:rsidRPr="00965D23">
        <w:rPr>
          <w:spacing w:val="-4"/>
          <w:sz w:val="24"/>
          <w:szCs w:val="24"/>
          <w:lang w:val="en-US"/>
        </w:rPr>
        <w:t xml:space="preserve">risk </w:t>
      </w:r>
      <w:r w:rsidRPr="00965D23">
        <w:rPr>
          <w:spacing w:val="-9"/>
          <w:sz w:val="24"/>
          <w:szCs w:val="24"/>
          <w:lang w:val="en-US"/>
        </w:rPr>
        <w:t xml:space="preserve">in </w:t>
      </w:r>
      <w:r w:rsidRPr="00965D23">
        <w:rPr>
          <w:spacing w:val="-5"/>
          <w:sz w:val="24"/>
          <w:szCs w:val="24"/>
          <w:lang w:val="en-US"/>
        </w:rPr>
        <w:t xml:space="preserve">humans. </w:t>
      </w:r>
      <w:r w:rsidRPr="00965D23">
        <w:rPr>
          <w:sz w:val="24"/>
          <w:szCs w:val="24"/>
          <w:lang w:val="en-US"/>
        </w:rPr>
        <w:t xml:space="preserve">However, there </w:t>
      </w:r>
      <w:r w:rsidRPr="00965D23">
        <w:rPr>
          <w:spacing w:val="-9"/>
          <w:sz w:val="24"/>
          <w:szCs w:val="24"/>
          <w:lang w:val="en-US"/>
        </w:rPr>
        <w:t xml:space="preserve">is </w:t>
      </w:r>
      <w:r w:rsidRPr="00965D23">
        <w:rPr>
          <w:sz w:val="24"/>
          <w:szCs w:val="24"/>
          <w:lang w:val="en-US"/>
        </w:rPr>
        <w:t xml:space="preserve">a </w:t>
      </w:r>
      <w:r w:rsidRPr="00965D23">
        <w:rPr>
          <w:spacing w:val="-3"/>
          <w:sz w:val="24"/>
          <w:szCs w:val="24"/>
          <w:lang w:val="en-US"/>
        </w:rPr>
        <w:t xml:space="preserve">theoretical </w:t>
      </w:r>
      <w:r w:rsidRPr="00965D23">
        <w:rPr>
          <w:spacing w:val="-4"/>
          <w:sz w:val="24"/>
          <w:szCs w:val="24"/>
          <w:lang w:val="en-US"/>
        </w:rPr>
        <w:t xml:space="preserve">risk of </w:t>
      </w:r>
      <w:proofErr w:type="spellStart"/>
      <w:r w:rsidRPr="00965D23">
        <w:rPr>
          <w:sz w:val="24"/>
          <w:szCs w:val="24"/>
          <w:lang w:val="en-US"/>
        </w:rPr>
        <w:t>foetal</w:t>
      </w:r>
      <w:proofErr w:type="spellEnd"/>
      <w:r w:rsidRPr="00965D23">
        <w:rPr>
          <w:sz w:val="24"/>
          <w:szCs w:val="24"/>
          <w:lang w:val="en-US"/>
        </w:rPr>
        <w:t xml:space="preserve"> </w:t>
      </w:r>
      <w:r w:rsidRPr="00965D23">
        <w:rPr>
          <w:spacing w:val="-3"/>
          <w:sz w:val="24"/>
          <w:szCs w:val="24"/>
          <w:lang w:val="en-US"/>
        </w:rPr>
        <w:t xml:space="preserve">harm, </w:t>
      </w:r>
      <w:r w:rsidRPr="00965D23">
        <w:rPr>
          <w:spacing w:val="-7"/>
          <w:sz w:val="24"/>
          <w:szCs w:val="24"/>
          <w:lang w:val="en-US"/>
        </w:rPr>
        <w:t xml:space="preserve">predominantly </w:t>
      </w:r>
      <w:r w:rsidRPr="00965D23">
        <w:rPr>
          <w:spacing w:val="-4"/>
          <w:sz w:val="24"/>
          <w:szCs w:val="24"/>
          <w:lang w:val="en-US"/>
        </w:rPr>
        <w:t xml:space="preserve">skeletal, </w:t>
      </w:r>
      <w:r w:rsidRPr="00965D23">
        <w:rPr>
          <w:spacing w:val="-9"/>
          <w:sz w:val="24"/>
          <w:szCs w:val="24"/>
          <w:lang w:val="en-US"/>
        </w:rPr>
        <w:t xml:space="preserve">if </w:t>
      </w:r>
      <w:r w:rsidRPr="00965D23">
        <w:rPr>
          <w:sz w:val="24"/>
          <w:szCs w:val="24"/>
          <w:lang w:val="en-US"/>
        </w:rPr>
        <w:t xml:space="preserve">a </w:t>
      </w:r>
      <w:r w:rsidRPr="00965D23">
        <w:rPr>
          <w:spacing w:val="-3"/>
          <w:sz w:val="24"/>
          <w:szCs w:val="24"/>
          <w:lang w:val="en-US"/>
        </w:rPr>
        <w:t xml:space="preserve">woman becomes pregnant </w:t>
      </w:r>
      <w:r w:rsidRPr="00965D23">
        <w:rPr>
          <w:sz w:val="24"/>
          <w:szCs w:val="24"/>
          <w:lang w:val="en-US"/>
        </w:rPr>
        <w:t xml:space="preserve">after </w:t>
      </w:r>
      <w:r w:rsidRPr="00965D23">
        <w:rPr>
          <w:spacing w:val="-7"/>
          <w:sz w:val="24"/>
          <w:szCs w:val="24"/>
          <w:lang w:val="en-US"/>
        </w:rPr>
        <w:t xml:space="preserve">completing </w:t>
      </w:r>
      <w:r w:rsidRPr="00965D23">
        <w:rPr>
          <w:sz w:val="24"/>
          <w:szCs w:val="24"/>
          <w:lang w:val="en-US"/>
        </w:rPr>
        <w:t xml:space="preserve">a course </w:t>
      </w:r>
      <w:r w:rsidRPr="00965D23">
        <w:rPr>
          <w:spacing w:val="-4"/>
          <w:sz w:val="24"/>
          <w:szCs w:val="24"/>
          <w:lang w:val="en-US"/>
        </w:rPr>
        <w:t xml:space="preserve">of </w:t>
      </w:r>
      <w:r w:rsidRPr="00965D23">
        <w:rPr>
          <w:spacing w:val="-6"/>
          <w:sz w:val="24"/>
          <w:szCs w:val="24"/>
          <w:lang w:val="en-US"/>
        </w:rPr>
        <w:t xml:space="preserve">bisphosphonate </w:t>
      </w:r>
      <w:r w:rsidRPr="00965D23">
        <w:rPr>
          <w:spacing w:val="-3"/>
          <w:sz w:val="24"/>
          <w:szCs w:val="24"/>
          <w:lang w:val="en-US"/>
        </w:rPr>
        <w:t xml:space="preserve">therapy. </w:t>
      </w:r>
      <w:r w:rsidRPr="00965D23">
        <w:rPr>
          <w:spacing w:val="-4"/>
          <w:sz w:val="24"/>
          <w:szCs w:val="24"/>
          <w:lang w:val="en-US"/>
        </w:rPr>
        <w:t xml:space="preserve">The </w:t>
      </w:r>
      <w:r w:rsidRPr="00965D23">
        <w:rPr>
          <w:spacing w:val="-5"/>
          <w:sz w:val="24"/>
          <w:szCs w:val="24"/>
          <w:lang w:val="en-US"/>
        </w:rPr>
        <w:t xml:space="preserve">impact </w:t>
      </w:r>
      <w:r w:rsidRPr="00965D23">
        <w:rPr>
          <w:spacing w:val="-4"/>
          <w:sz w:val="24"/>
          <w:szCs w:val="24"/>
          <w:lang w:val="en-US"/>
        </w:rPr>
        <w:t xml:space="preserve">of </w:t>
      </w:r>
      <w:r w:rsidRPr="00965D23">
        <w:rPr>
          <w:spacing w:val="-5"/>
          <w:sz w:val="24"/>
          <w:szCs w:val="24"/>
          <w:lang w:val="en-US"/>
        </w:rPr>
        <w:t xml:space="preserve">variables </w:t>
      </w:r>
      <w:r w:rsidRPr="00965D23">
        <w:rPr>
          <w:sz w:val="24"/>
          <w:szCs w:val="24"/>
          <w:lang w:val="en-US"/>
        </w:rPr>
        <w:t xml:space="preserve">such as </w:t>
      </w:r>
      <w:r w:rsidRPr="00965D23">
        <w:rPr>
          <w:spacing w:val="-8"/>
          <w:sz w:val="24"/>
          <w:szCs w:val="24"/>
          <w:lang w:val="en-US"/>
        </w:rPr>
        <w:t xml:space="preserve">time </w:t>
      </w:r>
      <w:r w:rsidRPr="00965D23">
        <w:rPr>
          <w:sz w:val="24"/>
          <w:szCs w:val="24"/>
          <w:lang w:val="en-US"/>
        </w:rPr>
        <w:t xml:space="preserve">between cessation </w:t>
      </w:r>
      <w:r w:rsidRPr="00965D23">
        <w:rPr>
          <w:spacing w:val="-4"/>
          <w:sz w:val="24"/>
          <w:szCs w:val="24"/>
          <w:lang w:val="en-US"/>
        </w:rPr>
        <w:t xml:space="preserve">of </w:t>
      </w:r>
      <w:r w:rsidRPr="00965D23">
        <w:rPr>
          <w:spacing w:val="-6"/>
          <w:sz w:val="24"/>
          <w:szCs w:val="24"/>
          <w:lang w:val="en-US"/>
        </w:rPr>
        <w:t xml:space="preserve">bisphosphonate </w:t>
      </w:r>
      <w:r w:rsidRPr="00965D23">
        <w:rPr>
          <w:sz w:val="24"/>
          <w:szCs w:val="24"/>
          <w:lang w:val="en-US"/>
        </w:rPr>
        <w:t xml:space="preserve">therapy to </w:t>
      </w:r>
      <w:r w:rsidRPr="00965D23">
        <w:rPr>
          <w:spacing w:val="-5"/>
          <w:sz w:val="24"/>
          <w:szCs w:val="24"/>
          <w:lang w:val="en-US"/>
        </w:rPr>
        <w:t xml:space="preserve">conception, </w:t>
      </w:r>
      <w:r w:rsidRPr="00965D23">
        <w:rPr>
          <w:spacing w:val="-4"/>
          <w:sz w:val="24"/>
          <w:szCs w:val="24"/>
          <w:lang w:val="en-US"/>
        </w:rPr>
        <w:t xml:space="preserve">the </w:t>
      </w:r>
      <w:r w:rsidRPr="00965D23">
        <w:rPr>
          <w:spacing w:val="-5"/>
          <w:sz w:val="24"/>
          <w:szCs w:val="24"/>
          <w:lang w:val="en-US"/>
        </w:rPr>
        <w:t xml:space="preserve">particular </w:t>
      </w:r>
      <w:r w:rsidRPr="00965D23">
        <w:rPr>
          <w:spacing w:val="-6"/>
          <w:sz w:val="24"/>
          <w:szCs w:val="24"/>
          <w:lang w:val="en-US"/>
        </w:rPr>
        <w:t xml:space="preserve">bisphosphonate </w:t>
      </w:r>
      <w:r w:rsidRPr="00965D23">
        <w:rPr>
          <w:sz w:val="24"/>
          <w:szCs w:val="24"/>
          <w:lang w:val="en-US"/>
        </w:rPr>
        <w:t xml:space="preserve">used, and </w:t>
      </w:r>
      <w:r w:rsidRPr="00965D23">
        <w:rPr>
          <w:spacing w:val="-4"/>
          <w:sz w:val="24"/>
          <w:szCs w:val="24"/>
          <w:lang w:val="en-US"/>
        </w:rPr>
        <w:t xml:space="preserve">the route of </w:t>
      </w:r>
      <w:r w:rsidRPr="00965D23">
        <w:rPr>
          <w:spacing w:val="-7"/>
          <w:sz w:val="24"/>
          <w:szCs w:val="24"/>
          <w:lang w:val="en-US"/>
        </w:rPr>
        <w:t xml:space="preserve">administration </w:t>
      </w:r>
      <w:r w:rsidRPr="00965D23">
        <w:rPr>
          <w:spacing w:val="-5"/>
          <w:sz w:val="24"/>
          <w:szCs w:val="24"/>
          <w:lang w:val="en-US"/>
        </w:rPr>
        <w:t xml:space="preserve">(intravenous </w:t>
      </w:r>
      <w:r w:rsidRPr="00965D23">
        <w:rPr>
          <w:sz w:val="24"/>
          <w:szCs w:val="24"/>
          <w:lang w:val="en-US"/>
        </w:rPr>
        <w:t xml:space="preserve">versus </w:t>
      </w:r>
      <w:r w:rsidRPr="00965D23">
        <w:rPr>
          <w:spacing w:val="-5"/>
          <w:sz w:val="24"/>
          <w:szCs w:val="24"/>
          <w:lang w:val="en-US"/>
        </w:rPr>
        <w:t xml:space="preserve">oral) </w:t>
      </w:r>
      <w:r w:rsidRPr="00965D23">
        <w:rPr>
          <w:spacing w:val="-4"/>
          <w:sz w:val="24"/>
          <w:szCs w:val="24"/>
          <w:lang w:val="en-US"/>
        </w:rPr>
        <w:t xml:space="preserve">on the risk </w:t>
      </w:r>
      <w:r w:rsidRPr="00965D23">
        <w:rPr>
          <w:sz w:val="24"/>
          <w:szCs w:val="24"/>
          <w:lang w:val="en-US"/>
        </w:rPr>
        <w:t xml:space="preserve">has </w:t>
      </w:r>
      <w:r w:rsidRPr="00965D23">
        <w:rPr>
          <w:spacing w:val="-6"/>
          <w:sz w:val="24"/>
          <w:szCs w:val="24"/>
          <w:lang w:val="en-US"/>
        </w:rPr>
        <w:t>not</w:t>
      </w:r>
      <w:r w:rsidRPr="00965D23">
        <w:rPr>
          <w:spacing w:val="10"/>
          <w:sz w:val="24"/>
          <w:szCs w:val="24"/>
          <w:lang w:val="en-US"/>
        </w:rPr>
        <w:t xml:space="preserve"> </w:t>
      </w:r>
      <w:r w:rsidRPr="00965D23">
        <w:rPr>
          <w:sz w:val="24"/>
          <w:szCs w:val="24"/>
          <w:lang w:val="en-US"/>
        </w:rPr>
        <w:t xml:space="preserve">been </w:t>
      </w:r>
      <w:r w:rsidRPr="00965D23">
        <w:rPr>
          <w:spacing w:val="-5"/>
          <w:sz w:val="24"/>
          <w:szCs w:val="24"/>
          <w:lang w:val="en-US"/>
        </w:rPr>
        <w:t>studied.</w:t>
      </w:r>
    </w:p>
    <w:p w14:paraId="2983A0BB" w14:textId="77777777" w:rsidR="007C5D2A" w:rsidRPr="00C5726D" w:rsidRDefault="007C5D2A" w:rsidP="003E0341">
      <w:pPr>
        <w:tabs>
          <w:tab w:val="left" w:pos="851"/>
        </w:tabs>
        <w:ind w:left="851"/>
        <w:rPr>
          <w:sz w:val="24"/>
          <w:szCs w:val="24"/>
          <w:lang w:val="en-GB"/>
        </w:rPr>
      </w:pPr>
    </w:p>
    <w:p w14:paraId="39B9E0D4" w14:textId="77777777" w:rsidR="007C5D2A" w:rsidRPr="00C5726D" w:rsidRDefault="007C5D2A" w:rsidP="007C5D2A">
      <w:pPr>
        <w:tabs>
          <w:tab w:val="left" w:pos="851"/>
        </w:tabs>
        <w:ind w:left="851" w:hanging="851"/>
        <w:rPr>
          <w:b/>
          <w:sz w:val="24"/>
          <w:szCs w:val="24"/>
          <w:lang w:val="en-GB"/>
        </w:rPr>
      </w:pPr>
      <w:r w:rsidRPr="00C5726D">
        <w:rPr>
          <w:b/>
          <w:sz w:val="24"/>
          <w:szCs w:val="24"/>
          <w:lang w:val="en-GB"/>
        </w:rPr>
        <w:t>4.7</w:t>
      </w:r>
      <w:r w:rsidRPr="00C5726D">
        <w:rPr>
          <w:b/>
          <w:sz w:val="24"/>
          <w:szCs w:val="24"/>
          <w:lang w:val="en-GB"/>
        </w:rPr>
        <w:tab/>
        <w:t>Effects on ability to drive and use machines</w:t>
      </w:r>
    </w:p>
    <w:p w14:paraId="2AF2F604" w14:textId="1D2BE151" w:rsidR="007C5D2A" w:rsidRPr="00C5726D" w:rsidRDefault="00174F65" w:rsidP="00C5726D">
      <w:pPr>
        <w:ind w:left="851"/>
        <w:rPr>
          <w:sz w:val="24"/>
          <w:szCs w:val="24"/>
          <w:lang w:val="en-GB"/>
        </w:rPr>
      </w:pPr>
      <w:r w:rsidRPr="00C5726D">
        <w:rPr>
          <w:sz w:val="24"/>
          <w:szCs w:val="24"/>
          <w:lang w:val="en-GB"/>
        </w:rPr>
        <w:t>No traffic warning.</w:t>
      </w:r>
    </w:p>
    <w:p w14:paraId="57A8333F" w14:textId="5132B844" w:rsidR="00DD50E4" w:rsidRPr="00C5726D" w:rsidRDefault="00DD50E4" w:rsidP="00C5726D">
      <w:pPr>
        <w:ind w:left="851"/>
        <w:rPr>
          <w:color w:val="000000"/>
          <w:sz w:val="24"/>
          <w:szCs w:val="24"/>
          <w:lang w:val="en-US"/>
        </w:rPr>
      </w:pPr>
      <w:r w:rsidRPr="00C5726D">
        <w:rPr>
          <w:color w:val="000000"/>
          <w:sz w:val="24"/>
          <w:szCs w:val="24"/>
          <w:lang w:val="en-US"/>
        </w:rPr>
        <w:t>Alendronate</w:t>
      </w:r>
      <w:r w:rsidRPr="00C5726D">
        <w:rPr>
          <w:sz w:val="24"/>
          <w:szCs w:val="24"/>
          <w:lang w:val="en-US"/>
        </w:rPr>
        <w:t xml:space="preserve"> has </w:t>
      </w:r>
      <w:r w:rsidRPr="00C5726D">
        <w:rPr>
          <w:spacing w:val="-4"/>
          <w:sz w:val="24"/>
          <w:szCs w:val="24"/>
          <w:lang w:val="en-US"/>
        </w:rPr>
        <w:t xml:space="preserve">no or </w:t>
      </w:r>
      <w:r w:rsidRPr="00C5726D">
        <w:rPr>
          <w:spacing w:val="-10"/>
          <w:sz w:val="24"/>
          <w:szCs w:val="24"/>
          <w:lang w:val="en-US"/>
        </w:rPr>
        <w:t xml:space="preserve">negligible </w:t>
      </w:r>
      <w:r w:rsidRPr="00C5726D">
        <w:rPr>
          <w:spacing w:val="-3"/>
          <w:sz w:val="24"/>
          <w:szCs w:val="24"/>
          <w:lang w:val="en-US"/>
        </w:rPr>
        <w:t xml:space="preserve">direct </w:t>
      </w:r>
      <w:r w:rsidRPr="00C5726D">
        <w:rPr>
          <w:spacing w:val="-6"/>
          <w:sz w:val="24"/>
          <w:szCs w:val="24"/>
          <w:lang w:val="en-US"/>
        </w:rPr>
        <w:t xml:space="preserve">influence </w:t>
      </w:r>
      <w:r w:rsidRPr="00C5726D">
        <w:rPr>
          <w:color w:val="000000"/>
          <w:sz w:val="24"/>
          <w:szCs w:val="24"/>
          <w:lang w:val="en-US"/>
        </w:rPr>
        <w:t xml:space="preserve">on the ability to drive and use machines. Patients may experience certain adverse reactions </w:t>
      </w:r>
      <w:r w:rsidRPr="00C5726D">
        <w:rPr>
          <w:sz w:val="24"/>
          <w:szCs w:val="24"/>
          <w:lang w:val="en-US"/>
        </w:rPr>
        <w:t xml:space="preserve">(for </w:t>
      </w:r>
      <w:r w:rsidRPr="00C5726D">
        <w:rPr>
          <w:spacing w:val="-6"/>
          <w:sz w:val="24"/>
          <w:szCs w:val="24"/>
          <w:lang w:val="en-US"/>
        </w:rPr>
        <w:t xml:space="preserve">example </w:t>
      </w:r>
      <w:r w:rsidRPr="00C5726D">
        <w:rPr>
          <w:spacing w:val="-5"/>
          <w:sz w:val="24"/>
          <w:szCs w:val="24"/>
          <w:lang w:val="en-US"/>
        </w:rPr>
        <w:t xml:space="preserve">blurred </w:t>
      </w:r>
      <w:r w:rsidRPr="00C5726D">
        <w:rPr>
          <w:spacing w:val="-9"/>
          <w:sz w:val="24"/>
          <w:szCs w:val="24"/>
          <w:lang w:val="en-US"/>
        </w:rPr>
        <w:t xml:space="preserve">vision, </w:t>
      </w:r>
      <w:r w:rsidRPr="00C5726D">
        <w:rPr>
          <w:spacing w:val="-8"/>
          <w:sz w:val="24"/>
          <w:szCs w:val="24"/>
          <w:lang w:val="en-US"/>
        </w:rPr>
        <w:t xml:space="preserve">dizziness </w:t>
      </w:r>
      <w:r w:rsidRPr="00C5726D">
        <w:rPr>
          <w:sz w:val="24"/>
          <w:szCs w:val="24"/>
          <w:lang w:val="en-US"/>
        </w:rPr>
        <w:t xml:space="preserve">and severe </w:t>
      </w:r>
      <w:r w:rsidRPr="00C5726D">
        <w:rPr>
          <w:spacing w:val="-6"/>
          <w:sz w:val="24"/>
          <w:szCs w:val="24"/>
          <w:lang w:val="en-US"/>
        </w:rPr>
        <w:t xml:space="preserve">bone muscle </w:t>
      </w:r>
      <w:r w:rsidRPr="00C5726D">
        <w:rPr>
          <w:spacing w:val="-4"/>
          <w:sz w:val="24"/>
          <w:szCs w:val="24"/>
          <w:lang w:val="en-US"/>
        </w:rPr>
        <w:t xml:space="preserve">or </w:t>
      </w:r>
      <w:r w:rsidRPr="00C5726D">
        <w:rPr>
          <w:spacing w:val="-11"/>
          <w:sz w:val="24"/>
          <w:szCs w:val="24"/>
          <w:lang w:val="en-US"/>
        </w:rPr>
        <w:t xml:space="preserve">joint </w:t>
      </w:r>
      <w:r w:rsidRPr="00C5726D">
        <w:rPr>
          <w:spacing w:val="-6"/>
          <w:sz w:val="24"/>
          <w:szCs w:val="24"/>
          <w:lang w:val="en-US"/>
        </w:rPr>
        <w:t xml:space="preserve">pain </w:t>
      </w:r>
      <w:r w:rsidRPr="00C5726D">
        <w:rPr>
          <w:sz w:val="24"/>
          <w:szCs w:val="24"/>
          <w:lang w:val="en-US"/>
        </w:rPr>
        <w:t xml:space="preserve">(see </w:t>
      </w:r>
      <w:r w:rsidRPr="00C5726D">
        <w:rPr>
          <w:spacing w:val="-3"/>
          <w:sz w:val="24"/>
          <w:szCs w:val="24"/>
          <w:lang w:val="en-US"/>
        </w:rPr>
        <w:t>section 4.8))</w:t>
      </w:r>
      <w:r w:rsidRPr="00C5726D">
        <w:rPr>
          <w:color w:val="000000"/>
          <w:sz w:val="24"/>
          <w:szCs w:val="24"/>
          <w:lang w:val="en-US"/>
        </w:rPr>
        <w:t xml:space="preserve"> that may influence the ability to drive and use machines.</w:t>
      </w:r>
    </w:p>
    <w:p w14:paraId="45D4B87E" w14:textId="77777777" w:rsidR="007C5D2A" w:rsidRPr="00C5726D" w:rsidRDefault="007C5D2A" w:rsidP="003E0341">
      <w:pPr>
        <w:tabs>
          <w:tab w:val="left" w:pos="851"/>
        </w:tabs>
        <w:ind w:left="851"/>
        <w:rPr>
          <w:sz w:val="24"/>
          <w:szCs w:val="24"/>
          <w:lang w:val="en-US"/>
        </w:rPr>
      </w:pPr>
    </w:p>
    <w:p w14:paraId="0CB686BA" w14:textId="77777777" w:rsidR="007C5D2A" w:rsidRPr="00C5726D" w:rsidRDefault="007C5D2A" w:rsidP="007C5D2A">
      <w:pPr>
        <w:tabs>
          <w:tab w:val="left" w:pos="851"/>
        </w:tabs>
        <w:ind w:left="851" w:hanging="851"/>
        <w:rPr>
          <w:b/>
          <w:sz w:val="24"/>
          <w:szCs w:val="24"/>
          <w:lang w:val="en-GB"/>
        </w:rPr>
      </w:pPr>
      <w:r w:rsidRPr="00C5726D">
        <w:rPr>
          <w:b/>
          <w:sz w:val="24"/>
          <w:szCs w:val="24"/>
          <w:lang w:val="en-GB"/>
        </w:rPr>
        <w:t>4.8</w:t>
      </w:r>
      <w:r w:rsidRPr="00C5726D">
        <w:rPr>
          <w:b/>
          <w:sz w:val="24"/>
          <w:szCs w:val="24"/>
          <w:lang w:val="en-GB"/>
        </w:rPr>
        <w:tab/>
        <w:t>Undesirable effects</w:t>
      </w:r>
    </w:p>
    <w:p w14:paraId="59927590" w14:textId="77777777" w:rsidR="0070712E" w:rsidRDefault="0070712E" w:rsidP="00C5726D">
      <w:pPr>
        <w:ind w:left="851"/>
        <w:rPr>
          <w:sz w:val="24"/>
          <w:szCs w:val="24"/>
          <w:lang w:val="en-US"/>
        </w:rPr>
      </w:pPr>
    </w:p>
    <w:p w14:paraId="749F931D" w14:textId="21D3E8B0" w:rsidR="00DD50E4" w:rsidRPr="0070712E" w:rsidRDefault="00DD50E4" w:rsidP="00C5726D">
      <w:pPr>
        <w:ind w:left="851"/>
        <w:rPr>
          <w:sz w:val="24"/>
          <w:szCs w:val="24"/>
          <w:u w:val="single"/>
          <w:lang w:val="en-US"/>
        </w:rPr>
      </w:pPr>
      <w:r w:rsidRPr="0070712E">
        <w:rPr>
          <w:sz w:val="24"/>
          <w:szCs w:val="24"/>
          <w:u w:val="single"/>
          <w:lang w:val="en-US"/>
        </w:rPr>
        <w:t>Summary of the safety profile</w:t>
      </w:r>
    </w:p>
    <w:p w14:paraId="28DBA2E4" w14:textId="77777777" w:rsidR="00DD50E4" w:rsidRPr="00C5726D" w:rsidRDefault="00DD50E4" w:rsidP="00C5726D">
      <w:pPr>
        <w:ind w:left="851"/>
        <w:rPr>
          <w:color w:val="000000"/>
          <w:sz w:val="24"/>
          <w:szCs w:val="24"/>
          <w:lang w:val="en-GB"/>
        </w:rPr>
      </w:pPr>
      <w:r w:rsidRPr="00C5726D">
        <w:rPr>
          <w:color w:val="000000"/>
          <w:sz w:val="24"/>
          <w:szCs w:val="24"/>
          <w:lang w:val="en-GB"/>
        </w:rPr>
        <w:t>In a one-year study in postmenopausal women with osteoporosis the overall safety profiles of alendronate once weekly 70 mg (n=519) and alendronate 10 mg/day (n=370) were similar.</w:t>
      </w:r>
    </w:p>
    <w:p w14:paraId="0D04D947" w14:textId="77777777" w:rsidR="00DD50E4" w:rsidRPr="00C5726D" w:rsidRDefault="00DD50E4" w:rsidP="00C5726D">
      <w:pPr>
        <w:ind w:left="851"/>
        <w:rPr>
          <w:color w:val="000000"/>
          <w:sz w:val="24"/>
          <w:szCs w:val="24"/>
          <w:lang w:val="en-GB"/>
        </w:rPr>
      </w:pPr>
    </w:p>
    <w:p w14:paraId="0E10211C" w14:textId="77777777" w:rsidR="00DD50E4" w:rsidRPr="00C5726D" w:rsidRDefault="00DD50E4" w:rsidP="00C5726D">
      <w:pPr>
        <w:ind w:left="851"/>
        <w:rPr>
          <w:color w:val="000000"/>
          <w:sz w:val="24"/>
          <w:szCs w:val="24"/>
          <w:lang w:val="en-GB"/>
        </w:rPr>
      </w:pPr>
      <w:r w:rsidRPr="00C5726D">
        <w:rPr>
          <w:color w:val="000000"/>
          <w:sz w:val="24"/>
          <w:szCs w:val="24"/>
          <w:lang w:val="en-GB"/>
        </w:rPr>
        <w:t>In two three-year studies of virtually identical design, in postmenopausal women (alendronate 10 mg: n=196, placebo: n=397) the overall safety profiles of alendronate 10 mg/day and placebo were similar.</w:t>
      </w:r>
    </w:p>
    <w:p w14:paraId="1BD2D803" w14:textId="77777777" w:rsidR="00DD50E4" w:rsidRPr="00C5726D" w:rsidRDefault="00DD50E4" w:rsidP="00C5726D">
      <w:pPr>
        <w:ind w:left="851"/>
        <w:rPr>
          <w:color w:val="000000"/>
          <w:sz w:val="24"/>
          <w:szCs w:val="24"/>
          <w:lang w:val="en-GB"/>
        </w:rPr>
      </w:pPr>
    </w:p>
    <w:p w14:paraId="02B59E58" w14:textId="77777777" w:rsidR="00DD50E4" w:rsidRPr="00C5726D" w:rsidRDefault="00DD50E4" w:rsidP="00C5726D">
      <w:pPr>
        <w:ind w:left="851"/>
        <w:rPr>
          <w:color w:val="000000"/>
          <w:sz w:val="24"/>
          <w:szCs w:val="24"/>
          <w:lang w:val="en-GB"/>
        </w:rPr>
      </w:pPr>
      <w:r w:rsidRPr="00C5726D">
        <w:rPr>
          <w:color w:val="000000"/>
          <w:sz w:val="24"/>
          <w:szCs w:val="24"/>
          <w:lang w:val="en-US"/>
        </w:rPr>
        <w:t xml:space="preserve">Adverse experiences reported by the investigators as possibly, probably or definitely drug-related are presented below if they occurred in </w:t>
      </w:r>
      <w:r w:rsidRPr="00C5726D">
        <w:rPr>
          <w:color w:val="000000"/>
          <w:sz w:val="24"/>
          <w:szCs w:val="24"/>
        </w:rPr>
        <w:sym w:font="Symbol" w:char="F0B3"/>
      </w:r>
      <w:r w:rsidRPr="00C5726D">
        <w:rPr>
          <w:color w:val="000000"/>
          <w:sz w:val="24"/>
          <w:szCs w:val="24"/>
          <w:lang w:val="en-US"/>
        </w:rPr>
        <w:t>1% in either treatment group in the one-year study, or in ≥1% of patients treated with alendronate 10 mg/day and at a greater incidence than in patients given placebo in the three-year studies:</w:t>
      </w:r>
    </w:p>
    <w:p w14:paraId="0C8852BD" w14:textId="77777777" w:rsidR="00DD50E4" w:rsidRPr="00C5726D" w:rsidRDefault="00DD50E4" w:rsidP="00DD50E4">
      <w:pPr>
        <w:rPr>
          <w:color w:val="000000"/>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1983"/>
        <w:gridCol w:w="1716"/>
        <w:gridCol w:w="1831"/>
        <w:gridCol w:w="1646"/>
      </w:tblGrid>
      <w:tr w:rsidR="00DD50E4" w:rsidRPr="00C5726D" w14:paraId="2EF48FC5" w14:textId="77777777" w:rsidTr="00C5726D">
        <w:tc>
          <w:tcPr>
            <w:tcW w:w="1273" w:type="pct"/>
            <w:vMerge w:val="restart"/>
            <w:tcBorders>
              <w:top w:val="single" w:sz="4" w:space="0" w:color="auto"/>
              <w:left w:val="single" w:sz="4" w:space="0" w:color="auto"/>
              <w:bottom w:val="single" w:sz="4" w:space="0" w:color="auto"/>
              <w:right w:val="single" w:sz="4" w:space="0" w:color="auto"/>
            </w:tcBorders>
            <w:shd w:val="clear" w:color="auto" w:fill="D9D9D9"/>
          </w:tcPr>
          <w:p w14:paraId="64DADC0D" w14:textId="77777777" w:rsidR="00DD50E4" w:rsidRPr="00C5726D" w:rsidRDefault="00DD50E4">
            <w:pPr>
              <w:rPr>
                <w:b/>
                <w:sz w:val="24"/>
                <w:szCs w:val="24"/>
                <w:lang w:val="en-US"/>
              </w:rPr>
            </w:pPr>
          </w:p>
        </w:tc>
        <w:tc>
          <w:tcPr>
            <w:tcW w:w="1921"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3B38C2D1" w14:textId="77777777" w:rsidR="00DD50E4" w:rsidRPr="00C5726D" w:rsidRDefault="00DD50E4">
            <w:pPr>
              <w:jc w:val="center"/>
              <w:rPr>
                <w:b/>
                <w:sz w:val="24"/>
                <w:szCs w:val="24"/>
              </w:rPr>
            </w:pPr>
            <w:r w:rsidRPr="00C5726D">
              <w:rPr>
                <w:b/>
                <w:sz w:val="24"/>
                <w:szCs w:val="24"/>
              </w:rPr>
              <w:t xml:space="preserve">One-Year </w:t>
            </w:r>
            <w:proofErr w:type="spellStart"/>
            <w:r w:rsidRPr="00C5726D">
              <w:rPr>
                <w:b/>
                <w:sz w:val="24"/>
                <w:szCs w:val="24"/>
              </w:rPr>
              <w:t>Study</w:t>
            </w:r>
            <w:proofErr w:type="spellEnd"/>
          </w:p>
        </w:tc>
        <w:tc>
          <w:tcPr>
            <w:tcW w:w="1806"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0B96B042" w14:textId="77777777" w:rsidR="00DD50E4" w:rsidRPr="00C5726D" w:rsidRDefault="00DD50E4">
            <w:pPr>
              <w:jc w:val="center"/>
              <w:rPr>
                <w:b/>
                <w:sz w:val="24"/>
                <w:szCs w:val="24"/>
              </w:rPr>
            </w:pPr>
            <w:r w:rsidRPr="00C5726D">
              <w:rPr>
                <w:b/>
                <w:sz w:val="24"/>
                <w:szCs w:val="24"/>
              </w:rPr>
              <w:t>Three-Year Studies</w:t>
            </w:r>
          </w:p>
        </w:tc>
      </w:tr>
      <w:tr w:rsidR="00DD50E4" w:rsidRPr="00C5726D" w14:paraId="07D6DB45" w14:textId="77777777" w:rsidTr="00C5726D">
        <w:tc>
          <w:tcPr>
            <w:tcW w:w="1273" w:type="pct"/>
            <w:vMerge/>
            <w:tcBorders>
              <w:top w:val="single" w:sz="4" w:space="0" w:color="auto"/>
              <w:left w:val="single" w:sz="4" w:space="0" w:color="auto"/>
              <w:bottom w:val="single" w:sz="4" w:space="0" w:color="auto"/>
              <w:right w:val="single" w:sz="4" w:space="0" w:color="auto"/>
            </w:tcBorders>
            <w:vAlign w:val="center"/>
            <w:hideMark/>
          </w:tcPr>
          <w:p w14:paraId="773C5074" w14:textId="77777777" w:rsidR="00DD50E4" w:rsidRPr="00C5726D" w:rsidRDefault="00DD50E4">
            <w:pPr>
              <w:rPr>
                <w:b/>
                <w:sz w:val="24"/>
                <w:szCs w:val="24"/>
                <w:lang w:val="en-GB" w:eastAsia="en-US"/>
              </w:rPr>
            </w:pPr>
          </w:p>
        </w:tc>
        <w:tc>
          <w:tcPr>
            <w:tcW w:w="1030" w:type="pct"/>
            <w:tcBorders>
              <w:top w:val="single" w:sz="4" w:space="0" w:color="auto"/>
              <w:left w:val="single" w:sz="4" w:space="0" w:color="auto"/>
              <w:bottom w:val="single" w:sz="4" w:space="0" w:color="auto"/>
              <w:right w:val="single" w:sz="4" w:space="0" w:color="auto"/>
            </w:tcBorders>
            <w:shd w:val="clear" w:color="auto" w:fill="D9D9D9"/>
            <w:hideMark/>
          </w:tcPr>
          <w:p w14:paraId="5FE774D0" w14:textId="77777777" w:rsidR="00DD50E4" w:rsidRPr="00C5726D" w:rsidRDefault="00DD50E4">
            <w:pPr>
              <w:autoSpaceDE w:val="0"/>
              <w:autoSpaceDN w:val="0"/>
              <w:adjustRightInd w:val="0"/>
              <w:rPr>
                <w:sz w:val="24"/>
                <w:szCs w:val="24"/>
                <w:lang w:val="en-US"/>
              </w:rPr>
            </w:pPr>
            <w:r w:rsidRPr="00C5726D">
              <w:rPr>
                <w:sz w:val="24"/>
                <w:szCs w:val="24"/>
                <w:lang w:val="en-US"/>
              </w:rPr>
              <w:t>Alendronate once weekly 70 mg</w:t>
            </w:r>
          </w:p>
          <w:p w14:paraId="4D79475F" w14:textId="77777777" w:rsidR="00DD50E4" w:rsidRPr="00C5726D" w:rsidRDefault="00DD50E4">
            <w:pPr>
              <w:autoSpaceDE w:val="0"/>
              <w:autoSpaceDN w:val="0"/>
              <w:adjustRightInd w:val="0"/>
              <w:rPr>
                <w:sz w:val="24"/>
                <w:szCs w:val="24"/>
                <w:lang w:val="en-US"/>
              </w:rPr>
            </w:pPr>
            <w:r w:rsidRPr="00C5726D">
              <w:rPr>
                <w:sz w:val="24"/>
                <w:szCs w:val="24"/>
                <w:lang w:val="en-US"/>
              </w:rPr>
              <w:t>(n=519)</w:t>
            </w:r>
          </w:p>
          <w:p w14:paraId="40B3F25C" w14:textId="77777777" w:rsidR="00DD50E4" w:rsidRPr="00C5726D" w:rsidRDefault="00DD50E4">
            <w:pPr>
              <w:rPr>
                <w:sz w:val="24"/>
                <w:szCs w:val="24"/>
              </w:rPr>
            </w:pPr>
            <w:r w:rsidRPr="00C5726D">
              <w:rPr>
                <w:sz w:val="24"/>
                <w:szCs w:val="24"/>
              </w:rPr>
              <w:t>%</w:t>
            </w:r>
          </w:p>
        </w:tc>
        <w:tc>
          <w:tcPr>
            <w:tcW w:w="891" w:type="pct"/>
            <w:tcBorders>
              <w:top w:val="single" w:sz="4" w:space="0" w:color="auto"/>
              <w:left w:val="single" w:sz="4" w:space="0" w:color="auto"/>
              <w:bottom w:val="single" w:sz="4" w:space="0" w:color="auto"/>
              <w:right w:val="single" w:sz="4" w:space="0" w:color="auto"/>
            </w:tcBorders>
            <w:shd w:val="clear" w:color="auto" w:fill="D9D9D9"/>
            <w:hideMark/>
          </w:tcPr>
          <w:p w14:paraId="52658E02" w14:textId="77777777" w:rsidR="00DD50E4" w:rsidRPr="00C5726D" w:rsidRDefault="00DD50E4">
            <w:pPr>
              <w:autoSpaceDE w:val="0"/>
              <w:autoSpaceDN w:val="0"/>
              <w:adjustRightInd w:val="0"/>
              <w:rPr>
                <w:sz w:val="24"/>
                <w:szCs w:val="24"/>
              </w:rPr>
            </w:pPr>
            <w:proofErr w:type="spellStart"/>
            <w:r w:rsidRPr="00C5726D">
              <w:rPr>
                <w:sz w:val="24"/>
                <w:szCs w:val="24"/>
              </w:rPr>
              <w:t>Alendronate</w:t>
            </w:r>
            <w:proofErr w:type="spellEnd"/>
          </w:p>
          <w:p w14:paraId="1D05D3B9" w14:textId="77777777" w:rsidR="00DD50E4" w:rsidRPr="00C5726D" w:rsidRDefault="00DD50E4">
            <w:pPr>
              <w:autoSpaceDE w:val="0"/>
              <w:autoSpaceDN w:val="0"/>
              <w:adjustRightInd w:val="0"/>
              <w:rPr>
                <w:sz w:val="24"/>
                <w:szCs w:val="24"/>
              </w:rPr>
            </w:pPr>
            <w:r w:rsidRPr="00C5726D">
              <w:rPr>
                <w:sz w:val="24"/>
                <w:szCs w:val="24"/>
              </w:rPr>
              <w:t>10 mg/</w:t>
            </w:r>
            <w:proofErr w:type="spellStart"/>
            <w:r w:rsidRPr="00C5726D">
              <w:rPr>
                <w:sz w:val="24"/>
                <w:szCs w:val="24"/>
              </w:rPr>
              <w:t>day</w:t>
            </w:r>
            <w:proofErr w:type="spellEnd"/>
          </w:p>
          <w:p w14:paraId="03981064" w14:textId="77777777" w:rsidR="00DD50E4" w:rsidRPr="00C5726D" w:rsidRDefault="00DD50E4">
            <w:pPr>
              <w:autoSpaceDE w:val="0"/>
              <w:autoSpaceDN w:val="0"/>
              <w:adjustRightInd w:val="0"/>
              <w:rPr>
                <w:sz w:val="24"/>
                <w:szCs w:val="24"/>
              </w:rPr>
            </w:pPr>
            <w:r w:rsidRPr="00C5726D">
              <w:rPr>
                <w:sz w:val="24"/>
                <w:szCs w:val="24"/>
              </w:rPr>
              <w:t>(n=370)</w:t>
            </w:r>
          </w:p>
          <w:p w14:paraId="7BB977EF" w14:textId="77777777" w:rsidR="00DD50E4" w:rsidRPr="00C5726D" w:rsidRDefault="00DD50E4">
            <w:pPr>
              <w:rPr>
                <w:sz w:val="24"/>
                <w:szCs w:val="24"/>
              </w:rPr>
            </w:pPr>
            <w:r w:rsidRPr="00C5726D">
              <w:rPr>
                <w:sz w:val="24"/>
                <w:szCs w:val="24"/>
              </w:rPr>
              <w:t>%</w:t>
            </w:r>
          </w:p>
        </w:tc>
        <w:tc>
          <w:tcPr>
            <w:tcW w:w="951" w:type="pct"/>
            <w:tcBorders>
              <w:top w:val="single" w:sz="4" w:space="0" w:color="auto"/>
              <w:left w:val="single" w:sz="4" w:space="0" w:color="auto"/>
              <w:bottom w:val="single" w:sz="4" w:space="0" w:color="auto"/>
              <w:right w:val="single" w:sz="4" w:space="0" w:color="auto"/>
            </w:tcBorders>
            <w:shd w:val="clear" w:color="auto" w:fill="D9D9D9"/>
            <w:hideMark/>
          </w:tcPr>
          <w:p w14:paraId="153B0117" w14:textId="77777777" w:rsidR="00DD50E4" w:rsidRPr="00C5726D" w:rsidRDefault="00DD50E4">
            <w:pPr>
              <w:autoSpaceDE w:val="0"/>
              <w:autoSpaceDN w:val="0"/>
              <w:adjustRightInd w:val="0"/>
              <w:rPr>
                <w:sz w:val="24"/>
                <w:szCs w:val="24"/>
              </w:rPr>
            </w:pPr>
            <w:proofErr w:type="spellStart"/>
            <w:r w:rsidRPr="00C5726D">
              <w:rPr>
                <w:sz w:val="24"/>
                <w:szCs w:val="24"/>
              </w:rPr>
              <w:t>Alendronate</w:t>
            </w:r>
            <w:proofErr w:type="spellEnd"/>
          </w:p>
          <w:p w14:paraId="13A58D2D" w14:textId="77777777" w:rsidR="00DD50E4" w:rsidRPr="00C5726D" w:rsidRDefault="00DD50E4">
            <w:pPr>
              <w:autoSpaceDE w:val="0"/>
              <w:autoSpaceDN w:val="0"/>
              <w:adjustRightInd w:val="0"/>
              <w:rPr>
                <w:sz w:val="24"/>
                <w:szCs w:val="24"/>
              </w:rPr>
            </w:pPr>
            <w:r w:rsidRPr="00C5726D">
              <w:rPr>
                <w:sz w:val="24"/>
                <w:szCs w:val="24"/>
              </w:rPr>
              <w:t>10 mg/</w:t>
            </w:r>
            <w:proofErr w:type="spellStart"/>
            <w:r w:rsidRPr="00C5726D">
              <w:rPr>
                <w:sz w:val="24"/>
                <w:szCs w:val="24"/>
              </w:rPr>
              <w:t>day</w:t>
            </w:r>
            <w:proofErr w:type="spellEnd"/>
          </w:p>
          <w:p w14:paraId="5125A534" w14:textId="77777777" w:rsidR="00DD50E4" w:rsidRPr="00C5726D" w:rsidRDefault="00DD50E4">
            <w:pPr>
              <w:autoSpaceDE w:val="0"/>
              <w:autoSpaceDN w:val="0"/>
              <w:adjustRightInd w:val="0"/>
              <w:rPr>
                <w:sz w:val="24"/>
                <w:szCs w:val="24"/>
              </w:rPr>
            </w:pPr>
            <w:r w:rsidRPr="00C5726D">
              <w:rPr>
                <w:sz w:val="24"/>
                <w:szCs w:val="24"/>
              </w:rPr>
              <w:t>(n=196)</w:t>
            </w:r>
          </w:p>
          <w:p w14:paraId="2C3F9C06" w14:textId="77777777" w:rsidR="00DD50E4" w:rsidRPr="00C5726D" w:rsidRDefault="00DD50E4">
            <w:pPr>
              <w:rPr>
                <w:sz w:val="24"/>
                <w:szCs w:val="24"/>
              </w:rPr>
            </w:pPr>
            <w:r w:rsidRPr="00C5726D">
              <w:rPr>
                <w:sz w:val="24"/>
                <w:szCs w:val="24"/>
              </w:rPr>
              <w:t>%</w:t>
            </w:r>
          </w:p>
        </w:tc>
        <w:tc>
          <w:tcPr>
            <w:tcW w:w="856" w:type="pct"/>
            <w:tcBorders>
              <w:top w:val="single" w:sz="4" w:space="0" w:color="auto"/>
              <w:left w:val="single" w:sz="4" w:space="0" w:color="auto"/>
              <w:bottom w:val="single" w:sz="4" w:space="0" w:color="auto"/>
              <w:right w:val="single" w:sz="4" w:space="0" w:color="auto"/>
            </w:tcBorders>
            <w:shd w:val="clear" w:color="auto" w:fill="D9D9D9"/>
          </w:tcPr>
          <w:p w14:paraId="1F516DBF" w14:textId="77777777" w:rsidR="00DD50E4" w:rsidRPr="00C5726D" w:rsidRDefault="00DD50E4">
            <w:pPr>
              <w:autoSpaceDE w:val="0"/>
              <w:autoSpaceDN w:val="0"/>
              <w:adjustRightInd w:val="0"/>
              <w:rPr>
                <w:sz w:val="24"/>
                <w:szCs w:val="24"/>
              </w:rPr>
            </w:pPr>
            <w:r w:rsidRPr="00C5726D">
              <w:rPr>
                <w:sz w:val="24"/>
                <w:szCs w:val="24"/>
              </w:rPr>
              <w:t>Placebo</w:t>
            </w:r>
          </w:p>
          <w:p w14:paraId="11EBEA84" w14:textId="77777777" w:rsidR="00DD50E4" w:rsidRPr="00C5726D" w:rsidRDefault="00DD50E4">
            <w:pPr>
              <w:autoSpaceDE w:val="0"/>
              <w:autoSpaceDN w:val="0"/>
              <w:adjustRightInd w:val="0"/>
              <w:rPr>
                <w:sz w:val="24"/>
                <w:szCs w:val="24"/>
              </w:rPr>
            </w:pPr>
            <w:r w:rsidRPr="00C5726D">
              <w:rPr>
                <w:sz w:val="24"/>
                <w:szCs w:val="24"/>
              </w:rPr>
              <w:t>(n=397)</w:t>
            </w:r>
          </w:p>
          <w:p w14:paraId="22909149" w14:textId="77777777" w:rsidR="00DD50E4" w:rsidRPr="00C5726D" w:rsidRDefault="00DD50E4">
            <w:pPr>
              <w:rPr>
                <w:sz w:val="24"/>
                <w:szCs w:val="24"/>
              </w:rPr>
            </w:pPr>
          </w:p>
          <w:p w14:paraId="1F22745D" w14:textId="77777777" w:rsidR="00DD50E4" w:rsidRPr="00C5726D" w:rsidRDefault="00DD50E4">
            <w:pPr>
              <w:rPr>
                <w:sz w:val="24"/>
                <w:szCs w:val="24"/>
              </w:rPr>
            </w:pPr>
            <w:r w:rsidRPr="00C5726D">
              <w:rPr>
                <w:sz w:val="24"/>
                <w:szCs w:val="24"/>
              </w:rPr>
              <w:t>%</w:t>
            </w:r>
          </w:p>
        </w:tc>
      </w:tr>
      <w:tr w:rsidR="00DD50E4" w:rsidRPr="00C5726D" w14:paraId="35B2B105" w14:textId="77777777" w:rsidTr="00C5726D">
        <w:tc>
          <w:tcPr>
            <w:tcW w:w="1273" w:type="pct"/>
            <w:tcBorders>
              <w:top w:val="single" w:sz="4" w:space="0" w:color="auto"/>
              <w:left w:val="single" w:sz="4" w:space="0" w:color="auto"/>
              <w:bottom w:val="single" w:sz="4" w:space="0" w:color="auto"/>
              <w:right w:val="single" w:sz="4" w:space="0" w:color="auto"/>
            </w:tcBorders>
            <w:hideMark/>
          </w:tcPr>
          <w:p w14:paraId="58A6A47B" w14:textId="77777777" w:rsidR="00DD50E4" w:rsidRPr="00C5726D" w:rsidRDefault="00DD50E4">
            <w:pPr>
              <w:autoSpaceDE w:val="0"/>
              <w:autoSpaceDN w:val="0"/>
              <w:adjustRightInd w:val="0"/>
              <w:rPr>
                <w:i/>
                <w:iCs/>
                <w:sz w:val="24"/>
                <w:szCs w:val="24"/>
              </w:rPr>
            </w:pPr>
            <w:proofErr w:type="spellStart"/>
            <w:r w:rsidRPr="00C5726D">
              <w:rPr>
                <w:i/>
                <w:iCs/>
                <w:sz w:val="24"/>
                <w:szCs w:val="24"/>
              </w:rPr>
              <w:t>Gastrointestinal</w:t>
            </w:r>
            <w:proofErr w:type="spellEnd"/>
          </w:p>
          <w:p w14:paraId="0C00E84A" w14:textId="77777777" w:rsidR="00DD50E4" w:rsidRPr="00C5726D" w:rsidRDefault="00DD50E4" w:rsidP="00DD50E4">
            <w:pPr>
              <w:numPr>
                <w:ilvl w:val="0"/>
                <w:numId w:val="6"/>
              </w:numPr>
              <w:tabs>
                <w:tab w:val="left" w:pos="567"/>
              </w:tabs>
              <w:autoSpaceDE w:val="0"/>
              <w:autoSpaceDN w:val="0"/>
              <w:adjustRightInd w:val="0"/>
              <w:rPr>
                <w:sz w:val="24"/>
                <w:szCs w:val="24"/>
              </w:rPr>
            </w:pPr>
            <w:proofErr w:type="spellStart"/>
            <w:r w:rsidRPr="00C5726D">
              <w:rPr>
                <w:sz w:val="24"/>
                <w:szCs w:val="24"/>
              </w:rPr>
              <w:t>Abdominal</w:t>
            </w:r>
            <w:proofErr w:type="spellEnd"/>
            <w:r w:rsidRPr="00C5726D">
              <w:rPr>
                <w:sz w:val="24"/>
                <w:szCs w:val="24"/>
              </w:rPr>
              <w:t xml:space="preserve"> </w:t>
            </w:r>
            <w:proofErr w:type="spellStart"/>
            <w:r w:rsidRPr="00C5726D">
              <w:rPr>
                <w:sz w:val="24"/>
                <w:szCs w:val="24"/>
              </w:rPr>
              <w:t>pain</w:t>
            </w:r>
            <w:proofErr w:type="spellEnd"/>
            <w:r w:rsidRPr="00C5726D">
              <w:rPr>
                <w:sz w:val="24"/>
                <w:szCs w:val="24"/>
              </w:rPr>
              <w:t xml:space="preserve"> </w:t>
            </w:r>
          </w:p>
          <w:p w14:paraId="19DC1E0D" w14:textId="77777777" w:rsidR="00DD50E4" w:rsidRPr="00C5726D" w:rsidRDefault="00DD50E4" w:rsidP="00DD50E4">
            <w:pPr>
              <w:numPr>
                <w:ilvl w:val="0"/>
                <w:numId w:val="6"/>
              </w:numPr>
              <w:tabs>
                <w:tab w:val="left" w:pos="567"/>
              </w:tabs>
              <w:autoSpaceDE w:val="0"/>
              <w:autoSpaceDN w:val="0"/>
              <w:adjustRightInd w:val="0"/>
              <w:rPr>
                <w:sz w:val="24"/>
                <w:szCs w:val="24"/>
              </w:rPr>
            </w:pPr>
            <w:proofErr w:type="spellStart"/>
            <w:r w:rsidRPr="00C5726D">
              <w:rPr>
                <w:sz w:val="24"/>
                <w:szCs w:val="24"/>
              </w:rPr>
              <w:t>Dyspepsia</w:t>
            </w:r>
            <w:proofErr w:type="spellEnd"/>
            <w:r w:rsidRPr="00C5726D">
              <w:rPr>
                <w:sz w:val="24"/>
                <w:szCs w:val="24"/>
              </w:rPr>
              <w:t xml:space="preserve"> </w:t>
            </w:r>
          </w:p>
          <w:p w14:paraId="2C7990EC" w14:textId="77777777" w:rsidR="00DD50E4" w:rsidRPr="00C5726D" w:rsidRDefault="00DD50E4" w:rsidP="00DD50E4">
            <w:pPr>
              <w:numPr>
                <w:ilvl w:val="0"/>
                <w:numId w:val="6"/>
              </w:numPr>
              <w:tabs>
                <w:tab w:val="left" w:pos="567"/>
              </w:tabs>
              <w:autoSpaceDE w:val="0"/>
              <w:autoSpaceDN w:val="0"/>
              <w:adjustRightInd w:val="0"/>
              <w:rPr>
                <w:sz w:val="24"/>
                <w:szCs w:val="24"/>
              </w:rPr>
            </w:pPr>
            <w:proofErr w:type="spellStart"/>
            <w:r w:rsidRPr="00C5726D">
              <w:rPr>
                <w:sz w:val="24"/>
                <w:szCs w:val="24"/>
              </w:rPr>
              <w:t>Acid</w:t>
            </w:r>
            <w:proofErr w:type="spellEnd"/>
            <w:r w:rsidRPr="00C5726D">
              <w:rPr>
                <w:sz w:val="24"/>
                <w:szCs w:val="24"/>
              </w:rPr>
              <w:t xml:space="preserve"> </w:t>
            </w:r>
            <w:proofErr w:type="spellStart"/>
            <w:r w:rsidRPr="00C5726D">
              <w:rPr>
                <w:sz w:val="24"/>
                <w:szCs w:val="24"/>
              </w:rPr>
              <w:t>regurgitation</w:t>
            </w:r>
            <w:proofErr w:type="spellEnd"/>
            <w:r w:rsidRPr="00C5726D">
              <w:rPr>
                <w:sz w:val="24"/>
                <w:szCs w:val="24"/>
              </w:rPr>
              <w:t xml:space="preserve"> </w:t>
            </w:r>
          </w:p>
          <w:p w14:paraId="4EB96A0D" w14:textId="77777777" w:rsidR="00DD50E4" w:rsidRPr="00C5726D" w:rsidRDefault="00DD50E4" w:rsidP="00DD50E4">
            <w:pPr>
              <w:numPr>
                <w:ilvl w:val="0"/>
                <w:numId w:val="6"/>
              </w:numPr>
              <w:tabs>
                <w:tab w:val="left" w:pos="567"/>
              </w:tabs>
              <w:rPr>
                <w:sz w:val="24"/>
                <w:szCs w:val="24"/>
              </w:rPr>
            </w:pPr>
            <w:proofErr w:type="spellStart"/>
            <w:r w:rsidRPr="00C5726D">
              <w:rPr>
                <w:sz w:val="24"/>
                <w:szCs w:val="24"/>
              </w:rPr>
              <w:t>Nausea</w:t>
            </w:r>
            <w:proofErr w:type="spellEnd"/>
          </w:p>
          <w:p w14:paraId="3A265707" w14:textId="77777777" w:rsidR="00DD50E4" w:rsidRPr="00C5726D" w:rsidRDefault="00DD50E4" w:rsidP="00DD50E4">
            <w:pPr>
              <w:numPr>
                <w:ilvl w:val="0"/>
                <w:numId w:val="6"/>
              </w:numPr>
              <w:tabs>
                <w:tab w:val="left" w:pos="567"/>
              </w:tabs>
              <w:autoSpaceDE w:val="0"/>
              <w:autoSpaceDN w:val="0"/>
              <w:adjustRightInd w:val="0"/>
              <w:rPr>
                <w:sz w:val="24"/>
                <w:szCs w:val="24"/>
              </w:rPr>
            </w:pPr>
            <w:proofErr w:type="spellStart"/>
            <w:r w:rsidRPr="00C5726D">
              <w:rPr>
                <w:sz w:val="24"/>
                <w:szCs w:val="24"/>
              </w:rPr>
              <w:t>Abdominal</w:t>
            </w:r>
            <w:proofErr w:type="spellEnd"/>
            <w:r w:rsidRPr="00C5726D">
              <w:rPr>
                <w:sz w:val="24"/>
                <w:szCs w:val="24"/>
              </w:rPr>
              <w:t xml:space="preserve"> </w:t>
            </w:r>
            <w:proofErr w:type="spellStart"/>
            <w:r w:rsidRPr="00C5726D">
              <w:rPr>
                <w:sz w:val="24"/>
                <w:szCs w:val="24"/>
              </w:rPr>
              <w:t>distention</w:t>
            </w:r>
            <w:proofErr w:type="spellEnd"/>
            <w:r w:rsidRPr="00C5726D">
              <w:rPr>
                <w:sz w:val="24"/>
                <w:szCs w:val="24"/>
              </w:rPr>
              <w:t xml:space="preserve"> </w:t>
            </w:r>
          </w:p>
          <w:p w14:paraId="6BE58D5E" w14:textId="77777777" w:rsidR="00DD50E4" w:rsidRPr="00C5726D" w:rsidRDefault="00DD50E4" w:rsidP="00DD50E4">
            <w:pPr>
              <w:numPr>
                <w:ilvl w:val="0"/>
                <w:numId w:val="6"/>
              </w:numPr>
              <w:tabs>
                <w:tab w:val="left" w:pos="567"/>
              </w:tabs>
              <w:autoSpaceDE w:val="0"/>
              <w:autoSpaceDN w:val="0"/>
              <w:adjustRightInd w:val="0"/>
              <w:rPr>
                <w:sz w:val="24"/>
                <w:szCs w:val="24"/>
              </w:rPr>
            </w:pPr>
            <w:proofErr w:type="spellStart"/>
            <w:r w:rsidRPr="00C5726D">
              <w:rPr>
                <w:sz w:val="24"/>
                <w:szCs w:val="24"/>
              </w:rPr>
              <w:t>Constipation</w:t>
            </w:r>
            <w:proofErr w:type="spellEnd"/>
            <w:r w:rsidRPr="00C5726D">
              <w:rPr>
                <w:sz w:val="24"/>
                <w:szCs w:val="24"/>
              </w:rPr>
              <w:t xml:space="preserve"> </w:t>
            </w:r>
          </w:p>
          <w:p w14:paraId="606D4994" w14:textId="77777777" w:rsidR="00DD50E4" w:rsidRPr="00C5726D" w:rsidRDefault="00DD50E4" w:rsidP="00DD50E4">
            <w:pPr>
              <w:numPr>
                <w:ilvl w:val="0"/>
                <w:numId w:val="6"/>
              </w:numPr>
              <w:tabs>
                <w:tab w:val="left" w:pos="567"/>
              </w:tabs>
              <w:autoSpaceDE w:val="0"/>
              <w:autoSpaceDN w:val="0"/>
              <w:adjustRightInd w:val="0"/>
              <w:rPr>
                <w:sz w:val="24"/>
                <w:szCs w:val="24"/>
              </w:rPr>
            </w:pPr>
            <w:proofErr w:type="spellStart"/>
            <w:r w:rsidRPr="00C5726D">
              <w:rPr>
                <w:sz w:val="24"/>
                <w:szCs w:val="24"/>
              </w:rPr>
              <w:t>Diarrhoea</w:t>
            </w:r>
            <w:proofErr w:type="spellEnd"/>
            <w:r w:rsidRPr="00C5726D">
              <w:rPr>
                <w:sz w:val="24"/>
                <w:szCs w:val="24"/>
              </w:rPr>
              <w:t xml:space="preserve"> </w:t>
            </w:r>
          </w:p>
          <w:p w14:paraId="5BACAB79" w14:textId="77777777" w:rsidR="00DD50E4" w:rsidRPr="00C5726D" w:rsidRDefault="00DD50E4" w:rsidP="00DD50E4">
            <w:pPr>
              <w:numPr>
                <w:ilvl w:val="0"/>
                <w:numId w:val="6"/>
              </w:numPr>
              <w:tabs>
                <w:tab w:val="left" w:pos="567"/>
              </w:tabs>
              <w:autoSpaceDE w:val="0"/>
              <w:autoSpaceDN w:val="0"/>
              <w:adjustRightInd w:val="0"/>
              <w:rPr>
                <w:sz w:val="24"/>
                <w:szCs w:val="24"/>
              </w:rPr>
            </w:pPr>
            <w:proofErr w:type="spellStart"/>
            <w:r w:rsidRPr="00C5726D">
              <w:rPr>
                <w:sz w:val="24"/>
                <w:szCs w:val="24"/>
              </w:rPr>
              <w:t>Dysphagia</w:t>
            </w:r>
            <w:proofErr w:type="spellEnd"/>
            <w:r w:rsidRPr="00C5726D">
              <w:rPr>
                <w:sz w:val="24"/>
                <w:szCs w:val="24"/>
              </w:rPr>
              <w:t xml:space="preserve"> </w:t>
            </w:r>
          </w:p>
          <w:p w14:paraId="0A3B32B4" w14:textId="77777777" w:rsidR="00DD50E4" w:rsidRPr="00C5726D" w:rsidRDefault="00DD50E4" w:rsidP="00DD50E4">
            <w:pPr>
              <w:numPr>
                <w:ilvl w:val="0"/>
                <w:numId w:val="6"/>
              </w:numPr>
              <w:tabs>
                <w:tab w:val="left" w:pos="567"/>
              </w:tabs>
              <w:autoSpaceDE w:val="0"/>
              <w:autoSpaceDN w:val="0"/>
              <w:adjustRightInd w:val="0"/>
              <w:rPr>
                <w:sz w:val="24"/>
                <w:szCs w:val="24"/>
              </w:rPr>
            </w:pPr>
            <w:proofErr w:type="spellStart"/>
            <w:r w:rsidRPr="00C5726D">
              <w:rPr>
                <w:sz w:val="24"/>
                <w:szCs w:val="24"/>
              </w:rPr>
              <w:t>Flatulence</w:t>
            </w:r>
            <w:proofErr w:type="spellEnd"/>
            <w:r w:rsidRPr="00C5726D">
              <w:rPr>
                <w:sz w:val="24"/>
                <w:szCs w:val="24"/>
              </w:rPr>
              <w:t xml:space="preserve"> </w:t>
            </w:r>
          </w:p>
          <w:p w14:paraId="1C14CC87" w14:textId="77777777" w:rsidR="00DD50E4" w:rsidRPr="00C5726D" w:rsidRDefault="00DD50E4" w:rsidP="00DD50E4">
            <w:pPr>
              <w:numPr>
                <w:ilvl w:val="0"/>
                <w:numId w:val="6"/>
              </w:numPr>
              <w:tabs>
                <w:tab w:val="left" w:pos="567"/>
              </w:tabs>
              <w:autoSpaceDE w:val="0"/>
              <w:autoSpaceDN w:val="0"/>
              <w:adjustRightInd w:val="0"/>
              <w:rPr>
                <w:sz w:val="24"/>
                <w:szCs w:val="24"/>
              </w:rPr>
            </w:pPr>
            <w:r w:rsidRPr="00C5726D">
              <w:rPr>
                <w:sz w:val="24"/>
                <w:szCs w:val="24"/>
              </w:rPr>
              <w:t xml:space="preserve">Gastritis </w:t>
            </w:r>
          </w:p>
          <w:p w14:paraId="64F7262A" w14:textId="77777777" w:rsidR="00DD50E4" w:rsidRPr="00C5726D" w:rsidRDefault="00DD50E4" w:rsidP="00DD50E4">
            <w:pPr>
              <w:numPr>
                <w:ilvl w:val="0"/>
                <w:numId w:val="6"/>
              </w:numPr>
              <w:tabs>
                <w:tab w:val="left" w:pos="567"/>
              </w:tabs>
              <w:autoSpaceDE w:val="0"/>
              <w:autoSpaceDN w:val="0"/>
              <w:adjustRightInd w:val="0"/>
              <w:rPr>
                <w:sz w:val="24"/>
                <w:szCs w:val="24"/>
              </w:rPr>
            </w:pPr>
            <w:proofErr w:type="spellStart"/>
            <w:r w:rsidRPr="00C5726D">
              <w:rPr>
                <w:sz w:val="24"/>
                <w:szCs w:val="24"/>
              </w:rPr>
              <w:t>Gastric</w:t>
            </w:r>
            <w:proofErr w:type="spellEnd"/>
            <w:r w:rsidRPr="00C5726D">
              <w:rPr>
                <w:sz w:val="24"/>
                <w:szCs w:val="24"/>
              </w:rPr>
              <w:t xml:space="preserve"> </w:t>
            </w:r>
            <w:proofErr w:type="spellStart"/>
            <w:r w:rsidRPr="00C5726D">
              <w:rPr>
                <w:sz w:val="24"/>
                <w:szCs w:val="24"/>
              </w:rPr>
              <w:t>ulcer</w:t>
            </w:r>
            <w:proofErr w:type="spellEnd"/>
            <w:r w:rsidRPr="00C5726D">
              <w:rPr>
                <w:sz w:val="24"/>
                <w:szCs w:val="24"/>
              </w:rPr>
              <w:t xml:space="preserve"> </w:t>
            </w:r>
          </w:p>
          <w:p w14:paraId="78801244" w14:textId="77777777" w:rsidR="00DD50E4" w:rsidRPr="00C5726D" w:rsidRDefault="00DD50E4" w:rsidP="00DD50E4">
            <w:pPr>
              <w:numPr>
                <w:ilvl w:val="0"/>
                <w:numId w:val="6"/>
              </w:numPr>
              <w:tabs>
                <w:tab w:val="left" w:pos="567"/>
              </w:tabs>
              <w:rPr>
                <w:sz w:val="24"/>
                <w:szCs w:val="24"/>
              </w:rPr>
            </w:pPr>
            <w:proofErr w:type="spellStart"/>
            <w:r w:rsidRPr="00C5726D">
              <w:rPr>
                <w:sz w:val="24"/>
                <w:szCs w:val="24"/>
              </w:rPr>
              <w:t>Oesophageal</w:t>
            </w:r>
            <w:proofErr w:type="spellEnd"/>
            <w:r w:rsidRPr="00C5726D">
              <w:rPr>
                <w:sz w:val="24"/>
                <w:szCs w:val="24"/>
              </w:rPr>
              <w:t xml:space="preserve"> </w:t>
            </w:r>
            <w:proofErr w:type="spellStart"/>
            <w:r w:rsidRPr="00C5726D">
              <w:rPr>
                <w:sz w:val="24"/>
                <w:szCs w:val="24"/>
              </w:rPr>
              <w:t>ulcer</w:t>
            </w:r>
            <w:proofErr w:type="spellEnd"/>
          </w:p>
        </w:tc>
        <w:tc>
          <w:tcPr>
            <w:tcW w:w="1030" w:type="pct"/>
            <w:tcBorders>
              <w:top w:val="single" w:sz="4" w:space="0" w:color="auto"/>
              <w:left w:val="single" w:sz="4" w:space="0" w:color="auto"/>
              <w:bottom w:val="single" w:sz="4" w:space="0" w:color="auto"/>
              <w:right w:val="single" w:sz="4" w:space="0" w:color="auto"/>
            </w:tcBorders>
          </w:tcPr>
          <w:p w14:paraId="6449A1F4" w14:textId="77777777" w:rsidR="00DD50E4" w:rsidRPr="00C5726D" w:rsidRDefault="00DD50E4">
            <w:pPr>
              <w:jc w:val="center"/>
              <w:rPr>
                <w:sz w:val="24"/>
                <w:szCs w:val="24"/>
              </w:rPr>
            </w:pPr>
          </w:p>
          <w:p w14:paraId="77D6F32A" w14:textId="77777777" w:rsidR="00DD50E4" w:rsidRPr="00C5726D" w:rsidRDefault="00DD50E4">
            <w:pPr>
              <w:jc w:val="center"/>
              <w:rPr>
                <w:sz w:val="24"/>
                <w:szCs w:val="24"/>
              </w:rPr>
            </w:pPr>
            <w:r w:rsidRPr="00C5726D">
              <w:rPr>
                <w:sz w:val="24"/>
                <w:szCs w:val="24"/>
              </w:rPr>
              <w:t>3.7</w:t>
            </w:r>
          </w:p>
          <w:p w14:paraId="0C3B972F" w14:textId="77777777" w:rsidR="00DD50E4" w:rsidRPr="00C5726D" w:rsidRDefault="00DD50E4">
            <w:pPr>
              <w:jc w:val="center"/>
              <w:rPr>
                <w:sz w:val="24"/>
                <w:szCs w:val="24"/>
              </w:rPr>
            </w:pPr>
            <w:r w:rsidRPr="00C5726D">
              <w:rPr>
                <w:sz w:val="24"/>
                <w:szCs w:val="24"/>
              </w:rPr>
              <w:t>2.7</w:t>
            </w:r>
          </w:p>
          <w:p w14:paraId="6523A28A" w14:textId="77777777" w:rsidR="00DD50E4" w:rsidRPr="00C5726D" w:rsidRDefault="00DD50E4">
            <w:pPr>
              <w:jc w:val="center"/>
              <w:rPr>
                <w:sz w:val="24"/>
                <w:szCs w:val="24"/>
              </w:rPr>
            </w:pPr>
            <w:r w:rsidRPr="00C5726D">
              <w:rPr>
                <w:sz w:val="24"/>
                <w:szCs w:val="24"/>
              </w:rPr>
              <w:t>1.9</w:t>
            </w:r>
          </w:p>
          <w:p w14:paraId="231F7861" w14:textId="77777777" w:rsidR="00DD50E4" w:rsidRPr="00C5726D" w:rsidRDefault="00DD50E4">
            <w:pPr>
              <w:jc w:val="center"/>
              <w:rPr>
                <w:sz w:val="24"/>
                <w:szCs w:val="24"/>
              </w:rPr>
            </w:pPr>
            <w:r w:rsidRPr="00C5726D">
              <w:rPr>
                <w:sz w:val="24"/>
                <w:szCs w:val="24"/>
              </w:rPr>
              <w:t>1.9</w:t>
            </w:r>
          </w:p>
          <w:p w14:paraId="0959D877" w14:textId="77777777" w:rsidR="00DD50E4" w:rsidRPr="00C5726D" w:rsidRDefault="00DD50E4">
            <w:pPr>
              <w:jc w:val="center"/>
              <w:rPr>
                <w:sz w:val="24"/>
                <w:szCs w:val="24"/>
              </w:rPr>
            </w:pPr>
            <w:r w:rsidRPr="00C5726D">
              <w:rPr>
                <w:sz w:val="24"/>
                <w:szCs w:val="24"/>
              </w:rPr>
              <w:t>1.0</w:t>
            </w:r>
          </w:p>
          <w:p w14:paraId="56D1FBAF" w14:textId="77777777" w:rsidR="00DD50E4" w:rsidRPr="00C5726D" w:rsidRDefault="00DD50E4">
            <w:pPr>
              <w:jc w:val="center"/>
              <w:rPr>
                <w:sz w:val="24"/>
                <w:szCs w:val="24"/>
              </w:rPr>
            </w:pPr>
          </w:p>
          <w:p w14:paraId="50B15A17" w14:textId="77777777" w:rsidR="00DD50E4" w:rsidRPr="00C5726D" w:rsidRDefault="00DD50E4">
            <w:pPr>
              <w:jc w:val="center"/>
              <w:rPr>
                <w:sz w:val="24"/>
                <w:szCs w:val="24"/>
              </w:rPr>
            </w:pPr>
            <w:r w:rsidRPr="00C5726D">
              <w:rPr>
                <w:sz w:val="24"/>
                <w:szCs w:val="24"/>
              </w:rPr>
              <w:t>0.8</w:t>
            </w:r>
          </w:p>
          <w:p w14:paraId="3EDA0550" w14:textId="77777777" w:rsidR="00DD50E4" w:rsidRPr="00C5726D" w:rsidRDefault="00DD50E4">
            <w:pPr>
              <w:jc w:val="center"/>
              <w:rPr>
                <w:sz w:val="24"/>
                <w:szCs w:val="24"/>
              </w:rPr>
            </w:pPr>
            <w:r w:rsidRPr="00C5726D">
              <w:rPr>
                <w:sz w:val="24"/>
                <w:szCs w:val="24"/>
              </w:rPr>
              <w:t>0.6</w:t>
            </w:r>
          </w:p>
          <w:p w14:paraId="4D0AA98D" w14:textId="77777777" w:rsidR="00DD50E4" w:rsidRPr="00C5726D" w:rsidRDefault="00DD50E4">
            <w:pPr>
              <w:jc w:val="center"/>
              <w:rPr>
                <w:sz w:val="24"/>
                <w:szCs w:val="24"/>
              </w:rPr>
            </w:pPr>
            <w:r w:rsidRPr="00C5726D">
              <w:rPr>
                <w:sz w:val="24"/>
                <w:szCs w:val="24"/>
              </w:rPr>
              <w:t>0.4</w:t>
            </w:r>
          </w:p>
          <w:p w14:paraId="2D1757BF" w14:textId="77777777" w:rsidR="00DD50E4" w:rsidRPr="00C5726D" w:rsidRDefault="00DD50E4">
            <w:pPr>
              <w:jc w:val="center"/>
              <w:rPr>
                <w:sz w:val="24"/>
                <w:szCs w:val="24"/>
              </w:rPr>
            </w:pPr>
            <w:r w:rsidRPr="00C5726D">
              <w:rPr>
                <w:sz w:val="24"/>
                <w:szCs w:val="24"/>
              </w:rPr>
              <w:t>0.4</w:t>
            </w:r>
          </w:p>
          <w:p w14:paraId="738E05D6" w14:textId="77777777" w:rsidR="00DD50E4" w:rsidRPr="00C5726D" w:rsidRDefault="00DD50E4">
            <w:pPr>
              <w:jc w:val="center"/>
              <w:rPr>
                <w:sz w:val="24"/>
                <w:szCs w:val="24"/>
              </w:rPr>
            </w:pPr>
            <w:r w:rsidRPr="00C5726D">
              <w:rPr>
                <w:sz w:val="24"/>
                <w:szCs w:val="24"/>
              </w:rPr>
              <w:t>0.2</w:t>
            </w:r>
          </w:p>
          <w:p w14:paraId="2A82DF93" w14:textId="77777777" w:rsidR="00DD50E4" w:rsidRPr="00C5726D" w:rsidRDefault="00DD50E4">
            <w:pPr>
              <w:jc w:val="center"/>
              <w:rPr>
                <w:sz w:val="24"/>
                <w:szCs w:val="24"/>
              </w:rPr>
            </w:pPr>
            <w:r w:rsidRPr="00C5726D">
              <w:rPr>
                <w:sz w:val="24"/>
                <w:szCs w:val="24"/>
              </w:rPr>
              <w:t>0.0</w:t>
            </w:r>
          </w:p>
          <w:p w14:paraId="79C7D58D" w14:textId="77777777" w:rsidR="00DD50E4" w:rsidRPr="00C5726D" w:rsidRDefault="00DD50E4">
            <w:pPr>
              <w:jc w:val="center"/>
              <w:rPr>
                <w:sz w:val="24"/>
                <w:szCs w:val="24"/>
              </w:rPr>
            </w:pPr>
            <w:r w:rsidRPr="00C5726D">
              <w:rPr>
                <w:sz w:val="24"/>
                <w:szCs w:val="24"/>
              </w:rPr>
              <w:t>0.0</w:t>
            </w:r>
          </w:p>
        </w:tc>
        <w:tc>
          <w:tcPr>
            <w:tcW w:w="891" w:type="pct"/>
            <w:tcBorders>
              <w:top w:val="single" w:sz="4" w:space="0" w:color="auto"/>
              <w:left w:val="single" w:sz="4" w:space="0" w:color="auto"/>
              <w:bottom w:val="single" w:sz="4" w:space="0" w:color="auto"/>
              <w:right w:val="single" w:sz="4" w:space="0" w:color="auto"/>
            </w:tcBorders>
          </w:tcPr>
          <w:p w14:paraId="0258898C" w14:textId="77777777" w:rsidR="00DD50E4" w:rsidRPr="00C5726D" w:rsidRDefault="00DD50E4">
            <w:pPr>
              <w:jc w:val="center"/>
              <w:rPr>
                <w:sz w:val="24"/>
                <w:szCs w:val="24"/>
              </w:rPr>
            </w:pPr>
          </w:p>
          <w:p w14:paraId="19A17523" w14:textId="77777777" w:rsidR="00DD50E4" w:rsidRPr="00C5726D" w:rsidRDefault="00DD50E4">
            <w:pPr>
              <w:jc w:val="center"/>
              <w:rPr>
                <w:sz w:val="24"/>
                <w:szCs w:val="24"/>
              </w:rPr>
            </w:pPr>
            <w:r w:rsidRPr="00C5726D">
              <w:rPr>
                <w:sz w:val="24"/>
                <w:szCs w:val="24"/>
              </w:rPr>
              <w:t>3.0</w:t>
            </w:r>
          </w:p>
          <w:p w14:paraId="621778D0" w14:textId="77777777" w:rsidR="00DD50E4" w:rsidRPr="00C5726D" w:rsidRDefault="00DD50E4">
            <w:pPr>
              <w:jc w:val="center"/>
              <w:rPr>
                <w:sz w:val="24"/>
                <w:szCs w:val="24"/>
              </w:rPr>
            </w:pPr>
            <w:r w:rsidRPr="00C5726D">
              <w:rPr>
                <w:sz w:val="24"/>
                <w:szCs w:val="24"/>
              </w:rPr>
              <w:t>2.2</w:t>
            </w:r>
          </w:p>
          <w:p w14:paraId="39829DC7" w14:textId="77777777" w:rsidR="00DD50E4" w:rsidRPr="00C5726D" w:rsidRDefault="00DD50E4">
            <w:pPr>
              <w:jc w:val="center"/>
              <w:rPr>
                <w:sz w:val="24"/>
                <w:szCs w:val="24"/>
              </w:rPr>
            </w:pPr>
            <w:r w:rsidRPr="00C5726D">
              <w:rPr>
                <w:sz w:val="24"/>
                <w:szCs w:val="24"/>
              </w:rPr>
              <w:t>2.4</w:t>
            </w:r>
          </w:p>
          <w:p w14:paraId="62EBA971" w14:textId="77777777" w:rsidR="00DD50E4" w:rsidRPr="00C5726D" w:rsidRDefault="00DD50E4">
            <w:pPr>
              <w:jc w:val="center"/>
              <w:rPr>
                <w:sz w:val="24"/>
                <w:szCs w:val="24"/>
              </w:rPr>
            </w:pPr>
            <w:r w:rsidRPr="00C5726D">
              <w:rPr>
                <w:sz w:val="24"/>
                <w:szCs w:val="24"/>
              </w:rPr>
              <w:t>2.4</w:t>
            </w:r>
          </w:p>
          <w:p w14:paraId="05D03F34" w14:textId="77777777" w:rsidR="00DD50E4" w:rsidRPr="00C5726D" w:rsidRDefault="00DD50E4">
            <w:pPr>
              <w:jc w:val="center"/>
              <w:rPr>
                <w:sz w:val="24"/>
                <w:szCs w:val="24"/>
              </w:rPr>
            </w:pPr>
            <w:r w:rsidRPr="00C5726D">
              <w:rPr>
                <w:sz w:val="24"/>
                <w:szCs w:val="24"/>
              </w:rPr>
              <w:t>1.4</w:t>
            </w:r>
          </w:p>
          <w:p w14:paraId="211557A1" w14:textId="77777777" w:rsidR="00DD50E4" w:rsidRPr="00C5726D" w:rsidRDefault="00DD50E4">
            <w:pPr>
              <w:jc w:val="center"/>
              <w:rPr>
                <w:sz w:val="24"/>
                <w:szCs w:val="24"/>
              </w:rPr>
            </w:pPr>
          </w:p>
          <w:p w14:paraId="4ACF75A2" w14:textId="77777777" w:rsidR="00DD50E4" w:rsidRPr="00C5726D" w:rsidRDefault="00DD50E4">
            <w:pPr>
              <w:jc w:val="center"/>
              <w:rPr>
                <w:sz w:val="24"/>
                <w:szCs w:val="24"/>
              </w:rPr>
            </w:pPr>
            <w:r w:rsidRPr="00C5726D">
              <w:rPr>
                <w:sz w:val="24"/>
                <w:szCs w:val="24"/>
              </w:rPr>
              <w:t>1.6</w:t>
            </w:r>
          </w:p>
          <w:p w14:paraId="13E09FE5" w14:textId="77777777" w:rsidR="00DD50E4" w:rsidRPr="00C5726D" w:rsidRDefault="00DD50E4">
            <w:pPr>
              <w:jc w:val="center"/>
              <w:rPr>
                <w:sz w:val="24"/>
                <w:szCs w:val="24"/>
              </w:rPr>
            </w:pPr>
            <w:r w:rsidRPr="00C5726D">
              <w:rPr>
                <w:sz w:val="24"/>
                <w:szCs w:val="24"/>
              </w:rPr>
              <w:t>0.5</w:t>
            </w:r>
          </w:p>
          <w:p w14:paraId="2B62D814" w14:textId="77777777" w:rsidR="00DD50E4" w:rsidRPr="00C5726D" w:rsidRDefault="00DD50E4">
            <w:pPr>
              <w:jc w:val="center"/>
              <w:rPr>
                <w:sz w:val="24"/>
                <w:szCs w:val="24"/>
              </w:rPr>
            </w:pPr>
            <w:r w:rsidRPr="00C5726D">
              <w:rPr>
                <w:sz w:val="24"/>
                <w:szCs w:val="24"/>
              </w:rPr>
              <w:t>0.5</w:t>
            </w:r>
          </w:p>
          <w:p w14:paraId="0A084079" w14:textId="77777777" w:rsidR="00DD50E4" w:rsidRPr="00C5726D" w:rsidRDefault="00DD50E4">
            <w:pPr>
              <w:jc w:val="center"/>
              <w:rPr>
                <w:sz w:val="24"/>
                <w:szCs w:val="24"/>
              </w:rPr>
            </w:pPr>
            <w:r w:rsidRPr="00C5726D">
              <w:rPr>
                <w:sz w:val="24"/>
                <w:szCs w:val="24"/>
              </w:rPr>
              <w:t>1.6</w:t>
            </w:r>
          </w:p>
          <w:p w14:paraId="799E2730" w14:textId="77777777" w:rsidR="00DD50E4" w:rsidRPr="00C5726D" w:rsidRDefault="00DD50E4">
            <w:pPr>
              <w:jc w:val="center"/>
              <w:rPr>
                <w:sz w:val="24"/>
                <w:szCs w:val="24"/>
              </w:rPr>
            </w:pPr>
            <w:r w:rsidRPr="00C5726D">
              <w:rPr>
                <w:sz w:val="24"/>
                <w:szCs w:val="24"/>
              </w:rPr>
              <w:t>1.1</w:t>
            </w:r>
          </w:p>
          <w:p w14:paraId="43525659" w14:textId="77777777" w:rsidR="00DD50E4" w:rsidRPr="00C5726D" w:rsidRDefault="00DD50E4">
            <w:pPr>
              <w:jc w:val="center"/>
              <w:rPr>
                <w:sz w:val="24"/>
                <w:szCs w:val="24"/>
              </w:rPr>
            </w:pPr>
            <w:r w:rsidRPr="00C5726D">
              <w:rPr>
                <w:sz w:val="24"/>
                <w:szCs w:val="24"/>
              </w:rPr>
              <w:t>1.1</w:t>
            </w:r>
          </w:p>
          <w:p w14:paraId="48C75C30" w14:textId="77777777" w:rsidR="00DD50E4" w:rsidRPr="00C5726D" w:rsidRDefault="00DD50E4">
            <w:pPr>
              <w:jc w:val="center"/>
              <w:rPr>
                <w:sz w:val="24"/>
                <w:szCs w:val="24"/>
              </w:rPr>
            </w:pPr>
            <w:r w:rsidRPr="00C5726D">
              <w:rPr>
                <w:sz w:val="24"/>
                <w:szCs w:val="24"/>
              </w:rPr>
              <w:t>0.0</w:t>
            </w:r>
          </w:p>
        </w:tc>
        <w:tc>
          <w:tcPr>
            <w:tcW w:w="951" w:type="pct"/>
            <w:tcBorders>
              <w:top w:val="single" w:sz="4" w:space="0" w:color="auto"/>
              <w:left w:val="single" w:sz="4" w:space="0" w:color="auto"/>
              <w:bottom w:val="single" w:sz="4" w:space="0" w:color="auto"/>
              <w:right w:val="single" w:sz="4" w:space="0" w:color="auto"/>
            </w:tcBorders>
          </w:tcPr>
          <w:p w14:paraId="23287EB2" w14:textId="77777777" w:rsidR="00DD50E4" w:rsidRPr="00C5726D" w:rsidRDefault="00DD50E4">
            <w:pPr>
              <w:jc w:val="center"/>
              <w:rPr>
                <w:sz w:val="24"/>
                <w:szCs w:val="24"/>
              </w:rPr>
            </w:pPr>
          </w:p>
          <w:p w14:paraId="639143A9" w14:textId="77777777" w:rsidR="00DD50E4" w:rsidRPr="00C5726D" w:rsidRDefault="00DD50E4">
            <w:pPr>
              <w:jc w:val="center"/>
              <w:rPr>
                <w:sz w:val="24"/>
                <w:szCs w:val="24"/>
              </w:rPr>
            </w:pPr>
            <w:r w:rsidRPr="00C5726D">
              <w:rPr>
                <w:sz w:val="24"/>
                <w:szCs w:val="24"/>
              </w:rPr>
              <w:t>6.6</w:t>
            </w:r>
          </w:p>
          <w:p w14:paraId="56DD91CB" w14:textId="77777777" w:rsidR="00DD50E4" w:rsidRPr="00C5726D" w:rsidRDefault="00DD50E4">
            <w:pPr>
              <w:jc w:val="center"/>
              <w:rPr>
                <w:sz w:val="24"/>
                <w:szCs w:val="24"/>
              </w:rPr>
            </w:pPr>
            <w:r w:rsidRPr="00C5726D">
              <w:rPr>
                <w:sz w:val="24"/>
                <w:szCs w:val="24"/>
              </w:rPr>
              <w:t>3.6</w:t>
            </w:r>
          </w:p>
          <w:p w14:paraId="0D2F0C10" w14:textId="77777777" w:rsidR="00DD50E4" w:rsidRPr="00C5726D" w:rsidRDefault="00DD50E4">
            <w:pPr>
              <w:jc w:val="center"/>
              <w:rPr>
                <w:sz w:val="24"/>
                <w:szCs w:val="24"/>
              </w:rPr>
            </w:pPr>
            <w:r w:rsidRPr="00C5726D">
              <w:rPr>
                <w:sz w:val="24"/>
                <w:szCs w:val="24"/>
              </w:rPr>
              <w:t>2.0</w:t>
            </w:r>
          </w:p>
          <w:p w14:paraId="60EE8A31" w14:textId="77777777" w:rsidR="00DD50E4" w:rsidRPr="00C5726D" w:rsidRDefault="00DD50E4">
            <w:pPr>
              <w:jc w:val="center"/>
              <w:rPr>
                <w:sz w:val="24"/>
                <w:szCs w:val="24"/>
              </w:rPr>
            </w:pPr>
            <w:r w:rsidRPr="00C5726D">
              <w:rPr>
                <w:sz w:val="24"/>
                <w:szCs w:val="24"/>
              </w:rPr>
              <w:t>3.6</w:t>
            </w:r>
          </w:p>
          <w:p w14:paraId="3A386579" w14:textId="77777777" w:rsidR="00DD50E4" w:rsidRPr="00C5726D" w:rsidRDefault="00DD50E4">
            <w:pPr>
              <w:jc w:val="center"/>
              <w:rPr>
                <w:sz w:val="24"/>
                <w:szCs w:val="24"/>
              </w:rPr>
            </w:pPr>
            <w:r w:rsidRPr="00C5726D">
              <w:rPr>
                <w:sz w:val="24"/>
                <w:szCs w:val="24"/>
              </w:rPr>
              <w:t>1.0</w:t>
            </w:r>
          </w:p>
          <w:p w14:paraId="2099AD79" w14:textId="77777777" w:rsidR="00DD50E4" w:rsidRPr="00C5726D" w:rsidRDefault="00DD50E4">
            <w:pPr>
              <w:jc w:val="center"/>
              <w:rPr>
                <w:sz w:val="24"/>
                <w:szCs w:val="24"/>
              </w:rPr>
            </w:pPr>
          </w:p>
          <w:p w14:paraId="42A0BE9E" w14:textId="77777777" w:rsidR="00DD50E4" w:rsidRPr="00C5726D" w:rsidRDefault="00DD50E4">
            <w:pPr>
              <w:jc w:val="center"/>
              <w:rPr>
                <w:sz w:val="24"/>
                <w:szCs w:val="24"/>
              </w:rPr>
            </w:pPr>
            <w:r w:rsidRPr="00C5726D">
              <w:rPr>
                <w:sz w:val="24"/>
                <w:szCs w:val="24"/>
              </w:rPr>
              <w:t>3.1</w:t>
            </w:r>
          </w:p>
          <w:p w14:paraId="2BBD8E10" w14:textId="77777777" w:rsidR="00DD50E4" w:rsidRPr="00C5726D" w:rsidRDefault="00DD50E4">
            <w:pPr>
              <w:jc w:val="center"/>
              <w:rPr>
                <w:sz w:val="24"/>
                <w:szCs w:val="24"/>
              </w:rPr>
            </w:pPr>
            <w:r w:rsidRPr="00C5726D">
              <w:rPr>
                <w:sz w:val="24"/>
                <w:szCs w:val="24"/>
              </w:rPr>
              <w:t>3.1</w:t>
            </w:r>
          </w:p>
          <w:p w14:paraId="21FFCD69" w14:textId="77777777" w:rsidR="00DD50E4" w:rsidRPr="00C5726D" w:rsidRDefault="00DD50E4">
            <w:pPr>
              <w:jc w:val="center"/>
              <w:rPr>
                <w:sz w:val="24"/>
                <w:szCs w:val="24"/>
              </w:rPr>
            </w:pPr>
            <w:r w:rsidRPr="00C5726D">
              <w:rPr>
                <w:sz w:val="24"/>
                <w:szCs w:val="24"/>
              </w:rPr>
              <w:t>1.0</w:t>
            </w:r>
          </w:p>
          <w:p w14:paraId="6D780790" w14:textId="77777777" w:rsidR="00DD50E4" w:rsidRPr="00C5726D" w:rsidRDefault="00DD50E4">
            <w:pPr>
              <w:jc w:val="center"/>
              <w:rPr>
                <w:sz w:val="24"/>
                <w:szCs w:val="24"/>
              </w:rPr>
            </w:pPr>
            <w:r w:rsidRPr="00C5726D">
              <w:rPr>
                <w:sz w:val="24"/>
                <w:szCs w:val="24"/>
              </w:rPr>
              <w:t>2.6</w:t>
            </w:r>
          </w:p>
          <w:p w14:paraId="30C71806" w14:textId="77777777" w:rsidR="00DD50E4" w:rsidRPr="00C5726D" w:rsidRDefault="00DD50E4">
            <w:pPr>
              <w:jc w:val="center"/>
              <w:rPr>
                <w:sz w:val="24"/>
                <w:szCs w:val="24"/>
              </w:rPr>
            </w:pPr>
            <w:r w:rsidRPr="00C5726D">
              <w:rPr>
                <w:sz w:val="24"/>
                <w:szCs w:val="24"/>
              </w:rPr>
              <w:t>0.5</w:t>
            </w:r>
          </w:p>
          <w:p w14:paraId="60F169A1" w14:textId="77777777" w:rsidR="00DD50E4" w:rsidRPr="00C5726D" w:rsidRDefault="00DD50E4">
            <w:pPr>
              <w:jc w:val="center"/>
              <w:rPr>
                <w:sz w:val="24"/>
                <w:szCs w:val="24"/>
              </w:rPr>
            </w:pPr>
            <w:r w:rsidRPr="00C5726D">
              <w:rPr>
                <w:sz w:val="24"/>
                <w:szCs w:val="24"/>
              </w:rPr>
              <w:t>0.0</w:t>
            </w:r>
          </w:p>
          <w:p w14:paraId="286E4252" w14:textId="77777777" w:rsidR="00DD50E4" w:rsidRPr="00C5726D" w:rsidRDefault="00DD50E4">
            <w:pPr>
              <w:jc w:val="center"/>
              <w:rPr>
                <w:sz w:val="24"/>
                <w:szCs w:val="24"/>
              </w:rPr>
            </w:pPr>
            <w:r w:rsidRPr="00C5726D">
              <w:rPr>
                <w:sz w:val="24"/>
                <w:szCs w:val="24"/>
              </w:rPr>
              <w:t>1.5</w:t>
            </w:r>
          </w:p>
        </w:tc>
        <w:tc>
          <w:tcPr>
            <w:tcW w:w="856" w:type="pct"/>
            <w:tcBorders>
              <w:top w:val="single" w:sz="4" w:space="0" w:color="auto"/>
              <w:left w:val="single" w:sz="4" w:space="0" w:color="auto"/>
              <w:bottom w:val="single" w:sz="4" w:space="0" w:color="auto"/>
              <w:right w:val="single" w:sz="4" w:space="0" w:color="auto"/>
            </w:tcBorders>
          </w:tcPr>
          <w:p w14:paraId="28F30ECB" w14:textId="77777777" w:rsidR="00DD50E4" w:rsidRPr="00C5726D" w:rsidRDefault="00DD50E4">
            <w:pPr>
              <w:jc w:val="center"/>
              <w:rPr>
                <w:sz w:val="24"/>
                <w:szCs w:val="24"/>
              </w:rPr>
            </w:pPr>
          </w:p>
          <w:p w14:paraId="0F8B54C5" w14:textId="77777777" w:rsidR="00DD50E4" w:rsidRPr="00C5726D" w:rsidRDefault="00DD50E4">
            <w:pPr>
              <w:jc w:val="center"/>
              <w:rPr>
                <w:sz w:val="24"/>
                <w:szCs w:val="24"/>
              </w:rPr>
            </w:pPr>
            <w:r w:rsidRPr="00C5726D">
              <w:rPr>
                <w:sz w:val="24"/>
                <w:szCs w:val="24"/>
              </w:rPr>
              <w:t>4.8</w:t>
            </w:r>
          </w:p>
          <w:p w14:paraId="6F3FC6EE" w14:textId="77777777" w:rsidR="00DD50E4" w:rsidRPr="00C5726D" w:rsidRDefault="00DD50E4">
            <w:pPr>
              <w:jc w:val="center"/>
              <w:rPr>
                <w:sz w:val="24"/>
                <w:szCs w:val="24"/>
              </w:rPr>
            </w:pPr>
            <w:r w:rsidRPr="00C5726D">
              <w:rPr>
                <w:sz w:val="24"/>
                <w:szCs w:val="24"/>
              </w:rPr>
              <w:t>3.5</w:t>
            </w:r>
          </w:p>
          <w:p w14:paraId="7CBF8F98" w14:textId="77777777" w:rsidR="00DD50E4" w:rsidRPr="00C5726D" w:rsidRDefault="00DD50E4">
            <w:pPr>
              <w:jc w:val="center"/>
              <w:rPr>
                <w:sz w:val="24"/>
                <w:szCs w:val="24"/>
              </w:rPr>
            </w:pPr>
            <w:r w:rsidRPr="00C5726D">
              <w:rPr>
                <w:sz w:val="24"/>
                <w:szCs w:val="24"/>
              </w:rPr>
              <w:t>4.3</w:t>
            </w:r>
          </w:p>
          <w:p w14:paraId="5BF4B33A" w14:textId="77777777" w:rsidR="00DD50E4" w:rsidRPr="00C5726D" w:rsidRDefault="00DD50E4">
            <w:pPr>
              <w:jc w:val="center"/>
              <w:rPr>
                <w:sz w:val="24"/>
                <w:szCs w:val="24"/>
              </w:rPr>
            </w:pPr>
            <w:r w:rsidRPr="00C5726D">
              <w:rPr>
                <w:sz w:val="24"/>
                <w:szCs w:val="24"/>
              </w:rPr>
              <w:t>4.0</w:t>
            </w:r>
          </w:p>
          <w:p w14:paraId="558C9F65" w14:textId="77777777" w:rsidR="00DD50E4" w:rsidRPr="00C5726D" w:rsidRDefault="00DD50E4">
            <w:pPr>
              <w:jc w:val="center"/>
              <w:rPr>
                <w:sz w:val="24"/>
                <w:szCs w:val="24"/>
              </w:rPr>
            </w:pPr>
            <w:r w:rsidRPr="00C5726D">
              <w:rPr>
                <w:sz w:val="24"/>
                <w:szCs w:val="24"/>
              </w:rPr>
              <w:t>0.8</w:t>
            </w:r>
          </w:p>
          <w:p w14:paraId="0ECBD20B" w14:textId="77777777" w:rsidR="00DD50E4" w:rsidRPr="00C5726D" w:rsidRDefault="00DD50E4">
            <w:pPr>
              <w:jc w:val="center"/>
              <w:rPr>
                <w:sz w:val="24"/>
                <w:szCs w:val="24"/>
              </w:rPr>
            </w:pPr>
          </w:p>
          <w:p w14:paraId="3C459623" w14:textId="77777777" w:rsidR="00DD50E4" w:rsidRPr="00C5726D" w:rsidRDefault="00DD50E4">
            <w:pPr>
              <w:jc w:val="center"/>
              <w:rPr>
                <w:sz w:val="24"/>
                <w:szCs w:val="24"/>
              </w:rPr>
            </w:pPr>
            <w:r w:rsidRPr="00C5726D">
              <w:rPr>
                <w:sz w:val="24"/>
                <w:szCs w:val="24"/>
              </w:rPr>
              <w:t>1.8</w:t>
            </w:r>
          </w:p>
          <w:p w14:paraId="549D81A6" w14:textId="77777777" w:rsidR="00DD50E4" w:rsidRPr="00C5726D" w:rsidRDefault="00DD50E4">
            <w:pPr>
              <w:jc w:val="center"/>
              <w:rPr>
                <w:sz w:val="24"/>
                <w:szCs w:val="24"/>
              </w:rPr>
            </w:pPr>
            <w:r w:rsidRPr="00C5726D">
              <w:rPr>
                <w:sz w:val="24"/>
                <w:szCs w:val="24"/>
              </w:rPr>
              <w:t>1.8</w:t>
            </w:r>
          </w:p>
          <w:p w14:paraId="39839B57" w14:textId="77777777" w:rsidR="00DD50E4" w:rsidRPr="00C5726D" w:rsidRDefault="00DD50E4">
            <w:pPr>
              <w:jc w:val="center"/>
              <w:rPr>
                <w:sz w:val="24"/>
                <w:szCs w:val="24"/>
              </w:rPr>
            </w:pPr>
            <w:r w:rsidRPr="00C5726D">
              <w:rPr>
                <w:sz w:val="24"/>
                <w:szCs w:val="24"/>
              </w:rPr>
              <w:t>0.0</w:t>
            </w:r>
          </w:p>
          <w:p w14:paraId="08EB30E0" w14:textId="77777777" w:rsidR="00DD50E4" w:rsidRPr="00C5726D" w:rsidRDefault="00DD50E4">
            <w:pPr>
              <w:jc w:val="center"/>
              <w:rPr>
                <w:sz w:val="24"/>
                <w:szCs w:val="24"/>
              </w:rPr>
            </w:pPr>
            <w:r w:rsidRPr="00C5726D">
              <w:rPr>
                <w:sz w:val="24"/>
                <w:szCs w:val="24"/>
              </w:rPr>
              <w:t>0.5</w:t>
            </w:r>
          </w:p>
          <w:p w14:paraId="41BEB3CD" w14:textId="77777777" w:rsidR="00DD50E4" w:rsidRPr="00C5726D" w:rsidRDefault="00DD50E4">
            <w:pPr>
              <w:jc w:val="center"/>
              <w:rPr>
                <w:sz w:val="24"/>
                <w:szCs w:val="24"/>
              </w:rPr>
            </w:pPr>
            <w:r w:rsidRPr="00C5726D">
              <w:rPr>
                <w:sz w:val="24"/>
                <w:szCs w:val="24"/>
              </w:rPr>
              <w:t>1.3</w:t>
            </w:r>
          </w:p>
          <w:p w14:paraId="4C04A2AD" w14:textId="77777777" w:rsidR="00DD50E4" w:rsidRPr="00C5726D" w:rsidRDefault="00DD50E4">
            <w:pPr>
              <w:jc w:val="center"/>
              <w:rPr>
                <w:sz w:val="24"/>
                <w:szCs w:val="24"/>
              </w:rPr>
            </w:pPr>
            <w:r w:rsidRPr="00C5726D">
              <w:rPr>
                <w:sz w:val="24"/>
                <w:szCs w:val="24"/>
              </w:rPr>
              <w:t>0.0</w:t>
            </w:r>
          </w:p>
          <w:p w14:paraId="68E1B391" w14:textId="77777777" w:rsidR="00DD50E4" w:rsidRPr="00C5726D" w:rsidRDefault="00DD50E4">
            <w:pPr>
              <w:jc w:val="center"/>
              <w:rPr>
                <w:sz w:val="24"/>
                <w:szCs w:val="24"/>
              </w:rPr>
            </w:pPr>
            <w:r w:rsidRPr="00C5726D">
              <w:rPr>
                <w:sz w:val="24"/>
                <w:szCs w:val="24"/>
              </w:rPr>
              <w:t>0.0</w:t>
            </w:r>
          </w:p>
        </w:tc>
      </w:tr>
      <w:tr w:rsidR="00DD50E4" w:rsidRPr="00C5726D" w14:paraId="74857161" w14:textId="77777777" w:rsidTr="00C5726D">
        <w:tc>
          <w:tcPr>
            <w:tcW w:w="1273" w:type="pct"/>
            <w:tcBorders>
              <w:top w:val="single" w:sz="4" w:space="0" w:color="auto"/>
              <w:left w:val="single" w:sz="4" w:space="0" w:color="auto"/>
              <w:bottom w:val="single" w:sz="4" w:space="0" w:color="auto"/>
              <w:right w:val="single" w:sz="4" w:space="0" w:color="auto"/>
            </w:tcBorders>
            <w:hideMark/>
          </w:tcPr>
          <w:p w14:paraId="233DE383" w14:textId="77777777" w:rsidR="00DD50E4" w:rsidRPr="00C5726D" w:rsidRDefault="00DD50E4">
            <w:pPr>
              <w:autoSpaceDE w:val="0"/>
              <w:autoSpaceDN w:val="0"/>
              <w:adjustRightInd w:val="0"/>
              <w:rPr>
                <w:i/>
                <w:iCs/>
                <w:sz w:val="24"/>
                <w:szCs w:val="24"/>
              </w:rPr>
            </w:pPr>
            <w:proofErr w:type="spellStart"/>
            <w:r w:rsidRPr="00C5726D">
              <w:rPr>
                <w:i/>
                <w:iCs/>
                <w:sz w:val="24"/>
                <w:szCs w:val="24"/>
              </w:rPr>
              <w:t>Musculoskeletal</w:t>
            </w:r>
            <w:proofErr w:type="spellEnd"/>
          </w:p>
          <w:p w14:paraId="184DD223" w14:textId="77777777" w:rsidR="00DD50E4" w:rsidRPr="00C5726D" w:rsidRDefault="00DD50E4" w:rsidP="00DD50E4">
            <w:pPr>
              <w:numPr>
                <w:ilvl w:val="0"/>
                <w:numId w:val="7"/>
              </w:numPr>
              <w:tabs>
                <w:tab w:val="num" w:pos="540"/>
                <w:tab w:val="left" w:pos="567"/>
              </w:tabs>
              <w:autoSpaceDE w:val="0"/>
              <w:autoSpaceDN w:val="0"/>
              <w:adjustRightInd w:val="0"/>
              <w:ind w:left="540"/>
              <w:rPr>
                <w:sz w:val="24"/>
                <w:szCs w:val="24"/>
                <w:lang w:val="en-US"/>
              </w:rPr>
            </w:pPr>
            <w:r w:rsidRPr="00C5726D">
              <w:rPr>
                <w:sz w:val="24"/>
                <w:szCs w:val="24"/>
                <w:lang w:val="en-US"/>
              </w:rPr>
              <w:t>Musculoskeletal (bone, muscle or joint) pain</w:t>
            </w:r>
          </w:p>
          <w:p w14:paraId="7C834F5E" w14:textId="77777777" w:rsidR="00DD50E4" w:rsidRPr="00C5726D" w:rsidRDefault="00DD50E4" w:rsidP="00DD50E4">
            <w:pPr>
              <w:numPr>
                <w:ilvl w:val="0"/>
                <w:numId w:val="7"/>
              </w:numPr>
              <w:tabs>
                <w:tab w:val="num" w:pos="540"/>
                <w:tab w:val="left" w:pos="567"/>
              </w:tabs>
              <w:ind w:left="540"/>
              <w:rPr>
                <w:sz w:val="24"/>
                <w:szCs w:val="24"/>
              </w:rPr>
            </w:pPr>
            <w:proofErr w:type="spellStart"/>
            <w:r w:rsidRPr="00C5726D">
              <w:rPr>
                <w:sz w:val="24"/>
                <w:szCs w:val="24"/>
              </w:rPr>
              <w:t>muscle</w:t>
            </w:r>
            <w:proofErr w:type="spellEnd"/>
            <w:r w:rsidRPr="00C5726D">
              <w:rPr>
                <w:sz w:val="24"/>
                <w:szCs w:val="24"/>
              </w:rPr>
              <w:t xml:space="preserve"> </w:t>
            </w:r>
            <w:proofErr w:type="spellStart"/>
            <w:r w:rsidRPr="00C5726D">
              <w:rPr>
                <w:sz w:val="24"/>
                <w:szCs w:val="24"/>
              </w:rPr>
              <w:t>cramp</w:t>
            </w:r>
            <w:proofErr w:type="spellEnd"/>
          </w:p>
        </w:tc>
        <w:tc>
          <w:tcPr>
            <w:tcW w:w="1030" w:type="pct"/>
            <w:tcBorders>
              <w:top w:val="single" w:sz="4" w:space="0" w:color="auto"/>
              <w:left w:val="single" w:sz="4" w:space="0" w:color="auto"/>
              <w:bottom w:val="single" w:sz="4" w:space="0" w:color="auto"/>
              <w:right w:val="single" w:sz="4" w:space="0" w:color="auto"/>
            </w:tcBorders>
          </w:tcPr>
          <w:p w14:paraId="5488D45D" w14:textId="77777777" w:rsidR="00DD50E4" w:rsidRPr="00C5726D" w:rsidRDefault="00DD50E4">
            <w:pPr>
              <w:jc w:val="center"/>
              <w:rPr>
                <w:sz w:val="24"/>
                <w:szCs w:val="24"/>
              </w:rPr>
            </w:pPr>
          </w:p>
          <w:p w14:paraId="2047E082" w14:textId="77777777" w:rsidR="00DD50E4" w:rsidRPr="00C5726D" w:rsidRDefault="00DD50E4">
            <w:pPr>
              <w:jc w:val="center"/>
              <w:rPr>
                <w:sz w:val="24"/>
                <w:szCs w:val="24"/>
              </w:rPr>
            </w:pPr>
            <w:r w:rsidRPr="00C5726D">
              <w:rPr>
                <w:sz w:val="24"/>
                <w:szCs w:val="24"/>
              </w:rPr>
              <w:t>2.9</w:t>
            </w:r>
          </w:p>
          <w:p w14:paraId="007CA436" w14:textId="77777777" w:rsidR="00DD50E4" w:rsidRPr="00C5726D" w:rsidRDefault="00DD50E4">
            <w:pPr>
              <w:jc w:val="center"/>
              <w:rPr>
                <w:sz w:val="24"/>
                <w:szCs w:val="24"/>
              </w:rPr>
            </w:pPr>
          </w:p>
          <w:p w14:paraId="48B45BF2" w14:textId="77777777" w:rsidR="00DD50E4" w:rsidRPr="00C5726D" w:rsidRDefault="00DD50E4">
            <w:pPr>
              <w:jc w:val="center"/>
              <w:rPr>
                <w:sz w:val="24"/>
                <w:szCs w:val="24"/>
              </w:rPr>
            </w:pPr>
          </w:p>
          <w:p w14:paraId="4A3832D3" w14:textId="77777777" w:rsidR="00DD50E4" w:rsidRPr="00C5726D" w:rsidRDefault="00DD50E4">
            <w:pPr>
              <w:jc w:val="center"/>
              <w:rPr>
                <w:sz w:val="24"/>
                <w:szCs w:val="24"/>
              </w:rPr>
            </w:pPr>
            <w:r w:rsidRPr="00C5726D">
              <w:rPr>
                <w:sz w:val="24"/>
                <w:szCs w:val="24"/>
              </w:rPr>
              <w:t>0.2</w:t>
            </w:r>
          </w:p>
        </w:tc>
        <w:tc>
          <w:tcPr>
            <w:tcW w:w="891" w:type="pct"/>
            <w:tcBorders>
              <w:top w:val="single" w:sz="4" w:space="0" w:color="auto"/>
              <w:left w:val="single" w:sz="4" w:space="0" w:color="auto"/>
              <w:bottom w:val="single" w:sz="4" w:space="0" w:color="auto"/>
              <w:right w:val="single" w:sz="4" w:space="0" w:color="auto"/>
            </w:tcBorders>
          </w:tcPr>
          <w:p w14:paraId="69029AC6" w14:textId="77777777" w:rsidR="00DD50E4" w:rsidRPr="00C5726D" w:rsidRDefault="00DD50E4">
            <w:pPr>
              <w:jc w:val="center"/>
              <w:rPr>
                <w:sz w:val="24"/>
                <w:szCs w:val="24"/>
              </w:rPr>
            </w:pPr>
          </w:p>
          <w:p w14:paraId="23F87AC5" w14:textId="77777777" w:rsidR="00DD50E4" w:rsidRPr="00C5726D" w:rsidRDefault="00DD50E4">
            <w:pPr>
              <w:jc w:val="center"/>
              <w:rPr>
                <w:sz w:val="24"/>
                <w:szCs w:val="24"/>
              </w:rPr>
            </w:pPr>
            <w:r w:rsidRPr="00C5726D">
              <w:rPr>
                <w:sz w:val="24"/>
                <w:szCs w:val="24"/>
              </w:rPr>
              <w:t>3.2</w:t>
            </w:r>
          </w:p>
          <w:p w14:paraId="0E8A8D12" w14:textId="77777777" w:rsidR="00DD50E4" w:rsidRPr="00C5726D" w:rsidRDefault="00DD50E4">
            <w:pPr>
              <w:jc w:val="center"/>
              <w:rPr>
                <w:sz w:val="24"/>
                <w:szCs w:val="24"/>
              </w:rPr>
            </w:pPr>
          </w:p>
          <w:p w14:paraId="7452932C" w14:textId="77777777" w:rsidR="00DD50E4" w:rsidRPr="00C5726D" w:rsidRDefault="00DD50E4">
            <w:pPr>
              <w:jc w:val="center"/>
              <w:rPr>
                <w:sz w:val="24"/>
                <w:szCs w:val="24"/>
              </w:rPr>
            </w:pPr>
          </w:p>
          <w:p w14:paraId="1EE50290" w14:textId="77777777" w:rsidR="00DD50E4" w:rsidRPr="00C5726D" w:rsidRDefault="00DD50E4">
            <w:pPr>
              <w:jc w:val="center"/>
              <w:rPr>
                <w:sz w:val="24"/>
                <w:szCs w:val="24"/>
              </w:rPr>
            </w:pPr>
            <w:r w:rsidRPr="00C5726D">
              <w:rPr>
                <w:sz w:val="24"/>
                <w:szCs w:val="24"/>
              </w:rPr>
              <w:t>1.1</w:t>
            </w:r>
          </w:p>
        </w:tc>
        <w:tc>
          <w:tcPr>
            <w:tcW w:w="951" w:type="pct"/>
            <w:tcBorders>
              <w:top w:val="single" w:sz="4" w:space="0" w:color="auto"/>
              <w:left w:val="single" w:sz="4" w:space="0" w:color="auto"/>
              <w:bottom w:val="single" w:sz="4" w:space="0" w:color="auto"/>
              <w:right w:val="single" w:sz="4" w:space="0" w:color="auto"/>
            </w:tcBorders>
          </w:tcPr>
          <w:p w14:paraId="52A0004A" w14:textId="77777777" w:rsidR="00DD50E4" w:rsidRPr="00C5726D" w:rsidRDefault="00DD50E4">
            <w:pPr>
              <w:jc w:val="center"/>
              <w:rPr>
                <w:sz w:val="24"/>
                <w:szCs w:val="24"/>
              </w:rPr>
            </w:pPr>
          </w:p>
          <w:p w14:paraId="5F37F6A4" w14:textId="77777777" w:rsidR="00DD50E4" w:rsidRPr="00C5726D" w:rsidRDefault="00DD50E4">
            <w:pPr>
              <w:jc w:val="center"/>
              <w:rPr>
                <w:sz w:val="24"/>
                <w:szCs w:val="24"/>
              </w:rPr>
            </w:pPr>
            <w:r w:rsidRPr="00C5726D">
              <w:rPr>
                <w:sz w:val="24"/>
                <w:szCs w:val="24"/>
              </w:rPr>
              <w:t>4.1</w:t>
            </w:r>
          </w:p>
          <w:p w14:paraId="00FDD0AB" w14:textId="77777777" w:rsidR="00DD50E4" w:rsidRPr="00C5726D" w:rsidRDefault="00DD50E4">
            <w:pPr>
              <w:jc w:val="center"/>
              <w:rPr>
                <w:sz w:val="24"/>
                <w:szCs w:val="24"/>
              </w:rPr>
            </w:pPr>
          </w:p>
          <w:p w14:paraId="243AD07E" w14:textId="77777777" w:rsidR="00DD50E4" w:rsidRPr="00C5726D" w:rsidRDefault="00DD50E4">
            <w:pPr>
              <w:jc w:val="center"/>
              <w:rPr>
                <w:sz w:val="24"/>
                <w:szCs w:val="24"/>
              </w:rPr>
            </w:pPr>
          </w:p>
          <w:p w14:paraId="7F5D373B" w14:textId="77777777" w:rsidR="00DD50E4" w:rsidRPr="00C5726D" w:rsidRDefault="00DD50E4">
            <w:pPr>
              <w:jc w:val="center"/>
              <w:rPr>
                <w:sz w:val="24"/>
                <w:szCs w:val="24"/>
              </w:rPr>
            </w:pPr>
            <w:r w:rsidRPr="00C5726D">
              <w:rPr>
                <w:sz w:val="24"/>
                <w:szCs w:val="24"/>
              </w:rPr>
              <w:t>0.0</w:t>
            </w:r>
          </w:p>
        </w:tc>
        <w:tc>
          <w:tcPr>
            <w:tcW w:w="856" w:type="pct"/>
            <w:tcBorders>
              <w:top w:val="single" w:sz="4" w:space="0" w:color="auto"/>
              <w:left w:val="single" w:sz="4" w:space="0" w:color="auto"/>
              <w:bottom w:val="single" w:sz="4" w:space="0" w:color="auto"/>
              <w:right w:val="single" w:sz="4" w:space="0" w:color="auto"/>
            </w:tcBorders>
          </w:tcPr>
          <w:p w14:paraId="361CC663" w14:textId="77777777" w:rsidR="00DD50E4" w:rsidRPr="00C5726D" w:rsidRDefault="00DD50E4">
            <w:pPr>
              <w:jc w:val="center"/>
              <w:rPr>
                <w:sz w:val="24"/>
                <w:szCs w:val="24"/>
              </w:rPr>
            </w:pPr>
          </w:p>
          <w:p w14:paraId="08F38E13" w14:textId="77777777" w:rsidR="00DD50E4" w:rsidRPr="00C5726D" w:rsidRDefault="00DD50E4">
            <w:pPr>
              <w:jc w:val="center"/>
              <w:rPr>
                <w:sz w:val="24"/>
                <w:szCs w:val="24"/>
              </w:rPr>
            </w:pPr>
            <w:r w:rsidRPr="00C5726D">
              <w:rPr>
                <w:sz w:val="24"/>
                <w:szCs w:val="24"/>
              </w:rPr>
              <w:t>2.5</w:t>
            </w:r>
          </w:p>
          <w:p w14:paraId="029E14AC" w14:textId="77777777" w:rsidR="00DD50E4" w:rsidRPr="00C5726D" w:rsidRDefault="00DD50E4">
            <w:pPr>
              <w:jc w:val="center"/>
              <w:rPr>
                <w:sz w:val="24"/>
                <w:szCs w:val="24"/>
              </w:rPr>
            </w:pPr>
          </w:p>
          <w:p w14:paraId="058BAC95" w14:textId="77777777" w:rsidR="00DD50E4" w:rsidRPr="00C5726D" w:rsidRDefault="00DD50E4">
            <w:pPr>
              <w:jc w:val="center"/>
              <w:rPr>
                <w:sz w:val="24"/>
                <w:szCs w:val="24"/>
              </w:rPr>
            </w:pPr>
          </w:p>
          <w:p w14:paraId="5A68760B" w14:textId="77777777" w:rsidR="00DD50E4" w:rsidRPr="00C5726D" w:rsidRDefault="00DD50E4">
            <w:pPr>
              <w:jc w:val="center"/>
              <w:rPr>
                <w:sz w:val="24"/>
                <w:szCs w:val="24"/>
              </w:rPr>
            </w:pPr>
            <w:r w:rsidRPr="00C5726D">
              <w:rPr>
                <w:sz w:val="24"/>
                <w:szCs w:val="24"/>
              </w:rPr>
              <w:t>1.0</w:t>
            </w:r>
          </w:p>
        </w:tc>
      </w:tr>
      <w:tr w:rsidR="00DD50E4" w:rsidRPr="00C5726D" w14:paraId="3118E606" w14:textId="77777777" w:rsidTr="00C5726D">
        <w:tc>
          <w:tcPr>
            <w:tcW w:w="1273" w:type="pct"/>
            <w:tcBorders>
              <w:top w:val="single" w:sz="4" w:space="0" w:color="auto"/>
              <w:left w:val="single" w:sz="4" w:space="0" w:color="auto"/>
              <w:bottom w:val="single" w:sz="4" w:space="0" w:color="auto"/>
              <w:right w:val="single" w:sz="4" w:space="0" w:color="auto"/>
            </w:tcBorders>
            <w:hideMark/>
          </w:tcPr>
          <w:p w14:paraId="3E5B8EA6" w14:textId="77777777" w:rsidR="00DD50E4" w:rsidRPr="00C5726D" w:rsidRDefault="00DD50E4">
            <w:pPr>
              <w:autoSpaceDE w:val="0"/>
              <w:autoSpaceDN w:val="0"/>
              <w:adjustRightInd w:val="0"/>
              <w:rPr>
                <w:i/>
                <w:iCs/>
                <w:sz w:val="24"/>
                <w:szCs w:val="24"/>
              </w:rPr>
            </w:pPr>
            <w:proofErr w:type="spellStart"/>
            <w:r w:rsidRPr="00C5726D">
              <w:rPr>
                <w:i/>
                <w:iCs/>
                <w:sz w:val="24"/>
                <w:szCs w:val="24"/>
              </w:rPr>
              <w:t>Neurological</w:t>
            </w:r>
            <w:proofErr w:type="spellEnd"/>
          </w:p>
          <w:p w14:paraId="597C4C3F" w14:textId="77777777" w:rsidR="00DD50E4" w:rsidRPr="00C5726D" w:rsidRDefault="00DD50E4" w:rsidP="00DD50E4">
            <w:pPr>
              <w:numPr>
                <w:ilvl w:val="0"/>
                <w:numId w:val="8"/>
              </w:numPr>
              <w:tabs>
                <w:tab w:val="left" w:pos="567"/>
              </w:tabs>
              <w:rPr>
                <w:sz w:val="24"/>
                <w:szCs w:val="24"/>
              </w:rPr>
            </w:pPr>
            <w:proofErr w:type="spellStart"/>
            <w:r w:rsidRPr="00C5726D">
              <w:rPr>
                <w:sz w:val="24"/>
                <w:szCs w:val="24"/>
              </w:rPr>
              <w:t>Headache</w:t>
            </w:r>
            <w:proofErr w:type="spellEnd"/>
          </w:p>
        </w:tc>
        <w:tc>
          <w:tcPr>
            <w:tcW w:w="1030" w:type="pct"/>
            <w:tcBorders>
              <w:top w:val="single" w:sz="4" w:space="0" w:color="auto"/>
              <w:left w:val="single" w:sz="4" w:space="0" w:color="auto"/>
              <w:bottom w:val="single" w:sz="4" w:space="0" w:color="auto"/>
              <w:right w:val="single" w:sz="4" w:space="0" w:color="auto"/>
            </w:tcBorders>
          </w:tcPr>
          <w:p w14:paraId="1085F3D7" w14:textId="77777777" w:rsidR="00DD50E4" w:rsidRPr="00C5726D" w:rsidRDefault="00DD50E4">
            <w:pPr>
              <w:jc w:val="center"/>
              <w:rPr>
                <w:sz w:val="24"/>
                <w:szCs w:val="24"/>
              </w:rPr>
            </w:pPr>
          </w:p>
          <w:p w14:paraId="7DE8489B" w14:textId="77777777" w:rsidR="00DD50E4" w:rsidRPr="00C5726D" w:rsidRDefault="00DD50E4">
            <w:pPr>
              <w:jc w:val="center"/>
              <w:rPr>
                <w:sz w:val="24"/>
                <w:szCs w:val="24"/>
              </w:rPr>
            </w:pPr>
            <w:r w:rsidRPr="00C5726D">
              <w:rPr>
                <w:sz w:val="24"/>
                <w:szCs w:val="24"/>
              </w:rPr>
              <w:t>0.4</w:t>
            </w:r>
          </w:p>
        </w:tc>
        <w:tc>
          <w:tcPr>
            <w:tcW w:w="891" w:type="pct"/>
            <w:tcBorders>
              <w:top w:val="single" w:sz="4" w:space="0" w:color="auto"/>
              <w:left w:val="single" w:sz="4" w:space="0" w:color="auto"/>
              <w:bottom w:val="single" w:sz="4" w:space="0" w:color="auto"/>
              <w:right w:val="single" w:sz="4" w:space="0" w:color="auto"/>
            </w:tcBorders>
          </w:tcPr>
          <w:p w14:paraId="533669C7" w14:textId="77777777" w:rsidR="00DD50E4" w:rsidRPr="00C5726D" w:rsidRDefault="00DD50E4">
            <w:pPr>
              <w:jc w:val="center"/>
              <w:rPr>
                <w:sz w:val="24"/>
                <w:szCs w:val="24"/>
              </w:rPr>
            </w:pPr>
          </w:p>
          <w:p w14:paraId="6984E0B7" w14:textId="77777777" w:rsidR="00DD50E4" w:rsidRPr="00C5726D" w:rsidRDefault="00DD50E4">
            <w:pPr>
              <w:jc w:val="center"/>
              <w:rPr>
                <w:sz w:val="24"/>
                <w:szCs w:val="24"/>
              </w:rPr>
            </w:pPr>
            <w:r w:rsidRPr="00C5726D">
              <w:rPr>
                <w:sz w:val="24"/>
                <w:szCs w:val="24"/>
              </w:rPr>
              <w:t>0.3</w:t>
            </w:r>
          </w:p>
        </w:tc>
        <w:tc>
          <w:tcPr>
            <w:tcW w:w="951" w:type="pct"/>
            <w:tcBorders>
              <w:top w:val="single" w:sz="4" w:space="0" w:color="auto"/>
              <w:left w:val="single" w:sz="4" w:space="0" w:color="auto"/>
              <w:bottom w:val="single" w:sz="4" w:space="0" w:color="auto"/>
              <w:right w:val="single" w:sz="4" w:space="0" w:color="auto"/>
            </w:tcBorders>
          </w:tcPr>
          <w:p w14:paraId="29ADBC20" w14:textId="77777777" w:rsidR="00DD50E4" w:rsidRPr="00C5726D" w:rsidRDefault="00DD50E4">
            <w:pPr>
              <w:jc w:val="center"/>
              <w:rPr>
                <w:sz w:val="24"/>
                <w:szCs w:val="24"/>
              </w:rPr>
            </w:pPr>
          </w:p>
          <w:p w14:paraId="0916E3D5" w14:textId="77777777" w:rsidR="00DD50E4" w:rsidRPr="00C5726D" w:rsidRDefault="00DD50E4">
            <w:pPr>
              <w:jc w:val="center"/>
              <w:rPr>
                <w:sz w:val="24"/>
                <w:szCs w:val="24"/>
              </w:rPr>
            </w:pPr>
            <w:r w:rsidRPr="00C5726D">
              <w:rPr>
                <w:sz w:val="24"/>
                <w:szCs w:val="24"/>
              </w:rPr>
              <w:t>2.6</w:t>
            </w:r>
          </w:p>
        </w:tc>
        <w:tc>
          <w:tcPr>
            <w:tcW w:w="856" w:type="pct"/>
            <w:tcBorders>
              <w:top w:val="single" w:sz="4" w:space="0" w:color="auto"/>
              <w:left w:val="single" w:sz="4" w:space="0" w:color="auto"/>
              <w:bottom w:val="single" w:sz="4" w:space="0" w:color="auto"/>
              <w:right w:val="single" w:sz="4" w:space="0" w:color="auto"/>
            </w:tcBorders>
          </w:tcPr>
          <w:p w14:paraId="4E2F0B70" w14:textId="77777777" w:rsidR="00DD50E4" w:rsidRPr="00C5726D" w:rsidRDefault="00DD50E4">
            <w:pPr>
              <w:jc w:val="center"/>
              <w:rPr>
                <w:sz w:val="24"/>
                <w:szCs w:val="24"/>
              </w:rPr>
            </w:pPr>
          </w:p>
          <w:p w14:paraId="7DD6B634" w14:textId="77777777" w:rsidR="00DD50E4" w:rsidRPr="00C5726D" w:rsidRDefault="00DD50E4">
            <w:pPr>
              <w:jc w:val="center"/>
              <w:rPr>
                <w:sz w:val="24"/>
                <w:szCs w:val="24"/>
              </w:rPr>
            </w:pPr>
            <w:r w:rsidRPr="00C5726D">
              <w:rPr>
                <w:sz w:val="24"/>
                <w:szCs w:val="24"/>
              </w:rPr>
              <w:t>1.5</w:t>
            </w:r>
          </w:p>
        </w:tc>
      </w:tr>
    </w:tbl>
    <w:p w14:paraId="233D34D8" w14:textId="77777777" w:rsidR="00DD50E4" w:rsidRPr="00C5726D" w:rsidRDefault="00DD50E4" w:rsidP="00C5726D">
      <w:pPr>
        <w:ind w:left="851"/>
        <w:rPr>
          <w:sz w:val="24"/>
          <w:szCs w:val="24"/>
          <w:lang w:val="en-GB" w:eastAsia="en-US"/>
        </w:rPr>
      </w:pPr>
    </w:p>
    <w:p w14:paraId="7E2112F0" w14:textId="77777777" w:rsidR="00DD50E4" w:rsidRPr="00C5726D" w:rsidRDefault="00DD50E4" w:rsidP="00C5726D">
      <w:pPr>
        <w:ind w:left="851"/>
        <w:rPr>
          <w:b/>
          <w:bCs/>
          <w:sz w:val="24"/>
          <w:szCs w:val="24"/>
        </w:rPr>
      </w:pPr>
      <w:proofErr w:type="spellStart"/>
      <w:r w:rsidRPr="00C5726D">
        <w:rPr>
          <w:b/>
          <w:bCs/>
          <w:sz w:val="24"/>
          <w:szCs w:val="24"/>
        </w:rPr>
        <w:t>Tabulated</w:t>
      </w:r>
      <w:proofErr w:type="spellEnd"/>
      <w:r w:rsidRPr="00C5726D">
        <w:rPr>
          <w:b/>
          <w:bCs/>
          <w:sz w:val="24"/>
          <w:szCs w:val="24"/>
        </w:rPr>
        <w:t xml:space="preserve"> list of </w:t>
      </w:r>
      <w:proofErr w:type="spellStart"/>
      <w:r w:rsidRPr="00C5726D">
        <w:rPr>
          <w:b/>
          <w:bCs/>
          <w:sz w:val="24"/>
          <w:szCs w:val="24"/>
        </w:rPr>
        <w:t>adverse</w:t>
      </w:r>
      <w:proofErr w:type="spellEnd"/>
      <w:r w:rsidRPr="00C5726D">
        <w:rPr>
          <w:b/>
          <w:bCs/>
          <w:sz w:val="24"/>
          <w:szCs w:val="24"/>
        </w:rPr>
        <w:t xml:space="preserve"> </w:t>
      </w:r>
      <w:proofErr w:type="spellStart"/>
      <w:r w:rsidRPr="00C5726D">
        <w:rPr>
          <w:b/>
          <w:bCs/>
          <w:sz w:val="24"/>
          <w:szCs w:val="24"/>
        </w:rPr>
        <w:t>reactions</w:t>
      </w:r>
      <w:proofErr w:type="spellEnd"/>
    </w:p>
    <w:p w14:paraId="55E08489" w14:textId="77777777" w:rsidR="00DD50E4" w:rsidRPr="00C5726D" w:rsidRDefault="00DD50E4" w:rsidP="00C5726D">
      <w:pPr>
        <w:ind w:left="851"/>
        <w:rPr>
          <w:sz w:val="24"/>
          <w:szCs w:val="24"/>
          <w:lang w:val="en-US"/>
        </w:rPr>
      </w:pPr>
      <w:r w:rsidRPr="00C5726D">
        <w:rPr>
          <w:sz w:val="24"/>
          <w:szCs w:val="24"/>
          <w:lang w:val="en-US"/>
        </w:rPr>
        <w:t>The following adverse experiences have also been reported during clinical studies and/or post-marketing use:</w:t>
      </w:r>
    </w:p>
    <w:p w14:paraId="214965A5" w14:textId="77777777" w:rsidR="00DD50E4" w:rsidRPr="00C5726D" w:rsidRDefault="00DD50E4" w:rsidP="00C5726D">
      <w:pPr>
        <w:ind w:left="851"/>
        <w:rPr>
          <w:sz w:val="24"/>
          <w:szCs w:val="24"/>
          <w:lang w:val="en-US"/>
        </w:rPr>
      </w:pPr>
    </w:p>
    <w:p w14:paraId="17CD37AC" w14:textId="77777777" w:rsidR="00DD50E4" w:rsidRPr="00C5726D" w:rsidRDefault="00DD50E4" w:rsidP="00C5726D">
      <w:pPr>
        <w:ind w:left="851"/>
        <w:rPr>
          <w:noProof/>
          <w:sz w:val="24"/>
          <w:szCs w:val="24"/>
          <w:lang w:val="en-US"/>
        </w:rPr>
      </w:pPr>
      <w:r w:rsidRPr="00C5726D">
        <w:rPr>
          <w:noProof/>
          <w:sz w:val="24"/>
          <w:szCs w:val="24"/>
          <w:lang w:val="en-US"/>
        </w:rPr>
        <w:t xml:space="preserve">Frequencies are defined as: Very common (≥ 1/10), common (≥ 1/100; &lt; 1/10), uncommon (≥ 1/1,000; &lt; 1/100), rare (≥ 1/10,000; &lt; 1/1,000), very rare (&lt; 1/10,000 including isolated cases). </w:t>
      </w:r>
    </w:p>
    <w:p w14:paraId="36DD74F6" w14:textId="77777777" w:rsidR="00DD50E4" w:rsidRPr="00C5726D" w:rsidRDefault="00DD50E4" w:rsidP="00C5726D">
      <w:pPr>
        <w:ind w:left="851"/>
        <w:rPr>
          <w:noProof/>
          <w:sz w:val="24"/>
          <w:szCs w:val="24"/>
          <w:lang w:val="en-US"/>
        </w:rPr>
      </w:pPr>
    </w:p>
    <w:tbl>
      <w:tblPr>
        <w:tblStyle w:val="TableNormal1"/>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657"/>
        <w:gridCol w:w="1561"/>
        <w:gridCol w:w="5404"/>
      </w:tblGrid>
      <w:tr w:rsidR="00DD50E4" w:rsidRPr="00C5726D" w14:paraId="2EEFC589" w14:textId="77777777" w:rsidTr="00C5726D">
        <w:trPr>
          <w:trHeight w:val="240"/>
        </w:trPr>
        <w:tc>
          <w:tcPr>
            <w:tcW w:w="1381" w:type="pct"/>
            <w:tcBorders>
              <w:top w:val="single" w:sz="6" w:space="0" w:color="000000"/>
              <w:left w:val="single" w:sz="6" w:space="0" w:color="000000"/>
              <w:bottom w:val="single" w:sz="6" w:space="0" w:color="000000"/>
              <w:right w:val="single" w:sz="6" w:space="0" w:color="000000"/>
            </w:tcBorders>
            <w:hideMark/>
          </w:tcPr>
          <w:p w14:paraId="68DCD309" w14:textId="77777777" w:rsidR="00DD50E4" w:rsidRPr="00C5726D" w:rsidRDefault="00DD50E4" w:rsidP="00C5726D">
            <w:pPr>
              <w:pStyle w:val="TableParagraph"/>
              <w:spacing w:line="240" w:lineRule="auto"/>
              <w:ind w:left="74"/>
              <w:rPr>
                <w:rFonts w:ascii="Times New Roman" w:hAnsi="Times New Roman" w:cs="Times New Roman"/>
                <w:b/>
                <w:i/>
                <w:sz w:val="24"/>
                <w:szCs w:val="24"/>
              </w:rPr>
            </w:pPr>
            <w:r w:rsidRPr="00C5726D">
              <w:rPr>
                <w:rFonts w:ascii="Times New Roman" w:hAnsi="Times New Roman" w:cs="Times New Roman"/>
                <w:b/>
                <w:i/>
                <w:sz w:val="24"/>
                <w:szCs w:val="24"/>
              </w:rPr>
              <w:t xml:space="preserve">System </w:t>
            </w:r>
            <w:proofErr w:type="spellStart"/>
            <w:r w:rsidRPr="00C5726D">
              <w:rPr>
                <w:rFonts w:ascii="Times New Roman" w:hAnsi="Times New Roman" w:cs="Times New Roman"/>
                <w:b/>
                <w:i/>
                <w:sz w:val="24"/>
                <w:szCs w:val="24"/>
              </w:rPr>
              <w:t>organ</w:t>
            </w:r>
            <w:proofErr w:type="spellEnd"/>
            <w:r w:rsidRPr="00C5726D">
              <w:rPr>
                <w:rFonts w:ascii="Times New Roman" w:hAnsi="Times New Roman" w:cs="Times New Roman"/>
                <w:b/>
                <w:i/>
                <w:sz w:val="24"/>
                <w:szCs w:val="24"/>
              </w:rPr>
              <w:t xml:space="preserve"> </w:t>
            </w:r>
            <w:proofErr w:type="spellStart"/>
            <w:r w:rsidRPr="00C5726D">
              <w:rPr>
                <w:rFonts w:ascii="Times New Roman" w:hAnsi="Times New Roman" w:cs="Times New Roman"/>
                <w:b/>
                <w:i/>
                <w:sz w:val="24"/>
                <w:szCs w:val="24"/>
              </w:rPr>
              <w:t>class</w:t>
            </w:r>
            <w:proofErr w:type="spellEnd"/>
          </w:p>
        </w:tc>
        <w:tc>
          <w:tcPr>
            <w:tcW w:w="811" w:type="pct"/>
            <w:tcBorders>
              <w:top w:val="single" w:sz="6" w:space="0" w:color="000000"/>
              <w:left w:val="single" w:sz="6" w:space="0" w:color="000000"/>
              <w:bottom w:val="single" w:sz="6" w:space="0" w:color="000000"/>
              <w:right w:val="single" w:sz="6" w:space="0" w:color="000000"/>
            </w:tcBorders>
            <w:hideMark/>
          </w:tcPr>
          <w:p w14:paraId="7A990005" w14:textId="77777777" w:rsidR="00DD50E4" w:rsidRPr="00C5726D" w:rsidRDefault="00DD50E4" w:rsidP="00C5726D">
            <w:pPr>
              <w:pStyle w:val="TableParagraph"/>
              <w:spacing w:line="240" w:lineRule="auto"/>
              <w:rPr>
                <w:rFonts w:ascii="Times New Roman" w:hAnsi="Times New Roman" w:cs="Times New Roman"/>
                <w:b/>
                <w:sz w:val="24"/>
                <w:szCs w:val="24"/>
              </w:rPr>
            </w:pPr>
            <w:proofErr w:type="spellStart"/>
            <w:r w:rsidRPr="00C5726D">
              <w:rPr>
                <w:rFonts w:ascii="Times New Roman" w:hAnsi="Times New Roman" w:cs="Times New Roman"/>
                <w:b/>
                <w:sz w:val="24"/>
                <w:szCs w:val="24"/>
              </w:rPr>
              <w:t>Frequency</w:t>
            </w:r>
            <w:proofErr w:type="spellEnd"/>
          </w:p>
        </w:tc>
        <w:tc>
          <w:tcPr>
            <w:tcW w:w="2808" w:type="pct"/>
            <w:tcBorders>
              <w:top w:val="single" w:sz="6" w:space="0" w:color="000000"/>
              <w:left w:val="single" w:sz="6" w:space="0" w:color="000000"/>
              <w:bottom w:val="single" w:sz="6" w:space="0" w:color="000000"/>
              <w:right w:val="single" w:sz="6" w:space="0" w:color="000000"/>
            </w:tcBorders>
            <w:hideMark/>
          </w:tcPr>
          <w:p w14:paraId="5AA2B467" w14:textId="77777777" w:rsidR="00DD50E4" w:rsidRPr="00C5726D" w:rsidRDefault="00DD50E4" w:rsidP="00C5726D">
            <w:pPr>
              <w:pStyle w:val="TableParagraph"/>
              <w:spacing w:line="240" w:lineRule="auto"/>
              <w:rPr>
                <w:rFonts w:ascii="Times New Roman" w:hAnsi="Times New Roman" w:cs="Times New Roman"/>
                <w:b/>
                <w:sz w:val="24"/>
                <w:szCs w:val="24"/>
              </w:rPr>
            </w:pPr>
            <w:r w:rsidRPr="00C5726D">
              <w:rPr>
                <w:rFonts w:ascii="Times New Roman" w:hAnsi="Times New Roman" w:cs="Times New Roman"/>
                <w:b/>
                <w:sz w:val="24"/>
                <w:szCs w:val="24"/>
              </w:rPr>
              <w:t xml:space="preserve">Adverse </w:t>
            </w:r>
            <w:proofErr w:type="spellStart"/>
            <w:r w:rsidRPr="00C5726D">
              <w:rPr>
                <w:rFonts w:ascii="Times New Roman" w:hAnsi="Times New Roman" w:cs="Times New Roman"/>
                <w:b/>
                <w:sz w:val="24"/>
                <w:szCs w:val="24"/>
              </w:rPr>
              <w:t>reactions</w:t>
            </w:r>
            <w:proofErr w:type="spellEnd"/>
          </w:p>
        </w:tc>
      </w:tr>
      <w:tr w:rsidR="00DD50E4" w:rsidRPr="00C5726D" w14:paraId="3D86E323" w14:textId="77777777" w:rsidTr="00C5726D">
        <w:trPr>
          <w:trHeight w:val="510"/>
        </w:trPr>
        <w:tc>
          <w:tcPr>
            <w:tcW w:w="1381" w:type="pct"/>
            <w:tcBorders>
              <w:top w:val="single" w:sz="6" w:space="0" w:color="000000"/>
              <w:left w:val="single" w:sz="6" w:space="0" w:color="000000"/>
              <w:bottom w:val="single" w:sz="6" w:space="0" w:color="000000"/>
              <w:right w:val="single" w:sz="6" w:space="0" w:color="000000"/>
            </w:tcBorders>
            <w:hideMark/>
          </w:tcPr>
          <w:p w14:paraId="3F79E4BF" w14:textId="77777777" w:rsidR="00DD50E4" w:rsidRPr="00C5726D" w:rsidRDefault="00DD50E4" w:rsidP="00C5726D">
            <w:pPr>
              <w:pStyle w:val="TableParagraph"/>
              <w:spacing w:line="240" w:lineRule="auto"/>
              <w:rPr>
                <w:rFonts w:ascii="Times New Roman" w:hAnsi="Times New Roman" w:cs="Times New Roman"/>
                <w:b/>
                <w:i/>
                <w:sz w:val="24"/>
                <w:szCs w:val="24"/>
              </w:rPr>
            </w:pPr>
            <w:r w:rsidRPr="00C5726D">
              <w:rPr>
                <w:rFonts w:ascii="Times New Roman" w:hAnsi="Times New Roman" w:cs="Times New Roman"/>
                <w:b/>
                <w:i/>
                <w:sz w:val="24"/>
                <w:szCs w:val="24"/>
              </w:rPr>
              <w:t xml:space="preserve">Immune </w:t>
            </w:r>
            <w:proofErr w:type="spellStart"/>
            <w:r w:rsidRPr="00C5726D">
              <w:rPr>
                <w:rFonts w:ascii="Times New Roman" w:hAnsi="Times New Roman" w:cs="Times New Roman"/>
                <w:b/>
                <w:i/>
                <w:sz w:val="24"/>
                <w:szCs w:val="24"/>
              </w:rPr>
              <w:t>system</w:t>
            </w:r>
            <w:proofErr w:type="spellEnd"/>
            <w:r w:rsidRPr="00C5726D">
              <w:rPr>
                <w:rFonts w:ascii="Times New Roman" w:hAnsi="Times New Roman" w:cs="Times New Roman"/>
                <w:b/>
                <w:i/>
                <w:sz w:val="24"/>
                <w:szCs w:val="24"/>
              </w:rPr>
              <w:t xml:space="preserve"> </w:t>
            </w:r>
            <w:proofErr w:type="spellStart"/>
            <w:r w:rsidRPr="00C5726D">
              <w:rPr>
                <w:rFonts w:ascii="Times New Roman" w:hAnsi="Times New Roman" w:cs="Times New Roman"/>
                <w:b/>
                <w:i/>
                <w:sz w:val="24"/>
                <w:szCs w:val="24"/>
              </w:rPr>
              <w:t>disorders</w:t>
            </w:r>
            <w:proofErr w:type="spellEnd"/>
          </w:p>
        </w:tc>
        <w:tc>
          <w:tcPr>
            <w:tcW w:w="811" w:type="pct"/>
            <w:tcBorders>
              <w:top w:val="single" w:sz="6" w:space="0" w:color="000000"/>
              <w:left w:val="single" w:sz="6" w:space="0" w:color="000000"/>
              <w:bottom w:val="single" w:sz="6" w:space="0" w:color="000000"/>
              <w:right w:val="single" w:sz="6" w:space="0" w:color="000000"/>
            </w:tcBorders>
            <w:hideMark/>
          </w:tcPr>
          <w:p w14:paraId="42495445" w14:textId="77777777" w:rsidR="00DD50E4" w:rsidRPr="00C5726D" w:rsidRDefault="00DD50E4" w:rsidP="00C5726D">
            <w:pPr>
              <w:pStyle w:val="TableParagraph"/>
              <w:spacing w:line="240" w:lineRule="auto"/>
              <w:ind w:left="549" w:right="542"/>
              <w:jc w:val="center"/>
              <w:rPr>
                <w:rFonts w:ascii="Times New Roman" w:hAnsi="Times New Roman" w:cs="Times New Roman"/>
                <w:sz w:val="24"/>
                <w:szCs w:val="24"/>
              </w:rPr>
            </w:pPr>
            <w:r w:rsidRPr="00C5726D">
              <w:rPr>
                <w:rFonts w:ascii="Times New Roman" w:hAnsi="Times New Roman" w:cs="Times New Roman"/>
                <w:sz w:val="24"/>
                <w:szCs w:val="24"/>
              </w:rPr>
              <w:t>Rare</w:t>
            </w:r>
          </w:p>
        </w:tc>
        <w:tc>
          <w:tcPr>
            <w:tcW w:w="2808" w:type="pct"/>
            <w:tcBorders>
              <w:top w:val="single" w:sz="6" w:space="0" w:color="000000"/>
              <w:left w:val="single" w:sz="6" w:space="0" w:color="000000"/>
              <w:bottom w:val="single" w:sz="6" w:space="0" w:color="000000"/>
              <w:right w:val="single" w:sz="6" w:space="0" w:color="000000"/>
            </w:tcBorders>
            <w:hideMark/>
          </w:tcPr>
          <w:p w14:paraId="1232AF97" w14:textId="77777777" w:rsidR="00DD50E4" w:rsidRPr="00C5726D" w:rsidRDefault="00DD50E4" w:rsidP="00C5726D">
            <w:pPr>
              <w:pStyle w:val="TableParagraph"/>
              <w:spacing w:line="240" w:lineRule="auto"/>
              <w:rPr>
                <w:rFonts w:ascii="Times New Roman" w:hAnsi="Times New Roman" w:cs="Times New Roman"/>
                <w:sz w:val="24"/>
                <w:szCs w:val="24"/>
                <w:lang w:val="en-US"/>
              </w:rPr>
            </w:pPr>
            <w:r w:rsidRPr="00C5726D">
              <w:rPr>
                <w:rFonts w:ascii="Times New Roman" w:hAnsi="Times New Roman" w:cs="Times New Roman"/>
                <w:sz w:val="24"/>
                <w:szCs w:val="24"/>
                <w:lang w:val="en-US"/>
              </w:rPr>
              <w:t>Hypersensitivity reactions including urticaria and angioedema</w:t>
            </w:r>
          </w:p>
        </w:tc>
      </w:tr>
      <w:tr w:rsidR="00DD50E4" w:rsidRPr="00C5726D" w14:paraId="4DD051D3" w14:textId="77777777" w:rsidTr="00C5726D">
        <w:trPr>
          <w:trHeight w:val="495"/>
        </w:trPr>
        <w:tc>
          <w:tcPr>
            <w:tcW w:w="1381" w:type="pct"/>
            <w:tcBorders>
              <w:top w:val="single" w:sz="6" w:space="0" w:color="000000"/>
              <w:left w:val="single" w:sz="6" w:space="0" w:color="000000"/>
              <w:bottom w:val="single" w:sz="6" w:space="0" w:color="000000"/>
              <w:right w:val="single" w:sz="6" w:space="0" w:color="000000"/>
            </w:tcBorders>
            <w:hideMark/>
          </w:tcPr>
          <w:p w14:paraId="5F8DC5BC" w14:textId="534FF0F1" w:rsidR="00DD50E4" w:rsidRPr="00C5726D" w:rsidRDefault="00DD50E4" w:rsidP="0070712E">
            <w:pPr>
              <w:pStyle w:val="TableParagraph"/>
              <w:spacing w:line="240" w:lineRule="auto"/>
              <w:rPr>
                <w:rFonts w:ascii="Times New Roman" w:hAnsi="Times New Roman" w:cs="Times New Roman"/>
                <w:b/>
                <w:i/>
                <w:sz w:val="24"/>
                <w:szCs w:val="24"/>
              </w:rPr>
            </w:pPr>
            <w:proofErr w:type="spellStart"/>
            <w:r w:rsidRPr="00C5726D">
              <w:rPr>
                <w:rFonts w:ascii="Times New Roman" w:hAnsi="Times New Roman" w:cs="Times New Roman"/>
                <w:b/>
                <w:i/>
                <w:sz w:val="24"/>
                <w:szCs w:val="24"/>
              </w:rPr>
              <w:t>Metabolism</w:t>
            </w:r>
            <w:proofErr w:type="spellEnd"/>
            <w:r w:rsidRPr="00C5726D">
              <w:rPr>
                <w:rFonts w:ascii="Times New Roman" w:hAnsi="Times New Roman" w:cs="Times New Roman"/>
                <w:b/>
                <w:i/>
                <w:sz w:val="24"/>
                <w:szCs w:val="24"/>
              </w:rPr>
              <w:t xml:space="preserve"> and </w:t>
            </w:r>
            <w:proofErr w:type="spellStart"/>
            <w:r w:rsidRPr="00C5726D">
              <w:rPr>
                <w:rFonts w:ascii="Times New Roman" w:hAnsi="Times New Roman" w:cs="Times New Roman"/>
                <w:b/>
                <w:i/>
                <w:sz w:val="24"/>
                <w:szCs w:val="24"/>
              </w:rPr>
              <w:t>nutrition</w:t>
            </w:r>
            <w:proofErr w:type="spellEnd"/>
            <w:r w:rsidR="0070712E">
              <w:rPr>
                <w:rFonts w:ascii="Times New Roman" w:hAnsi="Times New Roman" w:cs="Times New Roman"/>
                <w:b/>
                <w:i/>
                <w:sz w:val="24"/>
                <w:szCs w:val="24"/>
              </w:rPr>
              <w:t xml:space="preserve"> </w:t>
            </w:r>
            <w:proofErr w:type="spellStart"/>
            <w:r w:rsidRPr="00C5726D">
              <w:rPr>
                <w:rFonts w:ascii="Times New Roman" w:hAnsi="Times New Roman" w:cs="Times New Roman"/>
                <w:b/>
                <w:i/>
                <w:sz w:val="24"/>
                <w:szCs w:val="24"/>
              </w:rPr>
              <w:t>disorders</w:t>
            </w:r>
            <w:proofErr w:type="spellEnd"/>
          </w:p>
        </w:tc>
        <w:tc>
          <w:tcPr>
            <w:tcW w:w="811" w:type="pct"/>
            <w:tcBorders>
              <w:top w:val="single" w:sz="6" w:space="0" w:color="000000"/>
              <w:left w:val="single" w:sz="6" w:space="0" w:color="000000"/>
              <w:bottom w:val="single" w:sz="6" w:space="0" w:color="000000"/>
              <w:right w:val="single" w:sz="6" w:space="0" w:color="000000"/>
            </w:tcBorders>
            <w:hideMark/>
          </w:tcPr>
          <w:p w14:paraId="5CE79CFB" w14:textId="77777777" w:rsidR="00DD50E4" w:rsidRPr="00C5726D" w:rsidRDefault="00DD50E4" w:rsidP="00C5726D">
            <w:pPr>
              <w:pStyle w:val="TableParagraph"/>
              <w:spacing w:line="240" w:lineRule="auto"/>
              <w:ind w:left="549" w:right="542"/>
              <w:jc w:val="center"/>
              <w:rPr>
                <w:rFonts w:ascii="Times New Roman" w:hAnsi="Times New Roman" w:cs="Times New Roman"/>
                <w:sz w:val="24"/>
                <w:szCs w:val="24"/>
              </w:rPr>
            </w:pPr>
            <w:r w:rsidRPr="00C5726D">
              <w:rPr>
                <w:rFonts w:ascii="Times New Roman" w:hAnsi="Times New Roman" w:cs="Times New Roman"/>
                <w:sz w:val="24"/>
                <w:szCs w:val="24"/>
              </w:rPr>
              <w:t>Rare</w:t>
            </w:r>
          </w:p>
        </w:tc>
        <w:tc>
          <w:tcPr>
            <w:tcW w:w="2808" w:type="pct"/>
            <w:tcBorders>
              <w:top w:val="single" w:sz="6" w:space="0" w:color="000000"/>
              <w:left w:val="single" w:sz="6" w:space="0" w:color="000000"/>
              <w:bottom w:val="single" w:sz="6" w:space="0" w:color="000000"/>
              <w:right w:val="single" w:sz="6" w:space="0" w:color="000000"/>
            </w:tcBorders>
            <w:hideMark/>
          </w:tcPr>
          <w:p w14:paraId="3C7E214D" w14:textId="77777777" w:rsidR="00DD50E4" w:rsidRPr="00C5726D" w:rsidRDefault="00DD50E4" w:rsidP="00C5726D">
            <w:pPr>
              <w:pStyle w:val="TableParagraph"/>
              <w:spacing w:line="240" w:lineRule="auto"/>
              <w:rPr>
                <w:rFonts w:ascii="Times New Roman" w:hAnsi="Times New Roman" w:cs="Times New Roman"/>
                <w:sz w:val="24"/>
                <w:szCs w:val="24"/>
                <w:lang w:val="en-US"/>
              </w:rPr>
            </w:pPr>
            <w:r w:rsidRPr="00C5726D">
              <w:rPr>
                <w:rFonts w:ascii="Times New Roman" w:hAnsi="Times New Roman" w:cs="Times New Roman"/>
                <w:sz w:val="24"/>
                <w:szCs w:val="24"/>
                <w:lang w:val="en-US"/>
              </w:rPr>
              <w:t xml:space="preserve">Symptomatic </w:t>
            </w:r>
            <w:proofErr w:type="spellStart"/>
            <w:r w:rsidRPr="00C5726D">
              <w:rPr>
                <w:rFonts w:ascii="Times New Roman" w:hAnsi="Times New Roman" w:cs="Times New Roman"/>
                <w:sz w:val="24"/>
                <w:szCs w:val="24"/>
                <w:lang w:val="en-US"/>
              </w:rPr>
              <w:t>hypocalcaemia</w:t>
            </w:r>
            <w:proofErr w:type="spellEnd"/>
            <w:r w:rsidRPr="00C5726D">
              <w:rPr>
                <w:rFonts w:ascii="Times New Roman" w:hAnsi="Times New Roman" w:cs="Times New Roman"/>
                <w:sz w:val="24"/>
                <w:szCs w:val="24"/>
                <w:lang w:val="en-US"/>
              </w:rPr>
              <w:t>, often in association with predisposing conditions</w:t>
            </w:r>
            <w:r w:rsidRPr="00C5726D">
              <w:rPr>
                <w:rFonts w:ascii="Times New Roman" w:hAnsi="Times New Roman" w:cs="Times New Roman"/>
                <w:sz w:val="24"/>
                <w:szCs w:val="24"/>
                <w:vertAlign w:val="superscript"/>
                <w:lang w:val="en-US"/>
              </w:rPr>
              <w:t>§</w:t>
            </w:r>
          </w:p>
        </w:tc>
      </w:tr>
      <w:tr w:rsidR="00DD50E4" w:rsidRPr="00C5726D" w14:paraId="52BEC6B6" w14:textId="77777777" w:rsidTr="00C5726D">
        <w:trPr>
          <w:trHeight w:val="255"/>
        </w:trPr>
        <w:tc>
          <w:tcPr>
            <w:tcW w:w="1381" w:type="pct"/>
            <w:vMerge w:val="restart"/>
            <w:tcBorders>
              <w:top w:val="single" w:sz="6" w:space="0" w:color="000000"/>
              <w:left w:val="single" w:sz="6" w:space="0" w:color="000000"/>
              <w:bottom w:val="single" w:sz="6" w:space="0" w:color="000000"/>
              <w:right w:val="single" w:sz="6" w:space="0" w:color="000000"/>
            </w:tcBorders>
            <w:hideMark/>
          </w:tcPr>
          <w:p w14:paraId="4BDFF719" w14:textId="77777777" w:rsidR="00DD50E4" w:rsidRPr="00C5726D" w:rsidRDefault="00DD50E4" w:rsidP="00C5726D">
            <w:pPr>
              <w:pStyle w:val="TableParagraph"/>
              <w:spacing w:line="240" w:lineRule="auto"/>
              <w:rPr>
                <w:rFonts w:ascii="Times New Roman" w:hAnsi="Times New Roman" w:cs="Times New Roman"/>
                <w:b/>
                <w:i/>
                <w:sz w:val="24"/>
                <w:szCs w:val="24"/>
              </w:rPr>
            </w:pPr>
            <w:proofErr w:type="spellStart"/>
            <w:r w:rsidRPr="00C5726D">
              <w:rPr>
                <w:rFonts w:ascii="Times New Roman" w:hAnsi="Times New Roman" w:cs="Times New Roman"/>
                <w:b/>
                <w:i/>
                <w:sz w:val="24"/>
                <w:szCs w:val="24"/>
              </w:rPr>
              <w:t>Nervous</w:t>
            </w:r>
            <w:proofErr w:type="spellEnd"/>
            <w:r w:rsidRPr="00C5726D">
              <w:rPr>
                <w:rFonts w:ascii="Times New Roman" w:hAnsi="Times New Roman" w:cs="Times New Roman"/>
                <w:b/>
                <w:i/>
                <w:sz w:val="24"/>
                <w:szCs w:val="24"/>
              </w:rPr>
              <w:t xml:space="preserve"> </w:t>
            </w:r>
            <w:proofErr w:type="spellStart"/>
            <w:r w:rsidRPr="00C5726D">
              <w:rPr>
                <w:rFonts w:ascii="Times New Roman" w:hAnsi="Times New Roman" w:cs="Times New Roman"/>
                <w:b/>
                <w:i/>
                <w:sz w:val="24"/>
                <w:szCs w:val="24"/>
              </w:rPr>
              <w:t>system</w:t>
            </w:r>
            <w:proofErr w:type="spellEnd"/>
            <w:r w:rsidRPr="00C5726D">
              <w:rPr>
                <w:rFonts w:ascii="Times New Roman" w:hAnsi="Times New Roman" w:cs="Times New Roman"/>
                <w:b/>
                <w:i/>
                <w:sz w:val="24"/>
                <w:szCs w:val="24"/>
              </w:rPr>
              <w:t xml:space="preserve"> </w:t>
            </w:r>
            <w:proofErr w:type="spellStart"/>
            <w:r w:rsidRPr="00C5726D">
              <w:rPr>
                <w:rFonts w:ascii="Times New Roman" w:hAnsi="Times New Roman" w:cs="Times New Roman"/>
                <w:b/>
                <w:i/>
                <w:sz w:val="24"/>
                <w:szCs w:val="24"/>
              </w:rPr>
              <w:t>disorders</w:t>
            </w:r>
            <w:proofErr w:type="spellEnd"/>
          </w:p>
        </w:tc>
        <w:tc>
          <w:tcPr>
            <w:tcW w:w="811" w:type="pct"/>
            <w:tcBorders>
              <w:top w:val="single" w:sz="6" w:space="0" w:color="000000"/>
              <w:left w:val="single" w:sz="6" w:space="0" w:color="000000"/>
              <w:bottom w:val="single" w:sz="6" w:space="0" w:color="000000"/>
              <w:right w:val="single" w:sz="6" w:space="0" w:color="000000"/>
            </w:tcBorders>
            <w:hideMark/>
          </w:tcPr>
          <w:p w14:paraId="6A17660D" w14:textId="77777777" w:rsidR="00DD50E4" w:rsidRPr="00C5726D" w:rsidRDefault="00DD50E4" w:rsidP="00C5726D">
            <w:pPr>
              <w:pStyle w:val="TableParagraph"/>
              <w:spacing w:line="240" w:lineRule="auto"/>
              <w:ind w:left="382"/>
              <w:rPr>
                <w:rFonts w:ascii="Times New Roman" w:hAnsi="Times New Roman" w:cs="Times New Roman"/>
                <w:sz w:val="24"/>
                <w:szCs w:val="24"/>
              </w:rPr>
            </w:pPr>
            <w:r w:rsidRPr="00C5726D">
              <w:rPr>
                <w:rFonts w:ascii="Times New Roman" w:hAnsi="Times New Roman" w:cs="Times New Roman"/>
                <w:sz w:val="24"/>
                <w:szCs w:val="24"/>
              </w:rPr>
              <w:t>Common</w:t>
            </w:r>
          </w:p>
        </w:tc>
        <w:tc>
          <w:tcPr>
            <w:tcW w:w="2808" w:type="pct"/>
            <w:tcBorders>
              <w:top w:val="single" w:sz="6" w:space="0" w:color="000000"/>
              <w:left w:val="single" w:sz="6" w:space="0" w:color="000000"/>
              <w:bottom w:val="single" w:sz="6" w:space="0" w:color="000000"/>
              <w:right w:val="single" w:sz="6" w:space="0" w:color="000000"/>
            </w:tcBorders>
            <w:hideMark/>
          </w:tcPr>
          <w:p w14:paraId="1EB2F71D" w14:textId="77777777" w:rsidR="00DD50E4" w:rsidRPr="00C5726D" w:rsidRDefault="00DD50E4" w:rsidP="00C5726D">
            <w:pPr>
              <w:pStyle w:val="TableParagraph"/>
              <w:spacing w:line="240" w:lineRule="auto"/>
              <w:rPr>
                <w:rFonts w:ascii="Times New Roman" w:hAnsi="Times New Roman" w:cs="Times New Roman"/>
                <w:sz w:val="24"/>
                <w:szCs w:val="24"/>
              </w:rPr>
            </w:pPr>
            <w:proofErr w:type="spellStart"/>
            <w:r w:rsidRPr="00C5726D">
              <w:rPr>
                <w:rFonts w:ascii="Times New Roman" w:hAnsi="Times New Roman" w:cs="Times New Roman"/>
                <w:sz w:val="24"/>
                <w:szCs w:val="24"/>
              </w:rPr>
              <w:t>Headache</w:t>
            </w:r>
            <w:proofErr w:type="spellEnd"/>
            <w:r w:rsidRPr="00C5726D">
              <w:rPr>
                <w:rFonts w:ascii="Times New Roman" w:hAnsi="Times New Roman" w:cs="Times New Roman"/>
                <w:sz w:val="24"/>
                <w:szCs w:val="24"/>
              </w:rPr>
              <w:t xml:space="preserve">, </w:t>
            </w:r>
            <w:proofErr w:type="spellStart"/>
            <w:r w:rsidRPr="00C5726D">
              <w:rPr>
                <w:rFonts w:ascii="Times New Roman" w:hAnsi="Times New Roman" w:cs="Times New Roman"/>
                <w:sz w:val="24"/>
                <w:szCs w:val="24"/>
              </w:rPr>
              <w:t>dizziness</w:t>
            </w:r>
            <w:proofErr w:type="spellEnd"/>
            <w:r w:rsidRPr="00C5726D">
              <w:rPr>
                <w:rFonts w:ascii="Times New Roman" w:hAnsi="Times New Roman" w:cs="Times New Roman"/>
                <w:sz w:val="24"/>
                <w:szCs w:val="24"/>
                <w:vertAlign w:val="superscript"/>
              </w:rPr>
              <w:t>†</w:t>
            </w:r>
          </w:p>
        </w:tc>
      </w:tr>
      <w:tr w:rsidR="00DD50E4" w:rsidRPr="00C5726D" w14:paraId="7F867F9D" w14:textId="77777777" w:rsidTr="00C5726D">
        <w:trPr>
          <w:trHeight w:val="240"/>
        </w:trPr>
        <w:tc>
          <w:tcPr>
            <w:tcW w:w="1381" w:type="pct"/>
            <w:vMerge/>
            <w:tcBorders>
              <w:top w:val="single" w:sz="6" w:space="0" w:color="000000"/>
              <w:left w:val="single" w:sz="6" w:space="0" w:color="000000"/>
              <w:bottom w:val="single" w:sz="6" w:space="0" w:color="000000"/>
              <w:right w:val="single" w:sz="6" w:space="0" w:color="000000"/>
            </w:tcBorders>
            <w:vAlign w:val="center"/>
            <w:hideMark/>
          </w:tcPr>
          <w:p w14:paraId="7BDA1047" w14:textId="77777777" w:rsidR="00DD50E4" w:rsidRPr="00C5726D" w:rsidRDefault="00DD50E4" w:rsidP="00C5726D">
            <w:pPr>
              <w:rPr>
                <w:rFonts w:ascii="Times New Roman" w:hAnsi="Times New Roman" w:cs="Times New Roman"/>
                <w:b/>
                <w:i/>
                <w:sz w:val="24"/>
                <w:szCs w:val="24"/>
                <w:lang w:val="de-DE"/>
              </w:rPr>
            </w:pPr>
          </w:p>
        </w:tc>
        <w:tc>
          <w:tcPr>
            <w:tcW w:w="811" w:type="pct"/>
            <w:tcBorders>
              <w:top w:val="single" w:sz="6" w:space="0" w:color="000000"/>
              <w:left w:val="single" w:sz="6" w:space="0" w:color="000000"/>
              <w:bottom w:val="single" w:sz="6" w:space="0" w:color="000000"/>
              <w:right w:val="single" w:sz="6" w:space="0" w:color="000000"/>
            </w:tcBorders>
            <w:hideMark/>
          </w:tcPr>
          <w:p w14:paraId="77AF5DAA" w14:textId="77777777" w:rsidR="00DD50E4" w:rsidRPr="00C5726D" w:rsidRDefault="00DD50E4" w:rsidP="00C5726D">
            <w:pPr>
              <w:pStyle w:val="TableParagraph"/>
              <w:spacing w:line="240" w:lineRule="auto"/>
              <w:ind w:left="262"/>
              <w:rPr>
                <w:rFonts w:ascii="Times New Roman" w:hAnsi="Times New Roman" w:cs="Times New Roman"/>
                <w:sz w:val="24"/>
                <w:szCs w:val="24"/>
              </w:rPr>
            </w:pPr>
            <w:proofErr w:type="spellStart"/>
            <w:r w:rsidRPr="00C5726D">
              <w:rPr>
                <w:rFonts w:ascii="Times New Roman" w:hAnsi="Times New Roman" w:cs="Times New Roman"/>
                <w:sz w:val="24"/>
                <w:szCs w:val="24"/>
              </w:rPr>
              <w:t>Uncommon</w:t>
            </w:r>
            <w:proofErr w:type="spellEnd"/>
          </w:p>
        </w:tc>
        <w:tc>
          <w:tcPr>
            <w:tcW w:w="2808" w:type="pct"/>
            <w:tcBorders>
              <w:top w:val="single" w:sz="6" w:space="0" w:color="000000"/>
              <w:left w:val="single" w:sz="6" w:space="0" w:color="000000"/>
              <w:bottom w:val="single" w:sz="6" w:space="0" w:color="000000"/>
              <w:right w:val="single" w:sz="6" w:space="0" w:color="000000"/>
            </w:tcBorders>
            <w:hideMark/>
          </w:tcPr>
          <w:p w14:paraId="1DA935ED" w14:textId="77777777" w:rsidR="00DD50E4" w:rsidRPr="00C5726D" w:rsidRDefault="00DD50E4" w:rsidP="00C5726D">
            <w:pPr>
              <w:pStyle w:val="TableParagraph"/>
              <w:spacing w:line="240" w:lineRule="auto"/>
              <w:rPr>
                <w:rFonts w:ascii="Times New Roman" w:hAnsi="Times New Roman" w:cs="Times New Roman"/>
                <w:sz w:val="24"/>
                <w:szCs w:val="24"/>
              </w:rPr>
            </w:pPr>
            <w:proofErr w:type="spellStart"/>
            <w:r w:rsidRPr="00C5726D">
              <w:rPr>
                <w:rFonts w:ascii="Times New Roman" w:hAnsi="Times New Roman" w:cs="Times New Roman"/>
                <w:sz w:val="24"/>
                <w:szCs w:val="24"/>
              </w:rPr>
              <w:t>Dysgeusia</w:t>
            </w:r>
            <w:proofErr w:type="spellEnd"/>
            <w:r w:rsidRPr="00C5726D">
              <w:rPr>
                <w:rFonts w:ascii="Times New Roman" w:hAnsi="Times New Roman" w:cs="Times New Roman"/>
                <w:sz w:val="24"/>
                <w:szCs w:val="24"/>
                <w:vertAlign w:val="superscript"/>
              </w:rPr>
              <w:t>†</w:t>
            </w:r>
          </w:p>
        </w:tc>
      </w:tr>
      <w:tr w:rsidR="00DD50E4" w:rsidRPr="00C5726D" w14:paraId="6A8EF865" w14:textId="77777777" w:rsidTr="00C5726D">
        <w:trPr>
          <w:trHeight w:val="255"/>
        </w:trPr>
        <w:tc>
          <w:tcPr>
            <w:tcW w:w="1381" w:type="pct"/>
            <w:tcBorders>
              <w:top w:val="single" w:sz="6" w:space="0" w:color="000000"/>
              <w:left w:val="single" w:sz="6" w:space="0" w:color="000000"/>
              <w:bottom w:val="single" w:sz="6" w:space="0" w:color="000000"/>
              <w:right w:val="single" w:sz="6" w:space="0" w:color="000000"/>
            </w:tcBorders>
            <w:hideMark/>
          </w:tcPr>
          <w:p w14:paraId="65DAA4EA" w14:textId="77777777" w:rsidR="00DD50E4" w:rsidRPr="00C5726D" w:rsidRDefault="00DD50E4" w:rsidP="00C5726D">
            <w:pPr>
              <w:pStyle w:val="TableParagraph"/>
              <w:spacing w:line="240" w:lineRule="auto"/>
              <w:rPr>
                <w:rFonts w:ascii="Times New Roman" w:hAnsi="Times New Roman" w:cs="Times New Roman"/>
                <w:b/>
                <w:i/>
                <w:sz w:val="24"/>
                <w:szCs w:val="24"/>
              </w:rPr>
            </w:pPr>
            <w:r w:rsidRPr="00C5726D">
              <w:rPr>
                <w:rFonts w:ascii="Times New Roman" w:hAnsi="Times New Roman" w:cs="Times New Roman"/>
                <w:b/>
                <w:i/>
                <w:sz w:val="24"/>
                <w:szCs w:val="24"/>
              </w:rPr>
              <w:t xml:space="preserve">Eye </w:t>
            </w:r>
            <w:proofErr w:type="spellStart"/>
            <w:r w:rsidRPr="00C5726D">
              <w:rPr>
                <w:rFonts w:ascii="Times New Roman" w:hAnsi="Times New Roman" w:cs="Times New Roman"/>
                <w:b/>
                <w:i/>
                <w:sz w:val="24"/>
                <w:szCs w:val="24"/>
              </w:rPr>
              <w:t>disorders</w:t>
            </w:r>
            <w:proofErr w:type="spellEnd"/>
          </w:p>
        </w:tc>
        <w:tc>
          <w:tcPr>
            <w:tcW w:w="811" w:type="pct"/>
            <w:tcBorders>
              <w:top w:val="single" w:sz="6" w:space="0" w:color="000000"/>
              <w:left w:val="single" w:sz="6" w:space="0" w:color="000000"/>
              <w:bottom w:val="single" w:sz="6" w:space="0" w:color="000000"/>
              <w:right w:val="single" w:sz="6" w:space="0" w:color="000000"/>
            </w:tcBorders>
            <w:hideMark/>
          </w:tcPr>
          <w:p w14:paraId="0FF5A104" w14:textId="77777777" w:rsidR="00DD50E4" w:rsidRPr="00C5726D" w:rsidRDefault="00DD50E4" w:rsidP="00C5726D">
            <w:pPr>
              <w:pStyle w:val="TableParagraph"/>
              <w:spacing w:line="240" w:lineRule="auto"/>
              <w:ind w:left="262"/>
              <w:rPr>
                <w:rFonts w:ascii="Times New Roman" w:hAnsi="Times New Roman" w:cs="Times New Roman"/>
                <w:sz w:val="24"/>
                <w:szCs w:val="24"/>
              </w:rPr>
            </w:pPr>
            <w:proofErr w:type="spellStart"/>
            <w:r w:rsidRPr="00C5726D">
              <w:rPr>
                <w:rFonts w:ascii="Times New Roman" w:hAnsi="Times New Roman" w:cs="Times New Roman"/>
                <w:sz w:val="24"/>
                <w:szCs w:val="24"/>
              </w:rPr>
              <w:t>Uncommon</w:t>
            </w:r>
            <w:proofErr w:type="spellEnd"/>
          </w:p>
        </w:tc>
        <w:tc>
          <w:tcPr>
            <w:tcW w:w="2808" w:type="pct"/>
            <w:tcBorders>
              <w:top w:val="single" w:sz="6" w:space="0" w:color="000000"/>
              <w:left w:val="single" w:sz="6" w:space="0" w:color="000000"/>
              <w:bottom w:val="single" w:sz="6" w:space="0" w:color="000000"/>
              <w:right w:val="single" w:sz="6" w:space="0" w:color="000000"/>
            </w:tcBorders>
            <w:hideMark/>
          </w:tcPr>
          <w:p w14:paraId="5D2EE188" w14:textId="77777777" w:rsidR="00DD50E4" w:rsidRPr="00C5726D" w:rsidRDefault="00DD50E4" w:rsidP="00C5726D">
            <w:pPr>
              <w:pStyle w:val="TableParagraph"/>
              <w:spacing w:line="240" w:lineRule="auto"/>
              <w:rPr>
                <w:rFonts w:ascii="Times New Roman" w:hAnsi="Times New Roman" w:cs="Times New Roman"/>
                <w:sz w:val="24"/>
                <w:szCs w:val="24"/>
                <w:lang w:val="en-US"/>
              </w:rPr>
            </w:pPr>
            <w:r w:rsidRPr="00C5726D">
              <w:rPr>
                <w:rFonts w:ascii="Times New Roman" w:hAnsi="Times New Roman" w:cs="Times New Roman"/>
                <w:sz w:val="24"/>
                <w:szCs w:val="24"/>
                <w:lang w:val="en-US"/>
              </w:rPr>
              <w:t>Eye inflammation (uveitis, scleritis or episcleritis)</w:t>
            </w:r>
          </w:p>
        </w:tc>
      </w:tr>
      <w:tr w:rsidR="00DD50E4" w:rsidRPr="00C5726D" w14:paraId="4CA49124" w14:textId="77777777" w:rsidTr="00C5726D">
        <w:trPr>
          <w:trHeight w:val="255"/>
        </w:trPr>
        <w:tc>
          <w:tcPr>
            <w:tcW w:w="1381" w:type="pct"/>
            <w:vMerge w:val="restart"/>
            <w:tcBorders>
              <w:top w:val="single" w:sz="6" w:space="0" w:color="000000"/>
              <w:left w:val="single" w:sz="6" w:space="0" w:color="000000"/>
              <w:bottom w:val="single" w:sz="6" w:space="0" w:color="000000"/>
              <w:right w:val="single" w:sz="6" w:space="0" w:color="000000"/>
            </w:tcBorders>
            <w:hideMark/>
          </w:tcPr>
          <w:p w14:paraId="5BE9CD1E" w14:textId="3F1E3204" w:rsidR="00DD50E4" w:rsidRPr="00C5726D" w:rsidRDefault="00DD50E4" w:rsidP="0070712E">
            <w:pPr>
              <w:pStyle w:val="TableParagraph"/>
              <w:spacing w:line="240" w:lineRule="auto"/>
              <w:rPr>
                <w:rFonts w:ascii="Times New Roman" w:hAnsi="Times New Roman" w:cs="Times New Roman"/>
                <w:b/>
                <w:i/>
                <w:sz w:val="24"/>
                <w:szCs w:val="24"/>
              </w:rPr>
            </w:pPr>
            <w:proofErr w:type="spellStart"/>
            <w:r w:rsidRPr="00C5726D">
              <w:rPr>
                <w:rFonts w:ascii="Times New Roman" w:hAnsi="Times New Roman" w:cs="Times New Roman"/>
                <w:b/>
                <w:i/>
                <w:sz w:val="24"/>
                <w:szCs w:val="24"/>
              </w:rPr>
              <w:t>Ear</w:t>
            </w:r>
            <w:proofErr w:type="spellEnd"/>
            <w:r w:rsidRPr="00C5726D">
              <w:rPr>
                <w:rFonts w:ascii="Times New Roman" w:hAnsi="Times New Roman" w:cs="Times New Roman"/>
                <w:b/>
                <w:i/>
                <w:sz w:val="24"/>
                <w:szCs w:val="24"/>
              </w:rPr>
              <w:t xml:space="preserve"> and </w:t>
            </w:r>
            <w:proofErr w:type="spellStart"/>
            <w:r w:rsidRPr="00C5726D">
              <w:rPr>
                <w:rFonts w:ascii="Times New Roman" w:hAnsi="Times New Roman" w:cs="Times New Roman"/>
                <w:b/>
                <w:i/>
                <w:sz w:val="24"/>
                <w:szCs w:val="24"/>
              </w:rPr>
              <w:t>labyrinth</w:t>
            </w:r>
            <w:proofErr w:type="spellEnd"/>
            <w:r w:rsidR="0070712E">
              <w:rPr>
                <w:rFonts w:ascii="Times New Roman" w:hAnsi="Times New Roman" w:cs="Times New Roman"/>
                <w:b/>
                <w:i/>
                <w:sz w:val="24"/>
                <w:szCs w:val="24"/>
              </w:rPr>
              <w:t xml:space="preserve"> </w:t>
            </w:r>
            <w:proofErr w:type="spellStart"/>
            <w:r w:rsidRPr="00C5726D">
              <w:rPr>
                <w:rFonts w:ascii="Times New Roman" w:hAnsi="Times New Roman" w:cs="Times New Roman"/>
                <w:b/>
                <w:i/>
                <w:sz w:val="24"/>
                <w:szCs w:val="24"/>
              </w:rPr>
              <w:t>disorders</w:t>
            </w:r>
            <w:proofErr w:type="spellEnd"/>
          </w:p>
        </w:tc>
        <w:tc>
          <w:tcPr>
            <w:tcW w:w="811" w:type="pct"/>
            <w:tcBorders>
              <w:top w:val="single" w:sz="6" w:space="0" w:color="000000"/>
              <w:left w:val="single" w:sz="6" w:space="0" w:color="000000"/>
              <w:bottom w:val="single" w:sz="6" w:space="0" w:color="000000"/>
              <w:right w:val="single" w:sz="6" w:space="0" w:color="000000"/>
            </w:tcBorders>
            <w:hideMark/>
          </w:tcPr>
          <w:p w14:paraId="336EED3D" w14:textId="77777777" w:rsidR="00DD50E4" w:rsidRPr="00C5726D" w:rsidRDefault="00DD50E4" w:rsidP="00C5726D">
            <w:pPr>
              <w:pStyle w:val="TableParagraph"/>
              <w:spacing w:line="240" w:lineRule="auto"/>
              <w:ind w:left="382"/>
              <w:rPr>
                <w:rFonts w:ascii="Times New Roman" w:hAnsi="Times New Roman" w:cs="Times New Roman"/>
                <w:sz w:val="24"/>
                <w:szCs w:val="24"/>
              </w:rPr>
            </w:pPr>
            <w:r w:rsidRPr="00C5726D">
              <w:rPr>
                <w:rFonts w:ascii="Times New Roman" w:hAnsi="Times New Roman" w:cs="Times New Roman"/>
                <w:sz w:val="24"/>
                <w:szCs w:val="24"/>
              </w:rPr>
              <w:t>Common</w:t>
            </w:r>
          </w:p>
        </w:tc>
        <w:tc>
          <w:tcPr>
            <w:tcW w:w="2808" w:type="pct"/>
            <w:tcBorders>
              <w:top w:val="single" w:sz="6" w:space="0" w:color="000000"/>
              <w:left w:val="single" w:sz="6" w:space="0" w:color="000000"/>
              <w:bottom w:val="single" w:sz="6" w:space="0" w:color="000000"/>
              <w:right w:val="single" w:sz="6" w:space="0" w:color="000000"/>
            </w:tcBorders>
            <w:hideMark/>
          </w:tcPr>
          <w:p w14:paraId="419001DF" w14:textId="77777777" w:rsidR="00DD50E4" w:rsidRPr="00C5726D" w:rsidRDefault="00DD50E4" w:rsidP="00C5726D">
            <w:pPr>
              <w:pStyle w:val="TableParagraph"/>
              <w:spacing w:line="240" w:lineRule="auto"/>
              <w:rPr>
                <w:rFonts w:ascii="Times New Roman" w:hAnsi="Times New Roman" w:cs="Times New Roman"/>
                <w:sz w:val="24"/>
                <w:szCs w:val="24"/>
              </w:rPr>
            </w:pPr>
            <w:r w:rsidRPr="00C5726D">
              <w:rPr>
                <w:rFonts w:ascii="Times New Roman" w:hAnsi="Times New Roman" w:cs="Times New Roman"/>
                <w:sz w:val="24"/>
                <w:szCs w:val="24"/>
              </w:rPr>
              <w:t>Vertigo</w:t>
            </w:r>
            <w:r w:rsidRPr="00C5726D">
              <w:rPr>
                <w:rFonts w:ascii="Times New Roman" w:hAnsi="Times New Roman" w:cs="Times New Roman"/>
                <w:sz w:val="24"/>
                <w:szCs w:val="24"/>
                <w:vertAlign w:val="superscript"/>
              </w:rPr>
              <w:t>†</w:t>
            </w:r>
          </w:p>
        </w:tc>
      </w:tr>
      <w:tr w:rsidR="00DD50E4" w:rsidRPr="00C5726D" w14:paraId="41FF8C64" w14:textId="77777777" w:rsidTr="00C5726D">
        <w:trPr>
          <w:trHeight w:val="255"/>
        </w:trPr>
        <w:tc>
          <w:tcPr>
            <w:tcW w:w="1381" w:type="pct"/>
            <w:vMerge/>
            <w:tcBorders>
              <w:top w:val="single" w:sz="6" w:space="0" w:color="000000"/>
              <w:left w:val="single" w:sz="6" w:space="0" w:color="000000"/>
              <w:bottom w:val="single" w:sz="6" w:space="0" w:color="000000"/>
              <w:right w:val="single" w:sz="6" w:space="0" w:color="000000"/>
            </w:tcBorders>
            <w:vAlign w:val="center"/>
            <w:hideMark/>
          </w:tcPr>
          <w:p w14:paraId="6060F6B5" w14:textId="77777777" w:rsidR="00DD50E4" w:rsidRPr="00C5726D" w:rsidRDefault="00DD50E4" w:rsidP="00C5726D">
            <w:pPr>
              <w:rPr>
                <w:rFonts w:ascii="Times New Roman" w:hAnsi="Times New Roman" w:cs="Times New Roman"/>
                <w:b/>
                <w:i/>
                <w:sz w:val="24"/>
                <w:szCs w:val="24"/>
                <w:lang w:val="en-GB"/>
              </w:rPr>
            </w:pPr>
          </w:p>
        </w:tc>
        <w:tc>
          <w:tcPr>
            <w:tcW w:w="811" w:type="pct"/>
            <w:tcBorders>
              <w:top w:val="single" w:sz="6" w:space="0" w:color="000000"/>
              <w:left w:val="single" w:sz="6" w:space="0" w:color="000000"/>
              <w:bottom w:val="single" w:sz="6" w:space="0" w:color="000000"/>
              <w:right w:val="single" w:sz="6" w:space="0" w:color="000000"/>
            </w:tcBorders>
            <w:hideMark/>
          </w:tcPr>
          <w:p w14:paraId="02E5556D" w14:textId="77777777" w:rsidR="00DD50E4" w:rsidRPr="00C5726D" w:rsidRDefault="00DD50E4" w:rsidP="00C5726D">
            <w:pPr>
              <w:pStyle w:val="TableParagraph"/>
              <w:spacing w:line="240" w:lineRule="auto"/>
              <w:ind w:left="382"/>
              <w:rPr>
                <w:rFonts w:ascii="Times New Roman" w:hAnsi="Times New Roman" w:cs="Times New Roman"/>
                <w:sz w:val="24"/>
                <w:szCs w:val="24"/>
              </w:rPr>
            </w:pPr>
            <w:r w:rsidRPr="00C5726D">
              <w:rPr>
                <w:rFonts w:ascii="Times New Roman" w:hAnsi="Times New Roman" w:cs="Times New Roman"/>
                <w:iCs/>
                <w:sz w:val="24"/>
                <w:szCs w:val="24"/>
                <w:lang w:val="en-US"/>
              </w:rPr>
              <w:t>Very rare</w:t>
            </w:r>
          </w:p>
        </w:tc>
        <w:tc>
          <w:tcPr>
            <w:tcW w:w="2808" w:type="pct"/>
            <w:tcBorders>
              <w:top w:val="single" w:sz="6" w:space="0" w:color="000000"/>
              <w:left w:val="single" w:sz="6" w:space="0" w:color="000000"/>
              <w:bottom w:val="single" w:sz="6" w:space="0" w:color="000000"/>
              <w:right w:val="single" w:sz="6" w:space="0" w:color="000000"/>
            </w:tcBorders>
            <w:hideMark/>
          </w:tcPr>
          <w:p w14:paraId="330AD7A4" w14:textId="77777777" w:rsidR="00DD50E4" w:rsidRPr="00C5726D" w:rsidRDefault="00DD50E4" w:rsidP="00C5726D">
            <w:pPr>
              <w:pStyle w:val="TableParagraph"/>
              <w:spacing w:line="240" w:lineRule="auto"/>
              <w:rPr>
                <w:rFonts w:ascii="Times New Roman" w:hAnsi="Times New Roman" w:cs="Times New Roman"/>
                <w:sz w:val="24"/>
                <w:szCs w:val="24"/>
                <w:lang w:val="en-US"/>
              </w:rPr>
            </w:pPr>
            <w:r w:rsidRPr="00C5726D">
              <w:rPr>
                <w:rFonts w:ascii="Times New Roman" w:hAnsi="Times New Roman" w:cs="Times New Roman"/>
                <w:sz w:val="24"/>
                <w:szCs w:val="24"/>
                <w:lang w:val="en-US"/>
              </w:rPr>
              <w:t>Osteonecrosis of the external auditory canal (bisphosphonate class adverse reaction)</w:t>
            </w:r>
          </w:p>
        </w:tc>
      </w:tr>
      <w:tr w:rsidR="00DD50E4" w:rsidRPr="00C5726D" w14:paraId="70867FDB" w14:textId="77777777" w:rsidTr="00C5726D">
        <w:trPr>
          <w:trHeight w:val="750"/>
        </w:trPr>
        <w:tc>
          <w:tcPr>
            <w:tcW w:w="1381" w:type="pct"/>
            <w:vMerge w:val="restart"/>
            <w:tcBorders>
              <w:top w:val="single" w:sz="6" w:space="0" w:color="000000"/>
              <w:left w:val="single" w:sz="6" w:space="0" w:color="000000"/>
              <w:bottom w:val="single" w:sz="6" w:space="0" w:color="000000"/>
              <w:right w:val="single" w:sz="6" w:space="0" w:color="000000"/>
            </w:tcBorders>
            <w:hideMark/>
          </w:tcPr>
          <w:p w14:paraId="03B9B2B2" w14:textId="77777777" w:rsidR="00DD50E4" w:rsidRPr="00C5726D" w:rsidRDefault="00DD50E4" w:rsidP="00C5726D">
            <w:pPr>
              <w:pStyle w:val="TableParagraph"/>
              <w:spacing w:line="240" w:lineRule="auto"/>
              <w:rPr>
                <w:rFonts w:ascii="Times New Roman" w:hAnsi="Times New Roman" w:cs="Times New Roman"/>
                <w:b/>
                <w:i/>
                <w:sz w:val="24"/>
                <w:szCs w:val="24"/>
              </w:rPr>
            </w:pPr>
            <w:r w:rsidRPr="00C5726D">
              <w:rPr>
                <w:rFonts w:ascii="Times New Roman" w:hAnsi="Times New Roman" w:cs="Times New Roman"/>
                <w:b/>
                <w:i/>
                <w:sz w:val="24"/>
                <w:szCs w:val="24"/>
              </w:rPr>
              <w:t xml:space="preserve">Gastrointestinal </w:t>
            </w:r>
            <w:proofErr w:type="spellStart"/>
            <w:r w:rsidRPr="00C5726D">
              <w:rPr>
                <w:rFonts w:ascii="Times New Roman" w:hAnsi="Times New Roman" w:cs="Times New Roman"/>
                <w:b/>
                <w:i/>
                <w:sz w:val="24"/>
                <w:szCs w:val="24"/>
              </w:rPr>
              <w:t>disorders</w:t>
            </w:r>
            <w:proofErr w:type="spellEnd"/>
          </w:p>
        </w:tc>
        <w:tc>
          <w:tcPr>
            <w:tcW w:w="811" w:type="pct"/>
            <w:tcBorders>
              <w:top w:val="single" w:sz="6" w:space="0" w:color="000000"/>
              <w:left w:val="single" w:sz="6" w:space="0" w:color="000000"/>
              <w:bottom w:val="single" w:sz="6" w:space="0" w:color="000000"/>
              <w:right w:val="single" w:sz="6" w:space="0" w:color="000000"/>
            </w:tcBorders>
            <w:hideMark/>
          </w:tcPr>
          <w:p w14:paraId="06090C64" w14:textId="77777777" w:rsidR="00DD50E4" w:rsidRPr="00C5726D" w:rsidRDefault="00DD50E4" w:rsidP="00C5726D">
            <w:pPr>
              <w:pStyle w:val="TableParagraph"/>
              <w:spacing w:line="240" w:lineRule="auto"/>
              <w:ind w:left="382"/>
              <w:rPr>
                <w:rFonts w:ascii="Times New Roman" w:hAnsi="Times New Roman" w:cs="Times New Roman"/>
                <w:sz w:val="24"/>
                <w:szCs w:val="24"/>
              </w:rPr>
            </w:pPr>
            <w:r w:rsidRPr="00C5726D">
              <w:rPr>
                <w:rFonts w:ascii="Times New Roman" w:hAnsi="Times New Roman" w:cs="Times New Roman"/>
                <w:sz w:val="24"/>
                <w:szCs w:val="24"/>
              </w:rPr>
              <w:t>Common</w:t>
            </w:r>
          </w:p>
        </w:tc>
        <w:tc>
          <w:tcPr>
            <w:tcW w:w="2808" w:type="pct"/>
            <w:tcBorders>
              <w:top w:val="single" w:sz="6" w:space="0" w:color="000000"/>
              <w:left w:val="single" w:sz="6" w:space="0" w:color="000000"/>
              <w:bottom w:val="single" w:sz="6" w:space="0" w:color="000000"/>
              <w:right w:val="single" w:sz="6" w:space="0" w:color="000000"/>
            </w:tcBorders>
            <w:hideMark/>
          </w:tcPr>
          <w:p w14:paraId="242D14DF" w14:textId="77777777" w:rsidR="00DD50E4" w:rsidRPr="00C5726D" w:rsidRDefault="00DD50E4" w:rsidP="00C5726D">
            <w:pPr>
              <w:pStyle w:val="TableParagraph"/>
              <w:spacing w:line="240" w:lineRule="auto"/>
              <w:rPr>
                <w:rFonts w:ascii="Times New Roman" w:hAnsi="Times New Roman" w:cs="Times New Roman"/>
                <w:sz w:val="24"/>
                <w:szCs w:val="24"/>
                <w:lang w:val="en-US"/>
              </w:rPr>
            </w:pPr>
            <w:r w:rsidRPr="00C5726D">
              <w:rPr>
                <w:rFonts w:ascii="Times New Roman" w:hAnsi="Times New Roman" w:cs="Times New Roman"/>
                <w:sz w:val="24"/>
                <w:szCs w:val="24"/>
                <w:lang w:val="en-US"/>
              </w:rPr>
              <w:t xml:space="preserve">Abdominal pain, dyspepsia, constipation, </w:t>
            </w:r>
            <w:proofErr w:type="spellStart"/>
            <w:r w:rsidRPr="00C5726D">
              <w:rPr>
                <w:rFonts w:ascii="Times New Roman" w:hAnsi="Times New Roman" w:cs="Times New Roman"/>
                <w:sz w:val="24"/>
                <w:szCs w:val="24"/>
                <w:lang w:val="en-US"/>
              </w:rPr>
              <w:t>diarrhoea</w:t>
            </w:r>
            <w:proofErr w:type="spellEnd"/>
            <w:r w:rsidRPr="00C5726D">
              <w:rPr>
                <w:rFonts w:ascii="Times New Roman" w:hAnsi="Times New Roman" w:cs="Times New Roman"/>
                <w:sz w:val="24"/>
                <w:szCs w:val="24"/>
                <w:lang w:val="en-US"/>
              </w:rPr>
              <w:t xml:space="preserve">, flatulence, </w:t>
            </w:r>
            <w:proofErr w:type="spellStart"/>
            <w:r w:rsidRPr="00C5726D">
              <w:rPr>
                <w:rFonts w:ascii="Times New Roman" w:hAnsi="Times New Roman" w:cs="Times New Roman"/>
                <w:sz w:val="24"/>
                <w:szCs w:val="24"/>
                <w:lang w:val="en-US"/>
              </w:rPr>
              <w:t>oesophageal</w:t>
            </w:r>
            <w:proofErr w:type="spellEnd"/>
            <w:r w:rsidRPr="00C5726D">
              <w:rPr>
                <w:rFonts w:ascii="Times New Roman" w:hAnsi="Times New Roman" w:cs="Times New Roman"/>
                <w:sz w:val="24"/>
                <w:szCs w:val="24"/>
                <w:lang w:val="en-US"/>
              </w:rPr>
              <w:t xml:space="preserve"> ulcer*, dysphagia*, abdominal distension, acid regurgitation</w:t>
            </w:r>
          </w:p>
        </w:tc>
      </w:tr>
      <w:tr w:rsidR="00DD50E4" w:rsidRPr="00C5726D" w14:paraId="58A47E0C" w14:textId="77777777" w:rsidTr="00C5726D">
        <w:trPr>
          <w:trHeight w:val="495"/>
        </w:trPr>
        <w:tc>
          <w:tcPr>
            <w:tcW w:w="1381" w:type="pct"/>
            <w:vMerge/>
            <w:tcBorders>
              <w:top w:val="single" w:sz="6" w:space="0" w:color="000000"/>
              <w:left w:val="single" w:sz="6" w:space="0" w:color="000000"/>
              <w:bottom w:val="single" w:sz="6" w:space="0" w:color="000000"/>
              <w:right w:val="single" w:sz="6" w:space="0" w:color="000000"/>
            </w:tcBorders>
            <w:vAlign w:val="center"/>
            <w:hideMark/>
          </w:tcPr>
          <w:p w14:paraId="72E3F462" w14:textId="77777777" w:rsidR="00DD50E4" w:rsidRPr="00C5726D" w:rsidRDefault="00DD50E4" w:rsidP="00C5726D">
            <w:pPr>
              <w:rPr>
                <w:rFonts w:ascii="Times New Roman" w:hAnsi="Times New Roman" w:cs="Times New Roman"/>
                <w:b/>
                <w:i/>
                <w:sz w:val="24"/>
                <w:szCs w:val="24"/>
                <w:lang w:val="de-DE"/>
              </w:rPr>
            </w:pPr>
          </w:p>
        </w:tc>
        <w:tc>
          <w:tcPr>
            <w:tcW w:w="811" w:type="pct"/>
            <w:tcBorders>
              <w:top w:val="single" w:sz="6" w:space="0" w:color="000000"/>
              <w:left w:val="single" w:sz="6" w:space="0" w:color="000000"/>
              <w:bottom w:val="single" w:sz="6" w:space="0" w:color="000000"/>
              <w:right w:val="single" w:sz="6" w:space="0" w:color="000000"/>
            </w:tcBorders>
            <w:hideMark/>
          </w:tcPr>
          <w:p w14:paraId="2E234F4F" w14:textId="77777777" w:rsidR="00DD50E4" w:rsidRPr="00C5726D" w:rsidRDefault="00DD50E4" w:rsidP="00C5726D">
            <w:pPr>
              <w:pStyle w:val="TableParagraph"/>
              <w:spacing w:line="240" w:lineRule="auto"/>
              <w:ind w:left="262"/>
              <w:rPr>
                <w:rFonts w:ascii="Times New Roman" w:hAnsi="Times New Roman" w:cs="Times New Roman"/>
                <w:sz w:val="24"/>
                <w:szCs w:val="24"/>
              </w:rPr>
            </w:pPr>
            <w:proofErr w:type="spellStart"/>
            <w:r w:rsidRPr="00C5726D">
              <w:rPr>
                <w:rFonts w:ascii="Times New Roman" w:hAnsi="Times New Roman" w:cs="Times New Roman"/>
                <w:sz w:val="24"/>
                <w:szCs w:val="24"/>
              </w:rPr>
              <w:t>Uncommon</w:t>
            </w:r>
            <w:proofErr w:type="spellEnd"/>
          </w:p>
        </w:tc>
        <w:tc>
          <w:tcPr>
            <w:tcW w:w="2808" w:type="pct"/>
            <w:tcBorders>
              <w:top w:val="single" w:sz="6" w:space="0" w:color="000000"/>
              <w:left w:val="single" w:sz="6" w:space="0" w:color="000000"/>
              <w:bottom w:val="single" w:sz="6" w:space="0" w:color="000000"/>
              <w:right w:val="single" w:sz="6" w:space="0" w:color="000000"/>
            </w:tcBorders>
            <w:hideMark/>
          </w:tcPr>
          <w:p w14:paraId="1BA65F58" w14:textId="77777777" w:rsidR="00DD50E4" w:rsidRPr="00C5726D" w:rsidRDefault="00DD50E4" w:rsidP="00C5726D">
            <w:pPr>
              <w:pStyle w:val="TableParagraph"/>
              <w:spacing w:line="240" w:lineRule="auto"/>
              <w:rPr>
                <w:rFonts w:ascii="Times New Roman" w:hAnsi="Times New Roman" w:cs="Times New Roman"/>
                <w:sz w:val="24"/>
                <w:szCs w:val="24"/>
              </w:rPr>
            </w:pPr>
            <w:r w:rsidRPr="00C5726D">
              <w:rPr>
                <w:rFonts w:ascii="Times New Roman" w:hAnsi="Times New Roman" w:cs="Times New Roman"/>
                <w:sz w:val="24"/>
                <w:szCs w:val="24"/>
              </w:rPr>
              <w:t xml:space="preserve">Nausea, </w:t>
            </w:r>
            <w:proofErr w:type="spellStart"/>
            <w:r w:rsidRPr="00C5726D">
              <w:rPr>
                <w:rFonts w:ascii="Times New Roman" w:hAnsi="Times New Roman" w:cs="Times New Roman"/>
                <w:sz w:val="24"/>
                <w:szCs w:val="24"/>
              </w:rPr>
              <w:t>vomiting</w:t>
            </w:r>
            <w:proofErr w:type="spellEnd"/>
            <w:r w:rsidRPr="00C5726D">
              <w:rPr>
                <w:rFonts w:ascii="Times New Roman" w:hAnsi="Times New Roman" w:cs="Times New Roman"/>
                <w:sz w:val="24"/>
                <w:szCs w:val="24"/>
              </w:rPr>
              <w:t xml:space="preserve">, </w:t>
            </w:r>
            <w:proofErr w:type="spellStart"/>
            <w:r w:rsidRPr="00C5726D">
              <w:rPr>
                <w:rFonts w:ascii="Times New Roman" w:hAnsi="Times New Roman" w:cs="Times New Roman"/>
                <w:sz w:val="24"/>
                <w:szCs w:val="24"/>
              </w:rPr>
              <w:t>gastritis</w:t>
            </w:r>
            <w:proofErr w:type="spellEnd"/>
            <w:r w:rsidRPr="00C5726D">
              <w:rPr>
                <w:rFonts w:ascii="Times New Roman" w:hAnsi="Times New Roman" w:cs="Times New Roman"/>
                <w:sz w:val="24"/>
                <w:szCs w:val="24"/>
              </w:rPr>
              <w:t xml:space="preserve">, </w:t>
            </w:r>
            <w:proofErr w:type="spellStart"/>
            <w:r w:rsidRPr="00C5726D">
              <w:rPr>
                <w:rFonts w:ascii="Times New Roman" w:hAnsi="Times New Roman" w:cs="Times New Roman"/>
                <w:sz w:val="24"/>
                <w:szCs w:val="24"/>
              </w:rPr>
              <w:t>oesophagitis</w:t>
            </w:r>
            <w:proofErr w:type="spellEnd"/>
            <w:r w:rsidRPr="00C5726D">
              <w:rPr>
                <w:rFonts w:ascii="Times New Roman" w:hAnsi="Times New Roman" w:cs="Times New Roman"/>
                <w:sz w:val="24"/>
                <w:szCs w:val="24"/>
              </w:rPr>
              <w:t xml:space="preserve">*, </w:t>
            </w:r>
            <w:proofErr w:type="spellStart"/>
            <w:r w:rsidRPr="00C5726D">
              <w:rPr>
                <w:rFonts w:ascii="Times New Roman" w:hAnsi="Times New Roman" w:cs="Times New Roman"/>
                <w:sz w:val="24"/>
                <w:szCs w:val="24"/>
              </w:rPr>
              <w:t>oesophageal</w:t>
            </w:r>
            <w:proofErr w:type="spellEnd"/>
            <w:r w:rsidRPr="00C5726D">
              <w:rPr>
                <w:rFonts w:ascii="Times New Roman" w:hAnsi="Times New Roman" w:cs="Times New Roman"/>
                <w:sz w:val="24"/>
                <w:szCs w:val="24"/>
              </w:rPr>
              <w:t xml:space="preserve"> </w:t>
            </w:r>
            <w:proofErr w:type="spellStart"/>
            <w:r w:rsidRPr="00C5726D">
              <w:rPr>
                <w:rFonts w:ascii="Times New Roman" w:hAnsi="Times New Roman" w:cs="Times New Roman"/>
                <w:sz w:val="24"/>
                <w:szCs w:val="24"/>
              </w:rPr>
              <w:t>erosions</w:t>
            </w:r>
            <w:proofErr w:type="spellEnd"/>
            <w:r w:rsidRPr="00C5726D">
              <w:rPr>
                <w:rFonts w:ascii="Times New Roman" w:hAnsi="Times New Roman" w:cs="Times New Roman"/>
                <w:sz w:val="24"/>
                <w:szCs w:val="24"/>
              </w:rPr>
              <w:t xml:space="preserve">*, </w:t>
            </w:r>
            <w:proofErr w:type="spellStart"/>
            <w:r w:rsidRPr="00C5726D">
              <w:rPr>
                <w:rFonts w:ascii="Times New Roman" w:hAnsi="Times New Roman" w:cs="Times New Roman"/>
                <w:sz w:val="24"/>
                <w:szCs w:val="24"/>
              </w:rPr>
              <w:t>melena</w:t>
            </w:r>
            <w:proofErr w:type="spellEnd"/>
            <w:r w:rsidRPr="00C5726D">
              <w:rPr>
                <w:rFonts w:ascii="Times New Roman" w:hAnsi="Times New Roman" w:cs="Times New Roman"/>
                <w:sz w:val="24"/>
                <w:szCs w:val="24"/>
                <w:vertAlign w:val="superscript"/>
              </w:rPr>
              <w:t>†</w:t>
            </w:r>
          </w:p>
        </w:tc>
      </w:tr>
      <w:tr w:rsidR="00DD50E4" w:rsidRPr="00C5726D" w14:paraId="02ECD101" w14:textId="77777777" w:rsidTr="00C5726D">
        <w:trPr>
          <w:trHeight w:val="510"/>
        </w:trPr>
        <w:tc>
          <w:tcPr>
            <w:tcW w:w="1381" w:type="pct"/>
            <w:vMerge/>
            <w:tcBorders>
              <w:top w:val="single" w:sz="6" w:space="0" w:color="000000"/>
              <w:left w:val="single" w:sz="6" w:space="0" w:color="000000"/>
              <w:bottom w:val="single" w:sz="6" w:space="0" w:color="000000"/>
              <w:right w:val="single" w:sz="6" w:space="0" w:color="000000"/>
            </w:tcBorders>
            <w:vAlign w:val="center"/>
            <w:hideMark/>
          </w:tcPr>
          <w:p w14:paraId="39846C59" w14:textId="77777777" w:rsidR="00DD50E4" w:rsidRPr="00C5726D" w:rsidRDefault="00DD50E4" w:rsidP="00C5726D">
            <w:pPr>
              <w:rPr>
                <w:rFonts w:ascii="Times New Roman" w:hAnsi="Times New Roman" w:cs="Times New Roman"/>
                <w:b/>
                <w:i/>
                <w:sz w:val="24"/>
                <w:szCs w:val="24"/>
                <w:lang w:val="de-DE"/>
              </w:rPr>
            </w:pPr>
          </w:p>
        </w:tc>
        <w:tc>
          <w:tcPr>
            <w:tcW w:w="811" w:type="pct"/>
            <w:tcBorders>
              <w:top w:val="single" w:sz="6" w:space="0" w:color="000000"/>
              <w:left w:val="single" w:sz="6" w:space="0" w:color="000000"/>
              <w:bottom w:val="single" w:sz="6" w:space="0" w:color="000000"/>
              <w:right w:val="single" w:sz="6" w:space="0" w:color="000000"/>
            </w:tcBorders>
            <w:hideMark/>
          </w:tcPr>
          <w:p w14:paraId="283D71F1" w14:textId="77777777" w:rsidR="00DD50E4" w:rsidRPr="00C5726D" w:rsidRDefault="00DD50E4" w:rsidP="00C5726D">
            <w:pPr>
              <w:pStyle w:val="TableParagraph"/>
              <w:spacing w:line="240" w:lineRule="auto"/>
              <w:ind w:left="549" w:right="542"/>
              <w:jc w:val="center"/>
              <w:rPr>
                <w:rFonts w:ascii="Times New Roman" w:hAnsi="Times New Roman" w:cs="Times New Roman"/>
                <w:sz w:val="24"/>
                <w:szCs w:val="24"/>
              </w:rPr>
            </w:pPr>
            <w:r w:rsidRPr="00C5726D">
              <w:rPr>
                <w:rFonts w:ascii="Times New Roman" w:hAnsi="Times New Roman" w:cs="Times New Roman"/>
                <w:sz w:val="24"/>
                <w:szCs w:val="24"/>
              </w:rPr>
              <w:t>Rare</w:t>
            </w:r>
          </w:p>
        </w:tc>
        <w:tc>
          <w:tcPr>
            <w:tcW w:w="2808" w:type="pct"/>
            <w:tcBorders>
              <w:top w:val="single" w:sz="6" w:space="0" w:color="000000"/>
              <w:left w:val="single" w:sz="6" w:space="0" w:color="000000"/>
              <w:bottom w:val="single" w:sz="6" w:space="0" w:color="000000"/>
              <w:right w:val="single" w:sz="6" w:space="0" w:color="000000"/>
            </w:tcBorders>
            <w:hideMark/>
          </w:tcPr>
          <w:p w14:paraId="5848FBB2" w14:textId="77777777" w:rsidR="00DD50E4" w:rsidRPr="00C5726D" w:rsidRDefault="00DD50E4" w:rsidP="00C5726D">
            <w:pPr>
              <w:pStyle w:val="TableParagraph"/>
              <w:spacing w:line="240" w:lineRule="auto"/>
              <w:rPr>
                <w:rFonts w:ascii="Times New Roman" w:hAnsi="Times New Roman" w:cs="Times New Roman"/>
                <w:sz w:val="24"/>
                <w:szCs w:val="24"/>
                <w:lang w:val="en-US"/>
              </w:rPr>
            </w:pPr>
            <w:proofErr w:type="spellStart"/>
            <w:r w:rsidRPr="00C5726D">
              <w:rPr>
                <w:rFonts w:ascii="Times New Roman" w:hAnsi="Times New Roman" w:cs="Times New Roman"/>
                <w:sz w:val="24"/>
                <w:szCs w:val="24"/>
                <w:lang w:val="en-US"/>
              </w:rPr>
              <w:t>Oesophageal</w:t>
            </w:r>
            <w:proofErr w:type="spellEnd"/>
            <w:r w:rsidRPr="00C5726D">
              <w:rPr>
                <w:rFonts w:ascii="Times New Roman" w:hAnsi="Times New Roman" w:cs="Times New Roman"/>
                <w:sz w:val="24"/>
                <w:szCs w:val="24"/>
                <w:lang w:val="en-US"/>
              </w:rPr>
              <w:t xml:space="preserve"> stricture*, oropharyngeal ulceration*, upper gastrointestinal PUBs (perforation, ulcers, </w:t>
            </w:r>
            <w:proofErr w:type="gramStart"/>
            <w:r w:rsidRPr="00C5726D">
              <w:rPr>
                <w:rFonts w:ascii="Times New Roman" w:hAnsi="Times New Roman" w:cs="Times New Roman"/>
                <w:sz w:val="24"/>
                <w:szCs w:val="24"/>
                <w:lang w:val="en-US"/>
              </w:rPr>
              <w:t>bleeding)</w:t>
            </w:r>
            <w:r w:rsidRPr="00C5726D">
              <w:rPr>
                <w:rFonts w:ascii="Times New Roman" w:hAnsi="Times New Roman" w:cs="Times New Roman"/>
                <w:sz w:val="24"/>
                <w:szCs w:val="24"/>
                <w:vertAlign w:val="superscript"/>
                <w:lang w:val="en-US"/>
              </w:rPr>
              <w:t>§</w:t>
            </w:r>
            <w:proofErr w:type="gramEnd"/>
            <w:r w:rsidRPr="00C5726D">
              <w:rPr>
                <w:rFonts w:ascii="Times New Roman" w:hAnsi="Times New Roman" w:cs="Times New Roman"/>
                <w:sz w:val="24"/>
                <w:szCs w:val="24"/>
                <w:vertAlign w:val="superscript"/>
                <w:lang w:val="en-US"/>
              </w:rPr>
              <w:t xml:space="preserve"> </w:t>
            </w:r>
          </w:p>
        </w:tc>
      </w:tr>
      <w:tr w:rsidR="00DD50E4" w:rsidRPr="00C5726D" w14:paraId="0F896046" w14:textId="77777777" w:rsidTr="00C5726D">
        <w:trPr>
          <w:trHeight w:val="240"/>
        </w:trPr>
        <w:tc>
          <w:tcPr>
            <w:tcW w:w="1381" w:type="pct"/>
            <w:vMerge w:val="restart"/>
            <w:tcBorders>
              <w:top w:val="single" w:sz="6" w:space="0" w:color="000000"/>
              <w:left w:val="single" w:sz="6" w:space="0" w:color="000000"/>
              <w:bottom w:val="single" w:sz="6" w:space="0" w:color="000000"/>
              <w:right w:val="single" w:sz="6" w:space="0" w:color="000000"/>
            </w:tcBorders>
            <w:hideMark/>
          </w:tcPr>
          <w:p w14:paraId="6AE01A08" w14:textId="16C00B81" w:rsidR="00DD50E4" w:rsidRPr="00C5726D" w:rsidRDefault="00DD50E4" w:rsidP="0070712E">
            <w:pPr>
              <w:pStyle w:val="TableParagraph"/>
              <w:spacing w:line="240" w:lineRule="auto"/>
              <w:rPr>
                <w:rFonts w:ascii="Times New Roman" w:hAnsi="Times New Roman" w:cs="Times New Roman"/>
                <w:b/>
                <w:i/>
                <w:sz w:val="24"/>
                <w:szCs w:val="24"/>
                <w:lang w:val="en-US"/>
              </w:rPr>
            </w:pPr>
            <w:r w:rsidRPr="00C5726D">
              <w:rPr>
                <w:rFonts w:ascii="Times New Roman" w:hAnsi="Times New Roman" w:cs="Times New Roman"/>
                <w:b/>
                <w:i/>
                <w:sz w:val="24"/>
                <w:szCs w:val="24"/>
                <w:lang w:val="en-US"/>
              </w:rPr>
              <w:t>Skin and subcutaneous</w:t>
            </w:r>
            <w:r w:rsidR="0070712E">
              <w:rPr>
                <w:rFonts w:ascii="Times New Roman" w:hAnsi="Times New Roman" w:cs="Times New Roman"/>
                <w:b/>
                <w:i/>
                <w:sz w:val="24"/>
                <w:szCs w:val="24"/>
                <w:lang w:val="en-US"/>
              </w:rPr>
              <w:t xml:space="preserve"> </w:t>
            </w:r>
            <w:r w:rsidRPr="00C5726D">
              <w:rPr>
                <w:rFonts w:ascii="Times New Roman" w:hAnsi="Times New Roman" w:cs="Times New Roman"/>
                <w:b/>
                <w:i/>
                <w:sz w:val="24"/>
                <w:szCs w:val="24"/>
                <w:lang w:val="en-US"/>
              </w:rPr>
              <w:t>tissue disorders</w:t>
            </w:r>
          </w:p>
        </w:tc>
        <w:tc>
          <w:tcPr>
            <w:tcW w:w="811" w:type="pct"/>
            <w:tcBorders>
              <w:top w:val="single" w:sz="6" w:space="0" w:color="000000"/>
              <w:left w:val="single" w:sz="6" w:space="0" w:color="000000"/>
              <w:bottom w:val="single" w:sz="6" w:space="0" w:color="000000"/>
              <w:right w:val="single" w:sz="6" w:space="0" w:color="000000"/>
            </w:tcBorders>
            <w:hideMark/>
          </w:tcPr>
          <w:p w14:paraId="3253A08A" w14:textId="77777777" w:rsidR="00DD50E4" w:rsidRPr="00C5726D" w:rsidRDefault="00DD50E4" w:rsidP="00C5726D">
            <w:pPr>
              <w:pStyle w:val="TableParagraph"/>
              <w:spacing w:line="240" w:lineRule="auto"/>
              <w:ind w:left="382"/>
              <w:rPr>
                <w:rFonts w:ascii="Times New Roman" w:hAnsi="Times New Roman" w:cs="Times New Roman"/>
                <w:sz w:val="24"/>
                <w:szCs w:val="24"/>
              </w:rPr>
            </w:pPr>
            <w:r w:rsidRPr="00C5726D">
              <w:rPr>
                <w:rFonts w:ascii="Times New Roman" w:hAnsi="Times New Roman" w:cs="Times New Roman"/>
                <w:sz w:val="24"/>
                <w:szCs w:val="24"/>
              </w:rPr>
              <w:t>Common</w:t>
            </w:r>
          </w:p>
        </w:tc>
        <w:tc>
          <w:tcPr>
            <w:tcW w:w="2808" w:type="pct"/>
            <w:tcBorders>
              <w:top w:val="single" w:sz="6" w:space="0" w:color="000000"/>
              <w:left w:val="single" w:sz="6" w:space="0" w:color="000000"/>
              <w:bottom w:val="single" w:sz="6" w:space="0" w:color="000000"/>
              <w:right w:val="single" w:sz="6" w:space="0" w:color="000000"/>
            </w:tcBorders>
            <w:hideMark/>
          </w:tcPr>
          <w:p w14:paraId="4D429CE2" w14:textId="77777777" w:rsidR="00DD50E4" w:rsidRPr="00C5726D" w:rsidRDefault="00DD50E4" w:rsidP="00C5726D">
            <w:pPr>
              <w:pStyle w:val="TableParagraph"/>
              <w:spacing w:line="240" w:lineRule="auto"/>
              <w:rPr>
                <w:rFonts w:ascii="Times New Roman" w:hAnsi="Times New Roman" w:cs="Times New Roman"/>
                <w:sz w:val="24"/>
                <w:szCs w:val="24"/>
              </w:rPr>
            </w:pPr>
            <w:r w:rsidRPr="00C5726D">
              <w:rPr>
                <w:rFonts w:ascii="Times New Roman" w:hAnsi="Times New Roman" w:cs="Times New Roman"/>
                <w:sz w:val="24"/>
                <w:szCs w:val="24"/>
              </w:rPr>
              <w:t>Alopecia</w:t>
            </w:r>
            <w:r w:rsidRPr="00C5726D">
              <w:rPr>
                <w:rFonts w:ascii="Times New Roman" w:hAnsi="Times New Roman" w:cs="Times New Roman"/>
                <w:sz w:val="24"/>
                <w:szCs w:val="24"/>
                <w:vertAlign w:val="superscript"/>
              </w:rPr>
              <w:t>†</w:t>
            </w:r>
            <w:r w:rsidRPr="00C5726D">
              <w:rPr>
                <w:rFonts w:ascii="Times New Roman" w:hAnsi="Times New Roman" w:cs="Times New Roman"/>
                <w:sz w:val="24"/>
                <w:szCs w:val="24"/>
              </w:rPr>
              <w:t xml:space="preserve">, </w:t>
            </w:r>
            <w:proofErr w:type="spellStart"/>
            <w:r w:rsidRPr="00C5726D">
              <w:rPr>
                <w:rFonts w:ascii="Times New Roman" w:hAnsi="Times New Roman" w:cs="Times New Roman"/>
                <w:sz w:val="24"/>
                <w:szCs w:val="24"/>
              </w:rPr>
              <w:t>pruritus</w:t>
            </w:r>
            <w:proofErr w:type="spellEnd"/>
            <w:r w:rsidRPr="00C5726D">
              <w:rPr>
                <w:rFonts w:ascii="Times New Roman" w:hAnsi="Times New Roman" w:cs="Times New Roman"/>
                <w:sz w:val="24"/>
                <w:szCs w:val="24"/>
                <w:vertAlign w:val="superscript"/>
              </w:rPr>
              <w:t>†</w:t>
            </w:r>
          </w:p>
        </w:tc>
      </w:tr>
      <w:tr w:rsidR="00DD50E4" w:rsidRPr="00C5726D" w14:paraId="608BA45F" w14:textId="77777777" w:rsidTr="00C5726D">
        <w:trPr>
          <w:trHeight w:val="255"/>
        </w:trPr>
        <w:tc>
          <w:tcPr>
            <w:tcW w:w="1381" w:type="pct"/>
            <w:vMerge/>
            <w:tcBorders>
              <w:top w:val="single" w:sz="6" w:space="0" w:color="000000"/>
              <w:left w:val="single" w:sz="6" w:space="0" w:color="000000"/>
              <w:bottom w:val="single" w:sz="6" w:space="0" w:color="000000"/>
              <w:right w:val="single" w:sz="6" w:space="0" w:color="000000"/>
            </w:tcBorders>
            <w:vAlign w:val="center"/>
            <w:hideMark/>
          </w:tcPr>
          <w:p w14:paraId="243F0C90" w14:textId="77777777" w:rsidR="00DD50E4" w:rsidRPr="00C5726D" w:rsidRDefault="00DD50E4" w:rsidP="00C5726D">
            <w:pPr>
              <w:rPr>
                <w:rFonts w:ascii="Times New Roman" w:hAnsi="Times New Roman" w:cs="Times New Roman"/>
                <w:b/>
                <w:i/>
                <w:sz w:val="24"/>
                <w:szCs w:val="24"/>
              </w:rPr>
            </w:pPr>
          </w:p>
        </w:tc>
        <w:tc>
          <w:tcPr>
            <w:tcW w:w="811" w:type="pct"/>
            <w:tcBorders>
              <w:top w:val="single" w:sz="6" w:space="0" w:color="000000"/>
              <w:left w:val="single" w:sz="6" w:space="0" w:color="000000"/>
              <w:bottom w:val="single" w:sz="6" w:space="0" w:color="000000"/>
              <w:right w:val="single" w:sz="6" w:space="0" w:color="000000"/>
            </w:tcBorders>
            <w:hideMark/>
          </w:tcPr>
          <w:p w14:paraId="21D1AD75" w14:textId="77777777" w:rsidR="00DD50E4" w:rsidRPr="00C5726D" w:rsidRDefault="00DD50E4" w:rsidP="00C5726D">
            <w:pPr>
              <w:pStyle w:val="TableParagraph"/>
              <w:spacing w:line="240" w:lineRule="auto"/>
              <w:ind w:left="262"/>
              <w:rPr>
                <w:rFonts w:ascii="Times New Roman" w:hAnsi="Times New Roman" w:cs="Times New Roman"/>
                <w:sz w:val="24"/>
                <w:szCs w:val="24"/>
              </w:rPr>
            </w:pPr>
            <w:proofErr w:type="spellStart"/>
            <w:r w:rsidRPr="00C5726D">
              <w:rPr>
                <w:rFonts w:ascii="Times New Roman" w:hAnsi="Times New Roman" w:cs="Times New Roman"/>
                <w:sz w:val="24"/>
                <w:szCs w:val="24"/>
              </w:rPr>
              <w:t>Uncommon</w:t>
            </w:r>
            <w:proofErr w:type="spellEnd"/>
          </w:p>
        </w:tc>
        <w:tc>
          <w:tcPr>
            <w:tcW w:w="2808" w:type="pct"/>
            <w:tcBorders>
              <w:top w:val="single" w:sz="6" w:space="0" w:color="000000"/>
              <w:left w:val="single" w:sz="6" w:space="0" w:color="000000"/>
              <w:bottom w:val="single" w:sz="6" w:space="0" w:color="000000"/>
              <w:right w:val="single" w:sz="6" w:space="0" w:color="000000"/>
            </w:tcBorders>
            <w:hideMark/>
          </w:tcPr>
          <w:p w14:paraId="03F81D60" w14:textId="77777777" w:rsidR="00DD50E4" w:rsidRPr="00C5726D" w:rsidRDefault="00DD50E4" w:rsidP="00C5726D">
            <w:pPr>
              <w:pStyle w:val="TableParagraph"/>
              <w:spacing w:line="240" w:lineRule="auto"/>
              <w:rPr>
                <w:rFonts w:ascii="Times New Roman" w:hAnsi="Times New Roman" w:cs="Times New Roman"/>
                <w:sz w:val="24"/>
                <w:szCs w:val="24"/>
              </w:rPr>
            </w:pPr>
            <w:proofErr w:type="spellStart"/>
            <w:r w:rsidRPr="00C5726D">
              <w:rPr>
                <w:rFonts w:ascii="Times New Roman" w:hAnsi="Times New Roman" w:cs="Times New Roman"/>
                <w:sz w:val="24"/>
                <w:szCs w:val="24"/>
              </w:rPr>
              <w:t>Rash</w:t>
            </w:r>
            <w:proofErr w:type="spellEnd"/>
            <w:r w:rsidRPr="00C5726D">
              <w:rPr>
                <w:rFonts w:ascii="Times New Roman" w:hAnsi="Times New Roman" w:cs="Times New Roman"/>
                <w:sz w:val="24"/>
                <w:szCs w:val="24"/>
              </w:rPr>
              <w:t xml:space="preserve">, </w:t>
            </w:r>
            <w:proofErr w:type="spellStart"/>
            <w:r w:rsidRPr="00C5726D">
              <w:rPr>
                <w:rFonts w:ascii="Times New Roman" w:hAnsi="Times New Roman" w:cs="Times New Roman"/>
                <w:sz w:val="24"/>
                <w:szCs w:val="24"/>
              </w:rPr>
              <w:t>erythema</w:t>
            </w:r>
            <w:proofErr w:type="spellEnd"/>
          </w:p>
        </w:tc>
      </w:tr>
      <w:tr w:rsidR="00DD50E4" w:rsidRPr="00C5726D" w14:paraId="63C6FAE5" w14:textId="77777777" w:rsidTr="00C5726D">
        <w:trPr>
          <w:trHeight w:val="503"/>
        </w:trPr>
        <w:tc>
          <w:tcPr>
            <w:tcW w:w="1381" w:type="pct"/>
            <w:vMerge/>
            <w:tcBorders>
              <w:top w:val="single" w:sz="6" w:space="0" w:color="000000"/>
              <w:left w:val="single" w:sz="6" w:space="0" w:color="000000"/>
              <w:bottom w:val="single" w:sz="6" w:space="0" w:color="000000"/>
              <w:right w:val="single" w:sz="6" w:space="0" w:color="000000"/>
            </w:tcBorders>
            <w:vAlign w:val="center"/>
            <w:hideMark/>
          </w:tcPr>
          <w:p w14:paraId="682DA8B3" w14:textId="77777777" w:rsidR="00DD50E4" w:rsidRPr="00C5726D" w:rsidRDefault="00DD50E4" w:rsidP="00C5726D">
            <w:pPr>
              <w:rPr>
                <w:rFonts w:ascii="Times New Roman" w:hAnsi="Times New Roman" w:cs="Times New Roman"/>
                <w:b/>
                <w:i/>
                <w:sz w:val="24"/>
                <w:szCs w:val="24"/>
              </w:rPr>
            </w:pPr>
          </w:p>
        </w:tc>
        <w:tc>
          <w:tcPr>
            <w:tcW w:w="811" w:type="pct"/>
            <w:tcBorders>
              <w:top w:val="single" w:sz="6" w:space="0" w:color="000000"/>
              <w:left w:val="single" w:sz="6" w:space="0" w:color="000000"/>
              <w:bottom w:val="single" w:sz="6" w:space="0" w:color="000000"/>
              <w:right w:val="single" w:sz="6" w:space="0" w:color="000000"/>
            </w:tcBorders>
            <w:hideMark/>
          </w:tcPr>
          <w:p w14:paraId="3AADD337" w14:textId="77777777" w:rsidR="00DD50E4" w:rsidRPr="00C5726D" w:rsidRDefault="00DD50E4" w:rsidP="00C5726D">
            <w:pPr>
              <w:pStyle w:val="TableParagraph"/>
              <w:spacing w:line="240" w:lineRule="auto"/>
              <w:ind w:left="549" w:right="542"/>
              <w:jc w:val="center"/>
              <w:rPr>
                <w:rFonts w:ascii="Times New Roman" w:hAnsi="Times New Roman" w:cs="Times New Roman"/>
                <w:sz w:val="24"/>
                <w:szCs w:val="24"/>
              </w:rPr>
            </w:pPr>
            <w:r w:rsidRPr="00C5726D">
              <w:rPr>
                <w:rFonts w:ascii="Times New Roman" w:hAnsi="Times New Roman" w:cs="Times New Roman"/>
                <w:sz w:val="24"/>
                <w:szCs w:val="24"/>
              </w:rPr>
              <w:t>Rare</w:t>
            </w:r>
          </w:p>
        </w:tc>
        <w:tc>
          <w:tcPr>
            <w:tcW w:w="2808" w:type="pct"/>
            <w:tcBorders>
              <w:top w:val="single" w:sz="6" w:space="0" w:color="000000"/>
              <w:left w:val="single" w:sz="6" w:space="0" w:color="000000"/>
              <w:bottom w:val="single" w:sz="6" w:space="0" w:color="000000"/>
              <w:right w:val="single" w:sz="6" w:space="0" w:color="000000"/>
            </w:tcBorders>
            <w:hideMark/>
          </w:tcPr>
          <w:p w14:paraId="398CA5F2" w14:textId="77777777" w:rsidR="00DD50E4" w:rsidRPr="00C5726D" w:rsidRDefault="00DD50E4" w:rsidP="00C5726D">
            <w:pPr>
              <w:pStyle w:val="TableParagraph"/>
              <w:spacing w:line="240" w:lineRule="auto"/>
              <w:rPr>
                <w:rFonts w:ascii="Times New Roman" w:hAnsi="Times New Roman" w:cs="Times New Roman"/>
                <w:sz w:val="24"/>
                <w:szCs w:val="24"/>
                <w:lang w:val="en-US"/>
              </w:rPr>
            </w:pPr>
            <w:r w:rsidRPr="00C5726D">
              <w:rPr>
                <w:rFonts w:ascii="Times New Roman" w:hAnsi="Times New Roman" w:cs="Times New Roman"/>
                <w:sz w:val="24"/>
                <w:szCs w:val="24"/>
                <w:lang w:val="en-US"/>
              </w:rPr>
              <w:t>Rash with photosensitivity, severe skin reactions including Stevens-Johnson syndrome and toxic epidermal necrolysis</w:t>
            </w:r>
            <w:r w:rsidRPr="00C5726D">
              <w:rPr>
                <w:rFonts w:ascii="Times New Roman" w:hAnsi="Times New Roman" w:cs="Times New Roman"/>
                <w:sz w:val="24"/>
                <w:szCs w:val="24"/>
                <w:vertAlign w:val="superscript"/>
                <w:lang w:val="en-US"/>
              </w:rPr>
              <w:t>‡</w:t>
            </w:r>
          </w:p>
        </w:tc>
      </w:tr>
      <w:tr w:rsidR="00DD50E4" w:rsidRPr="00C5726D" w14:paraId="01CD177A" w14:textId="77777777" w:rsidTr="00C5726D">
        <w:trPr>
          <w:trHeight w:val="495"/>
        </w:trPr>
        <w:tc>
          <w:tcPr>
            <w:tcW w:w="1381" w:type="pct"/>
            <w:vMerge w:val="restart"/>
            <w:tcBorders>
              <w:top w:val="single" w:sz="6" w:space="0" w:color="000000"/>
              <w:left w:val="single" w:sz="6" w:space="0" w:color="000000"/>
              <w:bottom w:val="single" w:sz="6" w:space="0" w:color="000000"/>
              <w:right w:val="single" w:sz="6" w:space="0" w:color="000000"/>
            </w:tcBorders>
            <w:hideMark/>
          </w:tcPr>
          <w:p w14:paraId="431F0262" w14:textId="14B6F989" w:rsidR="00DD50E4" w:rsidRPr="00C5726D" w:rsidRDefault="00DD50E4" w:rsidP="0070712E">
            <w:pPr>
              <w:pStyle w:val="TableParagraph"/>
              <w:spacing w:line="240" w:lineRule="auto"/>
              <w:rPr>
                <w:rFonts w:ascii="Times New Roman" w:hAnsi="Times New Roman" w:cs="Times New Roman"/>
                <w:b/>
                <w:i/>
                <w:sz w:val="24"/>
                <w:szCs w:val="24"/>
                <w:lang w:val="en-US"/>
              </w:rPr>
            </w:pPr>
            <w:r w:rsidRPr="00C5726D">
              <w:rPr>
                <w:rFonts w:ascii="Times New Roman" w:hAnsi="Times New Roman" w:cs="Times New Roman"/>
                <w:b/>
                <w:i/>
                <w:sz w:val="24"/>
                <w:szCs w:val="24"/>
                <w:lang w:val="en-US"/>
              </w:rPr>
              <w:t>Musculoskeletal and</w:t>
            </w:r>
            <w:r w:rsidR="0070712E">
              <w:rPr>
                <w:rFonts w:ascii="Times New Roman" w:hAnsi="Times New Roman" w:cs="Times New Roman"/>
                <w:b/>
                <w:i/>
                <w:sz w:val="24"/>
                <w:szCs w:val="24"/>
                <w:lang w:val="en-US"/>
              </w:rPr>
              <w:t xml:space="preserve"> </w:t>
            </w:r>
            <w:r w:rsidRPr="00C5726D">
              <w:rPr>
                <w:rFonts w:ascii="Times New Roman" w:hAnsi="Times New Roman" w:cs="Times New Roman"/>
                <w:b/>
                <w:i/>
                <w:sz w:val="24"/>
                <w:szCs w:val="24"/>
                <w:lang w:val="en-US"/>
              </w:rPr>
              <w:t>connective tissue disorders</w:t>
            </w:r>
          </w:p>
        </w:tc>
        <w:tc>
          <w:tcPr>
            <w:tcW w:w="811" w:type="pct"/>
            <w:tcBorders>
              <w:top w:val="single" w:sz="6" w:space="0" w:color="000000"/>
              <w:left w:val="single" w:sz="6" w:space="0" w:color="000000"/>
              <w:bottom w:val="single" w:sz="6" w:space="0" w:color="000000"/>
              <w:right w:val="single" w:sz="6" w:space="0" w:color="000000"/>
            </w:tcBorders>
            <w:hideMark/>
          </w:tcPr>
          <w:p w14:paraId="17AB47A4" w14:textId="77777777" w:rsidR="00DD50E4" w:rsidRPr="00C5726D" w:rsidRDefault="00DD50E4" w:rsidP="00C5726D">
            <w:pPr>
              <w:pStyle w:val="TableParagraph"/>
              <w:spacing w:line="240" w:lineRule="auto"/>
              <w:ind w:left="127"/>
              <w:rPr>
                <w:rFonts w:ascii="Times New Roman" w:hAnsi="Times New Roman" w:cs="Times New Roman"/>
                <w:sz w:val="24"/>
                <w:szCs w:val="24"/>
              </w:rPr>
            </w:pPr>
            <w:r w:rsidRPr="00C5726D">
              <w:rPr>
                <w:rFonts w:ascii="Times New Roman" w:hAnsi="Times New Roman" w:cs="Times New Roman"/>
                <w:sz w:val="24"/>
                <w:szCs w:val="24"/>
              </w:rPr>
              <w:t xml:space="preserve">Very </w:t>
            </w:r>
            <w:proofErr w:type="spellStart"/>
            <w:r w:rsidRPr="00C5726D">
              <w:rPr>
                <w:rFonts w:ascii="Times New Roman" w:hAnsi="Times New Roman" w:cs="Times New Roman"/>
                <w:sz w:val="24"/>
                <w:szCs w:val="24"/>
              </w:rPr>
              <w:t>common</w:t>
            </w:r>
            <w:proofErr w:type="spellEnd"/>
          </w:p>
        </w:tc>
        <w:tc>
          <w:tcPr>
            <w:tcW w:w="2808" w:type="pct"/>
            <w:tcBorders>
              <w:top w:val="single" w:sz="6" w:space="0" w:color="000000"/>
              <w:left w:val="single" w:sz="6" w:space="0" w:color="000000"/>
              <w:bottom w:val="single" w:sz="6" w:space="0" w:color="000000"/>
              <w:right w:val="single" w:sz="6" w:space="0" w:color="000000"/>
            </w:tcBorders>
            <w:hideMark/>
          </w:tcPr>
          <w:p w14:paraId="20E8107C" w14:textId="77777777" w:rsidR="00DD50E4" w:rsidRPr="00C5726D" w:rsidRDefault="00DD50E4" w:rsidP="00C5726D">
            <w:pPr>
              <w:pStyle w:val="TableParagraph"/>
              <w:spacing w:line="240" w:lineRule="auto"/>
              <w:rPr>
                <w:rFonts w:ascii="Times New Roman" w:hAnsi="Times New Roman" w:cs="Times New Roman"/>
                <w:sz w:val="24"/>
                <w:szCs w:val="24"/>
                <w:lang w:val="en-US"/>
              </w:rPr>
            </w:pPr>
            <w:r w:rsidRPr="00C5726D">
              <w:rPr>
                <w:rFonts w:ascii="Times New Roman" w:hAnsi="Times New Roman" w:cs="Times New Roman"/>
                <w:sz w:val="24"/>
                <w:szCs w:val="24"/>
                <w:lang w:val="en-US"/>
              </w:rPr>
              <w:t>Musculoskeletal (bone, muscle or joint) pain which is sometimes severe</w:t>
            </w:r>
            <w:r w:rsidRPr="00C5726D">
              <w:rPr>
                <w:rFonts w:ascii="Times New Roman" w:hAnsi="Times New Roman" w:cs="Times New Roman"/>
                <w:sz w:val="24"/>
                <w:szCs w:val="24"/>
                <w:vertAlign w:val="superscript"/>
                <w:lang w:val="en-US"/>
              </w:rPr>
              <w:t>†§</w:t>
            </w:r>
          </w:p>
        </w:tc>
      </w:tr>
      <w:tr w:rsidR="00DD50E4" w:rsidRPr="00C5726D" w14:paraId="2809EF3B" w14:textId="77777777" w:rsidTr="00C5726D">
        <w:trPr>
          <w:trHeight w:val="255"/>
        </w:trPr>
        <w:tc>
          <w:tcPr>
            <w:tcW w:w="1381" w:type="pct"/>
            <w:vMerge/>
            <w:tcBorders>
              <w:top w:val="single" w:sz="6" w:space="0" w:color="000000"/>
              <w:left w:val="single" w:sz="6" w:space="0" w:color="000000"/>
              <w:bottom w:val="single" w:sz="6" w:space="0" w:color="000000"/>
              <w:right w:val="single" w:sz="6" w:space="0" w:color="000000"/>
            </w:tcBorders>
            <w:vAlign w:val="center"/>
            <w:hideMark/>
          </w:tcPr>
          <w:p w14:paraId="340A602A" w14:textId="77777777" w:rsidR="00DD50E4" w:rsidRPr="00C5726D" w:rsidRDefault="00DD50E4" w:rsidP="00C5726D">
            <w:pPr>
              <w:rPr>
                <w:rFonts w:ascii="Times New Roman" w:hAnsi="Times New Roman" w:cs="Times New Roman"/>
                <w:b/>
                <w:i/>
                <w:sz w:val="24"/>
                <w:szCs w:val="24"/>
              </w:rPr>
            </w:pPr>
          </w:p>
        </w:tc>
        <w:tc>
          <w:tcPr>
            <w:tcW w:w="811" w:type="pct"/>
            <w:tcBorders>
              <w:top w:val="single" w:sz="6" w:space="0" w:color="000000"/>
              <w:left w:val="single" w:sz="6" w:space="0" w:color="000000"/>
              <w:bottom w:val="single" w:sz="6" w:space="0" w:color="000000"/>
              <w:right w:val="single" w:sz="6" w:space="0" w:color="000000"/>
            </w:tcBorders>
            <w:hideMark/>
          </w:tcPr>
          <w:p w14:paraId="0D17F19F" w14:textId="77777777" w:rsidR="00DD50E4" w:rsidRPr="00C5726D" w:rsidRDefault="00DD50E4" w:rsidP="00C5726D">
            <w:pPr>
              <w:pStyle w:val="TableParagraph"/>
              <w:spacing w:line="240" w:lineRule="auto"/>
              <w:ind w:left="382"/>
              <w:rPr>
                <w:rFonts w:ascii="Times New Roman" w:hAnsi="Times New Roman" w:cs="Times New Roman"/>
                <w:sz w:val="24"/>
                <w:szCs w:val="24"/>
              </w:rPr>
            </w:pPr>
            <w:r w:rsidRPr="00C5726D">
              <w:rPr>
                <w:rFonts w:ascii="Times New Roman" w:hAnsi="Times New Roman" w:cs="Times New Roman"/>
                <w:sz w:val="24"/>
                <w:szCs w:val="24"/>
              </w:rPr>
              <w:t>Common</w:t>
            </w:r>
          </w:p>
        </w:tc>
        <w:tc>
          <w:tcPr>
            <w:tcW w:w="2808" w:type="pct"/>
            <w:tcBorders>
              <w:top w:val="single" w:sz="6" w:space="0" w:color="000000"/>
              <w:left w:val="single" w:sz="6" w:space="0" w:color="000000"/>
              <w:bottom w:val="single" w:sz="6" w:space="0" w:color="000000"/>
              <w:right w:val="single" w:sz="6" w:space="0" w:color="000000"/>
            </w:tcBorders>
            <w:hideMark/>
          </w:tcPr>
          <w:p w14:paraId="6A9D1A61" w14:textId="77777777" w:rsidR="00DD50E4" w:rsidRPr="00C5726D" w:rsidRDefault="00DD50E4" w:rsidP="00C5726D">
            <w:pPr>
              <w:pStyle w:val="TableParagraph"/>
              <w:spacing w:line="240" w:lineRule="auto"/>
              <w:rPr>
                <w:rFonts w:ascii="Times New Roman" w:hAnsi="Times New Roman" w:cs="Times New Roman"/>
                <w:sz w:val="24"/>
                <w:szCs w:val="24"/>
              </w:rPr>
            </w:pPr>
            <w:r w:rsidRPr="00C5726D">
              <w:rPr>
                <w:rFonts w:ascii="Times New Roman" w:hAnsi="Times New Roman" w:cs="Times New Roman"/>
                <w:sz w:val="24"/>
                <w:szCs w:val="24"/>
              </w:rPr>
              <w:t xml:space="preserve">Joint </w:t>
            </w:r>
            <w:proofErr w:type="spellStart"/>
            <w:r w:rsidRPr="00C5726D">
              <w:rPr>
                <w:rFonts w:ascii="Times New Roman" w:hAnsi="Times New Roman" w:cs="Times New Roman"/>
                <w:sz w:val="24"/>
                <w:szCs w:val="24"/>
              </w:rPr>
              <w:t>swelling</w:t>
            </w:r>
            <w:proofErr w:type="spellEnd"/>
            <w:r w:rsidRPr="00C5726D">
              <w:rPr>
                <w:rFonts w:ascii="Times New Roman" w:hAnsi="Times New Roman" w:cs="Times New Roman"/>
                <w:sz w:val="24"/>
                <w:szCs w:val="24"/>
                <w:vertAlign w:val="superscript"/>
              </w:rPr>
              <w:t>†</w:t>
            </w:r>
          </w:p>
        </w:tc>
      </w:tr>
      <w:tr w:rsidR="00DD50E4" w:rsidRPr="00C5726D" w14:paraId="5ADBEBCE" w14:textId="77777777" w:rsidTr="00C5726D">
        <w:trPr>
          <w:trHeight w:val="750"/>
        </w:trPr>
        <w:tc>
          <w:tcPr>
            <w:tcW w:w="1381" w:type="pct"/>
            <w:vMerge/>
            <w:tcBorders>
              <w:top w:val="single" w:sz="6" w:space="0" w:color="000000"/>
              <w:left w:val="single" w:sz="6" w:space="0" w:color="000000"/>
              <w:bottom w:val="single" w:sz="6" w:space="0" w:color="000000"/>
              <w:right w:val="single" w:sz="6" w:space="0" w:color="000000"/>
            </w:tcBorders>
            <w:vAlign w:val="center"/>
            <w:hideMark/>
          </w:tcPr>
          <w:p w14:paraId="202B64CE" w14:textId="77777777" w:rsidR="00DD50E4" w:rsidRPr="00C5726D" w:rsidRDefault="00DD50E4" w:rsidP="00C5726D">
            <w:pPr>
              <w:rPr>
                <w:rFonts w:ascii="Times New Roman" w:hAnsi="Times New Roman" w:cs="Times New Roman"/>
                <w:b/>
                <w:i/>
                <w:sz w:val="24"/>
                <w:szCs w:val="24"/>
              </w:rPr>
            </w:pPr>
          </w:p>
        </w:tc>
        <w:tc>
          <w:tcPr>
            <w:tcW w:w="811" w:type="pct"/>
            <w:tcBorders>
              <w:top w:val="single" w:sz="6" w:space="0" w:color="000000"/>
              <w:left w:val="single" w:sz="6" w:space="0" w:color="000000"/>
              <w:bottom w:val="single" w:sz="6" w:space="0" w:color="000000"/>
              <w:right w:val="single" w:sz="6" w:space="0" w:color="000000"/>
            </w:tcBorders>
            <w:hideMark/>
          </w:tcPr>
          <w:p w14:paraId="3BC6F96B" w14:textId="77777777" w:rsidR="00DD50E4" w:rsidRPr="00C5726D" w:rsidRDefault="00DD50E4" w:rsidP="00C5726D">
            <w:pPr>
              <w:pStyle w:val="TableParagraph"/>
              <w:spacing w:line="240" w:lineRule="auto"/>
              <w:ind w:left="549" w:right="542"/>
              <w:jc w:val="center"/>
              <w:rPr>
                <w:rFonts w:ascii="Times New Roman" w:hAnsi="Times New Roman" w:cs="Times New Roman"/>
                <w:sz w:val="24"/>
                <w:szCs w:val="24"/>
              </w:rPr>
            </w:pPr>
            <w:r w:rsidRPr="00C5726D">
              <w:rPr>
                <w:rFonts w:ascii="Times New Roman" w:hAnsi="Times New Roman" w:cs="Times New Roman"/>
                <w:sz w:val="24"/>
                <w:szCs w:val="24"/>
              </w:rPr>
              <w:t>Rare</w:t>
            </w:r>
          </w:p>
        </w:tc>
        <w:tc>
          <w:tcPr>
            <w:tcW w:w="2808" w:type="pct"/>
            <w:tcBorders>
              <w:top w:val="single" w:sz="6" w:space="0" w:color="000000"/>
              <w:left w:val="single" w:sz="6" w:space="0" w:color="000000"/>
              <w:bottom w:val="single" w:sz="6" w:space="0" w:color="000000"/>
              <w:right w:val="single" w:sz="6" w:space="0" w:color="000000"/>
            </w:tcBorders>
            <w:hideMark/>
          </w:tcPr>
          <w:p w14:paraId="5B5B5BC1" w14:textId="77777777" w:rsidR="00DD50E4" w:rsidRPr="00C5726D" w:rsidRDefault="00DD50E4" w:rsidP="00C5726D">
            <w:pPr>
              <w:pStyle w:val="TableParagraph"/>
              <w:spacing w:line="240" w:lineRule="auto"/>
              <w:rPr>
                <w:rFonts w:ascii="Times New Roman" w:hAnsi="Times New Roman" w:cs="Times New Roman"/>
                <w:sz w:val="24"/>
                <w:szCs w:val="24"/>
                <w:lang w:val="en-US"/>
              </w:rPr>
            </w:pPr>
            <w:r w:rsidRPr="00C5726D">
              <w:rPr>
                <w:rFonts w:ascii="Times New Roman" w:hAnsi="Times New Roman" w:cs="Times New Roman"/>
                <w:sz w:val="24"/>
                <w:szCs w:val="24"/>
                <w:lang w:val="en-US"/>
              </w:rPr>
              <w:t>Osteonecrosis of the jaw</w:t>
            </w:r>
            <w:r w:rsidRPr="00C5726D">
              <w:rPr>
                <w:rFonts w:ascii="Times New Roman" w:hAnsi="Times New Roman" w:cs="Times New Roman"/>
                <w:sz w:val="24"/>
                <w:szCs w:val="24"/>
                <w:vertAlign w:val="superscript"/>
                <w:lang w:val="en-US"/>
              </w:rPr>
              <w:t>‡§</w:t>
            </w:r>
            <w:r w:rsidRPr="00C5726D">
              <w:rPr>
                <w:rFonts w:ascii="Times New Roman" w:hAnsi="Times New Roman" w:cs="Times New Roman"/>
                <w:sz w:val="24"/>
                <w:szCs w:val="24"/>
                <w:lang w:val="en-US"/>
              </w:rPr>
              <w:t>; atypical subtrochanteric and diaphyseal femoral fractures (bisphosphonate class adverse reaction)</w:t>
            </w:r>
          </w:p>
        </w:tc>
      </w:tr>
      <w:tr w:rsidR="00DD50E4" w:rsidRPr="00C5726D" w14:paraId="72618445" w14:textId="77777777" w:rsidTr="00C5726D">
        <w:trPr>
          <w:trHeight w:val="255"/>
        </w:trPr>
        <w:tc>
          <w:tcPr>
            <w:tcW w:w="1381" w:type="pct"/>
            <w:vMerge w:val="restart"/>
            <w:tcBorders>
              <w:top w:val="single" w:sz="6" w:space="0" w:color="000000"/>
              <w:left w:val="single" w:sz="6" w:space="0" w:color="000000"/>
              <w:bottom w:val="single" w:sz="6" w:space="0" w:color="000000"/>
              <w:right w:val="single" w:sz="6" w:space="0" w:color="000000"/>
            </w:tcBorders>
            <w:hideMark/>
          </w:tcPr>
          <w:p w14:paraId="6085CF65" w14:textId="0460BE76" w:rsidR="00DD50E4" w:rsidRPr="00C5726D" w:rsidRDefault="00DD50E4" w:rsidP="0070712E">
            <w:pPr>
              <w:pStyle w:val="TableParagraph"/>
              <w:spacing w:line="240" w:lineRule="auto"/>
              <w:rPr>
                <w:rFonts w:ascii="Times New Roman" w:hAnsi="Times New Roman" w:cs="Times New Roman"/>
                <w:b/>
                <w:i/>
                <w:sz w:val="24"/>
                <w:szCs w:val="24"/>
                <w:lang w:val="en-US"/>
              </w:rPr>
            </w:pPr>
            <w:r w:rsidRPr="00C5726D">
              <w:rPr>
                <w:rFonts w:ascii="Times New Roman" w:hAnsi="Times New Roman" w:cs="Times New Roman"/>
                <w:b/>
                <w:i/>
                <w:sz w:val="24"/>
                <w:szCs w:val="24"/>
                <w:lang w:val="en-US"/>
              </w:rPr>
              <w:t>General disorders and</w:t>
            </w:r>
            <w:r w:rsidR="0070712E">
              <w:rPr>
                <w:rFonts w:ascii="Times New Roman" w:hAnsi="Times New Roman" w:cs="Times New Roman"/>
                <w:b/>
                <w:i/>
                <w:sz w:val="24"/>
                <w:szCs w:val="24"/>
                <w:lang w:val="en-US"/>
              </w:rPr>
              <w:t xml:space="preserve"> </w:t>
            </w:r>
            <w:r w:rsidRPr="00C5726D">
              <w:rPr>
                <w:rFonts w:ascii="Times New Roman" w:hAnsi="Times New Roman" w:cs="Times New Roman"/>
                <w:b/>
                <w:i/>
                <w:sz w:val="24"/>
                <w:szCs w:val="24"/>
                <w:lang w:val="en-US"/>
              </w:rPr>
              <w:t>administration site conditions</w:t>
            </w:r>
          </w:p>
        </w:tc>
        <w:tc>
          <w:tcPr>
            <w:tcW w:w="811" w:type="pct"/>
            <w:tcBorders>
              <w:top w:val="single" w:sz="6" w:space="0" w:color="000000"/>
              <w:left w:val="single" w:sz="6" w:space="0" w:color="000000"/>
              <w:bottom w:val="single" w:sz="6" w:space="0" w:color="000000"/>
              <w:right w:val="single" w:sz="6" w:space="0" w:color="000000"/>
            </w:tcBorders>
            <w:hideMark/>
          </w:tcPr>
          <w:p w14:paraId="0872403E" w14:textId="77777777" w:rsidR="00DD50E4" w:rsidRPr="00C5726D" w:rsidRDefault="00DD50E4" w:rsidP="00C5726D">
            <w:pPr>
              <w:pStyle w:val="TableParagraph"/>
              <w:spacing w:line="240" w:lineRule="auto"/>
              <w:ind w:left="382"/>
              <w:rPr>
                <w:rFonts w:ascii="Times New Roman" w:hAnsi="Times New Roman" w:cs="Times New Roman"/>
                <w:sz w:val="24"/>
                <w:szCs w:val="24"/>
              </w:rPr>
            </w:pPr>
            <w:r w:rsidRPr="00C5726D">
              <w:rPr>
                <w:rFonts w:ascii="Times New Roman" w:hAnsi="Times New Roman" w:cs="Times New Roman"/>
                <w:sz w:val="24"/>
                <w:szCs w:val="24"/>
              </w:rPr>
              <w:t>Common</w:t>
            </w:r>
          </w:p>
        </w:tc>
        <w:tc>
          <w:tcPr>
            <w:tcW w:w="2808" w:type="pct"/>
            <w:tcBorders>
              <w:top w:val="single" w:sz="6" w:space="0" w:color="000000"/>
              <w:left w:val="single" w:sz="6" w:space="0" w:color="000000"/>
              <w:bottom w:val="single" w:sz="6" w:space="0" w:color="000000"/>
              <w:right w:val="single" w:sz="6" w:space="0" w:color="000000"/>
            </w:tcBorders>
            <w:hideMark/>
          </w:tcPr>
          <w:p w14:paraId="2217493E" w14:textId="77777777" w:rsidR="00DD50E4" w:rsidRPr="00C5726D" w:rsidRDefault="00DD50E4" w:rsidP="00C5726D">
            <w:pPr>
              <w:pStyle w:val="TableParagraph"/>
              <w:spacing w:line="240" w:lineRule="auto"/>
              <w:rPr>
                <w:rFonts w:ascii="Times New Roman" w:hAnsi="Times New Roman" w:cs="Times New Roman"/>
                <w:sz w:val="24"/>
                <w:szCs w:val="24"/>
              </w:rPr>
            </w:pPr>
            <w:proofErr w:type="spellStart"/>
            <w:r w:rsidRPr="00C5726D">
              <w:rPr>
                <w:rFonts w:ascii="Times New Roman" w:hAnsi="Times New Roman" w:cs="Times New Roman"/>
                <w:sz w:val="24"/>
                <w:szCs w:val="24"/>
              </w:rPr>
              <w:t>Asthenia</w:t>
            </w:r>
            <w:proofErr w:type="spellEnd"/>
            <w:r w:rsidRPr="00C5726D">
              <w:rPr>
                <w:rFonts w:ascii="Times New Roman" w:hAnsi="Times New Roman" w:cs="Times New Roman"/>
                <w:sz w:val="24"/>
                <w:szCs w:val="24"/>
                <w:vertAlign w:val="superscript"/>
              </w:rPr>
              <w:t>†</w:t>
            </w:r>
            <w:r w:rsidRPr="00C5726D">
              <w:rPr>
                <w:rFonts w:ascii="Times New Roman" w:hAnsi="Times New Roman" w:cs="Times New Roman"/>
                <w:sz w:val="24"/>
                <w:szCs w:val="24"/>
              </w:rPr>
              <w:t xml:space="preserve">, </w:t>
            </w:r>
            <w:proofErr w:type="spellStart"/>
            <w:r w:rsidRPr="00C5726D">
              <w:rPr>
                <w:rFonts w:ascii="Times New Roman" w:hAnsi="Times New Roman" w:cs="Times New Roman"/>
                <w:sz w:val="24"/>
                <w:szCs w:val="24"/>
              </w:rPr>
              <w:t>peripheral</w:t>
            </w:r>
            <w:proofErr w:type="spellEnd"/>
            <w:r w:rsidRPr="00C5726D">
              <w:rPr>
                <w:rFonts w:ascii="Times New Roman" w:hAnsi="Times New Roman" w:cs="Times New Roman"/>
                <w:sz w:val="24"/>
                <w:szCs w:val="24"/>
              </w:rPr>
              <w:t xml:space="preserve"> </w:t>
            </w:r>
            <w:proofErr w:type="spellStart"/>
            <w:r w:rsidRPr="00C5726D">
              <w:rPr>
                <w:rFonts w:ascii="Times New Roman" w:hAnsi="Times New Roman" w:cs="Times New Roman"/>
                <w:sz w:val="24"/>
                <w:szCs w:val="24"/>
              </w:rPr>
              <w:t>oedema</w:t>
            </w:r>
            <w:proofErr w:type="spellEnd"/>
            <w:r w:rsidRPr="00C5726D">
              <w:rPr>
                <w:rFonts w:ascii="Times New Roman" w:hAnsi="Times New Roman" w:cs="Times New Roman"/>
                <w:sz w:val="24"/>
                <w:szCs w:val="24"/>
                <w:vertAlign w:val="superscript"/>
              </w:rPr>
              <w:t>†</w:t>
            </w:r>
          </w:p>
        </w:tc>
      </w:tr>
      <w:tr w:rsidR="00DD50E4" w:rsidRPr="00C5726D" w14:paraId="7C99F8DC" w14:textId="77777777" w:rsidTr="00C5726D">
        <w:trPr>
          <w:trHeight w:val="750"/>
        </w:trPr>
        <w:tc>
          <w:tcPr>
            <w:tcW w:w="1381" w:type="pct"/>
            <w:vMerge/>
            <w:tcBorders>
              <w:top w:val="single" w:sz="6" w:space="0" w:color="000000"/>
              <w:left w:val="single" w:sz="6" w:space="0" w:color="000000"/>
              <w:bottom w:val="single" w:sz="6" w:space="0" w:color="000000"/>
              <w:right w:val="single" w:sz="6" w:space="0" w:color="000000"/>
            </w:tcBorders>
            <w:vAlign w:val="center"/>
            <w:hideMark/>
          </w:tcPr>
          <w:p w14:paraId="221C467A" w14:textId="77777777" w:rsidR="00DD50E4" w:rsidRPr="00C5726D" w:rsidRDefault="00DD50E4" w:rsidP="00C5726D">
            <w:pPr>
              <w:rPr>
                <w:rFonts w:ascii="Times New Roman" w:hAnsi="Times New Roman" w:cs="Times New Roman"/>
                <w:b/>
                <w:i/>
                <w:sz w:val="24"/>
                <w:szCs w:val="24"/>
              </w:rPr>
            </w:pPr>
          </w:p>
        </w:tc>
        <w:tc>
          <w:tcPr>
            <w:tcW w:w="811" w:type="pct"/>
            <w:tcBorders>
              <w:top w:val="single" w:sz="6" w:space="0" w:color="000000"/>
              <w:left w:val="single" w:sz="6" w:space="0" w:color="000000"/>
              <w:bottom w:val="single" w:sz="6" w:space="0" w:color="000000"/>
              <w:right w:val="single" w:sz="6" w:space="0" w:color="000000"/>
            </w:tcBorders>
            <w:hideMark/>
          </w:tcPr>
          <w:p w14:paraId="31C87017" w14:textId="77777777" w:rsidR="00DD50E4" w:rsidRPr="00C5726D" w:rsidRDefault="00DD50E4" w:rsidP="00C5726D">
            <w:pPr>
              <w:pStyle w:val="TableParagraph"/>
              <w:spacing w:line="240" w:lineRule="auto"/>
              <w:ind w:left="277"/>
              <w:rPr>
                <w:rFonts w:ascii="Times New Roman" w:hAnsi="Times New Roman" w:cs="Times New Roman"/>
                <w:sz w:val="24"/>
                <w:szCs w:val="24"/>
              </w:rPr>
            </w:pPr>
            <w:proofErr w:type="spellStart"/>
            <w:r w:rsidRPr="00C5726D">
              <w:rPr>
                <w:rFonts w:ascii="Times New Roman" w:hAnsi="Times New Roman" w:cs="Times New Roman"/>
                <w:sz w:val="24"/>
                <w:szCs w:val="24"/>
              </w:rPr>
              <w:t>Uncommon</w:t>
            </w:r>
            <w:proofErr w:type="spellEnd"/>
          </w:p>
        </w:tc>
        <w:tc>
          <w:tcPr>
            <w:tcW w:w="2808" w:type="pct"/>
            <w:tcBorders>
              <w:top w:val="single" w:sz="6" w:space="0" w:color="000000"/>
              <w:left w:val="single" w:sz="6" w:space="0" w:color="000000"/>
              <w:bottom w:val="single" w:sz="6" w:space="0" w:color="000000"/>
              <w:right w:val="single" w:sz="6" w:space="0" w:color="000000"/>
            </w:tcBorders>
            <w:hideMark/>
          </w:tcPr>
          <w:p w14:paraId="7180FDEA" w14:textId="77777777" w:rsidR="00DD50E4" w:rsidRPr="00C5726D" w:rsidRDefault="00DD50E4" w:rsidP="00C5726D">
            <w:pPr>
              <w:pStyle w:val="TableParagraph"/>
              <w:spacing w:line="240" w:lineRule="auto"/>
              <w:rPr>
                <w:rFonts w:ascii="Times New Roman" w:hAnsi="Times New Roman" w:cs="Times New Roman"/>
                <w:sz w:val="24"/>
                <w:szCs w:val="24"/>
                <w:lang w:val="en-US"/>
              </w:rPr>
            </w:pPr>
            <w:r w:rsidRPr="00C5726D">
              <w:rPr>
                <w:rFonts w:ascii="Times New Roman" w:hAnsi="Times New Roman" w:cs="Times New Roman"/>
                <w:sz w:val="24"/>
                <w:szCs w:val="24"/>
                <w:lang w:val="en-US"/>
              </w:rPr>
              <w:t>Transient symptoms as in an acute-phase response (myalgia, malaise and rarely, fever), typically in association with initiation of treatment</w:t>
            </w:r>
            <w:r w:rsidRPr="00C5726D">
              <w:rPr>
                <w:rFonts w:ascii="Times New Roman" w:hAnsi="Times New Roman" w:cs="Times New Roman"/>
                <w:sz w:val="24"/>
                <w:szCs w:val="24"/>
                <w:vertAlign w:val="superscript"/>
                <w:lang w:val="en-US"/>
              </w:rPr>
              <w:t>†</w:t>
            </w:r>
          </w:p>
        </w:tc>
      </w:tr>
      <w:tr w:rsidR="00DD50E4" w:rsidRPr="00C5726D" w14:paraId="0518B442" w14:textId="77777777" w:rsidTr="00C5726D">
        <w:trPr>
          <w:trHeight w:val="1020"/>
        </w:trPr>
        <w:tc>
          <w:tcPr>
            <w:tcW w:w="5000" w:type="pct"/>
            <w:gridSpan w:val="3"/>
            <w:tcBorders>
              <w:top w:val="single" w:sz="6" w:space="0" w:color="000000"/>
              <w:left w:val="single" w:sz="6" w:space="0" w:color="000000"/>
              <w:bottom w:val="single" w:sz="6" w:space="0" w:color="000000"/>
              <w:right w:val="single" w:sz="6" w:space="0" w:color="000000"/>
            </w:tcBorders>
            <w:hideMark/>
          </w:tcPr>
          <w:p w14:paraId="39ECFDB1" w14:textId="77777777" w:rsidR="00DD50E4" w:rsidRPr="00C5726D" w:rsidRDefault="00DD50E4" w:rsidP="00C5726D">
            <w:pPr>
              <w:pStyle w:val="TableParagraph"/>
              <w:spacing w:line="240" w:lineRule="auto"/>
              <w:rPr>
                <w:rFonts w:ascii="Times New Roman" w:hAnsi="Times New Roman" w:cs="Times New Roman"/>
                <w:sz w:val="24"/>
                <w:szCs w:val="24"/>
                <w:lang w:val="en-US"/>
              </w:rPr>
            </w:pPr>
            <w:r w:rsidRPr="00C5726D">
              <w:rPr>
                <w:rFonts w:ascii="Times New Roman" w:hAnsi="Times New Roman" w:cs="Times New Roman"/>
                <w:sz w:val="24"/>
                <w:szCs w:val="24"/>
                <w:vertAlign w:val="superscript"/>
                <w:lang w:val="en-US"/>
              </w:rPr>
              <w:t>§</w:t>
            </w:r>
            <w:r w:rsidRPr="00C5726D">
              <w:rPr>
                <w:rFonts w:ascii="Times New Roman" w:hAnsi="Times New Roman" w:cs="Times New Roman"/>
                <w:sz w:val="24"/>
                <w:szCs w:val="24"/>
                <w:lang w:val="en-US"/>
              </w:rPr>
              <w:t>See section 4.4</w:t>
            </w:r>
          </w:p>
          <w:p w14:paraId="53CD4D2F" w14:textId="77777777" w:rsidR="00DD50E4" w:rsidRPr="00C5726D" w:rsidRDefault="00DD50E4" w:rsidP="00C5726D">
            <w:pPr>
              <w:pStyle w:val="TableParagraph"/>
              <w:spacing w:line="240" w:lineRule="auto"/>
              <w:rPr>
                <w:rFonts w:ascii="Times New Roman" w:hAnsi="Times New Roman" w:cs="Times New Roman"/>
                <w:sz w:val="24"/>
                <w:szCs w:val="24"/>
                <w:lang w:val="en-US"/>
              </w:rPr>
            </w:pPr>
            <w:r w:rsidRPr="00C5726D">
              <w:rPr>
                <w:rFonts w:ascii="Times New Roman" w:hAnsi="Times New Roman" w:cs="Times New Roman"/>
                <w:sz w:val="24"/>
                <w:szCs w:val="24"/>
                <w:vertAlign w:val="superscript"/>
                <w:lang w:val="en-US"/>
              </w:rPr>
              <w:t>†</w:t>
            </w:r>
            <w:r w:rsidRPr="00C5726D">
              <w:rPr>
                <w:rFonts w:ascii="Times New Roman" w:hAnsi="Times New Roman" w:cs="Times New Roman"/>
                <w:sz w:val="24"/>
                <w:szCs w:val="24"/>
                <w:lang w:val="en-US"/>
              </w:rPr>
              <w:t>Frequency in clinical trials was similar in the medicinal product and placebo group.</w:t>
            </w:r>
          </w:p>
          <w:p w14:paraId="0616F4C5" w14:textId="77777777" w:rsidR="00DD50E4" w:rsidRPr="00C5726D" w:rsidRDefault="00DD50E4" w:rsidP="00C5726D">
            <w:pPr>
              <w:pStyle w:val="TableParagraph"/>
              <w:spacing w:line="240" w:lineRule="auto"/>
              <w:rPr>
                <w:rFonts w:ascii="Times New Roman" w:hAnsi="Times New Roman" w:cs="Times New Roman"/>
                <w:sz w:val="24"/>
                <w:szCs w:val="24"/>
                <w:lang w:val="en-US"/>
              </w:rPr>
            </w:pPr>
            <w:r w:rsidRPr="00C5726D">
              <w:rPr>
                <w:rFonts w:ascii="Times New Roman" w:hAnsi="Times New Roman" w:cs="Times New Roman"/>
                <w:sz w:val="24"/>
                <w:szCs w:val="24"/>
                <w:lang w:val="en-US"/>
              </w:rPr>
              <w:t>*See sections 4.2 and 4.4</w:t>
            </w:r>
          </w:p>
          <w:p w14:paraId="39B8E43C" w14:textId="77777777" w:rsidR="00DD50E4" w:rsidRPr="00C5726D" w:rsidRDefault="00DD50E4" w:rsidP="00C5726D">
            <w:pPr>
              <w:pStyle w:val="TableParagraph"/>
              <w:spacing w:line="240" w:lineRule="auto"/>
              <w:ind w:right="97"/>
              <w:rPr>
                <w:rFonts w:ascii="Times New Roman" w:hAnsi="Times New Roman" w:cs="Times New Roman"/>
                <w:sz w:val="24"/>
                <w:szCs w:val="24"/>
                <w:lang w:val="en-US"/>
              </w:rPr>
            </w:pPr>
            <w:r w:rsidRPr="00C5726D">
              <w:rPr>
                <w:rFonts w:ascii="Times New Roman" w:hAnsi="Times New Roman" w:cs="Times New Roman"/>
                <w:sz w:val="24"/>
                <w:szCs w:val="24"/>
                <w:vertAlign w:val="superscript"/>
                <w:lang w:val="en-US"/>
              </w:rPr>
              <w:t>‡</w:t>
            </w:r>
            <w:r w:rsidRPr="00C5726D">
              <w:rPr>
                <w:rFonts w:ascii="Times New Roman" w:hAnsi="Times New Roman" w:cs="Times New Roman"/>
                <w:sz w:val="24"/>
                <w:szCs w:val="24"/>
                <w:lang w:val="en-US"/>
              </w:rPr>
              <w:t>This adverse reaction was identified through post-marketing surveillance. The frequency of rare was estimated based on relevant clinical trials.</w:t>
            </w:r>
          </w:p>
        </w:tc>
      </w:tr>
    </w:tbl>
    <w:p w14:paraId="1FC7EF04" w14:textId="77777777" w:rsidR="00DD50E4" w:rsidRPr="00C5726D" w:rsidRDefault="00DD50E4" w:rsidP="00DD50E4">
      <w:pPr>
        <w:jc w:val="both"/>
        <w:rPr>
          <w:noProof/>
          <w:color w:val="000000"/>
          <w:sz w:val="24"/>
          <w:szCs w:val="24"/>
          <w:lang w:val="en-GB" w:eastAsia="en-US"/>
        </w:rPr>
      </w:pPr>
    </w:p>
    <w:p w14:paraId="4BDB1013" w14:textId="77777777" w:rsidR="00C5726D" w:rsidRPr="00C5726D" w:rsidRDefault="00C5726D" w:rsidP="00C5726D">
      <w:pPr>
        <w:ind w:left="851"/>
        <w:rPr>
          <w:sz w:val="24"/>
          <w:szCs w:val="24"/>
          <w:u w:val="single"/>
          <w:lang w:val="en-GB"/>
        </w:rPr>
      </w:pPr>
      <w:r w:rsidRPr="00C5726D">
        <w:rPr>
          <w:sz w:val="24"/>
          <w:szCs w:val="24"/>
          <w:u w:val="single"/>
          <w:lang w:val="en-GB"/>
        </w:rPr>
        <w:t>Reporting of suspected adverse reactions</w:t>
      </w:r>
    </w:p>
    <w:p w14:paraId="2E047628" w14:textId="77777777" w:rsidR="00C5726D" w:rsidRPr="00C5726D" w:rsidRDefault="00C5726D" w:rsidP="00C5726D">
      <w:pPr>
        <w:ind w:left="851"/>
        <w:rPr>
          <w:sz w:val="24"/>
          <w:szCs w:val="24"/>
          <w:lang w:val="en-GB"/>
        </w:rPr>
      </w:pPr>
      <w:r w:rsidRPr="00C5726D">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C359A6B" w14:textId="77777777" w:rsidR="00C5726D" w:rsidRPr="00C5726D" w:rsidRDefault="00C5726D" w:rsidP="00C5726D">
      <w:pPr>
        <w:ind w:left="851"/>
        <w:rPr>
          <w:sz w:val="24"/>
          <w:szCs w:val="24"/>
          <w:lang w:val="en-GB"/>
        </w:rPr>
      </w:pPr>
    </w:p>
    <w:p w14:paraId="2F71FC6C" w14:textId="77777777" w:rsidR="00C5726D" w:rsidRPr="00C5726D" w:rsidRDefault="00C5726D" w:rsidP="00C5726D">
      <w:pPr>
        <w:ind w:left="851"/>
        <w:rPr>
          <w:sz w:val="24"/>
          <w:szCs w:val="24"/>
        </w:rPr>
      </w:pPr>
      <w:r w:rsidRPr="00C5726D">
        <w:rPr>
          <w:sz w:val="24"/>
          <w:szCs w:val="24"/>
        </w:rPr>
        <w:t>Lægemiddelstyrelsen</w:t>
      </w:r>
    </w:p>
    <w:p w14:paraId="42ED9752" w14:textId="77777777" w:rsidR="00C5726D" w:rsidRPr="00C5726D" w:rsidRDefault="00C5726D" w:rsidP="00C5726D">
      <w:pPr>
        <w:ind w:left="851"/>
        <w:rPr>
          <w:sz w:val="24"/>
          <w:szCs w:val="24"/>
        </w:rPr>
      </w:pPr>
      <w:r w:rsidRPr="00C5726D">
        <w:rPr>
          <w:sz w:val="24"/>
          <w:szCs w:val="24"/>
        </w:rPr>
        <w:t>Axel Heides Gade 1</w:t>
      </w:r>
    </w:p>
    <w:p w14:paraId="2FD307B2" w14:textId="77777777" w:rsidR="00C5726D" w:rsidRPr="00C5726D" w:rsidRDefault="00C5726D" w:rsidP="00C5726D">
      <w:pPr>
        <w:ind w:left="851"/>
        <w:rPr>
          <w:sz w:val="24"/>
          <w:szCs w:val="24"/>
        </w:rPr>
      </w:pPr>
      <w:r w:rsidRPr="00C5726D">
        <w:rPr>
          <w:sz w:val="24"/>
          <w:szCs w:val="24"/>
        </w:rPr>
        <w:t>DK-2300 København S</w:t>
      </w:r>
    </w:p>
    <w:p w14:paraId="4DDB0883" w14:textId="77777777" w:rsidR="00C5726D" w:rsidRPr="00C5726D" w:rsidRDefault="00C5726D" w:rsidP="00C5726D">
      <w:pPr>
        <w:ind w:left="851"/>
        <w:rPr>
          <w:sz w:val="24"/>
          <w:szCs w:val="24"/>
        </w:rPr>
      </w:pPr>
      <w:r w:rsidRPr="00C5726D">
        <w:rPr>
          <w:sz w:val="24"/>
          <w:szCs w:val="24"/>
        </w:rPr>
        <w:t>Website: www.meldenbivirkning.dk</w:t>
      </w:r>
    </w:p>
    <w:p w14:paraId="37FD36F3" w14:textId="77777777" w:rsidR="007C5D2A" w:rsidRPr="00C5726D" w:rsidRDefault="007C5D2A" w:rsidP="007A4CC6">
      <w:pPr>
        <w:tabs>
          <w:tab w:val="left" w:pos="851"/>
        </w:tabs>
        <w:ind w:left="851"/>
        <w:rPr>
          <w:sz w:val="24"/>
          <w:szCs w:val="24"/>
          <w:lang w:val="en-GB"/>
        </w:rPr>
      </w:pPr>
    </w:p>
    <w:p w14:paraId="0831E2CB" w14:textId="77777777" w:rsidR="007C5D2A" w:rsidRPr="00C5726D" w:rsidRDefault="007C5D2A" w:rsidP="007C5D2A">
      <w:pPr>
        <w:tabs>
          <w:tab w:val="left" w:pos="851"/>
        </w:tabs>
        <w:ind w:left="851" w:hanging="851"/>
        <w:rPr>
          <w:b/>
          <w:sz w:val="24"/>
          <w:szCs w:val="24"/>
          <w:lang w:val="en-GB"/>
        </w:rPr>
      </w:pPr>
      <w:r w:rsidRPr="00C5726D">
        <w:rPr>
          <w:b/>
          <w:sz w:val="24"/>
          <w:szCs w:val="24"/>
          <w:lang w:val="en-GB"/>
        </w:rPr>
        <w:t>4.9</w:t>
      </w:r>
      <w:r w:rsidRPr="00C5726D">
        <w:rPr>
          <w:b/>
          <w:sz w:val="24"/>
          <w:szCs w:val="24"/>
          <w:lang w:val="en-GB"/>
        </w:rPr>
        <w:tab/>
        <w:t>Overdose</w:t>
      </w:r>
    </w:p>
    <w:p w14:paraId="152D122E" w14:textId="77777777" w:rsidR="0070712E" w:rsidRDefault="0070712E" w:rsidP="00C5726D">
      <w:pPr>
        <w:ind w:left="851"/>
        <w:rPr>
          <w:sz w:val="24"/>
          <w:szCs w:val="24"/>
          <w:lang w:val="en-US"/>
        </w:rPr>
      </w:pPr>
    </w:p>
    <w:p w14:paraId="1E210305" w14:textId="0E776367" w:rsidR="00DD50E4" w:rsidRPr="0070712E" w:rsidRDefault="00DD50E4" w:rsidP="00C5726D">
      <w:pPr>
        <w:ind w:left="851"/>
        <w:rPr>
          <w:sz w:val="24"/>
          <w:szCs w:val="24"/>
          <w:u w:val="single"/>
          <w:lang w:val="en-US"/>
        </w:rPr>
      </w:pPr>
      <w:r w:rsidRPr="0070712E">
        <w:rPr>
          <w:sz w:val="24"/>
          <w:szCs w:val="24"/>
          <w:u w:val="single"/>
          <w:lang w:val="en-US"/>
        </w:rPr>
        <w:t>Symptoms</w:t>
      </w:r>
    </w:p>
    <w:p w14:paraId="737D9C46" w14:textId="77777777" w:rsidR="00DD50E4" w:rsidRPr="00C5726D" w:rsidRDefault="00DD50E4" w:rsidP="00C5726D">
      <w:pPr>
        <w:ind w:left="851"/>
        <w:rPr>
          <w:color w:val="000000"/>
          <w:sz w:val="24"/>
          <w:szCs w:val="24"/>
          <w:lang w:val="en-US"/>
        </w:rPr>
      </w:pPr>
      <w:proofErr w:type="spellStart"/>
      <w:r w:rsidRPr="00C5726D">
        <w:rPr>
          <w:color w:val="000000"/>
          <w:sz w:val="24"/>
          <w:szCs w:val="24"/>
          <w:lang w:val="en-US"/>
        </w:rPr>
        <w:t>Hypocalcaemia</w:t>
      </w:r>
      <w:proofErr w:type="spellEnd"/>
      <w:r w:rsidRPr="00C5726D">
        <w:rPr>
          <w:color w:val="000000"/>
          <w:sz w:val="24"/>
          <w:szCs w:val="24"/>
          <w:lang w:val="en-US"/>
        </w:rPr>
        <w:t xml:space="preserve">, </w:t>
      </w:r>
      <w:proofErr w:type="spellStart"/>
      <w:r w:rsidRPr="00C5726D">
        <w:rPr>
          <w:color w:val="000000"/>
          <w:sz w:val="24"/>
          <w:szCs w:val="24"/>
          <w:lang w:val="en-US"/>
        </w:rPr>
        <w:t>hypophosphataemia</w:t>
      </w:r>
      <w:proofErr w:type="spellEnd"/>
      <w:r w:rsidRPr="00C5726D">
        <w:rPr>
          <w:color w:val="000000"/>
          <w:sz w:val="24"/>
          <w:szCs w:val="24"/>
          <w:lang w:val="en-US"/>
        </w:rPr>
        <w:t xml:space="preserve"> and upper gastrointestinal adverse reactions, such as upset stomach, heartburn, </w:t>
      </w:r>
      <w:proofErr w:type="spellStart"/>
      <w:r w:rsidRPr="00C5726D">
        <w:rPr>
          <w:color w:val="000000"/>
          <w:sz w:val="24"/>
          <w:szCs w:val="24"/>
          <w:lang w:val="en-US"/>
        </w:rPr>
        <w:t>oesophagitis</w:t>
      </w:r>
      <w:proofErr w:type="spellEnd"/>
      <w:r w:rsidRPr="00C5726D">
        <w:rPr>
          <w:color w:val="000000"/>
          <w:sz w:val="24"/>
          <w:szCs w:val="24"/>
          <w:lang w:val="en-US"/>
        </w:rPr>
        <w:t xml:space="preserve">, gastritis or ulcer, may result from oral overdose. </w:t>
      </w:r>
    </w:p>
    <w:p w14:paraId="34E111E1" w14:textId="77777777" w:rsidR="00DD50E4" w:rsidRPr="00C5726D" w:rsidRDefault="00DD50E4" w:rsidP="00C5726D">
      <w:pPr>
        <w:ind w:left="851"/>
        <w:rPr>
          <w:color w:val="000000"/>
          <w:sz w:val="24"/>
          <w:szCs w:val="24"/>
          <w:lang w:val="en-US"/>
        </w:rPr>
      </w:pPr>
    </w:p>
    <w:p w14:paraId="3977C6AC" w14:textId="77777777" w:rsidR="00DD50E4" w:rsidRPr="0070712E" w:rsidRDefault="00DD50E4" w:rsidP="00C5726D">
      <w:pPr>
        <w:ind w:left="851"/>
        <w:rPr>
          <w:color w:val="000000"/>
          <w:sz w:val="24"/>
          <w:szCs w:val="24"/>
          <w:u w:val="single"/>
          <w:lang w:val="en-US"/>
        </w:rPr>
      </w:pPr>
      <w:r w:rsidRPr="0070712E">
        <w:rPr>
          <w:sz w:val="24"/>
          <w:szCs w:val="24"/>
          <w:u w:val="single"/>
          <w:lang w:val="en-US"/>
        </w:rPr>
        <w:t>Management</w:t>
      </w:r>
      <w:r w:rsidRPr="0070712E">
        <w:rPr>
          <w:color w:val="000000"/>
          <w:sz w:val="24"/>
          <w:szCs w:val="24"/>
          <w:u w:val="single"/>
          <w:lang w:val="en-US"/>
        </w:rPr>
        <w:t xml:space="preserve"> </w:t>
      </w:r>
    </w:p>
    <w:p w14:paraId="430D7778" w14:textId="77777777" w:rsidR="00DD50E4" w:rsidRPr="00C5726D" w:rsidRDefault="00DD50E4" w:rsidP="00C5726D">
      <w:pPr>
        <w:ind w:left="851"/>
        <w:rPr>
          <w:color w:val="000000"/>
          <w:sz w:val="24"/>
          <w:szCs w:val="24"/>
          <w:lang w:val="en-US"/>
        </w:rPr>
      </w:pPr>
      <w:r w:rsidRPr="00C5726D">
        <w:rPr>
          <w:color w:val="000000"/>
          <w:sz w:val="24"/>
          <w:szCs w:val="24"/>
          <w:lang w:val="en-US"/>
        </w:rPr>
        <w:t xml:space="preserve">No specific information is available on the treatment of overdose with alendronate. Milk or antacids should be given to bind alendronate. Owing to the risk of </w:t>
      </w:r>
      <w:proofErr w:type="spellStart"/>
      <w:r w:rsidRPr="00C5726D">
        <w:rPr>
          <w:color w:val="000000"/>
          <w:sz w:val="24"/>
          <w:szCs w:val="24"/>
          <w:lang w:val="en-US"/>
        </w:rPr>
        <w:t>oesophageal</w:t>
      </w:r>
      <w:proofErr w:type="spellEnd"/>
      <w:r w:rsidRPr="00C5726D">
        <w:rPr>
          <w:color w:val="000000"/>
          <w:sz w:val="24"/>
          <w:szCs w:val="24"/>
          <w:lang w:val="en-US"/>
        </w:rPr>
        <w:t xml:space="preserve"> irritation, vomiting should not be induced, and the patient should remain fully upright.</w:t>
      </w:r>
    </w:p>
    <w:p w14:paraId="43CAF572" w14:textId="77777777" w:rsidR="007C5D2A" w:rsidRPr="00C5726D" w:rsidRDefault="007C5D2A" w:rsidP="003E0341">
      <w:pPr>
        <w:tabs>
          <w:tab w:val="left" w:pos="851"/>
        </w:tabs>
        <w:ind w:left="851"/>
        <w:rPr>
          <w:sz w:val="24"/>
          <w:szCs w:val="24"/>
          <w:lang w:val="en-GB"/>
        </w:rPr>
      </w:pPr>
    </w:p>
    <w:p w14:paraId="5C36E829" w14:textId="77777777" w:rsidR="008F2F8C" w:rsidRPr="00C5726D" w:rsidRDefault="0042292D" w:rsidP="0042292D">
      <w:pPr>
        <w:tabs>
          <w:tab w:val="left" w:pos="851"/>
        </w:tabs>
        <w:rPr>
          <w:b/>
          <w:sz w:val="24"/>
          <w:szCs w:val="24"/>
          <w:lang w:val="en-GB"/>
        </w:rPr>
      </w:pPr>
      <w:r w:rsidRPr="00C5726D">
        <w:rPr>
          <w:b/>
          <w:sz w:val="24"/>
          <w:szCs w:val="24"/>
          <w:lang w:val="en-GB"/>
        </w:rPr>
        <w:t>4.10</w:t>
      </w:r>
      <w:r w:rsidRPr="00C5726D">
        <w:rPr>
          <w:b/>
          <w:sz w:val="24"/>
          <w:szCs w:val="24"/>
          <w:lang w:val="en-GB"/>
        </w:rPr>
        <w:tab/>
        <w:t>Legal status</w:t>
      </w:r>
    </w:p>
    <w:p w14:paraId="41754D41" w14:textId="4FD467B7" w:rsidR="00AD2E36" w:rsidRPr="00C5726D" w:rsidRDefault="00174F65" w:rsidP="00AD2E36">
      <w:pPr>
        <w:tabs>
          <w:tab w:val="left" w:pos="851"/>
        </w:tabs>
        <w:ind w:left="851"/>
        <w:rPr>
          <w:sz w:val="24"/>
          <w:szCs w:val="24"/>
          <w:lang w:val="en-GB"/>
        </w:rPr>
      </w:pPr>
      <w:r w:rsidRPr="00C5726D">
        <w:rPr>
          <w:sz w:val="24"/>
          <w:szCs w:val="24"/>
          <w:lang w:val="en-GB"/>
        </w:rPr>
        <w:t>B</w:t>
      </w:r>
    </w:p>
    <w:p w14:paraId="4C2180B8" w14:textId="77777777" w:rsidR="007C5D2A" w:rsidRPr="00C5726D" w:rsidRDefault="007C5D2A" w:rsidP="003E0341">
      <w:pPr>
        <w:tabs>
          <w:tab w:val="left" w:pos="851"/>
        </w:tabs>
        <w:ind w:left="851"/>
        <w:rPr>
          <w:sz w:val="24"/>
          <w:szCs w:val="24"/>
          <w:lang w:val="en-GB"/>
        </w:rPr>
      </w:pPr>
    </w:p>
    <w:p w14:paraId="3C53DEF9" w14:textId="77777777" w:rsidR="00AD2E36" w:rsidRPr="00C5726D" w:rsidRDefault="00AD2E36" w:rsidP="003E0341">
      <w:pPr>
        <w:tabs>
          <w:tab w:val="left" w:pos="851"/>
        </w:tabs>
        <w:ind w:left="851"/>
        <w:rPr>
          <w:sz w:val="24"/>
          <w:szCs w:val="24"/>
          <w:lang w:val="en-GB"/>
        </w:rPr>
      </w:pPr>
    </w:p>
    <w:p w14:paraId="789DBEE9" w14:textId="77777777" w:rsidR="007C5D2A" w:rsidRPr="00C5726D" w:rsidRDefault="007C5D2A" w:rsidP="007C5D2A">
      <w:pPr>
        <w:tabs>
          <w:tab w:val="left" w:pos="851"/>
        </w:tabs>
        <w:rPr>
          <w:b/>
          <w:sz w:val="24"/>
          <w:szCs w:val="24"/>
          <w:lang w:val="en-GB"/>
        </w:rPr>
      </w:pPr>
      <w:r w:rsidRPr="00C5726D">
        <w:rPr>
          <w:b/>
          <w:sz w:val="24"/>
          <w:szCs w:val="24"/>
          <w:lang w:val="en-GB"/>
        </w:rPr>
        <w:t>5.</w:t>
      </w:r>
      <w:r w:rsidRPr="00C5726D">
        <w:rPr>
          <w:b/>
          <w:sz w:val="24"/>
          <w:szCs w:val="24"/>
          <w:lang w:val="en-GB"/>
        </w:rPr>
        <w:tab/>
        <w:t>PHARMACOLOGICAL PROPERTIES</w:t>
      </w:r>
    </w:p>
    <w:p w14:paraId="56B1E349" w14:textId="77777777" w:rsidR="007C5D2A" w:rsidRPr="00C5726D" w:rsidRDefault="007C5D2A" w:rsidP="003E0341">
      <w:pPr>
        <w:tabs>
          <w:tab w:val="left" w:pos="851"/>
        </w:tabs>
        <w:ind w:left="851"/>
        <w:rPr>
          <w:sz w:val="24"/>
          <w:szCs w:val="24"/>
          <w:lang w:val="en-GB"/>
        </w:rPr>
      </w:pPr>
    </w:p>
    <w:p w14:paraId="01693E11" w14:textId="77777777" w:rsidR="007C5D2A" w:rsidRPr="00C5726D" w:rsidRDefault="007C5D2A" w:rsidP="007C5D2A">
      <w:pPr>
        <w:tabs>
          <w:tab w:val="left" w:pos="851"/>
        </w:tabs>
        <w:ind w:left="851" w:hanging="851"/>
        <w:rPr>
          <w:b/>
          <w:sz w:val="24"/>
          <w:szCs w:val="24"/>
          <w:lang w:val="en-GB"/>
        </w:rPr>
      </w:pPr>
      <w:r w:rsidRPr="00C5726D">
        <w:rPr>
          <w:b/>
          <w:sz w:val="24"/>
          <w:szCs w:val="24"/>
          <w:lang w:val="en-GB"/>
        </w:rPr>
        <w:t>5.1</w:t>
      </w:r>
      <w:r w:rsidRPr="00C5726D">
        <w:rPr>
          <w:b/>
          <w:sz w:val="24"/>
          <w:szCs w:val="24"/>
          <w:lang w:val="en-GB"/>
        </w:rPr>
        <w:tab/>
        <w:t>Pharmacodynamic properties</w:t>
      </w:r>
      <w:r w:rsidRPr="00C5726D">
        <w:rPr>
          <w:b/>
          <w:sz w:val="24"/>
          <w:szCs w:val="24"/>
          <w:lang w:val="en-GB"/>
        </w:rPr>
        <w:tab/>
      </w:r>
    </w:p>
    <w:p w14:paraId="0A1650AD" w14:textId="77777777" w:rsidR="00DD50E4" w:rsidRPr="00C5726D" w:rsidRDefault="00DD50E4" w:rsidP="00C5726D">
      <w:pPr>
        <w:ind w:left="851"/>
        <w:rPr>
          <w:sz w:val="24"/>
          <w:szCs w:val="24"/>
        </w:rPr>
      </w:pPr>
      <w:proofErr w:type="spellStart"/>
      <w:r w:rsidRPr="00C5726D">
        <w:rPr>
          <w:sz w:val="24"/>
          <w:szCs w:val="24"/>
        </w:rPr>
        <w:t>Pharmacotherapeutic</w:t>
      </w:r>
      <w:proofErr w:type="spellEnd"/>
      <w:r w:rsidRPr="00C5726D">
        <w:rPr>
          <w:sz w:val="24"/>
          <w:szCs w:val="24"/>
        </w:rPr>
        <w:t xml:space="preserve"> </w:t>
      </w:r>
      <w:proofErr w:type="spellStart"/>
      <w:r w:rsidRPr="00C5726D">
        <w:rPr>
          <w:sz w:val="24"/>
          <w:szCs w:val="24"/>
        </w:rPr>
        <w:t>group</w:t>
      </w:r>
      <w:proofErr w:type="spellEnd"/>
      <w:r w:rsidRPr="00C5726D">
        <w:rPr>
          <w:sz w:val="24"/>
          <w:szCs w:val="24"/>
        </w:rPr>
        <w:t xml:space="preserve">: Drugs for </w:t>
      </w:r>
      <w:proofErr w:type="spellStart"/>
      <w:r w:rsidRPr="00C5726D">
        <w:rPr>
          <w:sz w:val="24"/>
          <w:szCs w:val="24"/>
        </w:rPr>
        <w:t>treatment</w:t>
      </w:r>
      <w:proofErr w:type="spellEnd"/>
      <w:r w:rsidRPr="00C5726D">
        <w:rPr>
          <w:sz w:val="24"/>
          <w:szCs w:val="24"/>
        </w:rPr>
        <w:t xml:space="preserve"> of bone </w:t>
      </w:r>
      <w:proofErr w:type="spellStart"/>
      <w:r w:rsidRPr="00C5726D">
        <w:rPr>
          <w:sz w:val="24"/>
          <w:szCs w:val="24"/>
        </w:rPr>
        <w:t>diseases</w:t>
      </w:r>
      <w:proofErr w:type="spellEnd"/>
      <w:r w:rsidRPr="00C5726D">
        <w:rPr>
          <w:sz w:val="24"/>
          <w:szCs w:val="24"/>
        </w:rPr>
        <w:t xml:space="preserve">, </w:t>
      </w:r>
      <w:proofErr w:type="spellStart"/>
      <w:r w:rsidRPr="00C5726D">
        <w:rPr>
          <w:sz w:val="24"/>
          <w:szCs w:val="24"/>
        </w:rPr>
        <w:t>bisphosphonates</w:t>
      </w:r>
      <w:proofErr w:type="spellEnd"/>
    </w:p>
    <w:p w14:paraId="1521C0F6" w14:textId="28B04256" w:rsidR="00DD50E4" w:rsidRPr="00C5726D" w:rsidRDefault="00DD50E4" w:rsidP="00C5726D">
      <w:pPr>
        <w:ind w:left="851"/>
        <w:rPr>
          <w:b/>
          <w:sz w:val="24"/>
          <w:szCs w:val="24"/>
          <w:lang w:val="en-US"/>
        </w:rPr>
      </w:pPr>
      <w:r w:rsidRPr="00C5726D">
        <w:rPr>
          <w:iCs/>
          <w:sz w:val="24"/>
          <w:szCs w:val="24"/>
          <w:lang w:val="en-US"/>
        </w:rPr>
        <w:t>ATC code</w:t>
      </w:r>
      <w:r w:rsidRPr="00C5726D">
        <w:rPr>
          <w:i/>
          <w:sz w:val="24"/>
          <w:szCs w:val="24"/>
          <w:lang w:val="en-US"/>
        </w:rPr>
        <w:t>:</w:t>
      </w:r>
      <w:r w:rsidRPr="00C5726D">
        <w:rPr>
          <w:sz w:val="24"/>
          <w:szCs w:val="24"/>
          <w:lang w:val="en-US"/>
        </w:rPr>
        <w:t xml:space="preserve"> </w:t>
      </w:r>
      <w:bookmarkStart w:id="4" w:name="Dynamic"/>
      <w:bookmarkEnd w:id="4"/>
      <w:r w:rsidRPr="00C5726D">
        <w:rPr>
          <w:sz w:val="24"/>
          <w:szCs w:val="24"/>
          <w:lang w:val="en-US"/>
        </w:rPr>
        <w:t>M05BA04</w:t>
      </w:r>
      <w:r w:rsidR="00134C49">
        <w:rPr>
          <w:sz w:val="24"/>
          <w:szCs w:val="24"/>
          <w:lang w:val="en-US"/>
        </w:rPr>
        <w:t>.</w:t>
      </w:r>
    </w:p>
    <w:p w14:paraId="4AF4551D" w14:textId="77777777" w:rsidR="00DD50E4" w:rsidRPr="00C5726D" w:rsidRDefault="00DD50E4" w:rsidP="00C5726D">
      <w:pPr>
        <w:ind w:left="851"/>
        <w:rPr>
          <w:color w:val="000000"/>
          <w:sz w:val="24"/>
          <w:szCs w:val="24"/>
          <w:lang w:val="en-US"/>
        </w:rPr>
      </w:pPr>
    </w:p>
    <w:p w14:paraId="1A7218C6" w14:textId="77777777" w:rsidR="00DD50E4" w:rsidRPr="00C5726D" w:rsidRDefault="00DD50E4" w:rsidP="00C5726D">
      <w:pPr>
        <w:ind w:left="851"/>
        <w:rPr>
          <w:sz w:val="24"/>
          <w:szCs w:val="24"/>
          <w:u w:val="single"/>
          <w:lang w:val="en-US"/>
        </w:rPr>
      </w:pPr>
      <w:r w:rsidRPr="00C5726D">
        <w:rPr>
          <w:sz w:val="24"/>
          <w:szCs w:val="24"/>
          <w:u w:val="single"/>
          <w:lang w:val="en-US"/>
        </w:rPr>
        <w:t>Mechanism of action</w:t>
      </w:r>
    </w:p>
    <w:p w14:paraId="262D123D" w14:textId="77777777" w:rsidR="00DD50E4" w:rsidRPr="00C5726D" w:rsidRDefault="00DD50E4" w:rsidP="00C5726D">
      <w:pPr>
        <w:ind w:left="851"/>
        <w:rPr>
          <w:color w:val="000000"/>
          <w:sz w:val="24"/>
          <w:szCs w:val="24"/>
          <w:lang w:val="en-US"/>
        </w:rPr>
      </w:pPr>
      <w:r w:rsidRPr="00C5726D">
        <w:rPr>
          <w:color w:val="000000"/>
          <w:sz w:val="24"/>
          <w:szCs w:val="24"/>
          <w:lang w:val="en-US"/>
        </w:rPr>
        <w:t>Alendronate is an amino-bisphosphonate, which in animal studies was deposited among the osteoclasts in areas with bone resorption. It inhibits bone resorption with no direct effect on bone formation. Since bone resorption and bone formation are coupled, bone formation is also reduced, but to a lesser extent than resorption, resulting in a progressive increase in bone mass, with normal bone structure. Alendronate is stored in the bone matrix, where it is pharmacologically inactive.</w:t>
      </w:r>
    </w:p>
    <w:p w14:paraId="2A216B61" w14:textId="77777777" w:rsidR="00DD50E4" w:rsidRPr="00C5726D" w:rsidRDefault="00DD50E4" w:rsidP="00C5726D">
      <w:pPr>
        <w:ind w:left="851"/>
        <w:rPr>
          <w:color w:val="000000"/>
          <w:sz w:val="24"/>
          <w:szCs w:val="24"/>
          <w:lang w:val="en-US"/>
        </w:rPr>
      </w:pPr>
    </w:p>
    <w:p w14:paraId="5F212B13" w14:textId="77777777" w:rsidR="00DD50E4" w:rsidRPr="00C5726D" w:rsidRDefault="00DD50E4" w:rsidP="00C5726D">
      <w:pPr>
        <w:ind w:left="851"/>
        <w:rPr>
          <w:color w:val="000000"/>
          <w:sz w:val="24"/>
          <w:szCs w:val="24"/>
          <w:lang w:val="en-US"/>
        </w:rPr>
      </w:pPr>
      <w:r w:rsidRPr="00C5726D">
        <w:rPr>
          <w:color w:val="000000"/>
          <w:sz w:val="24"/>
          <w:szCs w:val="24"/>
          <w:lang w:val="en-US"/>
        </w:rPr>
        <w:t xml:space="preserve">In rats the lowest dose of alendronate which influenced bone </w:t>
      </w:r>
      <w:proofErr w:type="spellStart"/>
      <w:r w:rsidRPr="00C5726D">
        <w:rPr>
          <w:color w:val="000000"/>
          <w:sz w:val="24"/>
          <w:szCs w:val="24"/>
          <w:lang w:val="en-US"/>
        </w:rPr>
        <w:t>mineralisation</w:t>
      </w:r>
      <w:proofErr w:type="spellEnd"/>
      <w:r w:rsidRPr="00C5726D">
        <w:rPr>
          <w:color w:val="000000"/>
          <w:sz w:val="24"/>
          <w:szCs w:val="24"/>
          <w:lang w:val="en-US"/>
        </w:rPr>
        <w:t xml:space="preserve"> (leading to </w:t>
      </w:r>
      <w:proofErr w:type="spellStart"/>
      <w:r w:rsidRPr="00C5726D">
        <w:rPr>
          <w:color w:val="000000"/>
          <w:sz w:val="24"/>
          <w:szCs w:val="24"/>
          <w:lang w:val="en-US"/>
        </w:rPr>
        <w:t>osteomalacia</w:t>
      </w:r>
      <w:proofErr w:type="spellEnd"/>
      <w:r w:rsidRPr="00C5726D">
        <w:rPr>
          <w:color w:val="000000"/>
          <w:sz w:val="24"/>
          <w:szCs w:val="24"/>
          <w:lang w:val="en-US"/>
        </w:rPr>
        <w:t xml:space="preserve">) was 6000 times greater than the antiresorptive dose. This data indicates that alendronate administered in therapeutic doses is most unlikely to induce </w:t>
      </w:r>
      <w:proofErr w:type="spellStart"/>
      <w:r w:rsidRPr="00C5726D">
        <w:rPr>
          <w:color w:val="000000"/>
          <w:sz w:val="24"/>
          <w:szCs w:val="24"/>
          <w:lang w:val="en-US"/>
        </w:rPr>
        <w:t>osteomalacia</w:t>
      </w:r>
      <w:proofErr w:type="spellEnd"/>
      <w:r w:rsidRPr="00C5726D">
        <w:rPr>
          <w:color w:val="000000"/>
          <w:sz w:val="24"/>
          <w:szCs w:val="24"/>
          <w:lang w:val="en-US"/>
        </w:rPr>
        <w:t>.</w:t>
      </w:r>
    </w:p>
    <w:p w14:paraId="167E52A5" w14:textId="77777777" w:rsidR="00DD50E4" w:rsidRPr="00C5726D" w:rsidRDefault="00DD50E4" w:rsidP="00C5726D">
      <w:pPr>
        <w:ind w:left="851"/>
        <w:rPr>
          <w:color w:val="000000"/>
          <w:sz w:val="24"/>
          <w:szCs w:val="24"/>
          <w:lang w:val="en-US"/>
        </w:rPr>
      </w:pPr>
    </w:p>
    <w:p w14:paraId="07353626" w14:textId="77777777" w:rsidR="00DD50E4" w:rsidRPr="00C5726D" w:rsidRDefault="00DD50E4" w:rsidP="00C5726D">
      <w:pPr>
        <w:ind w:left="851"/>
        <w:rPr>
          <w:sz w:val="24"/>
          <w:szCs w:val="24"/>
          <w:u w:val="single"/>
          <w:lang w:val="en-US"/>
        </w:rPr>
      </w:pPr>
      <w:r w:rsidRPr="00C5726D">
        <w:rPr>
          <w:sz w:val="24"/>
          <w:szCs w:val="24"/>
          <w:u w:val="single"/>
          <w:lang w:val="en-US"/>
        </w:rPr>
        <w:t>Clinical efficacy and safety</w:t>
      </w:r>
    </w:p>
    <w:p w14:paraId="1F6AF7BE" w14:textId="77777777" w:rsidR="00DD50E4" w:rsidRPr="00C5726D" w:rsidRDefault="00DD50E4" w:rsidP="00C5726D">
      <w:pPr>
        <w:ind w:left="851"/>
        <w:rPr>
          <w:color w:val="000000"/>
          <w:sz w:val="24"/>
          <w:szCs w:val="24"/>
          <w:lang w:val="en-US"/>
        </w:rPr>
      </w:pPr>
    </w:p>
    <w:p w14:paraId="65AF06BE" w14:textId="77777777" w:rsidR="00DD50E4" w:rsidRPr="00C5726D" w:rsidRDefault="00DD50E4" w:rsidP="00C5726D">
      <w:pPr>
        <w:ind w:left="851"/>
        <w:rPr>
          <w:i/>
          <w:color w:val="000000"/>
          <w:sz w:val="24"/>
          <w:szCs w:val="24"/>
          <w:lang w:val="en-US"/>
        </w:rPr>
      </w:pPr>
      <w:r w:rsidRPr="00C5726D">
        <w:rPr>
          <w:i/>
          <w:color w:val="000000"/>
          <w:sz w:val="24"/>
          <w:szCs w:val="24"/>
          <w:lang w:val="en-US"/>
        </w:rPr>
        <w:t>Osteoporosis in postmenopausal women</w:t>
      </w:r>
    </w:p>
    <w:p w14:paraId="06A2953F" w14:textId="77777777" w:rsidR="00DD50E4" w:rsidRPr="00C5726D" w:rsidRDefault="00DD50E4" w:rsidP="00C5726D">
      <w:pPr>
        <w:ind w:left="851"/>
        <w:rPr>
          <w:color w:val="000000"/>
          <w:sz w:val="24"/>
          <w:szCs w:val="24"/>
          <w:lang w:val="en-US"/>
        </w:rPr>
      </w:pPr>
      <w:r w:rsidRPr="00C5726D">
        <w:rPr>
          <w:color w:val="000000"/>
          <w:sz w:val="24"/>
          <w:szCs w:val="24"/>
          <w:lang w:val="en-US"/>
        </w:rPr>
        <w:t>Alendronate treatment of postmenopausal women produces biochemical changes which indicate dose-dependent inhibition of bone resorption.</w:t>
      </w:r>
    </w:p>
    <w:p w14:paraId="26444CC8" w14:textId="77777777" w:rsidR="00DD50E4" w:rsidRPr="00C5726D" w:rsidRDefault="00DD50E4" w:rsidP="00C5726D">
      <w:pPr>
        <w:ind w:left="851"/>
        <w:rPr>
          <w:color w:val="000000"/>
          <w:sz w:val="24"/>
          <w:szCs w:val="24"/>
          <w:lang w:val="en-US"/>
        </w:rPr>
      </w:pPr>
    </w:p>
    <w:p w14:paraId="254265A8" w14:textId="77777777" w:rsidR="00DD50E4" w:rsidRPr="00C5726D" w:rsidRDefault="00DD50E4" w:rsidP="00C5726D">
      <w:pPr>
        <w:ind w:left="851"/>
        <w:rPr>
          <w:color w:val="000000"/>
          <w:sz w:val="24"/>
          <w:szCs w:val="24"/>
          <w:lang w:val="en-US"/>
        </w:rPr>
      </w:pPr>
      <w:r w:rsidRPr="00C5726D">
        <w:rPr>
          <w:color w:val="000000"/>
          <w:sz w:val="24"/>
          <w:szCs w:val="24"/>
          <w:lang w:val="en-US"/>
        </w:rPr>
        <w:t xml:space="preserve">In investigations lasting up to 5 years, 10 mg/day alendronate for 3-6 months, reduced the biochemical markers for bone resorption by approx. 50-70% to a level corresponding to that seen in healthy pre-menopausal women. The markers of bone formation were similarly reduced by 25-50% after 6-12 months. The new plateau for bone resorption and bone formation was maintained for the rest of the period of alendronate treatment. </w:t>
      </w:r>
    </w:p>
    <w:p w14:paraId="7F429F11" w14:textId="77777777" w:rsidR="00DD50E4" w:rsidRPr="00C5726D" w:rsidRDefault="00DD50E4" w:rsidP="00C5726D">
      <w:pPr>
        <w:ind w:left="851"/>
        <w:rPr>
          <w:color w:val="000000"/>
          <w:sz w:val="24"/>
          <w:szCs w:val="24"/>
          <w:lang w:val="en-US"/>
        </w:rPr>
      </w:pPr>
    </w:p>
    <w:p w14:paraId="39DD427E" w14:textId="77777777" w:rsidR="00DD50E4" w:rsidRPr="00C5726D" w:rsidRDefault="00DD50E4" w:rsidP="00C5726D">
      <w:pPr>
        <w:ind w:left="851"/>
        <w:rPr>
          <w:i/>
          <w:color w:val="000000"/>
          <w:sz w:val="24"/>
          <w:szCs w:val="24"/>
          <w:lang w:val="en-US"/>
        </w:rPr>
      </w:pPr>
      <w:r w:rsidRPr="00C5726D">
        <w:rPr>
          <w:i/>
          <w:color w:val="000000"/>
          <w:sz w:val="24"/>
          <w:szCs w:val="24"/>
          <w:lang w:val="en-US"/>
        </w:rPr>
        <w:t>Effect on bone mineral density</w:t>
      </w:r>
    </w:p>
    <w:p w14:paraId="784CA43A" w14:textId="77777777" w:rsidR="00DD50E4" w:rsidRPr="00C5726D" w:rsidRDefault="00DD50E4" w:rsidP="00C5726D">
      <w:pPr>
        <w:ind w:left="851"/>
        <w:rPr>
          <w:color w:val="000000"/>
          <w:sz w:val="24"/>
          <w:szCs w:val="24"/>
          <w:lang w:val="en-US"/>
        </w:rPr>
      </w:pPr>
      <w:r w:rsidRPr="00C5726D">
        <w:rPr>
          <w:color w:val="000000"/>
          <w:sz w:val="24"/>
          <w:szCs w:val="24"/>
          <w:lang w:val="en-US"/>
        </w:rPr>
        <w:t>In clinical studies, 10 mg alendronate once a day for 3 years produced an increase in bone mineral density (BMD) in postmenopausal women with osteoporosis. After three years treatment with 10 mg alendronate once a day there was an increase (compared with placebo) in BMD of approx. 8.8% in the lumbar spine, 5.9% in the femoral neck, 7.8% in the trochanter, 2.2% in the forearm and 2.5% in the whole body. In the 2-year extension of these studies, treatment with 10 mg alendronate once a day lead to continued increase in BMD in the spinal column and trochanter (further absolute increase between years 3 and 5: spinal column, 0.94%, trochanter 0.88%,). BMD in the femoral neck, forearm and whole body was maintained.</w:t>
      </w:r>
    </w:p>
    <w:p w14:paraId="2F4537B6" w14:textId="77777777" w:rsidR="00DD50E4" w:rsidRPr="00C5726D" w:rsidRDefault="00DD50E4" w:rsidP="00C5726D">
      <w:pPr>
        <w:ind w:left="851"/>
        <w:rPr>
          <w:color w:val="000000"/>
          <w:sz w:val="24"/>
          <w:szCs w:val="24"/>
          <w:lang w:val="en-US"/>
        </w:rPr>
      </w:pPr>
    </w:p>
    <w:p w14:paraId="0D7717AA" w14:textId="77777777" w:rsidR="00DD50E4" w:rsidRPr="00C5726D" w:rsidRDefault="00DD50E4" w:rsidP="00C5726D">
      <w:pPr>
        <w:ind w:left="851"/>
        <w:rPr>
          <w:color w:val="000000"/>
          <w:sz w:val="24"/>
          <w:szCs w:val="24"/>
          <w:lang w:val="en-US"/>
        </w:rPr>
      </w:pPr>
      <w:r w:rsidRPr="00C5726D">
        <w:rPr>
          <w:color w:val="000000"/>
          <w:sz w:val="24"/>
          <w:szCs w:val="24"/>
          <w:lang w:val="en-US"/>
        </w:rPr>
        <w:t>The effect of alendronate was the same regardless of age, race, initial rate of bone turnover, kidney function and use together with a wide-ranging assortment of other medicinal products.</w:t>
      </w:r>
    </w:p>
    <w:p w14:paraId="2CD3805E" w14:textId="77777777" w:rsidR="00DD50E4" w:rsidRPr="00C5726D" w:rsidRDefault="00DD50E4" w:rsidP="00C5726D">
      <w:pPr>
        <w:ind w:left="851"/>
        <w:rPr>
          <w:color w:val="000000"/>
          <w:sz w:val="24"/>
          <w:szCs w:val="24"/>
          <w:lang w:val="en-US"/>
        </w:rPr>
      </w:pPr>
    </w:p>
    <w:p w14:paraId="48F0650C" w14:textId="77777777" w:rsidR="00DD50E4" w:rsidRPr="00C5726D" w:rsidRDefault="00DD50E4" w:rsidP="00C5726D">
      <w:pPr>
        <w:ind w:left="851"/>
        <w:rPr>
          <w:color w:val="000000"/>
          <w:sz w:val="24"/>
          <w:szCs w:val="24"/>
          <w:lang w:val="en-US"/>
        </w:rPr>
      </w:pPr>
      <w:r w:rsidRPr="00C5726D">
        <w:rPr>
          <w:color w:val="000000"/>
          <w:sz w:val="24"/>
          <w:szCs w:val="24"/>
          <w:lang w:val="en-US"/>
        </w:rPr>
        <w:t>After withdrawal of alendronate after 1-2 years’ therapy, neither further increase in bone mass, nor accelerated bone loss was observed. This data indicates that daily treatment with alendronate has to be continued in order to produce progressive increase in bone mass.</w:t>
      </w:r>
    </w:p>
    <w:p w14:paraId="49616177" w14:textId="77777777" w:rsidR="00DD50E4" w:rsidRPr="00C5726D" w:rsidRDefault="00DD50E4" w:rsidP="00C5726D">
      <w:pPr>
        <w:ind w:left="851"/>
        <w:rPr>
          <w:color w:val="000000"/>
          <w:sz w:val="24"/>
          <w:szCs w:val="24"/>
          <w:lang w:val="en-US"/>
        </w:rPr>
      </w:pPr>
    </w:p>
    <w:p w14:paraId="37E4DF7B" w14:textId="77777777" w:rsidR="00DD50E4" w:rsidRPr="00C5726D" w:rsidRDefault="00DD50E4" w:rsidP="00C5726D">
      <w:pPr>
        <w:ind w:left="851"/>
        <w:rPr>
          <w:i/>
          <w:color w:val="000000"/>
          <w:sz w:val="24"/>
          <w:szCs w:val="24"/>
          <w:lang w:val="en-US"/>
        </w:rPr>
      </w:pPr>
      <w:r w:rsidRPr="00C5726D">
        <w:rPr>
          <w:i/>
          <w:color w:val="000000"/>
          <w:sz w:val="24"/>
          <w:szCs w:val="24"/>
          <w:lang w:val="en-US"/>
        </w:rPr>
        <w:t>Effect on incidence of fracture</w:t>
      </w:r>
    </w:p>
    <w:p w14:paraId="625E55F0" w14:textId="77777777" w:rsidR="00DD50E4" w:rsidRPr="00C5726D" w:rsidRDefault="00DD50E4" w:rsidP="00C5726D">
      <w:pPr>
        <w:ind w:left="851"/>
        <w:rPr>
          <w:color w:val="000000"/>
          <w:sz w:val="24"/>
          <w:szCs w:val="24"/>
          <w:lang w:val="en-US"/>
        </w:rPr>
      </w:pPr>
      <w:r w:rsidRPr="00C5726D">
        <w:rPr>
          <w:color w:val="000000"/>
          <w:sz w:val="24"/>
          <w:szCs w:val="24"/>
          <w:lang w:val="en-US"/>
        </w:rPr>
        <w:t>Alendronate produced the same reduction of incidence in both vertebral and non-vertebral fractures in patients who have had no previous fractures and those with previous vertebral fractures.</w:t>
      </w:r>
    </w:p>
    <w:p w14:paraId="5813B360" w14:textId="77777777" w:rsidR="00DD50E4" w:rsidRPr="00C5726D" w:rsidRDefault="00DD50E4" w:rsidP="00C5726D">
      <w:pPr>
        <w:ind w:left="851"/>
        <w:rPr>
          <w:color w:val="000000"/>
          <w:sz w:val="24"/>
          <w:szCs w:val="24"/>
          <w:lang w:val="en-US"/>
        </w:rPr>
      </w:pPr>
    </w:p>
    <w:p w14:paraId="06D545E4" w14:textId="77777777" w:rsidR="00DD50E4" w:rsidRPr="00C5726D" w:rsidRDefault="00DD50E4" w:rsidP="00C5726D">
      <w:pPr>
        <w:ind w:left="851"/>
        <w:rPr>
          <w:color w:val="000000"/>
          <w:sz w:val="24"/>
          <w:szCs w:val="24"/>
          <w:lang w:val="en-US"/>
        </w:rPr>
      </w:pPr>
      <w:r w:rsidRPr="00C5726D">
        <w:rPr>
          <w:color w:val="000000"/>
          <w:sz w:val="24"/>
          <w:szCs w:val="24"/>
          <w:lang w:val="en-US"/>
        </w:rPr>
        <w:t>Analysis of 3 years’ pooled data from the two largest treatment studies in which various doses of alendronate were administered to postmenopausal women, yielded the following results: 48% reduction in the proportion of patients who experienced one or several vertebral fractures (alendronate 3.2% v. placebo 6.2%). In patients who did have vertebral fracture, the loss in height was less in those who were treated with alendronate (5.9mm v. 23.3mm). Pooled data from 5 studies of 2-3 years’ duration showed 29% reduction in the number of non-vertebral fractures (alendronate 9.0% v. placebo 12.6%).</w:t>
      </w:r>
    </w:p>
    <w:p w14:paraId="3EE6F167" w14:textId="77777777" w:rsidR="00DD50E4" w:rsidRPr="00C5726D" w:rsidRDefault="00DD50E4" w:rsidP="00C5726D">
      <w:pPr>
        <w:ind w:left="851"/>
        <w:rPr>
          <w:color w:val="000000"/>
          <w:sz w:val="24"/>
          <w:szCs w:val="24"/>
          <w:lang w:val="en-US"/>
        </w:rPr>
      </w:pPr>
      <w:r w:rsidRPr="00C5726D">
        <w:rPr>
          <w:color w:val="000000"/>
          <w:sz w:val="24"/>
          <w:szCs w:val="24"/>
          <w:lang w:val="en-US"/>
        </w:rPr>
        <w:t xml:space="preserve">Three years’ treatment with alendronate (5 mg/day for the first 2 years, 10 mg/day for the 3rd year) in postmenopausal women with osteoporosis (who had had at least one crush fracture of the spinal vertebrae) led to reduction of incidence of fracture as follows: </w:t>
      </w:r>
    </w:p>
    <w:p w14:paraId="3CC7D163" w14:textId="77777777" w:rsidR="00DD50E4" w:rsidRPr="00C5726D" w:rsidRDefault="00DD50E4" w:rsidP="00C5726D">
      <w:pPr>
        <w:ind w:left="851"/>
        <w:rPr>
          <w:color w:val="000000"/>
          <w:sz w:val="24"/>
          <w:szCs w:val="24"/>
          <w:lang w:val="en-US"/>
        </w:rPr>
      </w:pPr>
      <w:r w:rsidRPr="00C5726D">
        <w:rPr>
          <w:color w:val="000000"/>
          <w:sz w:val="24"/>
          <w:szCs w:val="24"/>
          <w:lang w:val="en-US"/>
        </w:rPr>
        <w:t>Ratio of patients who experienced at least one new vertebral fracture (alendronate 8.0% v. placebo 15.0%, a reduction of 47%); at least two new vertebral fractures (0.5% v. 4.9%, a reduction of 90%); any clinical (i.e. painful) fracture (13.7% v. 18.3%, a reduction of 28%); hip fracture (1.1% v. 2.2%, a reduction of 51%); and wrist (forearm) fracture (2.2% v. 4.1%, a reduction of 48%).</w:t>
      </w:r>
    </w:p>
    <w:p w14:paraId="58B89C0E" w14:textId="77777777" w:rsidR="00DD50E4" w:rsidRPr="00C5726D" w:rsidRDefault="00DD50E4" w:rsidP="00C5726D">
      <w:pPr>
        <w:ind w:left="851"/>
        <w:rPr>
          <w:color w:val="000000"/>
          <w:sz w:val="24"/>
          <w:szCs w:val="24"/>
          <w:lang w:val="en-US"/>
        </w:rPr>
      </w:pPr>
    </w:p>
    <w:p w14:paraId="3D479DCD" w14:textId="77777777" w:rsidR="00DD50E4" w:rsidRPr="00C5726D" w:rsidRDefault="00DD50E4" w:rsidP="00C5726D">
      <w:pPr>
        <w:ind w:left="851"/>
        <w:rPr>
          <w:i/>
          <w:color w:val="000000"/>
          <w:sz w:val="24"/>
          <w:szCs w:val="24"/>
          <w:lang w:val="en-US"/>
        </w:rPr>
      </w:pPr>
      <w:r w:rsidRPr="00C5726D">
        <w:rPr>
          <w:i/>
          <w:color w:val="000000"/>
          <w:sz w:val="24"/>
          <w:szCs w:val="24"/>
          <w:lang w:val="en-US"/>
        </w:rPr>
        <w:t>Bone histology</w:t>
      </w:r>
    </w:p>
    <w:p w14:paraId="7F7D9DB5" w14:textId="77777777" w:rsidR="00DD50E4" w:rsidRPr="00C5726D" w:rsidRDefault="00DD50E4" w:rsidP="00C5726D">
      <w:pPr>
        <w:ind w:left="851"/>
        <w:rPr>
          <w:color w:val="000000"/>
          <w:sz w:val="24"/>
          <w:szCs w:val="24"/>
          <w:lang w:val="en-US"/>
        </w:rPr>
      </w:pPr>
      <w:r w:rsidRPr="00C5726D">
        <w:rPr>
          <w:color w:val="000000"/>
          <w:sz w:val="24"/>
          <w:szCs w:val="24"/>
          <w:lang w:val="en-US"/>
        </w:rPr>
        <w:t xml:space="preserve">Bone histology in 270 postmenopausal women with osteoporosis treated with alendronate at doses from 1-20 mg/day for 1-3 years showed normal </w:t>
      </w:r>
      <w:proofErr w:type="spellStart"/>
      <w:r w:rsidRPr="00C5726D">
        <w:rPr>
          <w:color w:val="000000"/>
          <w:sz w:val="24"/>
          <w:szCs w:val="24"/>
          <w:lang w:val="en-US"/>
        </w:rPr>
        <w:t>mineralisation</w:t>
      </w:r>
      <w:proofErr w:type="spellEnd"/>
      <w:r w:rsidRPr="00C5726D">
        <w:rPr>
          <w:color w:val="000000"/>
          <w:sz w:val="24"/>
          <w:szCs w:val="24"/>
          <w:lang w:val="en-US"/>
        </w:rPr>
        <w:t xml:space="preserve"> and structure as well as the expected decrease in bone turnover relative to placebo.</w:t>
      </w:r>
    </w:p>
    <w:p w14:paraId="11181999" w14:textId="77777777" w:rsidR="00DD50E4" w:rsidRPr="00C5726D" w:rsidRDefault="00DD50E4" w:rsidP="00C5726D">
      <w:pPr>
        <w:ind w:left="851"/>
        <w:rPr>
          <w:color w:val="000000"/>
          <w:sz w:val="24"/>
          <w:szCs w:val="24"/>
          <w:lang w:val="en-US"/>
        </w:rPr>
      </w:pPr>
    </w:p>
    <w:p w14:paraId="649ACB56" w14:textId="77777777" w:rsidR="00DD50E4" w:rsidRPr="0070712E" w:rsidRDefault="00DD50E4" w:rsidP="00C5726D">
      <w:pPr>
        <w:ind w:left="851"/>
        <w:rPr>
          <w:i/>
          <w:sz w:val="24"/>
          <w:szCs w:val="24"/>
          <w:lang w:val="en-US"/>
        </w:rPr>
      </w:pPr>
      <w:r w:rsidRPr="0070712E">
        <w:rPr>
          <w:i/>
          <w:sz w:val="24"/>
          <w:szCs w:val="24"/>
          <w:lang w:val="en-US"/>
        </w:rPr>
        <w:t>Laboratory test findings</w:t>
      </w:r>
    </w:p>
    <w:p w14:paraId="21778A65" w14:textId="15987DAF" w:rsidR="00DD50E4" w:rsidRPr="0070712E" w:rsidRDefault="00DD50E4" w:rsidP="00C5726D">
      <w:pPr>
        <w:ind w:left="851"/>
        <w:rPr>
          <w:sz w:val="24"/>
          <w:szCs w:val="24"/>
          <w:lang w:val="en-US"/>
        </w:rPr>
      </w:pPr>
      <w:r w:rsidRPr="0070712E">
        <w:rPr>
          <w:sz w:val="24"/>
          <w:szCs w:val="24"/>
          <w:lang w:val="en-US"/>
        </w:rPr>
        <w:t xml:space="preserve">In </w:t>
      </w:r>
      <w:r w:rsidRPr="0070712E">
        <w:rPr>
          <w:spacing w:val="-7"/>
          <w:sz w:val="24"/>
          <w:szCs w:val="24"/>
          <w:lang w:val="en-US"/>
        </w:rPr>
        <w:t xml:space="preserve">clinical </w:t>
      </w:r>
      <w:r w:rsidRPr="0070712E">
        <w:rPr>
          <w:spacing w:val="-4"/>
          <w:sz w:val="24"/>
          <w:szCs w:val="24"/>
          <w:lang w:val="en-US"/>
        </w:rPr>
        <w:t xml:space="preserve">studies, </w:t>
      </w:r>
      <w:r w:rsidRPr="0070712E">
        <w:rPr>
          <w:spacing w:val="-5"/>
          <w:sz w:val="24"/>
          <w:szCs w:val="24"/>
          <w:lang w:val="en-US"/>
        </w:rPr>
        <w:t xml:space="preserve">asymptomatic, </w:t>
      </w:r>
      <w:r w:rsidRPr="0070712E">
        <w:rPr>
          <w:spacing w:val="-12"/>
          <w:sz w:val="24"/>
          <w:szCs w:val="24"/>
          <w:lang w:val="en-US"/>
        </w:rPr>
        <w:t xml:space="preserve">mild </w:t>
      </w:r>
      <w:r w:rsidRPr="0070712E">
        <w:rPr>
          <w:sz w:val="24"/>
          <w:szCs w:val="24"/>
          <w:lang w:val="en-US"/>
        </w:rPr>
        <w:t xml:space="preserve">and </w:t>
      </w:r>
      <w:r w:rsidRPr="0070712E">
        <w:rPr>
          <w:spacing w:val="-3"/>
          <w:sz w:val="24"/>
          <w:szCs w:val="24"/>
          <w:lang w:val="en-US"/>
        </w:rPr>
        <w:t xml:space="preserve">transient </w:t>
      </w:r>
      <w:r w:rsidRPr="0070712E">
        <w:rPr>
          <w:sz w:val="24"/>
          <w:szCs w:val="24"/>
          <w:lang w:val="en-US"/>
        </w:rPr>
        <w:t xml:space="preserve">decreases </w:t>
      </w:r>
      <w:r w:rsidRPr="0070712E">
        <w:rPr>
          <w:spacing w:val="-9"/>
          <w:sz w:val="24"/>
          <w:szCs w:val="24"/>
          <w:lang w:val="en-US"/>
        </w:rPr>
        <w:t xml:space="preserve">in </w:t>
      </w:r>
      <w:r w:rsidRPr="0070712E">
        <w:rPr>
          <w:sz w:val="24"/>
          <w:szCs w:val="24"/>
          <w:lang w:val="en-US"/>
        </w:rPr>
        <w:t xml:space="preserve">serum </w:t>
      </w:r>
      <w:r w:rsidRPr="0070712E">
        <w:rPr>
          <w:spacing w:val="-5"/>
          <w:sz w:val="24"/>
          <w:szCs w:val="24"/>
          <w:lang w:val="en-US"/>
        </w:rPr>
        <w:t xml:space="preserve">calcium </w:t>
      </w:r>
      <w:r w:rsidRPr="0070712E">
        <w:rPr>
          <w:sz w:val="24"/>
          <w:szCs w:val="24"/>
          <w:lang w:val="en-US"/>
        </w:rPr>
        <w:t xml:space="preserve">and </w:t>
      </w:r>
      <w:r w:rsidRPr="0070712E">
        <w:rPr>
          <w:spacing w:val="-5"/>
          <w:sz w:val="24"/>
          <w:szCs w:val="24"/>
          <w:lang w:val="en-US"/>
        </w:rPr>
        <w:t xml:space="preserve">phosphate </w:t>
      </w:r>
      <w:r w:rsidRPr="0070712E">
        <w:rPr>
          <w:sz w:val="24"/>
          <w:szCs w:val="24"/>
          <w:lang w:val="en-US"/>
        </w:rPr>
        <w:t xml:space="preserve">were observed </w:t>
      </w:r>
      <w:r w:rsidRPr="0070712E">
        <w:rPr>
          <w:spacing w:val="-9"/>
          <w:sz w:val="24"/>
          <w:szCs w:val="24"/>
          <w:lang w:val="en-US"/>
        </w:rPr>
        <w:t xml:space="preserve">in </w:t>
      </w:r>
      <w:r w:rsidRPr="0070712E">
        <w:rPr>
          <w:spacing w:val="-6"/>
          <w:sz w:val="24"/>
          <w:szCs w:val="24"/>
          <w:lang w:val="en-US"/>
        </w:rPr>
        <w:t xml:space="preserve">approximately </w:t>
      </w:r>
      <w:r w:rsidRPr="0070712E">
        <w:rPr>
          <w:spacing w:val="-4"/>
          <w:sz w:val="24"/>
          <w:szCs w:val="24"/>
          <w:lang w:val="en-US"/>
        </w:rPr>
        <w:t xml:space="preserve">18 </w:t>
      </w:r>
      <w:r w:rsidRPr="0070712E">
        <w:rPr>
          <w:sz w:val="24"/>
          <w:szCs w:val="24"/>
          <w:lang w:val="en-US"/>
        </w:rPr>
        <w:t xml:space="preserve">and </w:t>
      </w:r>
      <w:r w:rsidRPr="0070712E">
        <w:rPr>
          <w:spacing w:val="-3"/>
          <w:sz w:val="24"/>
          <w:szCs w:val="24"/>
          <w:lang w:val="en-US"/>
        </w:rPr>
        <w:t xml:space="preserve">10%, </w:t>
      </w:r>
      <w:r w:rsidRPr="0070712E">
        <w:rPr>
          <w:spacing w:val="-4"/>
          <w:sz w:val="24"/>
          <w:szCs w:val="24"/>
          <w:lang w:val="en-US"/>
        </w:rPr>
        <w:t xml:space="preserve">respectively, of patients </w:t>
      </w:r>
      <w:r w:rsidRPr="0070712E">
        <w:rPr>
          <w:spacing w:val="-6"/>
          <w:sz w:val="24"/>
          <w:szCs w:val="24"/>
          <w:lang w:val="en-US"/>
        </w:rPr>
        <w:t xml:space="preserve">taking </w:t>
      </w:r>
      <w:r w:rsidRPr="0070712E">
        <w:rPr>
          <w:spacing w:val="-4"/>
          <w:sz w:val="24"/>
          <w:szCs w:val="24"/>
          <w:lang w:val="en-US"/>
        </w:rPr>
        <w:t>alendronate 10</w:t>
      </w:r>
      <w:r w:rsidR="00134C49">
        <w:rPr>
          <w:spacing w:val="-4"/>
          <w:sz w:val="24"/>
          <w:szCs w:val="24"/>
          <w:lang w:val="en-US"/>
        </w:rPr>
        <w:t> </w:t>
      </w:r>
      <w:r w:rsidRPr="0070712E">
        <w:rPr>
          <w:spacing w:val="-5"/>
          <w:sz w:val="24"/>
          <w:szCs w:val="24"/>
          <w:lang w:val="en-US"/>
        </w:rPr>
        <w:t xml:space="preserve">mg/day </w:t>
      </w:r>
      <w:r w:rsidRPr="0070712E">
        <w:rPr>
          <w:sz w:val="24"/>
          <w:szCs w:val="24"/>
          <w:lang w:val="en-US"/>
        </w:rPr>
        <w:t xml:space="preserve">versus </w:t>
      </w:r>
      <w:r w:rsidRPr="0070712E">
        <w:rPr>
          <w:spacing w:val="-6"/>
          <w:sz w:val="24"/>
          <w:szCs w:val="24"/>
          <w:lang w:val="en-US"/>
        </w:rPr>
        <w:t xml:space="preserve">approximately </w:t>
      </w:r>
      <w:r w:rsidRPr="0070712E">
        <w:rPr>
          <w:spacing w:val="-4"/>
          <w:sz w:val="24"/>
          <w:szCs w:val="24"/>
          <w:lang w:val="en-US"/>
        </w:rPr>
        <w:t xml:space="preserve">12 </w:t>
      </w:r>
      <w:r w:rsidRPr="0070712E">
        <w:rPr>
          <w:sz w:val="24"/>
          <w:szCs w:val="24"/>
          <w:lang w:val="en-US"/>
        </w:rPr>
        <w:t xml:space="preserve">and </w:t>
      </w:r>
      <w:r w:rsidRPr="0070712E">
        <w:rPr>
          <w:spacing w:val="-4"/>
          <w:sz w:val="24"/>
          <w:szCs w:val="24"/>
          <w:lang w:val="en-US"/>
        </w:rPr>
        <w:t xml:space="preserve">3% of those </w:t>
      </w:r>
      <w:r w:rsidRPr="0070712E">
        <w:rPr>
          <w:spacing w:val="-6"/>
          <w:sz w:val="24"/>
          <w:szCs w:val="24"/>
          <w:lang w:val="en-US"/>
        </w:rPr>
        <w:t xml:space="preserve">taking </w:t>
      </w:r>
      <w:r w:rsidRPr="0070712E">
        <w:rPr>
          <w:spacing w:val="-4"/>
          <w:sz w:val="24"/>
          <w:szCs w:val="24"/>
          <w:lang w:val="en-US"/>
        </w:rPr>
        <w:t xml:space="preserve">placebo. </w:t>
      </w:r>
      <w:r w:rsidRPr="0070712E">
        <w:rPr>
          <w:sz w:val="24"/>
          <w:szCs w:val="24"/>
          <w:lang w:val="en-US"/>
        </w:rPr>
        <w:t xml:space="preserve">However, </w:t>
      </w:r>
      <w:r w:rsidRPr="0070712E">
        <w:rPr>
          <w:spacing w:val="-4"/>
          <w:sz w:val="24"/>
          <w:szCs w:val="24"/>
          <w:lang w:val="en-US"/>
        </w:rPr>
        <w:t xml:space="preserve">the </w:t>
      </w:r>
      <w:r w:rsidRPr="0070712E">
        <w:rPr>
          <w:spacing w:val="-5"/>
          <w:sz w:val="24"/>
          <w:szCs w:val="24"/>
          <w:lang w:val="en-US"/>
        </w:rPr>
        <w:t xml:space="preserve">incidences </w:t>
      </w:r>
      <w:r w:rsidRPr="0070712E">
        <w:rPr>
          <w:spacing w:val="-4"/>
          <w:sz w:val="24"/>
          <w:szCs w:val="24"/>
          <w:lang w:val="en-US"/>
        </w:rPr>
        <w:t xml:space="preserve">of </w:t>
      </w:r>
      <w:r w:rsidRPr="0070712E">
        <w:rPr>
          <w:sz w:val="24"/>
          <w:szCs w:val="24"/>
          <w:lang w:val="en-US"/>
        </w:rPr>
        <w:t xml:space="preserve">decreases </w:t>
      </w:r>
      <w:r w:rsidRPr="0070712E">
        <w:rPr>
          <w:spacing w:val="-9"/>
          <w:sz w:val="24"/>
          <w:szCs w:val="24"/>
          <w:lang w:val="en-US"/>
        </w:rPr>
        <w:t xml:space="preserve">in </w:t>
      </w:r>
      <w:r w:rsidRPr="0070712E">
        <w:rPr>
          <w:sz w:val="24"/>
          <w:szCs w:val="24"/>
          <w:lang w:val="en-US"/>
        </w:rPr>
        <w:t xml:space="preserve">serum </w:t>
      </w:r>
      <w:r w:rsidRPr="0070712E">
        <w:rPr>
          <w:spacing w:val="-5"/>
          <w:sz w:val="24"/>
          <w:szCs w:val="24"/>
          <w:lang w:val="en-US"/>
        </w:rPr>
        <w:t xml:space="preserve">calcium </w:t>
      </w:r>
      <w:r w:rsidRPr="0070712E">
        <w:rPr>
          <w:sz w:val="24"/>
          <w:szCs w:val="24"/>
          <w:lang w:val="en-US"/>
        </w:rPr>
        <w:t xml:space="preserve">to </w:t>
      </w:r>
      <w:r w:rsidRPr="0070712E">
        <w:rPr>
          <w:spacing w:val="-3"/>
          <w:sz w:val="24"/>
          <w:szCs w:val="24"/>
          <w:lang w:val="en-US"/>
        </w:rPr>
        <w:t xml:space="preserve">&lt;8.0 </w:t>
      </w:r>
      <w:r w:rsidRPr="0070712E">
        <w:rPr>
          <w:spacing w:val="-6"/>
          <w:sz w:val="24"/>
          <w:szCs w:val="24"/>
          <w:lang w:val="en-US"/>
        </w:rPr>
        <w:t xml:space="preserve">mg/dl </w:t>
      </w:r>
      <w:r w:rsidRPr="0070712E">
        <w:rPr>
          <w:sz w:val="24"/>
          <w:szCs w:val="24"/>
          <w:lang w:val="en-US"/>
        </w:rPr>
        <w:t xml:space="preserve">(2.0 </w:t>
      </w:r>
      <w:r w:rsidRPr="0070712E">
        <w:rPr>
          <w:spacing w:val="-10"/>
          <w:sz w:val="24"/>
          <w:szCs w:val="24"/>
          <w:lang w:val="en-US"/>
        </w:rPr>
        <w:t xml:space="preserve">mmol/l) </w:t>
      </w:r>
      <w:r w:rsidRPr="0070712E">
        <w:rPr>
          <w:sz w:val="24"/>
          <w:szCs w:val="24"/>
          <w:lang w:val="en-US"/>
        </w:rPr>
        <w:t xml:space="preserve">and serum </w:t>
      </w:r>
      <w:r w:rsidRPr="0070712E">
        <w:rPr>
          <w:spacing w:val="-5"/>
          <w:sz w:val="24"/>
          <w:szCs w:val="24"/>
          <w:lang w:val="en-US"/>
        </w:rPr>
        <w:t xml:space="preserve">phosphate </w:t>
      </w:r>
      <w:r w:rsidRPr="0070712E">
        <w:rPr>
          <w:sz w:val="24"/>
          <w:szCs w:val="24"/>
          <w:lang w:val="en-US"/>
        </w:rPr>
        <w:t>to ≤</w:t>
      </w:r>
      <w:r w:rsidRPr="0070712E">
        <w:rPr>
          <w:spacing w:val="-3"/>
          <w:sz w:val="24"/>
          <w:szCs w:val="24"/>
          <w:lang w:val="en-US"/>
        </w:rPr>
        <w:t xml:space="preserve">2.0 </w:t>
      </w:r>
      <w:r w:rsidRPr="0070712E">
        <w:rPr>
          <w:spacing w:val="-6"/>
          <w:sz w:val="24"/>
          <w:szCs w:val="24"/>
          <w:lang w:val="en-US"/>
        </w:rPr>
        <w:t xml:space="preserve">mg/dl </w:t>
      </w:r>
      <w:r w:rsidRPr="0070712E">
        <w:rPr>
          <w:spacing w:val="-3"/>
          <w:sz w:val="24"/>
          <w:szCs w:val="24"/>
          <w:lang w:val="en-US"/>
        </w:rPr>
        <w:t xml:space="preserve">(0.65 </w:t>
      </w:r>
      <w:r w:rsidRPr="0070712E">
        <w:rPr>
          <w:spacing w:val="-10"/>
          <w:sz w:val="24"/>
          <w:szCs w:val="24"/>
          <w:lang w:val="en-US"/>
        </w:rPr>
        <w:t xml:space="preserve">mmol/l) </w:t>
      </w:r>
      <w:r w:rsidRPr="0070712E">
        <w:rPr>
          <w:sz w:val="24"/>
          <w:szCs w:val="24"/>
          <w:lang w:val="en-US"/>
        </w:rPr>
        <w:t xml:space="preserve">were </w:t>
      </w:r>
      <w:r w:rsidRPr="0070712E">
        <w:rPr>
          <w:spacing w:val="-8"/>
          <w:sz w:val="24"/>
          <w:szCs w:val="24"/>
          <w:lang w:val="en-US"/>
        </w:rPr>
        <w:t xml:space="preserve">similar </w:t>
      </w:r>
      <w:r w:rsidRPr="0070712E">
        <w:rPr>
          <w:spacing w:val="-9"/>
          <w:sz w:val="24"/>
          <w:szCs w:val="24"/>
          <w:lang w:val="en-US"/>
        </w:rPr>
        <w:t xml:space="preserve">in </w:t>
      </w:r>
      <w:r w:rsidRPr="0070712E">
        <w:rPr>
          <w:spacing w:val="-5"/>
          <w:sz w:val="24"/>
          <w:szCs w:val="24"/>
          <w:lang w:val="en-US"/>
        </w:rPr>
        <w:t xml:space="preserve">both </w:t>
      </w:r>
      <w:r w:rsidRPr="0070712E">
        <w:rPr>
          <w:sz w:val="24"/>
          <w:szCs w:val="24"/>
          <w:lang w:val="en-US"/>
        </w:rPr>
        <w:t>treatment</w:t>
      </w:r>
      <w:r w:rsidRPr="0070712E">
        <w:rPr>
          <w:spacing w:val="-13"/>
          <w:sz w:val="24"/>
          <w:szCs w:val="24"/>
          <w:lang w:val="en-US"/>
        </w:rPr>
        <w:t xml:space="preserve"> </w:t>
      </w:r>
      <w:r w:rsidRPr="0070712E">
        <w:rPr>
          <w:spacing w:val="-5"/>
          <w:sz w:val="24"/>
          <w:szCs w:val="24"/>
          <w:lang w:val="en-US"/>
        </w:rPr>
        <w:t>groups.</w:t>
      </w:r>
    </w:p>
    <w:p w14:paraId="02050A9B" w14:textId="77777777" w:rsidR="00DD50E4" w:rsidRPr="00C5726D" w:rsidRDefault="00DD50E4" w:rsidP="00C5726D">
      <w:pPr>
        <w:ind w:left="851"/>
        <w:rPr>
          <w:sz w:val="24"/>
          <w:szCs w:val="24"/>
          <w:lang w:val="en-US"/>
        </w:rPr>
      </w:pPr>
    </w:p>
    <w:p w14:paraId="16747B7B" w14:textId="77777777" w:rsidR="00DD50E4" w:rsidRPr="00C5726D" w:rsidRDefault="00DD50E4" w:rsidP="00C5726D">
      <w:pPr>
        <w:ind w:left="851"/>
        <w:rPr>
          <w:i/>
          <w:color w:val="000000"/>
          <w:sz w:val="24"/>
          <w:szCs w:val="24"/>
          <w:lang w:val="en-GB"/>
        </w:rPr>
      </w:pPr>
      <w:r w:rsidRPr="00C5726D">
        <w:rPr>
          <w:i/>
          <w:color w:val="000000"/>
          <w:sz w:val="24"/>
          <w:szCs w:val="24"/>
          <w:lang w:val="en-US"/>
        </w:rPr>
        <w:t xml:space="preserve">Paediatric population </w:t>
      </w:r>
    </w:p>
    <w:p w14:paraId="0DB1E6BF" w14:textId="77777777" w:rsidR="00DD50E4" w:rsidRPr="00C5726D" w:rsidRDefault="00DD50E4" w:rsidP="00C5726D">
      <w:pPr>
        <w:ind w:left="851"/>
        <w:rPr>
          <w:color w:val="000000"/>
          <w:sz w:val="24"/>
          <w:szCs w:val="24"/>
          <w:lang w:val="en-US"/>
        </w:rPr>
      </w:pPr>
      <w:r w:rsidRPr="00C5726D">
        <w:rPr>
          <w:color w:val="000000"/>
          <w:sz w:val="24"/>
          <w:szCs w:val="24"/>
          <w:lang w:val="en-US"/>
        </w:rPr>
        <w:t>Alendronate sodium has been studied in a small number of patients with osteogenesis imperfecta under the age of 18 years. Results are insufficient to support the use of alendronate sodium in paediatric patients with osteogenesis imperfecta.</w:t>
      </w:r>
    </w:p>
    <w:p w14:paraId="424396EC" w14:textId="77777777" w:rsidR="007C5D2A" w:rsidRPr="00C5726D" w:rsidRDefault="007C5D2A" w:rsidP="003E0341">
      <w:pPr>
        <w:tabs>
          <w:tab w:val="left" w:pos="851"/>
        </w:tabs>
        <w:ind w:left="851"/>
        <w:rPr>
          <w:sz w:val="24"/>
          <w:szCs w:val="24"/>
          <w:lang w:val="en-GB"/>
        </w:rPr>
      </w:pPr>
    </w:p>
    <w:p w14:paraId="3601A4F1" w14:textId="764AC87D" w:rsidR="007C5D2A" w:rsidRPr="00C5726D" w:rsidRDefault="007C5D2A" w:rsidP="007C5D2A">
      <w:pPr>
        <w:tabs>
          <w:tab w:val="left" w:pos="851"/>
        </w:tabs>
        <w:ind w:left="851" w:hanging="851"/>
        <w:rPr>
          <w:b/>
          <w:sz w:val="24"/>
          <w:szCs w:val="24"/>
          <w:lang w:val="en-GB"/>
        </w:rPr>
      </w:pPr>
      <w:r w:rsidRPr="00C5726D">
        <w:rPr>
          <w:b/>
          <w:sz w:val="24"/>
          <w:szCs w:val="24"/>
          <w:lang w:val="en-GB"/>
        </w:rPr>
        <w:t>5.2</w:t>
      </w:r>
      <w:r w:rsidRPr="00C5726D">
        <w:rPr>
          <w:b/>
          <w:sz w:val="24"/>
          <w:szCs w:val="24"/>
          <w:lang w:val="en-GB"/>
        </w:rPr>
        <w:tab/>
        <w:t>Pharmacokinetic properties</w:t>
      </w:r>
    </w:p>
    <w:p w14:paraId="2EE257F0" w14:textId="77777777" w:rsidR="0070712E" w:rsidRDefault="0070712E" w:rsidP="00C5726D">
      <w:pPr>
        <w:ind w:left="851"/>
        <w:rPr>
          <w:sz w:val="24"/>
          <w:szCs w:val="24"/>
          <w:lang w:val="en-US"/>
        </w:rPr>
      </w:pPr>
    </w:p>
    <w:p w14:paraId="7BBD47A0" w14:textId="7D1F252E" w:rsidR="00DD50E4" w:rsidRPr="0070712E" w:rsidRDefault="00DD50E4" w:rsidP="00C5726D">
      <w:pPr>
        <w:ind w:left="851"/>
        <w:rPr>
          <w:sz w:val="24"/>
          <w:szCs w:val="24"/>
          <w:u w:val="single"/>
          <w:lang w:val="en-US"/>
        </w:rPr>
      </w:pPr>
      <w:r w:rsidRPr="0070712E">
        <w:rPr>
          <w:sz w:val="24"/>
          <w:szCs w:val="24"/>
          <w:u w:val="single"/>
          <w:lang w:val="en-US"/>
        </w:rPr>
        <w:t>Absorption</w:t>
      </w:r>
    </w:p>
    <w:p w14:paraId="2771BE83" w14:textId="77777777" w:rsidR="00DD50E4" w:rsidRPr="00C5726D" w:rsidRDefault="00DD50E4" w:rsidP="00C5726D">
      <w:pPr>
        <w:ind w:left="851"/>
        <w:rPr>
          <w:sz w:val="24"/>
          <w:szCs w:val="24"/>
          <w:lang w:val="en-US"/>
        </w:rPr>
      </w:pPr>
      <w:r w:rsidRPr="00C5726D">
        <w:rPr>
          <w:sz w:val="24"/>
          <w:szCs w:val="24"/>
          <w:lang w:val="en-US"/>
        </w:rPr>
        <w:t xml:space="preserve">Oral bioavailability of alendronate in women is 0,7% for doses ranging from 5 to 40 mg, when administered after an overnight fast and two hours before a </w:t>
      </w:r>
      <w:proofErr w:type="spellStart"/>
      <w:r w:rsidRPr="00C5726D">
        <w:rPr>
          <w:sz w:val="24"/>
          <w:szCs w:val="24"/>
          <w:lang w:val="en-US"/>
        </w:rPr>
        <w:t>standardised</w:t>
      </w:r>
      <w:proofErr w:type="spellEnd"/>
      <w:r w:rsidRPr="00C5726D">
        <w:rPr>
          <w:sz w:val="24"/>
          <w:szCs w:val="24"/>
          <w:lang w:val="en-US"/>
        </w:rPr>
        <w:t xml:space="preserve"> breakfast. Oral bioavailability in men (0.6%) was approx. the same as in women. Bioavailability is reduced by approx. 40%, when alendronate was administered ½ hour to 1 hour before a </w:t>
      </w:r>
      <w:proofErr w:type="spellStart"/>
      <w:r w:rsidRPr="00C5726D">
        <w:rPr>
          <w:sz w:val="24"/>
          <w:szCs w:val="24"/>
          <w:lang w:val="en-US"/>
        </w:rPr>
        <w:t>standardised</w:t>
      </w:r>
      <w:proofErr w:type="spellEnd"/>
      <w:r w:rsidRPr="00C5726D">
        <w:rPr>
          <w:sz w:val="24"/>
          <w:szCs w:val="24"/>
          <w:lang w:val="en-US"/>
        </w:rPr>
        <w:t xml:space="preserve"> breakfast. Bioavailability was negligible if alendronate was taken with or up to two hours after a standard breakfast. Coffee and orange juice reduced bioavailability by approx. 60% (see section 4.2).</w:t>
      </w:r>
    </w:p>
    <w:p w14:paraId="51A664F5" w14:textId="77777777" w:rsidR="00DD50E4" w:rsidRPr="00C5726D" w:rsidRDefault="00DD50E4" w:rsidP="00C5726D">
      <w:pPr>
        <w:ind w:left="851"/>
        <w:rPr>
          <w:sz w:val="24"/>
          <w:szCs w:val="24"/>
          <w:lang w:val="en-US"/>
        </w:rPr>
      </w:pPr>
    </w:p>
    <w:p w14:paraId="777BDBC6" w14:textId="77777777" w:rsidR="00DD50E4" w:rsidRPr="00C5726D" w:rsidRDefault="00DD50E4" w:rsidP="00C5726D">
      <w:pPr>
        <w:ind w:left="851"/>
        <w:rPr>
          <w:sz w:val="24"/>
          <w:szCs w:val="24"/>
          <w:lang w:val="en-US"/>
        </w:rPr>
      </w:pPr>
      <w:r w:rsidRPr="00C5726D">
        <w:rPr>
          <w:sz w:val="24"/>
          <w:szCs w:val="24"/>
          <w:lang w:val="en-US"/>
        </w:rPr>
        <w:t>In healthy test subjects, oral prednisone (20 mg 3 times daily for 5 days) did not significantly affect the oral bioavailability of alendronate (average increase 20-44%).</w:t>
      </w:r>
    </w:p>
    <w:p w14:paraId="65AB33C9" w14:textId="77777777" w:rsidR="00DD50E4" w:rsidRPr="00C5726D" w:rsidRDefault="00DD50E4" w:rsidP="00C5726D">
      <w:pPr>
        <w:ind w:left="851"/>
        <w:rPr>
          <w:sz w:val="24"/>
          <w:szCs w:val="24"/>
          <w:lang w:val="en-US"/>
        </w:rPr>
      </w:pPr>
    </w:p>
    <w:p w14:paraId="73EEA5C5" w14:textId="77777777" w:rsidR="00DD50E4" w:rsidRPr="0070712E" w:rsidRDefault="00DD50E4" w:rsidP="00C5726D">
      <w:pPr>
        <w:ind w:left="851"/>
        <w:rPr>
          <w:sz w:val="24"/>
          <w:szCs w:val="24"/>
          <w:u w:val="single"/>
          <w:lang w:val="en-US"/>
        </w:rPr>
      </w:pPr>
      <w:r w:rsidRPr="0070712E">
        <w:rPr>
          <w:sz w:val="24"/>
          <w:szCs w:val="24"/>
          <w:u w:val="single"/>
          <w:lang w:val="en-US"/>
        </w:rPr>
        <w:t>Distribution</w:t>
      </w:r>
    </w:p>
    <w:p w14:paraId="255A6B28" w14:textId="77777777" w:rsidR="00DD50E4" w:rsidRPr="00C5726D" w:rsidRDefault="00DD50E4" w:rsidP="00C5726D">
      <w:pPr>
        <w:ind w:left="851"/>
        <w:rPr>
          <w:sz w:val="24"/>
          <w:szCs w:val="24"/>
          <w:lang w:val="en-US"/>
        </w:rPr>
      </w:pPr>
      <w:r w:rsidRPr="00C5726D">
        <w:rPr>
          <w:sz w:val="24"/>
          <w:szCs w:val="24"/>
          <w:lang w:val="en-US"/>
        </w:rPr>
        <w:t xml:space="preserve">Protein binding is approx. </w:t>
      </w:r>
      <w:r w:rsidRPr="00C5726D">
        <w:rPr>
          <w:sz w:val="24"/>
          <w:szCs w:val="24"/>
        </w:rPr>
        <w:t xml:space="preserve">78%. </w:t>
      </w:r>
      <w:r w:rsidRPr="00C5726D">
        <w:rPr>
          <w:sz w:val="24"/>
          <w:szCs w:val="24"/>
          <w:lang w:val="en-US"/>
        </w:rPr>
        <w:t xml:space="preserve">Preclinical investigation shows that alendronate is distributed to the soft tissues and then is rapidly redistributed to the bones, where is binds or is eliminated in the urine. The steady-state distribution volume in the soft areas of the body are at least 28 </w:t>
      </w:r>
      <w:proofErr w:type="spellStart"/>
      <w:r w:rsidRPr="00C5726D">
        <w:rPr>
          <w:sz w:val="24"/>
          <w:szCs w:val="24"/>
          <w:lang w:val="en-US"/>
        </w:rPr>
        <w:t>litres</w:t>
      </w:r>
      <w:proofErr w:type="spellEnd"/>
      <w:r w:rsidRPr="00C5726D">
        <w:rPr>
          <w:sz w:val="24"/>
          <w:szCs w:val="24"/>
          <w:lang w:val="en-US"/>
        </w:rPr>
        <w:t xml:space="preserve"> (22-35 </w:t>
      </w:r>
      <w:proofErr w:type="spellStart"/>
      <w:r w:rsidRPr="00C5726D">
        <w:rPr>
          <w:sz w:val="24"/>
          <w:szCs w:val="24"/>
          <w:lang w:val="en-US"/>
        </w:rPr>
        <w:t>litres</w:t>
      </w:r>
      <w:proofErr w:type="spellEnd"/>
      <w:r w:rsidRPr="00C5726D">
        <w:rPr>
          <w:sz w:val="24"/>
          <w:szCs w:val="24"/>
          <w:lang w:val="en-US"/>
        </w:rPr>
        <w:t>). Plasma concentrations of the active substance after administration of an oral therapeutic dose are below the level of detection (&lt;5 ng/ml).</w:t>
      </w:r>
    </w:p>
    <w:p w14:paraId="18CDA949" w14:textId="77777777" w:rsidR="00DD50E4" w:rsidRPr="00C5726D" w:rsidRDefault="00DD50E4" w:rsidP="00C5726D">
      <w:pPr>
        <w:ind w:left="851"/>
        <w:rPr>
          <w:sz w:val="24"/>
          <w:szCs w:val="24"/>
          <w:lang w:val="en-US"/>
        </w:rPr>
      </w:pPr>
    </w:p>
    <w:p w14:paraId="24E42180" w14:textId="77777777" w:rsidR="00DD50E4" w:rsidRPr="0070712E" w:rsidRDefault="00DD50E4" w:rsidP="00C5726D">
      <w:pPr>
        <w:ind w:left="851"/>
        <w:rPr>
          <w:i/>
          <w:sz w:val="24"/>
          <w:szCs w:val="24"/>
          <w:u w:val="single"/>
          <w:lang w:val="en-US"/>
        </w:rPr>
      </w:pPr>
      <w:r w:rsidRPr="0070712E">
        <w:rPr>
          <w:sz w:val="24"/>
          <w:szCs w:val="24"/>
          <w:u w:val="single"/>
          <w:lang w:val="en-US"/>
        </w:rPr>
        <w:t>Biotransformation</w:t>
      </w:r>
    </w:p>
    <w:p w14:paraId="5EE5E604" w14:textId="77777777" w:rsidR="00DD50E4" w:rsidRPr="00C5726D" w:rsidRDefault="00DD50E4" w:rsidP="00C5726D">
      <w:pPr>
        <w:ind w:left="851"/>
        <w:rPr>
          <w:sz w:val="24"/>
          <w:szCs w:val="24"/>
          <w:lang w:val="en-US"/>
        </w:rPr>
      </w:pPr>
      <w:r w:rsidRPr="00C5726D">
        <w:rPr>
          <w:sz w:val="24"/>
          <w:szCs w:val="24"/>
          <w:lang w:val="en-US"/>
        </w:rPr>
        <w:t>Alendronate has no known metabolites.</w:t>
      </w:r>
    </w:p>
    <w:p w14:paraId="34B62256" w14:textId="77777777" w:rsidR="00DD50E4" w:rsidRPr="00C5726D" w:rsidRDefault="00DD50E4" w:rsidP="00C5726D">
      <w:pPr>
        <w:ind w:left="851"/>
        <w:rPr>
          <w:sz w:val="24"/>
          <w:szCs w:val="24"/>
          <w:lang w:val="en-US"/>
        </w:rPr>
      </w:pPr>
    </w:p>
    <w:p w14:paraId="4A5012E3" w14:textId="77777777" w:rsidR="00DD50E4" w:rsidRPr="0070712E" w:rsidRDefault="00DD50E4" w:rsidP="00C5726D">
      <w:pPr>
        <w:ind w:left="851"/>
        <w:rPr>
          <w:sz w:val="24"/>
          <w:szCs w:val="24"/>
          <w:u w:val="single"/>
          <w:lang w:val="en-US"/>
        </w:rPr>
      </w:pPr>
      <w:r w:rsidRPr="0070712E">
        <w:rPr>
          <w:sz w:val="24"/>
          <w:szCs w:val="24"/>
          <w:u w:val="single"/>
          <w:lang w:val="en-US"/>
        </w:rPr>
        <w:t>Elimination</w:t>
      </w:r>
    </w:p>
    <w:p w14:paraId="7CF1598A" w14:textId="77777777" w:rsidR="00DD50E4" w:rsidRPr="00C5726D" w:rsidRDefault="00DD50E4" w:rsidP="00C5726D">
      <w:pPr>
        <w:ind w:left="851"/>
        <w:rPr>
          <w:sz w:val="24"/>
          <w:szCs w:val="24"/>
          <w:lang w:val="en-US"/>
        </w:rPr>
      </w:pPr>
      <w:r w:rsidRPr="00C5726D">
        <w:rPr>
          <w:sz w:val="24"/>
          <w:szCs w:val="24"/>
          <w:lang w:val="en-US"/>
        </w:rPr>
        <w:t xml:space="preserve">Approx. 50% of </w:t>
      </w:r>
      <w:r w:rsidRPr="00C5726D">
        <w:rPr>
          <w:sz w:val="24"/>
          <w:szCs w:val="24"/>
          <w:vertAlign w:val="superscript"/>
          <w:lang w:val="en-US"/>
        </w:rPr>
        <w:t>14</w:t>
      </w:r>
      <w:r w:rsidRPr="00C5726D">
        <w:rPr>
          <w:sz w:val="24"/>
          <w:szCs w:val="24"/>
          <w:lang w:val="en-US"/>
        </w:rPr>
        <w:t xml:space="preserve">C-tagged alendronate is excreted in the urine within 72 hours. Very little or no radioactivity was recovered in the </w:t>
      </w:r>
      <w:proofErr w:type="spellStart"/>
      <w:r w:rsidRPr="00C5726D">
        <w:rPr>
          <w:sz w:val="24"/>
          <w:szCs w:val="24"/>
          <w:lang w:val="en-US"/>
        </w:rPr>
        <w:t>faeces</w:t>
      </w:r>
      <w:proofErr w:type="spellEnd"/>
      <w:r w:rsidRPr="00C5726D">
        <w:rPr>
          <w:sz w:val="24"/>
          <w:szCs w:val="24"/>
          <w:lang w:val="en-US"/>
        </w:rPr>
        <w:t>. The remainder is deposited in bone tissue, where it is inactive. Renal clearance was 71 ml/minute after a single I.V. dose of 10 mg. Within 6 hours the plasma concentration fell by more than 95% after I.V. administration. This is followed by a slow release of alendronate from the skeleton. The estimated half-life is thus &gt; 10 years.</w:t>
      </w:r>
    </w:p>
    <w:p w14:paraId="5205037C" w14:textId="77777777" w:rsidR="00DD50E4" w:rsidRPr="00C5726D" w:rsidRDefault="00DD50E4" w:rsidP="00C5726D">
      <w:pPr>
        <w:ind w:left="851"/>
        <w:rPr>
          <w:sz w:val="24"/>
          <w:szCs w:val="24"/>
          <w:lang w:val="en-US"/>
        </w:rPr>
      </w:pPr>
    </w:p>
    <w:p w14:paraId="25638BBB" w14:textId="77777777" w:rsidR="00DD50E4" w:rsidRPr="0070712E" w:rsidRDefault="00DD50E4" w:rsidP="00C5726D">
      <w:pPr>
        <w:ind w:left="851"/>
        <w:rPr>
          <w:sz w:val="24"/>
          <w:szCs w:val="24"/>
          <w:u w:val="single"/>
          <w:lang w:val="en-US"/>
        </w:rPr>
      </w:pPr>
      <w:r w:rsidRPr="0070712E">
        <w:rPr>
          <w:sz w:val="24"/>
          <w:szCs w:val="24"/>
          <w:u w:val="single"/>
          <w:lang w:val="en-US"/>
        </w:rPr>
        <w:t>Renal impairment</w:t>
      </w:r>
    </w:p>
    <w:p w14:paraId="76F45D0C" w14:textId="77777777" w:rsidR="00DD50E4" w:rsidRPr="00C5726D" w:rsidRDefault="00DD50E4" w:rsidP="00C5726D">
      <w:pPr>
        <w:ind w:left="851"/>
        <w:rPr>
          <w:sz w:val="24"/>
          <w:szCs w:val="24"/>
          <w:lang w:val="en-US"/>
        </w:rPr>
      </w:pPr>
      <w:r w:rsidRPr="00C5726D">
        <w:rPr>
          <w:sz w:val="24"/>
          <w:szCs w:val="24"/>
          <w:lang w:val="en-US"/>
        </w:rPr>
        <w:t>Preclinical investigations show that the active substance, which is not deposited in the bones, is rapidly excreted in the urine. After chronic dosage with cumulative doses I.V., up to 35 mg/kg in animals, no saturation of bone uptake was observed. In animals, elimination of alendronate via the kidneys was reduced in impaired renal function. There is no corresponding information in man, but greater accumulation of alendronate in bone should be anticipated in people with impaired renal function (see section 4.2).</w:t>
      </w:r>
    </w:p>
    <w:p w14:paraId="36D6D091" w14:textId="77777777" w:rsidR="007C5D2A" w:rsidRPr="00C5726D" w:rsidRDefault="007C5D2A" w:rsidP="003E0341">
      <w:pPr>
        <w:tabs>
          <w:tab w:val="left" w:pos="851"/>
        </w:tabs>
        <w:ind w:left="851"/>
        <w:rPr>
          <w:sz w:val="24"/>
          <w:szCs w:val="24"/>
          <w:lang w:val="en-GB"/>
        </w:rPr>
      </w:pPr>
    </w:p>
    <w:p w14:paraId="6A0C1288" w14:textId="77777777" w:rsidR="007C5D2A" w:rsidRPr="00C5726D" w:rsidRDefault="00180A12" w:rsidP="007C5D2A">
      <w:pPr>
        <w:tabs>
          <w:tab w:val="left" w:pos="851"/>
        </w:tabs>
        <w:ind w:left="851" w:hanging="851"/>
        <w:rPr>
          <w:b/>
          <w:sz w:val="24"/>
          <w:szCs w:val="24"/>
          <w:lang w:val="en-GB"/>
        </w:rPr>
      </w:pPr>
      <w:r w:rsidRPr="00C5726D">
        <w:rPr>
          <w:b/>
          <w:sz w:val="24"/>
          <w:szCs w:val="24"/>
          <w:lang w:val="en-GB"/>
        </w:rPr>
        <w:t>5.3</w:t>
      </w:r>
      <w:r w:rsidRPr="00C5726D">
        <w:rPr>
          <w:b/>
          <w:sz w:val="24"/>
          <w:szCs w:val="24"/>
          <w:lang w:val="en-GB"/>
        </w:rPr>
        <w:tab/>
        <w:t>Preclinical safety data</w:t>
      </w:r>
    </w:p>
    <w:p w14:paraId="2B087959" w14:textId="77777777" w:rsidR="00DD50E4" w:rsidRPr="00C5726D" w:rsidRDefault="00DD50E4" w:rsidP="00C5726D">
      <w:pPr>
        <w:ind w:left="851"/>
        <w:rPr>
          <w:sz w:val="24"/>
          <w:szCs w:val="24"/>
          <w:lang w:val="en-US"/>
        </w:rPr>
      </w:pPr>
      <w:r w:rsidRPr="00C5726D">
        <w:rPr>
          <w:sz w:val="24"/>
          <w:szCs w:val="24"/>
          <w:lang w:val="en-US"/>
        </w:rPr>
        <w:t xml:space="preserve">Non-clinical data reveal no special hazard for humans based on conventional studies of safety pharmacology, repeated dose toxicity, genotoxicity and carcinogenic potential. Studies in rats have shown that treatment with alendronate during pregnancy was associated with dystocia in dams during parturition which was related to </w:t>
      </w:r>
      <w:proofErr w:type="spellStart"/>
      <w:r w:rsidRPr="00C5726D">
        <w:rPr>
          <w:sz w:val="24"/>
          <w:szCs w:val="24"/>
          <w:lang w:val="en-US"/>
        </w:rPr>
        <w:t>hypocalcaemia</w:t>
      </w:r>
      <w:proofErr w:type="spellEnd"/>
      <w:r w:rsidRPr="00C5726D">
        <w:rPr>
          <w:sz w:val="24"/>
          <w:szCs w:val="24"/>
          <w:lang w:val="en-US"/>
        </w:rPr>
        <w:t xml:space="preserve">. In studies, rats given high doses showed an increased incidence of incomplete </w:t>
      </w:r>
      <w:proofErr w:type="spellStart"/>
      <w:r w:rsidRPr="00C5726D">
        <w:rPr>
          <w:sz w:val="24"/>
          <w:szCs w:val="24"/>
          <w:lang w:val="en-US"/>
        </w:rPr>
        <w:t>foetal</w:t>
      </w:r>
      <w:proofErr w:type="spellEnd"/>
      <w:r w:rsidRPr="00C5726D">
        <w:rPr>
          <w:sz w:val="24"/>
          <w:szCs w:val="24"/>
          <w:lang w:val="en-US"/>
        </w:rPr>
        <w:t xml:space="preserve"> ossification. The relevance to humans is unknown.</w:t>
      </w:r>
    </w:p>
    <w:p w14:paraId="00CB66C2" w14:textId="77777777" w:rsidR="007C5D2A" w:rsidRPr="00C5726D" w:rsidRDefault="007C5D2A" w:rsidP="003E0341">
      <w:pPr>
        <w:tabs>
          <w:tab w:val="left" w:pos="851"/>
        </w:tabs>
        <w:ind w:left="851"/>
        <w:rPr>
          <w:sz w:val="24"/>
          <w:szCs w:val="24"/>
          <w:lang w:val="en-GB"/>
        </w:rPr>
      </w:pPr>
      <w:bookmarkStart w:id="5" w:name="Preclinical"/>
      <w:bookmarkEnd w:id="5"/>
    </w:p>
    <w:p w14:paraId="1631E198" w14:textId="77777777" w:rsidR="007C5D2A" w:rsidRPr="00C5726D" w:rsidRDefault="007C5D2A" w:rsidP="003E0341">
      <w:pPr>
        <w:tabs>
          <w:tab w:val="left" w:pos="851"/>
        </w:tabs>
        <w:ind w:left="851"/>
        <w:rPr>
          <w:sz w:val="24"/>
          <w:szCs w:val="24"/>
          <w:lang w:val="en-GB"/>
        </w:rPr>
      </w:pPr>
    </w:p>
    <w:p w14:paraId="12A831C8" w14:textId="77777777" w:rsidR="007C5D2A" w:rsidRPr="00C5726D" w:rsidRDefault="009925C9" w:rsidP="007C5D2A">
      <w:pPr>
        <w:ind w:left="851" w:hanging="851"/>
        <w:rPr>
          <w:b/>
          <w:sz w:val="24"/>
          <w:szCs w:val="24"/>
          <w:lang w:val="en-GB"/>
        </w:rPr>
      </w:pPr>
      <w:r w:rsidRPr="00C5726D">
        <w:rPr>
          <w:b/>
          <w:sz w:val="24"/>
          <w:szCs w:val="24"/>
          <w:lang w:val="en-GB"/>
        </w:rPr>
        <w:t>6.</w:t>
      </w:r>
      <w:r w:rsidR="007C5D2A" w:rsidRPr="00C5726D">
        <w:rPr>
          <w:b/>
          <w:sz w:val="24"/>
          <w:szCs w:val="24"/>
          <w:lang w:val="en-GB"/>
        </w:rPr>
        <w:tab/>
        <w:t>PHARMACEUTICAL PARTICULARS</w:t>
      </w:r>
    </w:p>
    <w:p w14:paraId="598A6F0E" w14:textId="77777777" w:rsidR="007C5D2A" w:rsidRPr="00C5726D" w:rsidRDefault="007C5D2A" w:rsidP="003E0341">
      <w:pPr>
        <w:tabs>
          <w:tab w:val="left" w:pos="851"/>
        </w:tabs>
        <w:ind w:left="851"/>
        <w:rPr>
          <w:sz w:val="24"/>
          <w:szCs w:val="24"/>
          <w:lang w:val="en-GB"/>
        </w:rPr>
      </w:pPr>
    </w:p>
    <w:p w14:paraId="2ED3406B" w14:textId="77777777" w:rsidR="007C5D2A" w:rsidRPr="00C5726D" w:rsidRDefault="007C5D2A" w:rsidP="007C5D2A">
      <w:pPr>
        <w:ind w:left="851" w:hanging="851"/>
        <w:rPr>
          <w:b/>
          <w:sz w:val="24"/>
          <w:szCs w:val="24"/>
          <w:lang w:val="en-GB"/>
        </w:rPr>
      </w:pPr>
      <w:r w:rsidRPr="00C5726D">
        <w:rPr>
          <w:b/>
          <w:sz w:val="24"/>
          <w:szCs w:val="24"/>
          <w:lang w:val="en-GB"/>
        </w:rPr>
        <w:t>6.1</w:t>
      </w:r>
      <w:r w:rsidRPr="00C5726D">
        <w:rPr>
          <w:b/>
          <w:sz w:val="24"/>
          <w:szCs w:val="24"/>
          <w:lang w:val="en-GB"/>
        </w:rPr>
        <w:tab/>
        <w:t>List of excipients</w:t>
      </w:r>
    </w:p>
    <w:p w14:paraId="1BA17ADC" w14:textId="77777777" w:rsidR="00DD50E4" w:rsidRPr="00C5726D" w:rsidRDefault="00DD50E4" w:rsidP="00C5726D">
      <w:pPr>
        <w:ind w:left="851"/>
        <w:rPr>
          <w:sz w:val="24"/>
          <w:szCs w:val="24"/>
          <w:lang w:val="en-US"/>
        </w:rPr>
      </w:pPr>
      <w:r w:rsidRPr="00C5726D">
        <w:rPr>
          <w:sz w:val="24"/>
          <w:szCs w:val="24"/>
          <w:lang w:val="en-US"/>
        </w:rPr>
        <w:t xml:space="preserve">Low-substituted </w:t>
      </w:r>
      <w:proofErr w:type="spellStart"/>
      <w:r w:rsidRPr="00C5726D">
        <w:rPr>
          <w:sz w:val="24"/>
          <w:szCs w:val="24"/>
          <w:lang w:val="en-US"/>
        </w:rPr>
        <w:t>hydroxypropylcellulose</w:t>
      </w:r>
      <w:proofErr w:type="spellEnd"/>
    </w:p>
    <w:p w14:paraId="1CF30917" w14:textId="77777777" w:rsidR="00DD50E4" w:rsidRPr="00C5726D" w:rsidRDefault="00DD50E4" w:rsidP="00C5726D">
      <w:pPr>
        <w:ind w:left="851"/>
        <w:rPr>
          <w:sz w:val="24"/>
          <w:szCs w:val="24"/>
          <w:lang w:val="en-US"/>
        </w:rPr>
      </w:pPr>
      <w:proofErr w:type="spellStart"/>
      <w:r w:rsidRPr="00C5726D">
        <w:rPr>
          <w:sz w:val="24"/>
          <w:szCs w:val="24"/>
          <w:lang w:val="en-US"/>
        </w:rPr>
        <w:t>Hydroxypropylcellulose</w:t>
      </w:r>
      <w:proofErr w:type="spellEnd"/>
    </w:p>
    <w:p w14:paraId="32B06F8E" w14:textId="77777777" w:rsidR="00DD50E4" w:rsidRPr="00C5726D" w:rsidRDefault="00DD50E4" w:rsidP="00C5726D">
      <w:pPr>
        <w:ind w:left="851"/>
        <w:rPr>
          <w:sz w:val="24"/>
          <w:szCs w:val="24"/>
          <w:lang w:val="en-US"/>
        </w:rPr>
      </w:pPr>
      <w:r w:rsidRPr="00C5726D">
        <w:rPr>
          <w:sz w:val="24"/>
          <w:szCs w:val="24"/>
          <w:lang w:val="en-US"/>
        </w:rPr>
        <w:t>Precipitated silicon dioxide</w:t>
      </w:r>
    </w:p>
    <w:p w14:paraId="35B456E7" w14:textId="77777777" w:rsidR="00DD50E4" w:rsidRPr="00C5726D" w:rsidRDefault="00DD50E4" w:rsidP="00C5726D">
      <w:pPr>
        <w:ind w:left="851"/>
        <w:rPr>
          <w:sz w:val="24"/>
          <w:szCs w:val="24"/>
          <w:lang w:val="en-US"/>
        </w:rPr>
      </w:pPr>
      <w:r w:rsidRPr="00C5726D">
        <w:rPr>
          <w:sz w:val="24"/>
          <w:szCs w:val="24"/>
          <w:lang w:val="en-US"/>
        </w:rPr>
        <w:t>Sodium stearyl fumarate</w:t>
      </w:r>
    </w:p>
    <w:p w14:paraId="37F0960F" w14:textId="77777777" w:rsidR="007C5D2A" w:rsidRPr="00C5726D" w:rsidRDefault="007C5D2A" w:rsidP="003D727E">
      <w:pPr>
        <w:tabs>
          <w:tab w:val="left" w:pos="851"/>
        </w:tabs>
        <w:ind w:left="851"/>
        <w:rPr>
          <w:sz w:val="24"/>
          <w:szCs w:val="24"/>
          <w:lang w:val="en-GB"/>
        </w:rPr>
      </w:pPr>
    </w:p>
    <w:p w14:paraId="23B98575" w14:textId="77777777" w:rsidR="007C5D2A" w:rsidRPr="00C5726D" w:rsidRDefault="007C5D2A" w:rsidP="007C5D2A">
      <w:pPr>
        <w:ind w:left="851" w:hanging="851"/>
        <w:rPr>
          <w:b/>
          <w:sz w:val="24"/>
          <w:szCs w:val="24"/>
          <w:lang w:val="en-GB"/>
        </w:rPr>
      </w:pPr>
      <w:r w:rsidRPr="00C5726D">
        <w:rPr>
          <w:b/>
          <w:sz w:val="24"/>
          <w:szCs w:val="24"/>
          <w:lang w:val="en-GB"/>
        </w:rPr>
        <w:t>6.2</w:t>
      </w:r>
      <w:r w:rsidRPr="00C5726D">
        <w:rPr>
          <w:b/>
          <w:sz w:val="24"/>
          <w:szCs w:val="24"/>
          <w:lang w:val="en-GB"/>
        </w:rPr>
        <w:tab/>
        <w:t>Incompatibilities</w:t>
      </w:r>
    </w:p>
    <w:p w14:paraId="7F2082EA" w14:textId="77777777" w:rsidR="00DD50E4" w:rsidRPr="00C5726D" w:rsidRDefault="00DD50E4" w:rsidP="00C5726D">
      <w:pPr>
        <w:ind w:left="851"/>
        <w:rPr>
          <w:sz w:val="24"/>
          <w:szCs w:val="24"/>
          <w:lang w:val="en-US"/>
        </w:rPr>
      </w:pPr>
      <w:r w:rsidRPr="00C5726D">
        <w:rPr>
          <w:sz w:val="24"/>
          <w:szCs w:val="24"/>
          <w:lang w:val="en-US"/>
        </w:rPr>
        <w:t>Not applicable.</w:t>
      </w:r>
    </w:p>
    <w:p w14:paraId="33FD8600" w14:textId="77777777" w:rsidR="007C5D2A" w:rsidRPr="00C5726D" w:rsidRDefault="007C5D2A" w:rsidP="003E0341">
      <w:pPr>
        <w:tabs>
          <w:tab w:val="left" w:pos="851"/>
        </w:tabs>
        <w:ind w:left="851"/>
        <w:rPr>
          <w:sz w:val="24"/>
          <w:szCs w:val="24"/>
          <w:lang w:val="en-GB"/>
        </w:rPr>
      </w:pPr>
    </w:p>
    <w:p w14:paraId="200A6FCA" w14:textId="77777777" w:rsidR="007C5D2A" w:rsidRPr="00C5726D" w:rsidRDefault="007C5D2A" w:rsidP="007C5D2A">
      <w:pPr>
        <w:ind w:left="851" w:hanging="851"/>
        <w:rPr>
          <w:b/>
          <w:sz w:val="24"/>
          <w:szCs w:val="24"/>
          <w:lang w:val="en-GB"/>
        </w:rPr>
      </w:pPr>
      <w:r w:rsidRPr="00C5726D">
        <w:rPr>
          <w:b/>
          <w:sz w:val="24"/>
          <w:szCs w:val="24"/>
          <w:lang w:val="en-GB"/>
        </w:rPr>
        <w:t>6.3</w:t>
      </w:r>
      <w:r w:rsidRPr="00C5726D">
        <w:rPr>
          <w:b/>
          <w:sz w:val="24"/>
          <w:szCs w:val="24"/>
          <w:lang w:val="en-GB"/>
        </w:rPr>
        <w:tab/>
        <w:t>Shelf</w:t>
      </w:r>
      <w:r w:rsidR="00B45DC5" w:rsidRPr="00C5726D">
        <w:rPr>
          <w:b/>
          <w:sz w:val="24"/>
          <w:szCs w:val="24"/>
          <w:lang w:val="en-GB"/>
        </w:rPr>
        <w:t xml:space="preserve"> </w:t>
      </w:r>
      <w:r w:rsidRPr="00C5726D">
        <w:rPr>
          <w:b/>
          <w:sz w:val="24"/>
          <w:szCs w:val="24"/>
          <w:lang w:val="en-GB"/>
        </w:rPr>
        <w:t>life</w:t>
      </w:r>
    </w:p>
    <w:p w14:paraId="17AA5B45" w14:textId="77777777" w:rsidR="00DD50E4" w:rsidRPr="00C5726D" w:rsidRDefault="00DD50E4" w:rsidP="00C5726D">
      <w:pPr>
        <w:ind w:left="851"/>
        <w:rPr>
          <w:sz w:val="24"/>
          <w:szCs w:val="24"/>
          <w:lang w:val="en-US"/>
        </w:rPr>
      </w:pPr>
      <w:r w:rsidRPr="00C5726D">
        <w:rPr>
          <w:sz w:val="24"/>
          <w:szCs w:val="24"/>
          <w:lang w:val="en-US"/>
        </w:rPr>
        <w:t>3 years.</w:t>
      </w:r>
    </w:p>
    <w:p w14:paraId="0A8128C8" w14:textId="77777777" w:rsidR="007C5D2A" w:rsidRPr="00C5726D" w:rsidRDefault="007C5D2A" w:rsidP="003E0341">
      <w:pPr>
        <w:tabs>
          <w:tab w:val="left" w:pos="851"/>
        </w:tabs>
        <w:ind w:left="851"/>
        <w:rPr>
          <w:sz w:val="24"/>
          <w:szCs w:val="24"/>
          <w:lang w:val="en-GB"/>
        </w:rPr>
      </w:pPr>
    </w:p>
    <w:p w14:paraId="180649B7" w14:textId="77777777" w:rsidR="007C5D2A" w:rsidRPr="00C5726D" w:rsidRDefault="007C5D2A" w:rsidP="007C5D2A">
      <w:pPr>
        <w:ind w:left="851" w:hanging="851"/>
        <w:rPr>
          <w:b/>
          <w:sz w:val="24"/>
          <w:szCs w:val="24"/>
          <w:lang w:val="en-GB"/>
        </w:rPr>
      </w:pPr>
      <w:r w:rsidRPr="00C5726D">
        <w:rPr>
          <w:b/>
          <w:sz w:val="24"/>
          <w:szCs w:val="24"/>
          <w:lang w:val="en-GB"/>
        </w:rPr>
        <w:t>6.4</w:t>
      </w:r>
      <w:r w:rsidRPr="00C5726D">
        <w:rPr>
          <w:b/>
          <w:sz w:val="24"/>
          <w:szCs w:val="24"/>
          <w:lang w:val="en-GB"/>
        </w:rPr>
        <w:tab/>
        <w:t>Special precautions for storage</w:t>
      </w:r>
    </w:p>
    <w:p w14:paraId="5F22EA27" w14:textId="77777777" w:rsidR="00DD50E4" w:rsidRPr="00C5726D" w:rsidRDefault="00DD50E4" w:rsidP="00C5726D">
      <w:pPr>
        <w:ind w:left="851"/>
        <w:rPr>
          <w:color w:val="000000"/>
          <w:sz w:val="24"/>
          <w:szCs w:val="24"/>
          <w:lang w:val="en-US"/>
        </w:rPr>
      </w:pPr>
      <w:r w:rsidRPr="00C5726D">
        <w:rPr>
          <w:sz w:val="24"/>
          <w:szCs w:val="24"/>
          <w:lang w:val="en-US"/>
        </w:rPr>
        <w:t>This medicinal product does not require any special storage conditions</w:t>
      </w:r>
      <w:r w:rsidRPr="00C5726D">
        <w:rPr>
          <w:color w:val="000000"/>
          <w:sz w:val="24"/>
          <w:szCs w:val="24"/>
          <w:lang w:val="en-US"/>
        </w:rPr>
        <w:t>.</w:t>
      </w:r>
    </w:p>
    <w:p w14:paraId="65C5B614" w14:textId="77777777" w:rsidR="007C5D2A" w:rsidRPr="00C5726D" w:rsidRDefault="007C5D2A" w:rsidP="003E0341">
      <w:pPr>
        <w:tabs>
          <w:tab w:val="left" w:pos="851"/>
        </w:tabs>
        <w:ind w:left="851"/>
        <w:rPr>
          <w:sz w:val="24"/>
          <w:szCs w:val="24"/>
          <w:lang w:val="en-GB"/>
        </w:rPr>
      </w:pPr>
    </w:p>
    <w:p w14:paraId="6CE70AA9" w14:textId="77777777" w:rsidR="007C5D2A" w:rsidRPr="00C5726D" w:rsidRDefault="007C5D2A" w:rsidP="007C5D2A">
      <w:pPr>
        <w:ind w:left="851" w:hanging="851"/>
        <w:rPr>
          <w:b/>
          <w:sz w:val="24"/>
          <w:szCs w:val="24"/>
          <w:lang w:val="en-GB"/>
        </w:rPr>
      </w:pPr>
      <w:r w:rsidRPr="00C5726D">
        <w:rPr>
          <w:b/>
          <w:sz w:val="24"/>
          <w:szCs w:val="24"/>
          <w:lang w:val="en-GB"/>
        </w:rPr>
        <w:t>6.5</w:t>
      </w:r>
      <w:r w:rsidRPr="00C5726D">
        <w:rPr>
          <w:b/>
          <w:sz w:val="24"/>
          <w:szCs w:val="24"/>
          <w:lang w:val="en-GB"/>
        </w:rPr>
        <w:tab/>
        <w:t>Nature and contents of container</w:t>
      </w:r>
    </w:p>
    <w:p w14:paraId="26B595B4" w14:textId="0C00AE65" w:rsidR="00DD50E4" w:rsidRPr="00C5726D" w:rsidRDefault="00DD50E4" w:rsidP="00C5726D">
      <w:pPr>
        <w:ind w:left="851"/>
        <w:rPr>
          <w:sz w:val="24"/>
          <w:szCs w:val="24"/>
          <w:lang w:val="en-US"/>
        </w:rPr>
      </w:pPr>
      <w:r w:rsidRPr="00C5726D">
        <w:rPr>
          <w:sz w:val="24"/>
          <w:szCs w:val="24"/>
          <w:lang w:val="en-US"/>
        </w:rPr>
        <w:t>PVC/</w:t>
      </w:r>
      <w:proofErr w:type="spellStart"/>
      <w:r w:rsidRPr="00C5726D">
        <w:rPr>
          <w:sz w:val="24"/>
          <w:szCs w:val="24"/>
          <w:lang w:val="en-US"/>
        </w:rPr>
        <w:t>PVdC</w:t>
      </w:r>
      <w:proofErr w:type="spellEnd"/>
      <w:r w:rsidRPr="00C5726D">
        <w:rPr>
          <w:sz w:val="24"/>
          <w:szCs w:val="24"/>
          <w:lang w:val="en-US"/>
        </w:rPr>
        <w:t>/</w:t>
      </w:r>
      <w:proofErr w:type="spellStart"/>
      <w:r w:rsidRPr="00C5726D">
        <w:rPr>
          <w:sz w:val="24"/>
          <w:szCs w:val="24"/>
          <w:lang w:val="en-US"/>
        </w:rPr>
        <w:t>Aluminium</w:t>
      </w:r>
      <w:proofErr w:type="spellEnd"/>
      <w:r w:rsidRPr="00C5726D">
        <w:rPr>
          <w:sz w:val="24"/>
          <w:szCs w:val="24"/>
          <w:lang w:val="en-US"/>
        </w:rPr>
        <w:t xml:space="preserve"> blisters PVC/</w:t>
      </w:r>
      <w:proofErr w:type="spellStart"/>
      <w:r w:rsidRPr="00C5726D">
        <w:rPr>
          <w:sz w:val="24"/>
          <w:szCs w:val="24"/>
          <w:lang w:val="en-US"/>
        </w:rPr>
        <w:t>PVdC</w:t>
      </w:r>
      <w:proofErr w:type="spellEnd"/>
      <w:r w:rsidRPr="00C5726D">
        <w:rPr>
          <w:sz w:val="24"/>
          <w:szCs w:val="24"/>
          <w:lang w:val="en-US"/>
        </w:rPr>
        <w:t xml:space="preserve"> blister pack. containing 14, 28, 30, 50, 56, 84, 90, 98, 112, 140 tablets, 28 tablets in calendar pack, 50 </w:t>
      </w:r>
      <w:r w:rsidR="0070712E">
        <w:rPr>
          <w:sz w:val="24"/>
          <w:szCs w:val="24"/>
          <w:lang w:val="en-US"/>
        </w:rPr>
        <w:t>×</w:t>
      </w:r>
      <w:r w:rsidRPr="00C5726D">
        <w:rPr>
          <w:sz w:val="24"/>
          <w:szCs w:val="24"/>
          <w:lang w:val="en-US"/>
        </w:rPr>
        <w:t xml:space="preserve"> 1 (individual blisters)</w:t>
      </w:r>
    </w:p>
    <w:p w14:paraId="1F3CD6C9" w14:textId="77777777" w:rsidR="00DD50E4" w:rsidRPr="00C5726D" w:rsidRDefault="00DD50E4" w:rsidP="00C5726D">
      <w:pPr>
        <w:ind w:left="851"/>
        <w:rPr>
          <w:sz w:val="24"/>
          <w:szCs w:val="24"/>
          <w:lang w:val="en-US"/>
        </w:rPr>
      </w:pPr>
    </w:p>
    <w:p w14:paraId="7C089FED" w14:textId="77777777" w:rsidR="00DD50E4" w:rsidRPr="00C5726D" w:rsidRDefault="00DD50E4" w:rsidP="00C5726D">
      <w:pPr>
        <w:ind w:left="851"/>
        <w:rPr>
          <w:sz w:val="24"/>
          <w:szCs w:val="24"/>
          <w:lang w:val="en-US"/>
        </w:rPr>
      </w:pPr>
      <w:r w:rsidRPr="00C5726D">
        <w:rPr>
          <w:sz w:val="24"/>
          <w:szCs w:val="24"/>
          <w:lang w:val="en-US"/>
        </w:rPr>
        <w:t>Not all pack sizes may be marketed.</w:t>
      </w:r>
    </w:p>
    <w:p w14:paraId="2D8A759D" w14:textId="77777777" w:rsidR="007C5D2A" w:rsidRPr="00C5726D" w:rsidRDefault="007C5D2A" w:rsidP="003E0341">
      <w:pPr>
        <w:tabs>
          <w:tab w:val="left" w:pos="851"/>
        </w:tabs>
        <w:ind w:left="851"/>
        <w:rPr>
          <w:sz w:val="24"/>
          <w:szCs w:val="24"/>
          <w:lang w:val="en-GB"/>
        </w:rPr>
      </w:pPr>
    </w:p>
    <w:p w14:paraId="33CECBFF" w14:textId="77777777" w:rsidR="007C5D2A" w:rsidRPr="00C5726D" w:rsidRDefault="007C5D2A" w:rsidP="007C5D2A">
      <w:pPr>
        <w:ind w:left="851" w:hanging="851"/>
        <w:rPr>
          <w:b/>
          <w:sz w:val="24"/>
          <w:szCs w:val="24"/>
          <w:lang w:val="en-GB"/>
        </w:rPr>
      </w:pPr>
      <w:r w:rsidRPr="00C5726D">
        <w:rPr>
          <w:b/>
          <w:sz w:val="24"/>
          <w:szCs w:val="24"/>
          <w:lang w:val="en-GB"/>
        </w:rPr>
        <w:t>6.6</w:t>
      </w:r>
      <w:r w:rsidRPr="00C5726D">
        <w:rPr>
          <w:b/>
          <w:sz w:val="24"/>
          <w:szCs w:val="24"/>
          <w:lang w:val="en-GB"/>
        </w:rPr>
        <w:tab/>
        <w:t>Special precautions for disposal and other handling</w:t>
      </w:r>
    </w:p>
    <w:p w14:paraId="2EF9365A" w14:textId="77777777" w:rsidR="00DD50E4" w:rsidRPr="00C5726D" w:rsidRDefault="00DD50E4" w:rsidP="00C5726D">
      <w:pPr>
        <w:ind w:left="851"/>
        <w:rPr>
          <w:sz w:val="24"/>
          <w:szCs w:val="24"/>
        </w:rPr>
      </w:pPr>
      <w:r w:rsidRPr="00C5726D">
        <w:rPr>
          <w:sz w:val="24"/>
          <w:szCs w:val="24"/>
        </w:rPr>
        <w:t xml:space="preserve">No special </w:t>
      </w:r>
      <w:proofErr w:type="spellStart"/>
      <w:r w:rsidRPr="00C5726D">
        <w:rPr>
          <w:sz w:val="24"/>
          <w:szCs w:val="24"/>
        </w:rPr>
        <w:t>requirements</w:t>
      </w:r>
      <w:proofErr w:type="spellEnd"/>
      <w:r w:rsidRPr="00C5726D">
        <w:rPr>
          <w:sz w:val="24"/>
          <w:szCs w:val="24"/>
        </w:rPr>
        <w:t>.</w:t>
      </w:r>
    </w:p>
    <w:p w14:paraId="5DD57DAC" w14:textId="77777777" w:rsidR="007C5D2A" w:rsidRPr="00C5726D" w:rsidRDefault="007C5D2A" w:rsidP="00AB4376">
      <w:pPr>
        <w:tabs>
          <w:tab w:val="left" w:pos="851"/>
        </w:tabs>
        <w:ind w:left="851"/>
        <w:rPr>
          <w:sz w:val="24"/>
          <w:szCs w:val="24"/>
          <w:lang w:val="en-GB"/>
        </w:rPr>
      </w:pPr>
    </w:p>
    <w:p w14:paraId="624329C4" w14:textId="77777777" w:rsidR="007C5D2A" w:rsidRPr="00C5726D" w:rsidRDefault="007C5D2A" w:rsidP="007C5D2A">
      <w:pPr>
        <w:tabs>
          <w:tab w:val="left" w:pos="851"/>
        </w:tabs>
        <w:ind w:left="851" w:hanging="851"/>
        <w:jc w:val="both"/>
        <w:rPr>
          <w:b/>
          <w:sz w:val="24"/>
          <w:szCs w:val="24"/>
          <w:lang w:val="en-GB"/>
        </w:rPr>
      </w:pPr>
      <w:r w:rsidRPr="00C5726D">
        <w:rPr>
          <w:b/>
          <w:sz w:val="24"/>
          <w:szCs w:val="24"/>
          <w:lang w:val="en-GB"/>
        </w:rPr>
        <w:t>7.</w:t>
      </w:r>
      <w:r w:rsidRPr="00C5726D">
        <w:rPr>
          <w:b/>
          <w:sz w:val="24"/>
          <w:szCs w:val="24"/>
          <w:lang w:val="en-GB"/>
        </w:rPr>
        <w:tab/>
        <w:t>MARKETING AUTHORISATION HOLDER</w:t>
      </w:r>
    </w:p>
    <w:p w14:paraId="460BEB87" w14:textId="77777777" w:rsidR="00174F65" w:rsidRPr="00C5726D" w:rsidRDefault="00174F65" w:rsidP="00174F65">
      <w:pPr>
        <w:ind w:left="851"/>
        <w:jc w:val="both"/>
        <w:rPr>
          <w:spacing w:val="-3"/>
          <w:sz w:val="24"/>
          <w:szCs w:val="24"/>
          <w:lang w:val="sv-SE"/>
        </w:rPr>
      </w:pPr>
      <w:proofErr w:type="spellStart"/>
      <w:r w:rsidRPr="00C5726D">
        <w:rPr>
          <w:spacing w:val="-3"/>
          <w:sz w:val="24"/>
          <w:szCs w:val="24"/>
          <w:lang w:val="sv-SE"/>
        </w:rPr>
        <w:t>Teva</w:t>
      </w:r>
      <w:proofErr w:type="spellEnd"/>
      <w:r w:rsidRPr="00C5726D">
        <w:rPr>
          <w:spacing w:val="-3"/>
          <w:sz w:val="24"/>
          <w:szCs w:val="24"/>
          <w:lang w:val="sv-SE"/>
        </w:rPr>
        <w:t xml:space="preserve"> B.V.</w:t>
      </w:r>
    </w:p>
    <w:p w14:paraId="52576F16" w14:textId="77777777" w:rsidR="00174F65" w:rsidRPr="00C5726D" w:rsidRDefault="00174F65" w:rsidP="00174F65">
      <w:pPr>
        <w:ind w:left="851"/>
        <w:jc w:val="both"/>
        <w:rPr>
          <w:spacing w:val="-3"/>
          <w:sz w:val="24"/>
          <w:szCs w:val="24"/>
          <w:lang w:val="sv-SE"/>
        </w:rPr>
      </w:pPr>
      <w:proofErr w:type="spellStart"/>
      <w:r w:rsidRPr="00C5726D">
        <w:rPr>
          <w:spacing w:val="-3"/>
          <w:sz w:val="24"/>
          <w:szCs w:val="24"/>
          <w:lang w:val="sv-SE"/>
        </w:rPr>
        <w:t>Swensweg</w:t>
      </w:r>
      <w:proofErr w:type="spellEnd"/>
      <w:r w:rsidRPr="00C5726D">
        <w:rPr>
          <w:spacing w:val="-3"/>
          <w:sz w:val="24"/>
          <w:szCs w:val="24"/>
          <w:lang w:val="sv-SE"/>
        </w:rPr>
        <w:t xml:space="preserve"> 5</w:t>
      </w:r>
    </w:p>
    <w:p w14:paraId="7F4D7F0C" w14:textId="77777777" w:rsidR="00174F65" w:rsidRPr="00C5726D" w:rsidRDefault="00174F65" w:rsidP="00174F65">
      <w:pPr>
        <w:ind w:left="851"/>
        <w:jc w:val="both"/>
        <w:rPr>
          <w:spacing w:val="-3"/>
          <w:sz w:val="24"/>
          <w:szCs w:val="24"/>
          <w:lang w:val="sv-SE"/>
        </w:rPr>
      </w:pPr>
      <w:r w:rsidRPr="00C5726D">
        <w:rPr>
          <w:spacing w:val="-3"/>
          <w:sz w:val="24"/>
          <w:szCs w:val="24"/>
          <w:lang w:val="sv-SE"/>
        </w:rPr>
        <w:t>2031 GA Haarlem</w:t>
      </w:r>
    </w:p>
    <w:p w14:paraId="5B0FEA51" w14:textId="77777777" w:rsidR="00174F65" w:rsidRPr="00C5726D" w:rsidRDefault="00174F65" w:rsidP="00174F65">
      <w:pPr>
        <w:ind w:left="851"/>
        <w:jc w:val="both"/>
        <w:rPr>
          <w:spacing w:val="-3"/>
          <w:sz w:val="24"/>
          <w:szCs w:val="24"/>
          <w:lang w:val="sv-SE"/>
        </w:rPr>
      </w:pPr>
      <w:r w:rsidRPr="00C5726D">
        <w:rPr>
          <w:spacing w:val="-3"/>
          <w:sz w:val="24"/>
          <w:szCs w:val="24"/>
          <w:lang w:val="sv-SE"/>
        </w:rPr>
        <w:t>Holland</w:t>
      </w:r>
    </w:p>
    <w:p w14:paraId="135F40B4" w14:textId="77777777" w:rsidR="007C5D2A" w:rsidRPr="00C5726D" w:rsidRDefault="007C5D2A" w:rsidP="003E0341">
      <w:pPr>
        <w:tabs>
          <w:tab w:val="left" w:pos="851"/>
        </w:tabs>
        <w:ind w:left="851"/>
        <w:jc w:val="both"/>
        <w:rPr>
          <w:sz w:val="24"/>
          <w:szCs w:val="24"/>
          <w:lang w:val="en-GB"/>
        </w:rPr>
      </w:pPr>
    </w:p>
    <w:p w14:paraId="4841EA05" w14:textId="77777777" w:rsidR="008A24F6" w:rsidRPr="00C5726D" w:rsidRDefault="005A498B" w:rsidP="003E0341">
      <w:pPr>
        <w:tabs>
          <w:tab w:val="left" w:pos="851"/>
        </w:tabs>
        <w:ind w:left="851"/>
        <w:jc w:val="both"/>
        <w:rPr>
          <w:b/>
          <w:sz w:val="24"/>
          <w:szCs w:val="24"/>
          <w:lang w:val="en-GB"/>
        </w:rPr>
      </w:pPr>
      <w:r w:rsidRPr="00C5726D">
        <w:rPr>
          <w:b/>
          <w:sz w:val="24"/>
          <w:szCs w:val="24"/>
          <w:lang w:val="en-GB"/>
        </w:rPr>
        <w:t>Representative</w:t>
      </w:r>
    </w:p>
    <w:p w14:paraId="7D97E91A" w14:textId="77777777" w:rsidR="00174F65" w:rsidRPr="00C5726D" w:rsidRDefault="00174F65" w:rsidP="00174F65">
      <w:pPr>
        <w:ind w:left="851"/>
        <w:jc w:val="both"/>
        <w:rPr>
          <w:spacing w:val="-3"/>
          <w:sz w:val="24"/>
          <w:szCs w:val="24"/>
          <w:lang w:val="sv-SE"/>
        </w:rPr>
      </w:pPr>
      <w:proofErr w:type="spellStart"/>
      <w:r w:rsidRPr="00C5726D">
        <w:rPr>
          <w:spacing w:val="-3"/>
          <w:sz w:val="24"/>
          <w:szCs w:val="24"/>
          <w:lang w:val="sv-SE"/>
        </w:rPr>
        <w:t>Teva</w:t>
      </w:r>
      <w:proofErr w:type="spellEnd"/>
      <w:r w:rsidRPr="00C5726D">
        <w:rPr>
          <w:spacing w:val="-3"/>
          <w:sz w:val="24"/>
          <w:szCs w:val="24"/>
          <w:lang w:val="sv-SE"/>
        </w:rPr>
        <w:t xml:space="preserve"> Denmark A/S</w:t>
      </w:r>
    </w:p>
    <w:p w14:paraId="47D68F4B" w14:textId="77777777" w:rsidR="00174F65" w:rsidRPr="00C5726D" w:rsidRDefault="00174F65" w:rsidP="00174F65">
      <w:pPr>
        <w:ind w:left="851"/>
        <w:jc w:val="both"/>
        <w:rPr>
          <w:spacing w:val="-3"/>
          <w:sz w:val="24"/>
          <w:szCs w:val="24"/>
          <w:lang w:val="sv-SE"/>
        </w:rPr>
      </w:pPr>
      <w:proofErr w:type="spellStart"/>
      <w:r w:rsidRPr="00C5726D">
        <w:rPr>
          <w:spacing w:val="-3"/>
          <w:sz w:val="24"/>
          <w:szCs w:val="24"/>
          <w:lang w:val="sv-SE"/>
        </w:rPr>
        <w:t>Vandtårnsvej</w:t>
      </w:r>
      <w:proofErr w:type="spellEnd"/>
      <w:r w:rsidRPr="00C5726D">
        <w:rPr>
          <w:spacing w:val="-3"/>
          <w:sz w:val="24"/>
          <w:szCs w:val="24"/>
          <w:lang w:val="sv-SE"/>
        </w:rPr>
        <w:t xml:space="preserve"> 83a</w:t>
      </w:r>
    </w:p>
    <w:p w14:paraId="0D440C09" w14:textId="77777777" w:rsidR="00174F65" w:rsidRPr="00C5726D" w:rsidRDefault="00174F65" w:rsidP="00174F65">
      <w:pPr>
        <w:ind w:left="851"/>
        <w:jc w:val="both"/>
        <w:rPr>
          <w:spacing w:val="-3"/>
          <w:sz w:val="24"/>
          <w:szCs w:val="24"/>
          <w:lang w:val="en-US"/>
        </w:rPr>
      </w:pPr>
      <w:r w:rsidRPr="00C5726D">
        <w:rPr>
          <w:spacing w:val="-3"/>
          <w:sz w:val="24"/>
          <w:szCs w:val="24"/>
          <w:lang w:val="sv-SE"/>
        </w:rPr>
        <w:t xml:space="preserve">2860 </w:t>
      </w:r>
      <w:proofErr w:type="spellStart"/>
      <w:r w:rsidRPr="00C5726D">
        <w:rPr>
          <w:spacing w:val="-3"/>
          <w:sz w:val="24"/>
          <w:szCs w:val="24"/>
          <w:lang w:val="sv-SE"/>
        </w:rPr>
        <w:t>Søborg</w:t>
      </w:r>
      <w:proofErr w:type="spellEnd"/>
    </w:p>
    <w:p w14:paraId="6EA5B555" w14:textId="77777777" w:rsidR="008A24F6" w:rsidRPr="00C5726D" w:rsidRDefault="008A24F6" w:rsidP="003E0341">
      <w:pPr>
        <w:tabs>
          <w:tab w:val="left" w:pos="851"/>
        </w:tabs>
        <w:ind w:left="851"/>
        <w:jc w:val="both"/>
        <w:rPr>
          <w:sz w:val="24"/>
          <w:szCs w:val="24"/>
          <w:lang w:val="en-GB"/>
        </w:rPr>
      </w:pPr>
    </w:p>
    <w:p w14:paraId="662A643B" w14:textId="77777777" w:rsidR="007C5D2A" w:rsidRPr="00C5726D" w:rsidRDefault="007C5D2A" w:rsidP="007C5D2A">
      <w:pPr>
        <w:ind w:left="851" w:hanging="851"/>
        <w:jc w:val="both"/>
        <w:rPr>
          <w:b/>
          <w:sz w:val="24"/>
          <w:szCs w:val="24"/>
          <w:lang w:val="en-GB"/>
        </w:rPr>
      </w:pPr>
      <w:r w:rsidRPr="00C5726D">
        <w:rPr>
          <w:b/>
          <w:sz w:val="24"/>
          <w:szCs w:val="24"/>
          <w:lang w:val="en-GB"/>
        </w:rPr>
        <w:t>8.</w:t>
      </w:r>
      <w:r w:rsidRPr="00C5726D">
        <w:rPr>
          <w:b/>
          <w:sz w:val="24"/>
          <w:szCs w:val="24"/>
          <w:lang w:val="en-GB"/>
        </w:rPr>
        <w:tab/>
        <w:t>MARKETING AUTHORISATION NUMBER(S)</w:t>
      </w:r>
    </w:p>
    <w:p w14:paraId="6E44C34D" w14:textId="77777777" w:rsidR="00174F65" w:rsidRPr="00C5726D" w:rsidRDefault="00174F65" w:rsidP="00174F65">
      <w:pPr>
        <w:ind w:left="851"/>
        <w:rPr>
          <w:sz w:val="24"/>
          <w:szCs w:val="24"/>
          <w:lang w:val="en-US"/>
        </w:rPr>
      </w:pPr>
      <w:r w:rsidRPr="00C5726D">
        <w:rPr>
          <w:sz w:val="24"/>
          <w:szCs w:val="24"/>
          <w:lang w:val="en-US"/>
        </w:rPr>
        <w:t>31649</w:t>
      </w:r>
    </w:p>
    <w:p w14:paraId="4A1317D3" w14:textId="77777777" w:rsidR="007C5D2A" w:rsidRPr="00C5726D" w:rsidRDefault="007C5D2A" w:rsidP="00180A12">
      <w:pPr>
        <w:tabs>
          <w:tab w:val="left" w:pos="851"/>
        </w:tabs>
        <w:ind w:left="851"/>
        <w:jc w:val="both"/>
        <w:rPr>
          <w:sz w:val="24"/>
          <w:szCs w:val="24"/>
          <w:lang w:val="en-GB"/>
        </w:rPr>
      </w:pPr>
    </w:p>
    <w:p w14:paraId="5985D7D7" w14:textId="77777777" w:rsidR="007C5D2A" w:rsidRPr="00C5726D" w:rsidRDefault="007C5D2A" w:rsidP="007C5D2A">
      <w:pPr>
        <w:tabs>
          <w:tab w:val="left" w:pos="851"/>
        </w:tabs>
        <w:jc w:val="both"/>
        <w:rPr>
          <w:sz w:val="24"/>
          <w:szCs w:val="24"/>
          <w:lang w:val="en-GB"/>
        </w:rPr>
      </w:pPr>
      <w:r w:rsidRPr="00C5726D">
        <w:rPr>
          <w:b/>
          <w:sz w:val="24"/>
          <w:szCs w:val="24"/>
          <w:lang w:val="en-GB"/>
        </w:rPr>
        <w:t>9.</w:t>
      </w:r>
      <w:r w:rsidRPr="00C5726D">
        <w:rPr>
          <w:b/>
          <w:sz w:val="24"/>
          <w:szCs w:val="24"/>
          <w:lang w:val="en-GB"/>
        </w:rPr>
        <w:tab/>
        <w:t>DATE OF FIRST AUTHORISATION</w:t>
      </w:r>
    </w:p>
    <w:p w14:paraId="7EB629F2" w14:textId="0E6E4A8A" w:rsidR="007C5D2A" w:rsidRPr="00C5726D" w:rsidRDefault="00174F65" w:rsidP="00A85D26">
      <w:pPr>
        <w:ind w:left="851"/>
        <w:jc w:val="both"/>
        <w:rPr>
          <w:sz w:val="24"/>
          <w:szCs w:val="24"/>
          <w:lang w:val="en-GB"/>
        </w:rPr>
      </w:pPr>
      <w:r w:rsidRPr="00C5726D">
        <w:rPr>
          <w:sz w:val="24"/>
          <w:szCs w:val="24"/>
          <w:lang w:val="en-GB"/>
        </w:rPr>
        <w:t>7 June 2002</w:t>
      </w:r>
    </w:p>
    <w:p w14:paraId="2D7416C3" w14:textId="77777777" w:rsidR="007C5D2A" w:rsidRPr="00C5726D" w:rsidRDefault="007C5D2A" w:rsidP="003E0341">
      <w:pPr>
        <w:tabs>
          <w:tab w:val="left" w:pos="851"/>
        </w:tabs>
        <w:ind w:left="851"/>
        <w:jc w:val="both"/>
        <w:rPr>
          <w:sz w:val="24"/>
          <w:szCs w:val="24"/>
          <w:lang w:val="en-GB"/>
        </w:rPr>
      </w:pPr>
    </w:p>
    <w:p w14:paraId="5999F567" w14:textId="77777777" w:rsidR="007C5D2A" w:rsidRPr="00C5726D" w:rsidRDefault="007C5D2A" w:rsidP="007C5D2A">
      <w:pPr>
        <w:tabs>
          <w:tab w:val="left" w:pos="851"/>
        </w:tabs>
        <w:jc w:val="both"/>
        <w:rPr>
          <w:sz w:val="24"/>
          <w:szCs w:val="24"/>
          <w:lang w:val="en-GB"/>
        </w:rPr>
      </w:pPr>
      <w:r w:rsidRPr="00C5726D">
        <w:rPr>
          <w:b/>
          <w:sz w:val="24"/>
          <w:szCs w:val="24"/>
          <w:lang w:val="en-GB"/>
        </w:rPr>
        <w:t>10.</w:t>
      </w:r>
      <w:r w:rsidRPr="00C5726D">
        <w:rPr>
          <w:b/>
          <w:sz w:val="24"/>
          <w:szCs w:val="24"/>
          <w:lang w:val="en-GB"/>
        </w:rPr>
        <w:tab/>
        <w:t>DATE OF REVISION OF THE TEXT</w:t>
      </w:r>
    </w:p>
    <w:p w14:paraId="026863F6" w14:textId="6657BA01" w:rsidR="007C5D2A" w:rsidRPr="00C5726D" w:rsidRDefault="00DD50E4" w:rsidP="003E0341">
      <w:pPr>
        <w:tabs>
          <w:tab w:val="left" w:pos="851"/>
        </w:tabs>
        <w:ind w:left="851"/>
        <w:jc w:val="both"/>
        <w:rPr>
          <w:sz w:val="24"/>
          <w:szCs w:val="24"/>
          <w:lang w:val="en-GB"/>
        </w:rPr>
      </w:pPr>
      <w:r w:rsidRPr="00C5726D">
        <w:rPr>
          <w:sz w:val="24"/>
          <w:szCs w:val="24"/>
          <w:lang w:val="en-GB"/>
        </w:rPr>
        <w:t>16 October 2024</w:t>
      </w:r>
    </w:p>
    <w:sectPr w:rsidR="007C5D2A" w:rsidRPr="00C5726D"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3F2D7" w14:textId="77777777" w:rsidR="00717AED" w:rsidRDefault="00717AED">
      <w:r>
        <w:separator/>
      </w:r>
    </w:p>
  </w:endnote>
  <w:endnote w:type="continuationSeparator" w:id="0">
    <w:p w14:paraId="5DA6CA76" w14:textId="77777777" w:rsidR="00717AED" w:rsidRDefault="0071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A3DD0"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F3D71" w14:textId="77777777" w:rsidR="00864538" w:rsidRDefault="00864538">
    <w:pPr>
      <w:pStyle w:val="Sidefod"/>
      <w:pBdr>
        <w:bottom w:val="single" w:sz="6" w:space="1" w:color="auto"/>
      </w:pBdr>
    </w:pPr>
  </w:p>
  <w:p w14:paraId="0265023A" w14:textId="77777777" w:rsidR="00864538" w:rsidRDefault="00864538">
    <w:pPr>
      <w:pStyle w:val="Sidefod"/>
      <w:tabs>
        <w:tab w:val="clear" w:pos="4819"/>
        <w:tab w:val="left" w:pos="8647"/>
      </w:tabs>
      <w:rPr>
        <w:i/>
        <w:snapToGrid w:val="0"/>
        <w:sz w:val="18"/>
      </w:rPr>
    </w:pPr>
  </w:p>
  <w:p w14:paraId="78132D4E" w14:textId="77777777"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717AED">
      <w:rPr>
        <w:i/>
        <w:noProof/>
        <w:snapToGrid w:val="0"/>
        <w:sz w:val="18"/>
      </w:rPr>
      <w:t>Dokument1</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4B1E" w14:textId="77777777" w:rsidR="00864538" w:rsidRDefault="00864538">
    <w:pPr>
      <w:pStyle w:val="Sidefod"/>
      <w:pBdr>
        <w:bottom w:val="single" w:sz="6" w:space="1" w:color="auto"/>
      </w:pBdr>
      <w:tabs>
        <w:tab w:val="clear" w:pos="4819"/>
        <w:tab w:val="left" w:pos="8789"/>
      </w:tabs>
      <w:rPr>
        <w:i/>
        <w:snapToGrid w:val="0"/>
        <w:sz w:val="18"/>
      </w:rPr>
    </w:pPr>
  </w:p>
  <w:p w14:paraId="0BDBB770" w14:textId="77777777" w:rsidR="00864538" w:rsidRDefault="00864538">
    <w:pPr>
      <w:pStyle w:val="Sidefod"/>
      <w:tabs>
        <w:tab w:val="clear" w:pos="4819"/>
        <w:tab w:val="left" w:pos="8789"/>
      </w:tabs>
      <w:rPr>
        <w:i/>
        <w:snapToGrid w:val="0"/>
        <w:sz w:val="18"/>
      </w:rPr>
    </w:pPr>
  </w:p>
  <w:p w14:paraId="0718E8A2" w14:textId="77777777"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717AED">
      <w:rPr>
        <w:i/>
        <w:noProof/>
        <w:snapToGrid w:val="0"/>
        <w:sz w:val="18"/>
      </w:rPr>
      <w:t>Dokument1</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DEDB0" w14:textId="77777777" w:rsidR="00717AED" w:rsidRDefault="00717AED">
      <w:r>
        <w:separator/>
      </w:r>
    </w:p>
  </w:footnote>
  <w:footnote w:type="continuationSeparator" w:id="0">
    <w:p w14:paraId="1882362C" w14:textId="77777777" w:rsidR="00717AED" w:rsidRDefault="00717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B9C76"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5F50"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87843"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77D2642"/>
    <w:multiLevelType w:val="hybridMultilevel"/>
    <w:tmpl w:val="DE2A96F6"/>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DC4033D"/>
    <w:multiLevelType w:val="hybridMultilevel"/>
    <w:tmpl w:val="DCF67D9E"/>
    <w:lvl w:ilvl="0" w:tplc="99EED82A">
      <w:start w:val="1"/>
      <w:numFmt w:val="bullet"/>
      <w:lvlText w:val="-"/>
      <w:lvlJc w:val="left"/>
      <w:pPr>
        <w:tabs>
          <w:tab w:val="num" w:pos="540"/>
        </w:tabs>
        <w:ind w:left="540" w:hanging="360"/>
      </w:pPr>
      <w:rPr>
        <w:rFonts w:ascii="Times New Roman" w:hAnsi="Times New Roman" w:cs="Times New Roman" w:hint="default"/>
      </w:rPr>
    </w:lvl>
    <w:lvl w:ilvl="1" w:tplc="041A0003">
      <w:start w:val="1"/>
      <w:numFmt w:val="bullet"/>
      <w:lvlText w:val="o"/>
      <w:lvlJc w:val="left"/>
      <w:pPr>
        <w:tabs>
          <w:tab w:val="num" w:pos="900"/>
        </w:tabs>
        <w:ind w:left="900" w:hanging="360"/>
      </w:pPr>
      <w:rPr>
        <w:rFonts w:ascii="Courier New" w:hAnsi="Courier New" w:cs="Times New Roman" w:hint="default"/>
      </w:rPr>
    </w:lvl>
    <w:lvl w:ilvl="2" w:tplc="041A0005">
      <w:start w:val="1"/>
      <w:numFmt w:val="bullet"/>
      <w:lvlText w:val=""/>
      <w:lvlJc w:val="left"/>
      <w:pPr>
        <w:tabs>
          <w:tab w:val="num" w:pos="1620"/>
        </w:tabs>
        <w:ind w:left="1620" w:hanging="360"/>
      </w:pPr>
      <w:rPr>
        <w:rFonts w:ascii="Wingdings" w:hAnsi="Wingdings" w:hint="default"/>
      </w:rPr>
    </w:lvl>
    <w:lvl w:ilvl="3" w:tplc="041A0001">
      <w:start w:val="1"/>
      <w:numFmt w:val="bullet"/>
      <w:lvlText w:val=""/>
      <w:lvlJc w:val="left"/>
      <w:pPr>
        <w:tabs>
          <w:tab w:val="num" w:pos="2340"/>
        </w:tabs>
        <w:ind w:left="2340" w:hanging="360"/>
      </w:pPr>
      <w:rPr>
        <w:rFonts w:ascii="Symbol" w:hAnsi="Symbol" w:hint="default"/>
      </w:rPr>
    </w:lvl>
    <w:lvl w:ilvl="4" w:tplc="041A0003">
      <w:start w:val="1"/>
      <w:numFmt w:val="bullet"/>
      <w:lvlText w:val="o"/>
      <w:lvlJc w:val="left"/>
      <w:pPr>
        <w:tabs>
          <w:tab w:val="num" w:pos="3060"/>
        </w:tabs>
        <w:ind w:left="3060" w:hanging="360"/>
      </w:pPr>
      <w:rPr>
        <w:rFonts w:ascii="Courier New" w:hAnsi="Courier New" w:cs="Times New Roman" w:hint="default"/>
      </w:rPr>
    </w:lvl>
    <w:lvl w:ilvl="5" w:tplc="041A0005">
      <w:start w:val="1"/>
      <w:numFmt w:val="bullet"/>
      <w:lvlText w:val=""/>
      <w:lvlJc w:val="left"/>
      <w:pPr>
        <w:tabs>
          <w:tab w:val="num" w:pos="3780"/>
        </w:tabs>
        <w:ind w:left="3780" w:hanging="360"/>
      </w:pPr>
      <w:rPr>
        <w:rFonts w:ascii="Wingdings" w:hAnsi="Wingdings" w:hint="default"/>
      </w:rPr>
    </w:lvl>
    <w:lvl w:ilvl="6" w:tplc="041A0001">
      <w:start w:val="1"/>
      <w:numFmt w:val="bullet"/>
      <w:lvlText w:val=""/>
      <w:lvlJc w:val="left"/>
      <w:pPr>
        <w:tabs>
          <w:tab w:val="num" w:pos="4500"/>
        </w:tabs>
        <w:ind w:left="4500" w:hanging="360"/>
      </w:pPr>
      <w:rPr>
        <w:rFonts w:ascii="Symbol" w:hAnsi="Symbol" w:hint="default"/>
      </w:rPr>
    </w:lvl>
    <w:lvl w:ilvl="7" w:tplc="041A0003">
      <w:start w:val="1"/>
      <w:numFmt w:val="bullet"/>
      <w:lvlText w:val="o"/>
      <w:lvlJc w:val="left"/>
      <w:pPr>
        <w:tabs>
          <w:tab w:val="num" w:pos="5220"/>
        </w:tabs>
        <w:ind w:left="5220" w:hanging="360"/>
      </w:pPr>
      <w:rPr>
        <w:rFonts w:ascii="Courier New" w:hAnsi="Courier New" w:cs="Times New Roman" w:hint="default"/>
      </w:rPr>
    </w:lvl>
    <w:lvl w:ilvl="8" w:tplc="041A0005">
      <w:start w:val="1"/>
      <w:numFmt w:val="bullet"/>
      <w:lvlText w:val=""/>
      <w:lvlJc w:val="left"/>
      <w:pPr>
        <w:tabs>
          <w:tab w:val="num" w:pos="5940"/>
        </w:tabs>
        <w:ind w:left="5940" w:hanging="360"/>
      </w:pPr>
      <w:rPr>
        <w:rFonts w:ascii="Wingdings" w:hAnsi="Wingdings" w:hint="default"/>
      </w:rPr>
    </w:lvl>
  </w:abstractNum>
  <w:abstractNum w:abstractNumId="5" w15:restartNumberingAfterBreak="0">
    <w:nsid w:val="3DC44B6F"/>
    <w:multiLevelType w:val="hybridMultilevel"/>
    <w:tmpl w:val="2E8AD8C0"/>
    <w:lvl w:ilvl="0" w:tplc="99EED82A">
      <w:start w:val="1"/>
      <w:numFmt w:val="bullet"/>
      <w:lvlText w:val="-"/>
      <w:lvlJc w:val="left"/>
      <w:pPr>
        <w:tabs>
          <w:tab w:val="num" w:pos="540"/>
        </w:tabs>
        <w:ind w:left="540" w:hanging="360"/>
      </w:pPr>
      <w:rPr>
        <w:rFonts w:ascii="Times New Roman" w:hAnsi="Times New Roman" w:cs="Times New Roman" w:hint="default"/>
      </w:rPr>
    </w:lvl>
    <w:lvl w:ilvl="1" w:tplc="041A0003">
      <w:start w:val="1"/>
      <w:numFmt w:val="bullet"/>
      <w:lvlText w:val="o"/>
      <w:lvlJc w:val="left"/>
      <w:pPr>
        <w:tabs>
          <w:tab w:val="num" w:pos="1260"/>
        </w:tabs>
        <w:ind w:left="1260" w:hanging="360"/>
      </w:pPr>
      <w:rPr>
        <w:rFonts w:ascii="Courier New" w:hAnsi="Courier New" w:cs="Times New Roman" w:hint="default"/>
      </w:rPr>
    </w:lvl>
    <w:lvl w:ilvl="2" w:tplc="041A0005">
      <w:start w:val="1"/>
      <w:numFmt w:val="bullet"/>
      <w:lvlText w:val=""/>
      <w:lvlJc w:val="left"/>
      <w:pPr>
        <w:tabs>
          <w:tab w:val="num" w:pos="1980"/>
        </w:tabs>
        <w:ind w:left="1980" w:hanging="360"/>
      </w:pPr>
      <w:rPr>
        <w:rFonts w:ascii="Wingdings" w:hAnsi="Wingdings" w:hint="default"/>
      </w:rPr>
    </w:lvl>
    <w:lvl w:ilvl="3" w:tplc="041A0001">
      <w:start w:val="1"/>
      <w:numFmt w:val="bullet"/>
      <w:lvlText w:val=""/>
      <w:lvlJc w:val="left"/>
      <w:pPr>
        <w:tabs>
          <w:tab w:val="num" w:pos="2700"/>
        </w:tabs>
        <w:ind w:left="2700" w:hanging="360"/>
      </w:pPr>
      <w:rPr>
        <w:rFonts w:ascii="Symbol" w:hAnsi="Symbol" w:hint="default"/>
      </w:rPr>
    </w:lvl>
    <w:lvl w:ilvl="4" w:tplc="041A0003">
      <w:start w:val="1"/>
      <w:numFmt w:val="bullet"/>
      <w:lvlText w:val="o"/>
      <w:lvlJc w:val="left"/>
      <w:pPr>
        <w:tabs>
          <w:tab w:val="num" w:pos="3420"/>
        </w:tabs>
        <w:ind w:left="3420" w:hanging="360"/>
      </w:pPr>
      <w:rPr>
        <w:rFonts w:ascii="Courier New" w:hAnsi="Courier New" w:cs="Times New Roman" w:hint="default"/>
      </w:rPr>
    </w:lvl>
    <w:lvl w:ilvl="5" w:tplc="041A0005">
      <w:start w:val="1"/>
      <w:numFmt w:val="bullet"/>
      <w:lvlText w:val=""/>
      <w:lvlJc w:val="left"/>
      <w:pPr>
        <w:tabs>
          <w:tab w:val="num" w:pos="4140"/>
        </w:tabs>
        <w:ind w:left="4140" w:hanging="360"/>
      </w:pPr>
      <w:rPr>
        <w:rFonts w:ascii="Wingdings" w:hAnsi="Wingdings" w:hint="default"/>
      </w:rPr>
    </w:lvl>
    <w:lvl w:ilvl="6" w:tplc="041A0001">
      <w:start w:val="1"/>
      <w:numFmt w:val="bullet"/>
      <w:lvlText w:val=""/>
      <w:lvlJc w:val="left"/>
      <w:pPr>
        <w:tabs>
          <w:tab w:val="num" w:pos="4860"/>
        </w:tabs>
        <w:ind w:left="4860" w:hanging="360"/>
      </w:pPr>
      <w:rPr>
        <w:rFonts w:ascii="Symbol" w:hAnsi="Symbol" w:hint="default"/>
      </w:rPr>
    </w:lvl>
    <w:lvl w:ilvl="7" w:tplc="041A0003">
      <w:start w:val="1"/>
      <w:numFmt w:val="bullet"/>
      <w:lvlText w:val="o"/>
      <w:lvlJc w:val="left"/>
      <w:pPr>
        <w:tabs>
          <w:tab w:val="num" w:pos="5580"/>
        </w:tabs>
        <w:ind w:left="5580" w:hanging="360"/>
      </w:pPr>
      <w:rPr>
        <w:rFonts w:ascii="Courier New" w:hAnsi="Courier New" w:cs="Times New Roman" w:hint="default"/>
      </w:rPr>
    </w:lvl>
    <w:lvl w:ilvl="8" w:tplc="041A0005">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63C67B33"/>
    <w:multiLevelType w:val="hybridMultilevel"/>
    <w:tmpl w:val="4BFA2156"/>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649C7E69"/>
    <w:multiLevelType w:val="hybridMultilevel"/>
    <w:tmpl w:val="BDB8B9DC"/>
    <w:lvl w:ilvl="0" w:tplc="B9D0D584">
      <w:start w:val="1"/>
      <w:numFmt w:val="bullet"/>
      <w:lvlText w:val=""/>
      <w:lvlJc w:val="left"/>
      <w:pPr>
        <w:tabs>
          <w:tab w:val="num" w:pos="1287"/>
        </w:tabs>
        <w:ind w:left="1287"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6DD976B9"/>
    <w:multiLevelType w:val="hybridMultilevel"/>
    <w:tmpl w:val="C662548E"/>
    <w:lvl w:ilvl="0" w:tplc="99EED82A">
      <w:start w:val="1"/>
      <w:numFmt w:val="bullet"/>
      <w:lvlText w:val="-"/>
      <w:lvlJc w:val="left"/>
      <w:pPr>
        <w:tabs>
          <w:tab w:val="num" w:pos="1440"/>
        </w:tabs>
        <w:ind w:left="1440" w:hanging="360"/>
      </w:pPr>
      <w:rPr>
        <w:rFonts w:ascii="Times New Roman" w:hAnsi="Times New Roman" w:cs="Times New Roman" w:hint="default"/>
      </w:rPr>
    </w:lvl>
    <w:lvl w:ilvl="1" w:tplc="041A0003">
      <w:start w:val="1"/>
      <w:numFmt w:val="bullet"/>
      <w:lvlText w:val="o"/>
      <w:lvlJc w:val="left"/>
      <w:pPr>
        <w:tabs>
          <w:tab w:val="num" w:pos="1800"/>
        </w:tabs>
        <w:ind w:left="1800" w:hanging="360"/>
      </w:pPr>
      <w:rPr>
        <w:rFonts w:ascii="Courier New" w:hAnsi="Courier New" w:cs="Times New Roman"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Times New Roman"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Times New Roman"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D0458D2"/>
    <w:multiLevelType w:val="hybridMultilevel"/>
    <w:tmpl w:val="632CF736"/>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7"/>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9"/>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ED"/>
    <w:rsid w:val="00056601"/>
    <w:rsid w:val="000C3846"/>
    <w:rsid w:val="000C6218"/>
    <w:rsid w:val="000D3C9D"/>
    <w:rsid w:val="000F0D47"/>
    <w:rsid w:val="001242DE"/>
    <w:rsid w:val="00134C49"/>
    <w:rsid w:val="00174F65"/>
    <w:rsid w:val="00180A12"/>
    <w:rsid w:val="00214331"/>
    <w:rsid w:val="00214CF4"/>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B3847"/>
    <w:rsid w:val="0070712E"/>
    <w:rsid w:val="00717AED"/>
    <w:rsid w:val="0075453D"/>
    <w:rsid w:val="007A4CC6"/>
    <w:rsid w:val="007C3623"/>
    <w:rsid w:val="007C5D2A"/>
    <w:rsid w:val="007F1E00"/>
    <w:rsid w:val="00827444"/>
    <w:rsid w:val="008400E3"/>
    <w:rsid w:val="00864538"/>
    <w:rsid w:val="00873B4F"/>
    <w:rsid w:val="008A24F6"/>
    <w:rsid w:val="008E51AE"/>
    <w:rsid w:val="008F2F8C"/>
    <w:rsid w:val="00965D23"/>
    <w:rsid w:val="009925C9"/>
    <w:rsid w:val="00A179D0"/>
    <w:rsid w:val="00A358A3"/>
    <w:rsid w:val="00A46747"/>
    <w:rsid w:val="00A80446"/>
    <w:rsid w:val="00A85D26"/>
    <w:rsid w:val="00A9153A"/>
    <w:rsid w:val="00AB4376"/>
    <w:rsid w:val="00AC033C"/>
    <w:rsid w:val="00AD2E36"/>
    <w:rsid w:val="00B45DC5"/>
    <w:rsid w:val="00BD3490"/>
    <w:rsid w:val="00C261C0"/>
    <w:rsid w:val="00C26226"/>
    <w:rsid w:val="00C3571D"/>
    <w:rsid w:val="00C54F0B"/>
    <w:rsid w:val="00C5726D"/>
    <w:rsid w:val="00C82621"/>
    <w:rsid w:val="00CB1423"/>
    <w:rsid w:val="00D02508"/>
    <w:rsid w:val="00D778CC"/>
    <w:rsid w:val="00D82FE9"/>
    <w:rsid w:val="00D97B77"/>
    <w:rsid w:val="00DB6A85"/>
    <w:rsid w:val="00DD50E4"/>
    <w:rsid w:val="00E06B32"/>
    <w:rsid w:val="00E1290F"/>
    <w:rsid w:val="00E36A80"/>
    <w:rsid w:val="00E54A0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4C88D"/>
  <w15:chartTrackingRefBased/>
  <w15:docId w15:val="{9AE92BD8-65FF-4879-9B11-9AC103E9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indrykning">
    <w:name w:val="Body Text Indent"/>
    <w:basedOn w:val="Normal"/>
    <w:link w:val="BrdtekstindrykningTegn"/>
    <w:rsid w:val="00174F65"/>
    <w:pPr>
      <w:tabs>
        <w:tab w:val="left" w:pos="851"/>
      </w:tabs>
      <w:ind w:left="850"/>
    </w:pPr>
    <w:rPr>
      <w:spacing w:val="-3"/>
      <w:sz w:val="24"/>
    </w:rPr>
  </w:style>
  <w:style w:type="character" w:customStyle="1" w:styleId="BrdtekstindrykningTegn">
    <w:name w:val="Brødtekstindrykning Tegn"/>
    <w:basedOn w:val="Standardskrifttypeiafsnit"/>
    <w:link w:val="Brdtekstindrykning"/>
    <w:rsid w:val="00174F65"/>
    <w:rPr>
      <w:spacing w:val="-3"/>
      <w:sz w:val="24"/>
    </w:rPr>
  </w:style>
  <w:style w:type="paragraph" w:styleId="Brdtekst">
    <w:name w:val="Body Text"/>
    <w:basedOn w:val="Normal"/>
    <w:link w:val="BrdtekstTegn"/>
    <w:uiPriority w:val="99"/>
    <w:semiHidden/>
    <w:unhideWhenUsed/>
    <w:rsid w:val="00DD50E4"/>
    <w:pPr>
      <w:spacing w:after="120"/>
    </w:pPr>
  </w:style>
  <w:style w:type="character" w:customStyle="1" w:styleId="BrdtekstTegn">
    <w:name w:val="Brødtekst Tegn"/>
    <w:basedOn w:val="Standardskrifttypeiafsnit"/>
    <w:link w:val="Brdtekst"/>
    <w:uiPriority w:val="99"/>
    <w:semiHidden/>
    <w:rsid w:val="00DD50E4"/>
    <w:rPr>
      <w:sz w:val="23"/>
    </w:rPr>
  </w:style>
  <w:style w:type="paragraph" w:styleId="NormalWeb">
    <w:name w:val="Normal (Web)"/>
    <w:basedOn w:val="Normal"/>
    <w:semiHidden/>
    <w:unhideWhenUsed/>
    <w:rsid w:val="00DD50E4"/>
    <w:pPr>
      <w:spacing w:before="100" w:beforeAutospacing="1" w:after="100" w:afterAutospacing="1"/>
    </w:pPr>
    <w:rPr>
      <w:sz w:val="24"/>
      <w:szCs w:val="24"/>
      <w:lang w:val="fr-FR" w:eastAsia="fr-FR"/>
    </w:rPr>
  </w:style>
  <w:style w:type="character" w:styleId="Hyperlink">
    <w:name w:val="Hyperlink"/>
    <w:basedOn w:val="Standardskrifttypeiafsnit"/>
    <w:uiPriority w:val="99"/>
    <w:semiHidden/>
    <w:unhideWhenUsed/>
    <w:rsid w:val="00DD50E4"/>
    <w:rPr>
      <w:color w:val="0563C1" w:themeColor="hyperlink"/>
      <w:u w:val="single"/>
    </w:rPr>
  </w:style>
  <w:style w:type="paragraph" w:customStyle="1" w:styleId="Response">
    <w:name w:val="Response"/>
    <w:basedOn w:val="Normal"/>
    <w:rsid w:val="00DD50E4"/>
    <w:pPr>
      <w:spacing w:before="240" w:after="120"/>
      <w:ind w:left="1440"/>
      <w:jc w:val="both"/>
    </w:pPr>
    <w:rPr>
      <w:sz w:val="20"/>
      <w:lang w:val="en-US" w:eastAsia="en-US"/>
    </w:rPr>
  </w:style>
  <w:style w:type="paragraph" w:customStyle="1" w:styleId="TableParagraph">
    <w:name w:val="Table Paragraph"/>
    <w:basedOn w:val="Normal"/>
    <w:uiPriority w:val="1"/>
    <w:qFormat/>
    <w:rsid w:val="00DD50E4"/>
    <w:pPr>
      <w:widowControl w:val="0"/>
      <w:autoSpaceDE w:val="0"/>
      <w:autoSpaceDN w:val="0"/>
      <w:spacing w:line="235" w:lineRule="exact"/>
      <w:ind w:left="112"/>
    </w:pPr>
    <w:rPr>
      <w:sz w:val="22"/>
      <w:szCs w:val="22"/>
      <w:lang w:val="de-DE" w:eastAsia="en-US"/>
    </w:rPr>
  </w:style>
  <w:style w:type="table" w:customStyle="1" w:styleId="TableNormal1">
    <w:name w:val="Table Normal1"/>
    <w:uiPriority w:val="2"/>
    <w:semiHidden/>
    <w:qFormat/>
    <w:rsid w:val="00DD50E4"/>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Brdtekstindrykning3">
    <w:name w:val="Body Text Indent 3"/>
    <w:basedOn w:val="Normal"/>
    <w:link w:val="Brdtekstindrykning3Tegn"/>
    <w:uiPriority w:val="99"/>
    <w:semiHidden/>
    <w:unhideWhenUsed/>
    <w:rsid w:val="00DD50E4"/>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DD50E4"/>
    <w:rPr>
      <w:sz w:val="16"/>
      <w:szCs w:val="16"/>
    </w:rPr>
  </w:style>
  <w:style w:type="paragraph" w:styleId="Listeafsnit">
    <w:name w:val="List Paragraph"/>
    <w:basedOn w:val="Normal"/>
    <w:uiPriority w:val="34"/>
    <w:qFormat/>
    <w:rsid w:val="00965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9304">
      <w:bodyDiv w:val="1"/>
      <w:marLeft w:val="0"/>
      <w:marRight w:val="0"/>
      <w:marTop w:val="0"/>
      <w:marBottom w:val="0"/>
      <w:divBdr>
        <w:top w:val="none" w:sz="0" w:space="0" w:color="auto"/>
        <w:left w:val="none" w:sz="0" w:space="0" w:color="auto"/>
        <w:bottom w:val="none" w:sz="0" w:space="0" w:color="auto"/>
        <w:right w:val="none" w:sz="0" w:space="0" w:color="auto"/>
      </w:divBdr>
    </w:div>
    <w:div w:id="56708111">
      <w:bodyDiv w:val="1"/>
      <w:marLeft w:val="0"/>
      <w:marRight w:val="0"/>
      <w:marTop w:val="0"/>
      <w:marBottom w:val="0"/>
      <w:divBdr>
        <w:top w:val="none" w:sz="0" w:space="0" w:color="auto"/>
        <w:left w:val="none" w:sz="0" w:space="0" w:color="auto"/>
        <w:bottom w:val="none" w:sz="0" w:space="0" w:color="auto"/>
        <w:right w:val="none" w:sz="0" w:space="0" w:color="auto"/>
      </w:divBdr>
    </w:div>
    <w:div w:id="65616893">
      <w:bodyDiv w:val="1"/>
      <w:marLeft w:val="0"/>
      <w:marRight w:val="0"/>
      <w:marTop w:val="0"/>
      <w:marBottom w:val="0"/>
      <w:divBdr>
        <w:top w:val="none" w:sz="0" w:space="0" w:color="auto"/>
        <w:left w:val="none" w:sz="0" w:space="0" w:color="auto"/>
        <w:bottom w:val="none" w:sz="0" w:space="0" w:color="auto"/>
        <w:right w:val="none" w:sz="0" w:space="0" w:color="auto"/>
      </w:divBdr>
    </w:div>
    <w:div w:id="91705463">
      <w:bodyDiv w:val="1"/>
      <w:marLeft w:val="0"/>
      <w:marRight w:val="0"/>
      <w:marTop w:val="0"/>
      <w:marBottom w:val="0"/>
      <w:divBdr>
        <w:top w:val="none" w:sz="0" w:space="0" w:color="auto"/>
        <w:left w:val="none" w:sz="0" w:space="0" w:color="auto"/>
        <w:bottom w:val="none" w:sz="0" w:space="0" w:color="auto"/>
        <w:right w:val="none" w:sz="0" w:space="0" w:color="auto"/>
      </w:divBdr>
    </w:div>
    <w:div w:id="125660846">
      <w:bodyDiv w:val="1"/>
      <w:marLeft w:val="0"/>
      <w:marRight w:val="0"/>
      <w:marTop w:val="0"/>
      <w:marBottom w:val="0"/>
      <w:divBdr>
        <w:top w:val="none" w:sz="0" w:space="0" w:color="auto"/>
        <w:left w:val="none" w:sz="0" w:space="0" w:color="auto"/>
        <w:bottom w:val="none" w:sz="0" w:space="0" w:color="auto"/>
        <w:right w:val="none" w:sz="0" w:space="0" w:color="auto"/>
      </w:divBdr>
    </w:div>
    <w:div w:id="280036985">
      <w:bodyDiv w:val="1"/>
      <w:marLeft w:val="0"/>
      <w:marRight w:val="0"/>
      <w:marTop w:val="0"/>
      <w:marBottom w:val="0"/>
      <w:divBdr>
        <w:top w:val="none" w:sz="0" w:space="0" w:color="auto"/>
        <w:left w:val="none" w:sz="0" w:space="0" w:color="auto"/>
        <w:bottom w:val="none" w:sz="0" w:space="0" w:color="auto"/>
        <w:right w:val="none" w:sz="0" w:space="0" w:color="auto"/>
      </w:divBdr>
    </w:div>
    <w:div w:id="407000495">
      <w:bodyDiv w:val="1"/>
      <w:marLeft w:val="0"/>
      <w:marRight w:val="0"/>
      <w:marTop w:val="0"/>
      <w:marBottom w:val="0"/>
      <w:divBdr>
        <w:top w:val="none" w:sz="0" w:space="0" w:color="auto"/>
        <w:left w:val="none" w:sz="0" w:space="0" w:color="auto"/>
        <w:bottom w:val="none" w:sz="0" w:space="0" w:color="auto"/>
        <w:right w:val="none" w:sz="0" w:space="0" w:color="auto"/>
      </w:divBdr>
    </w:div>
    <w:div w:id="659579461">
      <w:bodyDiv w:val="1"/>
      <w:marLeft w:val="0"/>
      <w:marRight w:val="0"/>
      <w:marTop w:val="0"/>
      <w:marBottom w:val="0"/>
      <w:divBdr>
        <w:top w:val="none" w:sz="0" w:space="0" w:color="auto"/>
        <w:left w:val="none" w:sz="0" w:space="0" w:color="auto"/>
        <w:bottom w:val="none" w:sz="0" w:space="0" w:color="auto"/>
        <w:right w:val="none" w:sz="0" w:space="0" w:color="auto"/>
      </w:divBdr>
    </w:div>
    <w:div w:id="796030551">
      <w:bodyDiv w:val="1"/>
      <w:marLeft w:val="0"/>
      <w:marRight w:val="0"/>
      <w:marTop w:val="0"/>
      <w:marBottom w:val="0"/>
      <w:divBdr>
        <w:top w:val="none" w:sz="0" w:space="0" w:color="auto"/>
        <w:left w:val="none" w:sz="0" w:space="0" w:color="auto"/>
        <w:bottom w:val="none" w:sz="0" w:space="0" w:color="auto"/>
        <w:right w:val="none" w:sz="0" w:space="0" w:color="auto"/>
      </w:divBdr>
    </w:div>
    <w:div w:id="807360162">
      <w:bodyDiv w:val="1"/>
      <w:marLeft w:val="0"/>
      <w:marRight w:val="0"/>
      <w:marTop w:val="0"/>
      <w:marBottom w:val="0"/>
      <w:divBdr>
        <w:top w:val="none" w:sz="0" w:space="0" w:color="auto"/>
        <w:left w:val="none" w:sz="0" w:space="0" w:color="auto"/>
        <w:bottom w:val="none" w:sz="0" w:space="0" w:color="auto"/>
        <w:right w:val="none" w:sz="0" w:space="0" w:color="auto"/>
      </w:divBdr>
    </w:div>
    <w:div w:id="831137250">
      <w:bodyDiv w:val="1"/>
      <w:marLeft w:val="0"/>
      <w:marRight w:val="0"/>
      <w:marTop w:val="0"/>
      <w:marBottom w:val="0"/>
      <w:divBdr>
        <w:top w:val="none" w:sz="0" w:space="0" w:color="auto"/>
        <w:left w:val="none" w:sz="0" w:space="0" w:color="auto"/>
        <w:bottom w:val="none" w:sz="0" w:space="0" w:color="auto"/>
        <w:right w:val="none" w:sz="0" w:space="0" w:color="auto"/>
      </w:divBdr>
    </w:div>
    <w:div w:id="884488912">
      <w:bodyDiv w:val="1"/>
      <w:marLeft w:val="0"/>
      <w:marRight w:val="0"/>
      <w:marTop w:val="0"/>
      <w:marBottom w:val="0"/>
      <w:divBdr>
        <w:top w:val="none" w:sz="0" w:space="0" w:color="auto"/>
        <w:left w:val="none" w:sz="0" w:space="0" w:color="auto"/>
        <w:bottom w:val="none" w:sz="0" w:space="0" w:color="auto"/>
        <w:right w:val="none" w:sz="0" w:space="0" w:color="auto"/>
      </w:divBdr>
    </w:div>
    <w:div w:id="1172766986">
      <w:bodyDiv w:val="1"/>
      <w:marLeft w:val="0"/>
      <w:marRight w:val="0"/>
      <w:marTop w:val="0"/>
      <w:marBottom w:val="0"/>
      <w:divBdr>
        <w:top w:val="none" w:sz="0" w:space="0" w:color="auto"/>
        <w:left w:val="none" w:sz="0" w:space="0" w:color="auto"/>
        <w:bottom w:val="none" w:sz="0" w:space="0" w:color="auto"/>
        <w:right w:val="none" w:sz="0" w:space="0" w:color="auto"/>
      </w:divBdr>
    </w:div>
    <w:div w:id="1421678945">
      <w:bodyDiv w:val="1"/>
      <w:marLeft w:val="0"/>
      <w:marRight w:val="0"/>
      <w:marTop w:val="0"/>
      <w:marBottom w:val="0"/>
      <w:divBdr>
        <w:top w:val="none" w:sz="0" w:space="0" w:color="auto"/>
        <w:left w:val="none" w:sz="0" w:space="0" w:color="auto"/>
        <w:bottom w:val="none" w:sz="0" w:space="0" w:color="auto"/>
        <w:right w:val="none" w:sz="0" w:space="0" w:color="auto"/>
      </w:divBdr>
    </w:div>
    <w:div w:id="1427457749">
      <w:bodyDiv w:val="1"/>
      <w:marLeft w:val="0"/>
      <w:marRight w:val="0"/>
      <w:marTop w:val="0"/>
      <w:marBottom w:val="0"/>
      <w:divBdr>
        <w:top w:val="none" w:sz="0" w:space="0" w:color="auto"/>
        <w:left w:val="none" w:sz="0" w:space="0" w:color="auto"/>
        <w:bottom w:val="none" w:sz="0" w:space="0" w:color="auto"/>
        <w:right w:val="none" w:sz="0" w:space="0" w:color="auto"/>
      </w:divBdr>
    </w:div>
    <w:div w:id="1544248340">
      <w:bodyDiv w:val="1"/>
      <w:marLeft w:val="0"/>
      <w:marRight w:val="0"/>
      <w:marTop w:val="0"/>
      <w:marBottom w:val="0"/>
      <w:divBdr>
        <w:top w:val="none" w:sz="0" w:space="0" w:color="auto"/>
        <w:left w:val="none" w:sz="0" w:space="0" w:color="auto"/>
        <w:bottom w:val="none" w:sz="0" w:space="0" w:color="auto"/>
        <w:right w:val="none" w:sz="0" w:space="0" w:color="auto"/>
      </w:divBdr>
    </w:div>
    <w:div w:id="1585529372">
      <w:bodyDiv w:val="1"/>
      <w:marLeft w:val="0"/>
      <w:marRight w:val="0"/>
      <w:marTop w:val="0"/>
      <w:marBottom w:val="0"/>
      <w:divBdr>
        <w:top w:val="none" w:sz="0" w:space="0" w:color="auto"/>
        <w:left w:val="none" w:sz="0" w:space="0" w:color="auto"/>
        <w:bottom w:val="none" w:sz="0" w:space="0" w:color="auto"/>
        <w:right w:val="none" w:sz="0" w:space="0" w:color="auto"/>
      </w:divBdr>
    </w:div>
    <w:div w:id="1780291942">
      <w:bodyDiv w:val="1"/>
      <w:marLeft w:val="0"/>
      <w:marRight w:val="0"/>
      <w:marTop w:val="0"/>
      <w:marBottom w:val="0"/>
      <w:divBdr>
        <w:top w:val="none" w:sz="0" w:space="0" w:color="auto"/>
        <w:left w:val="none" w:sz="0" w:space="0" w:color="auto"/>
        <w:bottom w:val="none" w:sz="0" w:space="0" w:color="auto"/>
        <w:right w:val="none" w:sz="0" w:space="0" w:color="auto"/>
      </w:divBdr>
    </w:div>
    <w:div w:id="1792046007">
      <w:bodyDiv w:val="1"/>
      <w:marLeft w:val="0"/>
      <w:marRight w:val="0"/>
      <w:marTop w:val="0"/>
      <w:marBottom w:val="0"/>
      <w:divBdr>
        <w:top w:val="none" w:sz="0" w:space="0" w:color="auto"/>
        <w:left w:val="none" w:sz="0" w:space="0" w:color="auto"/>
        <w:bottom w:val="none" w:sz="0" w:space="0" w:color="auto"/>
        <w:right w:val="none" w:sz="0" w:space="0" w:color="auto"/>
      </w:divBdr>
    </w:div>
    <w:div w:id="185954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18</TotalTime>
  <Pages>12</Pages>
  <Words>4027</Words>
  <Characters>23788</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27760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2023114239, var. 46, opdatering iht reference produkt + overgået til engelske tekster</dc:description>
  <cp:lastModifiedBy>Gitte Jørgensen</cp:lastModifiedBy>
  <cp:revision>10</cp:revision>
  <cp:lastPrinted>2006-02-24T09:31:00Z</cp:lastPrinted>
  <dcterms:created xsi:type="dcterms:W3CDTF">2024-10-16T10:32:00Z</dcterms:created>
  <dcterms:modified xsi:type="dcterms:W3CDTF">2024-10-16T11:02:00Z</dcterms:modified>
</cp:coreProperties>
</file>