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B06" w:rsidRPr="00276496" w:rsidRDefault="009C0B06" w:rsidP="00290A95">
      <w:pPr>
        <w:rPr>
          <w:b/>
          <w:sz w:val="24"/>
          <w:szCs w:val="24"/>
        </w:rPr>
      </w:pPr>
      <w:r w:rsidRPr="0027649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4246948" wp14:editId="53E7A02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6496">
        <w:rPr>
          <w:sz w:val="24"/>
          <w:szCs w:val="24"/>
        </w:rPr>
        <w:br w:type="textWrapping" w:clear="all"/>
      </w:r>
    </w:p>
    <w:p w:rsidR="00625601" w:rsidRDefault="00625601" w:rsidP="009C0B0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C0B06" w:rsidRPr="00276496" w:rsidRDefault="009C0B06" w:rsidP="009C0B0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276496">
        <w:rPr>
          <w:b w:val="0"/>
          <w:szCs w:val="24"/>
          <w:lang w:eastAsia="en-US"/>
        </w:rPr>
        <w:tab/>
      </w:r>
      <w:r w:rsidR="008B7EAD">
        <w:rPr>
          <w:szCs w:val="24"/>
        </w:rPr>
        <w:t>2</w:t>
      </w:r>
      <w:r w:rsidR="00BA1804">
        <w:rPr>
          <w:szCs w:val="24"/>
        </w:rPr>
        <w:t>4. februar</w:t>
      </w:r>
      <w:r w:rsidR="008B7EAD">
        <w:rPr>
          <w:szCs w:val="24"/>
        </w:rPr>
        <w:t xml:space="preserve"> 202</w:t>
      </w:r>
      <w:r w:rsidR="00BA1804">
        <w:rPr>
          <w:szCs w:val="24"/>
        </w:rPr>
        <w:t>3</w:t>
      </w:r>
    </w:p>
    <w:p w:rsidR="001A3695" w:rsidRPr="00276496" w:rsidRDefault="001A3695" w:rsidP="009C0B06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C0B06" w:rsidRPr="00276496" w:rsidRDefault="009C0B06" w:rsidP="009C0B06">
      <w:pPr>
        <w:pStyle w:val="Titel"/>
        <w:jc w:val="left"/>
        <w:rPr>
          <w:b w:val="0"/>
          <w:szCs w:val="24"/>
        </w:rPr>
      </w:pPr>
    </w:p>
    <w:p w:rsidR="009C0B06" w:rsidRPr="00276496" w:rsidRDefault="009C0B06" w:rsidP="009C0B06">
      <w:pPr>
        <w:pStyle w:val="Titel"/>
        <w:jc w:val="left"/>
        <w:rPr>
          <w:b w:val="0"/>
          <w:szCs w:val="24"/>
        </w:rPr>
      </w:pPr>
    </w:p>
    <w:p w:rsidR="009C0B06" w:rsidRPr="00276496" w:rsidRDefault="009C0B06" w:rsidP="009C0B06">
      <w:pPr>
        <w:jc w:val="center"/>
        <w:rPr>
          <w:b/>
          <w:sz w:val="24"/>
          <w:szCs w:val="24"/>
        </w:rPr>
      </w:pPr>
      <w:r w:rsidRPr="00276496">
        <w:rPr>
          <w:b/>
          <w:sz w:val="24"/>
          <w:szCs w:val="24"/>
        </w:rPr>
        <w:t>PRODUKTRESUMÉ</w:t>
      </w:r>
    </w:p>
    <w:p w:rsidR="009C0B06" w:rsidRPr="00276496" w:rsidRDefault="009C0B06" w:rsidP="009C0B06">
      <w:pPr>
        <w:jc w:val="center"/>
        <w:rPr>
          <w:b/>
          <w:sz w:val="24"/>
          <w:szCs w:val="24"/>
        </w:rPr>
      </w:pPr>
    </w:p>
    <w:p w:rsidR="009C0B06" w:rsidRPr="00276496" w:rsidRDefault="009C0B06" w:rsidP="009C0B06">
      <w:pPr>
        <w:jc w:val="center"/>
        <w:rPr>
          <w:b/>
          <w:sz w:val="24"/>
          <w:szCs w:val="24"/>
        </w:rPr>
      </w:pPr>
      <w:r w:rsidRPr="00276496">
        <w:rPr>
          <w:b/>
          <w:sz w:val="24"/>
          <w:szCs w:val="24"/>
        </w:rPr>
        <w:t>for</w:t>
      </w:r>
    </w:p>
    <w:p w:rsidR="009C0B06" w:rsidRPr="00276496" w:rsidRDefault="009C0B06" w:rsidP="009C0B06">
      <w:pPr>
        <w:jc w:val="center"/>
        <w:rPr>
          <w:b/>
          <w:sz w:val="24"/>
          <w:szCs w:val="24"/>
        </w:rPr>
      </w:pPr>
    </w:p>
    <w:p w:rsidR="009C0B06" w:rsidRPr="00276496" w:rsidRDefault="009C0B06" w:rsidP="009C0B06">
      <w:pPr>
        <w:jc w:val="center"/>
        <w:rPr>
          <w:b/>
          <w:sz w:val="24"/>
          <w:szCs w:val="24"/>
        </w:rPr>
      </w:pPr>
      <w:proofErr w:type="spellStart"/>
      <w:r w:rsidRPr="00276496">
        <w:rPr>
          <w:b/>
          <w:sz w:val="24"/>
          <w:szCs w:val="24"/>
        </w:rPr>
        <w:t>Alendronat</w:t>
      </w:r>
      <w:proofErr w:type="spellEnd"/>
      <w:r w:rsidRPr="00276496">
        <w:rPr>
          <w:b/>
          <w:sz w:val="24"/>
          <w:szCs w:val="24"/>
        </w:rPr>
        <w:t>/</w:t>
      </w:r>
      <w:proofErr w:type="spellStart"/>
      <w:r w:rsidRPr="00276496">
        <w:rPr>
          <w:b/>
          <w:sz w:val="24"/>
          <w:szCs w:val="24"/>
        </w:rPr>
        <w:t>Cholecalciferol</w:t>
      </w:r>
      <w:proofErr w:type="spellEnd"/>
      <w:r w:rsidRPr="00276496">
        <w:rPr>
          <w:b/>
          <w:sz w:val="24"/>
          <w:szCs w:val="24"/>
        </w:rPr>
        <w:t xml:space="preserve"> "</w:t>
      </w:r>
      <w:proofErr w:type="spellStart"/>
      <w:r w:rsidRPr="00276496">
        <w:rPr>
          <w:b/>
          <w:sz w:val="24"/>
          <w:szCs w:val="24"/>
        </w:rPr>
        <w:t>Stada</w:t>
      </w:r>
      <w:proofErr w:type="spellEnd"/>
      <w:r w:rsidRPr="00276496">
        <w:rPr>
          <w:b/>
          <w:sz w:val="24"/>
          <w:szCs w:val="24"/>
        </w:rPr>
        <w:t>", tabletter</w:t>
      </w:r>
    </w:p>
    <w:p w:rsidR="009C0B06" w:rsidRPr="00276496" w:rsidRDefault="009C0B06" w:rsidP="009C0B06">
      <w:pPr>
        <w:jc w:val="both"/>
        <w:rPr>
          <w:sz w:val="24"/>
          <w:szCs w:val="24"/>
        </w:rPr>
      </w:pPr>
      <w:bookmarkStart w:id="0" w:name="_GoBack"/>
      <w:bookmarkEnd w:id="0"/>
    </w:p>
    <w:p w:rsidR="009C0B06" w:rsidRPr="00276496" w:rsidRDefault="009C0B06" w:rsidP="009C0B06">
      <w:pPr>
        <w:jc w:val="both"/>
        <w:rPr>
          <w:sz w:val="24"/>
          <w:szCs w:val="24"/>
        </w:rPr>
      </w:pPr>
    </w:p>
    <w:p w:rsidR="009C0B06" w:rsidRPr="00276496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6496">
        <w:rPr>
          <w:b/>
          <w:sz w:val="24"/>
          <w:szCs w:val="24"/>
        </w:rPr>
        <w:t>0.</w:t>
      </w:r>
      <w:r w:rsidRPr="00276496">
        <w:rPr>
          <w:b/>
          <w:sz w:val="24"/>
          <w:szCs w:val="24"/>
        </w:rPr>
        <w:tab/>
        <w:t>D.SP.NR.</w:t>
      </w:r>
    </w:p>
    <w:p w:rsidR="009C0B06" w:rsidRPr="00276496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r w:rsidRPr="00276496">
        <w:rPr>
          <w:sz w:val="24"/>
          <w:szCs w:val="24"/>
        </w:rPr>
        <w:t>29939</w:t>
      </w:r>
    </w:p>
    <w:p w:rsidR="009C0B06" w:rsidRPr="00276496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276496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6496">
        <w:rPr>
          <w:b/>
          <w:sz w:val="24"/>
          <w:szCs w:val="24"/>
        </w:rPr>
        <w:t>1.</w:t>
      </w:r>
      <w:r w:rsidRPr="00276496">
        <w:rPr>
          <w:b/>
          <w:sz w:val="24"/>
          <w:szCs w:val="24"/>
        </w:rPr>
        <w:tab/>
        <w:t>LÆGEMIDLETS NAVN</w:t>
      </w:r>
    </w:p>
    <w:p w:rsidR="009C0B06" w:rsidRPr="00276496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76496">
        <w:rPr>
          <w:sz w:val="24"/>
          <w:szCs w:val="24"/>
        </w:rPr>
        <w:t>Alendronat</w:t>
      </w:r>
      <w:proofErr w:type="spellEnd"/>
      <w:r w:rsidRPr="00276496">
        <w:rPr>
          <w:sz w:val="24"/>
          <w:szCs w:val="24"/>
        </w:rPr>
        <w:t>/</w:t>
      </w:r>
      <w:proofErr w:type="spellStart"/>
      <w:r w:rsidRPr="00276496">
        <w:rPr>
          <w:sz w:val="24"/>
          <w:szCs w:val="24"/>
        </w:rPr>
        <w:t>Cholecalciferol</w:t>
      </w:r>
      <w:proofErr w:type="spellEnd"/>
      <w:r w:rsidRPr="00276496">
        <w:rPr>
          <w:sz w:val="24"/>
          <w:szCs w:val="24"/>
        </w:rPr>
        <w:t xml:space="preserve"> "</w:t>
      </w:r>
      <w:proofErr w:type="spellStart"/>
      <w:r w:rsidRPr="00276496">
        <w:rPr>
          <w:sz w:val="24"/>
          <w:szCs w:val="24"/>
        </w:rPr>
        <w:t>Stada</w:t>
      </w:r>
      <w:proofErr w:type="spellEnd"/>
      <w:r w:rsidRPr="00276496">
        <w:rPr>
          <w:sz w:val="24"/>
          <w:szCs w:val="24"/>
        </w:rPr>
        <w:t>"</w:t>
      </w:r>
    </w:p>
    <w:p w:rsidR="009C0B06" w:rsidRPr="00276496" w:rsidRDefault="009C0B06" w:rsidP="009C0B06">
      <w:pPr>
        <w:ind w:left="851"/>
        <w:rPr>
          <w:sz w:val="24"/>
          <w:szCs w:val="24"/>
        </w:rPr>
      </w:pPr>
    </w:p>
    <w:p w:rsidR="009C0B06" w:rsidRPr="00276496" w:rsidRDefault="009C0B06" w:rsidP="009C0B06">
      <w:pPr>
        <w:ind w:left="851" w:hanging="851"/>
        <w:rPr>
          <w:b/>
          <w:sz w:val="24"/>
          <w:szCs w:val="24"/>
        </w:rPr>
      </w:pPr>
      <w:r w:rsidRPr="00276496">
        <w:rPr>
          <w:b/>
          <w:sz w:val="24"/>
          <w:szCs w:val="24"/>
        </w:rPr>
        <w:t>2.</w:t>
      </w:r>
      <w:r w:rsidRPr="00276496">
        <w:rPr>
          <w:b/>
          <w:sz w:val="24"/>
          <w:szCs w:val="24"/>
        </w:rPr>
        <w:tab/>
        <w:t>KVALITATIV OG KVANTITATIV SAMMENSÆTNING</w:t>
      </w:r>
    </w:p>
    <w:p w:rsidR="009C0B06" w:rsidRDefault="00876EC7" w:rsidP="009C0B06">
      <w:pPr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F350A5" w:rsidRPr="00625601" w:rsidRDefault="00F350A5" w:rsidP="009C0B06">
      <w:pPr>
        <w:ind w:left="851"/>
        <w:rPr>
          <w:sz w:val="24"/>
          <w:szCs w:val="24"/>
        </w:rPr>
      </w:pPr>
      <w:proofErr w:type="spellStart"/>
      <w:r w:rsidRPr="00625601">
        <w:rPr>
          <w:sz w:val="24"/>
          <w:szCs w:val="24"/>
          <w:u w:val="single"/>
        </w:rPr>
        <w:t>Alendronat</w:t>
      </w:r>
      <w:proofErr w:type="spellEnd"/>
      <w:r w:rsidRPr="00625601">
        <w:rPr>
          <w:sz w:val="24"/>
          <w:szCs w:val="24"/>
          <w:u w:val="single"/>
        </w:rPr>
        <w:t>/</w:t>
      </w:r>
      <w:proofErr w:type="spellStart"/>
      <w:r w:rsidRPr="00625601">
        <w:rPr>
          <w:sz w:val="24"/>
          <w:szCs w:val="24"/>
          <w:u w:val="single"/>
        </w:rPr>
        <w:t>Cholecalciferol</w:t>
      </w:r>
      <w:proofErr w:type="spellEnd"/>
      <w:r w:rsidRPr="00625601">
        <w:rPr>
          <w:sz w:val="24"/>
          <w:szCs w:val="24"/>
          <w:u w:val="single"/>
        </w:rPr>
        <w:t xml:space="preserve"> "</w:t>
      </w:r>
      <w:proofErr w:type="spellStart"/>
      <w:r w:rsidRPr="00625601">
        <w:rPr>
          <w:sz w:val="24"/>
          <w:szCs w:val="24"/>
          <w:u w:val="single"/>
        </w:rPr>
        <w:t>Stada</w:t>
      </w:r>
      <w:proofErr w:type="spellEnd"/>
      <w:r w:rsidRPr="00625601">
        <w:rPr>
          <w:sz w:val="24"/>
          <w:szCs w:val="24"/>
          <w:u w:val="single"/>
        </w:rPr>
        <w:t>" 70 mg/2.800 IE</w:t>
      </w:r>
    </w:p>
    <w:p w:rsidR="009C0B06" w:rsidRPr="001E3840" w:rsidRDefault="009C0B06" w:rsidP="009C0B06">
      <w:pPr>
        <w:ind w:left="851"/>
        <w:rPr>
          <w:sz w:val="24"/>
          <w:szCs w:val="24"/>
        </w:rPr>
      </w:pPr>
      <w:r w:rsidRPr="001E3840">
        <w:rPr>
          <w:sz w:val="24"/>
          <w:szCs w:val="24"/>
        </w:rPr>
        <w:t xml:space="preserve">Hver 70 mg/2.800 </w:t>
      </w:r>
      <w:proofErr w:type="gramStart"/>
      <w:r w:rsidRPr="001E3840">
        <w:rPr>
          <w:sz w:val="24"/>
          <w:szCs w:val="24"/>
        </w:rPr>
        <w:t>IE tablet</w:t>
      </w:r>
      <w:proofErr w:type="gramEnd"/>
      <w:r w:rsidRPr="001E3840">
        <w:rPr>
          <w:sz w:val="24"/>
          <w:szCs w:val="24"/>
        </w:rPr>
        <w:t xml:space="preserve"> indeholder 70 mg </w:t>
      </w:r>
      <w:proofErr w:type="spellStart"/>
      <w:r w:rsidRPr="001E3840">
        <w:rPr>
          <w:sz w:val="24"/>
          <w:szCs w:val="24"/>
        </w:rPr>
        <w:t>alendronsyre</w:t>
      </w:r>
      <w:proofErr w:type="spellEnd"/>
      <w:r w:rsidRPr="001E3840">
        <w:rPr>
          <w:sz w:val="24"/>
          <w:szCs w:val="24"/>
        </w:rPr>
        <w:t xml:space="preserve"> som </w:t>
      </w:r>
      <w:proofErr w:type="spellStart"/>
      <w:r w:rsidRPr="001E3840">
        <w:rPr>
          <w:sz w:val="24"/>
          <w:szCs w:val="24"/>
        </w:rPr>
        <w:t>alendronatnatrium</w:t>
      </w:r>
      <w:r>
        <w:rPr>
          <w:sz w:val="24"/>
          <w:szCs w:val="24"/>
        </w:rPr>
        <w:softHyphen/>
      </w:r>
      <w:r w:rsidRPr="001E3840">
        <w:rPr>
          <w:sz w:val="24"/>
          <w:szCs w:val="24"/>
        </w:rPr>
        <w:t>trihydrat</w:t>
      </w:r>
      <w:proofErr w:type="spellEnd"/>
      <w:r w:rsidRPr="001E3840">
        <w:rPr>
          <w:sz w:val="24"/>
          <w:szCs w:val="24"/>
        </w:rPr>
        <w:t xml:space="preserve"> og 70 mikrogram (2.800 IE) </w:t>
      </w:r>
      <w:proofErr w:type="spellStart"/>
      <w:r w:rsidRPr="001E3840">
        <w:rPr>
          <w:sz w:val="24"/>
          <w:szCs w:val="24"/>
        </w:rPr>
        <w:t>cholecalciferol</w:t>
      </w:r>
      <w:proofErr w:type="spellEnd"/>
      <w:r w:rsidRPr="001E3840">
        <w:rPr>
          <w:sz w:val="24"/>
          <w:szCs w:val="24"/>
        </w:rPr>
        <w:t xml:space="preserve"> (D</w:t>
      </w:r>
      <w:r w:rsidRPr="001E3840">
        <w:rPr>
          <w:sz w:val="24"/>
          <w:szCs w:val="24"/>
          <w:vertAlign w:val="subscript"/>
        </w:rPr>
        <w:t>3</w:t>
      </w:r>
      <w:r w:rsidRPr="001E3840">
        <w:rPr>
          <w:sz w:val="24"/>
          <w:szCs w:val="24"/>
        </w:rPr>
        <w:t>-vitamin).</w:t>
      </w:r>
    </w:p>
    <w:p w:rsidR="009C0B06" w:rsidRPr="001E3840" w:rsidRDefault="009C0B06" w:rsidP="009C0B06">
      <w:pPr>
        <w:ind w:left="851"/>
        <w:rPr>
          <w:sz w:val="24"/>
          <w:szCs w:val="24"/>
        </w:rPr>
      </w:pPr>
    </w:p>
    <w:p w:rsidR="00086501" w:rsidRPr="00625601" w:rsidRDefault="00086501" w:rsidP="00086501">
      <w:pPr>
        <w:ind w:left="851"/>
        <w:rPr>
          <w:sz w:val="24"/>
          <w:szCs w:val="24"/>
          <w:u w:val="single"/>
        </w:rPr>
      </w:pPr>
      <w:proofErr w:type="spellStart"/>
      <w:r w:rsidRPr="00625601">
        <w:rPr>
          <w:sz w:val="24"/>
          <w:szCs w:val="24"/>
          <w:u w:val="single"/>
        </w:rPr>
        <w:t>Alendronat</w:t>
      </w:r>
      <w:proofErr w:type="spellEnd"/>
      <w:r w:rsidRPr="00625601">
        <w:rPr>
          <w:sz w:val="24"/>
          <w:szCs w:val="24"/>
          <w:u w:val="single"/>
        </w:rPr>
        <w:t>/</w:t>
      </w:r>
      <w:proofErr w:type="spellStart"/>
      <w:r w:rsidRPr="00625601">
        <w:rPr>
          <w:sz w:val="24"/>
          <w:szCs w:val="24"/>
          <w:u w:val="single"/>
        </w:rPr>
        <w:t>Cholecalciferol</w:t>
      </w:r>
      <w:proofErr w:type="spellEnd"/>
      <w:r w:rsidRPr="00625601">
        <w:rPr>
          <w:sz w:val="24"/>
          <w:szCs w:val="24"/>
          <w:u w:val="single"/>
        </w:rPr>
        <w:t xml:space="preserve"> "</w:t>
      </w:r>
      <w:proofErr w:type="spellStart"/>
      <w:r w:rsidRPr="00625601">
        <w:rPr>
          <w:sz w:val="24"/>
          <w:szCs w:val="24"/>
          <w:u w:val="single"/>
        </w:rPr>
        <w:t>Stada</w:t>
      </w:r>
      <w:proofErr w:type="spellEnd"/>
      <w:r w:rsidRPr="00625601">
        <w:rPr>
          <w:sz w:val="24"/>
          <w:szCs w:val="24"/>
          <w:u w:val="single"/>
        </w:rPr>
        <w:t>" 70 mg/5.600 IE</w:t>
      </w:r>
    </w:p>
    <w:p w:rsidR="009C0B06" w:rsidRPr="001E3840" w:rsidRDefault="009C0B06" w:rsidP="009C0B06">
      <w:pPr>
        <w:ind w:left="851"/>
        <w:rPr>
          <w:sz w:val="24"/>
          <w:szCs w:val="24"/>
        </w:rPr>
      </w:pPr>
      <w:r w:rsidRPr="001E3840">
        <w:rPr>
          <w:sz w:val="24"/>
          <w:szCs w:val="24"/>
        </w:rPr>
        <w:t xml:space="preserve">Hver 70 mg/5.600 </w:t>
      </w:r>
      <w:proofErr w:type="gramStart"/>
      <w:r w:rsidRPr="001E3840">
        <w:rPr>
          <w:sz w:val="24"/>
          <w:szCs w:val="24"/>
        </w:rPr>
        <w:t>IE tablet</w:t>
      </w:r>
      <w:proofErr w:type="gramEnd"/>
      <w:r w:rsidRPr="001E3840">
        <w:rPr>
          <w:sz w:val="24"/>
          <w:szCs w:val="24"/>
        </w:rPr>
        <w:t xml:space="preserve"> indeholder 70 mg </w:t>
      </w:r>
      <w:proofErr w:type="spellStart"/>
      <w:r w:rsidRPr="001E3840">
        <w:rPr>
          <w:sz w:val="24"/>
          <w:szCs w:val="24"/>
        </w:rPr>
        <w:t>alendronsyre</w:t>
      </w:r>
      <w:proofErr w:type="spellEnd"/>
      <w:r w:rsidRPr="001E3840">
        <w:rPr>
          <w:sz w:val="24"/>
          <w:szCs w:val="24"/>
        </w:rPr>
        <w:t xml:space="preserve"> som </w:t>
      </w:r>
      <w:proofErr w:type="spellStart"/>
      <w:r w:rsidRPr="001E3840">
        <w:rPr>
          <w:sz w:val="24"/>
          <w:szCs w:val="24"/>
        </w:rPr>
        <w:t>alendronatnatrium</w:t>
      </w:r>
      <w:r>
        <w:rPr>
          <w:sz w:val="24"/>
          <w:szCs w:val="24"/>
        </w:rPr>
        <w:softHyphen/>
      </w:r>
      <w:r w:rsidRPr="001E3840">
        <w:rPr>
          <w:sz w:val="24"/>
          <w:szCs w:val="24"/>
        </w:rPr>
        <w:t>trihydrat</w:t>
      </w:r>
      <w:proofErr w:type="spellEnd"/>
      <w:r w:rsidRPr="001E3840">
        <w:rPr>
          <w:sz w:val="24"/>
          <w:szCs w:val="24"/>
        </w:rPr>
        <w:t xml:space="preserve"> og 140 mikrogram (5.600 IE) </w:t>
      </w:r>
      <w:proofErr w:type="spellStart"/>
      <w:r w:rsidRPr="001E3840">
        <w:rPr>
          <w:sz w:val="24"/>
          <w:szCs w:val="24"/>
        </w:rPr>
        <w:t>cholecalciferol</w:t>
      </w:r>
      <w:proofErr w:type="spellEnd"/>
      <w:r w:rsidRPr="001E3840">
        <w:rPr>
          <w:sz w:val="24"/>
          <w:szCs w:val="24"/>
        </w:rPr>
        <w:t xml:space="preserve"> (D</w:t>
      </w:r>
      <w:r w:rsidRPr="001E3840">
        <w:rPr>
          <w:sz w:val="24"/>
          <w:szCs w:val="24"/>
          <w:vertAlign w:val="subscript"/>
        </w:rPr>
        <w:t>3</w:t>
      </w:r>
      <w:r w:rsidRPr="001E3840">
        <w:rPr>
          <w:sz w:val="24"/>
          <w:szCs w:val="24"/>
        </w:rPr>
        <w:t xml:space="preserve">-vitamin). </w:t>
      </w:r>
    </w:p>
    <w:p w:rsidR="009C0B06" w:rsidRPr="0080085F" w:rsidRDefault="009C0B06" w:rsidP="009C0B06">
      <w:pPr>
        <w:ind w:left="851"/>
        <w:rPr>
          <w:sz w:val="24"/>
          <w:szCs w:val="24"/>
        </w:rPr>
      </w:pPr>
    </w:p>
    <w:p w:rsidR="009C0B06" w:rsidRPr="00086501" w:rsidRDefault="009C0B06" w:rsidP="009C0B06">
      <w:pPr>
        <w:ind w:left="851"/>
        <w:rPr>
          <w:i/>
          <w:sz w:val="24"/>
          <w:szCs w:val="24"/>
        </w:rPr>
      </w:pPr>
      <w:r w:rsidRPr="00086501">
        <w:rPr>
          <w:i/>
          <w:sz w:val="24"/>
          <w:szCs w:val="24"/>
        </w:rPr>
        <w:t>Hjælpestoffer, som behandleren skal være opmærksom på</w:t>
      </w:r>
    </w:p>
    <w:p w:rsidR="009C0B06" w:rsidRPr="0080085F" w:rsidRDefault="009C0B06" w:rsidP="009C0B06">
      <w:pPr>
        <w:ind w:left="851"/>
        <w:rPr>
          <w:sz w:val="24"/>
          <w:szCs w:val="24"/>
        </w:rPr>
      </w:pPr>
      <w:r w:rsidRPr="0080085F">
        <w:rPr>
          <w:sz w:val="24"/>
          <w:szCs w:val="24"/>
        </w:rPr>
        <w:t xml:space="preserve">Hver 70 mg/2.800 </w:t>
      </w:r>
      <w:proofErr w:type="gramStart"/>
      <w:r w:rsidRPr="0080085F">
        <w:rPr>
          <w:sz w:val="24"/>
          <w:szCs w:val="24"/>
        </w:rPr>
        <w:t>IE tablet</w:t>
      </w:r>
      <w:proofErr w:type="gramEnd"/>
      <w:r w:rsidRPr="0080085F">
        <w:rPr>
          <w:sz w:val="24"/>
          <w:szCs w:val="24"/>
        </w:rPr>
        <w:t xml:space="preserve"> indeholder op til 90 mg </w:t>
      </w:r>
      <w:proofErr w:type="spellStart"/>
      <w:r w:rsidRPr="0080085F">
        <w:rPr>
          <w:sz w:val="24"/>
          <w:szCs w:val="24"/>
        </w:rPr>
        <w:t>lactose</w:t>
      </w:r>
      <w:proofErr w:type="spellEnd"/>
      <w:r w:rsidRPr="0080085F">
        <w:rPr>
          <w:sz w:val="24"/>
          <w:szCs w:val="24"/>
        </w:rPr>
        <w:t xml:space="preserve"> og 13,7 mg </w:t>
      </w:r>
      <w:proofErr w:type="spellStart"/>
      <w:r w:rsidRPr="0080085F">
        <w:rPr>
          <w:sz w:val="24"/>
          <w:szCs w:val="24"/>
        </w:rPr>
        <w:t>saccharose</w:t>
      </w:r>
      <w:proofErr w:type="spellEnd"/>
      <w:r w:rsidRPr="0080085F">
        <w:rPr>
          <w:sz w:val="24"/>
          <w:szCs w:val="24"/>
        </w:rPr>
        <w:t xml:space="preserve">. </w:t>
      </w:r>
    </w:p>
    <w:p w:rsidR="009C0B06" w:rsidRPr="0080085F" w:rsidRDefault="009C0B06" w:rsidP="009C0B06">
      <w:pPr>
        <w:ind w:left="851"/>
        <w:rPr>
          <w:sz w:val="24"/>
          <w:szCs w:val="24"/>
        </w:rPr>
      </w:pPr>
      <w:r w:rsidRPr="0080085F">
        <w:rPr>
          <w:sz w:val="24"/>
          <w:szCs w:val="24"/>
        </w:rPr>
        <w:t xml:space="preserve">Hver 70 mg/5.600 </w:t>
      </w:r>
      <w:proofErr w:type="gramStart"/>
      <w:r w:rsidRPr="0080085F">
        <w:rPr>
          <w:sz w:val="24"/>
          <w:szCs w:val="24"/>
        </w:rPr>
        <w:t>IE tablet</w:t>
      </w:r>
      <w:proofErr w:type="gramEnd"/>
      <w:r w:rsidRPr="0080085F">
        <w:rPr>
          <w:sz w:val="24"/>
          <w:szCs w:val="24"/>
        </w:rPr>
        <w:t xml:space="preserve"> indeholder op til 64 mg </w:t>
      </w:r>
      <w:proofErr w:type="spellStart"/>
      <w:r w:rsidRPr="0080085F">
        <w:rPr>
          <w:sz w:val="24"/>
          <w:szCs w:val="24"/>
        </w:rPr>
        <w:t>lactose</w:t>
      </w:r>
      <w:proofErr w:type="spellEnd"/>
      <w:r w:rsidRPr="0080085F">
        <w:rPr>
          <w:sz w:val="24"/>
          <w:szCs w:val="24"/>
        </w:rPr>
        <w:t xml:space="preserve"> og 27,5 mg </w:t>
      </w:r>
      <w:proofErr w:type="spellStart"/>
      <w:r w:rsidRPr="0080085F">
        <w:rPr>
          <w:sz w:val="24"/>
          <w:szCs w:val="24"/>
        </w:rPr>
        <w:t>saccharose</w:t>
      </w:r>
      <w:proofErr w:type="spellEnd"/>
      <w:r w:rsidRPr="0080085F">
        <w:rPr>
          <w:sz w:val="24"/>
          <w:szCs w:val="24"/>
        </w:rPr>
        <w:t>.</w:t>
      </w:r>
    </w:p>
    <w:p w:rsidR="009C0B06" w:rsidRPr="0080085F" w:rsidRDefault="009C0B06" w:rsidP="009C0B06">
      <w:pPr>
        <w:ind w:left="851"/>
        <w:rPr>
          <w:sz w:val="24"/>
          <w:szCs w:val="24"/>
        </w:rPr>
      </w:pPr>
    </w:p>
    <w:p w:rsidR="009C0B06" w:rsidRPr="002269FF" w:rsidRDefault="009C0B06" w:rsidP="009C0B06">
      <w:pPr>
        <w:tabs>
          <w:tab w:val="left" w:pos="567"/>
        </w:tabs>
        <w:ind w:left="851"/>
        <w:rPr>
          <w:sz w:val="24"/>
          <w:szCs w:val="24"/>
        </w:rPr>
      </w:pPr>
      <w:r w:rsidRPr="0080085F">
        <w:rPr>
          <w:sz w:val="24"/>
          <w:szCs w:val="24"/>
        </w:rPr>
        <w:t>Alle hjælpestoffer er anført under pkt. 6.1.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9C0B06" w:rsidRPr="00BB7ED9" w:rsidRDefault="009C0B06" w:rsidP="009C0B0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BB7ED9">
        <w:rPr>
          <w:sz w:val="24"/>
          <w:szCs w:val="24"/>
        </w:rPr>
        <w:t>Tabletter</w:t>
      </w:r>
    </w:p>
    <w:p w:rsidR="009C0B06" w:rsidRDefault="009C0B06" w:rsidP="009C0B0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9C0B06" w:rsidRPr="00086501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086501">
        <w:rPr>
          <w:sz w:val="24"/>
          <w:szCs w:val="24"/>
          <w:u w:val="single"/>
        </w:rPr>
        <w:t>Alendronat</w:t>
      </w:r>
      <w:proofErr w:type="spellEnd"/>
      <w:r w:rsidRPr="00086501">
        <w:rPr>
          <w:sz w:val="24"/>
          <w:szCs w:val="24"/>
          <w:u w:val="single"/>
        </w:rPr>
        <w:t>/</w:t>
      </w:r>
      <w:proofErr w:type="spellStart"/>
      <w:r w:rsidRPr="00086501">
        <w:rPr>
          <w:sz w:val="24"/>
          <w:szCs w:val="24"/>
          <w:u w:val="single"/>
        </w:rPr>
        <w:t>Cholecalciferol</w:t>
      </w:r>
      <w:proofErr w:type="spellEnd"/>
      <w:r w:rsidRPr="00086501">
        <w:rPr>
          <w:sz w:val="24"/>
          <w:szCs w:val="24"/>
          <w:u w:val="single"/>
        </w:rPr>
        <w:t xml:space="preserve"> "</w:t>
      </w:r>
      <w:proofErr w:type="spellStart"/>
      <w:r w:rsidRPr="00086501">
        <w:rPr>
          <w:sz w:val="24"/>
          <w:szCs w:val="24"/>
          <w:u w:val="single"/>
        </w:rPr>
        <w:t>Stada</w:t>
      </w:r>
      <w:proofErr w:type="spellEnd"/>
      <w:r w:rsidRPr="00086501">
        <w:rPr>
          <w:sz w:val="24"/>
          <w:szCs w:val="24"/>
          <w:u w:val="single"/>
        </w:rPr>
        <w:t>" 70 mg/2.800 IE</w:t>
      </w:r>
    </w:p>
    <w:p w:rsidR="009C0B06" w:rsidRPr="00C46315" w:rsidRDefault="009C0B06" w:rsidP="009C0B0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C46315">
        <w:rPr>
          <w:sz w:val="24"/>
          <w:szCs w:val="24"/>
        </w:rPr>
        <w:t>Aflang</w:t>
      </w:r>
      <w:r>
        <w:rPr>
          <w:sz w:val="24"/>
          <w:szCs w:val="24"/>
        </w:rPr>
        <w:t>e</w:t>
      </w:r>
      <w:r w:rsidRPr="00C46315">
        <w:rPr>
          <w:sz w:val="24"/>
          <w:szCs w:val="24"/>
        </w:rPr>
        <w:t xml:space="preserve">, </w:t>
      </w:r>
      <w:r>
        <w:rPr>
          <w:sz w:val="24"/>
          <w:szCs w:val="24"/>
        </w:rPr>
        <w:t>hvide til offwhite</w:t>
      </w:r>
      <w:r w:rsidRPr="00C46315">
        <w:rPr>
          <w:sz w:val="24"/>
          <w:szCs w:val="24"/>
        </w:rPr>
        <w:t xml:space="preserve">, </w:t>
      </w:r>
      <w:proofErr w:type="spellStart"/>
      <w:r w:rsidRPr="00C46315">
        <w:rPr>
          <w:sz w:val="24"/>
          <w:szCs w:val="24"/>
        </w:rPr>
        <w:t>bikonveks</w:t>
      </w:r>
      <w:r>
        <w:rPr>
          <w:sz w:val="24"/>
          <w:szCs w:val="24"/>
        </w:rPr>
        <w:t>e</w:t>
      </w:r>
      <w:proofErr w:type="spellEnd"/>
      <w:r w:rsidR="00BA1804" w:rsidRPr="00BA1804">
        <w:rPr>
          <w:sz w:val="24"/>
          <w:szCs w:val="24"/>
        </w:rPr>
        <w:t>, plettede</w:t>
      </w:r>
      <w:r w:rsidRPr="00C46315">
        <w:rPr>
          <w:sz w:val="24"/>
          <w:szCs w:val="24"/>
        </w:rPr>
        <w:t xml:space="preserve"> tablet</w:t>
      </w:r>
      <w:r>
        <w:rPr>
          <w:sz w:val="24"/>
          <w:szCs w:val="24"/>
        </w:rPr>
        <w:t>ter præget</w:t>
      </w:r>
      <w:r w:rsidRPr="00C46315">
        <w:rPr>
          <w:sz w:val="24"/>
          <w:szCs w:val="24"/>
        </w:rPr>
        <w:t xml:space="preserve"> med 2800 på den ene side, 12,3 ± 0,2 mm </w:t>
      </w:r>
      <w:r>
        <w:rPr>
          <w:sz w:val="24"/>
          <w:szCs w:val="24"/>
        </w:rPr>
        <w:t>lange</w:t>
      </w:r>
      <w:r w:rsidRPr="00C46315">
        <w:rPr>
          <w:sz w:val="24"/>
          <w:szCs w:val="24"/>
        </w:rPr>
        <w:t xml:space="preserve"> og 6,5 ± 0,2 mm </w:t>
      </w:r>
      <w:r>
        <w:rPr>
          <w:sz w:val="24"/>
          <w:szCs w:val="24"/>
        </w:rPr>
        <w:t>brede</w:t>
      </w:r>
      <w:r w:rsidRPr="00C46315">
        <w:rPr>
          <w:sz w:val="24"/>
          <w:szCs w:val="24"/>
        </w:rPr>
        <w:t xml:space="preserve">.  </w:t>
      </w:r>
    </w:p>
    <w:p w:rsidR="009C0B06" w:rsidRDefault="009C0B06" w:rsidP="009C0B0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9C0B06" w:rsidRPr="00625601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625601">
        <w:rPr>
          <w:sz w:val="24"/>
          <w:szCs w:val="24"/>
          <w:u w:val="single"/>
        </w:rPr>
        <w:t>Alendronat</w:t>
      </w:r>
      <w:proofErr w:type="spellEnd"/>
      <w:r w:rsidRPr="00625601">
        <w:rPr>
          <w:sz w:val="24"/>
          <w:szCs w:val="24"/>
          <w:u w:val="single"/>
        </w:rPr>
        <w:t>/</w:t>
      </w:r>
      <w:proofErr w:type="spellStart"/>
      <w:r w:rsidRPr="00625601">
        <w:rPr>
          <w:sz w:val="24"/>
          <w:szCs w:val="24"/>
          <w:u w:val="single"/>
        </w:rPr>
        <w:t>Cholecalciferol</w:t>
      </w:r>
      <w:proofErr w:type="spellEnd"/>
      <w:r w:rsidRPr="00625601">
        <w:rPr>
          <w:sz w:val="24"/>
          <w:szCs w:val="24"/>
          <w:u w:val="single"/>
        </w:rPr>
        <w:t xml:space="preserve"> "</w:t>
      </w:r>
      <w:proofErr w:type="spellStart"/>
      <w:r w:rsidRPr="00625601">
        <w:rPr>
          <w:sz w:val="24"/>
          <w:szCs w:val="24"/>
          <w:u w:val="single"/>
        </w:rPr>
        <w:t>Stada</w:t>
      </w:r>
      <w:proofErr w:type="spellEnd"/>
      <w:r w:rsidRPr="00625601">
        <w:rPr>
          <w:sz w:val="24"/>
          <w:szCs w:val="24"/>
          <w:u w:val="single"/>
        </w:rPr>
        <w:t>" 70 mg/5.600 IE</w:t>
      </w:r>
    </w:p>
    <w:p w:rsidR="009C0B06" w:rsidRPr="00C46315" w:rsidRDefault="009C0B06" w:rsidP="009C0B06">
      <w:pPr>
        <w:tabs>
          <w:tab w:val="left" w:pos="-720"/>
        </w:tabs>
        <w:suppressAutoHyphens/>
        <w:ind w:left="851"/>
        <w:rPr>
          <w:b/>
          <w:sz w:val="24"/>
          <w:szCs w:val="24"/>
        </w:rPr>
      </w:pPr>
      <w:r>
        <w:rPr>
          <w:sz w:val="24"/>
          <w:szCs w:val="24"/>
        </w:rPr>
        <w:t>R</w:t>
      </w:r>
      <w:r w:rsidRPr="00C46315">
        <w:rPr>
          <w:sz w:val="24"/>
          <w:szCs w:val="24"/>
        </w:rPr>
        <w:t>ektangulær</w:t>
      </w:r>
      <w:r>
        <w:rPr>
          <w:sz w:val="24"/>
          <w:szCs w:val="24"/>
        </w:rPr>
        <w:t>e</w:t>
      </w:r>
      <w:r w:rsidRPr="00C46315">
        <w:rPr>
          <w:sz w:val="24"/>
          <w:szCs w:val="24"/>
        </w:rPr>
        <w:t xml:space="preserve">, </w:t>
      </w:r>
      <w:r>
        <w:rPr>
          <w:sz w:val="24"/>
          <w:szCs w:val="24"/>
        </w:rPr>
        <w:t>hvide til offwhite</w:t>
      </w:r>
      <w:r w:rsidR="00BA1804" w:rsidRPr="00BA1804">
        <w:rPr>
          <w:sz w:val="24"/>
          <w:szCs w:val="24"/>
        </w:rPr>
        <w:t>, plettede</w:t>
      </w:r>
      <w:r w:rsidRPr="00C46315">
        <w:rPr>
          <w:sz w:val="24"/>
          <w:szCs w:val="24"/>
        </w:rPr>
        <w:t xml:space="preserve"> tablet</w:t>
      </w:r>
      <w:r>
        <w:rPr>
          <w:sz w:val="24"/>
          <w:szCs w:val="24"/>
        </w:rPr>
        <w:t xml:space="preserve">ter med afrundede hjørner præget </w:t>
      </w:r>
      <w:r w:rsidRPr="00C46315">
        <w:rPr>
          <w:sz w:val="24"/>
          <w:szCs w:val="24"/>
        </w:rPr>
        <w:t xml:space="preserve">med 5600 på den ene side, 11,4 ± 0,2 mm </w:t>
      </w:r>
      <w:r>
        <w:rPr>
          <w:sz w:val="24"/>
          <w:szCs w:val="24"/>
        </w:rPr>
        <w:t>lange</w:t>
      </w:r>
      <w:r w:rsidRPr="00C46315">
        <w:rPr>
          <w:sz w:val="24"/>
          <w:szCs w:val="24"/>
        </w:rPr>
        <w:t xml:space="preserve"> og 7,2 ± 0,2 mm i bred</w:t>
      </w:r>
      <w:r>
        <w:rPr>
          <w:sz w:val="24"/>
          <w:szCs w:val="24"/>
        </w:rPr>
        <w:t>e</w:t>
      </w:r>
      <w:r w:rsidRPr="00C46315">
        <w:rPr>
          <w:sz w:val="24"/>
          <w:szCs w:val="24"/>
        </w:rPr>
        <w:t>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4978E7" w:rsidRDefault="004978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C0B06" w:rsidRPr="00C84483" w:rsidRDefault="009C0B06" w:rsidP="009C0B06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C0B06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9C0B06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80085F" w:rsidRDefault="009C0B06" w:rsidP="009C0B0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mg/2.800 IE</w:t>
      </w:r>
    </w:p>
    <w:p w:rsidR="009C0B06" w:rsidRPr="00D37CE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D37CE3">
        <w:rPr>
          <w:sz w:val="24"/>
          <w:szCs w:val="24"/>
        </w:rPr>
        <w:t xml:space="preserve">il behandling af </w:t>
      </w:r>
      <w:proofErr w:type="spellStart"/>
      <w:r w:rsidRPr="00D37CE3">
        <w:rPr>
          <w:sz w:val="24"/>
          <w:szCs w:val="24"/>
        </w:rPr>
        <w:t>postmenopausal</w:t>
      </w:r>
      <w:proofErr w:type="spellEnd"/>
      <w:r w:rsidRPr="00D37CE3">
        <w:rPr>
          <w:sz w:val="24"/>
          <w:szCs w:val="24"/>
        </w:rPr>
        <w:t xml:space="preserve"> osteoporose hos kvinder med risiko for D-</w:t>
      </w:r>
      <w:r>
        <w:rPr>
          <w:sz w:val="24"/>
          <w:szCs w:val="24"/>
        </w:rPr>
        <w:t>v</w:t>
      </w:r>
      <w:r w:rsidRPr="00D37CE3">
        <w:rPr>
          <w:sz w:val="24"/>
          <w:szCs w:val="24"/>
        </w:rPr>
        <w:t>itamin</w:t>
      </w:r>
      <w:r>
        <w:rPr>
          <w:sz w:val="24"/>
          <w:szCs w:val="24"/>
        </w:rPr>
        <w:softHyphen/>
      </w:r>
      <w:r w:rsidRPr="00D37CE3">
        <w:rPr>
          <w:sz w:val="24"/>
          <w:szCs w:val="24"/>
        </w:rPr>
        <w:t xml:space="preserve">mangel.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D37CE3">
        <w:rPr>
          <w:sz w:val="24"/>
          <w:szCs w:val="24"/>
        </w:rPr>
        <w:t xml:space="preserve"> reducerer risikoen for </w:t>
      </w:r>
      <w:proofErr w:type="spellStart"/>
      <w:r w:rsidRPr="00D37CE3">
        <w:rPr>
          <w:sz w:val="24"/>
          <w:szCs w:val="24"/>
        </w:rPr>
        <w:t>vertebrale</w:t>
      </w:r>
      <w:proofErr w:type="spellEnd"/>
      <w:r w:rsidRPr="00D37CE3">
        <w:rPr>
          <w:sz w:val="24"/>
          <w:szCs w:val="24"/>
        </w:rPr>
        <w:t xml:space="preserve"> frakturer og hoftefrakturer.</w:t>
      </w:r>
    </w:p>
    <w:p w:rsidR="009C0B06" w:rsidRDefault="009C0B06" w:rsidP="00276496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9C0B06" w:rsidRPr="0080085F" w:rsidRDefault="009C0B06" w:rsidP="009C0B06">
      <w:pPr>
        <w:ind w:left="851"/>
        <w:rPr>
          <w:sz w:val="24"/>
          <w:szCs w:val="24"/>
          <w:u w:val="single"/>
        </w:rPr>
      </w:pPr>
      <w:r w:rsidRPr="0080085F">
        <w:rPr>
          <w:sz w:val="24"/>
          <w:szCs w:val="24"/>
          <w:u w:val="single"/>
        </w:rPr>
        <w:t>70 mg/5.600 IE</w:t>
      </w:r>
    </w:p>
    <w:p w:rsidR="009C0B06" w:rsidRPr="00D37CE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D37CE3">
        <w:rPr>
          <w:sz w:val="24"/>
          <w:szCs w:val="24"/>
        </w:rPr>
        <w:t xml:space="preserve">il behandling af </w:t>
      </w:r>
      <w:proofErr w:type="spellStart"/>
      <w:r w:rsidRPr="00D37CE3">
        <w:rPr>
          <w:sz w:val="24"/>
          <w:szCs w:val="24"/>
        </w:rPr>
        <w:t>postmenopausal</w:t>
      </w:r>
      <w:proofErr w:type="spellEnd"/>
      <w:r w:rsidRPr="00D37CE3">
        <w:rPr>
          <w:sz w:val="24"/>
          <w:szCs w:val="24"/>
        </w:rPr>
        <w:t xml:space="preserve"> osteoporose hos kvinder med risiko for D-</w:t>
      </w:r>
      <w:r>
        <w:rPr>
          <w:sz w:val="24"/>
          <w:szCs w:val="24"/>
        </w:rPr>
        <w:t>v</w:t>
      </w:r>
      <w:r w:rsidRPr="00D37CE3">
        <w:rPr>
          <w:sz w:val="24"/>
          <w:szCs w:val="24"/>
        </w:rPr>
        <w:t>itamin</w:t>
      </w:r>
      <w:r>
        <w:rPr>
          <w:sz w:val="24"/>
          <w:szCs w:val="24"/>
        </w:rPr>
        <w:softHyphen/>
      </w:r>
      <w:r w:rsidRPr="00D37CE3">
        <w:rPr>
          <w:sz w:val="24"/>
          <w:szCs w:val="24"/>
        </w:rPr>
        <w:t xml:space="preserve">mangel og </w:t>
      </w:r>
      <w:r>
        <w:rPr>
          <w:sz w:val="24"/>
          <w:szCs w:val="24"/>
        </w:rPr>
        <w:t xml:space="preserve">som ikke </w:t>
      </w:r>
      <w:r w:rsidRPr="00D37CE3">
        <w:rPr>
          <w:sz w:val="24"/>
          <w:szCs w:val="24"/>
        </w:rPr>
        <w:t>modtager D</w:t>
      </w:r>
      <w:r>
        <w:rPr>
          <w:sz w:val="24"/>
          <w:szCs w:val="24"/>
        </w:rPr>
        <w:t>-</w:t>
      </w:r>
      <w:r w:rsidRPr="00D37CE3">
        <w:rPr>
          <w:sz w:val="24"/>
          <w:szCs w:val="24"/>
        </w:rPr>
        <w:t>vitamin tilskud.</w:t>
      </w:r>
    </w:p>
    <w:p w:rsidR="009C0B06" w:rsidRPr="00D37CE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D37CE3">
        <w:rPr>
          <w:sz w:val="24"/>
          <w:szCs w:val="24"/>
        </w:rPr>
        <w:t xml:space="preserve"> reducerer risikoen for </w:t>
      </w:r>
      <w:proofErr w:type="spellStart"/>
      <w:r w:rsidRPr="00D37CE3">
        <w:rPr>
          <w:sz w:val="24"/>
          <w:szCs w:val="24"/>
        </w:rPr>
        <w:t>vertebrale</w:t>
      </w:r>
      <w:proofErr w:type="spellEnd"/>
      <w:r w:rsidRPr="00D37CE3">
        <w:rPr>
          <w:sz w:val="24"/>
          <w:szCs w:val="24"/>
        </w:rPr>
        <w:t xml:space="preserve"> frakturer og hoftefrakturer.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BA1804">
        <w:rPr>
          <w:b/>
          <w:sz w:val="24"/>
          <w:szCs w:val="24"/>
        </w:rPr>
        <w:t>administration</w:t>
      </w:r>
    </w:p>
    <w:p w:rsidR="009C0B06" w:rsidRDefault="009C0B06" w:rsidP="009C0B06">
      <w:pPr>
        <w:ind w:left="851"/>
        <w:rPr>
          <w:noProof/>
          <w:sz w:val="24"/>
          <w:szCs w:val="24"/>
          <w:u w:val="single"/>
        </w:rPr>
      </w:pPr>
    </w:p>
    <w:p w:rsidR="009C0B06" w:rsidRPr="00F5039B" w:rsidRDefault="009C0B06" w:rsidP="009C0B06">
      <w:pPr>
        <w:ind w:left="851"/>
        <w:rPr>
          <w:b/>
          <w:noProof/>
          <w:sz w:val="24"/>
          <w:szCs w:val="24"/>
        </w:rPr>
      </w:pPr>
      <w:r w:rsidRPr="00F5039B">
        <w:rPr>
          <w:b/>
          <w:noProof/>
          <w:sz w:val="24"/>
          <w:szCs w:val="24"/>
        </w:rPr>
        <w:t>Dosering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Den anbefalede dosis er en tablet en gang ugentlig.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Patienterne bør informeres om, at hvis de glemmer at tage en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tablet, skal de tage den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morgenen efter, de er kommet i tanke herom. De må ikke tage 2 tabletter samme dag, men skal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 xml:space="preserve">fortsætte med at tage 1 tablet 1 gang </w:t>
      </w:r>
      <w:r>
        <w:rPr>
          <w:noProof/>
          <w:sz w:val="24"/>
          <w:szCs w:val="24"/>
        </w:rPr>
        <w:t>ugentlig</w:t>
      </w:r>
      <w:r w:rsidRPr="00BB7ED9">
        <w:rPr>
          <w:noProof/>
          <w:sz w:val="24"/>
          <w:szCs w:val="24"/>
        </w:rPr>
        <w:t xml:space="preserve"> på den oprindeligt valgte ugedag.</w:t>
      </w:r>
    </w:p>
    <w:p w:rsidR="009C0B06" w:rsidRPr="00BB7ED9" w:rsidRDefault="009C0B06" w:rsidP="009C0B06">
      <w:pPr>
        <w:tabs>
          <w:tab w:val="left" w:pos="5856"/>
        </w:tabs>
        <w:ind w:left="851"/>
        <w:rPr>
          <w:noProof/>
          <w:sz w:val="24"/>
          <w:szCs w:val="24"/>
        </w:rPr>
      </w:pP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På grund af sygdomsprocessen ved osteoporose er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beregnet til langtidsbehandling.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Den optimale varighed af bisphosphonatbehandling af osteoporose er ikke fastlagt. Behovet for fortsat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 xml:space="preserve">behandling skal revurderes regelmæssigt, baseret på fordele og mulige risici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for den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enkelte patient, især efter anvendelse i 5 år eller mere.</w:t>
      </w:r>
    </w:p>
    <w:p w:rsidR="009C0B06" w:rsidRDefault="009C0B06" w:rsidP="009C0B06">
      <w:pPr>
        <w:ind w:left="851"/>
        <w:rPr>
          <w:noProof/>
          <w:sz w:val="24"/>
          <w:szCs w:val="24"/>
        </w:rPr>
      </w:pPr>
    </w:p>
    <w:p w:rsidR="009C0B06" w:rsidRPr="0025396C" w:rsidRDefault="009C0B06" w:rsidP="009C0B06">
      <w:pPr>
        <w:ind w:left="851"/>
        <w:rPr>
          <w:sz w:val="24"/>
          <w:szCs w:val="24"/>
          <w:u w:val="single"/>
        </w:rPr>
      </w:pPr>
      <w:r w:rsidRPr="0025396C">
        <w:rPr>
          <w:sz w:val="24"/>
          <w:szCs w:val="24"/>
          <w:u w:val="single"/>
        </w:rPr>
        <w:t>70 mg/2.800 IE</w:t>
      </w:r>
    </w:p>
    <w:p w:rsidR="009C0B06" w:rsidRPr="009D30DE" w:rsidRDefault="009C0B06" w:rsidP="009C0B06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9D30DE">
        <w:rPr>
          <w:sz w:val="24"/>
          <w:szCs w:val="24"/>
        </w:rPr>
        <w:t>Patienterne skal have supplerende calcium, hvis indtagelsen fra kosten ikke er tilstrækkelig (se pkt. 4.4). Yderligere tilskud af D-vitamin bør overvejes på individuel basis, idet der tages hensyn til indtagelsen af D-vitamin fra vitaminer og kosttilskud. Ækvivalensen mellem indtagelse af 2.800 IE D</w:t>
      </w:r>
      <w:r w:rsidRPr="00A707A7">
        <w:rPr>
          <w:sz w:val="24"/>
          <w:szCs w:val="24"/>
          <w:vertAlign w:val="subscript"/>
        </w:rPr>
        <w:t>3</w:t>
      </w:r>
      <w:r w:rsidRPr="009D30DE">
        <w:rPr>
          <w:sz w:val="24"/>
          <w:szCs w:val="24"/>
        </w:rPr>
        <w:t xml:space="preserve">-vitamin ugentlig i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9D30DE">
        <w:rPr>
          <w:sz w:val="24"/>
          <w:szCs w:val="24"/>
        </w:rPr>
        <w:t xml:space="preserve"> og daglig dosering af D-vitamin 400 IE er ikke undersøgt.</w:t>
      </w:r>
    </w:p>
    <w:p w:rsidR="009C0B06" w:rsidRDefault="009C0B06" w:rsidP="009C0B06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9C0B06" w:rsidRPr="0025396C" w:rsidRDefault="009C0B06" w:rsidP="009C0B06">
      <w:pPr>
        <w:ind w:left="851"/>
        <w:rPr>
          <w:sz w:val="24"/>
          <w:szCs w:val="24"/>
          <w:u w:val="single"/>
        </w:rPr>
      </w:pPr>
      <w:r w:rsidRPr="0025396C">
        <w:rPr>
          <w:sz w:val="24"/>
          <w:szCs w:val="24"/>
          <w:u w:val="single"/>
        </w:rPr>
        <w:t>70 mg/5.600 IE</w:t>
      </w:r>
    </w:p>
    <w:p w:rsidR="009C0B06" w:rsidRPr="009D30DE" w:rsidRDefault="009C0B06" w:rsidP="009C0B06">
      <w:pPr>
        <w:ind w:left="851"/>
        <w:rPr>
          <w:noProof/>
          <w:sz w:val="24"/>
          <w:szCs w:val="24"/>
        </w:rPr>
      </w:pPr>
      <w:r w:rsidRPr="009D30DE">
        <w:rPr>
          <w:noProof/>
          <w:sz w:val="24"/>
          <w:szCs w:val="24"/>
        </w:rPr>
        <w:t>Patienterne skal have supplerende calcium, hvis indtagelsen fra kosten ikke er tilstrækkelig (se pkt. 4.4). Ækvivalensen mellem indtagelse af 5.600 IE D</w:t>
      </w:r>
      <w:r w:rsidRPr="00A707A7">
        <w:rPr>
          <w:noProof/>
          <w:sz w:val="24"/>
          <w:szCs w:val="24"/>
          <w:vertAlign w:val="subscript"/>
        </w:rPr>
        <w:t>3</w:t>
      </w:r>
      <w:r w:rsidRPr="009D30DE">
        <w:rPr>
          <w:noProof/>
          <w:sz w:val="24"/>
          <w:szCs w:val="24"/>
        </w:rPr>
        <w:t xml:space="preserve">-vitamin ugentlig i </w:t>
      </w:r>
      <w:r>
        <w:rPr>
          <w:noProof/>
          <w:sz w:val="24"/>
          <w:szCs w:val="24"/>
        </w:rPr>
        <w:t>Alendronat/Cholecalciferol "Stada"</w:t>
      </w:r>
      <w:r w:rsidRPr="009D30DE">
        <w:rPr>
          <w:noProof/>
          <w:sz w:val="24"/>
          <w:szCs w:val="24"/>
        </w:rPr>
        <w:t xml:space="preserve"> og daglig dosering af D-vitamin 800 IE er ikke undersøgt.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7B68B8" w:rsidRDefault="009C0B06" w:rsidP="009C0B06">
      <w:pPr>
        <w:ind w:left="851"/>
        <w:rPr>
          <w:iCs/>
          <w:noProof/>
          <w:sz w:val="24"/>
          <w:szCs w:val="24"/>
          <w:u w:val="single"/>
        </w:rPr>
      </w:pPr>
      <w:r w:rsidRPr="007B68B8">
        <w:rPr>
          <w:iCs/>
          <w:noProof/>
          <w:sz w:val="24"/>
          <w:szCs w:val="24"/>
          <w:u w:val="single"/>
        </w:rPr>
        <w:t>Ældre</w:t>
      </w:r>
      <w:r w:rsidRPr="007B68B8">
        <w:rPr>
          <w:iCs/>
          <w:sz w:val="24"/>
          <w:szCs w:val="24"/>
          <w:u w:val="single"/>
        </w:rPr>
        <w:t xml:space="preserve"> </w:t>
      </w:r>
      <w:r>
        <w:rPr>
          <w:iCs/>
          <w:noProof/>
          <w:sz w:val="24"/>
          <w:szCs w:val="24"/>
          <w:u w:val="single"/>
        </w:rPr>
        <w:t>patienter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Der er i kliniske forsøg ikke vist aldersrelateret forskel i alendronats virkning eller sikkerhedsprofil.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Dosisjustering er derfor ikke nødvendig til ældre patienter.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F20FD5" w:rsidRDefault="009C0B06" w:rsidP="009C0B06">
      <w:pPr>
        <w:ind w:left="851"/>
        <w:rPr>
          <w:iCs/>
          <w:noProof/>
          <w:sz w:val="24"/>
          <w:szCs w:val="24"/>
          <w:u w:val="single"/>
        </w:rPr>
      </w:pPr>
      <w:r w:rsidRPr="00F20FD5">
        <w:rPr>
          <w:iCs/>
          <w:noProof/>
          <w:sz w:val="24"/>
          <w:szCs w:val="24"/>
          <w:u w:val="single"/>
        </w:rPr>
        <w:lastRenderedPageBreak/>
        <w:t>Patienter med nedsat nyrefunktion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På grund af manglende erfaring bør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ikke gives til patienter med nedsat nyrefunktion,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hvor kreatinin-clearance er &lt;35 ml/min. Dosisjustering er ikke nødvendig hos patienter med kreatinin-clearance &gt;35 ml/min.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F20FD5" w:rsidRDefault="009C0B06" w:rsidP="009C0B06">
      <w:pPr>
        <w:ind w:left="851"/>
        <w:rPr>
          <w:iCs/>
          <w:noProof/>
          <w:sz w:val="24"/>
          <w:szCs w:val="24"/>
          <w:u w:val="single"/>
        </w:rPr>
      </w:pPr>
      <w:r w:rsidRPr="00F20FD5">
        <w:rPr>
          <w:iCs/>
          <w:noProof/>
          <w:sz w:val="24"/>
          <w:szCs w:val="24"/>
          <w:u w:val="single"/>
        </w:rPr>
        <w:t>Pædiatrisk population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 xml:space="preserve">sikkerhed og virkning hos børn under 18 år er ikke klarlagt.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bør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ikke anvendes til børn under 18 år, da der ikke foreligger data vedrørende kombinationen af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alendronsyre/cholecalciferol. De foreliggende data for alendronsyre hos den pædiatriske population er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beskrevet i pkt. 5.1.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F20FD5" w:rsidRDefault="009C0B06" w:rsidP="009C0B06">
      <w:pPr>
        <w:ind w:left="851"/>
        <w:rPr>
          <w:b/>
          <w:noProof/>
          <w:sz w:val="24"/>
          <w:szCs w:val="24"/>
        </w:rPr>
      </w:pPr>
      <w:r w:rsidRPr="00F20FD5">
        <w:rPr>
          <w:b/>
          <w:noProof/>
          <w:sz w:val="24"/>
          <w:szCs w:val="24"/>
        </w:rPr>
        <w:t>Administration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Oral anvendelse.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F20FD5" w:rsidRDefault="009C0B06" w:rsidP="009C0B06">
      <w:pPr>
        <w:ind w:left="851"/>
        <w:rPr>
          <w:noProof/>
          <w:sz w:val="24"/>
          <w:szCs w:val="24"/>
          <w:u w:val="single"/>
        </w:rPr>
      </w:pPr>
      <w:r w:rsidRPr="00F20FD5">
        <w:rPr>
          <w:noProof/>
          <w:sz w:val="24"/>
          <w:szCs w:val="24"/>
          <w:u w:val="single"/>
        </w:rPr>
        <w:t>For at sikre tilstrækkelig absorption af alendronat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skal tages sammen med almindeligt postevand (ikke mineralvand) mindst 30 minutter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før indtagelse af dagens første måltid, drikkevarer eller lægemidler (inklusive antacida, calciumtilskud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og vitaminer). Andre drikkevarer (inklusive mineralvand), mad samt visse lægemidler kan nedsætte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absorptionen af alendronat (se pkt. 4.5 og 4.8).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Følgende instruktioner skal følges nøjagtigt for at minimere risikoen for øsofagusirritation og relaterede bivirkninger (se pkt. 4.4):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skal tages, efter patienten er stået op, og skal tages sammen med et helt glas postevand (mindst 200 ml).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r w:rsidRPr="00BB7ED9">
        <w:rPr>
          <w:noProof/>
          <w:sz w:val="24"/>
          <w:szCs w:val="24"/>
        </w:rPr>
        <w:t xml:space="preserve">Patienten skal sluge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tabletten hel. Patienten må ikke knuse eller tygge tabletten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ab/>
        <w:t>eller lade tabletten opløse i munden på grund af risiko for orofaryngeale ulcerationer.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r w:rsidRPr="00BB7ED9">
        <w:rPr>
          <w:noProof/>
          <w:sz w:val="24"/>
          <w:szCs w:val="24"/>
        </w:rPr>
        <w:t xml:space="preserve">Patienten må ikke ligge ned de første 30 minutter efter indtagelse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og før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ab/>
        <w:t>dagens første måltid er indtaget.</w:t>
      </w:r>
    </w:p>
    <w:p w:rsidR="009C0B06" w:rsidRPr="002269FF" w:rsidRDefault="009C0B06" w:rsidP="009C0B06">
      <w:pPr>
        <w:tabs>
          <w:tab w:val="left" w:pos="1134"/>
        </w:tabs>
        <w:ind w:left="1134" w:hanging="283"/>
        <w:rPr>
          <w:noProof/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må ikke tages ved sengetid eller før patienten er stået op om morgenen.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>Overfølsomhed over for de aktive stoffer eller over for et eller flere af hjælpestofferne anført i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>pkt. 6.1.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</w:r>
      <w:proofErr w:type="spellStart"/>
      <w:r w:rsidRPr="00BB7ED9">
        <w:rPr>
          <w:sz w:val="24"/>
          <w:szCs w:val="24"/>
        </w:rPr>
        <w:t>Øsofagusabnormaliteter</w:t>
      </w:r>
      <w:proofErr w:type="spellEnd"/>
      <w:r w:rsidRPr="00BB7ED9">
        <w:rPr>
          <w:sz w:val="24"/>
          <w:szCs w:val="24"/>
        </w:rPr>
        <w:t xml:space="preserve"> og andre faktorer, som forsinker </w:t>
      </w:r>
      <w:proofErr w:type="spellStart"/>
      <w:r w:rsidRPr="00BB7ED9">
        <w:rPr>
          <w:sz w:val="24"/>
          <w:szCs w:val="24"/>
        </w:rPr>
        <w:t>øsofagustømning</w:t>
      </w:r>
      <w:proofErr w:type="spellEnd"/>
      <w:r w:rsidRPr="00BB7ED9">
        <w:rPr>
          <w:sz w:val="24"/>
          <w:szCs w:val="24"/>
        </w:rPr>
        <w:t>, såsom striktur eller</w:t>
      </w:r>
      <w:r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akalasi</w:t>
      </w:r>
      <w:proofErr w:type="spellEnd"/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tabs>
          <w:tab w:val="left" w:pos="1134"/>
        </w:tabs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>Manglende evne til at stå eller sidde oprejst i mindst 30 minutter.</w:t>
      </w:r>
    </w:p>
    <w:p w:rsidR="009C0B06" w:rsidRPr="00B82545" w:rsidRDefault="009C0B06" w:rsidP="009C0B06">
      <w:pPr>
        <w:tabs>
          <w:tab w:val="left" w:pos="1134"/>
        </w:tabs>
        <w:ind w:left="1134" w:hanging="283"/>
        <w:rPr>
          <w:sz w:val="24"/>
          <w:szCs w:val="24"/>
        </w:rPr>
      </w:pPr>
      <w:r w:rsidRPr="00B82545">
        <w:rPr>
          <w:sz w:val="24"/>
          <w:szCs w:val="24"/>
        </w:rPr>
        <w:t>•</w:t>
      </w:r>
      <w:r w:rsidRPr="00B82545">
        <w:rPr>
          <w:sz w:val="24"/>
          <w:szCs w:val="24"/>
        </w:rPr>
        <w:tab/>
      </w:r>
      <w:proofErr w:type="spellStart"/>
      <w:r w:rsidRPr="00B82545">
        <w:rPr>
          <w:sz w:val="24"/>
          <w:szCs w:val="24"/>
        </w:rPr>
        <w:t>Hypokalcæmi</w:t>
      </w:r>
      <w:proofErr w:type="spellEnd"/>
      <w:r w:rsidRPr="00B82545">
        <w:rPr>
          <w:sz w:val="24"/>
          <w:szCs w:val="24"/>
        </w:rPr>
        <w:t>.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9C0B06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BB7ED9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Alendronat</w:t>
      </w:r>
      <w:proofErr w:type="spellEnd"/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 xml:space="preserve">Øvre </w:t>
      </w:r>
      <w:proofErr w:type="spellStart"/>
      <w:r w:rsidRPr="00BB7ED9">
        <w:rPr>
          <w:i/>
          <w:iCs/>
          <w:sz w:val="24"/>
          <w:szCs w:val="24"/>
        </w:rPr>
        <w:t>gastrointestinale</w:t>
      </w:r>
      <w:proofErr w:type="spellEnd"/>
      <w:r w:rsidRPr="00BB7ED9">
        <w:rPr>
          <w:i/>
          <w:iCs/>
          <w:sz w:val="24"/>
          <w:szCs w:val="24"/>
        </w:rPr>
        <w:t xml:space="preserve"> bivirkninger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kan forårsage lokal irritation af slimhinderne i den øvre del af </w:t>
      </w:r>
      <w:proofErr w:type="spellStart"/>
      <w:r w:rsidRPr="00BB7ED9">
        <w:rPr>
          <w:sz w:val="24"/>
          <w:szCs w:val="24"/>
        </w:rPr>
        <w:t>gastrointestinal</w:t>
      </w:r>
      <w:r>
        <w:rPr>
          <w:sz w:val="24"/>
          <w:szCs w:val="24"/>
        </w:rPr>
        <w:softHyphen/>
      </w:r>
      <w:r w:rsidRPr="00BB7ED9">
        <w:rPr>
          <w:sz w:val="24"/>
          <w:szCs w:val="24"/>
        </w:rPr>
        <w:t>kanalen</w:t>
      </w:r>
      <w:proofErr w:type="spellEnd"/>
      <w:r w:rsidRPr="00BB7ED9">
        <w:rPr>
          <w:sz w:val="24"/>
          <w:szCs w:val="24"/>
        </w:rPr>
        <w:t xml:space="preserve">. På grund af risiko for forværring af den tilgrundliggende sygdom, skal der udvises forsigtighed, når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gives til patienter med aktive, øvre </w:t>
      </w:r>
      <w:proofErr w:type="spellStart"/>
      <w:r w:rsidRPr="00BB7ED9">
        <w:rPr>
          <w:sz w:val="24"/>
          <w:szCs w:val="24"/>
        </w:rPr>
        <w:t>gastrointestinale</w:t>
      </w:r>
      <w:proofErr w:type="spellEnd"/>
      <w:r w:rsidRPr="00BB7ED9">
        <w:rPr>
          <w:sz w:val="24"/>
          <w:szCs w:val="24"/>
        </w:rPr>
        <w:t xml:space="preserve"> problemer, såsom </w:t>
      </w:r>
      <w:proofErr w:type="spellStart"/>
      <w:r w:rsidRPr="00BB7ED9">
        <w:rPr>
          <w:sz w:val="24"/>
          <w:szCs w:val="24"/>
        </w:rPr>
        <w:t>dysphagi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øsofagussygdom</w:t>
      </w:r>
      <w:proofErr w:type="spellEnd"/>
      <w:r w:rsidRPr="00BB7ED9">
        <w:rPr>
          <w:sz w:val="24"/>
          <w:szCs w:val="24"/>
        </w:rPr>
        <w:t xml:space="preserve">, gastritis, </w:t>
      </w:r>
      <w:proofErr w:type="spellStart"/>
      <w:r w:rsidRPr="00BB7ED9">
        <w:rPr>
          <w:sz w:val="24"/>
          <w:szCs w:val="24"/>
        </w:rPr>
        <w:t>duodenitis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ulcera</w:t>
      </w:r>
      <w:proofErr w:type="spellEnd"/>
      <w:r w:rsidRPr="00BB7ED9">
        <w:rPr>
          <w:sz w:val="24"/>
          <w:szCs w:val="24"/>
        </w:rPr>
        <w:t xml:space="preserve"> eller alvorlig </w:t>
      </w:r>
      <w:proofErr w:type="spellStart"/>
      <w:r w:rsidRPr="00BB7ED9">
        <w:rPr>
          <w:sz w:val="24"/>
          <w:szCs w:val="24"/>
        </w:rPr>
        <w:lastRenderedPageBreak/>
        <w:t>gastrointestinal</w:t>
      </w:r>
      <w:proofErr w:type="spellEnd"/>
      <w:r w:rsidRPr="00BB7ED9">
        <w:rPr>
          <w:sz w:val="24"/>
          <w:szCs w:val="24"/>
        </w:rPr>
        <w:t xml:space="preserve"> sygdom, såsom </w:t>
      </w:r>
      <w:proofErr w:type="spellStart"/>
      <w:r w:rsidRPr="00BB7ED9">
        <w:rPr>
          <w:sz w:val="24"/>
          <w:szCs w:val="24"/>
        </w:rPr>
        <w:t>peptisk</w:t>
      </w:r>
      <w:proofErr w:type="spellEnd"/>
      <w:r w:rsidRPr="00BB7ED9">
        <w:rPr>
          <w:sz w:val="24"/>
          <w:szCs w:val="24"/>
        </w:rPr>
        <w:t xml:space="preserve"> ulcus (inden for det seneste år), aktiv </w:t>
      </w:r>
      <w:proofErr w:type="spellStart"/>
      <w:r w:rsidRPr="00BB7ED9">
        <w:rPr>
          <w:sz w:val="24"/>
          <w:szCs w:val="24"/>
        </w:rPr>
        <w:t>gastrointestinal</w:t>
      </w:r>
      <w:proofErr w:type="spellEnd"/>
      <w:r w:rsidRPr="00BB7ED9">
        <w:rPr>
          <w:sz w:val="24"/>
          <w:szCs w:val="24"/>
        </w:rPr>
        <w:t xml:space="preserve"> blødning, eller til patienter, der har fået foretaget kirurgiske indgreb i øvre </w:t>
      </w:r>
      <w:proofErr w:type="spellStart"/>
      <w:r w:rsidRPr="00BB7ED9">
        <w:rPr>
          <w:sz w:val="24"/>
          <w:szCs w:val="24"/>
        </w:rPr>
        <w:t>gastrointestinalkanal</w:t>
      </w:r>
      <w:proofErr w:type="spellEnd"/>
      <w:r w:rsidRPr="00BB7ED9">
        <w:rPr>
          <w:sz w:val="24"/>
          <w:szCs w:val="24"/>
        </w:rPr>
        <w:t xml:space="preserve"> ud over </w:t>
      </w:r>
      <w:proofErr w:type="spellStart"/>
      <w:r w:rsidRPr="00BB7ED9">
        <w:rPr>
          <w:sz w:val="24"/>
          <w:szCs w:val="24"/>
        </w:rPr>
        <w:t>pyloroplastik</w:t>
      </w:r>
      <w:proofErr w:type="spellEnd"/>
      <w:r w:rsidRPr="00BB7ED9">
        <w:rPr>
          <w:sz w:val="24"/>
          <w:szCs w:val="24"/>
        </w:rPr>
        <w:t xml:space="preserve"> (se pkt. 4.3). Hos patienter med kendt Barretts </w:t>
      </w:r>
      <w:proofErr w:type="spellStart"/>
      <w:r w:rsidRPr="00BB7ED9">
        <w:rPr>
          <w:sz w:val="24"/>
          <w:szCs w:val="24"/>
        </w:rPr>
        <w:t>øsofagus</w:t>
      </w:r>
      <w:proofErr w:type="spellEnd"/>
      <w:r w:rsidRPr="00BB7ED9">
        <w:rPr>
          <w:sz w:val="24"/>
          <w:szCs w:val="24"/>
        </w:rPr>
        <w:t xml:space="preserve"> bør receptudskriveren overveje fordele og mulige risici ved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individuelt hos patienten.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rapporteret om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reaktioner (nogle gange alvorlige og indlæggelses</w:t>
      </w:r>
      <w:r>
        <w:rPr>
          <w:sz w:val="24"/>
          <w:szCs w:val="24"/>
        </w:rPr>
        <w:softHyphen/>
      </w:r>
      <w:r w:rsidRPr="00BB7ED9">
        <w:rPr>
          <w:sz w:val="24"/>
          <w:szCs w:val="24"/>
        </w:rPr>
        <w:t xml:space="preserve">krævende), såsom </w:t>
      </w:r>
      <w:proofErr w:type="spellStart"/>
      <w:r w:rsidRPr="00BB7ED9">
        <w:rPr>
          <w:sz w:val="24"/>
          <w:szCs w:val="24"/>
        </w:rPr>
        <w:t>øsofagitis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ulcera</w:t>
      </w:r>
      <w:proofErr w:type="spellEnd"/>
      <w:r w:rsidRPr="00BB7ED9">
        <w:rPr>
          <w:sz w:val="24"/>
          <w:szCs w:val="24"/>
        </w:rPr>
        <w:t xml:space="preserve"> samt </w:t>
      </w:r>
      <w:proofErr w:type="spellStart"/>
      <w:r w:rsidRPr="00BB7ED9">
        <w:rPr>
          <w:sz w:val="24"/>
          <w:szCs w:val="24"/>
        </w:rPr>
        <w:t>øsofaguserosioner</w:t>
      </w:r>
      <w:proofErr w:type="spellEnd"/>
      <w:r w:rsidRPr="00BB7ED9">
        <w:rPr>
          <w:sz w:val="24"/>
          <w:szCs w:val="24"/>
        </w:rPr>
        <w:t xml:space="preserve">, i sjældne tilfælde efterfulgt af </w:t>
      </w:r>
      <w:proofErr w:type="spellStart"/>
      <w:r w:rsidRPr="00BB7ED9">
        <w:rPr>
          <w:sz w:val="24"/>
          <w:szCs w:val="24"/>
        </w:rPr>
        <w:t>øsofagusstriktur</w:t>
      </w:r>
      <w:proofErr w:type="spellEnd"/>
      <w:r w:rsidRPr="00BB7ED9">
        <w:rPr>
          <w:sz w:val="24"/>
          <w:szCs w:val="24"/>
        </w:rPr>
        <w:t xml:space="preserve">, hos patienter i behandling med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. Lægen skal derfor være opmærksom på alle tegn og symptomer, der kan indikere mulige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reaktioner, og patienterne skal instrueres om at seponere behandlingen med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og søge læge, hvis de udvikler symptomer på </w:t>
      </w:r>
      <w:proofErr w:type="spellStart"/>
      <w:r w:rsidRPr="00BB7ED9">
        <w:rPr>
          <w:sz w:val="24"/>
          <w:szCs w:val="24"/>
        </w:rPr>
        <w:t>øsofageal</w:t>
      </w:r>
      <w:proofErr w:type="spellEnd"/>
      <w:r w:rsidRPr="00BB7ED9">
        <w:rPr>
          <w:sz w:val="24"/>
          <w:szCs w:val="24"/>
        </w:rPr>
        <w:t xml:space="preserve"> irritation, såsom </w:t>
      </w:r>
      <w:proofErr w:type="spellStart"/>
      <w:r w:rsidRPr="00BB7ED9">
        <w:rPr>
          <w:sz w:val="24"/>
          <w:szCs w:val="24"/>
        </w:rPr>
        <w:t>dysphagi</w:t>
      </w:r>
      <w:proofErr w:type="spellEnd"/>
      <w:r w:rsidRPr="00BB7ED9">
        <w:rPr>
          <w:sz w:val="24"/>
          <w:szCs w:val="24"/>
        </w:rPr>
        <w:t xml:space="preserve">, synkesmerter, </w:t>
      </w:r>
      <w:proofErr w:type="spellStart"/>
      <w:r w:rsidRPr="00BB7ED9">
        <w:rPr>
          <w:sz w:val="24"/>
          <w:szCs w:val="24"/>
        </w:rPr>
        <w:t>retrosternale</w:t>
      </w:r>
      <w:proofErr w:type="spellEnd"/>
      <w:r w:rsidRPr="00BB7ED9">
        <w:rPr>
          <w:sz w:val="24"/>
          <w:szCs w:val="24"/>
        </w:rPr>
        <w:t xml:space="preserve"> smerter eller ny/forværret halsbrand (se pkt. 4.8).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Risikoen for alvorlige, </w:t>
      </w:r>
      <w:proofErr w:type="spellStart"/>
      <w:r w:rsidRPr="00BB7ED9">
        <w:rPr>
          <w:sz w:val="24"/>
          <w:szCs w:val="24"/>
        </w:rPr>
        <w:t>øsofageale</w:t>
      </w:r>
      <w:proofErr w:type="spellEnd"/>
      <w:r w:rsidRPr="00BB7ED9">
        <w:rPr>
          <w:sz w:val="24"/>
          <w:szCs w:val="24"/>
        </w:rPr>
        <w:t xml:space="preserve"> bivirkninger synes større hos patienter, der ikke tager </w:t>
      </w:r>
      <w:proofErr w:type="spellStart"/>
      <w:r w:rsidRPr="00BB7ED9"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som foreskrevet, og/eller som fortsætter med at tage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efter at have udviklet symptomer, der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tyder på </w:t>
      </w:r>
      <w:proofErr w:type="spellStart"/>
      <w:r w:rsidRPr="00BB7ED9">
        <w:rPr>
          <w:sz w:val="24"/>
          <w:szCs w:val="24"/>
        </w:rPr>
        <w:t>øsofageal</w:t>
      </w:r>
      <w:proofErr w:type="spellEnd"/>
      <w:r w:rsidRPr="00BB7ED9">
        <w:rPr>
          <w:sz w:val="24"/>
          <w:szCs w:val="24"/>
        </w:rPr>
        <w:t xml:space="preserve"> irritation. Det er meget vigtigt, at patienterne modtager, og forstår, fuldstændig information om dosering (se pkt. 4.2). Patienterne skal informeres om, at risikoen for </w:t>
      </w:r>
      <w:proofErr w:type="spellStart"/>
      <w:r w:rsidRPr="00BB7ED9">
        <w:rPr>
          <w:sz w:val="24"/>
          <w:szCs w:val="24"/>
        </w:rPr>
        <w:t>øsofagusproblemer</w:t>
      </w:r>
      <w:proofErr w:type="spellEnd"/>
      <w:r w:rsidRPr="00BB7ED9">
        <w:rPr>
          <w:sz w:val="24"/>
          <w:szCs w:val="24"/>
        </w:rPr>
        <w:t xml:space="preserve"> kan øges, hvis disse instruktioner ikke følges.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Selvom der i omfattende kliniske undersøgelser ikke er observeret øget risiko for ulcus </w:t>
      </w:r>
      <w:proofErr w:type="spellStart"/>
      <w:r w:rsidRPr="00BB7ED9">
        <w:rPr>
          <w:sz w:val="24"/>
          <w:szCs w:val="24"/>
        </w:rPr>
        <w:t>ventriculi</w:t>
      </w:r>
      <w:proofErr w:type="spellEnd"/>
      <w:r w:rsidRPr="00BB7ED9">
        <w:rPr>
          <w:sz w:val="24"/>
          <w:szCs w:val="24"/>
        </w:rPr>
        <w:t xml:space="preserve"> og ulcus </w:t>
      </w:r>
      <w:proofErr w:type="spellStart"/>
      <w:r w:rsidRPr="00BB7ED9">
        <w:rPr>
          <w:sz w:val="24"/>
          <w:szCs w:val="24"/>
        </w:rPr>
        <w:t>duodeni</w:t>
      </w:r>
      <w:proofErr w:type="spellEnd"/>
      <w:r w:rsidRPr="00BB7ED9">
        <w:rPr>
          <w:sz w:val="24"/>
          <w:szCs w:val="24"/>
        </w:rPr>
        <w:t>, har der (efter markedsføring) været sjældne rapporter herom, i nogle tilfælde var disse alvorlige og med komplikationer (se pkt. 4.8).</w:t>
      </w: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proofErr w:type="spellStart"/>
      <w:r w:rsidRPr="00BB7ED9">
        <w:rPr>
          <w:i/>
          <w:iCs/>
          <w:sz w:val="24"/>
          <w:szCs w:val="24"/>
        </w:rPr>
        <w:t>Osteonekrose</w:t>
      </w:r>
      <w:proofErr w:type="spellEnd"/>
      <w:r w:rsidRPr="00BB7ED9">
        <w:rPr>
          <w:i/>
          <w:iCs/>
          <w:sz w:val="24"/>
          <w:szCs w:val="24"/>
        </w:rPr>
        <w:t xml:space="preserve"> i kæben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 xml:space="preserve">, som normalt er associeret med tandudtrækning og/eller lokal infektion (inklusive </w:t>
      </w:r>
      <w:proofErr w:type="spellStart"/>
      <w:r w:rsidRPr="00BB7ED9">
        <w:rPr>
          <w:sz w:val="24"/>
          <w:szCs w:val="24"/>
        </w:rPr>
        <w:t>osteomyelitis</w:t>
      </w:r>
      <w:proofErr w:type="spellEnd"/>
      <w:r w:rsidRPr="00BB7ED9">
        <w:rPr>
          <w:sz w:val="24"/>
          <w:szCs w:val="24"/>
        </w:rPr>
        <w:t xml:space="preserve">), er rapporteret hos cancerpatienter, som modtager behandlingsregimer, inklusive primært intravenøst administrerede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. Mange af disse patienter fik også kemoterapi og </w:t>
      </w:r>
      <w:proofErr w:type="spellStart"/>
      <w:r w:rsidRPr="00BB7ED9">
        <w:rPr>
          <w:sz w:val="24"/>
          <w:szCs w:val="24"/>
        </w:rPr>
        <w:t>kortikosteroider</w:t>
      </w:r>
      <w:proofErr w:type="spellEnd"/>
      <w:r w:rsidRPr="00BB7ED9">
        <w:rPr>
          <w:sz w:val="24"/>
          <w:szCs w:val="24"/>
        </w:rPr>
        <w:t xml:space="preserve">. </w:t>
      </w: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 xml:space="preserve"> er også rapporteret hos patienter med osteoporose, der får orale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Følgende risikofaktorer bør tages i betragtning, når den enkelte patients risiko for udvikling af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i kæben vurderes:</w:t>
      </w:r>
    </w:p>
    <w:p w:rsidR="009C0B06" w:rsidRPr="00BB7ED9" w:rsidRDefault="009C0B06" w:rsidP="009C0B06">
      <w:pPr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 xml:space="preserve">Potensen af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(højest for </w:t>
      </w:r>
      <w:proofErr w:type="spellStart"/>
      <w:r w:rsidRPr="00BB7ED9">
        <w:rPr>
          <w:sz w:val="24"/>
          <w:szCs w:val="24"/>
        </w:rPr>
        <w:t>zoledronsyre</w:t>
      </w:r>
      <w:proofErr w:type="spellEnd"/>
      <w:r w:rsidRPr="00BB7ED9">
        <w:rPr>
          <w:sz w:val="24"/>
          <w:szCs w:val="24"/>
        </w:rPr>
        <w:t>), administrationsvej (se ovenfor) og kumulativ dosis</w:t>
      </w:r>
    </w:p>
    <w:p w:rsidR="009C0B06" w:rsidRPr="00BB7ED9" w:rsidRDefault="009C0B06" w:rsidP="009C0B06">
      <w:pPr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 xml:space="preserve">Cancer, kemoterapi, strålebehandling, </w:t>
      </w:r>
      <w:proofErr w:type="spellStart"/>
      <w:r w:rsidRPr="00BB7ED9">
        <w:rPr>
          <w:sz w:val="24"/>
          <w:szCs w:val="24"/>
        </w:rPr>
        <w:t>kortikosteroider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angiogenesehæmmere</w:t>
      </w:r>
      <w:proofErr w:type="spellEnd"/>
      <w:r w:rsidRPr="00BB7ED9">
        <w:rPr>
          <w:sz w:val="24"/>
          <w:szCs w:val="24"/>
        </w:rPr>
        <w:t>, rygning</w:t>
      </w:r>
    </w:p>
    <w:p w:rsidR="009C0B06" w:rsidRPr="00BB7ED9" w:rsidRDefault="009C0B06" w:rsidP="009C0B06">
      <w:pPr>
        <w:ind w:left="1134" w:hanging="283"/>
        <w:rPr>
          <w:sz w:val="24"/>
          <w:szCs w:val="24"/>
        </w:rPr>
      </w:pPr>
      <w:r w:rsidRPr="00BB7ED9">
        <w:rPr>
          <w:sz w:val="24"/>
          <w:szCs w:val="24"/>
        </w:rPr>
        <w:t>•</w:t>
      </w:r>
      <w:r w:rsidRPr="00BB7ED9">
        <w:rPr>
          <w:sz w:val="24"/>
          <w:szCs w:val="24"/>
        </w:rPr>
        <w:tab/>
        <w:t xml:space="preserve">Tandsygdom i anamnesen, dårlig mundhygiejne, sygdom i </w:t>
      </w:r>
      <w:proofErr w:type="spellStart"/>
      <w:r w:rsidRPr="00BB7ED9">
        <w:rPr>
          <w:sz w:val="24"/>
          <w:szCs w:val="24"/>
        </w:rPr>
        <w:t>parodontiet</w:t>
      </w:r>
      <w:proofErr w:type="spellEnd"/>
      <w:r w:rsidRPr="00BB7ED9">
        <w:rPr>
          <w:sz w:val="24"/>
          <w:szCs w:val="24"/>
        </w:rPr>
        <w:t>, invasive dentale indgreb og dårlig tilpasning af tandproteser.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En undersøgelse af tænderne med hensigtsmæssig præventiv tandlægebehandling bør overvejes før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behandling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 hos patienter med dårlig tandstatus.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Mens de er i behandling, bør disse patienter om muligt undgå invasive dentale indgreb. Hos patienter, der udvikler </w:t>
      </w: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 xml:space="preserve"> under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, kan dental kirurgi forværre tilstanden. For patienter, hvor dentale indgreb er nødvendige, findes der ingen tilgængelige data, der viser, om </w:t>
      </w:r>
      <w:proofErr w:type="spellStart"/>
      <w:r w:rsidRPr="00BB7ED9">
        <w:rPr>
          <w:sz w:val="24"/>
          <w:szCs w:val="24"/>
        </w:rPr>
        <w:t>seponering</w:t>
      </w:r>
      <w:proofErr w:type="spellEnd"/>
      <w:r w:rsidRPr="00BB7ED9">
        <w:rPr>
          <w:sz w:val="24"/>
          <w:szCs w:val="24"/>
        </w:rPr>
        <w:t xml:space="preserve"> af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reducerer risikoen for </w:t>
      </w:r>
      <w:proofErr w:type="spellStart"/>
      <w:r w:rsidRPr="00BB7ED9">
        <w:rPr>
          <w:sz w:val="24"/>
          <w:szCs w:val="24"/>
        </w:rPr>
        <w:t>kæbeosteonekrose</w:t>
      </w:r>
      <w:proofErr w:type="spellEnd"/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Den behandlende læges kliniske vurdering bør være vejledende for den enkelte patients behandlingsplan og være baseret på individuel </w:t>
      </w:r>
      <w:r>
        <w:rPr>
          <w:sz w:val="24"/>
          <w:szCs w:val="24"/>
        </w:rPr>
        <w:t>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</w:t>
      </w:r>
      <w:r w:rsidRPr="00BB7ED9">
        <w:rPr>
          <w:sz w:val="24"/>
          <w:szCs w:val="24"/>
        </w:rPr>
        <w:t>vurdering.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lastRenderedPageBreak/>
        <w:t xml:space="preserve">Under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bør patienten opfordres til at opretholde en god mundhygiejne,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>rutinemæssigt gå til tandlæge og rapportere alle orale symptomer såsom tandmobilitet, smerter eller hævelse.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proofErr w:type="spellStart"/>
      <w:r w:rsidRPr="00BB7ED9">
        <w:rPr>
          <w:i/>
          <w:iCs/>
          <w:sz w:val="24"/>
          <w:szCs w:val="24"/>
        </w:rPr>
        <w:t>Osteonekrose</w:t>
      </w:r>
      <w:proofErr w:type="spellEnd"/>
      <w:r w:rsidRPr="00BB7ED9">
        <w:rPr>
          <w:i/>
          <w:iCs/>
          <w:sz w:val="24"/>
          <w:szCs w:val="24"/>
        </w:rPr>
        <w:t xml:space="preserve"> af øregangen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rapporteret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af øregangen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, hovedsageligt i forbindelse med langtidsbehandling. Mulige risikofaktorer for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af øregangen inkluderer steroider og kemoterapi og/eller lokale risikofaktorer som infektioner eller traumer. Muligheden for </w:t>
      </w:r>
      <w:proofErr w:type="spellStart"/>
      <w:r w:rsidRPr="00BB7ED9">
        <w:rPr>
          <w:sz w:val="24"/>
          <w:szCs w:val="24"/>
        </w:rPr>
        <w:t>osteonekrose</w:t>
      </w:r>
      <w:proofErr w:type="spellEnd"/>
      <w:r w:rsidRPr="00BB7ED9">
        <w:rPr>
          <w:sz w:val="24"/>
          <w:szCs w:val="24"/>
        </w:rPr>
        <w:t xml:space="preserve"> af øregangen skal overvejes hos patienter, der får behandling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>, og som udviser øresymptomer såsom øresmerter eller udflåd fra øret eller kroniske infektioner i øret.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>Knogle-, led- og muskelsmerter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Knogle-, led- og/eller muskelsmerter er rapporteret hos patienter, der tager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. I henhold til erfaring efter markedsføring har disse symptomer sjældent været alvorlige og/eller invaliderende (se pkt. 4.8). Tiden til symptomdebut varierede fra </w:t>
      </w:r>
      <w:r>
        <w:rPr>
          <w:sz w:val="24"/>
          <w:szCs w:val="24"/>
        </w:rPr>
        <w:t>en</w:t>
      </w:r>
      <w:r w:rsidRPr="00BB7ED9">
        <w:rPr>
          <w:sz w:val="24"/>
          <w:szCs w:val="24"/>
        </w:rPr>
        <w:t xml:space="preserve"> dag til adskillige måneder efter behandlingsstart. 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 fleste patienter oplevede symptomlindring efter </w:t>
      </w:r>
      <w:proofErr w:type="spellStart"/>
      <w:r w:rsidRPr="00BB7ED9">
        <w:rPr>
          <w:sz w:val="24"/>
          <w:szCs w:val="24"/>
        </w:rPr>
        <w:t>seponering</w:t>
      </w:r>
      <w:proofErr w:type="spellEnd"/>
      <w:r w:rsidRPr="00BB7ED9">
        <w:rPr>
          <w:sz w:val="24"/>
          <w:szCs w:val="24"/>
        </w:rPr>
        <w:t xml:space="preserve"> af behandlingen. For en undergruppe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genopstod symptomerne, da de igen fik det samme lægemiddel eller andet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 xml:space="preserve">Atypiske frakturer på </w:t>
      </w:r>
      <w:proofErr w:type="spellStart"/>
      <w:r w:rsidRPr="00BB7ED9">
        <w:rPr>
          <w:i/>
          <w:iCs/>
          <w:sz w:val="24"/>
          <w:szCs w:val="24"/>
        </w:rPr>
        <w:t>femur</w:t>
      </w:r>
      <w:proofErr w:type="spellEnd"/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rapporteret om atypiske </w:t>
      </w:r>
      <w:proofErr w:type="spellStart"/>
      <w:r w:rsidRPr="00BB7ED9">
        <w:rPr>
          <w:sz w:val="24"/>
          <w:szCs w:val="24"/>
        </w:rPr>
        <w:t>subtrochantære</w:t>
      </w:r>
      <w:proofErr w:type="spellEnd"/>
      <w:r w:rsidRPr="00BB7ED9">
        <w:rPr>
          <w:sz w:val="24"/>
          <w:szCs w:val="24"/>
        </w:rPr>
        <w:t xml:space="preserve"> og </w:t>
      </w:r>
      <w:proofErr w:type="spellStart"/>
      <w:r w:rsidRPr="00BB7ED9">
        <w:rPr>
          <w:sz w:val="24"/>
          <w:szCs w:val="24"/>
        </w:rPr>
        <w:t>diafyseale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femurfrakturer</w:t>
      </w:r>
      <w:proofErr w:type="spellEnd"/>
      <w:r w:rsidRPr="00BB7ED9">
        <w:rPr>
          <w:sz w:val="24"/>
          <w:szCs w:val="24"/>
        </w:rPr>
        <w:t xml:space="preserve"> ved </w:t>
      </w:r>
      <w:proofErr w:type="spellStart"/>
      <w:r w:rsidRPr="00BB7ED9">
        <w:rPr>
          <w:sz w:val="24"/>
          <w:szCs w:val="24"/>
        </w:rPr>
        <w:t>bisphosphonatbehandling</w:t>
      </w:r>
      <w:proofErr w:type="spellEnd"/>
      <w:r w:rsidRPr="00BB7ED9">
        <w:rPr>
          <w:sz w:val="24"/>
          <w:szCs w:val="24"/>
        </w:rPr>
        <w:t xml:space="preserve">, primært hos patienter i langtidsbehandling af osteoporose. Disse </w:t>
      </w:r>
      <w:proofErr w:type="spellStart"/>
      <w:r w:rsidRPr="00BB7ED9">
        <w:rPr>
          <w:sz w:val="24"/>
          <w:szCs w:val="24"/>
        </w:rPr>
        <w:t>transverse</w:t>
      </w:r>
      <w:proofErr w:type="spellEnd"/>
      <w:r w:rsidRPr="00BB7ED9">
        <w:rPr>
          <w:sz w:val="24"/>
          <w:szCs w:val="24"/>
        </w:rPr>
        <w:t xml:space="preserve"> eller korte oblikke frakturer kan forekomme hvor som helst på </w:t>
      </w:r>
      <w:proofErr w:type="spellStart"/>
      <w:r w:rsidRPr="00BB7ED9">
        <w:rPr>
          <w:sz w:val="24"/>
          <w:szCs w:val="24"/>
        </w:rPr>
        <w:t>femur</w:t>
      </w:r>
      <w:proofErr w:type="spellEnd"/>
      <w:r w:rsidRPr="00BB7ED9">
        <w:rPr>
          <w:sz w:val="24"/>
          <w:szCs w:val="24"/>
        </w:rPr>
        <w:t xml:space="preserve">, fra lige under </w:t>
      </w:r>
      <w:proofErr w:type="spellStart"/>
      <w:r w:rsidRPr="00BB7ED9">
        <w:rPr>
          <w:sz w:val="24"/>
          <w:szCs w:val="24"/>
        </w:rPr>
        <w:t>trochanter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minor</w:t>
      </w:r>
      <w:proofErr w:type="spellEnd"/>
      <w:r w:rsidRPr="00BB7ED9">
        <w:rPr>
          <w:sz w:val="24"/>
          <w:szCs w:val="24"/>
        </w:rPr>
        <w:t xml:space="preserve"> til lige over det </w:t>
      </w:r>
      <w:proofErr w:type="spellStart"/>
      <w:r w:rsidRPr="00BB7ED9">
        <w:rPr>
          <w:sz w:val="24"/>
          <w:szCs w:val="24"/>
        </w:rPr>
        <w:t>suprakondylære</w:t>
      </w:r>
      <w:proofErr w:type="spellEnd"/>
      <w:r w:rsidRPr="00BB7ED9">
        <w:rPr>
          <w:sz w:val="24"/>
          <w:szCs w:val="24"/>
        </w:rPr>
        <w:t xml:space="preserve"> svaj. Disse frakturer forekommer efter minimalt eller intet traume, men nogle patienter får lår- eller lyskesmerter, ofte med tilhørende billedmæssige karakteristika af stressfrakturer, uger til måneder før den komplette </w:t>
      </w:r>
      <w:proofErr w:type="spellStart"/>
      <w:r w:rsidRPr="00BB7ED9">
        <w:rPr>
          <w:sz w:val="24"/>
          <w:szCs w:val="24"/>
        </w:rPr>
        <w:t>femurfraktur</w:t>
      </w:r>
      <w:proofErr w:type="spellEnd"/>
      <w:r w:rsidRPr="00BB7ED9">
        <w:rPr>
          <w:sz w:val="24"/>
          <w:szCs w:val="24"/>
        </w:rPr>
        <w:t xml:space="preserve"> viser sig. Frakturerne er ofte bilaterale. Derfor bør den kontralaterale </w:t>
      </w:r>
      <w:proofErr w:type="spellStart"/>
      <w:r w:rsidRPr="00BB7ED9">
        <w:rPr>
          <w:sz w:val="24"/>
          <w:szCs w:val="24"/>
        </w:rPr>
        <w:t>femur</w:t>
      </w:r>
      <w:proofErr w:type="spellEnd"/>
      <w:r w:rsidRPr="00BB7ED9">
        <w:rPr>
          <w:sz w:val="24"/>
          <w:szCs w:val="24"/>
        </w:rPr>
        <w:t xml:space="preserve"> undersøges hos patienter, som behandles med </w:t>
      </w: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, og som har pådraget sig en fraktur af lårbensskaftet. Dårlig heling af disse frakturer er også blevet rapporteret. Det bør overvejes at seponere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hos patienter med mistanke om atypisk </w:t>
      </w:r>
      <w:proofErr w:type="spellStart"/>
      <w:r w:rsidRPr="00BB7ED9">
        <w:rPr>
          <w:sz w:val="24"/>
          <w:szCs w:val="24"/>
        </w:rPr>
        <w:t>femurfraktur</w:t>
      </w:r>
      <w:proofErr w:type="spellEnd"/>
      <w:r w:rsidRPr="00BB7ED9">
        <w:rPr>
          <w:sz w:val="24"/>
          <w:szCs w:val="24"/>
        </w:rPr>
        <w:t>, indtil der foreligger en evaluering af patienten, baseret på en individuel benefit/</w:t>
      </w:r>
      <w:proofErr w:type="spellStart"/>
      <w:r w:rsidRPr="00BB7ED9">
        <w:rPr>
          <w:sz w:val="24"/>
          <w:szCs w:val="24"/>
        </w:rPr>
        <w:t>risk</w:t>
      </w:r>
      <w:proofErr w:type="spellEnd"/>
      <w:r w:rsidRPr="00BB7ED9">
        <w:rPr>
          <w:sz w:val="24"/>
          <w:szCs w:val="24"/>
        </w:rPr>
        <w:t>-vurdering.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Patienten skal informeres om at rapportere enhver lår-, hofte- eller lyskesmerte under </w:t>
      </w:r>
      <w:proofErr w:type="spellStart"/>
      <w:r w:rsidRPr="00BB7ED9">
        <w:rPr>
          <w:sz w:val="24"/>
          <w:szCs w:val="24"/>
        </w:rPr>
        <w:t>bisphosphonatbehandlingen</w:t>
      </w:r>
      <w:proofErr w:type="spellEnd"/>
      <w:r w:rsidRPr="00BB7ED9">
        <w:rPr>
          <w:sz w:val="24"/>
          <w:szCs w:val="24"/>
        </w:rPr>
        <w:t xml:space="preserve">, og alle patienter, som fremviser disse symptomer, skal evalueres for en ufuldstændig </w:t>
      </w:r>
      <w:proofErr w:type="spellStart"/>
      <w:r w:rsidRPr="00BB7ED9">
        <w:rPr>
          <w:sz w:val="24"/>
          <w:szCs w:val="24"/>
        </w:rPr>
        <w:t>femurfraktur</w:t>
      </w:r>
      <w:proofErr w:type="spellEnd"/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>Nedsat nyrefunktion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anbefales ikke til patienter med nedsat nyrefunktion, hvor </w:t>
      </w:r>
      <w:proofErr w:type="spellStart"/>
      <w:r w:rsidRPr="00BB7ED9">
        <w:rPr>
          <w:sz w:val="24"/>
          <w:szCs w:val="24"/>
        </w:rPr>
        <w:t>kreatinin-clearance</w:t>
      </w:r>
      <w:proofErr w:type="spellEnd"/>
      <w:r w:rsidRPr="00BB7ED9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>&lt;35 ml/min (se pkt. 4.2).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i/>
          <w:iCs/>
          <w:sz w:val="24"/>
          <w:szCs w:val="24"/>
        </w:rPr>
      </w:pPr>
      <w:r w:rsidRPr="00BB7ED9">
        <w:rPr>
          <w:i/>
          <w:iCs/>
          <w:sz w:val="24"/>
          <w:szCs w:val="24"/>
        </w:rPr>
        <w:t>Knogle- og mineralmetabolisme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Andre årsager til osteoporose end østrogenmangel og aldring bør overvejes.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 skal korrigeres før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indledes (se pkt. 4.3). Andre lidelser, som påvirker mineralmetabolismen (såsom D-vitaminmangel og </w:t>
      </w:r>
      <w:proofErr w:type="spellStart"/>
      <w:r w:rsidRPr="00BB7ED9">
        <w:rPr>
          <w:sz w:val="24"/>
          <w:szCs w:val="24"/>
        </w:rPr>
        <w:t>hypoparathyroidisme</w:t>
      </w:r>
      <w:proofErr w:type="spellEnd"/>
      <w:r w:rsidRPr="00BB7ED9">
        <w:rPr>
          <w:sz w:val="24"/>
          <w:szCs w:val="24"/>
        </w:rPr>
        <w:t xml:space="preserve">), skal også behandles effektivt, før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initieres. Indholdet af D-vitamin i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er ikke velegnet til opretning af D-vitaminmangel. Hos </w:t>
      </w:r>
      <w:r w:rsidRPr="00BB7ED9">
        <w:rPr>
          <w:sz w:val="24"/>
          <w:szCs w:val="24"/>
        </w:rPr>
        <w:lastRenderedPageBreak/>
        <w:t xml:space="preserve">patienter med disse lidelser bør serumcalcium og symptomer på </w:t>
      </w: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 monitoreres under behandling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På grund af </w:t>
      </w:r>
      <w:proofErr w:type="spellStart"/>
      <w:r w:rsidRPr="00BB7ED9">
        <w:rPr>
          <w:sz w:val="24"/>
          <w:szCs w:val="24"/>
        </w:rPr>
        <w:t>alendronats</w:t>
      </w:r>
      <w:proofErr w:type="spellEnd"/>
      <w:r w:rsidRPr="00BB7ED9">
        <w:rPr>
          <w:sz w:val="24"/>
          <w:szCs w:val="24"/>
        </w:rPr>
        <w:t xml:space="preserve"> positive virkning på øgning i knoglemineraltætheden, kan der opstå fald i</w:t>
      </w:r>
      <w:r>
        <w:rPr>
          <w:sz w:val="24"/>
          <w:szCs w:val="24"/>
        </w:rPr>
        <w:t xml:space="preserve"> </w:t>
      </w:r>
      <w:r w:rsidRPr="00BB7ED9">
        <w:rPr>
          <w:sz w:val="24"/>
          <w:szCs w:val="24"/>
        </w:rPr>
        <w:t xml:space="preserve">serumcalcium og </w:t>
      </w:r>
      <w:proofErr w:type="spellStart"/>
      <w:r w:rsidRPr="00BB7ED9">
        <w:rPr>
          <w:sz w:val="24"/>
          <w:szCs w:val="24"/>
        </w:rPr>
        <w:t>serumphosphat</w:t>
      </w:r>
      <w:proofErr w:type="spellEnd"/>
      <w:r w:rsidRPr="00BB7ED9">
        <w:rPr>
          <w:sz w:val="24"/>
          <w:szCs w:val="24"/>
        </w:rPr>
        <w:t xml:space="preserve">, især hos patienter, der tager </w:t>
      </w:r>
      <w:proofErr w:type="spellStart"/>
      <w:r w:rsidRPr="00BB7ED9">
        <w:rPr>
          <w:sz w:val="24"/>
          <w:szCs w:val="24"/>
        </w:rPr>
        <w:t>glukokortikoider</w:t>
      </w:r>
      <w:proofErr w:type="spellEnd"/>
      <w:r w:rsidRPr="00BB7ED9">
        <w:rPr>
          <w:sz w:val="24"/>
          <w:szCs w:val="24"/>
        </w:rPr>
        <w:t xml:space="preserve">, da calciumabsorptionen kan være nedsat. Nedgangen er som regel lille og ikke symptomatisk. Der har dog været sjældne rapporter om symptomatisk </w:t>
      </w: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, som nogle gange har været alvorligt, og som ofte er forekommet hos patienter med prædisponering (f.eks. </w:t>
      </w:r>
      <w:proofErr w:type="spellStart"/>
      <w:r w:rsidRPr="00BB7ED9">
        <w:rPr>
          <w:sz w:val="24"/>
          <w:szCs w:val="24"/>
        </w:rPr>
        <w:t>hypoparatyroidisme</w:t>
      </w:r>
      <w:proofErr w:type="spellEnd"/>
      <w:r w:rsidRPr="00BB7ED9">
        <w:rPr>
          <w:sz w:val="24"/>
          <w:szCs w:val="24"/>
        </w:rPr>
        <w:t xml:space="preserve">, D-vitaminmangel og </w:t>
      </w:r>
      <w:proofErr w:type="spellStart"/>
      <w:r w:rsidRPr="00BB7ED9">
        <w:rPr>
          <w:sz w:val="24"/>
          <w:szCs w:val="24"/>
        </w:rPr>
        <w:t>calciummalabsorption</w:t>
      </w:r>
      <w:proofErr w:type="spellEnd"/>
      <w:r w:rsidRPr="00BB7ED9">
        <w:rPr>
          <w:sz w:val="24"/>
          <w:szCs w:val="24"/>
        </w:rPr>
        <w:t>) (se pkt. 4.8).</w:t>
      </w:r>
    </w:p>
    <w:p w:rsidR="009C0B06" w:rsidRPr="00BB7ED9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BB7ED9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Cholecalciferol</w:t>
      </w:r>
      <w:proofErr w:type="spellEnd"/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D</w:t>
      </w:r>
      <w:r w:rsidRPr="00335BE5">
        <w:rPr>
          <w:sz w:val="24"/>
          <w:szCs w:val="24"/>
          <w:vertAlign w:val="subscript"/>
        </w:rPr>
        <w:t>3</w:t>
      </w:r>
      <w:r w:rsidRPr="00BB7ED9">
        <w:rPr>
          <w:sz w:val="24"/>
          <w:szCs w:val="24"/>
        </w:rPr>
        <w:t xml:space="preserve">-vitamin kan øge sværhedsgraden af </w:t>
      </w:r>
      <w:proofErr w:type="spellStart"/>
      <w:r w:rsidRPr="00BB7ED9">
        <w:rPr>
          <w:sz w:val="24"/>
          <w:szCs w:val="24"/>
        </w:rPr>
        <w:t>hyperkalcæmi</w:t>
      </w:r>
      <w:proofErr w:type="spellEnd"/>
      <w:r w:rsidRPr="00BB7ED9">
        <w:rPr>
          <w:sz w:val="24"/>
          <w:szCs w:val="24"/>
        </w:rPr>
        <w:t xml:space="preserve"> og/eller </w:t>
      </w:r>
      <w:proofErr w:type="spellStart"/>
      <w:r w:rsidRPr="00BB7ED9">
        <w:rPr>
          <w:sz w:val="24"/>
          <w:szCs w:val="24"/>
        </w:rPr>
        <w:t>hyperkalciuri</w:t>
      </w:r>
      <w:proofErr w:type="spellEnd"/>
      <w:r w:rsidRPr="00BB7ED9">
        <w:rPr>
          <w:sz w:val="24"/>
          <w:szCs w:val="24"/>
        </w:rPr>
        <w:t xml:space="preserve">, når det gives til patienter med sygdomme, der er forbundet med ureguleret overproduktion af </w:t>
      </w:r>
      <w:proofErr w:type="spellStart"/>
      <w:r w:rsidRPr="00BB7ED9">
        <w:rPr>
          <w:sz w:val="24"/>
          <w:szCs w:val="24"/>
        </w:rPr>
        <w:t>calcitriol</w:t>
      </w:r>
      <w:proofErr w:type="spellEnd"/>
      <w:r w:rsidRPr="00BB7ED9">
        <w:rPr>
          <w:sz w:val="24"/>
          <w:szCs w:val="24"/>
        </w:rPr>
        <w:t xml:space="preserve"> (f.eks. leukæmi, </w:t>
      </w:r>
      <w:proofErr w:type="spellStart"/>
      <w:r w:rsidRPr="00BB7ED9">
        <w:rPr>
          <w:sz w:val="24"/>
          <w:szCs w:val="24"/>
        </w:rPr>
        <w:t>lymphoma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sarcoidosis</w:t>
      </w:r>
      <w:proofErr w:type="spellEnd"/>
      <w:r w:rsidRPr="00BB7ED9">
        <w:rPr>
          <w:sz w:val="24"/>
          <w:szCs w:val="24"/>
        </w:rPr>
        <w:t>). Urin og serumcalcium bør monitoreres hos disse patienter.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Patienter med </w:t>
      </w:r>
      <w:proofErr w:type="spellStart"/>
      <w:r w:rsidRPr="00BB7ED9">
        <w:rPr>
          <w:sz w:val="24"/>
          <w:szCs w:val="24"/>
        </w:rPr>
        <w:t>malabsorption</w:t>
      </w:r>
      <w:proofErr w:type="spellEnd"/>
      <w:r w:rsidRPr="00BB7ED9">
        <w:rPr>
          <w:sz w:val="24"/>
          <w:szCs w:val="24"/>
        </w:rPr>
        <w:t xml:space="preserve"> kan måske ikke optage tilstrækkeligt D</w:t>
      </w:r>
      <w:r w:rsidRPr="00FC50B8">
        <w:rPr>
          <w:sz w:val="24"/>
          <w:szCs w:val="24"/>
          <w:vertAlign w:val="subscript"/>
        </w:rPr>
        <w:t>3</w:t>
      </w:r>
      <w:r w:rsidRPr="00BB7ED9">
        <w:rPr>
          <w:sz w:val="24"/>
          <w:szCs w:val="24"/>
        </w:rPr>
        <w:t>-vitamin.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234E50" w:rsidRPr="00BB7ED9" w:rsidRDefault="00234E50" w:rsidP="00234E50">
      <w:pPr>
        <w:ind w:left="851"/>
        <w:rPr>
          <w:sz w:val="24"/>
          <w:szCs w:val="24"/>
          <w:u w:val="single"/>
        </w:rPr>
      </w:pPr>
      <w:r w:rsidRPr="00BB7ED9">
        <w:rPr>
          <w:sz w:val="24"/>
          <w:szCs w:val="24"/>
          <w:u w:val="single"/>
        </w:rPr>
        <w:t xml:space="preserve">Hjælpestoffer </w:t>
      </w:r>
    </w:p>
    <w:p w:rsidR="00234E50" w:rsidRDefault="00234E50" w:rsidP="00234E50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Dette lægemiddel indeholder </w:t>
      </w:r>
      <w:proofErr w:type="spellStart"/>
      <w:r w:rsidRPr="00BB7ED9">
        <w:rPr>
          <w:sz w:val="24"/>
          <w:szCs w:val="24"/>
        </w:rPr>
        <w:t>lactose</w:t>
      </w:r>
      <w:proofErr w:type="spellEnd"/>
      <w:r w:rsidRPr="00BB7ED9">
        <w:rPr>
          <w:sz w:val="24"/>
          <w:szCs w:val="24"/>
        </w:rPr>
        <w:t xml:space="preserve"> og </w:t>
      </w:r>
      <w:proofErr w:type="spellStart"/>
      <w:r w:rsidRPr="00BB7ED9">
        <w:rPr>
          <w:sz w:val="24"/>
          <w:szCs w:val="24"/>
        </w:rPr>
        <w:t>saccharose</w:t>
      </w:r>
      <w:proofErr w:type="spellEnd"/>
      <w:r w:rsidRPr="00BB7ED9">
        <w:rPr>
          <w:sz w:val="24"/>
          <w:szCs w:val="24"/>
        </w:rPr>
        <w:t xml:space="preserve"> og bør ikke anvendes til patienter med </w:t>
      </w:r>
      <w:r>
        <w:rPr>
          <w:sz w:val="24"/>
          <w:szCs w:val="24"/>
        </w:rPr>
        <w:t xml:space="preserve">hereditær </w:t>
      </w:r>
      <w:proofErr w:type="spellStart"/>
      <w:r>
        <w:rPr>
          <w:sz w:val="24"/>
          <w:szCs w:val="24"/>
        </w:rPr>
        <w:t>fructoseintolerans</w:t>
      </w:r>
      <w:proofErr w:type="spellEnd"/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galactoseintoleran</w:t>
      </w:r>
      <w:r>
        <w:rPr>
          <w:sz w:val="24"/>
          <w:szCs w:val="24"/>
        </w:rPr>
        <w:t>s</w:t>
      </w:r>
      <w:proofErr w:type="spellEnd"/>
      <w:r w:rsidRPr="00BB7ED9">
        <w:rPr>
          <w:sz w:val="24"/>
          <w:szCs w:val="24"/>
        </w:rPr>
        <w:t xml:space="preserve">, </w:t>
      </w:r>
      <w:r>
        <w:rPr>
          <w:sz w:val="24"/>
          <w:szCs w:val="24"/>
        </w:rPr>
        <w:t>total</w:t>
      </w:r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lactasemangel</w:t>
      </w:r>
      <w:proofErr w:type="spellEnd"/>
      <w:r w:rsidR="00BC203D">
        <w:rPr>
          <w:sz w:val="24"/>
          <w:szCs w:val="24"/>
        </w:rPr>
        <w:t xml:space="preserve"> </w:t>
      </w:r>
      <w:r>
        <w:rPr>
          <w:sz w:val="24"/>
          <w:szCs w:val="24"/>
        </w:rPr>
        <w:t>eller</w:t>
      </w:r>
      <w:r w:rsidRPr="00BB7ED9"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glucose</w:t>
      </w:r>
      <w:proofErr w:type="spellEnd"/>
      <w:r w:rsidRPr="00BB7ED9">
        <w:rPr>
          <w:sz w:val="24"/>
          <w:szCs w:val="24"/>
        </w:rPr>
        <w:t>/</w:t>
      </w:r>
      <w:proofErr w:type="spellStart"/>
      <w:r w:rsidRPr="00BB7ED9">
        <w:rPr>
          <w:sz w:val="24"/>
          <w:szCs w:val="24"/>
        </w:rPr>
        <w:t>galactosemalabsorption</w:t>
      </w:r>
      <w:proofErr w:type="spellEnd"/>
      <w:r w:rsidRPr="00BB7ED9">
        <w:rPr>
          <w:sz w:val="24"/>
          <w:szCs w:val="24"/>
        </w:rPr>
        <w:t xml:space="preserve"> eller </w:t>
      </w:r>
      <w:proofErr w:type="spellStart"/>
      <w:r w:rsidRPr="00BB7ED9">
        <w:rPr>
          <w:sz w:val="24"/>
          <w:szCs w:val="24"/>
        </w:rPr>
        <w:t>sucrase-isomaltasemangel</w:t>
      </w:r>
      <w:proofErr w:type="spellEnd"/>
      <w:r w:rsidRPr="00BB7ED9">
        <w:rPr>
          <w:sz w:val="24"/>
          <w:szCs w:val="24"/>
        </w:rPr>
        <w:t>.</w:t>
      </w:r>
    </w:p>
    <w:p w:rsidR="00234E50" w:rsidRDefault="00234E50" w:rsidP="00234E50">
      <w:pPr>
        <w:ind w:left="851"/>
        <w:rPr>
          <w:sz w:val="24"/>
          <w:szCs w:val="24"/>
        </w:rPr>
      </w:pPr>
    </w:p>
    <w:p w:rsidR="00234E50" w:rsidRPr="00BB7ED9" w:rsidRDefault="00234E50" w:rsidP="00234E50">
      <w:pPr>
        <w:ind w:left="851"/>
        <w:rPr>
          <w:sz w:val="24"/>
          <w:szCs w:val="24"/>
        </w:rPr>
      </w:pPr>
      <w:r w:rsidRPr="00EA0902">
        <w:rPr>
          <w:sz w:val="24"/>
          <w:szCs w:val="24"/>
        </w:rPr>
        <w:t xml:space="preserve">Dette lægemiddel indeholder mindre end 1 mmol (23 mg) natrium pr. </w:t>
      </w:r>
      <w:r>
        <w:rPr>
          <w:sz w:val="24"/>
          <w:szCs w:val="24"/>
        </w:rPr>
        <w:t>tablet</w:t>
      </w:r>
      <w:r w:rsidRPr="00EA0902">
        <w:rPr>
          <w:sz w:val="24"/>
          <w:szCs w:val="24"/>
        </w:rPr>
        <w:t>, dvs. det er i det væsentlige natriumfrit.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9C0B06" w:rsidRPr="00BA20F8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Alendronat</w:t>
      </w:r>
      <w:proofErr w:type="spellEnd"/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Ved samtidig administration kan mad og drikkevarer (inklusive mineralvand), calciumtilskud, </w:t>
      </w:r>
      <w:proofErr w:type="spellStart"/>
      <w:r w:rsidRPr="00BB7ED9">
        <w:rPr>
          <w:sz w:val="24"/>
          <w:szCs w:val="24"/>
        </w:rPr>
        <w:t>antacida</w:t>
      </w:r>
      <w:proofErr w:type="spellEnd"/>
      <w:r w:rsidRPr="00BB7ED9">
        <w:rPr>
          <w:sz w:val="24"/>
          <w:szCs w:val="24"/>
        </w:rPr>
        <w:t xml:space="preserve"> samt visse peroralt administrerede lægemidler påvirke absorptionen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. Patienten skal derfor vente mindst 30 minutter efter indtag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>, før der indtages andre perorale lægemidler (se pkt. 4.2 og 5.2).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>Da anvendelse af non-</w:t>
      </w:r>
      <w:proofErr w:type="spellStart"/>
      <w:r w:rsidRPr="00BB7ED9">
        <w:rPr>
          <w:sz w:val="24"/>
          <w:szCs w:val="24"/>
        </w:rPr>
        <w:t>steroide</w:t>
      </w:r>
      <w:proofErr w:type="spellEnd"/>
      <w:r w:rsidRPr="00BB7ED9">
        <w:rPr>
          <w:sz w:val="24"/>
          <w:szCs w:val="24"/>
        </w:rPr>
        <w:t xml:space="preserve"> anti-inflammatoriske lægemidler (NSAID) er forbundet med </w:t>
      </w:r>
      <w:proofErr w:type="spellStart"/>
      <w:r w:rsidRPr="00BB7ED9">
        <w:rPr>
          <w:sz w:val="24"/>
          <w:szCs w:val="24"/>
        </w:rPr>
        <w:t>gastrointestinal</w:t>
      </w:r>
      <w:proofErr w:type="spellEnd"/>
      <w:r w:rsidRPr="00BB7ED9">
        <w:rPr>
          <w:sz w:val="24"/>
          <w:szCs w:val="24"/>
        </w:rPr>
        <w:t xml:space="preserve"> irritation, bør forsigtighed udvises ved samtidig brug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>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BB7ED9">
        <w:rPr>
          <w:sz w:val="24"/>
          <w:szCs w:val="24"/>
          <w:u w:val="single"/>
        </w:rPr>
        <w:t>Cholecalciferol</w:t>
      </w:r>
      <w:proofErr w:type="spellEnd"/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Olestra</w:t>
      </w:r>
      <w:proofErr w:type="spellEnd"/>
      <w:r w:rsidRPr="00BB7ED9">
        <w:rPr>
          <w:sz w:val="24"/>
          <w:szCs w:val="24"/>
        </w:rPr>
        <w:t xml:space="preserve">, mineralske olier, </w:t>
      </w:r>
      <w:proofErr w:type="spellStart"/>
      <w:r w:rsidRPr="00BB7ED9">
        <w:rPr>
          <w:sz w:val="24"/>
          <w:szCs w:val="24"/>
        </w:rPr>
        <w:t>orlistat</w:t>
      </w:r>
      <w:proofErr w:type="spellEnd"/>
      <w:r w:rsidRPr="00BB7ED9">
        <w:rPr>
          <w:sz w:val="24"/>
          <w:szCs w:val="24"/>
        </w:rPr>
        <w:t xml:space="preserve"> og galdesyremidler (</w:t>
      </w:r>
      <w:proofErr w:type="spellStart"/>
      <w:r w:rsidRPr="00BB7ED9">
        <w:rPr>
          <w:sz w:val="24"/>
          <w:szCs w:val="24"/>
        </w:rPr>
        <w:t>colestyramin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colestipol</w:t>
      </w:r>
      <w:proofErr w:type="spellEnd"/>
      <w:r w:rsidRPr="00BB7ED9">
        <w:rPr>
          <w:sz w:val="24"/>
          <w:szCs w:val="24"/>
        </w:rPr>
        <w:t xml:space="preserve">) kan svække optagelsen af D-vitamin. </w:t>
      </w:r>
      <w:proofErr w:type="spellStart"/>
      <w:r w:rsidRPr="00BB7ED9">
        <w:rPr>
          <w:sz w:val="24"/>
          <w:szCs w:val="24"/>
        </w:rPr>
        <w:t>Antiepileptika</w:t>
      </w:r>
      <w:proofErr w:type="spellEnd"/>
      <w:r w:rsidRPr="00BB7ED9">
        <w:rPr>
          <w:sz w:val="24"/>
          <w:szCs w:val="24"/>
        </w:rPr>
        <w:t xml:space="preserve">, </w:t>
      </w:r>
      <w:proofErr w:type="spellStart"/>
      <w:r w:rsidRPr="00BB7ED9">
        <w:rPr>
          <w:sz w:val="24"/>
          <w:szCs w:val="24"/>
        </w:rPr>
        <w:t>cimetidin</w:t>
      </w:r>
      <w:proofErr w:type="spellEnd"/>
      <w:r w:rsidRPr="00BB7ED9">
        <w:rPr>
          <w:sz w:val="24"/>
          <w:szCs w:val="24"/>
        </w:rPr>
        <w:t xml:space="preserve"> og </w:t>
      </w:r>
      <w:proofErr w:type="spellStart"/>
      <w:r w:rsidRPr="00BB7ED9">
        <w:rPr>
          <w:sz w:val="24"/>
          <w:szCs w:val="24"/>
        </w:rPr>
        <w:t>thiazider</w:t>
      </w:r>
      <w:proofErr w:type="spellEnd"/>
      <w:r w:rsidRPr="00BB7ED9">
        <w:rPr>
          <w:sz w:val="24"/>
          <w:szCs w:val="24"/>
        </w:rPr>
        <w:t xml:space="preserve"> kan øge </w:t>
      </w:r>
      <w:proofErr w:type="spellStart"/>
      <w:r w:rsidRPr="00BB7ED9">
        <w:rPr>
          <w:sz w:val="24"/>
          <w:szCs w:val="24"/>
        </w:rPr>
        <w:t>katabolismen</w:t>
      </w:r>
      <w:proofErr w:type="spellEnd"/>
      <w:r w:rsidRPr="00BB7ED9">
        <w:rPr>
          <w:sz w:val="24"/>
          <w:szCs w:val="24"/>
        </w:rPr>
        <w:t xml:space="preserve"> af D-vitamin. Yderligere D-vitamintilskud kan overvejes på individuel basis.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BA1804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9C0B06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2269FF">
        <w:rPr>
          <w:noProof/>
          <w:sz w:val="24"/>
          <w:szCs w:val="24"/>
          <w:u w:val="single"/>
        </w:rPr>
        <w:t>Fertilitet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 w:rsidRPr="00BB7ED9">
        <w:rPr>
          <w:sz w:val="24"/>
          <w:szCs w:val="24"/>
        </w:rPr>
        <w:t>Bisphosphonater</w:t>
      </w:r>
      <w:proofErr w:type="spellEnd"/>
      <w:r w:rsidRPr="00BB7ED9">
        <w:rPr>
          <w:sz w:val="24"/>
          <w:szCs w:val="24"/>
        </w:rPr>
        <w:t xml:space="preserve"> inkorporeres i knoglematrix, hvorfra de gradvist frigives over en årelang periode.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Mængden af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>, der inkorporeres i knoglerne hos voksne, og dermed den mængde, der er tilgængelig for frigivelse tilbage til systemisk cirkulation, er direkte relateret til dosis og varigheden af</w:t>
      </w:r>
      <w:r>
        <w:rPr>
          <w:sz w:val="24"/>
          <w:szCs w:val="24"/>
        </w:rPr>
        <w:t xml:space="preserve"> </w:t>
      </w:r>
      <w:proofErr w:type="spellStart"/>
      <w:r w:rsidRPr="00BB7ED9">
        <w:rPr>
          <w:sz w:val="24"/>
          <w:szCs w:val="24"/>
        </w:rPr>
        <w:t>bisphosphonatbehandlingen</w:t>
      </w:r>
      <w:proofErr w:type="spellEnd"/>
      <w:r w:rsidRPr="00BB7ED9">
        <w:rPr>
          <w:sz w:val="24"/>
          <w:szCs w:val="24"/>
        </w:rPr>
        <w:t xml:space="preserve"> (se pkt. 5.2). Der er ingen </w:t>
      </w:r>
      <w:r w:rsidRPr="00BB7ED9">
        <w:rPr>
          <w:sz w:val="24"/>
          <w:szCs w:val="24"/>
        </w:rPr>
        <w:lastRenderedPageBreak/>
        <w:t xml:space="preserve">data vedrørende </w:t>
      </w:r>
      <w:proofErr w:type="spellStart"/>
      <w:r w:rsidRPr="00BB7ED9">
        <w:rPr>
          <w:sz w:val="24"/>
          <w:szCs w:val="24"/>
        </w:rPr>
        <w:t>føtal</w:t>
      </w:r>
      <w:proofErr w:type="spellEnd"/>
      <w:r w:rsidRPr="00BB7ED9">
        <w:rPr>
          <w:sz w:val="24"/>
          <w:szCs w:val="24"/>
        </w:rPr>
        <w:t xml:space="preserve"> risiko hos mennesker. Der er dog en teoretisk risiko for fosterskader, fortrinsvis af knoglemæssig karakter, hvis en kvinde bliver gravid efter afsluttet behandlingsforløb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. Der er ikke undersøgt, om variabler, såsom tiden fra </w:t>
      </w:r>
      <w:proofErr w:type="spellStart"/>
      <w:r w:rsidRPr="00BB7ED9">
        <w:rPr>
          <w:sz w:val="24"/>
          <w:szCs w:val="24"/>
        </w:rPr>
        <w:t>seponering</w:t>
      </w:r>
      <w:proofErr w:type="spellEnd"/>
      <w:r w:rsidRPr="00BB7ED9">
        <w:rPr>
          <w:sz w:val="24"/>
          <w:szCs w:val="24"/>
        </w:rPr>
        <w:t xml:space="preserve"> af behandling med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til undfangelse, den specifikke type </w:t>
      </w:r>
      <w:proofErr w:type="spellStart"/>
      <w:r w:rsidRPr="00BB7ED9">
        <w:rPr>
          <w:sz w:val="24"/>
          <w:szCs w:val="24"/>
        </w:rPr>
        <w:t>bisphosphonat</w:t>
      </w:r>
      <w:proofErr w:type="spellEnd"/>
      <w:r w:rsidRPr="00BB7ED9">
        <w:rPr>
          <w:sz w:val="24"/>
          <w:szCs w:val="24"/>
        </w:rPr>
        <w:t xml:space="preserve"> samt indgivelsesmåde (intravenøs versus oral), har indflydelse på risikoen.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er kun beregnet til anvendelse hos </w:t>
      </w:r>
      <w:proofErr w:type="spellStart"/>
      <w:r w:rsidRPr="00BB7ED9">
        <w:rPr>
          <w:sz w:val="24"/>
          <w:szCs w:val="24"/>
        </w:rPr>
        <w:t>postmenopausale</w:t>
      </w:r>
      <w:proofErr w:type="spellEnd"/>
      <w:r w:rsidRPr="00BB7ED9">
        <w:rPr>
          <w:sz w:val="24"/>
          <w:szCs w:val="24"/>
        </w:rPr>
        <w:t xml:space="preserve"> kvinder, og bør derfor ikke anvendes under graviditet eller af ammende kvinder.</w:t>
      </w:r>
    </w:p>
    <w:p w:rsidR="009C0B06" w:rsidRPr="002269FF" w:rsidRDefault="009C0B06" w:rsidP="009C0B06">
      <w:pPr>
        <w:ind w:left="851"/>
        <w:rPr>
          <w:noProof/>
          <w:sz w:val="24"/>
          <w:szCs w:val="24"/>
          <w:u w:val="single"/>
        </w:rPr>
      </w:pPr>
    </w:p>
    <w:p w:rsidR="009C0B06" w:rsidRPr="00B82545" w:rsidRDefault="009C0B06" w:rsidP="009C0B06">
      <w:pPr>
        <w:ind w:left="851"/>
        <w:rPr>
          <w:sz w:val="24"/>
          <w:szCs w:val="24"/>
        </w:rPr>
      </w:pPr>
      <w:r w:rsidRPr="002269FF">
        <w:rPr>
          <w:noProof/>
          <w:sz w:val="24"/>
          <w:szCs w:val="24"/>
          <w:u w:val="single"/>
        </w:rPr>
        <w:t>Graviditet</w:t>
      </w:r>
      <w:r w:rsidRPr="00B82545">
        <w:rPr>
          <w:sz w:val="24"/>
          <w:szCs w:val="24"/>
        </w:rPr>
        <w:t xml:space="preserve"> 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Der er ingen eller utilstrækkelige data fra brug af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til gravide kvinder. Dyreforsøg har påvist reproduktionstoksicitet.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 givet til gravide rotter forårsagede </w:t>
      </w:r>
      <w:proofErr w:type="spellStart"/>
      <w:r w:rsidRPr="00BB7ED9">
        <w:rPr>
          <w:sz w:val="24"/>
          <w:szCs w:val="24"/>
        </w:rPr>
        <w:t>dystocia</w:t>
      </w:r>
      <w:proofErr w:type="spellEnd"/>
      <w:r w:rsidRPr="00BB7ED9">
        <w:rPr>
          <w:sz w:val="24"/>
          <w:szCs w:val="24"/>
        </w:rPr>
        <w:t xml:space="preserve"> relateret til </w:t>
      </w:r>
      <w:proofErr w:type="spellStart"/>
      <w:r w:rsidRPr="00BB7ED9">
        <w:rPr>
          <w:sz w:val="24"/>
          <w:szCs w:val="24"/>
        </w:rPr>
        <w:t>hypokalcæmi</w:t>
      </w:r>
      <w:proofErr w:type="spellEnd"/>
      <w:r w:rsidRPr="00BB7ED9">
        <w:rPr>
          <w:sz w:val="24"/>
          <w:szCs w:val="24"/>
        </w:rPr>
        <w:t xml:space="preserve"> (se pkt. 5.3). Dyreforsøg har vist </w:t>
      </w:r>
      <w:proofErr w:type="spellStart"/>
      <w:r w:rsidRPr="00BB7ED9">
        <w:rPr>
          <w:sz w:val="24"/>
          <w:szCs w:val="24"/>
        </w:rPr>
        <w:t>hyperkalcæmi</w:t>
      </w:r>
      <w:proofErr w:type="spellEnd"/>
      <w:r w:rsidRPr="00BB7ED9">
        <w:rPr>
          <w:sz w:val="24"/>
          <w:szCs w:val="24"/>
        </w:rPr>
        <w:t xml:space="preserve"> og toksicitet i forbindelse med reproduktion ved høje doser af D-vitamin (se pkt. 5.3).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må ikke anvendes under graviditet.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2269FF">
        <w:rPr>
          <w:noProof/>
          <w:sz w:val="24"/>
          <w:szCs w:val="24"/>
          <w:u w:val="single"/>
        </w:rPr>
        <w:t>Amning</w:t>
      </w:r>
    </w:p>
    <w:p w:rsidR="009C0B06" w:rsidRPr="00BB7ED9" w:rsidRDefault="009C0B06" w:rsidP="009C0B06">
      <w:pPr>
        <w:ind w:left="851"/>
        <w:rPr>
          <w:sz w:val="24"/>
          <w:szCs w:val="24"/>
        </w:rPr>
      </w:pPr>
      <w:r w:rsidRPr="00BB7ED9">
        <w:rPr>
          <w:sz w:val="24"/>
          <w:szCs w:val="24"/>
        </w:rPr>
        <w:t xml:space="preserve">Det er ukendt, om </w:t>
      </w:r>
      <w:proofErr w:type="spellStart"/>
      <w:r w:rsidRPr="00BB7ED9">
        <w:rPr>
          <w:sz w:val="24"/>
          <w:szCs w:val="24"/>
        </w:rPr>
        <w:t>alendronat</w:t>
      </w:r>
      <w:proofErr w:type="spellEnd"/>
      <w:r w:rsidRPr="00BB7ED9">
        <w:rPr>
          <w:sz w:val="24"/>
          <w:szCs w:val="24"/>
        </w:rPr>
        <w:t xml:space="preserve">/metabolitter udskilles i human mælk. En risiko for nyfødte/spædbørn kan ikke udelukkes. </w:t>
      </w:r>
      <w:proofErr w:type="spellStart"/>
      <w:r w:rsidRPr="00BB7ED9">
        <w:rPr>
          <w:sz w:val="24"/>
          <w:szCs w:val="24"/>
        </w:rPr>
        <w:t>A</w:t>
      </w:r>
      <w:r w:rsidRPr="00BB7ED9">
        <w:rPr>
          <w:noProof/>
          <w:sz w:val="24"/>
          <w:szCs w:val="24"/>
        </w:rPr>
        <w:t>lendronate</w:t>
      </w:r>
      <w:proofErr w:type="spellEnd"/>
      <w:r w:rsidRPr="00BB7ED9">
        <w:rPr>
          <w:sz w:val="24"/>
          <w:szCs w:val="24"/>
        </w:rPr>
        <w:t xml:space="preserve"> må ikke anvendes under amning. </w:t>
      </w:r>
      <w:proofErr w:type="spellStart"/>
      <w:r w:rsidRPr="00BB7ED9">
        <w:rPr>
          <w:sz w:val="24"/>
          <w:szCs w:val="24"/>
        </w:rPr>
        <w:t>Cholecalciferol</w:t>
      </w:r>
      <w:proofErr w:type="spellEnd"/>
      <w:r w:rsidRPr="00BB7ED9">
        <w:rPr>
          <w:sz w:val="24"/>
          <w:szCs w:val="24"/>
        </w:rPr>
        <w:t xml:space="preserve"> og nogle af dets aktive metabolitter udskilles i modermælk.</w:t>
      </w:r>
    </w:p>
    <w:p w:rsidR="009C0B06" w:rsidRPr="00C84483" w:rsidRDefault="009C0B06" w:rsidP="009C0B06">
      <w:pPr>
        <w:tabs>
          <w:tab w:val="left" w:pos="851"/>
        </w:tabs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 på evnen til at føre motorkøretøj eller betjene maskiner</w:t>
      </w:r>
    </w:p>
    <w:p w:rsidR="009C0B06" w:rsidRDefault="009C0B06" w:rsidP="009C0B06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2269FF">
        <w:rPr>
          <w:sz w:val="24"/>
          <w:szCs w:val="24"/>
        </w:rPr>
        <w:t xml:space="preserve">kan have moderat </w:t>
      </w:r>
      <w:r w:rsidRPr="002269FF">
        <w:rPr>
          <w:sz w:val="24"/>
          <w:szCs w:val="24"/>
          <w:lang w:bidi="en-US"/>
        </w:rPr>
        <w:t xml:space="preserve">indflydelse på </w:t>
      </w:r>
      <w:r w:rsidRPr="002269FF">
        <w:rPr>
          <w:sz w:val="24"/>
          <w:szCs w:val="24"/>
        </w:rPr>
        <w:t xml:space="preserve">evnen til at føre motorkøretøj </w:t>
      </w:r>
      <w:r w:rsidRPr="002269FF">
        <w:rPr>
          <w:sz w:val="24"/>
          <w:szCs w:val="24"/>
          <w:lang w:bidi="en-US"/>
        </w:rPr>
        <w:t xml:space="preserve">eller betjene </w:t>
      </w:r>
      <w:r w:rsidRPr="002269FF">
        <w:rPr>
          <w:sz w:val="24"/>
          <w:szCs w:val="24"/>
        </w:rPr>
        <w:t xml:space="preserve">maskiner hos patienter, der oplever </w:t>
      </w:r>
      <w:r w:rsidRPr="00BB7ED9">
        <w:rPr>
          <w:sz w:val="24"/>
          <w:szCs w:val="24"/>
        </w:rPr>
        <w:t>visse bivirkninger (f.eks. sløret syn, svimmelhed og svære knogle-, muskel- eller ledsmerter (se pkt. 4.8)).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</w:p>
    <w:p w:rsidR="009C0B06" w:rsidRPr="00BB7ED9" w:rsidRDefault="009C0B06" w:rsidP="009C0B06">
      <w:pPr>
        <w:ind w:left="851"/>
        <w:rPr>
          <w:noProof/>
          <w:sz w:val="24"/>
          <w:szCs w:val="24"/>
          <w:u w:val="single"/>
        </w:rPr>
      </w:pPr>
      <w:r w:rsidRPr="00BB7ED9">
        <w:rPr>
          <w:noProof/>
          <w:sz w:val="24"/>
          <w:szCs w:val="24"/>
          <w:u w:val="single"/>
        </w:rPr>
        <w:t>Opsummering af sikkerhedsprofilen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 hyppigst indberettede bivirkninger er øvre gastrointestinale bivirkninger, herunder abdominalsmerter, dyspepsi, øsofageal ulcus, dysfagi, abdominal udspiling og syreregurgitation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(&gt; 1 %).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</w:p>
    <w:p w:rsidR="009C0B06" w:rsidRPr="00BB7ED9" w:rsidRDefault="009C0B06" w:rsidP="009C0B06">
      <w:pPr>
        <w:ind w:left="851"/>
        <w:rPr>
          <w:noProof/>
          <w:sz w:val="24"/>
          <w:szCs w:val="24"/>
          <w:u w:val="single"/>
        </w:rPr>
      </w:pPr>
      <w:r w:rsidRPr="00BB7ED9">
        <w:rPr>
          <w:noProof/>
          <w:sz w:val="24"/>
          <w:szCs w:val="24"/>
          <w:u w:val="single"/>
        </w:rPr>
        <w:t>Bivirkningstabel</w:t>
      </w: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Nedenstående bivirkninger er indberettet i forbindelse med kliniske undersøgelser med alendronat</w:t>
      </w:r>
      <w:r>
        <w:rPr>
          <w:noProof/>
          <w:sz w:val="24"/>
          <w:szCs w:val="24"/>
        </w:rPr>
        <w:t xml:space="preserve"> </w:t>
      </w:r>
      <w:r w:rsidRPr="00BB7ED9">
        <w:rPr>
          <w:noProof/>
          <w:sz w:val="24"/>
          <w:szCs w:val="24"/>
        </w:rPr>
        <w:t>og/eller efter markedsføring.</w:t>
      </w:r>
    </w:p>
    <w:p w:rsidR="009C0B06" w:rsidRDefault="009C0B06" w:rsidP="009C0B06">
      <w:pPr>
        <w:ind w:left="851"/>
        <w:rPr>
          <w:noProof/>
          <w:sz w:val="24"/>
          <w:szCs w:val="24"/>
        </w:rPr>
      </w:pPr>
    </w:p>
    <w:p w:rsidR="009C0B06" w:rsidRPr="00BB7ED9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>Der er ikke identificeret nye bivirkninger af kombinationen alendronat og cholecalciferol.</w:t>
      </w:r>
    </w:p>
    <w:p w:rsidR="009C0B06" w:rsidRPr="002269FF" w:rsidRDefault="009C0B06" w:rsidP="009C0B06">
      <w:pPr>
        <w:ind w:left="851"/>
        <w:rPr>
          <w:noProof/>
          <w:sz w:val="24"/>
          <w:szCs w:val="24"/>
        </w:rPr>
      </w:pPr>
      <w:r w:rsidRPr="00BB7ED9">
        <w:rPr>
          <w:noProof/>
          <w:sz w:val="24"/>
          <w:szCs w:val="24"/>
        </w:rPr>
        <w:t xml:space="preserve">Frekvenserne er defineret således: </w:t>
      </w:r>
      <w:r w:rsidRPr="00BB7ED9">
        <w:rPr>
          <w:iCs/>
          <w:noProof/>
          <w:sz w:val="24"/>
          <w:szCs w:val="24"/>
        </w:rPr>
        <w:t>Meget almindelig (≥1/10), almindelig (≥1/100 til &lt;1/10), ikke</w:t>
      </w:r>
      <w:r>
        <w:rPr>
          <w:iCs/>
          <w:noProof/>
          <w:sz w:val="24"/>
          <w:szCs w:val="24"/>
        </w:rPr>
        <w:t xml:space="preserve"> </w:t>
      </w:r>
      <w:r w:rsidRPr="00BB7ED9">
        <w:rPr>
          <w:iCs/>
          <w:noProof/>
          <w:sz w:val="24"/>
          <w:szCs w:val="24"/>
        </w:rPr>
        <w:t>almindelig (≥1/1.000 til &lt;1/100), sjælden (≥1/10.000 til &lt;1/1.000), meget sjælden (&lt;1/10.000).</w:t>
      </w:r>
    </w:p>
    <w:p w:rsidR="009C0B06" w:rsidRPr="002269FF" w:rsidRDefault="009C0B06" w:rsidP="009C0B06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2492"/>
        <w:gridCol w:w="3928"/>
      </w:tblGrid>
      <w:tr w:rsidR="009C0B06" w:rsidRPr="007528AA" w:rsidTr="00BC203D">
        <w:tc>
          <w:tcPr>
            <w:tcW w:w="1666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</w:pPr>
            <w:r w:rsidRPr="007528AA"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  <w:t xml:space="preserve">Systemorganklasse 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  <w:t>Hyppighed</w:t>
            </w: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,Bold"/>
                <w:b/>
                <w:bCs/>
                <w:sz w:val="24"/>
                <w:szCs w:val="24"/>
                <w:lang w:eastAsia="en-GB"/>
              </w:rPr>
              <w:t>Bivirkninger</w:t>
            </w:r>
          </w:p>
        </w:tc>
      </w:tr>
      <w:tr w:rsidR="009C0B06" w:rsidRPr="007528AA" w:rsidTr="00BC203D">
        <w:tc>
          <w:tcPr>
            <w:tcW w:w="1666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</w:rPr>
              <w:t>Immunsystemet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Sjælden 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Overfølsomhedsreaktioner inklusive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urticaria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og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angioødem</w:t>
            </w:r>
            <w:proofErr w:type="spellEnd"/>
          </w:p>
        </w:tc>
      </w:tr>
      <w:tr w:rsidR="009C0B06" w:rsidRPr="007528AA" w:rsidTr="00BC203D">
        <w:tc>
          <w:tcPr>
            <w:tcW w:w="1666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  <w:lang w:eastAsia="en-GB"/>
              </w:rPr>
              <w:t>Metabolisme og ernæring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Symptomatisk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hypokalcæmi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>, ofte i forbindelse med prædisponerende faktorer</w:t>
            </w: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§</w:t>
            </w:r>
          </w:p>
        </w:tc>
      </w:tr>
      <w:tr w:rsidR="009C0B06" w:rsidRPr="007528AA" w:rsidTr="00BC203D">
        <w:tc>
          <w:tcPr>
            <w:tcW w:w="1666" w:type="pct"/>
            <w:vMerge w:val="restar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</w:rPr>
              <w:t>Nervesystemet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</w:rPr>
              <w:t>Hovedpine, svimmelhed</w:t>
            </w:r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</w:rPr>
              <w:t>Dysgeusi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</w:rPr>
              <w:lastRenderedPageBreak/>
              <w:t>Øjne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Øjenbetændelse (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uveitis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scleritis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eller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episcleritis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>)</w:t>
            </w:r>
          </w:p>
        </w:tc>
      </w:tr>
      <w:tr w:rsidR="009C0B06" w:rsidRPr="007528AA" w:rsidTr="00BC203D">
        <w:tc>
          <w:tcPr>
            <w:tcW w:w="1666" w:type="pct"/>
            <w:vMerge w:val="restar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</w:rPr>
              <w:t>Øre og labyrint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</w:rPr>
              <w:t>Vertigo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Meget sjælden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Osteonekrose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af øregangen (klassebivirkning for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bisphosphonater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>)</w:t>
            </w:r>
          </w:p>
        </w:tc>
      </w:tr>
      <w:tr w:rsidR="009C0B06" w:rsidRPr="007528AA" w:rsidTr="00BC203D">
        <w:tc>
          <w:tcPr>
            <w:tcW w:w="1666" w:type="pct"/>
            <w:vMerge w:val="restar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</w:rPr>
              <w:t>Mave-tarm</w:t>
            </w:r>
            <w:r w:rsidR="007528AA">
              <w:rPr>
                <w:b/>
                <w:bCs/>
                <w:iCs/>
                <w:sz w:val="24"/>
                <w:szCs w:val="24"/>
              </w:rPr>
              <w:t>-</w:t>
            </w:r>
            <w:r w:rsidRPr="007528AA">
              <w:rPr>
                <w:b/>
                <w:bCs/>
                <w:iCs/>
                <w:sz w:val="24"/>
                <w:szCs w:val="24"/>
              </w:rPr>
              <w:t>kanalen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Abdominalsmerter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, dyspepsi, obstipation, diarré,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flatulens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øsofageal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ulcus*,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dysfagi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*,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abdominal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udspiling,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syreregurgitation</w:t>
            </w:r>
            <w:proofErr w:type="spellEnd"/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</w:rPr>
              <w:t xml:space="preserve">Kvalme, opkastning, gastritis, </w:t>
            </w:r>
            <w:proofErr w:type="spellStart"/>
            <w:r w:rsidRPr="007528AA">
              <w:rPr>
                <w:rFonts w:eastAsia="TimesNewRoman"/>
                <w:sz w:val="24"/>
                <w:szCs w:val="24"/>
              </w:rPr>
              <w:t>øsofagitis</w:t>
            </w:r>
            <w:proofErr w:type="spellEnd"/>
            <w:r w:rsidRPr="007528AA">
              <w:rPr>
                <w:rFonts w:eastAsia="TimesNewRoman"/>
                <w:sz w:val="24"/>
                <w:szCs w:val="24"/>
              </w:rPr>
              <w:t xml:space="preserve">*, </w:t>
            </w:r>
            <w:proofErr w:type="spellStart"/>
            <w:r w:rsidRPr="007528AA">
              <w:rPr>
                <w:rFonts w:eastAsia="TimesNewRoman"/>
                <w:sz w:val="24"/>
                <w:szCs w:val="24"/>
              </w:rPr>
              <w:t>øsofageal</w:t>
            </w:r>
            <w:proofErr w:type="spellEnd"/>
            <w:r w:rsidRPr="007528AA">
              <w:rPr>
                <w:rFonts w:eastAsia="TimesNewRoman"/>
                <w:sz w:val="24"/>
                <w:szCs w:val="24"/>
              </w:rPr>
              <w:t xml:space="preserve"> erosion*, </w:t>
            </w:r>
            <w:proofErr w:type="spellStart"/>
            <w:r w:rsidRPr="007528AA">
              <w:rPr>
                <w:rFonts w:eastAsia="TimesNewRoman"/>
                <w:sz w:val="24"/>
                <w:szCs w:val="24"/>
              </w:rPr>
              <w:t>melaena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Øsofagusstriktur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*,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oropharyngeal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ulceration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*, øvre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gastrointestinale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PUB’er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(perforation,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ulcera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blødning)</w:t>
            </w: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§</w:t>
            </w:r>
            <w:proofErr w:type="gramEnd"/>
          </w:p>
        </w:tc>
      </w:tr>
      <w:tr w:rsidR="009C0B06" w:rsidRPr="007528AA" w:rsidTr="00BC203D">
        <w:tc>
          <w:tcPr>
            <w:tcW w:w="1666" w:type="pct"/>
            <w:vMerge w:val="restar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  <w:lang w:eastAsia="en-GB"/>
              </w:rPr>
              <w:t>Hud og subkutane væv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</w:rPr>
              <w:t>Alopeci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  <w:r w:rsidRPr="007528AA">
              <w:rPr>
                <w:rFonts w:eastAsia="TimesNewRoman"/>
                <w:sz w:val="24"/>
                <w:szCs w:val="24"/>
              </w:rPr>
              <w:t>, kløe</w:t>
            </w:r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</w:rPr>
              <w:t xml:space="preserve">Udslæt, </w:t>
            </w:r>
            <w:proofErr w:type="spellStart"/>
            <w:r w:rsidRPr="007528AA">
              <w:rPr>
                <w:rFonts w:eastAsia="TimesNewRoman"/>
                <w:sz w:val="24"/>
                <w:szCs w:val="24"/>
              </w:rPr>
              <w:t>erythema</w:t>
            </w:r>
            <w:proofErr w:type="spellEnd"/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Udslæt med lysoverfølsomhed, alvorlige hudreaktioner inklusive Stevens-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Johnson's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syndrom</w:t>
            </w:r>
          </w:p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og toksisk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epidermal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nekrolyse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‡</w:t>
            </w:r>
          </w:p>
        </w:tc>
      </w:tr>
      <w:tr w:rsidR="009C0B06" w:rsidRPr="007528AA" w:rsidTr="00BC203D">
        <w:tc>
          <w:tcPr>
            <w:tcW w:w="1666" w:type="pct"/>
            <w:vMerge w:val="restar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  <w:lang w:eastAsia="en-GB"/>
              </w:rPr>
              <w:t>Knogler, led, muskler og bindevæv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</w:rPr>
              <w:t>Meget 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Muskuloskeletale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(knogle, muskel eller led) smerter, som kan være voldsomme</w:t>
            </w: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†§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</w:rPr>
              <w:t>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</w:rPr>
              <w:t>Ledhævelse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7528AA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</w:rPr>
              <w:t>Sjælden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Kæbeosteonekrose</w:t>
            </w:r>
            <w:proofErr w:type="spellEnd"/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‡§</w:t>
            </w: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; atypiske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subtrochantære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og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diafyseale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femurfrakturer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7528AA">
              <w:rPr>
                <w:rFonts w:eastAsia="TimesNewRoman"/>
                <w:sz w:val="24"/>
                <w:szCs w:val="24"/>
                <w:lang w:eastAsia="en-GB"/>
              </w:rPr>
              <w:t>bisphosphonat</w:t>
            </w:r>
            <w:proofErr w:type="spellEnd"/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 klassebivirkning)</w:t>
            </w:r>
          </w:p>
        </w:tc>
      </w:tr>
      <w:tr w:rsidR="009C0B06" w:rsidRPr="007528AA" w:rsidTr="00BC203D">
        <w:tc>
          <w:tcPr>
            <w:tcW w:w="1666" w:type="pct"/>
            <w:vMerge w:val="restar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  <w:r w:rsidRPr="007528AA">
              <w:rPr>
                <w:b/>
                <w:bCs/>
                <w:iCs/>
                <w:sz w:val="24"/>
                <w:szCs w:val="24"/>
                <w:lang w:eastAsia="en-GB"/>
              </w:rPr>
              <w:t>Almene symptomer og reaktioner på administrationsstedet</w:t>
            </w: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</w:rPr>
              <w:t xml:space="preserve">Almindelig 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</w:rPr>
              <w:t>Asteni†, perifert ødem</w:t>
            </w:r>
            <w:r w:rsidRPr="007528AA">
              <w:rPr>
                <w:rFonts w:eastAsia="TimesNewRoman"/>
                <w:sz w:val="24"/>
                <w:szCs w:val="24"/>
                <w:vertAlign w:val="superscript"/>
              </w:rPr>
              <w:t>†</w:t>
            </w:r>
          </w:p>
        </w:tc>
      </w:tr>
      <w:tr w:rsidR="009C0B06" w:rsidRPr="007528AA" w:rsidTr="00BC203D">
        <w:tc>
          <w:tcPr>
            <w:tcW w:w="1666" w:type="pct"/>
            <w:vMerge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29"/>
              <w:rPr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1294" w:type="pct"/>
            <w:shd w:val="clear" w:color="auto" w:fill="auto"/>
          </w:tcPr>
          <w:p w:rsidR="009C0B06" w:rsidRPr="007528AA" w:rsidRDefault="009C0B06" w:rsidP="007528AA">
            <w:pPr>
              <w:autoSpaceDE w:val="0"/>
              <w:autoSpaceDN w:val="0"/>
              <w:adjustRightInd w:val="0"/>
              <w:ind w:left="55"/>
              <w:rPr>
                <w:rFonts w:eastAsia="TimesNewRoman"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</w:rPr>
              <w:t>Ikke almindelig</w:t>
            </w:r>
          </w:p>
        </w:tc>
        <w:tc>
          <w:tcPr>
            <w:tcW w:w="2040" w:type="pct"/>
            <w:shd w:val="clear" w:color="auto" w:fill="auto"/>
          </w:tcPr>
          <w:p w:rsidR="009C0B06" w:rsidRPr="007528AA" w:rsidRDefault="009C0B06" w:rsidP="003B4BCE">
            <w:pPr>
              <w:autoSpaceDE w:val="0"/>
              <w:autoSpaceDN w:val="0"/>
              <w:adjustRightInd w:val="0"/>
              <w:ind w:left="62"/>
              <w:rPr>
                <w:noProof/>
                <w:sz w:val="24"/>
                <w:szCs w:val="24"/>
                <w:u w:val="single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>Forbigående symptomer som i en akut-fase respons (myalgi, utilpashed og sjældent feber), typisk i forbindelse med initiering af behandlingen</w:t>
            </w: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>†</w:t>
            </w:r>
          </w:p>
        </w:tc>
      </w:tr>
      <w:tr w:rsidR="009C0B06" w:rsidRPr="007528AA" w:rsidTr="00BC203D">
        <w:tc>
          <w:tcPr>
            <w:tcW w:w="5000" w:type="pct"/>
            <w:gridSpan w:val="3"/>
            <w:shd w:val="clear" w:color="auto" w:fill="auto"/>
          </w:tcPr>
          <w:p w:rsidR="009C0B06" w:rsidRPr="007528AA" w:rsidRDefault="009C0B06" w:rsidP="007528AA">
            <w:pPr>
              <w:tabs>
                <w:tab w:val="left" w:pos="315"/>
              </w:tabs>
              <w:autoSpaceDE w:val="0"/>
              <w:autoSpaceDN w:val="0"/>
              <w:adjustRightInd w:val="0"/>
              <w:ind w:left="62"/>
              <w:rPr>
                <w:rFonts w:eastAsia="TimesNewRoman,Italic"/>
                <w:iCs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 xml:space="preserve">§ </w:t>
            </w:r>
            <w:r w:rsid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ab/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>Se pkt. 4.4</w:t>
            </w:r>
          </w:p>
          <w:p w:rsidR="009C0B06" w:rsidRPr="007528AA" w:rsidRDefault="009C0B06" w:rsidP="007528AA">
            <w:pPr>
              <w:tabs>
                <w:tab w:val="left" w:pos="315"/>
              </w:tabs>
              <w:autoSpaceDE w:val="0"/>
              <w:autoSpaceDN w:val="0"/>
              <w:adjustRightInd w:val="0"/>
              <w:ind w:left="62"/>
              <w:rPr>
                <w:rFonts w:eastAsia="TimesNewRoman,Italic"/>
                <w:iCs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 xml:space="preserve">† </w:t>
            </w:r>
            <w:r w:rsid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ab/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 xml:space="preserve">I kliniske forsøg var hyppigheden i gruppen, der fik lægemidlet, sammenlignelig med </w:t>
            </w:r>
            <w:r w:rsid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ab/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>gruppen, der fik placebo.</w:t>
            </w:r>
          </w:p>
          <w:p w:rsidR="009C0B06" w:rsidRPr="007528AA" w:rsidRDefault="009C0B06" w:rsidP="007528AA">
            <w:pPr>
              <w:tabs>
                <w:tab w:val="left" w:pos="315"/>
              </w:tabs>
              <w:autoSpaceDE w:val="0"/>
              <w:autoSpaceDN w:val="0"/>
              <w:adjustRightInd w:val="0"/>
              <w:ind w:left="62"/>
              <w:rPr>
                <w:rFonts w:eastAsia="TimesNewRoman,Italic"/>
                <w:iCs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lang w:eastAsia="en-GB"/>
              </w:rPr>
              <w:t xml:space="preserve">* </w:t>
            </w:r>
            <w:r w:rsidR="007528AA">
              <w:rPr>
                <w:rFonts w:eastAsia="TimesNewRoman"/>
                <w:sz w:val="24"/>
                <w:szCs w:val="24"/>
                <w:lang w:eastAsia="en-GB"/>
              </w:rPr>
              <w:tab/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>Se pkt. 4.2 og 4.4</w:t>
            </w:r>
          </w:p>
          <w:p w:rsidR="009C0B06" w:rsidRPr="007528AA" w:rsidRDefault="009C0B06" w:rsidP="007528AA">
            <w:pPr>
              <w:tabs>
                <w:tab w:val="left" w:pos="315"/>
              </w:tabs>
              <w:autoSpaceDE w:val="0"/>
              <w:autoSpaceDN w:val="0"/>
              <w:adjustRightInd w:val="0"/>
              <w:ind w:left="62"/>
              <w:rPr>
                <w:rFonts w:eastAsia="TimesNewRoman"/>
                <w:b/>
                <w:sz w:val="24"/>
                <w:szCs w:val="24"/>
                <w:lang w:eastAsia="en-GB"/>
              </w:rPr>
            </w:pPr>
            <w:r w:rsidRP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 xml:space="preserve">‡ </w:t>
            </w:r>
            <w:r w:rsidR="007528AA">
              <w:rPr>
                <w:rFonts w:eastAsia="TimesNewRoman"/>
                <w:sz w:val="24"/>
                <w:szCs w:val="24"/>
                <w:vertAlign w:val="superscript"/>
                <w:lang w:eastAsia="en-GB"/>
              </w:rPr>
              <w:tab/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 xml:space="preserve">Denne bivirkning blev identificeret via post-marketing overvågning. Hyppigheden </w:t>
            </w:r>
            <w:r w:rsidR="00C71C08">
              <w:rPr>
                <w:rFonts w:eastAsia="TimesNewRoman,Italic"/>
                <w:iCs/>
                <w:sz w:val="24"/>
                <w:szCs w:val="24"/>
                <w:lang w:eastAsia="en-GB"/>
              </w:rPr>
              <w:t>'</w:t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>sjælden</w:t>
            </w:r>
            <w:r w:rsidR="00C71C08">
              <w:rPr>
                <w:rFonts w:eastAsia="TimesNewRoman,Italic"/>
                <w:iCs/>
                <w:sz w:val="24"/>
                <w:szCs w:val="24"/>
                <w:lang w:eastAsia="en-GB"/>
              </w:rPr>
              <w:t>'</w:t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 xml:space="preserve"> </w:t>
            </w:r>
            <w:r w:rsid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ab/>
            </w:r>
            <w:r w:rsidRPr="007528AA">
              <w:rPr>
                <w:rFonts w:eastAsia="TimesNewRoman,Italic"/>
                <w:iCs/>
                <w:sz w:val="24"/>
                <w:szCs w:val="24"/>
                <w:lang w:eastAsia="en-GB"/>
              </w:rPr>
              <w:t>blev estimeret ud fra relevante kliniske forsøg.</w:t>
            </w:r>
          </w:p>
        </w:tc>
      </w:tr>
    </w:tbl>
    <w:p w:rsidR="009C0B06" w:rsidRPr="002269FF" w:rsidRDefault="009C0B06" w:rsidP="009C0B06">
      <w:pPr>
        <w:autoSpaceDE w:val="0"/>
        <w:autoSpaceDN w:val="0"/>
        <w:adjustRightInd w:val="0"/>
        <w:ind w:left="851"/>
        <w:rPr>
          <w:noProof/>
          <w:sz w:val="24"/>
          <w:szCs w:val="24"/>
          <w:u w:val="single"/>
        </w:rPr>
      </w:pPr>
    </w:p>
    <w:p w:rsidR="00C71C08" w:rsidRPr="003952CE" w:rsidRDefault="00C71C08" w:rsidP="00C71C08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C71C08" w:rsidRPr="003952CE" w:rsidRDefault="00C71C08" w:rsidP="00C71C0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631C2E" w:rsidRDefault="00631C2E" w:rsidP="00276496">
      <w:pPr>
        <w:ind w:left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1C08" w:rsidRPr="003952CE" w:rsidRDefault="00C71C08" w:rsidP="00C71C08">
      <w:pPr>
        <w:tabs>
          <w:tab w:val="left" w:pos="2440"/>
        </w:tabs>
        <w:ind w:left="851"/>
        <w:rPr>
          <w:sz w:val="24"/>
          <w:szCs w:val="24"/>
        </w:rPr>
      </w:pPr>
    </w:p>
    <w:p w:rsidR="00C71C08" w:rsidRPr="003952CE" w:rsidRDefault="00C71C08" w:rsidP="00C71C0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C71C08" w:rsidRPr="003952CE" w:rsidRDefault="00C71C08" w:rsidP="00C71C0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C71C08" w:rsidRPr="003952CE" w:rsidRDefault="00C71C08" w:rsidP="00C71C08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C71C08" w:rsidRPr="000A1DC3" w:rsidRDefault="00C71C08" w:rsidP="00C71C08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r w:rsidRPr="00BF62B2">
        <w:rPr>
          <w:sz w:val="24"/>
          <w:szCs w:val="24"/>
        </w:rPr>
        <w:t>www.meldenbivirkning.dk</w:t>
      </w:r>
    </w:p>
    <w:p w:rsidR="009C0B06" w:rsidRPr="00C71C08" w:rsidRDefault="009C0B06" w:rsidP="009C0B06">
      <w:pPr>
        <w:pStyle w:val="Sidehoved"/>
        <w:tabs>
          <w:tab w:val="left" w:pos="851"/>
        </w:tabs>
        <w:ind w:left="851"/>
        <w:rPr>
          <w:szCs w:val="24"/>
        </w:rPr>
      </w:pPr>
    </w:p>
    <w:p w:rsidR="009C0B06" w:rsidRPr="001A3695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A3695">
        <w:rPr>
          <w:b/>
          <w:sz w:val="24"/>
          <w:szCs w:val="24"/>
        </w:rPr>
        <w:t>4.9</w:t>
      </w:r>
      <w:r w:rsidRPr="001A3695">
        <w:rPr>
          <w:b/>
          <w:sz w:val="24"/>
          <w:szCs w:val="24"/>
        </w:rPr>
        <w:tab/>
        <w:t>Overdosering</w:t>
      </w:r>
    </w:p>
    <w:p w:rsidR="009C0B06" w:rsidRPr="001A3695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en-GB"/>
        </w:rPr>
      </w:pP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en-GB"/>
        </w:rPr>
      </w:pPr>
      <w:proofErr w:type="spellStart"/>
      <w:r w:rsidRPr="00BB7ED9">
        <w:rPr>
          <w:rFonts w:eastAsia="TimesNewRoman"/>
          <w:sz w:val="24"/>
          <w:szCs w:val="24"/>
          <w:u w:val="single"/>
          <w:lang w:eastAsia="en-GB"/>
        </w:rPr>
        <w:t>Alendronat</w:t>
      </w:r>
      <w:proofErr w:type="spellEnd"/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lang w:eastAsia="en-GB"/>
        </w:rPr>
      </w:pPr>
      <w:r w:rsidRPr="00BB7ED9">
        <w:rPr>
          <w:rFonts w:eastAsia="TimesNewRoman,Italic"/>
          <w:i/>
          <w:iCs/>
          <w:sz w:val="24"/>
          <w:szCs w:val="24"/>
          <w:lang w:eastAsia="en-GB"/>
        </w:rPr>
        <w:t>Symptomer</w:t>
      </w: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  <w:r w:rsidRPr="00BB7ED9">
        <w:rPr>
          <w:rFonts w:eastAsia="TimesNewRoman"/>
          <w:sz w:val="24"/>
          <w:szCs w:val="24"/>
          <w:lang w:eastAsia="en-GB"/>
        </w:rPr>
        <w:t xml:space="preserve">Overdosering kan forårsage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hypokalcæmi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,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hypophosphatæmi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og øvre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gastrointestinale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bivirkninger som mavebesvær, halsbrand,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øsofagitis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>, gastritis eller ulcus.</w:t>
      </w: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lang w:eastAsia="en-GB"/>
        </w:rPr>
      </w:pP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lang w:eastAsia="en-GB"/>
        </w:rPr>
      </w:pPr>
      <w:r w:rsidRPr="00BB7ED9">
        <w:rPr>
          <w:rFonts w:eastAsia="TimesNewRoman,Italic"/>
          <w:i/>
          <w:iCs/>
          <w:sz w:val="24"/>
          <w:szCs w:val="24"/>
          <w:lang w:eastAsia="en-GB"/>
        </w:rPr>
        <w:t>Behandling</w:t>
      </w: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  <w:r w:rsidRPr="00BB7ED9">
        <w:rPr>
          <w:rFonts w:eastAsia="TimesNewRoman"/>
          <w:sz w:val="24"/>
          <w:szCs w:val="24"/>
          <w:lang w:eastAsia="en-GB"/>
        </w:rPr>
        <w:t xml:space="preserve">Der er ingen specifik information vedrørende behandling af overdosering med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alendronat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. I tilfælde af overdosering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BB7ED9">
        <w:rPr>
          <w:sz w:val="24"/>
          <w:szCs w:val="24"/>
        </w:rPr>
        <w:t xml:space="preserve"> </w:t>
      </w:r>
      <w:r w:rsidRPr="00BB7ED9">
        <w:rPr>
          <w:rFonts w:eastAsia="TimesNewRoman"/>
          <w:sz w:val="24"/>
          <w:szCs w:val="24"/>
          <w:lang w:eastAsia="en-GB"/>
        </w:rPr>
        <w:t xml:space="preserve">bør der indtages mælk eller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antacida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for at binde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alendronat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. På grund af risiko for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øsofageal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irritation bør opkastning ikke induceres, og patienten skal forblive oprejst.</w:t>
      </w: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en-GB"/>
        </w:rPr>
      </w:pPr>
      <w:proofErr w:type="spellStart"/>
      <w:r w:rsidRPr="00BB7ED9">
        <w:rPr>
          <w:rFonts w:eastAsia="TimesNewRoman"/>
          <w:sz w:val="24"/>
          <w:szCs w:val="24"/>
          <w:u w:val="single"/>
          <w:lang w:eastAsia="en-GB"/>
        </w:rPr>
        <w:t>Cholecalciferol</w:t>
      </w:r>
      <w:proofErr w:type="spellEnd"/>
    </w:p>
    <w:p w:rsidR="009C0B06" w:rsidRPr="00BB7ED9" w:rsidRDefault="009C0B06" w:rsidP="009C0B0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en-GB"/>
        </w:rPr>
      </w:pPr>
      <w:r w:rsidRPr="00BB7ED9">
        <w:rPr>
          <w:rFonts w:eastAsia="TimesNewRoman"/>
          <w:sz w:val="24"/>
          <w:szCs w:val="24"/>
          <w:lang w:eastAsia="en-GB"/>
        </w:rPr>
        <w:t>D-vitamin toksicitet er ikke blevet dokumenteret under kronisk behandling hos generelt raske voksne ved en dosis på mindre end 10.000 IE/dag. I en klinisk undersøgelse med raske voksne blev en D</w:t>
      </w:r>
      <w:r w:rsidRPr="00BB7ED9">
        <w:rPr>
          <w:rFonts w:eastAsia="TimesNewRoman"/>
          <w:sz w:val="24"/>
          <w:szCs w:val="24"/>
          <w:vertAlign w:val="subscript"/>
          <w:lang w:eastAsia="en-GB"/>
        </w:rPr>
        <w:t>3</w:t>
      </w:r>
      <w:r w:rsidRPr="00BB7ED9">
        <w:rPr>
          <w:rFonts w:eastAsia="TimesNewRoman"/>
          <w:sz w:val="24"/>
          <w:szCs w:val="24"/>
          <w:lang w:eastAsia="en-GB"/>
        </w:rPr>
        <w:t xml:space="preserve">- vitamin dosis på 4.000 IE/dag givet i op til fem måneder ikke forbundet med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hyperkalciuri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 xml:space="preserve"> eller </w:t>
      </w:r>
      <w:proofErr w:type="spellStart"/>
      <w:r w:rsidRPr="00BB7ED9">
        <w:rPr>
          <w:rFonts w:eastAsia="TimesNewRoman"/>
          <w:sz w:val="24"/>
          <w:szCs w:val="24"/>
          <w:lang w:eastAsia="en-GB"/>
        </w:rPr>
        <w:t>hyperkalcæmi</w:t>
      </w:r>
      <w:proofErr w:type="spellEnd"/>
      <w:r w:rsidRPr="00BB7ED9">
        <w:rPr>
          <w:rFonts w:eastAsia="TimesNewRoman"/>
          <w:sz w:val="24"/>
          <w:szCs w:val="24"/>
          <w:lang w:eastAsia="en-GB"/>
        </w:rPr>
        <w:t>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C0B06" w:rsidRPr="00C84483" w:rsidRDefault="009C0B06" w:rsidP="00BA1804">
      <w:pPr>
        <w:tabs>
          <w:tab w:val="left" w:pos="851"/>
        </w:tabs>
        <w:rPr>
          <w:sz w:val="24"/>
          <w:szCs w:val="24"/>
        </w:rPr>
      </w:pPr>
    </w:p>
    <w:p w:rsidR="009C0B06" w:rsidRDefault="009C0B06" w:rsidP="009C0B06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BA1804" w:rsidRPr="00A83915" w:rsidRDefault="00BA1804" w:rsidP="00BA1804">
      <w:pPr>
        <w:suppressAutoHyphens/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M</w:t>
      </w:r>
      <w:r w:rsidRPr="00A83915">
        <w:rPr>
          <w:sz w:val="24"/>
          <w:szCs w:val="24"/>
        </w:rPr>
        <w:t xml:space="preserve">idler til behandling af knoglesygdomme, </w:t>
      </w:r>
      <w:proofErr w:type="spellStart"/>
      <w:r w:rsidRPr="00A83915">
        <w:rPr>
          <w:sz w:val="24"/>
          <w:szCs w:val="24"/>
        </w:rPr>
        <w:t>bisphosphonater</w:t>
      </w:r>
      <w:proofErr w:type="spellEnd"/>
      <w:r w:rsidRPr="00A83915">
        <w:rPr>
          <w:sz w:val="24"/>
          <w:szCs w:val="24"/>
        </w:rPr>
        <w:t xml:space="preserve">, </w:t>
      </w:r>
      <w:r>
        <w:rPr>
          <w:sz w:val="24"/>
          <w:szCs w:val="24"/>
        </w:rPr>
        <w:t>kombinationer.</w:t>
      </w:r>
      <w:r w:rsidRPr="00BA1804">
        <w:t xml:space="preserve"> </w:t>
      </w:r>
      <w:proofErr w:type="spellStart"/>
      <w:r w:rsidRPr="00BA1804">
        <w:rPr>
          <w:sz w:val="24"/>
          <w:szCs w:val="24"/>
        </w:rPr>
        <w:t>ATC-kode</w:t>
      </w:r>
      <w:proofErr w:type="spellEnd"/>
      <w:r w:rsidRPr="00BA1804">
        <w:rPr>
          <w:sz w:val="24"/>
          <w:szCs w:val="24"/>
        </w:rPr>
        <w:t>: M 05 BB 03.</w:t>
      </w:r>
    </w:p>
    <w:p w:rsidR="00BA1804" w:rsidRPr="00C84483" w:rsidRDefault="00BA1804" w:rsidP="009C0B06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9C0B06" w:rsidRPr="002269FF" w:rsidRDefault="009C0B06" w:rsidP="009C0B06">
      <w:pPr>
        <w:suppressAutoHyphens/>
        <w:ind w:left="851"/>
        <w:rPr>
          <w:sz w:val="24"/>
          <w:szCs w:val="24"/>
          <w:vertAlign w:val="subscript"/>
        </w:rPr>
      </w:pP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A83915">
        <w:rPr>
          <w:sz w:val="24"/>
          <w:szCs w:val="24"/>
        </w:rPr>
        <w:t xml:space="preserve"> </w:t>
      </w:r>
      <w:r w:rsidRPr="002269FF">
        <w:rPr>
          <w:sz w:val="24"/>
          <w:szCs w:val="24"/>
        </w:rPr>
        <w:t xml:space="preserve">er en kombinationstablet indeholdende de to aktive stoffer </w:t>
      </w:r>
      <w:proofErr w:type="spellStart"/>
      <w:r w:rsidRPr="002269FF">
        <w:rPr>
          <w:sz w:val="24"/>
          <w:szCs w:val="24"/>
        </w:rPr>
        <w:t>alendronatnatrium</w:t>
      </w:r>
      <w:r>
        <w:rPr>
          <w:sz w:val="24"/>
          <w:szCs w:val="24"/>
        </w:rPr>
        <w:softHyphen/>
      </w:r>
      <w:r w:rsidRPr="002269FF">
        <w:rPr>
          <w:sz w:val="24"/>
          <w:szCs w:val="24"/>
        </w:rPr>
        <w:t>trihydrat</w:t>
      </w:r>
      <w:proofErr w:type="spellEnd"/>
      <w:r w:rsidRPr="002269FF">
        <w:rPr>
          <w:sz w:val="24"/>
          <w:szCs w:val="24"/>
        </w:rPr>
        <w:t xml:space="preserve"> og </w:t>
      </w:r>
      <w:proofErr w:type="spellStart"/>
      <w:r w:rsidRPr="002269FF">
        <w:rPr>
          <w:sz w:val="24"/>
          <w:szCs w:val="24"/>
        </w:rPr>
        <w:t>cholecalciferol</w:t>
      </w:r>
      <w:proofErr w:type="spellEnd"/>
      <w:r w:rsidRPr="002269FF">
        <w:rPr>
          <w:sz w:val="24"/>
          <w:szCs w:val="24"/>
        </w:rPr>
        <w:t xml:space="preserve"> (</w:t>
      </w:r>
      <w:r w:rsidRPr="00A83915">
        <w:rPr>
          <w:sz w:val="24"/>
          <w:szCs w:val="24"/>
        </w:rPr>
        <w:t>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-vitamin)</w:t>
      </w:r>
      <w:r w:rsidRPr="006D0E06">
        <w:rPr>
          <w:sz w:val="24"/>
          <w:szCs w:val="24"/>
        </w:rPr>
        <w:t>.</w:t>
      </w:r>
    </w:p>
    <w:p w:rsidR="009C0B06" w:rsidRPr="002269FF" w:rsidRDefault="009C0B06" w:rsidP="009C0B06">
      <w:pPr>
        <w:suppressAutoHyphens/>
        <w:ind w:left="851"/>
        <w:rPr>
          <w:sz w:val="24"/>
          <w:szCs w:val="24"/>
        </w:rPr>
      </w:pPr>
    </w:p>
    <w:p w:rsidR="009C0B06" w:rsidRPr="00F20CD4" w:rsidRDefault="009C0B06" w:rsidP="009C0B06">
      <w:pPr>
        <w:ind w:left="851"/>
        <w:rPr>
          <w:b/>
          <w:sz w:val="24"/>
          <w:szCs w:val="24"/>
        </w:rPr>
      </w:pPr>
      <w:r w:rsidRPr="00F20CD4">
        <w:rPr>
          <w:b/>
          <w:sz w:val="24"/>
          <w:szCs w:val="24"/>
        </w:rPr>
        <w:t>Virkningsmekanisme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F20CD4" w:rsidRDefault="009C0B06" w:rsidP="009C0B06">
      <w:pPr>
        <w:ind w:left="851"/>
        <w:rPr>
          <w:iCs/>
          <w:sz w:val="24"/>
          <w:szCs w:val="24"/>
          <w:u w:val="single"/>
        </w:rPr>
      </w:pPr>
      <w:proofErr w:type="spellStart"/>
      <w:r w:rsidRPr="00F20CD4">
        <w:rPr>
          <w:iCs/>
          <w:sz w:val="24"/>
          <w:szCs w:val="24"/>
          <w:u w:val="single"/>
        </w:rPr>
        <w:t>Alendronat</w:t>
      </w:r>
      <w:proofErr w:type="spellEnd"/>
    </w:p>
    <w:p w:rsidR="009C0B06" w:rsidRPr="00A83915" w:rsidRDefault="009C0B06" w:rsidP="009C0B06">
      <w:pPr>
        <w:ind w:left="851"/>
        <w:rPr>
          <w:sz w:val="24"/>
          <w:szCs w:val="24"/>
        </w:rPr>
      </w:pPr>
      <w:proofErr w:type="spellStart"/>
      <w:r w:rsidRPr="00A83915">
        <w:rPr>
          <w:sz w:val="24"/>
          <w:szCs w:val="24"/>
        </w:rPr>
        <w:t>Alendronatnatrium</w:t>
      </w:r>
      <w:proofErr w:type="spellEnd"/>
      <w:r w:rsidRPr="00A83915">
        <w:rPr>
          <w:sz w:val="24"/>
          <w:szCs w:val="24"/>
        </w:rPr>
        <w:t xml:space="preserve"> er et </w:t>
      </w:r>
      <w:proofErr w:type="spellStart"/>
      <w:r w:rsidRPr="00A83915">
        <w:rPr>
          <w:sz w:val="24"/>
          <w:szCs w:val="24"/>
        </w:rPr>
        <w:t>bisphosphonat</w:t>
      </w:r>
      <w:proofErr w:type="spellEnd"/>
      <w:r w:rsidRPr="00A83915">
        <w:rPr>
          <w:sz w:val="24"/>
          <w:szCs w:val="24"/>
        </w:rPr>
        <w:t xml:space="preserve">, der hæmmer </w:t>
      </w:r>
      <w:proofErr w:type="spellStart"/>
      <w:r w:rsidRPr="00A83915">
        <w:rPr>
          <w:sz w:val="24"/>
          <w:szCs w:val="24"/>
        </w:rPr>
        <w:t>osteoklasters</w:t>
      </w:r>
      <w:proofErr w:type="spellEnd"/>
      <w:r w:rsidRPr="00A83915">
        <w:rPr>
          <w:sz w:val="24"/>
          <w:szCs w:val="24"/>
        </w:rPr>
        <w:t xml:space="preserve"> knogleresorption uden direkte virkning på knogleopbygningen. Prækliniske undersøgelser har vist,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primært lokaliseres til steder med aktiv resorption. </w:t>
      </w:r>
      <w:proofErr w:type="spellStart"/>
      <w:r w:rsidRPr="00A83915">
        <w:rPr>
          <w:sz w:val="24"/>
          <w:szCs w:val="24"/>
        </w:rPr>
        <w:t>Osteoklasteraktiviteten</w:t>
      </w:r>
      <w:proofErr w:type="spellEnd"/>
      <w:r w:rsidRPr="00A83915">
        <w:rPr>
          <w:sz w:val="24"/>
          <w:szCs w:val="24"/>
        </w:rPr>
        <w:t xml:space="preserve"> hæmmes, men rekruttering eller </w:t>
      </w:r>
      <w:proofErr w:type="spellStart"/>
      <w:r w:rsidRPr="00A83915">
        <w:rPr>
          <w:sz w:val="24"/>
          <w:szCs w:val="24"/>
        </w:rPr>
        <w:t>tilhæftning</w:t>
      </w:r>
      <w:proofErr w:type="spellEnd"/>
      <w:r w:rsidRPr="00A83915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osteoklaster</w:t>
      </w:r>
      <w:proofErr w:type="spellEnd"/>
      <w:r w:rsidRPr="00A83915">
        <w:rPr>
          <w:sz w:val="24"/>
          <w:szCs w:val="24"/>
        </w:rPr>
        <w:t xml:space="preserve"> påvirkes ikke. Knoglemassen, der dannes under 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har normal knoglestruktur.</w:t>
      </w:r>
    </w:p>
    <w:p w:rsidR="00324F25" w:rsidRDefault="00324F2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F20CD4" w:rsidRDefault="009C0B06" w:rsidP="009C0B06">
      <w:pPr>
        <w:ind w:left="851"/>
        <w:rPr>
          <w:iCs/>
          <w:sz w:val="24"/>
          <w:szCs w:val="24"/>
          <w:u w:val="single"/>
        </w:rPr>
      </w:pPr>
      <w:proofErr w:type="spellStart"/>
      <w:r w:rsidRPr="00F20CD4">
        <w:rPr>
          <w:iCs/>
          <w:sz w:val="24"/>
          <w:szCs w:val="24"/>
          <w:u w:val="single"/>
        </w:rPr>
        <w:t>Cholecalciferol</w:t>
      </w:r>
      <w:proofErr w:type="spellEnd"/>
      <w:r w:rsidRPr="00F20CD4">
        <w:rPr>
          <w:iCs/>
          <w:sz w:val="24"/>
          <w:szCs w:val="24"/>
          <w:u w:val="single"/>
        </w:rPr>
        <w:t xml:space="preserve"> (D</w:t>
      </w:r>
      <w:r w:rsidRPr="00F20CD4">
        <w:rPr>
          <w:iCs/>
          <w:sz w:val="24"/>
          <w:szCs w:val="24"/>
          <w:u w:val="single"/>
          <w:vertAlign w:val="subscript"/>
        </w:rPr>
        <w:t>3</w:t>
      </w:r>
      <w:r w:rsidRPr="00F20CD4">
        <w:rPr>
          <w:iCs/>
          <w:sz w:val="24"/>
          <w:szCs w:val="24"/>
          <w:u w:val="single"/>
        </w:rPr>
        <w:t>-vitamin)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</w:t>
      </w:r>
      <w:r w:rsidRPr="00335BE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dannes i huden ved omdannelse af 7-dehydrocholesterol til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ved hjælp af ultraviolet lys. Ved mangel på tilstrækkelig eksponering for sollys er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et væsentligt kosttilskud.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omdannes til 25-hydroxyvitamin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i leveren og lagres indtil der er brug for det. Omdannelse til det aktive calcium-mobiliserende hormon 1,25-dihydroxyvitamin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(</w:t>
      </w:r>
      <w:proofErr w:type="spellStart"/>
      <w:r w:rsidRPr="00A83915">
        <w:rPr>
          <w:sz w:val="24"/>
          <w:szCs w:val="24"/>
        </w:rPr>
        <w:t>calcitriol</w:t>
      </w:r>
      <w:proofErr w:type="spellEnd"/>
      <w:r w:rsidRPr="00A83915">
        <w:rPr>
          <w:sz w:val="24"/>
          <w:szCs w:val="24"/>
        </w:rPr>
        <w:t xml:space="preserve">) i nyrerne reguleres stramt. Den vigtigste funktion for 1,25 </w:t>
      </w:r>
      <w:proofErr w:type="spellStart"/>
      <w:r w:rsidRPr="00A83915">
        <w:rPr>
          <w:sz w:val="24"/>
          <w:szCs w:val="24"/>
        </w:rPr>
        <w:t>dihydroxyvitamin</w:t>
      </w:r>
      <w:proofErr w:type="spellEnd"/>
      <w:r w:rsidRPr="00A83915">
        <w:rPr>
          <w:sz w:val="24"/>
          <w:szCs w:val="24"/>
        </w:rPr>
        <w:t xml:space="preserve">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er at øge den </w:t>
      </w:r>
      <w:proofErr w:type="spellStart"/>
      <w:r w:rsidRPr="00A83915">
        <w:rPr>
          <w:sz w:val="24"/>
          <w:szCs w:val="24"/>
        </w:rPr>
        <w:t>intestinale</w:t>
      </w:r>
      <w:proofErr w:type="spellEnd"/>
      <w:r w:rsidRPr="00A83915">
        <w:rPr>
          <w:sz w:val="24"/>
          <w:szCs w:val="24"/>
        </w:rPr>
        <w:t xml:space="preserve"> absorption af både calcium og </w:t>
      </w:r>
      <w:proofErr w:type="spellStart"/>
      <w:r w:rsidRPr="00A83915">
        <w:rPr>
          <w:sz w:val="24"/>
          <w:szCs w:val="24"/>
        </w:rPr>
        <w:t>phosphat</w:t>
      </w:r>
      <w:proofErr w:type="spellEnd"/>
      <w:r w:rsidRPr="00A83915">
        <w:rPr>
          <w:sz w:val="24"/>
          <w:szCs w:val="24"/>
        </w:rPr>
        <w:t xml:space="preserve"> såvel som at regulere serumcalcium, </w:t>
      </w:r>
      <w:proofErr w:type="spellStart"/>
      <w:r w:rsidRPr="00A83915">
        <w:rPr>
          <w:sz w:val="24"/>
          <w:szCs w:val="24"/>
        </w:rPr>
        <w:t>renal</w:t>
      </w:r>
      <w:proofErr w:type="spellEnd"/>
      <w:r w:rsidRPr="00A83915">
        <w:rPr>
          <w:sz w:val="24"/>
          <w:szCs w:val="24"/>
        </w:rPr>
        <w:t xml:space="preserve"> calcium og </w:t>
      </w:r>
      <w:proofErr w:type="spellStart"/>
      <w:r w:rsidRPr="00A83915">
        <w:rPr>
          <w:sz w:val="24"/>
          <w:szCs w:val="24"/>
        </w:rPr>
        <w:t>phosphatudskillelsen</w:t>
      </w:r>
      <w:proofErr w:type="spellEnd"/>
      <w:r w:rsidRPr="00A83915">
        <w:rPr>
          <w:sz w:val="24"/>
          <w:szCs w:val="24"/>
        </w:rPr>
        <w:t>, knogleopbygningen og knogleresorptionen.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</w:t>
      </w:r>
      <w:r w:rsidRPr="00335BE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er nødvendig for den normale knogleopbygning. D-vitaminmangel udvikles, når både eksponering for sollys og indtaget gennem kosten er utilstrækkelig. Insufficiens er forbundet med negativ calciumbalance, knogletab og øget risiko for knoglefraktur. I svære tilfælde resulterer manglen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i sekundær </w:t>
      </w:r>
      <w:proofErr w:type="spellStart"/>
      <w:r w:rsidRPr="00A83915">
        <w:rPr>
          <w:sz w:val="24"/>
          <w:szCs w:val="24"/>
        </w:rPr>
        <w:t>hyperparathyroidisme</w:t>
      </w:r>
      <w:proofErr w:type="spellEnd"/>
      <w:r w:rsidRPr="00A83915">
        <w:rPr>
          <w:sz w:val="24"/>
          <w:szCs w:val="24"/>
        </w:rPr>
        <w:t xml:space="preserve">, </w:t>
      </w:r>
      <w:proofErr w:type="spellStart"/>
      <w:r w:rsidRPr="00A83915">
        <w:rPr>
          <w:sz w:val="24"/>
          <w:szCs w:val="24"/>
        </w:rPr>
        <w:t>hypophosphatæmi</w:t>
      </w:r>
      <w:proofErr w:type="spellEnd"/>
      <w:r w:rsidRPr="00A83915">
        <w:rPr>
          <w:sz w:val="24"/>
          <w:szCs w:val="24"/>
        </w:rPr>
        <w:t xml:space="preserve">, proksimal muskelsvaghed og </w:t>
      </w:r>
      <w:proofErr w:type="spellStart"/>
      <w:r w:rsidRPr="00A83915">
        <w:rPr>
          <w:sz w:val="24"/>
          <w:szCs w:val="24"/>
        </w:rPr>
        <w:t>osteomalaci</w:t>
      </w:r>
      <w:proofErr w:type="spellEnd"/>
      <w:r w:rsidRPr="00A83915">
        <w:rPr>
          <w:sz w:val="24"/>
          <w:szCs w:val="24"/>
        </w:rPr>
        <w:t>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Yderligere forøges risiko for fald og fraktur hos </w:t>
      </w:r>
      <w:proofErr w:type="spellStart"/>
      <w:r w:rsidRPr="00A83915">
        <w:rPr>
          <w:sz w:val="24"/>
          <w:szCs w:val="24"/>
        </w:rPr>
        <w:t>osteoporotiske</w:t>
      </w:r>
      <w:proofErr w:type="spellEnd"/>
      <w:r w:rsidRPr="00A83915">
        <w:rPr>
          <w:sz w:val="24"/>
          <w:szCs w:val="24"/>
        </w:rPr>
        <w:t xml:space="preserve"> patienter. D-vitamintilskud reducerer disse risici og deres konsekvenser.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Osteoporose er defineret som knoglemineraltætheden (BMD) for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spinalis</w:t>
      </w:r>
      <w:proofErr w:type="spellEnd"/>
      <w:r w:rsidRPr="00A83915">
        <w:rPr>
          <w:sz w:val="24"/>
          <w:szCs w:val="24"/>
        </w:rPr>
        <w:t xml:space="preserve"> eller hofte på 2,5 standarddeviationer (SD) under middelværdien for en normal ung population eller som tidligere skørhedsfraktur uden hensyntagen til BMD.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F20CD4" w:rsidRDefault="009C0B06" w:rsidP="009C0B06">
      <w:pPr>
        <w:ind w:left="851"/>
        <w:rPr>
          <w:b/>
          <w:sz w:val="24"/>
          <w:szCs w:val="24"/>
        </w:rPr>
      </w:pPr>
      <w:r w:rsidRPr="00F20CD4">
        <w:rPr>
          <w:b/>
          <w:sz w:val="24"/>
          <w:szCs w:val="24"/>
        </w:rPr>
        <w:t>Klinisk virkning og sikkerhed</w:t>
      </w:r>
    </w:p>
    <w:p w:rsidR="009C0B06" w:rsidRPr="00A83915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F20CD4" w:rsidRDefault="009C0B06" w:rsidP="009C0B06">
      <w:pPr>
        <w:ind w:left="851"/>
        <w:rPr>
          <w:iCs/>
          <w:sz w:val="24"/>
          <w:szCs w:val="24"/>
          <w:u w:val="single"/>
        </w:rPr>
      </w:pPr>
      <w:proofErr w:type="spellStart"/>
      <w:r w:rsidRPr="00F20CD4">
        <w:rPr>
          <w:iCs/>
          <w:sz w:val="24"/>
          <w:szCs w:val="24"/>
          <w:u w:val="single"/>
        </w:rPr>
        <w:t>Alendronsyre</w:t>
      </w:r>
      <w:proofErr w:type="spellEnd"/>
      <w:r>
        <w:rPr>
          <w:iCs/>
          <w:sz w:val="24"/>
          <w:szCs w:val="24"/>
          <w:u w:val="single"/>
        </w:rPr>
        <w:t>-</w:t>
      </w:r>
      <w:r w:rsidRPr="00F20CD4">
        <w:rPr>
          <w:iCs/>
          <w:sz w:val="24"/>
          <w:szCs w:val="24"/>
          <w:u w:val="single"/>
        </w:rPr>
        <w:t>/</w:t>
      </w:r>
      <w:proofErr w:type="spellStart"/>
      <w:r w:rsidRPr="00F20CD4">
        <w:rPr>
          <w:iCs/>
          <w:sz w:val="24"/>
          <w:szCs w:val="24"/>
          <w:u w:val="single"/>
        </w:rPr>
        <w:t>cholecalciferolundersøgelser</w:t>
      </w:r>
      <w:proofErr w:type="spellEnd"/>
    </w:p>
    <w:p w:rsidR="009C0B06" w:rsidRDefault="009C0B06" w:rsidP="009C0B06">
      <w:pPr>
        <w:ind w:left="851"/>
        <w:rPr>
          <w:sz w:val="24"/>
          <w:szCs w:val="24"/>
        </w:rPr>
      </w:pPr>
    </w:p>
    <w:p w:rsidR="009C0B06" w:rsidRPr="001B5130" w:rsidRDefault="009C0B06" w:rsidP="009C0B06">
      <w:pPr>
        <w:ind w:left="851"/>
        <w:rPr>
          <w:i/>
          <w:sz w:val="24"/>
          <w:szCs w:val="24"/>
        </w:rPr>
      </w:pPr>
      <w:r w:rsidRPr="001B5130">
        <w:rPr>
          <w:i/>
          <w:sz w:val="24"/>
          <w:szCs w:val="24"/>
        </w:rPr>
        <w:t>70 mg/2.800 IE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Effekten af den lave dosis af </w:t>
      </w:r>
      <w:r w:rsidRPr="00A83915">
        <w:rPr>
          <w:noProof/>
          <w:sz w:val="24"/>
          <w:szCs w:val="24"/>
        </w:rPr>
        <w:t>alendronsyre/cholecalciferol</w:t>
      </w:r>
      <w:r w:rsidRPr="00A83915">
        <w:rPr>
          <w:sz w:val="24"/>
          <w:szCs w:val="24"/>
        </w:rPr>
        <w:t xml:space="preserve">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70 mg/D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2.800 IE) på D-vitamin status blev påvist i en 15 ugers multinational undersøgelse, der inkluderede 682 </w:t>
      </w:r>
      <w:proofErr w:type="spellStart"/>
      <w:r w:rsidRPr="00A83915">
        <w:rPr>
          <w:sz w:val="24"/>
          <w:szCs w:val="24"/>
        </w:rPr>
        <w:t>postmenopausale</w:t>
      </w:r>
      <w:proofErr w:type="spellEnd"/>
      <w:r w:rsidRPr="00A83915">
        <w:rPr>
          <w:sz w:val="24"/>
          <w:szCs w:val="24"/>
        </w:rPr>
        <w:t xml:space="preserve"> kvinder med osteoporose (serum 25-hydroxyvitamin D ved baseline: Gennemsnit, 56 nmol/l [22,3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/ml]; variationsbredde, 22,5-225 nmol/l [9-90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/ml]). Patienterne fik den lavere styrke (70 mg/2.800 IE) af </w:t>
      </w:r>
      <w:r w:rsidRPr="00A83915">
        <w:rPr>
          <w:noProof/>
          <w:sz w:val="24"/>
          <w:szCs w:val="24"/>
        </w:rPr>
        <w:t>alendronsyre/cholecalciferol</w:t>
      </w:r>
      <w:r w:rsidRPr="00A83915">
        <w:rPr>
          <w:sz w:val="24"/>
          <w:szCs w:val="24"/>
        </w:rPr>
        <w:t xml:space="preserve"> (n=350) eller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70 mg (n=332) </w:t>
      </w:r>
      <w:r>
        <w:rPr>
          <w:sz w:val="24"/>
          <w:szCs w:val="24"/>
        </w:rPr>
        <w:t>en</w:t>
      </w:r>
      <w:r w:rsidRPr="00A83915">
        <w:rPr>
          <w:sz w:val="24"/>
          <w:szCs w:val="24"/>
        </w:rPr>
        <w:t xml:space="preserve"> gang </w:t>
      </w:r>
      <w:r>
        <w:rPr>
          <w:sz w:val="24"/>
          <w:szCs w:val="24"/>
        </w:rPr>
        <w:t>ugentlig</w:t>
      </w:r>
      <w:r w:rsidRPr="00A83915">
        <w:rPr>
          <w:sz w:val="24"/>
          <w:szCs w:val="24"/>
        </w:rPr>
        <w:t xml:space="preserve">; yderligere D-vitamin tilskud var ikke tilladt. Efter 15 ugers behandling var de gennemsnitlige serum 25-hydroxyvitamin D niveauer signifikant højere (26 %) i </w:t>
      </w:r>
      <w:r w:rsidRPr="00A83915">
        <w:rPr>
          <w:noProof/>
          <w:sz w:val="24"/>
          <w:szCs w:val="24"/>
        </w:rPr>
        <w:t xml:space="preserve">alendronsyre/cholecalciferol </w:t>
      </w:r>
      <w:r w:rsidRPr="00A83915">
        <w:rPr>
          <w:sz w:val="24"/>
          <w:szCs w:val="24"/>
        </w:rPr>
        <w:t xml:space="preserve">(70 mg/2.800 IE) gruppen (56 nmol/l [23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end i gruppen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(46 nmol/l [18,2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/ml]). Procentdelen af patienter med D-vitaminmangel (serum 25-hydroxyvitamin D &lt; 37,5 nmol/l [&lt;15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var signifikant reduceret med 62,5 % med </w:t>
      </w:r>
      <w:r w:rsidRPr="00A83915">
        <w:rPr>
          <w:noProof/>
          <w:sz w:val="24"/>
          <w:szCs w:val="24"/>
        </w:rPr>
        <w:t>alendronsyre/chole</w:t>
      </w:r>
      <w:r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>calciferol</w:t>
      </w:r>
      <w:r w:rsidRPr="00A83915">
        <w:rPr>
          <w:sz w:val="24"/>
          <w:szCs w:val="24"/>
        </w:rPr>
        <w:t xml:space="preserve"> (70 mg/2.800 IE) versus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(henholdsvis 12 % versus 32 %) efter uge 15. Procentdelen af patienter med D-vitaminmangel (serum 25-hydroxyvitamin D &lt; 22,5 nmol/l [&lt; 9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var signifikant reduceret med 92 % med </w:t>
      </w:r>
      <w:r w:rsidRPr="00A83915">
        <w:rPr>
          <w:noProof/>
          <w:sz w:val="24"/>
          <w:szCs w:val="24"/>
        </w:rPr>
        <w:t>alendron</w:t>
      </w:r>
      <w:r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>syre/chole</w:t>
      </w:r>
      <w:r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>calciferol</w:t>
      </w:r>
      <w:r w:rsidRPr="00A83915">
        <w:rPr>
          <w:sz w:val="24"/>
          <w:szCs w:val="24"/>
        </w:rPr>
        <w:t xml:space="preserve"> (70 mg/2.800 IE) versus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(henholdsvis 1 % versus 13 %). I denne undersøgelse øgedes de gennemsnitlige 25-hydroxyvitamin D niveauer hos patienter med D-vitaminmangel ved baseline (25-hydroxyvitamin D, 22,5 til 37,5 nmol/l [9 til &lt;15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/ml]) fra 30 nmol/l (12,1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til 40 nmol/l (15,9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ved uge 15 i </w:t>
      </w:r>
      <w:r w:rsidRPr="00A83915">
        <w:rPr>
          <w:noProof/>
          <w:sz w:val="24"/>
          <w:szCs w:val="24"/>
        </w:rPr>
        <w:t>alendron</w:t>
      </w:r>
      <w:r>
        <w:rPr>
          <w:noProof/>
          <w:sz w:val="24"/>
          <w:szCs w:val="24"/>
        </w:rPr>
        <w:softHyphen/>
      </w:r>
      <w:r w:rsidRPr="00A83915">
        <w:rPr>
          <w:noProof/>
          <w:sz w:val="24"/>
          <w:szCs w:val="24"/>
        </w:rPr>
        <w:t xml:space="preserve">syre/cholecalciferol </w:t>
      </w:r>
      <w:r w:rsidRPr="00A83915">
        <w:rPr>
          <w:sz w:val="24"/>
          <w:szCs w:val="24"/>
        </w:rPr>
        <w:t xml:space="preserve">(70 mg/2.800 IE) gruppen (n=75) og faldt fra 30 nmol/l (12,0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ved baseline til 26 nmol/l (10,4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 xml:space="preserve">/ml) ved uge 15 i gruppen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alene (n=70). Der var ingen forskel i middel serumcalcium, </w:t>
      </w:r>
      <w:proofErr w:type="spellStart"/>
      <w:r w:rsidRPr="00A83915">
        <w:rPr>
          <w:sz w:val="24"/>
          <w:szCs w:val="24"/>
        </w:rPr>
        <w:t>phosphat</w:t>
      </w:r>
      <w:proofErr w:type="spellEnd"/>
      <w:r w:rsidRPr="00A83915">
        <w:rPr>
          <w:sz w:val="24"/>
          <w:szCs w:val="24"/>
        </w:rPr>
        <w:t xml:space="preserve"> eller 24 timers urincalcium mellem behandlingsgrupperne.</w:t>
      </w:r>
    </w:p>
    <w:p w:rsidR="009C0B06" w:rsidRDefault="009C0B06" w:rsidP="009C0B06">
      <w:pPr>
        <w:ind w:left="851"/>
        <w:rPr>
          <w:sz w:val="24"/>
          <w:szCs w:val="24"/>
        </w:rPr>
      </w:pPr>
    </w:p>
    <w:p w:rsidR="009C0B06" w:rsidRPr="001B5130" w:rsidRDefault="009C0B06" w:rsidP="009C0B06">
      <w:pPr>
        <w:ind w:left="851"/>
        <w:rPr>
          <w:i/>
          <w:sz w:val="24"/>
          <w:szCs w:val="24"/>
        </w:rPr>
      </w:pPr>
      <w:r w:rsidRPr="001B5130">
        <w:rPr>
          <w:i/>
          <w:sz w:val="24"/>
          <w:szCs w:val="24"/>
        </w:rPr>
        <w:lastRenderedPageBreak/>
        <w:t>70 mg/5.600 IE</w:t>
      </w:r>
    </w:p>
    <w:p w:rsidR="009C0B06" w:rsidRPr="00DE191D" w:rsidRDefault="009C0B06" w:rsidP="009C0B06">
      <w:pPr>
        <w:ind w:left="851"/>
        <w:rPr>
          <w:sz w:val="24"/>
          <w:szCs w:val="24"/>
        </w:rPr>
      </w:pPr>
      <w:r w:rsidRPr="00DE191D">
        <w:rPr>
          <w:sz w:val="24"/>
          <w:szCs w:val="24"/>
        </w:rPr>
        <w:t xml:space="preserve">Effekten af den lave dosis af </w:t>
      </w:r>
      <w:proofErr w:type="spellStart"/>
      <w:r w:rsidRPr="00DE191D">
        <w:rPr>
          <w:sz w:val="24"/>
          <w:szCs w:val="24"/>
        </w:rPr>
        <w:t>alendronsyre</w:t>
      </w:r>
      <w:proofErr w:type="spellEnd"/>
      <w:r w:rsidRPr="00DE191D">
        <w:rPr>
          <w:sz w:val="24"/>
          <w:szCs w:val="24"/>
        </w:rPr>
        <w:t>/</w:t>
      </w:r>
      <w:proofErr w:type="spellStart"/>
      <w:r w:rsidRPr="00DE191D">
        <w:rPr>
          <w:sz w:val="24"/>
          <w:szCs w:val="24"/>
        </w:rPr>
        <w:t>cholecalciferol</w:t>
      </w:r>
      <w:proofErr w:type="spellEnd"/>
      <w:r w:rsidRPr="00DE191D">
        <w:rPr>
          <w:sz w:val="24"/>
          <w:szCs w:val="24"/>
        </w:rPr>
        <w:t xml:space="preserve"> (</w:t>
      </w:r>
      <w:proofErr w:type="spellStart"/>
      <w:r w:rsidRPr="00DE191D">
        <w:rPr>
          <w:sz w:val="24"/>
          <w:szCs w:val="24"/>
        </w:rPr>
        <w:t>alendronat</w:t>
      </w:r>
      <w:proofErr w:type="spellEnd"/>
      <w:r w:rsidRPr="00DE191D">
        <w:rPr>
          <w:sz w:val="24"/>
          <w:szCs w:val="24"/>
        </w:rPr>
        <w:t xml:space="preserve"> 70 mg/D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2.800 IE) plus yderligere 2.800 IE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til i alt 5.600 IE (mængden af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i den høje dosis af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DE191D">
        <w:rPr>
          <w:sz w:val="24"/>
          <w:szCs w:val="24"/>
        </w:rPr>
        <w:t xml:space="preserve">) en gang ugentlig blev påvist i en 24 ugers ekstensionsundersøgelse, der inkluderede 619 </w:t>
      </w:r>
      <w:proofErr w:type="spellStart"/>
      <w:r w:rsidRPr="00DE191D">
        <w:rPr>
          <w:sz w:val="24"/>
          <w:szCs w:val="24"/>
        </w:rPr>
        <w:t>postmenopausale</w:t>
      </w:r>
      <w:proofErr w:type="spellEnd"/>
      <w:r w:rsidRPr="00DE191D">
        <w:rPr>
          <w:sz w:val="24"/>
          <w:szCs w:val="24"/>
        </w:rPr>
        <w:t xml:space="preserve"> kvinder med osteoporose. Patienter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2.800 gruppen fik </w:t>
      </w:r>
      <w:proofErr w:type="spellStart"/>
      <w:r w:rsidRPr="00DE191D">
        <w:rPr>
          <w:sz w:val="24"/>
          <w:szCs w:val="24"/>
        </w:rPr>
        <w:t>alendronsyre</w:t>
      </w:r>
      <w:proofErr w:type="spellEnd"/>
      <w:r w:rsidRPr="00DE191D">
        <w:rPr>
          <w:sz w:val="24"/>
          <w:szCs w:val="24"/>
        </w:rPr>
        <w:t>/</w:t>
      </w:r>
      <w:proofErr w:type="spellStart"/>
      <w:r w:rsidRPr="00DE191D">
        <w:rPr>
          <w:sz w:val="24"/>
          <w:szCs w:val="24"/>
        </w:rPr>
        <w:t>cholecalciferol</w:t>
      </w:r>
      <w:proofErr w:type="spellEnd"/>
      <w:r w:rsidRPr="00DE191D">
        <w:rPr>
          <w:sz w:val="24"/>
          <w:szCs w:val="24"/>
        </w:rPr>
        <w:t xml:space="preserve"> (70 mg/2.800 IE) (n=299), og patienter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5.600 gruppen fik </w:t>
      </w:r>
      <w:proofErr w:type="spellStart"/>
      <w:r w:rsidRPr="00DE191D">
        <w:rPr>
          <w:sz w:val="24"/>
          <w:szCs w:val="24"/>
        </w:rPr>
        <w:t>alendronsyre</w:t>
      </w:r>
      <w:proofErr w:type="spellEnd"/>
      <w:r w:rsidRPr="00DE191D">
        <w:rPr>
          <w:sz w:val="24"/>
          <w:szCs w:val="24"/>
        </w:rPr>
        <w:t>/</w:t>
      </w:r>
      <w:proofErr w:type="spellStart"/>
      <w:r w:rsidRPr="00DE191D">
        <w:rPr>
          <w:sz w:val="24"/>
          <w:szCs w:val="24"/>
        </w:rPr>
        <w:t>chole</w:t>
      </w:r>
      <w:r>
        <w:rPr>
          <w:sz w:val="24"/>
          <w:szCs w:val="24"/>
        </w:rPr>
        <w:softHyphen/>
      </w:r>
      <w:r w:rsidRPr="00DE191D">
        <w:rPr>
          <w:sz w:val="24"/>
          <w:szCs w:val="24"/>
        </w:rPr>
        <w:t>calciferol</w:t>
      </w:r>
      <w:proofErr w:type="spellEnd"/>
      <w:r w:rsidRPr="00DE191D">
        <w:rPr>
          <w:sz w:val="24"/>
          <w:szCs w:val="24"/>
        </w:rPr>
        <w:t xml:space="preserve"> (70 mg/2.800 IE) plus yderligere 2.800 IE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(n=309) en gang ugentlig; yderligere D-vitamintilskud var tilladt. Efter 24 ugers behandling var de gennemsnitlige serum 25-hydroxyvitamin D niveauer signifikant højere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5.600 gruppen (69 nmol/l [27,6 </w:t>
      </w:r>
      <w:proofErr w:type="spellStart"/>
      <w:r w:rsidRPr="00DE191D">
        <w:rPr>
          <w:sz w:val="24"/>
          <w:szCs w:val="24"/>
        </w:rPr>
        <w:t>ng</w:t>
      </w:r>
      <w:proofErr w:type="spellEnd"/>
      <w:r w:rsidRPr="00DE191D">
        <w:rPr>
          <w:sz w:val="24"/>
          <w:szCs w:val="24"/>
        </w:rPr>
        <w:t>/ml]) end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2.800 gruppen (64 nmol/l [25,5 </w:t>
      </w:r>
      <w:proofErr w:type="spellStart"/>
      <w:r w:rsidRPr="00DE191D">
        <w:rPr>
          <w:sz w:val="24"/>
          <w:szCs w:val="24"/>
        </w:rPr>
        <w:t>ng</w:t>
      </w:r>
      <w:proofErr w:type="spellEnd"/>
      <w:r w:rsidRPr="00DE191D">
        <w:rPr>
          <w:sz w:val="24"/>
          <w:szCs w:val="24"/>
        </w:rPr>
        <w:t>/ml]). Procentdelen af patienter med D-vitaminmangel var 5,4 %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2.800 gruppen versus 3,2 %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5.600 gruppen gennem 24-ugers ekstensionsperioden. Procentdelen af patienter med D-vitaminmangel var 0,3 %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>-vitamin 2.800 gruppen versus nul i D</w:t>
      </w:r>
      <w:r w:rsidRPr="00DE191D">
        <w:rPr>
          <w:sz w:val="24"/>
          <w:szCs w:val="24"/>
          <w:vertAlign w:val="subscript"/>
        </w:rPr>
        <w:t>3</w:t>
      </w:r>
      <w:r w:rsidRPr="00DE191D">
        <w:rPr>
          <w:sz w:val="24"/>
          <w:szCs w:val="24"/>
        </w:rPr>
        <w:t xml:space="preserve">-vitamin 5.600 gruppen. Der var ingen forskelle i middel serumcalcium, </w:t>
      </w:r>
      <w:proofErr w:type="spellStart"/>
      <w:r w:rsidRPr="00DE191D">
        <w:rPr>
          <w:sz w:val="24"/>
          <w:szCs w:val="24"/>
        </w:rPr>
        <w:t>phosphat</w:t>
      </w:r>
      <w:proofErr w:type="spellEnd"/>
      <w:r w:rsidRPr="00DE191D">
        <w:rPr>
          <w:sz w:val="24"/>
          <w:szCs w:val="24"/>
        </w:rPr>
        <w:t xml:space="preserve"> eller 24-timers urincalcium mellem behandlingsgrupperne. Procentdelen af patienter med </w:t>
      </w:r>
      <w:proofErr w:type="spellStart"/>
      <w:r w:rsidRPr="00DE191D">
        <w:rPr>
          <w:sz w:val="24"/>
          <w:szCs w:val="24"/>
        </w:rPr>
        <w:t>hyperkalciuri</w:t>
      </w:r>
      <w:proofErr w:type="spellEnd"/>
      <w:r w:rsidRPr="00DE191D">
        <w:rPr>
          <w:sz w:val="24"/>
          <w:szCs w:val="24"/>
        </w:rPr>
        <w:t xml:space="preserve"> ved slutningen af 24-ugers ekstensionsperioden var ikke statistisk signifikant mellem behandlingsgrupperne.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Alendronat</w:t>
      </w:r>
      <w:r w:rsidRPr="00A83915">
        <w:rPr>
          <w:i/>
          <w:iCs/>
          <w:sz w:val="24"/>
          <w:szCs w:val="24"/>
        </w:rPr>
        <w:t>undersøgelser</w:t>
      </w:r>
      <w:proofErr w:type="spellEnd"/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Den terapeutiske ækvivalens for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70 mg en gang </w:t>
      </w:r>
      <w:r>
        <w:rPr>
          <w:sz w:val="24"/>
          <w:szCs w:val="24"/>
        </w:rPr>
        <w:t>ugentlig</w:t>
      </w:r>
      <w:r w:rsidRPr="00A83915">
        <w:rPr>
          <w:sz w:val="24"/>
          <w:szCs w:val="24"/>
        </w:rPr>
        <w:t xml:space="preserve"> (n=519) og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10 mg</w:t>
      </w:r>
      <w:r>
        <w:rPr>
          <w:sz w:val="24"/>
          <w:szCs w:val="24"/>
        </w:rPr>
        <w:t xml:space="preserve"> daglig</w:t>
      </w:r>
      <w:r w:rsidRPr="00A83915">
        <w:rPr>
          <w:sz w:val="24"/>
          <w:szCs w:val="24"/>
        </w:rPr>
        <w:t xml:space="preserve"> (n=370) blev påvist i en 1-årig multicenterundersøgelse med </w:t>
      </w:r>
      <w:proofErr w:type="spellStart"/>
      <w:r w:rsidRPr="00A83915">
        <w:rPr>
          <w:sz w:val="24"/>
          <w:szCs w:val="24"/>
        </w:rPr>
        <w:t>postmeno</w:t>
      </w:r>
      <w:r>
        <w:rPr>
          <w:sz w:val="24"/>
          <w:szCs w:val="24"/>
        </w:rPr>
        <w:softHyphen/>
      </w:r>
      <w:r w:rsidRPr="00A83915">
        <w:rPr>
          <w:sz w:val="24"/>
          <w:szCs w:val="24"/>
        </w:rPr>
        <w:t>pausale</w:t>
      </w:r>
      <w:proofErr w:type="spellEnd"/>
      <w:r w:rsidRPr="00A83915">
        <w:rPr>
          <w:sz w:val="24"/>
          <w:szCs w:val="24"/>
        </w:rPr>
        <w:t xml:space="preserve"> kvinder med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osteoporose. Den gennemsnitlige stigning i BMD i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lumbalis</w:t>
      </w:r>
      <w:proofErr w:type="spellEnd"/>
      <w:r w:rsidRPr="00A83915">
        <w:rPr>
          <w:sz w:val="24"/>
          <w:szCs w:val="24"/>
        </w:rPr>
        <w:t xml:space="preserve"> fra baseline til efter et år var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5,1 % (95 % KI: 4,8, 5,4 %) i den gruppe, der fik 70 mg </w:t>
      </w:r>
      <w:r>
        <w:rPr>
          <w:sz w:val="24"/>
          <w:szCs w:val="24"/>
        </w:rPr>
        <w:t>ugentlig</w:t>
      </w:r>
      <w:r w:rsidRPr="00A83915">
        <w:rPr>
          <w:sz w:val="24"/>
          <w:szCs w:val="24"/>
        </w:rPr>
        <w:t>, og 5,4 % (95 % KI: 5,0, 5,8 %) i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den gruppe, der fik 10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. Gennemsnitlige stigninger i BMD var 2,3 % og 2,9 % ved </w:t>
      </w:r>
      <w:proofErr w:type="spellStart"/>
      <w:r w:rsidRPr="00A83915"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femoris</w:t>
      </w:r>
      <w:proofErr w:type="spellEnd"/>
      <w:r w:rsidRPr="00A83915">
        <w:rPr>
          <w:sz w:val="24"/>
          <w:szCs w:val="24"/>
        </w:rPr>
        <w:t xml:space="preserve"> og 2,9 % og 3,1</w:t>
      </w:r>
      <w:r w:rsidR="00A80B64">
        <w:rPr>
          <w:sz w:val="24"/>
          <w:szCs w:val="24"/>
        </w:rPr>
        <w:t> </w:t>
      </w:r>
      <w:r w:rsidRPr="00A83915">
        <w:rPr>
          <w:sz w:val="24"/>
          <w:szCs w:val="24"/>
        </w:rPr>
        <w:t>% i hele hoften i henholdsvis 70 mg gruppen og 10 mg gruppen. De to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behandlingsgrupper var også ens med hensyn til stigninger i BMD andre steder.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5F385C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Effekten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på knoglemasse og </w:t>
      </w:r>
      <w:proofErr w:type="spellStart"/>
      <w:r w:rsidRPr="00A83915">
        <w:rPr>
          <w:sz w:val="24"/>
          <w:szCs w:val="24"/>
        </w:rPr>
        <w:t>frakturincidens</w:t>
      </w:r>
      <w:proofErr w:type="spellEnd"/>
      <w:r w:rsidRPr="00A83915">
        <w:rPr>
          <w:sz w:val="24"/>
          <w:szCs w:val="24"/>
        </w:rPr>
        <w:t xml:space="preserve"> hos </w:t>
      </w:r>
      <w:proofErr w:type="spellStart"/>
      <w:r w:rsidRPr="00A83915">
        <w:rPr>
          <w:sz w:val="24"/>
          <w:szCs w:val="24"/>
        </w:rPr>
        <w:t>postmenopausale</w:t>
      </w:r>
      <w:proofErr w:type="spellEnd"/>
      <w:r w:rsidRPr="00A83915">
        <w:rPr>
          <w:sz w:val="24"/>
          <w:szCs w:val="24"/>
        </w:rPr>
        <w:t xml:space="preserve"> kvinder blev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undersøgt i to initiale virkningsundersøgelser med identisk design (n=994) samt i undersøgelsen</w:t>
      </w:r>
      <w:r>
        <w:rPr>
          <w:sz w:val="24"/>
          <w:szCs w:val="24"/>
        </w:rPr>
        <w:t xml:space="preserve"> "</w:t>
      </w:r>
      <w:proofErr w:type="spellStart"/>
      <w:r w:rsidRPr="005F385C">
        <w:rPr>
          <w:sz w:val="24"/>
          <w:szCs w:val="24"/>
        </w:rPr>
        <w:t>Fracture</w:t>
      </w:r>
      <w:proofErr w:type="spellEnd"/>
      <w:r w:rsidRPr="005F385C">
        <w:rPr>
          <w:sz w:val="24"/>
          <w:szCs w:val="24"/>
        </w:rPr>
        <w:t xml:space="preserve"> Intervention Trial</w:t>
      </w:r>
      <w:r>
        <w:rPr>
          <w:sz w:val="24"/>
          <w:szCs w:val="24"/>
        </w:rPr>
        <w:t>"</w:t>
      </w:r>
      <w:r w:rsidRPr="005F385C">
        <w:rPr>
          <w:sz w:val="24"/>
          <w:szCs w:val="24"/>
        </w:rPr>
        <w:t xml:space="preserve"> (FIT: n=6.459).</w:t>
      </w:r>
    </w:p>
    <w:p w:rsidR="009C0B06" w:rsidRPr="005F385C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I de initiale virkningsundersøgelser, efter 3 års 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10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, var de gennemsnitlige stigninger i BMD på henholdsvis 8,8 %, 5,9 % og 7,8 % i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spinalis</w:t>
      </w:r>
      <w:proofErr w:type="spellEnd"/>
      <w:r w:rsidRPr="00A83915">
        <w:rPr>
          <w:sz w:val="24"/>
          <w:szCs w:val="24"/>
        </w:rPr>
        <w:t xml:space="preserve">, </w:t>
      </w:r>
      <w:proofErr w:type="spellStart"/>
      <w:r w:rsidRPr="00A83915">
        <w:rPr>
          <w:sz w:val="24"/>
          <w:szCs w:val="24"/>
        </w:rPr>
        <w:t>collum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femoris</w:t>
      </w:r>
      <w:proofErr w:type="spellEnd"/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trochanter</w:t>
      </w:r>
      <w:proofErr w:type="spellEnd"/>
      <w:r w:rsidRPr="00A83915">
        <w:rPr>
          <w:sz w:val="24"/>
          <w:szCs w:val="24"/>
        </w:rPr>
        <w:t>, sammenlignet med placebo. Total BMD øgedes også signifikant. Af patienter i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oplevede 48 % færre en eller flere </w:t>
      </w:r>
      <w:proofErr w:type="spellStart"/>
      <w:r w:rsidRPr="00A83915">
        <w:rPr>
          <w:sz w:val="24"/>
          <w:szCs w:val="24"/>
        </w:rPr>
        <w:t>vertebrale</w:t>
      </w:r>
      <w:proofErr w:type="spellEnd"/>
      <w:r w:rsidRPr="00A83915">
        <w:rPr>
          <w:sz w:val="24"/>
          <w:szCs w:val="24"/>
        </w:rPr>
        <w:t xml:space="preserve"> frakturer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3,2 %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versus placebo 6,2 %) sammenlignet med patienter behandlet med placebo. I den 2-årige forlængelse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af disse undersøgelser sås fortsat stigning i BMD i </w:t>
      </w:r>
      <w:proofErr w:type="spellStart"/>
      <w:r w:rsidRPr="00A83915">
        <w:rPr>
          <w:sz w:val="24"/>
          <w:szCs w:val="24"/>
        </w:rPr>
        <w:t>columna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spinalis</w:t>
      </w:r>
      <w:proofErr w:type="spellEnd"/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trochanter</w:t>
      </w:r>
      <w:proofErr w:type="spellEnd"/>
      <w:r w:rsidRPr="00A83915">
        <w:rPr>
          <w:sz w:val="24"/>
          <w:szCs w:val="24"/>
        </w:rPr>
        <w:t xml:space="preserve">. </w:t>
      </w:r>
      <w:r w:rsidRPr="005F385C">
        <w:rPr>
          <w:sz w:val="24"/>
          <w:szCs w:val="24"/>
        </w:rPr>
        <w:t xml:space="preserve">BMD i </w:t>
      </w:r>
      <w:proofErr w:type="spellStart"/>
      <w:r w:rsidRPr="005F385C">
        <w:rPr>
          <w:sz w:val="24"/>
          <w:szCs w:val="24"/>
        </w:rPr>
        <w:t>collum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femoris</w:t>
      </w:r>
      <w:proofErr w:type="spellEnd"/>
      <w:r w:rsidRPr="00A83915">
        <w:rPr>
          <w:sz w:val="24"/>
          <w:szCs w:val="24"/>
        </w:rPr>
        <w:t xml:space="preserve"> og total-BMD blev opretholdt.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FIT bestod af 2 placebokontrollerede undersøgelser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(5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i 2 år og 10 mg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i yderligere enten 1 eller 2 år):</w:t>
      </w:r>
    </w:p>
    <w:p w:rsidR="009C0B06" w:rsidRPr="00A83915" w:rsidRDefault="009C0B06" w:rsidP="009C0B06">
      <w:pPr>
        <w:tabs>
          <w:tab w:val="left" w:pos="851"/>
        </w:tabs>
        <w:ind w:left="1134" w:hanging="283"/>
        <w:rPr>
          <w:sz w:val="24"/>
          <w:szCs w:val="24"/>
        </w:rPr>
      </w:pPr>
      <w:r w:rsidRPr="00A83915">
        <w:rPr>
          <w:sz w:val="24"/>
          <w:szCs w:val="24"/>
        </w:rPr>
        <w:t>•</w:t>
      </w:r>
      <w:r w:rsidRPr="00A83915">
        <w:rPr>
          <w:sz w:val="24"/>
          <w:szCs w:val="24"/>
        </w:rPr>
        <w:tab/>
        <w:t xml:space="preserve">FIT 1: En 3-årig undersøgelse af 2.027 patienter som havde mindst </w:t>
      </w:r>
      <w:r>
        <w:rPr>
          <w:sz w:val="24"/>
          <w:szCs w:val="24"/>
        </w:rPr>
        <w:t>en</w:t>
      </w:r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(kompressions) fraktur ved baseline. I denne undersøgelse reducerede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 gang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&gt; 1 ny </w:t>
      </w:r>
      <w:proofErr w:type="spellStart"/>
      <w:r w:rsidRPr="00A83915">
        <w:rPr>
          <w:sz w:val="24"/>
          <w:szCs w:val="24"/>
        </w:rPr>
        <w:t>vertebral</w:t>
      </w:r>
      <w:proofErr w:type="spellEnd"/>
      <w:r w:rsidRPr="00A83915">
        <w:rPr>
          <w:sz w:val="24"/>
          <w:szCs w:val="24"/>
        </w:rPr>
        <w:t xml:space="preserve"> fraktur med 47 %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7,9 % versus placebo 15,0 %). Derudover fandtes statistisk signifikant reduktion i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hoftefrakturer (1,1 % versus 2,2 %, en reduktion på 51 %).</w:t>
      </w:r>
    </w:p>
    <w:p w:rsidR="009C0B06" w:rsidRPr="00A83915" w:rsidRDefault="009C0B06" w:rsidP="009C0B06">
      <w:pPr>
        <w:tabs>
          <w:tab w:val="left" w:pos="567"/>
        </w:tabs>
        <w:ind w:left="1134" w:hanging="283"/>
        <w:rPr>
          <w:sz w:val="24"/>
          <w:szCs w:val="24"/>
        </w:rPr>
      </w:pPr>
      <w:r w:rsidRPr="00A83915">
        <w:rPr>
          <w:sz w:val="24"/>
          <w:szCs w:val="24"/>
        </w:rPr>
        <w:t>•</w:t>
      </w:r>
      <w:r w:rsidRPr="00A83915">
        <w:rPr>
          <w:sz w:val="24"/>
          <w:szCs w:val="24"/>
        </w:rPr>
        <w:tab/>
        <w:t xml:space="preserve">FIT 2: En 4-årig undersøgelse af 4.432 patienter med lav knoglemasse, men uden </w:t>
      </w:r>
      <w:proofErr w:type="spellStart"/>
      <w:r w:rsidRPr="00A83915">
        <w:rPr>
          <w:sz w:val="24"/>
          <w:szCs w:val="24"/>
        </w:rPr>
        <w:t>vertebral</w:t>
      </w:r>
      <w:proofErr w:type="spellEnd"/>
      <w:r w:rsidRPr="00A83915">
        <w:rPr>
          <w:sz w:val="24"/>
          <w:szCs w:val="24"/>
        </w:rPr>
        <w:t xml:space="preserve"> fraktur ved baseline. I denne undersøgelse observeredes en signifikant forskel i </w:t>
      </w:r>
      <w:r w:rsidRPr="00A83915">
        <w:rPr>
          <w:sz w:val="24"/>
          <w:szCs w:val="24"/>
        </w:rPr>
        <w:lastRenderedPageBreak/>
        <w:t xml:space="preserve">en analyse af subgruppen af </w:t>
      </w:r>
      <w:proofErr w:type="spellStart"/>
      <w:r w:rsidRPr="00A83915">
        <w:rPr>
          <w:sz w:val="24"/>
          <w:szCs w:val="24"/>
        </w:rPr>
        <w:t>osteoporotiske</w:t>
      </w:r>
      <w:proofErr w:type="spellEnd"/>
      <w:r w:rsidRPr="00A83915">
        <w:rPr>
          <w:sz w:val="24"/>
          <w:szCs w:val="24"/>
        </w:rPr>
        <w:t xml:space="preserve"> kvinder (37 % af global population som havde osteoporose svarende til ovennævnte definition) i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hoftefrakturer (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1,0 % versus placebo 2,2 %, en reduktion på 56 %) og i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&gt; 1 </w:t>
      </w:r>
      <w:proofErr w:type="spellStart"/>
      <w:r w:rsidRPr="00A83915">
        <w:rPr>
          <w:sz w:val="24"/>
          <w:szCs w:val="24"/>
        </w:rPr>
        <w:t>vertebral</w:t>
      </w:r>
      <w:proofErr w:type="spellEnd"/>
      <w:r w:rsidRPr="00A83915">
        <w:rPr>
          <w:sz w:val="24"/>
          <w:szCs w:val="24"/>
        </w:rPr>
        <w:t xml:space="preserve"> fraktur (2,9 % versus 5,8 %, en reduktion på 50 %).</w:t>
      </w:r>
    </w:p>
    <w:p w:rsidR="009C0B06" w:rsidRPr="00A83915" w:rsidRDefault="009C0B06" w:rsidP="009C0B06">
      <w:pPr>
        <w:tabs>
          <w:tab w:val="left" w:pos="567"/>
        </w:tabs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Laboratoriefund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Der er i kliniske undersøgelser set asymptomatiske, milde og forbigående fald i serumcalcium og</w:t>
      </w:r>
      <w:r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serumphosphat</w:t>
      </w:r>
      <w:proofErr w:type="spellEnd"/>
      <w:r w:rsidRPr="00A83915">
        <w:rPr>
          <w:sz w:val="24"/>
          <w:szCs w:val="24"/>
        </w:rPr>
        <w:t xml:space="preserve"> hos henholdsvis 18 % og 10 % af de patienter, der fik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10 mg/dag, versus hos ca. 12 % og 3 % af de patienter, der fik placebo. Imidlertid var </w:t>
      </w:r>
      <w:proofErr w:type="spellStart"/>
      <w:r w:rsidRPr="00A83915">
        <w:rPr>
          <w:sz w:val="24"/>
          <w:szCs w:val="24"/>
        </w:rPr>
        <w:t>incidensen</w:t>
      </w:r>
      <w:proofErr w:type="spellEnd"/>
      <w:r w:rsidRPr="00A83915">
        <w:rPr>
          <w:sz w:val="24"/>
          <w:szCs w:val="24"/>
        </w:rPr>
        <w:t xml:space="preserve"> af fald i serumcalcium til &lt; 8,0 mg/dl (2,0 mmol/l) og i </w:t>
      </w:r>
      <w:proofErr w:type="spellStart"/>
      <w:r w:rsidRPr="00A83915">
        <w:rPr>
          <w:sz w:val="24"/>
          <w:szCs w:val="24"/>
        </w:rPr>
        <w:t>serumphosphat</w:t>
      </w:r>
      <w:proofErr w:type="spellEnd"/>
      <w:r w:rsidRPr="00A83915">
        <w:rPr>
          <w:sz w:val="24"/>
          <w:szCs w:val="24"/>
        </w:rPr>
        <w:t xml:space="preserve"> til ≤ 2,0 mg/dl (0,65 mmol/l) ens i begge behandlingsgrupper.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  <w:u w:val="single"/>
        </w:rPr>
      </w:pPr>
      <w:r w:rsidRPr="00A83915">
        <w:rPr>
          <w:sz w:val="24"/>
          <w:szCs w:val="24"/>
          <w:u w:val="single"/>
        </w:rPr>
        <w:t>Pædiatrisk population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proofErr w:type="spellStart"/>
      <w:r w:rsidRPr="00A83915">
        <w:rPr>
          <w:sz w:val="24"/>
          <w:szCs w:val="24"/>
        </w:rPr>
        <w:t>Alendronatnatrium</w:t>
      </w:r>
      <w:proofErr w:type="spellEnd"/>
      <w:r w:rsidRPr="00A83915">
        <w:rPr>
          <w:sz w:val="24"/>
          <w:szCs w:val="24"/>
        </w:rPr>
        <w:t xml:space="preserve"> er undersøgt hos et lille antal patienter under 18 år med </w:t>
      </w:r>
      <w:proofErr w:type="spellStart"/>
      <w:r w:rsidRPr="00A83915">
        <w:rPr>
          <w:sz w:val="24"/>
          <w:szCs w:val="24"/>
        </w:rPr>
        <w:t>osteogenesis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imperfecta</w:t>
      </w:r>
      <w:proofErr w:type="spellEnd"/>
      <w:r w:rsidRPr="00A83915">
        <w:rPr>
          <w:sz w:val="24"/>
          <w:szCs w:val="24"/>
        </w:rPr>
        <w:t>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Resultaterne er utilstrækkelige til at understøtte brugen af </w:t>
      </w:r>
      <w:proofErr w:type="spellStart"/>
      <w:r w:rsidRPr="00A83915">
        <w:rPr>
          <w:sz w:val="24"/>
          <w:szCs w:val="24"/>
        </w:rPr>
        <w:t>alendronatnatrium</w:t>
      </w:r>
      <w:proofErr w:type="spellEnd"/>
      <w:r w:rsidRPr="00A83915">
        <w:rPr>
          <w:sz w:val="24"/>
          <w:szCs w:val="24"/>
        </w:rPr>
        <w:t xml:space="preserve"> til pædiatriske patienter med </w:t>
      </w:r>
      <w:proofErr w:type="spellStart"/>
      <w:r w:rsidRPr="00A83915">
        <w:rPr>
          <w:sz w:val="24"/>
          <w:szCs w:val="24"/>
        </w:rPr>
        <w:t>osteogenesis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imperfecta</w:t>
      </w:r>
      <w:proofErr w:type="spellEnd"/>
      <w:r w:rsidRPr="00A83915">
        <w:rPr>
          <w:sz w:val="24"/>
          <w:szCs w:val="24"/>
        </w:rPr>
        <w:t>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C0B06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2269FF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Alendronat</w:t>
      </w:r>
      <w:proofErr w:type="spellEnd"/>
      <w:r w:rsidRPr="002269FF">
        <w:rPr>
          <w:sz w:val="24"/>
          <w:szCs w:val="24"/>
          <w:u w:val="single"/>
        </w:rPr>
        <w:t xml:space="preserve"> </w:t>
      </w:r>
    </w:p>
    <w:p w:rsidR="009C0B06" w:rsidRPr="002269FF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2269FF" w:rsidRDefault="009C0B06" w:rsidP="009C0B06">
      <w:pPr>
        <w:ind w:left="851"/>
        <w:rPr>
          <w:i/>
          <w:sz w:val="24"/>
          <w:szCs w:val="24"/>
        </w:rPr>
      </w:pPr>
      <w:r w:rsidRPr="002269FF">
        <w:rPr>
          <w:i/>
          <w:sz w:val="24"/>
          <w:szCs w:val="24"/>
        </w:rPr>
        <w:t>Absorption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I forhold til intravenøs referencedosis er den perorale biotilgængelighed for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når det administreres efter en nats faste og 2 timer før et standardiseret morgenmåltid, 0,64 % for kvinder ved doser fra 5-70 mg. Biotilgængeligheden reduceredes til ca. 0,46 % og 0,39</w:t>
      </w:r>
      <w:r w:rsidR="00A80B64">
        <w:rPr>
          <w:sz w:val="24"/>
          <w:szCs w:val="24"/>
        </w:rPr>
        <w:t> </w:t>
      </w:r>
      <w:r w:rsidRPr="00A83915">
        <w:rPr>
          <w:sz w:val="24"/>
          <w:szCs w:val="24"/>
        </w:rPr>
        <w:t xml:space="preserve">%, når </w:t>
      </w:r>
      <w:proofErr w:type="spellStart"/>
      <w:r w:rsidRPr="00A83915">
        <w:rPr>
          <w:sz w:val="24"/>
          <w:szCs w:val="24"/>
        </w:rPr>
        <w:t>alendronate</w:t>
      </w:r>
      <w:proofErr w:type="spellEnd"/>
      <w:r w:rsidRPr="00A83915">
        <w:rPr>
          <w:sz w:val="24"/>
          <w:szCs w:val="24"/>
        </w:rPr>
        <w:t xml:space="preserve"> administreredes en time, eller en halv time, før et standardiseret morgenmåltid. I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osteoporoseundersøgelserne var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effektivt, når det administreredes mindst 30 minutter før dagens første måltid eller indtag af drikkevarer.</w:t>
      </w:r>
    </w:p>
    <w:p w:rsidR="009C0B06" w:rsidRDefault="009C0B06" w:rsidP="009C0B06">
      <w:pPr>
        <w:ind w:left="851"/>
        <w:rPr>
          <w:sz w:val="24"/>
          <w:szCs w:val="24"/>
        </w:rPr>
      </w:pPr>
    </w:p>
    <w:p w:rsidR="009C0B06" w:rsidRPr="00E73BF1" w:rsidRDefault="009C0B06" w:rsidP="009C0B06">
      <w:pPr>
        <w:ind w:left="851"/>
        <w:rPr>
          <w:sz w:val="24"/>
          <w:szCs w:val="24"/>
        </w:rPr>
      </w:pPr>
      <w:proofErr w:type="spellStart"/>
      <w:r w:rsidRPr="00E73BF1">
        <w:rPr>
          <w:sz w:val="24"/>
          <w:szCs w:val="24"/>
        </w:rPr>
        <w:t>Alendronatkomponenten</w:t>
      </w:r>
      <w:proofErr w:type="spellEnd"/>
      <w:r w:rsidRPr="00E73BF1"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E73BF1">
        <w:rPr>
          <w:sz w:val="24"/>
          <w:szCs w:val="24"/>
        </w:rPr>
        <w:t xml:space="preserve"> </w:t>
      </w:r>
      <w:r w:rsidRPr="00AD2077">
        <w:rPr>
          <w:i/>
          <w:sz w:val="24"/>
          <w:szCs w:val="24"/>
        </w:rPr>
        <w:t>70 mg/2.800 IE</w:t>
      </w:r>
      <w:r w:rsidRPr="00E73BF1">
        <w:rPr>
          <w:sz w:val="24"/>
          <w:szCs w:val="24"/>
        </w:rPr>
        <w:t xml:space="preserve"> kombinationstabletten og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Pr="00E73BF1">
        <w:rPr>
          <w:sz w:val="24"/>
          <w:szCs w:val="24"/>
        </w:rPr>
        <w:t xml:space="preserve"> </w:t>
      </w:r>
      <w:r w:rsidRPr="00AD2077">
        <w:rPr>
          <w:i/>
          <w:sz w:val="24"/>
          <w:szCs w:val="24"/>
        </w:rPr>
        <w:t>70 mg/5.600 IE</w:t>
      </w:r>
      <w:r w:rsidRPr="00E73BF1">
        <w:rPr>
          <w:sz w:val="24"/>
          <w:szCs w:val="24"/>
        </w:rPr>
        <w:t xml:space="preserve"> kombinationstabletten er bioækvivalent med </w:t>
      </w:r>
      <w:proofErr w:type="spellStart"/>
      <w:r w:rsidRPr="00E73BF1">
        <w:rPr>
          <w:sz w:val="24"/>
          <w:szCs w:val="24"/>
        </w:rPr>
        <w:t>alendronat</w:t>
      </w:r>
      <w:proofErr w:type="spellEnd"/>
      <w:r w:rsidRPr="00E73BF1">
        <w:rPr>
          <w:sz w:val="24"/>
          <w:szCs w:val="24"/>
        </w:rPr>
        <w:t xml:space="preserve"> i 70 mg tabletten.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Biotilgængeligheden var negligeabel, hvad enten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blev administreret sammen med eller op til 2 timer efter et standardiseret morgenmåltid. Samtidig administration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og kaffe eller appelsinjuice reducerede biotilgængeligheden med ca. 60 %.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2269FF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Hos raske forsøgspersoner ændrer peroral </w:t>
      </w:r>
      <w:proofErr w:type="spellStart"/>
      <w:r w:rsidRPr="00A83915">
        <w:rPr>
          <w:sz w:val="24"/>
          <w:szCs w:val="24"/>
        </w:rPr>
        <w:t>prednison</w:t>
      </w:r>
      <w:proofErr w:type="spellEnd"/>
      <w:r w:rsidRPr="00A83915">
        <w:rPr>
          <w:sz w:val="24"/>
          <w:szCs w:val="24"/>
        </w:rPr>
        <w:t xml:space="preserve"> (20 mg, 3 gange </w:t>
      </w:r>
      <w:r>
        <w:rPr>
          <w:sz w:val="24"/>
          <w:szCs w:val="24"/>
        </w:rPr>
        <w:t>daglig</w:t>
      </w:r>
      <w:r w:rsidRPr="00A83915">
        <w:rPr>
          <w:sz w:val="24"/>
          <w:szCs w:val="24"/>
        </w:rPr>
        <w:t xml:space="preserve"> i 5 dage) ikke </w:t>
      </w:r>
      <w:proofErr w:type="spellStart"/>
      <w:r w:rsidRPr="00A83915">
        <w:rPr>
          <w:sz w:val="24"/>
          <w:szCs w:val="24"/>
        </w:rPr>
        <w:t>alendronats</w:t>
      </w:r>
      <w:proofErr w:type="spellEnd"/>
      <w:r w:rsidRPr="00A83915">
        <w:rPr>
          <w:sz w:val="24"/>
          <w:szCs w:val="24"/>
        </w:rPr>
        <w:t xml:space="preserve"> perorale biotilgængelighed i signifikant grad (gennemsnitlig stigning fra 20-44</w:t>
      </w:r>
      <w:r w:rsidR="00A80B64">
        <w:rPr>
          <w:sz w:val="24"/>
          <w:szCs w:val="24"/>
        </w:rPr>
        <w:t> </w:t>
      </w:r>
      <w:r w:rsidRPr="00A83915">
        <w:rPr>
          <w:sz w:val="24"/>
          <w:szCs w:val="24"/>
        </w:rPr>
        <w:t>%).</w:t>
      </w:r>
    </w:p>
    <w:p w:rsidR="009C0B06" w:rsidRPr="002269FF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AD2077" w:rsidRDefault="009C0B06" w:rsidP="009C0B06">
      <w:pPr>
        <w:ind w:left="851"/>
        <w:rPr>
          <w:i/>
          <w:noProof/>
          <w:sz w:val="24"/>
          <w:szCs w:val="24"/>
        </w:rPr>
      </w:pPr>
      <w:r w:rsidRPr="00AD2077">
        <w:rPr>
          <w:i/>
          <w:noProof/>
          <w:sz w:val="24"/>
          <w:szCs w:val="24"/>
        </w:rPr>
        <w:t>Fordeling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Undersøgelser med rotter viser,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forbigående distribueres i blødt væv efter intravenøs administration af 1 mg/kg, men herefter hurtigt redistribueres til knogler eller udskilles i urinen. Det gennemsnitlige </w:t>
      </w:r>
      <w:proofErr w:type="spellStart"/>
      <w:r w:rsidRPr="00A83915">
        <w:rPr>
          <w:sz w:val="24"/>
          <w:szCs w:val="24"/>
        </w:rPr>
        <w:t>steady-state</w:t>
      </w:r>
      <w:proofErr w:type="spellEnd"/>
      <w:r w:rsidRPr="00A83915">
        <w:rPr>
          <w:sz w:val="24"/>
          <w:szCs w:val="24"/>
        </w:rPr>
        <w:t xml:space="preserve"> fordelingsvolumen, ikke medregnende knogler, er mindst 28 liter hos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mennesker. Koncentrationen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i plasma efter terapeutiske, orale doser er under analysegrænsen (&lt;5 </w:t>
      </w:r>
      <w:proofErr w:type="spellStart"/>
      <w:r w:rsidRPr="00A83915">
        <w:rPr>
          <w:sz w:val="24"/>
          <w:szCs w:val="24"/>
        </w:rPr>
        <w:t>ng</w:t>
      </w:r>
      <w:proofErr w:type="spellEnd"/>
      <w:r w:rsidRPr="00A83915">
        <w:rPr>
          <w:sz w:val="24"/>
          <w:szCs w:val="24"/>
        </w:rPr>
        <w:t>/ml). Proteinbindingen i humant plasma er ca. 78 %.</w:t>
      </w:r>
    </w:p>
    <w:p w:rsidR="00A80B64" w:rsidRDefault="00A80B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B06" w:rsidRPr="002269FF" w:rsidRDefault="009C0B06" w:rsidP="009C0B06">
      <w:pPr>
        <w:ind w:left="851"/>
        <w:rPr>
          <w:sz w:val="24"/>
          <w:szCs w:val="24"/>
        </w:rPr>
      </w:pPr>
    </w:p>
    <w:p w:rsidR="009C0B06" w:rsidRPr="00AD2077" w:rsidRDefault="009C0B06" w:rsidP="009C0B06">
      <w:pPr>
        <w:ind w:left="851"/>
        <w:rPr>
          <w:i/>
          <w:sz w:val="24"/>
          <w:szCs w:val="24"/>
        </w:rPr>
      </w:pPr>
      <w:r w:rsidRPr="00AD2077">
        <w:rPr>
          <w:i/>
          <w:sz w:val="24"/>
          <w:szCs w:val="24"/>
        </w:rPr>
        <w:t>Biotransformation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Der er ingen tegn på,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i dyr eller mennesker.</w:t>
      </w:r>
    </w:p>
    <w:p w:rsidR="009C0B06" w:rsidRPr="002269FF" w:rsidRDefault="009C0B06" w:rsidP="009C0B06">
      <w:pPr>
        <w:ind w:left="851"/>
        <w:rPr>
          <w:sz w:val="24"/>
          <w:szCs w:val="24"/>
          <w:u w:val="single"/>
        </w:rPr>
      </w:pPr>
    </w:p>
    <w:p w:rsidR="009C0B06" w:rsidRPr="00AD2077" w:rsidRDefault="009C0B06" w:rsidP="009C0B06">
      <w:pPr>
        <w:ind w:left="851"/>
        <w:rPr>
          <w:i/>
          <w:sz w:val="24"/>
          <w:szCs w:val="24"/>
        </w:rPr>
      </w:pPr>
      <w:r w:rsidRPr="00AD2077">
        <w:rPr>
          <w:i/>
          <w:sz w:val="24"/>
          <w:szCs w:val="24"/>
        </w:rPr>
        <w:t>Elimination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Efter enkelt intravenøs dosis [</w:t>
      </w:r>
      <w:r w:rsidRPr="00A83915">
        <w:rPr>
          <w:sz w:val="24"/>
          <w:szCs w:val="24"/>
          <w:vertAlign w:val="superscript"/>
        </w:rPr>
        <w:t>14</w:t>
      </w:r>
      <w:r w:rsidRPr="00A83915">
        <w:rPr>
          <w:sz w:val="24"/>
          <w:szCs w:val="24"/>
        </w:rPr>
        <w:t xml:space="preserve">C]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udskilles ca. 50 % af radioaktiviteten i urinen inden for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72 timer og kun lidt eller ingen radioaktivitet genfindes i fæces. Efter en enkelt intravenøs dosis på 10 mg er </w:t>
      </w:r>
      <w:proofErr w:type="spellStart"/>
      <w:r w:rsidRPr="00A83915">
        <w:rPr>
          <w:sz w:val="24"/>
          <w:szCs w:val="24"/>
        </w:rPr>
        <w:t>renal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clearance</w:t>
      </w:r>
      <w:proofErr w:type="spellEnd"/>
      <w:r w:rsidRPr="00A83915">
        <w:rPr>
          <w:sz w:val="24"/>
          <w:szCs w:val="24"/>
        </w:rPr>
        <w:t xml:space="preserve"> 71 ml/minut, og systemisk </w:t>
      </w:r>
      <w:proofErr w:type="spellStart"/>
      <w:r w:rsidRPr="00A83915">
        <w:rPr>
          <w:sz w:val="24"/>
          <w:szCs w:val="24"/>
        </w:rPr>
        <w:t>clearance</w:t>
      </w:r>
      <w:proofErr w:type="spellEnd"/>
      <w:r w:rsidRPr="00A83915">
        <w:rPr>
          <w:sz w:val="24"/>
          <w:szCs w:val="24"/>
        </w:rPr>
        <w:t xml:space="preserve"> overstiger ikke 200 ml/min.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Plasmakoncentrationen falder med mere end 95 % inden for 6 timer efter intravenøs administration.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Terminal halveringstid hos mennesker vurderes til at være over 10 år, vurderet på baggrund af den langsomme frigivelse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fra skelettet.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udskilles hos rotter ikke via nyrernes syre- eller basetransportsystem og forventes derfor ikke hos mennesker at interferere med andre lægemidlers udskillelse via disse systemer.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Cholecalciferol</w:t>
      </w:r>
      <w:proofErr w:type="spellEnd"/>
    </w:p>
    <w:p w:rsidR="009C0B06" w:rsidRPr="00A83915" w:rsidRDefault="009C0B06" w:rsidP="009C0B06">
      <w:pPr>
        <w:ind w:left="851"/>
        <w:rPr>
          <w:i/>
          <w:iCs/>
          <w:sz w:val="24"/>
          <w:szCs w:val="24"/>
          <w:u w:val="single"/>
        </w:rPr>
      </w:pPr>
    </w:p>
    <w:p w:rsidR="009C0B06" w:rsidRDefault="009C0B06" w:rsidP="009C0B0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Absorption</w:t>
      </w:r>
    </w:p>
    <w:p w:rsidR="009C0B06" w:rsidRDefault="009C0B06" w:rsidP="009C0B06">
      <w:pPr>
        <w:ind w:left="851"/>
        <w:rPr>
          <w:iCs/>
          <w:sz w:val="24"/>
          <w:szCs w:val="24"/>
        </w:rPr>
      </w:pPr>
    </w:p>
    <w:p w:rsidR="009C0B06" w:rsidRPr="004950B8" w:rsidRDefault="004950B8" w:rsidP="009C0B06">
      <w:pPr>
        <w:ind w:left="851"/>
        <w:rPr>
          <w:i/>
          <w:sz w:val="24"/>
          <w:szCs w:val="24"/>
        </w:rPr>
      </w:pPr>
      <w:r w:rsidRPr="004950B8">
        <w:rPr>
          <w:i/>
          <w:sz w:val="24"/>
          <w:szCs w:val="24"/>
        </w:rPr>
        <w:t xml:space="preserve">- </w:t>
      </w:r>
      <w:r w:rsidR="009C0B06" w:rsidRPr="004950B8">
        <w:rPr>
          <w:i/>
          <w:sz w:val="24"/>
          <w:szCs w:val="24"/>
        </w:rPr>
        <w:t>70 mg/2.800 IE</w:t>
      </w:r>
    </w:p>
    <w:p w:rsidR="009C0B06" w:rsidRPr="005A46DF" w:rsidRDefault="009C0B06" w:rsidP="009C0B06">
      <w:pPr>
        <w:ind w:left="851"/>
        <w:rPr>
          <w:sz w:val="24"/>
          <w:szCs w:val="24"/>
        </w:rPr>
      </w:pPr>
      <w:r w:rsidRPr="005A46DF">
        <w:rPr>
          <w:sz w:val="24"/>
          <w:szCs w:val="24"/>
        </w:rPr>
        <w:t xml:space="preserve">Ved administration af </w:t>
      </w:r>
      <w:proofErr w:type="spellStart"/>
      <w:r w:rsidRPr="005A46DF">
        <w:rPr>
          <w:sz w:val="24"/>
          <w:szCs w:val="24"/>
        </w:rPr>
        <w:t>alendronsyre</w:t>
      </w:r>
      <w:proofErr w:type="spellEnd"/>
      <w:r w:rsidRPr="005A46DF">
        <w:rPr>
          <w:sz w:val="24"/>
          <w:szCs w:val="24"/>
        </w:rPr>
        <w:t>/</w:t>
      </w:r>
      <w:proofErr w:type="spellStart"/>
      <w:r w:rsidRPr="005A46DF">
        <w:rPr>
          <w:sz w:val="24"/>
          <w:szCs w:val="24"/>
        </w:rPr>
        <w:t>cholecalciferol</w:t>
      </w:r>
      <w:proofErr w:type="spellEnd"/>
      <w:r w:rsidRPr="005A46DF">
        <w:rPr>
          <w:sz w:val="24"/>
          <w:szCs w:val="24"/>
        </w:rPr>
        <w:t xml:space="preserve"> 70 mg/2.800 IE tabletter efter en nats faste og to timer før et måltid, var det gennemsnitlige areal under kurven for serum-koncentration-tid (AUC</w:t>
      </w:r>
      <w:r w:rsidRPr="005A46DF">
        <w:rPr>
          <w:sz w:val="24"/>
          <w:szCs w:val="24"/>
          <w:vertAlign w:val="subscript"/>
        </w:rPr>
        <w:t>0-120 timer</w:t>
      </w:r>
      <w:r w:rsidRPr="005A46DF">
        <w:rPr>
          <w:sz w:val="24"/>
          <w:szCs w:val="24"/>
        </w:rPr>
        <w:t>) for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>- vitamin (ikke justeret for endogene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>-vitamin</w:t>
      </w:r>
      <w:r>
        <w:rPr>
          <w:sz w:val="24"/>
          <w:szCs w:val="24"/>
        </w:rPr>
        <w:softHyphen/>
      </w:r>
      <w:r w:rsidRPr="005A46DF">
        <w:rPr>
          <w:sz w:val="24"/>
          <w:szCs w:val="24"/>
        </w:rPr>
        <w:t xml:space="preserve">niveauer) hos raske voksne forsøgspersoner (mænd og kvinder) 296,4 </w:t>
      </w:r>
      <w:proofErr w:type="spellStart"/>
      <w:r w:rsidRPr="005A46DF">
        <w:rPr>
          <w:sz w:val="24"/>
          <w:szCs w:val="24"/>
        </w:rPr>
        <w:t>ng</w:t>
      </w:r>
      <w:proofErr w:type="spellEnd"/>
      <w:r w:rsidRPr="005A46DF">
        <w:rPr>
          <w:sz w:val="24"/>
          <w:szCs w:val="24"/>
          <w:lang w:val="en-US"/>
        </w:rPr>
        <w:t>·</w:t>
      </w:r>
      <w:r w:rsidRPr="005A46DF">
        <w:rPr>
          <w:sz w:val="24"/>
          <w:szCs w:val="24"/>
        </w:rPr>
        <w:t>time/ml. Gennemsnitlig maksimal serumkoncentration (</w:t>
      </w:r>
      <w:proofErr w:type="spellStart"/>
      <w:r w:rsidRPr="005A46DF">
        <w:rPr>
          <w:sz w:val="24"/>
          <w:szCs w:val="24"/>
        </w:rPr>
        <w:t>C</w:t>
      </w:r>
      <w:r w:rsidRPr="005A46DF">
        <w:rPr>
          <w:sz w:val="24"/>
          <w:szCs w:val="24"/>
          <w:vertAlign w:val="subscript"/>
        </w:rPr>
        <w:t>max</w:t>
      </w:r>
      <w:proofErr w:type="spellEnd"/>
      <w:r w:rsidRPr="005A46DF">
        <w:rPr>
          <w:sz w:val="24"/>
          <w:szCs w:val="24"/>
        </w:rPr>
        <w:t>) for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 xml:space="preserve">-vitamin var 5,9 </w:t>
      </w:r>
      <w:proofErr w:type="spellStart"/>
      <w:r w:rsidRPr="005A46DF">
        <w:rPr>
          <w:sz w:val="24"/>
          <w:szCs w:val="24"/>
        </w:rPr>
        <w:t>ng</w:t>
      </w:r>
      <w:proofErr w:type="spellEnd"/>
      <w:r w:rsidRPr="005A46DF">
        <w:rPr>
          <w:sz w:val="24"/>
          <w:szCs w:val="24"/>
        </w:rPr>
        <w:t>/ml, og den gennemsnitlige tid til maksimal serumkoncentration (</w:t>
      </w:r>
      <w:proofErr w:type="spellStart"/>
      <w:r w:rsidRPr="005A46DF">
        <w:rPr>
          <w:sz w:val="24"/>
          <w:szCs w:val="24"/>
        </w:rPr>
        <w:t>T</w:t>
      </w:r>
      <w:r w:rsidRPr="005A46DF">
        <w:rPr>
          <w:sz w:val="24"/>
          <w:szCs w:val="24"/>
          <w:vertAlign w:val="subscript"/>
        </w:rPr>
        <w:t>max</w:t>
      </w:r>
      <w:proofErr w:type="spellEnd"/>
      <w:r w:rsidRPr="005A46DF">
        <w:rPr>
          <w:sz w:val="24"/>
          <w:szCs w:val="24"/>
        </w:rPr>
        <w:t>) var 12 timer.</w:t>
      </w:r>
    </w:p>
    <w:p w:rsidR="009C0B06" w:rsidRPr="005A46DF" w:rsidRDefault="009C0B06" w:rsidP="009C0B06">
      <w:pPr>
        <w:ind w:left="851"/>
        <w:rPr>
          <w:sz w:val="24"/>
          <w:szCs w:val="24"/>
        </w:rPr>
      </w:pPr>
      <w:r w:rsidRPr="005A46DF">
        <w:rPr>
          <w:sz w:val="24"/>
          <w:szCs w:val="24"/>
        </w:rPr>
        <w:t>Biotilgængeligheden for 2.800 IE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 xml:space="preserve">-vitamin i </w:t>
      </w:r>
      <w:proofErr w:type="spellStart"/>
      <w:r w:rsidRPr="005A46DF">
        <w:rPr>
          <w:sz w:val="24"/>
          <w:szCs w:val="24"/>
        </w:rPr>
        <w:t>alendronsyre</w:t>
      </w:r>
      <w:proofErr w:type="spellEnd"/>
      <w:r w:rsidRPr="005A46DF">
        <w:rPr>
          <w:sz w:val="24"/>
          <w:szCs w:val="24"/>
        </w:rPr>
        <w:t>/</w:t>
      </w:r>
      <w:proofErr w:type="spellStart"/>
      <w:r w:rsidRPr="005A46DF">
        <w:rPr>
          <w:sz w:val="24"/>
          <w:szCs w:val="24"/>
        </w:rPr>
        <w:t>cholecalciferol</w:t>
      </w:r>
      <w:proofErr w:type="spellEnd"/>
      <w:r w:rsidRPr="005A46DF">
        <w:rPr>
          <w:sz w:val="24"/>
          <w:szCs w:val="24"/>
        </w:rPr>
        <w:t xml:space="preserve"> er lig med 2.800 IE D</w:t>
      </w:r>
      <w:r w:rsidRPr="005A46DF">
        <w:rPr>
          <w:sz w:val="24"/>
          <w:szCs w:val="24"/>
          <w:vertAlign w:val="subscript"/>
        </w:rPr>
        <w:t>3</w:t>
      </w:r>
      <w:r w:rsidRPr="005A46DF">
        <w:rPr>
          <w:sz w:val="24"/>
          <w:szCs w:val="24"/>
        </w:rPr>
        <w:t>-vitamin, administreret alene.</w:t>
      </w:r>
    </w:p>
    <w:p w:rsidR="009C0B06" w:rsidRPr="0080085F" w:rsidRDefault="009C0B06" w:rsidP="009C0B06">
      <w:pPr>
        <w:ind w:left="851"/>
        <w:rPr>
          <w:sz w:val="24"/>
          <w:szCs w:val="24"/>
        </w:rPr>
      </w:pPr>
    </w:p>
    <w:p w:rsidR="009C0B06" w:rsidRPr="004950B8" w:rsidRDefault="004950B8" w:rsidP="009C0B06">
      <w:pPr>
        <w:ind w:left="851"/>
        <w:rPr>
          <w:i/>
          <w:sz w:val="24"/>
          <w:szCs w:val="24"/>
        </w:rPr>
      </w:pPr>
      <w:r w:rsidRPr="004950B8">
        <w:rPr>
          <w:i/>
          <w:sz w:val="24"/>
          <w:szCs w:val="24"/>
        </w:rPr>
        <w:t xml:space="preserve">- </w:t>
      </w:r>
      <w:r w:rsidR="009C0B06" w:rsidRPr="004950B8">
        <w:rPr>
          <w:i/>
          <w:sz w:val="24"/>
          <w:szCs w:val="24"/>
        </w:rPr>
        <w:t>70 mg/5.600 IE</w:t>
      </w:r>
    </w:p>
    <w:p w:rsidR="009C0B06" w:rsidRPr="005A46DF" w:rsidRDefault="009C0B06" w:rsidP="009C0B06">
      <w:pPr>
        <w:ind w:left="851"/>
        <w:rPr>
          <w:iCs/>
          <w:sz w:val="24"/>
          <w:szCs w:val="24"/>
        </w:rPr>
      </w:pPr>
      <w:r w:rsidRPr="005A46DF">
        <w:rPr>
          <w:iCs/>
          <w:sz w:val="24"/>
          <w:szCs w:val="24"/>
        </w:rPr>
        <w:t xml:space="preserve">Ved administration af </w:t>
      </w:r>
      <w:proofErr w:type="spellStart"/>
      <w:r w:rsidRPr="005A46DF">
        <w:rPr>
          <w:iCs/>
          <w:sz w:val="24"/>
          <w:szCs w:val="24"/>
        </w:rPr>
        <w:t>alendronsyre</w:t>
      </w:r>
      <w:proofErr w:type="spellEnd"/>
      <w:r w:rsidRPr="005A46DF">
        <w:rPr>
          <w:iCs/>
          <w:sz w:val="24"/>
          <w:szCs w:val="24"/>
        </w:rPr>
        <w:t>/</w:t>
      </w:r>
      <w:proofErr w:type="spellStart"/>
      <w:r w:rsidRPr="005A46DF">
        <w:rPr>
          <w:iCs/>
          <w:sz w:val="24"/>
          <w:szCs w:val="24"/>
        </w:rPr>
        <w:t>cholecalciferol</w:t>
      </w:r>
      <w:proofErr w:type="spellEnd"/>
      <w:r w:rsidRPr="005A46DF">
        <w:rPr>
          <w:iCs/>
          <w:sz w:val="24"/>
          <w:szCs w:val="24"/>
        </w:rPr>
        <w:t xml:space="preserve"> 70 mg/5.600 IE tabletter efter en nats faste og to timer før et måltid, var det gennemsnitlige areal under kurven for serum-koncentration-tid (AUC</w:t>
      </w:r>
      <w:r w:rsidRPr="005A46DF">
        <w:rPr>
          <w:iCs/>
          <w:sz w:val="24"/>
          <w:szCs w:val="24"/>
          <w:vertAlign w:val="subscript"/>
        </w:rPr>
        <w:t>0-80 timer</w:t>
      </w:r>
      <w:r w:rsidRPr="005A46DF">
        <w:rPr>
          <w:iCs/>
          <w:sz w:val="24"/>
          <w:szCs w:val="24"/>
        </w:rPr>
        <w:t>) for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>- vitamin (ikke justeret for endogene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>-vitamin</w:t>
      </w:r>
      <w:r>
        <w:rPr>
          <w:iCs/>
          <w:sz w:val="24"/>
          <w:szCs w:val="24"/>
        </w:rPr>
        <w:softHyphen/>
      </w:r>
      <w:r w:rsidRPr="005A46DF">
        <w:rPr>
          <w:iCs/>
          <w:sz w:val="24"/>
          <w:szCs w:val="24"/>
        </w:rPr>
        <w:t xml:space="preserve">niveauer) hos raske voksne forsøgspersoner (mænd og kvinder) 490,2 </w:t>
      </w:r>
      <w:proofErr w:type="spellStart"/>
      <w:r w:rsidRPr="005A46DF">
        <w:rPr>
          <w:iCs/>
          <w:sz w:val="24"/>
          <w:szCs w:val="24"/>
        </w:rPr>
        <w:t>ng</w:t>
      </w:r>
      <w:proofErr w:type="spellEnd"/>
      <w:r w:rsidRPr="005A46DF">
        <w:rPr>
          <w:iCs/>
          <w:sz w:val="24"/>
          <w:szCs w:val="24"/>
          <w:lang w:val="en-US"/>
        </w:rPr>
        <w:t>·</w:t>
      </w:r>
      <w:r w:rsidRPr="005A46DF">
        <w:rPr>
          <w:iCs/>
          <w:sz w:val="24"/>
          <w:szCs w:val="24"/>
        </w:rPr>
        <w:t>time/ml. Gennemsnitlig maksimal serumkoncentration (</w:t>
      </w:r>
      <w:proofErr w:type="spellStart"/>
      <w:r w:rsidRPr="005A46DF">
        <w:rPr>
          <w:iCs/>
          <w:sz w:val="24"/>
          <w:szCs w:val="24"/>
        </w:rPr>
        <w:t>C</w:t>
      </w:r>
      <w:r w:rsidRPr="005A46DF">
        <w:rPr>
          <w:iCs/>
          <w:sz w:val="24"/>
          <w:szCs w:val="24"/>
          <w:vertAlign w:val="subscript"/>
        </w:rPr>
        <w:t>max</w:t>
      </w:r>
      <w:proofErr w:type="spellEnd"/>
      <w:r w:rsidRPr="005A46DF">
        <w:rPr>
          <w:iCs/>
          <w:sz w:val="24"/>
          <w:szCs w:val="24"/>
        </w:rPr>
        <w:t>) for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 xml:space="preserve">-vitamin var 12,2 </w:t>
      </w:r>
      <w:proofErr w:type="spellStart"/>
      <w:r w:rsidRPr="005A46DF">
        <w:rPr>
          <w:iCs/>
          <w:sz w:val="24"/>
          <w:szCs w:val="24"/>
        </w:rPr>
        <w:t>ng</w:t>
      </w:r>
      <w:proofErr w:type="spellEnd"/>
      <w:r w:rsidRPr="005A46DF">
        <w:rPr>
          <w:iCs/>
          <w:sz w:val="24"/>
          <w:szCs w:val="24"/>
        </w:rPr>
        <w:t>/ml, og den gennemsnitlige tid til maksimal serumkoncentration (</w:t>
      </w:r>
      <w:proofErr w:type="spellStart"/>
      <w:r w:rsidRPr="005A46DF">
        <w:rPr>
          <w:iCs/>
          <w:sz w:val="24"/>
          <w:szCs w:val="24"/>
        </w:rPr>
        <w:t>T</w:t>
      </w:r>
      <w:r w:rsidRPr="005A46DF">
        <w:rPr>
          <w:iCs/>
          <w:sz w:val="24"/>
          <w:szCs w:val="24"/>
          <w:vertAlign w:val="subscript"/>
        </w:rPr>
        <w:t>max</w:t>
      </w:r>
      <w:proofErr w:type="spellEnd"/>
      <w:r w:rsidRPr="005A46DF">
        <w:rPr>
          <w:iCs/>
          <w:sz w:val="24"/>
          <w:szCs w:val="24"/>
        </w:rPr>
        <w:t>) var 10,6 timer.</w:t>
      </w:r>
    </w:p>
    <w:p w:rsidR="009C0B06" w:rsidRPr="005A46DF" w:rsidRDefault="009C0B06" w:rsidP="009C0B06">
      <w:pPr>
        <w:ind w:left="851"/>
        <w:rPr>
          <w:iCs/>
          <w:sz w:val="24"/>
          <w:szCs w:val="24"/>
        </w:rPr>
      </w:pPr>
      <w:r w:rsidRPr="005A46DF">
        <w:rPr>
          <w:iCs/>
          <w:sz w:val="24"/>
          <w:szCs w:val="24"/>
        </w:rPr>
        <w:t>Biotilgængeligheden for 5.600 IE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 xml:space="preserve">-vitamin i </w:t>
      </w:r>
      <w:proofErr w:type="spellStart"/>
      <w:r w:rsidRPr="005A46DF">
        <w:rPr>
          <w:iCs/>
          <w:sz w:val="24"/>
          <w:szCs w:val="24"/>
        </w:rPr>
        <w:t>alendronsyre</w:t>
      </w:r>
      <w:proofErr w:type="spellEnd"/>
      <w:r w:rsidRPr="005A46DF">
        <w:rPr>
          <w:iCs/>
          <w:sz w:val="24"/>
          <w:szCs w:val="24"/>
        </w:rPr>
        <w:t>/</w:t>
      </w:r>
      <w:proofErr w:type="spellStart"/>
      <w:r w:rsidRPr="005A46DF">
        <w:rPr>
          <w:iCs/>
          <w:sz w:val="24"/>
          <w:szCs w:val="24"/>
        </w:rPr>
        <w:t>cholecalciferol</w:t>
      </w:r>
      <w:proofErr w:type="spellEnd"/>
      <w:r w:rsidRPr="005A46DF">
        <w:rPr>
          <w:iCs/>
          <w:sz w:val="24"/>
          <w:szCs w:val="24"/>
        </w:rPr>
        <w:t xml:space="preserve"> er lig med 5.600 IE D</w:t>
      </w:r>
      <w:r w:rsidRPr="005A46DF">
        <w:rPr>
          <w:iCs/>
          <w:sz w:val="24"/>
          <w:szCs w:val="24"/>
          <w:vertAlign w:val="subscript"/>
        </w:rPr>
        <w:t>3</w:t>
      </w:r>
      <w:r w:rsidRPr="005A46DF">
        <w:rPr>
          <w:iCs/>
          <w:sz w:val="24"/>
          <w:szCs w:val="24"/>
        </w:rPr>
        <w:t>-vitamin, administreret alene.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Fordeling</w:t>
      </w:r>
    </w:p>
    <w:p w:rsidR="009C0B06" w:rsidRPr="00B8254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Efter absorption går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ind i blodet som en del af </w:t>
      </w:r>
      <w:proofErr w:type="spellStart"/>
      <w:r w:rsidRPr="00A83915">
        <w:rPr>
          <w:sz w:val="24"/>
          <w:szCs w:val="24"/>
        </w:rPr>
        <w:t>chylomikronerne</w:t>
      </w:r>
      <w:proofErr w:type="spellEnd"/>
      <w:r w:rsidRPr="00A83915">
        <w:rPr>
          <w:sz w:val="24"/>
          <w:szCs w:val="24"/>
        </w:rPr>
        <w:t>.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fordeles hurtigt til hovedsageligt leveren, hvor det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til 25-hydroxyvitamin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, den væsentligste oplagringsform. Mindre mængder distribueres til det adipøse væv og muskelvævet og oplagres som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på disse steder for senere frigivelse til kredsløbet. </w:t>
      </w:r>
      <w:r w:rsidRPr="00B82545">
        <w:rPr>
          <w:sz w:val="24"/>
          <w:szCs w:val="24"/>
        </w:rPr>
        <w:t>Cirkulerende D</w:t>
      </w:r>
      <w:r w:rsidRPr="00B82545">
        <w:rPr>
          <w:sz w:val="24"/>
          <w:szCs w:val="24"/>
          <w:vertAlign w:val="subscript"/>
        </w:rPr>
        <w:t>3</w:t>
      </w:r>
      <w:r w:rsidRPr="00B82545">
        <w:rPr>
          <w:sz w:val="24"/>
          <w:szCs w:val="24"/>
        </w:rPr>
        <w:t>-vitamin bindes til vitamin D-bindende protein.</w:t>
      </w:r>
    </w:p>
    <w:p w:rsidR="009C0B06" w:rsidRPr="00B8254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Biotransformation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hurtigt ved </w:t>
      </w:r>
      <w:proofErr w:type="spellStart"/>
      <w:r w:rsidRPr="00A83915">
        <w:rPr>
          <w:sz w:val="24"/>
          <w:szCs w:val="24"/>
        </w:rPr>
        <w:t>hydroxylering</w:t>
      </w:r>
      <w:proofErr w:type="spellEnd"/>
      <w:r w:rsidRPr="00A83915">
        <w:rPr>
          <w:sz w:val="24"/>
          <w:szCs w:val="24"/>
        </w:rPr>
        <w:t xml:space="preserve"> i leveren til 25-hydroxyvitamin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metaboliseres</w:t>
      </w:r>
      <w:proofErr w:type="spellEnd"/>
      <w:r w:rsidRPr="00A83915">
        <w:rPr>
          <w:sz w:val="24"/>
          <w:szCs w:val="24"/>
        </w:rPr>
        <w:t xml:space="preserve"> efterfølgende i nyrerne til 1,25-dihydroxyvitamin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, som repræsenterer den </w:t>
      </w:r>
      <w:r w:rsidRPr="00A83915">
        <w:rPr>
          <w:sz w:val="24"/>
          <w:szCs w:val="24"/>
        </w:rPr>
        <w:lastRenderedPageBreak/>
        <w:t>biologisk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aktive form. Yderligere </w:t>
      </w:r>
      <w:proofErr w:type="spellStart"/>
      <w:r w:rsidRPr="00A83915">
        <w:rPr>
          <w:sz w:val="24"/>
          <w:szCs w:val="24"/>
        </w:rPr>
        <w:t>hydroxylering</w:t>
      </w:r>
      <w:proofErr w:type="spellEnd"/>
      <w:r w:rsidRPr="00A83915">
        <w:rPr>
          <w:sz w:val="24"/>
          <w:szCs w:val="24"/>
        </w:rPr>
        <w:t xml:space="preserve"> forekommer før elimination. For en lille procentdel af D</w:t>
      </w:r>
      <w:r w:rsidRPr="00A707A7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sker der en </w:t>
      </w:r>
      <w:proofErr w:type="spellStart"/>
      <w:r w:rsidRPr="00A83915">
        <w:rPr>
          <w:sz w:val="24"/>
          <w:szCs w:val="24"/>
        </w:rPr>
        <w:t>glucuronidisering</w:t>
      </w:r>
      <w:proofErr w:type="spellEnd"/>
      <w:r w:rsidRPr="00A83915">
        <w:rPr>
          <w:sz w:val="24"/>
          <w:szCs w:val="24"/>
        </w:rPr>
        <w:t xml:space="preserve"> før elimination.</w:t>
      </w: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Elimination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Når radioaktivt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>-vitamin administreredes til raske forsøgspersoner, var den gennemsnitlige radioaktivitet i urinen efter 48 timer 2,4 %, og den gennemsnitlige radioaktivitet i fæces efter 4 dage var 4,9 %. I begge tilfælde bestod den udskilte radioaktivitet næsten udelukkende af metabolitter fra modermetabolitten. Gennemsnitlig halveringstid for D</w:t>
      </w:r>
      <w:r w:rsidRPr="00A83915">
        <w:rPr>
          <w:sz w:val="24"/>
          <w:szCs w:val="24"/>
          <w:vertAlign w:val="subscript"/>
        </w:rPr>
        <w:t>3</w:t>
      </w:r>
      <w:r w:rsidRPr="00A83915">
        <w:rPr>
          <w:sz w:val="24"/>
          <w:szCs w:val="24"/>
        </w:rPr>
        <w:t xml:space="preserve">-vitamin i serum efter oral dosis </w:t>
      </w:r>
      <w:r w:rsidRPr="00A83915">
        <w:rPr>
          <w:noProof/>
          <w:sz w:val="24"/>
          <w:szCs w:val="24"/>
        </w:rPr>
        <w:t>alendronsyre/cholecalciferol</w:t>
      </w:r>
      <w:r w:rsidRPr="00A83915">
        <w:rPr>
          <w:rFonts w:eastAsia="TimesNewRoman,Italic"/>
          <w:sz w:val="24"/>
          <w:szCs w:val="24"/>
          <w:lang w:eastAsia="el-GR"/>
        </w:rPr>
        <w:t xml:space="preserve"> </w:t>
      </w:r>
      <w:r w:rsidRPr="00A83915">
        <w:rPr>
          <w:sz w:val="24"/>
          <w:szCs w:val="24"/>
        </w:rPr>
        <w:t>(70 mg/2.800 IE) er ca. 24 timer.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i/>
          <w:iCs/>
          <w:sz w:val="24"/>
          <w:szCs w:val="24"/>
        </w:rPr>
      </w:pPr>
      <w:r w:rsidRPr="00A83915">
        <w:rPr>
          <w:i/>
          <w:iCs/>
          <w:sz w:val="24"/>
          <w:szCs w:val="24"/>
        </w:rPr>
        <w:t>Nedsat nyrefunktion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Prækliniske undersøgelser viser, at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>, der ikke deponeres i knoglen, hurtigt udskilles i urinen.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Der er ikke vist mætning af knogleoptagelsen efter kronisk dosering med kumulative, intravenøse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doser på op til 35 mg/kg hos dyr. Der foreligger ingen kliniske data herfor, men det er sandsynligt at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eliminationen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via nyrerne, ligesom hos dyr, vil være reduceret hos patienter med nedsat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 xml:space="preserve">nyrefunktion. Der kan derfor muligvis forventes en noget større akkumulering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i knogler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hos mennesker med nedsat nyrefunktion (se pkt. 4.2).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A1804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Der er ikke udført non-kliniske studier med kombination af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og </w:t>
      </w:r>
      <w:proofErr w:type="spellStart"/>
      <w:r w:rsidRPr="00A83915">
        <w:rPr>
          <w:sz w:val="24"/>
          <w:szCs w:val="24"/>
        </w:rPr>
        <w:t>cholecalciferol</w:t>
      </w:r>
      <w:proofErr w:type="spellEnd"/>
      <w:r w:rsidRPr="00A83915">
        <w:rPr>
          <w:sz w:val="24"/>
          <w:szCs w:val="24"/>
        </w:rPr>
        <w:t>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Alendronat</w:t>
      </w:r>
      <w:proofErr w:type="spellEnd"/>
    </w:p>
    <w:p w:rsidR="009C0B06" w:rsidRPr="00A83915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 xml:space="preserve">Non-kliniske data har ikke afsløret særlig risiko for mennesker, baseret på konventionelle undersøgelser af sikkerhedsfarmakologi, toksicitet ved gentagne doser, genotoksicitet og </w:t>
      </w:r>
      <w:proofErr w:type="spellStart"/>
      <w:r w:rsidRPr="00A83915">
        <w:rPr>
          <w:sz w:val="24"/>
          <w:szCs w:val="24"/>
        </w:rPr>
        <w:t>carcinogent</w:t>
      </w:r>
      <w:proofErr w:type="spellEnd"/>
      <w:r w:rsidRPr="00A83915">
        <w:rPr>
          <w:sz w:val="24"/>
          <w:szCs w:val="24"/>
        </w:rPr>
        <w:t xml:space="preserve"> potentiale. Undersøgelser med rotter har vist, at behandling med </w:t>
      </w:r>
      <w:proofErr w:type="spellStart"/>
      <w:r w:rsidRPr="00A83915">
        <w:rPr>
          <w:sz w:val="24"/>
          <w:szCs w:val="24"/>
        </w:rPr>
        <w:t>alendronat</w:t>
      </w:r>
      <w:proofErr w:type="spellEnd"/>
      <w:r w:rsidRPr="00A83915">
        <w:rPr>
          <w:sz w:val="24"/>
          <w:szCs w:val="24"/>
        </w:rPr>
        <w:t xml:space="preserve"> under graviditet var associeret med </w:t>
      </w:r>
      <w:proofErr w:type="spellStart"/>
      <w:r w:rsidRPr="00A83915">
        <w:rPr>
          <w:sz w:val="24"/>
          <w:szCs w:val="24"/>
        </w:rPr>
        <w:t>hypocalciæmirelateret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dystocia</w:t>
      </w:r>
      <w:proofErr w:type="spellEnd"/>
      <w:r w:rsidRPr="00A83915">
        <w:rPr>
          <w:sz w:val="24"/>
          <w:szCs w:val="24"/>
        </w:rPr>
        <w:t xml:space="preserve"> hos hunrotter. I undersøgelser har rotter, der har fået høje doser, øget </w:t>
      </w:r>
      <w:proofErr w:type="spellStart"/>
      <w:r w:rsidRPr="00A83915">
        <w:rPr>
          <w:sz w:val="24"/>
          <w:szCs w:val="24"/>
        </w:rPr>
        <w:t>incidens</w:t>
      </w:r>
      <w:proofErr w:type="spellEnd"/>
      <w:r w:rsidRPr="00A83915">
        <w:rPr>
          <w:sz w:val="24"/>
          <w:szCs w:val="24"/>
        </w:rPr>
        <w:t xml:space="preserve"> af </w:t>
      </w:r>
      <w:proofErr w:type="spellStart"/>
      <w:r w:rsidRPr="00A83915">
        <w:rPr>
          <w:sz w:val="24"/>
          <w:szCs w:val="24"/>
        </w:rPr>
        <w:t>inkomplet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føtal</w:t>
      </w:r>
      <w:proofErr w:type="spellEnd"/>
      <w:r w:rsidRPr="00A83915">
        <w:rPr>
          <w:sz w:val="24"/>
          <w:szCs w:val="24"/>
        </w:rPr>
        <w:t xml:space="preserve"> </w:t>
      </w:r>
      <w:proofErr w:type="spellStart"/>
      <w:r w:rsidRPr="00A83915">
        <w:rPr>
          <w:sz w:val="24"/>
          <w:szCs w:val="24"/>
        </w:rPr>
        <w:t>ossifikation</w:t>
      </w:r>
      <w:proofErr w:type="spellEnd"/>
      <w:r w:rsidRPr="00A83915">
        <w:rPr>
          <w:sz w:val="24"/>
          <w:szCs w:val="24"/>
        </w:rPr>
        <w:t>. Det vides ikke, om dette er relevant for mennesker.</w:t>
      </w:r>
    </w:p>
    <w:p w:rsidR="009C0B06" w:rsidRPr="00A83915" w:rsidRDefault="009C0B06" w:rsidP="009C0B06">
      <w:pPr>
        <w:ind w:left="851"/>
        <w:rPr>
          <w:sz w:val="24"/>
          <w:szCs w:val="24"/>
        </w:rPr>
      </w:pPr>
    </w:p>
    <w:p w:rsidR="009C0B06" w:rsidRPr="00A83915" w:rsidRDefault="009C0B06" w:rsidP="009C0B06">
      <w:pPr>
        <w:ind w:left="851"/>
        <w:rPr>
          <w:sz w:val="24"/>
          <w:szCs w:val="24"/>
          <w:u w:val="single"/>
        </w:rPr>
      </w:pPr>
      <w:proofErr w:type="spellStart"/>
      <w:r w:rsidRPr="00A83915">
        <w:rPr>
          <w:sz w:val="24"/>
          <w:szCs w:val="24"/>
          <w:u w:val="single"/>
        </w:rPr>
        <w:t>Cholecalciferol</w:t>
      </w:r>
      <w:proofErr w:type="spellEnd"/>
    </w:p>
    <w:p w:rsidR="009C0B06" w:rsidRPr="002269FF" w:rsidRDefault="009C0B06" w:rsidP="009C0B06">
      <w:pPr>
        <w:ind w:left="851"/>
        <w:rPr>
          <w:sz w:val="24"/>
          <w:szCs w:val="24"/>
        </w:rPr>
      </w:pPr>
      <w:r w:rsidRPr="00A83915">
        <w:rPr>
          <w:sz w:val="24"/>
          <w:szCs w:val="24"/>
        </w:rPr>
        <w:t>Ved doser, der er meget højere end virkningsbredden for mennesker, er der observeret</w:t>
      </w:r>
      <w:r>
        <w:rPr>
          <w:sz w:val="24"/>
          <w:szCs w:val="24"/>
        </w:rPr>
        <w:t xml:space="preserve"> </w:t>
      </w:r>
      <w:r w:rsidRPr="00A83915">
        <w:rPr>
          <w:sz w:val="24"/>
          <w:szCs w:val="24"/>
        </w:rPr>
        <w:t>reproduktionstoksicitet i dyreundersøgelser.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C0B06" w:rsidRPr="00BA09F1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9C0B06" w:rsidRPr="00D869E3" w:rsidRDefault="009C0B06" w:rsidP="009C0B06">
      <w:pPr>
        <w:widowControl w:val="0"/>
        <w:tabs>
          <w:tab w:val="left" w:pos="567"/>
        </w:tabs>
        <w:ind w:left="851"/>
        <w:rPr>
          <w:sz w:val="24"/>
          <w:szCs w:val="24"/>
        </w:rPr>
      </w:pPr>
      <w:proofErr w:type="spellStart"/>
      <w:r w:rsidRPr="00D869E3">
        <w:rPr>
          <w:sz w:val="24"/>
          <w:szCs w:val="24"/>
        </w:rPr>
        <w:t>Lactose</w:t>
      </w:r>
      <w:proofErr w:type="spellEnd"/>
    </w:p>
    <w:p w:rsidR="009C0B06" w:rsidRPr="00D869E3" w:rsidRDefault="009C0B06" w:rsidP="009C0B06">
      <w:pPr>
        <w:pStyle w:val="Brdtekst"/>
        <w:ind w:left="851"/>
        <w:rPr>
          <w:sz w:val="24"/>
          <w:szCs w:val="24"/>
          <w:lang w:val="da-DK"/>
        </w:rPr>
      </w:pPr>
      <w:r w:rsidRPr="00D869E3">
        <w:rPr>
          <w:sz w:val="24"/>
          <w:szCs w:val="24"/>
          <w:lang w:val="da-DK"/>
        </w:rPr>
        <w:t>Mikrokrystallinsk cellulose</w:t>
      </w:r>
    </w:p>
    <w:p w:rsidR="009C0B06" w:rsidRPr="00276496" w:rsidRDefault="009C0B06" w:rsidP="009C0B06">
      <w:pPr>
        <w:widowControl w:val="0"/>
        <w:tabs>
          <w:tab w:val="left" w:pos="567"/>
        </w:tabs>
        <w:ind w:left="851"/>
        <w:rPr>
          <w:sz w:val="24"/>
          <w:szCs w:val="24"/>
          <w:lang w:val="en-US"/>
        </w:rPr>
      </w:pPr>
      <w:proofErr w:type="spellStart"/>
      <w:r w:rsidRPr="00276496">
        <w:rPr>
          <w:sz w:val="24"/>
          <w:szCs w:val="24"/>
          <w:lang w:val="en-US"/>
        </w:rPr>
        <w:t>Croscarmellosenatrium</w:t>
      </w:r>
      <w:proofErr w:type="spellEnd"/>
      <w:r w:rsidRPr="00276496">
        <w:rPr>
          <w:sz w:val="24"/>
          <w:szCs w:val="24"/>
          <w:lang w:val="en-US"/>
        </w:rPr>
        <w:t xml:space="preserve"> </w:t>
      </w:r>
    </w:p>
    <w:p w:rsidR="009C0B06" w:rsidRPr="00276496" w:rsidRDefault="009C0B06" w:rsidP="009C0B06">
      <w:pPr>
        <w:widowControl w:val="0"/>
        <w:tabs>
          <w:tab w:val="left" w:pos="567"/>
        </w:tabs>
        <w:ind w:left="851"/>
        <w:rPr>
          <w:sz w:val="24"/>
          <w:szCs w:val="24"/>
          <w:lang w:val="en-US"/>
        </w:rPr>
      </w:pPr>
      <w:proofErr w:type="spellStart"/>
      <w:r w:rsidRPr="00276496">
        <w:rPr>
          <w:sz w:val="24"/>
          <w:szCs w:val="24"/>
          <w:lang w:val="en-US"/>
        </w:rPr>
        <w:t>Magnesiumstearat</w:t>
      </w:r>
      <w:proofErr w:type="spellEnd"/>
      <w:r w:rsidRPr="00276496">
        <w:rPr>
          <w:sz w:val="24"/>
          <w:szCs w:val="24"/>
          <w:lang w:val="en-US"/>
        </w:rPr>
        <w:t xml:space="preserve"> </w:t>
      </w:r>
    </w:p>
    <w:p w:rsidR="009C0B06" w:rsidRPr="00276496" w:rsidRDefault="009C0B06" w:rsidP="009C0B06">
      <w:pPr>
        <w:widowControl w:val="0"/>
        <w:tabs>
          <w:tab w:val="left" w:pos="567"/>
        </w:tabs>
        <w:ind w:left="851"/>
        <w:rPr>
          <w:sz w:val="24"/>
          <w:szCs w:val="24"/>
          <w:lang w:val="en-US"/>
        </w:rPr>
      </w:pPr>
      <w:proofErr w:type="spellStart"/>
      <w:r w:rsidRPr="00276496">
        <w:rPr>
          <w:sz w:val="24"/>
          <w:szCs w:val="24"/>
          <w:lang w:val="en-US"/>
        </w:rPr>
        <w:t>Solsikkeolie</w:t>
      </w:r>
      <w:proofErr w:type="spellEnd"/>
      <w:r w:rsidRPr="00276496">
        <w:rPr>
          <w:sz w:val="24"/>
          <w:szCs w:val="24"/>
          <w:lang w:val="en-US"/>
        </w:rPr>
        <w:t xml:space="preserve">, </w:t>
      </w:r>
      <w:proofErr w:type="spellStart"/>
      <w:r w:rsidRPr="00276496">
        <w:rPr>
          <w:sz w:val="24"/>
          <w:szCs w:val="24"/>
          <w:lang w:val="en-US"/>
        </w:rPr>
        <w:t>renset</w:t>
      </w:r>
      <w:proofErr w:type="spellEnd"/>
    </w:p>
    <w:p w:rsidR="009C0B06" w:rsidRPr="00276496" w:rsidRDefault="009C0B06" w:rsidP="009C0B06">
      <w:pPr>
        <w:widowControl w:val="0"/>
        <w:tabs>
          <w:tab w:val="left" w:pos="567"/>
        </w:tabs>
        <w:ind w:left="851"/>
        <w:rPr>
          <w:sz w:val="24"/>
          <w:szCs w:val="24"/>
          <w:lang w:val="en-US"/>
        </w:rPr>
      </w:pPr>
      <w:proofErr w:type="spellStart"/>
      <w:r w:rsidRPr="00276496">
        <w:rPr>
          <w:sz w:val="24"/>
          <w:szCs w:val="24"/>
          <w:lang w:val="en-US"/>
        </w:rPr>
        <w:t>Butylhydroxytoluen</w:t>
      </w:r>
      <w:proofErr w:type="spellEnd"/>
      <w:r w:rsidRPr="00276496">
        <w:rPr>
          <w:sz w:val="24"/>
          <w:szCs w:val="24"/>
          <w:lang w:val="en-US"/>
        </w:rPr>
        <w:t xml:space="preserve"> (BHT)-E321</w:t>
      </w:r>
    </w:p>
    <w:p w:rsidR="009C0B06" w:rsidRPr="00276496" w:rsidRDefault="009C0B06" w:rsidP="009C0B06">
      <w:pPr>
        <w:pStyle w:val="Brdtekst"/>
        <w:ind w:left="851"/>
        <w:rPr>
          <w:sz w:val="24"/>
          <w:szCs w:val="24"/>
        </w:rPr>
      </w:pPr>
      <w:proofErr w:type="spellStart"/>
      <w:r w:rsidRPr="00276496">
        <w:rPr>
          <w:sz w:val="24"/>
          <w:szCs w:val="24"/>
        </w:rPr>
        <w:t>Gelatine</w:t>
      </w:r>
      <w:proofErr w:type="spellEnd"/>
    </w:p>
    <w:p w:rsidR="009C0B06" w:rsidRPr="00276496" w:rsidRDefault="009C0B06" w:rsidP="009C0B06">
      <w:pPr>
        <w:pStyle w:val="Brdtekst"/>
        <w:ind w:left="851"/>
        <w:rPr>
          <w:sz w:val="24"/>
          <w:szCs w:val="24"/>
        </w:rPr>
      </w:pPr>
      <w:r w:rsidRPr="00276496">
        <w:rPr>
          <w:sz w:val="24"/>
          <w:szCs w:val="24"/>
        </w:rPr>
        <w:t>Saccharose</w:t>
      </w:r>
    </w:p>
    <w:p w:rsidR="009C0B06" w:rsidRPr="00D869E3" w:rsidRDefault="009C0B06" w:rsidP="009C0B06">
      <w:pPr>
        <w:pStyle w:val="Brdtekst"/>
        <w:ind w:left="851"/>
        <w:rPr>
          <w:sz w:val="24"/>
          <w:szCs w:val="24"/>
          <w:lang w:val="da-DK"/>
        </w:rPr>
      </w:pPr>
      <w:r w:rsidRPr="00D869E3">
        <w:rPr>
          <w:sz w:val="24"/>
          <w:szCs w:val="24"/>
          <w:lang w:val="da-DK"/>
        </w:rPr>
        <w:t>Majsstivelse</w:t>
      </w:r>
    </w:p>
    <w:p w:rsidR="009C0B06" w:rsidRPr="00D869E3" w:rsidRDefault="009C0B06" w:rsidP="009C0B06">
      <w:pPr>
        <w:pStyle w:val="Brdtekst"/>
        <w:ind w:left="851"/>
        <w:rPr>
          <w:sz w:val="24"/>
          <w:szCs w:val="24"/>
          <w:lang w:val="da-DK"/>
        </w:rPr>
      </w:pPr>
      <w:proofErr w:type="spellStart"/>
      <w:r w:rsidRPr="00D869E3">
        <w:rPr>
          <w:sz w:val="24"/>
          <w:szCs w:val="24"/>
          <w:lang w:val="da-DK"/>
        </w:rPr>
        <w:t>Aluminiummagnesiumsilicat</w:t>
      </w:r>
      <w:proofErr w:type="spellEnd"/>
    </w:p>
    <w:p w:rsidR="009C0B06" w:rsidRPr="00D869E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6.2</w:t>
      </w:r>
      <w:r w:rsidRPr="00C84483">
        <w:rPr>
          <w:b/>
          <w:sz w:val="24"/>
          <w:szCs w:val="24"/>
        </w:rPr>
        <w:tab/>
        <w:t>Uforligeligheder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  <w:r w:rsidRPr="002269FF">
        <w:rPr>
          <w:sz w:val="24"/>
          <w:szCs w:val="24"/>
        </w:rPr>
        <w:t>Ikke relevant.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C0B06" w:rsidRPr="002269FF" w:rsidRDefault="009C0B06" w:rsidP="009C0B06">
      <w:pPr>
        <w:ind w:left="851"/>
        <w:rPr>
          <w:spacing w:val="-3"/>
          <w:sz w:val="24"/>
          <w:szCs w:val="24"/>
        </w:rPr>
      </w:pPr>
      <w:r w:rsidRPr="002269FF">
        <w:rPr>
          <w:sz w:val="24"/>
          <w:szCs w:val="24"/>
        </w:rPr>
        <w:t>2 år</w:t>
      </w:r>
      <w:r>
        <w:rPr>
          <w:sz w:val="24"/>
          <w:szCs w:val="24"/>
        </w:rPr>
        <w:t>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C0B06" w:rsidRPr="002269FF" w:rsidRDefault="009C0B06" w:rsidP="009C0B06">
      <w:pPr>
        <w:ind w:left="851"/>
        <w:rPr>
          <w:sz w:val="24"/>
          <w:szCs w:val="24"/>
          <w:highlight w:val="yellow"/>
        </w:rPr>
      </w:pPr>
      <w:r w:rsidRPr="00A83915">
        <w:rPr>
          <w:noProof/>
          <w:sz w:val="24"/>
          <w:szCs w:val="24"/>
        </w:rPr>
        <w:t>Opbevares i den originale blisterpakning for at beskytte mod fugt og lys.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9C0B06" w:rsidRDefault="009C0B06" w:rsidP="009C0B06">
      <w:pPr>
        <w:suppressAutoHyphens/>
        <w:ind w:left="851"/>
        <w:rPr>
          <w:sz w:val="24"/>
          <w:szCs w:val="24"/>
        </w:rPr>
      </w:pPr>
      <w:r w:rsidRPr="00A83915">
        <w:rPr>
          <w:sz w:val="24"/>
          <w:szCs w:val="24"/>
        </w:rPr>
        <w:t>Aluminium/aluminium (PA/AL/PVC</w:t>
      </w:r>
      <w:r>
        <w:rPr>
          <w:sz w:val="24"/>
          <w:szCs w:val="24"/>
        </w:rPr>
        <w:t>-</w:t>
      </w:r>
      <w:r w:rsidRPr="00A83915">
        <w:rPr>
          <w:sz w:val="24"/>
          <w:szCs w:val="24"/>
        </w:rPr>
        <w:t>Aluminium)</w:t>
      </w:r>
      <w:r w:rsidRPr="002269FF">
        <w:rPr>
          <w:sz w:val="24"/>
          <w:szCs w:val="24"/>
        </w:rPr>
        <w:t xml:space="preserve"> </w:t>
      </w:r>
      <w:r>
        <w:rPr>
          <w:sz w:val="24"/>
          <w:szCs w:val="24"/>
        </w:rPr>
        <w:t>folie</w:t>
      </w:r>
      <w:r w:rsidRPr="002269FF">
        <w:rPr>
          <w:sz w:val="24"/>
          <w:szCs w:val="24"/>
        </w:rPr>
        <w:t>blisterkort</w:t>
      </w:r>
      <w:r w:rsidR="004950B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 </w:t>
      </w:r>
      <w:r w:rsidRPr="002269FF">
        <w:rPr>
          <w:sz w:val="24"/>
          <w:szCs w:val="24"/>
        </w:rPr>
        <w:t>papæske</w:t>
      </w:r>
      <w:r>
        <w:rPr>
          <w:sz w:val="24"/>
          <w:szCs w:val="24"/>
        </w:rPr>
        <w:t>.</w:t>
      </w:r>
    </w:p>
    <w:p w:rsidR="009C0B06" w:rsidRDefault="009C0B06" w:rsidP="009C0B06">
      <w:pPr>
        <w:suppressAutoHyphens/>
        <w:ind w:left="851"/>
        <w:rPr>
          <w:sz w:val="24"/>
          <w:szCs w:val="24"/>
        </w:rPr>
      </w:pPr>
    </w:p>
    <w:p w:rsidR="009C0B06" w:rsidRPr="002269FF" w:rsidRDefault="009C0B06" w:rsidP="009C0B06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A83915">
        <w:rPr>
          <w:sz w:val="24"/>
          <w:szCs w:val="24"/>
        </w:rPr>
        <w:t>4</w:t>
      </w:r>
      <w:r>
        <w:rPr>
          <w:sz w:val="24"/>
          <w:szCs w:val="24"/>
        </w:rPr>
        <w:t xml:space="preserve"> og 12 tabletter.</w:t>
      </w:r>
    </w:p>
    <w:p w:rsidR="009C0B06" w:rsidRPr="002269FF" w:rsidRDefault="009C0B06" w:rsidP="009C0B06">
      <w:pPr>
        <w:suppressAutoHyphens/>
        <w:ind w:left="851"/>
        <w:rPr>
          <w:sz w:val="24"/>
          <w:szCs w:val="24"/>
          <w:highlight w:val="yellow"/>
        </w:rPr>
      </w:pPr>
      <w:r w:rsidRPr="002269FF">
        <w:rPr>
          <w:sz w:val="24"/>
          <w:szCs w:val="24"/>
        </w:rPr>
        <w:t xml:space="preserve">Ikke alle pakningsstørrelser er nødvendigvis markedsført. </w:t>
      </w:r>
      <w:r w:rsidRPr="002269FF">
        <w:rPr>
          <w:sz w:val="24"/>
          <w:szCs w:val="24"/>
          <w:highlight w:val="yellow"/>
        </w:rPr>
        <w:t xml:space="preserve"> 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A1804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9C0B06" w:rsidRPr="002269FF" w:rsidRDefault="009C0B06" w:rsidP="009C0B06">
      <w:pPr>
        <w:ind w:left="851"/>
        <w:rPr>
          <w:sz w:val="24"/>
          <w:szCs w:val="24"/>
        </w:rPr>
      </w:pPr>
      <w:r w:rsidRPr="002269FF">
        <w:rPr>
          <w:sz w:val="24"/>
          <w:szCs w:val="24"/>
        </w:rPr>
        <w:t>Ingen særlige forholdsregler ved bortskaffelse.</w:t>
      </w:r>
    </w:p>
    <w:p w:rsidR="009C0B06" w:rsidRPr="00C84483" w:rsidRDefault="009C0B06" w:rsidP="009C0B0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9C0B06" w:rsidRDefault="009C0B06" w:rsidP="009C0B0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Stada Arzneimittel AG</w:t>
      </w:r>
    </w:p>
    <w:p w:rsidR="009C0B06" w:rsidRDefault="009C0B06" w:rsidP="009C0B0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Stadastrasse 2-18</w:t>
      </w:r>
    </w:p>
    <w:p w:rsidR="009C0B06" w:rsidRDefault="009C0B06" w:rsidP="009C0B0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61118 Bad Vilbel</w:t>
      </w:r>
    </w:p>
    <w:p w:rsidR="009C0B06" w:rsidRPr="002269FF" w:rsidRDefault="009C0B06" w:rsidP="009C0B06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Tyskland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A1804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C0B06" w:rsidRDefault="009C0B06" w:rsidP="009C0B06">
      <w:pPr>
        <w:tabs>
          <w:tab w:val="left" w:pos="851"/>
          <w:tab w:val="left" w:pos="3119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 mg/70 mikrogram:</w:t>
      </w:r>
      <w:r>
        <w:rPr>
          <w:sz w:val="24"/>
          <w:szCs w:val="24"/>
        </w:rPr>
        <w:tab/>
        <w:t>56543</w:t>
      </w:r>
    </w:p>
    <w:p w:rsidR="009C0B06" w:rsidRPr="00C84483" w:rsidRDefault="009C0B06" w:rsidP="009C0B06">
      <w:pPr>
        <w:tabs>
          <w:tab w:val="left" w:pos="851"/>
          <w:tab w:val="left" w:pos="3119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 mg/140 mikrogram:</w:t>
      </w:r>
      <w:r>
        <w:rPr>
          <w:sz w:val="24"/>
          <w:szCs w:val="24"/>
        </w:rPr>
        <w:tab/>
        <w:t>56544</w:t>
      </w:r>
    </w:p>
    <w:p w:rsidR="009C0B06" w:rsidRPr="00C84483" w:rsidRDefault="009C0B06" w:rsidP="009C0B0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C0B06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juli 2017</w:t>
      </w:r>
    </w:p>
    <w:p w:rsidR="009C0B06" w:rsidRPr="00C84483" w:rsidRDefault="009C0B06" w:rsidP="009C0B06">
      <w:pPr>
        <w:tabs>
          <w:tab w:val="left" w:pos="851"/>
        </w:tabs>
        <w:ind w:left="851"/>
        <w:rPr>
          <w:sz w:val="24"/>
          <w:szCs w:val="24"/>
        </w:rPr>
      </w:pPr>
    </w:p>
    <w:p w:rsidR="009C0B06" w:rsidRPr="00C84483" w:rsidRDefault="009C0B06" w:rsidP="009C0B0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815BB9" w:rsidRDefault="008B7EAD" w:rsidP="00DA33C3">
      <w:pPr>
        <w:tabs>
          <w:tab w:val="left" w:pos="851"/>
        </w:tabs>
        <w:ind w:left="851"/>
        <w:rPr>
          <w:sz w:val="24"/>
          <w:szCs w:val="24"/>
        </w:rPr>
      </w:pPr>
      <w:r w:rsidRPr="00815BB9">
        <w:rPr>
          <w:sz w:val="24"/>
          <w:szCs w:val="24"/>
        </w:rPr>
        <w:t>2</w:t>
      </w:r>
      <w:r w:rsidR="00BA1804">
        <w:rPr>
          <w:sz w:val="24"/>
          <w:szCs w:val="24"/>
        </w:rPr>
        <w:t>4. februar</w:t>
      </w:r>
      <w:r w:rsidRPr="00815BB9">
        <w:rPr>
          <w:sz w:val="24"/>
          <w:szCs w:val="24"/>
        </w:rPr>
        <w:t xml:space="preserve"> 202</w:t>
      </w:r>
      <w:r w:rsidR="00BA1804">
        <w:rPr>
          <w:sz w:val="24"/>
          <w:szCs w:val="24"/>
        </w:rPr>
        <w:t>3</w:t>
      </w:r>
    </w:p>
    <w:sectPr w:rsidR="009260DE" w:rsidRPr="00815BB9" w:rsidSect="00F350A5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06" w:rsidRDefault="009C0B06">
      <w:r>
        <w:separator/>
      </w:r>
    </w:p>
  </w:endnote>
  <w:endnote w:type="continuationSeparator" w:id="0">
    <w:p w:rsidR="009C0B06" w:rsidRDefault="009C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C203D">
      <w:rPr>
        <w:i/>
        <w:noProof/>
        <w:sz w:val="18"/>
        <w:szCs w:val="18"/>
      </w:rPr>
      <w:t>Alendronat-Cholecalciferol Stada, tabletter 70 mg+70 mikrogram og 70 mg+140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06" w:rsidRDefault="009C0B06">
      <w:r>
        <w:separator/>
      </w:r>
    </w:p>
  </w:footnote>
  <w:footnote w:type="continuationSeparator" w:id="0">
    <w:p w:rsidR="009C0B06" w:rsidRDefault="009C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06"/>
    <w:rsid w:val="000259B9"/>
    <w:rsid w:val="00041491"/>
    <w:rsid w:val="00050D16"/>
    <w:rsid w:val="00074F2A"/>
    <w:rsid w:val="00086501"/>
    <w:rsid w:val="000A1CA8"/>
    <w:rsid w:val="000A466B"/>
    <w:rsid w:val="000B058C"/>
    <w:rsid w:val="000E4EE6"/>
    <w:rsid w:val="001454E2"/>
    <w:rsid w:val="001A3695"/>
    <w:rsid w:val="00206CE8"/>
    <w:rsid w:val="0021526C"/>
    <w:rsid w:val="00234E50"/>
    <w:rsid w:val="0025396C"/>
    <w:rsid w:val="00276496"/>
    <w:rsid w:val="00283A2B"/>
    <w:rsid w:val="00290A95"/>
    <w:rsid w:val="002B30AD"/>
    <w:rsid w:val="002C2C01"/>
    <w:rsid w:val="00324F25"/>
    <w:rsid w:val="003A29AE"/>
    <w:rsid w:val="003A32D7"/>
    <w:rsid w:val="003B4074"/>
    <w:rsid w:val="003C769A"/>
    <w:rsid w:val="003F1838"/>
    <w:rsid w:val="0045746C"/>
    <w:rsid w:val="0049104B"/>
    <w:rsid w:val="004950B8"/>
    <w:rsid w:val="004978E7"/>
    <w:rsid w:val="004E3B12"/>
    <w:rsid w:val="00532310"/>
    <w:rsid w:val="00560ECC"/>
    <w:rsid w:val="00565F0F"/>
    <w:rsid w:val="00594A86"/>
    <w:rsid w:val="00596D86"/>
    <w:rsid w:val="00625601"/>
    <w:rsid w:val="00631C2E"/>
    <w:rsid w:val="00637F5A"/>
    <w:rsid w:val="006560B1"/>
    <w:rsid w:val="006756DD"/>
    <w:rsid w:val="006855E7"/>
    <w:rsid w:val="006F5FDF"/>
    <w:rsid w:val="00737275"/>
    <w:rsid w:val="00740EEC"/>
    <w:rsid w:val="007528AA"/>
    <w:rsid w:val="0078011A"/>
    <w:rsid w:val="00782AF4"/>
    <w:rsid w:val="00790EE7"/>
    <w:rsid w:val="007B6649"/>
    <w:rsid w:val="0081546F"/>
    <w:rsid w:val="00815BB9"/>
    <w:rsid w:val="0082576E"/>
    <w:rsid w:val="008353D0"/>
    <w:rsid w:val="00876EC7"/>
    <w:rsid w:val="008B7EAD"/>
    <w:rsid w:val="00907F75"/>
    <w:rsid w:val="009260DE"/>
    <w:rsid w:val="0093258A"/>
    <w:rsid w:val="009C0B06"/>
    <w:rsid w:val="009C7BA3"/>
    <w:rsid w:val="009D1F5A"/>
    <w:rsid w:val="00A80B64"/>
    <w:rsid w:val="00B003BF"/>
    <w:rsid w:val="00B373D7"/>
    <w:rsid w:val="00BA1804"/>
    <w:rsid w:val="00BC203D"/>
    <w:rsid w:val="00BD0181"/>
    <w:rsid w:val="00BF62B2"/>
    <w:rsid w:val="00C36276"/>
    <w:rsid w:val="00C42586"/>
    <w:rsid w:val="00C60CCD"/>
    <w:rsid w:val="00C71C08"/>
    <w:rsid w:val="00C84483"/>
    <w:rsid w:val="00C95551"/>
    <w:rsid w:val="00CB20D7"/>
    <w:rsid w:val="00D020B0"/>
    <w:rsid w:val="00D11748"/>
    <w:rsid w:val="00D366CF"/>
    <w:rsid w:val="00D869E3"/>
    <w:rsid w:val="00DA33C3"/>
    <w:rsid w:val="00DA677C"/>
    <w:rsid w:val="00DE5B66"/>
    <w:rsid w:val="00E108AA"/>
    <w:rsid w:val="00E31812"/>
    <w:rsid w:val="00E3749A"/>
    <w:rsid w:val="00E7437F"/>
    <w:rsid w:val="00E865B8"/>
    <w:rsid w:val="00EC0B9B"/>
    <w:rsid w:val="00ED5E9F"/>
    <w:rsid w:val="00F350A5"/>
    <w:rsid w:val="00F41F64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38EC6"/>
  <w15:chartTrackingRefBased/>
  <w15:docId w15:val="{E5496907-9FE2-4DFD-8D90-188C6000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rsid w:val="009C0B06"/>
    <w:rPr>
      <w:color w:val="0000FF"/>
      <w:u w:val="single"/>
    </w:rPr>
  </w:style>
  <w:style w:type="paragraph" w:styleId="Brdtekst">
    <w:name w:val="Body Text"/>
    <w:basedOn w:val="Normal"/>
    <w:link w:val="BrdtekstTegn"/>
    <w:uiPriority w:val="1"/>
    <w:qFormat/>
    <w:rsid w:val="009C0B06"/>
    <w:pPr>
      <w:widowControl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9C0B0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15</Pages>
  <Words>4805</Words>
  <Characters>32246</Characters>
  <Application>Microsoft Office Word</Application>
  <DocSecurity>0</DocSecurity>
  <Lines>268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 Weihrauch </dc:creator>
  <cp:keywords/>
  <dc:description>2023014032, var. 10, pkt. 3 (Lægemiddelform)</dc:description>
  <cp:lastModifiedBy>Janni Kim Ekwall Weihrauch</cp:lastModifiedBy>
  <cp:revision>6</cp:revision>
  <cp:lastPrinted>2012-08-22T08:53:00Z</cp:lastPrinted>
  <dcterms:created xsi:type="dcterms:W3CDTF">2023-02-24T11:13:00Z</dcterms:created>
  <dcterms:modified xsi:type="dcterms:W3CDTF">2023-02-24T11:20:00Z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