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8FE" w:rsidRPr="008F49E1" w:rsidRDefault="004528FE" w:rsidP="004528F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72BC1F10" wp14:editId="3600A0ED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4528FE" w:rsidRPr="00101C30" w:rsidRDefault="00101C30" w:rsidP="00101C30">
      <w:pPr>
        <w:pStyle w:val="Titel"/>
        <w:tabs>
          <w:tab w:val="right" w:pos="9356"/>
        </w:tabs>
        <w:jc w:val="right"/>
        <w:rPr>
          <w:szCs w:val="24"/>
          <w:lang w:eastAsia="en-US"/>
        </w:rPr>
      </w:pPr>
      <w:r w:rsidRPr="00101C30">
        <w:rPr>
          <w:szCs w:val="24"/>
          <w:lang w:eastAsia="en-US"/>
        </w:rPr>
        <w:t>11. april 2023</w:t>
      </w:r>
    </w:p>
    <w:p w:rsidR="004528FE" w:rsidRPr="00C61745" w:rsidRDefault="004528FE" w:rsidP="004528F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4528FE" w:rsidRPr="00C61745" w:rsidRDefault="004528FE" w:rsidP="004528FE">
      <w:pPr>
        <w:pStyle w:val="Titel"/>
        <w:jc w:val="left"/>
        <w:rPr>
          <w:b w:val="0"/>
          <w:szCs w:val="24"/>
        </w:rPr>
      </w:pPr>
    </w:p>
    <w:p w:rsidR="004528FE" w:rsidRPr="00D76233" w:rsidRDefault="004528FE" w:rsidP="004528FE">
      <w:pPr>
        <w:jc w:val="center"/>
        <w:rPr>
          <w:b/>
          <w:sz w:val="24"/>
          <w:szCs w:val="24"/>
          <w:lang w:val="en-US"/>
        </w:rPr>
      </w:pPr>
      <w:r w:rsidRPr="00D76233">
        <w:rPr>
          <w:b/>
          <w:sz w:val="24"/>
          <w:szCs w:val="24"/>
          <w:lang w:val="en-US"/>
        </w:rPr>
        <w:t>PRODUKTRESUMÉ</w:t>
      </w:r>
    </w:p>
    <w:p w:rsidR="004528FE" w:rsidRPr="00D76233" w:rsidRDefault="004528FE" w:rsidP="004528FE">
      <w:pPr>
        <w:jc w:val="center"/>
        <w:rPr>
          <w:b/>
          <w:sz w:val="24"/>
          <w:szCs w:val="24"/>
          <w:lang w:val="en-US"/>
        </w:rPr>
      </w:pPr>
    </w:p>
    <w:p w:rsidR="004528FE" w:rsidRPr="00D76233" w:rsidRDefault="004528FE" w:rsidP="004528FE">
      <w:pPr>
        <w:jc w:val="center"/>
        <w:rPr>
          <w:b/>
          <w:sz w:val="24"/>
          <w:szCs w:val="24"/>
          <w:lang w:val="en-US"/>
        </w:rPr>
      </w:pPr>
      <w:r w:rsidRPr="00D76233">
        <w:rPr>
          <w:b/>
          <w:sz w:val="24"/>
          <w:szCs w:val="24"/>
          <w:lang w:val="en-US"/>
        </w:rPr>
        <w:t>for</w:t>
      </w:r>
    </w:p>
    <w:p w:rsidR="004528FE" w:rsidRPr="00D76233" w:rsidRDefault="004528FE" w:rsidP="004528FE">
      <w:pPr>
        <w:jc w:val="center"/>
        <w:rPr>
          <w:b/>
          <w:sz w:val="24"/>
          <w:szCs w:val="24"/>
          <w:lang w:val="en-US"/>
        </w:rPr>
      </w:pPr>
    </w:p>
    <w:p w:rsidR="004528FE" w:rsidRPr="00D76233" w:rsidRDefault="004528FE" w:rsidP="004528FE">
      <w:pPr>
        <w:jc w:val="center"/>
        <w:rPr>
          <w:b/>
          <w:sz w:val="24"/>
          <w:szCs w:val="24"/>
          <w:lang w:val="en-US"/>
        </w:rPr>
      </w:pPr>
      <w:r w:rsidRPr="00D76233">
        <w:rPr>
          <w:b/>
          <w:sz w:val="24"/>
          <w:szCs w:val="24"/>
          <w:lang w:val="en-US"/>
        </w:rPr>
        <w:t>Alendron</w:t>
      </w:r>
      <w:r>
        <w:rPr>
          <w:b/>
          <w:sz w:val="24"/>
          <w:szCs w:val="24"/>
          <w:lang w:val="en-US"/>
        </w:rPr>
        <w:t>ate</w:t>
      </w:r>
      <w:r w:rsidRPr="00D76233">
        <w:rPr>
          <w:b/>
          <w:sz w:val="24"/>
          <w:szCs w:val="24"/>
          <w:lang w:val="en-US"/>
        </w:rPr>
        <w:t xml:space="preserve">/Cholecalciferol "Accord", </w:t>
      </w:r>
      <w:proofErr w:type="spellStart"/>
      <w:r w:rsidRPr="00D76233">
        <w:rPr>
          <w:b/>
          <w:sz w:val="24"/>
          <w:szCs w:val="24"/>
          <w:lang w:val="en-US"/>
        </w:rPr>
        <w:t>tabletter</w:t>
      </w:r>
      <w:proofErr w:type="spellEnd"/>
    </w:p>
    <w:p w:rsidR="004528FE" w:rsidRPr="00D76233" w:rsidRDefault="004528FE" w:rsidP="004528FE">
      <w:pPr>
        <w:jc w:val="both"/>
        <w:rPr>
          <w:sz w:val="24"/>
          <w:szCs w:val="24"/>
          <w:lang w:val="en-US"/>
        </w:rPr>
      </w:pPr>
    </w:p>
    <w:p w:rsidR="004528FE" w:rsidRPr="00D76233" w:rsidRDefault="004528FE" w:rsidP="004528FE">
      <w:pPr>
        <w:jc w:val="both"/>
        <w:rPr>
          <w:sz w:val="24"/>
          <w:szCs w:val="24"/>
          <w:lang w:val="en-US"/>
        </w:rPr>
      </w:pPr>
    </w:p>
    <w:p w:rsidR="004528FE" w:rsidRPr="009B4F2D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B4F2D">
        <w:rPr>
          <w:b/>
          <w:sz w:val="24"/>
          <w:szCs w:val="24"/>
        </w:rPr>
        <w:t>0.</w:t>
      </w:r>
      <w:r w:rsidRPr="009B4F2D">
        <w:rPr>
          <w:b/>
          <w:sz w:val="24"/>
          <w:szCs w:val="24"/>
        </w:rPr>
        <w:tab/>
        <w:t>D.SP.NR.</w:t>
      </w:r>
    </w:p>
    <w:p w:rsidR="004528FE" w:rsidRPr="009B4F2D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  <w:r w:rsidRPr="009B4F2D">
        <w:rPr>
          <w:sz w:val="24"/>
          <w:szCs w:val="24"/>
        </w:rPr>
        <w:t>30856</w:t>
      </w:r>
    </w:p>
    <w:p w:rsidR="004528FE" w:rsidRPr="009B4F2D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</w:p>
    <w:p w:rsidR="004528FE" w:rsidRPr="009B4F2D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B4F2D">
        <w:rPr>
          <w:b/>
          <w:sz w:val="24"/>
          <w:szCs w:val="24"/>
        </w:rPr>
        <w:t>1.</w:t>
      </w:r>
      <w:r w:rsidRPr="009B4F2D">
        <w:rPr>
          <w:b/>
          <w:sz w:val="24"/>
          <w:szCs w:val="24"/>
        </w:rPr>
        <w:tab/>
        <w:t>LÆGEMIDLETS NAVN</w:t>
      </w:r>
    </w:p>
    <w:p w:rsidR="004528FE" w:rsidRPr="009B4F2D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B4F2D">
        <w:rPr>
          <w:sz w:val="24"/>
          <w:szCs w:val="24"/>
        </w:rPr>
        <w:t>Alendronate</w:t>
      </w:r>
      <w:proofErr w:type="spellEnd"/>
      <w:r w:rsidRPr="009B4F2D">
        <w:rPr>
          <w:sz w:val="24"/>
          <w:szCs w:val="24"/>
        </w:rPr>
        <w:t>/</w:t>
      </w:r>
      <w:proofErr w:type="spellStart"/>
      <w:r w:rsidRPr="009B4F2D">
        <w:rPr>
          <w:sz w:val="24"/>
          <w:szCs w:val="24"/>
        </w:rPr>
        <w:t>Cholecalciferol</w:t>
      </w:r>
      <w:proofErr w:type="spellEnd"/>
      <w:r w:rsidRPr="009B4F2D">
        <w:rPr>
          <w:sz w:val="24"/>
          <w:szCs w:val="24"/>
        </w:rPr>
        <w:t xml:space="preserve"> "</w:t>
      </w:r>
      <w:proofErr w:type="spellStart"/>
      <w:r w:rsidRPr="009B4F2D">
        <w:rPr>
          <w:sz w:val="24"/>
          <w:szCs w:val="24"/>
        </w:rPr>
        <w:t>Accord</w:t>
      </w:r>
      <w:proofErr w:type="spellEnd"/>
      <w:r w:rsidRPr="009B4F2D">
        <w:rPr>
          <w:sz w:val="24"/>
          <w:szCs w:val="24"/>
        </w:rPr>
        <w:t>"</w:t>
      </w:r>
    </w:p>
    <w:p w:rsidR="004528FE" w:rsidRPr="009B4F2D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</w:p>
    <w:p w:rsidR="004528FE" w:rsidRPr="009B4F2D" w:rsidRDefault="004528FE" w:rsidP="004528FE">
      <w:pPr>
        <w:tabs>
          <w:tab w:val="left" w:pos="567"/>
        </w:tabs>
        <w:ind w:left="851"/>
        <w:rPr>
          <w:sz w:val="24"/>
          <w:szCs w:val="24"/>
          <w:u w:val="single"/>
        </w:rPr>
      </w:pPr>
      <w:r w:rsidRPr="009B4F2D">
        <w:rPr>
          <w:sz w:val="24"/>
          <w:szCs w:val="24"/>
          <w:u w:val="single"/>
        </w:rPr>
        <w:t>70 mg/</w:t>
      </w:r>
      <w:r>
        <w:rPr>
          <w:sz w:val="24"/>
          <w:szCs w:val="24"/>
          <w:u w:val="single"/>
        </w:rPr>
        <w:t>2800 IE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Hver tablet indeholder 70 mg </w:t>
      </w:r>
      <w:proofErr w:type="spellStart"/>
      <w:r>
        <w:rPr>
          <w:sz w:val="24"/>
          <w:szCs w:val="24"/>
        </w:rPr>
        <w:t>alendronsyre</w:t>
      </w:r>
      <w:proofErr w:type="spellEnd"/>
      <w:r>
        <w:rPr>
          <w:sz w:val="24"/>
          <w:szCs w:val="24"/>
        </w:rPr>
        <w:t xml:space="preserve"> som (som </w:t>
      </w:r>
      <w:proofErr w:type="spellStart"/>
      <w:r>
        <w:rPr>
          <w:sz w:val="24"/>
          <w:szCs w:val="24"/>
        </w:rPr>
        <w:t>natriumtrihydrat</w:t>
      </w:r>
      <w:proofErr w:type="spellEnd"/>
      <w:r>
        <w:rPr>
          <w:sz w:val="24"/>
          <w:szCs w:val="24"/>
        </w:rPr>
        <w:t xml:space="preserve">) og 70 mikrogram (2800 IE) 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(D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-vitamin).</w:t>
      </w:r>
    </w:p>
    <w:p w:rsidR="004528FE" w:rsidRDefault="004528FE" w:rsidP="004528FE">
      <w:pPr>
        <w:tabs>
          <w:tab w:val="left" w:pos="567"/>
        </w:tabs>
        <w:ind w:left="851"/>
        <w:rPr>
          <w:i/>
          <w:sz w:val="24"/>
          <w:szCs w:val="24"/>
          <w:u w:val="single"/>
        </w:rPr>
      </w:pPr>
    </w:p>
    <w:p w:rsidR="004528FE" w:rsidRPr="005F7F50" w:rsidRDefault="004528FE" w:rsidP="004528FE">
      <w:pPr>
        <w:tabs>
          <w:tab w:val="left" w:pos="567"/>
        </w:tabs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Hjælpestoffer</w:t>
      </w:r>
      <w:r w:rsidRPr="005F7F50">
        <w:rPr>
          <w:i/>
          <w:sz w:val="24"/>
          <w:szCs w:val="24"/>
        </w:rPr>
        <w:t>, som behandleren skal være opmærksom på</w:t>
      </w:r>
    </w:p>
    <w:p w:rsidR="004528FE" w:rsidRDefault="004528FE" w:rsidP="004528FE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Hver tablet indeholder op til 90 mg </w:t>
      </w:r>
      <w:proofErr w:type="spellStart"/>
      <w:r>
        <w:rPr>
          <w:sz w:val="24"/>
          <w:szCs w:val="24"/>
        </w:rPr>
        <w:t>lactose</w:t>
      </w:r>
      <w:proofErr w:type="spellEnd"/>
      <w:r>
        <w:rPr>
          <w:sz w:val="24"/>
          <w:szCs w:val="24"/>
        </w:rPr>
        <w:t xml:space="preserve"> og 13,7 mg </w:t>
      </w:r>
      <w:proofErr w:type="spellStart"/>
      <w:r>
        <w:rPr>
          <w:sz w:val="24"/>
          <w:szCs w:val="24"/>
        </w:rPr>
        <w:t>saccharose</w:t>
      </w:r>
      <w:proofErr w:type="spellEnd"/>
      <w:r>
        <w:rPr>
          <w:sz w:val="24"/>
          <w:szCs w:val="24"/>
        </w:rPr>
        <w:t xml:space="preserve">. 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>Hver</w:t>
      </w:r>
      <w:bookmarkStart w:id="0" w:name="_GoBack"/>
      <w:bookmarkEnd w:id="0"/>
      <w:r>
        <w:rPr>
          <w:sz w:val="24"/>
          <w:szCs w:val="24"/>
        </w:rPr>
        <w:t xml:space="preserve"> tablet indeholder 0,073 mmol (1,67 mg) natrium.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  <w:u w:val="single"/>
        </w:rPr>
      </w:pPr>
    </w:p>
    <w:p w:rsidR="004528FE" w:rsidRPr="009B4F2D" w:rsidRDefault="004528FE" w:rsidP="004528FE">
      <w:pPr>
        <w:tabs>
          <w:tab w:val="left" w:pos="567"/>
        </w:tabs>
        <w:ind w:left="851"/>
        <w:rPr>
          <w:rFonts w:eastAsia="Calibri"/>
          <w:sz w:val="24"/>
          <w:szCs w:val="24"/>
          <w:u w:val="single"/>
        </w:rPr>
      </w:pPr>
      <w:r>
        <w:rPr>
          <w:sz w:val="24"/>
          <w:szCs w:val="24"/>
          <w:u w:val="single"/>
        </w:rPr>
        <w:t>70 mg/5600 IE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Hver tablet indeholder 70 mg </w:t>
      </w:r>
      <w:proofErr w:type="spellStart"/>
      <w:r>
        <w:rPr>
          <w:sz w:val="24"/>
          <w:szCs w:val="24"/>
        </w:rPr>
        <w:t>alendronsyre</w:t>
      </w:r>
      <w:proofErr w:type="spellEnd"/>
      <w:r>
        <w:rPr>
          <w:sz w:val="24"/>
          <w:szCs w:val="24"/>
        </w:rPr>
        <w:t xml:space="preserve"> som (som </w:t>
      </w:r>
      <w:proofErr w:type="spellStart"/>
      <w:r>
        <w:rPr>
          <w:sz w:val="24"/>
          <w:szCs w:val="24"/>
        </w:rPr>
        <w:t>natriumtrihydrat</w:t>
      </w:r>
      <w:proofErr w:type="spellEnd"/>
      <w:r>
        <w:rPr>
          <w:sz w:val="24"/>
          <w:szCs w:val="24"/>
        </w:rPr>
        <w:t xml:space="preserve">) og 140 mikrogram (5600 IE) 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(D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-vitamin).</w:t>
      </w:r>
    </w:p>
    <w:p w:rsidR="004528FE" w:rsidRDefault="004528FE" w:rsidP="004528FE">
      <w:pPr>
        <w:tabs>
          <w:tab w:val="left" w:pos="567"/>
        </w:tabs>
        <w:ind w:left="851"/>
        <w:rPr>
          <w:i/>
          <w:sz w:val="24"/>
          <w:szCs w:val="24"/>
          <w:u w:val="single"/>
        </w:rPr>
      </w:pPr>
    </w:p>
    <w:p w:rsidR="004528FE" w:rsidRPr="005F7F50" w:rsidRDefault="004528FE" w:rsidP="004528FE">
      <w:pPr>
        <w:tabs>
          <w:tab w:val="left" w:pos="567"/>
        </w:tabs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Hjælpestof</w:t>
      </w:r>
      <w:r w:rsidRPr="005F7F50">
        <w:rPr>
          <w:i/>
          <w:sz w:val="24"/>
          <w:szCs w:val="24"/>
        </w:rPr>
        <w:t>fer, som behandleren skal være opmærksom på</w:t>
      </w:r>
    </w:p>
    <w:p w:rsidR="004528FE" w:rsidRDefault="004528FE" w:rsidP="004528FE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Hver tablet indeholder op til 64 mg </w:t>
      </w:r>
      <w:proofErr w:type="spellStart"/>
      <w:r>
        <w:rPr>
          <w:sz w:val="24"/>
          <w:szCs w:val="24"/>
        </w:rPr>
        <w:t>lactose</w:t>
      </w:r>
      <w:proofErr w:type="spellEnd"/>
      <w:r>
        <w:rPr>
          <w:sz w:val="24"/>
          <w:szCs w:val="24"/>
        </w:rPr>
        <w:t xml:space="preserve"> og 27,5 mg </w:t>
      </w:r>
      <w:proofErr w:type="spellStart"/>
      <w:r>
        <w:rPr>
          <w:sz w:val="24"/>
          <w:szCs w:val="24"/>
        </w:rPr>
        <w:t>saccharose</w:t>
      </w:r>
      <w:proofErr w:type="spellEnd"/>
      <w:r>
        <w:rPr>
          <w:sz w:val="24"/>
          <w:szCs w:val="24"/>
        </w:rPr>
        <w:t>.</w:t>
      </w:r>
    </w:p>
    <w:p w:rsidR="004528FE" w:rsidRDefault="00101C30" w:rsidP="004528FE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Hver tablet</w:t>
      </w:r>
      <w:r w:rsidR="004528FE">
        <w:rPr>
          <w:sz w:val="24"/>
          <w:szCs w:val="24"/>
        </w:rPr>
        <w:t xml:space="preserve"> indeholder 0,073 mmol (1,67 mg) natrium.</w:t>
      </w:r>
    </w:p>
    <w:p w:rsidR="004528FE" w:rsidRDefault="004528FE" w:rsidP="004528FE">
      <w:pPr>
        <w:ind w:left="851"/>
        <w:jc w:val="both"/>
        <w:rPr>
          <w:sz w:val="24"/>
          <w:szCs w:val="24"/>
        </w:rPr>
      </w:pPr>
    </w:p>
    <w:p w:rsidR="004528FE" w:rsidRDefault="004528FE" w:rsidP="004528FE">
      <w:pPr>
        <w:tabs>
          <w:tab w:val="left" w:pos="567"/>
        </w:tabs>
        <w:ind w:left="851"/>
        <w:rPr>
          <w:rFonts w:eastAsia="Calibri"/>
          <w:sz w:val="24"/>
          <w:szCs w:val="24"/>
        </w:rPr>
      </w:pPr>
      <w:r>
        <w:rPr>
          <w:sz w:val="24"/>
          <w:szCs w:val="24"/>
        </w:rPr>
        <w:t>Alle hjælpestoffer er anført under pkt. 6.1.</w:t>
      </w:r>
    </w:p>
    <w:p w:rsidR="004528FE" w:rsidRPr="00C84483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</w:p>
    <w:p w:rsidR="004528FE" w:rsidRPr="009B4F2D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B4F2D">
        <w:rPr>
          <w:b/>
          <w:sz w:val="24"/>
          <w:szCs w:val="24"/>
        </w:rPr>
        <w:t>3.</w:t>
      </w:r>
      <w:r w:rsidRPr="009B4F2D">
        <w:rPr>
          <w:b/>
          <w:sz w:val="24"/>
          <w:szCs w:val="24"/>
        </w:rPr>
        <w:tab/>
        <w:t>LÆGEMIDDELFORM</w:t>
      </w:r>
    </w:p>
    <w:p w:rsidR="004528FE" w:rsidRPr="009B4F2D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  <w:r w:rsidRPr="009B4F2D">
        <w:rPr>
          <w:sz w:val="24"/>
          <w:szCs w:val="24"/>
        </w:rPr>
        <w:t>Tabletter</w:t>
      </w:r>
    </w:p>
    <w:p w:rsidR="004528FE" w:rsidRPr="009B4F2D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</w:p>
    <w:p w:rsidR="004528FE" w:rsidRPr="00A4192C" w:rsidRDefault="004528FE" w:rsidP="004528FE">
      <w:pPr>
        <w:tabs>
          <w:tab w:val="left" w:pos="567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70 mg/2800 IE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Ellipse-formede, hvide til råhvide, </w:t>
      </w:r>
      <w:proofErr w:type="spellStart"/>
      <w:r>
        <w:rPr>
          <w:sz w:val="24"/>
          <w:szCs w:val="24"/>
        </w:rPr>
        <w:t>bikonvekse</w:t>
      </w:r>
      <w:proofErr w:type="spellEnd"/>
      <w:r w:rsidR="00101C30">
        <w:rPr>
          <w:sz w:val="24"/>
          <w:szCs w:val="24"/>
        </w:rPr>
        <w:t xml:space="preserve">, </w:t>
      </w:r>
      <w:r w:rsidR="00101C30" w:rsidRPr="00101C30">
        <w:rPr>
          <w:sz w:val="24"/>
          <w:szCs w:val="24"/>
        </w:rPr>
        <w:t xml:space="preserve">marmorerede </w:t>
      </w:r>
      <w:r>
        <w:rPr>
          <w:sz w:val="24"/>
          <w:szCs w:val="24"/>
        </w:rPr>
        <w:t>tabletter præget med 2800 på den ene side, 12,3±0,2 mm i længden og 6,5±0,2 mm i bredden.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Pr="00A4192C" w:rsidRDefault="004528FE" w:rsidP="004528FE">
      <w:pPr>
        <w:tabs>
          <w:tab w:val="left" w:pos="567"/>
        </w:tabs>
        <w:ind w:left="851"/>
        <w:rPr>
          <w:rFonts w:eastAsia="Calibri"/>
          <w:sz w:val="24"/>
          <w:szCs w:val="24"/>
          <w:u w:val="single"/>
        </w:rPr>
      </w:pPr>
      <w:r>
        <w:rPr>
          <w:sz w:val="24"/>
          <w:szCs w:val="24"/>
          <w:u w:val="single"/>
        </w:rPr>
        <w:t>70 mg/5600 IE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>Modificerede rektangel-formede, hvide til råhvide</w:t>
      </w:r>
      <w:r w:rsidR="00101C30">
        <w:rPr>
          <w:sz w:val="24"/>
          <w:szCs w:val="24"/>
        </w:rPr>
        <w:t xml:space="preserve">, </w:t>
      </w:r>
      <w:r w:rsidR="00101C30" w:rsidRPr="00101C30">
        <w:rPr>
          <w:sz w:val="24"/>
          <w:szCs w:val="24"/>
        </w:rPr>
        <w:t>marmorerede</w:t>
      </w:r>
      <w:r>
        <w:rPr>
          <w:sz w:val="24"/>
          <w:szCs w:val="24"/>
        </w:rPr>
        <w:t xml:space="preserve"> tabletter præget med 5600 på den ene side, 11,4±0,2 mm i længden og 7,2±0,2 mm i bredden. </w:t>
      </w:r>
    </w:p>
    <w:p w:rsidR="004528FE" w:rsidRPr="00C84483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4528FE" w:rsidRPr="00C84483" w:rsidRDefault="004528FE" w:rsidP="004528FE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Alendronate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 xml:space="preserve">" er indiceret til behandling af </w:t>
      </w:r>
      <w:proofErr w:type="spellStart"/>
      <w:r>
        <w:rPr>
          <w:sz w:val="24"/>
          <w:szCs w:val="24"/>
        </w:rPr>
        <w:t>postmenopausal</w:t>
      </w:r>
      <w:proofErr w:type="spellEnd"/>
      <w:r>
        <w:rPr>
          <w:sz w:val="24"/>
          <w:szCs w:val="24"/>
        </w:rPr>
        <w:t xml:space="preserve"> osteoporose hos kvinder med risiko for D-vitaminmangel. Det reducerer risikoen for </w:t>
      </w:r>
      <w:proofErr w:type="spellStart"/>
      <w:r>
        <w:rPr>
          <w:sz w:val="24"/>
          <w:szCs w:val="24"/>
        </w:rPr>
        <w:t>vertebrale</w:t>
      </w:r>
      <w:proofErr w:type="spellEnd"/>
      <w:r>
        <w:rPr>
          <w:sz w:val="24"/>
          <w:szCs w:val="24"/>
        </w:rPr>
        <w:t xml:space="preserve"> frakturer og hoftefrakturer.</w:t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b/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 w:rsidR="00101C30" w:rsidRPr="00101C30">
        <w:rPr>
          <w:b/>
          <w:sz w:val="24"/>
          <w:szCs w:val="24"/>
        </w:rPr>
        <w:t>administration</w:t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  <w:u w:val="single"/>
        </w:rPr>
      </w:pPr>
    </w:p>
    <w:p w:rsidR="004528FE" w:rsidRPr="000D3861" w:rsidRDefault="004528FE" w:rsidP="004528FE">
      <w:pPr>
        <w:widowControl w:val="0"/>
        <w:tabs>
          <w:tab w:val="left" w:pos="567"/>
        </w:tabs>
        <w:ind w:left="851"/>
        <w:rPr>
          <w:b/>
          <w:sz w:val="24"/>
          <w:szCs w:val="24"/>
        </w:rPr>
      </w:pPr>
      <w:r w:rsidRPr="000D3861">
        <w:rPr>
          <w:b/>
          <w:sz w:val="24"/>
          <w:szCs w:val="24"/>
        </w:rPr>
        <w:t>Dosering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>Den anbefalede dosis er en tablet en gang ugentlig.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Patienterne bør informeres om, at hvis de glemmer at tage en dosis </w:t>
      </w:r>
      <w:proofErr w:type="spellStart"/>
      <w:r>
        <w:rPr>
          <w:sz w:val="24"/>
          <w:szCs w:val="24"/>
        </w:rPr>
        <w:t>Alendronate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>", skal de tage en tablet morgenen efter, de er kommet i tanke herom. De må ikke tage to tabletter samme dag, men skal fortsætte med at tage en tablet en gang ugentlig på den oprindeligt valgte ugedag.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På grund af sygdomsprocessen ved osteoporose er </w:t>
      </w:r>
      <w:proofErr w:type="spellStart"/>
      <w:r>
        <w:rPr>
          <w:sz w:val="24"/>
          <w:szCs w:val="24"/>
        </w:rPr>
        <w:t>Alendronate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 xml:space="preserve">" beregnet til langtidsbehandling. Den optimale varighed af </w:t>
      </w:r>
      <w:proofErr w:type="spellStart"/>
      <w:r>
        <w:rPr>
          <w:sz w:val="24"/>
          <w:szCs w:val="24"/>
        </w:rPr>
        <w:t>bisphosphonatbehandling</w:t>
      </w:r>
      <w:proofErr w:type="spellEnd"/>
      <w:r>
        <w:rPr>
          <w:sz w:val="24"/>
          <w:szCs w:val="24"/>
        </w:rPr>
        <w:t xml:space="preserve"> af osteoporose er ikke fastlagt. Behovet for fortsat behandling skal revurderes regelmæssigt, baseret på fordele og mulige risici af </w:t>
      </w:r>
      <w:proofErr w:type="spellStart"/>
      <w:r>
        <w:rPr>
          <w:sz w:val="24"/>
          <w:szCs w:val="24"/>
        </w:rPr>
        <w:t>Alendronate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>" for den enkelte patient, især efter anvendelse i 5 år eller mere.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Patienterne skal have supplerende calcium, hvis indtagelsen fra kosten ikke er tilstrækkelig (se pkt. 4.4). Yderligere tilskud af D-vitamin bør overvejes på individuel basis, idet der tages hensyn til indtagelsen af D-vitamin fra vitaminer og kosttilskud. 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Pr="00A4192C" w:rsidRDefault="004528FE" w:rsidP="004528FE">
      <w:pPr>
        <w:tabs>
          <w:tab w:val="left" w:pos="567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70 mg/2800 IE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>Ækvivalensen mellem indtagelse af 2800 IE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-vitamin ugentlig i </w:t>
      </w:r>
      <w:proofErr w:type="spellStart"/>
      <w:r>
        <w:rPr>
          <w:sz w:val="24"/>
          <w:szCs w:val="24"/>
        </w:rPr>
        <w:t>Alendronate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>" og daglig dosering af D-vitamin 400 IE er ikke undersøgt.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Pr="00A4192C" w:rsidRDefault="004528FE" w:rsidP="004528FE">
      <w:pPr>
        <w:tabs>
          <w:tab w:val="left" w:pos="567"/>
        </w:tabs>
        <w:ind w:left="851"/>
        <w:rPr>
          <w:sz w:val="24"/>
          <w:szCs w:val="24"/>
          <w:u w:val="single"/>
        </w:rPr>
      </w:pPr>
      <w:r w:rsidRPr="00A4192C">
        <w:rPr>
          <w:sz w:val="24"/>
          <w:szCs w:val="24"/>
          <w:u w:val="single"/>
        </w:rPr>
        <w:t>70 mg/</w:t>
      </w:r>
      <w:r>
        <w:rPr>
          <w:sz w:val="24"/>
          <w:szCs w:val="24"/>
          <w:u w:val="single"/>
        </w:rPr>
        <w:t>5600 IE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>Ækvivalensen mellem indtagelse af 5600 IE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-vitamin ugentlig i </w:t>
      </w:r>
      <w:proofErr w:type="spellStart"/>
      <w:r>
        <w:rPr>
          <w:sz w:val="24"/>
          <w:szCs w:val="24"/>
        </w:rPr>
        <w:t>Alendronate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>" og daglig dosering af D-vitamin 800 IE er ikke undersøgt.</w:t>
      </w:r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right="480" w:firstLine="0"/>
        <w:jc w:val="left"/>
        <w:rPr>
          <w:sz w:val="24"/>
          <w:szCs w:val="24"/>
        </w:rPr>
      </w:pPr>
    </w:p>
    <w:p w:rsidR="004528FE" w:rsidRDefault="004528FE" w:rsidP="004528FE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Ældre 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 kliniske forsøg ikke vist aldersrelateret forskel i </w:t>
      </w:r>
      <w:proofErr w:type="spellStart"/>
      <w:r>
        <w:rPr>
          <w:sz w:val="24"/>
          <w:szCs w:val="24"/>
        </w:rPr>
        <w:t>alendronats</w:t>
      </w:r>
      <w:proofErr w:type="spellEnd"/>
      <w:r>
        <w:rPr>
          <w:sz w:val="24"/>
          <w:szCs w:val="24"/>
        </w:rPr>
        <w:t xml:space="preserve"> virkning eller sikkerhedsprofil. Dosisjustering er derfor ikke nødvendig til ældre patienter.</w:t>
      </w:r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right="340" w:firstLine="0"/>
        <w:jc w:val="both"/>
        <w:rPr>
          <w:sz w:val="24"/>
          <w:szCs w:val="24"/>
        </w:rPr>
      </w:pPr>
    </w:p>
    <w:p w:rsidR="004528FE" w:rsidRDefault="004528FE" w:rsidP="004528FE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Nedsat nyrefunktion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På grund af manglende erfaring bør </w:t>
      </w:r>
      <w:proofErr w:type="spellStart"/>
      <w:r>
        <w:rPr>
          <w:sz w:val="24"/>
          <w:szCs w:val="24"/>
        </w:rPr>
        <w:t>Alendronate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 xml:space="preserve">" ikke gives til patienter med nedsat nyrefunktion, hvor </w:t>
      </w:r>
      <w:proofErr w:type="spellStart"/>
      <w:r>
        <w:rPr>
          <w:sz w:val="24"/>
          <w:szCs w:val="24"/>
        </w:rPr>
        <w:t>kreatinin-clearance</w:t>
      </w:r>
      <w:proofErr w:type="spellEnd"/>
      <w:r>
        <w:rPr>
          <w:sz w:val="24"/>
          <w:szCs w:val="24"/>
        </w:rPr>
        <w:t xml:space="preserve"> er &lt;35 ml/min. Dosisjustering er ikke nødvendig hos patienter med </w:t>
      </w:r>
      <w:proofErr w:type="spellStart"/>
      <w:r>
        <w:rPr>
          <w:sz w:val="24"/>
          <w:szCs w:val="24"/>
        </w:rPr>
        <w:t>kreatinin-clearance</w:t>
      </w:r>
      <w:proofErr w:type="spellEnd"/>
      <w:r>
        <w:rPr>
          <w:sz w:val="24"/>
          <w:szCs w:val="24"/>
        </w:rPr>
        <w:t xml:space="preserve"> &gt;35 ml/min.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widowControl w:val="0"/>
        <w:tabs>
          <w:tab w:val="left" w:pos="567"/>
        </w:tabs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Pædiatrisk population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Alendronate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Accord"s</w:t>
      </w:r>
      <w:proofErr w:type="spellEnd"/>
      <w:r>
        <w:rPr>
          <w:sz w:val="24"/>
          <w:szCs w:val="24"/>
        </w:rPr>
        <w:t xml:space="preserve"> sikkerhed og virkning hos børn under 18 år er ikke klarlagt. </w:t>
      </w:r>
      <w:proofErr w:type="spellStart"/>
      <w:r>
        <w:rPr>
          <w:sz w:val="24"/>
          <w:szCs w:val="24"/>
        </w:rPr>
        <w:t>Alendronate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 xml:space="preserve">" bør ikke anvendes til børn under 18 år, da </w:t>
      </w:r>
      <w:r>
        <w:rPr>
          <w:sz w:val="24"/>
          <w:szCs w:val="24"/>
        </w:rPr>
        <w:lastRenderedPageBreak/>
        <w:t xml:space="preserve">der ikke foreligger data vedrørende kombinationen af </w:t>
      </w:r>
      <w:proofErr w:type="spellStart"/>
      <w:r>
        <w:rPr>
          <w:sz w:val="24"/>
          <w:szCs w:val="24"/>
        </w:rPr>
        <w:t>alendronsyre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. De foreliggende data for </w:t>
      </w:r>
      <w:proofErr w:type="spellStart"/>
      <w:r>
        <w:rPr>
          <w:sz w:val="24"/>
          <w:szCs w:val="24"/>
        </w:rPr>
        <w:t>alendronsyre</w:t>
      </w:r>
      <w:proofErr w:type="spellEnd"/>
      <w:r>
        <w:rPr>
          <w:sz w:val="24"/>
          <w:szCs w:val="24"/>
        </w:rPr>
        <w:t xml:space="preserve"> hos den pædiatriske population er beskrevet i pkt. 5.1.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Pr="00E6708E" w:rsidRDefault="004528FE" w:rsidP="004528FE">
      <w:pPr>
        <w:widowControl w:val="0"/>
        <w:tabs>
          <w:tab w:val="left" w:pos="567"/>
        </w:tabs>
        <w:ind w:left="851"/>
        <w:rPr>
          <w:b/>
          <w:sz w:val="24"/>
          <w:szCs w:val="24"/>
        </w:rPr>
      </w:pPr>
      <w:r w:rsidRPr="00E6708E">
        <w:rPr>
          <w:b/>
          <w:sz w:val="24"/>
          <w:szCs w:val="24"/>
        </w:rPr>
        <w:t xml:space="preserve">Administration </w:t>
      </w:r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Oral anvendelse.</w:t>
      </w:r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right="20" w:firstLine="0"/>
        <w:jc w:val="left"/>
        <w:rPr>
          <w:sz w:val="24"/>
          <w:szCs w:val="24"/>
        </w:rPr>
      </w:pPr>
    </w:p>
    <w:p w:rsidR="004528FE" w:rsidRPr="00E6708E" w:rsidRDefault="004528FE" w:rsidP="004528FE">
      <w:pPr>
        <w:pStyle w:val="BodyText3"/>
        <w:shd w:val="clear" w:color="auto" w:fill="auto"/>
        <w:spacing w:after="0" w:line="240" w:lineRule="auto"/>
        <w:ind w:left="851" w:right="20" w:firstLine="0"/>
        <w:jc w:val="left"/>
        <w:rPr>
          <w:sz w:val="24"/>
          <w:szCs w:val="24"/>
          <w:u w:val="single"/>
        </w:rPr>
      </w:pPr>
      <w:r w:rsidRPr="00E6708E">
        <w:rPr>
          <w:sz w:val="24"/>
          <w:szCs w:val="24"/>
          <w:u w:val="single"/>
        </w:rPr>
        <w:t>For at sikre tilstræ</w:t>
      </w:r>
      <w:r>
        <w:rPr>
          <w:sz w:val="24"/>
          <w:szCs w:val="24"/>
          <w:u w:val="single"/>
        </w:rPr>
        <w:t xml:space="preserve">kkelig absorption af </w:t>
      </w:r>
      <w:proofErr w:type="spellStart"/>
      <w:r>
        <w:rPr>
          <w:sz w:val="24"/>
          <w:szCs w:val="24"/>
          <w:u w:val="single"/>
        </w:rPr>
        <w:t>alendronat</w:t>
      </w:r>
      <w:proofErr w:type="spellEnd"/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right="20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Alendronate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 xml:space="preserve">" skal tages sammen med almindeligt postevand (ikke mineralvand) mindst 30 minutter før indtagelse af dagens første måltid, drikkevarer eller lægemidler (inklusive </w:t>
      </w:r>
      <w:proofErr w:type="spellStart"/>
      <w:r>
        <w:rPr>
          <w:sz w:val="24"/>
          <w:szCs w:val="24"/>
        </w:rPr>
        <w:t>antacida</w:t>
      </w:r>
      <w:proofErr w:type="spellEnd"/>
      <w:r>
        <w:rPr>
          <w:sz w:val="24"/>
          <w:szCs w:val="24"/>
        </w:rPr>
        <w:t xml:space="preserve">, calciumtilskud og vitaminer). Andre drikkevarer (inklusive mineralvand), mad samt visse lægemidler kan nedsætte absorptionen af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(se pkt. 4.5 og 4.8).</w:t>
      </w:r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right="20" w:firstLine="0"/>
        <w:jc w:val="left"/>
        <w:rPr>
          <w:sz w:val="24"/>
          <w:szCs w:val="24"/>
        </w:rPr>
      </w:pPr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Følgende instruktioner skal følges nøjagtigt for at minimere risikoen for </w:t>
      </w:r>
      <w:proofErr w:type="spellStart"/>
      <w:r>
        <w:rPr>
          <w:sz w:val="24"/>
          <w:szCs w:val="24"/>
        </w:rPr>
        <w:t>øsofagusirritation</w:t>
      </w:r>
      <w:proofErr w:type="spellEnd"/>
      <w:r>
        <w:rPr>
          <w:sz w:val="24"/>
          <w:szCs w:val="24"/>
        </w:rPr>
        <w:t xml:space="preserve"> og relaterede bivirkninger (se pkt. 4.4):</w:t>
      </w:r>
    </w:p>
    <w:p w:rsidR="004528FE" w:rsidRDefault="004528FE" w:rsidP="004528FE">
      <w:pPr>
        <w:pStyle w:val="BodyText3"/>
        <w:numPr>
          <w:ilvl w:val="0"/>
          <w:numId w:val="6"/>
        </w:numPr>
        <w:shd w:val="clear" w:color="auto" w:fill="auto"/>
        <w:spacing w:after="0" w:line="240" w:lineRule="auto"/>
        <w:ind w:left="1134" w:right="20" w:hanging="283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Alendronate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>" skal tages, efter patienten er stået op, og det skal tages sammen med et helt glas postevand (mindst 200 ml).</w:t>
      </w:r>
    </w:p>
    <w:p w:rsidR="004528FE" w:rsidRDefault="004528FE" w:rsidP="004528FE">
      <w:pPr>
        <w:pStyle w:val="BodyText3"/>
        <w:numPr>
          <w:ilvl w:val="0"/>
          <w:numId w:val="6"/>
        </w:numPr>
        <w:shd w:val="clear" w:color="auto" w:fill="auto"/>
        <w:spacing w:after="0" w:line="240" w:lineRule="auto"/>
        <w:ind w:left="1134" w:right="20" w:hanging="2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Patienten skal synke </w:t>
      </w:r>
      <w:proofErr w:type="spellStart"/>
      <w:r>
        <w:rPr>
          <w:sz w:val="24"/>
          <w:szCs w:val="24"/>
        </w:rPr>
        <w:t>Alendronate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 xml:space="preserve">"-tabletten hel. Patienten må ikke knuse eller tygge tabletten eller lade tabletten opløse i munden på grund af risiko for </w:t>
      </w:r>
      <w:proofErr w:type="spellStart"/>
      <w:r>
        <w:rPr>
          <w:sz w:val="24"/>
          <w:szCs w:val="24"/>
        </w:rPr>
        <w:t>orofaryngeale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ulcerationer</w:t>
      </w:r>
      <w:proofErr w:type="spellEnd"/>
      <w:r>
        <w:rPr>
          <w:sz w:val="24"/>
          <w:szCs w:val="24"/>
        </w:rPr>
        <w:t>.</w:t>
      </w:r>
    </w:p>
    <w:p w:rsidR="004528FE" w:rsidRDefault="004528FE" w:rsidP="004528FE">
      <w:pPr>
        <w:pStyle w:val="BodyText3"/>
        <w:numPr>
          <w:ilvl w:val="0"/>
          <w:numId w:val="6"/>
        </w:numPr>
        <w:shd w:val="clear" w:color="auto" w:fill="auto"/>
        <w:spacing w:after="0" w:line="240" w:lineRule="auto"/>
        <w:ind w:left="1134" w:right="20" w:hanging="28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Patienten må ikke ligge ned de første 30 minutter efter indtagelse af </w:t>
      </w:r>
      <w:proofErr w:type="spellStart"/>
      <w:r>
        <w:rPr>
          <w:sz w:val="24"/>
          <w:szCs w:val="24"/>
        </w:rPr>
        <w:t>Alendronate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>" og indtil dagens første måltid er indtaget.</w:t>
      </w:r>
    </w:p>
    <w:p w:rsidR="004528FE" w:rsidRDefault="004528FE" w:rsidP="004528FE">
      <w:pPr>
        <w:pStyle w:val="BodyText3"/>
        <w:numPr>
          <w:ilvl w:val="0"/>
          <w:numId w:val="6"/>
        </w:numPr>
        <w:shd w:val="clear" w:color="auto" w:fill="auto"/>
        <w:spacing w:after="0" w:line="240" w:lineRule="auto"/>
        <w:ind w:left="1134" w:right="20" w:hanging="283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Alendronate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>" må ikke tages ved sengetid, eller før patienten er stået op om morgenen.</w:t>
      </w:r>
    </w:p>
    <w:p w:rsidR="004528FE" w:rsidRPr="00C84483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4528FE" w:rsidRDefault="004528FE" w:rsidP="004528FE">
      <w:pPr>
        <w:pStyle w:val="BodyText3"/>
        <w:numPr>
          <w:ilvl w:val="0"/>
          <w:numId w:val="7"/>
        </w:numPr>
        <w:shd w:val="clear" w:color="auto" w:fill="auto"/>
        <w:spacing w:after="0" w:line="240" w:lineRule="auto"/>
        <w:ind w:left="1134" w:right="20" w:hanging="283"/>
        <w:jc w:val="left"/>
        <w:rPr>
          <w:sz w:val="24"/>
          <w:szCs w:val="24"/>
          <w:lang w:eastAsia="en-GB"/>
        </w:rPr>
      </w:pPr>
      <w:r>
        <w:rPr>
          <w:sz w:val="24"/>
          <w:szCs w:val="24"/>
        </w:rPr>
        <w:t>Overfølsomhed over for de aktive stoffer eller over for et eller flere af hjælpestofferne anført i pkt. 6.1.</w:t>
      </w:r>
    </w:p>
    <w:p w:rsidR="004528FE" w:rsidRDefault="004528FE" w:rsidP="004528FE">
      <w:pPr>
        <w:pStyle w:val="BodyText3"/>
        <w:numPr>
          <w:ilvl w:val="0"/>
          <w:numId w:val="7"/>
        </w:numPr>
        <w:shd w:val="clear" w:color="auto" w:fill="auto"/>
        <w:spacing w:after="0" w:line="240" w:lineRule="auto"/>
        <w:ind w:left="1134" w:right="20" w:hanging="283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Øsofagusabnormaliteter</w:t>
      </w:r>
      <w:proofErr w:type="spellEnd"/>
      <w:r>
        <w:rPr>
          <w:sz w:val="24"/>
          <w:szCs w:val="24"/>
        </w:rPr>
        <w:t xml:space="preserve"> og andre faktorer, som forsinker </w:t>
      </w:r>
      <w:proofErr w:type="spellStart"/>
      <w:r>
        <w:rPr>
          <w:sz w:val="24"/>
          <w:szCs w:val="24"/>
        </w:rPr>
        <w:t>øsofagustømning</w:t>
      </w:r>
      <w:proofErr w:type="spellEnd"/>
      <w:r>
        <w:rPr>
          <w:sz w:val="24"/>
          <w:szCs w:val="24"/>
        </w:rPr>
        <w:t xml:space="preserve">, såsom striktur eller </w:t>
      </w:r>
      <w:proofErr w:type="spellStart"/>
      <w:r>
        <w:rPr>
          <w:sz w:val="24"/>
          <w:szCs w:val="24"/>
        </w:rPr>
        <w:t>akalasi</w:t>
      </w:r>
      <w:proofErr w:type="spellEnd"/>
      <w:r>
        <w:rPr>
          <w:sz w:val="24"/>
          <w:szCs w:val="24"/>
        </w:rPr>
        <w:t>.</w:t>
      </w:r>
    </w:p>
    <w:p w:rsidR="004528FE" w:rsidRDefault="004528FE" w:rsidP="004528FE">
      <w:pPr>
        <w:pStyle w:val="BodyText3"/>
        <w:numPr>
          <w:ilvl w:val="0"/>
          <w:numId w:val="7"/>
        </w:numPr>
        <w:shd w:val="clear" w:color="auto" w:fill="auto"/>
        <w:spacing w:after="0" w:line="240" w:lineRule="auto"/>
        <w:ind w:left="1134" w:right="20" w:hanging="283"/>
        <w:jc w:val="left"/>
        <w:rPr>
          <w:sz w:val="24"/>
          <w:szCs w:val="24"/>
        </w:rPr>
      </w:pPr>
      <w:r>
        <w:rPr>
          <w:sz w:val="24"/>
          <w:szCs w:val="24"/>
        </w:rPr>
        <w:t>Manglende evne til at stå eller sidde oprejst i mindst 30 minutter.</w:t>
      </w:r>
    </w:p>
    <w:p w:rsidR="004528FE" w:rsidRDefault="004528FE" w:rsidP="004528FE">
      <w:pPr>
        <w:pStyle w:val="BodyText3"/>
        <w:numPr>
          <w:ilvl w:val="0"/>
          <w:numId w:val="7"/>
        </w:numPr>
        <w:shd w:val="clear" w:color="auto" w:fill="auto"/>
        <w:spacing w:after="0" w:line="240" w:lineRule="auto"/>
        <w:ind w:left="1134" w:right="20" w:hanging="283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Hypokalcæmi</w:t>
      </w:r>
      <w:proofErr w:type="spellEnd"/>
    </w:p>
    <w:p w:rsidR="004528FE" w:rsidRPr="00C84483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b/>
          <w:sz w:val="24"/>
          <w:szCs w:val="24"/>
        </w:rPr>
      </w:pPr>
    </w:p>
    <w:p w:rsidR="004528FE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Alendronat</w:t>
      </w:r>
      <w:proofErr w:type="spellEnd"/>
    </w:p>
    <w:p w:rsidR="004528FE" w:rsidRDefault="004528FE" w:rsidP="004528FE">
      <w:pPr>
        <w:widowControl w:val="0"/>
        <w:tabs>
          <w:tab w:val="left" w:pos="567"/>
        </w:tabs>
        <w:ind w:left="851"/>
        <w:rPr>
          <w:i/>
          <w:sz w:val="24"/>
          <w:szCs w:val="24"/>
        </w:rPr>
      </w:pPr>
    </w:p>
    <w:p w:rsidR="004528FE" w:rsidRDefault="004528FE" w:rsidP="004528FE">
      <w:pPr>
        <w:widowControl w:val="0"/>
        <w:tabs>
          <w:tab w:val="left" w:pos="567"/>
        </w:tabs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Øvre </w:t>
      </w:r>
      <w:proofErr w:type="spellStart"/>
      <w:r>
        <w:rPr>
          <w:i/>
          <w:sz w:val="24"/>
          <w:szCs w:val="24"/>
        </w:rPr>
        <w:t>gastrointestinale</w:t>
      </w:r>
      <w:proofErr w:type="spellEnd"/>
      <w:r>
        <w:rPr>
          <w:i/>
          <w:sz w:val="24"/>
          <w:szCs w:val="24"/>
        </w:rPr>
        <w:t xml:space="preserve"> bivirkninger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kan forårsage lokal irritation af slimhinderne i den øvre del af </w:t>
      </w:r>
      <w:proofErr w:type="spellStart"/>
      <w:r>
        <w:rPr>
          <w:sz w:val="24"/>
          <w:szCs w:val="24"/>
        </w:rPr>
        <w:t>gastrointestinalkanalen</w:t>
      </w:r>
      <w:proofErr w:type="spellEnd"/>
      <w:r>
        <w:rPr>
          <w:sz w:val="24"/>
          <w:szCs w:val="24"/>
        </w:rPr>
        <w:t xml:space="preserve">. På grund af risiko for forværring af den tilgrundliggende sygdom, skal der udvises forsigtighed, når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gives til patienter med aktive, øvre </w:t>
      </w:r>
      <w:proofErr w:type="spellStart"/>
      <w:r>
        <w:rPr>
          <w:sz w:val="24"/>
          <w:szCs w:val="24"/>
        </w:rPr>
        <w:t>gastrointestinale</w:t>
      </w:r>
      <w:proofErr w:type="spellEnd"/>
      <w:r>
        <w:rPr>
          <w:sz w:val="24"/>
          <w:szCs w:val="24"/>
        </w:rPr>
        <w:t xml:space="preserve"> problemer, såsom </w:t>
      </w:r>
      <w:proofErr w:type="spellStart"/>
      <w:r>
        <w:rPr>
          <w:sz w:val="24"/>
          <w:szCs w:val="24"/>
        </w:rPr>
        <w:t>dysphagi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øsofagussygdom</w:t>
      </w:r>
      <w:proofErr w:type="spellEnd"/>
      <w:r>
        <w:rPr>
          <w:sz w:val="24"/>
          <w:szCs w:val="24"/>
        </w:rPr>
        <w:t xml:space="preserve">, gastritis, </w:t>
      </w:r>
      <w:proofErr w:type="spellStart"/>
      <w:r>
        <w:rPr>
          <w:sz w:val="24"/>
          <w:szCs w:val="24"/>
        </w:rPr>
        <w:t>duodenitis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ulcera</w:t>
      </w:r>
      <w:proofErr w:type="spellEnd"/>
      <w:r>
        <w:rPr>
          <w:sz w:val="24"/>
          <w:szCs w:val="24"/>
        </w:rPr>
        <w:t xml:space="preserve"> eller alvorlig </w:t>
      </w:r>
      <w:proofErr w:type="spellStart"/>
      <w:r>
        <w:rPr>
          <w:sz w:val="24"/>
          <w:szCs w:val="24"/>
        </w:rPr>
        <w:t>gastrointestinal</w:t>
      </w:r>
      <w:proofErr w:type="spellEnd"/>
      <w:r>
        <w:rPr>
          <w:sz w:val="24"/>
          <w:szCs w:val="24"/>
        </w:rPr>
        <w:t xml:space="preserve"> sygdom, såsom </w:t>
      </w:r>
      <w:proofErr w:type="spellStart"/>
      <w:r>
        <w:rPr>
          <w:sz w:val="24"/>
          <w:szCs w:val="24"/>
        </w:rPr>
        <w:t>peptisk</w:t>
      </w:r>
      <w:proofErr w:type="spellEnd"/>
      <w:r>
        <w:rPr>
          <w:sz w:val="24"/>
          <w:szCs w:val="24"/>
        </w:rPr>
        <w:t xml:space="preserve"> ulcus (inden for det seneste år), aktiv </w:t>
      </w:r>
      <w:proofErr w:type="spellStart"/>
      <w:r>
        <w:rPr>
          <w:sz w:val="24"/>
          <w:szCs w:val="24"/>
        </w:rPr>
        <w:t>gastrointestinal</w:t>
      </w:r>
      <w:proofErr w:type="spellEnd"/>
      <w:r>
        <w:rPr>
          <w:sz w:val="24"/>
          <w:szCs w:val="24"/>
        </w:rPr>
        <w:t xml:space="preserve"> blødning, eller til patienter, der har fået foretaget kirurgiske indgreb i øvre </w:t>
      </w:r>
      <w:proofErr w:type="spellStart"/>
      <w:r>
        <w:rPr>
          <w:sz w:val="24"/>
          <w:szCs w:val="24"/>
        </w:rPr>
        <w:t>gastrointestinalkanal</w:t>
      </w:r>
      <w:proofErr w:type="spellEnd"/>
      <w:r>
        <w:rPr>
          <w:sz w:val="24"/>
          <w:szCs w:val="24"/>
        </w:rPr>
        <w:t xml:space="preserve"> ud over </w:t>
      </w:r>
      <w:proofErr w:type="spellStart"/>
      <w:r>
        <w:rPr>
          <w:sz w:val="24"/>
          <w:szCs w:val="24"/>
        </w:rPr>
        <w:t>pyloroplastik</w:t>
      </w:r>
      <w:proofErr w:type="spellEnd"/>
      <w:r>
        <w:rPr>
          <w:sz w:val="24"/>
          <w:szCs w:val="24"/>
        </w:rPr>
        <w:t xml:space="preserve"> (se pkt. 4.3). Hos patienter med kendt Barretts </w:t>
      </w:r>
      <w:proofErr w:type="spellStart"/>
      <w:r>
        <w:rPr>
          <w:sz w:val="24"/>
          <w:szCs w:val="24"/>
        </w:rPr>
        <w:t>øsofagus</w:t>
      </w:r>
      <w:proofErr w:type="spellEnd"/>
      <w:r>
        <w:rPr>
          <w:sz w:val="24"/>
          <w:szCs w:val="24"/>
        </w:rPr>
        <w:t xml:space="preserve"> bør receptudskriveren overveje fordele og mulige risici ved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individuelt hos patienten.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rapporteret om </w:t>
      </w:r>
      <w:proofErr w:type="spellStart"/>
      <w:r>
        <w:rPr>
          <w:sz w:val="24"/>
          <w:szCs w:val="24"/>
        </w:rPr>
        <w:t>øsofageale</w:t>
      </w:r>
      <w:proofErr w:type="spellEnd"/>
      <w:r>
        <w:rPr>
          <w:sz w:val="24"/>
          <w:szCs w:val="24"/>
        </w:rPr>
        <w:t xml:space="preserve"> reaktioner (nogle gange alvorlige og indlæggelseskrævende), såsom </w:t>
      </w:r>
      <w:proofErr w:type="spellStart"/>
      <w:r>
        <w:rPr>
          <w:sz w:val="24"/>
          <w:szCs w:val="24"/>
        </w:rPr>
        <w:t>øsofagitis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øsofageale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ulcera</w:t>
      </w:r>
      <w:proofErr w:type="spellEnd"/>
      <w:r>
        <w:rPr>
          <w:sz w:val="24"/>
          <w:szCs w:val="24"/>
        </w:rPr>
        <w:t xml:space="preserve"> samt </w:t>
      </w:r>
      <w:proofErr w:type="spellStart"/>
      <w:r>
        <w:rPr>
          <w:sz w:val="24"/>
          <w:szCs w:val="24"/>
        </w:rPr>
        <w:t>øsofaguserosioner</w:t>
      </w:r>
      <w:proofErr w:type="spellEnd"/>
      <w:r>
        <w:rPr>
          <w:sz w:val="24"/>
          <w:szCs w:val="24"/>
        </w:rPr>
        <w:t xml:space="preserve">, i sjældne tilfælde efterfulgt af </w:t>
      </w:r>
      <w:proofErr w:type="spellStart"/>
      <w:r>
        <w:rPr>
          <w:sz w:val="24"/>
          <w:szCs w:val="24"/>
        </w:rPr>
        <w:t>øsofagusstriktur</w:t>
      </w:r>
      <w:proofErr w:type="spellEnd"/>
      <w:r>
        <w:rPr>
          <w:sz w:val="24"/>
          <w:szCs w:val="24"/>
        </w:rPr>
        <w:t xml:space="preserve">, hos patienter i behandling med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lastRenderedPageBreak/>
        <w:t xml:space="preserve">Lægen skal derfor være opmærksom på alle tegn og symptomer, der kan indikere mulige </w:t>
      </w:r>
      <w:proofErr w:type="spellStart"/>
      <w:r>
        <w:rPr>
          <w:sz w:val="24"/>
          <w:szCs w:val="24"/>
        </w:rPr>
        <w:t>øsofageale</w:t>
      </w:r>
      <w:proofErr w:type="spellEnd"/>
      <w:r>
        <w:rPr>
          <w:sz w:val="24"/>
          <w:szCs w:val="24"/>
        </w:rPr>
        <w:t xml:space="preserve"> reaktioner, og patienterne skal instrueres om at seponere behandlingen med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og søge læge, hvis de udvikler symptomer på </w:t>
      </w:r>
      <w:proofErr w:type="spellStart"/>
      <w:r>
        <w:rPr>
          <w:sz w:val="24"/>
          <w:szCs w:val="24"/>
        </w:rPr>
        <w:t>øsofageal</w:t>
      </w:r>
      <w:proofErr w:type="spellEnd"/>
      <w:r>
        <w:rPr>
          <w:sz w:val="24"/>
          <w:szCs w:val="24"/>
        </w:rPr>
        <w:t xml:space="preserve"> irritation, såsom </w:t>
      </w:r>
      <w:proofErr w:type="spellStart"/>
      <w:r>
        <w:rPr>
          <w:sz w:val="24"/>
          <w:szCs w:val="24"/>
        </w:rPr>
        <w:t>dysphagi</w:t>
      </w:r>
      <w:proofErr w:type="spellEnd"/>
      <w:r>
        <w:rPr>
          <w:sz w:val="24"/>
          <w:szCs w:val="24"/>
        </w:rPr>
        <w:t xml:space="preserve">, synkesmerter, </w:t>
      </w:r>
      <w:proofErr w:type="spellStart"/>
      <w:r>
        <w:rPr>
          <w:sz w:val="24"/>
          <w:szCs w:val="24"/>
        </w:rPr>
        <w:t>retrosternale</w:t>
      </w:r>
      <w:proofErr w:type="spellEnd"/>
      <w:r>
        <w:rPr>
          <w:sz w:val="24"/>
          <w:szCs w:val="24"/>
        </w:rPr>
        <w:t xml:space="preserve"> smerter eller ny/forværret halsbrand (se pkt. 4.8).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Risikoen for alvorlige, </w:t>
      </w:r>
      <w:proofErr w:type="spellStart"/>
      <w:r>
        <w:rPr>
          <w:sz w:val="24"/>
          <w:szCs w:val="24"/>
        </w:rPr>
        <w:t>øsofageale</w:t>
      </w:r>
      <w:proofErr w:type="spellEnd"/>
      <w:r>
        <w:rPr>
          <w:sz w:val="24"/>
          <w:szCs w:val="24"/>
        </w:rPr>
        <w:t xml:space="preserve"> bivirkninger synes større hos patienter, der ikke tager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som foreskrevet, og/eller som fortsætter med at tage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efter at have udviklet symptomer, der tyder på </w:t>
      </w:r>
      <w:proofErr w:type="spellStart"/>
      <w:r>
        <w:rPr>
          <w:sz w:val="24"/>
          <w:szCs w:val="24"/>
        </w:rPr>
        <w:t>øsofageal</w:t>
      </w:r>
      <w:proofErr w:type="spellEnd"/>
      <w:r>
        <w:rPr>
          <w:sz w:val="24"/>
          <w:szCs w:val="24"/>
        </w:rPr>
        <w:t xml:space="preserve"> irritation. Det er meget vigtigt, at patienterne modtager, og forstår, fuldstændig information om dosering (se pkt. 4.2). Patienterne skal informeres om, at risikoen for </w:t>
      </w:r>
      <w:proofErr w:type="spellStart"/>
      <w:r>
        <w:rPr>
          <w:sz w:val="24"/>
          <w:szCs w:val="24"/>
        </w:rPr>
        <w:t>øsofagusproblemer</w:t>
      </w:r>
      <w:proofErr w:type="spellEnd"/>
      <w:r>
        <w:rPr>
          <w:sz w:val="24"/>
          <w:szCs w:val="24"/>
        </w:rPr>
        <w:t xml:space="preserve"> kan øges, hvis disse instruktioner ikke følges.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Selvom der i omfattende kliniske undersøgelser ikke er observeret øget risiko for ulcus </w:t>
      </w:r>
      <w:proofErr w:type="spellStart"/>
      <w:r>
        <w:rPr>
          <w:sz w:val="24"/>
          <w:szCs w:val="24"/>
        </w:rPr>
        <w:t>ventriculi</w:t>
      </w:r>
      <w:proofErr w:type="spellEnd"/>
      <w:r>
        <w:rPr>
          <w:sz w:val="24"/>
          <w:szCs w:val="24"/>
        </w:rPr>
        <w:t xml:space="preserve"> og ulcus </w:t>
      </w:r>
      <w:proofErr w:type="spellStart"/>
      <w:r>
        <w:rPr>
          <w:sz w:val="24"/>
          <w:szCs w:val="24"/>
        </w:rPr>
        <w:t>duodeni</w:t>
      </w:r>
      <w:proofErr w:type="spellEnd"/>
      <w:r>
        <w:rPr>
          <w:sz w:val="24"/>
          <w:szCs w:val="24"/>
        </w:rPr>
        <w:t>, har der (efter markedsføring) været sjældne rapporter herom, i nogle tilfælde var disse alvorlige og med komplikationer (se pkt. 4.8).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tabs>
          <w:tab w:val="left" w:pos="567"/>
        </w:tabs>
        <w:ind w:left="85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Osteonekrose</w:t>
      </w:r>
      <w:proofErr w:type="spellEnd"/>
      <w:r>
        <w:rPr>
          <w:i/>
          <w:sz w:val="24"/>
          <w:szCs w:val="24"/>
        </w:rPr>
        <w:t xml:space="preserve"> i kæben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Kæbeosteonekrose</w:t>
      </w:r>
      <w:proofErr w:type="spellEnd"/>
      <w:r>
        <w:rPr>
          <w:sz w:val="24"/>
          <w:szCs w:val="24"/>
        </w:rPr>
        <w:t xml:space="preserve">, som normalt er associeret med tandudtrækning og/eller lokal infektion (inklusive </w:t>
      </w:r>
      <w:proofErr w:type="spellStart"/>
      <w:r>
        <w:rPr>
          <w:sz w:val="24"/>
          <w:szCs w:val="24"/>
        </w:rPr>
        <w:t>osteomyelitis</w:t>
      </w:r>
      <w:proofErr w:type="spellEnd"/>
      <w:r>
        <w:rPr>
          <w:sz w:val="24"/>
          <w:szCs w:val="24"/>
        </w:rPr>
        <w:t xml:space="preserve">), er rapporteret hos cancerpatienter, som modtager behandlingsregimer, inklusive primært intravenøst administrerede </w:t>
      </w:r>
      <w:proofErr w:type="spellStart"/>
      <w:r>
        <w:rPr>
          <w:sz w:val="24"/>
          <w:szCs w:val="24"/>
        </w:rPr>
        <w:t>bisphosphonater</w:t>
      </w:r>
      <w:proofErr w:type="spellEnd"/>
      <w:r>
        <w:rPr>
          <w:sz w:val="24"/>
          <w:szCs w:val="24"/>
        </w:rPr>
        <w:t xml:space="preserve">. Mange af disse patienter fik også kemoterapi og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Kæbeosteonekrose</w:t>
      </w:r>
      <w:proofErr w:type="spellEnd"/>
      <w:r>
        <w:rPr>
          <w:sz w:val="24"/>
          <w:szCs w:val="24"/>
        </w:rPr>
        <w:t xml:space="preserve"> er også rapporteret hos patienter med osteoporose, der får orale </w:t>
      </w:r>
      <w:proofErr w:type="spellStart"/>
      <w:r>
        <w:rPr>
          <w:sz w:val="24"/>
          <w:szCs w:val="24"/>
        </w:rPr>
        <w:t>bisphosphonater</w:t>
      </w:r>
      <w:proofErr w:type="spellEnd"/>
      <w:r>
        <w:rPr>
          <w:sz w:val="24"/>
          <w:szCs w:val="24"/>
        </w:rPr>
        <w:t>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Følgende risikofaktorer bør tages i betragtning, når den enkelte patients risiko for udvikling af </w:t>
      </w:r>
      <w:proofErr w:type="spellStart"/>
      <w:r>
        <w:rPr>
          <w:sz w:val="24"/>
          <w:szCs w:val="24"/>
        </w:rPr>
        <w:t>osteonekrose</w:t>
      </w:r>
      <w:proofErr w:type="spellEnd"/>
      <w:r>
        <w:rPr>
          <w:sz w:val="24"/>
          <w:szCs w:val="24"/>
        </w:rPr>
        <w:t xml:space="preserve"> i kæben vurderes:</w:t>
      </w:r>
    </w:p>
    <w:p w:rsidR="004528FE" w:rsidRDefault="004528FE" w:rsidP="004528FE">
      <w:pPr>
        <w:numPr>
          <w:ilvl w:val="0"/>
          <w:numId w:val="8"/>
        </w:numPr>
        <w:tabs>
          <w:tab w:val="left" w:pos="1134"/>
        </w:tabs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Potensen af </w:t>
      </w:r>
      <w:proofErr w:type="spellStart"/>
      <w:r>
        <w:rPr>
          <w:sz w:val="24"/>
          <w:szCs w:val="24"/>
        </w:rPr>
        <w:t>bisphosphonat</w:t>
      </w:r>
      <w:proofErr w:type="spellEnd"/>
      <w:r>
        <w:rPr>
          <w:sz w:val="24"/>
          <w:szCs w:val="24"/>
        </w:rPr>
        <w:t xml:space="preserve"> (højest for </w:t>
      </w:r>
      <w:proofErr w:type="spellStart"/>
      <w:r>
        <w:rPr>
          <w:sz w:val="24"/>
          <w:szCs w:val="24"/>
        </w:rPr>
        <w:t>zoledronsyre</w:t>
      </w:r>
      <w:proofErr w:type="spellEnd"/>
      <w:r>
        <w:rPr>
          <w:sz w:val="24"/>
          <w:szCs w:val="24"/>
        </w:rPr>
        <w:t>), administrationsvej (se ovenfor) og kumulativ dosis</w:t>
      </w:r>
    </w:p>
    <w:p w:rsidR="004528FE" w:rsidRDefault="004528FE" w:rsidP="004528FE">
      <w:pPr>
        <w:numPr>
          <w:ilvl w:val="0"/>
          <w:numId w:val="8"/>
        </w:numPr>
        <w:tabs>
          <w:tab w:val="left" w:pos="1134"/>
        </w:tabs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Cancer, kemoterapi, strålebehandling,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angiogenesehæmmere</w:t>
      </w:r>
      <w:proofErr w:type="spellEnd"/>
      <w:r>
        <w:rPr>
          <w:sz w:val="24"/>
          <w:szCs w:val="24"/>
        </w:rPr>
        <w:t>, rygning</w:t>
      </w:r>
    </w:p>
    <w:p w:rsidR="004528FE" w:rsidRDefault="004528FE" w:rsidP="004528FE">
      <w:pPr>
        <w:numPr>
          <w:ilvl w:val="0"/>
          <w:numId w:val="8"/>
        </w:numPr>
        <w:tabs>
          <w:tab w:val="left" w:pos="1134"/>
        </w:tabs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Tandsygdom i anamnesen, dårlig mundhygiejne, sygdom i </w:t>
      </w:r>
      <w:proofErr w:type="spellStart"/>
      <w:r>
        <w:rPr>
          <w:sz w:val="24"/>
          <w:szCs w:val="24"/>
        </w:rPr>
        <w:t>parodontiet</w:t>
      </w:r>
      <w:proofErr w:type="spellEnd"/>
      <w:r>
        <w:rPr>
          <w:sz w:val="24"/>
          <w:szCs w:val="24"/>
        </w:rPr>
        <w:t>, invasive dentale indgreb og dårlig tilpasning af tandproteser.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tabs>
          <w:tab w:val="left" w:pos="567"/>
        </w:tabs>
        <w:ind w:left="851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En undersøgelse af tænderne med hensigtsmæssig præventiv tandlægebehandling bør overvejes før behandling med </w:t>
      </w:r>
      <w:proofErr w:type="spellStart"/>
      <w:r>
        <w:rPr>
          <w:sz w:val="24"/>
          <w:szCs w:val="24"/>
        </w:rPr>
        <w:t>bisphosphonater</w:t>
      </w:r>
      <w:proofErr w:type="spellEnd"/>
      <w:r>
        <w:rPr>
          <w:sz w:val="24"/>
          <w:szCs w:val="24"/>
        </w:rPr>
        <w:t xml:space="preserve"> hos patienter med dårlig tandstatus.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Mens de er i behandling, bør disse patienter om muligt undgå invasive dentale indgreb. Hos patienter, der udvikler </w:t>
      </w:r>
      <w:proofErr w:type="spellStart"/>
      <w:r>
        <w:rPr>
          <w:sz w:val="24"/>
          <w:szCs w:val="24"/>
        </w:rPr>
        <w:t>kæbeosteonekrose</w:t>
      </w:r>
      <w:proofErr w:type="spellEnd"/>
      <w:r>
        <w:rPr>
          <w:sz w:val="24"/>
          <w:szCs w:val="24"/>
        </w:rPr>
        <w:t xml:space="preserve"> under behandling med </w:t>
      </w:r>
      <w:proofErr w:type="spellStart"/>
      <w:r>
        <w:rPr>
          <w:sz w:val="24"/>
          <w:szCs w:val="24"/>
        </w:rPr>
        <w:t>bisphosphonat</w:t>
      </w:r>
      <w:proofErr w:type="spellEnd"/>
      <w:r>
        <w:rPr>
          <w:sz w:val="24"/>
          <w:szCs w:val="24"/>
        </w:rPr>
        <w:t xml:space="preserve">, kan dental kirurgi forværre tilstanden. For patienter, hvor dentale indgreb er nødvendige, findes der ingen tilgængelige data, der viser, om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af behandling med </w:t>
      </w:r>
      <w:proofErr w:type="spellStart"/>
      <w:r>
        <w:rPr>
          <w:sz w:val="24"/>
          <w:szCs w:val="24"/>
        </w:rPr>
        <w:t>bisphosphonat</w:t>
      </w:r>
      <w:proofErr w:type="spellEnd"/>
      <w:r>
        <w:rPr>
          <w:sz w:val="24"/>
          <w:szCs w:val="24"/>
        </w:rPr>
        <w:t xml:space="preserve"> reducerer risikoen for </w:t>
      </w:r>
      <w:proofErr w:type="spellStart"/>
      <w:r>
        <w:rPr>
          <w:sz w:val="24"/>
          <w:szCs w:val="24"/>
        </w:rPr>
        <w:t>kæbeosteonekrose</w:t>
      </w:r>
      <w:proofErr w:type="spellEnd"/>
      <w:r>
        <w:rPr>
          <w:sz w:val="24"/>
          <w:szCs w:val="24"/>
        </w:rPr>
        <w:t>. Den behandlende læges kliniske vurdering bør være vejledende for den enkelte patients behandlingsplan og være baseret på individuel fordel/risiko vurdering.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Under behandling med </w:t>
      </w:r>
      <w:proofErr w:type="spellStart"/>
      <w:r>
        <w:rPr>
          <w:sz w:val="24"/>
          <w:szCs w:val="24"/>
        </w:rPr>
        <w:t>bisphosphonat</w:t>
      </w:r>
      <w:proofErr w:type="spellEnd"/>
      <w:r>
        <w:rPr>
          <w:sz w:val="24"/>
          <w:szCs w:val="24"/>
        </w:rPr>
        <w:t xml:space="preserve"> bør patienten opfordres til at opretholde en god mundhygiejne, rutinemæssigt gå til tandlæge og rapportere alle orale symptomer såsom tandmobilitet, smerter eller hævelse.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tabs>
          <w:tab w:val="left" w:pos="567"/>
        </w:tabs>
        <w:ind w:left="85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Osteonekrose</w:t>
      </w:r>
      <w:proofErr w:type="spellEnd"/>
      <w:r>
        <w:rPr>
          <w:i/>
          <w:sz w:val="24"/>
          <w:szCs w:val="24"/>
        </w:rPr>
        <w:t xml:space="preserve"> af øregangen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rapporteret </w:t>
      </w:r>
      <w:proofErr w:type="spellStart"/>
      <w:r>
        <w:rPr>
          <w:sz w:val="24"/>
          <w:szCs w:val="24"/>
        </w:rPr>
        <w:t>osteonekrose</w:t>
      </w:r>
      <w:proofErr w:type="spellEnd"/>
      <w:r>
        <w:rPr>
          <w:sz w:val="24"/>
          <w:szCs w:val="24"/>
        </w:rPr>
        <w:t xml:space="preserve"> af øregangen med </w:t>
      </w:r>
      <w:proofErr w:type="spellStart"/>
      <w:r>
        <w:rPr>
          <w:sz w:val="24"/>
          <w:szCs w:val="24"/>
        </w:rPr>
        <w:t>bisphosphonater</w:t>
      </w:r>
      <w:proofErr w:type="spellEnd"/>
      <w:r>
        <w:rPr>
          <w:sz w:val="24"/>
          <w:szCs w:val="24"/>
        </w:rPr>
        <w:t xml:space="preserve">, hovedsageligt i forbindelse med langtidsbehandling. Mulige risikofaktorer for </w:t>
      </w:r>
      <w:proofErr w:type="spellStart"/>
      <w:r>
        <w:rPr>
          <w:sz w:val="24"/>
          <w:szCs w:val="24"/>
        </w:rPr>
        <w:t>osteonekrose</w:t>
      </w:r>
      <w:proofErr w:type="spellEnd"/>
      <w:r>
        <w:rPr>
          <w:sz w:val="24"/>
          <w:szCs w:val="24"/>
        </w:rPr>
        <w:t xml:space="preserve"> af øregangen inkluderer steroider og kemoterapi og/eller lokale risikofaktorer som infektioner eller traumer. Muligheden for </w:t>
      </w:r>
      <w:proofErr w:type="spellStart"/>
      <w:r>
        <w:rPr>
          <w:sz w:val="24"/>
          <w:szCs w:val="24"/>
        </w:rPr>
        <w:t>osteonekrose</w:t>
      </w:r>
      <w:proofErr w:type="spellEnd"/>
      <w:r>
        <w:rPr>
          <w:sz w:val="24"/>
          <w:szCs w:val="24"/>
        </w:rPr>
        <w:t xml:space="preserve"> af øregangen skal overvejes hos patienter, der får </w:t>
      </w:r>
      <w:r>
        <w:rPr>
          <w:sz w:val="24"/>
          <w:szCs w:val="24"/>
        </w:rPr>
        <w:lastRenderedPageBreak/>
        <w:t xml:space="preserve">behandling med </w:t>
      </w:r>
      <w:proofErr w:type="spellStart"/>
      <w:r>
        <w:rPr>
          <w:sz w:val="24"/>
          <w:szCs w:val="24"/>
        </w:rPr>
        <w:t>bisphosphonater</w:t>
      </w:r>
      <w:proofErr w:type="spellEnd"/>
      <w:r>
        <w:rPr>
          <w:sz w:val="24"/>
          <w:szCs w:val="24"/>
        </w:rPr>
        <w:t>, og som udviser øresymptomer såsom øresmerter eller udflåd fra øret eller kroniske infektioner i øret.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tabs>
          <w:tab w:val="left" w:pos="567"/>
        </w:tabs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Knogle-, led- og muskelsmerter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Knogle-, led- og/eller muskelsmerter er rapporteret hos patienter, der tager </w:t>
      </w:r>
      <w:proofErr w:type="spellStart"/>
      <w:r>
        <w:rPr>
          <w:sz w:val="24"/>
          <w:szCs w:val="24"/>
        </w:rPr>
        <w:t>bisphosphonater</w:t>
      </w:r>
      <w:proofErr w:type="spellEnd"/>
      <w:r>
        <w:rPr>
          <w:sz w:val="24"/>
          <w:szCs w:val="24"/>
        </w:rPr>
        <w:t xml:space="preserve">. I henhold til erfaring efter markedsføring har disse symptomer sjældent været alvorlige og/eller invaliderende (se pkt. 4.8). Tiden til symptomdebut varierede fra en dag til adskillige måneder efter behandlingsstart. De fleste patienter havde symptomlindring efter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af behandlingen. For en undergruppe genopstod symptomerne, da de igen fik det samme lægemiddel eller andet </w:t>
      </w:r>
      <w:proofErr w:type="spellStart"/>
      <w:r>
        <w:rPr>
          <w:sz w:val="24"/>
          <w:szCs w:val="24"/>
        </w:rPr>
        <w:t>bisphosphonat</w:t>
      </w:r>
      <w:proofErr w:type="spellEnd"/>
      <w:r>
        <w:rPr>
          <w:sz w:val="24"/>
          <w:szCs w:val="24"/>
        </w:rPr>
        <w:t>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tabs>
          <w:tab w:val="left" w:pos="567"/>
        </w:tabs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Atypiske frakturer på </w:t>
      </w:r>
      <w:proofErr w:type="spellStart"/>
      <w:r>
        <w:rPr>
          <w:i/>
          <w:sz w:val="24"/>
          <w:szCs w:val="24"/>
        </w:rPr>
        <w:t>femur</w:t>
      </w:r>
      <w:proofErr w:type="spellEnd"/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rapporteret om atypiske </w:t>
      </w:r>
      <w:proofErr w:type="spellStart"/>
      <w:r>
        <w:rPr>
          <w:sz w:val="24"/>
          <w:szCs w:val="24"/>
        </w:rPr>
        <w:t>subtrokantære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diafyseale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femurfrakturer</w:t>
      </w:r>
      <w:proofErr w:type="spellEnd"/>
      <w:r>
        <w:rPr>
          <w:sz w:val="24"/>
          <w:szCs w:val="24"/>
        </w:rPr>
        <w:t xml:space="preserve"> ved </w:t>
      </w:r>
      <w:proofErr w:type="spellStart"/>
      <w:r>
        <w:rPr>
          <w:sz w:val="24"/>
          <w:szCs w:val="24"/>
        </w:rPr>
        <w:t>bisphosphonat</w:t>
      </w:r>
      <w:proofErr w:type="spellEnd"/>
      <w:r>
        <w:rPr>
          <w:sz w:val="24"/>
          <w:szCs w:val="24"/>
        </w:rPr>
        <w:t xml:space="preserve">-behandling, primært hos patienter i langtidsbehandling af osteoporose. Disse </w:t>
      </w:r>
      <w:proofErr w:type="spellStart"/>
      <w:r>
        <w:rPr>
          <w:sz w:val="24"/>
          <w:szCs w:val="24"/>
        </w:rPr>
        <w:t>transverse</w:t>
      </w:r>
      <w:proofErr w:type="spellEnd"/>
      <w:r>
        <w:rPr>
          <w:sz w:val="24"/>
          <w:szCs w:val="24"/>
        </w:rPr>
        <w:t xml:space="preserve"> eller korte oblikke frakturer kan forekomme hvor som helst på </w:t>
      </w:r>
      <w:proofErr w:type="spellStart"/>
      <w:r>
        <w:rPr>
          <w:sz w:val="24"/>
          <w:szCs w:val="24"/>
        </w:rPr>
        <w:t>femur</w:t>
      </w:r>
      <w:proofErr w:type="spellEnd"/>
      <w:r>
        <w:rPr>
          <w:sz w:val="24"/>
          <w:szCs w:val="24"/>
        </w:rPr>
        <w:t xml:space="preserve">, fra lige under </w:t>
      </w:r>
      <w:proofErr w:type="spellStart"/>
      <w:r>
        <w:rPr>
          <w:sz w:val="24"/>
          <w:szCs w:val="24"/>
        </w:rPr>
        <w:t>trochanter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minor</w:t>
      </w:r>
      <w:proofErr w:type="spellEnd"/>
      <w:r>
        <w:rPr>
          <w:sz w:val="24"/>
          <w:szCs w:val="24"/>
        </w:rPr>
        <w:t xml:space="preserve"> til lige over det </w:t>
      </w:r>
      <w:proofErr w:type="spellStart"/>
      <w:r>
        <w:rPr>
          <w:sz w:val="24"/>
          <w:szCs w:val="24"/>
        </w:rPr>
        <w:t>suprakondylære</w:t>
      </w:r>
      <w:proofErr w:type="spellEnd"/>
      <w:r>
        <w:rPr>
          <w:sz w:val="24"/>
          <w:szCs w:val="24"/>
        </w:rPr>
        <w:t xml:space="preserve"> svaj. Disse frakturer forekommer efter minimalt eller intet traume, men nogle patienter får lår- eller lyskesmerter, ofte med tilhørende billedmæssige karakteristika af stressfrakturer, uger til måneder før den komplette </w:t>
      </w:r>
      <w:proofErr w:type="spellStart"/>
      <w:r>
        <w:rPr>
          <w:sz w:val="24"/>
          <w:szCs w:val="24"/>
        </w:rPr>
        <w:t>femurfraktur</w:t>
      </w:r>
      <w:proofErr w:type="spellEnd"/>
      <w:r>
        <w:rPr>
          <w:sz w:val="24"/>
          <w:szCs w:val="24"/>
        </w:rPr>
        <w:t xml:space="preserve"> viser sig. Frakturerne er ofte bilaterale. Derfor bør den kontralaterale </w:t>
      </w:r>
      <w:proofErr w:type="spellStart"/>
      <w:r>
        <w:rPr>
          <w:sz w:val="24"/>
          <w:szCs w:val="24"/>
        </w:rPr>
        <w:t>femur</w:t>
      </w:r>
      <w:proofErr w:type="spellEnd"/>
      <w:r>
        <w:rPr>
          <w:sz w:val="24"/>
          <w:szCs w:val="24"/>
        </w:rPr>
        <w:t xml:space="preserve"> undersøges hos patienter, som behandles med </w:t>
      </w:r>
      <w:proofErr w:type="spellStart"/>
      <w:r>
        <w:rPr>
          <w:sz w:val="24"/>
          <w:szCs w:val="24"/>
        </w:rPr>
        <w:t>bisphosphonater</w:t>
      </w:r>
      <w:proofErr w:type="spellEnd"/>
      <w:r>
        <w:rPr>
          <w:sz w:val="24"/>
          <w:szCs w:val="24"/>
        </w:rPr>
        <w:t xml:space="preserve">, og som har pådraget sig en fraktur af lårbensskaftet. Dårlig heling af disse frakturer er også blevet rapporteret. Det bør overvejes at seponere </w:t>
      </w:r>
      <w:proofErr w:type="spellStart"/>
      <w:r>
        <w:rPr>
          <w:sz w:val="24"/>
          <w:szCs w:val="24"/>
        </w:rPr>
        <w:t>bisphosphonat</w:t>
      </w:r>
      <w:proofErr w:type="spellEnd"/>
      <w:r>
        <w:rPr>
          <w:sz w:val="24"/>
          <w:szCs w:val="24"/>
        </w:rPr>
        <w:t xml:space="preserve"> hos patienter med mistanke om atypisk </w:t>
      </w:r>
      <w:proofErr w:type="spellStart"/>
      <w:r>
        <w:rPr>
          <w:sz w:val="24"/>
          <w:szCs w:val="24"/>
        </w:rPr>
        <w:t>femurfraktur</w:t>
      </w:r>
      <w:proofErr w:type="spellEnd"/>
      <w:r>
        <w:rPr>
          <w:sz w:val="24"/>
          <w:szCs w:val="24"/>
        </w:rPr>
        <w:t>, indtil der foreligger en evaluering af patienten, baseret på en individuel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>-vurdering.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Patienten skal informeres om at rapportere enhver lår-, hofte- eller lyskesmerte under </w:t>
      </w:r>
      <w:proofErr w:type="spellStart"/>
      <w:r>
        <w:rPr>
          <w:sz w:val="24"/>
          <w:szCs w:val="24"/>
        </w:rPr>
        <w:t>bisphosphonat</w:t>
      </w:r>
      <w:proofErr w:type="spellEnd"/>
      <w:r>
        <w:rPr>
          <w:sz w:val="24"/>
          <w:szCs w:val="24"/>
        </w:rPr>
        <w:t xml:space="preserve">-behandlingen, og alle patienter, som fremviser disse symptomer, skal evalueres for en ufuldstændig </w:t>
      </w:r>
      <w:proofErr w:type="spellStart"/>
      <w:r>
        <w:rPr>
          <w:sz w:val="24"/>
          <w:szCs w:val="24"/>
        </w:rPr>
        <w:t>femurfraktur</w:t>
      </w:r>
      <w:proofErr w:type="spellEnd"/>
      <w:r>
        <w:rPr>
          <w:sz w:val="24"/>
          <w:szCs w:val="24"/>
        </w:rPr>
        <w:t>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tabs>
          <w:tab w:val="left" w:pos="567"/>
        </w:tabs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Nedsat nyrefunktion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Alendronate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 xml:space="preserve">" anbefales ikke til patienter med nedsat nyrefunktion, hvor </w:t>
      </w:r>
      <w:proofErr w:type="spellStart"/>
      <w:r>
        <w:rPr>
          <w:sz w:val="24"/>
          <w:szCs w:val="24"/>
        </w:rPr>
        <w:t>kreatinin-clearance</w:t>
      </w:r>
      <w:proofErr w:type="spellEnd"/>
      <w:r>
        <w:rPr>
          <w:sz w:val="24"/>
          <w:szCs w:val="24"/>
        </w:rPr>
        <w:t xml:space="preserve"> er &lt;35 ml/min (se pkt. 4.2).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tabs>
          <w:tab w:val="left" w:pos="567"/>
        </w:tabs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Knogle- og mineralmetabolisme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>Andre årsager til osteoporose end østrogenmangel og aldring bør overvejes.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Hypokalcæmi</w:t>
      </w:r>
      <w:proofErr w:type="spellEnd"/>
      <w:r>
        <w:rPr>
          <w:sz w:val="24"/>
          <w:szCs w:val="24"/>
        </w:rPr>
        <w:t xml:space="preserve"> skal korrigeres før behandling med </w:t>
      </w:r>
      <w:proofErr w:type="spellStart"/>
      <w:r>
        <w:rPr>
          <w:sz w:val="24"/>
          <w:szCs w:val="24"/>
        </w:rPr>
        <w:t>Alendronate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 xml:space="preserve">" indledes (se pkt. 4.3). </w:t>
      </w:r>
    </w:p>
    <w:p w:rsidR="004528FE" w:rsidRDefault="004528FE" w:rsidP="004528FE">
      <w:pPr>
        <w:tabs>
          <w:tab w:val="left" w:pos="567"/>
        </w:tabs>
        <w:ind w:left="851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Andre lidelser, som påvirker mineralmetabolismen (såsom D-vitaminmangel og </w:t>
      </w:r>
      <w:proofErr w:type="spellStart"/>
      <w:r>
        <w:rPr>
          <w:sz w:val="24"/>
          <w:szCs w:val="24"/>
        </w:rPr>
        <w:t>hypoparathyroidisme</w:t>
      </w:r>
      <w:proofErr w:type="spellEnd"/>
      <w:r>
        <w:rPr>
          <w:sz w:val="24"/>
          <w:szCs w:val="24"/>
        </w:rPr>
        <w:t xml:space="preserve">), skal også behandles effektivt, før behandling med </w:t>
      </w:r>
      <w:proofErr w:type="spellStart"/>
      <w:r>
        <w:rPr>
          <w:sz w:val="24"/>
          <w:szCs w:val="24"/>
        </w:rPr>
        <w:t>Alendronate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 xml:space="preserve">" initieres. Indholdet af D-vitamin i </w:t>
      </w:r>
      <w:proofErr w:type="spellStart"/>
      <w:r>
        <w:rPr>
          <w:sz w:val="24"/>
          <w:szCs w:val="24"/>
        </w:rPr>
        <w:t>Alendronate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 xml:space="preserve">" er ikke velegnet til opretning af D-vitaminmangel. Hos patienter med disse lidelser bør serumcalcium og symptomer på </w:t>
      </w:r>
      <w:proofErr w:type="spellStart"/>
      <w:r>
        <w:rPr>
          <w:sz w:val="24"/>
          <w:szCs w:val="24"/>
        </w:rPr>
        <w:t>hypokalcæmi</w:t>
      </w:r>
      <w:proofErr w:type="spellEnd"/>
      <w:r>
        <w:rPr>
          <w:sz w:val="24"/>
          <w:szCs w:val="24"/>
        </w:rPr>
        <w:t xml:space="preserve"> monitoreres under behandling med </w:t>
      </w:r>
      <w:proofErr w:type="spellStart"/>
      <w:r>
        <w:rPr>
          <w:sz w:val="24"/>
          <w:szCs w:val="24"/>
        </w:rPr>
        <w:t>Alendronate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>".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tabs>
          <w:tab w:val="left" w:pos="567"/>
        </w:tabs>
        <w:ind w:left="851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På grund af </w:t>
      </w:r>
      <w:proofErr w:type="spellStart"/>
      <w:r>
        <w:rPr>
          <w:sz w:val="24"/>
          <w:szCs w:val="24"/>
        </w:rPr>
        <w:t>alendronats</w:t>
      </w:r>
      <w:proofErr w:type="spellEnd"/>
      <w:r>
        <w:rPr>
          <w:sz w:val="24"/>
          <w:szCs w:val="24"/>
        </w:rPr>
        <w:t xml:space="preserve"> positive virkning på øgning i knoglemineraltætheden, kan der opstå fald i serumcalcium og </w:t>
      </w:r>
      <w:proofErr w:type="spellStart"/>
      <w:r>
        <w:rPr>
          <w:sz w:val="24"/>
          <w:szCs w:val="24"/>
        </w:rPr>
        <w:t>serumphosphat</w:t>
      </w:r>
      <w:proofErr w:type="spellEnd"/>
      <w:r>
        <w:rPr>
          <w:sz w:val="24"/>
          <w:szCs w:val="24"/>
        </w:rPr>
        <w:t xml:space="preserve">, især hos patienter, der tager </w:t>
      </w:r>
      <w:proofErr w:type="spellStart"/>
      <w:r>
        <w:rPr>
          <w:sz w:val="24"/>
          <w:szCs w:val="24"/>
        </w:rPr>
        <w:t>glukokortikoider</w:t>
      </w:r>
      <w:proofErr w:type="spellEnd"/>
      <w:r>
        <w:rPr>
          <w:sz w:val="24"/>
          <w:szCs w:val="24"/>
        </w:rPr>
        <w:t xml:space="preserve">, da calcium-absorptionen kan være nedsat. Nedgangen er som regel lille og ikke symptomatisk. Der har dog været sjældne rapporter om symptomatisk </w:t>
      </w:r>
      <w:proofErr w:type="spellStart"/>
      <w:r>
        <w:rPr>
          <w:sz w:val="24"/>
          <w:szCs w:val="24"/>
        </w:rPr>
        <w:t>hypokalcæmi</w:t>
      </w:r>
      <w:proofErr w:type="spellEnd"/>
      <w:r>
        <w:rPr>
          <w:sz w:val="24"/>
          <w:szCs w:val="24"/>
        </w:rPr>
        <w:t xml:space="preserve">, som nogle gange har været alvorligt, og som ofte er forekommet hos patienter med prædisponering (f.eks. </w:t>
      </w:r>
      <w:proofErr w:type="spellStart"/>
      <w:r>
        <w:rPr>
          <w:sz w:val="24"/>
          <w:szCs w:val="24"/>
        </w:rPr>
        <w:t>hypoparatyroidisme</w:t>
      </w:r>
      <w:proofErr w:type="spellEnd"/>
      <w:r>
        <w:rPr>
          <w:sz w:val="24"/>
          <w:szCs w:val="24"/>
        </w:rPr>
        <w:t xml:space="preserve">, D-vitaminmangel og </w:t>
      </w:r>
      <w:proofErr w:type="spellStart"/>
      <w:r>
        <w:rPr>
          <w:sz w:val="24"/>
          <w:szCs w:val="24"/>
        </w:rPr>
        <w:t>calciummalabsorption</w:t>
      </w:r>
      <w:proofErr w:type="spellEnd"/>
      <w:r>
        <w:rPr>
          <w:sz w:val="24"/>
          <w:szCs w:val="24"/>
        </w:rPr>
        <w:t>) (se pkt. 4.8).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Cholecalciferol</w:t>
      </w:r>
      <w:proofErr w:type="spellEnd"/>
    </w:p>
    <w:p w:rsidR="004528FE" w:rsidRDefault="004528FE" w:rsidP="004528FE">
      <w:pPr>
        <w:tabs>
          <w:tab w:val="left" w:pos="567"/>
        </w:tabs>
        <w:ind w:left="851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D3-vitamin kan øge sværhedsgraden af </w:t>
      </w:r>
      <w:proofErr w:type="spellStart"/>
      <w:r>
        <w:rPr>
          <w:sz w:val="24"/>
          <w:szCs w:val="24"/>
        </w:rPr>
        <w:t>hyperkalcæmi</w:t>
      </w:r>
      <w:proofErr w:type="spellEnd"/>
      <w:r>
        <w:rPr>
          <w:sz w:val="24"/>
          <w:szCs w:val="24"/>
        </w:rPr>
        <w:t xml:space="preserve"> og/eller </w:t>
      </w:r>
      <w:proofErr w:type="spellStart"/>
      <w:r>
        <w:rPr>
          <w:sz w:val="24"/>
          <w:szCs w:val="24"/>
        </w:rPr>
        <w:t>hyperkalciuri</w:t>
      </w:r>
      <w:proofErr w:type="spellEnd"/>
      <w:r>
        <w:rPr>
          <w:sz w:val="24"/>
          <w:szCs w:val="24"/>
        </w:rPr>
        <w:t xml:space="preserve">, når det gives til patienter med sygdomme, der er forbundet med ureguleret overproduktion af </w:t>
      </w:r>
      <w:proofErr w:type="spellStart"/>
      <w:r>
        <w:rPr>
          <w:sz w:val="24"/>
          <w:szCs w:val="24"/>
        </w:rPr>
        <w:t>calcitriol</w:t>
      </w:r>
      <w:proofErr w:type="spellEnd"/>
      <w:r>
        <w:rPr>
          <w:sz w:val="24"/>
          <w:szCs w:val="24"/>
        </w:rPr>
        <w:t xml:space="preserve"> (f.eks. leukæmi, </w:t>
      </w:r>
      <w:proofErr w:type="spellStart"/>
      <w:r>
        <w:rPr>
          <w:sz w:val="24"/>
          <w:szCs w:val="24"/>
        </w:rPr>
        <w:t>lymphoma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sarcoidosis</w:t>
      </w:r>
      <w:proofErr w:type="spellEnd"/>
      <w:r>
        <w:rPr>
          <w:sz w:val="24"/>
          <w:szCs w:val="24"/>
        </w:rPr>
        <w:t>). Urin og serumcalcium bør monitoreres hos disse patienter.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Patienter med </w:t>
      </w:r>
      <w:proofErr w:type="spellStart"/>
      <w:r>
        <w:rPr>
          <w:sz w:val="24"/>
          <w:szCs w:val="24"/>
        </w:rPr>
        <w:t>malabsorption</w:t>
      </w:r>
      <w:proofErr w:type="spellEnd"/>
      <w:r>
        <w:rPr>
          <w:sz w:val="24"/>
          <w:szCs w:val="24"/>
        </w:rPr>
        <w:t xml:space="preserve"> kan ikke absorbere tilstrækkeligt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-vitamin.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tabs>
          <w:tab w:val="left" w:pos="567"/>
        </w:tabs>
        <w:ind w:left="851"/>
        <w:rPr>
          <w:rFonts w:eastAsia="Calibri"/>
          <w:sz w:val="24"/>
          <w:szCs w:val="24"/>
          <w:u w:val="single"/>
        </w:rPr>
      </w:pPr>
      <w:r>
        <w:rPr>
          <w:sz w:val="24"/>
          <w:szCs w:val="24"/>
          <w:u w:val="single"/>
        </w:rPr>
        <w:t>Hjælpestoffer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Dette lægemiddel indeholder </w:t>
      </w:r>
      <w:proofErr w:type="spellStart"/>
      <w:r>
        <w:rPr>
          <w:sz w:val="24"/>
          <w:szCs w:val="24"/>
        </w:rPr>
        <w:t>lactose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saccharose</w:t>
      </w:r>
      <w:proofErr w:type="spellEnd"/>
      <w:r>
        <w:rPr>
          <w:sz w:val="24"/>
          <w:szCs w:val="24"/>
        </w:rPr>
        <w:t xml:space="preserve"> og bør ikke anvendes til patienter med sjælden arvelig </w:t>
      </w:r>
      <w:proofErr w:type="spellStart"/>
      <w:r>
        <w:rPr>
          <w:sz w:val="24"/>
          <w:szCs w:val="24"/>
        </w:rPr>
        <w:t>fructoseintolerance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galactoseintolerance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lactosemalabsorption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glucose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galactose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malabsorption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sucrase-isomaltasemangel</w:t>
      </w:r>
      <w:proofErr w:type="spellEnd"/>
      <w:r>
        <w:rPr>
          <w:sz w:val="24"/>
          <w:szCs w:val="24"/>
        </w:rPr>
        <w:t>.</w:t>
      </w:r>
    </w:p>
    <w:p w:rsidR="004528FE" w:rsidRDefault="004528FE" w:rsidP="004528FE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4528FE" w:rsidRDefault="004528FE" w:rsidP="004528FE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Dette lægemiddel indeholder mindre end 1 mmol (23 mg) natrium pr. tablet, dvs. det er i det væsentlige "natriumfrit".</w:t>
      </w:r>
    </w:p>
    <w:p w:rsidR="004528FE" w:rsidRPr="00C84483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b/>
          <w:sz w:val="24"/>
          <w:szCs w:val="24"/>
        </w:rPr>
      </w:pP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Alendronat</w:t>
      </w:r>
      <w:proofErr w:type="spellEnd"/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Ved samtidig administration kan mad og drikkevarer (inklusive mineralvand), calciumtilskud, </w:t>
      </w:r>
      <w:proofErr w:type="spellStart"/>
      <w:r>
        <w:rPr>
          <w:sz w:val="24"/>
          <w:szCs w:val="24"/>
        </w:rPr>
        <w:t>antacida</w:t>
      </w:r>
      <w:proofErr w:type="spellEnd"/>
      <w:r>
        <w:rPr>
          <w:sz w:val="24"/>
          <w:szCs w:val="24"/>
        </w:rPr>
        <w:t xml:space="preserve"> samt visse peroralt administrerede lægemidler påvirke absorptionen af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. Patienten skal derfor vente mindst 30 minutter efter indtag af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, før der indtages andre perorale lægemidler (se pkt. 4.2 og 5.2).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>Da anvendelse af non-</w:t>
      </w:r>
      <w:proofErr w:type="spellStart"/>
      <w:r>
        <w:rPr>
          <w:sz w:val="24"/>
          <w:szCs w:val="24"/>
        </w:rPr>
        <w:t>steroide</w:t>
      </w:r>
      <w:proofErr w:type="spellEnd"/>
      <w:r>
        <w:rPr>
          <w:sz w:val="24"/>
          <w:szCs w:val="24"/>
        </w:rPr>
        <w:t xml:space="preserve"> anti-inflammatoriske lægemidler (NSAID) er forbundet med </w:t>
      </w:r>
      <w:proofErr w:type="spellStart"/>
      <w:r>
        <w:rPr>
          <w:sz w:val="24"/>
          <w:szCs w:val="24"/>
        </w:rPr>
        <w:t>gastrointestinal</w:t>
      </w:r>
      <w:proofErr w:type="spellEnd"/>
      <w:r>
        <w:rPr>
          <w:sz w:val="24"/>
          <w:szCs w:val="24"/>
        </w:rPr>
        <w:t xml:space="preserve"> irritation, bør forsigtighed udvises ved samtidig brug af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.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Cholecalciferol</w:t>
      </w:r>
      <w:proofErr w:type="spellEnd"/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right="20" w:firstLine="0"/>
        <w:jc w:val="left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Olestra</w:t>
      </w:r>
      <w:proofErr w:type="spellEnd"/>
      <w:r>
        <w:rPr>
          <w:sz w:val="24"/>
          <w:szCs w:val="24"/>
        </w:rPr>
        <w:t xml:space="preserve">, mineralske olier, </w:t>
      </w:r>
      <w:proofErr w:type="spellStart"/>
      <w:r>
        <w:rPr>
          <w:sz w:val="24"/>
          <w:szCs w:val="24"/>
        </w:rPr>
        <w:t>orlistat</w:t>
      </w:r>
      <w:proofErr w:type="spellEnd"/>
      <w:r>
        <w:rPr>
          <w:sz w:val="24"/>
          <w:szCs w:val="24"/>
        </w:rPr>
        <w:t xml:space="preserve"> og galdesyremidler (</w:t>
      </w:r>
      <w:proofErr w:type="spellStart"/>
      <w:r>
        <w:rPr>
          <w:sz w:val="24"/>
          <w:szCs w:val="24"/>
        </w:rPr>
        <w:t>colestyramin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colestipol</w:t>
      </w:r>
      <w:proofErr w:type="spellEnd"/>
      <w:r>
        <w:rPr>
          <w:sz w:val="24"/>
          <w:szCs w:val="24"/>
        </w:rPr>
        <w:t xml:space="preserve">) kan svække optagelsen af D-vitamin. </w:t>
      </w:r>
      <w:proofErr w:type="spellStart"/>
      <w:r>
        <w:rPr>
          <w:sz w:val="24"/>
          <w:szCs w:val="24"/>
        </w:rPr>
        <w:t>Antiepileptika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cimetidin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thiazider</w:t>
      </w:r>
      <w:proofErr w:type="spellEnd"/>
      <w:r>
        <w:rPr>
          <w:sz w:val="24"/>
          <w:szCs w:val="24"/>
        </w:rPr>
        <w:t xml:space="preserve"> kan øge </w:t>
      </w:r>
      <w:proofErr w:type="spellStart"/>
      <w:r>
        <w:rPr>
          <w:sz w:val="24"/>
          <w:szCs w:val="24"/>
        </w:rPr>
        <w:t>katabolismen</w:t>
      </w:r>
      <w:proofErr w:type="spellEnd"/>
      <w:r>
        <w:rPr>
          <w:sz w:val="24"/>
          <w:szCs w:val="24"/>
        </w:rPr>
        <w:t xml:space="preserve"> af D-vitamin. Yderligere D-vitamintilskud kan overvejes på individuel basis.</w:t>
      </w:r>
    </w:p>
    <w:p w:rsidR="004528FE" w:rsidRPr="00C84483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 w:rsidR="00101C30"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Alendronate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 xml:space="preserve">" er kun beregnet til anvendelse hos </w:t>
      </w:r>
      <w:proofErr w:type="spellStart"/>
      <w:r>
        <w:rPr>
          <w:sz w:val="24"/>
          <w:szCs w:val="24"/>
        </w:rPr>
        <w:t>postmenopausale</w:t>
      </w:r>
      <w:proofErr w:type="spellEnd"/>
      <w:r>
        <w:rPr>
          <w:sz w:val="24"/>
          <w:szCs w:val="24"/>
        </w:rPr>
        <w:t xml:space="preserve"> kvinder, og bør derfor ikke anvendes under graviditet eller af ammende kvinder.</w:t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  <w:u w:val="single"/>
        </w:rPr>
      </w:pPr>
    </w:p>
    <w:p w:rsidR="004528FE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Graviditet</w:t>
      </w:r>
    </w:p>
    <w:p w:rsidR="004528FE" w:rsidRDefault="004528FE" w:rsidP="004528FE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ingen eller utilstrækkelige data fra brug af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til gravide kvinder. Dyreforsøg har påvist reproduktionstoksicitet.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givet til gravide rotter forårsagede </w:t>
      </w:r>
      <w:proofErr w:type="spellStart"/>
      <w:r>
        <w:rPr>
          <w:sz w:val="24"/>
          <w:szCs w:val="24"/>
        </w:rPr>
        <w:t>dystocia</w:t>
      </w:r>
      <w:proofErr w:type="spellEnd"/>
      <w:r>
        <w:rPr>
          <w:sz w:val="24"/>
          <w:szCs w:val="24"/>
        </w:rPr>
        <w:t xml:space="preserve"> relateret til </w:t>
      </w:r>
      <w:proofErr w:type="spellStart"/>
      <w:r>
        <w:rPr>
          <w:sz w:val="24"/>
          <w:szCs w:val="24"/>
        </w:rPr>
        <w:t>hypokalcæmi</w:t>
      </w:r>
      <w:proofErr w:type="spellEnd"/>
      <w:r>
        <w:rPr>
          <w:sz w:val="24"/>
          <w:szCs w:val="24"/>
        </w:rPr>
        <w:t xml:space="preserve"> (se pkt. 5.3). Dyreforsøg har vist </w:t>
      </w:r>
      <w:proofErr w:type="spellStart"/>
      <w:r>
        <w:rPr>
          <w:sz w:val="24"/>
          <w:szCs w:val="24"/>
        </w:rPr>
        <w:t>hyperkalcæmi</w:t>
      </w:r>
      <w:proofErr w:type="spellEnd"/>
      <w:r>
        <w:rPr>
          <w:sz w:val="24"/>
          <w:szCs w:val="24"/>
        </w:rPr>
        <w:t xml:space="preserve"> og toksicitet i forbindelse med reproduktion ved høje doser af D-vitamin (se pkt. 5.3). </w:t>
      </w:r>
      <w:proofErr w:type="spellStart"/>
      <w:r>
        <w:rPr>
          <w:sz w:val="24"/>
          <w:szCs w:val="24"/>
        </w:rPr>
        <w:t>Alendronate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>" må ikke anvendes under graviditet.</w:t>
      </w:r>
    </w:p>
    <w:p w:rsidR="004528FE" w:rsidRDefault="004528FE" w:rsidP="004528FE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4528FE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Amning</w:t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Det er ukendt, om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/metabolitter udskilles i human mælk. En risiko for nyfødte/spædbørn kan ikke udelukkes. 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og nogle af dets aktive metabolitter udskilles i modermælk. </w:t>
      </w:r>
      <w:proofErr w:type="spellStart"/>
      <w:r>
        <w:rPr>
          <w:sz w:val="24"/>
          <w:szCs w:val="24"/>
        </w:rPr>
        <w:t>Alendronate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>" må ikke anvendes under amning.</w:t>
      </w:r>
    </w:p>
    <w:p w:rsidR="00AA4C1C" w:rsidRDefault="00AA4C1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  <w:u w:val="single"/>
        </w:rPr>
      </w:pPr>
    </w:p>
    <w:p w:rsidR="004528FE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Fertilitet</w:t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b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Bisphosphonater</w:t>
      </w:r>
      <w:proofErr w:type="spellEnd"/>
      <w:r>
        <w:rPr>
          <w:sz w:val="24"/>
          <w:szCs w:val="24"/>
        </w:rPr>
        <w:t xml:space="preserve"> inkorporeres i knoglematrix, hvorfra de gradvist frigives over en årelang periode. Mængden af </w:t>
      </w:r>
      <w:proofErr w:type="spellStart"/>
      <w:r>
        <w:rPr>
          <w:sz w:val="24"/>
          <w:szCs w:val="24"/>
        </w:rPr>
        <w:t>bisphosphonat</w:t>
      </w:r>
      <w:proofErr w:type="spellEnd"/>
      <w:r>
        <w:rPr>
          <w:sz w:val="24"/>
          <w:szCs w:val="24"/>
        </w:rPr>
        <w:t xml:space="preserve">, der inkorporeres i knoglerne hos voksne, og dermed den mængde, der er tilgængelig for frigivelse tilbage til systemisk cirkulation, er direkte relateret til dosis og varigheden af </w:t>
      </w:r>
      <w:proofErr w:type="spellStart"/>
      <w:r>
        <w:rPr>
          <w:sz w:val="24"/>
          <w:szCs w:val="24"/>
        </w:rPr>
        <w:t>bisphosphonatbehandlingen</w:t>
      </w:r>
      <w:proofErr w:type="spellEnd"/>
      <w:r>
        <w:rPr>
          <w:sz w:val="24"/>
          <w:szCs w:val="24"/>
        </w:rPr>
        <w:t xml:space="preserve"> (se pkt. 5.2). Der er ingen data vedrørende </w:t>
      </w:r>
      <w:proofErr w:type="spellStart"/>
      <w:r>
        <w:rPr>
          <w:sz w:val="24"/>
          <w:szCs w:val="24"/>
        </w:rPr>
        <w:t>føtal</w:t>
      </w:r>
      <w:proofErr w:type="spellEnd"/>
      <w:r>
        <w:rPr>
          <w:sz w:val="24"/>
          <w:szCs w:val="24"/>
        </w:rPr>
        <w:t xml:space="preserve"> risiko hos mennesker. Der er dog en teoretisk risiko for fosterskader, fortrinsvis af knoglemæssig karakter, hvis en kvinde bliver gravid efter afsluttet behandlingsforløb med </w:t>
      </w:r>
      <w:proofErr w:type="spellStart"/>
      <w:r>
        <w:rPr>
          <w:sz w:val="24"/>
          <w:szCs w:val="24"/>
        </w:rPr>
        <w:t>bisphosphonat</w:t>
      </w:r>
      <w:proofErr w:type="spellEnd"/>
      <w:r>
        <w:rPr>
          <w:sz w:val="24"/>
          <w:szCs w:val="24"/>
        </w:rPr>
        <w:t xml:space="preserve">. Der er ikke undersøgt, om variabler, såsom tiden fra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af behandling med </w:t>
      </w:r>
      <w:proofErr w:type="spellStart"/>
      <w:r>
        <w:rPr>
          <w:sz w:val="24"/>
          <w:szCs w:val="24"/>
        </w:rPr>
        <w:t>bisphosphonat</w:t>
      </w:r>
      <w:proofErr w:type="spellEnd"/>
      <w:r>
        <w:rPr>
          <w:sz w:val="24"/>
          <w:szCs w:val="24"/>
        </w:rPr>
        <w:t xml:space="preserve"> til undfangelse, den specifikke type </w:t>
      </w:r>
      <w:proofErr w:type="spellStart"/>
      <w:r>
        <w:rPr>
          <w:sz w:val="24"/>
          <w:szCs w:val="24"/>
        </w:rPr>
        <w:t>bisphosphonat</w:t>
      </w:r>
      <w:proofErr w:type="spellEnd"/>
      <w:r>
        <w:rPr>
          <w:sz w:val="24"/>
          <w:szCs w:val="24"/>
        </w:rPr>
        <w:t xml:space="preserve"> samt indgivelsesmåde (intravenøs versus oral), har indflydelse på risikoen.</w:t>
      </w:r>
    </w:p>
    <w:p w:rsidR="004528FE" w:rsidRPr="00C84483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</w:r>
      <w:r w:rsidR="00101C30" w:rsidRPr="00101C30">
        <w:rPr>
          <w:b/>
          <w:sz w:val="24"/>
          <w:szCs w:val="24"/>
        </w:rPr>
        <w:t>Virkning på evnen til at føre motorkøretøj og betjene maskiner</w:t>
      </w:r>
    </w:p>
    <w:p w:rsidR="004528FE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Alendronate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>" påvirker ikke eller kun i ubetydelig grad evnen til at føre motorkøretøj og betjene maskiner. Patienter kan opleve visse bivirkninger (f.eks. sløret syn, svimmelhed og svære knogle-, muskel- eller ledsmerter (se pkt. 4.8)), som kan påvirke evnen til at føre motorkøretøj og betjene maskiner.</w:t>
      </w:r>
    </w:p>
    <w:p w:rsidR="004528FE" w:rsidRPr="00C84483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</w:p>
    <w:p w:rsidR="004528FE" w:rsidRPr="00C84483" w:rsidRDefault="004528FE" w:rsidP="004528FE">
      <w:pPr>
        <w:tabs>
          <w:tab w:val="left" w:pos="284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b/>
          <w:sz w:val="24"/>
          <w:szCs w:val="24"/>
        </w:rPr>
      </w:pPr>
    </w:p>
    <w:p w:rsidR="004528FE" w:rsidRDefault="004528FE" w:rsidP="004528FE">
      <w:pPr>
        <w:widowControl w:val="0"/>
        <w:tabs>
          <w:tab w:val="left" w:pos="567"/>
        </w:tabs>
        <w:ind w:left="851"/>
        <w:rPr>
          <w:b/>
          <w:sz w:val="24"/>
          <w:szCs w:val="24"/>
        </w:rPr>
      </w:pPr>
      <w:r>
        <w:rPr>
          <w:sz w:val="24"/>
          <w:szCs w:val="24"/>
          <w:u w:val="single"/>
        </w:rPr>
        <w:t>Opsummering af sikkerhedsprofilen</w:t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 hyppigst indberettede bivirkninger er øvre </w:t>
      </w:r>
      <w:proofErr w:type="spellStart"/>
      <w:r>
        <w:rPr>
          <w:sz w:val="24"/>
          <w:szCs w:val="24"/>
        </w:rPr>
        <w:t>gastrointestinale</w:t>
      </w:r>
      <w:proofErr w:type="spellEnd"/>
      <w:r>
        <w:rPr>
          <w:sz w:val="24"/>
          <w:szCs w:val="24"/>
        </w:rPr>
        <w:t xml:space="preserve"> bivirkninger, herunder </w:t>
      </w:r>
      <w:proofErr w:type="spellStart"/>
      <w:r>
        <w:rPr>
          <w:sz w:val="24"/>
          <w:szCs w:val="24"/>
        </w:rPr>
        <w:t>abdominalsmerter</w:t>
      </w:r>
      <w:proofErr w:type="spellEnd"/>
      <w:r>
        <w:rPr>
          <w:sz w:val="24"/>
          <w:szCs w:val="24"/>
        </w:rPr>
        <w:t xml:space="preserve">, dyspepsi, </w:t>
      </w:r>
      <w:proofErr w:type="spellStart"/>
      <w:r>
        <w:rPr>
          <w:sz w:val="24"/>
          <w:szCs w:val="24"/>
        </w:rPr>
        <w:t>øsofageal</w:t>
      </w:r>
      <w:proofErr w:type="spellEnd"/>
      <w:r>
        <w:rPr>
          <w:sz w:val="24"/>
          <w:szCs w:val="24"/>
        </w:rPr>
        <w:t xml:space="preserve"> ulcus, </w:t>
      </w:r>
      <w:proofErr w:type="spellStart"/>
      <w:r>
        <w:rPr>
          <w:sz w:val="24"/>
          <w:szCs w:val="24"/>
        </w:rPr>
        <w:t>dysfagi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abdominal</w:t>
      </w:r>
      <w:proofErr w:type="spellEnd"/>
      <w:r>
        <w:rPr>
          <w:sz w:val="24"/>
          <w:szCs w:val="24"/>
        </w:rPr>
        <w:t xml:space="preserve"> udspiling og </w:t>
      </w:r>
      <w:proofErr w:type="spellStart"/>
      <w:r>
        <w:rPr>
          <w:sz w:val="24"/>
          <w:szCs w:val="24"/>
        </w:rPr>
        <w:t>syreregurgitation</w:t>
      </w:r>
      <w:proofErr w:type="spellEnd"/>
      <w:r>
        <w:rPr>
          <w:sz w:val="24"/>
          <w:szCs w:val="24"/>
        </w:rPr>
        <w:t xml:space="preserve"> (&gt;1 %).</w:t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  <w:u w:val="single"/>
        </w:rPr>
      </w:pPr>
    </w:p>
    <w:p w:rsidR="004528FE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Bivirkningstabel</w:t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Nedenstående bivirkninger er indberettet i forbindelse med kliniske undersøgelser med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og/eller efter markedsføring.</w:t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ikke identificeret nye bivirkninger af kombinationen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>.</w:t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>Frekvenserne er defineret således: Meget almindelig (≥1/10), almindelig (≥1/100 til &lt;1/10), ikke almindelig (≥1/1.000 til &lt;1/100), sjælden (≥1/10.000 til &lt;1/1.000), meget sjælden (&lt;1/10.000)</w:t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</w:p>
    <w:tbl>
      <w:tblPr>
        <w:tblW w:w="0" w:type="auto"/>
        <w:tblInd w:w="846" w:type="dxa"/>
        <w:tblCellMar>
          <w:top w:w="113" w:type="dxa"/>
          <w:left w:w="10" w:type="dxa"/>
          <w:bottom w:w="113" w:type="dxa"/>
          <w:right w:w="10" w:type="dxa"/>
        </w:tblCellMar>
        <w:tblLook w:val="0020" w:firstRow="1" w:lastRow="0" w:firstColumn="0" w:lastColumn="0" w:noHBand="0" w:noVBand="0"/>
      </w:tblPr>
      <w:tblGrid>
        <w:gridCol w:w="2801"/>
        <w:gridCol w:w="1404"/>
        <w:gridCol w:w="4577"/>
      </w:tblGrid>
      <w:tr w:rsidR="004528FE" w:rsidTr="003B4BC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27"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BodyText2"/>
                <w:b/>
                <w:sz w:val="24"/>
                <w:szCs w:val="24"/>
              </w:rPr>
              <w:t>Systemorganklasse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6"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BodyText2"/>
                <w:b/>
                <w:sz w:val="24"/>
                <w:szCs w:val="24"/>
              </w:rPr>
              <w:t>Hyppighed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3"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BodyText2"/>
                <w:b/>
                <w:sz w:val="24"/>
                <w:szCs w:val="24"/>
              </w:rPr>
              <w:t>Bivirkninger</w:t>
            </w:r>
          </w:p>
        </w:tc>
      </w:tr>
      <w:tr w:rsidR="004528FE" w:rsidTr="003B4B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27"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BodytextItalic"/>
                <w:sz w:val="24"/>
                <w:szCs w:val="24"/>
              </w:rPr>
              <w:t>Immunsystemet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6" w:firstLine="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>Sjælden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3" w:firstLine="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 xml:space="preserve">Overfølsomhedsreaktioner inklusive </w:t>
            </w:r>
            <w:proofErr w:type="spellStart"/>
            <w:r>
              <w:rPr>
                <w:rStyle w:val="BodyText2"/>
                <w:sz w:val="24"/>
                <w:szCs w:val="24"/>
              </w:rPr>
              <w:t>urticaria</w:t>
            </w:r>
            <w:proofErr w:type="spellEnd"/>
            <w:r>
              <w:rPr>
                <w:rStyle w:val="BodyText2"/>
                <w:sz w:val="24"/>
                <w:szCs w:val="24"/>
              </w:rPr>
              <w:t xml:space="preserve"> og </w:t>
            </w:r>
            <w:proofErr w:type="spellStart"/>
            <w:r>
              <w:rPr>
                <w:rStyle w:val="BodyText2"/>
                <w:sz w:val="24"/>
                <w:szCs w:val="24"/>
              </w:rPr>
              <w:t>angioødem</w:t>
            </w:r>
            <w:proofErr w:type="spellEnd"/>
          </w:p>
        </w:tc>
      </w:tr>
      <w:tr w:rsidR="004528FE" w:rsidTr="003B4B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27"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BodytextItalic"/>
                <w:sz w:val="24"/>
                <w:szCs w:val="24"/>
              </w:rPr>
              <w:t>Metabolisme og ernæring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6" w:firstLine="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>Sjælden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3" w:firstLine="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 xml:space="preserve">Symptomatisk </w:t>
            </w:r>
            <w:proofErr w:type="spellStart"/>
            <w:r>
              <w:rPr>
                <w:rStyle w:val="BodyText2"/>
                <w:sz w:val="24"/>
                <w:szCs w:val="24"/>
              </w:rPr>
              <w:t>hypokalcæmi</w:t>
            </w:r>
            <w:proofErr w:type="spellEnd"/>
            <w:r>
              <w:rPr>
                <w:rStyle w:val="BodyText2"/>
                <w:sz w:val="24"/>
                <w:szCs w:val="24"/>
              </w:rPr>
              <w:t>, ofte i forbindelse med prædisponerende forhold</w:t>
            </w:r>
            <w:r>
              <w:rPr>
                <w:rStyle w:val="BodyText2"/>
                <w:sz w:val="24"/>
                <w:szCs w:val="24"/>
                <w:vertAlign w:val="superscript"/>
              </w:rPr>
              <w:t>§</w:t>
            </w:r>
          </w:p>
        </w:tc>
      </w:tr>
      <w:tr w:rsidR="004528FE" w:rsidTr="003B4BC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27"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BodytextItalic"/>
                <w:sz w:val="24"/>
                <w:szCs w:val="24"/>
              </w:rPr>
              <w:t>Nervesystemet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6" w:firstLine="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>Almindelig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3" w:firstLine="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>Hovedpine, svimmelhed</w:t>
            </w:r>
            <w:r>
              <w:rPr>
                <w:rStyle w:val="BodyText2"/>
                <w:sz w:val="24"/>
                <w:szCs w:val="24"/>
                <w:vertAlign w:val="superscript"/>
              </w:rPr>
              <w:t>†</w:t>
            </w:r>
          </w:p>
        </w:tc>
      </w:tr>
      <w:tr w:rsidR="004528FE" w:rsidTr="003B4B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8FE" w:rsidRDefault="004528FE" w:rsidP="003B4BCE">
            <w:pPr>
              <w:ind w:left="127"/>
              <w:rPr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6" w:firstLine="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>Ikke almindelig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3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BodyText2"/>
                <w:sz w:val="24"/>
                <w:szCs w:val="24"/>
              </w:rPr>
              <w:t>Dysgeusi</w:t>
            </w:r>
            <w:proofErr w:type="spellEnd"/>
            <w:r>
              <w:rPr>
                <w:rStyle w:val="BodyText2"/>
                <w:sz w:val="24"/>
                <w:szCs w:val="24"/>
                <w:vertAlign w:val="superscript"/>
              </w:rPr>
              <w:t>†</w:t>
            </w:r>
          </w:p>
        </w:tc>
      </w:tr>
      <w:tr w:rsidR="004528FE" w:rsidTr="003B4BC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27"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BodytextItalic"/>
                <w:sz w:val="24"/>
                <w:szCs w:val="24"/>
              </w:rPr>
              <w:t>Øjne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6" w:firstLine="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>Ikke almindelig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3" w:firstLine="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>Øjenbetændelse (</w:t>
            </w:r>
            <w:proofErr w:type="spellStart"/>
            <w:r>
              <w:rPr>
                <w:rStyle w:val="BodyText2"/>
                <w:sz w:val="24"/>
                <w:szCs w:val="24"/>
              </w:rPr>
              <w:t>uveitis</w:t>
            </w:r>
            <w:proofErr w:type="spellEnd"/>
            <w:r>
              <w:rPr>
                <w:rStyle w:val="BodyText2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BodyText2"/>
                <w:sz w:val="24"/>
                <w:szCs w:val="24"/>
              </w:rPr>
              <w:t>scleritis</w:t>
            </w:r>
            <w:proofErr w:type="spellEnd"/>
            <w:r>
              <w:rPr>
                <w:rStyle w:val="BodyText2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BodyText2"/>
                <w:sz w:val="24"/>
                <w:szCs w:val="24"/>
              </w:rPr>
              <w:t>episcleritis</w:t>
            </w:r>
            <w:proofErr w:type="spellEnd"/>
            <w:r>
              <w:rPr>
                <w:rStyle w:val="BodyText2"/>
                <w:sz w:val="24"/>
                <w:szCs w:val="24"/>
              </w:rPr>
              <w:t>)</w:t>
            </w:r>
          </w:p>
        </w:tc>
      </w:tr>
      <w:tr w:rsidR="004528FE" w:rsidTr="003B4BC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27"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BodytextItalic"/>
                <w:sz w:val="24"/>
                <w:szCs w:val="24"/>
              </w:rPr>
              <w:t>Øre og labyrint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6" w:firstLine="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>Almindelig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3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BodyText2"/>
                <w:sz w:val="24"/>
                <w:szCs w:val="24"/>
              </w:rPr>
              <w:t>Vertigo</w:t>
            </w:r>
            <w:proofErr w:type="spellEnd"/>
            <w:r>
              <w:rPr>
                <w:rStyle w:val="BodyText2"/>
                <w:sz w:val="24"/>
                <w:szCs w:val="24"/>
                <w:vertAlign w:val="superscript"/>
              </w:rPr>
              <w:t>†</w:t>
            </w:r>
          </w:p>
        </w:tc>
      </w:tr>
      <w:tr w:rsidR="004528FE" w:rsidTr="003B4B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28FE" w:rsidRDefault="004528FE" w:rsidP="003B4BCE">
            <w:pPr>
              <w:ind w:left="127"/>
              <w:rPr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6" w:firstLine="0"/>
              <w:jc w:val="left"/>
              <w:rPr>
                <w:rStyle w:val="BodyText2"/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>Meget sjælden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3" w:firstLine="0"/>
              <w:jc w:val="left"/>
              <w:rPr>
                <w:rStyle w:val="BodyText2"/>
                <w:sz w:val="24"/>
                <w:szCs w:val="24"/>
              </w:rPr>
            </w:pPr>
            <w:proofErr w:type="spellStart"/>
            <w:r>
              <w:rPr>
                <w:rStyle w:val="BodyText2"/>
                <w:sz w:val="24"/>
                <w:szCs w:val="24"/>
              </w:rPr>
              <w:t>Osteonekrose</w:t>
            </w:r>
            <w:proofErr w:type="spellEnd"/>
            <w:r>
              <w:rPr>
                <w:rStyle w:val="BodyText2"/>
                <w:sz w:val="24"/>
                <w:szCs w:val="24"/>
              </w:rPr>
              <w:t xml:space="preserve"> af øregangen (klassebivirkning for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bisphosphonater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528FE" w:rsidTr="003B4BC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27" w:firstLine="0"/>
              <w:jc w:val="left"/>
              <w:rPr>
                <w:b/>
              </w:rPr>
            </w:pPr>
            <w:r>
              <w:rPr>
                <w:rStyle w:val="BodytextItalic"/>
                <w:sz w:val="24"/>
                <w:szCs w:val="24"/>
              </w:rPr>
              <w:t>Mave-tarm-kanalen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6" w:firstLine="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>Almindelig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3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BodyText2"/>
                <w:sz w:val="24"/>
                <w:szCs w:val="24"/>
              </w:rPr>
              <w:t>Abdominalsmerter</w:t>
            </w:r>
            <w:proofErr w:type="spellEnd"/>
            <w:r>
              <w:rPr>
                <w:rStyle w:val="BodyText2"/>
                <w:sz w:val="24"/>
                <w:szCs w:val="24"/>
              </w:rPr>
              <w:t xml:space="preserve">, dyspepsi, obstipation, diarré, </w:t>
            </w:r>
            <w:proofErr w:type="spellStart"/>
            <w:r>
              <w:rPr>
                <w:rStyle w:val="BodyText2"/>
                <w:sz w:val="24"/>
                <w:szCs w:val="24"/>
              </w:rPr>
              <w:t>flatulens</w:t>
            </w:r>
            <w:proofErr w:type="spellEnd"/>
            <w:r>
              <w:rPr>
                <w:rStyle w:val="BodyText2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BodyText2"/>
                <w:sz w:val="24"/>
                <w:szCs w:val="24"/>
              </w:rPr>
              <w:t>øsofageal</w:t>
            </w:r>
            <w:proofErr w:type="spellEnd"/>
            <w:r>
              <w:rPr>
                <w:rStyle w:val="BodyText2"/>
                <w:sz w:val="24"/>
                <w:szCs w:val="24"/>
              </w:rPr>
              <w:t xml:space="preserve"> ulcus*, </w:t>
            </w:r>
            <w:proofErr w:type="spellStart"/>
            <w:r>
              <w:rPr>
                <w:rStyle w:val="BodyText2"/>
                <w:sz w:val="24"/>
                <w:szCs w:val="24"/>
              </w:rPr>
              <w:t>dysfagi</w:t>
            </w:r>
            <w:proofErr w:type="spellEnd"/>
            <w:r>
              <w:rPr>
                <w:rStyle w:val="BodyText2"/>
                <w:sz w:val="24"/>
                <w:szCs w:val="24"/>
              </w:rPr>
              <w:t xml:space="preserve">*, </w:t>
            </w:r>
            <w:proofErr w:type="spellStart"/>
            <w:r>
              <w:rPr>
                <w:rStyle w:val="BodyText2"/>
                <w:sz w:val="24"/>
                <w:szCs w:val="24"/>
              </w:rPr>
              <w:t>abdominal</w:t>
            </w:r>
            <w:proofErr w:type="spellEnd"/>
            <w:r>
              <w:rPr>
                <w:rStyle w:val="BodyText2"/>
                <w:sz w:val="24"/>
                <w:szCs w:val="24"/>
              </w:rPr>
              <w:t xml:space="preserve"> udspiling, </w:t>
            </w:r>
            <w:proofErr w:type="spellStart"/>
            <w:r>
              <w:rPr>
                <w:rStyle w:val="BodyText2"/>
                <w:sz w:val="24"/>
                <w:szCs w:val="24"/>
              </w:rPr>
              <w:t>syreregurgitation</w:t>
            </w:r>
            <w:proofErr w:type="spellEnd"/>
          </w:p>
        </w:tc>
      </w:tr>
      <w:tr w:rsidR="004528FE" w:rsidTr="003B4B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8FE" w:rsidRDefault="004528FE" w:rsidP="003B4BCE">
            <w:pPr>
              <w:ind w:left="127"/>
              <w:rPr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6" w:firstLine="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>Ikke almindelig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3" w:firstLine="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 xml:space="preserve">Kvalme, opkastning, gastritis, </w:t>
            </w:r>
            <w:proofErr w:type="spellStart"/>
            <w:r>
              <w:rPr>
                <w:rStyle w:val="BodyText2"/>
                <w:sz w:val="24"/>
                <w:szCs w:val="24"/>
              </w:rPr>
              <w:t>øsofagitis</w:t>
            </w:r>
            <w:proofErr w:type="spellEnd"/>
            <w:r>
              <w:rPr>
                <w:rStyle w:val="BodyText2"/>
                <w:sz w:val="24"/>
                <w:szCs w:val="24"/>
              </w:rPr>
              <w:t xml:space="preserve">*, </w:t>
            </w:r>
            <w:proofErr w:type="spellStart"/>
            <w:r>
              <w:rPr>
                <w:rStyle w:val="BodyText2"/>
                <w:sz w:val="24"/>
                <w:szCs w:val="24"/>
              </w:rPr>
              <w:t>øsofageal</w:t>
            </w:r>
            <w:proofErr w:type="spellEnd"/>
            <w:r>
              <w:rPr>
                <w:rStyle w:val="BodyText2"/>
                <w:sz w:val="24"/>
                <w:szCs w:val="24"/>
              </w:rPr>
              <w:t xml:space="preserve"> erosion*, </w:t>
            </w:r>
            <w:proofErr w:type="spellStart"/>
            <w:r>
              <w:rPr>
                <w:rStyle w:val="BodyText2"/>
                <w:sz w:val="24"/>
                <w:szCs w:val="24"/>
              </w:rPr>
              <w:t>melaena</w:t>
            </w:r>
            <w:proofErr w:type="spellEnd"/>
            <w:r>
              <w:rPr>
                <w:rStyle w:val="BodyText2"/>
                <w:sz w:val="24"/>
                <w:szCs w:val="24"/>
                <w:vertAlign w:val="superscript"/>
              </w:rPr>
              <w:t>†</w:t>
            </w:r>
          </w:p>
        </w:tc>
      </w:tr>
      <w:tr w:rsidR="004528FE" w:rsidTr="003B4B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8FE" w:rsidRDefault="004528FE" w:rsidP="003B4BCE">
            <w:pPr>
              <w:ind w:left="127"/>
              <w:rPr>
                <w:b/>
                <w:color w:val="000000"/>
                <w:sz w:val="21"/>
                <w:szCs w:val="21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6" w:firstLine="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>Sjælden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3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BodyText2"/>
                <w:sz w:val="24"/>
                <w:szCs w:val="24"/>
              </w:rPr>
              <w:t>Øsofagusstriktur</w:t>
            </w:r>
            <w:proofErr w:type="spellEnd"/>
            <w:r>
              <w:rPr>
                <w:rStyle w:val="BodyText2"/>
                <w:sz w:val="24"/>
                <w:szCs w:val="24"/>
              </w:rPr>
              <w:t xml:space="preserve">*, </w:t>
            </w:r>
            <w:proofErr w:type="spellStart"/>
            <w:r>
              <w:rPr>
                <w:rStyle w:val="BodyText2"/>
                <w:sz w:val="24"/>
                <w:szCs w:val="24"/>
              </w:rPr>
              <w:t>oropharyngeal</w:t>
            </w:r>
            <w:proofErr w:type="spellEnd"/>
            <w:r>
              <w:rPr>
                <w:rStyle w:val="BodyText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odyText2"/>
                <w:sz w:val="24"/>
                <w:szCs w:val="24"/>
              </w:rPr>
              <w:t>ulceration</w:t>
            </w:r>
            <w:proofErr w:type="spellEnd"/>
            <w:r>
              <w:rPr>
                <w:rStyle w:val="BodyText2"/>
                <w:sz w:val="24"/>
                <w:szCs w:val="24"/>
              </w:rPr>
              <w:t xml:space="preserve">*, øvre </w:t>
            </w:r>
            <w:proofErr w:type="spellStart"/>
            <w:r>
              <w:rPr>
                <w:rStyle w:val="BodyText2"/>
                <w:sz w:val="24"/>
                <w:szCs w:val="24"/>
              </w:rPr>
              <w:t>gastrointestinale</w:t>
            </w:r>
            <w:proofErr w:type="spellEnd"/>
            <w:r>
              <w:rPr>
                <w:rStyle w:val="BodyText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odyText2"/>
                <w:sz w:val="24"/>
                <w:szCs w:val="24"/>
              </w:rPr>
              <w:t>PUB’er</w:t>
            </w:r>
            <w:proofErr w:type="spellEnd"/>
            <w:r>
              <w:rPr>
                <w:rStyle w:val="BodyText2"/>
                <w:sz w:val="24"/>
                <w:szCs w:val="24"/>
              </w:rPr>
              <w:t xml:space="preserve"> (perforation, </w:t>
            </w:r>
            <w:proofErr w:type="spellStart"/>
            <w:r>
              <w:rPr>
                <w:rStyle w:val="BodyText2"/>
                <w:sz w:val="24"/>
                <w:szCs w:val="24"/>
              </w:rPr>
              <w:t>ulcera</w:t>
            </w:r>
            <w:proofErr w:type="spellEnd"/>
            <w:r>
              <w:rPr>
                <w:rStyle w:val="BodyText2"/>
                <w:sz w:val="24"/>
                <w:szCs w:val="24"/>
              </w:rPr>
              <w:t xml:space="preserve">, </w:t>
            </w:r>
            <w:proofErr w:type="gramStart"/>
            <w:r>
              <w:rPr>
                <w:rStyle w:val="BodyText2"/>
                <w:sz w:val="24"/>
                <w:szCs w:val="24"/>
              </w:rPr>
              <w:t>blødning)</w:t>
            </w:r>
            <w:r>
              <w:rPr>
                <w:rStyle w:val="BodyText2"/>
                <w:sz w:val="24"/>
                <w:szCs w:val="24"/>
                <w:vertAlign w:val="superscript"/>
              </w:rPr>
              <w:t>§</w:t>
            </w:r>
            <w:proofErr w:type="gramEnd"/>
          </w:p>
        </w:tc>
      </w:tr>
      <w:tr w:rsidR="004528FE" w:rsidTr="003B4BC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27"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BodytextItalic"/>
                <w:sz w:val="24"/>
                <w:szCs w:val="24"/>
              </w:rPr>
              <w:t>Hud og subkutane væv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6" w:firstLine="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>Almindelig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3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BodyText2"/>
                <w:sz w:val="24"/>
                <w:szCs w:val="24"/>
              </w:rPr>
              <w:t>Alopeci</w:t>
            </w:r>
            <w:proofErr w:type="spellEnd"/>
            <w:r>
              <w:rPr>
                <w:rStyle w:val="BodyText2"/>
                <w:sz w:val="24"/>
                <w:szCs w:val="24"/>
                <w:vertAlign w:val="superscript"/>
              </w:rPr>
              <w:t>†</w:t>
            </w:r>
            <w:r>
              <w:rPr>
                <w:rStyle w:val="BodyText2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BodyText2"/>
                <w:sz w:val="24"/>
                <w:szCs w:val="24"/>
              </w:rPr>
              <w:t>pruritus</w:t>
            </w:r>
            <w:proofErr w:type="spellEnd"/>
            <w:r>
              <w:rPr>
                <w:rStyle w:val="BodyText2"/>
                <w:sz w:val="24"/>
                <w:szCs w:val="24"/>
                <w:vertAlign w:val="superscript"/>
              </w:rPr>
              <w:t>†</w:t>
            </w:r>
          </w:p>
        </w:tc>
      </w:tr>
      <w:tr w:rsidR="004528FE" w:rsidTr="003B4B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8FE" w:rsidRDefault="004528FE" w:rsidP="003B4BCE">
            <w:pPr>
              <w:ind w:left="127"/>
              <w:rPr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6" w:firstLine="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>Ikke almindelig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3" w:firstLine="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 xml:space="preserve">Udslæt, </w:t>
            </w:r>
            <w:proofErr w:type="spellStart"/>
            <w:r>
              <w:rPr>
                <w:rStyle w:val="BodyText2"/>
                <w:sz w:val="24"/>
                <w:szCs w:val="24"/>
              </w:rPr>
              <w:t>erythema</w:t>
            </w:r>
            <w:proofErr w:type="spellEnd"/>
          </w:p>
        </w:tc>
      </w:tr>
      <w:tr w:rsidR="004528FE" w:rsidTr="003B4B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8FE" w:rsidRDefault="004528FE" w:rsidP="003B4BCE">
            <w:pPr>
              <w:ind w:left="127"/>
              <w:rPr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6" w:firstLine="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>Sjælden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3" w:firstLine="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 xml:space="preserve">Udslæt med lysoverfølsomhed, alvorlige hudreaktioner inklusive </w:t>
            </w:r>
            <w:proofErr w:type="spellStart"/>
            <w:r>
              <w:rPr>
                <w:rStyle w:val="BodyText2"/>
                <w:sz w:val="24"/>
                <w:szCs w:val="24"/>
              </w:rPr>
              <w:t>Stevens-Johnson's</w:t>
            </w:r>
            <w:proofErr w:type="spellEnd"/>
            <w:r>
              <w:rPr>
                <w:rStyle w:val="BodyText2"/>
                <w:sz w:val="24"/>
                <w:szCs w:val="24"/>
              </w:rPr>
              <w:t xml:space="preserve"> syndrom og toksisk </w:t>
            </w:r>
            <w:proofErr w:type="spellStart"/>
            <w:r>
              <w:rPr>
                <w:rStyle w:val="BodyText2"/>
                <w:sz w:val="24"/>
                <w:szCs w:val="24"/>
              </w:rPr>
              <w:t>epidermal</w:t>
            </w:r>
            <w:proofErr w:type="spellEnd"/>
            <w:r>
              <w:rPr>
                <w:rStyle w:val="BodyText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odyText2"/>
                <w:sz w:val="24"/>
                <w:szCs w:val="24"/>
              </w:rPr>
              <w:t>nekrolyse</w:t>
            </w:r>
            <w:proofErr w:type="spellEnd"/>
            <w:r>
              <w:rPr>
                <w:sz w:val="24"/>
                <w:szCs w:val="24"/>
                <w:vertAlign w:val="superscript"/>
              </w:rPr>
              <w:t>‡</w:t>
            </w:r>
          </w:p>
        </w:tc>
      </w:tr>
      <w:tr w:rsidR="004528FE" w:rsidTr="003B4BC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27"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BodytextItalic"/>
                <w:sz w:val="24"/>
                <w:szCs w:val="24"/>
              </w:rPr>
              <w:t>Knogler, led, muskler og bindevæv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6" w:firstLine="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>Meget almindelig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3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BodyText2"/>
                <w:sz w:val="24"/>
                <w:szCs w:val="24"/>
              </w:rPr>
              <w:t>Muskuloskeletale</w:t>
            </w:r>
            <w:proofErr w:type="spellEnd"/>
            <w:r>
              <w:rPr>
                <w:rStyle w:val="BodyText2"/>
                <w:sz w:val="24"/>
                <w:szCs w:val="24"/>
              </w:rPr>
              <w:t xml:space="preserve"> (knogle, muskel eller led) smerter, som kan være voldsomme</w:t>
            </w:r>
            <w:r>
              <w:rPr>
                <w:rStyle w:val="BodyText2"/>
                <w:sz w:val="24"/>
                <w:szCs w:val="24"/>
                <w:vertAlign w:val="superscript"/>
              </w:rPr>
              <w:t>†§</w:t>
            </w:r>
          </w:p>
        </w:tc>
      </w:tr>
      <w:tr w:rsidR="004528FE" w:rsidTr="003B4B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8FE" w:rsidRDefault="004528FE" w:rsidP="003B4BCE">
            <w:pPr>
              <w:ind w:left="127"/>
              <w:rPr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6" w:firstLine="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>Almindelig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3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BodyText2"/>
                <w:sz w:val="24"/>
                <w:szCs w:val="24"/>
              </w:rPr>
              <w:t>Ledhævelse</w:t>
            </w:r>
            <w:proofErr w:type="spellEnd"/>
            <w:r>
              <w:rPr>
                <w:rStyle w:val="BodyText2"/>
                <w:sz w:val="24"/>
                <w:szCs w:val="24"/>
                <w:vertAlign w:val="superscript"/>
              </w:rPr>
              <w:t>†</w:t>
            </w:r>
          </w:p>
        </w:tc>
      </w:tr>
      <w:tr w:rsidR="004528FE" w:rsidTr="003B4B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8FE" w:rsidRDefault="004528FE" w:rsidP="003B4BCE">
            <w:pPr>
              <w:ind w:left="127"/>
              <w:rPr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6" w:firstLine="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>Sjælden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3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Kæbeosteonekrose</w:t>
            </w:r>
            <w:proofErr w:type="spellEnd"/>
            <w:r>
              <w:rPr>
                <w:sz w:val="24"/>
                <w:szCs w:val="24"/>
                <w:vertAlign w:val="superscript"/>
              </w:rPr>
              <w:t>‡§</w:t>
            </w:r>
            <w:r>
              <w:rPr>
                <w:sz w:val="24"/>
                <w:szCs w:val="24"/>
              </w:rPr>
              <w:t xml:space="preserve">; atypiske </w:t>
            </w:r>
            <w:proofErr w:type="spellStart"/>
            <w:r>
              <w:rPr>
                <w:sz w:val="24"/>
                <w:szCs w:val="24"/>
              </w:rPr>
              <w:t>subtrochantære</w:t>
            </w:r>
            <w:proofErr w:type="spellEnd"/>
            <w:r>
              <w:rPr>
                <w:sz w:val="24"/>
                <w:szCs w:val="24"/>
              </w:rPr>
              <w:t xml:space="preserve"> og </w:t>
            </w:r>
            <w:proofErr w:type="spellStart"/>
            <w:r>
              <w:rPr>
                <w:sz w:val="24"/>
                <w:szCs w:val="24"/>
              </w:rPr>
              <w:t>diafyseale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femurfrakturer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bisphosphonat</w:t>
            </w:r>
            <w:proofErr w:type="spellEnd"/>
            <w:r>
              <w:rPr>
                <w:sz w:val="24"/>
                <w:szCs w:val="24"/>
              </w:rPr>
              <w:t xml:space="preserve"> klassebivirkning)</w:t>
            </w:r>
          </w:p>
        </w:tc>
      </w:tr>
      <w:tr w:rsidR="004528FE" w:rsidTr="003B4BC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27"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BodytextItalic"/>
                <w:sz w:val="24"/>
                <w:szCs w:val="24"/>
              </w:rPr>
              <w:t>Almene symptomer og reaktioner på administrationsstedet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6" w:firstLine="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>Almindelig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3" w:firstLine="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>Asteni</w:t>
            </w:r>
            <w:r>
              <w:rPr>
                <w:rStyle w:val="BodyText2"/>
                <w:sz w:val="24"/>
                <w:szCs w:val="24"/>
                <w:vertAlign w:val="superscript"/>
              </w:rPr>
              <w:t>†</w:t>
            </w:r>
            <w:r>
              <w:rPr>
                <w:rStyle w:val="BodyText2"/>
                <w:sz w:val="24"/>
                <w:szCs w:val="24"/>
              </w:rPr>
              <w:t>, perifert ødem</w:t>
            </w:r>
            <w:r>
              <w:rPr>
                <w:rStyle w:val="BodyText2"/>
                <w:sz w:val="24"/>
                <w:szCs w:val="24"/>
                <w:vertAlign w:val="superscript"/>
              </w:rPr>
              <w:t>†</w:t>
            </w:r>
          </w:p>
        </w:tc>
      </w:tr>
      <w:tr w:rsidR="004528FE" w:rsidTr="003B4B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528FE" w:rsidRDefault="004528FE" w:rsidP="003B4BCE">
            <w:pPr>
              <w:ind w:left="127"/>
              <w:rPr>
                <w:b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6" w:firstLine="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>Ikke almindelig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153" w:firstLine="0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</w:rPr>
              <w:t>Forbigående symptomer som i en akut-fase respons (myalgi, utilpashed og sjældent feber), typisk i forbindelse med initiering af behandlingen</w:t>
            </w:r>
            <w:r>
              <w:rPr>
                <w:rStyle w:val="BodyText2"/>
                <w:sz w:val="24"/>
                <w:szCs w:val="24"/>
                <w:vertAlign w:val="superscript"/>
              </w:rPr>
              <w:t>†</w:t>
            </w:r>
          </w:p>
        </w:tc>
      </w:tr>
      <w:tr w:rsidR="004528FE" w:rsidTr="003B4BCE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415" w:hanging="262"/>
              <w:jc w:val="left"/>
              <w:rPr>
                <w:sz w:val="24"/>
                <w:szCs w:val="24"/>
              </w:rPr>
            </w:pPr>
            <w:r>
              <w:rPr>
                <w:rStyle w:val="BodytextItalic"/>
                <w:sz w:val="24"/>
                <w:szCs w:val="24"/>
                <w:vertAlign w:val="superscript"/>
              </w:rPr>
              <w:t>§</w:t>
            </w:r>
            <w:r>
              <w:rPr>
                <w:rStyle w:val="BodytextItalic"/>
                <w:sz w:val="24"/>
                <w:szCs w:val="24"/>
                <w:vertAlign w:val="superscript"/>
              </w:rPr>
              <w:tab/>
            </w:r>
            <w:r>
              <w:rPr>
                <w:rStyle w:val="BodytextItalic"/>
                <w:sz w:val="24"/>
                <w:szCs w:val="24"/>
              </w:rPr>
              <w:t>Se pkt. 4.4</w:t>
            </w:r>
          </w:p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415" w:hanging="262"/>
              <w:jc w:val="left"/>
              <w:rPr>
                <w:sz w:val="24"/>
                <w:szCs w:val="24"/>
              </w:rPr>
            </w:pPr>
            <w:r>
              <w:rPr>
                <w:rStyle w:val="BodyText2"/>
                <w:sz w:val="24"/>
                <w:szCs w:val="24"/>
                <w:vertAlign w:val="superscript"/>
              </w:rPr>
              <w:t>†</w:t>
            </w:r>
            <w:r>
              <w:rPr>
                <w:rStyle w:val="BodyText2"/>
                <w:sz w:val="24"/>
                <w:szCs w:val="24"/>
                <w:vertAlign w:val="superscript"/>
              </w:rPr>
              <w:tab/>
            </w:r>
            <w:r>
              <w:rPr>
                <w:rStyle w:val="BodytextItalic"/>
                <w:sz w:val="24"/>
                <w:szCs w:val="24"/>
              </w:rPr>
              <w:t>I kliniske forsøg var hyppigheden i gruppen, der fik lægemidlet, sammenlignelig med gruppen, der fik placebo.</w:t>
            </w:r>
          </w:p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415" w:hanging="262"/>
              <w:jc w:val="left"/>
              <w:rPr>
                <w:sz w:val="24"/>
                <w:szCs w:val="24"/>
              </w:rPr>
            </w:pPr>
            <w:r>
              <w:rPr>
                <w:rStyle w:val="BodytextItalic"/>
                <w:sz w:val="24"/>
                <w:szCs w:val="24"/>
              </w:rPr>
              <w:t>*</w:t>
            </w:r>
            <w:r>
              <w:rPr>
                <w:rStyle w:val="BodytextItalic"/>
                <w:sz w:val="24"/>
                <w:szCs w:val="24"/>
              </w:rPr>
              <w:tab/>
              <w:t xml:space="preserve"> Se pkt. 4.2 og 4.4</w:t>
            </w:r>
          </w:p>
          <w:p w:rsidR="004528FE" w:rsidRDefault="004528FE" w:rsidP="003B4BCE">
            <w:pPr>
              <w:pStyle w:val="BodyText4"/>
              <w:shd w:val="clear" w:color="auto" w:fill="auto"/>
              <w:spacing w:after="0" w:line="240" w:lineRule="auto"/>
              <w:ind w:left="415" w:hanging="26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‡</w:t>
            </w:r>
            <w:r>
              <w:rPr>
                <w:sz w:val="24"/>
                <w:szCs w:val="24"/>
                <w:vertAlign w:val="superscript"/>
              </w:rPr>
              <w:tab/>
            </w:r>
            <w:r>
              <w:rPr>
                <w:rStyle w:val="BodytextItalic"/>
                <w:sz w:val="24"/>
                <w:szCs w:val="24"/>
              </w:rPr>
              <w:t xml:space="preserve">Denne bivirkning blev identificeret via post-marketing overvågning. Hyppigheden </w:t>
            </w:r>
            <w:proofErr w:type="gramStart"/>
            <w:r>
              <w:rPr>
                <w:rStyle w:val="BodytextItalic"/>
                <w:sz w:val="24"/>
                <w:szCs w:val="24"/>
              </w:rPr>
              <w:t>sjælden blev</w:t>
            </w:r>
            <w:proofErr w:type="gramEnd"/>
            <w:r>
              <w:rPr>
                <w:rStyle w:val="BodytextItalic"/>
                <w:sz w:val="24"/>
                <w:szCs w:val="24"/>
              </w:rPr>
              <w:t xml:space="preserve"> estimeret ud fra relevante kliniske forsøg.</w:t>
            </w:r>
          </w:p>
        </w:tc>
      </w:tr>
    </w:tbl>
    <w:p w:rsidR="004528FE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</w:p>
    <w:p w:rsidR="004528FE" w:rsidRPr="008F49E1" w:rsidRDefault="004528FE" w:rsidP="004528FE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:rsidR="004528FE" w:rsidRPr="008F49E1" w:rsidRDefault="004528FE" w:rsidP="004528FE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 xml:space="preserve">-forholdet for lægemidlet. </w:t>
      </w:r>
      <w:r w:rsidR="00AA4C1C">
        <w:rPr>
          <w:sz w:val="24"/>
          <w:szCs w:val="24"/>
          <w:lang w:eastAsia="da-DK"/>
        </w:rPr>
        <w:t xml:space="preserve">Sundhedspersoner </w:t>
      </w:r>
      <w:r w:rsidRPr="008F49E1">
        <w:rPr>
          <w:sz w:val="24"/>
          <w:szCs w:val="24"/>
          <w:lang w:eastAsia="da-DK"/>
        </w:rPr>
        <w:t>anmodes om at indberette alle formodede bivirkninger via:</w:t>
      </w:r>
    </w:p>
    <w:p w:rsidR="004528FE" w:rsidRPr="008F49E1" w:rsidRDefault="004528FE" w:rsidP="004528FE">
      <w:pPr>
        <w:ind w:left="851"/>
        <w:rPr>
          <w:sz w:val="24"/>
          <w:szCs w:val="24"/>
          <w:lang w:eastAsia="da-DK"/>
        </w:rPr>
      </w:pPr>
    </w:p>
    <w:p w:rsidR="004528FE" w:rsidRPr="007A276A" w:rsidRDefault="004528FE" w:rsidP="004528FE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:rsidR="004528FE" w:rsidRPr="007A276A" w:rsidRDefault="004528FE" w:rsidP="004528FE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:rsidR="004528FE" w:rsidRPr="007A276A" w:rsidRDefault="004528FE" w:rsidP="004528FE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:rsidR="004528FE" w:rsidRPr="00C61745" w:rsidRDefault="004528FE" w:rsidP="004528FE">
      <w:pPr>
        <w:ind w:left="851"/>
        <w:rPr>
          <w:sz w:val="24"/>
          <w:szCs w:val="24"/>
          <w:lang w:eastAsia="da-DK"/>
        </w:rPr>
      </w:pPr>
      <w:r w:rsidRPr="00C61745">
        <w:rPr>
          <w:sz w:val="24"/>
          <w:szCs w:val="24"/>
          <w:lang w:eastAsia="da-DK"/>
        </w:rPr>
        <w:t xml:space="preserve">Websted: </w:t>
      </w:r>
      <w:r w:rsidRPr="00C61745">
        <w:rPr>
          <w:sz w:val="24"/>
          <w:lang w:eastAsia="da-DK"/>
        </w:rPr>
        <w:t>www.meldenbivirkning.dk</w:t>
      </w:r>
    </w:p>
    <w:p w:rsidR="004528FE" w:rsidRPr="002A1420" w:rsidRDefault="004528FE" w:rsidP="004528FE">
      <w:pPr>
        <w:ind w:left="851"/>
        <w:rPr>
          <w:color w:val="0000FF"/>
          <w:sz w:val="24"/>
          <w:u w:val="single"/>
          <w:lang w:val="en-US" w:eastAsia="da-DK"/>
        </w:rPr>
      </w:pPr>
      <w:r w:rsidRPr="00995012">
        <w:rPr>
          <w:sz w:val="24"/>
          <w:szCs w:val="24"/>
          <w:lang w:val="en-US" w:eastAsia="da-DK"/>
        </w:rPr>
        <w:t xml:space="preserve">E-mail: </w:t>
      </w:r>
      <w:r w:rsidRPr="00F57E9D">
        <w:rPr>
          <w:sz w:val="24"/>
          <w:lang w:val="en-US" w:eastAsia="da-DK"/>
        </w:rPr>
        <w:t>dkma@dkma.dk</w:t>
      </w:r>
    </w:p>
    <w:p w:rsidR="004528FE" w:rsidRPr="006619A0" w:rsidRDefault="004528FE" w:rsidP="004528FE">
      <w:pPr>
        <w:pStyle w:val="Sidehoved"/>
        <w:tabs>
          <w:tab w:val="left" w:pos="851"/>
        </w:tabs>
        <w:ind w:left="851"/>
        <w:rPr>
          <w:szCs w:val="24"/>
          <w:lang w:val="en-US"/>
        </w:rPr>
      </w:pPr>
    </w:p>
    <w:p w:rsidR="004528FE" w:rsidRPr="00C61745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  <w:lang w:val="en-US"/>
        </w:rPr>
      </w:pPr>
      <w:r w:rsidRPr="00C61745">
        <w:rPr>
          <w:b/>
          <w:sz w:val="24"/>
          <w:szCs w:val="24"/>
          <w:lang w:val="en-US"/>
        </w:rPr>
        <w:t>4.9</w:t>
      </w:r>
      <w:r w:rsidRPr="00C61745">
        <w:rPr>
          <w:b/>
          <w:sz w:val="24"/>
          <w:szCs w:val="24"/>
          <w:lang w:val="en-US"/>
        </w:rPr>
        <w:tab/>
      </w:r>
      <w:proofErr w:type="spellStart"/>
      <w:r w:rsidRPr="00C61745">
        <w:rPr>
          <w:b/>
          <w:sz w:val="24"/>
          <w:szCs w:val="24"/>
          <w:lang w:val="en-US"/>
        </w:rPr>
        <w:t>Overdosering</w:t>
      </w:r>
      <w:proofErr w:type="spellEnd"/>
    </w:p>
    <w:p w:rsidR="004528FE" w:rsidRPr="00C61745" w:rsidRDefault="004528FE" w:rsidP="004528FE">
      <w:pPr>
        <w:pStyle w:val="Bodytext21"/>
        <w:shd w:val="clear" w:color="auto" w:fill="auto"/>
        <w:spacing w:before="0" w:line="240" w:lineRule="auto"/>
        <w:ind w:left="851"/>
        <w:jc w:val="left"/>
        <w:rPr>
          <w:sz w:val="24"/>
          <w:szCs w:val="24"/>
          <w:u w:val="single"/>
          <w:lang w:val="en-US" w:eastAsia="en-GB"/>
        </w:rPr>
      </w:pPr>
    </w:p>
    <w:p w:rsidR="004528FE" w:rsidRDefault="004528FE" w:rsidP="004528FE">
      <w:pPr>
        <w:pStyle w:val="Bodytext21"/>
        <w:shd w:val="clear" w:color="auto" w:fill="auto"/>
        <w:spacing w:before="0" w:line="240" w:lineRule="auto"/>
        <w:ind w:left="851"/>
        <w:jc w:val="left"/>
        <w:rPr>
          <w:sz w:val="24"/>
          <w:szCs w:val="24"/>
          <w:u w:val="single"/>
        </w:rPr>
      </w:pPr>
      <w:proofErr w:type="spellStart"/>
      <w:r>
        <w:rPr>
          <w:i w:val="0"/>
          <w:sz w:val="24"/>
          <w:szCs w:val="24"/>
          <w:u w:val="single"/>
        </w:rPr>
        <w:t>Alendronat</w:t>
      </w:r>
      <w:proofErr w:type="spellEnd"/>
    </w:p>
    <w:p w:rsidR="004528FE" w:rsidRDefault="004528FE" w:rsidP="004528FE">
      <w:pPr>
        <w:pStyle w:val="Bodytext21"/>
        <w:shd w:val="clear" w:color="auto" w:fill="auto"/>
        <w:spacing w:before="0" w:line="240" w:lineRule="auto"/>
        <w:ind w:left="851"/>
        <w:jc w:val="left"/>
        <w:rPr>
          <w:sz w:val="24"/>
          <w:szCs w:val="24"/>
        </w:rPr>
      </w:pPr>
    </w:p>
    <w:p w:rsidR="004528FE" w:rsidRDefault="004528FE" w:rsidP="004528FE">
      <w:pPr>
        <w:pStyle w:val="Bodytext21"/>
        <w:shd w:val="clear" w:color="auto" w:fill="auto"/>
        <w:spacing w:before="0" w:line="240" w:lineRule="auto"/>
        <w:ind w:left="851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Symptomer</w:t>
      </w:r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Overdosering kan forårsage </w:t>
      </w:r>
      <w:proofErr w:type="spellStart"/>
      <w:r>
        <w:rPr>
          <w:sz w:val="24"/>
          <w:szCs w:val="24"/>
        </w:rPr>
        <w:t>hypokalcæmi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hypophosphatæmi</w:t>
      </w:r>
      <w:proofErr w:type="spellEnd"/>
      <w:r>
        <w:rPr>
          <w:sz w:val="24"/>
          <w:szCs w:val="24"/>
        </w:rPr>
        <w:t xml:space="preserve"> og øvre </w:t>
      </w:r>
      <w:proofErr w:type="spellStart"/>
      <w:r>
        <w:rPr>
          <w:sz w:val="24"/>
          <w:szCs w:val="24"/>
        </w:rPr>
        <w:t>gastrointestinale</w:t>
      </w:r>
      <w:proofErr w:type="spellEnd"/>
      <w:r>
        <w:rPr>
          <w:sz w:val="24"/>
          <w:szCs w:val="24"/>
        </w:rPr>
        <w:t xml:space="preserve"> bivirkninger som mavebesvær, halsbrand, </w:t>
      </w:r>
      <w:proofErr w:type="spellStart"/>
      <w:r>
        <w:rPr>
          <w:sz w:val="24"/>
          <w:szCs w:val="24"/>
        </w:rPr>
        <w:t>øsofagitis</w:t>
      </w:r>
      <w:proofErr w:type="spellEnd"/>
      <w:r>
        <w:rPr>
          <w:sz w:val="24"/>
          <w:szCs w:val="24"/>
        </w:rPr>
        <w:t>, gastritis eller ulcus.</w:t>
      </w:r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firstLine="0"/>
        <w:jc w:val="left"/>
        <w:rPr>
          <w:i/>
          <w:sz w:val="24"/>
          <w:szCs w:val="24"/>
        </w:rPr>
      </w:pPr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>Behandling</w:t>
      </w:r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Der er ingen specifik information vedrørende behandling af overdosering med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. I tilfælde af overdosering med </w:t>
      </w:r>
      <w:proofErr w:type="spellStart"/>
      <w:r>
        <w:rPr>
          <w:sz w:val="24"/>
          <w:szCs w:val="24"/>
        </w:rPr>
        <w:t>Alendronate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 xml:space="preserve">" bør der indtages mælk eller </w:t>
      </w:r>
      <w:proofErr w:type="spellStart"/>
      <w:r>
        <w:rPr>
          <w:sz w:val="24"/>
          <w:szCs w:val="24"/>
        </w:rPr>
        <w:t>antacida</w:t>
      </w:r>
      <w:proofErr w:type="spellEnd"/>
      <w:r>
        <w:rPr>
          <w:sz w:val="24"/>
          <w:szCs w:val="24"/>
        </w:rPr>
        <w:t xml:space="preserve"> for at binde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. På grund af risiko for </w:t>
      </w:r>
      <w:proofErr w:type="spellStart"/>
      <w:r>
        <w:rPr>
          <w:sz w:val="24"/>
          <w:szCs w:val="24"/>
        </w:rPr>
        <w:t>øsofageal</w:t>
      </w:r>
      <w:proofErr w:type="spellEnd"/>
      <w:r>
        <w:rPr>
          <w:sz w:val="24"/>
          <w:szCs w:val="24"/>
        </w:rPr>
        <w:t xml:space="preserve"> irritation bør opkastning ikke induceres, og patienten skal forblive oprejst.</w:t>
      </w:r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firstLine="0"/>
        <w:jc w:val="left"/>
        <w:rPr>
          <w:sz w:val="24"/>
          <w:szCs w:val="24"/>
        </w:rPr>
      </w:pPr>
    </w:p>
    <w:p w:rsidR="004528FE" w:rsidRDefault="004528FE" w:rsidP="004528FE">
      <w:pPr>
        <w:pStyle w:val="Bodytext21"/>
        <w:shd w:val="clear" w:color="auto" w:fill="auto"/>
        <w:spacing w:before="0" w:line="240" w:lineRule="auto"/>
        <w:ind w:left="851"/>
        <w:jc w:val="left"/>
        <w:rPr>
          <w:i w:val="0"/>
          <w:sz w:val="24"/>
          <w:szCs w:val="24"/>
          <w:u w:val="single"/>
        </w:rPr>
      </w:pPr>
      <w:proofErr w:type="spellStart"/>
      <w:r>
        <w:rPr>
          <w:i w:val="0"/>
          <w:sz w:val="24"/>
          <w:szCs w:val="24"/>
          <w:u w:val="single"/>
        </w:rPr>
        <w:t>Cholecalciferol</w:t>
      </w:r>
      <w:proofErr w:type="spellEnd"/>
    </w:p>
    <w:p w:rsidR="004528FE" w:rsidRDefault="004528FE" w:rsidP="004528FE">
      <w:pPr>
        <w:widowControl w:val="0"/>
        <w:ind w:left="851"/>
        <w:rPr>
          <w:b/>
          <w:sz w:val="24"/>
          <w:szCs w:val="24"/>
        </w:rPr>
      </w:pPr>
      <w:r>
        <w:rPr>
          <w:sz w:val="24"/>
          <w:szCs w:val="24"/>
        </w:rPr>
        <w:t xml:space="preserve">D-vitamin toksicitet er ikke blevet dokumenteret under kronisk behandling hos generelt raske voksne ved en dosis på mindre end 10.000 IE/dag. I en klinisk undersøgelse med raske voksne blev en D3-vitamin dosis på 4.000 IE/dag givet i op til fem måneder ikke forbundet med </w:t>
      </w:r>
      <w:proofErr w:type="spellStart"/>
      <w:r>
        <w:rPr>
          <w:sz w:val="24"/>
          <w:szCs w:val="24"/>
        </w:rPr>
        <w:t>hyperkalciuri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hyperkalcæmi</w:t>
      </w:r>
      <w:proofErr w:type="spellEnd"/>
      <w:r>
        <w:rPr>
          <w:sz w:val="24"/>
          <w:szCs w:val="24"/>
        </w:rPr>
        <w:t>.</w:t>
      </w:r>
    </w:p>
    <w:p w:rsidR="004528FE" w:rsidRPr="00C84483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4528FE" w:rsidRPr="00C84483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4528FE" w:rsidRPr="00C84483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4528FE" w:rsidRPr="00C84483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</w:p>
    <w:p w:rsidR="004528FE" w:rsidRPr="00C84483" w:rsidRDefault="004528FE" w:rsidP="004528F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101C30" w:rsidRPr="00C84483" w:rsidRDefault="00101C30" w:rsidP="00101C30">
      <w:pPr>
        <w:widowControl w:val="0"/>
        <w:ind w:left="851"/>
        <w:rPr>
          <w:sz w:val="24"/>
          <w:szCs w:val="24"/>
        </w:rPr>
      </w:pPr>
      <w:r w:rsidRPr="00C922B2">
        <w:rPr>
          <w:sz w:val="24"/>
          <w:szCs w:val="24"/>
        </w:rPr>
        <w:t>Farmakoterapeutisk klassifikation</w:t>
      </w:r>
      <w:r>
        <w:rPr>
          <w:sz w:val="24"/>
          <w:szCs w:val="24"/>
        </w:rPr>
        <w:t>:</w:t>
      </w:r>
      <w:r w:rsidRPr="00CC6B90">
        <w:rPr>
          <w:sz w:val="24"/>
          <w:szCs w:val="24"/>
        </w:rPr>
        <w:t xml:space="preserve"> Lægemidler til behandling af knoglesygdomme, ko</w:t>
      </w:r>
      <w:r>
        <w:rPr>
          <w:sz w:val="24"/>
          <w:szCs w:val="24"/>
        </w:rPr>
        <w:t xml:space="preserve">mbinationer af </w:t>
      </w:r>
      <w:proofErr w:type="spellStart"/>
      <w:r>
        <w:rPr>
          <w:sz w:val="24"/>
          <w:szCs w:val="24"/>
        </w:rPr>
        <w:t>bisphosphonater</w:t>
      </w:r>
      <w:proofErr w:type="spellEnd"/>
      <w:r>
        <w:rPr>
          <w:sz w:val="24"/>
          <w:szCs w:val="24"/>
        </w:rPr>
        <w:t xml:space="preserve">, </w:t>
      </w:r>
      <w:r w:rsidRPr="00CC6B90">
        <w:rPr>
          <w:sz w:val="24"/>
          <w:szCs w:val="24"/>
        </w:rPr>
        <w:t>ATC-kode: M</w:t>
      </w:r>
      <w:r>
        <w:rPr>
          <w:sz w:val="24"/>
          <w:szCs w:val="24"/>
        </w:rPr>
        <w:t xml:space="preserve"> </w:t>
      </w:r>
      <w:r w:rsidRPr="00CC6B90">
        <w:rPr>
          <w:sz w:val="24"/>
          <w:szCs w:val="24"/>
        </w:rPr>
        <w:t>05</w:t>
      </w:r>
      <w:r>
        <w:rPr>
          <w:sz w:val="24"/>
          <w:szCs w:val="24"/>
        </w:rPr>
        <w:t xml:space="preserve"> </w:t>
      </w:r>
      <w:r w:rsidRPr="00CC6B90">
        <w:rPr>
          <w:sz w:val="24"/>
          <w:szCs w:val="24"/>
        </w:rPr>
        <w:t>BB</w:t>
      </w:r>
      <w:r>
        <w:rPr>
          <w:sz w:val="24"/>
          <w:szCs w:val="24"/>
        </w:rPr>
        <w:t xml:space="preserve"> </w:t>
      </w:r>
      <w:r w:rsidRPr="00CC6B90">
        <w:rPr>
          <w:sz w:val="24"/>
          <w:szCs w:val="24"/>
        </w:rPr>
        <w:t>03</w:t>
      </w:r>
      <w:r>
        <w:rPr>
          <w:sz w:val="24"/>
          <w:szCs w:val="24"/>
        </w:rPr>
        <w:t>.</w:t>
      </w:r>
    </w:p>
    <w:p w:rsidR="004528FE" w:rsidRDefault="004528FE" w:rsidP="004528FE">
      <w:pPr>
        <w:widowControl w:val="0"/>
        <w:ind w:left="851"/>
        <w:rPr>
          <w:sz w:val="24"/>
          <w:szCs w:val="24"/>
        </w:rPr>
      </w:pPr>
    </w:p>
    <w:p w:rsidR="004528FE" w:rsidRDefault="004528FE" w:rsidP="004528FE">
      <w:pPr>
        <w:widowControl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Virkningsmekanisme</w:t>
      </w:r>
    </w:p>
    <w:p w:rsidR="004528FE" w:rsidRDefault="004528FE" w:rsidP="004528FE">
      <w:pPr>
        <w:widowControl w:val="0"/>
        <w:ind w:left="851"/>
        <w:rPr>
          <w:sz w:val="24"/>
          <w:szCs w:val="24"/>
          <w:u w:val="single"/>
        </w:rPr>
      </w:pPr>
    </w:p>
    <w:p w:rsidR="004528FE" w:rsidRDefault="004528FE" w:rsidP="004528FE">
      <w:pPr>
        <w:widowControl w:val="0"/>
        <w:ind w:left="85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Alendronat</w:t>
      </w:r>
      <w:proofErr w:type="spellEnd"/>
    </w:p>
    <w:p w:rsidR="004528FE" w:rsidRDefault="004528FE" w:rsidP="004528FE">
      <w:pPr>
        <w:widowControl w:val="0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Alendronatnatrium</w:t>
      </w:r>
      <w:proofErr w:type="spellEnd"/>
      <w:r>
        <w:rPr>
          <w:sz w:val="24"/>
          <w:szCs w:val="24"/>
        </w:rPr>
        <w:t xml:space="preserve"> er et </w:t>
      </w:r>
      <w:proofErr w:type="spellStart"/>
      <w:r>
        <w:rPr>
          <w:sz w:val="24"/>
          <w:szCs w:val="24"/>
        </w:rPr>
        <w:t>bisphosphonat</w:t>
      </w:r>
      <w:proofErr w:type="spellEnd"/>
      <w:r>
        <w:rPr>
          <w:sz w:val="24"/>
          <w:szCs w:val="24"/>
        </w:rPr>
        <w:t xml:space="preserve">, der hæmmer </w:t>
      </w:r>
      <w:proofErr w:type="spellStart"/>
      <w:r>
        <w:rPr>
          <w:sz w:val="24"/>
          <w:szCs w:val="24"/>
        </w:rPr>
        <w:t>osteoklasters</w:t>
      </w:r>
      <w:proofErr w:type="spellEnd"/>
      <w:r>
        <w:rPr>
          <w:sz w:val="24"/>
          <w:szCs w:val="24"/>
        </w:rPr>
        <w:t xml:space="preserve"> knogleresorption uden direkte virkning på knogleopbygningen. Prækliniske undersøgelser har vist, at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primært lokaliseres til steder med aktiv resorption. </w:t>
      </w:r>
      <w:proofErr w:type="spellStart"/>
      <w:r>
        <w:rPr>
          <w:sz w:val="24"/>
          <w:szCs w:val="24"/>
        </w:rPr>
        <w:t>Osteoklasteraktiviteten</w:t>
      </w:r>
      <w:proofErr w:type="spellEnd"/>
      <w:r>
        <w:rPr>
          <w:sz w:val="24"/>
          <w:szCs w:val="24"/>
        </w:rPr>
        <w:t xml:space="preserve"> hæmmes, men rekruttering eller </w:t>
      </w:r>
      <w:proofErr w:type="spellStart"/>
      <w:r>
        <w:rPr>
          <w:sz w:val="24"/>
          <w:szCs w:val="24"/>
        </w:rPr>
        <w:t>tilhæftning</w:t>
      </w:r>
      <w:proofErr w:type="spellEnd"/>
      <w:r>
        <w:rPr>
          <w:sz w:val="24"/>
          <w:szCs w:val="24"/>
        </w:rPr>
        <w:t xml:space="preserve"> af </w:t>
      </w:r>
      <w:proofErr w:type="spellStart"/>
      <w:r>
        <w:rPr>
          <w:sz w:val="24"/>
          <w:szCs w:val="24"/>
        </w:rPr>
        <w:t>osteoklaster</w:t>
      </w:r>
      <w:proofErr w:type="spellEnd"/>
      <w:r>
        <w:rPr>
          <w:sz w:val="24"/>
          <w:szCs w:val="24"/>
        </w:rPr>
        <w:t xml:space="preserve"> påvirkes ikke. Knoglemassen, der dannes under behandling med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, har normal knoglestruktur.</w:t>
      </w:r>
    </w:p>
    <w:p w:rsidR="004528FE" w:rsidRDefault="004528FE" w:rsidP="004528FE">
      <w:pPr>
        <w:widowControl w:val="0"/>
        <w:ind w:left="851"/>
        <w:rPr>
          <w:sz w:val="24"/>
          <w:szCs w:val="24"/>
        </w:rPr>
      </w:pPr>
    </w:p>
    <w:p w:rsidR="004528FE" w:rsidRDefault="004528FE" w:rsidP="004528FE">
      <w:pPr>
        <w:widowControl w:val="0"/>
        <w:ind w:left="85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Cholecalciferol</w:t>
      </w:r>
      <w:proofErr w:type="spellEnd"/>
      <w:r>
        <w:rPr>
          <w:i/>
          <w:sz w:val="24"/>
          <w:szCs w:val="24"/>
        </w:rPr>
        <w:t xml:space="preserve"> (D</w:t>
      </w:r>
      <w:r>
        <w:rPr>
          <w:i/>
          <w:sz w:val="24"/>
          <w:szCs w:val="24"/>
          <w:vertAlign w:val="subscript"/>
        </w:rPr>
        <w:t>3</w:t>
      </w:r>
      <w:r>
        <w:rPr>
          <w:i/>
          <w:sz w:val="24"/>
          <w:szCs w:val="24"/>
        </w:rPr>
        <w:t>-vitamin)</w:t>
      </w:r>
    </w:p>
    <w:p w:rsidR="004528FE" w:rsidRDefault="004528FE" w:rsidP="004528FE">
      <w:pPr>
        <w:widowControl w:val="0"/>
        <w:ind w:left="851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-vitamin dannes i huden ved omdannelse af 7-dehydrocholesterol til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-vitamin ved hjælp af ultraviolet lys. Ved mangel på tilstrækkelig eksponering for sollys er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-vitamin et væsentligt kosttilskud.</w:t>
      </w:r>
    </w:p>
    <w:p w:rsidR="004528FE" w:rsidRDefault="004528FE" w:rsidP="004528FE">
      <w:pPr>
        <w:widowControl w:val="0"/>
        <w:ind w:left="851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-vitamin omdannes til 25-hydroxyvitamin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i leveren og lagres indtil der er brug for </w:t>
      </w:r>
      <w:r>
        <w:rPr>
          <w:sz w:val="24"/>
          <w:szCs w:val="24"/>
        </w:rPr>
        <w:lastRenderedPageBreak/>
        <w:t>det. Omdannelse til det aktive calcium-mobiliserende hormon 1,25-dihydroxyvitamin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calcitriol</w:t>
      </w:r>
      <w:proofErr w:type="spellEnd"/>
      <w:r>
        <w:rPr>
          <w:sz w:val="24"/>
          <w:szCs w:val="24"/>
        </w:rPr>
        <w:t xml:space="preserve">) i nyrerne reguleres stramt. Den vigtigste funktion for 1,25 </w:t>
      </w:r>
      <w:proofErr w:type="spellStart"/>
      <w:r>
        <w:rPr>
          <w:sz w:val="24"/>
          <w:szCs w:val="24"/>
        </w:rPr>
        <w:t>dihydroxyvitamin</w:t>
      </w:r>
      <w:proofErr w:type="spellEnd"/>
      <w:r>
        <w:rPr>
          <w:sz w:val="24"/>
          <w:szCs w:val="24"/>
        </w:rPr>
        <w:t xml:space="preserve">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er at øge den </w:t>
      </w:r>
      <w:proofErr w:type="spellStart"/>
      <w:r>
        <w:rPr>
          <w:sz w:val="24"/>
          <w:szCs w:val="24"/>
        </w:rPr>
        <w:t>intestinale</w:t>
      </w:r>
      <w:proofErr w:type="spellEnd"/>
      <w:r>
        <w:rPr>
          <w:sz w:val="24"/>
          <w:szCs w:val="24"/>
        </w:rPr>
        <w:t xml:space="preserve"> absorption af både calcium og </w:t>
      </w:r>
      <w:proofErr w:type="spellStart"/>
      <w:r>
        <w:rPr>
          <w:sz w:val="24"/>
          <w:szCs w:val="24"/>
        </w:rPr>
        <w:t>phosphat</w:t>
      </w:r>
      <w:proofErr w:type="spellEnd"/>
      <w:r>
        <w:rPr>
          <w:sz w:val="24"/>
          <w:szCs w:val="24"/>
        </w:rPr>
        <w:t xml:space="preserve"> såvel som at regulere serumcalcium, </w:t>
      </w:r>
      <w:proofErr w:type="spellStart"/>
      <w:r>
        <w:rPr>
          <w:sz w:val="24"/>
          <w:szCs w:val="24"/>
        </w:rPr>
        <w:t>renal</w:t>
      </w:r>
      <w:proofErr w:type="spellEnd"/>
      <w:r>
        <w:rPr>
          <w:sz w:val="24"/>
          <w:szCs w:val="24"/>
        </w:rPr>
        <w:t xml:space="preserve"> calcium og </w:t>
      </w:r>
      <w:proofErr w:type="spellStart"/>
      <w:r>
        <w:rPr>
          <w:sz w:val="24"/>
          <w:szCs w:val="24"/>
        </w:rPr>
        <w:t>phosphatudskillelsen</w:t>
      </w:r>
      <w:proofErr w:type="spellEnd"/>
      <w:r>
        <w:rPr>
          <w:sz w:val="24"/>
          <w:szCs w:val="24"/>
        </w:rPr>
        <w:t>, knogleopbygningen og knogleresorptionen.</w:t>
      </w:r>
    </w:p>
    <w:p w:rsidR="004528FE" w:rsidRDefault="004528FE" w:rsidP="004528FE">
      <w:pPr>
        <w:widowControl w:val="0"/>
        <w:ind w:left="851"/>
        <w:rPr>
          <w:sz w:val="24"/>
          <w:szCs w:val="24"/>
        </w:rPr>
      </w:pPr>
    </w:p>
    <w:p w:rsidR="004528FE" w:rsidRDefault="004528FE" w:rsidP="004528FE">
      <w:pPr>
        <w:widowControl w:val="0"/>
        <w:ind w:left="851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-vitamin er nødvendig for den normale knogleopbygning. D-vitaminmangel udvikles, når både eksponering for sollys og indtaget gennem kosten er utilstrækkelig. Insufficiens er forbundet med negativ calciumbalance, knogletab og øget risiko for knoglefraktur. I svære tilfælde resulterer manglen i sekundær </w:t>
      </w:r>
      <w:proofErr w:type="spellStart"/>
      <w:r>
        <w:rPr>
          <w:sz w:val="24"/>
          <w:szCs w:val="24"/>
        </w:rPr>
        <w:t>hyperparathyroidisme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hypophosphatæmi</w:t>
      </w:r>
      <w:proofErr w:type="spellEnd"/>
      <w:r>
        <w:rPr>
          <w:sz w:val="24"/>
          <w:szCs w:val="24"/>
        </w:rPr>
        <w:t xml:space="preserve">, proksimal muskelsvaghed og </w:t>
      </w:r>
      <w:proofErr w:type="spellStart"/>
      <w:r>
        <w:rPr>
          <w:sz w:val="24"/>
          <w:szCs w:val="24"/>
        </w:rPr>
        <w:t>osteomalaci</w:t>
      </w:r>
      <w:proofErr w:type="spellEnd"/>
      <w:r>
        <w:rPr>
          <w:sz w:val="24"/>
          <w:szCs w:val="24"/>
        </w:rPr>
        <w:t xml:space="preserve">. Yderligere forøges risiko for fald og fraktur hos </w:t>
      </w:r>
      <w:proofErr w:type="spellStart"/>
      <w:r>
        <w:rPr>
          <w:sz w:val="24"/>
          <w:szCs w:val="24"/>
        </w:rPr>
        <w:t>osteoporotiske</w:t>
      </w:r>
      <w:proofErr w:type="spellEnd"/>
      <w:r>
        <w:rPr>
          <w:sz w:val="24"/>
          <w:szCs w:val="24"/>
        </w:rPr>
        <w:t xml:space="preserve"> patienter. D-vitamintilskud reducerer disse risici og deres konsekvenser.</w:t>
      </w:r>
    </w:p>
    <w:p w:rsidR="004528FE" w:rsidRDefault="004528FE" w:rsidP="004528FE">
      <w:pPr>
        <w:widowControl w:val="0"/>
        <w:ind w:left="851"/>
        <w:rPr>
          <w:sz w:val="24"/>
          <w:szCs w:val="24"/>
        </w:rPr>
      </w:pPr>
    </w:p>
    <w:p w:rsidR="004528FE" w:rsidRDefault="004528FE" w:rsidP="004528FE">
      <w:pPr>
        <w:widowControl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Osteoporose er defineret som knoglemineraltætheden (BMD) for </w:t>
      </w:r>
      <w:proofErr w:type="spellStart"/>
      <w:r>
        <w:rPr>
          <w:sz w:val="24"/>
          <w:szCs w:val="24"/>
        </w:rPr>
        <w:t>columna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spinalis</w:t>
      </w:r>
      <w:proofErr w:type="spellEnd"/>
      <w:r>
        <w:rPr>
          <w:sz w:val="24"/>
          <w:szCs w:val="24"/>
        </w:rPr>
        <w:t xml:space="preserve"> eller hofte på 2,5 standarddeviationer (SD) under middelværdien for en normal ung population eller som tidligere skørhedsfraktur uden hensyntagen til BMD.</w:t>
      </w:r>
    </w:p>
    <w:p w:rsidR="004528FE" w:rsidRDefault="004528FE" w:rsidP="004528FE">
      <w:pPr>
        <w:widowControl w:val="0"/>
        <w:ind w:left="851"/>
        <w:rPr>
          <w:sz w:val="24"/>
          <w:szCs w:val="24"/>
          <w:u w:val="single"/>
        </w:rPr>
      </w:pPr>
    </w:p>
    <w:p w:rsidR="004528FE" w:rsidRDefault="004528FE" w:rsidP="004528FE">
      <w:pPr>
        <w:widowControl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Klinisk virkning og sikkerhed</w:t>
      </w:r>
    </w:p>
    <w:p w:rsidR="004528FE" w:rsidRDefault="004528FE" w:rsidP="004528FE">
      <w:pPr>
        <w:widowControl w:val="0"/>
        <w:ind w:left="851"/>
        <w:rPr>
          <w:sz w:val="24"/>
          <w:szCs w:val="24"/>
          <w:u w:val="single"/>
        </w:rPr>
      </w:pPr>
    </w:p>
    <w:p w:rsidR="004528FE" w:rsidRDefault="004528FE" w:rsidP="004528FE">
      <w:pPr>
        <w:widowControl w:val="0"/>
        <w:tabs>
          <w:tab w:val="left" w:pos="567"/>
        </w:tabs>
        <w:ind w:left="85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Alendronsyre</w:t>
      </w:r>
      <w:proofErr w:type="spellEnd"/>
      <w:r>
        <w:rPr>
          <w:i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cholecalciferol</w:t>
      </w:r>
      <w:proofErr w:type="spellEnd"/>
      <w:r>
        <w:rPr>
          <w:i/>
          <w:sz w:val="24"/>
          <w:szCs w:val="24"/>
        </w:rPr>
        <w:t>-forsøg</w:t>
      </w:r>
    </w:p>
    <w:p w:rsidR="004528FE" w:rsidRDefault="004528FE" w:rsidP="004528FE">
      <w:pPr>
        <w:widowControl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Effekten af den lave dosis af </w:t>
      </w:r>
      <w:proofErr w:type="spellStart"/>
      <w:r>
        <w:rPr>
          <w:sz w:val="24"/>
          <w:szCs w:val="24"/>
        </w:rPr>
        <w:t>alendronsyre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70 mg/D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-vitamin 2800 IE) på D-vitamin status blev påvist i en 15 ugers multinational undersøgelse, der inkluderede 682 </w:t>
      </w:r>
      <w:proofErr w:type="spellStart"/>
      <w:r>
        <w:rPr>
          <w:sz w:val="24"/>
          <w:szCs w:val="24"/>
        </w:rPr>
        <w:t>postmenopausale</w:t>
      </w:r>
      <w:proofErr w:type="spellEnd"/>
      <w:r>
        <w:rPr>
          <w:sz w:val="24"/>
          <w:szCs w:val="24"/>
        </w:rPr>
        <w:t xml:space="preserve"> kvinder med osteoporose (serum 25-hydroxyvitamin D ved baseline: Gennemsnit, 56 nmol/l [22,3 </w:t>
      </w:r>
      <w:proofErr w:type="spellStart"/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/ml]; variationsbredde, 22,5-225 nmol/l [9-90 </w:t>
      </w:r>
      <w:proofErr w:type="spellStart"/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/ml]). Patienterne fik den lavere styrke (70 mg/2800 IE) af </w:t>
      </w:r>
      <w:proofErr w:type="spellStart"/>
      <w:r>
        <w:rPr>
          <w:sz w:val="24"/>
          <w:szCs w:val="24"/>
        </w:rPr>
        <w:t>alendronsyre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(n=350) eller </w:t>
      </w:r>
      <w:proofErr w:type="spellStart"/>
      <w:r>
        <w:rPr>
          <w:sz w:val="24"/>
          <w:szCs w:val="24"/>
        </w:rPr>
        <w:t>alendronsyre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) 70 mg (n=332) én gang ugentlig; yderligere D-vitamin tilskud var ikke tilladt. Efter 15 ugers behandling var de gennemsnitlige serum 25-hydroxyvitamin D niveauer signifikant højere (26 %) i </w:t>
      </w:r>
      <w:proofErr w:type="spellStart"/>
      <w:r>
        <w:rPr>
          <w:sz w:val="24"/>
          <w:szCs w:val="24"/>
        </w:rPr>
        <w:t>alendronsyre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(70 mg/2800 IE) gruppen (56 nmol/l [23 </w:t>
      </w:r>
      <w:proofErr w:type="spellStart"/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/ml]) end i gruppen med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alene (46 nmol/l [18,2 </w:t>
      </w:r>
      <w:proofErr w:type="spellStart"/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/ml]). Procentdelen af patienter med D-vitaminmangel (serum 25-hydroxyvitamin D &lt;37,5 nmol/l [&lt;15 </w:t>
      </w:r>
      <w:proofErr w:type="spellStart"/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/ml]) var signifikant reduceret med 62,5 % med </w:t>
      </w:r>
      <w:proofErr w:type="spellStart"/>
      <w:r>
        <w:rPr>
          <w:sz w:val="24"/>
          <w:szCs w:val="24"/>
        </w:rPr>
        <w:t>alendronsyre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(70 mg/2800 IE) versus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alene (henholdsvis 12 % versus 32 %) efter uge 15. Procentdelen af patienter med D-vitaminmangel (serum 25-hydroxyvitamin D &lt;22,5 nmol/l [&lt;9 </w:t>
      </w:r>
      <w:proofErr w:type="spellStart"/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/ml]) var signifikant reduceret med 92 % med </w:t>
      </w:r>
      <w:proofErr w:type="spellStart"/>
      <w:r>
        <w:rPr>
          <w:sz w:val="24"/>
          <w:szCs w:val="24"/>
        </w:rPr>
        <w:t>alendronsyre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(70 mg/2800 IE) versus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alene (henholdsvis 1 % versus 13 %). I denne undersøgelse øgedes de gennemsnitlige 25-hydroxyvitamin D niveauer hos patienter med D-vitaminmangel ved baseline (25-hydroxyvitamin D, 22,5 til 37,5 nmol/l [9 til &lt;15 </w:t>
      </w:r>
      <w:proofErr w:type="spellStart"/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/ml]) fra 30 nmol/l (12,1 </w:t>
      </w:r>
      <w:proofErr w:type="spellStart"/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/ml) til 40 nmol/l (15,9 </w:t>
      </w:r>
      <w:proofErr w:type="spellStart"/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/ml) ved uge 15 i </w:t>
      </w:r>
      <w:proofErr w:type="spellStart"/>
      <w:r>
        <w:rPr>
          <w:sz w:val="24"/>
          <w:szCs w:val="24"/>
        </w:rPr>
        <w:t>alendronsyre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(70 mg/2800 IE) gruppen (n=75) og faldt fra 30 nmol/l (12,0 </w:t>
      </w:r>
      <w:proofErr w:type="spellStart"/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/ml) ved baseline til 26 nmol/l (10,4 </w:t>
      </w:r>
      <w:proofErr w:type="spellStart"/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/ml) ved uge 15 i gruppen med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alene (n=70). Der var ingen forskel i middel serumcalcium, </w:t>
      </w:r>
      <w:proofErr w:type="spellStart"/>
      <w:r>
        <w:rPr>
          <w:sz w:val="24"/>
          <w:szCs w:val="24"/>
        </w:rPr>
        <w:t>phosphat</w:t>
      </w:r>
      <w:proofErr w:type="spellEnd"/>
      <w:r>
        <w:rPr>
          <w:sz w:val="24"/>
          <w:szCs w:val="24"/>
        </w:rPr>
        <w:t xml:space="preserve"> eller 24 timers urincalcium mellem behandlingsgrupperne.</w:t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widowControl w:val="0"/>
        <w:ind w:left="851"/>
        <w:rPr>
          <w:sz w:val="24"/>
          <w:szCs w:val="24"/>
          <w:lang w:val="nb-NO"/>
        </w:rPr>
      </w:pPr>
      <w:r>
        <w:rPr>
          <w:sz w:val="24"/>
          <w:szCs w:val="24"/>
        </w:rPr>
        <w:t xml:space="preserve">Effekten af den lave dosis af </w:t>
      </w:r>
      <w:proofErr w:type="spellStart"/>
      <w:r>
        <w:rPr>
          <w:sz w:val="24"/>
          <w:szCs w:val="24"/>
        </w:rPr>
        <w:t>alendronsyre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70 mg/D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-vitamin 2800 IE) plus yderligere 2800 IE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-vitamin til i alt 5600 IE (mængden af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-vitamin i den høje dosis af </w:t>
      </w:r>
      <w:proofErr w:type="spellStart"/>
      <w:r>
        <w:rPr>
          <w:sz w:val="24"/>
          <w:szCs w:val="24"/>
        </w:rPr>
        <w:t>alendronsyre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) en gang ugentlig blev påvist i en 24 ugers ekstensionsundersøgelse, der inkluderede 619 </w:t>
      </w:r>
      <w:proofErr w:type="spellStart"/>
      <w:r>
        <w:rPr>
          <w:sz w:val="24"/>
          <w:szCs w:val="24"/>
        </w:rPr>
        <w:t>postmenopausale</w:t>
      </w:r>
      <w:proofErr w:type="spellEnd"/>
      <w:r>
        <w:rPr>
          <w:sz w:val="24"/>
          <w:szCs w:val="24"/>
        </w:rPr>
        <w:t xml:space="preserve"> kvinder med osteoporose. Patienter i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-vitamin 2800 gruppen fik </w:t>
      </w:r>
      <w:proofErr w:type="spellStart"/>
      <w:r>
        <w:rPr>
          <w:sz w:val="24"/>
          <w:szCs w:val="24"/>
        </w:rPr>
        <w:t>alendronsyre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(70 mg/2800 IE) (n=299), og patienter i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-vitamin 5600 gruppen fik </w:t>
      </w:r>
      <w:proofErr w:type="spellStart"/>
      <w:r>
        <w:rPr>
          <w:sz w:val="24"/>
          <w:szCs w:val="24"/>
        </w:rPr>
        <w:t>alendronsyre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(70 mg/2800 IE) plus yderligere 2800 IE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-vitamin (n=309) en gang ugentlig; yderligere D-vitamintilskud var tilladt. Efter 24 ugers behandling var de gennemsnitlige serum 25-</w:t>
      </w:r>
      <w:r>
        <w:rPr>
          <w:sz w:val="24"/>
          <w:szCs w:val="24"/>
        </w:rPr>
        <w:lastRenderedPageBreak/>
        <w:t>hydroxyvitamin D-niveauer signifikant højere i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-vitamin 5600 gruppen (69 nmol/l [27,6 </w:t>
      </w:r>
      <w:proofErr w:type="spellStart"/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/ml]) end i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-vitamin 2800 gruppen (64 nmol/l [25,5 </w:t>
      </w:r>
      <w:proofErr w:type="spellStart"/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/ml]). Procentdelen af patienter med D-vitaminmangel var 5,4 % i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-vitamin 2800 gruppen versus 3,2 % i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-vitamin 5600 gruppen gennem 24-ugers ekstensionsperioden. Procentdelen af patienter med D-vitaminmangel var 0,3 % i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-vitamin 2800 gruppen versus nul i D3-vitamin 5600 gruppen. Der var ingen forskelle i middel serumcalcium, </w:t>
      </w:r>
      <w:proofErr w:type="spellStart"/>
      <w:r>
        <w:rPr>
          <w:sz w:val="24"/>
          <w:szCs w:val="24"/>
        </w:rPr>
        <w:t>phosphat</w:t>
      </w:r>
      <w:proofErr w:type="spellEnd"/>
      <w:r>
        <w:rPr>
          <w:sz w:val="24"/>
          <w:szCs w:val="24"/>
        </w:rPr>
        <w:t xml:space="preserve"> eller 24-timers urincalcium mellem behandlingsgrupperne. Procentdelen af patienter med </w:t>
      </w:r>
      <w:proofErr w:type="spellStart"/>
      <w:r>
        <w:rPr>
          <w:sz w:val="24"/>
          <w:szCs w:val="24"/>
        </w:rPr>
        <w:t>hyperkalciuri</w:t>
      </w:r>
      <w:proofErr w:type="spellEnd"/>
      <w:r>
        <w:rPr>
          <w:sz w:val="24"/>
          <w:szCs w:val="24"/>
        </w:rPr>
        <w:t xml:space="preserve"> ved slutningen af 24-ugers ekstensionsperioden var ikke statistisk signifikant mellem behandlingsgrupperne. </w:t>
      </w:r>
    </w:p>
    <w:p w:rsidR="004528FE" w:rsidRDefault="004528FE" w:rsidP="004528FE">
      <w:pPr>
        <w:autoSpaceDE w:val="0"/>
        <w:autoSpaceDN w:val="0"/>
        <w:adjustRightInd w:val="0"/>
        <w:ind w:left="851"/>
        <w:rPr>
          <w:sz w:val="24"/>
          <w:szCs w:val="24"/>
          <w:lang w:val="nb-NO"/>
        </w:rPr>
      </w:pPr>
    </w:p>
    <w:p w:rsidR="004528FE" w:rsidRDefault="004528FE" w:rsidP="004528FE">
      <w:pPr>
        <w:widowControl w:val="0"/>
        <w:tabs>
          <w:tab w:val="left" w:pos="567"/>
        </w:tabs>
        <w:ind w:left="85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Alendronat</w:t>
      </w:r>
      <w:proofErr w:type="spellEnd"/>
      <w:r>
        <w:rPr>
          <w:i/>
          <w:sz w:val="24"/>
          <w:szCs w:val="24"/>
        </w:rPr>
        <w:t>-forsøg</w:t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Den terapeutiske ækvivalens for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70 mg en gang ugentlig (n=519) og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10 mg daglig (n=370) blev påvist i en 1-årig multicenterundersøgelse med </w:t>
      </w:r>
      <w:proofErr w:type="spellStart"/>
      <w:r>
        <w:rPr>
          <w:sz w:val="24"/>
          <w:szCs w:val="24"/>
        </w:rPr>
        <w:t>postmenopausale</w:t>
      </w:r>
      <w:proofErr w:type="spellEnd"/>
      <w:r>
        <w:rPr>
          <w:sz w:val="24"/>
          <w:szCs w:val="24"/>
        </w:rPr>
        <w:t xml:space="preserve"> kvinder med osteoporose. Den gennemsnitlige stigning i BMD i </w:t>
      </w:r>
      <w:proofErr w:type="spellStart"/>
      <w:r>
        <w:rPr>
          <w:sz w:val="24"/>
          <w:szCs w:val="24"/>
        </w:rPr>
        <w:t>columna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lumbalis</w:t>
      </w:r>
      <w:proofErr w:type="spellEnd"/>
      <w:r>
        <w:rPr>
          <w:sz w:val="24"/>
          <w:szCs w:val="24"/>
        </w:rPr>
        <w:t xml:space="preserve"> fra baseline til efter et år var 5,1 % (95 % KI: 4,8, 5,4 %) i den gruppe, der fik 70 mg ugentlig, og 5,4 % (95 % KI: 5,0, 5,8 %) i den gruppe, der fik 10 mg daglig. Gennemsnitlige stigninger i BMD var 2,3 % og 2,9 % ved </w:t>
      </w:r>
      <w:proofErr w:type="spellStart"/>
      <w:r>
        <w:rPr>
          <w:sz w:val="24"/>
          <w:szCs w:val="24"/>
        </w:rPr>
        <w:t>collum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femoris</w:t>
      </w:r>
      <w:proofErr w:type="spellEnd"/>
      <w:r>
        <w:rPr>
          <w:sz w:val="24"/>
          <w:szCs w:val="24"/>
        </w:rPr>
        <w:t xml:space="preserve"> og 2,9 % og 3,1 % i hele hoften i henholdsvis 70 mg gruppen og 10 mg gruppen. De to behandlingsgrupper var også ens med hensyn til stigninger i BMD andre steder.</w:t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widowControl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Effekten af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på knoglemasse og </w:t>
      </w:r>
      <w:proofErr w:type="spellStart"/>
      <w:r>
        <w:rPr>
          <w:sz w:val="24"/>
          <w:szCs w:val="24"/>
        </w:rPr>
        <w:t>frakturincidens</w:t>
      </w:r>
      <w:proofErr w:type="spellEnd"/>
      <w:r>
        <w:rPr>
          <w:sz w:val="24"/>
          <w:szCs w:val="24"/>
        </w:rPr>
        <w:t xml:space="preserve"> hos </w:t>
      </w:r>
      <w:proofErr w:type="spellStart"/>
      <w:r>
        <w:rPr>
          <w:sz w:val="24"/>
          <w:szCs w:val="24"/>
        </w:rPr>
        <w:t>postmenopausale</w:t>
      </w:r>
      <w:proofErr w:type="spellEnd"/>
      <w:r>
        <w:rPr>
          <w:sz w:val="24"/>
          <w:szCs w:val="24"/>
        </w:rPr>
        <w:t xml:space="preserve"> kvinder blev undersøgt i to initiale virkningsundersøgelser med identisk design (n=994) samt i undersøgelsen ”</w:t>
      </w:r>
      <w:proofErr w:type="spellStart"/>
      <w:r>
        <w:rPr>
          <w:sz w:val="24"/>
          <w:szCs w:val="24"/>
        </w:rPr>
        <w:t>Fracture</w:t>
      </w:r>
      <w:proofErr w:type="spellEnd"/>
      <w:r>
        <w:rPr>
          <w:sz w:val="24"/>
          <w:szCs w:val="24"/>
        </w:rPr>
        <w:t xml:space="preserve"> Intervention Trial” (FIT: n=6.459).</w:t>
      </w:r>
    </w:p>
    <w:p w:rsidR="004528FE" w:rsidRDefault="004528FE" w:rsidP="004528FE">
      <w:pPr>
        <w:widowControl w:val="0"/>
        <w:ind w:left="851"/>
        <w:rPr>
          <w:sz w:val="24"/>
          <w:szCs w:val="24"/>
        </w:rPr>
      </w:pPr>
    </w:p>
    <w:p w:rsidR="004528FE" w:rsidRDefault="004528FE" w:rsidP="004528FE">
      <w:pPr>
        <w:widowControl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de initiale virkningsundersøgelser, efter 3 års behandling med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10 mg daglig, var de gennemsnitlige stigninger i BMD på henholdsvis 8,8 %, 5,9 % og 7,8 % i </w:t>
      </w:r>
      <w:proofErr w:type="spellStart"/>
      <w:r>
        <w:rPr>
          <w:sz w:val="24"/>
          <w:szCs w:val="24"/>
        </w:rPr>
        <w:t>columna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spinalis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collum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femoris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trochanter</w:t>
      </w:r>
      <w:proofErr w:type="spellEnd"/>
      <w:r>
        <w:rPr>
          <w:sz w:val="24"/>
          <w:szCs w:val="24"/>
        </w:rPr>
        <w:t xml:space="preserve">, sammenlignet med placebo. Total BMD øgedes også signifikant. Af patienter i behandling med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oplevede 48 % færre en eller flere </w:t>
      </w:r>
      <w:proofErr w:type="spellStart"/>
      <w:r>
        <w:rPr>
          <w:sz w:val="24"/>
          <w:szCs w:val="24"/>
        </w:rPr>
        <w:t>vertebrale</w:t>
      </w:r>
      <w:proofErr w:type="spellEnd"/>
      <w:r>
        <w:rPr>
          <w:sz w:val="24"/>
          <w:szCs w:val="24"/>
        </w:rPr>
        <w:t xml:space="preserve"> frakturer (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3,2 % versus placebo 6,2 %) sammenlignet med patienter behandlet med placebo. I den 2-årige forlængelse af disse undersøgelser sås fortsat stigning i BMD i </w:t>
      </w:r>
      <w:proofErr w:type="spellStart"/>
      <w:r>
        <w:rPr>
          <w:sz w:val="24"/>
          <w:szCs w:val="24"/>
        </w:rPr>
        <w:t>columna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spinalis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trochanter</w:t>
      </w:r>
      <w:proofErr w:type="spellEnd"/>
      <w:r>
        <w:rPr>
          <w:sz w:val="24"/>
          <w:szCs w:val="24"/>
        </w:rPr>
        <w:t xml:space="preserve">. BMD i </w:t>
      </w:r>
      <w:proofErr w:type="spellStart"/>
      <w:r>
        <w:rPr>
          <w:sz w:val="24"/>
          <w:szCs w:val="24"/>
        </w:rPr>
        <w:t>collum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femoris</w:t>
      </w:r>
      <w:proofErr w:type="spellEnd"/>
      <w:r>
        <w:rPr>
          <w:sz w:val="24"/>
          <w:szCs w:val="24"/>
        </w:rPr>
        <w:t xml:space="preserve"> og total-BMD blev opretholdt.</w:t>
      </w:r>
    </w:p>
    <w:p w:rsidR="004528FE" w:rsidRDefault="004528FE" w:rsidP="004528FE">
      <w:pPr>
        <w:widowControl w:val="0"/>
        <w:ind w:left="851"/>
        <w:rPr>
          <w:sz w:val="24"/>
          <w:szCs w:val="24"/>
        </w:rPr>
      </w:pPr>
    </w:p>
    <w:p w:rsidR="004528FE" w:rsidRDefault="004528FE" w:rsidP="004528FE">
      <w:pPr>
        <w:widowControl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FIT bestod af 2 placebokontrollerede undersøgelser med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(5 mg daglig i 2 år og 10 mg daglig i yderligere enten 1 eller 2 år):</w:t>
      </w:r>
    </w:p>
    <w:p w:rsidR="004528FE" w:rsidRDefault="004528FE" w:rsidP="004528FE">
      <w:pPr>
        <w:widowControl w:val="0"/>
        <w:numPr>
          <w:ilvl w:val="0"/>
          <w:numId w:val="9"/>
        </w:numPr>
        <w:tabs>
          <w:tab w:val="left" w:pos="0"/>
        </w:tabs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FIT 1: En 3-årig undersøgelse af 2.027 patienter som havde mindst én </w:t>
      </w:r>
      <w:proofErr w:type="spellStart"/>
      <w:r>
        <w:rPr>
          <w:sz w:val="24"/>
          <w:szCs w:val="24"/>
        </w:rPr>
        <w:t>vertebral</w:t>
      </w:r>
      <w:proofErr w:type="spellEnd"/>
      <w:r>
        <w:rPr>
          <w:sz w:val="24"/>
          <w:szCs w:val="24"/>
        </w:rPr>
        <w:t xml:space="preserve"> (kompressions) fraktur ved baseline. I denne undersøgelse reducerede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1 gang daglig </w:t>
      </w:r>
      <w:proofErr w:type="spellStart"/>
      <w:r>
        <w:rPr>
          <w:sz w:val="24"/>
          <w:szCs w:val="24"/>
        </w:rPr>
        <w:t>incidensen</w:t>
      </w:r>
      <w:proofErr w:type="spellEnd"/>
      <w:r>
        <w:rPr>
          <w:sz w:val="24"/>
          <w:szCs w:val="24"/>
        </w:rPr>
        <w:t xml:space="preserve"> af ≥1 ny </w:t>
      </w:r>
      <w:proofErr w:type="spellStart"/>
      <w:r>
        <w:rPr>
          <w:sz w:val="24"/>
          <w:szCs w:val="24"/>
        </w:rPr>
        <w:t>vertebral</w:t>
      </w:r>
      <w:proofErr w:type="spellEnd"/>
      <w:r>
        <w:rPr>
          <w:sz w:val="24"/>
          <w:szCs w:val="24"/>
        </w:rPr>
        <w:t xml:space="preserve"> fraktur med 47 % (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7,9 % versus placebo 15,0 %). Derudover fandtes statistisk signifikant reduktion i </w:t>
      </w:r>
      <w:proofErr w:type="spellStart"/>
      <w:r>
        <w:rPr>
          <w:sz w:val="24"/>
          <w:szCs w:val="24"/>
        </w:rPr>
        <w:t>incidensen</w:t>
      </w:r>
      <w:proofErr w:type="spellEnd"/>
      <w:r>
        <w:rPr>
          <w:sz w:val="24"/>
          <w:szCs w:val="24"/>
        </w:rPr>
        <w:t xml:space="preserve"> af hoftefrakturer (1,1 % versus 2,2 %, en reduktion på 51 %).</w:t>
      </w:r>
    </w:p>
    <w:p w:rsidR="004528FE" w:rsidRPr="00C8337E" w:rsidRDefault="004528FE" w:rsidP="006B6BE4">
      <w:pPr>
        <w:widowControl w:val="0"/>
        <w:numPr>
          <w:ilvl w:val="0"/>
          <w:numId w:val="9"/>
        </w:numPr>
        <w:ind w:left="1134" w:hanging="283"/>
        <w:rPr>
          <w:sz w:val="24"/>
          <w:szCs w:val="24"/>
        </w:rPr>
      </w:pPr>
      <w:r w:rsidRPr="00C8337E">
        <w:rPr>
          <w:sz w:val="24"/>
          <w:szCs w:val="24"/>
        </w:rPr>
        <w:t xml:space="preserve">FIT 2: En 4-årig undersøgelse af 4.432 patienter med lav knoglemasse, men uden </w:t>
      </w:r>
      <w:proofErr w:type="spellStart"/>
      <w:r w:rsidRPr="00C8337E">
        <w:rPr>
          <w:sz w:val="24"/>
          <w:szCs w:val="24"/>
        </w:rPr>
        <w:t>vertebral</w:t>
      </w:r>
      <w:proofErr w:type="spellEnd"/>
      <w:r w:rsidRPr="00C8337E">
        <w:rPr>
          <w:sz w:val="24"/>
          <w:szCs w:val="24"/>
        </w:rPr>
        <w:t xml:space="preserve"> fraktur ved baseline. I denne undersøgelse observeredes en signifikant forskel i en analyse af subgruppen af </w:t>
      </w:r>
      <w:proofErr w:type="spellStart"/>
      <w:r w:rsidRPr="00C8337E">
        <w:rPr>
          <w:sz w:val="24"/>
          <w:szCs w:val="24"/>
        </w:rPr>
        <w:t>osteoporotiske</w:t>
      </w:r>
      <w:proofErr w:type="spellEnd"/>
      <w:r w:rsidRPr="00C8337E">
        <w:rPr>
          <w:sz w:val="24"/>
          <w:szCs w:val="24"/>
        </w:rPr>
        <w:t xml:space="preserve"> kvinder (37 % af global population som havde osteoporose svarende til ovennævnte definition) i </w:t>
      </w:r>
      <w:proofErr w:type="spellStart"/>
      <w:r w:rsidRPr="00C8337E">
        <w:rPr>
          <w:sz w:val="24"/>
          <w:szCs w:val="24"/>
        </w:rPr>
        <w:t>incidensen</w:t>
      </w:r>
      <w:proofErr w:type="spellEnd"/>
      <w:r w:rsidRPr="00C8337E">
        <w:rPr>
          <w:sz w:val="24"/>
          <w:szCs w:val="24"/>
        </w:rPr>
        <w:t xml:space="preserve"> af hoftefrakturer</w:t>
      </w:r>
    </w:p>
    <w:p w:rsidR="004528FE" w:rsidRDefault="004528FE" w:rsidP="004528FE">
      <w:pPr>
        <w:widowControl w:val="0"/>
        <w:ind w:left="1134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1,0 % versus placebo 2,2 %, en reduktion på 56 %) og i </w:t>
      </w:r>
      <w:proofErr w:type="spellStart"/>
      <w:r>
        <w:rPr>
          <w:sz w:val="24"/>
          <w:szCs w:val="24"/>
        </w:rPr>
        <w:t>incidensen</w:t>
      </w:r>
      <w:proofErr w:type="spellEnd"/>
      <w:r>
        <w:rPr>
          <w:sz w:val="24"/>
          <w:szCs w:val="24"/>
        </w:rPr>
        <w:t xml:space="preserve"> af ≥1 </w:t>
      </w:r>
      <w:proofErr w:type="spellStart"/>
      <w:r>
        <w:rPr>
          <w:sz w:val="24"/>
          <w:szCs w:val="24"/>
        </w:rPr>
        <w:t>vertebral</w:t>
      </w:r>
      <w:proofErr w:type="spellEnd"/>
      <w:r>
        <w:rPr>
          <w:sz w:val="24"/>
          <w:szCs w:val="24"/>
        </w:rPr>
        <w:t xml:space="preserve"> fraktur (2,9 % versus 5,8 %, en reduktion på 50 %).</w:t>
      </w:r>
    </w:p>
    <w:p w:rsidR="004528FE" w:rsidRDefault="004528FE" w:rsidP="004528FE">
      <w:pPr>
        <w:widowControl w:val="0"/>
        <w:ind w:left="851"/>
        <w:rPr>
          <w:sz w:val="24"/>
          <w:szCs w:val="24"/>
        </w:rPr>
      </w:pPr>
    </w:p>
    <w:p w:rsidR="004528FE" w:rsidRDefault="004528FE" w:rsidP="004528FE">
      <w:pPr>
        <w:widowControl w:val="0"/>
        <w:tabs>
          <w:tab w:val="left" w:pos="567"/>
        </w:tabs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Laboratoriefund</w:t>
      </w:r>
    </w:p>
    <w:p w:rsidR="004528FE" w:rsidRDefault="004528FE" w:rsidP="004528FE">
      <w:pPr>
        <w:widowControl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 kliniske undersøgelser set asymptomatiske, milde og forbigående fald i serumcalcium og </w:t>
      </w:r>
      <w:proofErr w:type="spellStart"/>
      <w:r>
        <w:rPr>
          <w:sz w:val="24"/>
          <w:szCs w:val="24"/>
        </w:rPr>
        <w:t>serumphosphat</w:t>
      </w:r>
      <w:proofErr w:type="spellEnd"/>
      <w:r>
        <w:rPr>
          <w:sz w:val="24"/>
          <w:szCs w:val="24"/>
        </w:rPr>
        <w:t xml:space="preserve"> hos henholdsvis 18 % og 10 % af de patienter, der fik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10 mg/dag, versus hos ca. 12 % og 3 % af de patienter, der fik placebo. </w:t>
      </w:r>
      <w:r>
        <w:rPr>
          <w:sz w:val="24"/>
          <w:szCs w:val="24"/>
        </w:rPr>
        <w:lastRenderedPageBreak/>
        <w:t xml:space="preserve">Imidlertid var </w:t>
      </w:r>
      <w:proofErr w:type="spellStart"/>
      <w:r>
        <w:rPr>
          <w:sz w:val="24"/>
          <w:szCs w:val="24"/>
        </w:rPr>
        <w:t>incidensen</w:t>
      </w:r>
      <w:proofErr w:type="spellEnd"/>
      <w:r>
        <w:rPr>
          <w:sz w:val="24"/>
          <w:szCs w:val="24"/>
        </w:rPr>
        <w:t xml:space="preserve"> af fald i serumcalcium til &lt; 8,0 mg/dl (2,0 mmol/l) og i </w:t>
      </w:r>
      <w:proofErr w:type="spellStart"/>
      <w:r>
        <w:rPr>
          <w:sz w:val="24"/>
          <w:szCs w:val="24"/>
        </w:rPr>
        <w:t>serumphosphat</w:t>
      </w:r>
      <w:proofErr w:type="spellEnd"/>
      <w:r>
        <w:rPr>
          <w:sz w:val="24"/>
          <w:szCs w:val="24"/>
        </w:rPr>
        <w:t xml:space="preserve"> til ≤ 2,0 mg/dl (0,65 mmol/l) ens i begge behandlingsgrupper.</w:t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</w:p>
    <w:p w:rsidR="004528FE" w:rsidRDefault="004528FE" w:rsidP="004528FE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Pædiatrisk population</w:t>
      </w:r>
    </w:p>
    <w:p w:rsidR="004528FE" w:rsidRDefault="004528FE" w:rsidP="004528FE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Alendronatnatrium</w:t>
      </w:r>
      <w:proofErr w:type="spellEnd"/>
      <w:r>
        <w:rPr>
          <w:sz w:val="24"/>
          <w:szCs w:val="24"/>
        </w:rPr>
        <w:t xml:space="preserve"> er undersøgt hos et lille antal patienter under 18 år med </w:t>
      </w:r>
      <w:proofErr w:type="spellStart"/>
      <w:r>
        <w:rPr>
          <w:sz w:val="24"/>
          <w:szCs w:val="24"/>
        </w:rPr>
        <w:t>osteogenesis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imperfecta</w:t>
      </w:r>
      <w:proofErr w:type="spellEnd"/>
      <w:r>
        <w:rPr>
          <w:sz w:val="24"/>
          <w:szCs w:val="24"/>
        </w:rPr>
        <w:t xml:space="preserve">. Resultaterne er utilstrækkelige til at understøtte brugen af </w:t>
      </w:r>
      <w:proofErr w:type="spellStart"/>
      <w:r>
        <w:rPr>
          <w:sz w:val="24"/>
          <w:szCs w:val="24"/>
        </w:rPr>
        <w:t>alendronatnatrium</w:t>
      </w:r>
      <w:proofErr w:type="spellEnd"/>
      <w:r>
        <w:rPr>
          <w:sz w:val="24"/>
          <w:szCs w:val="24"/>
        </w:rPr>
        <w:t xml:space="preserve"> til pædiatriske patienter med </w:t>
      </w:r>
      <w:proofErr w:type="spellStart"/>
      <w:r>
        <w:rPr>
          <w:sz w:val="24"/>
          <w:szCs w:val="24"/>
        </w:rPr>
        <w:t>osteogenesis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imperfecta</w:t>
      </w:r>
      <w:proofErr w:type="spellEnd"/>
      <w:r>
        <w:rPr>
          <w:sz w:val="24"/>
          <w:szCs w:val="24"/>
        </w:rPr>
        <w:t>.</w:t>
      </w:r>
    </w:p>
    <w:p w:rsidR="004528FE" w:rsidRDefault="004528FE" w:rsidP="004528FE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b/>
          <w:sz w:val="24"/>
          <w:szCs w:val="24"/>
        </w:rPr>
      </w:pPr>
    </w:p>
    <w:p w:rsidR="004528FE" w:rsidRDefault="004528FE" w:rsidP="004528FE">
      <w:pPr>
        <w:pStyle w:val="Bodytext21"/>
        <w:shd w:val="clear" w:color="auto" w:fill="auto"/>
        <w:spacing w:before="0" w:line="240" w:lineRule="auto"/>
        <w:ind w:left="851"/>
        <w:jc w:val="left"/>
        <w:rPr>
          <w:sz w:val="24"/>
          <w:szCs w:val="24"/>
          <w:u w:val="single"/>
        </w:rPr>
      </w:pPr>
      <w:proofErr w:type="spellStart"/>
      <w:r>
        <w:rPr>
          <w:i w:val="0"/>
          <w:sz w:val="24"/>
          <w:szCs w:val="24"/>
          <w:u w:val="single"/>
        </w:rPr>
        <w:t>Alendronat</w:t>
      </w:r>
      <w:proofErr w:type="spellEnd"/>
    </w:p>
    <w:p w:rsidR="004528FE" w:rsidRDefault="004528FE" w:rsidP="004528FE">
      <w:pPr>
        <w:pStyle w:val="Bodytext21"/>
        <w:shd w:val="clear" w:color="auto" w:fill="auto"/>
        <w:spacing w:before="0" w:line="240" w:lineRule="auto"/>
        <w:ind w:left="851"/>
        <w:jc w:val="left"/>
        <w:rPr>
          <w:sz w:val="24"/>
          <w:szCs w:val="24"/>
          <w:u w:val="single"/>
        </w:rPr>
      </w:pPr>
    </w:p>
    <w:p w:rsidR="004528FE" w:rsidRDefault="004528FE" w:rsidP="004528FE">
      <w:pPr>
        <w:pStyle w:val="Bodytext21"/>
        <w:shd w:val="clear" w:color="auto" w:fill="auto"/>
        <w:spacing w:before="0" w:line="240" w:lineRule="auto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>Absorption</w:t>
      </w:r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 forhold til intravenøs referencedosis er den perorale biotilgængelighed for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, når det administreres efter en nats faste og 2 timer før et standardiseret morgenmåltid, 0,64 % for kvinder ved doser fra 5-70 mg. Biotilgængeligheden reduceredes til ca. 0,46 % og 0,39 %, når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administreredes en time, eller en halv time, før et standardiseret morgenmåltid.</w:t>
      </w:r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right="2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 osteoporoseundersøgelserne var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effektivt, når det administreredes mindst 30 minutter før dagens første måltid eller indtag af drikkevarer.</w:t>
      </w:r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right="240" w:firstLine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Alendronatkomponenten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Alendronate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 xml:space="preserve">" (70 mg/2800 IE) kombinations-tabletten og </w:t>
      </w:r>
      <w:proofErr w:type="spellStart"/>
      <w:r>
        <w:rPr>
          <w:sz w:val="24"/>
          <w:szCs w:val="24"/>
        </w:rPr>
        <w:t>Alendronate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Accord</w:t>
      </w:r>
      <w:proofErr w:type="spellEnd"/>
      <w:r>
        <w:rPr>
          <w:sz w:val="24"/>
          <w:szCs w:val="24"/>
        </w:rPr>
        <w:t xml:space="preserve">" (70 mg/5600 IE) kombinationstabletten er bioækvivalent med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i 70 mg tabletten.</w:t>
      </w:r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right="240" w:firstLine="0"/>
        <w:jc w:val="left"/>
        <w:rPr>
          <w:sz w:val="24"/>
          <w:szCs w:val="24"/>
        </w:rPr>
      </w:pPr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right="2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Biotilgængeligheden var negligeabel, hvad enten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blev administreret sammen med eller op til 2 timer efter et standardiseret morgenmåltid. Samtidig administration af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og kaffe eller appelsinjuice reducerede biotilgængeligheden med ca. 60 %.</w:t>
      </w:r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right="240" w:firstLine="0"/>
        <w:jc w:val="left"/>
        <w:rPr>
          <w:sz w:val="24"/>
          <w:szCs w:val="24"/>
        </w:rPr>
      </w:pPr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right="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Hos raske forsøgspersoner ændrer peroral </w:t>
      </w:r>
      <w:proofErr w:type="spellStart"/>
      <w:r>
        <w:rPr>
          <w:sz w:val="24"/>
          <w:szCs w:val="24"/>
        </w:rPr>
        <w:t>prednison</w:t>
      </w:r>
      <w:proofErr w:type="spellEnd"/>
      <w:r>
        <w:rPr>
          <w:sz w:val="24"/>
          <w:szCs w:val="24"/>
        </w:rPr>
        <w:t xml:space="preserve"> (20 mg, 3 gange daglig i 5 dage) ikke </w:t>
      </w:r>
      <w:proofErr w:type="spellStart"/>
      <w:r>
        <w:rPr>
          <w:sz w:val="24"/>
          <w:szCs w:val="24"/>
        </w:rPr>
        <w:t>alendronats</w:t>
      </w:r>
      <w:proofErr w:type="spellEnd"/>
      <w:r>
        <w:rPr>
          <w:sz w:val="24"/>
          <w:szCs w:val="24"/>
        </w:rPr>
        <w:t xml:space="preserve"> orale biotilgængelighed i signifikant grad (gennemsnitlig stigning fra 20-44 %).</w:t>
      </w:r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right="280" w:firstLine="0"/>
        <w:jc w:val="left"/>
        <w:rPr>
          <w:sz w:val="24"/>
          <w:szCs w:val="24"/>
        </w:rPr>
      </w:pPr>
    </w:p>
    <w:p w:rsidR="004528FE" w:rsidRDefault="004528FE" w:rsidP="004528FE">
      <w:pPr>
        <w:pStyle w:val="Bodytext21"/>
        <w:shd w:val="clear" w:color="auto" w:fill="auto"/>
        <w:spacing w:before="0" w:line="240" w:lineRule="auto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>Fordeling</w:t>
      </w:r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right="28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Undersøgelser med rotter viser, at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forbigående distribueres i blødt væv efter intravenøs administration af 1 mg/kg, men herefter hurtigt redistribueres til knogler eller udskilles i urinen. Det gennemsnitlige </w:t>
      </w:r>
      <w:proofErr w:type="spellStart"/>
      <w:r>
        <w:rPr>
          <w:sz w:val="24"/>
          <w:szCs w:val="24"/>
        </w:rPr>
        <w:t>steady-state</w:t>
      </w:r>
      <w:proofErr w:type="spellEnd"/>
      <w:r>
        <w:rPr>
          <w:sz w:val="24"/>
          <w:szCs w:val="24"/>
        </w:rPr>
        <w:t xml:space="preserve"> fordelingsvolumen, ikke medregnende knogler, er mindst 28 liter hos mennesker. Koncentrationen af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i plasma efter terapeutiske, orale doser er under analysegrænsen (&lt;5 </w:t>
      </w:r>
      <w:proofErr w:type="spellStart"/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/ml). Proteinbindingen i humant plasma er ca. 78 %.</w:t>
      </w:r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right="280" w:firstLine="0"/>
        <w:jc w:val="left"/>
        <w:rPr>
          <w:sz w:val="24"/>
          <w:szCs w:val="24"/>
        </w:rPr>
      </w:pPr>
    </w:p>
    <w:p w:rsidR="004528FE" w:rsidRDefault="004528FE" w:rsidP="004528FE">
      <w:pPr>
        <w:pStyle w:val="Bodytext21"/>
        <w:shd w:val="clear" w:color="auto" w:fill="auto"/>
        <w:spacing w:before="0"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Biotransformation</w:t>
      </w:r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Der er ingen tegn på, at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metaboliseres</w:t>
      </w:r>
      <w:proofErr w:type="spellEnd"/>
      <w:r>
        <w:rPr>
          <w:sz w:val="24"/>
          <w:szCs w:val="24"/>
        </w:rPr>
        <w:t xml:space="preserve"> i dyr eller mennesker.</w:t>
      </w:r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firstLine="0"/>
        <w:jc w:val="left"/>
        <w:rPr>
          <w:sz w:val="24"/>
          <w:szCs w:val="24"/>
        </w:rPr>
      </w:pPr>
    </w:p>
    <w:p w:rsidR="004528FE" w:rsidRDefault="004528FE" w:rsidP="004528FE">
      <w:pPr>
        <w:pStyle w:val="Bodytext21"/>
        <w:shd w:val="clear" w:color="auto" w:fill="auto"/>
        <w:spacing w:before="0"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Elimination</w:t>
      </w:r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right="280" w:firstLine="0"/>
        <w:jc w:val="left"/>
        <w:rPr>
          <w:sz w:val="24"/>
          <w:szCs w:val="24"/>
        </w:rPr>
      </w:pPr>
      <w:r>
        <w:rPr>
          <w:sz w:val="24"/>
          <w:szCs w:val="24"/>
        </w:rPr>
        <w:t>Efter enkelt intravenøs dosis [</w:t>
      </w:r>
      <w:r>
        <w:rPr>
          <w:sz w:val="24"/>
          <w:szCs w:val="24"/>
          <w:vertAlign w:val="superscript"/>
        </w:rPr>
        <w:t>14</w:t>
      </w:r>
      <w:proofErr w:type="gramStart"/>
      <w:r>
        <w:rPr>
          <w:sz w:val="24"/>
          <w:szCs w:val="24"/>
        </w:rPr>
        <w:t>C]</w:t>
      </w:r>
      <w:proofErr w:type="spellStart"/>
      <w:r>
        <w:rPr>
          <w:sz w:val="24"/>
          <w:szCs w:val="24"/>
        </w:rPr>
        <w:t>alendronat</w:t>
      </w:r>
      <w:proofErr w:type="spellEnd"/>
      <w:proofErr w:type="gramEnd"/>
      <w:r>
        <w:rPr>
          <w:sz w:val="24"/>
          <w:szCs w:val="24"/>
        </w:rPr>
        <w:t xml:space="preserve">, udskilles ca. 50 % af radioaktiviteten i urinen inden for 72 timer og kun lidt eller ingen radioaktivitet genfindes i fæces. Efter en enkelt intravenøs dosis på 10 mg er </w:t>
      </w:r>
      <w:proofErr w:type="spellStart"/>
      <w:r>
        <w:rPr>
          <w:sz w:val="24"/>
          <w:szCs w:val="24"/>
        </w:rPr>
        <w:t>renal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clearance</w:t>
      </w:r>
      <w:proofErr w:type="spellEnd"/>
      <w:r>
        <w:rPr>
          <w:sz w:val="24"/>
          <w:szCs w:val="24"/>
        </w:rPr>
        <w:t xml:space="preserve"> 71 ml/minut, og systemisk </w:t>
      </w:r>
      <w:proofErr w:type="spellStart"/>
      <w:r>
        <w:rPr>
          <w:sz w:val="24"/>
          <w:szCs w:val="24"/>
        </w:rPr>
        <w:t>clearance</w:t>
      </w:r>
      <w:proofErr w:type="spellEnd"/>
      <w:r>
        <w:rPr>
          <w:sz w:val="24"/>
          <w:szCs w:val="24"/>
        </w:rPr>
        <w:t xml:space="preserve"> overstiger ikke 200 ml/min. Plasmakoncentrationen falder med mere end 95 % inden for 6 timer efter intravenøs administration. Terminal halveringstid hos mennesker vurderes til at være over 10 år, vurderet på baggrund af den langsomme frigivelse af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fra skelettet.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udskilles hos rotter ikke via nyrernes </w:t>
      </w:r>
      <w:r>
        <w:rPr>
          <w:sz w:val="24"/>
          <w:szCs w:val="24"/>
        </w:rPr>
        <w:lastRenderedPageBreak/>
        <w:t>syre- eller basetransportsystem og forventes derfor ikke hos mennesker at interferere med andre lægemidlers udskillelse via disse systemer.</w:t>
      </w:r>
    </w:p>
    <w:p w:rsidR="004528FE" w:rsidRDefault="004528FE" w:rsidP="004528FE">
      <w:pPr>
        <w:pStyle w:val="BodyText3"/>
        <w:shd w:val="clear" w:color="auto" w:fill="auto"/>
        <w:spacing w:after="0" w:line="240" w:lineRule="auto"/>
        <w:ind w:left="851" w:right="280" w:firstLine="0"/>
        <w:jc w:val="left"/>
        <w:rPr>
          <w:sz w:val="24"/>
          <w:szCs w:val="24"/>
        </w:rPr>
      </w:pPr>
    </w:p>
    <w:p w:rsidR="004528FE" w:rsidRDefault="004528FE" w:rsidP="004528FE">
      <w:pPr>
        <w:pStyle w:val="Bodytext21"/>
        <w:shd w:val="clear" w:color="auto" w:fill="auto"/>
        <w:spacing w:before="0" w:line="240" w:lineRule="auto"/>
        <w:ind w:left="851"/>
        <w:jc w:val="left"/>
        <w:rPr>
          <w:i w:val="0"/>
          <w:sz w:val="24"/>
          <w:szCs w:val="24"/>
          <w:u w:val="single"/>
        </w:rPr>
      </w:pPr>
      <w:proofErr w:type="spellStart"/>
      <w:r>
        <w:rPr>
          <w:i w:val="0"/>
          <w:sz w:val="24"/>
          <w:szCs w:val="24"/>
          <w:u w:val="single"/>
        </w:rPr>
        <w:t>Cholecalciferol</w:t>
      </w:r>
      <w:proofErr w:type="spellEnd"/>
    </w:p>
    <w:p w:rsidR="004528FE" w:rsidRDefault="004528FE" w:rsidP="004528FE">
      <w:pPr>
        <w:pStyle w:val="Bodytext21"/>
        <w:shd w:val="clear" w:color="auto" w:fill="auto"/>
        <w:spacing w:before="0" w:line="240" w:lineRule="auto"/>
        <w:ind w:left="851"/>
        <w:jc w:val="left"/>
        <w:rPr>
          <w:i w:val="0"/>
          <w:sz w:val="24"/>
          <w:szCs w:val="24"/>
          <w:u w:val="single"/>
        </w:rPr>
      </w:pPr>
    </w:p>
    <w:p w:rsidR="004528FE" w:rsidRDefault="004528FE" w:rsidP="004528FE">
      <w:pPr>
        <w:pStyle w:val="Bodytext21"/>
        <w:shd w:val="clear" w:color="auto" w:fill="auto"/>
        <w:spacing w:before="0"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Absorption</w:t>
      </w:r>
    </w:p>
    <w:p w:rsidR="004528FE" w:rsidRDefault="004528FE" w:rsidP="004528FE">
      <w:pPr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Ved administration af </w:t>
      </w:r>
      <w:proofErr w:type="spellStart"/>
      <w:r>
        <w:rPr>
          <w:sz w:val="24"/>
          <w:szCs w:val="24"/>
        </w:rPr>
        <w:t>alendronsyre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70 mg/2800 IE efter en nats faste og to timer før et måltid, var det gennemsnitlige areal under kurven for serum-koncentration-tid (AUC</w:t>
      </w:r>
      <w:r>
        <w:rPr>
          <w:sz w:val="24"/>
          <w:szCs w:val="24"/>
          <w:vertAlign w:val="subscript"/>
        </w:rPr>
        <w:t>0-120 timer</w:t>
      </w:r>
      <w:r>
        <w:rPr>
          <w:sz w:val="24"/>
          <w:szCs w:val="24"/>
        </w:rPr>
        <w:t>) for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-vitamin (ikke justeret for endogene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-vitaminniveauer) hos raske voksne forsøgspersoner (mænd og kvinder) 296,4 </w:t>
      </w:r>
      <w:proofErr w:type="spellStart"/>
      <w:r>
        <w:rPr>
          <w:sz w:val="24"/>
          <w:szCs w:val="24"/>
        </w:rPr>
        <w:t>ng•time</w:t>
      </w:r>
      <w:proofErr w:type="spellEnd"/>
      <w:r>
        <w:rPr>
          <w:sz w:val="24"/>
          <w:szCs w:val="24"/>
        </w:rPr>
        <w:t>/ml. Gennemsnitlig maksimal serumkoncentration (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>) for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-vitamin var 5,9 </w:t>
      </w:r>
      <w:proofErr w:type="spellStart"/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/ml, og den gennemsnitlige tid til maksimal serumkoncentration (</w:t>
      </w:r>
      <w:proofErr w:type="spell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>) var 12 timer. Biotilgængeligheden for 2800 IE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-vitamin i </w:t>
      </w:r>
      <w:proofErr w:type="spellStart"/>
      <w:r>
        <w:rPr>
          <w:sz w:val="24"/>
          <w:szCs w:val="24"/>
        </w:rPr>
        <w:t>alendronsyre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er lig med 2800 IE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-vitamin, administreret alene.</w:t>
      </w:r>
    </w:p>
    <w:p w:rsidR="004528FE" w:rsidRDefault="004528FE" w:rsidP="004528FE">
      <w:pPr>
        <w:autoSpaceDE w:val="0"/>
        <w:autoSpaceDN w:val="0"/>
        <w:adjustRightInd w:val="0"/>
        <w:ind w:left="851"/>
        <w:rPr>
          <w:b/>
          <w:sz w:val="24"/>
          <w:szCs w:val="24"/>
        </w:rPr>
      </w:pPr>
    </w:p>
    <w:p w:rsidR="004528FE" w:rsidRDefault="004528FE" w:rsidP="004528FE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Ved administration af </w:t>
      </w:r>
      <w:proofErr w:type="spellStart"/>
      <w:r>
        <w:rPr>
          <w:sz w:val="24"/>
          <w:szCs w:val="24"/>
        </w:rPr>
        <w:t>alendronsyre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70 mg/5600 IE efter en nats faste og to timer før et måltid, var det gennemsnitlige areal under kurven for serum-koncentration-tid (AUC</w:t>
      </w:r>
      <w:r>
        <w:rPr>
          <w:sz w:val="24"/>
          <w:szCs w:val="24"/>
          <w:vertAlign w:val="subscript"/>
        </w:rPr>
        <w:t>0-80 timer</w:t>
      </w:r>
      <w:r>
        <w:rPr>
          <w:sz w:val="24"/>
          <w:szCs w:val="24"/>
        </w:rPr>
        <w:t>) for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-vitamin (ikke justeret for endogene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-vitaminniveauer) hos raske voksne forsøgspersoner (mænd og kvinder) 490,2 </w:t>
      </w:r>
      <w:proofErr w:type="spellStart"/>
      <w:r>
        <w:rPr>
          <w:sz w:val="24"/>
          <w:szCs w:val="24"/>
        </w:rPr>
        <w:t>ng•time</w:t>
      </w:r>
      <w:proofErr w:type="spellEnd"/>
      <w:r>
        <w:rPr>
          <w:sz w:val="24"/>
          <w:szCs w:val="24"/>
        </w:rPr>
        <w:t>/ml. Gennemsnitlig maksimal serumkoncentration (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>) for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-vitamin var 12,2 </w:t>
      </w:r>
      <w:proofErr w:type="spellStart"/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/ml og den gennemsnitlige tid til maksimal serumkoncentration (</w:t>
      </w:r>
      <w:proofErr w:type="spellStart"/>
      <w:r>
        <w:rPr>
          <w:sz w:val="24"/>
          <w:szCs w:val="24"/>
        </w:rPr>
        <w:t>T</w:t>
      </w:r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>) var 10,6 timer. Biotilgængeligheden for 5600 IE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-vitamin i </w:t>
      </w:r>
      <w:proofErr w:type="spellStart"/>
      <w:r>
        <w:rPr>
          <w:sz w:val="24"/>
          <w:szCs w:val="24"/>
        </w:rPr>
        <w:t>alendronsyre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er lig med 5600 IE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-vitamin, administreret alene.</w:t>
      </w:r>
    </w:p>
    <w:p w:rsidR="004528FE" w:rsidRDefault="004528FE" w:rsidP="004528FE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4528FE" w:rsidRDefault="004528FE" w:rsidP="004528FE">
      <w:pPr>
        <w:pStyle w:val="Bodytext21"/>
        <w:shd w:val="clear" w:color="auto" w:fill="auto"/>
        <w:spacing w:before="0"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Fordeling</w:t>
      </w:r>
    </w:p>
    <w:p w:rsidR="004528FE" w:rsidRDefault="004528FE" w:rsidP="004528FE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Efter absorption går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-vitamin ind i blodet som en del af </w:t>
      </w:r>
      <w:proofErr w:type="spellStart"/>
      <w:r>
        <w:rPr>
          <w:sz w:val="24"/>
          <w:szCs w:val="24"/>
        </w:rPr>
        <w:t>chylomikronerne</w:t>
      </w:r>
      <w:proofErr w:type="spellEnd"/>
      <w:r>
        <w:rPr>
          <w:sz w:val="24"/>
          <w:szCs w:val="24"/>
        </w:rPr>
        <w:t>.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-vitamin fordeles hurtigt til hovedsageligt leveren, hvor det </w:t>
      </w:r>
      <w:proofErr w:type="spellStart"/>
      <w:r>
        <w:rPr>
          <w:sz w:val="24"/>
          <w:szCs w:val="24"/>
        </w:rPr>
        <w:t>metaboliseres</w:t>
      </w:r>
      <w:proofErr w:type="spellEnd"/>
      <w:r>
        <w:rPr>
          <w:sz w:val="24"/>
          <w:szCs w:val="24"/>
        </w:rPr>
        <w:t xml:space="preserve"> til 25-hydroxyvitamin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, den væsentligste oplagringsform. Mindre mængder distribueres til det adipøse væv og muskelvævet og oplagres som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-vitamin på disse steder for senere frigivelse til kredsløbet. Cirkulerende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-vitamin bindes til vitamin D-bindende protein.</w:t>
      </w:r>
    </w:p>
    <w:p w:rsidR="004528FE" w:rsidRDefault="004528FE" w:rsidP="004528FE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4528FE" w:rsidRDefault="004528FE" w:rsidP="004528FE">
      <w:pPr>
        <w:pStyle w:val="Bodytext21"/>
        <w:shd w:val="clear" w:color="auto" w:fill="auto"/>
        <w:spacing w:before="0"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Biotransformation</w:t>
      </w:r>
    </w:p>
    <w:p w:rsidR="004528FE" w:rsidRDefault="004528FE" w:rsidP="004528FE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-vitamin </w:t>
      </w:r>
      <w:proofErr w:type="spellStart"/>
      <w:r>
        <w:rPr>
          <w:sz w:val="24"/>
          <w:szCs w:val="24"/>
        </w:rPr>
        <w:t>metaboliseres</w:t>
      </w:r>
      <w:proofErr w:type="spellEnd"/>
      <w:r>
        <w:rPr>
          <w:sz w:val="24"/>
          <w:szCs w:val="24"/>
        </w:rPr>
        <w:t xml:space="preserve"> hurtigt ved </w:t>
      </w:r>
      <w:proofErr w:type="spellStart"/>
      <w:r>
        <w:rPr>
          <w:sz w:val="24"/>
          <w:szCs w:val="24"/>
        </w:rPr>
        <w:t>hydroxylering</w:t>
      </w:r>
      <w:proofErr w:type="spellEnd"/>
      <w:r>
        <w:rPr>
          <w:sz w:val="24"/>
          <w:szCs w:val="24"/>
        </w:rPr>
        <w:t xml:space="preserve"> i leveren til 25-hydroxyvitamin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metaboliseres</w:t>
      </w:r>
      <w:proofErr w:type="spellEnd"/>
      <w:r>
        <w:rPr>
          <w:sz w:val="24"/>
          <w:szCs w:val="24"/>
        </w:rPr>
        <w:t xml:space="preserve"> efterfølgende i nyrerne til 1,25-dihydroxyvitamin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, som repræsenterer den biologisk aktive form. Yderligere </w:t>
      </w:r>
      <w:proofErr w:type="spellStart"/>
      <w:r>
        <w:rPr>
          <w:sz w:val="24"/>
          <w:szCs w:val="24"/>
        </w:rPr>
        <w:t>hydroxylering</w:t>
      </w:r>
      <w:proofErr w:type="spellEnd"/>
      <w:r>
        <w:rPr>
          <w:sz w:val="24"/>
          <w:szCs w:val="24"/>
        </w:rPr>
        <w:t xml:space="preserve"> forekommer før elimination. For en lille procentdel af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-vitamin sker der en </w:t>
      </w:r>
      <w:proofErr w:type="spellStart"/>
      <w:r>
        <w:rPr>
          <w:sz w:val="24"/>
          <w:szCs w:val="24"/>
        </w:rPr>
        <w:t>glucuronidisering</w:t>
      </w:r>
      <w:proofErr w:type="spellEnd"/>
      <w:r>
        <w:rPr>
          <w:sz w:val="24"/>
          <w:szCs w:val="24"/>
        </w:rPr>
        <w:t xml:space="preserve"> før elimination.</w:t>
      </w:r>
    </w:p>
    <w:p w:rsidR="004528FE" w:rsidRDefault="004528FE" w:rsidP="004528FE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4528FE" w:rsidRDefault="004528FE" w:rsidP="004528FE">
      <w:pPr>
        <w:pStyle w:val="Bodytext21"/>
        <w:shd w:val="clear" w:color="auto" w:fill="auto"/>
        <w:spacing w:before="0"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Elimination</w:t>
      </w:r>
    </w:p>
    <w:p w:rsidR="004528FE" w:rsidRDefault="004528FE" w:rsidP="004528FE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Når radioaktivt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-vitamin administreredes til raske forsøgspersoner, var den gennemsnitlige radioaktivitet i urinen efter 48 timer 2,4 %, og den gennemsnitlige radioaktivitet i fæces efter 4 dage var 4,9 %. I begge tilfælde bestod den udskilte radioaktivitet næsten udelukkende af metabolitter fra modermetabolitten. Gennemsnitlig halveringstid for D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-vitamin i serum efter oral dosis </w:t>
      </w:r>
      <w:proofErr w:type="spellStart"/>
      <w:r>
        <w:rPr>
          <w:sz w:val="24"/>
          <w:szCs w:val="24"/>
        </w:rPr>
        <w:t>alendronsyre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(70 mg/2800 IE) er ca. 24 timer.</w:t>
      </w:r>
    </w:p>
    <w:p w:rsidR="004528FE" w:rsidRDefault="004528FE" w:rsidP="004528FE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4528FE" w:rsidRDefault="004528FE" w:rsidP="004528FE">
      <w:pPr>
        <w:pStyle w:val="Bodytext21"/>
        <w:shd w:val="clear" w:color="auto" w:fill="auto"/>
        <w:spacing w:before="0" w:line="240" w:lineRule="auto"/>
        <w:ind w:left="851"/>
        <w:rPr>
          <w:sz w:val="24"/>
          <w:szCs w:val="24"/>
        </w:rPr>
      </w:pPr>
      <w:r>
        <w:rPr>
          <w:sz w:val="24"/>
          <w:szCs w:val="24"/>
        </w:rPr>
        <w:t>Nedsat nyrefunktion</w:t>
      </w:r>
    </w:p>
    <w:p w:rsidR="004528FE" w:rsidRDefault="004528FE" w:rsidP="004528FE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Prækliniske undersøgelser viser, at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, der ikke deponeres i knoglen, hurtigt udskilles i urinen. Der er ikke vist mætning af knogleoptagelsen efter kronisk dosering med kumulative, intravenøse doser på op til 35 mg/kg hos dyr. Der foreligger ingen kliniske data herfor, men det er sandsynligt at eliminationen af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via nyrerne, ligesom hos dyr, vil være reduceret hos patienter med nedsat nyrefunktion. Der kan derfor muligvis forventes en noget større akkumulering af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i knogler hos mennesker med nedsat nyrefunktion (se pkt. 4.2).</w:t>
      </w:r>
    </w:p>
    <w:p w:rsidR="004528FE" w:rsidRPr="00C84483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 w:rsidR="00101C30"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4528FE" w:rsidRDefault="004528FE" w:rsidP="004528FE">
      <w:pPr>
        <w:widowControl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ikke udført non-kliniske studier med kombination af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>.</w:t>
      </w:r>
    </w:p>
    <w:p w:rsidR="004528FE" w:rsidRDefault="004528FE" w:rsidP="004528FE">
      <w:pPr>
        <w:widowControl w:val="0"/>
        <w:ind w:left="851"/>
        <w:rPr>
          <w:sz w:val="24"/>
          <w:szCs w:val="24"/>
        </w:rPr>
      </w:pPr>
    </w:p>
    <w:p w:rsidR="004528FE" w:rsidRDefault="004528FE" w:rsidP="004528FE">
      <w:pPr>
        <w:widowControl w:val="0"/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Alendronat</w:t>
      </w:r>
      <w:proofErr w:type="spellEnd"/>
    </w:p>
    <w:p w:rsidR="004528FE" w:rsidRDefault="004528FE" w:rsidP="004528FE">
      <w:pPr>
        <w:widowControl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Non-kliniske data har ikke afsløret særlig risiko for mennesker, baseret på konventionelle undersøgelser af sikkerhedsfarmakologi, toksicitet ved gentagne doser, genotoksicitet og </w:t>
      </w:r>
      <w:proofErr w:type="spellStart"/>
      <w:r>
        <w:rPr>
          <w:sz w:val="24"/>
          <w:szCs w:val="24"/>
        </w:rPr>
        <w:t>carcinogent</w:t>
      </w:r>
      <w:proofErr w:type="spellEnd"/>
      <w:r>
        <w:rPr>
          <w:sz w:val="24"/>
          <w:szCs w:val="24"/>
        </w:rPr>
        <w:t xml:space="preserve"> potentiale. Undersøgelser med rotter har vist, at behandling med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under graviditet var associeret med </w:t>
      </w:r>
      <w:proofErr w:type="spellStart"/>
      <w:r>
        <w:rPr>
          <w:sz w:val="24"/>
          <w:szCs w:val="24"/>
        </w:rPr>
        <w:t>hypocalciæmirelateret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dystocia</w:t>
      </w:r>
      <w:proofErr w:type="spellEnd"/>
      <w:r>
        <w:rPr>
          <w:sz w:val="24"/>
          <w:szCs w:val="24"/>
        </w:rPr>
        <w:t xml:space="preserve"> hos hunrotter. I undersøgelser har rotter, der har fået høje doser, øget </w:t>
      </w:r>
      <w:proofErr w:type="spellStart"/>
      <w:r>
        <w:rPr>
          <w:sz w:val="24"/>
          <w:szCs w:val="24"/>
        </w:rPr>
        <w:t>incidens</w:t>
      </w:r>
      <w:proofErr w:type="spellEnd"/>
      <w:r>
        <w:rPr>
          <w:sz w:val="24"/>
          <w:szCs w:val="24"/>
        </w:rPr>
        <w:t xml:space="preserve"> af </w:t>
      </w:r>
      <w:proofErr w:type="spellStart"/>
      <w:r>
        <w:rPr>
          <w:sz w:val="24"/>
          <w:szCs w:val="24"/>
        </w:rPr>
        <w:t>inkomplet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føtal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ossifikation</w:t>
      </w:r>
      <w:proofErr w:type="spellEnd"/>
      <w:r>
        <w:rPr>
          <w:sz w:val="24"/>
          <w:szCs w:val="24"/>
        </w:rPr>
        <w:t>. Det vides ikke, om dette er relevant for mennesker.</w:t>
      </w:r>
    </w:p>
    <w:p w:rsidR="004528FE" w:rsidRDefault="004528FE" w:rsidP="004528FE">
      <w:pPr>
        <w:widowControl w:val="0"/>
        <w:ind w:left="851"/>
        <w:rPr>
          <w:sz w:val="24"/>
          <w:szCs w:val="24"/>
        </w:rPr>
      </w:pPr>
    </w:p>
    <w:p w:rsidR="004528FE" w:rsidRDefault="004528FE" w:rsidP="004528FE">
      <w:pPr>
        <w:widowControl w:val="0"/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Cholecalciferol</w:t>
      </w:r>
      <w:proofErr w:type="spellEnd"/>
    </w:p>
    <w:p w:rsidR="004528FE" w:rsidRDefault="004528FE" w:rsidP="004528FE">
      <w:pPr>
        <w:widowControl w:val="0"/>
        <w:ind w:left="851"/>
        <w:rPr>
          <w:sz w:val="24"/>
          <w:szCs w:val="24"/>
        </w:rPr>
      </w:pPr>
      <w:r>
        <w:rPr>
          <w:sz w:val="24"/>
          <w:szCs w:val="24"/>
        </w:rPr>
        <w:t>Ved doser, der er meget højere end virkningsbredden for mennesker, er der observeret reproduktionstoksicitet i dyreundersøgelser.</w:t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b/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4528FE" w:rsidRPr="00BA09F1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4528FE" w:rsidRPr="00A85C21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  <w:proofErr w:type="spellStart"/>
      <w:r w:rsidRPr="00A85C21">
        <w:rPr>
          <w:sz w:val="24"/>
          <w:szCs w:val="24"/>
        </w:rPr>
        <w:t>Lactose</w:t>
      </w:r>
      <w:proofErr w:type="spellEnd"/>
      <w:r w:rsidRPr="00A85C21">
        <w:rPr>
          <w:sz w:val="24"/>
          <w:szCs w:val="24"/>
        </w:rPr>
        <w:t xml:space="preserve"> </w:t>
      </w:r>
    </w:p>
    <w:p w:rsidR="004528FE" w:rsidRPr="00A85C21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  <w:r w:rsidRPr="00A85C21">
        <w:rPr>
          <w:sz w:val="24"/>
          <w:szCs w:val="24"/>
        </w:rPr>
        <w:t>Mikrokrystallinsk cellulose</w:t>
      </w:r>
    </w:p>
    <w:p w:rsidR="004528FE" w:rsidRPr="00A85C21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  <w:proofErr w:type="spellStart"/>
      <w:r w:rsidRPr="00A85C21">
        <w:rPr>
          <w:sz w:val="24"/>
          <w:szCs w:val="24"/>
        </w:rPr>
        <w:t>Croscarmellosenatrium</w:t>
      </w:r>
      <w:proofErr w:type="spellEnd"/>
    </w:p>
    <w:p w:rsidR="004528FE" w:rsidRPr="00A85C21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  <w:proofErr w:type="spellStart"/>
      <w:r w:rsidRPr="00A85C21">
        <w:rPr>
          <w:sz w:val="24"/>
          <w:szCs w:val="24"/>
        </w:rPr>
        <w:t>Magnesiumstearat</w:t>
      </w:r>
      <w:proofErr w:type="spellEnd"/>
    </w:p>
    <w:p w:rsidR="004528FE" w:rsidRPr="00A85C21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  <w:r w:rsidRPr="00A85C21">
        <w:rPr>
          <w:sz w:val="24"/>
          <w:szCs w:val="24"/>
        </w:rPr>
        <w:t>Raffineret solsikkeolie</w:t>
      </w:r>
    </w:p>
    <w:p w:rsidR="004528FE" w:rsidRPr="00A85C21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  <w:proofErr w:type="spellStart"/>
      <w:r w:rsidRPr="00A85C21">
        <w:rPr>
          <w:sz w:val="24"/>
          <w:szCs w:val="24"/>
        </w:rPr>
        <w:t>Butylhydroxytoluen</w:t>
      </w:r>
      <w:proofErr w:type="spellEnd"/>
      <w:r w:rsidRPr="00A85C21">
        <w:rPr>
          <w:sz w:val="24"/>
          <w:szCs w:val="24"/>
        </w:rPr>
        <w:t xml:space="preserve"> (E321)</w:t>
      </w:r>
    </w:p>
    <w:p w:rsidR="004528FE" w:rsidRPr="00A85C21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  <w:r w:rsidRPr="00A85C21">
        <w:rPr>
          <w:sz w:val="24"/>
          <w:szCs w:val="24"/>
        </w:rPr>
        <w:t xml:space="preserve">Gelatine </w:t>
      </w:r>
    </w:p>
    <w:p w:rsidR="004528FE" w:rsidRPr="00A85C21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  <w:proofErr w:type="spellStart"/>
      <w:r w:rsidRPr="00A85C21">
        <w:rPr>
          <w:sz w:val="24"/>
          <w:szCs w:val="24"/>
        </w:rPr>
        <w:t>Saccharose</w:t>
      </w:r>
      <w:proofErr w:type="spellEnd"/>
    </w:p>
    <w:p w:rsidR="004528FE" w:rsidRPr="00A85C21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  <w:r w:rsidRPr="00A85C21">
        <w:rPr>
          <w:sz w:val="24"/>
          <w:szCs w:val="24"/>
        </w:rPr>
        <w:t>Majsstivelse</w:t>
      </w:r>
    </w:p>
    <w:p w:rsidR="004528FE" w:rsidRPr="00C84483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  <w:proofErr w:type="spellStart"/>
      <w:r w:rsidRPr="00A85C21">
        <w:rPr>
          <w:sz w:val="24"/>
          <w:szCs w:val="24"/>
        </w:rPr>
        <w:t>Aluminiummagnesiumsilicat</w:t>
      </w:r>
      <w:proofErr w:type="spellEnd"/>
    </w:p>
    <w:p w:rsidR="004528FE" w:rsidRPr="00C84483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4528FE" w:rsidRPr="00C84483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:rsidR="004528FE" w:rsidRPr="00C84483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4528FE" w:rsidRPr="00C84483" w:rsidRDefault="004528FE" w:rsidP="004528FE">
      <w:pPr>
        <w:tabs>
          <w:tab w:val="left" w:pos="851"/>
        </w:tabs>
        <w:ind w:left="851" w:hanging="851"/>
        <w:rPr>
          <w:sz w:val="24"/>
          <w:szCs w:val="24"/>
        </w:rPr>
      </w:pPr>
      <w:r w:rsidRPr="00C84483">
        <w:rPr>
          <w:sz w:val="24"/>
          <w:szCs w:val="24"/>
        </w:rPr>
        <w:tab/>
      </w:r>
      <w:r>
        <w:rPr>
          <w:sz w:val="24"/>
          <w:szCs w:val="24"/>
        </w:rPr>
        <w:t>2 år.</w:t>
      </w:r>
    </w:p>
    <w:p w:rsidR="004528FE" w:rsidRPr="00C84483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4528FE" w:rsidRPr="00C84483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  <w:r w:rsidRPr="00C51457">
        <w:rPr>
          <w:sz w:val="24"/>
          <w:szCs w:val="24"/>
        </w:rPr>
        <w:t>Opbevar</w:t>
      </w:r>
      <w:r>
        <w:rPr>
          <w:sz w:val="24"/>
          <w:szCs w:val="24"/>
        </w:rPr>
        <w:t>es</w:t>
      </w:r>
      <w:r w:rsidRPr="00C51457">
        <w:rPr>
          <w:sz w:val="24"/>
          <w:szCs w:val="24"/>
        </w:rPr>
        <w:t xml:space="preserve"> i den originale blisterstrip for at beskytte mod fugt og lys.</w:t>
      </w:r>
    </w:p>
    <w:p w:rsidR="004528FE" w:rsidRPr="00C84483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  <w:r w:rsidRPr="007877E9">
        <w:rPr>
          <w:sz w:val="24"/>
          <w:szCs w:val="24"/>
        </w:rPr>
        <w:t>Aluminium/aluminium (PA/AL/PVC</w:t>
      </w:r>
      <w:r>
        <w:rPr>
          <w:sz w:val="24"/>
          <w:szCs w:val="24"/>
        </w:rPr>
        <w:t>-</w:t>
      </w:r>
      <w:r w:rsidRPr="007877E9">
        <w:rPr>
          <w:sz w:val="24"/>
          <w:szCs w:val="24"/>
        </w:rPr>
        <w:t>a</w:t>
      </w:r>
      <w:r>
        <w:rPr>
          <w:sz w:val="24"/>
          <w:szCs w:val="24"/>
        </w:rPr>
        <w:t>luminium) blisterstrip, i æske.</w:t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</w:p>
    <w:p w:rsidR="004528FE" w:rsidRPr="007877E9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  <w:r>
        <w:rPr>
          <w:sz w:val="24"/>
          <w:szCs w:val="24"/>
        </w:rPr>
        <w:t>Pakningsstørrelser: 4 og</w:t>
      </w:r>
      <w:r w:rsidRPr="007877E9">
        <w:rPr>
          <w:sz w:val="24"/>
          <w:szCs w:val="24"/>
        </w:rPr>
        <w:t xml:space="preserve"> 12 </w:t>
      </w:r>
      <w:r>
        <w:rPr>
          <w:sz w:val="24"/>
          <w:szCs w:val="24"/>
        </w:rPr>
        <w:t>stk.</w:t>
      </w:r>
    </w:p>
    <w:p w:rsidR="004528FE" w:rsidRPr="00C84483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</w:rPr>
      </w:pPr>
      <w:r w:rsidRPr="007877E9">
        <w:rPr>
          <w:sz w:val="24"/>
          <w:szCs w:val="24"/>
        </w:rPr>
        <w:t>Ikke alle pakningsstørrelser er nødvendigvis markedsført.</w:t>
      </w:r>
    </w:p>
    <w:p w:rsidR="004528FE" w:rsidRPr="00C84483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 w:rsidR="00101C30" w:rsidRPr="00101C30">
        <w:rPr>
          <w:b/>
          <w:sz w:val="24"/>
          <w:szCs w:val="24"/>
        </w:rPr>
        <w:t xml:space="preserve">bortskaffelse </w:t>
      </w:r>
      <w:r w:rsidRPr="00C84483">
        <w:rPr>
          <w:b/>
          <w:sz w:val="24"/>
          <w:szCs w:val="24"/>
        </w:rPr>
        <w:t>og anden håndtering</w:t>
      </w:r>
    </w:p>
    <w:p w:rsidR="004528FE" w:rsidRPr="003A3FF5" w:rsidRDefault="004528FE" w:rsidP="004528FE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3A3FF5">
        <w:rPr>
          <w:sz w:val="24"/>
          <w:szCs w:val="24"/>
        </w:rPr>
        <w:t xml:space="preserve">Ingen særlige forholdsregler. </w:t>
      </w:r>
    </w:p>
    <w:p w:rsidR="00101C30" w:rsidRDefault="00101C3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528FE" w:rsidRPr="00C84483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4528FE" w:rsidRPr="003A3FF5" w:rsidRDefault="004528FE" w:rsidP="004528FE">
      <w:pPr>
        <w:autoSpaceDE w:val="0"/>
        <w:autoSpaceDN w:val="0"/>
        <w:ind w:left="851"/>
        <w:rPr>
          <w:sz w:val="24"/>
          <w:szCs w:val="24"/>
          <w:lang w:val="nb-NO" w:eastAsia="da-DK"/>
        </w:rPr>
      </w:pPr>
      <w:r w:rsidRPr="003A3FF5">
        <w:rPr>
          <w:sz w:val="24"/>
          <w:szCs w:val="24"/>
          <w:lang w:val="nb-NO" w:eastAsia="da-DK"/>
        </w:rPr>
        <w:t xml:space="preserve">Accord Healthcare B.V. </w:t>
      </w:r>
    </w:p>
    <w:p w:rsidR="004528FE" w:rsidRPr="003A3FF5" w:rsidRDefault="004528FE" w:rsidP="004528FE">
      <w:pPr>
        <w:autoSpaceDE w:val="0"/>
        <w:autoSpaceDN w:val="0"/>
        <w:ind w:left="851"/>
        <w:rPr>
          <w:sz w:val="24"/>
          <w:szCs w:val="24"/>
          <w:lang w:val="nb-NO" w:eastAsia="da-DK"/>
        </w:rPr>
      </w:pPr>
      <w:r w:rsidRPr="003A3FF5">
        <w:rPr>
          <w:sz w:val="24"/>
          <w:szCs w:val="24"/>
          <w:lang w:val="nb-NO" w:eastAsia="da-DK"/>
        </w:rPr>
        <w:t xml:space="preserve">Winthontlaan 200 </w:t>
      </w:r>
    </w:p>
    <w:p w:rsidR="004528FE" w:rsidRPr="003A3FF5" w:rsidRDefault="004528FE" w:rsidP="004528FE">
      <w:pPr>
        <w:autoSpaceDE w:val="0"/>
        <w:autoSpaceDN w:val="0"/>
        <w:ind w:left="851"/>
        <w:rPr>
          <w:sz w:val="24"/>
          <w:szCs w:val="24"/>
          <w:lang w:val="nb-NO" w:eastAsia="da-DK"/>
        </w:rPr>
      </w:pPr>
      <w:r w:rsidRPr="003A3FF5">
        <w:rPr>
          <w:sz w:val="24"/>
          <w:szCs w:val="24"/>
          <w:lang w:val="nb-NO" w:eastAsia="da-DK"/>
        </w:rPr>
        <w:t xml:space="preserve">3526 KV Utrecht </w:t>
      </w:r>
    </w:p>
    <w:p w:rsidR="004528FE" w:rsidRDefault="004528FE" w:rsidP="004528FE">
      <w:pPr>
        <w:widowControl w:val="0"/>
        <w:tabs>
          <w:tab w:val="left" w:pos="567"/>
        </w:tabs>
        <w:ind w:left="851"/>
        <w:rPr>
          <w:sz w:val="24"/>
          <w:szCs w:val="24"/>
          <w:lang w:val="nb-NO"/>
        </w:rPr>
      </w:pPr>
      <w:r w:rsidRPr="003A3FF5">
        <w:rPr>
          <w:sz w:val="24"/>
          <w:szCs w:val="24"/>
          <w:lang w:val="nb-NO"/>
        </w:rPr>
        <w:t>Holland</w:t>
      </w:r>
    </w:p>
    <w:p w:rsidR="004528FE" w:rsidRPr="00C84483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 w:rsidR="00101C30"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4528FE" w:rsidRDefault="004528FE" w:rsidP="004528FE">
      <w:pPr>
        <w:tabs>
          <w:tab w:val="left" w:pos="851"/>
          <w:tab w:val="left" w:pos="3402"/>
        </w:tabs>
        <w:ind w:left="851"/>
        <w:rPr>
          <w:sz w:val="24"/>
          <w:szCs w:val="24"/>
        </w:rPr>
      </w:pPr>
      <w:r>
        <w:rPr>
          <w:sz w:val="24"/>
          <w:szCs w:val="24"/>
        </w:rPr>
        <w:t>70 mg+70 mikrogram:</w:t>
      </w:r>
      <w:r>
        <w:rPr>
          <w:sz w:val="24"/>
          <w:szCs w:val="24"/>
        </w:rPr>
        <w:tab/>
        <w:t>59929</w:t>
      </w:r>
    </w:p>
    <w:p w:rsidR="004528FE" w:rsidRPr="00C84483" w:rsidRDefault="004528FE" w:rsidP="004528FE">
      <w:pPr>
        <w:tabs>
          <w:tab w:val="left" w:pos="851"/>
          <w:tab w:val="left" w:pos="3402"/>
        </w:tabs>
        <w:ind w:left="851"/>
        <w:rPr>
          <w:sz w:val="24"/>
          <w:szCs w:val="24"/>
        </w:rPr>
      </w:pPr>
      <w:r>
        <w:rPr>
          <w:sz w:val="24"/>
          <w:szCs w:val="24"/>
        </w:rPr>
        <w:t>70 mg+140 mikrogram:</w:t>
      </w:r>
      <w:r>
        <w:rPr>
          <w:sz w:val="24"/>
          <w:szCs w:val="24"/>
        </w:rPr>
        <w:tab/>
        <w:t>59930</w:t>
      </w:r>
    </w:p>
    <w:p w:rsidR="004528FE" w:rsidRPr="00C84483" w:rsidRDefault="004528FE" w:rsidP="004528F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4528FE" w:rsidRPr="00C84483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8. november 2018</w:t>
      </w:r>
    </w:p>
    <w:p w:rsidR="004528FE" w:rsidRPr="00C84483" w:rsidRDefault="004528FE" w:rsidP="004528FE">
      <w:pPr>
        <w:tabs>
          <w:tab w:val="left" w:pos="851"/>
        </w:tabs>
        <w:ind w:left="851"/>
        <w:rPr>
          <w:sz w:val="24"/>
          <w:szCs w:val="24"/>
        </w:rPr>
      </w:pPr>
    </w:p>
    <w:p w:rsidR="004528FE" w:rsidRPr="00C84483" w:rsidRDefault="004528FE" w:rsidP="004528F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4528FE" w:rsidRPr="00C84483" w:rsidRDefault="00101C30" w:rsidP="004528F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11. april 2023</w:t>
      </w:r>
    </w:p>
    <w:sectPr w:rsidR="004528FE" w:rsidRPr="00C84483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8FE" w:rsidRDefault="004528FE">
      <w:r>
        <w:separator/>
      </w:r>
    </w:p>
  </w:endnote>
  <w:endnote w:type="continuationSeparator" w:id="0">
    <w:p w:rsidR="004528FE" w:rsidRDefault="0045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DD3180">
      <w:rPr>
        <w:i/>
        <w:noProof/>
        <w:sz w:val="18"/>
        <w:szCs w:val="18"/>
      </w:rPr>
      <w:t>Alendronate-Cholecalciferol Accord, tabletter 70 mg+70 mikrogram og 70 mg+140 mikrogram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8FE" w:rsidRDefault="004528FE">
      <w:r>
        <w:separator/>
      </w:r>
    </w:p>
  </w:footnote>
  <w:footnote w:type="continuationSeparator" w:id="0">
    <w:p w:rsidR="004528FE" w:rsidRDefault="00452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07E"/>
    <w:multiLevelType w:val="hybridMultilevel"/>
    <w:tmpl w:val="D4148616"/>
    <w:lvl w:ilvl="0" w:tplc="FFFFFFFF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3D55CD3"/>
    <w:multiLevelType w:val="hybridMultilevel"/>
    <w:tmpl w:val="92380028"/>
    <w:lvl w:ilvl="0" w:tplc="FFFFFFFF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31F12B2A"/>
    <w:multiLevelType w:val="hybridMultilevel"/>
    <w:tmpl w:val="3AB6A9D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6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5CE327E6"/>
    <w:multiLevelType w:val="hybridMultilevel"/>
    <w:tmpl w:val="DED04DE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8FE"/>
    <w:rsid w:val="000259B9"/>
    <w:rsid w:val="00041491"/>
    <w:rsid w:val="00050D16"/>
    <w:rsid w:val="00074F2A"/>
    <w:rsid w:val="000A1CA8"/>
    <w:rsid w:val="000A466B"/>
    <w:rsid w:val="000B058C"/>
    <w:rsid w:val="000E4EE6"/>
    <w:rsid w:val="00101C30"/>
    <w:rsid w:val="001454E2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28FE"/>
    <w:rsid w:val="0045746C"/>
    <w:rsid w:val="0049104B"/>
    <w:rsid w:val="004C0961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AA4C1C"/>
    <w:rsid w:val="00B003BF"/>
    <w:rsid w:val="00B373D7"/>
    <w:rsid w:val="00C36276"/>
    <w:rsid w:val="00C36F1B"/>
    <w:rsid w:val="00C42586"/>
    <w:rsid w:val="00C60CCD"/>
    <w:rsid w:val="00C61745"/>
    <w:rsid w:val="00C8337E"/>
    <w:rsid w:val="00C84483"/>
    <w:rsid w:val="00C95551"/>
    <w:rsid w:val="00CB20D7"/>
    <w:rsid w:val="00D020B0"/>
    <w:rsid w:val="00D11748"/>
    <w:rsid w:val="00D366CF"/>
    <w:rsid w:val="00DD3180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0072E"/>
  <w15:chartTrackingRefBased/>
  <w15:docId w15:val="{8985E31F-4A42-4C53-A144-3B836EBE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customStyle="1" w:styleId="Bodytext">
    <w:name w:val="Body text_"/>
    <w:link w:val="BodyText3"/>
    <w:locked/>
    <w:rsid w:val="004528FE"/>
    <w:rPr>
      <w:sz w:val="21"/>
      <w:szCs w:val="21"/>
      <w:shd w:val="clear" w:color="auto" w:fill="FFFFFF"/>
    </w:rPr>
  </w:style>
  <w:style w:type="paragraph" w:customStyle="1" w:styleId="BodyText3">
    <w:name w:val="Body Text3"/>
    <w:basedOn w:val="Normal"/>
    <w:link w:val="Bodytext"/>
    <w:rsid w:val="004528FE"/>
    <w:pPr>
      <w:widowControl w:val="0"/>
      <w:shd w:val="clear" w:color="auto" w:fill="FFFFFF"/>
      <w:spacing w:after="300" w:line="0" w:lineRule="atLeast"/>
      <w:ind w:hanging="580"/>
      <w:jc w:val="center"/>
    </w:pPr>
    <w:rPr>
      <w:sz w:val="21"/>
      <w:szCs w:val="21"/>
      <w:lang w:eastAsia="da-DK"/>
    </w:rPr>
  </w:style>
  <w:style w:type="paragraph" w:customStyle="1" w:styleId="BodyText4">
    <w:name w:val="Body Text4"/>
    <w:basedOn w:val="Normal"/>
    <w:rsid w:val="004528FE"/>
    <w:pPr>
      <w:widowControl w:val="0"/>
      <w:shd w:val="clear" w:color="auto" w:fill="FFFFFF"/>
      <w:spacing w:after="300" w:line="0" w:lineRule="atLeast"/>
      <w:ind w:hanging="580"/>
      <w:jc w:val="center"/>
    </w:pPr>
    <w:rPr>
      <w:color w:val="000000"/>
      <w:sz w:val="21"/>
      <w:szCs w:val="21"/>
      <w:lang w:bidi="en-US"/>
    </w:rPr>
  </w:style>
  <w:style w:type="character" w:customStyle="1" w:styleId="BodytextItalic">
    <w:name w:val="Body text + Italic"/>
    <w:rsid w:val="004528F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da-DK" w:eastAsia="en-US" w:bidi="en-US"/>
    </w:rPr>
  </w:style>
  <w:style w:type="character" w:customStyle="1" w:styleId="BodyText2">
    <w:name w:val="Body Text2"/>
    <w:rsid w:val="004528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da-DK" w:eastAsia="en-US" w:bidi="en-US"/>
    </w:rPr>
  </w:style>
  <w:style w:type="character" w:customStyle="1" w:styleId="Bodytext20">
    <w:name w:val="Body text (2)_"/>
    <w:link w:val="Bodytext21"/>
    <w:locked/>
    <w:rsid w:val="004528FE"/>
    <w:rPr>
      <w:i/>
      <w:iCs/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4528FE"/>
    <w:pPr>
      <w:widowControl w:val="0"/>
      <w:shd w:val="clear" w:color="auto" w:fill="FFFFFF"/>
      <w:spacing w:before="180" w:line="254" w:lineRule="exact"/>
      <w:jc w:val="both"/>
    </w:pPr>
    <w:rPr>
      <w:i/>
      <w:iCs/>
      <w:sz w:val="21"/>
      <w:szCs w:val="21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8</TotalTime>
  <Pages>15</Pages>
  <Words>4743</Words>
  <Characters>31717</Characters>
  <Application>Microsoft Office Word</Application>
  <DocSecurity>0</DocSecurity>
  <Lines>264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Helle Venn</dc:creator>
  <cp:keywords/>
  <dc:description>2022114914, var. 3: pkt. 3</dc:description>
  <cp:lastModifiedBy>Helle Venn</cp:lastModifiedBy>
  <cp:revision>4</cp:revision>
  <cp:lastPrinted>2012-08-22T08:53:00Z</cp:lastPrinted>
  <dcterms:created xsi:type="dcterms:W3CDTF">2023-04-11T06:48:00Z</dcterms:created>
  <dcterms:modified xsi:type="dcterms:W3CDTF">2023-04-11T06:57:00Z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