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7477" w14:textId="77777777" w:rsidR="006651B2" w:rsidRPr="00AD002D" w:rsidRDefault="006651B2" w:rsidP="006651B2">
      <w:r w:rsidRPr="00AD002D">
        <w:rPr>
          <w:noProof/>
          <w:lang w:eastAsia="da-DK"/>
        </w:rPr>
        <w:drawing>
          <wp:inline distT="0" distB="0" distL="0" distR="0" wp14:anchorId="7AF2FE7F" wp14:editId="571A3ED5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E6C8" w14:textId="77777777" w:rsidR="006651B2" w:rsidRPr="00AD002D" w:rsidRDefault="006651B2" w:rsidP="006651B2">
      <w:pPr>
        <w:pStyle w:val="Titel"/>
        <w:jc w:val="left"/>
        <w:rPr>
          <w:b w:val="0"/>
          <w:szCs w:val="24"/>
        </w:rPr>
      </w:pPr>
    </w:p>
    <w:p w14:paraId="31F5F632" w14:textId="77777777" w:rsidR="00EB6BA8" w:rsidRDefault="00EB6BA8" w:rsidP="006651B2">
      <w:pPr>
        <w:pStyle w:val="Titel"/>
        <w:jc w:val="right"/>
        <w:rPr>
          <w:szCs w:val="24"/>
        </w:rPr>
      </w:pPr>
    </w:p>
    <w:p w14:paraId="70772932" w14:textId="53EFCF71" w:rsidR="006651B2" w:rsidRPr="00AD002D" w:rsidRDefault="00703016" w:rsidP="006651B2">
      <w:pPr>
        <w:pStyle w:val="Titel"/>
        <w:jc w:val="right"/>
        <w:rPr>
          <w:szCs w:val="24"/>
        </w:rPr>
      </w:pPr>
      <w:r>
        <w:rPr>
          <w:szCs w:val="24"/>
        </w:rPr>
        <w:t>12. december 2024</w:t>
      </w:r>
    </w:p>
    <w:p w14:paraId="46932070" w14:textId="77777777" w:rsidR="006651B2" w:rsidRPr="00AD002D" w:rsidRDefault="006651B2" w:rsidP="006651B2">
      <w:pPr>
        <w:pStyle w:val="Titel"/>
        <w:jc w:val="left"/>
        <w:rPr>
          <w:b w:val="0"/>
          <w:szCs w:val="24"/>
        </w:rPr>
      </w:pPr>
    </w:p>
    <w:p w14:paraId="15505111" w14:textId="77777777" w:rsidR="006651B2" w:rsidRPr="00AD002D" w:rsidRDefault="006651B2" w:rsidP="006651B2">
      <w:pPr>
        <w:pStyle w:val="Titel"/>
        <w:jc w:val="left"/>
        <w:rPr>
          <w:b w:val="0"/>
          <w:szCs w:val="24"/>
        </w:rPr>
      </w:pPr>
    </w:p>
    <w:p w14:paraId="4542ADA0" w14:textId="77777777" w:rsidR="006651B2" w:rsidRPr="00AD002D" w:rsidRDefault="006651B2" w:rsidP="006651B2">
      <w:pPr>
        <w:jc w:val="center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PRODUKTRESUMÉ</w:t>
      </w:r>
    </w:p>
    <w:p w14:paraId="2A0BB2A9" w14:textId="77777777" w:rsidR="006651B2" w:rsidRPr="00AD002D" w:rsidRDefault="006651B2" w:rsidP="006651B2">
      <w:pPr>
        <w:jc w:val="center"/>
        <w:rPr>
          <w:b/>
          <w:sz w:val="24"/>
          <w:szCs w:val="24"/>
        </w:rPr>
      </w:pPr>
    </w:p>
    <w:p w14:paraId="1DD1C793" w14:textId="77777777" w:rsidR="006651B2" w:rsidRPr="00AD002D" w:rsidRDefault="006651B2" w:rsidP="006651B2">
      <w:pPr>
        <w:jc w:val="center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for</w:t>
      </w:r>
    </w:p>
    <w:p w14:paraId="13E22580" w14:textId="77777777" w:rsidR="006651B2" w:rsidRPr="00AD002D" w:rsidRDefault="006651B2" w:rsidP="006651B2">
      <w:pPr>
        <w:jc w:val="center"/>
        <w:rPr>
          <w:b/>
          <w:sz w:val="24"/>
          <w:szCs w:val="24"/>
        </w:rPr>
      </w:pPr>
    </w:p>
    <w:p w14:paraId="65C563D5" w14:textId="043A3815" w:rsidR="006651B2" w:rsidRPr="00AD002D" w:rsidRDefault="00703016" w:rsidP="006651B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Alfacalcidol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B6BA8">
        <w:rPr>
          <w:b/>
          <w:sz w:val="24"/>
          <w:szCs w:val="24"/>
        </w:rPr>
        <w:t>Cande</w:t>
      </w:r>
      <w:proofErr w:type="spellEnd"/>
      <w:r w:rsidR="006651B2" w:rsidRPr="00AD002D">
        <w:rPr>
          <w:b/>
          <w:sz w:val="24"/>
          <w:szCs w:val="24"/>
        </w:rPr>
        <w:t>, bløde kapsler</w:t>
      </w:r>
      <w:r w:rsidR="00EB6BA8">
        <w:rPr>
          <w:b/>
          <w:sz w:val="24"/>
          <w:szCs w:val="24"/>
        </w:rPr>
        <w:t xml:space="preserve"> (2care4)</w:t>
      </w:r>
    </w:p>
    <w:p w14:paraId="6093D564" w14:textId="77777777" w:rsidR="006651B2" w:rsidRPr="00AD002D" w:rsidRDefault="006651B2" w:rsidP="006651B2">
      <w:pPr>
        <w:jc w:val="both"/>
        <w:rPr>
          <w:sz w:val="24"/>
          <w:szCs w:val="24"/>
        </w:rPr>
      </w:pPr>
    </w:p>
    <w:p w14:paraId="226E5690" w14:textId="77777777" w:rsidR="006651B2" w:rsidRPr="00AD002D" w:rsidRDefault="006651B2" w:rsidP="006651B2">
      <w:pPr>
        <w:ind w:left="851" w:right="-1" w:hanging="851"/>
        <w:jc w:val="both"/>
        <w:rPr>
          <w:sz w:val="24"/>
          <w:szCs w:val="24"/>
        </w:rPr>
      </w:pPr>
    </w:p>
    <w:p w14:paraId="77951593" w14:textId="77777777" w:rsidR="00760D16" w:rsidRPr="00AD002D" w:rsidRDefault="00760D16" w:rsidP="00760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0.</w:t>
      </w:r>
      <w:r w:rsidRPr="00AD002D">
        <w:rPr>
          <w:b/>
          <w:sz w:val="24"/>
          <w:szCs w:val="24"/>
        </w:rPr>
        <w:tab/>
        <w:t>D.SP.NR.</w:t>
      </w:r>
    </w:p>
    <w:p w14:paraId="3A6CECD3" w14:textId="77777777" w:rsidR="006651B2" w:rsidRPr="00AD002D" w:rsidRDefault="006651B2" w:rsidP="00071731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28718</w:t>
      </w:r>
    </w:p>
    <w:p w14:paraId="7FC62C65" w14:textId="77777777" w:rsidR="006651B2" w:rsidRPr="00AD002D" w:rsidRDefault="006651B2" w:rsidP="00071731">
      <w:pPr>
        <w:ind w:left="851" w:right="-1"/>
        <w:rPr>
          <w:sz w:val="24"/>
          <w:szCs w:val="24"/>
        </w:rPr>
      </w:pPr>
    </w:p>
    <w:p w14:paraId="70A22569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1.</w:t>
      </w:r>
      <w:r w:rsidRPr="00AD002D">
        <w:rPr>
          <w:b/>
          <w:sz w:val="24"/>
          <w:szCs w:val="24"/>
        </w:rPr>
        <w:tab/>
        <w:t>LÆGEMIDLETS NAVN</w:t>
      </w:r>
    </w:p>
    <w:p w14:paraId="17821DC4" w14:textId="16D456B0" w:rsidR="006651B2" w:rsidRPr="00AD002D" w:rsidRDefault="00703016" w:rsidP="006651B2">
      <w:pPr>
        <w:ind w:left="851"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Alfacalcidol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</w:p>
    <w:p w14:paraId="75BC9BFA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FB8B35D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2.</w:t>
      </w:r>
      <w:r w:rsidRPr="00AD002D">
        <w:rPr>
          <w:b/>
          <w:sz w:val="24"/>
          <w:szCs w:val="24"/>
        </w:rPr>
        <w:tab/>
        <w:t>KVALITATIV OG KVANTITATIV SAMMENSÆTNING</w:t>
      </w:r>
    </w:p>
    <w:p w14:paraId="4BC5E634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2EC52EF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Hver kapsel indeholder 1 mikrogram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5DA8C846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2F1804E4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r w:rsidRPr="00AD002D">
        <w:rPr>
          <w:spacing w:val="-1"/>
          <w:sz w:val="24"/>
          <w:szCs w:val="24"/>
          <w:u w:val="single"/>
        </w:rPr>
        <w:t>Hjælpestof, som behandleren skal være opmærksom på</w:t>
      </w:r>
    </w:p>
    <w:p w14:paraId="4780620A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Hver blød kapsel indeholder 98,7 mg </w:t>
      </w:r>
      <w:proofErr w:type="spellStart"/>
      <w:r w:rsidRPr="00AD002D">
        <w:rPr>
          <w:spacing w:val="-1"/>
          <w:sz w:val="24"/>
          <w:szCs w:val="24"/>
        </w:rPr>
        <w:t>arachidolie</w:t>
      </w:r>
      <w:proofErr w:type="spellEnd"/>
      <w:r w:rsidRPr="00AD002D">
        <w:rPr>
          <w:spacing w:val="-1"/>
          <w:sz w:val="24"/>
          <w:szCs w:val="24"/>
        </w:rPr>
        <w:t xml:space="preserve"> (jordnøddeolie), 1 mg vandfri </w:t>
      </w:r>
      <w:proofErr w:type="spellStart"/>
      <w:r w:rsidRPr="00AD002D">
        <w:rPr>
          <w:spacing w:val="-1"/>
          <w:sz w:val="24"/>
          <w:szCs w:val="24"/>
        </w:rPr>
        <w:t>ethanol</w:t>
      </w:r>
      <w:proofErr w:type="spellEnd"/>
      <w:r w:rsidRPr="00AD002D">
        <w:rPr>
          <w:spacing w:val="-1"/>
          <w:sz w:val="24"/>
          <w:szCs w:val="24"/>
        </w:rPr>
        <w:t xml:space="preserve">, 10 mg sorbitol og spor af </w:t>
      </w:r>
      <w:proofErr w:type="spellStart"/>
      <w:r w:rsidRPr="00AD002D">
        <w:rPr>
          <w:spacing w:val="-1"/>
          <w:sz w:val="24"/>
          <w:szCs w:val="24"/>
        </w:rPr>
        <w:t>sojalecithin</w:t>
      </w:r>
      <w:proofErr w:type="spellEnd"/>
    </w:p>
    <w:p w14:paraId="233DF0D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1A4D9F2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Alle hjælpestoffer er anført under pkt. 6.1.</w:t>
      </w:r>
    </w:p>
    <w:p w14:paraId="2EDF91B5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1E58DDE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3.</w:t>
      </w:r>
      <w:r w:rsidRPr="00AD002D">
        <w:rPr>
          <w:b/>
          <w:sz w:val="24"/>
          <w:szCs w:val="24"/>
        </w:rPr>
        <w:tab/>
        <w:t>LÆGEMIDDELFORM</w:t>
      </w:r>
    </w:p>
    <w:p w14:paraId="6E805191" w14:textId="28AC2D55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>Bløde kapsler</w:t>
      </w:r>
      <w:r w:rsidR="00EB6BA8">
        <w:rPr>
          <w:spacing w:val="-1"/>
          <w:sz w:val="24"/>
          <w:szCs w:val="24"/>
        </w:rPr>
        <w:t xml:space="preserve"> (2care4)</w:t>
      </w:r>
    </w:p>
    <w:p w14:paraId="4BC6124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1773E3D5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3F81781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</w:t>
      </w:r>
      <w:r w:rsidRPr="00AD002D">
        <w:rPr>
          <w:b/>
          <w:sz w:val="24"/>
          <w:szCs w:val="24"/>
        </w:rPr>
        <w:tab/>
        <w:t>KLINISKE OPLYSNINGER</w:t>
      </w:r>
    </w:p>
    <w:p w14:paraId="6FAA8162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B327E6A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  <w:u w:val="single"/>
        </w:rPr>
      </w:pPr>
      <w:r w:rsidRPr="00AD002D">
        <w:rPr>
          <w:b/>
          <w:sz w:val="24"/>
          <w:szCs w:val="24"/>
        </w:rPr>
        <w:t>4.1</w:t>
      </w:r>
      <w:r w:rsidRPr="00AD002D">
        <w:rPr>
          <w:b/>
          <w:sz w:val="24"/>
          <w:szCs w:val="24"/>
        </w:rPr>
        <w:tab/>
        <w:t>Terapeutiske indikationer</w:t>
      </w:r>
    </w:p>
    <w:p w14:paraId="5B28A569" w14:textId="10CDE75B" w:rsidR="006651B2" w:rsidRPr="00AD002D" w:rsidRDefault="00703016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Alfacalcidol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="006651B2" w:rsidRPr="00AD002D">
        <w:rPr>
          <w:spacing w:val="-1"/>
          <w:sz w:val="24"/>
          <w:szCs w:val="24"/>
        </w:rPr>
        <w:t xml:space="preserve"> er indiceret til tilstande, hvor der er forstyrrelser i calciummetabolismen på grund af nedsat 1-α-</w:t>
      </w:r>
      <w:proofErr w:type="spellStart"/>
      <w:r w:rsidR="006651B2" w:rsidRPr="00AD002D">
        <w:rPr>
          <w:spacing w:val="-1"/>
          <w:sz w:val="24"/>
          <w:szCs w:val="24"/>
        </w:rPr>
        <w:t>hydroxylering</w:t>
      </w:r>
      <w:proofErr w:type="spellEnd"/>
      <w:r w:rsidR="006651B2" w:rsidRPr="00AD002D">
        <w:rPr>
          <w:spacing w:val="-1"/>
          <w:sz w:val="24"/>
          <w:szCs w:val="24"/>
        </w:rPr>
        <w:t>, f.eks. på grund af nedsat nyrefunktion. De vigtigste indikationer er:</w:t>
      </w:r>
    </w:p>
    <w:p w14:paraId="415EA58E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z w:val="24"/>
          <w:szCs w:val="24"/>
        </w:rPr>
        <w:t>a)</w:t>
      </w:r>
      <w:r w:rsidRPr="00AD002D">
        <w:rPr>
          <w:sz w:val="24"/>
          <w:szCs w:val="24"/>
        </w:rPr>
        <w:tab/>
      </w:r>
      <w:proofErr w:type="spellStart"/>
      <w:r w:rsidRPr="00AD002D">
        <w:rPr>
          <w:sz w:val="24"/>
          <w:szCs w:val="24"/>
        </w:rPr>
        <w:t>Renal</w:t>
      </w:r>
      <w:proofErr w:type="spellEnd"/>
      <w:r w:rsidRPr="00AD002D">
        <w:rPr>
          <w:sz w:val="24"/>
          <w:szCs w:val="24"/>
        </w:rPr>
        <w:t xml:space="preserve"> </w:t>
      </w:r>
      <w:proofErr w:type="spellStart"/>
      <w:r w:rsidRPr="00AD002D">
        <w:rPr>
          <w:sz w:val="24"/>
          <w:szCs w:val="24"/>
        </w:rPr>
        <w:t>osteodystrofi</w:t>
      </w:r>
      <w:proofErr w:type="spellEnd"/>
    </w:p>
    <w:p w14:paraId="67020E74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z w:val="24"/>
          <w:szCs w:val="24"/>
        </w:rPr>
        <w:t>b)</w:t>
      </w:r>
      <w:r w:rsidRPr="00AD002D">
        <w:rPr>
          <w:sz w:val="24"/>
          <w:szCs w:val="24"/>
        </w:rPr>
        <w:tab/>
      </w:r>
      <w:proofErr w:type="spellStart"/>
      <w:r w:rsidRPr="00AD002D">
        <w:rPr>
          <w:sz w:val="24"/>
          <w:szCs w:val="24"/>
        </w:rPr>
        <w:t>Hyperparathyreoidisme</w:t>
      </w:r>
      <w:proofErr w:type="spellEnd"/>
      <w:r w:rsidRPr="00AD002D">
        <w:rPr>
          <w:sz w:val="24"/>
          <w:szCs w:val="24"/>
        </w:rPr>
        <w:t xml:space="preserve"> (med knoglesygdom)</w:t>
      </w:r>
    </w:p>
    <w:p w14:paraId="54F1581F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z w:val="24"/>
          <w:szCs w:val="24"/>
        </w:rPr>
        <w:t>c)</w:t>
      </w:r>
      <w:r w:rsidRPr="00AD002D">
        <w:rPr>
          <w:sz w:val="24"/>
          <w:szCs w:val="24"/>
        </w:rPr>
        <w:tab/>
      </w:r>
      <w:proofErr w:type="spellStart"/>
      <w:r w:rsidRPr="00AD002D">
        <w:rPr>
          <w:sz w:val="24"/>
          <w:szCs w:val="24"/>
        </w:rPr>
        <w:t>Hypoparathyreoidisme</w:t>
      </w:r>
      <w:proofErr w:type="spellEnd"/>
    </w:p>
    <w:p w14:paraId="49CE9140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z w:val="24"/>
          <w:szCs w:val="24"/>
        </w:rPr>
        <w:t>d)</w:t>
      </w:r>
      <w:r w:rsidRPr="00AD002D">
        <w:rPr>
          <w:sz w:val="24"/>
          <w:szCs w:val="24"/>
        </w:rPr>
        <w:tab/>
        <w:t xml:space="preserve">Ernærings- og </w:t>
      </w:r>
      <w:proofErr w:type="spellStart"/>
      <w:r w:rsidRPr="00AD002D">
        <w:rPr>
          <w:sz w:val="24"/>
          <w:szCs w:val="24"/>
        </w:rPr>
        <w:t>malabsorptionsrelateret</w:t>
      </w:r>
      <w:proofErr w:type="spellEnd"/>
      <w:r w:rsidRPr="00AD002D">
        <w:rPr>
          <w:sz w:val="24"/>
          <w:szCs w:val="24"/>
        </w:rPr>
        <w:t xml:space="preserve"> rakitis og </w:t>
      </w:r>
      <w:proofErr w:type="spellStart"/>
      <w:r w:rsidRPr="00AD002D">
        <w:rPr>
          <w:sz w:val="24"/>
          <w:szCs w:val="24"/>
        </w:rPr>
        <w:t>osteomalaci</w:t>
      </w:r>
      <w:proofErr w:type="spellEnd"/>
    </w:p>
    <w:p w14:paraId="14A724FC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pacing w:val="1"/>
          <w:sz w:val="24"/>
          <w:szCs w:val="24"/>
        </w:rPr>
        <w:t>e)</w:t>
      </w:r>
      <w:r w:rsidRPr="00AD002D">
        <w:rPr>
          <w:spacing w:val="1"/>
          <w:sz w:val="24"/>
          <w:szCs w:val="24"/>
        </w:rPr>
        <w:tab/>
        <w:t xml:space="preserve">Rakitis og </w:t>
      </w:r>
      <w:proofErr w:type="spellStart"/>
      <w:r w:rsidRPr="00AD002D">
        <w:rPr>
          <w:spacing w:val="1"/>
          <w:sz w:val="24"/>
          <w:szCs w:val="24"/>
        </w:rPr>
        <w:t>osteomalaci</w:t>
      </w:r>
      <w:proofErr w:type="spellEnd"/>
      <w:r w:rsidRPr="00AD002D">
        <w:rPr>
          <w:spacing w:val="1"/>
          <w:sz w:val="24"/>
          <w:szCs w:val="24"/>
        </w:rPr>
        <w:t xml:space="preserve"> på grund af pseudo-mangel (D-afhængig)</w:t>
      </w:r>
    </w:p>
    <w:p w14:paraId="6B429E21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pacing w:val="-2"/>
          <w:sz w:val="24"/>
          <w:szCs w:val="24"/>
        </w:rPr>
        <w:t>f)</w:t>
      </w:r>
      <w:r w:rsidRPr="00AD002D">
        <w:rPr>
          <w:spacing w:val="-2"/>
          <w:sz w:val="24"/>
          <w:szCs w:val="24"/>
        </w:rPr>
        <w:tab/>
      </w:r>
      <w:proofErr w:type="spellStart"/>
      <w:r w:rsidRPr="00AD002D">
        <w:rPr>
          <w:spacing w:val="-2"/>
          <w:sz w:val="24"/>
          <w:szCs w:val="24"/>
        </w:rPr>
        <w:t>Hypofosfatæmisk</w:t>
      </w:r>
      <w:proofErr w:type="spellEnd"/>
      <w:r w:rsidRPr="00AD002D">
        <w:rPr>
          <w:spacing w:val="-2"/>
          <w:sz w:val="24"/>
          <w:szCs w:val="24"/>
        </w:rPr>
        <w:t xml:space="preserve"> vitamin D-resistent rakitis og </w:t>
      </w:r>
      <w:proofErr w:type="spellStart"/>
      <w:r w:rsidRPr="00AD002D">
        <w:rPr>
          <w:spacing w:val="-2"/>
          <w:sz w:val="24"/>
          <w:szCs w:val="24"/>
        </w:rPr>
        <w:t>osteomalaci</w:t>
      </w:r>
      <w:proofErr w:type="spellEnd"/>
    </w:p>
    <w:p w14:paraId="75B935DF" w14:textId="7053E72C" w:rsidR="006651B2" w:rsidRDefault="006651B2" w:rsidP="00BE06EE">
      <w:pPr>
        <w:ind w:left="851" w:right="-1"/>
        <w:rPr>
          <w:sz w:val="24"/>
          <w:szCs w:val="24"/>
        </w:rPr>
      </w:pPr>
    </w:p>
    <w:p w14:paraId="5DD88642" w14:textId="56A374CE" w:rsidR="00EB6BA8" w:rsidRDefault="00EB6BA8" w:rsidP="00BE06EE">
      <w:pPr>
        <w:ind w:left="851" w:right="-1"/>
        <w:rPr>
          <w:sz w:val="24"/>
          <w:szCs w:val="24"/>
        </w:rPr>
      </w:pPr>
    </w:p>
    <w:p w14:paraId="57C4F314" w14:textId="77777777" w:rsidR="00EB6BA8" w:rsidRPr="00AD002D" w:rsidRDefault="00EB6BA8" w:rsidP="00BE06EE">
      <w:pPr>
        <w:ind w:left="851" w:right="-1"/>
        <w:rPr>
          <w:sz w:val="24"/>
          <w:szCs w:val="24"/>
        </w:rPr>
      </w:pPr>
    </w:p>
    <w:p w14:paraId="2E4A3F35" w14:textId="3220CED6" w:rsidR="00EB6BA8" w:rsidRDefault="006651B2" w:rsidP="00EB6BA8">
      <w:pPr>
        <w:ind w:left="851" w:right="-1" w:hanging="851"/>
        <w:rPr>
          <w:spacing w:val="-1"/>
          <w:sz w:val="24"/>
          <w:szCs w:val="24"/>
        </w:rPr>
      </w:pPr>
      <w:r w:rsidRPr="00AD002D">
        <w:rPr>
          <w:b/>
          <w:sz w:val="24"/>
          <w:szCs w:val="24"/>
        </w:rPr>
        <w:lastRenderedPageBreak/>
        <w:t>4.2</w:t>
      </w:r>
      <w:r w:rsidRPr="00AD002D">
        <w:rPr>
          <w:b/>
          <w:sz w:val="24"/>
          <w:szCs w:val="24"/>
        </w:rPr>
        <w:tab/>
        <w:t xml:space="preserve">Dosering og </w:t>
      </w:r>
      <w:r w:rsidR="00E05264" w:rsidRPr="00AD002D">
        <w:rPr>
          <w:b/>
          <w:sz w:val="24"/>
          <w:szCs w:val="24"/>
        </w:rPr>
        <w:t>administration</w:t>
      </w:r>
      <w:r w:rsidR="00EB6BA8">
        <w:rPr>
          <w:b/>
          <w:sz w:val="24"/>
          <w:szCs w:val="24"/>
        </w:rPr>
        <w:br/>
      </w:r>
      <w:r w:rsidR="00EB6BA8" w:rsidRPr="00EB6BA8">
        <w:rPr>
          <w:spacing w:val="-1"/>
          <w:sz w:val="24"/>
          <w:szCs w:val="24"/>
        </w:rPr>
        <w:t>Styrelsen gør opmærksom på, at ikke alle godkendte doseringsmuligheder/ anvendelsesmuligheder kan følges med dette præparat, hvorfor indlægssedlen bør informere brugeren om dette.</w:t>
      </w:r>
    </w:p>
    <w:p w14:paraId="2FABC51B" w14:textId="77777777" w:rsidR="00EB6BA8" w:rsidRPr="00EB6BA8" w:rsidRDefault="00EB6BA8" w:rsidP="00EB6BA8">
      <w:pPr>
        <w:ind w:left="851" w:right="-1" w:hanging="851"/>
        <w:rPr>
          <w:spacing w:val="-1"/>
          <w:sz w:val="24"/>
          <w:szCs w:val="24"/>
        </w:rPr>
      </w:pPr>
    </w:p>
    <w:p w14:paraId="73D70973" w14:textId="5E52EC90" w:rsidR="006651B2" w:rsidRPr="00AD002D" w:rsidRDefault="006651B2" w:rsidP="00EB6BA8">
      <w:pPr>
        <w:ind w:left="851" w:right="-1"/>
        <w:rPr>
          <w:b/>
          <w:spacing w:val="-1"/>
          <w:sz w:val="24"/>
          <w:szCs w:val="24"/>
        </w:rPr>
      </w:pPr>
      <w:r w:rsidRPr="00AD002D">
        <w:rPr>
          <w:b/>
          <w:spacing w:val="-1"/>
          <w:sz w:val="24"/>
          <w:szCs w:val="24"/>
        </w:rPr>
        <w:t>Dosering</w:t>
      </w:r>
    </w:p>
    <w:p w14:paraId="5BFE0AD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position w:val="-1"/>
          <w:sz w:val="24"/>
          <w:szCs w:val="24"/>
          <w:u w:val="single"/>
        </w:rPr>
      </w:pPr>
      <w:r w:rsidRPr="00AD002D">
        <w:rPr>
          <w:position w:val="-1"/>
          <w:sz w:val="24"/>
          <w:szCs w:val="24"/>
          <w:u w:val="single"/>
        </w:rPr>
        <w:t>Startdosis til alle indikationer</w:t>
      </w:r>
    </w:p>
    <w:p w14:paraId="3BF3A87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position w:val="-1"/>
          <w:sz w:val="24"/>
          <w:szCs w:val="24"/>
        </w:rPr>
      </w:pPr>
      <w:r w:rsidRPr="00AD002D">
        <w:rPr>
          <w:position w:val="-1"/>
          <w:sz w:val="24"/>
          <w:szCs w:val="24"/>
        </w:rPr>
        <w:t xml:space="preserve">Børn fra 6 år og under 20 kg legemsvægt: </w:t>
      </w:r>
      <w:r w:rsidRPr="00AD002D">
        <w:rPr>
          <w:sz w:val="24"/>
          <w:szCs w:val="24"/>
        </w:rPr>
        <w:t>0,05 mikrogram/kg/dag</w:t>
      </w:r>
    </w:p>
    <w:p w14:paraId="0D919699" w14:textId="77777777" w:rsidR="006651B2" w:rsidRPr="00AD002D" w:rsidRDefault="006651B2" w:rsidP="006651B2">
      <w:pPr>
        <w:widowControl w:val="0"/>
        <w:tabs>
          <w:tab w:val="left" w:pos="4678"/>
        </w:tabs>
        <w:autoSpaceDE w:val="0"/>
        <w:autoSpaceDN w:val="0"/>
        <w:adjustRightInd w:val="0"/>
        <w:ind w:left="851" w:right="-1"/>
        <w:rPr>
          <w:position w:val="-1"/>
          <w:sz w:val="24"/>
          <w:szCs w:val="24"/>
        </w:rPr>
      </w:pPr>
      <w:r w:rsidRPr="00AD002D">
        <w:rPr>
          <w:position w:val="-1"/>
          <w:sz w:val="24"/>
          <w:szCs w:val="24"/>
        </w:rPr>
        <w:t xml:space="preserve">Voksne og børn </w:t>
      </w:r>
      <w:r w:rsidRPr="00AD002D">
        <w:rPr>
          <w:sz w:val="24"/>
          <w:szCs w:val="24"/>
        </w:rPr>
        <w:t>≥</w:t>
      </w:r>
      <w:r w:rsidRPr="00AD002D">
        <w:rPr>
          <w:position w:val="-1"/>
          <w:sz w:val="24"/>
          <w:szCs w:val="24"/>
        </w:rPr>
        <w:t xml:space="preserve"> 20 kg legemsvægt: </w:t>
      </w:r>
      <w:r w:rsidRPr="00AD002D">
        <w:rPr>
          <w:sz w:val="24"/>
          <w:szCs w:val="24"/>
        </w:rPr>
        <w:t>1 mikrogram/dag</w:t>
      </w:r>
    </w:p>
    <w:p w14:paraId="254B311E" w14:textId="77777777" w:rsidR="006651B2" w:rsidRPr="00AD002D" w:rsidRDefault="006651B2" w:rsidP="006651B2">
      <w:pPr>
        <w:widowControl w:val="0"/>
        <w:tabs>
          <w:tab w:val="left" w:pos="4678"/>
        </w:tabs>
        <w:autoSpaceDE w:val="0"/>
        <w:autoSpaceDN w:val="0"/>
        <w:adjustRightInd w:val="0"/>
        <w:ind w:left="851" w:right="-1"/>
        <w:rPr>
          <w:position w:val="-1"/>
          <w:sz w:val="24"/>
          <w:szCs w:val="24"/>
        </w:rPr>
      </w:pPr>
      <w:r w:rsidRPr="00AD002D">
        <w:rPr>
          <w:position w:val="-1"/>
          <w:sz w:val="24"/>
          <w:szCs w:val="24"/>
        </w:rPr>
        <w:t xml:space="preserve">Ældre: </w:t>
      </w:r>
      <w:r w:rsidRPr="00AD002D">
        <w:rPr>
          <w:sz w:val="24"/>
          <w:szCs w:val="24"/>
        </w:rPr>
        <w:t>0,5 mikrogram/dag</w:t>
      </w:r>
    </w:p>
    <w:p w14:paraId="50A814F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</w:p>
    <w:p w14:paraId="5B38B24D" w14:textId="6BDCA8BB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Herefter bør dosen af </w:t>
      </w:r>
      <w:proofErr w:type="spellStart"/>
      <w:r w:rsidR="00703016">
        <w:rPr>
          <w:spacing w:val="2"/>
          <w:sz w:val="24"/>
          <w:szCs w:val="24"/>
        </w:rPr>
        <w:t>Alfacalcidol</w:t>
      </w:r>
      <w:proofErr w:type="spellEnd"/>
      <w:r w:rsidR="00703016">
        <w:rPr>
          <w:spacing w:val="2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2"/>
          <w:sz w:val="24"/>
          <w:szCs w:val="24"/>
        </w:rPr>
        <w:t xml:space="preserve"> justeres i henhold til det biokemiske respons for at undgå </w:t>
      </w:r>
      <w:proofErr w:type="spellStart"/>
      <w:r w:rsidRPr="00AD002D">
        <w:rPr>
          <w:spacing w:val="2"/>
          <w:sz w:val="24"/>
          <w:szCs w:val="24"/>
        </w:rPr>
        <w:t>hypercalcæmi</w:t>
      </w:r>
      <w:proofErr w:type="spellEnd"/>
      <w:r w:rsidRPr="00AD002D">
        <w:rPr>
          <w:spacing w:val="2"/>
          <w:sz w:val="24"/>
          <w:szCs w:val="24"/>
        </w:rPr>
        <w:t xml:space="preserve">. Responsindikatorer omfatter plasmaniveauer af calcium (ideelt korrigeret for proteinbinding), basisk fosfatase, </w:t>
      </w:r>
      <w:proofErr w:type="spellStart"/>
      <w:r w:rsidRPr="00AD002D">
        <w:rPr>
          <w:spacing w:val="2"/>
          <w:sz w:val="24"/>
          <w:szCs w:val="24"/>
        </w:rPr>
        <w:t>parathyroideahormon</w:t>
      </w:r>
      <w:proofErr w:type="spellEnd"/>
      <w:r w:rsidRPr="00AD002D">
        <w:rPr>
          <w:spacing w:val="2"/>
          <w:sz w:val="24"/>
          <w:szCs w:val="24"/>
        </w:rPr>
        <w:t xml:space="preserve"> samt røntgen- og histologiundersøgelser.</w:t>
      </w:r>
    </w:p>
    <w:p w14:paraId="291D0FC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AF272DF" w14:textId="7DDAC0D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I starten bør plasmaniveauerne måles hver uge. Den daglige dosis af </w:t>
      </w:r>
      <w:proofErr w:type="spellStart"/>
      <w:r w:rsidR="00703016">
        <w:rPr>
          <w:sz w:val="24"/>
          <w:szCs w:val="24"/>
        </w:rPr>
        <w:t>Alfacalcidol</w:t>
      </w:r>
      <w:proofErr w:type="spellEnd"/>
      <w:r w:rsidR="00703016">
        <w:rPr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z w:val="24"/>
          <w:szCs w:val="24"/>
        </w:rPr>
        <w:t xml:space="preserve"> kan øges i trin af 0,25-0,5 mikrogram. Når dosen er fastlagt, bør plasmaniveauerne af calcium, fosfor og </w:t>
      </w:r>
      <w:proofErr w:type="spellStart"/>
      <w:r w:rsidRPr="00AD002D">
        <w:rPr>
          <w:sz w:val="24"/>
          <w:szCs w:val="24"/>
        </w:rPr>
        <w:t>kreatinin</w:t>
      </w:r>
      <w:proofErr w:type="spellEnd"/>
      <w:r w:rsidRPr="00AD002D">
        <w:rPr>
          <w:sz w:val="24"/>
          <w:szCs w:val="24"/>
        </w:rPr>
        <w:t xml:space="preserve"> måles hver 2. til 4. uge.</w:t>
      </w:r>
    </w:p>
    <w:p w14:paraId="222DB65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EB925EF" w14:textId="41D25AF6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 fleste voksne patienter responderer på doser mellem 1 og 3 mikrogram om dagen. Når der er biokemisk eller </w:t>
      </w:r>
      <w:proofErr w:type="spellStart"/>
      <w:r w:rsidRPr="00AD002D">
        <w:rPr>
          <w:sz w:val="24"/>
          <w:szCs w:val="24"/>
        </w:rPr>
        <w:t>røntgenologisk</w:t>
      </w:r>
      <w:proofErr w:type="spellEnd"/>
      <w:r w:rsidRPr="00AD002D">
        <w:rPr>
          <w:sz w:val="24"/>
          <w:szCs w:val="24"/>
        </w:rPr>
        <w:t xml:space="preserve"> evidens for knogleheling (og når plasmacalcium-niveauet er normaliseret hos patienter med </w:t>
      </w:r>
      <w:proofErr w:type="spellStart"/>
      <w:r w:rsidRPr="00AD002D">
        <w:rPr>
          <w:sz w:val="24"/>
          <w:szCs w:val="24"/>
        </w:rPr>
        <w:t>hypoparathyroidisme</w:t>
      </w:r>
      <w:proofErr w:type="spellEnd"/>
      <w:r w:rsidRPr="00AD002D">
        <w:rPr>
          <w:sz w:val="24"/>
          <w:szCs w:val="24"/>
        </w:rPr>
        <w:t xml:space="preserve">), kan dosis generelt nedsættes. Vedligeholdelsesdoser ligger generelt i området 0,25 til 1 mikrogram om dagen. Hvis der opstår </w:t>
      </w:r>
      <w:proofErr w:type="spellStart"/>
      <w:r w:rsidRPr="00AD002D">
        <w:rPr>
          <w:sz w:val="24"/>
          <w:szCs w:val="24"/>
        </w:rPr>
        <w:t>hypercalcæmi</w:t>
      </w:r>
      <w:proofErr w:type="spellEnd"/>
      <w:r w:rsidRPr="00AD002D">
        <w:rPr>
          <w:sz w:val="24"/>
          <w:szCs w:val="24"/>
        </w:rPr>
        <w:t xml:space="preserve">, bør </w:t>
      </w:r>
      <w:proofErr w:type="spellStart"/>
      <w:r w:rsidR="00703016">
        <w:rPr>
          <w:sz w:val="24"/>
          <w:szCs w:val="24"/>
        </w:rPr>
        <w:t>Alfacalcidol</w:t>
      </w:r>
      <w:proofErr w:type="spellEnd"/>
      <w:r w:rsidR="00703016">
        <w:rPr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z w:val="24"/>
          <w:szCs w:val="24"/>
        </w:rPr>
        <w:t xml:space="preserve"> seponeres, indtil plasmacalcium normaliseres (cirka en uge) og derefter genoptages med halvdelen af den foregående dosis.</w:t>
      </w:r>
    </w:p>
    <w:p w14:paraId="2FF1251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1294A2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(a) </w:t>
      </w:r>
      <w:proofErr w:type="spellStart"/>
      <w:r w:rsidRPr="00AD002D">
        <w:rPr>
          <w:spacing w:val="1"/>
          <w:sz w:val="24"/>
          <w:szCs w:val="24"/>
          <w:u w:val="single"/>
        </w:rPr>
        <w:t>Renal</w:t>
      </w:r>
      <w:proofErr w:type="spellEnd"/>
      <w:r w:rsidRPr="00AD002D">
        <w:rPr>
          <w:spacing w:val="1"/>
          <w:sz w:val="24"/>
          <w:szCs w:val="24"/>
          <w:u w:val="single"/>
        </w:rPr>
        <w:t xml:space="preserve"> knoglesygdom</w:t>
      </w:r>
    </w:p>
    <w:p w14:paraId="380DE593" w14:textId="0D10C5DC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Patienter med relativt høje initiale plasmaniveauer kan have autonom </w:t>
      </w:r>
      <w:proofErr w:type="spellStart"/>
      <w:r w:rsidRPr="00AD002D">
        <w:rPr>
          <w:sz w:val="24"/>
          <w:szCs w:val="24"/>
        </w:rPr>
        <w:t>hyperparathyreoidisme</w:t>
      </w:r>
      <w:proofErr w:type="spellEnd"/>
      <w:r w:rsidRPr="00AD002D">
        <w:rPr>
          <w:sz w:val="24"/>
          <w:szCs w:val="24"/>
        </w:rPr>
        <w:t xml:space="preserve">, som i mange tilfælde ikke responderer på </w:t>
      </w:r>
      <w:proofErr w:type="spellStart"/>
      <w:r w:rsidR="00703016">
        <w:rPr>
          <w:sz w:val="24"/>
          <w:szCs w:val="24"/>
        </w:rPr>
        <w:t>Alfacalcidol</w:t>
      </w:r>
      <w:proofErr w:type="spellEnd"/>
      <w:r w:rsidR="00703016">
        <w:rPr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z w:val="24"/>
          <w:szCs w:val="24"/>
        </w:rPr>
        <w:t>. Det kan være nødvendigt med andre terapeutiske tiltag.</w:t>
      </w:r>
    </w:p>
    <w:p w14:paraId="082D0F7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3B74AFB" w14:textId="61E478E3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Det bør overvejes at give fosfatbindende midler før og under behandlingen med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 for at forebygge </w:t>
      </w:r>
      <w:proofErr w:type="spellStart"/>
      <w:r w:rsidRPr="00AD002D">
        <w:rPr>
          <w:spacing w:val="-1"/>
          <w:sz w:val="24"/>
          <w:szCs w:val="24"/>
        </w:rPr>
        <w:t>hyperfosfatæmi</w:t>
      </w:r>
      <w:proofErr w:type="spellEnd"/>
      <w:r w:rsidRPr="00AD002D">
        <w:rPr>
          <w:spacing w:val="-1"/>
          <w:sz w:val="24"/>
          <w:szCs w:val="24"/>
        </w:rPr>
        <w:t xml:space="preserve">. Det er især vigtigt at foretage hyppige målinger af plasmacalcium hos patienter med kronisk nyresvigt, idet langvarig </w:t>
      </w:r>
      <w:proofErr w:type="spellStart"/>
      <w:r w:rsidRPr="00AD002D">
        <w:rPr>
          <w:spacing w:val="-1"/>
          <w:sz w:val="24"/>
          <w:szCs w:val="24"/>
        </w:rPr>
        <w:t>hypercalcæmi</w:t>
      </w:r>
      <w:proofErr w:type="spellEnd"/>
      <w:r w:rsidRPr="00AD002D">
        <w:rPr>
          <w:spacing w:val="-1"/>
          <w:sz w:val="24"/>
          <w:szCs w:val="24"/>
        </w:rPr>
        <w:t xml:space="preserve"> kan forværre nedsat nyrefunktion.</w:t>
      </w:r>
    </w:p>
    <w:p w14:paraId="69C4579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C616F4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(b) </w:t>
      </w:r>
      <w:proofErr w:type="spellStart"/>
      <w:r w:rsidRPr="00AD002D">
        <w:rPr>
          <w:spacing w:val="1"/>
          <w:sz w:val="24"/>
          <w:szCs w:val="24"/>
          <w:u w:val="single"/>
        </w:rPr>
        <w:t>Hyperparathyreoidisme</w:t>
      </w:r>
      <w:proofErr w:type="spellEnd"/>
    </w:p>
    <w:p w14:paraId="30F804AA" w14:textId="7847BE6C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4"/>
          <w:sz w:val="24"/>
          <w:szCs w:val="24"/>
        </w:rPr>
        <w:t xml:space="preserve">Hos patienter med primær eller tertiær </w:t>
      </w:r>
      <w:proofErr w:type="spellStart"/>
      <w:r w:rsidRPr="00AD002D">
        <w:rPr>
          <w:spacing w:val="-4"/>
          <w:sz w:val="24"/>
          <w:szCs w:val="24"/>
        </w:rPr>
        <w:t>hyperparathyreoidisme</w:t>
      </w:r>
      <w:proofErr w:type="spellEnd"/>
      <w:r w:rsidRPr="00AD002D">
        <w:rPr>
          <w:spacing w:val="-4"/>
          <w:sz w:val="24"/>
          <w:szCs w:val="24"/>
        </w:rPr>
        <w:t xml:space="preserve">, der skal have foretaget </w:t>
      </w:r>
      <w:proofErr w:type="spellStart"/>
      <w:r w:rsidRPr="00AD002D">
        <w:rPr>
          <w:spacing w:val="-4"/>
          <w:sz w:val="24"/>
          <w:szCs w:val="24"/>
        </w:rPr>
        <w:t>parathyreoidektomi</w:t>
      </w:r>
      <w:proofErr w:type="spellEnd"/>
      <w:r w:rsidRPr="00AD002D">
        <w:rPr>
          <w:spacing w:val="-4"/>
          <w:sz w:val="24"/>
          <w:szCs w:val="24"/>
        </w:rPr>
        <w:t xml:space="preserve">, giver præoperativ behandling med </w:t>
      </w:r>
      <w:proofErr w:type="spellStart"/>
      <w:r w:rsidR="00703016">
        <w:rPr>
          <w:spacing w:val="-4"/>
          <w:sz w:val="24"/>
          <w:szCs w:val="24"/>
        </w:rPr>
        <w:t>Alfacalcidol</w:t>
      </w:r>
      <w:proofErr w:type="spellEnd"/>
      <w:r w:rsidR="00703016">
        <w:rPr>
          <w:spacing w:val="-4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4"/>
          <w:sz w:val="24"/>
          <w:szCs w:val="24"/>
        </w:rPr>
        <w:t xml:space="preserve"> i 2-3 uger lindring af knoglesmerter og </w:t>
      </w:r>
      <w:proofErr w:type="spellStart"/>
      <w:r w:rsidRPr="00AD002D">
        <w:rPr>
          <w:spacing w:val="-4"/>
          <w:sz w:val="24"/>
          <w:szCs w:val="24"/>
        </w:rPr>
        <w:t>myopati</w:t>
      </w:r>
      <w:proofErr w:type="spellEnd"/>
      <w:r w:rsidRPr="00AD002D">
        <w:rPr>
          <w:spacing w:val="-4"/>
          <w:sz w:val="24"/>
          <w:szCs w:val="24"/>
        </w:rPr>
        <w:t xml:space="preserve"> uden at forværre præoperativ </w:t>
      </w:r>
      <w:proofErr w:type="spellStart"/>
      <w:r w:rsidRPr="00AD002D">
        <w:rPr>
          <w:spacing w:val="-4"/>
          <w:sz w:val="24"/>
          <w:szCs w:val="24"/>
        </w:rPr>
        <w:t>hypercalcæmi</w:t>
      </w:r>
      <w:proofErr w:type="spellEnd"/>
      <w:r w:rsidRPr="00AD002D">
        <w:rPr>
          <w:spacing w:val="-4"/>
          <w:sz w:val="24"/>
          <w:szCs w:val="24"/>
        </w:rPr>
        <w:t xml:space="preserve">. For at reducere postoperativ </w:t>
      </w:r>
      <w:proofErr w:type="spellStart"/>
      <w:r w:rsidRPr="00AD002D">
        <w:rPr>
          <w:spacing w:val="-4"/>
          <w:sz w:val="24"/>
          <w:szCs w:val="24"/>
        </w:rPr>
        <w:t>hypocalcæmi</w:t>
      </w:r>
      <w:proofErr w:type="spellEnd"/>
      <w:r w:rsidRPr="00AD002D">
        <w:rPr>
          <w:spacing w:val="-4"/>
          <w:sz w:val="24"/>
          <w:szCs w:val="24"/>
        </w:rPr>
        <w:t xml:space="preserve"> bør </w:t>
      </w:r>
      <w:proofErr w:type="spellStart"/>
      <w:r w:rsidR="00703016">
        <w:rPr>
          <w:spacing w:val="-4"/>
          <w:sz w:val="24"/>
          <w:szCs w:val="24"/>
        </w:rPr>
        <w:t>Alfacalcidol</w:t>
      </w:r>
      <w:proofErr w:type="spellEnd"/>
      <w:r w:rsidR="00703016">
        <w:rPr>
          <w:spacing w:val="-4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4"/>
          <w:sz w:val="24"/>
          <w:szCs w:val="24"/>
        </w:rPr>
        <w:t xml:space="preserve"> seponeres, indtil plasmaniveauerne af basisk fosfatase falder til normalniveauet, eller indtil </w:t>
      </w:r>
      <w:proofErr w:type="spellStart"/>
      <w:r w:rsidRPr="00AD002D">
        <w:rPr>
          <w:spacing w:val="-4"/>
          <w:sz w:val="24"/>
          <w:szCs w:val="24"/>
        </w:rPr>
        <w:t>hypercalcæmi</w:t>
      </w:r>
      <w:proofErr w:type="spellEnd"/>
      <w:r w:rsidRPr="00AD002D">
        <w:rPr>
          <w:spacing w:val="-4"/>
          <w:sz w:val="24"/>
          <w:szCs w:val="24"/>
        </w:rPr>
        <w:t xml:space="preserve"> indtræder.</w:t>
      </w:r>
    </w:p>
    <w:p w14:paraId="35D7B4D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F426A9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c) </w:t>
      </w:r>
      <w:proofErr w:type="spellStart"/>
      <w:r w:rsidRPr="00AD002D">
        <w:rPr>
          <w:spacing w:val="1"/>
          <w:sz w:val="24"/>
          <w:szCs w:val="24"/>
          <w:u w:val="single"/>
        </w:rPr>
        <w:t>Hypoparathyreoidisme</w:t>
      </w:r>
      <w:proofErr w:type="spellEnd"/>
    </w:p>
    <w:p w14:paraId="21FFD057" w14:textId="5E657363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4"/>
          <w:sz w:val="24"/>
          <w:szCs w:val="24"/>
        </w:rPr>
        <w:t xml:space="preserve">I modsætning til responset på moderstoffet af vitamin D bliver lave plasmacalciumniveauer </w:t>
      </w:r>
      <w:r w:rsidRPr="00AD002D">
        <w:rPr>
          <w:spacing w:val="1"/>
          <w:sz w:val="24"/>
          <w:szCs w:val="24"/>
        </w:rPr>
        <w:t xml:space="preserve">genoprettet til normalniveauet relativt hurtigt med </w:t>
      </w:r>
      <w:proofErr w:type="spellStart"/>
      <w:r w:rsidR="00703016">
        <w:rPr>
          <w:spacing w:val="1"/>
          <w:sz w:val="24"/>
          <w:szCs w:val="24"/>
        </w:rPr>
        <w:t>Alfacalcidol</w:t>
      </w:r>
      <w:proofErr w:type="spellEnd"/>
      <w:r w:rsidR="00703016">
        <w:rPr>
          <w:spacing w:val="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1"/>
          <w:sz w:val="24"/>
          <w:szCs w:val="24"/>
        </w:rPr>
        <w:t xml:space="preserve">. Svær </w:t>
      </w:r>
      <w:proofErr w:type="spellStart"/>
      <w:r w:rsidRPr="00AD002D">
        <w:rPr>
          <w:spacing w:val="1"/>
          <w:sz w:val="24"/>
          <w:szCs w:val="24"/>
        </w:rPr>
        <w:t>hypocalcæmi</w:t>
      </w:r>
      <w:proofErr w:type="spellEnd"/>
      <w:r w:rsidRPr="00AD002D">
        <w:rPr>
          <w:spacing w:val="1"/>
          <w:sz w:val="24"/>
          <w:szCs w:val="24"/>
        </w:rPr>
        <w:t xml:space="preserve"> korrigeres hurtigere med høje doser af </w:t>
      </w:r>
      <w:proofErr w:type="spellStart"/>
      <w:r w:rsidR="00703016">
        <w:rPr>
          <w:spacing w:val="1"/>
          <w:sz w:val="24"/>
          <w:szCs w:val="24"/>
        </w:rPr>
        <w:t>Alfacalcidol</w:t>
      </w:r>
      <w:proofErr w:type="spellEnd"/>
      <w:r w:rsidR="00703016">
        <w:rPr>
          <w:spacing w:val="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1"/>
          <w:sz w:val="24"/>
          <w:szCs w:val="24"/>
        </w:rPr>
        <w:t xml:space="preserve"> (f.eks. 3-5 mikrogram) sammen med calciumtilskud.</w:t>
      </w:r>
    </w:p>
    <w:p w14:paraId="6DE856E5" w14:textId="09ECADDF" w:rsidR="006651B2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7D6FEC1" w14:textId="77777777" w:rsidR="00174C74" w:rsidRPr="00AD002D" w:rsidRDefault="00174C74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055A7F5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d) Ernærings- og </w:t>
      </w:r>
      <w:proofErr w:type="spellStart"/>
      <w:r w:rsidRPr="00AD002D">
        <w:rPr>
          <w:spacing w:val="1"/>
          <w:sz w:val="24"/>
          <w:szCs w:val="24"/>
          <w:u w:val="single"/>
        </w:rPr>
        <w:t>malabsorptionsrelateret</w:t>
      </w:r>
      <w:proofErr w:type="spellEnd"/>
      <w:r w:rsidRPr="00AD002D">
        <w:rPr>
          <w:spacing w:val="1"/>
          <w:sz w:val="24"/>
          <w:szCs w:val="24"/>
          <w:u w:val="single"/>
        </w:rPr>
        <w:t xml:space="preserve"> rakitis og </w:t>
      </w:r>
      <w:proofErr w:type="spellStart"/>
      <w:r w:rsidRPr="00AD002D">
        <w:rPr>
          <w:spacing w:val="1"/>
          <w:sz w:val="24"/>
          <w:szCs w:val="24"/>
          <w:u w:val="single"/>
        </w:rPr>
        <w:t>osteomalaci</w:t>
      </w:r>
      <w:proofErr w:type="spellEnd"/>
    </w:p>
    <w:p w14:paraId="7BD4C31C" w14:textId="3607DB1E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lastRenderedPageBreak/>
        <w:t xml:space="preserve">Ernæringsrelateret rakitis og </w:t>
      </w:r>
      <w:proofErr w:type="spellStart"/>
      <w:r w:rsidRPr="00AD002D">
        <w:rPr>
          <w:spacing w:val="-1"/>
          <w:sz w:val="24"/>
          <w:szCs w:val="24"/>
        </w:rPr>
        <w:t>osteomalaci</w:t>
      </w:r>
      <w:proofErr w:type="spellEnd"/>
      <w:r w:rsidRPr="00AD002D">
        <w:rPr>
          <w:spacing w:val="-1"/>
          <w:sz w:val="24"/>
          <w:szCs w:val="24"/>
        </w:rPr>
        <w:t xml:space="preserve"> kan kureres hurtigt med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. </w:t>
      </w:r>
      <w:proofErr w:type="spellStart"/>
      <w:r w:rsidRPr="00AD002D">
        <w:rPr>
          <w:spacing w:val="-1"/>
          <w:sz w:val="24"/>
          <w:szCs w:val="24"/>
        </w:rPr>
        <w:t>Malabsorptionsrelateret</w:t>
      </w:r>
      <w:proofErr w:type="spellEnd"/>
      <w:r w:rsidRPr="00AD002D">
        <w:rPr>
          <w:spacing w:val="-1"/>
          <w:sz w:val="24"/>
          <w:szCs w:val="24"/>
        </w:rPr>
        <w:t xml:space="preserve"> </w:t>
      </w:r>
      <w:proofErr w:type="spellStart"/>
      <w:r w:rsidRPr="00AD002D">
        <w:rPr>
          <w:spacing w:val="-1"/>
          <w:sz w:val="24"/>
          <w:szCs w:val="24"/>
        </w:rPr>
        <w:t>osteomalaci</w:t>
      </w:r>
      <w:proofErr w:type="spellEnd"/>
      <w:r w:rsidRPr="00AD002D">
        <w:rPr>
          <w:spacing w:val="-1"/>
          <w:sz w:val="24"/>
          <w:szCs w:val="24"/>
        </w:rPr>
        <w:t xml:space="preserve"> (der responderer på høje intramuskulære eller intravenøse doser af moderstoffet af vitamin D) vil respondere på små doser af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2C4E0F7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9B34F1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-2"/>
          <w:sz w:val="24"/>
          <w:szCs w:val="24"/>
          <w:u w:val="single"/>
        </w:rPr>
        <w:t xml:space="preserve">e) Rakitis og </w:t>
      </w:r>
      <w:proofErr w:type="spellStart"/>
      <w:r w:rsidRPr="00AD002D">
        <w:rPr>
          <w:spacing w:val="-2"/>
          <w:sz w:val="24"/>
          <w:szCs w:val="24"/>
          <w:u w:val="single"/>
        </w:rPr>
        <w:t>osteomalaci</w:t>
      </w:r>
      <w:proofErr w:type="spellEnd"/>
      <w:r w:rsidRPr="00AD002D">
        <w:rPr>
          <w:spacing w:val="-2"/>
          <w:sz w:val="24"/>
          <w:szCs w:val="24"/>
          <w:u w:val="single"/>
        </w:rPr>
        <w:t xml:space="preserve"> på grund af pseudo-mangel (D-afhængig)</w:t>
      </w:r>
    </w:p>
    <w:p w14:paraId="7EED4A64" w14:textId="20A257DF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Selvom det ville være påkrævet med høje doser af moderstoffet af vitamin D, er de effektive doser af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 de samme som dem, der skal til for at helbrede rakitis og </w:t>
      </w:r>
      <w:proofErr w:type="spellStart"/>
      <w:r w:rsidRPr="00AD002D">
        <w:rPr>
          <w:spacing w:val="-1"/>
          <w:sz w:val="24"/>
          <w:szCs w:val="24"/>
        </w:rPr>
        <w:t>osteomalaci</w:t>
      </w:r>
      <w:proofErr w:type="spellEnd"/>
      <w:r w:rsidRPr="00AD002D">
        <w:rPr>
          <w:spacing w:val="-1"/>
          <w:sz w:val="24"/>
          <w:szCs w:val="24"/>
        </w:rPr>
        <w:t xml:space="preserve"> forårsaget af mangel på vitamin D i kosten.</w:t>
      </w:r>
    </w:p>
    <w:p w14:paraId="704BCAE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6B3BB0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f) </w:t>
      </w:r>
      <w:proofErr w:type="spellStart"/>
      <w:r w:rsidRPr="00AD002D">
        <w:rPr>
          <w:spacing w:val="1"/>
          <w:sz w:val="24"/>
          <w:szCs w:val="24"/>
          <w:u w:val="single"/>
        </w:rPr>
        <w:t>Hypofosfatæmisk</w:t>
      </w:r>
      <w:proofErr w:type="spellEnd"/>
      <w:r w:rsidRPr="00AD002D">
        <w:rPr>
          <w:spacing w:val="1"/>
          <w:sz w:val="24"/>
          <w:szCs w:val="24"/>
          <w:u w:val="single"/>
        </w:rPr>
        <w:t xml:space="preserve"> vitamin D-resistent rakitis og </w:t>
      </w:r>
      <w:proofErr w:type="spellStart"/>
      <w:r w:rsidRPr="00AD002D">
        <w:rPr>
          <w:spacing w:val="1"/>
          <w:sz w:val="24"/>
          <w:szCs w:val="24"/>
          <w:u w:val="single"/>
        </w:rPr>
        <w:t>osteomalaci</w:t>
      </w:r>
      <w:proofErr w:type="spellEnd"/>
    </w:p>
    <w:p w14:paraId="581B2E3F" w14:textId="3678BCE9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Hverken høje doser af moderstoffet af vitamin D eller fosfattilskud er fuldstændigt tilfredsstillende. Behandling med normale doser af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 lindrer hurtigt </w:t>
      </w:r>
      <w:proofErr w:type="spellStart"/>
      <w:r w:rsidRPr="00AD002D">
        <w:rPr>
          <w:spacing w:val="-1"/>
          <w:sz w:val="24"/>
          <w:szCs w:val="24"/>
        </w:rPr>
        <w:t>myopati</w:t>
      </w:r>
      <w:proofErr w:type="spellEnd"/>
      <w:r w:rsidRPr="00AD002D">
        <w:rPr>
          <w:spacing w:val="-1"/>
          <w:sz w:val="24"/>
          <w:szCs w:val="24"/>
        </w:rPr>
        <w:t>, når det er til stede, og øger calcium- og fosfatretention. Det kan også være nødvendigt med fosfattilskud hos visse patienter.</w:t>
      </w:r>
    </w:p>
    <w:p w14:paraId="25CA08E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52C4032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Administration</w:t>
      </w:r>
    </w:p>
    <w:p w14:paraId="44B986F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Oral.</w:t>
      </w:r>
    </w:p>
    <w:p w14:paraId="1C7CB55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De bløde kapsler skal sluges hele med tilstrækkelig mængde væske</w:t>
      </w:r>
    </w:p>
    <w:p w14:paraId="77456FC4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3DDDB601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4.3</w:t>
      </w:r>
      <w:r w:rsidRPr="00AD002D">
        <w:rPr>
          <w:b/>
          <w:sz w:val="24"/>
          <w:szCs w:val="24"/>
        </w:rPr>
        <w:tab/>
        <w:t>Kontraindikationer</w:t>
      </w:r>
    </w:p>
    <w:p w14:paraId="7D9C0B51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Overfølsomhed over for det aktive stof, </w:t>
      </w:r>
      <w:proofErr w:type="spellStart"/>
      <w:r w:rsidRPr="00AD002D">
        <w:rPr>
          <w:spacing w:val="-1"/>
          <w:sz w:val="24"/>
          <w:szCs w:val="24"/>
        </w:rPr>
        <w:t>arachidolie</w:t>
      </w:r>
      <w:proofErr w:type="spellEnd"/>
      <w:r w:rsidRPr="00AD002D">
        <w:rPr>
          <w:spacing w:val="-1"/>
          <w:sz w:val="24"/>
          <w:szCs w:val="24"/>
        </w:rPr>
        <w:t xml:space="preserve"> (jordnødolie), soja eller over for et eller flere af hjælpestofferne anført i pkt. 6.1.</w:t>
      </w:r>
    </w:p>
    <w:p w14:paraId="666B2327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jc w:val="both"/>
        <w:rPr>
          <w:sz w:val="24"/>
          <w:szCs w:val="24"/>
        </w:rPr>
      </w:pPr>
      <w:proofErr w:type="spellStart"/>
      <w:r w:rsidRPr="00AD002D">
        <w:rPr>
          <w:spacing w:val="-1"/>
          <w:sz w:val="24"/>
          <w:szCs w:val="24"/>
        </w:rPr>
        <w:t>H</w:t>
      </w:r>
      <w:r w:rsidRPr="00AD002D">
        <w:rPr>
          <w:spacing w:val="-2"/>
          <w:sz w:val="24"/>
          <w:szCs w:val="24"/>
        </w:rPr>
        <w:t>y</w:t>
      </w:r>
      <w:r w:rsidRPr="00AD002D">
        <w:rPr>
          <w:sz w:val="24"/>
          <w:szCs w:val="24"/>
        </w:rPr>
        <w:t>pe</w:t>
      </w:r>
      <w:r w:rsidRPr="00AD002D">
        <w:rPr>
          <w:spacing w:val="1"/>
          <w:sz w:val="24"/>
          <w:szCs w:val="24"/>
        </w:rPr>
        <w:t>r</w:t>
      </w:r>
      <w:r w:rsidRPr="00AD002D">
        <w:rPr>
          <w:sz w:val="24"/>
          <w:szCs w:val="24"/>
        </w:rPr>
        <w:t>ka</w:t>
      </w:r>
      <w:r w:rsidRPr="00AD002D">
        <w:rPr>
          <w:spacing w:val="1"/>
          <w:sz w:val="24"/>
          <w:szCs w:val="24"/>
        </w:rPr>
        <w:t>l</w:t>
      </w:r>
      <w:r w:rsidRPr="00AD002D">
        <w:rPr>
          <w:spacing w:val="-2"/>
          <w:sz w:val="24"/>
          <w:szCs w:val="24"/>
        </w:rPr>
        <w:t>c</w:t>
      </w:r>
      <w:r w:rsidRPr="00AD002D">
        <w:rPr>
          <w:spacing w:val="1"/>
          <w:sz w:val="24"/>
          <w:szCs w:val="24"/>
        </w:rPr>
        <w:t>æmi</w:t>
      </w:r>
      <w:proofErr w:type="spellEnd"/>
      <w:r w:rsidRPr="00AD002D">
        <w:rPr>
          <w:sz w:val="24"/>
          <w:szCs w:val="24"/>
        </w:rPr>
        <w:t xml:space="preserve">, metastatisk </w:t>
      </w:r>
      <w:proofErr w:type="spellStart"/>
      <w:r w:rsidRPr="00AD002D">
        <w:rPr>
          <w:sz w:val="24"/>
          <w:szCs w:val="24"/>
        </w:rPr>
        <w:t>kalcifikation</w:t>
      </w:r>
      <w:proofErr w:type="spellEnd"/>
      <w:r w:rsidRPr="00AD002D">
        <w:rPr>
          <w:sz w:val="24"/>
          <w:szCs w:val="24"/>
        </w:rPr>
        <w:t>.</w:t>
      </w:r>
    </w:p>
    <w:p w14:paraId="37306B68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7953F42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4.4</w:t>
      </w:r>
      <w:r w:rsidRPr="00AD002D">
        <w:rPr>
          <w:b/>
          <w:sz w:val="24"/>
          <w:szCs w:val="24"/>
        </w:rPr>
        <w:tab/>
        <w:t>Særlige advarsler og forsigtighedsregler vedrørende brugen</w:t>
      </w:r>
    </w:p>
    <w:p w14:paraId="13A8B5F3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4A58DF21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r w:rsidRPr="00AD002D">
        <w:rPr>
          <w:spacing w:val="-1"/>
          <w:sz w:val="24"/>
          <w:szCs w:val="24"/>
          <w:u w:val="single"/>
        </w:rPr>
        <w:t>Monitorering</w:t>
      </w:r>
    </w:p>
    <w:p w14:paraId="4E74C323" w14:textId="3C630B2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Serumcalcium- og serumfosfat og </w:t>
      </w:r>
      <w:proofErr w:type="spellStart"/>
      <w:r w:rsidRPr="00AD002D">
        <w:rPr>
          <w:spacing w:val="-1"/>
          <w:sz w:val="24"/>
          <w:szCs w:val="24"/>
        </w:rPr>
        <w:t>kreatininniveauer</w:t>
      </w:r>
      <w:proofErr w:type="spellEnd"/>
      <w:r w:rsidRPr="00AD002D">
        <w:rPr>
          <w:spacing w:val="-1"/>
          <w:sz w:val="24"/>
          <w:szCs w:val="24"/>
        </w:rPr>
        <w:t xml:space="preserve"> bør monitoreres regelmæssigt under behandlingen med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, især hos børn, patienter med nyreinsufficiens og patienter, der får høje doser. </w:t>
      </w:r>
      <w:r w:rsidRPr="00AD002D">
        <w:rPr>
          <w:spacing w:val="-2"/>
          <w:sz w:val="24"/>
          <w:szCs w:val="24"/>
        </w:rPr>
        <w:t xml:space="preserve">PTH, alkalisk </w:t>
      </w:r>
      <w:proofErr w:type="spellStart"/>
      <w:r w:rsidRPr="00AD002D">
        <w:rPr>
          <w:spacing w:val="-2"/>
          <w:sz w:val="24"/>
          <w:szCs w:val="24"/>
        </w:rPr>
        <w:t>phosphatase</w:t>
      </w:r>
      <w:proofErr w:type="spellEnd"/>
      <w:r w:rsidRPr="00AD002D">
        <w:rPr>
          <w:spacing w:val="-2"/>
          <w:sz w:val="24"/>
          <w:szCs w:val="24"/>
        </w:rPr>
        <w:t xml:space="preserve"> og calciumfosfater bør monitoreres som klinisk indiceret.</w:t>
      </w:r>
    </w:p>
    <w:p w14:paraId="706F00D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6D80EE6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i/>
          <w:spacing w:val="-1"/>
          <w:sz w:val="24"/>
          <w:szCs w:val="24"/>
        </w:rPr>
      </w:pPr>
      <w:proofErr w:type="spellStart"/>
      <w:r w:rsidRPr="00AD002D">
        <w:rPr>
          <w:i/>
          <w:spacing w:val="-1"/>
          <w:sz w:val="24"/>
          <w:szCs w:val="24"/>
        </w:rPr>
        <w:t>Hyperkalcæmi</w:t>
      </w:r>
      <w:proofErr w:type="spellEnd"/>
    </w:p>
    <w:p w14:paraId="06460630" w14:textId="74ECEDFB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Der kan opstå </w:t>
      </w:r>
      <w:proofErr w:type="spellStart"/>
      <w:r w:rsidRPr="00AD002D">
        <w:rPr>
          <w:spacing w:val="-1"/>
          <w:sz w:val="24"/>
          <w:szCs w:val="24"/>
        </w:rPr>
        <w:t>hypercalcæmi</w:t>
      </w:r>
      <w:proofErr w:type="spellEnd"/>
      <w:r w:rsidRPr="00AD002D">
        <w:rPr>
          <w:spacing w:val="-1"/>
          <w:sz w:val="24"/>
          <w:szCs w:val="24"/>
        </w:rPr>
        <w:t xml:space="preserve"> hos patienter i behandling med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. Patienter bør af denne årsag informeres om de kliniske symptomer, der er forbundet med </w:t>
      </w:r>
      <w:proofErr w:type="spellStart"/>
      <w:r w:rsidRPr="00AD002D">
        <w:rPr>
          <w:spacing w:val="-1"/>
          <w:sz w:val="24"/>
          <w:szCs w:val="24"/>
        </w:rPr>
        <w:t>hyperkalcæmi</w:t>
      </w:r>
      <w:proofErr w:type="spellEnd"/>
      <w:r w:rsidRPr="00AD002D">
        <w:rPr>
          <w:spacing w:val="-1"/>
          <w:sz w:val="24"/>
          <w:szCs w:val="24"/>
        </w:rPr>
        <w:t xml:space="preserve"> (</w:t>
      </w:r>
      <w:r w:rsidRPr="00AD002D">
        <w:rPr>
          <w:spacing w:val="3"/>
          <w:sz w:val="24"/>
          <w:szCs w:val="24"/>
        </w:rPr>
        <w:t>se pkt. 4.8).</w:t>
      </w:r>
    </w:p>
    <w:p w14:paraId="4768182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7F73A3A0" w14:textId="03A57B9F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I tilfælde af </w:t>
      </w:r>
      <w:proofErr w:type="spellStart"/>
      <w:r w:rsidRPr="00AD002D">
        <w:rPr>
          <w:spacing w:val="-1"/>
          <w:sz w:val="24"/>
          <w:szCs w:val="24"/>
        </w:rPr>
        <w:t>hypercalcæmi</w:t>
      </w:r>
      <w:proofErr w:type="spellEnd"/>
      <w:r w:rsidRPr="00AD002D">
        <w:rPr>
          <w:spacing w:val="-1"/>
          <w:sz w:val="24"/>
          <w:szCs w:val="24"/>
        </w:rPr>
        <w:t xml:space="preserve"> bør behandlingen med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 stoppes, indtil serumcalciumkoncentrationerne normaliseres, hvilket normalt varer omkring en uge. Herefter kan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 genoptages med halvdelen af den seneste anvendte dosis under monitorering af calciumniveauerne.</w:t>
      </w:r>
    </w:p>
    <w:p w14:paraId="12591CF3" w14:textId="1782992C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Længerevarende </w:t>
      </w:r>
      <w:proofErr w:type="spellStart"/>
      <w:r w:rsidRPr="00AD002D">
        <w:rPr>
          <w:spacing w:val="-1"/>
          <w:sz w:val="24"/>
          <w:szCs w:val="24"/>
        </w:rPr>
        <w:t>hyperkalcæmi</w:t>
      </w:r>
      <w:proofErr w:type="spellEnd"/>
      <w:r w:rsidRPr="00AD002D">
        <w:rPr>
          <w:spacing w:val="-1"/>
          <w:sz w:val="24"/>
          <w:szCs w:val="24"/>
        </w:rPr>
        <w:t xml:space="preserve"> kan forværre </w:t>
      </w:r>
      <w:proofErr w:type="spellStart"/>
      <w:r w:rsidRPr="00AD002D">
        <w:rPr>
          <w:spacing w:val="-1"/>
          <w:sz w:val="24"/>
          <w:szCs w:val="24"/>
        </w:rPr>
        <w:t>arteriosclerose</w:t>
      </w:r>
      <w:proofErr w:type="spellEnd"/>
      <w:r w:rsidRPr="00AD002D">
        <w:rPr>
          <w:spacing w:val="-1"/>
          <w:sz w:val="24"/>
          <w:szCs w:val="24"/>
        </w:rPr>
        <w:t xml:space="preserve">, </w:t>
      </w:r>
      <w:proofErr w:type="spellStart"/>
      <w:r w:rsidRPr="00AD002D">
        <w:rPr>
          <w:spacing w:val="-1"/>
          <w:sz w:val="24"/>
          <w:szCs w:val="24"/>
        </w:rPr>
        <w:t>sclerose</w:t>
      </w:r>
      <w:proofErr w:type="spellEnd"/>
      <w:r w:rsidRPr="00AD002D">
        <w:rPr>
          <w:spacing w:val="-1"/>
          <w:sz w:val="24"/>
          <w:szCs w:val="24"/>
        </w:rPr>
        <w:t xml:space="preserve"> i hjerteklapper og </w:t>
      </w:r>
      <w:proofErr w:type="spellStart"/>
      <w:r w:rsidRPr="00AD002D">
        <w:rPr>
          <w:spacing w:val="-1"/>
          <w:sz w:val="24"/>
          <w:szCs w:val="24"/>
        </w:rPr>
        <w:t>nefrolitiasis</w:t>
      </w:r>
      <w:proofErr w:type="spellEnd"/>
      <w:r w:rsidRPr="00AD002D">
        <w:rPr>
          <w:spacing w:val="-1"/>
          <w:sz w:val="24"/>
          <w:szCs w:val="24"/>
        </w:rPr>
        <w:t xml:space="preserve">, og derfor bør længerevarende </w:t>
      </w:r>
      <w:proofErr w:type="spellStart"/>
      <w:r w:rsidRPr="00AD002D">
        <w:rPr>
          <w:spacing w:val="-1"/>
          <w:sz w:val="24"/>
          <w:szCs w:val="24"/>
        </w:rPr>
        <w:t>hyperkalcæmi</w:t>
      </w:r>
      <w:proofErr w:type="spellEnd"/>
      <w:r w:rsidRPr="00AD002D">
        <w:rPr>
          <w:spacing w:val="-1"/>
          <w:sz w:val="24"/>
          <w:szCs w:val="24"/>
        </w:rPr>
        <w:t xml:space="preserve"> undgås under behandling af disse patienter med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. Der er observeret forbigående eller tilmed langvarig forværring af nyrefunktionen.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 bør også anvendes med forsigtighed hos patienter, der har </w:t>
      </w:r>
      <w:proofErr w:type="spellStart"/>
      <w:r w:rsidRPr="00AD002D">
        <w:rPr>
          <w:spacing w:val="-1"/>
          <w:sz w:val="24"/>
          <w:szCs w:val="24"/>
        </w:rPr>
        <w:t>kalcifikation</w:t>
      </w:r>
      <w:proofErr w:type="spellEnd"/>
      <w:r w:rsidRPr="00AD002D">
        <w:rPr>
          <w:spacing w:val="-1"/>
          <w:sz w:val="24"/>
          <w:szCs w:val="24"/>
        </w:rPr>
        <w:t xml:space="preserve"> af lungevæv, da det kan føre til hjertesygdomme.</w:t>
      </w:r>
    </w:p>
    <w:p w14:paraId="7FB8586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</w:p>
    <w:p w14:paraId="5E25A97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i/>
          <w:spacing w:val="-1"/>
          <w:sz w:val="24"/>
          <w:szCs w:val="24"/>
        </w:rPr>
      </w:pPr>
      <w:r w:rsidRPr="00AD002D">
        <w:rPr>
          <w:i/>
          <w:spacing w:val="-1"/>
          <w:sz w:val="24"/>
          <w:szCs w:val="24"/>
        </w:rPr>
        <w:t>Nyrer</w:t>
      </w:r>
    </w:p>
    <w:p w14:paraId="65E2052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Der kan anvendes et fosfatbindende middel sammen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hos patienter med </w:t>
      </w:r>
      <w:proofErr w:type="spellStart"/>
      <w:r w:rsidRPr="00AD002D">
        <w:rPr>
          <w:spacing w:val="-1"/>
          <w:sz w:val="24"/>
          <w:szCs w:val="24"/>
        </w:rPr>
        <w:t>renal</w:t>
      </w:r>
      <w:proofErr w:type="spellEnd"/>
      <w:r w:rsidRPr="00AD002D">
        <w:rPr>
          <w:spacing w:val="-1"/>
          <w:sz w:val="24"/>
          <w:szCs w:val="24"/>
        </w:rPr>
        <w:t xml:space="preserve"> knoglesygdom eller svær nyreinsufficiens for at forhindre forøget serumfosfat og </w:t>
      </w:r>
      <w:r w:rsidRPr="00AD002D">
        <w:rPr>
          <w:spacing w:val="-1"/>
          <w:sz w:val="24"/>
          <w:szCs w:val="24"/>
        </w:rPr>
        <w:lastRenderedPageBreak/>
        <w:t xml:space="preserve">risiko for metastatisk </w:t>
      </w:r>
      <w:proofErr w:type="spellStart"/>
      <w:r w:rsidRPr="00AD002D">
        <w:rPr>
          <w:spacing w:val="-1"/>
          <w:sz w:val="24"/>
          <w:szCs w:val="24"/>
        </w:rPr>
        <w:t>kalcifikation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2AEB9BD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</w:p>
    <w:p w14:paraId="2BC6E45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i/>
          <w:spacing w:val="-1"/>
          <w:sz w:val="24"/>
          <w:szCs w:val="24"/>
        </w:rPr>
      </w:pPr>
      <w:proofErr w:type="spellStart"/>
      <w:r w:rsidRPr="00AD002D">
        <w:rPr>
          <w:i/>
          <w:spacing w:val="-1"/>
          <w:sz w:val="24"/>
          <w:szCs w:val="24"/>
        </w:rPr>
        <w:t>Granulomatøse</w:t>
      </w:r>
      <w:proofErr w:type="spellEnd"/>
      <w:r w:rsidRPr="00AD002D">
        <w:rPr>
          <w:i/>
          <w:spacing w:val="-1"/>
          <w:sz w:val="24"/>
          <w:szCs w:val="24"/>
        </w:rPr>
        <w:t xml:space="preserve"> sygdomme</w:t>
      </w:r>
    </w:p>
    <w:p w14:paraId="5F35B9E1" w14:textId="77777777" w:rsidR="00EB6BA8" w:rsidRDefault="00703016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Alfacalcidol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 w:rsidR="00EB6BA8">
        <w:rPr>
          <w:sz w:val="24"/>
          <w:szCs w:val="24"/>
        </w:rPr>
        <w:t>Cande</w:t>
      </w:r>
      <w:proofErr w:type="spellEnd"/>
    </w:p>
    <w:p w14:paraId="0833D2C1" w14:textId="6A51CD16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 skal anvendes med forsigtighed hos patienter med </w:t>
      </w:r>
      <w:proofErr w:type="spellStart"/>
      <w:r w:rsidRPr="00AD002D">
        <w:rPr>
          <w:spacing w:val="-1"/>
          <w:sz w:val="24"/>
          <w:szCs w:val="24"/>
        </w:rPr>
        <w:t>granulomatøse</w:t>
      </w:r>
      <w:proofErr w:type="spellEnd"/>
      <w:r w:rsidRPr="00AD002D">
        <w:rPr>
          <w:spacing w:val="-1"/>
          <w:sz w:val="24"/>
          <w:szCs w:val="24"/>
        </w:rPr>
        <w:t xml:space="preserve"> sygdomme, som f.eks. </w:t>
      </w:r>
      <w:proofErr w:type="spellStart"/>
      <w:r w:rsidRPr="00AD002D">
        <w:rPr>
          <w:spacing w:val="-1"/>
          <w:sz w:val="24"/>
          <w:szCs w:val="24"/>
        </w:rPr>
        <w:t>sarcoidose</w:t>
      </w:r>
      <w:proofErr w:type="spellEnd"/>
      <w:r w:rsidRPr="00AD002D">
        <w:rPr>
          <w:spacing w:val="-1"/>
          <w:sz w:val="24"/>
          <w:szCs w:val="24"/>
        </w:rPr>
        <w:t xml:space="preserve">, hvor sensitiviteten over for D-vitamin er forøget på grund af forøget </w:t>
      </w:r>
      <w:proofErr w:type="spellStart"/>
      <w:r w:rsidRPr="00AD002D">
        <w:rPr>
          <w:spacing w:val="-1"/>
          <w:sz w:val="24"/>
          <w:szCs w:val="24"/>
        </w:rPr>
        <w:t>hydroxyleringsaktivitet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4728D91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i/>
          <w:spacing w:val="-1"/>
          <w:sz w:val="24"/>
          <w:szCs w:val="24"/>
        </w:rPr>
      </w:pPr>
    </w:p>
    <w:p w14:paraId="051DB3FC" w14:textId="77777777" w:rsidR="00B52D80" w:rsidRPr="00AD002D" w:rsidRDefault="00B52D80" w:rsidP="00B52D80">
      <w:pPr>
        <w:widowControl w:val="0"/>
        <w:autoSpaceDE w:val="0"/>
        <w:autoSpaceDN w:val="0"/>
        <w:adjustRightInd w:val="0"/>
        <w:spacing w:before="1"/>
        <w:ind w:left="851" w:right="-1"/>
        <w:rPr>
          <w:sz w:val="24"/>
          <w:szCs w:val="24"/>
        </w:rPr>
      </w:pPr>
      <w:proofErr w:type="spellStart"/>
      <w:r w:rsidRPr="00AD002D">
        <w:rPr>
          <w:i/>
          <w:spacing w:val="-1"/>
          <w:sz w:val="24"/>
          <w:szCs w:val="24"/>
        </w:rPr>
        <w:t>Fructoseintolerans</w:t>
      </w:r>
      <w:proofErr w:type="spellEnd"/>
    </w:p>
    <w:p w14:paraId="5F8E6F7C" w14:textId="01372AB3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Dette lægemiddel indeholder sorbitol som hjælpestof, og patienter med sjældne arvelige problemer med </w:t>
      </w:r>
      <w:proofErr w:type="spellStart"/>
      <w:r w:rsidRPr="00AD002D">
        <w:rPr>
          <w:sz w:val="24"/>
          <w:szCs w:val="24"/>
        </w:rPr>
        <w:t>fru</w:t>
      </w:r>
      <w:r w:rsidR="00AD002D" w:rsidRPr="00AD002D">
        <w:rPr>
          <w:sz w:val="24"/>
          <w:szCs w:val="24"/>
        </w:rPr>
        <w:t>c</w:t>
      </w:r>
      <w:r w:rsidRPr="00AD002D">
        <w:rPr>
          <w:sz w:val="24"/>
          <w:szCs w:val="24"/>
        </w:rPr>
        <w:t>toseintolerans</w:t>
      </w:r>
      <w:proofErr w:type="spellEnd"/>
      <w:r w:rsidRPr="00AD002D">
        <w:rPr>
          <w:sz w:val="24"/>
          <w:szCs w:val="24"/>
        </w:rPr>
        <w:t xml:space="preserve"> (HFI) bør ikke tage dette lægemiddel.</w:t>
      </w:r>
    </w:p>
    <w:p w14:paraId="7657D6F0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2DDAECC" w14:textId="3C6DCAC0" w:rsidR="00B52D80" w:rsidRPr="00AD002D" w:rsidRDefault="00B52D80" w:rsidP="00B52D80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Dette lægemiddel indeholder 1 mg alkohol (</w:t>
      </w:r>
      <w:proofErr w:type="spellStart"/>
      <w:r w:rsidRPr="00AD002D">
        <w:rPr>
          <w:sz w:val="24"/>
          <w:szCs w:val="24"/>
        </w:rPr>
        <w:t>ethanol</w:t>
      </w:r>
      <w:proofErr w:type="spellEnd"/>
      <w:r w:rsidRPr="00AD002D">
        <w:rPr>
          <w:sz w:val="24"/>
          <w:szCs w:val="24"/>
        </w:rPr>
        <w:t>) pr. blød kapsel, svarende til 1</w:t>
      </w:r>
      <w:r w:rsidR="00AD002D" w:rsidRPr="00AD002D">
        <w:rPr>
          <w:sz w:val="24"/>
          <w:szCs w:val="24"/>
        </w:rPr>
        <w:t xml:space="preserve"> </w:t>
      </w:r>
      <w:r w:rsidRPr="00AD002D">
        <w:rPr>
          <w:sz w:val="24"/>
          <w:szCs w:val="24"/>
        </w:rPr>
        <w:t>% (w/w). Mængden af alkohol (</w:t>
      </w:r>
      <w:proofErr w:type="spellStart"/>
      <w:r w:rsidRPr="00AD002D">
        <w:rPr>
          <w:sz w:val="24"/>
          <w:szCs w:val="24"/>
        </w:rPr>
        <w:t>ethanol</w:t>
      </w:r>
      <w:proofErr w:type="spellEnd"/>
      <w:r w:rsidRPr="00AD002D">
        <w:rPr>
          <w:sz w:val="24"/>
          <w:szCs w:val="24"/>
        </w:rPr>
        <w:t>) i en blød kapsel af dette lægemiddel svarer til mindre end 1 ml øl eller 1 ml vin. Den lille mængde alkohol i dette lægemiddel har ingen mærkbare virkninger.</w:t>
      </w:r>
    </w:p>
    <w:p w14:paraId="463D45E2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37AEBE9A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4.5</w:t>
      </w:r>
      <w:r w:rsidRPr="00AD002D">
        <w:rPr>
          <w:b/>
          <w:sz w:val="24"/>
          <w:szCs w:val="24"/>
        </w:rPr>
        <w:tab/>
        <w:t>Interaktion med andre lægemidler og andre former for interaktion</w:t>
      </w:r>
    </w:p>
    <w:p w14:paraId="45D2E91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</w:p>
    <w:p w14:paraId="47442A2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Digitalisglykosider</w:t>
      </w:r>
    </w:p>
    <w:p w14:paraId="1D13345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Hvis der anvendes digitalisglykosider ved samtidig forekomst af </w:t>
      </w:r>
      <w:proofErr w:type="spellStart"/>
      <w:r w:rsidRPr="00AD002D">
        <w:rPr>
          <w:sz w:val="24"/>
          <w:szCs w:val="24"/>
        </w:rPr>
        <w:t>hyperkalcæmi</w:t>
      </w:r>
      <w:proofErr w:type="spellEnd"/>
      <w:r w:rsidRPr="00AD002D">
        <w:rPr>
          <w:sz w:val="24"/>
          <w:szCs w:val="24"/>
        </w:rPr>
        <w:t xml:space="preserve">, der skyldes administration af D-vitamin, øges risikoen for </w:t>
      </w:r>
      <w:proofErr w:type="spellStart"/>
      <w:r w:rsidRPr="00AD002D">
        <w:rPr>
          <w:sz w:val="24"/>
          <w:szCs w:val="24"/>
        </w:rPr>
        <w:t>hjertearytmier</w:t>
      </w:r>
      <w:proofErr w:type="spellEnd"/>
      <w:r w:rsidRPr="00AD002D">
        <w:rPr>
          <w:sz w:val="24"/>
          <w:szCs w:val="24"/>
        </w:rPr>
        <w:t xml:space="preserve"> og er derfor kontraindiceret. </w:t>
      </w:r>
    </w:p>
    <w:p w14:paraId="04CB398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Patienter, der tager digitalis og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samtidigt, bør monitoreres hyppigt med EKG og måling af plasmaniveau af digitalisglykosider og calcium.</w:t>
      </w:r>
    </w:p>
    <w:p w14:paraId="036AE70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372DE277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pacing w:val="-1"/>
          <w:sz w:val="24"/>
          <w:szCs w:val="24"/>
        </w:rPr>
        <w:t>Thiaziddiuretika</w:t>
      </w:r>
      <w:proofErr w:type="spellEnd"/>
      <w:r w:rsidRPr="00AD002D">
        <w:rPr>
          <w:sz w:val="24"/>
          <w:szCs w:val="24"/>
          <w:u w:val="single"/>
        </w:rPr>
        <w:t xml:space="preserve"> og calciumholdige præparater </w:t>
      </w:r>
    </w:p>
    <w:p w14:paraId="7655D0C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Anvendes med forsigtighed hos patienter i behandling med </w:t>
      </w:r>
      <w:proofErr w:type="spellStart"/>
      <w:r w:rsidRPr="00AD002D">
        <w:rPr>
          <w:spacing w:val="-1"/>
          <w:sz w:val="24"/>
          <w:szCs w:val="24"/>
        </w:rPr>
        <w:t>thiaziddiuretika</w:t>
      </w:r>
      <w:proofErr w:type="spellEnd"/>
      <w:r w:rsidRPr="00AD002D">
        <w:rPr>
          <w:spacing w:val="-1"/>
          <w:sz w:val="24"/>
          <w:szCs w:val="24"/>
        </w:rPr>
        <w:t xml:space="preserve"> eller calciumholdige præparater, da de kan have en øget risiko for at udvikle </w:t>
      </w:r>
      <w:proofErr w:type="spellStart"/>
      <w:r w:rsidRPr="00AD002D">
        <w:rPr>
          <w:spacing w:val="-1"/>
          <w:sz w:val="24"/>
          <w:szCs w:val="24"/>
        </w:rPr>
        <w:t>hypercalcæmi</w:t>
      </w:r>
      <w:proofErr w:type="spellEnd"/>
      <w:r w:rsidRPr="00AD002D">
        <w:rPr>
          <w:spacing w:val="-1"/>
          <w:sz w:val="24"/>
          <w:szCs w:val="24"/>
        </w:rPr>
        <w:t xml:space="preserve">. Calciumniveauerne bør monitoreres. </w:t>
      </w:r>
    </w:p>
    <w:p w14:paraId="55379BE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16450D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Andre vitamin D-</w:t>
      </w:r>
      <w:proofErr w:type="spellStart"/>
      <w:r w:rsidRPr="00AD002D">
        <w:rPr>
          <w:sz w:val="24"/>
          <w:szCs w:val="24"/>
          <w:u w:val="single"/>
        </w:rPr>
        <w:t>holdige</w:t>
      </w:r>
      <w:proofErr w:type="spellEnd"/>
      <w:r w:rsidRPr="00AD002D">
        <w:rPr>
          <w:sz w:val="24"/>
          <w:szCs w:val="24"/>
          <w:u w:val="single"/>
        </w:rPr>
        <w:t xml:space="preserve"> præparationer</w:t>
      </w:r>
    </w:p>
    <w:p w14:paraId="107D5DB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Vitamin D eller dets </w:t>
      </w:r>
      <w:proofErr w:type="spellStart"/>
      <w:r w:rsidRPr="00AD002D">
        <w:rPr>
          <w:sz w:val="24"/>
          <w:szCs w:val="24"/>
        </w:rPr>
        <w:t>analoger</w:t>
      </w:r>
      <w:proofErr w:type="spellEnd"/>
      <w:r w:rsidRPr="00AD002D">
        <w:rPr>
          <w:sz w:val="24"/>
          <w:szCs w:val="24"/>
        </w:rPr>
        <w:t xml:space="preserve"> må ikke gives samtidigt med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, da det kan øge risikoen for </w:t>
      </w:r>
      <w:proofErr w:type="spellStart"/>
      <w:r w:rsidRPr="00AD002D">
        <w:rPr>
          <w:sz w:val="24"/>
          <w:szCs w:val="24"/>
        </w:rPr>
        <w:t>h</w:t>
      </w:r>
      <w:r w:rsidRPr="00AD002D">
        <w:rPr>
          <w:spacing w:val="-2"/>
          <w:sz w:val="24"/>
          <w:szCs w:val="24"/>
        </w:rPr>
        <w:t>y</w:t>
      </w:r>
      <w:r w:rsidRPr="00AD002D">
        <w:rPr>
          <w:sz w:val="24"/>
          <w:szCs w:val="24"/>
        </w:rPr>
        <w:t>pe</w:t>
      </w:r>
      <w:r w:rsidRPr="00AD002D">
        <w:rPr>
          <w:spacing w:val="1"/>
          <w:sz w:val="24"/>
          <w:szCs w:val="24"/>
        </w:rPr>
        <w:t>r</w:t>
      </w:r>
      <w:r w:rsidRPr="00AD002D">
        <w:rPr>
          <w:sz w:val="24"/>
          <w:szCs w:val="24"/>
        </w:rPr>
        <w:t>ka</w:t>
      </w:r>
      <w:r w:rsidRPr="00AD002D">
        <w:rPr>
          <w:spacing w:val="1"/>
          <w:sz w:val="24"/>
          <w:szCs w:val="24"/>
        </w:rPr>
        <w:t>l</w:t>
      </w:r>
      <w:r w:rsidRPr="00AD002D">
        <w:rPr>
          <w:sz w:val="24"/>
          <w:szCs w:val="24"/>
        </w:rPr>
        <w:t>c</w:t>
      </w:r>
      <w:r w:rsidRPr="00AD002D">
        <w:rPr>
          <w:spacing w:val="-2"/>
          <w:sz w:val="24"/>
          <w:szCs w:val="24"/>
        </w:rPr>
        <w:t>æmi</w:t>
      </w:r>
      <w:proofErr w:type="spellEnd"/>
      <w:r w:rsidRPr="00AD002D">
        <w:rPr>
          <w:sz w:val="24"/>
          <w:szCs w:val="24"/>
        </w:rPr>
        <w:t>.</w:t>
      </w:r>
    </w:p>
    <w:p w14:paraId="3480C54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B1D8E3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proofErr w:type="spellStart"/>
      <w:r w:rsidRPr="00AD002D">
        <w:rPr>
          <w:sz w:val="24"/>
          <w:szCs w:val="24"/>
          <w:u w:val="single"/>
        </w:rPr>
        <w:t>Antikonvulsiver</w:t>
      </w:r>
      <w:proofErr w:type="spellEnd"/>
    </w:p>
    <w:p w14:paraId="47E67248" w14:textId="5783485D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Pa</w:t>
      </w:r>
      <w:r w:rsidRPr="00AD002D">
        <w:rPr>
          <w:spacing w:val="1"/>
          <w:sz w:val="24"/>
          <w:szCs w:val="24"/>
        </w:rPr>
        <w:t>t</w:t>
      </w:r>
      <w:r w:rsidRPr="00AD002D">
        <w:rPr>
          <w:spacing w:val="-1"/>
          <w:sz w:val="24"/>
          <w:szCs w:val="24"/>
        </w:rPr>
        <w:t>i</w:t>
      </w:r>
      <w:r w:rsidRPr="00AD002D">
        <w:rPr>
          <w:sz w:val="24"/>
          <w:szCs w:val="24"/>
        </w:rPr>
        <w:t>en</w:t>
      </w:r>
      <w:r w:rsidRPr="00AD002D">
        <w:rPr>
          <w:spacing w:val="-1"/>
          <w:sz w:val="24"/>
          <w:szCs w:val="24"/>
        </w:rPr>
        <w:t>t</w:t>
      </w:r>
      <w:r w:rsidRPr="00AD002D">
        <w:rPr>
          <w:sz w:val="24"/>
          <w:szCs w:val="24"/>
        </w:rPr>
        <w:t xml:space="preserve">er, der </w:t>
      </w:r>
      <w:r w:rsidRPr="00AD002D">
        <w:rPr>
          <w:spacing w:val="1"/>
          <w:sz w:val="24"/>
          <w:szCs w:val="24"/>
        </w:rPr>
        <w:t>t</w:t>
      </w:r>
      <w:r w:rsidRPr="00AD002D">
        <w:rPr>
          <w:sz w:val="24"/>
          <w:szCs w:val="24"/>
        </w:rPr>
        <w:t>a</w:t>
      </w:r>
      <w:r w:rsidRPr="00AD002D">
        <w:rPr>
          <w:spacing w:val="-2"/>
          <w:sz w:val="24"/>
          <w:szCs w:val="24"/>
        </w:rPr>
        <w:t>ger</w:t>
      </w:r>
      <w:r w:rsidRPr="00AD002D">
        <w:rPr>
          <w:sz w:val="24"/>
          <w:szCs w:val="24"/>
        </w:rPr>
        <w:t xml:space="preserve"> barbiturater eller </w:t>
      </w:r>
      <w:proofErr w:type="spellStart"/>
      <w:r w:rsidRPr="00AD002D">
        <w:rPr>
          <w:spacing w:val="-2"/>
          <w:sz w:val="24"/>
          <w:szCs w:val="24"/>
        </w:rPr>
        <w:t>a</w:t>
      </w:r>
      <w:r w:rsidRPr="00AD002D">
        <w:rPr>
          <w:sz w:val="24"/>
          <w:szCs w:val="24"/>
        </w:rPr>
        <w:t>n</w:t>
      </w:r>
      <w:r w:rsidRPr="00AD002D">
        <w:rPr>
          <w:spacing w:val="-1"/>
          <w:sz w:val="24"/>
          <w:szCs w:val="24"/>
        </w:rPr>
        <w:t>t</w:t>
      </w:r>
      <w:r w:rsidRPr="00AD002D">
        <w:rPr>
          <w:spacing w:val="1"/>
          <w:sz w:val="24"/>
          <w:szCs w:val="24"/>
        </w:rPr>
        <w:t>i</w:t>
      </w:r>
      <w:r w:rsidRPr="00AD002D">
        <w:rPr>
          <w:sz w:val="24"/>
          <w:szCs w:val="24"/>
        </w:rPr>
        <w:t>kon</w:t>
      </w:r>
      <w:r w:rsidRPr="00AD002D">
        <w:rPr>
          <w:spacing w:val="-2"/>
          <w:sz w:val="24"/>
          <w:szCs w:val="24"/>
        </w:rPr>
        <w:t>v</w:t>
      </w:r>
      <w:r w:rsidRPr="00AD002D">
        <w:rPr>
          <w:sz w:val="24"/>
          <w:szCs w:val="24"/>
        </w:rPr>
        <w:t>u</w:t>
      </w:r>
      <w:r w:rsidRPr="00AD002D">
        <w:rPr>
          <w:spacing w:val="1"/>
          <w:sz w:val="24"/>
          <w:szCs w:val="24"/>
        </w:rPr>
        <w:t>l</w:t>
      </w:r>
      <w:r w:rsidRPr="00AD002D">
        <w:rPr>
          <w:spacing w:val="-2"/>
          <w:sz w:val="24"/>
          <w:szCs w:val="24"/>
        </w:rPr>
        <w:t>siver</w:t>
      </w:r>
      <w:proofErr w:type="spellEnd"/>
      <w:r w:rsidRPr="00AD002D">
        <w:rPr>
          <w:spacing w:val="-2"/>
          <w:sz w:val="24"/>
          <w:szCs w:val="24"/>
        </w:rPr>
        <w:t>,</w:t>
      </w:r>
      <w:r w:rsidRPr="00AD002D">
        <w:rPr>
          <w:spacing w:val="4"/>
          <w:sz w:val="24"/>
          <w:szCs w:val="24"/>
        </w:rPr>
        <w:t xml:space="preserve"> </w:t>
      </w:r>
      <w:r w:rsidRPr="00AD002D">
        <w:rPr>
          <w:spacing w:val="-4"/>
          <w:sz w:val="24"/>
          <w:szCs w:val="24"/>
        </w:rPr>
        <w:t>kan have behov for større</w:t>
      </w:r>
      <w:r w:rsidRPr="00AD002D">
        <w:rPr>
          <w:sz w:val="24"/>
          <w:szCs w:val="24"/>
        </w:rPr>
        <w:t xml:space="preserve"> </w:t>
      </w:r>
      <w:r w:rsidRPr="00AD002D">
        <w:rPr>
          <w:spacing w:val="-2"/>
          <w:sz w:val="24"/>
          <w:szCs w:val="24"/>
        </w:rPr>
        <w:t>d</w:t>
      </w:r>
      <w:r w:rsidRPr="00AD002D">
        <w:rPr>
          <w:sz w:val="24"/>
          <w:szCs w:val="24"/>
        </w:rPr>
        <w:t>os</w:t>
      </w:r>
      <w:r w:rsidRPr="00AD002D">
        <w:rPr>
          <w:spacing w:val="-2"/>
          <w:sz w:val="24"/>
          <w:szCs w:val="24"/>
        </w:rPr>
        <w:t>er</w:t>
      </w:r>
      <w:r w:rsidRPr="00AD002D">
        <w:rPr>
          <w:sz w:val="24"/>
          <w:szCs w:val="24"/>
        </w:rPr>
        <w:t xml:space="preserve">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Pr="00AD002D">
        <w:rPr>
          <w:spacing w:val="6"/>
          <w:sz w:val="24"/>
          <w:szCs w:val="24"/>
        </w:rPr>
        <w:t xml:space="preserve"> </w:t>
      </w:r>
      <w:r w:rsidRPr="00AD002D">
        <w:rPr>
          <w:spacing w:val="1"/>
          <w:sz w:val="24"/>
          <w:szCs w:val="24"/>
        </w:rPr>
        <w:t>for at opnå den ønskede</w:t>
      </w:r>
      <w:r w:rsidRPr="00AD002D">
        <w:rPr>
          <w:spacing w:val="3"/>
          <w:sz w:val="24"/>
          <w:szCs w:val="24"/>
        </w:rPr>
        <w:t xml:space="preserve"> </w:t>
      </w:r>
      <w:r w:rsidRPr="00AD002D">
        <w:rPr>
          <w:spacing w:val="-2"/>
          <w:sz w:val="24"/>
          <w:szCs w:val="24"/>
        </w:rPr>
        <w:t>e</w:t>
      </w:r>
      <w:r w:rsidRPr="00AD002D">
        <w:rPr>
          <w:spacing w:val="1"/>
          <w:sz w:val="24"/>
          <w:szCs w:val="24"/>
        </w:rPr>
        <w:t>f</w:t>
      </w:r>
      <w:r w:rsidRPr="00AD002D">
        <w:rPr>
          <w:spacing w:val="-2"/>
          <w:sz w:val="24"/>
          <w:szCs w:val="24"/>
        </w:rPr>
        <w:t>f</w:t>
      </w:r>
      <w:r w:rsidRPr="00AD002D">
        <w:rPr>
          <w:sz w:val="24"/>
          <w:szCs w:val="24"/>
        </w:rPr>
        <w:t>ekt</w:t>
      </w:r>
      <w:r w:rsidRPr="00AD002D">
        <w:rPr>
          <w:spacing w:val="4"/>
          <w:sz w:val="24"/>
          <w:szCs w:val="24"/>
        </w:rPr>
        <w:t xml:space="preserve"> </w:t>
      </w:r>
      <w:r w:rsidRPr="00AD002D">
        <w:rPr>
          <w:spacing w:val="-2"/>
          <w:sz w:val="24"/>
          <w:szCs w:val="24"/>
        </w:rPr>
        <w:t>på grund af</w:t>
      </w:r>
      <w:r w:rsidRPr="00AD002D">
        <w:rPr>
          <w:spacing w:val="3"/>
          <w:sz w:val="24"/>
          <w:szCs w:val="24"/>
        </w:rPr>
        <w:t xml:space="preserve"> </w:t>
      </w:r>
      <w:r w:rsidRPr="00AD002D">
        <w:rPr>
          <w:spacing w:val="-1"/>
          <w:sz w:val="24"/>
          <w:szCs w:val="24"/>
        </w:rPr>
        <w:t>i</w:t>
      </w:r>
      <w:r w:rsidRPr="00AD002D">
        <w:rPr>
          <w:sz w:val="24"/>
          <w:szCs w:val="24"/>
        </w:rPr>
        <w:t>ndu</w:t>
      </w:r>
      <w:r w:rsidRPr="00AD002D">
        <w:rPr>
          <w:spacing w:val="-2"/>
          <w:sz w:val="24"/>
          <w:szCs w:val="24"/>
        </w:rPr>
        <w:t>k</w:t>
      </w:r>
      <w:r w:rsidRPr="00AD002D">
        <w:rPr>
          <w:spacing w:val="1"/>
          <w:sz w:val="24"/>
          <w:szCs w:val="24"/>
        </w:rPr>
        <w:t>ti</w:t>
      </w:r>
      <w:r w:rsidRPr="00AD002D">
        <w:rPr>
          <w:spacing w:val="-2"/>
          <w:sz w:val="24"/>
          <w:szCs w:val="24"/>
        </w:rPr>
        <w:t>o</w:t>
      </w:r>
      <w:r w:rsidRPr="00AD002D">
        <w:rPr>
          <w:sz w:val="24"/>
          <w:szCs w:val="24"/>
        </w:rPr>
        <w:t>n</w:t>
      </w:r>
      <w:r w:rsidRPr="00AD002D">
        <w:rPr>
          <w:spacing w:val="3"/>
          <w:sz w:val="24"/>
          <w:szCs w:val="24"/>
        </w:rPr>
        <w:t xml:space="preserve"> </w:t>
      </w:r>
      <w:r w:rsidRPr="00AD002D">
        <w:rPr>
          <w:spacing w:val="-2"/>
          <w:sz w:val="24"/>
          <w:szCs w:val="24"/>
        </w:rPr>
        <w:t>a</w:t>
      </w:r>
      <w:r w:rsidRPr="00AD002D">
        <w:rPr>
          <w:sz w:val="24"/>
          <w:szCs w:val="24"/>
        </w:rPr>
        <w:t>f</w:t>
      </w:r>
      <w:r w:rsidRPr="00AD002D">
        <w:rPr>
          <w:spacing w:val="8"/>
          <w:sz w:val="24"/>
          <w:szCs w:val="24"/>
        </w:rPr>
        <w:t xml:space="preserve"> </w:t>
      </w:r>
      <w:proofErr w:type="spellStart"/>
      <w:r w:rsidRPr="00AD002D">
        <w:rPr>
          <w:sz w:val="24"/>
          <w:szCs w:val="24"/>
        </w:rPr>
        <w:t>h</w:t>
      </w:r>
      <w:r w:rsidRPr="00AD002D">
        <w:rPr>
          <w:spacing w:val="-2"/>
          <w:sz w:val="24"/>
          <w:szCs w:val="24"/>
        </w:rPr>
        <w:t>e</w:t>
      </w:r>
      <w:r w:rsidRPr="00AD002D">
        <w:rPr>
          <w:sz w:val="24"/>
          <w:szCs w:val="24"/>
        </w:rPr>
        <w:t>pa</w:t>
      </w:r>
      <w:r w:rsidRPr="00AD002D">
        <w:rPr>
          <w:spacing w:val="-1"/>
          <w:sz w:val="24"/>
          <w:szCs w:val="24"/>
        </w:rPr>
        <w:t>ti</w:t>
      </w:r>
      <w:r w:rsidRPr="00AD002D">
        <w:rPr>
          <w:sz w:val="24"/>
          <w:szCs w:val="24"/>
        </w:rPr>
        <w:t>ske</w:t>
      </w:r>
      <w:proofErr w:type="spellEnd"/>
      <w:r w:rsidRPr="00AD002D">
        <w:rPr>
          <w:sz w:val="24"/>
          <w:szCs w:val="24"/>
        </w:rPr>
        <w:t xml:space="preserve"> </w:t>
      </w:r>
      <w:proofErr w:type="spellStart"/>
      <w:r w:rsidRPr="00AD002D">
        <w:rPr>
          <w:sz w:val="24"/>
          <w:szCs w:val="24"/>
        </w:rPr>
        <w:t>detoksifikationsenzymer</w:t>
      </w:r>
      <w:proofErr w:type="spellEnd"/>
      <w:r w:rsidRPr="00AD002D">
        <w:rPr>
          <w:sz w:val="24"/>
          <w:szCs w:val="24"/>
        </w:rPr>
        <w:t>.</w:t>
      </w:r>
    </w:p>
    <w:p w14:paraId="6EBB0FD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95C9E1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jc w:val="both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 xml:space="preserve">Magnesiumholdige </w:t>
      </w:r>
      <w:proofErr w:type="spellStart"/>
      <w:r w:rsidRPr="00AD002D">
        <w:rPr>
          <w:sz w:val="24"/>
          <w:szCs w:val="24"/>
          <w:u w:val="single"/>
        </w:rPr>
        <w:t>antacida</w:t>
      </w:r>
      <w:proofErr w:type="spellEnd"/>
    </w:p>
    <w:p w14:paraId="1129246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Der bør ikke anvendes magnesiumbaserede </w:t>
      </w:r>
      <w:proofErr w:type="spellStart"/>
      <w:r w:rsidRPr="00AD002D">
        <w:rPr>
          <w:sz w:val="24"/>
          <w:szCs w:val="24"/>
        </w:rPr>
        <w:t>antacida</w:t>
      </w:r>
      <w:proofErr w:type="spellEnd"/>
      <w:r w:rsidRPr="00AD002D">
        <w:rPr>
          <w:sz w:val="24"/>
          <w:szCs w:val="24"/>
        </w:rPr>
        <w:t xml:space="preserve"> og </w:t>
      </w:r>
      <w:proofErr w:type="spellStart"/>
      <w:r w:rsidRPr="00AD002D">
        <w:rPr>
          <w:sz w:val="24"/>
          <w:szCs w:val="24"/>
        </w:rPr>
        <w:t>laksantia</w:t>
      </w:r>
      <w:proofErr w:type="spellEnd"/>
      <w:r w:rsidRPr="00AD002D">
        <w:rPr>
          <w:sz w:val="24"/>
          <w:szCs w:val="24"/>
        </w:rPr>
        <w:t xml:space="preserve"> under behandlingen med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, da der er en øget risiko for </w:t>
      </w:r>
      <w:proofErr w:type="spellStart"/>
      <w:r w:rsidRPr="00AD002D">
        <w:rPr>
          <w:sz w:val="24"/>
          <w:szCs w:val="24"/>
        </w:rPr>
        <w:t>hypermagnesiæmi</w:t>
      </w:r>
      <w:proofErr w:type="spellEnd"/>
      <w:r w:rsidRPr="00AD002D">
        <w:rPr>
          <w:sz w:val="24"/>
          <w:szCs w:val="24"/>
        </w:rPr>
        <w:t>.</w:t>
      </w:r>
    </w:p>
    <w:p w14:paraId="72676E8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0507C70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Aluminiumholdige præparater</w:t>
      </w:r>
    </w:p>
    <w:p w14:paraId="166A0705" w14:textId="481F56BA" w:rsidR="006651B2" w:rsidRPr="00AD002D" w:rsidRDefault="00703016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Alfacalcidol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="006651B2" w:rsidRPr="00AD002D">
        <w:rPr>
          <w:sz w:val="24"/>
          <w:szCs w:val="24"/>
        </w:rPr>
        <w:t xml:space="preserve"> kan øge serumkoncentrationen af aluminium. Patienter, der tager aluminiumholdige præparater (f.eks. aluminiumhydroxid, </w:t>
      </w:r>
      <w:proofErr w:type="spellStart"/>
      <w:r w:rsidR="006651B2" w:rsidRPr="00AD002D">
        <w:rPr>
          <w:sz w:val="24"/>
          <w:szCs w:val="24"/>
        </w:rPr>
        <w:t>sucralfat</w:t>
      </w:r>
      <w:proofErr w:type="spellEnd"/>
      <w:r w:rsidR="006651B2" w:rsidRPr="00AD002D">
        <w:rPr>
          <w:sz w:val="24"/>
          <w:szCs w:val="24"/>
        </w:rPr>
        <w:t xml:space="preserve">) bør monitoreres for tegn på aluminiumrelateret </w:t>
      </w:r>
      <w:proofErr w:type="spellStart"/>
      <w:r w:rsidR="006651B2" w:rsidRPr="00AD002D">
        <w:rPr>
          <w:sz w:val="24"/>
          <w:szCs w:val="24"/>
        </w:rPr>
        <w:t>toxicitet</w:t>
      </w:r>
      <w:proofErr w:type="spellEnd"/>
      <w:r w:rsidR="006651B2" w:rsidRPr="00AD002D">
        <w:rPr>
          <w:sz w:val="24"/>
          <w:szCs w:val="24"/>
        </w:rPr>
        <w:t>.</w:t>
      </w:r>
    </w:p>
    <w:p w14:paraId="7C9C113F" w14:textId="6DF81B89" w:rsidR="006651B2" w:rsidRDefault="006651B2" w:rsidP="006651B2">
      <w:pPr>
        <w:widowControl w:val="0"/>
        <w:autoSpaceDE w:val="0"/>
        <w:autoSpaceDN w:val="0"/>
        <w:adjustRightInd w:val="0"/>
        <w:ind w:left="851" w:right="-1"/>
        <w:jc w:val="both"/>
        <w:rPr>
          <w:sz w:val="24"/>
          <w:szCs w:val="24"/>
        </w:rPr>
      </w:pPr>
    </w:p>
    <w:p w14:paraId="62454669" w14:textId="77777777" w:rsidR="00174C74" w:rsidRPr="00AD002D" w:rsidRDefault="00174C74" w:rsidP="006651B2">
      <w:pPr>
        <w:widowControl w:val="0"/>
        <w:autoSpaceDE w:val="0"/>
        <w:autoSpaceDN w:val="0"/>
        <w:adjustRightInd w:val="0"/>
        <w:ind w:left="851" w:right="-1"/>
        <w:jc w:val="both"/>
        <w:rPr>
          <w:sz w:val="24"/>
          <w:szCs w:val="24"/>
        </w:rPr>
      </w:pPr>
    </w:p>
    <w:p w14:paraId="0A4E943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i/>
          <w:sz w:val="24"/>
          <w:szCs w:val="24"/>
          <w:u w:val="single"/>
        </w:rPr>
      </w:pPr>
      <w:r w:rsidRPr="00AD002D">
        <w:rPr>
          <w:rStyle w:val="Fremhv"/>
          <w:bCs/>
          <w:i w:val="0"/>
          <w:sz w:val="24"/>
          <w:szCs w:val="24"/>
          <w:u w:val="single"/>
          <w:shd w:val="clear" w:color="auto" w:fill="FFFFFF"/>
        </w:rPr>
        <w:t>Galdesyrebindende lægemidler</w:t>
      </w:r>
    </w:p>
    <w:p w14:paraId="03983B2D" w14:textId="70B054B4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Samtidig oral administration af </w:t>
      </w:r>
      <w:r w:rsidRPr="00AD002D">
        <w:rPr>
          <w:rStyle w:val="Fremhv"/>
          <w:bCs/>
          <w:sz w:val="24"/>
          <w:szCs w:val="24"/>
          <w:shd w:val="clear" w:color="auto" w:fill="FFFFFF"/>
        </w:rPr>
        <w:t>galdesyrebindende læge</w:t>
      </w:r>
      <w:r w:rsidRPr="00AD002D">
        <w:rPr>
          <w:sz w:val="24"/>
          <w:szCs w:val="24"/>
        </w:rPr>
        <w:t xml:space="preserve">, som f.eks. </w:t>
      </w:r>
      <w:proofErr w:type="spellStart"/>
      <w:r w:rsidRPr="00AD002D">
        <w:rPr>
          <w:sz w:val="24"/>
          <w:szCs w:val="24"/>
        </w:rPr>
        <w:t>colestyramin</w:t>
      </w:r>
      <w:proofErr w:type="spellEnd"/>
      <w:r w:rsidRPr="00AD002D">
        <w:rPr>
          <w:sz w:val="24"/>
          <w:szCs w:val="24"/>
        </w:rPr>
        <w:t xml:space="preserve">, kan </w:t>
      </w:r>
      <w:r w:rsidRPr="00AD002D">
        <w:rPr>
          <w:sz w:val="24"/>
          <w:szCs w:val="24"/>
        </w:rPr>
        <w:lastRenderedPageBreak/>
        <w:t xml:space="preserve">nedsætte tarmabsorptionen af den orale formulering af </w:t>
      </w:r>
      <w:proofErr w:type="spellStart"/>
      <w:r w:rsidR="00703016">
        <w:rPr>
          <w:sz w:val="24"/>
          <w:szCs w:val="24"/>
        </w:rPr>
        <w:t>Alfacalcidol</w:t>
      </w:r>
      <w:proofErr w:type="spellEnd"/>
      <w:r w:rsidR="00703016">
        <w:rPr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Pr="00AD002D">
        <w:rPr>
          <w:sz w:val="24"/>
          <w:szCs w:val="24"/>
        </w:rPr>
        <w:t xml:space="preserve">. </w:t>
      </w:r>
      <w:proofErr w:type="spellStart"/>
      <w:r w:rsidR="00703016">
        <w:rPr>
          <w:sz w:val="24"/>
          <w:szCs w:val="24"/>
        </w:rPr>
        <w:t>Alfacalcidol</w:t>
      </w:r>
      <w:proofErr w:type="spellEnd"/>
      <w:r w:rsidR="00703016">
        <w:rPr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Pr="00AD002D">
        <w:rPr>
          <w:sz w:val="24"/>
          <w:szCs w:val="24"/>
        </w:rPr>
        <w:t xml:space="preserve"> bør administreres mindst 1 time før, eller 4 til 6 timer efter, indtagelsen af galdesyrebindende lægemidler for at minimere den mulige risiko for interaktion.</w:t>
      </w:r>
    </w:p>
    <w:p w14:paraId="0222EE3D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111A592E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4.6</w:t>
      </w:r>
      <w:r w:rsidRPr="00AD002D">
        <w:rPr>
          <w:b/>
          <w:sz w:val="24"/>
          <w:szCs w:val="24"/>
        </w:rPr>
        <w:tab/>
      </w:r>
      <w:r w:rsidR="00E05264" w:rsidRPr="00AD002D">
        <w:rPr>
          <w:b/>
          <w:sz w:val="24"/>
          <w:szCs w:val="24"/>
        </w:rPr>
        <w:t>Fertilitet, g</w:t>
      </w:r>
      <w:r w:rsidRPr="00AD002D">
        <w:rPr>
          <w:b/>
          <w:sz w:val="24"/>
          <w:szCs w:val="24"/>
        </w:rPr>
        <w:t>raviditet og amning</w:t>
      </w:r>
    </w:p>
    <w:p w14:paraId="3ADBE3F9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0C5A30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Graviditet</w:t>
      </w:r>
    </w:p>
    <w:p w14:paraId="590BCF4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Der er utilstrækkelige data fra anvendelse af </w:t>
      </w:r>
      <w:proofErr w:type="spellStart"/>
      <w:r w:rsidRPr="00AD002D">
        <w:rPr>
          <w:spacing w:val="2"/>
          <w:sz w:val="24"/>
          <w:szCs w:val="24"/>
        </w:rPr>
        <w:t>alfacalcidol</w:t>
      </w:r>
      <w:proofErr w:type="spellEnd"/>
      <w:r w:rsidRPr="00AD002D">
        <w:rPr>
          <w:spacing w:val="2"/>
          <w:sz w:val="24"/>
          <w:szCs w:val="24"/>
        </w:rPr>
        <w:t xml:space="preserve"> til gravide kvinder. Dyreforsøg har påvist reproduktionstoksicitet ved høje doser (se pkt. 5.3). </w:t>
      </w:r>
    </w:p>
    <w:p w14:paraId="351CD108" w14:textId="3CEC9857" w:rsidR="006651B2" w:rsidRPr="00AD002D" w:rsidRDefault="00703016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Alfacalcidol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="006651B2" w:rsidRPr="00AD002D">
        <w:rPr>
          <w:sz w:val="24"/>
          <w:szCs w:val="24"/>
        </w:rPr>
        <w:t xml:space="preserve"> er derfor ikke anbefalet under graviditet eller hos kvinder i den fødedygtige alder, der ikke bruger antikonception.</w:t>
      </w:r>
    </w:p>
    <w:p w14:paraId="2D8BF6C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6D85EB3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Amning</w:t>
      </w:r>
    </w:p>
    <w:p w14:paraId="459E1B36" w14:textId="36E4C28F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Selvom det ikke er fastslået, er det sandsynligt, at der findes øgede mængder </w:t>
      </w:r>
      <w:r w:rsidRPr="00AD002D">
        <w:rPr>
          <w:sz w:val="24"/>
          <w:szCs w:val="24"/>
        </w:rPr>
        <w:t>1,25-dihydroxy</w:t>
      </w:r>
      <w:r w:rsidRPr="00AD002D">
        <w:rPr>
          <w:sz w:val="24"/>
          <w:szCs w:val="24"/>
        </w:rPr>
        <w:softHyphen/>
        <w:t xml:space="preserve">vitamin D i modermælken hos ammende kvinder, der behandles med </w:t>
      </w:r>
      <w:proofErr w:type="spellStart"/>
      <w:r w:rsidR="00703016">
        <w:rPr>
          <w:sz w:val="24"/>
          <w:szCs w:val="24"/>
        </w:rPr>
        <w:t>Alfacalcidol</w:t>
      </w:r>
      <w:proofErr w:type="spellEnd"/>
      <w:r w:rsidR="00703016">
        <w:rPr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Pr="00AD002D">
        <w:rPr>
          <w:sz w:val="24"/>
          <w:szCs w:val="24"/>
        </w:rPr>
        <w:t>. Det kan muligvis påvirke spædbarnets calciummetabolisme.</w:t>
      </w:r>
    </w:p>
    <w:p w14:paraId="5D86CC4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Spædbørn, der har været ammet, og hvis mødre behandles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, bør overvåges nøje for </w:t>
      </w:r>
      <w:proofErr w:type="spellStart"/>
      <w:r w:rsidRPr="00AD002D">
        <w:rPr>
          <w:spacing w:val="-1"/>
          <w:sz w:val="24"/>
          <w:szCs w:val="24"/>
        </w:rPr>
        <w:t>hyperkalcæmi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175845B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30786477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r w:rsidRPr="00AD002D">
        <w:rPr>
          <w:spacing w:val="-1"/>
          <w:sz w:val="24"/>
          <w:szCs w:val="24"/>
          <w:u w:val="single"/>
        </w:rPr>
        <w:t>Fertilitet</w:t>
      </w:r>
    </w:p>
    <w:p w14:paraId="15B2E5E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Der er ingen kliniske studier af effekten af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på fertilitet. Et præklinisk studie viste ingen effekt på fertiliteten hos rotter.</w:t>
      </w:r>
    </w:p>
    <w:p w14:paraId="0B2B6D86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46233A56" w14:textId="77777777" w:rsidR="00760D16" w:rsidRPr="00AD002D" w:rsidRDefault="00760D16" w:rsidP="00760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4.7</w:t>
      </w:r>
      <w:r w:rsidRPr="00AD002D">
        <w:rPr>
          <w:b/>
          <w:sz w:val="24"/>
          <w:szCs w:val="24"/>
        </w:rPr>
        <w:tab/>
        <w:t>Virkning på evnen til at føre motorkøretøj og betjene maskiner</w:t>
      </w:r>
    </w:p>
    <w:p w14:paraId="79F27C1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>Ikke mærkning.</w:t>
      </w:r>
    </w:p>
    <w:p w14:paraId="668ECBDA" w14:textId="46A92372" w:rsidR="006651B2" w:rsidRPr="00AD002D" w:rsidRDefault="00703016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Alfacalcidol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="006651B2" w:rsidRPr="00AD002D">
        <w:rPr>
          <w:spacing w:val="-1"/>
          <w:sz w:val="24"/>
          <w:szCs w:val="24"/>
        </w:rPr>
        <w:t xml:space="preserve"> påvirker ikke eller kun i ubetydelig direkte grad evnen til at føre motorkøretøj og betjene maskiner. </w:t>
      </w:r>
      <w:r w:rsidR="006651B2" w:rsidRPr="00AD002D">
        <w:rPr>
          <w:sz w:val="24"/>
          <w:szCs w:val="24"/>
        </w:rPr>
        <w:t xml:space="preserve">Men patienter der lider af svimmelhed of forvirret tilstand på grund af </w:t>
      </w:r>
      <w:proofErr w:type="spellStart"/>
      <w:r w:rsidR="006651B2" w:rsidRPr="00AD002D">
        <w:rPr>
          <w:sz w:val="24"/>
          <w:szCs w:val="24"/>
        </w:rPr>
        <w:t>Alfacalcidol</w:t>
      </w:r>
      <w:proofErr w:type="spellEnd"/>
      <w:r w:rsidR="006651B2" w:rsidRPr="00AD002D">
        <w:rPr>
          <w:sz w:val="24"/>
          <w:szCs w:val="24"/>
        </w:rPr>
        <w:t xml:space="preserve"> bør ikke køre eller betjene maskiner.</w:t>
      </w:r>
    </w:p>
    <w:p w14:paraId="0F2F5A37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26A4B8AA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4.8</w:t>
      </w:r>
      <w:r w:rsidRPr="00AD002D">
        <w:rPr>
          <w:b/>
          <w:sz w:val="24"/>
          <w:szCs w:val="24"/>
        </w:rPr>
        <w:tab/>
        <w:t>Bivirkninger</w:t>
      </w:r>
    </w:p>
    <w:p w14:paraId="184D0C9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  <w:r w:rsidRPr="00AD002D">
        <w:rPr>
          <w:spacing w:val="2"/>
          <w:sz w:val="24"/>
          <w:szCs w:val="24"/>
        </w:rPr>
        <w:t>Estimering af bivirkningernes hyppighed er baseret på en samlet dataanalyse fra kliniske forsøg og spontan indrapportering.</w:t>
      </w:r>
    </w:p>
    <w:p w14:paraId="5EE853C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</w:p>
    <w:p w14:paraId="11E37E4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De hyppigst indberettede bivirkninger er hudreaktioner, såsom </w:t>
      </w:r>
      <w:proofErr w:type="spellStart"/>
      <w:r w:rsidRPr="00AD002D">
        <w:rPr>
          <w:spacing w:val="2"/>
          <w:sz w:val="24"/>
          <w:szCs w:val="24"/>
        </w:rPr>
        <w:t>pruritus</w:t>
      </w:r>
      <w:proofErr w:type="spellEnd"/>
      <w:r w:rsidRPr="00AD002D">
        <w:rPr>
          <w:spacing w:val="2"/>
          <w:sz w:val="24"/>
          <w:szCs w:val="24"/>
        </w:rPr>
        <w:t xml:space="preserve"> og udslæt, </w:t>
      </w:r>
      <w:proofErr w:type="spellStart"/>
      <w:r w:rsidRPr="00AD002D">
        <w:rPr>
          <w:spacing w:val="2"/>
          <w:sz w:val="24"/>
          <w:szCs w:val="24"/>
        </w:rPr>
        <w:t>hyperkalcæmi</w:t>
      </w:r>
      <w:proofErr w:type="spellEnd"/>
      <w:r w:rsidRPr="00AD002D">
        <w:rPr>
          <w:spacing w:val="2"/>
          <w:sz w:val="24"/>
          <w:szCs w:val="24"/>
        </w:rPr>
        <w:t xml:space="preserve">, </w:t>
      </w:r>
      <w:proofErr w:type="spellStart"/>
      <w:r w:rsidRPr="00AD002D">
        <w:rPr>
          <w:spacing w:val="2"/>
          <w:sz w:val="24"/>
          <w:szCs w:val="24"/>
        </w:rPr>
        <w:t>gastrointestinale</w:t>
      </w:r>
      <w:proofErr w:type="spellEnd"/>
      <w:r w:rsidRPr="00AD002D">
        <w:rPr>
          <w:spacing w:val="2"/>
          <w:sz w:val="24"/>
          <w:szCs w:val="24"/>
        </w:rPr>
        <w:t xml:space="preserve"> smerter/ubehag samt </w:t>
      </w:r>
      <w:proofErr w:type="spellStart"/>
      <w:r w:rsidRPr="00AD002D">
        <w:rPr>
          <w:spacing w:val="2"/>
          <w:sz w:val="24"/>
          <w:szCs w:val="24"/>
        </w:rPr>
        <w:t>hyperfosfatæmi</w:t>
      </w:r>
      <w:proofErr w:type="spellEnd"/>
      <w:r w:rsidRPr="00AD002D">
        <w:rPr>
          <w:spacing w:val="2"/>
          <w:sz w:val="24"/>
          <w:szCs w:val="24"/>
        </w:rPr>
        <w:t xml:space="preserve">. Symptomer på </w:t>
      </w:r>
      <w:proofErr w:type="spellStart"/>
      <w:r w:rsidRPr="00AD002D">
        <w:rPr>
          <w:spacing w:val="2"/>
          <w:sz w:val="24"/>
          <w:szCs w:val="24"/>
        </w:rPr>
        <w:t>hyperkalcæmi</w:t>
      </w:r>
      <w:proofErr w:type="spellEnd"/>
      <w:r w:rsidRPr="00AD002D">
        <w:rPr>
          <w:spacing w:val="2"/>
          <w:sz w:val="24"/>
          <w:szCs w:val="24"/>
        </w:rPr>
        <w:t xml:space="preserve"> er hovedpine, svaghed, anoreksi, vægttab, kvalme, opkastning, diarré, forstoppelse, </w:t>
      </w:r>
      <w:proofErr w:type="spellStart"/>
      <w:r w:rsidRPr="00AD002D">
        <w:rPr>
          <w:spacing w:val="2"/>
          <w:sz w:val="24"/>
          <w:szCs w:val="24"/>
        </w:rPr>
        <w:t>polyuri</w:t>
      </w:r>
      <w:proofErr w:type="spellEnd"/>
      <w:r w:rsidRPr="00AD002D">
        <w:rPr>
          <w:spacing w:val="2"/>
          <w:sz w:val="24"/>
          <w:szCs w:val="24"/>
        </w:rPr>
        <w:t>, polydipsi samt muskel- og knoglesmerter og metallisk smag i munden.</w:t>
      </w:r>
    </w:p>
    <w:p w14:paraId="5F6FE9A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</w:p>
    <w:p w14:paraId="63632AD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Der er indberettet om nyresvigt efter markedsføringen. </w:t>
      </w:r>
    </w:p>
    <w:p w14:paraId="6E6F7A61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5B6DA3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Bivirkningerne angives i henhold til </w:t>
      </w:r>
      <w:proofErr w:type="spellStart"/>
      <w:r w:rsidRPr="00AD002D">
        <w:rPr>
          <w:sz w:val="24"/>
          <w:szCs w:val="24"/>
        </w:rPr>
        <w:t>MedDRA</w:t>
      </w:r>
      <w:proofErr w:type="spellEnd"/>
      <w:r w:rsidRPr="00AD002D">
        <w:rPr>
          <w:sz w:val="24"/>
          <w:szCs w:val="24"/>
        </w:rPr>
        <w:t xml:space="preserve"> systemorganklasser, og de individuelle bivirkninger angives med de hyppigst indberettede først. </w:t>
      </w:r>
    </w:p>
    <w:p w14:paraId="12DF51D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Meget almindelig ≥1/10</w:t>
      </w:r>
    </w:p>
    <w:p w14:paraId="1C54873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Almindelig ≥1/100 til &lt; 1/10</w:t>
      </w:r>
    </w:p>
    <w:p w14:paraId="71D4337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Ikke almindelig ≥1/1.000 til &lt;1/100</w:t>
      </w:r>
    </w:p>
    <w:p w14:paraId="74C6C73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Sjælden ≥1/10.000 til &lt;1/1.000</w:t>
      </w:r>
    </w:p>
    <w:p w14:paraId="08D6C17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Meget sjælden &lt;1/10.000</w:t>
      </w:r>
    </w:p>
    <w:p w14:paraId="31C986C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Ikke kendt (kan ikke estimeres ud fra forhåndenværende data)</w:t>
      </w:r>
    </w:p>
    <w:p w14:paraId="1B44DDEF" w14:textId="6BB55CB8" w:rsidR="006651B2" w:rsidRDefault="006651B2" w:rsidP="00BE06EE">
      <w:pPr>
        <w:widowControl w:val="0"/>
        <w:autoSpaceDE w:val="0"/>
        <w:autoSpaceDN w:val="0"/>
        <w:adjustRightInd w:val="0"/>
        <w:ind w:left="851" w:right="-1"/>
        <w:jc w:val="both"/>
        <w:rPr>
          <w:sz w:val="24"/>
          <w:szCs w:val="24"/>
        </w:rPr>
      </w:pPr>
    </w:p>
    <w:p w14:paraId="27B2FCBA" w14:textId="77777777" w:rsidR="00EB6BA8" w:rsidRPr="00AD002D" w:rsidRDefault="00EB6BA8" w:rsidP="00BE06EE">
      <w:pPr>
        <w:widowControl w:val="0"/>
        <w:autoSpaceDE w:val="0"/>
        <w:autoSpaceDN w:val="0"/>
        <w:adjustRightInd w:val="0"/>
        <w:ind w:left="851" w:right="-1"/>
        <w:jc w:val="both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9"/>
        <w:gridCol w:w="4623"/>
      </w:tblGrid>
      <w:tr w:rsidR="006651B2" w:rsidRPr="00AD002D" w14:paraId="543A013F" w14:textId="77777777" w:rsidTr="003B4BCE">
        <w:tc>
          <w:tcPr>
            <w:tcW w:w="8262" w:type="dxa"/>
            <w:gridSpan w:val="2"/>
            <w:shd w:val="clear" w:color="auto" w:fill="auto"/>
          </w:tcPr>
          <w:p w14:paraId="3C02D88A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lastRenderedPageBreak/>
              <w:t xml:space="preserve">Metabolisme og ernæring  </w:t>
            </w:r>
          </w:p>
        </w:tc>
      </w:tr>
      <w:tr w:rsidR="006651B2" w:rsidRPr="00AD002D" w14:paraId="7DF9C554" w14:textId="77777777" w:rsidTr="003B4BCE">
        <w:tc>
          <w:tcPr>
            <w:tcW w:w="3639" w:type="dxa"/>
            <w:shd w:val="clear" w:color="auto" w:fill="auto"/>
          </w:tcPr>
          <w:p w14:paraId="504EA2E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Almindelig</w:t>
            </w:r>
          </w:p>
        </w:tc>
        <w:tc>
          <w:tcPr>
            <w:tcW w:w="4623" w:type="dxa"/>
            <w:shd w:val="clear" w:color="auto" w:fill="auto"/>
          </w:tcPr>
          <w:p w14:paraId="73CD6484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Hyperkalcæmi</w:t>
            </w:r>
            <w:proofErr w:type="spellEnd"/>
          </w:p>
          <w:p w14:paraId="299616EA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Hyperfosfatæmi</w:t>
            </w:r>
            <w:proofErr w:type="spellEnd"/>
          </w:p>
        </w:tc>
      </w:tr>
      <w:tr w:rsidR="006651B2" w:rsidRPr="00AD002D" w14:paraId="087B8415" w14:textId="77777777" w:rsidTr="003B4BCE">
        <w:tc>
          <w:tcPr>
            <w:tcW w:w="8262" w:type="dxa"/>
            <w:gridSpan w:val="2"/>
            <w:shd w:val="clear" w:color="auto" w:fill="auto"/>
          </w:tcPr>
          <w:p w14:paraId="72141BCD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>Psykiske forstyrrelser</w:t>
            </w:r>
          </w:p>
        </w:tc>
      </w:tr>
      <w:tr w:rsidR="006651B2" w:rsidRPr="00AD002D" w14:paraId="42246A23" w14:textId="77777777" w:rsidTr="003B4BCE">
        <w:tc>
          <w:tcPr>
            <w:tcW w:w="3639" w:type="dxa"/>
            <w:shd w:val="clear" w:color="auto" w:fill="auto"/>
          </w:tcPr>
          <w:p w14:paraId="0586CFC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1FDED1D4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Forvirret tilstand</w:t>
            </w:r>
          </w:p>
        </w:tc>
      </w:tr>
      <w:tr w:rsidR="006651B2" w:rsidRPr="00AD002D" w14:paraId="0765E807" w14:textId="77777777" w:rsidTr="003B4BCE">
        <w:tc>
          <w:tcPr>
            <w:tcW w:w="8262" w:type="dxa"/>
            <w:gridSpan w:val="2"/>
            <w:shd w:val="clear" w:color="auto" w:fill="auto"/>
          </w:tcPr>
          <w:p w14:paraId="0A089C6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bCs/>
                <w:sz w:val="24"/>
                <w:szCs w:val="24"/>
              </w:rPr>
              <w:t>Nervesystemet</w:t>
            </w:r>
          </w:p>
        </w:tc>
      </w:tr>
      <w:tr w:rsidR="006651B2" w:rsidRPr="00AD002D" w14:paraId="55FEA6ED" w14:textId="77777777" w:rsidTr="003B4BCE">
        <w:tc>
          <w:tcPr>
            <w:tcW w:w="3639" w:type="dxa"/>
            <w:shd w:val="clear" w:color="auto" w:fill="auto"/>
          </w:tcPr>
          <w:p w14:paraId="6B8313A1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1E950572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Hovedpine</w:t>
            </w:r>
          </w:p>
        </w:tc>
      </w:tr>
      <w:tr w:rsidR="006651B2" w:rsidRPr="00AD002D" w14:paraId="312AE056" w14:textId="77777777" w:rsidTr="003B4BCE">
        <w:tc>
          <w:tcPr>
            <w:tcW w:w="3639" w:type="dxa"/>
            <w:shd w:val="clear" w:color="auto" w:fill="auto"/>
          </w:tcPr>
          <w:p w14:paraId="2556BB00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Sjælden</w:t>
            </w:r>
          </w:p>
        </w:tc>
        <w:tc>
          <w:tcPr>
            <w:tcW w:w="4623" w:type="dxa"/>
            <w:shd w:val="clear" w:color="auto" w:fill="auto"/>
          </w:tcPr>
          <w:p w14:paraId="0B50ADD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Svimmelhed</w:t>
            </w:r>
          </w:p>
        </w:tc>
      </w:tr>
      <w:tr w:rsidR="006651B2" w:rsidRPr="00AD002D" w14:paraId="258D56CE" w14:textId="77777777" w:rsidTr="003B4BCE">
        <w:tc>
          <w:tcPr>
            <w:tcW w:w="8262" w:type="dxa"/>
            <w:gridSpan w:val="2"/>
            <w:shd w:val="clear" w:color="auto" w:fill="auto"/>
          </w:tcPr>
          <w:p w14:paraId="54ED100B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 xml:space="preserve">Mave-tarm-kanalen   </w:t>
            </w:r>
          </w:p>
        </w:tc>
      </w:tr>
      <w:tr w:rsidR="006651B2" w:rsidRPr="00AD002D" w14:paraId="006A1DA4" w14:textId="77777777" w:rsidTr="003B4BCE">
        <w:tc>
          <w:tcPr>
            <w:tcW w:w="3639" w:type="dxa"/>
            <w:shd w:val="clear" w:color="auto" w:fill="auto"/>
          </w:tcPr>
          <w:p w14:paraId="3A47EA63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Almindelig</w:t>
            </w:r>
          </w:p>
        </w:tc>
        <w:tc>
          <w:tcPr>
            <w:tcW w:w="4623" w:type="dxa"/>
            <w:shd w:val="clear" w:color="auto" w:fill="auto"/>
          </w:tcPr>
          <w:p w14:paraId="73F7B1BA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Mavesmerter og ubehag</w:t>
            </w:r>
          </w:p>
        </w:tc>
      </w:tr>
      <w:tr w:rsidR="006651B2" w:rsidRPr="00AD002D" w14:paraId="626B3AEC" w14:textId="77777777" w:rsidTr="003B4BCE">
        <w:trPr>
          <w:trHeight w:val="1042"/>
        </w:trPr>
        <w:tc>
          <w:tcPr>
            <w:tcW w:w="3639" w:type="dxa"/>
            <w:shd w:val="clear" w:color="auto" w:fill="auto"/>
          </w:tcPr>
          <w:p w14:paraId="01FFD3C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4E6D344B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 xml:space="preserve">Diarré </w:t>
            </w:r>
          </w:p>
          <w:p w14:paraId="4E7BF7E6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pacing w:val="-10"/>
                <w:w w:val="102"/>
                <w:sz w:val="24"/>
                <w:szCs w:val="24"/>
              </w:rPr>
              <w:t>Opkastning</w:t>
            </w:r>
          </w:p>
          <w:p w14:paraId="04E20B33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w w:val="102"/>
                <w:sz w:val="24"/>
                <w:szCs w:val="24"/>
              </w:rPr>
              <w:t>Obstipation</w:t>
            </w:r>
          </w:p>
          <w:p w14:paraId="6ED4526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w w:val="102"/>
                <w:sz w:val="24"/>
                <w:szCs w:val="24"/>
              </w:rPr>
              <w:t>Kvalme</w:t>
            </w:r>
          </w:p>
        </w:tc>
      </w:tr>
      <w:tr w:rsidR="006651B2" w:rsidRPr="00AD002D" w14:paraId="5CF27A1F" w14:textId="77777777" w:rsidTr="003B4BCE">
        <w:tc>
          <w:tcPr>
            <w:tcW w:w="8262" w:type="dxa"/>
            <w:gridSpan w:val="2"/>
            <w:shd w:val="clear" w:color="auto" w:fill="auto"/>
          </w:tcPr>
          <w:p w14:paraId="46C05E67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 xml:space="preserve">Hud og subkutane væv </w:t>
            </w:r>
          </w:p>
        </w:tc>
      </w:tr>
      <w:tr w:rsidR="006651B2" w:rsidRPr="00AD002D" w14:paraId="55F05C16" w14:textId="77777777" w:rsidTr="003B4BCE">
        <w:trPr>
          <w:trHeight w:val="759"/>
        </w:trPr>
        <w:tc>
          <w:tcPr>
            <w:tcW w:w="3639" w:type="dxa"/>
            <w:shd w:val="clear" w:color="auto" w:fill="auto"/>
          </w:tcPr>
          <w:p w14:paraId="5D43D5E5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Almindelig</w:t>
            </w:r>
          </w:p>
        </w:tc>
        <w:tc>
          <w:tcPr>
            <w:tcW w:w="4623" w:type="dxa"/>
            <w:shd w:val="clear" w:color="auto" w:fill="auto"/>
          </w:tcPr>
          <w:p w14:paraId="0E719BD8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Udslæt*</w:t>
            </w:r>
          </w:p>
          <w:p w14:paraId="3774654B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Pruritus</w:t>
            </w:r>
            <w:proofErr w:type="spellEnd"/>
          </w:p>
          <w:p w14:paraId="075EAE17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  <w:p w14:paraId="5649528A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 xml:space="preserve">*Forskelliges typer udslæt, såsom </w:t>
            </w:r>
            <w:proofErr w:type="spellStart"/>
            <w:r w:rsidRPr="00AD002D">
              <w:rPr>
                <w:sz w:val="24"/>
                <w:szCs w:val="24"/>
              </w:rPr>
              <w:t>erytematøs</w:t>
            </w:r>
            <w:proofErr w:type="spellEnd"/>
            <w:r w:rsidRPr="00AD002D">
              <w:rPr>
                <w:sz w:val="24"/>
                <w:szCs w:val="24"/>
              </w:rPr>
              <w:t xml:space="preserve">, </w:t>
            </w:r>
            <w:proofErr w:type="spellStart"/>
            <w:r w:rsidRPr="00AD002D">
              <w:rPr>
                <w:sz w:val="24"/>
                <w:szCs w:val="24"/>
              </w:rPr>
              <w:t>makulopapuløst</w:t>
            </w:r>
            <w:proofErr w:type="spellEnd"/>
            <w:r w:rsidRPr="00AD002D">
              <w:rPr>
                <w:sz w:val="24"/>
                <w:szCs w:val="24"/>
              </w:rPr>
              <w:t xml:space="preserve"> og </w:t>
            </w:r>
            <w:proofErr w:type="spellStart"/>
            <w:r w:rsidRPr="00AD002D">
              <w:rPr>
                <w:sz w:val="24"/>
                <w:szCs w:val="24"/>
              </w:rPr>
              <w:t>pustuløs</w:t>
            </w:r>
            <w:proofErr w:type="spellEnd"/>
            <w:r w:rsidRPr="00AD002D">
              <w:rPr>
                <w:sz w:val="24"/>
                <w:szCs w:val="24"/>
              </w:rPr>
              <w:t xml:space="preserve"> er blevet indberettede.</w:t>
            </w:r>
          </w:p>
        </w:tc>
      </w:tr>
      <w:tr w:rsidR="006651B2" w:rsidRPr="00AD002D" w14:paraId="68F2959D" w14:textId="77777777" w:rsidTr="003B4BCE">
        <w:tc>
          <w:tcPr>
            <w:tcW w:w="8262" w:type="dxa"/>
            <w:gridSpan w:val="2"/>
            <w:shd w:val="clear" w:color="auto" w:fill="auto"/>
          </w:tcPr>
          <w:p w14:paraId="01099DAD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>Knogler, led, muskler og bindevæv</w:t>
            </w:r>
          </w:p>
        </w:tc>
      </w:tr>
      <w:tr w:rsidR="006651B2" w:rsidRPr="00AD002D" w14:paraId="08EDC91C" w14:textId="77777777" w:rsidTr="003B4BCE">
        <w:tc>
          <w:tcPr>
            <w:tcW w:w="3639" w:type="dxa"/>
            <w:shd w:val="clear" w:color="auto" w:fill="auto"/>
          </w:tcPr>
          <w:p w14:paraId="3D62A8D7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0CF40844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Myalgi</w:t>
            </w:r>
          </w:p>
        </w:tc>
      </w:tr>
      <w:tr w:rsidR="006651B2" w:rsidRPr="00AD002D" w14:paraId="7B52DD78" w14:textId="77777777" w:rsidTr="003B4BCE">
        <w:tc>
          <w:tcPr>
            <w:tcW w:w="8262" w:type="dxa"/>
            <w:gridSpan w:val="2"/>
            <w:shd w:val="clear" w:color="auto" w:fill="auto"/>
          </w:tcPr>
          <w:p w14:paraId="2548F7B0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>Nyrer og urinveje</w:t>
            </w:r>
          </w:p>
        </w:tc>
      </w:tr>
      <w:tr w:rsidR="006651B2" w:rsidRPr="00AD002D" w14:paraId="2059EC4D" w14:textId="77777777" w:rsidTr="003B4BCE">
        <w:tc>
          <w:tcPr>
            <w:tcW w:w="3639" w:type="dxa"/>
            <w:shd w:val="clear" w:color="auto" w:fill="auto"/>
          </w:tcPr>
          <w:p w14:paraId="35075030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Almindelig</w:t>
            </w:r>
          </w:p>
        </w:tc>
        <w:tc>
          <w:tcPr>
            <w:tcW w:w="4623" w:type="dxa"/>
            <w:shd w:val="clear" w:color="auto" w:fill="auto"/>
          </w:tcPr>
          <w:p w14:paraId="749C0432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Hypercalciuri</w:t>
            </w:r>
            <w:proofErr w:type="spellEnd"/>
          </w:p>
        </w:tc>
      </w:tr>
      <w:tr w:rsidR="006651B2" w:rsidRPr="00AD002D" w14:paraId="3A29DACB" w14:textId="77777777" w:rsidTr="003B4BCE">
        <w:tc>
          <w:tcPr>
            <w:tcW w:w="3639" w:type="dxa"/>
            <w:shd w:val="clear" w:color="auto" w:fill="auto"/>
          </w:tcPr>
          <w:p w14:paraId="34CAFC72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6A437D46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Nefrolitiasis</w:t>
            </w:r>
            <w:proofErr w:type="spellEnd"/>
            <w:r w:rsidRPr="00AD002D">
              <w:rPr>
                <w:sz w:val="24"/>
                <w:szCs w:val="24"/>
              </w:rPr>
              <w:t>/</w:t>
            </w:r>
            <w:proofErr w:type="spellStart"/>
            <w:r w:rsidRPr="00AD002D">
              <w:rPr>
                <w:sz w:val="24"/>
                <w:szCs w:val="24"/>
              </w:rPr>
              <w:t>nefrokalcinose</w:t>
            </w:r>
            <w:proofErr w:type="spellEnd"/>
          </w:p>
        </w:tc>
      </w:tr>
      <w:tr w:rsidR="006651B2" w:rsidRPr="00AD002D" w14:paraId="5B99CCCD" w14:textId="77777777" w:rsidTr="003B4BCE">
        <w:tc>
          <w:tcPr>
            <w:tcW w:w="3639" w:type="dxa"/>
            <w:shd w:val="clear" w:color="auto" w:fill="auto"/>
          </w:tcPr>
          <w:p w14:paraId="72BB7AF4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1D68E159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Nyreinsufficiens (herunder akut nyresvigt)</w:t>
            </w:r>
          </w:p>
        </w:tc>
      </w:tr>
      <w:tr w:rsidR="006651B2" w:rsidRPr="00AD002D" w14:paraId="1ECA8FA8" w14:textId="77777777" w:rsidTr="003B4BCE">
        <w:tc>
          <w:tcPr>
            <w:tcW w:w="8262" w:type="dxa"/>
            <w:gridSpan w:val="2"/>
            <w:shd w:val="clear" w:color="auto" w:fill="auto"/>
          </w:tcPr>
          <w:p w14:paraId="3652BA87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>Almene symptomer og reaktioner på administrationsstedet</w:t>
            </w:r>
          </w:p>
        </w:tc>
      </w:tr>
      <w:tr w:rsidR="006651B2" w:rsidRPr="00AD002D" w14:paraId="4366AED1" w14:textId="77777777" w:rsidTr="003B4BCE">
        <w:tc>
          <w:tcPr>
            <w:tcW w:w="3639" w:type="dxa"/>
            <w:shd w:val="clear" w:color="auto" w:fill="auto"/>
          </w:tcPr>
          <w:p w14:paraId="5BF5E5DD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03803438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Træthed/asteni/utilpashed</w:t>
            </w:r>
          </w:p>
          <w:p w14:paraId="685FEF28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Calcinosis</w:t>
            </w:r>
            <w:proofErr w:type="spellEnd"/>
          </w:p>
        </w:tc>
      </w:tr>
    </w:tbl>
    <w:p w14:paraId="554D673C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57E4470" w14:textId="77777777" w:rsidR="006651B2" w:rsidRPr="00AD002D" w:rsidRDefault="006651B2" w:rsidP="006651B2">
      <w:pPr>
        <w:autoSpaceDE w:val="0"/>
        <w:autoSpaceDN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Indberetning af formodede bivirkninger</w:t>
      </w:r>
    </w:p>
    <w:p w14:paraId="281435C9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AD002D">
        <w:rPr>
          <w:sz w:val="24"/>
          <w:szCs w:val="24"/>
        </w:rPr>
        <w:t>risk</w:t>
      </w:r>
      <w:proofErr w:type="spellEnd"/>
      <w:r w:rsidRPr="00AD002D">
        <w:rPr>
          <w:sz w:val="24"/>
          <w:szCs w:val="24"/>
        </w:rPr>
        <w:t xml:space="preserve">-forholdet for lægemidlet. </w:t>
      </w:r>
      <w:r w:rsidR="00E05264" w:rsidRPr="00AD002D">
        <w:rPr>
          <w:sz w:val="24"/>
          <w:szCs w:val="24"/>
        </w:rPr>
        <w:t>S</w:t>
      </w:r>
      <w:r w:rsidRPr="00AD002D">
        <w:rPr>
          <w:sz w:val="24"/>
          <w:szCs w:val="24"/>
        </w:rPr>
        <w:t>undhedsperson</w:t>
      </w:r>
      <w:r w:rsidR="00E05264" w:rsidRPr="00AD002D">
        <w:rPr>
          <w:sz w:val="24"/>
          <w:szCs w:val="24"/>
        </w:rPr>
        <w:t>er</w:t>
      </w:r>
      <w:r w:rsidRPr="00AD002D">
        <w:rPr>
          <w:sz w:val="24"/>
          <w:szCs w:val="24"/>
        </w:rPr>
        <w:t xml:space="preserve"> anmodes om at indberette alle formodede bivirkninger via:</w:t>
      </w:r>
    </w:p>
    <w:p w14:paraId="2A60233B" w14:textId="77777777" w:rsidR="006651B2" w:rsidRPr="00AD002D" w:rsidRDefault="006651B2" w:rsidP="006651B2">
      <w:pPr>
        <w:tabs>
          <w:tab w:val="left" w:pos="2440"/>
        </w:tabs>
        <w:ind w:left="851" w:right="-1"/>
        <w:rPr>
          <w:sz w:val="24"/>
          <w:szCs w:val="24"/>
        </w:rPr>
      </w:pPr>
    </w:p>
    <w:p w14:paraId="453465A6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Lægemiddelstyrelsen</w:t>
      </w:r>
    </w:p>
    <w:p w14:paraId="062C7BA2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Axel Heides Gade 1</w:t>
      </w:r>
    </w:p>
    <w:p w14:paraId="738F9FA9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DK-2300 København S</w:t>
      </w:r>
    </w:p>
    <w:p w14:paraId="67ECFDDE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Websted: </w:t>
      </w:r>
      <w:hyperlink r:id="rId8" w:history="1">
        <w:r w:rsidR="00E05264" w:rsidRPr="00AD002D">
          <w:rPr>
            <w:rStyle w:val="Hyperlink"/>
            <w:szCs w:val="24"/>
          </w:rPr>
          <w:t>www.meldenbivirkning.dk</w:t>
        </w:r>
      </w:hyperlink>
      <w:r w:rsidR="00E05264" w:rsidRPr="00AD002D">
        <w:rPr>
          <w:szCs w:val="24"/>
        </w:rPr>
        <w:t xml:space="preserve"> </w:t>
      </w:r>
    </w:p>
    <w:p w14:paraId="09D42803" w14:textId="77777777" w:rsidR="006651B2" w:rsidRPr="00AD002D" w:rsidRDefault="006651B2" w:rsidP="00BE06EE">
      <w:pPr>
        <w:pStyle w:val="Sidehoved"/>
        <w:tabs>
          <w:tab w:val="clear" w:pos="4819"/>
          <w:tab w:val="clear" w:pos="9638"/>
        </w:tabs>
        <w:ind w:left="851" w:right="-1"/>
        <w:rPr>
          <w:szCs w:val="24"/>
        </w:rPr>
      </w:pPr>
    </w:p>
    <w:p w14:paraId="2B0F9FF5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4.9</w:t>
      </w:r>
      <w:r w:rsidRPr="00AD002D">
        <w:rPr>
          <w:b/>
          <w:sz w:val="24"/>
          <w:szCs w:val="24"/>
        </w:rPr>
        <w:tab/>
        <w:t>Overdosering</w:t>
      </w:r>
    </w:p>
    <w:p w14:paraId="11783B92" w14:textId="5BC397E1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For stort indtag af </w:t>
      </w:r>
      <w:proofErr w:type="spellStart"/>
      <w:r w:rsidR="00703016">
        <w:rPr>
          <w:sz w:val="24"/>
          <w:szCs w:val="24"/>
        </w:rPr>
        <w:t>Alfacalcidol</w:t>
      </w:r>
      <w:proofErr w:type="spellEnd"/>
      <w:r w:rsidR="00703016">
        <w:rPr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Pr="00AD002D">
        <w:rPr>
          <w:sz w:val="24"/>
          <w:szCs w:val="24"/>
        </w:rPr>
        <w:t xml:space="preserve"> kan føre til udvikling af </w:t>
      </w:r>
      <w:proofErr w:type="spellStart"/>
      <w:r w:rsidRPr="00AD002D">
        <w:rPr>
          <w:sz w:val="24"/>
          <w:szCs w:val="24"/>
        </w:rPr>
        <w:t>hyperkalcæmi</w:t>
      </w:r>
      <w:proofErr w:type="spellEnd"/>
      <w:r w:rsidRPr="00AD002D">
        <w:rPr>
          <w:sz w:val="24"/>
          <w:szCs w:val="24"/>
        </w:rPr>
        <w:t xml:space="preserve">. Denne virkning reverseres dog hurtigt efter </w:t>
      </w:r>
      <w:proofErr w:type="spellStart"/>
      <w:r w:rsidRPr="00AD002D">
        <w:rPr>
          <w:sz w:val="24"/>
          <w:szCs w:val="24"/>
        </w:rPr>
        <w:t>seponering</w:t>
      </w:r>
      <w:proofErr w:type="spellEnd"/>
      <w:r w:rsidRPr="00AD002D">
        <w:rPr>
          <w:sz w:val="24"/>
          <w:szCs w:val="24"/>
        </w:rPr>
        <w:t xml:space="preserve">. </w:t>
      </w:r>
    </w:p>
    <w:p w14:paraId="4C92010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83ED4E5" w14:textId="029FE46C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Symptomer på overdosering af </w:t>
      </w:r>
      <w:proofErr w:type="spellStart"/>
      <w:r w:rsidR="00703016">
        <w:rPr>
          <w:sz w:val="24"/>
          <w:szCs w:val="24"/>
        </w:rPr>
        <w:t>Alfacalcidol</w:t>
      </w:r>
      <w:proofErr w:type="spellEnd"/>
      <w:r w:rsidR="00703016">
        <w:rPr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Pr="00AD002D">
        <w:rPr>
          <w:sz w:val="24"/>
          <w:szCs w:val="24"/>
        </w:rPr>
        <w:t xml:space="preserve"> er anoreksi, udmattelse, kvalme og opkastning, diarré, forstoppelse, vægttab, </w:t>
      </w:r>
      <w:proofErr w:type="spellStart"/>
      <w:r w:rsidRPr="00AD002D">
        <w:rPr>
          <w:sz w:val="24"/>
          <w:szCs w:val="24"/>
        </w:rPr>
        <w:t>polyuri</w:t>
      </w:r>
      <w:proofErr w:type="spellEnd"/>
      <w:r w:rsidRPr="00AD002D">
        <w:rPr>
          <w:sz w:val="24"/>
          <w:szCs w:val="24"/>
        </w:rPr>
        <w:t>, svedtendens, hovedpine, tørst, svimmelhed og forhøjede koncentrationer af calcium og fosfat i plasma og urin.</w:t>
      </w:r>
    </w:p>
    <w:p w14:paraId="3D7A1D2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0BC167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4"/>
          <w:sz w:val="24"/>
          <w:szCs w:val="24"/>
        </w:rPr>
        <w:t xml:space="preserve">I tilfælde af svær </w:t>
      </w:r>
      <w:proofErr w:type="spellStart"/>
      <w:r w:rsidRPr="00AD002D">
        <w:rPr>
          <w:spacing w:val="-4"/>
          <w:sz w:val="24"/>
          <w:szCs w:val="24"/>
        </w:rPr>
        <w:t>hypercalcæmi</w:t>
      </w:r>
      <w:proofErr w:type="spellEnd"/>
      <w:r w:rsidRPr="00AD002D">
        <w:rPr>
          <w:spacing w:val="-4"/>
          <w:sz w:val="24"/>
          <w:szCs w:val="24"/>
        </w:rPr>
        <w:t xml:space="preserve"> bør der iværksættes almene understøttende tiltag. Patienten skal holdes velhydreret via </w:t>
      </w:r>
      <w:proofErr w:type="spellStart"/>
      <w:r w:rsidRPr="00AD002D">
        <w:rPr>
          <w:spacing w:val="-4"/>
          <w:sz w:val="24"/>
          <w:szCs w:val="24"/>
        </w:rPr>
        <w:t>i.v</w:t>
      </w:r>
      <w:proofErr w:type="spellEnd"/>
      <w:r w:rsidRPr="00AD002D">
        <w:rPr>
          <w:spacing w:val="-4"/>
          <w:sz w:val="24"/>
          <w:szCs w:val="24"/>
        </w:rPr>
        <w:t xml:space="preserve">. infusion af saltvand (forceret diurese), måling af elektrolytter, </w:t>
      </w:r>
      <w:r w:rsidRPr="00AD002D">
        <w:rPr>
          <w:spacing w:val="-4"/>
          <w:sz w:val="24"/>
          <w:szCs w:val="24"/>
        </w:rPr>
        <w:lastRenderedPageBreak/>
        <w:t xml:space="preserve">calcium og nyrefunktionstal, vurdering af elektrokardiografiske abnormiteter, især hos patienter, der får digitalis. Mere specifikt bør det overvejes at give behandling med </w:t>
      </w:r>
      <w:proofErr w:type="spellStart"/>
      <w:r w:rsidRPr="00AD002D">
        <w:rPr>
          <w:spacing w:val="-4"/>
          <w:sz w:val="24"/>
          <w:szCs w:val="24"/>
        </w:rPr>
        <w:t>glukokortikosteroider</w:t>
      </w:r>
      <w:proofErr w:type="spellEnd"/>
      <w:r w:rsidRPr="00AD002D">
        <w:rPr>
          <w:spacing w:val="-4"/>
          <w:sz w:val="24"/>
          <w:szCs w:val="24"/>
        </w:rPr>
        <w:t>, loop-</w:t>
      </w:r>
      <w:proofErr w:type="spellStart"/>
      <w:r w:rsidRPr="00AD002D">
        <w:rPr>
          <w:spacing w:val="-4"/>
          <w:sz w:val="24"/>
          <w:szCs w:val="24"/>
        </w:rPr>
        <w:t>diuretika</w:t>
      </w:r>
      <w:proofErr w:type="spellEnd"/>
      <w:r w:rsidRPr="00AD002D">
        <w:rPr>
          <w:spacing w:val="-4"/>
          <w:sz w:val="24"/>
          <w:szCs w:val="24"/>
        </w:rPr>
        <w:t xml:space="preserve">, </w:t>
      </w:r>
      <w:proofErr w:type="spellStart"/>
      <w:r w:rsidRPr="00AD002D">
        <w:rPr>
          <w:spacing w:val="-4"/>
          <w:sz w:val="24"/>
          <w:szCs w:val="24"/>
        </w:rPr>
        <w:t>bisphosphonater</w:t>
      </w:r>
      <w:proofErr w:type="spellEnd"/>
      <w:r w:rsidRPr="00AD002D">
        <w:rPr>
          <w:spacing w:val="-4"/>
          <w:sz w:val="24"/>
          <w:szCs w:val="24"/>
        </w:rPr>
        <w:t xml:space="preserve">, </w:t>
      </w:r>
      <w:proofErr w:type="spellStart"/>
      <w:r w:rsidRPr="00AD002D">
        <w:rPr>
          <w:spacing w:val="-4"/>
          <w:sz w:val="24"/>
          <w:szCs w:val="24"/>
        </w:rPr>
        <w:t>calcitonin</w:t>
      </w:r>
      <w:proofErr w:type="spellEnd"/>
      <w:r w:rsidRPr="00AD002D">
        <w:rPr>
          <w:spacing w:val="-4"/>
          <w:sz w:val="24"/>
          <w:szCs w:val="24"/>
        </w:rPr>
        <w:t xml:space="preserve"> og i sidste instans hæmodialyse med lavt calciumindhold.</w:t>
      </w:r>
    </w:p>
    <w:p w14:paraId="1AB7864A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0DA7864C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4.10</w:t>
      </w:r>
      <w:r w:rsidRPr="00AD002D">
        <w:rPr>
          <w:b/>
          <w:sz w:val="24"/>
          <w:szCs w:val="24"/>
        </w:rPr>
        <w:tab/>
        <w:t>Udlevering</w:t>
      </w:r>
    </w:p>
    <w:p w14:paraId="6ED7DB09" w14:textId="77777777" w:rsidR="006651B2" w:rsidRPr="00AD002D" w:rsidRDefault="006651B2" w:rsidP="006651B2">
      <w:pPr>
        <w:ind w:left="851" w:right="-1" w:hanging="851"/>
        <w:rPr>
          <w:sz w:val="24"/>
          <w:szCs w:val="24"/>
        </w:rPr>
      </w:pPr>
      <w:r w:rsidRPr="00AD002D">
        <w:rPr>
          <w:sz w:val="24"/>
          <w:szCs w:val="24"/>
        </w:rPr>
        <w:tab/>
        <w:t>B</w:t>
      </w:r>
    </w:p>
    <w:p w14:paraId="69FAE8C5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9C0BB2F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1D9F04F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5.</w:t>
      </w:r>
      <w:r w:rsidRPr="00AD002D">
        <w:rPr>
          <w:b/>
          <w:sz w:val="24"/>
          <w:szCs w:val="24"/>
        </w:rPr>
        <w:tab/>
        <w:t>FARMAKOLOGISKE EGENSKABER</w:t>
      </w:r>
    </w:p>
    <w:p w14:paraId="30E4F8AB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B247629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5.1</w:t>
      </w:r>
      <w:r w:rsidRPr="00AD002D">
        <w:rPr>
          <w:b/>
          <w:sz w:val="24"/>
          <w:szCs w:val="24"/>
        </w:rPr>
        <w:tab/>
      </w:r>
      <w:proofErr w:type="spellStart"/>
      <w:r w:rsidRPr="00AD002D">
        <w:rPr>
          <w:b/>
          <w:sz w:val="24"/>
          <w:szCs w:val="24"/>
        </w:rPr>
        <w:t>Farmakodynamiske</w:t>
      </w:r>
      <w:proofErr w:type="spellEnd"/>
      <w:r w:rsidRPr="00AD002D">
        <w:rPr>
          <w:b/>
          <w:sz w:val="24"/>
          <w:szCs w:val="24"/>
        </w:rPr>
        <w:t xml:space="preserve"> egenskaber</w:t>
      </w:r>
    </w:p>
    <w:p w14:paraId="20D5EC05" w14:textId="091184A6" w:rsidR="006651B2" w:rsidRPr="00AD002D" w:rsidRDefault="00E05264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Farmakoterapeutisk</w:t>
      </w:r>
      <w:proofErr w:type="spellEnd"/>
      <w:r w:rsidRPr="00AD002D">
        <w:rPr>
          <w:sz w:val="24"/>
          <w:szCs w:val="24"/>
        </w:rPr>
        <w:t xml:space="preserve"> klassifikation: Vitamin D og </w:t>
      </w:r>
      <w:proofErr w:type="spellStart"/>
      <w:r w:rsidRPr="00AD002D">
        <w:rPr>
          <w:sz w:val="24"/>
          <w:szCs w:val="24"/>
        </w:rPr>
        <w:t>analoger</w:t>
      </w:r>
      <w:proofErr w:type="spellEnd"/>
      <w:r w:rsidR="00760D16" w:rsidRPr="00AD002D">
        <w:rPr>
          <w:sz w:val="24"/>
          <w:szCs w:val="24"/>
        </w:rPr>
        <w:t>,</w:t>
      </w:r>
      <w:r w:rsidRPr="00AD002D">
        <w:rPr>
          <w:sz w:val="24"/>
          <w:szCs w:val="24"/>
        </w:rPr>
        <w:t xml:space="preserve"> ATC-kode: A11CC03.</w:t>
      </w:r>
    </w:p>
    <w:p w14:paraId="49CC4F96" w14:textId="77777777" w:rsidR="00E05264" w:rsidRPr="00AD002D" w:rsidRDefault="00E05264" w:rsidP="00BE06EE">
      <w:pPr>
        <w:widowControl w:val="0"/>
        <w:autoSpaceDE w:val="0"/>
        <w:autoSpaceDN w:val="0"/>
        <w:adjustRightInd w:val="0"/>
        <w:ind w:left="851" w:right="-1"/>
        <w:rPr>
          <w:spacing w:val="-2"/>
          <w:sz w:val="24"/>
          <w:szCs w:val="24"/>
        </w:rPr>
      </w:pPr>
    </w:p>
    <w:p w14:paraId="3E160A2E" w14:textId="77777777" w:rsidR="006651B2" w:rsidRPr="00AD002D" w:rsidRDefault="006651B2" w:rsidP="006651B2">
      <w:pPr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Klinisk virkning og sikkerhed</w:t>
      </w:r>
    </w:p>
    <w:p w14:paraId="6E9154A2" w14:textId="744CBE95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2"/>
          <w:sz w:val="24"/>
          <w:szCs w:val="24"/>
        </w:rPr>
        <w:t>Nedsat 1α-</w:t>
      </w:r>
      <w:proofErr w:type="spellStart"/>
      <w:r w:rsidRPr="00AD002D">
        <w:rPr>
          <w:spacing w:val="-2"/>
          <w:sz w:val="24"/>
          <w:szCs w:val="24"/>
        </w:rPr>
        <w:t>hydroxylering</w:t>
      </w:r>
      <w:proofErr w:type="spellEnd"/>
      <w:r w:rsidRPr="00AD002D">
        <w:rPr>
          <w:spacing w:val="-2"/>
          <w:sz w:val="24"/>
          <w:szCs w:val="24"/>
        </w:rPr>
        <w:t xml:space="preserve"> via nyrerne reducerer den endogene produktion af 1,25- </w:t>
      </w:r>
      <w:proofErr w:type="spellStart"/>
      <w:r w:rsidRPr="00AD002D">
        <w:rPr>
          <w:spacing w:val="-2"/>
          <w:sz w:val="24"/>
          <w:szCs w:val="24"/>
        </w:rPr>
        <w:t>dihydroxyvitamin</w:t>
      </w:r>
      <w:proofErr w:type="spellEnd"/>
      <w:r w:rsidRPr="00AD002D">
        <w:rPr>
          <w:spacing w:val="-2"/>
          <w:sz w:val="24"/>
          <w:szCs w:val="24"/>
        </w:rPr>
        <w:t xml:space="preserve"> D. Dette er medvirkende til de forstyrrelser i mineralmetabolismen, der ses ved adskillige forstyrrelser, herunder </w:t>
      </w:r>
      <w:proofErr w:type="spellStart"/>
      <w:r w:rsidRPr="00AD002D">
        <w:rPr>
          <w:spacing w:val="-2"/>
          <w:sz w:val="24"/>
          <w:szCs w:val="24"/>
        </w:rPr>
        <w:t>renal</w:t>
      </w:r>
      <w:proofErr w:type="spellEnd"/>
      <w:r w:rsidRPr="00AD002D">
        <w:rPr>
          <w:spacing w:val="-2"/>
          <w:sz w:val="24"/>
          <w:szCs w:val="24"/>
        </w:rPr>
        <w:t xml:space="preserve"> knoglesygdom, </w:t>
      </w:r>
      <w:proofErr w:type="spellStart"/>
      <w:r w:rsidRPr="00AD002D">
        <w:rPr>
          <w:spacing w:val="-2"/>
          <w:sz w:val="24"/>
          <w:szCs w:val="24"/>
        </w:rPr>
        <w:t>hypoparathyreoidisme</w:t>
      </w:r>
      <w:proofErr w:type="spellEnd"/>
      <w:r w:rsidRPr="00AD002D">
        <w:rPr>
          <w:spacing w:val="-2"/>
          <w:sz w:val="24"/>
          <w:szCs w:val="24"/>
        </w:rPr>
        <w:t xml:space="preserve"> og vitamin D-afhængig rakitis. Disse forstyrrelser, der kræver høje doser af moderstoffet af vitamin D for at blive korrigeret, responderer på små doser af </w:t>
      </w:r>
      <w:proofErr w:type="spellStart"/>
      <w:r w:rsidR="00703016">
        <w:rPr>
          <w:spacing w:val="-2"/>
          <w:sz w:val="24"/>
          <w:szCs w:val="24"/>
        </w:rPr>
        <w:t>Alfacalcidol</w:t>
      </w:r>
      <w:proofErr w:type="spellEnd"/>
      <w:r w:rsidR="00703016">
        <w:rPr>
          <w:spacing w:val="-2"/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Pr="00AD002D">
        <w:rPr>
          <w:spacing w:val="-2"/>
          <w:sz w:val="24"/>
          <w:szCs w:val="24"/>
        </w:rPr>
        <w:t>.</w:t>
      </w:r>
    </w:p>
    <w:p w14:paraId="5868C77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6B8B00A" w14:textId="6F5027A9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Det forsinkede respons og den høje dosering, der er nødvendig ved behandling af disse forstyrrelser med moderstoffet af vitamin D besværliggør dosisjustering. Dette kan resultere i uforudsigelig </w:t>
      </w:r>
      <w:proofErr w:type="spellStart"/>
      <w:r w:rsidRPr="00AD002D">
        <w:rPr>
          <w:spacing w:val="2"/>
          <w:sz w:val="24"/>
          <w:szCs w:val="24"/>
        </w:rPr>
        <w:t>hypercalcæmi</w:t>
      </w:r>
      <w:proofErr w:type="spellEnd"/>
      <w:r w:rsidRPr="00AD002D">
        <w:rPr>
          <w:spacing w:val="2"/>
          <w:sz w:val="24"/>
          <w:szCs w:val="24"/>
        </w:rPr>
        <w:t xml:space="preserve">, som det kan tage uger eller måneder at reversere. Den vigtigste fordel ved </w:t>
      </w:r>
      <w:proofErr w:type="spellStart"/>
      <w:r w:rsidR="00703016">
        <w:rPr>
          <w:spacing w:val="2"/>
          <w:sz w:val="24"/>
          <w:szCs w:val="24"/>
        </w:rPr>
        <w:t>Alfacalcidol</w:t>
      </w:r>
      <w:proofErr w:type="spellEnd"/>
      <w:r w:rsidR="00703016">
        <w:rPr>
          <w:spacing w:val="2"/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Pr="00AD002D">
        <w:rPr>
          <w:spacing w:val="2"/>
          <w:sz w:val="24"/>
          <w:szCs w:val="24"/>
        </w:rPr>
        <w:t xml:space="preserve"> er det hurtige respons, som gør det muligt at foretage en mere præcis dosistitrering. I tilfælde af utilsigtet </w:t>
      </w:r>
      <w:proofErr w:type="spellStart"/>
      <w:r w:rsidRPr="00AD002D">
        <w:rPr>
          <w:spacing w:val="2"/>
          <w:sz w:val="24"/>
          <w:szCs w:val="24"/>
        </w:rPr>
        <w:t>hypercalcæmi</w:t>
      </w:r>
      <w:proofErr w:type="spellEnd"/>
      <w:r w:rsidRPr="00AD002D">
        <w:rPr>
          <w:spacing w:val="2"/>
          <w:sz w:val="24"/>
          <w:szCs w:val="24"/>
        </w:rPr>
        <w:t xml:space="preserve"> kan dette reverseres i løbet af nogle dage ved at stoppe behandlingen.</w:t>
      </w:r>
    </w:p>
    <w:p w14:paraId="364655FC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35D830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Hos patienter med nyresvigt øgede 1-5 mikrogram 1α-</w:t>
      </w:r>
      <w:proofErr w:type="spellStart"/>
      <w:r w:rsidRPr="00AD002D">
        <w:rPr>
          <w:sz w:val="24"/>
          <w:szCs w:val="24"/>
        </w:rPr>
        <w:t>hydroxy</w:t>
      </w:r>
      <w:proofErr w:type="spellEnd"/>
      <w:r w:rsidRPr="00AD002D">
        <w:rPr>
          <w:sz w:val="24"/>
          <w:szCs w:val="24"/>
        </w:rPr>
        <w:t xml:space="preserve"> D-vitamin (1α-OHD3) om dagen den </w:t>
      </w:r>
      <w:proofErr w:type="spellStart"/>
      <w:r w:rsidRPr="00AD002D">
        <w:rPr>
          <w:sz w:val="24"/>
          <w:szCs w:val="24"/>
        </w:rPr>
        <w:t>intestinale</w:t>
      </w:r>
      <w:proofErr w:type="spellEnd"/>
      <w:r w:rsidRPr="00AD002D">
        <w:rPr>
          <w:sz w:val="24"/>
          <w:szCs w:val="24"/>
        </w:rPr>
        <w:t xml:space="preserve"> absorption af calcium og fosfor på dosisrelateret manér. Denne virkning blev set i løbet af 3 dage efter opstart af lægemidlet, og ligeledes blev den reverseret i løbet af 3 dage efter </w:t>
      </w:r>
      <w:proofErr w:type="spellStart"/>
      <w:r w:rsidRPr="00AD002D">
        <w:rPr>
          <w:sz w:val="24"/>
          <w:szCs w:val="24"/>
        </w:rPr>
        <w:t>seponering</w:t>
      </w:r>
      <w:proofErr w:type="spellEnd"/>
      <w:r w:rsidRPr="00AD002D">
        <w:rPr>
          <w:sz w:val="24"/>
          <w:szCs w:val="24"/>
        </w:rPr>
        <w:t>.</w:t>
      </w:r>
    </w:p>
    <w:p w14:paraId="7578A59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307684D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Patienter med kronisk nyresvigt har udvist øget serumcalciumniveau i løbet af 5 dage efter indgivelse af 1α-OHD3 i en dosis på 0,5-1,0 mikrogram/dag. Mens serumcalcium steg, faldt niveauerne af PTH og basisk fosfatase mod normalen.</w:t>
      </w:r>
    </w:p>
    <w:p w14:paraId="4DD2782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highlight w:val="yellow"/>
        </w:rPr>
      </w:pPr>
    </w:p>
    <w:p w14:paraId="1E595B46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4"/>
          <w:sz w:val="24"/>
          <w:szCs w:val="24"/>
        </w:rPr>
        <w:t xml:space="preserve">Hos patienter med ernæringsrelateret </w:t>
      </w:r>
      <w:proofErr w:type="spellStart"/>
      <w:r w:rsidRPr="00AD002D">
        <w:rPr>
          <w:spacing w:val="-4"/>
          <w:sz w:val="24"/>
          <w:szCs w:val="24"/>
        </w:rPr>
        <w:t>osteomalaci</w:t>
      </w:r>
      <w:proofErr w:type="spellEnd"/>
      <w:r w:rsidRPr="00AD002D">
        <w:rPr>
          <w:spacing w:val="-4"/>
          <w:sz w:val="24"/>
          <w:szCs w:val="24"/>
        </w:rPr>
        <w:t xml:space="preserve"> blev der set stigninger i calciumabsorptionen i løbet af 6 timer efter oral indgivelse af 1 µg 1α-OHD3, og den toppede som regel efter 24 timer. 1α-OHD3 medførte også stigninger i plasmakoncentrationen af uorganisk fosfor på grund af øget </w:t>
      </w:r>
      <w:proofErr w:type="spellStart"/>
      <w:r w:rsidRPr="00AD002D">
        <w:rPr>
          <w:spacing w:val="-4"/>
          <w:sz w:val="24"/>
          <w:szCs w:val="24"/>
        </w:rPr>
        <w:t>intestinal</w:t>
      </w:r>
      <w:proofErr w:type="spellEnd"/>
      <w:r w:rsidRPr="00AD002D">
        <w:rPr>
          <w:spacing w:val="-4"/>
          <w:sz w:val="24"/>
          <w:szCs w:val="24"/>
        </w:rPr>
        <w:t xml:space="preserve"> absorption og re-absorption i de </w:t>
      </w:r>
      <w:proofErr w:type="spellStart"/>
      <w:r w:rsidRPr="00AD002D">
        <w:rPr>
          <w:spacing w:val="-4"/>
          <w:sz w:val="24"/>
          <w:szCs w:val="24"/>
        </w:rPr>
        <w:t>renale</w:t>
      </w:r>
      <w:proofErr w:type="spellEnd"/>
      <w:r w:rsidRPr="00AD002D">
        <w:rPr>
          <w:spacing w:val="-4"/>
          <w:sz w:val="24"/>
          <w:szCs w:val="24"/>
        </w:rPr>
        <w:t xml:space="preserve"> </w:t>
      </w:r>
      <w:proofErr w:type="spellStart"/>
      <w:r w:rsidRPr="00AD002D">
        <w:rPr>
          <w:spacing w:val="-4"/>
          <w:sz w:val="24"/>
          <w:szCs w:val="24"/>
        </w:rPr>
        <w:t>tubuli</w:t>
      </w:r>
      <w:proofErr w:type="spellEnd"/>
      <w:r w:rsidRPr="00AD002D">
        <w:rPr>
          <w:spacing w:val="-4"/>
          <w:sz w:val="24"/>
          <w:szCs w:val="24"/>
        </w:rPr>
        <w:t>. Sidstnævnte virkning er et resultat af PTH-suppression via 1α-OHD3. Lægemidlets virkning på calcium var cirka dobbelt så stor som virkningen på absorptionen af fosfor.</w:t>
      </w:r>
    </w:p>
    <w:p w14:paraId="1666A9B2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B88D120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5.2</w:t>
      </w:r>
      <w:r w:rsidRPr="00AD002D">
        <w:rPr>
          <w:b/>
          <w:sz w:val="24"/>
          <w:szCs w:val="24"/>
        </w:rPr>
        <w:tab/>
      </w:r>
      <w:proofErr w:type="spellStart"/>
      <w:r w:rsidRPr="00AD002D">
        <w:rPr>
          <w:b/>
          <w:sz w:val="24"/>
          <w:szCs w:val="24"/>
        </w:rPr>
        <w:t>Farmakokinetiske</w:t>
      </w:r>
      <w:proofErr w:type="spellEnd"/>
      <w:r w:rsidRPr="00AD002D">
        <w:rPr>
          <w:b/>
          <w:sz w:val="24"/>
          <w:szCs w:val="24"/>
        </w:rPr>
        <w:t xml:space="preserve"> egenskaber</w:t>
      </w:r>
    </w:p>
    <w:p w14:paraId="4ACBB30F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03A118CD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Absorption</w:t>
      </w:r>
    </w:p>
    <w:p w14:paraId="5641157C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absorberes passivt og næsten fuldstændigt i tyndtarmen.</w:t>
      </w:r>
    </w:p>
    <w:p w14:paraId="19E22BE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4BB58C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Biotransformation</w:t>
      </w:r>
    </w:p>
    <w:p w14:paraId="72495036" w14:textId="53832C42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omdannes hurtigt i leveren til 1,25-dihydroxy vitamin D. Det er D-vitaminets </w:t>
      </w:r>
      <w:r w:rsidRPr="00AD002D">
        <w:rPr>
          <w:spacing w:val="-1"/>
          <w:sz w:val="24"/>
          <w:szCs w:val="24"/>
        </w:rPr>
        <w:lastRenderedPageBreak/>
        <w:t xml:space="preserve">metabolit, der agerer regulator for calcium- og fosfatmetabolismen. Da denne omdannelse er hurtig, er de kliniske virkninger af </w:t>
      </w:r>
      <w:proofErr w:type="spellStart"/>
      <w:r w:rsidR="00703016">
        <w:rPr>
          <w:spacing w:val="-1"/>
          <w:sz w:val="24"/>
          <w:szCs w:val="24"/>
        </w:rPr>
        <w:t>Alfacalcidol</w:t>
      </w:r>
      <w:proofErr w:type="spellEnd"/>
      <w:r w:rsidR="00703016">
        <w:rPr>
          <w:spacing w:val="-1"/>
          <w:sz w:val="24"/>
          <w:szCs w:val="24"/>
        </w:rPr>
        <w:t xml:space="preserve"> </w:t>
      </w:r>
      <w:proofErr w:type="spellStart"/>
      <w:r w:rsidR="00C7609E">
        <w:rPr>
          <w:sz w:val="24"/>
          <w:szCs w:val="24"/>
        </w:rPr>
        <w:t>Cande</w:t>
      </w:r>
      <w:proofErr w:type="spellEnd"/>
      <w:r w:rsidRPr="00AD002D">
        <w:rPr>
          <w:spacing w:val="-1"/>
          <w:sz w:val="24"/>
          <w:szCs w:val="24"/>
        </w:rPr>
        <w:t xml:space="preserve"> og 1,25-dihydroxy vitamin D meget ens.</w:t>
      </w:r>
    </w:p>
    <w:p w14:paraId="01970ED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4"/>
          <w:sz w:val="24"/>
          <w:szCs w:val="24"/>
        </w:rPr>
      </w:pPr>
    </w:p>
    <w:p w14:paraId="1B22402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proofErr w:type="spellStart"/>
      <w:r w:rsidRPr="00AD002D">
        <w:rPr>
          <w:spacing w:val="-1"/>
          <w:sz w:val="24"/>
          <w:szCs w:val="24"/>
          <w:u w:val="single"/>
        </w:rPr>
        <w:t>Farmokokinetiske</w:t>
      </w:r>
      <w:proofErr w:type="spellEnd"/>
      <w:r w:rsidRPr="00AD002D">
        <w:rPr>
          <w:spacing w:val="-1"/>
          <w:sz w:val="24"/>
          <w:szCs w:val="24"/>
          <w:u w:val="single"/>
        </w:rPr>
        <w:t>/</w:t>
      </w:r>
      <w:proofErr w:type="spellStart"/>
      <w:r w:rsidRPr="00AD002D">
        <w:rPr>
          <w:spacing w:val="-1"/>
          <w:sz w:val="24"/>
          <w:szCs w:val="24"/>
          <w:u w:val="single"/>
        </w:rPr>
        <w:t>farmokodynamiske</w:t>
      </w:r>
      <w:proofErr w:type="spellEnd"/>
      <w:r w:rsidRPr="00AD002D">
        <w:rPr>
          <w:spacing w:val="-1"/>
          <w:sz w:val="24"/>
          <w:szCs w:val="24"/>
          <w:u w:val="single"/>
        </w:rPr>
        <w:t xml:space="preserve"> forhold</w:t>
      </w:r>
    </w:p>
    <w:p w14:paraId="0C04DCE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4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Halveringstiden for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er ca. 4 timer. Den farmakologiske effekt er 3-5 dage.</w:t>
      </w:r>
    </w:p>
    <w:p w14:paraId="319B9E77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3A1B05D3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5.3</w:t>
      </w:r>
      <w:r w:rsidRPr="00AD002D">
        <w:rPr>
          <w:b/>
          <w:sz w:val="24"/>
          <w:szCs w:val="24"/>
        </w:rPr>
        <w:tab/>
      </w:r>
      <w:r w:rsidR="00E05264" w:rsidRPr="00AD002D">
        <w:rPr>
          <w:b/>
          <w:sz w:val="24"/>
          <w:szCs w:val="24"/>
        </w:rPr>
        <w:t>Non-</w:t>
      </w:r>
      <w:r w:rsidRPr="00AD002D">
        <w:rPr>
          <w:b/>
          <w:sz w:val="24"/>
          <w:szCs w:val="24"/>
        </w:rPr>
        <w:t>kliniske sikkerhedsdata</w:t>
      </w:r>
    </w:p>
    <w:p w14:paraId="39BB2F88" w14:textId="77777777" w:rsidR="006651B2" w:rsidRPr="00AD002D" w:rsidRDefault="006651B2" w:rsidP="00BE06EE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D1B354B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Kronisk toksicitet</w:t>
      </w:r>
    </w:p>
    <w:p w14:paraId="77D8639F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Den ikke-kliniske toksicitet af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tilskrives den kendte vitamin D-virkning af </w:t>
      </w:r>
      <w:proofErr w:type="spellStart"/>
      <w:r w:rsidRPr="00AD002D">
        <w:rPr>
          <w:sz w:val="24"/>
          <w:szCs w:val="24"/>
        </w:rPr>
        <w:t>calcitriol</w:t>
      </w:r>
      <w:proofErr w:type="spellEnd"/>
      <w:r w:rsidRPr="00AD002D">
        <w:rPr>
          <w:sz w:val="24"/>
          <w:szCs w:val="24"/>
        </w:rPr>
        <w:t xml:space="preserve"> på </w:t>
      </w:r>
      <w:proofErr w:type="spellStart"/>
      <w:r w:rsidRPr="00AD002D">
        <w:rPr>
          <w:sz w:val="24"/>
          <w:szCs w:val="24"/>
        </w:rPr>
        <w:t>calciumhomeostasen</w:t>
      </w:r>
      <w:proofErr w:type="spellEnd"/>
      <w:r w:rsidRPr="00AD002D">
        <w:rPr>
          <w:sz w:val="24"/>
          <w:szCs w:val="24"/>
        </w:rPr>
        <w:t xml:space="preserve">, som er kendetegnet ved </w:t>
      </w:r>
      <w:proofErr w:type="spellStart"/>
      <w:r w:rsidRPr="00AD002D">
        <w:rPr>
          <w:sz w:val="24"/>
          <w:szCs w:val="24"/>
        </w:rPr>
        <w:t>hypercalcæmi</w:t>
      </w:r>
      <w:proofErr w:type="spellEnd"/>
      <w:r w:rsidRPr="00AD002D">
        <w:rPr>
          <w:sz w:val="24"/>
          <w:szCs w:val="24"/>
        </w:rPr>
        <w:t xml:space="preserve">, </w:t>
      </w:r>
      <w:proofErr w:type="spellStart"/>
      <w:r w:rsidRPr="00AD002D">
        <w:rPr>
          <w:sz w:val="24"/>
          <w:szCs w:val="24"/>
        </w:rPr>
        <w:t>hypercalciuri</w:t>
      </w:r>
      <w:proofErr w:type="spellEnd"/>
      <w:r w:rsidRPr="00AD002D">
        <w:rPr>
          <w:sz w:val="24"/>
          <w:szCs w:val="24"/>
        </w:rPr>
        <w:t xml:space="preserve"> og på længere sigt vævsforkalkning.</w:t>
      </w:r>
    </w:p>
    <w:p w14:paraId="4372C1BF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47FA750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Genotoksicitet</w:t>
      </w:r>
    </w:p>
    <w:p w14:paraId="50426341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er ikke genotoksisk.</w:t>
      </w:r>
    </w:p>
    <w:p w14:paraId="1DE6A17D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33CDE8F7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Reproduktionstoksicitet</w:t>
      </w:r>
    </w:p>
    <w:p w14:paraId="7D6F1A2D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Der blev ikke set nogen specifikke virkninger af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på fertiliteten eller adfærden hos afkommet hos rotter og kaniner. Hvad angik den </w:t>
      </w:r>
      <w:proofErr w:type="spellStart"/>
      <w:r w:rsidRPr="00AD002D">
        <w:rPr>
          <w:sz w:val="24"/>
          <w:szCs w:val="24"/>
        </w:rPr>
        <w:t>embryoføtale</w:t>
      </w:r>
      <w:proofErr w:type="spellEnd"/>
      <w:r w:rsidRPr="00AD002D">
        <w:rPr>
          <w:sz w:val="24"/>
          <w:szCs w:val="24"/>
        </w:rPr>
        <w:t xml:space="preserve"> udvikling, blev der set </w:t>
      </w:r>
      <w:proofErr w:type="spellStart"/>
      <w:r w:rsidRPr="00AD002D">
        <w:rPr>
          <w:sz w:val="24"/>
          <w:szCs w:val="24"/>
        </w:rPr>
        <w:t>føtal</w:t>
      </w:r>
      <w:proofErr w:type="spellEnd"/>
      <w:r w:rsidRPr="00AD002D">
        <w:rPr>
          <w:sz w:val="24"/>
          <w:szCs w:val="24"/>
        </w:rPr>
        <w:t xml:space="preserve"> toksicitet (postimplantationstab, mindre kuldstørrelse og lavere vægt hos ungerne) efter doser, der var høje nok til at forårsage toksicitet hos fostrene. Høje doser af vitamin D vides at være </w:t>
      </w:r>
      <w:proofErr w:type="spellStart"/>
      <w:r w:rsidRPr="00AD002D">
        <w:rPr>
          <w:sz w:val="24"/>
          <w:szCs w:val="24"/>
        </w:rPr>
        <w:t>teratogene</w:t>
      </w:r>
      <w:proofErr w:type="spellEnd"/>
      <w:r w:rsidRPr="00AD002D">
        <w:rPr>
          <w:sz w:val="24"/>
          <w:szCs w:val="24"/>
        </w:rPr>
        <w:t xml:space="preserve"> hos forsøgsdyr.</w:t>
      </w:r>
    </w:p>
    <w:p w14:paraId="2A4C375F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48F4F747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8BF285F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</w:t>
      </w:r>
      <w:r w:rsidRPr="00AD002D">
        <w:rPr>
          <w:b/>
          <w:sz w:val="24"/>
          <w:szCs w:val="24"/>
        </w:rPr>
        <w:tab/>
        <w:t>FARMACEUTISKE OPLYSNINGER</w:t>
      </w:r>
    </w:p>
    <w:p w14:paraId="587CAC96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41F5DBDF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6.1</w:t>
      </w:r>
      <w:r w:rsidRPr="00AD002D">
        <w:rPr>
          <w:b/>
          <w:sz w:val="24"/>
          <w:szCs w:val="24"/>
        </w:rPr>
        <w:tab/>
        <w:t>Hjælpestoffer</w:t>
      </w:r>
    </w:p>
    <w:p w14:paraId="1000CAA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Citronsyre, vandfri</w:t>
      </w:r>
    </w:p>
    <w:p w14:paraId="096A93C7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All-rac-α-</w:t>
      </w:r>
      <w:proofErr w:type="spellStart"/>
      <w:r w:rsidRPr="00AD002D">
        <w:rPr>
          <w:sz w:val="24"/>
          <w:szCs w:val="24"/>
        </w:rPr>
        <w:t>Tocopherol</w:t>
      </w:r>
      <w:proofErr w:type="spellEnd"/>
      <w:r w:rsidRPr="00AD002D">
        <w:rPr>
          <w:sz w:val="24"/>
          <w:szCs w:val="24"/>
        </w:rPr>
        <w:t xml:space="preserve"> </w:t>
      </w:r>
    </w:p>
    <w:p w14:paraId="58B3F47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Propylgallat</w:t>
      </w:r>
      <w:proofErr w:type="spellEnd"/>
    </w:p>
    <w:p w14:paraId="0AB725E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Ethanol</w:t>
      </w:r>
      <w:proofErr w:type="spellEnd"/>
      <w:r w:rsidRPr="00AD002D">
        <w:rPr>
          <w:sz w:val="24"/>
          <w:szCs w:val="24"/>
        </w:rPr>
        <w:t>, vandfri</w:t>
      </w:r>
    </w:p>
    <w:p w14:paraId="2F367F4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Jordnødolie, </w:t>
      </w:r>
      <w:proofErr w:type="spellStart"/>
      <w:r w:rsidRPr="00AD002D">
        <w:rPr>
          <w:sz w:val="24"/>
          <w:szCs w:val="24"/>
        </w:rPr>
        <w:t>hydrogeneret</w:t>
      </w:r>
      <w:proofErr w:type="spellEnd"/>
      <w:r w:rsidRPr="00AD002D">
        <w:rPr>
          <w:sz w:val="24"/>
          <w:szCs w:val="24"/>
        </w:rPr>
        <w:t xml:space="preserve"> </w:t>
      </w:r>
    </w:p>
    <w:p w14:paraId="58BE085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</w:p>
    <w:p w14:paraId="0D52858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2"/>
          <w:sz w:val="24"/>
          <w:szCs w:val="24"/>
          <w:u w:val="single"/>
        </w:rPr>
        <w:t>Kapselskal</w:t>
      </w:r>
    </w:p>
    <w:p w14:paraId="31D9BEC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2"/>
          <w:sz w:val="24"/>
          <w:szCs w:val="24"/>
        </w:rPr>
        <w:t>Gelatineglycerol</w:t>
      </w:r>
    </w:p>
    <w:p w14:paraId="0977876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Anidrisorb</w:t>
      </w:r>
      <w:proofErr w:type="spellEnd"/>
    </w:p>
    <w:p w14:paraId="4991F7A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Renset vand </w:t>
      </w:r>
    </w:p>
    <w:p w14:paraId="7FD6597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color w:val="000000"/>
          <w:sz w:val="24"/>
          <w:szCs w:val="24"/>
        </w:rPr>
      </w:pPr>
      <w:proofErr w:type="spellStart"/>
      <w:r w:rsidRPr="00AD002D">
        <w:rPr>
          <w:color w:val="000000"/>
          <w:sz w:val="24"/>
          <w:szCs w:val="24"/>
        </w:rPr>
        <w:t>Mellemkædetriglycerid</w:t>
      </w:r>
      <w:proofErr w:type="spellEnd"/>
    </w:p>
    <w:p w14:paraId="5D342DD5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color w:val="000000"/>
          <w:sz w:val="24"/>
          <w:szCs w:val="24"/>
        </w:rPr>
      </w:pPr>
      <w:proofErr w:type="spellStart"/>
      <w:r w:rsidRPr="00AD002D">
        <w:rPr>
          <w:color w:val="000000"/>
          <w:sz w:val="24"/>
          <w:szCs w:val="24"/>
        </w:rPr>
        <w:t>Lecithin</w:t>
      </w:r>
      <w:proofErr w:type="spellEnd"/>
      <w:r w:rsidRPr="00AD002D">
        <w:rPr>
          <w:color w:val="000000"/>
          <w:sz w:val="24"/>
          <w:szCs w:val="24"/>
        </w:rPr>
        <w:t xml:space="preserve"> (</w:t>
      </w:r>
      <w:proofErr w:type="spellStart"/>
      <w:r w:rsidRPr="00AD002D">
        <w:rPr>
          <w:color w:val="000000"/>
          <w:sz w:val="24"/>
          <w:szCs w:val="24"/>
        </w:rPr>
        <w:t>sojalecithin</w:t>
      </w:r>
      <w:proofErr w:type="spellEnd"/>
      <w:r w:rsidRPr="00AD002D">
        <w:rPr>
          <w:color w:val="000000"/>
          <w:sz w:val="24"/>
          <w:szCs w:val="24"/>
        </w:rPr>
        <w:t>)</w:t>
      </w:r>
    </w:p>
    <w:p w14:paraId="35CF365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6964B25F" w14:textId="77777777" w:rsidR="006651B2" w:rsidRPr="00AD002D" w:rsidRDefault="00054788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3"/>
          <w:sz w:val="24"/>
          <w:szCs w:val="24"/>
          <w:u w:val="single"/>
        </w:rPr>
        <w:t>F</w:t>
      </w:r>
      <w:r w:rsidR="006651B2" w:rsidRPr="00AD002D">
        <w:rPr>
          <w:spacing w:val="3"/>
          <w:sz w:val="24"/>
          <w:szCs w:val="24"/>
          <w:u w:val="single"/>
        </w:rPr>
        <w:t>arvestoffer</w:t>
      </w:r>
    </w:p>
    <w:p w14:paraId="5CE3673B" w14:textId="450CDC56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Titandioxid (E171) og gul jernoxid (E172).</w:t>
      </w:r>
    </w:p>
    <w:p w14:paraId="1AFC36BA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8CC2D73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6.2</w:t>
      </w:r>
      <w:r w:rsidRPr="00AD002D">
        <w:rPr>
          <w:b/>
          <w:sz w:val="24"/>
          <w:szCs w:val="24"/>
        </w:rPr>
        <w:tab/>
        <w:t>Uforligeligheder</w:t>
      </w:r>
    </w:p>
    <w:p w14:paraId="2BF8713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>Ikke relevant.</w:t>
      </w:r>
    </w:p>
    <w:p w14:paraId="751D108A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7108719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6.3</w:t>
      </w:r>
      <w:r w:rsidRPr="00AD002D">
        <w:rPr>
          <w:b/>
          <w:sz w:val="24"/>
          <w:szCs w:val="24"/>
        </w:rPr>
        <w:tab/>
        <w:t>Opbevaringstid</w:t>
      </w:r>
    </w:p>
    <w:p w14:paraId="501BCBC8" w14:textId="7DE41652" w:rsidR="006651B2" w:rsidRPr="00174C74" w:rsidRDefault="00174C74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174C74">
        <w:rPr>
          <w:sz w:val="24"/>
          <w:szCs w:val="24"/>
        </w:rPr>
        <w:t>Beholder med 90 kapsler: 2 år</w:t>
      </w:r>
      <w:r>
        <w:rPr>
          <w:sz w:val="24"/>
          <w:szCs w:val="24"/>
        </w:rPr>
        <w:t>.</w:t>
      </w:r>
    </w:p>
    <w:p w14:paraId="5565A1AE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36F86AE0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6.4</w:t>
      </w:r>
      <w:r w:rsidRPr="00AD002D">
        <w:rPr>
          <w:b/>
          <w:sz w:val="24"/>
          <w:szCs w:val="24"/>
        </w:rPr>
        <w:tab/>
        <w:t>Særlige opbevaringsforhold</w:t>
      </w:r>
    </w:p>
    <w:p w14:paraId="7328E4F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lastRenderedPageBreak/>
        <w:t>Dette lægemiddel kræver ingen særlige forholdsregler vedrørende opbevaringen.</w:t>
      </w:r>
    </w:p>
    <w:p w14:paraId="02E4F6E2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24DFE816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6.5</w:t>
      </w:r>
      <w:r w:rsidRPr="00AD002D">
        <w:rPr>
          <w:b/>
          <w:sz w:val="24"/>
          <w:szCs w:val="24"/>
        </w:rPr>
        <w:tab/>
        <w:t>Emballagetype og pakningsstørrelser</w:t>
      </w:r>
    </w:p>
    <w:p w14:paraId="18A84E10" w14:textId="3FD4C16E" w:rsidR="006651B2" w:rsidRPr="00AD002D" w:rsidRDefault="00174C74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>
        <w:rPr>
          <w:sz w:val="24"/>
          <w:szCs w:val="24"/>
        </w:rPr>
        <w:t>Beholder.</w:t>
      </w:r>
    </w:p>
    <w:p w14:paraId="0BC77CA1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F04E488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6.6</w:t>
      </w:r>
      <w:r w:rsidRPr="00AD002D">
        <w:rPr>
          <w:b/>
          <w:sz w:val="24"/>
          <w:szCs w:val="24"/>
        </w:rPr>
        <w:tab/>
        <w:t xml:space="preserve">Regler for </w:t>
      </w:r>
      <w:r w:rsidR="00E05264" w:rsidRPr="00AD002D">
        <w:rPr>
          <w:b/>
          <w:sz w:val="24"/>
          <w:szCs w:val="24"/>
        </w:rPr>
        <w:t>bortskaffelse</w:t>
      </w:r>
      <w:r w:rsidRPr="00AD002D">
        <w:rPr>
          <w:b/>
          <w:sz w:val="24"/>
          <w:szCs w:val="24"/>
        </w:rPr>
        <w:t xml:space="preserve"> og anden håndtering</w:t>
      </w:r>
    </w:p>
    <w:p w14:paraId="79C0308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>Ingen særlige forholdsregler.</w:t>
      </w:r>
    </w:p>
    <w:p w14:paraId="5D11FC36" w14:textId="77777777" w:rsidR="006651B2" w:rsidRPr="00AD002D" w:rsidRDefault="006651B2" w:rsidP="00BE06EE">
      <w:pPr>
        <w:ind w:left="851" w:right="-1"/>
        <w:jc w:val="both"/>
        <w:rPr>
          <w:sz w:val="24"/>
          <w:szCs w:val="24"/>
        </w:rPr>
      </w:pPr>
    </w:p>
    <w:p w14:paraId="16058FBE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7.</w:t>
      </w:r>
      <w:r w:rsidRPr="00AD002D">
        <w:rPr>
          <w:b/>
          <w:sz w:val="24"/>
          <w:szCs w:val="24"/>
        </w:rPr>
        <w:tab/>
        <w:t>INDEHAVER AF MARKEDSFØRINGSTILLADELSEN</w:t>
      </w:r>
    </w:p>
    <w:p w14:paraId="64C81009" w14:textId="77777777" w:rsidR="00174C74" w:rsidRPr="002F2B9C" w:rsidRDefault="00174C74" w:rsidP="00174C74">
      <w:pPr>
        <w:ind w:left="851"/>
        <w:rPr>
          <w:lang w:eastAsia="da-DK"/>
        </w:rPr>
      </w:pPr>
      <w:r w:rsidRPr="002F2B9C">
        <w:rPr>
          <w:lang w:eastAsia="da-DK"/>
        </w:rPr>
        <w:t>2care4 ApS</w:t>
      </w:r>
    </w:p>
    <w:p w14:paraId="6A1C0F05" w14:textId="77777777" w:rsidR="00174C74" w:rsidRPr="002F2B9C" w:rsidRDefault="00174C74" w:rsidP="00174C74">
      <w:pPr>
        <w:ind w:left="851"/>
        <w:rPr>
          <w:lang w:eastAsia="da-DK"/>
        </w:rPr>
      </w:pPr>
      <w:r>
        <w:rPr>
          <w:lang w:eastAsia="da-DK"/>
        </w:rPr>
        <w:t>Stenhuggervej 12</w:t>
      </w:r>
    </w:p>
    <w:p w14:paraId="51792648" w14:textId="77777777" w:rsidR="00174C74" w:rsidRPr="002F2B9C" w:rsidRDefault="00174C74" w:rsidP="00174C74">
      <w:pPr>
        <w:ind w:left="851"/>
        <w:rPr>
          <w:lang w:eastAsia="da-DK"/>
        </w:rPr>
      </w:pPr>
      <w:r w:rsidRPr="002F2B9C">
        <w:rPr>
          <w:lang w:eastAsia="da-DK"/>
        </w:rPr>
        <w:t>6710 Esbjerg V</w:t>
      </w:r>
    </w:p>
    <w:p w14:paraId="0527CE91" w14:textId="77777777" w:rsidR="00E05264" w:rsidRPr="00703016" w:rsidRDefault="00E05264" w:rsidP="00E05264">
      <w:pPr>
        <w:ind w:left="851" w:right="-1"/>
        <w:rPr>
          <w:sz w:val="24"/>
          <w:szCs w:val="24"/>
          <w:lang w:val="en-US"/>
        </w:rPr>
      </w:pPr>
    </w:p>
    <w:p w14:paraId="632C529C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8.</w:t>
      </w:r>
      <w:r w:rsidRPr="00AD002D">
        <w:rPr>
          <w:b/>
          <w:sz w:val="24"/>
          <w:szCs w:val="24"/>
        </w:rPr>
        <w:tab/>
        <w:t>MARKEDSFØRINGSTILLADELSESNUMMER (</w:t>
      </w:r>
      <w:r w:rsidR="00E05264" w:rsidRPr="00AD002D">
        <w:rPr>
          <w:b/>
          <w:sz w:val="24"/>
          <w:szCs w:val="24"/>
        </w:rPr>
        <w:t>-</w:t>
      </w:r>
      <w:r w:rsidRPr="00AD002D">
        <w:rPr>
          <w:b/>
          <w:sz w:val="24"/>
          <w:szCs w:val="24"/>
        </w:rPr>
        <w:t>NUMRE)</w:t>
      </w:r>
    </w:p>
    <w:p w14:paraId="57F67F7F" w14:textId="4EA852DF" w:rsidR="006651B2" w:rsidRPr="00AD002D" w:rsidRDefault="00174C74" w:rsidP="00667F26">
      <w:pPr>
        <w:ind w:left="851" w:right="-1"/>
        <w:rPr>
          <w:sz w:val="24"/>
          <w:szCs w:val="24"/>
        </w:rPr>
      </w:pPr>
      <w:r w:rsidRPr="00174C74">
        <w:rPr>
          <w:sz w:val="24"/>
          <w:szCs w:val="24"/>
        </w:rPr>
        <w:t>72701</w:t>
      </w:r>
    </w:p>
    <w:p w14:paraId="268601C1" w14:textId="77777777" w:rsidR="006651B2" w:rsidRPr="00AD002D" w:rsidRDefault="006651B2" w:rsidP="00667F26">
      <w:pPr>
        <w:ind w:left="851" w:right="-1"/>
        <w:jc w:val="both"/>
        <w:rPr>
          <w:sz w:val="24"/>
          <w:szCs w:val="24"/>
        </w:rPr>
      </w:pPr>
    </w:p>
    <w:p w14:paraId="7DFE220D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9.</w:t>
      </w:r>
      <w:r w:rsidRPr="00AD002D">
        <w:rPr>
          <w:b/>
          <w:sz w:val="24"/>
          <w:szCs w:val="24"/>
        </w:rPr>
        <w:tab/>
        <w:t>DATO FOR FØRSTE MARKEDSFØRINGSTILLADELSE</w:t>
      </w:r>
    </w:p>
    <w:p w14:paraId="196D3DDE" w14:textId="6080165D" w:rsidR="006651B2" w:rsidRPr="00AD002D" w:rsidRDefault="00174C74" w:rsidP="00667F26">
      <w:pPr>
        <w:ind w:left="851" w:right="-1"/>
        <w:rPr>
          <w:sz w:val="24"/>
          <w:szCs w:val="24"/>
        </w:rPr>
      </w:pPr>
      <w:r>
        <w:rPr>
          <w:sz w:val="24"/>
          <w:szCs w:val="24"/>
        </w:rPr>
        <w:t>12. december 2024</w:t>
      </w:r>
    </w:p>
    <w:p w14:paraId="0EEB2BEB" w14:textId="77777777" w:rsidR="006651B2" w:rsidRPr="00AD002D" w:rsidRDefault="006651B2" w:rsidP="00667F26">
      <w:pPr>
        <w:ind w:left="851" w:right="-1"/>
        <w:rPr>
          <w:sz w:val="24"/>
          <w:szCs w:val="24"/>
        </w:rPr>
      </w:pPr>
    </w:p>
    <w:p w14:paraId="6F0087AC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10.</w:t>
      </w:r>
      <w:r w:rsidRPr="00AD002D">
        <w:rPr>
          <w:b/>
          <w:sz w:val="24"/>
          <w:szCs w:val="24"/>
        </w:rPr>
        <w:tab/>
        <w:t>DATO FOR ÆNDRING AF TEKSTEN</w:t>
      </w:r>
    </w:p>
    <w:p w14:paraId="0261BF42" w14:textId="2C8AD68A" w:rsidR="006651B2" w:rsidRPr="00AD002D" w:rsidRDefault="00174C74" w:rsidP="00667F26">
      <w:pPr>
        <w:ind w:left="851" w:right="-1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</w:p>
    <w:sectPr w:rsidR="006651B2" w:rsidRPr="00AD002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6326A" w14:textId="77777777" w:rsidR="006651B2" w:rsidRDefault="006651B2">
      <w:r>
        <w:separator/>
      </w:r>
    </w:p>
  </w:endnote>
  <w:endnote w:type="continuationSeparator" w:id="0">
    <w:p w14:paraId="182295EF" w14:textId="77777777" w:rsidR="006651B2" w:rsidRDefault="0066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F5A0" w14:textId="77777777" w:rsidR="000259B9" w:rsidRDefault="000259B9">
    <w:pPr>
      <w:pStyle w:val="Sidefod"/>
      <w:pBdr>
        <w:bottom w:val="single" w:sz="6" w:space="1" w:color="auto"/>
      </w:pBdr>
    </w:pPr>
  </w:p>
  <w:p w14:paraId="3016CFDF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6317932" w14:textId="4126D601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74C74">
      <w:rPr>
        <w:i/>
        <w:noProof/>
        <w:sz w:val="18"/>
        <w:szCs w:val="18"/>
      </w:rPr>
      <w:t>Alfacalcidol Cande (2care4), bløde kapsler 1 mikrogram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9CB31" w14:textId="77777777" w:rsidR="006651B2" w:rsidRDefault="006651B2">
      <w:r>
        <w:separator/>
      </w:r>
    </w:p>
  </w:footnote>
  <w:footnote w:type="continuationSeparator" w:id="0">
    <w:p w14:paraId="1DEE275C" w14:textId="77777777" w:rsidR="006651B2" w:rsidRDefault="0066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B2"/>
    <w:rsid w:val="000259B9"/>
    <w:rsid w:val="00041491"/>
    <w:rsid w:val="00050D16"/>
    <w:rsid w:val="00054788"/>
    <w:rsid w:val="00071731"/>
    <w:rsid w:val="00074F2A"/>
    <w:rsid w:val="000A1CA8"/>
    <w:rsid w:val="000A466B"/>
    <w:rsid w:val="000B058C"/>
    <w:rsid w:val="000E4EE6"/>
    <w:rsid w:val="001454E2"/>
    <w:rsid w:val="00174C74"/>
    <w:rsid w:val="0018563E"/>
    <w:rsid w:val="00206CE8"/>
    <w:rsid w:val="0021526C"/>
    <w:rsid w:val="002307C5"/>
    <w:rsid w:val="00260877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651B2"/>
    <w:rsid w:val="00667F26"/>
    <w:rsid w:val="006756DD"/>
    <w:rsid w:val="006E11B3"/>
    <w:rsid w:val="00703016"/>
    <w:rsid w:val="00737275"/>
    <w:rsid w:val="00740EEC"/>
    <w:rsid w:val="00760D16"/>
    <w:rsid w:val="0078011A"/>
    <w:rsid w:val="00782AF4"/>
    <w:rsid w:val="00790EE7"/>
    <w:rsid w:val="007B6649"/>
    <w:rsid w:val="0081546F"/>
    <w:rsid w:val="0082576E"/>
    <w:rsid w:val="008F531D"/>
    <w:rsid w:val="008F5B34"/>
    <w:rsid w:val="00907F75"/>
    <w:rsid w:val="0091488C"/>
    <w:rsid w:val="009260DE"/>
    <w:rsid w:val="0093258A"/>
    <w:rsid w:val="009C7BA3"/>
    <w:rsid w:val="009D1F5A"/>
    <w:rsid w:val="00A26204"/>
    <w:rsid w:val="00AD002D"/>
    <w:rsid w:val="00B003BF"/>
    <w:rsid w:val="00B373D7"/>
    <w:rsid w:val="00B52D80"/>
    <w:rsid w:val="00BE06EE"/>
    <w:rsid w:val="00C36276"/>
    <w:rsid w:val="00C42586"/>
    <w:rsid w:val="00C60CCD"/>
    <w:rsid w:val="00C7609E"/>
    <w:rsid w:val="00C84483"/>
    <w:rsid w:val="00C95551"/>
    <w:rsid w:val="00CB20D7"/>
    <w:rsid w:val="00CD618A"/>
    <w:rsid w:val="00D020B0"/>
    <w:rsid w:val="00D11748"/>
    <w:rsid w:val="00D366CF"/>
    <w:rsid w:val="00E05264"/>
    <w:rsid w:val="00E108AA"/>
    <w:rsid w:val="00E31812"/>
    <w:rsid w:val="00E3749A"/>
    <w:rsid w:val="00E56C20"/>
    <w:rsid w:val="00E7437F"/>
    <w:rsid w:val="00E865B8"/>
    <w:rsid w:val="00E93AF3"/>
    <w:rsid w:val="00EB6BA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93CE3"/>
  <w15:chartTrackingRefBased/>
  <w15:docId w15:val="{FFD43450-8D69-4D8F-8587-A1FAB545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6651B2"/>
    <w:rPr>
      <w:color w:val="0000FF"/>
      <w:u w:val="single"/>
    </w:rPr>
  </w:style>
  <w:style w:type="character" w:styleId="Fremhv">
    <w:name w:val="Emphasis"/>
    <w:uiPriority w:val="20"/>
    <w:qFormat/>
    <w:rsid w:val="006651B2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E0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2249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anmr</dc:creator>
  <cp:keywords/>
  <dc:description>2024103464 - nyt PI-SPC</dc:description>
  <cp:lastModifiedBy>Annette Malmros</cp:lastModifiedBy>
  <cp:revision>4</cp:revision>
  <cp:lastPrinted>2012-08-22T08:53:00Z</cp:lastPrinted>
  <dcterms:created xsi:type="dcterms:W3CDTF">2024-12-11T16:46:00Z</dcterms:created>
  <dcterms:modified xsi:type="dcterms:W3CDTF">2024-12-11T17:07:00Z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