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5D4" w:rsidRPr="008F49E1" w:rsidRDefault="001935D4" w:rsidP="001935D4">
      <w:pPr>
        <w:rPr>
          <w:sz w:val="24"/>
          <w:szCs w:val="24"/>
        </w:rPr>
      </w:pPr>
      <w:r w:rsidRPr="009260DE">
        <w:rPr>
          <w:noProof/>
          <w:sz w:val="24"/>
          <w:szCs w:val="24"/>
          <w:lang w:eastAsia="da-DK"/>
        </w:rPr>
        <w:drawing>
          <wp:anchor distT="0" distB="0" distL="114300" distR="114300" simplePos="0" relativeHeight="251659264" behindDoc="0" locked="0" layoutInCell="1" allowOverlap="1" wp14:anchorId="3D47D279" wp14:editId="0762510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935D4" w:rsidRDefault="001935D4" w:rsidP="001935D4">
      <w:pPr>
        <w:pStyle w:val="Titel"/>
        <w:tabs>
          <w:tab w:val="right" w:pos="9356"/>
        </w:tabs>
        <w:jc w:val="left"/>
        <w:rPr>
          <w:szCs w:val="24"/>
        </w:rPr>
      </w:pPr>
      <w:r w:rsidRPr="00C84483">
        <w:rPr>
          <w:b w:val="0"/>
          <w:szCs w:val="24"/>
          <w:lang w:eastAsia="en-US"/>
        </w:rPr>
        <w:tab/>
      </w:r>
      <w:r w:rsidR="00C86C7D">
        <w:rPr>
          <w:szCs w:val="24"/>
        </w:rPr>
        <w:t>18. juli 2023</w:t>
      </w:r>
    </w:p>
    <w:p w:rsidR="00445DA0" w:rsidRDefault="00445DA0" w:rsidP="001935D4">
      <w:pPr>
        <w:pStyle w:val="Titel"/>
        <w:tabs>
          <w:tab w:val="right" w:pos="9356"/>
        </w:tabs>
        <w:jc w:val="left"/>
        <w:rPr>
          <w:b w:val="0"/>
          <w:szCs w:val="24"/>
          <w:lang w:eastAsia="en-US"/>
        </w:rPr>
      </w:pPr>
    </w:p>
    <w:p w:rsidR="00D4310E" w:rsidRDefault="00D4310E" w:rsidP="001935D4">
      <w:pPr>
        <w:pStyle w:val="Titel"/>
        <w:tabs>
          <w:tab w:val="right" w:pos="9356"/>
        </w:tabs>
        <w:jc w:val="left"/>
        <w:rPr>
          <w:b w:val="0"/>
          <w:szCs w:val="24"/>
          <w:lang w:eastAsia="en-US"/>
        </w:rPr>
      </w:pPr>
    </w:p>
    <w:p w:rsidR="009602D0" w:rsidRPr="00C84483" w:rsidRDefault="009602D0" w:rsidP="001935D4">
      <w:pPr>
        <w:pStyle w:val="Titel"/>
        <w:tabs>
          <w:tab w:val="right" w:pos="9356"/>
        </w:tabs>
        <w:jc w:val="left"/>
        <w:rPr>
          <w:b w:val="0"/>
          <w:szCs w:val="24"/>
          <w:lang w:eastAsia="en-US"/>
        </w:rPr>
      </w:pPr>
    </w:p>
    <w:p w:rsidR="001935D4" w:rsidRPr="00C84483" w:rsidRDefault="001935D4" w:rsidP="001935D4">
      <w:pPr>
        <w:jc w:val="center"/>
        <w:rPr>
          <w:b/>
          <w:sz w:val="24"/>
          <w:szCs w:val="24"/>
        </w:rPr>
      </w:pPr>
      <w:r w:rsidRPr="00C84483">
        <w:rPr>
          <w:b/>
          <w:sz w:val="24"/>
          <w:szCs w:val="24"/>
        </w:rPr>
        <w:t>PRODUKTRESUMÉ</w:t>
      </w:r>
    </w:p>
    <w:p w:rsidR="001935D4" w:rsidRPr="00C84483" w:rsidRDefault="001935D4" w:rsidP="001935D4">
      <w:pPr>
        <w:jc w:val="center"/>
        <w:rPr>
          <w:b/>
          <w:sz w:val="24"/>
          <w:szCs w:val="24"/>
        </w:rPr>
      </w:pPr>
    </w:p>
    <w:p w:rsidR="001935D4" w:rsidRDefault="001935D4" w:rsidP="001935D4">
      <w:pPr>
        <w:jc w:val="center"/>
        <w:rPr>
          <w:b/>
          <w:sz w:val="24"/>
          <w:szCs w:val="24"/>
        </w:rPr>
      </w:pPr>
      <w:r w:rsidRPr="00C84483">
        <w:rPr>
          <w:b/>
          <w:sz w:val="24"/>
          <w:szCs w:val="24"/>
        </w:rPr>
        <w:t>for</w:t>
      </w:r>
    </w:p>
    <w:p w:rsidR="001935D4" w:rsidRPr="00C84483" w:rsidRDefault="001935D4" w:rsidP="001935D4">
      <w:pPr>
        <w:jc w:val="center"/>
        <w:rPr>
          <w:b/>
          <w:sz w:val="24"/>
          <w:szCs w:val="24"/>
        </w:rPr>
      </w:pPr>
    </w:p>
    <w:p w:rsidR="001935D4" w:rsidRPr="00C84483" w:rsidRDefault="001935D4" w:rsidP="001935D4">
      <w:pPr>
        <w:jc w:val="center"/>
        <w:rPr>
          <w:b/>
          <w:sz w:val="24"/>
          <w:szCs w:val="24"/>
        </w:rPr>
      </w:pPr>
      <w:proofErr w:type="spellStart"/>
      <w:r>
        <w:rPr>
          <w:b/>
          <w:sz w:val="24"/>
          <w:szCs w:val="24"/>
        </w:rPr>
        <w:t>Alfentanil</w:t>
      </w:r>
      <w:proofErr w:type="spellEnd"/>
      <w:r>
        <w:rPr>
          <w:b/>
          <w:sz w:val="24"/>
          <w:szCs w:val="24"/>
        </w:rPr>
        <w:t xml:space="preserve"> "</w:t>
      </w:r>
      <w:proofErr w:type="spellStart"/>
      <w:r>
        <w:rPr>
          <w:b/>
          <w:sz w:val="24"/>
          <w:szCs w:val="24"/>
        </w:rPr>
        <w:t>Kalceks</w:t>
      </w:r>
      <w:proofErr w:type="spellEnd"/>
      <w:r>
        <w:rPr>
          <w:b/>
          <w:sz w:val="24"/>
          <w:szCs w:val="24"/>
        </w:rPr>
        <w:t>", injektions-/infusionsvæske, opløsning</w:t>
      </w:r>
    </w:p>
    <w:p w:rsidR="001935D4" w:rsidRPr="00C84483" w:rsidRDefault="001935D4" w:rsidP="001935D4">
      <w:pPr>
        <w:jc w:val="both"/>
        <w:rPr>
          <w:sz w:val="24"/>
          <w:szCs w:val="24"/>
        </w:rPr>
      </w:pPr>
    </w:p>
    <w:p w:rsidR="001935D4" w:rsidRPr="00AC1736" w:rsidRDefault="001935D4" w:rsidP="001935D4">
      <w:pPr>
        <w:ind w:left="851" w:hanging="851"/>
        <w:jc w:val="both"/>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0.</w:t>
      </w:r>
      <w:r w:rsidRPr="00AC1736">
        <w:rPr>
          <w:b/>
          <w:sz w:val="24"/>
          <w:szCs w:val="24"/>
        </w:rPr>
        <w:tab/>
        <w:t>D.SP.NR.</w:t>
      </w:r>
    </w:p>
    <w:p w:rsidR="001935D4" w:rsidRPr="00AC1736" w:rsidRDefault="001935D4" w:rsidP="00416FE3">
      <w:pPr>
        <w:tabs>
          <w:tab w:val="left" w:pos="851"/>
        </w:tabs>
        <w:ind w:left="851"/>
        <w:rPr>
          <w:sz w:val="24"/>
          <w:szCs w:val="24"/>
        </w:rPr>
      </w:pPr>
      <w:r w:rsidRPr="00AC1736">
        <w:rPr>
          <w:sz w:val="24"/>
          <w:szCs w:val="24"/>
        </w:rPr>
        <w:t>31311</w:t>
      </w:r>
    </w:p>
    <w:p w:rsidR="001935D4" w:rsidRPr="00AC1736" w:rsidRDefault="001935D4" w:rsidP="001935D4">
      <w:pPr>
        <w:tabs>
          <w:tab w:val="left" w:pos="851"/>
        </w:tabs>
        <w:ind w:left="851" w:hanging="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1.</w:t>
      </w:r>
      <w:r w:rsidRPr="00AC1736">
        <w:rPr>
          <w:b/>
          <w:sz w:val="24"/>
          <w:szCs w:val="24"/>
        </w:rPr>
        <w:tab/>
        <w:t>LÆGEMIDLETS NAVN</w:t>
      </w:r>
    </w:p>
    <w:p w:rsidR="001935D4" w:rsidRPr="00AC1736" w:rsidRDefault="001935D4" w:rsidP="00416FE3">
      <w:pPr>
        <w:tabs>
          <w:tab w:val="left" w:pos="851"/>
        </w:tabs>
        <w:ind w:left="851"/>
        <w:rPr>
          <w:sz w:val="24"/>
          <w:szCs w:val="24"/>
        </w:rPr>
      </w:pPr>
      <w:proofErr w:type="spellStart"/>
      <w:r w:rsidRPr="00AC1736">
        <w:rPr>
          <w:sz w:val="24"/>
          <w:szCs w:val="24"/>
        </w:rPr>
        <w:t>Alfe</w:t>
      </w:r>
      <w:r>
        <w:rPr>
          <w:sz w:val="24"/>
          <w:szCs w:val="24"/>
        </w:rPr>
        <w:t>n</w:t>
      </w:r>
      <w:r w:rsidRPr="00AC1736">
        <w:rPr>
          <w:sz w:val="24"/>
          <w:szCs w:val="24"/>
        </w:rPr>
        <w:t>tanil</w:t>
      </w:r>
      <w:proofErr w:type="spellEnd"/>
      <w:r w:rsidRPr="00AC1736">
        <w:rPr>
          <w:sz w:val="24"/>
          <w:szCs w:val="24"/>
        </w:rPr>
        <w:t xml:space="preserve"> "</w:t>
      </w:r>
      <w:proofErr w:type="spellStart"/>
      <w:r w:rsidRPr="00AC1736">
        <w:rPr>
          <w:sz w:val="24"/>
          <w:szCs w:val="24"/>
        </w:rPr>
        <w:t>Kalceks</w:t>
      </w:r>
      <w:proofErr w:type="spellEnd"/>
      <w:r w:rsidRPr="00AC1736">
        <w:rPr>
          <w:sz w:val="24"/>
          <w:szCs w:val="24"/>
        </w:rPr>
        <w:t>"</w:t>
      </w:r>
    </w:p>
    <w:p w:rsidR="001935D4" w:rsidRPr="00AC1736" w:rsidRDefault="001935D4" w:rsidP="00416FE3">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2.</w:t>
      </w:r>
      <w:r w:rsidRPr="00AC1736">
        <w:rPr>
          <w:b/>
          <w:sz w:val="24"/>
          <w:szCs w:val="24"/>
        </w:rPr>
        <w:tab/>
        <w:t>KVALITATIV OG KVANTITATIV SAMMENSÆTNING</w:t>
      </w:r>
    </w:p>
    <w:p w:rsidR="001935D4" w:rsidRPr="00AC1736" w:rsidRDefault="001935D4" w:rsidP="001935D4">
      <w:pPr>
        <w:tabs>
          <w:tab w:val="left" w:pos="0"/>
          <w:tab w:val="left" w:pos="851"/>
        </w:tabs>
        <w:ind w:left="851"/>
        <w:rPr>
          <w:sz w:val="24"/>
          <w:szCs w:val="24"/>
          <w:lang w:eastAsia="da-DK"/>
        </w:rPr>
      </w:pPr>
      <w:r w:rsidRPr="00AC1736">
        <w:rPr>
          <w:sz w:val="24"/>
          <w:szCs w:val="24"/>
        </w:rPr>
        <w:t xml:space="preserve">Hver 1 ml opløsning indeholder </w:t>
      </w:r>
      <w:proofErr w:type="spellStart"/>
      <w:r w:rsidRPr="00AC1736">
        <w:rPr>
          <w:sz w:val="24"/>
          <w:szCs w:val="24"/>
        </w:rPr>
        <w:t>alfentanilhydrochlorid</w:t>
      </w:r>
      <w:proofErr w:type="spellEnd"/>
      <w:r w:rsidRPr="00AC1736">
        <w:rPr>
          <w:sz w:val="24"/>
          <w:szCs w:val="24"/>
        </w:rPr>
        <w:t xml:space="preserve"> svarende til 500 mikrogram </w:t>
      </w:r>
      <w:proofErr w:type="spellStart"/>
      <w:r w:rsidRPr="00AC1736">
        <w:rPr>
          <w:sz w:val="24"/>
          <w:szCs w:val="24"/>
        </w:rPr>
        <w:t>alfentanil</w:t>
      </w:r>
      <w:proofErr w:type="spellEnd"/>
      <w:r w:rsidRPr="00AC1736">
        <w:rPr>
          <w:sz w:val="24"/>
          <w:szCs w:val="24"/>
        </w:rPr>
        <w:t>.</w:t>
      </w:r>
    </w:p>
    <w:p w:rsidR="001935D4" w:rsidRPr="00AC1736" w:rsidRDefault="001935D4" w:rsidP="001935D4">
      <w:pPr>
        <w:tabs>
          <w:tab w:val="left" w:pos="0"/>
          <w:tab w:val="left" w:pos="851"/>
        </w:tabs>
        <w:ind w:left="851"/>
        <w:rPr>
          <w:sz w:val="24"/>
          <w:szCs w:val="24"/>
        </w:rPr>
      </w:pPr>
      <w:r w:rsidRPr="00AC1736">
        <w:rPr>
          <w:sz w:val="24"/>
          <w:szCs w:val="24"/>
        </w:rPr>
        <w:t>Hver 2</w:t>
      </w:r>
      <w:r w:rsidR="00453A00">
        <w:rPr>
          <w:sz w:val="24"/>
          <w:szCs w:val="24"/>
        </w:rPr>
        <w:t xml:space="preserve"> </w:t>
      </w:r>
      <w:r w:rsidRPr="00AC1736">
        <w:rPr>
          <w:sz w:val="24"/>
          <w:szCs w:val="24"/>
        </w:rPr>
        <w:t xml:space="preserve">ml ampul indeholder </w:t>
      </w:r>
      <w:proofErr w:type="spellStart"/>
      <w:r w:rsidRPr="00AC1736">
        <w:rPr>
          <w:sz w:val="24"/>
          <w:szCs w:val="24"/>
        </w:rPr>
        <w:t>alfentanilhydrochlorid</w:t>
      </w:r>
      <w:proofErr w:type="spellEnd"/>
      <w:r w:rsidRPr="00AC1736">
        <w:rPr>
          <w:sz w:val="24"/>
          <w:szCs w:val="24"/>
        </w:rPr>
        <w:t xml:space="preserve"> svarende til 1 mg </w:t>
      </w:r>
      <w:proofErr w:type="spellStart"/>
      <w:r w:rsidRPr="00AC1736">
        <w:rPr>
          <w:sz w:val="24"/>
          <w:szCs w:val="24"/>
        </w:rPr>
        <w:t>alfentanil</w:t>
      </w:r>
      <w:proofErr w:type="spellEnd"/>
      <w:r w:rsidRPr="00AC1736">
        <w:rPr>
          <w:sz w:val="24"/>
          <w:szCs w:val="24"/>
        </w:rPr>
        <w:t>.</w:t>
      </w:r>
    </w:p>
    <w:p w:rsidR="001935D4" w:rsidRPr="00AC1736" w:rsidRDefault="001935D4" w:rsidP="001935D4">
      <w:pPr>
        <w:tabs>
          <w:tab w:val="left" w:pos="0"/>
          <w:tab w:val="left" w:pos="851"/>
        </w:tabs>
        <w:ind w:left="851"/>
        <w:rPr>
          <w:sz w:val="24"/>
          <w:szCs w:val="24"/>
        </w:rPr>
      </w:pPr>
      <w:r w:rsidRPr="00AC1736">
        <w:rPr>
          <w:sz w:val="24"/>
          <w:szCs w:val="24"/>
        </w:rPr>
        <w:t>Hver 10</w:t>
      </w:r>
      <w:r w:rsidR="00453A00">
        <w:rPr>
          <w:sz w:val="24"/>
          <w:szCs w:val="24"/>
        </w:rPr>
        <w:t xml:space="preserve"> </w:t>
      </w:r>
      <w:r w:rsidRPr="00AC1736">
        <w:rPr>
          <w:sz w:val="24"/>
          <w:szCs w:val="24"/>
        </w:rPr>
        <w:t xml:space="preserve">ml ampul indeholder </w:t>
      </w:r>
      <w:proofErr w:type="spellStart"/>
      <w:r w:rsidRPr="00AC1736">
        <w:rPr>
          <w:sz w:val="24"/>
          <w:szCs w:val="24"/>
        </w:rPr>
        <w:t>alfentanilhydrochlorid</w:t>
      </w:r>
      <w:proofErr w:type="spellEnd"/>
      <w:r w:rsidRPr="00AC1736">
        <w:rPr>
          <w:sz w:val="24"/>
          <w:szCs w:val="24"/>
        </w:rPr>
        <w:t xml:space="preserve"> svarende til 5</w:t>
      </w:r>
      <w:r w:rsidR="00453A00">
        <w:rPr>
          <w:sz w:val="24"/>
          <w:szCs w:val="24"/>
        </w:rPr>
        <w:t xml:space="preserve"> </w:t>
      </w:r>
      <w:r w:rsidRPr="00AC1736">
        <w:rPr>
          <w:sz w:val="24"/>
          <w:szCs w:val="24"/>
        </w:rPr>
        <w:t xml:space="preserve">mg </w:t>
      </w:r>
      <w:proofErr w:type="spellStart"/>
      <w:r w:rsidRPr="00AC1736">
        <w:rPr>
          <w:sz w:val="24"/>
          <w:szCs w:val="24"/>
        </w:rPr>
        <w:t>alfentanil</w:t>
      </w:r>
      <w:proofErr w:type="spellEnd"/>
      <w:r w:rsidRPr="00AC1736">
        <w:rPr>
          <w:sz w:val="24"/>
          <w:szCs w:val="24"/>
        </w:rPr>
        <w:t>.</w:t>
      </w:r>
    </w:p>
    <w:p w:rsidR="001935D4" w:rsidRPr="00AC1736" w:rsidRDefault="001935D4" w:rsidP="001935D4">
      <w:pPr>
        <w:tabs>
          <w:tab w:val="left" w:pos="0"/>
          <w:tab w:val="left" w:pos="851"/>
        </w:tabs>
        <w:ind w:left="851"/>
        <w:rPr>
          <w:sz w:val="24"/>
          <w:szCs w:val="24"/>
        </w:rPr>
      </w:pPr>
    </w:p>
    <w:p w:rsidR="00A83730" w:rsidRDefault="001935D4" w:rsidP="001935D4">
      <w:pPr>
        <w:tabs>
          <w:tab w:val="left" w:pos="851"/>
        </w:tabs>
        <w:ind w:left="851"/>
        <w:rPr>
          <w:sz w:val="24"/>
          <w:szCs w:val="24"/>
          <w:u w:val="single"/>
        </w:rPr>
      </w:pPr>
      <w:r w:rsidRPr="00261616">
        <w:rPr>
          <w:sz w:val="24"/>
          <w:szCs w:val="24"/>
          <w:u w:val="single"/>
        </w:rPr>
        <w:t>Hjælpestof, som behandleren skal være opmærksom på</w:t>
      </w:r>
    </w:p>
    <w:p w:rsidR="001935D4" w:rsidRPr="00A83730" w:rsidRDefault="00261616" w:rsidP="001935D4">
      <w:pPr>
        <w:tabs>
          <w:tab w:val="left" w:pos="851"/>
        </w:tabs>
        <w:ind w:left="851"/>
        <w:rPr>
          <w:sz w:val="24"/>
          <w:szCs w:val="24"/>
        </w:rPr>
      </w:pPr>
      <w:r w:rsidRPr="00A83730">
        <w:rPr>
          <w:sz w:val="24"/>
          <w:szCs w:val="24"/>
        </w:rPr>
        <w:t>N</w:t>
      </w:r>
      <w:r w:rsidR="001935D4" w:rsidRPr="00A83730">
        <w:rPr>
          <w:sz w:val="24"/>
          <w:szCs w:val="24"/>
        </w:rPr>
        <w:t>atrium (se pkt. 4.4).</w:t>
      </w:r>
    </w:p>
    <w:p w:rsidR="001935D4" w:rsidRPr="00AC1736" w:rsidRDefault="00A83730" w:rsidP="001935D4">
      <w:pPr>
        <w:tabs>
          <w:tab w:val="left" w:pos="851"/>
        </w:tabs>
        <w:ind w:left="851"/>
        <w:rPr>
          <w:sz w:val="24"/>
          <w:szCs w:val="24"/>
        </w:rPr>
      </w:pPr>
      <w:r>
        <w:rPr>
          <w:sz w:val="24"/>
          <w:szCs w:val="24"/>
        </w:rPr>
        <w:t xml:space="preserve">- </w:t>
      </w:r>
      <w:r w:rsidR="001935D4" w:rsidRPr="00AC1736">
        <w:rPr>
          <w:sz w:val="24"/>
          <w:szCs w:val="24"/>
        </w:rPr>
        <w:t>Hver 2</w:t>
      </w:r>
      <w:r w:rsidR="00453A00">
        <w:rPr>
          <w:sz w:val="24"/>
          <w:szCs w:val="24"/>
        </w:rPr>
        <w:t xml:space="preserve"> </w:t>
      </w:r>
      <w:r w:rsidR="001935D4" w:rsidRPr="00AC1736">
        <w:rPr>
          <w:sz w:val="24"/>
          <w:szCs w:val="24"/>
        </w:rPr>
        <w:t>ml ampul indeholder 7,1</w:t>
      </w:r>
      <w:r w:rsidR="00453A00">
        <w:rPr>
          <w:sz w:val="24"/>
          <w:szCs w:val="24"/>
        </w:rPr>
        <w:t xml:space="preserve"> </w:t>
      </w:r>
      <w:r w:rsidR="001935D4" w:rsidRPr="00AC1736">
        <w:rPr>
          <w:sz w:val="24"/>
          <w:szCs w:val="24"/>
        </w:rPr>
        <w:t>mg natrium.</w:t>
      </w:r>
    </w:p>
    <w:p w:rsidR="001935D4" w:rsidRPr="00AC1736" w:rsidRDefault="00A83730" w:rsidP="001935D4">
      <w:pPr>
        <w:autoSpaceDE w:val="0"/>
        <w:autoSpaceDN w:val="0"/>
        <w:adjustRightInd w:val="0"/>
        <w:ind w:left="851"/>
        <w:rPr>
          <w:sz w:val="24"/>
          <w:szCs w:val="24"/>
        </w:rPr>
      </w:pPr>
      <w:r>
        <w:rPr>
          <w:sz w:val="24"/>
          <w:szCs w:val="24"/>
        </w:rPr>
        <w:t xml:space="preserve">- </w:t>
      </w:r>
      <w:r w:rsidR="001935D4" w:rsidRPr="00AC1736">
        <w:rPr>
          <w:sz w:val="24"/>
          <w:szCs w:val="24"/>
        </w:rPr>
        <w:t>Hver 10 ml ampul indeholder 35,4</w:t>
      </w:r>
      <w:r w:rsidR="00453A00">
        <w:rPr>
          <w:sz w:val="24"/>
          <w:szCs w:val="24"/>
        </w:rPr>
        <w:t xml:space="preserve"> </w:t>
      </w:r>
      <w:r w:rsidR="001935D4" w:rsidRPr="00AC1736">
        <w:rPr>
          <w:sz w:val="24"/>
          <w:szCs w:val="24"/>
        </w:rPr>
        <w:t>mg natrium.</w:t>
      </w:r>
    </w:p>
    <w:p w:rsidR="001935D4" w:rsidRPr="00AC1736" w:rsidRDefault="001935D4" w:rsidP="001935D4">
      <w:pPr>
        <w:autoSpaceDE w:val="0"/>
        <w:autoSpaceDN w:val="0"/>
        <w:adjustRightInd w:val="0"/>
        <w:ind w:left="851"/>
        <w:rPr>
          <w:sz w:val="24"/>
          <w:szCs w:val="24"/>
        </w:rPr>
      </w:pPr>
    </w:p>
    <w:p w:rsidR="001935D4" w:rsidRPr="00AC1736" w:rsidRDefault="001935D4" w:rsidP="001935D4">
      <w:pPr>
        <w:pStyle w:val="Brdtekst"/>
        <w:tabs>
          <w:tab w:val="left" w:pos="567"/>
        </w:tabs>
        <w:spacing w:after="0"/>
        <w:ind w:left="851"/>
        <w:rPr>
          <w:sz w:val="24"/>
          <w:szCs w:val="24"/>
        </w:rPr>
      </w:pPr>
      <w:r w:rsidRPr="00AC1736">
        <w:rPr>
          <w:sz w:val="24"/>
          <w:szCs w:val="24"/>
        </w:rPr>
        <w:t>Alle hjælpestoffer er anført under pkt. 6.1.</w:t>
      </w:r>
    </w:p>
    <w:p w:rsidR="001935D4" w:rsidRPr="00AC1736" w:rsidRDefault="001935D4" w:rsidP="00416FE3">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3.</w:t>
      </w:r>
      <w:r w:rsidRPr="00AC1736">
        <w:rPr>
          <w:b/>
          <w:sz w:val="24"/>
          <w:szCs w:val="24"/>
        </w:rPr>
        <w:tab/>
        <w:t>LÆGEMIDDELFORM</w:t>
      </w:r>
    </w:p>
    <w:p w:rsidR="001935D4" w:rsidRDefault="001935D4" w:rsidP="001935D4">
      <w:pPr>
        <w:tabs>
          <w:tab w:val="left" w:pos="0"/>
          <w:tab w:val="left" w:pos="851"/>
        </w:tabs>
        <w:ind w:left="851"/>
        <w:rPr>
          <w:sz w:val="24"/>
          <w:szCs w:val="24"/>
        </w:rPr>
      </w:pPr>
      <w:r w:rsidRPr="00AC1736">
        <w:rPr>
          <w:sz w:val="24"/>
          <w:szCs w:val="24"/>
        </w:rPr>
        <w:t>Injekt</w:t>
      </w:r>
      <w:r>
        <w:rPr>
          <w:sz w:val="24"/>
          <w:szCs w:val="24"/>
        </w:rPr>
        <w:t>ions-/infusionsvæske, opløsning</w:t>
      </w:r>
    </w:p>
    <w:p w:rsidR="00261616" w:rsidRPr="00AC1736" w:rsidRDefault="00261616" w:rsidP="001935D4">
      <w:pPr>
        <w:tabs>
          <w:tab w:val="left" w:pos="0"/>
          <w:tab w:val="left" w:pos="851"/>
        </w:tabs>
        <w:ind w:left="851"/>
        <w:rPr>
          <w:sz w:val="24"/>
          <w:szCs w:val="24"/>
          <w:lang w:eastAsia="da-DK"/>
        </w:rPr>
      </w:pPr>
    </w:p>
    <w:p w:rsidR="001935D4" w:rsidRPr="00AC1736" w:rsidRDefault="001935D4" w:rsidP="001935D4">
      <w:pPr>
        <w:tabs>
          <w:tab w:val="left" w:pos="0"/>
          <w:tab w:val="left" w:pos="851"/>
        </w:tabs>
        <w:ind w:left="851"/>
        <w:rPr>
          <w:sz w:val="24"/>
          <w:szCs w:val="24"/>
        </w:rPr>
      </w:pPr>
      <w:r w:rsidRPr="00AC1736">
        <w:rPr>
          <w:sz w:val="24"/>
          <w:szCs w:val="24"/>
        </w:rPr>
        <w:t>Klar, farveløs opløsning, fri for synlige partikler.</w:t>
      </w:r>
    </w:p>
    <w:p w:rsidR="001935D4" w:rsidRPr="00AC1736" w:rsidRDefault="001935D4" w:rsidP="001935D4">
      <w:pPr>
        <w:ind w:left="851"/>
        <w:rPr>
          <w:sz w:val="24"/>
          <w:szCs w:val="24"/>
        </w:rPr>
      </w:pPr>
      <w:r w:rsidRPr="00AC1736">
        <w:rPr>
          <w:sz w:val="24"/>
          <w:szCs w:val="24"/>
        </w:rPr>
        <w:t>pH-værdi på 4,0 til 6,0.</w:t>
      </w:r>
    </w:p>
    <w:p w:rsidR="001935D4" w:rsidRPr="00AC1736" w:rsidRDefault="001935D4" w:rsidP="001935D4">
      <w:pPr>
        <w:ind w:left="851"/>
        <w:rPr>
          <w:sz w:val="24"/>
          <w:szCs w:val="24"/>
        </w:rPr>
      </w:pPr>
      <w:proofErr w:type="spellStart"/>
      <w:r w:rsidRPr="00AC1736">
        <w:rPr>
          <w:sz w:val="24"/>
          <w:szCs w:val="24"/>
        </w:rPr>
        <w:t>Osmolalitet</w:t>
      </w:r>
      <w:proofErr w:type="spellEnd"/>
      <w:r w:rsidRPr="00AC1736">
        <w:rPr>
          <w:sz w:val="24"/>
          <w:szCs w:val="24"/>
        </w:rPr>
        <w:t xml:space="preserve"> på 270</w:t>
      </w:r>
      <w:r w:rsidRPr="00AC1736">
        <w:rPr>
          <w:sz w:val="24"/>
          <w:szCs w:val="24"/>
        </w:rPr>
        <w:noBreakHyphen/>
        <w:t>310 </w:t>
      </w:r>
      <w:proofErr w:type="spellStart"/>
      <w:r w:rsidRPr="00AC1736">
        <w:rPr>
          <w:sz w:val="24"/>
          <w:szCs w:val="24"/>
        </w:rPr>
        <w:t>mOsmol</w:t>
      </w:r>
      <w:proofErr w:type="spellEnd"/>
      <w:r w:rsidRPr="00AC1736">
        <w:rPr>
          <w:sz w:val="24"/>
          <w:szCs w:val="24"/>
        </w:rPr>
        <w:t>/kg.</w:t>
      </w:r>
    </w:p>
    <w:p w:rsidR="001935D4" w:rsidRPr="00AC1736" w:rsidRDefault="001935D4" w:rsidP="00416FE3">
      <w:pPr>
        <w:tabs>
          <w:tab w:val="left" w:pos="851"/>
        </w:tabs>
        <w:ind w:left="851"/>
        <w:rPr>
          <w:sz w:val="24"/>
          <w:szCs w:val="24"/>
        </w:rPr>
      </w:pPr>
    </w:p>
    <w:p w:rsidR="001935D4" w:rsidRPr="00AC1736" w:rsidRDefault="001935D4" w:rsidP="00416FE3">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4.</w:t>
      </w:r>
      <w:r w:rsidRPr="00AC1736">
        <w:rPr>
          <w:b/>
          <w:sz w:val="24"/>
          <w:szCs w:val="24"/>
        </w:rPr>
        <w:tab/>
        <w:t>KLINISKE OPLYSNINGER</w:t>
      </w:r>
    </w:p>
    <w:p w:rsidR="001935D4" w:rsidRPr="00416FE3" w:rsidRDefault="001935D4" w:rsidP="00416FE3">
      <w:pPr>
        <w:tabs>
          <w:tab w:val="left" w:pos="851"/>
        </w:tabs>
        <w:ind w:left="851"/>
        <w:rPr>
          <w:sz w:val="24"/>
          <w:szCs w:val="24"/>
        </w:rPr>
      </w:pPr>
    </w:p>
    <w:p w:rsidR="001935D4" w:rsidRPr="00AC1736" w:rsidRDefault="001935D4" w:rsidP="001935D4">
      <w:pPr>
        <w:tabs>
          <w:tab w:val="left" w:pos="851"/>
        </w:tabs>
        <w:ind w:left="851" w:hanging="851"/>
        <w:rPr>
          <w:b/>
          <w:sz w:val="24"/>
          <w:szCs w:val="24"/>
          <w:u w:val="single"/>
        </w:rPr>
      </w:pPr>
      <w:r w:rsidRPr="00AC1736">
        <w:rPr>
          <w:b/>
          <w:sz w:val="24"/>
          <w:szCs w:val="24"/>
        </w:rPr>
        <w:t>4.1</w:t>
      </w:r>
      <w:r w:rsidRPr="00AC1736">
        <w:rPr>
          <w:b/>
          <w:sz w:val="24"/>
          <w:szCs w:val="24"/>
        </w:rPr>
        <w:tab/>
        <w:t>Terapeutiske indikationer</w:t>
      </w:r>
    </w:p>
    <w:p w:rsidR="00A83730" w:rsidRDefault="00A83730" w:rsidP="001935D4">
      <w:pPr>
        <w:ind w:left="851"/>
        <w:rPr>
          <w:sz w:val="24"/>
          <w:szCs w:val="24"/>
        </w:rPr>
      </w:pPr>
    </w:p>
    <w:p w:rsidR="001935D4" w:rsidRPr="00A83730" w:rsidRDefault="001935D4" w:rsidP="001935D4">
      <w:pPr>
        <w:ind w:left="851"/>
        <w:rPr>
          <w:sz w:val="24"/>
          <w:szCs w:val="24"/>
          <w:u w:val="single"/>
          <w:lang w:eastAsia="da-DK"/>
        </w:rPr>
      </w:pPr>
      <w:proofErr w:type="spellStart"/>
      <w:r w:rsidRPr="00A83730">
        <w:rPr>
          <w:sz w:val="24"/>
          <w:szCs w:val="24"/>
          <w:u w:val="single"/>
        </w:rPr>
        <w:t>Alfentanil</w:t>
      </w:r>
      <w:proofErr w:type="spellEnd"/>
      <w:r w:rsidRPr="00A83730">
        <w:rPr>
          <w:sz w:val="24"/>
          <w:szCs w:val="24"/>
          <w:u w:val="single"/>
        </w:rPr>
        <w:t xml:space="preserve"> "</w:t>
      </w:r>
      <w:proofErr w:type="spellStart"/>
      <w:r w:rsidRPr="00A83730">
        <w:rPr>
          <w:sz w:val="24"/>
          <w:szCs w:val="24"/>
          <w:u w:val="single"/>
        </w:rPr>
        <w:t>Kalceks</w:t>
      </w:r>
      <w:proofErr w:type="spellEnd"/>
      <w:r w:rsidRPr="00A83730">
        <w:rPr>
          <w:sz w:val="24"/>
          <w:szCs w:val="24"/>
          <w:u w:val="single"/>
        </w:rPr>
        <w:t>" er indiceret til voksne som</w:t>
      </w:r>
    </w:p>
    <w:p w:rsidR="001935D4" w:rsidRPr="00AC1736" w:rsidRDefault="00062F9A" w:rsidP="00062F9A">
      <w:pPr>
        <w:ind w:left="993" w:hanging="142"/>
        <w:rPr>
          <w:sz w:val="24"/>
          <w:szCs w:val="24"/>
        </w:rPr>
      </w:pPr>
      <w:r>
        <w:rPr>
          <w:sz w:val="24"/>
          <w:szCs w:val="24"/>
        </w:rPr>
        <w:t>-</w:t>
      </w:r>
      <w:r>
        <w:rPr>
          <w:sz w:val="24"/>
          <w:szCs w:val="24"/>
        </w:rPr>
        <w:tab/>
      </w:r>
      <w:r w:rsidR="001935D4" w:rsidRPr="00AC1736">
        <w:rPr>
          <w:sz w:val="24"/>
          <w:szCs w:val="24"/>
        </w:rPr>
        <w:t xml:space="preserve">et </w:t>
      </w:r>
      <w:proofErr w:type="spellStart"/>
      <w:r w:rsidR="001935D4" w:rsidRPr="00AC1736">
        <w:rPr>
          <w:sz w:val="24"/>
          <w:szCs w:val="24"/>
        </w:rPr>
        <w:t>analgetikum</w:t>
      </w:r>
      <w:proofErr w:type="spellEnd"/>
      <w:r w:rsidR="001935D4" w:rsidRPr="00AC1736">
        <w:rPr>
          <w:sz w:val="24"/>
          <w:szCs w:val="24"/>
        </w:rPr>
        <w:t xml:space="preserve"> til induktion af anæstesi og/eller opretholdelse af helbedøvelse.</w:t>
      </w:r>
    </w:p>
    <w:p w:rsidR="001935D4" w:rsidRPr="00AC1736" w:rsidRDefault="001935D4" w:rsidP="00043ACC">
      <w:pPr>
        <w:ind w:left="851"/>
        <w:rPr>
          <w:sz w:val="24"/>
          <w:szCs w:val="24"/>
        </w:rPr>
      </w:pPr>
    </w:p>
    <w:p w:rsidR="001935D4" w:rsidRPr="00A83730" w:rsidRDefault="001935D4" w:rsidP="001935D4">
      <w:pPr>
        <w:ind w:left="851"/>
        <w:rPr>
          <w:sz w:val="24"/>
          <w:szCs w:val="24"/>
          <w:u w:val="single"/>
        </w:rPr>
      </w:pPr>
      <w:proofErr w:type="spellStart"/>
      <w:r w:rsidRPr="00A83730">
        <w:rPr>
          <w:sz w:val="24"/>
          <w:szCs w:val="24"/>
          <w:u w:val="single"/>
        </w:rPr>
        <w:lastRenderedPageBreak/>
        <w:t>Alfentanil</w:t>
      </w:r>
      <w:proofErr w:type="spellEnd"/>
      <w:r w:rsidRPr="00A83730">
        <w:rPr>
          <w:sz w:val="24"/>
          <w:szCs w:val="24"/>
          <w:u w:val="single"/>
        </w:rPr>
        <w:t xml:space="preserve"> "</w:t>
      </w:r>
      <w:proofErr w:type="spellStart"/>
      <w:r w:rsidRPr="00A83730">
        <w:rPr>
          <w:sz w:val="24"/>
          <w:szCs w:val="24"/>
          <w:u w:val="single"/>
        </w:rPr>
        <w:t>Kalceks</w:t>
      </w:r>
      <w:proofErr w:type="spellEnd"/>
      <w:r w:rsidRPr="00A83730">
        <w:rPr>
          <w:sz w:val="24"/>
          <w:szCs w:val="24"/>
          <w:u w:val="single"/>
        </w:rPr>
        <w:t>" er indiceret til brug hos nyfødte, spædbørn, børn og unge under 18 år som</w:t>
      </w:r>
    </w:p>
    <w:p w:rsidR="001935D4" w:rsidRDefault="00062F9A" w:rsidP="00062F9A">
      <w:pPr>
        <w:widowControl w:val="0"/>
        <w:ind w:left="993" w:hanging="142"/>
        <w:rPr>
          <w:sz w:val="24"/>
          <w:szCs w:val="24"/>
        </w:rPr>
      </w:pPr>
      <w:r>
        <w:rPr>
          <w:sz w:val="24"/>
          <w:szCs w:val="24"/>
        </w:rPr>
        <w:t>-</w:t>
      </w:r>
      <w:r>
        <w:rPr>
          <w:sz w:val="24"/>
          <w:szCs w:val="24"/>
        </w:rPr>
        <w:tab/>
      </w:r>
      <w:r w:rsidR="001935D4" w:rsidRPr="00AC1736">
        <w:rPr>
          <w:sz w:val="24"/>
          <w:szCs w:val="24"/>
        </w:rPr>
        <w:t xml:space="preserve">et </w:t>
      </w:r>
      <w:proofErr w:type="spellStart"/>
      <w:r w:rsidR="001935D4" w:rsidRPr="00AC1736">
        <w:rPr>
          <w:sz w:val="24"/>
          <w:szCs w:val="24"/>
        </w:rPr>
        <w:t>opioidt</w:t>
      </w:r>
      <w:proofErr w:type="spellEnd"/>
      <w:r w:rsidR="001935D4" w:rsidRPr="00AC1736">
        <w:rPr>
          <w:sz w:val="24"/>
          <w:szCs w:val="24"/>
        </w:rPr>
        <w:t xml:space="preserve"> </w:t>
      </w:r>
      <w:proofErr w:type="spellStart"/>
      <w:r w:rsidR="001935D4" w:rsidRPr="00AC1736">
        <w:rPr>
          <w:sz w:val="24"/>
          <w:szCs w:val="24"/>
        </w:rPr>
        <w:t>analgetikum</w:t>
      </w:r>
      <w:proofErr w:type="spellEnd"/>
      <w:r w:rsidR="001935D4" w:rsidRPr="00AC1736">
        <w:rPr>
          <w:sz w:val="24"/>
          <w:szCs w:val="24"/>
        </w:rPr>
        <w:t xml:space="preserve"> sammen med et </w:t>
      </w:r>
      <w:proofErr w:type="spellStart"/>
      <w:r w:rsidR="001935D4" w:rsidRPr="00AC1736">
        <w:rPr>
          <w:sz w:val="24"/>
          <w:szCs w:val="24"/>
        </w:rPr>
        <w:t>hypnotikum</w:t>
      </w:r>
      <w:proofErr w:type="spellEnd"/>
      <w:r w:rsidR="001935D4" w:rsidRPr="00AC1736">
        <w:rPr>
          <w:sz w:val="24"/>
          <w:szCs w:val="24"/>
        </w:rPr>
        <w:t xml:space="preserve"> til induktion af anæstesi</w:t>
      </w:r>
    </w:p>
    <w:p w:rsidR="001935D4" w:rsidRPr="00AC1736" w:rsidRDefault="00062F9A" w:rsidP="00062F9A">
      <w:pPr>
        <w:widowControl w:val="0"/>
        <w:ind w:left="993" w:hanging="142"/>
        <w:rPr>
          <w:sz w:val="24"/>
          <w:szCs w:val="24"/>
        </w:rPr>
      </w:pPr>
      <w:r>
        <w:rPr>
          <w:sz w:val="24"/>
          <w:szCs w:val="24"/>
        </w:rPr>
        <w:t>-</w:t>
      </w:r>
      <w:r>
        <w:rPr>
          <w:sz w:val="24"/>
          <w:szCs w:val="24"/>
        </w:rPr>
        <w:tab/>
      </w:r>
      <w:r w:rsidR="001935D4" w:rsidRPr="00AC1736">
        <w:rPr>
          <w:sz w:val="24"/>
          <w:szCs w:val="24"/>
        </w:rPr>
        <w:t xml:space="preserve">et </w:t>
      </w:r>
      <w:proofErr w:type="spellStart"/>
      <w:r w:rsidR="001935D4" w:rsidRPr="00AC1736">
        <w:rPr>
          <w:sz w:val="24"/>
          <w:szCs w:val="24"/>
        </w:rPr>
        <w:t>opioidt</w:t>
      </w:r>
      <w:proofErr w:type="spellEnd"/>
      <w:r w:rsidR="001935D4" w:rsidRPr="00AC1736">
        <w:rPr>
          <w:sz w:val="24"/>
          <w:szCs w:val="24"/>
        </w:rPr>
        <w:t xml:space="preserve"> </w:t>
      </w:r>
      <w:proofErr w:type="spellStart"/>
      <w:r w:rsidR="001935D4" w:rsidRPr="00AC1736">
        <w:rPr>
          <w:sz w:val="24"/>
          <w:szCs w:val="24"/>
        </w:rPr>
        <w:t>analgetikum</w:t>
      </w:r>
      <w:proofErr w:type="spellEnd"/>
      <w:r w:rsidR="001935D4" w:rsidRPr="00AC1736">
        <w:rPr>
          <w:sz w:val="24"/>
          <w:szCs w:val="24"/>
        </w:rPr>
        <w:t xml:space="preserve"> i forbindelse med helbedøvelse under såvel kortvarige som langvarige kirurgiske indgreb.</w:t>
      </w:r>
    </w:p>
    <w:p w:rsidR="001935D4" w:rsidRPr="00AC1736" w:rsidRDefault="001935D4" w:rsidP="00043ACC">
      <w:pPr>
        <w:tabs>
          <w:tab w:val="left" w:pos="851"/>
        </w:tabs>
        <w:ind w:left="851"/>
        <w:rPr>
          <w:sz w:val="24"/>
          <w:szCs w:val="24"/>
        </w:rPr>
      </w:pPr>
    </w:p>
    <w:p w:rsidR="0029198B" w:rsidRPr="00C84483" w:rsidRDefault="0029198B" w:rsidP="0029198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935D4" w:rsidRDefault="001935D4" w:rsidP="00043ACC">
      <w:pPr>
        <w:pStyle w:val="Ingenafstand"/>
        <w:ind w:left="851"/>
        <w:rPr>
          <w:sz w:val="24"/>
          <w:szCs w:val="24"/>
          <w:u w:val="single"/>
        </w:rPr>
      </w:pPr>
    </w:p>
    <w:p w:rsidR="001935D4" w:rsidRPr="00274421" w:rsidRDefault="001935D4" w:rsidP="001935D4">
      <w:pPr>
        <w:pStyle w:val="Ingenafstand"/>
        <w:ind w:left="851"/>
        <w:rPr>
          <w:b/>
          <w:sz w:val="24"/>
          <w:szCs w:val="24"/>
        </w:rPr>
      </w:pPr>
      <w:r w:rsidRPr="00274421">
        <w:rPr>
          <w:b/>
          <w:sz w:val="24"/>
          <w:szCs w:val="24"/>
        </w:rPr>
        <w:t>Dosering</w:t>
      </w:r>
    </w:p>
    <w:p w:rsidR="00B8694E" w:rsidRPr="008F7236" w:rsidRDefault="00B8694E" w:rsidP="00B8694E">
      <w:pPr>
        <w:pStyle w:val="Ingenafstand"/>
        <w:ind w:left="851"/>
        <w:rPr>
          <w:sz w:val="24"/>
          <w:szCs w:val="24"/>
        </w:rPr>
      </w:pPr>
      <w:proofErr w:type="spellStart"/>
      <w:r w:rsidRPr="008F7236">
        <w:rPr>
          <w:sz w:val="24"/>
          <w:szCs w:val="24"/>
        </w:rPr>
        <w:t>Alfentanildosis</w:t>
      </w:r>
      <w:proofErr w:type="spellEnd"/>
      <w:r w:rsidRPr="008F7236">
        <w:rPr>
          <w:sz w:val="24"/>
          <w:szCs w:val="24"/>
        </w:rPr>
        <w:t xml:space="preserve"> bør individualiseres i henhold til alder, kropsvægt, fysisk tilstand, underliggende patologiske forhold, brug af øvrige lægemidler såvel som operationsform og anæstesi.</w:t>
      </w:r>
    </w:p>
    <w:p w:rsidR="00B8694E" w:rsidRPr="008F7236" w:rsidRDefault="00B8694E" w:rsidP="00B8694E">
      <w:pPr>
        <w:pStyle w:val="Ingenafstand"/>
        <w:ind w:left="851"/>
        <w:rPr>
          <w:sz w:val="24"/>
          <w:szCs w:val="24"/>
        </w:rPr>
      </w:pPr>
    </w:p>
    <w:p w:rsidR="00B8694E" w:rsidRPr="008F7236" w:rsidRDefault="00B8694E" w:rsidP="00B8694E">
      <w:pPr>
        <w:pStyle w:val="Ingenafstand"/>
        <w:ind w:left="851"/>
        <w:rPr>
          <w:sz w:val="24"/>
          <w:szCs w:val="24"/>
          <w:u w:val="single"/>
        </w:rPr>
      </w:pPr>
      <w:r w:rsidRPr="008F7236">
        <w:rPr>
          <w:sz w:val="24"/>
          <w:szCs w:val="24"/>
          <w:u w:val="single"/>
        </w:rPr>
        <w:t>Voksne patienter</w:t>
      </w:r>
    </w:p>
    <w:p w:rsidR="00B8694E" w:rsidRPr="008F7236" w:rsidRDefault="00B8694E" w:rsidP="00B8694E">
      <w:pPr>
        <w:pStyle w:val="Ingenafstand"/>
        <w:ind w:left="851"/>
        <w:rPr>
          <w:rFonts w:eastAsia="MS Mincho"/>
          <w:sz w:val="24"/>
          <w:szCs w:val="24"/>
        </w:rPr>
      </w:pPr>
      <w:bookmarkStart w:id="0" w:name="_Hlk514410137"/>
      <w:r w:rsidRPr="008F7236">
        <w:rPr>
          <w:rFonts w:eastAsia="MS Mincho"/>
          <w:sz w:val="24"/>
          <w:szCs w:val="24"/>
        </w:rPr>
        <w:t>Det sædvanlige dosisregime er angivet i tabel 1.</w:t>
      </w:r>
    </w:p>
    <w:p w:rsidR="00B8694E" w:rsidRPr="008F7236" w:rsidRDefault="00B8694E" w:rsidP="00B8694E">
      <w:pPr>
        <w:pStyle w:val="Ingenafstand"/>
        <w:ind w:left="851"/>
        <w:rPr>
          <w:rFonts w:eastAsia="MS Mincho"/>
          <w:sz w:val="24"/>
          <w:szCs w:val="24"/>
          <w:u w:val="single"/>
        </w:rPr>
      </w:pPr>
    </w:p>
    <w:p w:rsidR="00B8694E" w:rsidRPr="008F7236" w:rsidRDefault="00B8694E" w:rsidP="00B8694E">
      <w:pPr>
        <w:pStyle w:val="Ingenafstand"/>
        <w:tabs>
          <w:tab w:val="left" w:pos="1701"/>
        </w:tabs>
        <w:ind w:left="851"/>
        <w:rPr>
          <w:rFonts w:eastAsia="MS Mincho"/>
          <w:b/>
          <w:sz w:val="24"/>
          <w:szCs w:val="24"/>
        </w:rPr>
      </w:pPr>
      <w:r w:rsidRPr="008F7236">
        <w:rPr>
          <w:b/>
          <w:sz w:val="24"/>
          <w:szCs w:val="24"/>
        </w:rPr>
        <w:t>Tabel 1</w:t>
      </w:r>
      <w:r w:rsidRPr="008F7236">
        <w:rPr>
          <w:b/>
          <w:sz w:val="24"/>
          <w:szCs w:val="24"/>
        </w:rPr>
        <w:tab/>
        <w:t>S</w:t>
      </w:r>
      <w:r w:rsidRPr="008F7236">
        <w:rPr>
          <w:rFonts w:eastAsia="MS Mincho"/>
          <w:b/>
          <w:sz w:val="24"/>
          <w:szCs w:val="24"/>
        </w:rPr>
        <w:t>ædvanligt dosisregime</w:t>
      </w:r>
    </w:p>
    <w:p w:rsidR="00B8694E" w:rsidRPr="008F7236" w:rsidRDefault="00B8694E" w:rsidP="00B8694E">
      <w:pPr>
        <w:pStyle w:val="Ingenafstand"/>
        <w:ind w:left="851"/>
        <w:rPr>
          <w:rFonts w:eastAsia="MS Mincho"/>
          <w:sz w:val="24"/>
          <w:szCs w:val="24"/>
          <w:u w:val="single"/>
        </w:rPr>
      </w:pPr>
    </w:p>
    <w:tbl>
      <w:tblPr>
        <w:tblW w:w="8201" w:type="dxa"/>
        <w:tblInd w:w="986" w:type="dxa"/>
        <w:tblCellMar>
          <w:top w:w="52" w:type="dxa"/>
          <w:left w:w="115" w:type="dxa"/>
          <w:right w:w="115" w:type="dxa"/>
        </w:tblCellMar>
        <w:tblLook w:val="04A0" w:firstRow="1" w:lastRow="0" w:firstColumn="1" w:lastColumn="0" w:noHBand="0" w:noVBand="1"/>
      </w:tblPr>
      <w:tblGrid>
        <w:gridCol w:w="2673"/>
        <w:gridCol w:w="2764"/>
        <w:gridCol w:w="2764"/>
      </w:tblGrid>
      <w:tr w:rsidR="00B8694E" w:rsidRPr="007F69B6" w:rsidTr="00292F06">
        <w:trPr>
          <w:trHeight w:val="283"/>
        </w:trPr>
        <w:tc>
          <w:tcPr>
            <w:tcW w:w="2673" w:type="dxa"/>
            <w:tcBorders>
              <w:top w:val="single" w:sz="6" w:space="0" w:color="000000"/>
              <w:left w:val="single" w:sz="6" w:space="0" w:color="000000"/>
              <w:bottom w:val="single" w:sz="6" w:space="0" w:color="000000"/>
              <w:right w:val="single" w:sz="6" w:space="0" w:color="000000"/>
            </w:tcBorders>
            <w:shd w:val="clear" w:color="auto" w:fill="auto"/>
          </w:tcPr>
          <w:p w:rsidR="00B8694E" w:rsidRPr="008F7236" w:rsidRDefault="00B8694E" w:rsidP="00292F06">
            <w:pPr>
              <w:jc w:val="center"/>
              <w:rPr>
                <w:i/>
                <w:sz w:val="24"/>
                <w:szCs w:val="24"/>
              </w:rPr>
            </w:pPr>
            <w:r w:rsidRPr="008F7236">
              <w:rPr>
                <w:i/>
                <w:sz w:val="24"/>
                <w:szCs w:val="24"/>
              </w:rPr>
              <w:t>Voksne</w:t>
            </w:r>
          </w:p>
        </w:tc>
        <w:tc>
          <w:tcPr>
            <w:tcW w:w="2764" w:type="dxa"/>
            <w:tcBorders>
              <w:top w:val="single" w:sz="6" w:space="0" w:color="000000"/>
              <w:left w:val="single" w:sz="6" w:space="0" w:color="000000"/>
              <w:bottom w:val="single" w:sz="6" w:space="0" w:color="000000"/>
              <w:right w:val="single" w:sz="6" w:space="0" w:color="000000"/>
            </w:tcBorders>
            <w:shd w:val="clear" w:color="auto" w:fill="auto"/>
          </w:tcPr>
          <w:p w:rsidR="00B8694E" w:rsidRPr="008F7236" w:rsidRDefault="00B8694E" w:rsidP="00292F06">
            <w:pPr>
              <w:jc w:val="center"/>
              <w:rPr>
                <w:i/>
                <w:sz w:val="24"/>
                <w:szCs w:val="24"/>
              </w:rPr>
            </w:pPr>
            <w:r w:rsidRPr="008F7236">
              <w:rPr>
                <w:i/>
                <w:sz w:val="24"/>
                <w:szCs w:val="24"/>
              </w:rPr>
              <w:t>Initial</w:t>
            </w:r>
          </w:p>
        </w:tc>
        <w:tc>
          <w:tcPr>
            <w:tcW w:w="2764" w:type="dxa"/>
            <w:tcBorders>
              <w:top w:val="single" w:sz="6" w:space="0" w:color="000000"/>
              <w:left w:val="single" w:sz="6" w:space="0" w:color="000000"/>
              <w:bottom w:val="single" w:sz="6" w:space="0" w:color="000000"/>
              <w:right w:val="single" w:sz="6" w:space="0" w:color="000000"/>
            </w:tcBorders>
            <w:shd w:val="clear" w:color="auto" w:fill="auto"/>
          </w:tcPr>
          <w:p w:rsidR="00B8694E" w:rsidRPr="008F7236" w:rsidRDefault="00B8694E" w:rsidP="00292F06">
            <w:pPr>
              <w:jc w:val="center"/>
              <w:rPr>
                <w:i/>
                <w:sz w:val="24"/>
                <w:szCs w:val="24"/>
              </w:rPr>
            </w:pPr>
            <w:r w:rsidRPr="008F7236">
              <w:rPr>
                <w:i/>
                <w:sz w:val="24"/>
                <w:szCs w:val="24"/>
              </w:rPr>
              <w:t>Supplerende</w:t>
            </w:r>
          </w:p>
        </w:tc>
      </w:tr>
      <w:tr w:rsidR="00B8694E" w:rsidRPr="007F69B6" w:rsidTr="00292F06">
        <w:trPr>
          <w:trHeight w:val="283"/>
        </w:trPr>
        <w:tc>
          <w:tcPr>
            <w:tcW w:w="2673" w:type="dxa"/>
            <w:tcBorders>
              <w:top w:val="single" w:sz="6" w:space="0" w:color="000000"/>
              <w:left w:val="single" w:sz="6" w:space="0" w:color="000000"/>
              <w:bottom w:val="single" w:sz="6" w:space="0" w:color="000000"/>
              <w:right w:val="single" w:sz="6" w:space="0" w:color="000000"/>
            </w:tcBorders>
            <w:shd w:val="clear" w:color="auto" w:fill="auto"/>
          </w:tcPr>
          <w:p w:rsidR="00B8694E" w:rsidRPr="008F7236" w:rsidRDefault="00B8694E" w:rsidP="00292F06">
            <w:pPr>
              <w:rPr>
                <w:sz w:val="24"/>
                <w:szCs w:val="24"/>
              </w:rPr>
            </w:pPr>
            <w:r w:rsidRPr="008F7236">
              <w:rPr>
                <w:sz w:val="24"/>
                <w:szCs w:val="24"/>
              </w:rPr>
              <w:t>Spontan respiration</w:t>
            </w:r>
          </w:p>
        </w:tc>
        <w:tc>
          <w:tcPr>
            <w:tcW w:w="2764" w:type="dxa"/>
            <w:tcBorders>
              <w:top w:val="single" w:sz="6" w:space="0" w:color="000000"/>
              <w:left w:val="single" w:sz="6" w:space="0" w:color="000000"/>
              <w:bottom w:val="single" w:sz="6" w:space="0" w:color="000000"/>
              <w:right w:val="single" w:sz="6" w:space="0" w:color="000000"/>
            </w:tcBorders>
            <w:shd w:val="clear" w:color="auto" w:fill="auto"/>
          </w:tcPr>
          <w:p w:rsidR="00B8694E" w:rsidRPr="008F7236" w:rsidRDefault="00B8694E" w:rsidP="00292F06">
            <w:pPr>
              <w:jc w:val="center"/>
              <w:rPr>
                <w:sz w:val="24"/>
                <w:szCs w:val="24"/>
              </w:rPr>
            </w:pPr>
            <w:r w:rsidRPr="008F7236">
              <w:rPr>
                <w:sz w:val="24"/>
                <w:szCs w:val="24"/>
              </w:rPr>
              <w:t>500 </w:t>
            </w:r>
            <w:r w:rsidR="00F350AA">
              <w:rPr>
                <w:sz w:val="24"/>
                <w:szCs w:val="24"/>
              </w:rPr>
              <w:t>mikrogram</w:t>
            </w:r>
            <w:r w:rsidRPr="008F7236">
              <w:rPr>
                <w:sz w:val="24"/>
                <w:szCs w:val="24"/>
              </w:rPr>
              <w:t xml:space="preserve"> (1 ml)</w:t>
            </w:r>
          </w:p>
        </w:tc>
        <w:tc>
          <w:tcPr>
            <w:tcW w:w="2764" w:type="dxa"/>
            <w:tcBorders>
              <w:top w:val="single" w:sz="6" w:space="0" w:color="000000"/>
              <w:left w:val="single" w:sz="6" w:space="0" w:color="000000"/>
              <w:bottom w:val="single" w:sz="6" w:space="0" w:color="000000"/>
              <w:right w:val="single" w:sz="6" w:space="0" w:color="000000"/>
            </w:tcBorders>
            <w:shd w:val="clear" w:color="auto" w:fill="auto"/>
          </w:tcPr>
          <w:p w:rsidR="00B8694E" w:rsidRPr="008F7236" w:rsidRDefault="00B8694E" w:rsidP="00292F06">
            <w:pPr>
              <w:jc w:val="center"/>
              <w:rPr>
                <w:sz w:val="24"/>
                <w:szCs w:val="24"/>
              </w:rPr>
            </w:pPr>
            <w:r w:rsidRPr="008F7236">
              <w:rPr>
                <w:sz w:val="24"/>
                <w:szCs w:val="24"/>
              </w:rPr>
              <w:t>250 </w:t>
            </w:r>
            <w:r w:rsidR="00F350AA">
              <w:rPr>
                <w:sz w:val="24"/>
                <w:szCs w:val="24"/>
              </w:rPr>
              <w:t>mikrogram</w:t>
            </w:r>
            <w:r w:rsidRPr="008F7236">
              <w:rPr>
                <w:sz w:val="24"/>
                <w:szCs w:val="24"/>
              </w:rPr>
              <w:t xml:space="preserve"> (0,5 ml)</w:t>
            </w:r>
          </w:p>
        </w:tc>
      </w:tr>
      <w:tr w:rsidR="00B8694E" w:rsidRPr="007F69B6" w:rsidTr="00292F06">
        <w:trPr>
          <w:trHeight w:val="283"/>
        </w:trPr>
        <w:tc>
          <w:tcPr>
            <w:tcW w:w="2673" w:type="dxa"/>
            <w:tcBorders>
              <w:top w:val="single" w:sz="6" w:space="0" w:color="000000"/>
              <w:left w:val="single" w:sz="6" w:space="0" w:color="000000"/>
              <w:bottom w:val="single" w:sz="6" w:space="0" w:color="000000"/>
              <w:right w:val="single" w:sz="6" w:space="0" w:color="000000"/>
            </w:tcBorders>
            <w:shd w:val="clear" w:color="auto" w:fill="auto"/>
          </w:tcPr>
          <w:p w:rsidR="00B8694E" w:rsidRPr="008F7236" w:rsidRDefault="00B8694E" w:rsidP="00292F06">
            <w:pPr>
              <w:rPr>
                <w:sz w:val="24"/>
                <w:szCs w:val="24"/>
              </w:rPr>
            </w:pPr>
            <w:r w:rsidRPr="008F7236">
              <w:rPr>
                <w:sz w:val="24"/>
                <w:szCs w:val="24"/>
              </w:rPr>
              <w:t>Assisteret ventilation</w:t>
            </w:r>
          </w:p>
        </w:tc>
        <w:tc>
          <w:tcPr>
            <w:tcW w:w="2764" w:type="dxa"/>
            <w:tcBorders>
              <w:top w:val="single" w:sz="6" w:space="0" w:color="000000"/>
              <w:left w:val="single" w:sz="6" w:space="0" w:color="000000"/>
              <w:bottom w:val="single" w:sz="6" w:space="0" w:color="000000"/>
              <w:right w:val="single" w:sz="6" w:space="0" w:color="000000"/>
            </w:tcBorders>
            <w:shd w:val="clear" w:color="auto" w:fill="auto"/>
          </w:tcPr>
          <w:p w:rsidR="00B8694E" w:rsidRPr="008F7236" w:rsidRDefault="00B8694E" w:rsidP="00292F06">
            <w:pPr>
              <w:jc w:val="center"/>
              <w:rPr>
                <w:sz w:val="24"/>
                <w:szCs w:val="24"/>
              </w:rPr>
            </w:pPr>
            <w:r w:rsidRPr="008F7236">
              <w:rPr>
                <w:sz w:val="24"/>
                <w:szCs w:val="24"/>
              </w:rPr>
              <w:t>30</w:t>
            </w:r>
            <w:r w:rsidRPr="008F7236">
              <w:rPr>
                <w:sz w:val="24"/>
                <w:szCs w:val="24"/>
              </w:rPr>
              <w:noBreakHyphen/>
              <w:t>50 </w:t>
            </w:r>
            <w:r w:rsidR="00F350AA">
              <w:rPr>
                <w:sz w:val="24"/>
                <w:szCs w:val="24"/>
              </w:rPr>
              <w:t>mikrogram</w:t>
            </w:r>
            <w:r w:rsidRPr="008F7236">
              <w:rPr>
                <w:sz w:val="24"/>
                <w:szCs w:val="24"/>
              </w:rPr>
              <w:t>/kg</w:t>
            </w:r>
          </w:p>
        </w:tc>
        <w:tc>
          <w:tcPr>
            <w:tcW w:w="2764" w:type="dxa"/>
            <w:tcBorders>
              <w:top w:val="single" w:sz="6" w:space="0" w:color="000000"/>
              <w:left w:val="single" w:sz="6" w:space="0" w:color="000000"/>
              <w:bottom w:val="single" w:sz="6" w:space="0" w:color="000000"/>
              <w:right w:val="single" w:sz="6" w:space="0" w:color="000000"/>
            </w:tcBorders>
            <w:shd w:val="clear" w:color="auto" w:fill="auto"/>
          </w:tcPr>
          <w:p w:rsidR="00B8694E" w:rsidRPr="008F7236" w:rsidRDefault="00B8694E" w:rsidP="00292F06">
            <w:pPr>
              <w:jc w:val="center"/>
              <w:rPr>
                <w:sz w:val="24"/>
                <w:szCs w:val="24"/>
              </w:rPr>
            </w:pPr>
            <w:r w:rsidRPr="008F7236">
              <w:rPr>
                <w:sz w:val="24"/>
                <w:szCs w:val="24"/>
              </w:rPr>
              <w:t>15 </w:t>
            </w:r>
            <w:r w:rsidR="00F350AA">
              <w:rPr>
                <w:sz w:val="24"/>
                <w:szCs w:val="24"/>
              </w:rPr>
              <w:t>mikrogram</w:t>
            </w:r>
            <w:r w:rsidRPr="008F7236">
              <w:rPr>
                <w:sz w:val="24"/>
                <w:szCs w:val="24"/>
              </w:rPr>
              <w:t>/kg</w:t>
            </w:r>
          </w:p>
        </w:tc>
      </w:tr>
    </w:tbl>
    <w:p w:rsidR="00B8694E" w:rsidRPr="008F7236" w:rsidRDefault="00B8694E" w:rsidP="00B8694E">
      <w:pPr>
        <w:ind w:right="566"/>
        <w:rPr>
          <w:i/>
          <w:sz w:val="24"/>
          <w:szCs w:val="24"/>
        </w:rPr>
      </w:pPr>
    </w:p>
    <w:p w:rsidR="00B8694E" w:rsidRPr="008F7236" w:rsidRDefault="00B8694E" w:rsidP="00522BC3">
      <w:pPr>
        <w:ind w:left="851" w:right="566"/>
        <w:rPr>
          <w:rFonts w:eastAsia="MS Mincho"/>
          <w:b/>
          <w:i/>
          <w:sz w:val="24"/>
          <w:szCs w:val="24"/>
        </w:rPr>
      </w:pPr>
      <w:r w:rsidRPr="008F7236">
        <w:rPr>
          <w:i/>
          <w:sz w:val="24"/>
          <w:szCs w:val="24"/>
        </w:rPr>
        <w:t>Kortvarige operationer og ambulante operationer</w:t>
      </w:r>
    </w:p>
    <w:p w:rsidR="00B8694E" w:rsidRPr="008F7236" w:rsidRDefault="00B8694E" w:rsidP="00B8694E">
      <w:pPr>
        <w:pStyle w:val="Ingenafstand"/>
        <w:ind w:left="851"/>
        <w:rPr>
          <w:sz w:val="24"/>
          <w:szCs w:val="24"/>
        </w:rPr>
      </w:pPr>
      <w:r w:rsidRPr="008F7236">
        <w:rPr>
          <w:sz w:val="24"/>
          <w:szCs w:val="24"/>
        </w:rPr>
        <w:t xml:space="preserve">Hos patienter med spontan vejrtrækning bør den indledende </w:t>
      </w:r>
      <w:proofErr w:type="spellStart"/>
      <w:r w:rsidRPr="008F7236">
        <w:rPr>
          <w:sz w:val="24"/>
          <w:szCs w:val="24"/>
        </w:rPr>
        <w:t>bolusdosis</w:t>
      </w:r>
      <w:proofErr w:type="spellEnd"/>
      <w:r w:rsidRPr="008F7236">
        <w:rPr>
          <w:sz w:val="24"/>
          <w:szCs w:val="24"/>
        </w:rPr>
        <w:t xml:space="preserve"> gives langsomt over ca. 30 sekunder (det kan være nyttigt at fortynde).</w:t>
      </w:r>
    </w:p>
    <w:p w:rsidR="00B8694E" w:rsidRPr="008F7236" w:rsidRDefault="00B8694E" w:rsidP="00B8694E">
      <w:pPr>
        <w:pStyle w:val="Ingenafstand"/>
        <w:ind w:left="851"/>
        <w:rPr>
          <w:sz w:val="24"/>
          <w:szCs w:val="24"/>
        </w:rPr>
      </w:pPr>
    </w:p>
    <w:p w:rsidR="00B8694E" w:rsidRPr="008F7236" w:rsidRDefault="00B8694E" w:rsidP="00B8694E">
      <w:pPr>
        <w:pStyle w:val="Ingenafstand"/>
        <w:ind w:left="851"/>
        <w:rPr>
          <w:rFonts w:eastAsia="MS Mincho"/>
          <w:sz w:val="24"/>
          <w:szCs w:val="24"/>
        </w:rPr>
      </w:pPr>
      <w:r w:rsidRPr="008F7236">
        <w:rPr>
          <w:sz w:val="24"/>
          <w:szCs w:val="24"/>
        </w:rPr>
        <w:t>Efter intravenøs administration til ikke-præmedicinerede voksne patienter kan 500 </w:t>
      </w:r>
      <w:r w:rsidR="00F350AA">
        <w:rPr>
          <w:sz w:val="24"/>
          <w:szCs w:val="24"/>
        </w:rPr>
        <w:t>mikrogram</w:t>
      </w:r>
      <w:r w:rsidRPr="008F7236">
        <w:rPr>
          <w:sz w:val="24"/>
          <w:szCs w:val="24"/>
        </w:rPr>
        <w:t xml:space="preserve"> (1 ml) </w:t>
      </w:r>
      <w:proofErr w:type="spellStart"/>
      <w:r w:rsidRPr="008F7236">
        <w:rPr>
          <w:sz w:val="24"/>
          <w:szCs w:val="24"/>
        </w:rPr>
        <w:t>alfentanil</w:t>
      </w:r>
      <w:proofErr w:type="spellEnd"/>
      <w:r w:rsidRPr="008F7236">
        <w:rPr>
          <w:sz w:val="24"/>
          <w:szCs w:val="24"/>
        </w:rPr>
        <w:t xml:space="preserve"> forventes at have maksimal virkning efter 90 sekunder og som analgesi efter 5-10 minutter.</w:t>
      </w:r>
    </w:p>
    <w:p w:rsidR="00B8694E" w:rsidRPr="008F7236" w:rsidRDefault="00B8694E" w:rsidP="00B8694E">
      <w:pPr>
        <w:pStyle w:val="Ingenafstand"/>
        <w:ind w:left="851"/>
        <w:rPr>
          <w:rFonts w:eastAsia="MS Mincho"/>
          <w:sz w:val="24"/>
          <w:szCs w:val="24"/>
          <w:lang w:eastAsia="en-US"/>
        </w:rPr>
      </w:pPr>
    </w:p>
    <w:p w:rsidR="00B8694E" w:rsidRPr="008F7236" w:rsidRDefault="00B8694E" w:rsidP="00522BC3">
      <w:pPr>
        <w:pStyle w:val="Ingenafstand"/>
        <w:ind w:left="851"/>
        <w:rPr>
          <w:rFonts w:eastAsia="MS Mincho"/>
          <w:i/>
          <w:sz w:val="24"/>
          <w:szCs w:val="24"/>
          <w:lang w:eastAsia="en-US"/>
        </w:rPr>
      </w:pPr>
      <w:r w:rsidRPr="008F7236">
        <w:rPr>
          <w:i/>
          <w:sz w:val="24"/>
          <w:szCs w:val="24"/>
        </w:rPr>
        <w:t>Operationer af mellemlang og lang varighed</w:t>
      </w:r>
    </w:p>
    <w:p w:rsidR="00B8694E" w:rsidRPr="008F7236" w:rsidRDefault="00B8694E" w:rsidP="00B8694E">
      <w:pPr>
        <w:pStyle w:val="Ingenafstand"/>
        <w:ind w:left="851"/>
        <w:rPr>
          <w:sz w:val="24"/>
          <w:szCs w:val="24"/>
        </w:rPr>
      </w:pPr>
      <w:r w:rsidRPr="008F7236">
        <w:rPr>
          <w:sz w:val="24"/>
          <w:szCs w:val="24"/>
        </w:rPr>
        <w:t>Perioder med mere smertefulde stimuli kan overvindes ved gentagen administration af 250 </w:t>
      </w:r>
      <w:r w:rsidR="00F350AA">
        <w:rPr>
          <w:sz w:val="24"/>
          <w:szCs w:val="24"/>
        </w:rPr>
        <w:t>mikrogram</w:t>
      </w:r>
      <w:r w:rsidRPr="008F7236">
        <w:rPr>
          <w:sz w:val="24"/>
          <w:szCs w:val="24"/>
        </w:rPr>
        <w:t xml:space="preserve"> (0,5 ml) </w:t>
      </w:r>
      <w:proofErr w:type="spellStart"/>
      <w:r w:rsidRPr="008F7236">
        <w:rPr>
          <w:sz w:val="24"/>
          <w:szCs w:val="24"/>
        </w:rPr>
        <w:t>alfentanil</w:t>
      </w:r>
      <w:proofErr w:type="spellEnd"/>
      <w:r w:rsidRPr="008F7236">
        <w:rPr>
          <w:sz w:val="24"/>
          <w:szCs w:val="24"/>
        </w:rPr>
        <w:t>. For operationer af længere varighed kræves yderligere administrationer.</w:t>
      </w:r>
    </w:p>
    <w:p w:rsidR="00B8694E" w:rsidRPr="008F7236" w:rsidRDefault="00B8694E" w:rsidP="00B8694E">
      <w:pPr>
        <w:pStyle w:val="Ingenafstand"/>
        <w:ind w:left="851"/>
        <w:rPr>
          <w:sz w:val="24"/>
          <w:szCs w:val="24"/>
        </w:rPr>
      </w:pPr>
    </w:p>
    <w:p w:rsidR="00B8694E" w:rsidRPr="008F7236" w:rsidRDefault="00B8694E" w:rsidP="00B8694E">
      <w:pPr>
        <w:pStyle w:val="Ingenafstand"/>
        <w:ind w:left="851"/>
        <w:rPr>
          <w:sz w:val="24"/>
          <w:szCs w:val="24"/>
        </w:rPr>
      </w:pPr>
      <w:r w:rsidRPr="008F7236">
        <w:rPr>
          <w:sz w:val="24"/>
          <w:szCs w:val="24"/>
        </w:rPr>
        <w:t xml:space="preserve">Hos ventilerede patienter bør den sidste dosis </w:t>
      </w:r>
      <w:proofErr w:type="spellStart"/>
      <w:r w:rsidRPr="008F7236">
        <w:rPr>
          <w:sz w:val="24"/>
          <w:szCs w:val="24"/>
        </w:rPr>
        <w:t>alfentanil</w:t>
      </w:r>
      <w:proofErr w:type="spellEnd"/>
      <w:r w:rsidRPr="008F7236">
        <w:rPr>
          <w:sz w:val="24"/>
          <w:szCs w:val="24"/>
        </w:rPr>
        <w:t xml:space="preserve"> ikke gives senere end ca. 10 minutter inden operationens afslutning for at undgå postoperativ respirationsdepression.</w:t>
      </w:r>
    </w:p>
    <w:p w:rsidR="00B8694E" w:rsidRPr="008F7236" w:rsidRDefault="00B8694E" w:rsidP="00B8694E">
      <w:pPr>
        <w:pStyle w:val="Ingenafstand"/>
        <w:ind w:left="851"/>
        <w:rPr>
          <w:sz w:val="24"/>
          <w:szCs w:val="24"/>
        </w:rPr>
      </w:pPr>
    </w:p>
    <w:p w:rsidR="00B8694E" w:rsidRPr="008F7236" w:rsidRDefault="00B8694E" w:rsidP="00B8694E">
      <w:pPr>
        <w:pStyle w:val="Ingenafstand"/>
        <w:ind w:left="851"/>
        <w:rPr>
          <w:sz w:val="24"/>
          <w:szCs w:val="24"/>
        </w:rPr>
      </w:pPr>
      <w:r w:rsidRPr="008F7236">
        <w:rPr>
          <w:sz w:val="24"/>
          <w:szCs w:val="24"/>
        </w:rPr>
        <w:t xml:space="preserve">Hos ventilerede patienter, der gennemgår længere operationer, kan </w:t>
      </w:r>
      <w:proofErr w:type="spellStart"/>
      <w:r w:rsidRPr="008F7236">
        <w:rPr>
          <w:sz w:val="24"/>
          <w:szCs w:val="24"/>
        </w:rPr>
        <w:t>alfentanil</w:t>
      </w:r>
      <w:proofErr w:type="spellEnd"/>
      <w:r w:rsidRPr="008F7236">
        <w:rPr>
          <w:sz w:val="24"/>
          <w:szCs w:val="24"/>
        </w:rPr>
        <w:t xml:space="preserve"> </w:t>
      </w:r>
      <w:proofErr w:type="spellStart"/>
      <w:r w:rsidRPr="008F7236">
        <w:rPr>
          <w:sz w:val="24"/>
          <w:szCs w:val="24"/>
        </w:rPr>
        <w:t>infunderes</w:t>
      </w:r>
      <w:proofErr w:type="spellEnd"/>
      <w:r w:rsidRPr="008F7236">
        <w:rPr>
          <w:sz w:val="24"/>
          <w:szCs w:val="24"/>
        </w:rPr>
        <w:t xml:space="preserve"> med en hastighed på 0,5-1 </w:t>
      </w:r>
      <w:r w:rsidR="00F350AA">
        <w:rPr>
          <w:sz w:val="24"/>
          <w:szCs w:val="24"/>
        </w:rPr>
        <w:t>mikrogram</w:t>
      </w:r>
      <w:r w:rsidRPr="008F7236">
        <w:rPr>
          <w:sz w:val="24"/>
          <w:szCs w:val="24"/>
        </w:rPr>
        <w:t xml:space="preserve">/kg/minut. Der kan kun opnås tilstrækkelige plasmakoncentrationer af </w:t>
      </w:r>
      <w:proofErr w:type="spellStart"/>
      <w:r w:rsidRPr="008F7236">
        <w:rPr>
          <w:sz w:val="24"/>
          <w:szCs w:val="24"/>
        </w:rPr>
        <w:t>alfentanil</w:t>
      </w:r>
      <w:proofErr w:type="spellEnd"/>
      <w:r w:rsidRPr="008F7236">
        <w:rPr>
          <w:sz w:val="24"/>
          <w:szCs w:val="24"/>
        </w:rPr>
        <w:t xml:space="preserve">, </w:t>
      </w:r>
      <w:r w:rsidRPr="00417296">
        <w:rPr>
          <w:sz w:val="24"/>
          <w:szCs w:val="24"/>
        </w:rPr>
        <w:t>hvis der forud for denne infusion gives en initialdosis på 50</w:t>
      </w:r>
      <w:r w:rsidRPr="00417296">
        <w:rPr>
          <w:sz w:val="24"/>
          <w:szCs w:val="24"/>
        </w:rPr>
        <w:noBreakHyphen/>
        <w:t xml:space="preserve">100 </w:t>
      </w:r>
      <w:r w:rsidR="00F350AA">
        <w:rPr>
          <w:sz w:val="24"/>
          <w:szCs w:val="24"/>
        </w:rPr>
        <w:t>mikrogram</w:t>
      </w:r>
      <w:r w:rsidRPr="009B2746">
        <w:rPr>
          <w:sz w:val="24"/>
          <w:szCs w:val="24"/>
        </w:rPr>
        <w:t xml:space="preserve">/kg som en </w:t>
      </w:r>
      <w:proofErr w:type="spellStart"/>
      <w:r w:rsidRPr="009B2746">
        <w:rPr>
          <w:sz w:val="24"/>
          <w:szCs w:val="24"/>
        </w:rPr>
        <w:t>bolus</w:t>
      </w:r>
      <w:proofErr w:type="spellEnd"/>
      <w:r w:rsidRPr="009B2746">
        <w:rPr>
          <w:sz w:val="24"/>
          <w:szCs w:val="24"/>
        </w:rPr>
        <w:t xml:space="preserve"> eller hurtig infusion over 10 minutter.</w:t>
      </w:r>
    </w:p>
    <w:p w:rsidR="00B8694E" w:rsidRPr="008F7236" w:rsidRDefault="00B8694E" w:rsidP="00B8694E">
      <w:pPr>
        <w:pStyle w:val="Ingenafstand"/>
        <w:ind w:left="851"/>
        <w:rPr>
          <w:sz w:val="24"/>
          <w:szCs w:val="24"/>
        </w:rPr>
      </w:pPr>
    </w:p>
    <w:p w:rsidR="00B8694E" w:rsidRPr="008F7236" w:rsidRDefault="00B8694E" w:rsidP="00B8694E">
      <w:pPr>
        <w:pStyle w:val="Ingenafstand"/>
        <w:ind w:left="851"/>
        <w:rPr>
          <w:sz w:val="24"/>
          <w:szCs w:val="24"/>
        </w:rPr>
      </w:pPr>
      <w:r w:rsidRPr="008F7236">
        <w:rPr>
          <w:sz w:val="24"/>
          <w:szCs w:val="24"/>
        </w:rPr>
        <w:t>Det kan være tilstrækkeligt med lavere doser, for eksempel hvor anæstesi suppleres med andre midler.</w:t>
      </w:r>
    </w:p>
    <w:p w:rsidR="00B8694E" w:rsidRPr="008F7236" w:rsidRDefault="00B8694E" w:rsidP="00B8694E">
      <w:pPr>
        <w:pStyle w:val="Ingenafstand"/>
        <w:ind w:left="851"/>
        <w:rPr>
          <w:sz w:val="24"/>
          <w:szCs w:val="24"/>
        </w:rPr>
      </w:pPr>
    </w:p>
    <w:p w:rsidR="00B8694E" w:rsidRPr="008F7236" w:rsidRDefault="00B8694E" w:rsidP="00B8694E">
      <w:pPr>
        <w:pStyle w:val="Ingenafstand"/>
        <w:ind w:left="851"/>
        <w:rPr>
          <w:sz w:val="24"/>
          <w:szCs w:val="24"/>
        </w:rPr>
      </w:pPr>
      <w:r w:rsidRPr="008F7236">
        <w:rPr>
          <w:sz w:val="24"/>
          <w:szCs w:val="24"/>
        </w:rPr>
        <w:t>Infusionen skal seponeres op til 30 minutter før den forventede afslutning af operationen.</w:t>
      </w:r>
    </w:p>
    <w:p w:rsidR="00B8694E" w:rsidRPr="008F7236" w:rsidRDefault="00B8694E" w:rsidP="00B8694E">
      <w:pPr>
        <w:pStyle w:val="Ingenafstand"/>
        <w:ind w:left="851"/>
        <w:rPr>
          <w:sz w:val="24"/>
          <w:szCs w:val="24"/>
        </w:rPr>
      </w:pPr>
    </w:p>
    <w:p w:rsidR="00B8694E" w:rsidRPr="008F7236" w:rsidRDefault="00B8694E" w:rsidP="00B8694E">
      <w:pPr>
        <w:pStyle w:val="Ingenafstand"/>
        <w:ind w:left="851"/>
        <w:rPr>
          <w:sz w:val="24"/>
          <w:szCs w:val="24"/>
        </w:rPr>
      </w:pPr>
      <w:r w:rsidRPr="008F7236">
        <w:rPr>
          <w:sz w:val="24"/>
          <w:szCs w:val="24"/>
        </w:rPr>
        <w:t xml:space="preserve">Forøgelse af infusionshastigheden kan forlænge opvågning. Supplerende anæstesi håndteres bedst, ved behov i perioder med smertefulde stimuli, ved ekstra </w:t>
      </w:r>
      <w:proofErr w:type="spellStart"/>
      <w:r w:rsidRPr="008F7236">
        <w:rPr>
          <w:sz w:val="24"/>
          <w:szCs w:val="24"/>
        </w:rPr>
        <w:t>bolusdoser</w:t>
      </w:r>
      <w:proofErr w:type="spellEnd"/>
      <w:r w:rsidRPr="008F7236">
        <w:rPr>
          <w:sz w:val="24"/>
          <w:szCs w:val="24"/>
        </w:rPr>
        <w:t xml:space="preserve"> af </w:t>
      </w:r>
      <w:proofErr w:type="spellStart"/>
      <w:r w:rsidRPr="008F7236">
        <w:rPr>
          <w:sz w:val="24"/>
          <w:szCs w:val="24"/>
        </w:rPr>
        <w:lastRenderedPageBreak/>
        <w:t>alfentanil</w:t>
      </w:r>
      <w:proofErr w:type="spellEnd"/>
      <w:r w:rsidRPr="008F7236">
        <w:rPr>
          <w:sz w:val="24"/>
          <w:szCs w:val="24"/>
        </w:rPr>
        <w:t xml:space="preserve"> (500 </w:t>
      </w:r>
      <w:r w:rsidR="00F350AA">
        <w:rPr>
          <w:sz w:val="24"/>
          <w:szCs w:val="24"/>
        </w:rPr>
        <w:t>mikrogram</w:t>
      </w:r>
      <w:r w:rsidRPr="008F7236">
        <w:rPr>
          <w:sz w:val="24"/>
          <w:szCs w:val="24"/>
        </w:rPr>
        <w:t xml:space="preserve"> til 1 mg svarende til 1-2 ml) eller lave koncentrationer af et flygtigt middel i korte perioder.</w:t>
      </w:r>
    </w:p>
    <w:p w:rsidR="00B8694E" w:rsidRPr="008F7236" w:rsidRDefault="00B8694E" w:rsidP="00B8694E">
      <w:pPr>
        <w:pStyle w:val="Ingenafstand"/>
        <w:ind w:left="851"/>
        <w:rPr>
          <w:sz w:val="24"/>
          <w:szCs w:val="24"/>
        </w:rPr>
      </w:pPr>
    </w:p>
    <w:p w:rsidR="00B8694E" w:rsidRPr="008F7236" w:rsidRDefault="00B8694E" w:rsidP="00B8694E">
      <w:pPr>
        <w:pStyle w:val="Ingenafstand"/>
        <w:ind w:left="851"/>
        <w:rPr>
          <w:sz w:val="24"/>
          <w:szCs w:val="24"/>
        </w:rPr>
      </w:pPr>
      <w:r w:rsidRPr="008F7236">
        <w:rPr>
          <w:sz w:val="24"/>
          <w:szCs w:val="24"/>
        </w:rPr>
        <w:t xml:space="preserve">Patienter med alvorlige forbrændinger, der skal forbindes, etc., har fået en initialdosis på 18-28 </w:t>
      </w:r>
      <w:r w:rsidR="00F350AA">
        <w:rPr>
          <w:sz w:val="24"/>
          <w:szCs w:val="24"/>
        </w:rPr>
        <w:t>mikrogram</w:t>
      </w:r>
      <w:r w:rsidRPr="008F7236">
        <w:rPr>
          <w:sz w:val="24"/>
          <w:szCs w:val="24"/>
        </w:rPr>
        <w:t>/kg/min i op til 30 minutter uden behov for mekanisk ventilation.</w:t>
      </w:r>
    </w:p>
    <w:p w:rsidR="00B8694E" w:rsidRPr="008F7236" w:rsidRDefault="00B8694E" w:rsidP="00B8694E">
      <w:pPr>
        <w:pStyle w:val="Ingenafstand"/>
        <w:ind w:left="851"/>
        <w:rPr>
          <w:sz w:val="24"/>
          <w:szCs w:val="24"/>
        </w:rPr>
      </w:pPr>
    </w:p>
    <w:p w:rsidR="00B8694E" w:rsidRPr="008F7236" w:rsidRDefault="00B8694E" w:rsidP="00B8694E">
      <w:pPr>
        <w:pStyle w:val="Ingenafstand"/>
        <w:ind w:left="851"/>
        <w:rPr>
          <w:sz w:val="24"/>
          <w:szCs w:val="24"/>
        </w:rPr>
      </w:pPr>
      <w:r w:rsidRPr="008F7236">
        <w:rPr>
          <w:sz w:val="24"/>
          <w:szCs w:val="24"/>
        </w:rPr>
        <w:t xml:space="preserve">Ved hjertekirurgi er der anvendt doser i intervallet 12-50 mg/time som eneste </w:t>
      </w:r>
      <w:proofErr w:type="spellStart"/>
      <w:r w:rsidRPr="008F7236">
        <w:rPr>
          <w:sz w:val="24"/>
          <w:szCs w:val="24"/>
        </w:rPr>
        <w:t>anæstetikum</w:t>
      </w:r>
      <w:proofErr w:type="spellEnd"/>
      <w:r w:rsidRPr="008F7236">
        <w:rPr>
          <w:sz w:val="24"/>
          <w:szCs w:val="24"/>
        </w:rPr>
        <w:t>.</w:t>
      </w:r>
    </w:p>
    <w:bookmarkEnd w:id="0"/>
    <w:p w:rsidR="001935D4" w:rsidRPr="00AC1736" w:rsidRDefault="001935D4" w:rsidP="001935D4">
      <w:pPr>
        <w:pStyle w:val="Ingenafstand"/>
        <w:ind w:left="851"/>
        <w:rPr>
          <w:sz w:val="24"/>
          <w:szCs w:val="24"/>
        </w:rPr>
      </w:pPr>
    </w:p>
    <w:p w:rsidR="001935D4" w:rsidRPr="00AC1736" w:rsidRDefault="001935D4" w:rsidP="001935D4">
      <w:pPr>
        <w:pStyle w:val="Ingenafstand"/>
        <w:ind w:left="851"/>
        <w:rPr>
          <w:sz w:val="24"/>
          <w:szCs w:val="24"/>
          <w:u w:val="single"/>
        </w:rPr>
      </w:pPr>
      <w:r w:rsidRPr="00AC1736">
        <w:rPr>
          <w:sz w:val="24"/>
          <w:szCs w:val="24"/>
          <w:u w:val="single"/>
        </w:rPr>
        <w:t>Særlige populationer</w:t>
      </w:r>
    </w:p>
    <w:p w:rsidR="001935D4" w:rsidRPr="00AC1736" w:rsidRDefault="001935D4" w:rsidP="001935D4">
      <w:pPr>
        <w:pStyle w:val="Ingenafstand"/>
        <w:ind w:left="851"/>
        <w:rPr>
          <w:i/>
          <w:sz w:val="24"/>
          <w:szCs w:val="24"/>
        </w:rPr>
      </w:pPr>
    </w:p>
    <w:p w:rsidR="001935D4" w:rsidRPr="00AC1736" w:rsidRDefault="001935D4" w:rsidP="001935D4">
      <w:pPr>
        <w:pStyle w:val="Ingenafstand"/>
        <w:ind w:left="851"/>
        <w:rPr>
          <w:i/>
          <w:sz w:val="24"/>
          <w:szCs w:val="24"/>
        </w:rPr>
      </w:pPr>
      <w:r w:rsidRPr="00AC1736">
        <w:rPr>
          <w:i/>
          <w:sz w:val="24"/>
          <w:szCs w:val="24"/>
        </w:rPr>
        <w:t>Pædiatrisk population</w:t>
      </w:r>
    </w:p>
    <w:p w:rsidR="001935D4" w:rsidRPr="00AC1736" w:rsidRDefault="001935D4" w:rsidP="001935D4">
      <w:pPr>
        <w:pStyle w:val="Ingenafstand"/>
        <w:ind w:left="851"/>
        <w:rPr>
          <w:i/>
          <w:sz w:val="24"/>
          <w:szCs w:val="24"/>
        </w:rPr>
      </w:pPr>
      <w:r w:rsidRPr="00AC1736">
        <w:rPr>
          <w:sz w:val="24"/>
          <w:szCs w:val="24"/>
        </w:rPr>
        <w:t xml:space="preserve">Udstyr til assisteret ventilation bør være til rådighed til brug hos børn </w:t>
      </w:r>
      <w:r w:rsidR="006D358E">
        <w:rPr>
          <w:sz w:val="24"/>
          <w:szCs w:val="24"/>
        </w:rPr>
        <w:t>i alle aldre</w:t>
      </w:r>
      <w:r w:rsidRPr="00AC1736">
        <w:rPr>
          <w:sz w:val="24"/>
          <w:szCs w:val="24"/>
        </w:rPr>
        <w:t xml:space="preserve">, selv </w:t>
      </w:r>
      <w:r w:rsidR="006D358E">
        <w:rPr>
          <w:sz w:val="24"/>
          <w:szCs w:val="24"/>
        </w:rPr>
        <w:t>til</w:t>
      </w:r>
      <w:r w:rsidRPr="00AC1736">
        <w:rPr>
          <w:sz w:val="24"/>
          <w:szCs w:val="24"/>
        </w:rPr>
        <w:t xml:space="preserve"> kortvarige operationer hos børn med spontan vejrtrækning.</w:t>
      </w:r>
    </w:p>
    <w:p w:rsidR="001935D4" w:rsidRPr="00AC1736" w:rsidRDefault="001935D4" w:rsidP="001935D4">
      <w:pPr>
        <w:pStyle w:val="Ingenafstand"/>
        <w:ind w:left="851"/>
        <w:rPr>
          <w:i/>
          <w:snapToGrid w:val="0"/>
          <w:sz w:val="24"/>
          <w:szCs w:val="24"/>
        </w:rPr>
      </w:pPr>
    </w:p>
    <w:p w:rsidR="001935D4" w:rsidRPr="00AC1736" w:rsidRDefault="006D358E" w:rsidP="001935D4">
      <w:pPr>
        <w:pStyle w:val="Ingenafstand"/>
        <w:ind w:left="851"/>
        <w:rPr>
          <w:i/>
          <w:snapToGrid w:val="0"/>
          <w:sz w:val="24"/>
          <w:szCs w:val="24"/>
        </w:rPr>
      </w:pPr>
      <w:r>
        <w:rPr>
          <w:sz w:val="24"/>
          <w:szCs w:val="24"/>
        </w:rPr>
        <w:t>Data på</w:t>
      </w:r>
      <w:r w:rsidR="001935D4" w:rsidRPr="00AC1736">
        <w:rPr>
          <w:sz w:val="24"/>
          <w:szCs w:val="24"/>
        </w:rPr>
        <w:t xml:space="preserve"> børn – særligt </w:t>
      </w:r>
      <w:r>
        <w:rPr>
          <w:sz w:val="24"/>
          <w:szCs w:val="24"/>
        </w:rPr>
        <w:t xml:space="preserve">børn </w:t>
      </w:r>
      <w:r w:rsidR="001935D4" w:rsidRPr="00AC1736">
        <w:rPr>
          <w:sz w:val="24"/>
          <w:szCs w:val="24"/>
        </w:rPr>
        <w:t>i alderen fra 1 måned til 1 år</w:t>
      </w:r>
      <w:r>
        <w:rPr>
          <w:sz w:val="24"/>
          <w:szCs w:val="24"/>
        </w:rPr>
        <w:t xml:space="preserve"> - er begrænset</w:t>
      </w:r>
      <w:r w:rsidR="001935D4" w:rsidRPr="00AC1736">
        <w:rPr>
          <w:sz w:val="24"/>
          <w:szCs w:val="24"/>
        </w:rPr>
        <w:t xml:space="preserve"> (se pkt. 5.2).</w:t>
      </w:r>
    </w:p>
    <w:p w:rsidR="001935D4" w:rsidRPr="00AC1736" w:rsidRDefault="001935D4" w:rsidP="001935D4">
      <w:pPr>
        <w:widowControl w:val="0"/>
        <w:ind w:left="851"/>
        <w:rPr>
          <w:i/>
          <w:snapToGrid w:val="0"/>
          <w:sz w:val="24"/>
          <w:szCs w:val="24"/>
          <w:u w:val="single"/>
        </w:rPr>
      </w:pPr>
    </w:p>
    <w:p w:rsidR="00707102" w:rsidRPr="00B13CCE" w:rsidRDefault="001935D4" w:rsidP="001935D4">
      <w:pPr>
        <w:widowControl w:val="0"/>
        <w:ind w:left="851"/>
        <w:rPr>
          <w:i/>
          <w:sz w:val="24"/>
          <w:szCs w:val="24"/>
        </w:rPr>
      </w:pPr>
      <w:r w:rsidRPr="00B13CCE">
        <w:rPr>
          <w:i/>
          <w:sz w:val="24"/>
          <w:szCs w:val="24"/>
        </w:rPr>
        <w:t>Nyfødte (0 til 27 dage)</w:t>
      </w:r>
    </w:p>
    <w:p w:rsidR="001935D4" w:rsidRPr="00AC1736" w:rsidRDefault="006D358E" w:rsidP="001935D4">
      <w:pPr>
        <w:widowControl w:val="0"/>
        <w:ind w:left="851"/>
        <w:rPr>
          <w:sz w:val="24"/>
          <w:szCs w:val="24"/>
        </w:rPr>
      </w:pPr>
      <w:r>
        <w:rPr>
          <w:sz w:val="24"/>
          <w:szCs w:val="24"/>
        </w:rPr>
        <w:t>F</w:t>
      </w:r>
      <w:r w:rsidR="001935D4" w:rsidRPr="00AC1736">
        <w:rPr>
          <w:sz w:val="24"/>
          <w:szCs w:val="24"/>
        </w:rPr>
        <w:t>armakokineti</w:t>
      </w:r>
      <w:r w:rsidR="000B528C">
        <w:rPr>
          <w:sz w:val="24"/>
          <w:szCs w:val="24"/>
        </w:rPr>
        <w:t>kken er meget variable</w:t>
      </w:r>
      <w:r w:rsidR="001935D4" w:rsidRPr="00AC1736">
        <w:rPr>
          <w:sz w:val="24"/>
          <w:szCs w:val="24"/>
        </w:rPr>
        <w:t xml:space="preserve"> hos nyfødte – især hos </w:t>
      </w:r>
      <w:r w:rsidR="000B528C">
        <w:rPr>
          <w:sz w:val="24"/>
          <w:szCs w:val="24"/>
        </w:rPr>
        <w:t>for-tidligt-fødte</w:t>
      </w:r>
      <w:r w:rsidR="001935D4" w:rsidRPr="00AC1736">
        <w:rPr>
          <w:sz w:val="24"/>
          <w:szCs w:val="24"/>
        </w:rPr>
        <w:t xml:space="preserve">. </w:t>
      </w:r>
      <w:proofErr w:type="spellStart"/>
      <w:r w:rsidR="001935D4" w:rsidRPr="00AC1736">
        <w:rPr>
          <w:sz w:val="24"/>
          <w:szCs w:val="24"/>
        </w:rPr>
        <w:t>Clearance</w:t>
      </w:r>
      <w:proofErr w:type="spellEnd"/>
      <w:r w:rsidR="001935D4" w:rsidRPr="00AC1736">
        <w:rPr>
          <w:sz w:val="24"/>
          <w:szCs w:val="24"/>
        </w:rPr>
        <w:t xml:space="preserve"> og proteinbinding er lavere, og det kan være nødvendigt at give en lavere dosis </w:t>
      </w:r>
      <w:proofErr w:type="spellStart"/>
      <w:r w:rsidR="001935D4" w:rsidRPr="00AC1736">
        <w:rPr>
          <w:sz w:val="24"/>
          <w:szCs w:val="24"/>
        </w:rPr>
        <w:t>alfentanil</w:t>
      </w:r>
      <w:proofErr w:type="spellEnd"/>
      <w:r w:rsidR="001935D4" w:rsidRPr="00AC1736">
        <w:rPr>
          <w:sz w:val="24"/>
          <w:szCs w:val="24"/>
        </w:rPr>
        <w:t xml:space="preserve">. Nyfødte bør monitoreres nøje, og </w:t>
      </w:r>
      <w:proofErr w:type="spellStart"/>
      <w:r w:rsidR="001935D4" w:rsidRPr="00AC1736">
        <w:rPr>
          <w:sz w:val="24"/>
          <w:szCs w:val="24"/>
        </w:rPr>
        <w:t>alfentanil</w:t>
      </w:r>
      <w:r w:rsidR="000B528C">
        <w:rPr>
          <w:sz w:val="24"/>
          <w:szCs w:val="24"/>
        </w:rPr>
        <w:t>dosis</w:t>
      </w:r>
      <w:proofErr w:type="spellEnd"/>
      <w:r w:rsidR="001935D4" w:rsidRPr="00AC1736">
        <w:rPr>
          <w:sz w:val="24"/>
          <w:szCs w:val="24"/>
        </w:rPr>
        <w:t xml:space="preserve"> skal titreres i henhold til respons.</w:t>
      </w:r>
    </w:p>
    <w:p w:rsidR="001935D4" w:rsidRPr="00AC1736" w:rsidRDefault="001935D4" w:rsidP="001935D4">
      <w:pPr>
        <w:widowControl w:val="0"/>
        <w:ind w:left="851"/>
        <w:rPr>
          <w:snapToGrid w:val="0"/>
          <w:sz w:val="24"/>
          <w:szCs w:val="24"/>
        </w:rPr>
      </w:pPr>
    </w:p>
    <w:p w:rsidR="00707102" w:rsidRPr="00B13CCE" w:rsidRDefault="001935D4" w:rsidP="001935D4">
      <w:pPr>
        <w:widowControl w:val="0"/>
        <w:ind w:left="851"/>
        <w:rPr>
          <w:i/>
          <w:sz w:val="24"/>
          <w:szCs w:val="24"/>
        </w:rPr>
      </w:pPr>
      <w:r w:rsidRPr="00B13CCE">
        <w:rPr>
          <w:i/>
          <w:sz w:val="24"/>
          <w:szCs w:val="24"/>
        </w:rPr>
        <w:t xml:space="preserve">Spædbørn og småbørn </w:t>
      </w:r>
      <w:r w:rsidR="000447CF">
        <w:rPr>
          <w:i/>
          <w:sz w:val="24"/>
          <w:szCs w:val="24"/>
        </w:rPr>
        <w:t>(</w:t>
      </w:r>
      <w:r w:rsidRPr="00B13CCE">
        <w:rPr>
          <w:i/>
          <w:sz w:val="24"/>
          <w:szCs w:val="24"/>
        </w:rPr>
        <w:t>28 dage til 23 måneder</w:t>
      </w:r>
      <w:r w:rsidR="000447CF">
        <w:rPr>
          <w:i/>
          <w:sz w:val="24"/>
          <w:szCs w:val="24"/>
        </w:rPr>
        <w:t>)</w:t>
      </w:r>
    </w:p>
    <w:p w:rsidR="001935D4" w:rsidRPr="00AC1736" w:rsidRDefault="001935D4" w:rsidP="001935D4">
      <w:pPr>
        <w:widowControl w:val="0"/>
        <w:ind w:left="851"/>
        <w:rPr>
          <w:sz w:val="24"/>
          <w:szCs w:val="24"/>
        </w:rPr>
      </w:pPr>
      <w:proofErr w:type="spellStart"/>
      <w:r w:rsidRPr="00AC1736">
        <w:rPr>
          <w:sz w:val="24"/>
          <w:szCs w:val="24"/>
        </w:rPr>
        <w:t>Clearance</w:t>
      </w:r>
      <w:proofErr w:type="spellEnd"/>
      <w:r w:rsidRPr="00AC1736">
        <w:rPr>
          <w:sz w:val="24"/>
          <w:szCs w:val="24"/>
        </w:rPr>
        <w:t xml:space="preserve"> kan være højere hos spædbørn og småbørn sammenlignet med niveauet hos voksne. </w:t>
      </w:r>
      <w:r w:rsidR="000447CF">
        <w:rPr>
          <w:sz w:val="24"/>
          <w:szCs w:val="24"/>
        </w:rPr>
        <w:t>Til opretholdelse af</w:t>
      </w:r>
      <w:r w:rsidRPr="00AC1736">
        <w:rPr>
          <w:sz w:val="24"/>
          <w:szCs w:val="24"/>
        </w:rPr>
        <w:t xml:space="preserve"> analgesi kan det være nødvendigt at øge </w:t>
      </w:r>
      <w:proofErr w:type="spellStart"/>
      <w:r w:rsidRPr="00AC1736">
        <w:rPr>
          <w:sz w:val="24"/>
          <w:szCs w:val="24"/>
        </w:rPr>
        <w:t>alfentanils</w:t>
      </w:r>
      <w:proofErr w:type="spellEnd"/>
      <w:r w:rsidRPr="00AC1736">
        <w:rPr>
          <w:sz w:val="24"/>
          <w:szCs w:val="24"/>
        </w:rPr>
        <w:t xml:space="preserve"> infusionshastighed.</w:t>
      </w:r>
    </w:p>
    <w:p w:rsidR="001935D4" w:rsidRPr="00AC1736" w:rsidRDefault="001935D4" w:rsidP="001935D4">
      <w:pPr>
        <w:widowControl w:val="0"/>
        <w:ind w:left="851"/>
        <w:rPr>
          <w:i/>
          <w:snapToGrid w:val="0"/>
          <w:sz w:val="24"/>
          <w:szCs w:val="24"/>
          <w:u w:val="single"/>
        </w:rPr>
      </w:pPr>
    </w:p>
    <w:p w:rsidR="00707102" w:rsidRPr="00B13CCE" w:rsidRDefault="001935D4" w:rsidP="001935D4">
      <w:pPr>
        <w:widowControl w:val="0"/>
        <w:ind w:left="851"/>
        <w:rPr>
          <w:i/>
          <w:sz w:val="24"/>
          <w:szCs w:val="24"/>
        </w:rPr>
      </w:pPr>
      <w:r w:rsidRPr="00B13CCE">
        <w:rPr>
          <w:i/>
          <w:sz w:val="24"/>
          <w:szCs w:val="24"/>
        </w:rPr>
        <w:t>Børn (2 til 11 år)</w:t>
      </w:r>
    </w:p>
    <w:p w:rsidR="001935D4" w:rsidRPr="00AC1736" w:rsidRDefault="001935D4" w:rsidP="001935D4">
      <w:pPr>
        <w:widowControl w:val="0"/>
        <w:ind w:left="851"/>
        <w:rPr>
          <w:sz w:val="24"/>
          <w:szCs w:val="24"/>
        </w:rPr>
      </w:pPr>
      <w:proofErr w:type="spellStart"/>
      <w:r w:rsidRPr="00AC1736">
        <w:rPr>
          <w:sz w:val="24"/>
          <w:szCs w:val="24"/>
        </w:rPr>
        <w:t>Clearance</w:t>
      </w:r>
      <w:proofErr w:type="spellEnd"/>
      <w:r w:rsidRPr="00AC1736">
        <w:rPr>
          <w:sz w:val="24"/>
          <w:szCs w:val="24"/>
        </w:rPr>
        <w:t xml:space="preserve"> kan være </w:t>
      </w:r>
      <w:r w:rsidR="000447CF">
        <w:rPr>
          <w:sz w:val="24"/>
          <w:szCs w:val="24"/>
        </w:rPr>
        <w:t>en smule</w:t>
      </w:r>
      <w:r w:rsidR="00370204">
        <w:rPr>
          <w:sz w:val="24"/>
          <w:szCs w:val="24"/>
        </w:rPr>
        <w:t xml:space="preserve"> </w:t>
      </w:r>
      <w:r w:rsidRPr="00AC1736">
        <w:rPr>
          <w:sz w:val="24"/>
          <w:szCs w:val="24"/>
        </w:rPr>
        <w:t xml:space="preserve">højere hos børn, og </w:t>
      </w:r>
      <w:r w:rsidR="00370204">
        <w:rPr>
          <w:sz w:val="24"/>
          <w:szCs w:val="24"/>
        </w:rPr>
        <w:t>infusionshastigheden skal muligvis øges.</w:t>
      </w:r>
    </w:p>
    <w:p w:rsidR="001935D4" w:rsidRPr="00AC1736" w:rsidRDefault="001935D4" w:rsidP="001935D4">
      <w:pPr>
        <w:widowControl w:val="0"/>
        <w:ind w:left="851"/>
        <w:rPr>
          <w:i/>
          <w:snapToGrid w:val="0"/>
          <w:sz w:val="24"/>
          <w:szCs w:val="24"/>
          <w:u w:val="single"/>
        </w:rPr>
      </w:pPr>
    </w:p>
    <w:p w:rsidR="00707102" w:rsidRPr="00B13CCE" w:rsidRDefault="001935D4" w:rsidP="001935D4">
      <w:pPr>
        <w:widowControl w:val="0"/>
        <w:ind w:left="851"/>
        <w:rPr>
          <w:i/>
          <w:sz w:val="24"/>
          <w:szCs w:val="24"/>
        </w:rPr>
      </w:pPr>
      <w:r w:rsidRPr="00B13CCE">
        <w:rPr>
          <w:i/>
          <w:sz w:val="24"/>
          <w:szCs w:val="24"/>
        </w:rPr>
        <w:t>Unge</w:t>
      </w:r>
    </w:p>
    <w:p w:rsidR="001935D4" w:rsidRPr="00AC1736" w:rsidRDefault="001935D4" w:rsidP="001935D4">
      <w:pPr>
        <w:widowControl w:val="0"/>
        <w:ind w:left="851"/>
        <w:rPr>
          <w:sz w:val="24"/>
          <w:szCs w:val="24"/>
        </w:rPr>
      </w:pPr>
      <w:proofErr w:type="spellStart"/>
      <w:r w:rsidRPr="00AC1736">
        <w:rPr>
          <w:sz w:val="24"/>
          <w:szCs w:val="24"/>
        </w:rPr>
        <w:t>Alfentanils</w:t>
      </w:r>
      <w:proofErr w:type="spellEnd"/>
      <w:r w:rsidRPr="00AC1736">
        <w:rPr>
          <w:sz w:val="24"/>
          <w:szCs w:val="24"/>
        </w:rPr>
        <w:t xml:space="preserve"> farmakokinetik hos unge er magen til voksne</w:t>
      </w:r>
      <w:r w:rsidR="00370204">
        <w:rPr>
          <w:sz w:val="24"/>
          <w:szCs w:val="24"/>
        </w:rPr>
        <w:t>s</w:t>
      </w:r>
      <w:r w:rsidRPr="00AC1736">
        <w:rPr>
          <w:sz w:val="24"/>
          <w:szCs w:val="24"/>
        </w:rPr>
        <w:t>, og særlige dosisanbefalinger</w:t>
      </w:r>
      <w:r w:rsidR="002900F5">
        <w:rPr>
          <w:sz w:val="24"/>
          <w:szCs w:val="24"/>
        </w:rPr>
        <w:t xml:space="preserve"> er ikke påkrævet</w:t>
      </w:r>
      <w:r w:rsidRPr="00AC1736">
        <w:rPr>
          <w:sz w:val="24"/>
          <w:szCs w:val="24"/>
        </w:rPr>
        <w:t>.</w:t>
      </w:r>
    </w:p>
    <w:p w:rsidR="001935D4" w:rsidRPr="00AC1736" w:rsidRDefault="001935D4" w:rsidP="001935D4">
      <w:pPr>
        <w:widowControl w:val="0"/>
        <w:ind w:left="851"/>
        <w:rPr>
          <w:i/>
          <w:sz w:val="24"/>
          <w:szCs w:val="24"/>
        </w:rPr>
      </w:pPr>
    </w:p>
    <w:p w:rsidR="001935D4" w:rsidRPr="00AC1736" w:rsidRDefault="001935D4" w:rsidP="001935D4">
      <w:pPr>
        <w:widowControl w:val="0"/>
        <w:ind w:left="851"/>
        <w:rPr>
          <w:i/>
          <w:sz w:val="24"/>
          <w:szCs w:val="24"/>
        </w:rPr>
      </w:pPr>
      <w:r w:rsidRPr="00AC1736">
        <w:rPr>
          <w:i/>
          <w:sz w:val="24"/>
          <w:szCs w:val="24"/>
        </w:rPr>
        <w:t>Dos</w:t>
      </w:r>
      <w:r w:rsidR="002900F5">
        <w:rPr>
          <w:i/>
          <w:sz w:val="24"/>
          <w:szCs w:val="24"/>
        </w:rPr>
        <w:t>is</w:t>
      </w:r>
      <w:r w:rsidRPr="00AC1736">
        <w:rPr>
          <w:i/>
          <w:sz w:val="24"/>
          <w:szCs w:val="24"/>
        </w:rPr>
        <w:t>anbefalinger til pædiatriske patienter</w:t>
      </w:r>
    </w:p>
    <w:p w:rsidR="001935D4" w:rsidRPr="00AC1736" w:rsidRDefault="007A7FC5" w:rsidP="001935D4">
      <w:pPr>
        <w:pStyle w:val="Ingenafstand"/>
        <w:ind w:left="851"/>
        <w:rPr>
          <w:sz w:val="24"/>
          <w:szCs w:val="24"/>
        </w:rPr>
      </w:pPr>
      <w:proofErr w:type="spellStart"/>
      <w:r>
        <w:rPr>
          <w:sz w:val="24"/>
          <w:szCs w:val="24"/>
        </w:rPr>
        <w:t>Alfentanils</w:t>
      </w:r>
      <w:proofErr w:type="spellEnd"/>
      <w:r>
        <w:rPr>
          <w:sz w:val="24"/>
          <w:szCs w:val="24"/>
        </w:rPr>
        <w:t xml:space="preserve"> brede </w:t>
      </w:r>
      <w:r w:rsidR="001935D4" w:rsidRPr="00AC1736">
        <w:rPr>
          <w:sz w:val="24"/>
          <w:szCs w:val="24"/>
        </w:rPr>
        <w:t xml:space="preserve">variation i respons gør det vanskeligt at </w:t>
      </w:r>
      <w:r>
        <w:rPr>
          <w:sz w:val="24"/>
          <w:szCs w:val="24"/>
        </w:rPr>
        <w:t>an</w:t>
      </w:r>
      <w:r w:rsidR="001935D4" w:rsidRPr="00AC1736">
        <w:rPr>
          <w:sz w:val="24"/>
          <w:szCs w:val="24"/>
        </w:rPr>
        <w:t xml:space="preserve">give </w:t>
      </w:r>
      <w:r>
        <w:rPr>
          <w:sz w:val="24"/>
          <w:szCs w:val="24"/>
        </w:rPr>
        <w:t>dosis</w:t>
      </w:r>
      <w:r w:rsidR="001935D4" w:rsidRPr="00AC1736">
        <w:rPr>
          <w:sz w:val="24"/>
          <w:szCs w:val="24"/>
        </w:rPr>
        <w:t xml:space="preserve">anbefalinger </w:t>
      </w:r>
      <w:r>
        <w:rPr>
          <w:sz w:val="24"/>
          <w:szCs w:val="24"/>
        </w:rPr>
        <w:t>til mindre børn</w:t>
      </w:r>
      <w:r w:rsidR="001935D4" w:rsidRPr="00AC1736">
        <w:rPr>
          <w:sz w:val="24"/>
          <w:szCs w:val="24"/>
        </w:rPr>
        <w:t xml:space="preserve">. </w:t>
      </w:r>
      <w:r w:rsidR="00292F06">
        <w:rPr>
          <w:sz w:val="24"/>
          <w:szCs w:val="24"/>
        </w:rPr>
        <w:t>Til</w:t>
      </w:r>
      <w:r w:rsidR="001935D4" w:rsidRPr="00AC1736">
        <w:rPr>
          <w:sz w:val="24"/>
          <w:szCs w:val="24"/>
        </w:rPr>
        <w:t xml:space="preserve"> større børn anses det for passende at give </w:t>
      </w:r>
      <w:proofErr w:type="spellStart"/>
      <w:r w:rsidR="001935D4" w:rsidRPr="00AC1736">
        <w:rPr>
          <w:sz w:val="24"/>
          <w:szCs w:val="24"/>
        </w:rPr>
        <w:t>alfentanil</w:t>
      </w:r>
      <w:proofErr w:type="spellEnd"/>
      <w:r w:rsidR="001935D4" w:rsidRPr="00AC1736">
        <w:rPr>
          <w:sz w:val="24"/>
          <w:szCs w:val="24"/>
        </w:rPr>
        <w:t xml:space="preserve"> som en </w:t>
      </w:r>
      <w:proofErr w:type="spellStart"/>
      <w:r w:rsidR="001935D4" w:rsidRPr="00AC1736">
        <w:rPr>
          <w:sz w:val="24"/>
          <w:szCs w:val="24"/>
        </w:rPr>
        <w:t>bolusdosis</w:t>
      </w:r>
      <w:proofErr w:type="spellEnd"/>
      <w:r w:rsidR="001935D4" w:rsidRPr="00AC1736">
        <w:rPr>
          <w:sz w:val="24"/>
          <w:szCs w:val="24"/>
        </w:rPr>
        <w:t xml:space="preserve"> på 10</w:t>
      </w:r>
      <w:r w:rsidR="001935D4" w:rsidRPr="00AC1736">
        <w:rPr>
          <w:sz w:val="24"/>
          <w:szCs w:val="24"/>
        </w:rPr>
        <w:noBreakHyphen/>
        <w:t xml:space="preserve">20 mikrogram/kg til induktion af anæstesi (dvs. som supplement til </w:t>
      </w:r>
      <w:proofErr w:type="spellStart"/>
      <w:r w:rsidR="001935D4" w:rsidRPr="00AC1736">
        <w:rPr>
          <w:sz w:val="24"/>
          <w:szCs w:val="24"/>
        </w:rPr>
        <w:t>propofol</w:t>
      </w:r>
      <w:proofErr w:type="spellEnd"/>
      <w:r w:rsidR="001935D4" w:rsidRPr="00AC1736">
        <w:rPr>
          <w:sz w:val="24"/>
          <w:szCs w:val="24"/>
        </w:rPr>
        <w:t xml:space="preserve"> eller inhalationsanæstesi) eller som </w:t>
      </w:r>
      <w:proofErr w:type="spellStart"/>
      <w:r w:rsidR="001935D4" w:rsidRPr="00AC1736">
        <w:rPr>
          <w:sz w:val="24"/>
          <w:szCs w:val="24"/>
        </w:rPr>
        <w:t>analgetikum</w:t>
      </w:r>
      <w:proofErr w:type="spellEnd"/>
      <w:r w:rsidR="001935D4" w:rsidRPr="00AC1736">
        <w:rPr>
          <w:sz w:val="24"/>
          <w:szCs w:val="24"/>
        </w:rPr>
        <w:t xml:space="preserve">. Der kan gives supplerende </w:t>
      </w:r>
      <w:proofErr w:type="spellStart"/>
      <w:r w:rsidR="001935D4" w:rsidRPr="00AC1736">
        <w:rPr>
          <w:sz w:val="24"/>
          <w:szCs w:val="24"/>
        </w:rPr>
        <w:t>bolusinjektioner</w:t>
      </w:r>
      <w:proofErr w:type="spellEnd"/>
      <w:r w:rsidR="001935D4" w:rsidRPr="00AC1736">
        <w:rPr>
          <w:sz w:val="24"/>
          <w:szCs w:val="24"/>
        </w:rPr>
        <w:t xml:space="preserve"> med 5-10 mikrogram/kg </w:t>
      </w:r>
      <w:proofErr w:type="spellStart"/>
      <w:r w:rsidR="00292F06">
        <w:rPr>
          <w:sz w:val="24"/>
          <w:szCs w:val="24"/>
        </w:rPr>
        <w:t>alfentanil</w:t>
      </w:r>
      <w:proofErr w:type="spellEnd"/>
      <w:r w:rsidR="00292F06">
        <w:rPr>
          <w:sz w:val="24"/>
          <w:szCs w:val="24"/>
        </w:rPr>
        <w:t xml:space="preserve"> </w:t>
      </w:r>
      <w:r w:rsidR="001935D4" w:rsidRPr="00AC1736">
        <w:rPr>
          <w:sz w:val="24"/>
          <w:szCs w:val="24"/>
        </w:rPr>
        <w:t>med passende intervaller.</w:t>
      </w:r>
    </w:p>
    <w:p w:rsidR="001935D4" w:rsidRPr="00AC1736" w:rsidRDefault="001935D4" w:rsidP="001935D4">
      <w:pPr>
        <w:widowControl w:val="0"/>
        <w:ind w:left="851"/>
        <w:rPr>
          <w:sz w:val="24"/>
          <w:szCs w:val="24"/>
        </w:rPr>
      </w:pPr>
    </w:p>
    <w:p w:rsidR="001935D4" w:rsidRPr="00AC1736" w:rsidRDefault="001935D4" w:rsidP="001935D4">
      <w:pPr>
        <w:pStyle w:val="Ingenafstand"/>
        <w:ind w:left="851"/>
        <w:rPr>
          <w:sz w:val="24"/>
          <w:szCs w:val="24"/>
        </w:rPr>
      </w:pPr>
      <w:r w:rsidRPr="00AC1736">
        <w:rPr>
          <w:sz w:val="24"/>
          <w:szCs w:val="24"/>
        </w:rPr>
        <w:t xml:space="preserve">For at opretholde analgesi hos børn under en operation kan </w:t>
      </w:r>
      <w:r w:rsidR="00292F06">
        <w:rPr>
          <w:sz w:val="24"/>
          <w:szCs w:val="24"/>
        </w:rPr>
        <w:t>der</w:t>
      </w:r>
      <w:r w:rsidRPr="00AC1736">
        <w:rPr>
          <w:sz w:val="24"/>
          <w:szCs w:val="24"/>
        </w:rPr>
        <w:t xml:space="preserve"> administreres </w:t>
      </w:r>
      <w:proofErr w:type="spellStart"/>
      <w:r w:rsidR="00292F06">
        <w:rPr>
          <w:sz w:val="24"/>
          <w:szCs w:val="24"/>
        </w:rPr>
        <w:t>alfentanil</w:t>
      </w:r>
      <w:proofErr w:type="spellEnd"/>
      <w:r w:rsidR="003D2E2D">
        <w:rPr>
          <w:sz w:val="24"/>
          <w:szCs w:val="24"/>
        </w:rPr>
        <w:t xml:space="preserve"> </w:t>
      </w:r>
      <w:r w:rsidRPr="00AC1736">
        <w:rPr>
          <w:sz w:val="24"/>
          <w:szCs w:val="24"/>
        </w:rPr>
        <w:t>med en infusionshastighed på 0,5 til 2 mikrogram/kg/min. Dosis skal op- eller nedtitreres i forhold til den enkelte patients behov. Ved kombination med et intravenøst anæsteti</w:t>
      </w:r>
      <w:r w:rsidR="003D2E2D">
        <w:rPr>
          <w:sz w:val="24"/>
          <w:szCs w:val="24"/>
        </w:rPr>
        <w:t>sk middel</w:t>
      </w:r>
      <w:r w:rsidRPr="00AC1736">
        <w:rPr>
          <w:sz w:val="24"/>
          <w:szCs w:val="24"/>
        </w:rPr>
        <w:t xml:space="preserve"> er den anbefalede dosis ca. 1 mikrogram/kg/min.</w:t>
      </w:r>
    </w:p>
    <w:p w:rsidR="001935D4" w:rsidRPr="00AC1736" w:rsidRDefault="001935D4" w:rsidP="001935D4">
      <w:pPr>
        <w:widowControl w:val="0"/>
        <w:ind w:left="851"/>
        <w:rPr>
          <w:snapToGrid w:val="0"/>
          <w:sz w:val="24"/>
          <w:szCs w:val="24"/>
        </w:rPr>
      </w:pPr>
    </w:p>
    <w:p w:rsidR="001935D4" w:rsidRPr="00AC1736" w:rsidRDefault="003D2E2D" w:rsidP="001935D4">
      <w:pPr>
        <w:pStyle w:val="Ingenafstand"/>
        <w:ind w:left="851"/>
        <w:rPr>
          <w:sz w:val="24"/>
          <w:szCs w:val="24"/>
        </w:rPr>
      </w:pPr>
      <w:r>
        <w:rPr>
          <w:sz w:val="24"/>
          <w:szCs w:val="24"/>
        </w:rPr>
        <w:t>Der kan</w:t>
      </w:r>
      <w:r w:rsidR="001935D4" w:rsidRPr="00AC1736">
        <w:rPr>
          <w:sz w:val="24"/>
          <w:szCs w:val="24"/>
        </w:rPr>
        <w:t xml:space="preserve"> være en øget risiko for respirationskomplikationer og muskelrigiditet</w:t>
      </w:r>
      <w:r>
        <w:rPr>
          <w:sz w:val="24"/>
          <w:szCs w:val="24"/>
        </w:rPr>
        <w:t xml:space="preserve"> ved administration af </w:t>
      </w:r>
      <w:proofErr w:type="spellStart"/>
      <w:r>
        <w:rPr>
          <w:sz w:val="24"/>
          <w:szCs w:val="24"/>
        </w:rPr>
        <w:t>alfentanil</w:t>
      </w:r>
      <w:proofErr w:type="spellEnd"/>
      <w:r>
        <w:rPr>
          <w:sz w:val="24"/>
          <w:szCs w:val="24"/>
        </w:rPr>
        <w:t xml:space="preserve"> til nyfødte og meget små børn</w:t>
      </w:r>
      <w:r w:rsidR="00146E31">
        <w:rPr>
          <w:sz w:val="24"/>
          <w:szCs w:val="24"/>
        </w:rPr>
        <w:t>. N</w:t>
      </w:r>
      <w:r w:rsidR="001935D4" w:rsidRPr="00AC1736">
        <w:rPr>
          <w:sz w:val="24"/>
          <w:szCs w:val="24"/>
        </w:rPr>
        <w:t>ødvendige forsigtighedsregler beskrives nærmere i pkt. 4.4.</w:t>
      </w:r>
    </w:p>
    <w:p w:rsidR="001935D4" w:rsidRPr="00AC1736" w:rsidRDefault="001935D4" w:rsidP="001935D4">
      <w:pPr>
        <w:ind w:left="851"/>
        <w:rPr>
          <w:sz w:val="24"/>
          <w:szCs w:val="24"/>
        </w:rPr>
      </w:pPr>
    </w:p>
    <w:p w:rsidR="001935D4" w:rsidRPr="00AC1736" w:rsidRDefault="001935D4" w:rsidP="001935D4">
      <w:pPr>
        <w:autoSpaceDE w:val="0"/>
        <w:autoSpaceDN w:val="0"/>
        <w:adjustRightInd w:val="0"/>
        <w:ind w:left="851"/>
        <w:rPr>
          <w:color w:val="000000"/>
          <w:sz w:val="24"/>
          <w:szCs w:val="24"/>
        </w:rPr>
      </w:pPr>
      <w:r w:rsidRPr="00AC1736">
        <w:rPr>
          <w:bCs/>
          <w:i/>
          <w:iCs/>
          <w:color w:val="000000"/>
          <w:sz w:val="24"/>
          <w:szCs w:val="24"/>
        </w:rPr>
        <w:t>Nedsat leverfunktion</w:t>
      </w:r>
    </w:p>
    <w:p w:rsidR="001935D4" w:rsidRPr="00AC1736" w:rsidRDefault="001935D4" w:rsidP="001935D4">
      <w:pPr>
        <w:ind w:left="851"/>
        <w:rPr>
          <w:color w:val="000000"/>
          <w:sz w:val="24"/>
          <w:szCs w:val="24"/>
        </w:rPr>
      </w:pPr>
      <w:r w:rsidRPr="00AC1736">
        <w:rPr>
          <w:color w:val="000000"/>
          <w:sz w:val="24"/>
          <w:szCs w:val="24"/>
        </w:rPr>
        <w:t>Nedsat dosis kan være påkrævet (se pkt. 4.4 og 5.2).</w:t>
      </w:r>
    </w:p>
    <w:p w:rsidR="001935D4" w:rsidRPr="00AC1736" w:rsidRDefault="001935D4" w:rsidP="001935D4">
      <w:pPr>
        <w:autoSpaceDE w:val="0"/>
        <w:autoSpaceDN w:val="0"/>
        <w:adjustRightInd w:val="0"/>
        <w:ind w:left="851"/>
        <w:rPr>
          <w:color w:val="000000"/>
          <w:sz w:val="24"/>
          <w:szCs w:val="24"/>
          <w:lang w:eastAsia="nl-BE"/>
        </w:rPr>
      </w:pPr>
    </w:p>
    <w:p w:rsidR="001935D4" w:rsidRPr="00AC1736" w:rsidRDefault="001935D4" w:rsidP="001935D4">
      <w:pPr>
        <w:autoSpaceDE w:val="0"/>
        <w:autoSpaceDN w:val="0"/>
        <w:adjustRightInd w:val="0"/>
        <w:ind w:left="851"/>
        <w:rPr>
          <w:i/>
          <w:color w:val="000000"/>
          <w:sz w:val="24"/>
          <w:szCs w:val="24"/>
          <w:lang w:eastAsia="da-DK"/>
        </w:rPr>
      </w:pPr>
      <w:r w:rsidRPr="00AC1736">
        <w:rPr>
          <w:bCs/>
          <w:i/>
          <w:iCs/>
          <w:color w:val="000000"/>
          <w:sz w:val="24"/>
          <w:szCs w:val="24"/>
        </w:rPr>
        <w:t>Nedsat nyrefunktion</w:t>
      </w:r>
    </w:p>
    <w:p w:rsidR="001935D4" w:rsidRPr="00AC1736" w:rsidRDefault="001935D4" w:rsidP="001935D4">
      <w:pPr>
        <w:autoSpaceDE w:val="0"/>
        <w:autoSpaceDN w:val="0"/>
        <w:adjustRightInd w:val="0"/>
        <w:ind w:left="851"/>
        <w:rPr>
          <w:color w:val="000000"/>
          <w:sz w:val="24"/>
          <w:szCs w:val="24"/>
        </w:rPr>
      </w:pPr>
      <w:proofErr w:type="spellStart"/>
      <w:r w:rsidRPr="00AC1736">
        <w:rPr>
          <w:color w:val="000000"/>
          <w:sz w:val="24"/>
          <w:szCs w:val="24"/>
        </w:rPr>
        <w:t>Alfentanils</w:t>
      </w:r>
      <w:proofErr w:type="spellEnd"/>
      <w:r w:rsidRPr="00AC1736">
        <w:rPr>
          <w:color w:val="000000"/>
          <w:sz w:val="24"/>
          <w:szCs w:val="24"/>
        </w:rPr>
        <w:t xml:space="preserve"> </w:t>
      </w:r>
      <w:proofErr w:type="spellStart"/>
      <w:r w:rsidRPr="00AC1736">
        <w:rPr>
          <w:color w:val="000000"/>
          <w:sz w:val="24"/>
          <w:szCs w:val="24"/>
        </w:rPr>
        <w:t>clearance</w:t>
      </w:r>
      <w:proofErr w:type="spellEnd"/>
      <w:r w:rsidRPr="00AC1736">
        <w:rPr>
          <w:color w:val="000000"/>
          <w:sz w:val="24"/>
          <w:szCs w:val="24"/>
        </w:rPr>
        <w:t xml:space="preserve"> er uændret ved nyreinsufficiens. Der er dog en øget fri fraktion og derfor kan lavere dosis være påkrævet (se pkt. 4.4 og 5.2).</w:t>
      </w:r>
    </w:p>
    <w:p w:rsidR="001935D4" w:rsidRPr="00AC1736" w:rsidRDefault="001935D4" w:rsidP="001935D4">
      <w:pPr>
        <w:ind w:left="851"/>
        <w:rPr>
          <w:sz w:val="24"/>
          <w:szCs w:val="24"/>
        </w:rPr>
      </w:pPr>
    </w:p>
    <w:p w:rsidR="001935D4" w:rsidRPr="00AC1736" w:rsidRDefault="001935D4" w:rsidP="001935D4">
      <w:pPr>
        <w:ind w:left="851"/>
        <w:rPr>
          <w:i/>
          <w:sz w:val="24"/>
          <w:szCs w:val="24"/>
        </w:rPr>
      </w:pPr>
      <w:r w:rsidRPr="00AC1736">
        <w:rPr>
          <w:i/>
          <w:sz w:val="24"/>
          <w:szCs w:val="24"/>
        </w:rPr>
        <w:t>Ældre og svækkede patienter</w:t>
      </w:r>
    </w:p>
    <w:p w:rsidR="001935D4" w:rsidRPr="00AC1736" w:rsidRDefault="001935D4" w:rsidP="001935D4">
      <w:pPr>
        <w:ind w:left="851"/>
        <w:rPr>
          <w:sz w:val="24"/>
          <w:szCs w:val="24"/>
        </w:rPr>
      </w:pPr>
      <w:r w:rsidRPr="00AC1736">
        <w:rPr>
          <w:sz w:val="24"/>
          <w:szCs w:val="24"/>
        </w:rPr>
        <w:t>Den indledende dosis skal reduceres hos ældre (&gt;65 år) og svækkede patienter. Der skal tages hensyn til effekten af den indledende dosis, når de supplerende doser bestemmes.</w:t>
      </w:r>
    </w:p>
    <w:p w:rsidR="001935D4" w:rsidRPr="00AC1736" w:rsidRDefault="001935D4" w:rsidP="001935D4">
      <w:pPr>
        <w:ind w:left="851"/>
        <w:rPr>
          <w:i/>
          <w:sz w:val="24"/>
          <w:szCs w:val="24"/>
        </w:rPr>
      </w:pPr>
    </w:p>
    <w:p w:rsidR="001935D4" w:rsidRPr="00AC1736" w:rsidRDefault="001935D4" w:rsidP="001935D4">
      <w:pPr>
        <w:ind w:left="851"/>
        <w:rPr>
          <w:i/>
          <w:sz w:val="24"/>
          <w:szCs w:val="24"/>
        </w:rPr>
      </w:pPr>
      <w:r w:rsidRPr="00AC1736">
        <w:rPr>
          <w:i/>
          <w:sz w:val="24"/>
          <w:szCs w:val="24"/>
        </w:rPr>
        <w:t xml:space="preserve">Patienter med samtidige </w:t>
      </w:r>
      <w:proofErr w:type="spellStart"/>
      <w:r w:rsidRPr="00AC1736">
        <w:rPr>
          <w:i/>
          <w:sz w:val="24"/>
          <w:szCs w:val="24"/>
        </w:rPr>
        <w:t>komorbiditet</w:t>
      </w:r>
      <w:proofErr w:type="spellEnd"/>
    </w:p>
    <w:p w:rsidR="001935D4" w:rsidRPr="00AC1736" w:rsidRDefault="001935D4" w:rsidP="001935D4">
      <w:pPr>
        <w:ind w:left="851"/>
        <w:rPr>
          <w:sz w:val="24"/>
          <w:szCs w:val="24"/>
        </w:rPr>
      </w:pPr>
      <w:proofErr w:type="spellStart"/>
      <w:r w:rsidRPr="00AC1736">
        <w:rPr>
          <w:sz w:val="24"/>
          <w:szCs w:val="24"/>
        </w:rPr>
        <w:t>Alfentanil</w:t>
      </w:r>
      <w:proofErr w:type="spellEnd"/>
      <w:r w:rsidRPr="00AC1736">
        <w:rPr>
          <w:sz w:val="24"/>
          <w:szCs w:val="24"/>
        </w:rPr>
        <w:t xml:space="preserve"> skal titreres med forsigtighed hos patienter med følgende tilstande:</w:t>
      </w:r>
    </w:p>
    <w:p w:rsidR="001935D4" w:rsidRPr="00AC1736" w:rsidRDefault="001935D4" w:rsidP="00B13CCE">
      <w:pPr>
        <w:numPr>
          <w:ilvl w:val="0"/>
          <w:numId w:val="9"/>
        </w:numPr>
        <w:ind w:left="1134" w:hanging="283"/>
        <w:rPr>
          <w:sz w:val="24"/>
          <w:szCs w:val="24"/>
        </w:rPr>
      </w:pPr>
      <w:r w:rsidRPr="00AC1736">
        <w:rPr>
          <w:sz w:val="24"/>
          <w:szCs w:val="24"/>
        </w:rPr>
        <w:t xml:space="preserve">ukontrolleret </w:t>
      </w:r>
      <w:proofErr w:type="spellStart"/>
      <w:r w:rsidRPr="00AC1736">
        <w:rPr>
          <w:sz w:val="24"/>
          <w:szCs w:val="24"/>
        </w:rPr>
        <w:t>hypothyroidisme</w:t>
      </w:r>
      <w:proofErr w:type="spellEnd"/>
    </w:p>
    <w:p w:rsidR="001935D4" w:rsidRPr="00AC1736" w:rsidRDefault="001935D4" w:rsidP="00B13CCE">
      <w:pPr>
        <w:numPr>
          <w:ilvl w:val="0"/>
          <w:numId w:val="9"/>
        </w:numPr>
        <w:ind w:left="1134" w:hanging="283"/>
        <w:rPr>
          <w:sz w:val="24"/>
          <w:szCs w:val="24"/>
        </w:rPr>
      </w:pPr>
      <w:r w:rsidRPr="00AC1736">
        <w:rPr>
          <w:sz w:val="24"/>
          <w:szCs w:val="24"/>
        </w:rPr>
        <w:t>lungesygdomme, især ved nedsat respirationsevne</w:t>
      </w:r>
    </w:p>
    <w:p w:rsidR="001935D4" w:rsidRPr="00AC1736" w:rsidRDefault="001935D4" w:rsidP="00B13CCE">
      <w:pPr>
        <w:numPr>
          <w:ilvl w:val="0"/>
          <w:numId w:val="9"/>
        </w:numPr>
        <w:ind w:left="1134" w:hanging="283"/>
        <w:rPr>
          <w:sz w:val="24"/>
          <w:szCs w:val="24"/>
        </w:rPr>
      </w:pPr>
      <w:r w:rsidRPr="00AC1736">
        <w:rPr>
          <w:sz w:val="24"/>
          <w:szCs w:val="24"/>
        </w:rPr>
        <w:t>alkoholisme eller nedsat lever- eller nyrefunktion.</w:t>
      </w:r>
    </w:p>
    <w:p w:rsidR="001935D4" w:rsidRPr="00AC1736" w:rsidRDefault="001935D4" w:rsidP="001935D4">
      <w:pPr>
        <w:ind w:left="851"/>
        <w:rPr>
          <w:sz w:val="24"/>
          <w:szCs w:val="24"/>
        </w:rPr>
      </w:pPr>
      <w:r w:rsidRPr="00AC1736">
        <w:rPr>
          <w:sz w:val="24"/>
          <w:szCs w:val="24"/>
        </w:rPr>
        <w:t>Disse patienter kræver desuden forlænget post-operativ monitorering.</w:t>
      </w:r>
    </w:p>
    <w:p w:rsidR="001935D4" w:rsidRPr="00AC1736" w:rsidRDefault="001935D4" w:rsidP="001935D4">
      <w:pPr>
        <w:tabs>
          <w:tab w:val="left" w:pos="0"/>
          <w:tab w:val="left" w:pos="851"/>
        </w:tabs>
        <w:ind w:left="851"/>
        <w:rPr>
          <w:sz w:val="24"/>
          <w:szCs w:val="24"/>
        </w:rPr>
      </w:pPr>
    </w:p>
    <w:p w:rsidR="001935D4" w:rsidRPr="00B13CCE" w:rsidRDefault="001935D4" w:rsidP="001935D4">
      <w:pPr>
        <w:pStyle w:val="Ingenafstand"/>
        <w:ind w:left="851"/>
        <w:rPr>
          <w:b/>
          <w:sz w:val="24"/>
          <w:szCs w:val="24"/>
        </w:rPr>
      </w:pPr>
      <w:r w:rsidRPr="00B13CCE">
        <w:rPr>
          <w:b/>
          <w:sz w:val="24"/>
          <w:szCs w:val="24"/>
        </w:rPr>
        <w:t>Administration</w:t>
      </w:r>
    </w:p>
    <w:p w:rsidR="001935D4" w:rsidRPr="00AC1736" w:rsidRDefault="001935D4" w:rsidP="001935D4">
      <w:pPr>
        <w:pStyle w:val="Ingenafstand"/>
        <w:ind w:left="851"/>
        <w:rPr>
          <w:sz w:val="24"/>
          <w:szCs w:val="24"/>
        </w:rPr>
      </w:pPr>
      <w:r w:rsidRPr="00AC1736">
        <w:rPr>
          <w:sz w:val="24"/>
          <w:szCs w:val="24"/>
        </w:rPr>
        <w:t xml:space="preserve">Til intravenøs brug. </w:t>
      </w:r>
      <w:proofErr w:type="spellStart"/>
      <w:r w:rsidRPr="00AC1736">
        <w:rPr>
          <w:sz w:val="24"/>
          <w:szCs w:val="24"/>
        </w:rPr>
        <w:t>Alfentanil</w:t>
      </w:r>
      <w:proofErr w:type="spellEnd"/>
      <w:r w:rsidRPr="00AC1736">
        <w:rPr>
          <w:sz w:val="24"/>
          <w:szCs w:val="24"/>
        </w:rPr>
        <w:t xml:space="preserve"> </w:t>
      </w:r>
      <w:r>
        <w:rPr>
          <w:sz w:val="24"/>
          <w:szCs w:val="24"/>
        </w:rPr>
        <w:t>"</w:t>
      </w:r>
      <w:proofErr w:type="spellStart"/>
      <w:r>
        <w:rPr>
          <w:sz w:val="24"/>
          <w:szCs w:val="24"/>
        </w:rPr>
        <w:t>Kalceks</w:t>
      </w:r>
      <w:proofErr w:type="spellEnd"/>
      <w:r>
        <w:rPr>
          <w:sz w:val="24"/>
          <w:szCs w:val="24"/>
        </w:rPr>
        <w:t>"</w:t>
      </w:r>
      <w:r w:rsidRPr="00AC1736">
        <w:rPr>
          <w:sz w:val="24"/>
          <w:szCs w:val="24"/>
        </w:rPr>
        <w:t xml:space="preserve"> bør anvendes som </w:t>
      </w:r>
      <w:proofErr w:type="spellStart"/>
      <w:r w:rsidRPr="00AC1736">
        <w:rPr>
          <w:sz w:val="24"/>
          <w:szCs w:val="24"/>
        </w:rPr>
        <w:t>bolusinjektioner</w:t>
      </w:r>
      <w:proofErr w:type="spellEnd"/>
      <w:r w:rsidRPr="00AC1736">
        <w:rPr>
          <w:sz w:val="24"/>
          <w:szCs w:val="24"/>
        </w:rPr>
        <w:t xml:space="preserve"> (korte operationer) eller </w:t>
      </w:r>
      <w:proofErr w:type="spellStart"/>
      <w:r w:rsidRPr="00AC1736">
        <w:rPr>
          <w:sz w:val="24"/>
          <w:szCs w:val="24"/>
        </w:rPr>
        <w:t>bolus</w:t>
      </w:r>
      <w:proofErr w:type="spellEnd"/>
      <w:r w:rsidRPr="00AC1736">
        <w:rPr>
          <w:sz w:val="24"/>
          <w:szCs w:val="24"/>
        </w:rPr>
        <w:t xml:space="preserve"> suppleret med </w:t>
      </w:r>
      <w:r w:rsidR="00146E31">
        <w:rPr>
          <w:sz w:val="24"/>
          <w:szCs w:val="24"/>
        </w:rPr>
        <w:t xml:space="preserve">gentagen administration af </w:t>
      </w:r>
      <w:proofErr w:type="spellStart"/>
      <w:r w:rsidR="00146E31">
        <w:rPr>
          <w:sz w:val="24"/>
          <w:szCs w:val="24"/>
        </w:rPr>
        <w:t>alfentanil</w:t>
      </w:r>
      <w:proofErr w:type="spellEnd"/>
      <w:r w:rsidRPr="00AC1736">
        <w:rPr>
          <w:sz w:val="24"/>
          <w:szCs w:val="24"/>
        </w:rPr>
        <w:t xml:space="preserve"> eller </w:t>
      </w:r>
      <w:r w:rsidR="00B85C2B">
        <w:rPr>
          <w:sz w:val="24"/>
          <w:szCs w:val="24"/>
        </w:rPr>
        <w:t xml:space="preserve">ved </w:t>
      </w:r>
      <w:r w:rsidRPr="00AC1736">
        <w:rPr>
          <w:sz w:val="24"/>
          <w:szCs w:val="24"/>
        </w:rPr>
        <w:t>infusion (langvarige smertefulde operationer).</w:t>
      </w:r>
    </w:p>
    <w:p w:rsidR="001935D4" w:rsidRPr="00AC1736" w:rsidRDefault="001935D4" w:rsidP="001935D4">
      <w:pPr>
        <w:pStyle w:val="Ingenafstand"/>
        <w:ind w:left="851"/>
        <w:rPr>
          <w:sz w:val="24"/>
          <w:szCs w:val="24"/>
        </w:rPr>
      </w:pPr>
      <w:proofErr w:type="spellStart"/>
      <w:r w:rsidRPr="00AC1736">
        <w:rPr>
          <w:sz w:val="24"/>
          <w:szCs w:val="24"/>
        </w:rPr>
        <w:t>Alfentanil</w:t>
      </w:r>
      <w:proofErr w:type="spellEnd"/>
      <w:r w:rsidRPr="00AC1736">
        <w:rPr>
          <w:sz w:val="24"/>
          <w:szCs w:val="24"/>
        </w:rPr>
        <w:t xml:space="preserve"> bør kun gives af anæstesiologer, der er uddannet i administration af narkose og håndtering af respiratoriske virkninger af potente opioider.</w:t>
      </w:r>
    </w:p>
    <w:p w:rsidR="001935D4" w:rsidRPr="00AC1736" w:rsidRDefault="001935D4" w:rsidP="001935D4">
      <w:pPr>
        <w:pStyle w:val="Ingenafstand"/>
        <w:ind w:left="851"/>
        <w:rPr>
          <w:sz w:val="24"/>
          <w:szCs w:val="24"/>
        </w:rPr>
      </w:pPr>
      <w:r w:rsidRPr="00AC1736">
        <w:rPr>
          <w:sz w:val="24"/>
          <w:szCs w:val="24"/>
        </w:rPr>
        <w:t>For instruktioner om fortynding af lægemidlet før administration, se pkt. 6.6.</w:t>
      </w:r>
    </w:p>
    <w:p w:rsidR="001935D4" w:rsidRPr="00AC1736" w:rsidRDefault="001935D4" w:rsidP="00043ACC">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4.3</w:t>
      </w:r>
      <w:r w:rsidRPr="00AC1736">
        <w:rPr>
          <w:b/>
          <w:sz w:val="24"/>
          <w:szCs w:val="24"/>
        </w:rPr>
        <w:tab/>
        <w:t>Kontraindikationer</w:t>
      </w:r>
    </w:p>
    <w:p w:rsidR="001935D4" w:rsidRPr="00AC1736" w:rsidRDefault="001935D4" w:rsidP="001935D4">
      <w:pPr>
        <w:pStyle w:val="Ingenafstand"/>
        <w:ind w:left="851"/>
        <w:rPr>
          <w:sz w:val="24"/>
          <w:szCs w:val="24"/>
        </w:rPr>
      </w:pPr>
      <w:r w:rsidRPr="00AC1736">
        <w:rPr>
          <w:sz w:val="24"/>
          <w:szCs w:val="24"/>
        </w:rPr>
        <w:t>Overfølsomhed over for det aktive stof, andre opioider eller over for et eller flere af hjælpestofferne anført i pkt. 6.1.</w:t>
      </w:r>
    </w:p>
    <w:p w:rsidR="001935D4" w:rsidRPr="00AC1736" w:rsidRDefault="001935D4" w:rsidP="00043ACC">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4.4</w:t>
      </w:r>
      <w:r w:rsidRPr="00AC1736">
        <w:rPr>
          <w:b/>
          <w:sz w:val="24"/>
          <w:szCs w:val="24"/>
        </w:rPr>
        <w:tab/>
        <w:t>Særlige advarsler og forsigtighedsregler vedrørende brugen</w:t>
      </w:r>
    </w:p>
    <w:p w:rsidR="001935D4" w:rsidRDefault="001935D4" w:rsidP="001935D4">
      <w:pPr>
        <w:pStyle w:val="Ingenafstand"/>
        <w:ind w:left="851"/>
        <w:rPr>
          <w:i/>
          <w:sz w:val="24"/>
          <w:szCs w:val="24"/>
        </w:rPr>
      </w:pPr>
    </w:p>
    <w:p w:rsidR="001935D4" w:rsidRPr="00B13CCE" w:rsidRDefault="001935D4" w:rsidP="001935D4">
      <w:pPr>
        <w:pStyle w:val="Ingenafstand"/>
        <w:ind w:left="851"/>
        <w:rPr>
          <w:sz w:val="24"/>
          <w:szCs w:val="24"/>
          <w:u w:val="single"/>
        </w:rPr>
      </w:pPr>
      <w:r w:rsidRPr="00B13CCE">
        <w:rPr>
          <w:sz w:val="24"/>
          <w:szCs w:val="24"/>
          <w:u w:val="single"/>
        </w:rPr>
        <w:t>Respiratorisk depression</w:t>
      </w:r>
    </w:p>
    <w:p w:rsidR="001935D4" w:rsidRPr="00AC1736" w:rsidRDefault="001935D4" w:rsidP="001935D4">
      <w:pPr>
        <w:pStyle w:val="Ingenafstand"/>
        <w:ind w:left="851"/>
        <w:rPr>
          <w:sz w:val="24"/>
          <w:szCs w:val="24"/>
        </w:rPr>
      </w:pPr>
      <w:r w:rsidRPr="00AC1736">
        <w:rPr>
          <w:sz w:val="24"/>
          <w:szCs w:val="24"/>
        </w:rPr>
        <w:t>Respirationsdepression er dosisafhængigt og kan ophæves med en specifik opioid</w:t>
      </w:r>
      <w:r w:rsidR="00FB1109">
        <w:rPr>
          <w:sz w:val="24"/>
          <w:szCs w:val="24"/>
        </w:rPr>
        <w:softHyphen/>
      </w:r>
      <w:r w:rsidRPr="00AC1736">
        <w:rPr>
          <w:sz w:val="24"/>
          <w:szCs w:val="24"/>
        </w:rPr>
        <w:t>antagonist (</w:t>
      </w:r>
      <w:proofErr w:type="spellStart"/>
      <w:r w:rsidRPr="00AC1736">
        <w:rPr>
          <w:sz w:val="24"/>
          <w:szCs w:val="24"/>
        </w:rPr>
        <w:t>naloxon</w:t>
      </w:r>
      <w:proofErr w:type="spellEnd"/>
      <w:r w:rsidRPr="00AC1736">
        <w:rPr>
          <w:sz w:val="24"/>
          <w:szCs w:val="24"/>
        </w:rPr>
        <w:t xml:space="preserve">). Det kan være nødvendigt med flere doser af </w:t>
      </w:r>
      <w:proofErr w:type="spellStart"/>
      <w:r w:rsidRPr="00AC1736">
        <w:rPr>
          <w:sz w:val="24"/>
          <w:szCs w:val="24"/>
        </w:rPr>
        <w:t>naloxon</w:t>
      </w:r>
      <w:proofErr w:type="spellEnd"/>
      <w:r w:rsidRPr="00AC1736">
        <w:rPr>
          <w:sz w:val="24"/>
          <w:szCs w:val="24"/>
        </w:rPr>
        <w:t>, da respirationsdepressionen kan vare længere end virkningen af opioidantagonisten. Dyb analgesi er ledsaget af markant respirationsdepression og bevidsthedstab, som kan vare ved eller gentage sig i hele det postoperative tidsrum. Derfor skal patienter være under tilstrækkelig overvågning. Genoplivningsudstyr og opioidantagonister skal være let tilgængelige. Hyperventilation under anæstesi kan ændre patientens respons på CO</w:t>
      </w:r>
      <w:r w:rsidRPr="00AC1736">
        <w:rPr>
          <w:sz w:val="24"/>
          <w:szCs w:val="24"/>
          <w:vertAlign w:val="subscript"/>
        </w:rPr>
        <w:t>2</w:t>
      </w:r>
      <w:r w:rsidRPr="00AC1736">
        <w:rPr>
          <w:sz w:val="24"/>
          <w:szCs w:val="24"/>
        </w:rPr>
        <w:t xml:space="preserve"> og derved påvirke respirationen postoperativt.</w:t>
      </w:r>
    </w:p>
    <w:p w:rsidR="001935D4" w:rsidRPr="00AC1736" w:rsidRDefault="001935D4" w:rsidP="001935D4">
      <w:pPr>
        <w:pStyle w:val="Ingenafstand"/>
        <w:ind w:left="851"/>
        <w:rPr>
          <w:sz w:val="24"/>
          <w:szCs w:val="24"/>
        </w:rPr>
      </w:pPr>
    </w:p>
    <w:p w:rsidR="001935D4" w:rsidRPr="00B13CCE" w:rsidRDefault="001935D4" w:rsidP="001935D4">
      <w:pPr>
        <w:ind w:left="851"/>
        <w:rPr>
          <w:sz w:val="24"/>
          <w:szCs w:val="24"/>
          <w:u w:val="single"/>
        </w:rPr>
      </w:pPr>
      <w:r w:rsidRPr="00B13CCE">
        <w:rPr>
          <w:sz w:val="24"/>
          <w:szCs w:val="24"/>
          <w:u w:val="single"/>
        </w:rPr>
        <w:t>Muskelrigiditet</w:t>
      </w:r>
    </w:p>
    <w:p w:rsidR="001935D4" w:rsidRPr="00AC1736" w:rsidRDefault="001935D4" w:rsidP="001935D4">
      <w:pPr>
        <w:ind w:left="851"/>
        <w:rPr>
          <w:sz w:val="24"/>
          <w:szCs w:val="24"/>
        </w:rPr>
      </w:pPr>
      <w:r w:rsidRPr="00AC1736">
        <w:rPr>
          <w:sz w:val="24"/>
          <w:szCs w:val="24"/>
        </w:rPr>
        <w:t xml:space="preserve">Muskelrigiditet kan forekomme og kan føre til respirationsdepression. Dette kan undgås ved langsom </w:t>
      </w:r>
      <w:proofErr w:type="spellStart"/>
      <w:r w:rsidRPr="00AC1736">
        <w:rPr>
          <w:sz w:val="24"/>
          <w:szCs w:val="24"/>
        </w:rPr>
        <w:t>i.v</w:t>
      </w:r>
      <w:proofErr w:type="spellEnd"/>
      <w:r w:rsidRPr="00AC1736">
        <w:rPr>
          <w:sz w:val="24"/>
          <w:szCs w:val="24"/>
        </w:rPr>
        <w:t xml:space="preserve">.-injektion (normalt tilstrækkeligt ved små doser), præmedicinering med benzodiazepiner og brug af </w:t>
      </w:r>
      <w:proofErr w:type="spellStart"/>
      <w:r w:rsidRPr="00AC1736">
        <w:rPr>
          <w:sz w:val="24"/>
          <w:szCs w:val="24"/>
        </w:rPr>
        <w:t>muskelrelaksantia</w:t>
      </w:r>
      <w:proofErr w:type="spellEnd"/>
      <w:r w:rsidRPr="00AC1736">
        <w:rPr>
          <w:sz w:val="24"/>
          <w:szCs w:val="24"/>
        </w:rPr>
        <w:t>. Der kan forekomme non-epileptiske (</w:t>
      </w:r>
      <w:proofErr w:type="spellStart"/>
      <w:r w:rsidRPr="00AC1736">
        <w:rPr>
          <w:sz w:val="24"/>
          <w:szCs w:val="24"/>
        </w:rPr>
        <w:t>myo</w:t>
      </w:r>
      <w:proofErr w:type="spellEnd"/>
      <w:r w:rsidRPr="00AC1736">
        <w:rPr>
          <w:sz w:val="24"/>
          <w:szCs w:val="24"/>
        </w:rPr>
        <w:t>)kloniske bevægelser.</w:t>
      </w:r>
    </w:p>
    <w:p w:rsidR="001935D4" w:rsidRPr="00AC1736" w:rsidRDefault="001935D4" w:rsidP="001935D4">
      <w:pPr>
        <w:ind w:left="851"/>
        <w:rPr>
          <w:sz w:val="24"/>
          <w:szCs w:val="24"/>
        </w:rPr>
      </w:pPr>
    </w:p>
    <w:p w:rsidR="001935D4" w:rsidRPr="00FD5240" w:rsidRDefault="001935D4" w:rsidP="001935D4">
      <w:pPr>
        <w:ind w:left="851"/>
        <w:rPr>
          <w:sz w:val="24"/>
          <w:szCs w:val="24"/>
          <w:u w:val="single"/>
        </w:rPr>
      </w:pPr>
      <w:proofErr w:type="spellStart"/>
      <w:r w:rsidRPr="00FD5240">
        <w:rPr>
          <w:sz w:val="24"/>
          <w:szCs w:val="24"/>
          <w:u w:val="single"/>
        </w:rPr>
        <w:t>Myasthenia</w:t>
      </w:r>
      <w:proofErr w:type="spellEnd"/>
      <w:r w:rsidRPr="00FD5240">
        <w:rPr>
          <w:sz w:val="24"/>
          <w:szCs w:val="24"/>
          <w:u w:val="single"/>
        </w:rPr>
        <w:t xml:space="preserve"> </w:t>
      </w:r>
      <w:proofErr w:type="spellStart"/>
      <w:r w:rsidRPr="00FD5240">
        <w:rPr>
          <w:sz w:val="24"/>
          <w:szCs w:val="24"/>
          <w:u w:val="single"/>
        </w:rPr>
        <w:t>gravis</w:t>
      </w:r>
      <w:proofErr w:type="spellEnd"/>
    </w:p>
    <w:p w:rsidR="001935D4" w:rsidRPr="00AC1736" w:rsidRDefault="001935D4" w:rsidP="001935D4">
      <w:pPr>
        <w:ind w:left="851"/>
        <w:rPr>
          <w:sz w:val="24"/>
          <w:szCs w:val="24"/>
        </w:rPr>
      </w:pPr>
      <w:proofErr w:type="spellStart"/>
      <w:r w:rsidRPr="00AC1736">
        <w:rPr>
          <w:sz w:val="24"/>
          <w:szCs w:val="24"/>
        </w:rPr>
        <w:t>Alfentanil</w:t>
      </w:r>
      <w:proofErr w:type="spellEnd"/>
      <w:r w:rsidRPr="00AC1736">
        <w:rPr>
          <w:sz w:val="24"/>
          <w:szCs w:val="24"/>
        </w:rPr>
        <w:t xml:space="preserve"> kan forårsage muskelrigiditet efter </w:t>
      </w:r>
      <w:proofErr w:type="spellStart"/>
      <w:r w:rsidRPr="00AC1736">
        <w:rPr>
          <w:sz w:val="24"/>
          <w:szCs w:val="24"/>
        </w:rPr>
        <w:t>i.v</w:t>
      </w:r>
      <w:proofErr w:type="spellEnd"/>
      <w:r w:rsidRPr="00AC1736">
        <w:rPr>
          <w:sz w:val="24"/>
          <w:szCs w:val="24"/>
        </w:rPr>
        <w:t xml:space="preserve">.-administration, hvilket indicerer anvendelse af </w:t>
      </w:r>
      <w:proofErr w:type="spellStart"/>
      <w:r w:rsidRPr="00AC1736">
        <w:rPr>
          <w:sz w:val="24"/>
          <w:szCs w:val="24"/>
        </w:rPr>
        <w:t>muskelrelaksantia</w:t>
      </w:r>
      <w:proofErr w:type="spellEnd"/>
      <w:r w:rsidRPr="00AC1736">
        <w:rPr>
          <w:sz w:val="24"/>
          <w:szCs w:val="24"/>
        </w:rPr>
        <w:t xml:space="preserve">. </w:t>
      </w:r>
      <w:proofErr w:type="spellStart"/>
      <w:r w:rsidRPr="00AC1736">
        <w:rPr>
          <w:sz w:val="24"/>
          <w:szCs w:val="24"/>
        </w:rPr>
        <w:t>Alfentanil</w:t>
      </w:r>
      <w:proofErr w:type="spellEnd"/>
      <w:r w:rsidRPr="00AC1736">
        <w:rPr>
          <w:sz w:val="24"/>
          <w:szCs w:val="24"/>
        </w:rPr>
        <w:t xml:space="preserve"> bør derfor ikke anvendes til patienter med </w:t>
      </w:r>
      <w:proofErr w:type="spellStart"/>
      <w:r w:rsidRPr="00AC1736">
        <w:rPr>
          <w:sz w:val="24"/>
          <w:szCs w:val="24"/>
        </w:rPr>
        <w:t>myasthenia</w:t>
      </w:r>
      <w:proofErr w:type="spellEnd"/>
      <w:r w:rsidRPr="00AC1736">
        <w:rPr>
          <w:sz w:val="24"/>
          <w:szCs w:val="24"/>
        </w:rPr>
        <w:t xml:space="preserve"> </w:t>
      </w:r>
      <w:proofErr w:type="spellStart"/>
      <w:r w:rsidRPr="00AC1736">
        <w:rPr>
          <w:sz w:val="24"/>
          <w:szCs w:val="24"/>
        </w:rPr>
        <w:t>gravis</w:t>
      </w:r>
      <w:proofErr w:type="spellEnd"/>
      <w:r w:rsidRPr="00AC1736">
        <w:rPr>
          <w:sz w:val="24"/>
          <w:szCs w:val="24"/>
        </w:rPr>
        <w:t xml:space="preserve">, da anvendelse af </w:t>
      </w:r>
      <w:proofErr w:type="spellStart"/>
      <w:r w:rsidRPr="00AC1736">
        <w:rPr>
          <w:sz w:val="24"/>
          <w:szCs w:val="24"/>
        </w:rPr>
        <w:t>muskelrelaksantia</w:t>
      </w:r>
      <w:proofErr w:type="spellEnd"/>
      <w:r w:rsidRPr="00AC1736">
        <w:rPr>
          <w:sz w:val="24"/>
          <w:szCs w:val="24"/>
        </w:rPr>
        <w:t xml:space="preserve"> er uhensigtsmæssigt hos disse.</w:t>
      </w:r>
    </w:p>
    <w:p w:rsidR="001935D4" w:rsidRPr="00AC1736" w:rsidRDefault="001935D4" w:rsidP="001935D4">
      <w:pPr>
        <w:ind w:left="851"/>
        <w:rPr>
          <w:sz w:val="24"/>
          <w:szCs w:val="24"/>
        </w:rPr>
      </w:pPr>
    </w:p>
    <w:p w:rsidR="001935D4" w:rsidRPr="00FD5240" w:rsidRDefault="001935D4" w:rsidP="001935D4">
      <w:pPr>
        <w:ind w:left="851"/>
        <w:rPr>
          <w:sz w:val="24"/>
          <w:szCs w:val="24"/>
          <w:u w:val="single"/>
        </w:rPr>
      </w:pPr>
      <w:r w:rsidRPr="00FD5240">
        <w:rPr>
          <w:sz w:val="24"/>
          <w:szCs w:val="24"/>
          <w:u w:val="single"/>
        </w:rPr>
        <w:lastRenderedPageBreak/>
        <w:t>Hjertesygdom</w:t>
      </w:r>
    </w:p>
    <w:p w:rsidR="001935D4" w:rsidRPr="00AC1736" w:rsidRDefault="001935D4" w:rsidP="001935D4">
      <w:pPr>
        <w:ind w:left="851"/>
        <w:rPr>
          <w:sz w:val="24"/>
          <w:szCs w:val="24"/>
        </w:rPr>
      </w:pPr>
      <w:r w:rsidRPr="00AC1736">
        <w:rPr>
          <w:sz w:val="24"/>
          <w:szCs w:val="24"/>
        </w:rPr>
        <w:t xml:space="preserve">Der kan forekomme bradykardi og muligvis hjertestop, hvis patienten har fået en for lav dosis </w:t>
      </w:r>
      <w:proofErr w:type="spellStart"/>
      <w:r w:rsidRPr="00AC1736">
        <w:rPr>
          <w:sz w:val="24"/>
          <w:szCs w:val="24"/>
        </w:rPr>
        <w:t>antikolinergikum</w:t>
      </w:r>
      <w:proofErr w:type="spellEnd"/>
      <w:r w:rsidRPr="00AC1736">
        <w:rPr>
          <w:sz w:val="24"/>
          <w:szCs w:val="24"/>
        </w:rPr>
        <w:t xml:space="preserve">, eller hvis </w:t>
      </w:r>
      <w:proofErr w:type="spellStart"/>
      <w:r w:rsidRPr="00AC1736">
        <w:rPr>
          <w:sz w:val="24"/>
          <w:szCs w:val="24"/>
        </w:rPr>
        <w:t>alfentanil</w:t>
      </w:r>
      <w:proofErr w:type="spellEnd"/>
      <w:r w:rsidRPr="00AC1736">
        <w:rPr>
          <w:sz w:val="24"/>
          <w:szCs w:val="24"/>
        </w:rPr>
        <w:t xml:space="preserve"> kombineres med non-</w:t>
      </w:r>
      <w:proofErr w:type="spellStart"/>
      <w:r w:rsidRPr="00AC1736">
        <w:rPr>
          <w:sz w:val="24"/>
          <w:szCs w:val="24"/>
        </w:rPr>
        <w:t>vagolytiske</w:t>
      </w:r>
      <w:proofErr w:type="spellEnd"/>
      <w:r w:rsidRPr="00AC1736">
        <w:rPr>
          <w:sz w:val="24"/>
          <w:szCs w:val="24"/>
        </w:rPr>
        <w:t xml:space="preserve"> </w:t>
      </w:r>
      <w:proofErr w:type="spellStart"/>
      <w:r w:rsidRPr="00AC1736">
        <w:rPr>
          <w:sz w:val="24"/>
          <w:szCs w:val="24"/>
        </w:rPr>
        <w:t>muskelrelaksantia</w:t>
      </w:r>
      <w:proofErr w:type="spellEnd"/>
      <w:r w:rsidRPr="00AC1736">
        <w:rPr>
          <w:sz w:val="24"/>
          <w:szCs w:val="24"/>
        </w:rPr>
        <w:t>.  Bradykardi kan behandles med atropin.</w:t>
      </w:r>
    </w:p>
    <w:p w:rsidR="001935D4" w:rsidRPr="00AC1736" w:rsidRDefault="001935D4" w:rsidP="001935D4">
      <w:pPr>
        <w:ind w:left="851"/>
        <w:rPr>
          <w:sz w:val="24"/>
          <w:szCs w:val="24"/>
        </w:rPr>
      </w:pPr>
    </w:p>
    <w:p w:rsidR="001935D4" w:rsidRPr="00FD5240" w:rsidRDefault="001935D4" w:rsidP="001935D4">
      <w:pPr>
        <w:ind w:left="851"/>
        <w:rPr>
          <w:sz w:val="24"/>
          <w:szCs w:val="24"/>
          <w:u w:val="single"/>
        </w:rPr>
      </w:pPr>
      <w:r w:rsidRPr="00FD5240">
        <w:rPr>
          <w:sz w:val="24"/>
          <w:szCs w:val="24"/>
          <w:u w:val="single"/>
        </w:rPr>
        <w:t>Særlige doseringsforhold</w:t>
      </w:r>
    </w:p>
    <w:p w:rsidR="001935D4" w:rsidRPr="00AC1736" w:rsidRDefault="001935D4" w:rsidP="001935D4">
      <w:pPr>
        <w:ind w:left="851"/>
        <w:rPr>
          <w:sz w:val="24"/>
          <w:szCs w:val="24"/>
        </w:rPr>
      </w:pPr>
      <w:r w:rsidRPr="00AC1736">
        <w:rPr>
          <w:sz w:val="24"/>
          <w:szCs w:val="24"/>
        </w:rPr>
        <w:t xml:space="preserve">Opioider kan inducere hypotension, især hos </w:t>
      </w:r>
      <w:proofErr w:type="spellStart"/>
      <w:r w:rsidRPr="00AC1736">
        <w:rPr>
          <w:sz w:val="24"/>
          <w:szCs w:val="24"/>
        </w:rPr>
        <w:t>hypovolæmiske</w:t>
      </w:r>
      <w:proofErr w:type="spellEnd"/>
      <w:r w:rsidRPr="00AC1736">
        <w:rPr>
          <w:sz w:val="24"/>
          <w:szCs w:val="24"/>
        </w:rPr>
        <w:t xml:space="preserve"> patienter og hos patienter med hjertesvigt. Induktionsdoser må tilpasses og indgives langsomt, så </w:t>
      </w:r>
      <w:proofErr w:type="spellStart"/>
      <w:r w:rsidRPr="00AC1736">
        <w:rPr>
          <w:sz w:val="24"/>
          <w:szCs w:val="24"/>
        </w:rPr>
        <w:t>kardiovaskulær</w:t>
      </w:r>
      <w:proofErr w:type="spellEnd"/>
      <w:r w:rsidRPr="00AC1736">
        <w:rPr>
          <w:sz w:val="24"/>
          <w:szCs w:val="24"/>
        </w:rPr>
        <w:t xml:space="preserve"> depression undgås. Der skal træffes passende foranstaltninger til opretholdelse af et stabilt arterielt tryk.</w:t>
      </w:r>
    </w:p>
    <w:p w:rsidR="001935D4" w:rsidRPr="00AC1736" w:rsidRDefault="001935D4" w:rsidP="001935D4">
      <w:pPr>
        <w:ind w:left="851"/>
        <w:rPr>
          <w:sz w:val="24"/>
          <w:szCs w:val="24"/>
        </w:rPr>
      </w:pPr>
    </w:p>
    <w:p w:rsidR="001935D4" w:rsidRPr="00AC1736" w:rsidRDefault="001935D4" w:rsidP="001935D4">
      <w:pPr>
        <w:ind w:left="851"/>
        <w:rPr>
          <w:sz w:val="24"/>
          <w:szCs w:val="24"/>
        </w:rPr>
      </w:pPr>
      <w:r w:rsidRPr="00AC1736">
        <w:rPr>
          <w:sz w:val="24"/>
          <w:szCs w:val="24"/>
        </w:rPr>
        <w:t xml:space="preserve">Forsigtighed er påkrævet hos patienter med </w:t>
      </w:r>
      <w:proofErr w:type="spellStart"/>
      <w:r w:rsidRPr="00AC1736">
        <w:rPr>
          <w:sz w:val="24"/>
          <w:szCs w:val="24"/>
        </w:rPr>
        <w:t>kranio</w:t>
      </w:r>
      <w:proofErr w:type="spellEnd"/>
      <w:r w:rsidRPr="00AC1736">
        <w:rPr>
          <w:sz w:val="24"/>
          <w:szCs w:val="24"/>
        </w:rPr>
        <w:t xml:space="preserve">-cerebrale traumer og forhøjet </w:t>
      </w:r>
      <w:proofErr w:type="spellStart"/>
      <w:r w:rsidRPr="00AC1736">
        <w:rPr>
          <w:sz w:val="24"/>
          <w:szCs w:val="24"/>
        </w:rPr>
        <w:t>intrakranielt</w:t>
      </w:r>
      <w:proofErr w:type="spellEnd"/>
      <w:r w:rsidRPr="00AC1736">
        <w:rPr>
          <w:sz w:val="24"/>
          <w:szCs w:val="24"/>
        </w:rPr>
        <w:t xml:space="preserve"> tryk. Hurtige </w:t>
      </w:r>
      <w:proofErr w:type="spellStart"/>
      <w:r w:rsidRPr="00AC1736">
        <w:rPr>
          <w:sz w:val="24"/>
          <w:szCs w:val="24"/>
        </w:rPr>
        <w:t>bolus</w:t>
      </w:r>
      <w:proofErr w:type="spellEnd"/>
      <w:r w:rsidRPr="00AC1736">
        <w:rPr>
          <w:sz w:val="24"/>
          <w:szCs w:val="24"/>
        </w:rPr>
        <w:t xml:space="preserve">-injektioner af opioider skal undgås ved kompromitteret cerebralt kredsløb, da det kortvarige fald i arterielt tryk kan være ledsaget af et kortvarigt nedsat cerebralt </w:t>
      </w:r>
      <w:proofErr w:type="spellStart"/>
      <w:r w:rsidRPr="00AC1736">
        <w:rPr>
          <w:sz w:val="24"/>
          <w:szCs w:val="24"/>
        </w:rPr>
        <w:t>perfusionstryk</w:t>
      </w:r>
      <w:proofErr w:type="spellEnd"/>
      <w:r w:rsidRPr="00AC1736">
        <w:rPr>
          <w:sz w:val="24"/>
          <w:szCs w:val="24"/>
        </w:rPr>
        <w:t>.</w:t>
      </w:r>
    </w:p>
    <w:p w:rsidR="001935D4" w:rsidRPr="00AC1736" w:rsidRDefault="001935D4" w:rsidP="001935D4">
      <w:pPr>
        <w:ind w:left="851"/>
        <w:rPr>
          <w:sz w:val="24"/>
          <w:szCs w:val="24"/>
        </w:rPr>
      </w:pPr>
    </w:p>
    <w:p w:rsidR="001935D4" w:rsidRPr="00AC1736" w:rsidRDefault="001935D4" w:rsidP="001935D4">
      <w:pPr>
        <w:ind w:left="851"/>
        <w:rPr>
          <w:sz w:val="24"/>
          <w:szCs w:val="24"/>
        </w:rPr>
      </w:pPr>
      <w:proofErr w:type="spellStart"/>
      <w:r w:rsidRPr="00AC1736">
        <w:rPr>
          <w:sz w:val="24"/>
          <w:szCs w:val="24"/>
        </w:rPr>
        <w:t>Alfentanil</w:t>
      </w:r>
      <w:proofErr w:type="spellEnd"/>
      <w:r w:rsidRPr="00AC1736">
        <w:rPr>
          <w:sz w:val="24"/>
          <w:szCs w:val="24"/>
        </w:rPr>
        <w:t xml:space="preserve"> skal titreres med forsigtighed hos patienter med følgende tilstande:</w:t>
      </w:r>
    </w:p>
    <w:p w:rsidR="001935D4" w:rsidRPr="00AC1736" w:rsidRDefault="001935D4" w:rsidP="00FD5240">
      <w:pPr>
        <w:numPr>
          <w:ilvl w:val="0"/>
          <w:numId w:val="10"/>
        </w:numPr>
        <w:ind w:left="1134" w:hanging="283"/>
        <w:rPr>
          <w:sz w:val="24"/>
          <w:szCs w:val="24"/>
        </w:rPr>
      </w:pPr>
      <w:r w:rsidRPr="00AC1736">
        <w:rPr>
          <w:sz w:val="24"/>
          <w:szCs w:val="24"/>
        </w:rPr>
        <w:t xml:space="preserve">ukontrolleret </w:t>
      </w:r>
      <w:proofErr w:type="spellStart"/>
      <w:r w:rsidRPr="00AC1736">
        <w:rPr>
          <w:sz w:val="24"/>
          <w:szCs w:val="24"/>
        </w:rPr>
        <w:t>hypothyroidisme</w:t>
      </w:r>
      <w:proofErr w:type="spellEnd"/>
    </w:p>
    <w:p w:rsidR="001935D4" w:rsidRPr="00AC1736" w:rsidRDefault="001935D4" w:rsidP="00FD5240">
      <w:pPr>
        <w:numPr>
          <w:ilvl w:val="0"/>
          <w:numId w:val="10"/>
        </w:numPr>
        <w:ind w:left="1134" w:hanging="283"/>
        <w:rPr>
          <w:sz w:val="24"/>
          <w:szCs w:val="24"/>
        </w:rPr>
      </w:pPr>
      <w:r w:rsidRPr="00AC1736">
        <w:rPr>
          <w:sz w:val="24"/>
          <w:szCs w:val="24"/>
        </w:rPr>
        <w:t>lungesygdomme, især ved nedsat respirationsevne</w:t>
      </w:r>
    </w:p>
    <w:p w:rsidR="001935D4" w:rsidRPr="00AC1736" w:rsidRDefault="001935D4" w:rsidP="00FD5240">
      <w:pPr>
        <w:numPr>
          <w:ilvl w:val="0"/>
          <w:numId w:val="10"/>
        </w:numPr>
        <w:ind w:left="1134" w:hanging="283"/>
        <w:rPr>
          <w:sz w:val="24"/>
          <w:szCs w:val="24"/>
        </w:rPr>
      </w:pPr>
      <w:r w:rsidRPr="00AC1736">
        <w:rPr>
          <w:sz w:val="24"/>
          <w:szCs w:val="24"/>
        </w:rPr>
        <w:t>alkoholisme eller nedsat lever- eller nyrefunktion</w:t>
      </w:r>
    </w:p>
    <w:p w:rsidR="001935D4" w:rsidRPr="00AC1736" w:rsidRDefault="001935D4" w:rsidP="001935D4">
      <w:pPr>
        <w:ind w:left="851"/>
        <w:rPr>
          <w:sz w:val="24"/>
          <w:szCs w:val="24"/>
        </w:rPr>
      </w:pPr>
      <w:r w:rsidRPr="00AC1736">
        <w:rPr>
          <w:sz w:val="24"/>
          <w:szCs w:val="24"/>
        </w:rPr>
        <w:t>Disse patienter kræver desuden forlænget post-operativ monitorering.</w:t>
      </w:r>
    </w:p>
    <w:p w:rsidR="001935D4" w:rsidRPr="00AC1736" w:rsidRDefault="001935D4" w:rsidP="001935D4">
      <w:pPr>
        <w:ind w:left="851"/>
        <w:rPr>
          <w:color w:val="000000"/>
          <w:sz w:val="24"/>
          <w:szCs w:val="24"/>
        </w:rPr>
      </w:pPr>
    </w:p>
    <w:p w:rsidR="001935D4" w:rsidRPr="00AC1736" w:rsidRDefault="001935D4" w:rsidP="001935D4">
      <w:pPr>
        <w:autoSpaceDE w:val="0"/>
        <w:autoSpaceDN w:val="0"/>
        <w:adjustRightInd w:val="0"/>
        <w:ind w:left="851"/>
        <w:rPr>
          <w:sz w:val="24"/>
          <w:szCs w:val="24"/>
        </w:rPr>
      </w:pPr>
      <w:r w:rsidRPr="00AC1736">
        <w:rPr>
          <w:sz w:val="24"/>
          <w:szCs w:val="24"/>
        </w:rPr>
        <w:t>Der skal udvises særlig forsigtighed hos patienter med obstruktiv luftvejssygdom eller respirationsdepression (hvis der ikke ventileres).</w:t>
      </w:r>
    </w:p>
    <w:p w:rsidR="001935D4" w:rsidRPr="00AC1736" w:rsidRDefault="001935D4" w:rsidP="001935D4">
      <w:pPr>
        <w:ind w:left="851"/>
        <w:rPr>
          <w:color w:val="000000"/>
          <w:sz w:val="24"/>
          <w:szCs w:val="24"/>
        </w:rPr>
      </w:pPr>
    </w:p>
    <w:p w:rsidR="001935D4" w:rsidRPr="00AC1736" w:rsidRDefault="001935D4" w:rsidP="001935D4">
      <w:pPr>
        <w:autoSpaceDE w:val="0"/>
        <w:autoSpaceDN w:val="0"/>
        <w:adjustRightInd w:val="0"/>
        <w:ind w:left="851"/>
        <w:rPr>
          <w:sz w:val="24"/>
          <w:szCs w:val="24"/>
        </w:rPr>
      </w:pPr>
      <w:r w:rsidRPr="00AC1736">
        <w:rPr>
          <w:sz w:val="24"/>
          <w:szCs w:val="24"/>
        </w:rPr>
        <w:t>Patienterne bør rådes til at afbryde behandling med MAO-</w:t>
      </w:r>
      <w:proofErr w:type="spellStart"/>
      <w:r w:rsidRPr="00AC1736">
        <w:rPr>
          <w:sz w:val="24"/>
          <w:szCs w:val="24"/>
        </w:rPr>
        <w:t>hæmmere</w:t>
      </w:r>
      <w:proofErr w:type="spellEnd"/>
      <w:r w:rsidRPr="00AC1736">
        <w:rPr>
          <w:sz w:val="24"/>
          <w:szCs w:val="24"/>
        </w:rPr>
        <w:t xml:space="preserve"> 2 uger før operationen (se pkt. 4.5).</w:t>
      </w:r>
    </w:p>
    <w:p w:rsidR="001935D4" w:rsidRPr="00AC1736" w:rsidRDefault="001935D4" w:rsidP="001935D4">
      <w:pPr>
        <w:ind w:left="851"/>
        <w:rPr>
          <w:color w:val="000000"/>
          <w:sz w:val="24"/>
          <w:szCs w:val="24"/>
        </w:rPr>
      </w:pPr>
    </w:p>
    <w:p w:rsidR="0017324A" w:rsidRDefault="0017324A" w:rsidP="0017324A">
      <w:pPr>
        <w:ind w:left="851"/>
        <w:rPr>
          <w:color w:val="000000"/>
          <w:sz w:val="24"/>
          <w:szCs w:val="24"/>
          <w:u w:val="single"/>
        </w:rPr>
      </w:pPr>
      <w:r>
        <w:rPr>
          <w:color w:val="000000"/>
          <w:sz w:val="24"/>
          <w:szCs w:val="24"/>
          <w:u w:val="single"/>
        </w:rPr>
        <w:t>Tolerance og opioidmisbrug (misbrug og afhængighed)</w:t>
      </w:r>
    </w:p>
    <w:p w:rsidR="0017324A" w:rsidRDefault="0017324A" w:rsidP="0017324A">
      <w:pPr>
        <w:ind w:left="851"/>
        <w:rPr>
          <w:sz w:val="24"/>
          <w:szCs w:val="24"/>
        </w:rPr>
      </w:pPr>
      <w:r>
        <w:rPr>
          <w:sz w:val="24"/>
          <w:szCs w:val="24"/>
        </w:rPr>
        <w:t>Tolerance, fysisk og psykisk afhængighed og opioidmisbrug kan udvikles ved gentagen administration af opioider. Forkert brug eller forsætligt misbrug af opioider kan føre til overdosering og/eller død. Risikoen for at udvikle opioidmisbrug er øget hos patienter med en personlig eller familiær anamnese (forældre eller søskende) med misbrugsrelaterede lidelser (herunder alkoholmisbrug), hos nuværende tobaksbrugere eller hos patienter med en personlig anamnese med andre psykiske sygdomme (f.eks. svær depression, angst og personlighedsforstyrrelser).</w:t>
      </w:r>
    </w:p>
    <w:p w:rsidR="001935D4" w:rsidRPr="00AC1736" w:rsidRDefault="001935D4" w:rsidP="001935D4">
      <w:pPr>
        <w:ind w:left="851"/>
        <w:rPr>
          <w:sz w:val="24"/>
          <w:szCs w:val="24"/>
        </w:rPr>
      </w:pPr>
      <w:proofErr w:type="spellStart"/>
      <w:r w:rsidRPr="00AC1736">
        <w:rPr>
          <w:sz w:val="24"/>
          <w:szCs w:val="24"/>
        </w:rPr>
        <w:t>Alfentanil</w:t>
      </w:r>
      <w:proofErr w:type="spellEnd"/>
      <w:r w:rsidRPr="00AC1736">
        <w:rPr>
          <w:sz w:val="24"/>
          <w:szCs w:val="24"/>
        </w:rPr>
        <w:t xml:space="preserve"> kan forårsage afhængighed på grund af dets kemiske struktur og </w:t>
      </w:r>
      <w:proofErr w:type="spellStart"/>
      <w:r w:rsidRPr="00AC1736">
        <w:rPr>
          <w:sz w:val="24"/>
          <w:szCs w:val="24"/>
        </w:rPr>
        <w:t>morfinomimetiske</w:t>
      </w:r>
      <w:proofErr w:type="spellEnd"/>
      <w:r w:rsidRPr="00AC1736">
        <w:rPr>
          <w:sz w:val="24"/>
          <w:szCs w:val="24"/>
        </w:rPr>
        <w:t xml:space="preserve"> egenskaber. Når </w:t>
      </w:r>
      <w:proofErr w:type="spellStart"/>
      <w:r w:rsidRPr="00AC1736">
        <w:rPr>
          <w:sz w:val="24"/>
          <w:szCs w:val="24"/>
        </w:rPr>
        <w:t>alfentanil</w:t>
      </w:r>
      <w:proofErr w:type="spellEnd"/>
      <w:r w:rsidRPr="00AC1736">
        <w:rPr>
          <w:sz w:val="24"/>
          <w:szCs w:val="24"/>
        </w:rPr>
        <w:t xml:space="preserve"> kun gives intraoperativt som bedøvelsesmiddel (efter hensigten), er der ingen forventning om afhængighed.</w:t>
      </w:r>
    </w:p>
    <w:p w:rsidR="001935D4" w:rsidRPr="00AC1736" w:rsidRDefault="001935D4" w:rsidP="001935D4">
      <w:pPr>
        <w:ind w:left="851"/>
        <w:rPr>
          <w:sz w:val="24"/>
          <w:szCs w:val="24"/>
        </w:rPr>
      </w:pPr>
    </w:p>
    <w:p w:rsidR="001935D4" w:rsidRPr="00FD5240" w:rsidRDefault="001935D4" w:rsidP="001935D4">
      <w:pPr>
        <w:ind w:left="851"/>
        <w:rPr>
          <w:sz w:val="24"/>
          <w:szCs w:val="24"/>
          <w:u w:val="single"/>
        </w:rPr>
      </w:pPr>
      <w:r w:rsidRPr="00FD5240">
        <w:rPr>
          <w:sz w:val="24"/>
          <w:szCs w:val="24"/>
          <w:u w:val="single"/>
        </w:rPr>
        <w:t>Ældre</w:t>
      </w:r>
    </w:p>
    <w:p w:rsidR="001935D4" w:rsidRPr="00AC1736" w:rsidRDefault="001935D4" w:rsidP="001935D4">
      <w:pPr>
        <w:ind w:left="851"/>
        <w:rPr>
          <w:sz w:val="24"/>
          <w:szCs w:val="24"/>
        </w:rPr>
      </w:pPr>
      <w:r w:rsidRPr="00AC1736">
        <w:rPr>
          <w:sz w:val="24"/>
          <w:szCs w:val="24"/>
        </w:rPr>
        <w:t>Dosis bør nedsættes hos ældre og svækkede patienter (se pkt. 4.2).</w:t>
      </w:r>
    </w:p>
    <w:p w:rsidR="001935D4" w:rsidRPr="00AC1736" w:rsidRDefault="001935D4" w:rsidP="001935D4">
      <w:pPr>
        <w:ind w:left="851"/>
        <w:rPr>
          <w:sz w:val="24"/>
          <w:szCs w:val="24"/>
        </w:rPr>
      </w:pPr>
    </w:p>
    <w:p w:rsidR="001935D4" w:rsidRPr="00FD5240" w:rsidRDefault="001935D4" w:rsidP="001935D4">
      <w:pPr>
        <w:ind w:left="851"/>
        <w:rPr>
          <w:sz w:val="24"/>
          <w:szCs w:val="24"/>
          <w:u w:val="single"/>
        </w:rPr>
      </w:pPr>
      <w:r w:rsidRPr="00FD5240">
        <w:rPr>
          <w:sz w:val="24"/>
          <w:szCs w:val="24"/>
          <w:u w:val="single"/>
        </w:rPr>
        <w:t>Pædiatrisk population</w:t>
      </w:r>
    </w:p>
    <w:p w:rsidR="001935D4" w:rsidRPr="00AC1736" w:rsidRDefault="001935D4" w:rsidP="001935D4">
      <w:pPr>
        <w:pStyle w:val="Ingenafstand"/>
        <w:ind w:left="851"/>
        <w:rPr>
          <w:sz w:val="24"/>
          <w:szCs w:val="24"/>
        </w:rPr>
      </w:pPr>
      <w:r w:rsidRPr="00AC1736">
        <w:rPr>
          <w:sz w:val="24"/>
          <w:szCs w:val="24"/>
        </w:rPr>
        <w:t xml:space="preserve">Ved administration af </w:t>
      </w:r>
      <w:proofErr w:type="spellStart"/>
      <w:r w:rsidRPr="00AC1736">
        <w:rPr>
          <w:sz w:val="24"/>
          <w:szCs w:val="24"/>
        </w:rPr>
        <w:t>alfentanil</w:t>
      </w:r>
      <w:proofErr w:type="spellEnd"/>
      <w:r w:rsidRPr="00AC1736">
        <w:rPr>
          <w:sz w:val="24"/>
          <w:szCs w:val="24"/>
        </w:rPr>
        <w:t xml:space="preserve"> til nyfødte og meget små børn kan der være en øget risiko for respirationskomplikationer i forhold til anvendelse hos større børn og voksne. Mindre børn skal derfor overvåges umiddelbart efter påbegyndelse af </w:t>
      </w:r>
      <w:proofErr w:type="spellStart"/>
      <w:r w:rsidRPr="00AC1736">
        <w:rPr>
          <w:sz w:val="24"/>
          <w:szCs w:val="24"/>
        </w:rPr>
        <w:t>alfentaniladministrationen</w:t>
      </w:r>
      <w:proofErr w:type="spellEnd"/>
      <w:r w:rsidRPr="00AC1736">
        <w:rPr>
          <w:sz w:val="24"/>
          <w:szCs w:val="24"/>
        </w:rPr>
        <w:t>. Udstyr til assisteret ventilation bør være til rådighed til brug hos børn uanset alder, selv under kortvarige operationer hos børn med spontan vejrtrækning.</w:t>
      </w:r>
    </w:p>
    <w:p w:rsidR="001935D4" w:rsidRPr="00AC1736" w:rsidRDefault="001935D4" w:rsidP="001935D4">
      <w:pPr>
        <w:pStyle w:val="Ingenafstand"/>
        <w:ind w:left="851"/>
        <w:rPr>
          <w:sz w:val="24"/>
          <w:szCs w:val="24"/>
        </w:rPr>
      </w:pPr>
    </w:p>
    <w:p w:rsidR="001935D4" w:rsidRPr="00AC1736" w:rsidRDefault="001935D4" w:rsidP="001935D4">
      <w:pPr>
        <w:pStyle w:val="Ingenafstand"/>
        <w:ind w:left="851"/>
        <w:rPr>
          <w:sz w:val="24"/>
          <w:szCs w:val="24"/>
        </w:rPr>
      </w:pPr>
      <w:r w:rsidRPr="00AC1736">
        <w:rPr>
          <w:sz w:val="24"/>
          <w:szCs w:val="24"/>
        </w:rPr>
        <w:lastRenderedPageBreak/>
        <w:t xml:space="preserve">På grund af risikoen for muskelrigiditet hos nyfødte og spædbørn, der får </w:t>
      </w:r>
      <w:proofErr w:type="spellStart"/>
      <w:r w:rsidRPr="00AC1736">
        <w:rPr>
          <w:sz w:val="24"/>
          <w:szCs w:val="24"/>
        </w:rPr>
        <w:t>alfentanil</w:t>
      </w:r>
      <w:proofErr w:type="spellEnd"/>
      <w:r w:rsidRPr="00AC1736">
        <w:rPr>
          <w:sz w:val="24"/>
          <w:szCs w:val="24"/>
        </w:rPr>
        <w:t xml:space="preserve">, bør samtidig brug af et </w:t>
      </w:r>
      <w:proofErr w:type="spellStart"/>
      <w:r w:rsidRPr="00AC1736">
        <w:rPr>
          <w:sz w:val="24"/>
          <w:szCs w:val="24"/>
        </w:rPr>
        <w:t>muskelrelaksantium</w:t>
      </w:r>
      <w:proofErr w:type="spellEnd"/>
      <w:r w:rsidRPr="00AC1736">
        <w:rPr>
          <w:sz w:val="24"/>
          <w:szCs w:val="24"/>
        </w:rPr>
        <w:t xml:space="preserve"> overvejes. Alle børn bør monitoreres i et passende tidsrum efter ophør af behandlingen med </w:t>
      </w:r>
      <w:proofErr w:type="spellStart"/>
      <w:r w:rsidRPr="00AC1736">
        <w:rPr>
          <w:sz w:val="24"/>
          <w:szCs w:val="24"/>
        </w:rPr>
        <w:t>alfentanil</w:t>
      </w:r>
      <w:proofErr w:type="spellEnd"/>
      <w:r w:rsidRPr="00AC1736">
        <w:rPr>
          <w:sz w:val="24"/>
          <w:szCs w:val="24"/>
        </w:rPr>
        <w:t xml:space="preserve"> for at sikre, at der atter er spontan respiration.</w:t>
      </w:r>
    </w:p>
    <w:p w:rsidR="001935D4" w:rsidRPr="00AC1736" w:rsidRDefault="001935D4" w:rsidP="001935D4">
      <w:pPr>
        <w:pStyle w:val="Ingenafstand"/>
        <w:ind w:left="851"/>
        <w:rPr>
          <w:sz w:val="24"/>
          <w:szCs w:val="24"/>
        </w:rPr>
      </w:pPr>
    </w:p>
    <w:p w:rsidR="001935D4" w:rsidRPr="00AC1736" w:rsidRDefault="001935D4" w:rsidP="001935D4">
      <w:pPr>
        <w:pStyle w:val="Ingenafstand"/>
        <w:ind w:left="851"/>
        <w:rPr>
          <w:sz w:val="24"/>
          <w:szCs w:val="24"/>
        </w:rPr>
      </w:pPr>
      <w:r w:rsidRPr="00AC1736">
        <w:rPr>
          <w:sz w:val="24"/>
          <w:szCs w:val="24"/>
        </w:rPr>
        <w:t xml:space="preserve">På grund af varierende farmakokinetik hos nyfødte kan det være nødvendigt at give en lavere dosis </w:t>
      </w:r>
      <w:proofErr w:type="spellStart"/>
      <w:r w:rsidRPr="00AC1736">
        <w:rPr>
          <w:sz w:val="24"/>
          <w:szCs w:val="24"/>
        </w:rPr>
        <w:t>alfentanil</w:t>
      </w:r>
      <w:proofErr w:type="spellEnd"/>
      <w:r w:rsidRPr="00AC1736">
        <w:rPr>
          <w:sz w:val="24"/>
          <w:szCs w:val="24"/>
        </w:rPr>
        <w:t xml:space="preserve">. Nyfødte bør monitoreres nøje, og doseringen af </w:t>
      </w:r>
      <w:proofErr w:type="spellStart"/>
      <w:r w:rsidRPr="00AC1736">
        <w:rPr>
          <w:sz w:val="24"/>
          <w:szCs w:val="24"/>
        </w:rPr>
        <w:t>alfentanil</w:t>
      </w:r>
      <w:proofErr w:type="spellEnd"/>
      <w:r w:rsidRPr="00AC1736">
        <w:rPr>
          <w:sz w:val="24"/>
          <w:szCs w:val="24"/>
        </w:rPr>
        <w:t xml:space="preserve"> skal titreres i henhold til barnets respons (se pkt. 4.2).</w:t>
      </w:r>
    </w:p>
    <w:p w:rsidR="001935D4" w:rsidRPr="00AC1736" w:rsidRDefault="001935D4" w:rsidP="001935D4">
      <w:pPr>
        <w:tabs>
          <w:tab w:val="left" w:pos="0"/>
          <w:tab w:val="left" w:pos="851"/>
        </w:tabs>
        <w:ind w:left="851"/>
        <w:rPr>
          <w:sz w:val="24"/>
          <w:szCs w:val="24"/>
        </w:rPr>
      </w:pPr>
    </w:p>
    <w:p w:rsidR="001935D4" w:rsidRPr="00FD5240" w:rsidRDefault="001935D4" w:rsidP="001935D4">
      <w:pPr>
        <w:ind w:left="851"/>
        <w:rPr>
          <w:color w:val="000000"/>
          <w:sz w:val="24"/>
          <w:szCs w:val="24"/>
          <w:u w:val="single"/>
        </w:rPr>
      </w:pPr>
      <w:r w:rsidRPr="00FD5240">
        <w:rPr>
          <w:color w:val="000000"/>
          <w:sz w:val="24"/>
          <w:szCs w:val="24"/>
          <w:u w:val="single"/>
        </w:rPr>
        <w:t>Hjælpestoffer</w:t>
      </w:r>
    </w:p>
    <w:p w:rsidR="001935D4" w:rsidRPr="00AC1736" w:rsidRDefault="001935D4" w:rsidP="001935D4">
      <w:pPr>
        <w:pStyle w:val="Ingenafstand"/>
        <w:ind w:left="851"/>
        <w:rPr>
          <w:b/>
          <w:sz w:val="24"/>
          <w:szCs w:val="24"/>
        </w:rPr>
      </w:pPr>
      <w:r w:rsidRPr="00AC1736">
        <w:rPr>
          <w:sz w:val="24"/>
          <w:szCs w:val="24"/>
        </w:rPr>
        <w:t>Hvis der administreres store mængder af opløsningen (f.eks. mere end 6,5 ml, svarende til mere end 1 mmol natrium) skal følgende tages i betragtning: Dette lægemiddel indeholder 3,54 mg natrium pr. ml opløsning, svarende til 0,18</w:t>
      </w:r>
      <w:r>
        <w:rPr>
          <w:sz w:val="24"/>
          <w:szCs w:val="24"/>
        </w:rPr>
        <w:t xml:space="preserve"> %</w:t>
      </w:r>
      <w:r w:rsidRPr="00AC1736">
        <w:rPr>
          <w:sz w:val="24"/>
          <w:szCs w:val="24"/>
        </w:rPr>
        <w:t xml:space="preserve"> af </w:t>
      </w:r>
      <w:proofErr w:type="spellStart"/>
      <w:r w:rsidRPr="00AC1736">
        <w:rPr>
          <w:sz w:val="24"/>
          <w:szCs w:val="24"/>
        </w:rPr>
        <w:t>WHOs</w:t>
      </w:r>
      <w:proofErr w:type="spellEnd"/>
      <w:r w:rsidRPr="00AC1736">
        <w:rPr>
          <w:sz w:val="24"/>
          <w:szCs w:val="24"/>
        </w:rPr>
        <w:t xml:space="preserve"> anbefalede maksimale daglige indtag af 2 g natrium til en voksen.</w:t>
      </w:r>
    </w:p>
    <w:p w:rsidR="001935D4" w:rsidRPr="00AC1736" w:rsidRDefault="001935D4" w:rsidP="00043ACC">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4.5</w:t>
      </w:r>
      <w:r w:rsidRPr="00AC1736">
        <w:rPr>
          <w:b/>
          <w:sz w:val="24"/>
          <w:szCs w:val="24"/>
        </w:rPr>
        <w:tab/>
        <w:t>Interaktion med andre lægemidler og andre former for interaktion</w:t>
      </w:r>
    </w:p>
    <w:p w:rsidR="001935D4" w:rsidRDefault="001935D4" w:rsidP="00043ACC">
      <w:pPr>
        <w:pStyle w:val="Ingenafstand"/>
        <w:ind w:left="851"/>
        <w:rPr>
          <w:sz w:val="24"/>
          <w:szCs w:val="24"/>
          <w:u w:val="single"/>
        </w:rPr>
      </w:pPr>
    </w:p>
    <w:p w:rsidR="001935D4" w:rsidRPr="002E6B57" w:rsidRDefault="001935D4" w:rsidP="001935D4">
      <w:pPr>
        <w:ind w:left="851"/>
        <w:rPr>
          <w:sz w:val="24"/>
          <w:szCs w:val="24"/>
          <w:u w:val="single"/>
          <w:lang w:eastAsia="da-DK"/>
        </w:rPr>
      </w:pPr>
      <w:r w:rsidRPr="002E6B57">
        <w:rPr>
          <w:sz w:val="24"/>
          <w:szCs w:val="24"/>
          <w:u w:val="single"/>
        </w:rPr>
        <w:t xml:space="preserve">Lægemidler der påvirker effekten af </w:t>
      </w:r>
      <w:proofErr w:type="spellStart"/>
      <w:r w:rsidRPr="002E6B57">
        <w:rPr>
          <w:sz w:val="24"/>
          <w:szCs w:val="24"/>
          <w:u w:val="single"/>
        </w:rPr>
        <w:t>alfentanil</w:t>
      </w:r>
      <w:proofErr w:type="spellEnd"/>
    </w:p>
    <w:p w:rsidR="001935D4" w:rsidRPr="00AC1736" w:rsidRDefault="001935D4" w:rsidP="001935D4">
      <w:pPr>
        <w:ind w:left="851"/>
        <w:rPr>
          <w:sz w:val="24"/>
          <w:szCs w:val="24"/>
        </w:rPr>
      </w:pPr>
    </w:p>
    <w:p w:rsidR="001935D4" w:rsidRPr="00AC1736" w:rsidRDefault="001935D4" w:rsidP="001935D4">
      <w:pPr>
        <w:ind w:left="851"/>
        <w:rPr>
          <w:i/>
          <w:sz w:val="24"/>
          <w:szCs w:val="24"/>
        </w:rPr>
      </w:pPr>
      <w:r w:rsidRPr="00AC1736">
        <w:rPr>
          <w:i/>
          <w:sz w:val="24"/>
          <w:szCs w:val="24"/>
        </w:rPr>
        <w:t>Andre CNS-deprimerende midler</w:t>
      </w:r>
    </w:p>
    <w:p w:rsidR="001935D4" w:rsidRPr="00AC1736" w:rsidRDefault="001935D4" w:rsidP="001935D4">
      <w:pPr>
        <w:ind w:left="851"/>
        <w:rPr>
          <w:sz w:val="24"/>
          <w:szCs w:val="24"/>
        </w:rPr>
      </w:pPr>
      <w:r w:rsidRPr="00AC1736">
        <w:rPr>
          <w:sz w:val="24"/>
          <w:szCs w:val="24"/>
        </w:rPr>
        <w:t>Barbiturater, benzodiazepiner, antipsykotika (</w:t>
      </w:r>
      <w:proofErr w:type="spellStart"/>
      <w:r w:rsidRPr="00AC1736">
        <w:rPr>
          <w:sz w:val="24"/>
          <w:szCs w:val="24"/>
        </w:rPr>
        <w:t>neuroleptika</w:t>
      </w:r>
      <w:proofErr w:type="spellEnd"/>
      <w:r w:rsidRPr="00AC1736">
        <w:rPr>
          <w:sz w:val="24"/>
          <w:szCs w:val="24"/>
        </w:rPr>
        <w:t>), narkose og andre non-selektive CNS-deprimerende midler (f.eks. alkohol) kan forstærke opioiders respirationsdeprimerende virkning.</w:t>
      </w:r>
    </w:p>
    <w:p w:rsidR="001935D4" w:rsidRPr="00AC1736" w:rsidRDefault="001935D4" w:rsidP="001935D4">
      <w:pPr>
        <w:ind w:left="851"/>
        <w:rPr>
          <w:sz w:val="24"/>
          <w:szCs w:val="24"/>
        </w:rPr>
      </w:pPr>
      <w:r w:rsidRPr="00AC1736">
        <w:rPr>
          <w:sz w:val="24"/>
          <w:szCs w:val="24"/>
        </w:rPr>
        <w:t xml:space="preserve">Når patienten har fået sådanne lægemidler, vil det være nødvendigt med en lavere dosis </w:t>
      </w:r>
      <w:proofErr w:type="spellStart"/>
      <w:r w:rsidRPr="00AC1736">
        <w:rPr>
          <w:sz w:val="24"/>
          <w:szCs w:val="24"/>
        </w:rPr>
        <w:t>alfentanil</w:t>
      </w:r>
      <w:proofErr w:type="spellEnd"/>
      <w:r w:rsidRPr="00AC1736">
        <w:rPr>
          <w:sz w:val="24"/>
          <w:szCs w:val="24"/>
        </w:rPr>
        <w:t xml:space="preserve"> end normalt. Ligeledes skal dosis af CNS-deprimerende lægemidler være lavere efter administration af </w:t>
      </w:r>
      <w:proofErr w:type="spellStart"/>
      <w:r w:rsidRPr="00AC1736">
        <w:rPr>
          <w:sz w:val="24"/>
          <w:szCs w:val="24"/>
        </w:rPr>
        <w:t>alfentanil</w:t>
      </w:r>
      <w:proofErr w:type="spellEnd"/>
      <w:r w:rsidRPr="00AC1736">
        <w:rPr>
          <w:sz w:val="24"/>
          <w:szCs w:val="24"/>
        </w:rPr>
        <w:t>.</w:t>
      </w:r>
    </w:p>
    <w:p w:rsidR="001935D4" w:rsidRDefault="001935D4" w:rsidP="001935D4">
      <w:pPr>
        <w:ind w:left="851"/>
        <w:rPr>
          <w:sz w:val="24"/>
          <w:szCs w:val="24"/>
        </w:rPr>
      </w:pPr>
      <w:r w:rsidRPr="00AC1736">
        <w:rPr>
          <w:sz w:val="24"/>
          <w:szCs w:val="24"/>
        </w:rPr>
        <w:t xml:space="preserve">Samtidig anvendelse af </w:t>
      </w:r>
      <w:proofErr w:type="spellStart"/>
      <w:r w:rsidRPr="00AC1736">
        <w:rPr>
          <w:sz w:val="24"/>
          <w:szCs w:val="24"/>
        </w:rPr>
        <w:t>alfentanil</w:t>
      </w:r>
      <w:proofErr w:type="spellEnd"/>
      <w:r w:rsidRPr="00AC1736">
        <w:rPr>
          <w:sz w:val="24"/>
          <w:szCs w:val="24"/>
        </w:rPr>
        <w:t xml:space="preserve"> til patienter med spontan respiration kan øge risikoen for respirationsdepression, dyb sedation, koma og død.</w:t>
      </w:r>
    </w:p>
    <w:p w:rsidR="0017324A" w:rsidRDefault="0017324A" w:rsidP="0017324A">
      <w:pPr>
        <w:ind w:left="851"/>
        <w:rPr>
          <w:sz w:val="24"/>
          <w:szCs w:val="24"/>
        </w:rPr>
      </w:pPr>
      <w:r>
        <w:rPr>
          <w:sz w:val="24"/>
          <w:szCs w:val="24"/>
        </w:rPr>
        <w:t xml:space="preserve">Samtidig brug af opioider og </w:t>
      </w:r>
      <w:proofErr w:type="spellStart"/>
      <w:r>
        <w:rPr>
          <w:sz w:val="24"/>
          <w:szCs w:val="24"/>
        </w:rPr>
        <w:t>gabapentinoider</w:t>
      </w:r>
      <w:proofErr w:type="spellEnd"/>
      <w:r>
        <w:rPr>
          <w:sz w:val="24"/>
          <w:szCs w:val="24"/>
        </w:rPr>
        <w:t xml:space="preserve"> (</w:t>
      </w:r>
      <w:proofErr w:type="spellStart"/>
      <w:r>
        <w:rPr>
          <w:sz w:val="24"/>
          <w:szCs w:val="24"/>
        </w:rPr>
        <w:t>gabapentin</w:t>
      </w:r>
      <w:proofErr w:type="spellEnd"/>
      <w:r>
        <w:rPr>
          <w:sz w:val="24"/>
          <w:szCs w:val="24"/>
        </w:rPr>
        <w:t xml:space="preserve"> og </w:t>
      </w:r>
      <w:proofErr w:type="spellStart"/>
      <w:r>
        <w:rPr>
          <w:sz w:val="24"/>
          <w:szCs w:val="24"/>
        </w:rPr>
        <w:t>pregabalin</w:t>
      </w:r>
      <w:proofErr w:type="spellEnd"/>
      <w:r>
        <w:rPr>
          <w:sz w:val="24"/>
          <w:szCs w:val="24"/>
        </w:rPr>
        <w:t>) øger risikoen for overdosering med opioider, respirationsdepression og død.</w:t>
      </w:r>
    </w:p>
    <w:p w:rsidR="001935D4" w:rsidRPr="00AC1736" w:rsidRDefault="001935D4" w:rsidP="001935D4">
      <w:pPr>
        <w:ind w:left="851"/>
        <w:rPr>
          <w:sz w:val="24"/>
          <w:szCs w:val="24"/>
        </w:rPr>
      </w:pPr>
    </w:p>
    <w:p w:rsidR="001935D4" w:rsidRPr="00AC1736" w:rsidRDefault="001935D4" w:rsidP="001935D4">
      <w:pPr>
        <w:ind w:left="851"/>
        <w:rPr>
          <w:i/>
          <w:sz w:val="24"/>
          <w:szCs w:val="24"/>
          <w:lang w:val="en-US"/>
        </w:rPr>
      </w:pPr>
      <w:r w:rsidRPr="00AC1736">
        <w:rPr>
          <w:i/>
          <w:sz w:val="24"/>
          <w:szCs w:val="24"/>
          <w:lang w:val="en-US"/>
        </w:rPr>
        <w:t>CYP3A4-hæmmere (</w:t>
      </w:r>
      <w:proofErr w:type="spellStart"/>
      <w:r w:rsidRPr="00AC1736">
        <w:rPr>
          <w:i/>
          <w:sz w:val="24"/>
          <w:szCs w:val="24"/>
          <w:lang w:val="en-US"/>
        </w:rPr>
        <w:t>cytochrom</w:t>
      </w:r>
      <w:proofErr w:type="spellEnd"/>
      <w:r w:rsidRPr="00AC1736">
        <w:rPr>
          <w:i/>
          <w:sz w:val="24"/>
          <w:szCs w:val="24"/>
          <w:lang w:val="en-US"/>
        </w:rPr>
        <w:t xml:space="preserve"> P450 3A4)</w:t>
      </w:r>
    </w:p>
    <w:p w:rsidR="001935D4" w:rsidRPr="00AC1736" w:rsidRDefault="001935D4" w:rsidP="001935D4">
      <w:pPr>
        <w:ind w:left="851"/>
        <w:rPr>
          <w:sz w:val="24"/>
          <w:szCs w:val="24"/>
        </w:rPr>
      </w:pPr>
      <w:proofErr w:type="spellStart"/>
      <w:r w:rsidRPr="00AC1736">
        <w:rPr>
          <w:sz w:val="24"/>
          <w:szCs w:val="24"/>
        </w:rPr>
        <w:t>Alfentanil</w:t>
      </w:r>
      <w:proofErr w:type="spellEnd"/>
      <w:r w:rsidRPr="00AC1736">
        <w:rPr>
          <w:sz w:val="24"/>
          <w:szCs w:val="24"/>
        </w:rPr>
        <w:t xml:space="preserve"> </w:t>
      </w:r>
      <w:proofErr w:type="spellStart"/>
      <w:r w:rsidRPr="00AC1736">
        <w:rPr>
          <w:sz w:val="24"/>
          <w:szCs w:val="24"/>
        </w:rPr>
        <w:t>metaboliseres</w:t>
      </w:r>
      <w:proofErr w:type="spellEnd"/>
      <w:r w:rsidRPr="00AC1736">
        <w:rPr>
          <w:sz w:val="24"/>
          <w:szCs w:val="24"/>
        </w:rPr>
        <w:t xml:space="preserve"> hovedsageligt af </w:t>
      </w:r>
      <w:proofErr w:type="spellStart"/>
      <w:r w:rsidRPr="00AC1736">
        <w:rPr>
          <w:sz w:val="24"/>
          <w:szCs w:val="24"/>
        </w:rPr>
        <w:t>cytokrom</w:t>
      </w:r>
      <w:proofErr w:type="spellEnd"/>
      <w:r w:rsidRPr="00AC1736">
        <w:rPr>
          <w:sz w:val="24"/>
          <w:szCs w:val="24"/>
        </w:rPr>
        <w:t xml:space="preserve"> P450 3A4. </w:t>
      </w:r>
      <w:r w:rsidRPr="00AC1736">
        <w:rPr>
          <w:i/>
          <w:iCs/>
          <w:sz w:val="24"/>
          <w:szCs w:val="24"/>
        </w:rPr>
        <w:t xml:space="preserve">In </w:t>
      </w:r>
      <w:proofErr w:type="spellStart"/>
      <w:r w:rsidRPr="00AC1736">
        <w:rPr>
          <w:i/>
          <w:iCs/>
          <w:sz w:val="24"/>
          <w:szCs w:val="24"/>
        </w:rPr>
        <w:t>vitro</w:t>
      </w:r>
      <w:proofErr w:type="spellEnd"/>
      <w:r w:rsidRPr="00AC1736">
        <w:rPr>
          <w:sz w:val="24"/>
          <w:szCs w:val="24"/>
        </w:rPr>
        <w:t xml:space="preserve"> data indikerer, at potente </w:t>
      </w:r>
      <w:proofErr w:type="spellStart"/>
      <w:r w:rsidRPr="00AC1736">
        <w:rPr>
          <w:sz w:val="24"/>
          <w:szCs w:val="24"/>
        </w:rPr>
        <w:t>cytochrome</w:t>
      </w:r>
      <w:proofErr w:type="spellEnd"/>
      <w:r w:rsidRPr="00AC1736">
        <w:rPr>
          <w:sz w:val="24"/>
          <w:szCs w:val="24"/>
        </w:rPr>
        <w:t xml:space="preserve"> P450 3A4 </w:t>
      </w:r>
      <w:proofErr w:type="spellStart"/>
      <w:r w:rsidRPr="00AC1736">
        <w:rPr>
          <w:sz w:val="24"/>
          <w:szCs w:val="24"/>
        </w:rPr>
        <w:t>enzymhæmmere</w:t>
      </w:r>
      <w:proofErr w:type="spellEnd"/>
      <w:r w:rsidRPr="00AC1736">
        <w:rPr>
          <w:sz w:val="24"/>
          <w:szCs w:val="24"/>
        </w:rPr>
        <w:t xml:space="preserve"> (f.eks. </w:t>
      </w:r>
      <w:proofErr w:type="spellStart"/>
      <w:r w:rsidRPr="00AC1736">
        <w:rPr>
          <w:sz w:val="24"/>
          <w:szCs w:val="24"/>
        </w:rPr>
        <w:t>ketoconazol</w:t>
      </w:r>
      <w:proofErr w:type="spellEnd"/>
      <w:r w:rsidRPr="00AC1736">
        <w:rPr>
          <w:sz w:val="24"/>
          <w:szCs w:val="24"/>
        </w:rPr>
        <w:t xml:space="preserve">, </w:t>
      </w:r>
      <w:proofErr w:type="spellStart"/>
      <w:r w:rsidRPr="00AC1736">
        <w:rPr>
          <w:sz w:val="24"/>
          <w:szCs w:val="24"/>
        </w:rPr>
        <w:t>itraconazol</w:t>
      </w:r>
      <w:proofErr w:type="spellEnd"/>
      <w:r w:rsidRPr="00AC1736">
        <w:rPr>
          <w:sz w:val="24"/>
          <w:szCs w:val="24"/>
        </w:rPr>
        <w:t xml:space="preserve">, </w:t>
      </w:r>
      <w:proofErr w:type="spellStart"/>
      <w:r w:rsidRPr="00AC1736">
        <w:rPr>
          <w:sz w:val="24"/>
          <w:szCs w:val="24"/>
        </w:rPr>
        <w:t>ritonavir</w:t>
      </w:r>
      <w:proofErr w:type="spellEnd"/>
      <w:r w:rsidRPr="00AC1736">
        <w:rPr>
          <w:sz w:val="24"/>
          <w:szCs w:val="24"/>
        </w:rPr>
        <w:t xml:space="preserve">) kan hæmme </w:t>
      </w:r>
      <w:proofErr w:type="spellStart"/>
      <w:r w:rsidRPr="00AC1736">
        <w:rPr>
          <w:sz w:val="24"/>
          <w:szCs w:val="24"/>
        </w:rPr>
        <w:t>alfentanils</w:t>
      </w:r>
      <w:proofErr w:type="spellEnd"/>
      <w:r w:rsidRPr="00AC1736">
        <w:rPr>
          <w:sz w:val="24"/>
          <w:szCs w:val="24"/>
        </w:rPr>
        <w:t xml:space="preserve"> metabolisme. Humane </w:t>
      </w:r>
      <w:proofErr w:type="spellStart"/>
      <w:r w:rsidRPr="00AC1736">
        <w:rPr>
          <w:sz w:val="24"/>
          <w:szCs w:val="24"/>
        </w:rPr>
        <w:t>farmakokinetiske</w:t>
      </w:r>
      <w:proofErr w:type="spellEnd"/>
      <w:r w:rsidRPr="00AC1736">
        <w:rPr>
          <w:sz w:val="24"/>
          <w:szCs w:val="24"/>
        </w:rPr>
        <w:t xml:space="preserve"> data antyder, at </w:t>
      </w:r>
      <w:proofErr w:type="spellStart"/>
      <w:r w:rsidRPr="00AC1736">
        <w:rPr>
          <w:sz w:val="24"/>
          <w:szCs w:val="24"/>
        </w:rPr>
        <w:t>alfentanils</w:t>
      </w:r>
      <w:proofErr w:type="spellEnd"/>
      <w:r w:rsidRPr="00AC1736">
        <w:rPr>
          <w:sz w:val="24"/>
          <w:szCs w:val="24"/>
        </w:rPr>
        <w:t xml:space="preserve"> metabolisme hæmmes af </w:t>
      </w:r>
      <w:proofErr w:type="spellStart"/>
      <w:r w:rsidRPr="00AC1736">
        <w:rPr>
          <w:sz w:val="24"/>
          <w:szCs w:val="24"/>
        </w:rPr>
        <w:t>fluconazol</w:t>
      </w:r>
      <w:proofErr w:type="spellEnd"/>
      <w:r w:rsidRPr="00AC1736">
        <w:rPr>
          <w:sz w:val="24"/>
          <w:szCs w:val="24"/>
        </w:rPr>
        <w:t xml:space="preserve">, </w:t>
      </w:r>
      <w:proofErr w:type="spellStart"/>
      <w:r w:rsidRPr="00AC1736">
        <w:rPr>
          <w:sz w:val="24"/>
          <w:szCs w:val="24"/>
        </w:rPr>
        <w:t>voriconazol</w:t>
      </w:r>
      <w:proofErr w:type="spellEnd"/>
      <w:r w:rsidRPr="00AC1736">
        <w:rPr>
          <w:sz w:val="24"/>
          <w:szCs w:val="24"/>
        </w:rPr>
        <w:t xml:space="preserve">, </w:t>
      </w:r>
      <w:proofErr w:type="spellStart"/>
      <w:r w:rsidRPr="00AC1736">
        <w:rPr>
          <w:sz w:val="24"/>
          <w:szCs w:val="24"/>
        </w:rPr>
        <w:t>erythromycin</w:t>
      </w:r>
      <w:proofErr w:type="spellEnd"/>
      <w:r w:rsidRPr="00AC1736">
        <w:rPr>
          <w:sz w:val="24"/>
          <w:szCs w:val="24"/>
        </w:rPr>
        <w:t xml:space="preserve">, </w:t>
      </w:r>
      <w:proofErr w:type="spellStart"/>
      <w:r w:rsidRPr="00AC1736">
        <w:rPr>
          <w:sz w:val="24"/>
          <w:szCs w:val="24"/>
        </w:rPr>
        <w:t>diltiazem</w:t>
      </w:r>
      <w:proofErr w:type="spellEnd"/>
      <w:r w:rsidRPr="00AC1736">
        <w:rPr>
          <w:sz w:val="24"/>
          <w:szCs w:val="24"/>
        </w:rPr>
        <w:t xml:space="preserve"> og </w:t>
      </w:r>
      <w:proofErr w:type="spellStart"/>
      <w:r w:rsidRPr="00AC1736">
        <w:rPr>
          <w:sz w:val="24"/>
          <w:szCs w:val="24"/>
        </w:rPr>
        <w:t>cimetidin</w:t>
      </w:r>
      <w:proofErr w:type="spellEnd"/>
      <w:r w:rsidRPr="00AC1736">
        <w:rPr>
          <w:sz w:val="24"/>
          <w:szCs w:val="24"/>
        </w:rPr>
        <w:t xml:space="preserve"> (kendte </w:t>
      </w:r>
      <w:proofErr w:type="spellStart"/>
      <w:r w:rsidRPr="00AC1736">
        <w:rPr>
          <w:sz w:val="24"/>
          <w:szCs w:val="24"/>
        </w:rPr>
        <w:t>cytokrom</w:t>
      </w:r>
      <w:proofErr w:type="spellEnd"/>
      <w:r w:rsidRPr="00AC1736">
        <w:rPr>
          <w:sz w:val="24"/>
          <w:szCs w:val="24"/>
        </w:rPr>
        <w:t xml:space="preserve"> P450 3A4 </w:t>
      </w:r>
      <w:proofErr w:type="spellStart"/>
      <w:r w:rsidRPr="00AC1736">
        <w:rPr>
          <w:sz w:val="24"/>
          <w:szCs w:val="24"/>
        </w:rPr>
        <w:t>enzymhæmmere</w:t>
      </w:r>
      <w:proofErr w:type="spellEnd"/>
      <w:r w:rsidRPr="00AC1736">
        <w:rPr>
          <w:sz w:val="24"/>
          <w:szCs w:val="24"/>
        </w:rPr>
        <w:t xml:space="preserve">). Dette kan øge risikoen for forlænget eller forsinket respirationsdepression. Hvis det er nødvendigt med samtidig brug, kræver det at patienten overvåges særdeles omhyggeligt. Dosisreduktion af </w:t>
      </w:r>
      <w:proofErr w:type="spellStart"/>
      <w:r w:rsidRPr="00AC1736">
        <w:rPr>
          <w:sz w:val="24"/>
          <w:szCs w:val="24"/>
        </w:rPr>
        <w:t>alfentanil</w:t>
      </w:r>
      <w:proofErr w:type="spellEnd"/>
      <w:r w:rsidRPr="00AC1736">
        <w:rPr>
          <w:sz w:val="24"/>
          <w:szCs w:val="24"/>
        </w:rPr>
        <w:t xml:space="preserve"> kan være nødvendigt.</w:t>
      </w:r>
    </w:p>
    <w:p w:rsidR="001935D4" w:rsidRPr="00AC1736" w:rsidRDefault="001935D4" w:rsidP="001935D4">
      <w:pPr>
        <w:ind w:left="851"/>
        <w:rPr>
          <w:sz w:val="24"/>
          <w:szCs w:val="24"/>
        </w:rPr>
      </w:pPr>
    </w:p>
    <w:p w:rsidR="001935D4" w:rsidRPr="00AC1736" w:rsidRDefault="001935D4" w:rsidP="001935D4">
      <w:pPr>
        <w:ind w:left="851"/>
        <w:rPr>
          <w:i/>
          <w:sz w:val="24"/>
          <w:szCs w:val="24"/>
        </w:rPr>
      </w:pPr>
      <w:proofErr w:type="spellStart"/>
      <w:r w:rsidRPr="00AC1736">
        <w:rPr>
          <w:i/>
          <w:sz w:val="24"/>
          <w:szCs w:val="24"/>
        </w:rPr>
        <w:t>Monoaminoxidasehæmmere</w:t>
      </w:r>
      <w:proofErr w:type="spellEnd"/>
      <w:r w:rsidRPr="00AC1736">
        <w:rPr>
          <w:i/>
          <w:sz w:val="24"/>
          <w:szCs w:val="24"/>
        </w:rPr>
        <w:t xml:space="preserve"> (MAO-</w:t>
      </w:r>
      <w:proofErr w:type="spellStart"/>
      <w:r w:rsidRPr="00AC1736">
        <w:rPr>
          <w:i/>
          <w:sz w:val="24"/>
          <w:szCs w:val="24"/>
        </w:rPr>
        <w:t>hæmmere</w:t>
      </w:r>
      <w:proofErr w:type="spellEnd"/>
      <w:r w:rsidRPr="00AC1736">
        <w:rPr>
          <w:i/>
          <w:sz w:val="24"/>
          <w:szCs w:val="24"/>
        </w:rPr>
        <w:t>)</w:t>
      </w:r>
    </w:p>
    <w:p w:rsidR="001935D4" w:rsidRPr="00AC1736" w:rsidRDefault="001935D4" w:rsidP="001935D4">
      <w:pPr>
        <w:ind w:left="851"/>
        <w:rPr>
          <w:sz w:val="24"/>
          <w:szCs w:val="24"/>
        </w:rPr>
      </w:pPr>
      <w:r w:rsidRPr="00AC1736">
        <w:rPr>
          <w:sz w:val="24"/>
          <w:szCs w:val="24"/>
        </w:rPr>
        <w:t>MAO-</w:t>
      </w:r>
      <w:proofErr w:type="spellStart"/>
      <w:r w:rsidRPr="00AC1736">
        <w:rPr>
          <w:sz w:val="24"/>
          <w:szCs w:val="24"/>
        </w:rPr>
        <w:t>hæmmere</w:t>
      </w:r>
      <w:proofErr w:type="spellEnd"/>
      <w:r w:rsidRPr="00AC1736">
        <w:rPr>
          <w:sz w:val="24"/>
          <w:szCs w:val="24"/>
        </w:rPr>
        <w:t xml:space="preserve"> bør seponeres to uger før forud for anæstesi eller kirurgiske indgreb (se pkt. 4.4).</w:t>
      </w:r>
    </w:p>
    <w:p w:rsidR="001935D4" w:rsidRPr="00AC1736" w:rsidRDefault="001935D4" w:rsidP="001935D4">
      <w:pPr>
        <w:ind w:left="851"/>
        <w:rPr>
          <w:sz w:val="24"/>
          <w:szCs w:val="24"/>
        </w:rPr>
      </w:pPr>
    </w:p>
    <w:p w:rsidR="001935D4" w:rsidRPr="00AC1736" w:rsidRDefault="001935D4" w:rsidP="001935D4">
      <w:pPr>
        <w:ind w:left="851"/>
        <w:rPr>
          <w:i/>
          <w:sz w:val="24"/>
          <w:szCs w:val="24"/>
        </w:rPr>
      </w:pPr>
      <w:proofErr w:type="spellStart"/>
      <w:r w:rsidRPr="00AC1736">
        <w:rPr>
          <w:i/>
          <w:sz w:val="24"/>
          <w:szCs w:val="24"/>
        </w:rPr>
        <w:t>Serotonerge</w:t>
      </w:r>
      <w:proofErr w:type="spellEnd"/>
      <w:r w:rsidRPr="00AC1736">
        <w:rPr>
          <w:i/>
          <w:sz w:val="24"/>
          <w:szCs w:val="24"/>
        </w:rPr>
        <w:t xml:space="preserve"> lægemidler</w:t>
      </w:r>
    </w:p>
    <w:p w:rsidR="001935D4" w:rsidRPr="00AC1736" w:rsidRDefault="001935D4" w:rsidP="001935D4">
      <w:pPr>
        <w:ind w:left="851"/>
        <w:rPr>
          <w:sz w:val="24"/>
          <w:szCs w:val="24"/>
        </w:rPr>
      </w:pPr>
      <w:r w:rsidRPr="00AC1736">
        <w:rPr>
          <w:sz w:val="24"/>
          <w:szCs w:val="24"/>
        </w:rPr>
        <w:t xml:space="preserve">Samtidig administration af </w:t>
      </w:r>
      <w:proofErr w:type="spellStart"/>
      <w:r w:rsidRPr="00AC1736">
        <w:rPr>
          <w:sz w:val="24"/>
          <w:szCs w:val="24"/>
        </w:rPr>
        <w:t>alfentanil</w:t>
      </w:r>
      <w:proofErr w:type="spellEnd"/>
      <w:r w:rsidRPr="00AC1736">
        <w:rPr>
          <w:sz w:val="24"/>
          <w:szCs w:val="24"/>
        </w:rPr>
        <w:t xml:space="preserve"> og et </w:t>
      </w:r>
      <w:proofErr w:type="spellStart"/>
      <w:r w:rsidRPr="00AC1736">
        <w:rPr>
          <w:sz w:val="24"/>
          <w:szCs w:val="24"/>
        </w:rPr>
        <w:t>serotonergt</w:t>
      </w:r>
      <w:proofErr w:type="spellEnd"/>
      <w:r w:rsidRPr="00AC1736">
        <w:rPr>
          <w:sz w:val="24"/>
          <w:szCs w:val="24"/>
        </w:rPr>
        <w:t xml:space="preserve"> lægemiddel såsom en </w:t>
      </w:r>
      <w:r w:rsidRPr="00F2428E">
        <w:rPr>
          <w:sz w:val="24"/>
          <w:szCs w:val="24"/>
        </w:rPr>
        <w:t xml:space="preserve">Selektiv </w:t>
      </w:r>
      <w:proofErr w:type="spellStart"/>
      <w:r w:rsidRPr="00F2428E">
        <w:rPr>
          <w:sz w:val="24"/>
          <w:szCs w:val="24"/>
        </w:rPr>
        <w:t>seroton</w:t>
      </w:r>
      <w:proofErr w:type="spellEnd"/>
      <w:r w:rsidRPr="00F2428E">
        <w:rPr>
          <w:sz w:val="24"/>
          <w:szCs w:val="24"/>
        </w:rPr>
        <w:t xml:space="preserve"> </w:t>
      </w:r>
      <w:proofErr w:type="spellStart"/>
      <w:r w:rsidRPr="00F2428E">
        <w:rPr>
          <w:sz w:val="24"/>
          <w:szCs w:val="24"/>
        </w:rPr>
        <w:t>reuptake</w:t>
      </w:r>
      <w:proofErr w:type="spellEnd"/>
      <w:r w:rsidRPr="00F2428E">
        <w:rPr>
          <w:sz w:val="24"/>
          <w:szCs w:val="24"/>
        </w:rPr>
        <w:t xml:space="preserve">-hæmmer </w:t>
      </w:r>
      <w:r w:rsidRPr="00AC1736">
        <w:rPr>
          <w:sz w:val="24"/>
          <w:szCs w:val="24"/>
        </w:rPr>
        <w:t xml:space="preserve">(SSRI), </w:t>
      </w:r>
      <w:proofErr w:type="spellStart"/>
      <w:r w:rsidRPr="00F2428E">
        <w:rPr>
          <w:sz w:val="24"/>
          <w:szCs w:val="24"/>
        </w:rPr>
        <w:t>seroton</w:t>
      </w:r>
      <w:proofErr w:type="spellEnd"/>
      <w:r w:rsidRPr="00F2428E">
        <w:rPr>
          <w:sz w:val="24"/>
          <w:szCs w:val="24"/>
        </w:rPr>
        <w:t xml:space="preserve"> og noradrenalin </w:t>
      </w:r>
      <w:proofErr w:type="spellStart"/>
      <w:r w:rsidRPr="00F2428E">
        <w:rPr>
          <w:sz w:val="24"/>
          <w:szCs w:val="24"/>
        </w:rPr>
        <w:t>reuptake</w:t>
      </w:r>
      <w:proofErr w:type="spellEnd"/>
      <w:r w:rsidRPr="00F2428E">
        <w:rPr>
          <w:sz w:val="24"/>
          <w:szCs w:val="24"/>
        </w:rPr>
        <w:t xml:space="preserve">-hæmmer </w:t>
      </w:r>
      <w:r w:rsidRPr="00AC1736">
        <w:rPr>
          <w:sz w:val="24"/>
          <w:szCs w:val="24"/>
        </w:rPr>
        <w:t>(SNRI) eller MAO-hæmmer kan øge risikoen for serotoninsyndrom, som er en potentielt livstruende tilstand.</w:t>
      </w:r>
    </w:p>
    <w:p w:rsidR="001935D4" w:rsidRPr="00AC1736" w:rsidRDefault="001935D4" w:rsidP="001935D4">
      <w:pPr>
        <w:ind w:left="851"/>
        <w:rPr>
          <w:i/>
          <w:sz w:val="24"/>
          <w:szCs w:val="24"/>
        </w:rPr>
      </w:pPr>
    </w:p>
    <w:p w:rsidR="001935D4" w:rsidRPr="002E6B57" w:rsidRDefault="001935D4" w:rsidP="001935D4">
      <w:pPr>
        <w:ind w:left="851"/>
        <w:rPr>
          <w:sz w:val="24"/>
          <w:szCs w:val="24"/>
          <w:u w:val="single"/>
        </w:rPr>
      </w:pPr>
      <w:proofErr w:type="spellStart"/>
      <w:r w:rsidRPr="002E6B57">
        <w:rPr>
          <w:sz w:val="24"/>
          <w:szCs w:val="24"/>
          <w:u w:val="single"/>
        </w:rPr>
        <w:lastRenderedPageBreak/>
        <w:t>Alfentanils</w:t>
      </w:r>
      <w:proofErr w:type="spellEnd"/>
      <w:r w:rsidRPr="002E6B57">
        <w:rPr>
          <w:sz w:val="24"/>
          <w:szCs w:val="24"/>
          <w:u w:val="single"/>
        </w:rPr>
        <w:t xml:space="preserve"> virkning på andre lægemidler</w:t>
      </w:r>
    </w:p>
    <w:p w:rsidR="001935D4" w:rsidRPr="00AC1736" w:rsidRDefault="001935D4" w:rsidP="001935D4">
      <w:pPr>
        <w:ind w:left="851"/>
        <w:rPr>
          <w:sz w:val="24"/>
          <w:szCs w:val="24"/>
        </w:rPr>
      </w:pPr>
      <w:r w:rsidRPr="00AC1736">
        <w:rPr>
          <w:sz w:val="24"/>
          <w:szCs w:val="24"/>
        </w:rPr>
        <w:t xml:space="preserve">Efter administration af </w:t>
      </w:r>
      <w:proofErr w:type="spellStart"/>
      <w:r w:rsidRPr="00AC1736">
        <w:rPr>
          <w:sz w:val="24"/>
          <w:szCs w:val="24"/>
        </w:rPr>
        <w:t>alfentanil</w:t>
      </w:r>
      <w:proofErr w:type="spellEnd"/>
      <w:r w:rsidRPr="00AC1736">
        <w:rPr>
          <w:sz w:val="24"/>
          <w:szCs w:val="24"/>
        </w:rPr>
        <w:t xml:space="preserve"> bør dosis af andre CNS-deprimerende lægemidler reduceres. Dette er særlig vigtigt efter operation, da dyb analgesi ledsages af markant respirationsdepression, der kan vare ved eller vende tilbage i den postoperative periode. Administration af et CNS-deprimerende middel, f.eks. benzodiazepin, i dette tidsrum kan øge risikoen for respirationsdepression uforholdsmæssigt.</w:t>
      </w:r>
    </w:p>
    <w:p w:rsidR="001935D4" w:rsidRPr="00AC1736" w:rsidRDefault="001935D4" w:rsidP="001935D4">
      <w:pPr>
        <w:ind w:left="851"/>
        <w:rPr>
          <w:sz w:val="24"/>
          <w:szCs w:val="24"/>
        </w:rPr>
      </w:pPr>
    </w:p>
    <w:p w:rsidR="001935D4" w:rsidRPr="00FD5240" w:rsidRDefault="001935D4" w:rsidP="001935D4">
      <w:pPr>
        <w:ind w:left="851"/>
        <w:rPr>
          <w:sz w:val="24"/>
          <w:szCs w:val="24"/>
          <w:u w:val="single"/>
        </w:rPr>
      </w:pPr>
      <w:proofErr w:type="spellStart"/>
      <w:r w:rsidRPr="00FD5240">
        <w:rPr>
          <w:sz w:val="24"/>
          <w:szCs w:val="24"/>
          <w:u w:val="single"/>
        </w:rPr>
        <w:t>Alfentanils</w:t>
      </w:r>
      <w:proofErr w:type="spellEnd"/>
      <w:r w:rsidRPr="00FD5240">
        <w:rPr>
          <w:sz w:val="24"/>
          <w:szCs w:val="24"/>
          <w:u w:val="single"/>
        </w:rPr>
        <w:t xml:space="preserve"> virkning på metabolismen af andre lægemidler</w:t>
      </w:r>
    </w:p>
    <w:p w:rsidR="001935D4" w:rsidRPr="00AC1736" w:rsidRDefault="001935D4" w:rsidP="001935D4">
      <w:pPr>
        <w:ind w:left="851"/>
        <w:rPr>
          <w:sz w:val="24"/>
          <w:szCs w:val="24"/>
        </w:rPr>
      </w:pPr>
      <w:proofErr w:type="spellStart"/>
      <w:r w:rsidRPr="00AC1736">
        <w:rPr>
          <w:sz w:val="24"/>
          <w:szCs w:val="24"/>
        </w:rPr>
        <w:t>Propofols</w:t>
      </w:r>
      <w:proofErr w:type="spellEnd"/>
      <w:r w:rsidRPr="00AC1736">
        <w:rPr>
          <w:sz w:val="24"/>
          <w:szCs w:val="24"/>
        </w:rPr>
        <w:t xml:space="preserve"> blodkoncentration er 17</w:t>
      </w:r>
      <w:r>
        <w:rPr>
          <w:sz w:val="24"/>
          <w:szCs w:val="24"/>
        </w:rPr>
        <w:t xml:space="preserve"> %</w:t>
      </w:r>
      <w:r w:rsidRPr="00AC1736">
        <w:rPr>
          <w:sz w:val="24"/>
          <w:szCs w:val="24"/>
        </w:rPr>
        <w:t xml:space="preserve"> højere i kombination med </w:t>
      </w:r>
      <w:proofErr w:type="spellStart"/>
      <w:r w:rsidRPr="00AC1736">
        <w:rPr>
          <w:sz w:val="24"/>
          <w:szCs w:val="24"/>
        </w:rPr>
        <w:t>alfentanil</w:t>
      </w:r>
      <w:proofErr w:type="spellEnd"/>
      <w:r w:rsidRPr="00AC1736">
        <w:rPr>
          <w:sz w:val="24"/>
          <w:szCs w:val="24"/>
        </w:rPr>
        <w:t xml:space="preserve"> end hvis </w:t>
      </w:r>
      <w:proofErr w:type="spellStart"/>
      <w:r w:rsidRPr="00AC1736">
        <w:rPr>
          <w:sz w:val="24"/>
          <w:szCs w:val="24"/>
        </w:rPr>
        <w:t>alfentanil</w:t>
      </w:r>
      <w:proofErr w:type="spellEnd"/>
      <w:r w:rsidRPr="00AC1736">
        <w:rPr>
          <w:sz w:val="24"/>
          <w:szCs w:val="24"/>
        </w:rPr>
        <w:t xml:space="preserve"> ikke er til stede. Den samtidige brug af </w:t>
      </w:r>
      <w:proofErr w:type="spellStart"/>
      <w:r w:rsidRPr="00AC1736">
        <w:rPr>
          <w:sz w:val="24"/>
          <w:szCs w:val="24"/>
        </w:rPr>
        <w:t>alfentanil</w:t>
      </w:r>
      <w:proofErr w:type="spellEnd"/>
      <w:r w:rsidRPr="00AC1736">
        <w:rPr>
          <w:sz w:val="24"/>
          <w:szCs w:val="24"/>
        </w:rPr>
        <w:t xml:space="preserve"> og </w:t>
      </w:r>
      <w:proofErr w:type="spellStart"/>
      <w:r w:rsidRPr="00AC1736">
        <w:rPr>
          <w:sz w:val="24"/>
          <w:szCs w:val="24"/>
        </w:rPr>
        <w:t>propofol</w:t>
      </w:r>
      <w:proofErr w:type="spellEnd"/>
      <w:r w:rsidRPr="00AC1736">
        <w:rPr>
          <w:sz w:val="24"/>
          <w:szCs w:val="24"/>
        </w:rPr>
        <w:t xml:space="preserve"> kan kræve en lavere dosis </w:t>
      </w:r>
      <w:proofErr w:type="spellStart"/>
      <w:r w:rsidRPr="00AC1736">
        <w:rPr>
          <w:sz w:val="24"/>
          <w:szCs w:val="24"/>
        </w:rPr>
        <w:t>alfentanil</w:t>
      </w:r>
      <w:proofErr w:type="spellEnd"/>
      <w:r w:rsidRPr="00AC1736">
        <w:rPr>
          <w:sz w:val="24"/>
          <w:szCs w:val="24"/>
        </w:rPr>
        <w:t>.</w:t>
      </w:r>
    </w:p>
    <w:p w:rsidR="001935D4" w:rsidRPr="00AC1736" w:rsidRDefault="001935D4" w:rsidP="00043ACC">
      <w:pPr>
        <w:tabs>
          <w:tab w:val="left" w:pos="851"/>
        </w:tabs>
        <w:ind w:left="851"/>
        <w:rPr>
          <w:sz w:val="24"/>
          <w:szCs w:val="24"/>
        </w:rPr>
      </w:pPr>
    </w:p>
    <w:p w:rsidR="0029198B" w:rsidRPr="00C84483" w:rsidRDefault="0029198B" w:rsidP="0029198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935D4" w:rsidRDefault="001935D4" w:rsidP="00043ACC">
      <w:pPr>
        <w:ind w:left="851"/>
        <w:rPr>
          <w:bCs/>
          <w:sz w:val="24"/>
          <w:szCs w:val="24"/>
          <w:u w:val="single"/>
        </w:rPr>
      </w:pPr>
    </w:p>
    <w:p w:rsidR="001935D4" w:rsidRPr="00AC1736" w:rsidRDefault="001935D4" w:rsidP="001935D4">
      <w:pPr>
        <w:ind w:left="851"/>
        <w:rPr>
          <w:bCs/>
          <w:sz w:val="24"/>
          <w:szCs w:val="24"/>
          <w:u w:val="single"/>
          <w:lang w:eastAsia="da-DK"/>
        </w:rPr>
      </w:pPr>
      <w:r w:rsidRPr="00AC1736">
        <w:rPr>
          <w:bCs/>
          <w:sz w:val="24"/>
          <w:szCs w:val="24"/>
          <w:u w:val="single"/>
        </w:rPr>
        <w:t>Graviditet</w:t>
      </w:r>
    </w:p>
    <w:p w:rsidR="001935D4" w:rsidRPr="00AC1736" w:rsidRDefault="001935D4" w:rsidP="001935D4">
      <w:pPr>
        <w:ind w:left="851"/>
        <w:rPr>
          <w:i/>
          <w:sz w:val="24"/>
          <w:szCs w:val="24"/>
        </w:rPr>
      </w:pPr>
      <w:r w:rsidRPr="00AC1736">
        <w:rPr>
          <w:sz w:val="24"/>
          <w:szCs w:val="24"/>
        </w:rPr>
        <w:t xml:space="preserve">Selv om der ikke er observeret </w:t>
      </w:r>
      <w:proofErr w:type="spellStart"/>
      <w:r w:rsidRPr="00AC1736">
        <w:rPr>
          <w:sz w:val="24"/>
          <w:szCs w:val="24"/>
        </w:rPr>
        <w:t>teratogen</w:t>
      </w:r>
      <w:proofErr w:type="spellEnd"/>
      <w:r w:rsidRPr="00AC1736">
        <w:rPr>
          <w:sz w:val="24"/>
          <w:szCs w:val="24"/>
        </w:rPr>
        <w:t xml:space="preserve"> eller akut embryotoksisk virkning i dyreforsøg, er der ikke tilstrækkelige data til at vurdere en eventuelt skadelig virkning hos mennesker. Som følge heraf, er det nødvendigt at afveje den potentielle risiko mod fordelene, før der administreres </w:t>
      </w:r>
      <w:proofErr w:type="spellStart"/>
      <w:r w:rsidRPr="00AC1736">
        <w:rPr>
          <w:sz w:val="24"/>
          <w:szCs w:val="24"/>
        </w:rPr>
        <w:t>Alfentanil</w:t>
      </w:r>
      <w:proofErr w:type="spellEnd"/>
      <w:r w:rsidRPr="00AC1736">
        <w:rPr>
          <w:sz w:val="24"/>
          <w:szCs w:val="24"/>
        </w:rPr>
        <w:t xml:space="preserve"> </w:t>
      </w:r>
      <w:r>
        <w:rPr>
          <w:sz w:val="24"/>
          <w:szCs w:val="24"/>
        </w:rPr>
        <w:t>"</w:t>
      </w:r>
      <w:proofErr w:type="spellStart"/>
      <w:r>
        <w:rPr>
          <w:sz w:val="24"/>
          <w:szCs w:val="24"/>
        </w:rPr>
        <w:t>Kalceks</w:t>
      </w:r>
      <w:proofErr w:type="spellEnd"/>
      <w:r>
        <w:rPr>
          <w:sz w:val="24"/>
          <w:szCs w:val="24"/>
        </w:rPr>
        <w:t>"</w:t>
      </w:r>
      <w:r w:rsidRPr="00AC1736">
        <w:rPr>
          <w:sz w:val="24"/>
          <w:szCs w:val="24"/>
        </w:rPr>
        <w:t xml:space="preserve"> til gravide patienter.</w:t>
      </w:r>
    </w:p>
    <w:p w:rsidR="001935D4" w:rsidRPr="00AC1736" w:rsidRDefault="001935D4" w:rsidP="001935D4">
      <w:pPr>
        <w:ind w:left="851"/>
        <w:rPr>
          <w:sz w:val="24"/>
          <w:szCs w:val="24"/>
        </w:rPr>
      </w:pPr>
    </w:p>
    <w:p w:rsidR="001935D4" w:rsidRPr="00AC1736" w:rsidRDefault="001935D4" w:rsidP="001935D4">
      <w:pPr>
        <w:ind w:left="851"/>
        <w:rPr>
          <w:sz w:val="24"/>
          <w:szCs w:val="24"/>
        </w:rPr>
      </w:pPr>
      <w:r w:rsidRPr="00AC1736">
        <w:rPr>
          <w:sz w:val="24"/>
          <w:szCs w:val="24"/>
        </w:rPr>
        <w:t xml:space="preserve">Intravenøs administration frarådes under fødsel (herunder kejsersnit), da </w:t>
      </w:r>
      <w:proofErr w:type="spellStart"/>
      <w:r w:rsidRPr="00AC1736">
        <w:rPr>
          <w:sz w:val="24"/>
          <w:szCs w:val="24"/>
        </w:rPr>
        <w:t>Alfentanil</w:t>
      </w:r>
      <w:proofErr w:type="spellEnd"/>
      <w:r w:rsidRPr="00AC1736">
        <w:rPr>
          <w:sz w:val="24"/>
          <w:szCs w:val="24"/>
        </w:rPr>
        <w:t xml:space="preserve"> </w:t>
      </w:r>
      <w:r>
        <w:rPr>
          <w:sz w:val="24"/>
          <w:szCs w:val="24"/>
        </w:rPr>
        <w:t>"</w:t>
      </w:r>
      <w:proofErr w:type="spellStart"/>
      <w:r>
        <w:rPr>
          <w:sz w:val="24"/>
          <w:szCs w:val="24"/>
        </w:rPr>
        <w:t>Kalceks</w:t>
      </w:r>
      <w:proofErr w:type="spellEnd"/>
      <w:r>
        <w:rPr>
          <w:sz w:val="24"/>
          <w:szCs w:val="24"/>
        </w:rPr>
        <w:t>"</w:t>
      </w:r>
      <w:r w:rsidRPr="00AC1736">
        <w:rPr>
          <w:sz w:val="24"/>
          <w:szCs w:val="24"/>
        </w:rPr>
        <w:t xml:space="preserve"> passerer placenta og kan hæmme spontan respiration umiddelbart efter fødslen. Hvis </w:t>
      </w:r>
      <w:proofErr w:type="spellStart"/>
      <w:r w:rsidRPr="00AC1736">
        <w:rPr>
          <w:sz w:val="24"/>
          <w:szCs w:val="24"/>
        </w:rPr>
        <w:t>Alfentanil</w:t>
      </w:r>
      <w:proofErr w:type="spellEnd"/>
      <w:r w:rsidRPr="00AC1736">
        <w:rPr>
          <w:sz w:val="24"/>
          <w:szCs w:val="24"/>
        </w:rPr>
        <w:t xml:space="preserve"> </w:t>
      </w:r>
      <w:r>
        <w:rPr>
          <w:sz w:val="24"/>
          <w:szCs w:val="24"/>
        </w:rPr>
        <w:t>"</w:t>
      </w:r>
      <w:proofErr w:type="spellStart"/>
      <w:r>
        <w:rPr>
          <w:sz w:val="24"/>
          <w:szCs w:val="24"/>
        </w:rPr>
        <w:t>Kalceks</w:t>
      </w:r>
      <w:proofErr w:type="spellEnd"/>
      <w:r>
        <w:rPr>
          <w:sz w:val="24"/>
          <w:szCs w:val="24"/>
        </w:rPr>
        <w:t>"</w:t>
      </w:r>
      <w:r w:rsidRPr="00AC1736">
        <w:rPr>
          <w:sz w:val="24"/>
          <w:szCs w:val="24"/>
        </w:rPr>
        <w:t xml:space="preserve"> alligevel administreres, skal udstyr til assisteret ventilation være umiddelbart tilgængeligt, hvis der opstår behov hos mor og spædbarn. Der skal altid forefindes en opioidantagonist til barnet. Opioidantagonistens halveringstid kan være kortere end halveringstiden for </w:t>
      </w:r>
      <w:proofErr w:type="spellStart"/>
      <w:r w:rsidRPr="00AC1736">
        <w:rPr>
          <w:sz w:val="24"/>
          <w:szCs w:val="24"/>
        </w:rPr>
        <w:t>alfentanil</w:t>
      </w:r>
      <w:proofErr w:type="spellEnd"/>
      <w:r w:rsidRPr="00AC1736">
        <w:rPr>
          <w:sz w:val="24"/>
          <w:szCs w:val="24"/>
        </w:rPr>
        <w:t>, og det kan være nødvendigt at gentage administration af opioidantagonisten (se pkt. 4.4).</w:t>
      </w:r>
    </w:p>
    <w:p w:rsidR="001935D4" w:rsidRPr="00AC1736" w:rsidRDefault="001935D4" w:rsidP="001935D4">
      <w:pPr>
        <w:ind w:left="851"/>
        <w:rPr>
          <w:sz w:val="24"/>
          <w:szCs w:val="24"/>
        </w:rPr>
      </w:pPr>
    </w:p>
    <w:p w:rsidR="001935D4" w:rsidRPr="00AC1736" w:rsidRDefault="001935D4" w:rsidP="001935D4">
      <w:pPr>
        <w:ind w:left="851"/>
        <w:rPr>
          <w:sz w:val="24"/>
          <w:szCs w:val="24"/>
          <w:u w:val="single"/>
        </w:rPr>
      </w:pPr>
      <w:r w:rsidRPr="00AC1736">
        <w:rPr>
          <w:sz w:val="24"/>
          <w:szCs w:val="24"/>
          <w:u w:val="single"/>
        </w:rPr>
        <w:t>Amning</w:t>
      </w:r>
    </w:p>
    <w:p w:rsidR="001935D4" w:rsidRPr="00AC1736" w:rsidRDefault="001935D4" w:rsidP="001935D4">
      <w:pPr>
        <w:ind w:left="851"/>
        <w:rPr>
          <w:sz w:val="24"/>
          <w:szCs w:val="24"/>
        </w:rPr>
      </w:pPr>
      <w:proofErr w:type="spellStart"/>
      <w:r w:rsidRPr="00AC1736">
        <w:rPr>
          <w:sz w:val="24"/>
          <w:szCs w:val="24"/>
        </w:rPr>
        <w:t>Alfentanil</w:t>
      </w:r>
      <w:proofErr w:type="spellEnd"/>
      <w:r w:rsidRPr="00AC1736">
        <w:rPr>
          <w:sz w:val="24"/>
          <w:szCs w:val="24"/>
        </w:rPr>
        <w:t xml:space="preserve"> udskilles i modermælk. Amning eller brug af </w:t>
      </w:r>
      <w:proofErr w:type="spellStart"/>
      <w:r w:rsidRPr="00AC1736">
        <w:rPr>
          <w:sz w:val="24"/>
          <w:szCs w:val="24"/>
        </w:rPr>
        <w:t>udmalket</w:t>
      </w:r>
      <w:proofErr w:type="spellEnd"/>
      <w:r w:rsidRPr="00AC1736">
        <w:rPr>
          <w:sz w:val="24"/>
          <w:szCs w:val="24"/>
        </w:rPr>
        <w:t xml:space="preserve"> modermælk frarådes derfor de første 24 timer efter administration af </w:t>
      </w:r>
      <w:proofErr w:type="spellStart"/>
      <w:r w:rsidRPr="00AC1736">
        <w:rPr>
          <w:sz w:val="24"/>
          <w:szCs w:val="24"/>
        </w:rPr>
        <w:t>alfentanil</w:t>
      </w:r>
      <w:proofErr w:type="spellEnd"/>
      <w:r w:rsidRPr="00AC1736">
        <w:rPr>
          <w:sz w:val="24"/>
          <w:szCs w:val="24"/>
        </w:rPr>
        <w:t>.</w:t>
      </w:r>
    </w:p>
    <w:p w:rsidR="001935D4" w:rsidRPr="00AC1736" w:rsidRDefault="001935D4" w:rsidP="001935D4">
      <w:pPr>
        <w:ind w:left="851"/>
        <w:rPr>
          <w:sz w:val="24"/>
          <w:szCs w:val="24"/>
        </w:rPr>
      </w:pPr>
    </w:p>
    <w:p w:rsidR="001935D4" w:rsidRPr="00AC1736" w:rsidRDefault="001935D4" w:rsidP="001935D4">
      <w:pPr>
        <w:ind w:left="851"/>
        <w:rPr>
          <w:sz w:val="24"/>
          <w:szCs w:val="24"/>
          <w:u w:val="single"/>
        </w:rPr>
      </w:pPr>
      <w:r w:rsidRPr="00AC1736">
        <w:rPr>
          <w:sz w:val="24"/>
          <w:szCs w:val="24"/>
          <w:u w:val="single"/>
        </w:rPr>
        <w:t>Fertilitet</w:t>
      </w:r>
    </w:p>
    <w:p w:rsidR="001935D4" w:rsidRPr="00AC1736" w:rsidRDefault="001935D4" w:rsidP="001935D4">
      <w:pPr>
        <w:autoSpaceDE w:val="0"/>
        <w:autoSpaceDN w:val="0"/>
        <w:adjustRightInd w:val="0"/>
        <w:ind w:left="851"/>
        <w:rPr>
          <w:sz w:val="24"/>
          <w:szCs w:val="24"/>
        </w:rPr>
      </w:pPr>
      <w:r w:rsidRPr="00AC1736">
        <w:rPr>
          <w:sz w:val="24"/>
          <w:szCs w:val="24"/>
        </w:rPr>
        <w:t xml:space="preserve">Der foreligger begrænsede humandata om </w:t>
      </w:r>
      <w:proofErr w:type="spellStart"/>
      <w:r w:rsidRPr="00AC1736">
        <w:rPr>
          <w:sz w:val="24"/>
          <w:szCs w:val="24"/>
        </w:rPr>
        <w:t>alfentanils</w:t>
      </w:r>
      <w:proofErr w:type="spellEnd"/>
      <w:r w:rsidRPr="00AC1736">
        <w:rPr>
          <w:sz w:val="24"/>
          <w:szCs w:val="24"/>
        </w:rPr>
        <w:t xml:space="preserve"> virkning på fertilitet hos mænd og kvinder. Dyreforsøg indikerer ikke direkte skadelige virkninger på fertiliteten (se pkt. 5.3).</w:t>
      </w:r>
    </w:p>
    <w:p w:rsidR="001935D4" w:rsidRPr="00AC1736" w:rsidRDefault="001935D4" w:rsidP="00043ACC">
      <w:pPr>
        <w:tabs>
          <w:tab w:val="left" w:pos="851"/>
        </w:tabs>
        <w:ind w:left="851"/>
        <w:rPr>
          <w:sz w:val="24"/>
          <w:szCs w:val="24"/>
        </w:rPr>
      </w:pPr>
    </w:p>
    <w:p w:rsidR="0029198B" w:rsidRPr="00C84483" w:rsidRDefault="0029198B" w:rsidP="0029198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1935D4" w:rsidRDefault="001935D4" w:rsidP="001935D4">
      <w:pPr>
        <w:ind w:left="851"/>
        <w:rPr>
          <w:sz w:val="24"/>
          <w:szCs w:val="24"/>
        </w:rPr>
      </w:pPr>
      <w:r>
        <w:rPr>
          <w:sz w:val="24"/>
          <w:szCs w:val="24"/>
        </w:rPr>
        <w:t>Ikke mærkning.</w:t>
      </w:r>
    </w:p>
    <w:p w:rsidR="001935D4" w:rsidRPr="00AC1736" w:rsidRDefault="001935D4" w:rsidP="001935D4">
      <w:pPr>
        <w:ind w:left="851"/>
        <w:rPr>
          <w:sz w:val="24"/>
          <w:szCs w:val="24"/>
          <w:lang w:eastAsia="da-DK"/>
        </w:rPr>
      </w:pPr>
      <w:proofErr w:type="spellStart"/>
      <w:r w:rsidRPr="00AC1736">
        <w:rPr>
          <w:sz w:val="24"/>
          <w:szCs w:val="24"/>
        </w:rPr>
        <w:t>Alfentanil</w:t>
      </w:r>
      <w:proofErr w:type="spellEnd"/>
      <w:r w:rsidRPr="00AC1736">
        <w:rPr>
          <w:sz w:val="24"/>
          <w:szCs w:val="24"/>
        </w:rPr>
        <w:t xml:space="preserve"> påvirker i væsentlig grad evnen til at føre motorkøretøj og betjene maskiner.</w:t>
      </w:r>
    </w:p>
    <w:p w:rsidR="001935D4" w:rsidRPr="00AC1736" w:rsidRDefault="001935D4" w:rsidP="001935D4">
      <w:pPr>
        <w:ind w:left="851"/>
        <w:rPr>
          <w:bCs/>
          <w:sz w:val="24"/>
          <w:szCs w:val="24"/>
        </w:rPr>
      </w:pPr>
      <w:r w:rsidRPr="00AC1736">
        <w:rPr>
          <w:sz w:val="24"/>
          <w:szCs w:val="24"/>
        </w:rPr>
        <w:t xml:space="preserve">Patienten frarådes at føre motorkøretøj eller betjene maskiner i mindst 24 timer efter administration af </w:t>
      </w:r>
      <w:proofErr w:type="spellStart"/>
      <w:r w:rsidRPr="00AC1736">
        <w:rPr>
          <w:sz w:val="24"/>
          <w:szCs w:val="24"/>
        </w:rPr>
        <w:t>alfentanil</w:t>
      </w:r>
      <w:proofErr w:type="spellEnd"/>
      <w:r w:rsidRPr="00AC1736">
        <w:rPr>
          <w:sz w:val="24"/>
          <w:szCs w:val="24"/>
        </w:rPr>
        <w:t>.</w:t>
      </w:r>
    </w:p>
    <w:p w:rsidR="001935D4" w:rsidRPr="00AC1736" w:rsidRDefault="001935D4" w:rsidP="00043ACC">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4.8</w:t>
      </w:r>
      <w:r w:rsidRPr="00AC1736">
        <w:rPr>
          <w:b/>
          <w:sz w:val="24"/>
          <w:szCs w:val="24"/>
        </w:rPr>
        <w:tab/>
        <w:t>Bivirkninger</w:t>
      </w:r>
    </w:p>
    <w:p w:rsidR="001935D4" w:rsidRPr="00AC1736" w:rsidRDefault="001935D4" w:rsidP="001935D4">
      <w:pPr>
        <w:ind w:left="851"/>
        <w:rPr>
          <w:sz w:val="24"/>
          <w:szCs w:val="24"/>
          <w:lang w:eastAsia="da-DK"/>
        </w:rPr>
      </w:pPr>
      <w:proofErr w:type="spellStart"/>
      <w:r w:rsidRPr="00AC1736">
        <w:rPr>
          <w:sz w:val="24"/>
          <w:szCs w:val="24"/>
        </w:rPr>
        <w:t>Alfentanils</w:t>
      </w:r>
      <w:proofErr w:type="spellEnd"/>
      <w:r w:rsidRPr="00AC1736">
        <w:rPr>
          <w:sz w:val="24"/>
          <w:szCs w:val="24"/>
        </w:rPr>
        <w:t xml:space="preserve"> sikkerhed blev evalueret hos 1157 personer, der deltog i 18 kliniske forsøg. </w:t>
      </w:r>
      <w:proofErr w:type="spellStart"/>
      <w:r w:rsidRPr="00AC1736">
        <w:rPr>
          <w:sz w:val="24"/>
          <w:szCs w:val="24"/>
        </w:rPr>
        <w:t>Alfentanil</w:t>
      </w:r>
      <w:proofErr w:type="spellEnd"/>
      <w:r w:rsidRPr="00AC1736">
        <w:rPr>
          <w:sz w:val="24"/>
          <w:szCs w:val="24"/>
        </w:rPr>
        <w:t xml:space="preserve"> blev administreret til induktion af anæstesi eller som analgetisk/anæstetisk </w:t>
      </w:r>
      <w:proofErr w:type="spellStart"/>
      <w:r w:rsidRPr="00AC1736">
        <w:rPr>
          <w:sz w:val="24"/>
          <w:szCs w:val="24"/>
        </w:rPr>
        <w:t>adjuvans</w:t>
      </w:r>
      <w:proofErr w:type="spellEnd"/>
      <w:r w:rsidRPr="00AC1736">
        <w:rPr>
          <w:sz w:val="24"/>
          <w:szCs w:val="24"/>
        </w:rPr>
        <w:t xml:space="preserve"> til lokal eller generel anæstesi under kortvarige, mellemlange og langvarige operationer. Disse personer fik mindst én dosis af </w:t>
      </w:r>
      <w:proofErr w:type="spellStart"/>
      <w:r w:rsidRPr="00AC1736">
        <w:rPr>
          <w:sz w:val="24"/>
          <w:szCs w:val="24"/>
        </w:rPr>
        <w:t>alfentanil</w:t>
      </w:r>
      <w:proofErr w:type="spellEnd"/>
      <w:r w:rsidRPr="00AC1736">
        <w:rPr>
          <w:sz w:val="24"/>
          <w:szCs w:val="24"/>
        </w:rPr>
        <w:t xml:space="preserve"> og tilvejebragte sikkerhedsdata.</w:t>
      </w:r>
    </w:p>
    <w:p w:rsidR="001935D4" w:rsidRPr="00AC1736" w:rsidRDefault="001935D4" w:rsidP="001935D4">
      <w:pPr>
        <w:ind w:left="851"/>
        <w:rPr>
          <w:sz w:val="24"/>
          <w:szCs w:val="24"/>
        </w:rPr>
      </w:pPr>
    </w:p>
    <w:p w:rsidR="001935D4" w:rsidRPr="00AC1736" w:rsidRDefault="001935D4" w:rsidP="001935D4">
      <w:pPr>
        <w:ind w:left="851"/>
        <w:rPr>
          <w:sz w:val="24"/>
          <w:szCs w:val="24"/>
        </w:rPr>
      </w:pPr>
      <w:r w:rsidRPr="00AC1736">
        <w:rPr>
          <w:sz w:val="24"/>
          <w:szCs w:val="24"/>
        </w:rPr>
        <w:t>Baseret på samlede sikkerhedsdata fra disse kliniske forsøg var de mest almindeligt rapporterede bivirkninger (</w:t>
      </w:r>
      <w:r w:rsidRPr="00AC1736">
        <w:rPr>
          <w:sz w:val="24"/>
          <w:szCs w:val="24"/>
        </w:rPr>
        <w:sym w:font="Symbol" w:char="F0B3"/>
      </w:r>
      <w:r w:rsidRPr="00AC1736">
        <w:rPr>
          <w:sz w:val="24"/>
          <w:szCs w:val="24"/>
        </w:rPr>
        <w:t>5</w:t>
      </w:r>
      <w:r>
        <w:rPr>
          <w:sz w:val="24"/>
          <w:szCs w:val="24"/>
        </w:rPr>
        <w:t xml:space="preserve"> %</w:t>
      </w:r>
      <w:r w:rsidRPr="00AC1736">
        <w:rPr>
          <w:sz w:val="24"/>
          <w:szCs w:val="24"/>
        </w:rPr>
        <w:t xml:space="preserve"> </w:t>
      </w:r>
      <w:proofErr w:type="spellStart"/>
      <w:r w:rsidRPr="00AC1736">
        <w:rPr>
          <w:sz w:val="24"/>
          <w:szCs w:val="24"/>
        </w:rPr>
        <w:t>incidens</w:t>
      </w:r>
      <w:proofErr w:type="spellEnd"/>
      <w:r w:rsidRPr="00AC1736">
        <w:rPr>
          <w:sz w:val="24"/>
          <w:szCs w:val="24"/>
        </w:rPr>
        <w:t>) (med</w:t>
      </w:r>
      <w:r>
        <w:rPr>
          <w:sz w:val="24"/>
          <w:szCs w:val="24"/>
        </w:rPr>
        <w:t xml:space="preserve"> %</w:t>
      </w:r>
      <w:r w:rsidRPr="00AC1736">
        <w:rPr>
          <w:sz w:val="24"/>
          <w:szCs w:val="24"/>
        </w:rPr>
        <w:t xml:space="preserve"> </w:t>
      </w:r>
      <w:proofErr w:type="spellStart"/>
      <w:r w:rsidRPr="00AC1736">
        <w:rPr>
          <w:sz w:val="24"/>
          <w:szCs w:val="24"/>
        </w:rPr>
        <w:t>incidens</w:t>
      </w:r>
      <w:proofErr w:type="spellEnd"/>
      <w:r w:rsidRPr="00AC1736">
        <w:rPr>
          <w:sz w:val="24"/>
          <w:szCs w:val="24"/>
        </w:rPr>
        <w:t xml:space="preserve">): </w:t>
      </w:r>
      <w:r w:rsidR="00974F8D">
        <w:rPr>
          <w:sz w:val="24"/>
          <w:szCs w:val="24"/>
        </w:rPr>
        <w:t>K</w:t>
      </w:r>
      <w:r w:rsidRPr="00AC1736">
        <w:rPr>
          <w:sz w:val="24"/>
          <w:szCs w:val="24"/>
        </w:rPr>
        <w:t>valme (17,0), opkastning (14,0), apnø (8,6), bevægelsesforstyrrelser (7,9) og bradykardi (5,4).</w:t>
      </w:r>
    </w:p>
    <w:p w:rsidR="001935D4" w:rsidRPr="00AC1736" w:rsidRDefault="001935D4" w:rsidP="001935D4">
      <w:pPr>
        <w:ind w:left="851"/>
        <w:rPr>
          <w:sz w:val="24"/>
          <w:szCs w:val="24"/>
        </w:rPr>
      </w:pPr>
    </w:p>
    <w:p w:rsidR="001935D4" w:rsidRPr="00AC1736" w:rsidRDefault="001935D4" w:rsidP="001935D4">
      <w:pPr>
        <w:ind w:left="851"/>
        <w:rPr>
          <w:sz w:val="24"/>
          <w:szCs w:val="24"/>
        </w:rPr>
      </w:pPr>
      <w:r w:rsidRPr="00AC1736">
        <w:rPr>
          <w:sz w:val="24"/>
          <w:szCs w:val="24"/>
        </w:rPr>
        <w:t xml:space="preserve">Den følgende tabel viser bivirkninger ved brug af </w:t>
      </w:r>
      <w:proofErr w:type="spellStart"/>
      <w:r w:rsidRPr="00AC1736">
        <w:rPr>
          <w:sz w:val="24"/>
          <w:szCs w:val="24"/>
        </w:rPr>
        <w:t>alfentanil</w:t>
      </w:r>
      <w:proofErr w:type="spellEnd"/>
      <w:r w:rsidRPr="00AC1736">
        <w:rPr>
          <w:sz w:val="24"/>
          <w:szCs w:val="24"/>
        </w:rPr>
        <w:t xml:space="preserve"> rapporteret enten i kliniske forsøg eller fra postmarketing anvendelse.</w:t>
      </w:r>
    </w:p>
    <w:p w:rsidR="001935D4" w:rsidRPr="00AC1736" w:rsidRDefault="001935D4" w:rsidP="001935D4">
      <w:pPr>
        <w:ind w:left="851"/>
        <w:rPr>
          <w:sz w:val="24"/>
          <w:szCs w:val="24"/>
          <w:lang w:val="ru-RU"/>
        </w:rPr>
      </w:pPr>
    </w:p>
    <w:p w:rsidR="001935D4" w:rsidRPr="00AC1736" w:rsidRDefault="001935D4" w:rsidP="001935D4">
      <w:pPr>
        <w:tabs>
          <w:tab w:val="left" w:pos="851"/>
        </w:tabs>
        <w:ind w:left="851" w:hanging="851"/>
        <w:rPr>
          <w:b/>
          <w:sz w:val="24"/>
          <w:szCs w:val="24"/>
        </w:rPr>
      </w:pPr>
      <w:r w:rsidRPr="00AC1736">
        <w:rPr>
          <w:b/>
          <w:sz w:val="24"/>
          <w:szCs w:val="24"/>
        </w:rPr>
        <w:t>Tabel 2</w:t>
      </w:r>
      <w:r w:rsidRPr="00AC1736">
        <w:rPr>
          <w:b/>
          <w:sz w:val="24"/>
          <w:szCs w:val="24"/>
        </w:rPr>
        <w:tab/>
        <w:t>Bivirkninger</w:t>
      </w:r>
    </w:p>
    <w:p w:rsidR="001935D4" w:rsidRPr="00AC1736" w:rsidRDefault="001935D4" w:rsidP="001935D4">
      <w:pPr>
        <w:ind w:left="851" w:hanging="851"/>
        <w:rPr>
          <w:rFonts w:eastAsia="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7"/>
        <w:gridCol w:w="4521"/>
      </w:tblGrid>
      <w:tr w:rsidR="001935D4" w:rsidRPr="00EC5432" w:rsidTr="00453A00">
        <w:trPr>
          <w:trHeight w:val="146"/>
        </w:trPr>
        <w:tc>
          <w:tcPr>
            <w:tcW w:w="2652" w:type="pct"/>
            <w:tcBorders>
              <w:top w:val="single" w:sz="4" w:space="0" w:color="auto"/>
              <w:left w:val="single" w:sz="4" w:space="0" w:color="auto"/>
              <w:bottom w:val="single" w:sz="4" w:space="0" w:color="auto"/>
              <w:right w:val="single" w:sz="4" w:space="0" w:color="auto"/>
            </w:tcBorders>
            <w:hideMark/>
          </w:tcPr>
          <w:p w:rsidR="001935D4" w:rsidRPr="00EC5432" w:rsidRDefault="001935D4" w:rsidP="00453A00">
            <w:pPr>
              <w:rPr>
                <w:i/>
                <w:sz w:val="24"/>
                <w:szCs w:val="24"/>
              </w:rPr>
            </w:pPr>
            <w:r w:rsidRPr="00EC5432">
              <w:rPr>
                <w:i/>
                <w:sz w:val="24"/>
                <w:szCs w:val="24"/>
              </w:rPr>
              <w:t>Immunsystemet</w:t>
            </w:r>
          </w:p>
          <w:p w:rsidR="001935D4" w:rsidRPr="00EC5432" w:rsidRDefault="001935D4" w:rsidP="00453A00">
            <w:pPr>
              <w:rPr>
                <w:b/>
                <w:sz w:val="24"/>
                <w:szCs w:val="24"/>
              </w:rPr>
            </w:pPr>
            <w:r w:rsidRPr="00EC5432">
              <w:rPr>
                <w:sz w:val="24"/>
                <w:szCs w:val="24"/>
              </w:rPr>
              <w:t>Hyppigheden er ikke kendt (hyppigheden kan ikke vurderes ud fra tilgængelige data).</w:t>
            </w:r>
          </w:p>
        </w:tc>
        <w:tc>
          <w:tcPr>
            <w:tcW w:w="2348"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 xml:space="preserve">Allergiske reaktioner (såsom anafylaksi, </w:t>
            </w:r>
            <w:proofErr w:type="spellStart"/>
            <w:r w:rsidRPr="00EC5432">
              <w:rPr>
                <w:sz w:val="24"/>
                <w:szCs w:val="24"/>
              </w:rPr>
              <w:t>anafylaktoid</w:t>
            </w:r>
            <w:proofErr w:type="spellEnd"/>
            <w:r w:rsidRPr="00EC5432">
              <w:rPr>
                <w:sz w:val="24"/>
                <w:szCs w:val="24"/>
              </w:rPr>
              <w:t xml:space="preserve"> reaktion, </w:t>
            </w:r>
            <w:proofErr w:type="spellStart"/>
            <w:r w:rsidRPr="00EC5432">
              <w:rPr>
                <w:sz w:val="24"/>
                <w:szCs w:val="24"/>
              </w:rPr>
              <w:t>urtikaria</w:t>
            </w:r>
            <w:proofErr w:type="spellEnd"/>
            <w:r w:rsidRPr="00EC5432">
              <w:rPr>
                <w:sz w:val="24"/>
                <w:szCs w:val="24"/>
              </w:rPr>
              <w:t>)</w:t>
            </w:r>
          </w:p>
        </w:tc>
      </w:tr>
      <w:tr w:rsidR="001935D4" w:rsidRPr="00EC5432" w:rsidTr="00453A00">
        <w:trPr>
          <w:trHeight w:val="146"/>
        </w:trPr>
        <w:tc>
          <w:tcPr>
            <w:tcW w:w="2652"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i/>
                <w:sz w:val="24"/>
                <w:szCs w:val="24"/>
              </w:rPr>
            </w:pPr>
            <w:r w:rsidRPr="00EC5432">
              <w:rPr>
                <w:i/>
                <w:sz w:val="24"/>
                <w:szCs w:val="24"/>
              </w:rPr>
              <w:t>Psykiske forstyrrelser</w:t>
            </w:r>
          </w:p>
          <w:p w:rsidR="001935D4" w:rsidRPr="00EC5432" w:rsidRDefault="001935D4" w:rsidP="00453A00">
            <w:pPr>
              <w:rPr>
                <w:sz w:val="24"/>
                <w:szCs w:val="24"/>
              </w:rPr>
            </w:pPr>
            <w:r w:rsidRPr="00EC5432">
              <w:rPr>
                <w:sz w:val="24"/>
                <w:szCs w:val="24"/>
              </w:rPr>
              <w:t>Almindelig (≥1/100 til &lt;1/10)</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Sjælden (</w:t>
            </w:r>
            <w:r w:rsidRPr="00EC5432">
              <w:rPr>
                <w:sz w:val="24"/>
                <w:szCs w:val="24"/>
              </w:rPr>
              <w:sym w:font="Symbol" w:char="F0B3"/>
            </w:r>
            <w:r w:rsidRPr="00EC5432">
              <w:rPr>
                <w:sz w:val="24"/>
                <w:szCs w:val="24"/>
              </w:rPr>
              <w:t>1/10.000 til &lt;/1.000)</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Hyppigheden er ikke kendt (hyppigheden kan ikke vurderes ud fra tilgængelige data).</w:t>
            </w:r>
          </w:p>
          <w:p w:rsidR="001935D4" w:rsidRPr="00EC5432" w:rsidRDefault="001935D4" w:rsidP="00453A00">
            <w:pPr>
              <w:rPr>
                <w:b/>
                <w:sz w:val="24"/>
                <w:szCs w:val="24"/>
              </w:rPr>
            </w:pPr>
          </w:p>
        </w:tc>
        <w:tc>
          <w:tcPr>
            <w:tcW w:w="2348"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Eufori</w:t>
            </w:r>
          </w:p>
          <w:p w:rsidR="001935D4" w:rsidRPr="00EC5432" w:rsidRDefault="001935D4" w:rsidP="00453A00">
            <w:pPr>
              <w:rPr>
                <w:sz w:val="24"/>
                <w:szCs w:val="24"/>
                <w:lang w:val="en-GB"/>
              </w:rPr>
            </w:pPr>
          </w:p>
          <w:p w:rsidR="001935D4" w:rsidRPr="00EC5432" w:rsidRDefault="001935D4" w:rsidP="00453A00">
            <w:pPr>
              <w:rPr>
                <w:sz w:val="24"/>
                <w:szCs w:val="24"/>
              </w:rPr>
            </w:pPr>
            <w:r w:rsidRPr="00EC5432">
              <w:rPr>
                <w:sz w:val="24"/>
                <w:szCs w:val="24"/>
              </w:rPr>
              <w:t>Agitation, gråd</w:t>
            </w:r>
          </w:p>
          <w:p w:rsidR="001935D4" w:rsidRPr="00EC5432" w:rsidRDefault="001935D4" w:rsidP="00453A00">
            <w:pPr>
              <w:rPr>
                <w:sz w:val="24"/>
                <w:szCs w:val="24"/>
                <w:lang w:val="en-GB"/>
              </w:rPr>
            </w:pPr>
          </w:p>
          <w:p w:rsidR="001935D4" w:rsidRPr="00EC5432" w:rsidRDefault="001935D4" w:rsidP="00453A00">
            <w:pPr>
              <w:rPr>
                <w:sz w:val="24"/>
                <w:szCs w:val="24"/>
              </w:rPr>
            </w:pPr>
            <w:r w:rsidRPr="00EC5432">
              <w:rPr>
                <w:sz w:val="24"/>
                <w:szCs w:val="24"/>
              </w:rPr>
              <w:t>Desorientering</w:t>
            </w:r>
          </w:p>
        </w:tc>
      </w:tr>
      <w:tr w:rsidR="001935D4" w:rsidRPr="00EC5432" w:rsidTr="00453A00">
        <w:trPr>
          <w:trHeight w:val="533"/>
        </w:trPr>
        <w:tc>
          <w:tcPr>
            <w:tcW w:w="2652"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bCs/>
                <w:i/>
                <w:sz w:val="24"/>
                <w:szCs w:val="24"/>
              </w:rPr>
            </w:pPr>
            <w:r w:rsidRPr="00EC5432">
              <w:rPr>
                <w:i/>
                <w:sz w:val="24"/>
                <w:szCs w:val="24"/>
              </w:rPr>
              <w:t>Nervesystemet</w:t>
            </w:r>
          </w:p>
          <w:p w:rsidR="001935D4" w:rsidRPr="00EC5432" w:rsidRDefault="001935D4" w:rsidP="00453A00">
            <w:pPr>
              <w:rPr>
                <w:b/>
                <w:bCs/>
                <w:sz w:val="24"/>
                <w:szCs w:val="24"/>
              </w:rPr>
            </w:pPr>
            <w:r w:rsidRPr="00EC5432">
              <w:rPr>
                <w:sz w:val="24"/>
                <w:szCs w:val="24"/>
              </w:rPr>
              <w:t>Almindelig (≥1/100 til &lt;1/10)</w:t>
            </w:r>
          </w:p>
          <w:p w:rsidR="001935D4" w:rsidRPr="00EC5432" w:rsidRDefault="001935D4" w:rsidP="00453A00">
            <w:pPr>
              <w:rPr>
                <w:sz w:val="24"/>
                <w:szCs w:val="24"/>
              </w:rPr>
            </w:pP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Ikke almindelig (≥1/1.000 til &lt;1/100)</w:t>
            </w:r>
          </w:p>
          <w:p w:rsidR="001935D4" w:rsidRPr="00EC5432" w:rsidRDefault="001935D4" w:rsidP="00453A00">
            <w:pPr>
              <w:rPr>
                <w:bCs/>
                <w:sz w:val="24"/>
                <w:szCs w:val="24"/>
              </w:rPr>
            </w:pPr>
          </w:p>
          <w:p w:rsidR="001935D4" w:rsidRPr="00EC5432" w:rsidRDefault="001935D4" w:rsidP="00453A00">
            <w:pPr>
              <w:rPr>
                <w:bCs/>
                <w:sz w:val="24"/>
                <w:szCs w:val="24"/>
              </w:rPr>
            </w:pPr>
          </w:p>
          <w:p w:rsidR="001935D4" w:rsidRPr="00EC5432" w:rsidRDefault="001935D4" w:rsidP="00453A00">
            <w:pPr>
              <w:rPr>
                <w:b/>
                <w:bCs/>
                <w:sz w:val="24"/>
                <w:szCs w:val="24"/>
              </w:rPr>
            </w:pPr>
            <w:r w:rsidRPr="00EC5432">
              <w:rPr>
                <w:sz w:val="24"/>
                <w:szCs w:val="24"/>
              </w:rPr>
              <w:t>Hyppigheden er ikke kendt (hyppigheden kan ikke vurderes ud fra tilgængelige data).</w:t>
            </w:r>
          </w:p>
        </w:tc>
        <w:tc>
          <w:tcPr>
            <w:tcW w:w="2348"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 xml:space="preserve">Bevægelsesforstyrrelser, svimmelhed, døsighed, </w:t>
            </w:r>
            <w:proofErr w:type="spellStart"/>
            <w:r w:rsidRPr="00EC5432">
              <w:rPr>
                <w:sz w:val="24"/>
                <w:szCs w:val="24"/>
              </w:rPr>
              <w:t>dyskinesi</w:t>
            </w:r>
            <w:proofErr w:type="spellEnd"/>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 xml:space="preserve">Hovedpine, </w:t>
            </w:r>
            <w:proofErr w:type="spellStart"/>
            <w:r w:rsidRPr="00EC5432">
              <w:rPr>
                <w:sz w:val="24"/>
                <w:szCs w:val="24"/>
              </w:rPr>
              <w:t>somnolens</w:t>
            </w:r>
            <w:proofErr w:type="spellEnd"/>
            <w:r w:rsidRPr="00EC5432">
              <w:rPr>
                <w:sz w:val="24"/>
                <w:szCs w:val="24"/>
              </w:rPr>
              <w:t>, reagerer ikke på stimuli</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 xml:space="preserve">Bevidstløshed (under postoperativt </w:t>
            </w:r>
            <w:proofErr w:type="spellStart"/>
            <w:r w:rsidRPr="00EC5432">
              <w:rPr>
                <w:sz w:val="24"/>
                <w:szCs w:val="24"/>
              </w:rPr>
              <w:t>tidsrume</w:t>
            </w:r>
            <w:proofErr w:type="spellEnd"/>
            <w:r w:rsidRPr="00EC5432">
              <w:rPr>
                <w:sz w:val="24"/>
                <w:szCs w:val="24"/>
              </w:rPr>
              <w:t xml:space="preserve">), kramper, </w:t>
            </w:r>
            <w:proofErr w:type="spellStart"/>
            <w:r w:rsidRPr="00EC5432">
              <w:rPr>
                <w:sz w:val="24"/>
                <w:szCs w:val="24"/>
              </w:rPr>
              <w:t>myoclonus</w:t>
            </w:r>
            <w:proofErr w:type="spellEnd"/>
          </w:p>
        </w:tc>
      </w:tr>
      <w:tr w:rsidR="001935D4" w:rsidRPr="00EC5432" w:rsidTr="00453A00">
        <w:trPr>
          <w:trHeight w:val="533"/>
        </w:trPr>
        <w:tc>
          <w:tcPr>
            <w:tcW w:w="2652"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i/>
                <w:sz w:val="24"/>
                <w:szCs w:val="24"/>
              </w:rPr>
            </w:pPr>
            <w:r w:rsidRPr="00EC5432">
              <w:rPr>
                <w:i/>
                <w:sz w:val="24"/>
                <w:szCs w:val="24"/>
              </w:rPr>
              <w:t>Øjne</w:t>
            </w:r>
          </w:p>
          <w:p w:rsidR="001935D4" w:rsidRPr="00EC5432" w:rsidRDefault="001935D4" w:rsidP="00453A00">
            <w:pPr>
              <w:rPr>
                <w:b/>
                <w:bCs/>
                <w:sz w:val="24"/>
                <w:szCs w:val="24"/>
              </w:rPr>
            </w:pPr>
            <w:r w:rsidRPr="00EC5432">
              <w:rPr>
                <w:sz w:val="24"/>
                <w:szCs w:val="24"/>
              </w:rPr>
              <w:t>Almindelig (≥1/100 til &lt;1/10)</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Hyppigheden er ikke kendt (hyppigheden kan ikke vurderes ud fra tilgængelige data).</w:t>
            </w:r>
          </w:p>
          <w:p w:rsidR="001935D4" w:rsidRPr="00EC5432" w:rsidRDefault="001935D4" w:rsidP="00453A00">
            <w:pPr>
              <w:rPr>
                <w:sz w:val="24"/>
                <w:szCs w:val="24"/>
              </w:rPr>
            </w:pPr>
          </w:p>
        </w:tc>
        <w:tc>
          <w:tcPr>
            <w:tcW w:w="2348"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Synsforstyrrelser</w:t>
            </w:r>
          </w:p>
          <w:p w:rsidR="001935D4" w:rsidRPr="00EC5432" w:rsidRDefault="001935D4" w:rsidP="00453A00">
            <w:pPr>
              <w:rPr>
                <w:sz w:val="24"/>
                <w:szCs w:val="24"/>
                <w:lang w:val="en-GB"/>
              </w:rPr>
            </w:pPr>
          </w:p>
          <w:p w:rsidR="001935D4" w:rsidRPr="00EC5432" w:rsidRDefault="001935D4" w:rsidP="00453A00">
            <w:pPr>
              <w:rPr>
                <w:sz w:val="24"/>
                <w:szCs w:val="24"/>
              </w:rPr>
            </w:pPr>
            <w:r w:rsidRPr="00EC5432">
              <w:rPr>
                <w:sz w:val="24"/>
                <w:szCs w:val="24"/>
              </w:rPr>
              <w:t>Pupilforsnævring</w:t>
            </w:r>
          </w:p>
        </w:tc>
      </w:tr>
      <w:tr w:rsidR="001935D4" w:rsidRPr="00EC5432" w:rsidTr="00453A00">
        <w:trPr>
          <w:trHeight w:val="533"/>
        </w:trPr>
        <w:tc>
          <w:tcPr>
            <w:tcW w:w="2652"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bCs/>
                <w:i/>
                <w:sz w:val="24"/>
                <w:szCs w:val="24"/>
              </w:rPr>
            </w:pPr>
            <w:r w:rsidRPr="00EC5432">
              <w:rPr>
                <w:i/>
                <w:sz w:val="24"/>
                <w:szCs w:val="24"/>
              </w:rPr>
              <w:t>Hjerte</w:t>
            </w:r>
          </w:p>
          <w:p w:rsidR="001935D4" w:rsidRPr="00EC5432" w:rsidRDefault="001935D4" w:rsidP="00453A00">
            <w:pPr>
              <w:rPr>
                <w:b/>
                <w:bCs/>
                <w:sz w:val="24"/>
                <w:szCs w:val="24"/>
              </w:rPr>
            </w:pPr>
            <w:r w:rsidRPr="00EC5432">
              <w:rPr>
                <w:sz w:val="24"/>
                <w:szCs w:val="24"/>
              </w:rPr>
              <w:t>Almindelig (≥1/100 til &lt;1/10)</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Ikke almindelig (≥1/1.000 til &lt;1/100)</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Hyppigheden er ikke kendt (hyppigheden kan ikke vurderes ud fra tilgængelige data).</w:t>
            </w:r>
          </w:p>
          <w:p w:rsidR="001935D4" w:rsidRPr="00EC5432" w:rsidRDefault="001935D4" w:rsidP="00453A00">
            <w:pPr>
              <w:rPr>
                <w:bCs/>
                <w:sz w:val="24"/>
                <w:szCs w:val="24"/>
              </w:rPr>
            </w:pPr>
          </w:p>
        </w:tc>
        <w:tc>
          <w:tcPr>
            <w:tcW w:w="2348"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 xml:space="preserve">Bradykardi, </w:t>
            </w:r>
            <w:proofErr w:type="spellStart"/>
            <w:r w:rsidRPr="00EC5432">
              <w:rPr>
                <w:sz w:val="24"/>
                <w:szCs w:val="24"/>
              </w:rPr>
              <w:t>takykardi</w:t>
            </w:r>
            <w:proofErr w:type="spellEnd"/>
          </w:p>
          <w:p w:rsidR="001935D4" w:rsidRPr="00EC5432" w:rsidRDefault="001935D4" w:rsidP="00453A00">
            <w:pPr>
              <w:rPr>
                <w:sz w:val="24"/>
                <w:szCs w:val="24"/>
              </w:rPr>
            </w:pPr>
          </w:p>
          <w:p w:rsidR="001935D4" w:rsidRPr="00EC5432" w:rsidRDefault="001935D4" w:rsidP="00453A00">
            <w:pPr>
              <w:rPr>
                <w:sz w:val="24"/>
                <w:szCs w:val="24"/>
              </w:rPr>
            </w:pPr>
            <w:proofErr w:type="spellStart"/>
            <w:r w:rsidRPr="00EC5432">
              <w:rPr>
                <w:sz w:val="24"/>
                <w:szCs w:val="24"/>
              </w:rPr>
              <w:t>Arytmi</w:t>
            </w:r>
            <w:proofErr w:type="spellEnd"/>
            <w:r w:rsidRPr="00EC5432">
              <w:rPr>
                <w:sz w:val="24"/>
                <w:szCs w:val="24"/>
              </w:rPr>
              <w:t>, nedsat hjertefrekvens</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Hjertestop</w:t>
            </w:r>
          </w:p>
        </w:tc>
      </w:tr>
      <w:tr w:rsidR="001935D4" w:rsidRPr="00EC5432" w:rsidTr="00453A00">
        <w:trPr>
          <w:trHeight w:val="273"/>
        </w:trPr>
        <w:tc>
          <w:tcPr>
            <w:tcW w:w="2652"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i/>
                <w:sz w:val="24"/>
                <w:szCs w:val="24"/>
              </w:rPr>
            </w:pPr>
            <w:proofErr w:type="spellStart"/>
            <w:r w:rsidRPr="00EC5432">
              <w:rPr>
                <w:i/>
                <w:sz w:val="24"/>
                <w:szCs w:val="24"/>
              </w:rPr>
              <w:t>Vaskulære</w:t>
            </w:r>
            <w:proofErr w:type="spellEnd"/>
            <w:r w:rsidRPr="00EC5432">
              <w:rPr>
                <w:i/>
                <w:sz w:val="24"/>
                <w:szCs w:val="24"/>
              </w:rPr>
              <w:t xml:space="preserve"> sygdomme</w:t>
            </w:r>
          </w:p>
          <w:p w:rsidR="001935D4" w:rsidRPr="00EC5432" w:rsidRDefault="001935D4" w:rsidP="00453A00">
            <w:pPr>
              <w:rPr>
                <w:b/>
                <w:bCs/>
                <w:sz w:val="24"/>
                <w:szCs w:val="24"/>
              </w:rPr>
            </w:pPr>
            <w:r w:rsidRPr="00EC5432">
              <w:rPr>
                <w:sz w:val="24"/>
                <w:szCs w:val="24"/>
              </w:rPr>
              <w:t>Almindelig (≥1/100 til &lt;1/10)</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Sjælden (</w:t>
            </w:r>
            <w:r w:rsidRPr="00EC5432">
              <w:rPr>
                <w:sz w:val="24"/>
                <w:szCs w:val="24"/>
              </w:rPr>
              <w:sym w:font="Symbol" w:char="F0B3"/>
            </w:r>
            <w:r w:rsidRPr="00EC5432">
              <w:rPr>
                <w:sz w:val="24"/>
                <w:szCs w:val="24"/>
              </w:rPr>
              <w:t>1/10.000 til &lt;/1.000)</w:t>
            </w:r>
          </w:p>
          <w:p w:rsidR="001935D4" w:rsidRPr="00EC5432" w:rsidRDefault="001935D4" w:rsidP="00453A00">
            <w:pPr>
              <w:rPr>
                <w:b/>
                <w:sz w:val="24"/>
                <w:szCs w:val="24"/>
              </w:rPr>
            </w:pPr>
          </w:p>
        </w:tc>
        <w:tc>
          <w:tcPr>
            <w:tcW w:w="2348"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Hypotension, hypertension</w:t>
            </w:r>
          </w:p>
          <w:p w:rsidR="001935D4" w:rsidRPr="00EC5432" w:rsidRDefault="001935D4" w:rsidP="00453A00">
            <w:pPr>
              <w:rPr>
                <w:sz w:val="24"/>
                <w:szCs w:val="24"/>
                <w:lang w:val="en-GB"/>
              </w:rPr>
            </w:pPr>
          </w:p>
          <w:p w:rsidR="001935D4" w:rsidRPr="00EC5432" w:rsidRDefault="001935D4" w:rsidP="00453A00">
            <w:pPr>
              <w:rPr>
                <w:iCs/>
                <w:sz w:val="24"/>
                <w:szCs w:val="24"/>
              </w:rPr>
            </w:pPr>
            <w:r w:rsidRPr="00EC5432">
              <w:rPr>
                <w:sz w:val="24"/>
                <w:szCs w:val="24"/>
              </w:rPr>
              <w:t>Venesmerter</w:t>
            </w:r>
          </w:p>
        </w:tc>
      </w:tr>
      <w:tr w:rsidR="001935D4" w:rsidRPr="00EC5432" w:rsidTr="00453A00">
        <w:trPr>
          <w:trHeight w:val="533"/>
        </w:trPr>
        <w:tc>
          <w:tcPr>
            <w:tcW w:w="2652"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i/>
                <w:sz w:val="24"/>
                <w:szCs w:val="24"/>
              </w:rPr>
            </w:pPr>
            <w:r w:rsidRPr="00EC5432">
              <w:rPr>
                <w:i/>
                <w:sz w:val="24"/>
                <w:szCs w:val="24"/>
              </w:rPr>
              <w:t xml:space="preserve">Luftveje, thorax og </w:t>
            </w:r>
            <w:proofErr w:type="spellStart"/>
            <w:r w:rsidRPr="00EC5432">
              <w:rPr>
                <w:i/>
                <w:sz w:val="24"/>
                <w:szCs w:val="24"/>
              </w:rPr>
              <w:t>mediastinum</w:t>
            </w:r>
            <w:proofErr w:type="spellEnd"/>
          </w:p>
          <w:p w:rsidR="001935D4" w:rsidRPr="00EC5432" w:rsidRDefault="001935D4" w:rsidP="00453A00">
            <w:pPr>
              <w:rPr>
                <w:b/>
                <w:bCs/>
                <w:sz w:val="24"/>
                <w:szCs w:val="24"/>
              </w:rPr>
            </w:pPr>
            <w:r w:rsidRPr="00EC5432">
              <w:rPr>
                <w:sz w:val="24"/>
                <w:szCs w:val="24"/>
              </w:rPr>
              <w:t>Almindelig (≥1/100 til &lt;1/10)</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Ikke almindelig (≥1/1.000 til &lt;1/100)</w:t>
            </w:r>
          </w:p>
          <w:p w:rsidR="001935D4" w:rsidRPr="00EC5432" w:rsidRDefault="001935D4" w:rsidP="00453A00">
            <w:pPr>
              <w:rPr>
                <w:sz w:val="24"/>
                <w:szCs w:val="24"/>
              </w:rPr>
            </w:pPr>
          </w:p>
          <w:p w:rsidR="001935D4" w:rsidRPr="00EC5432" w:rsidRDefault="001935D4" w:rsidP="00453A00">
            <w:pPr>
              <w:rPr>
                <w:sz w:val="24"/>
                <w:szCs w:val="24"/>
              </w:rPr>
            </w:pP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Sjælden (</w:t>
            </w:r>
            <w:r w:rsidRPr="00EC5432">
              <w:rPr>
                <w:sz w:val="24"/>
                <w:szCs w:val="24"/>
              </w:rPr>
              <w:sym w:font="Symbol" w:char="F0B3"/>
            </w:r>
            <w:r w:rsidRPr="00EC5432">
              <w:rPr>
                <w:sz w:val="24"/>
                <w:szCs w:val="24"/>
              </w:rPr>
              <w:t>1/10.000 til &lt;/1.000)</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lastRenderedPageBreak/>
              <w:t>Hyppigheden er ikke kendt (hyppigheden kan ikke vurderes ud fra tilgængelige data).</w:t>
            </w:r>
          </w:p>
          <w:p w:rsidR="001935D4" w:rsidRPr="00EC5432" w:rsidRDefault="001935D4" w:rsidP="00453A00">
            <w:pPr>
              <w:rPr>
                <w:sz w:val="24"/>
                <w:szCs w:val="24"/>
              </w:rPr>
            </w:pPr>
          </w:p>
        </w:tc>
        <w:tc>
          <w:tcPr>
            <w:tcW w:w="2348"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Apnø</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 xml:space="preserve">Hikke, </w:t>
            </w:r>
            <w:proofErr w:type="spellStart"/>
            <w:r w:rsidRPr="00EC5432">
              <w:rPr>
                <w:sz w:val="24"/>
                <w:szCs w:val="24"/>
              </w:rPr>
              <w:t>hyperkapni</w:t>
            </w:r>
            <w:proofErr w:type="spellEnd"/>
            <w:r w:rsidRPr="00EC5432">
              <w:rPr>
                <w:sz w:val="24"/>
                <w:szCs w:val="24"/>
              </w:rPr>
              <w:t xml:space="preserve">, </w:t>
            </w:r>
            <w:proofErr w:type="spellStart"/>
            <w:r w:rsidRPr="00EC5432">
              <w:rPr>
                <w:sz w:val="24"/>
                <w:szCs w:val="24"/>
              </w:rPr>
              <w:t>laryngospasmer</w:t>
            </w:r>
            <w:proofErr w:type="spellEnd"/>
            <w:r w:rsidRPr="00EC5432">
              <w:rPr>
                <w:sz w:val="24"/>
                <w:szCs w:val="24"/>
              </w:rPr>
              <w:t>, respirationsdepression (inklusiv med dødelig udgang)</w:t>
            </w:r>
          </w:p>
          <w:p w:rsidR="001935D4" w:rsidRPr="00EC5432" w:rsidRDefault="001935D4" w:rsidP="00453A00">
            <w:pPr>
              <w:rPr>
                <w:sz w:val="24"/>
                <w:szCs w:val="24"/>
              </w:rPr>
            </w:pPr>
          </w:p>
          <w:p w:rsidR="001935D4" w:rsidRPr="00EC5432" w:rsidRDefault="001935D4" w:rsidP="00453A00">
            <w:pPr>
              <w:rPr>
                <w:sz w:val="24"/>
                <w:szCs w:val="24"/>
              </w:rPr>
            </w:pPr>
            <w:proofErr w:type="spellStart"/>
            <w:r w:rsidRPr="00EC5432">
              <w:rPr>
                <w:sz w:val="24"/>
                <w:szCs w:val="24"/>
              </w:rPr>
              <w:t>Bronkospasme</w:t>
            </w:r>
            <w:proofErr w:type="spellEnd"/>
            <w:r w:rsidRPr="00EC5432">
              <w:rPr>
                <w:sz w:val="24"/>
                <w:szCs w:val="24"/>
              </w:rPr>
              <w:t xml:space="preserve">, </w:t>
            </w:r>
            <w:r>
              <w:rPr>
                <w:sz w:val="24"/>
                <w:szCs w:val="24"/>
              </w:rPr>
              <w:t>næseblod</w:t>
            </w:r>
          </w:p>
          <w:p w:rsidR="001935D4" w:rsidRPr="00EC5432" w:rsidRDefault="001935D4" w:rsidP="00453A00">
            <w:pPr>
              <w:rPr>
                <w:sz w:val="24"/>
                <w:szCs w:val="24"/>
                <w:lang w:val="en-GB"/>
              </w:rPr>
            </w:pPr>
          </w:p>
          <w:p w:rsidR="001935D4" w:rsidRPr="00EC5432" w:rsidRDefault="001935D4" w:rsidP="00453A00">
            <w:pPr>
              <w:rPr>
                <w:sz w:val="24"/>
                <w:szCs w:val="24"/>
              </w:rPr>
            </w:pPr>
            <w:r w:rsidRPr="00EC5432">
              <w:rPr>
                <w:sz w:val="24"/>
                <w:szCs w:val="24"/>
              </w:rPr>
              <w:lastRenderedPageBreak/>
              <w:t>Respirationsstop, hoste</w:t>
            </w:r>
          </w:p>
        </w:tc>
      </w:tr>
      <w:tr w:rsidR="001935D4" w:rsidRPr="00EC5432" w:rsidTr="00453A00">
        <w:trPr>
          <w:trHeight w:val="533"/>
        </w:trPr>
        <w:tc>
          <w:tcPr>
            <w:tcW w:w="2652" w:type="pct"/>
            <w:tcBorders>
              <w:top w:val="single" w:sz="4" w:space="0" w:color="auto"/>
              <w:left w:val="single" w:sz="4" w:space="0" w:color="auto"/>
              <w:bottom w:val="single" w:sz="4" w:space="0" w:color="auto"/>
              <w:right w:val="single" w:sz="4" w:space="0" w:color="auto"/>
            </w:tcBorders>
            <w:hideMark/>
          </w:tcPr>
          <w:p w:rsidR="001935D4" w:rsidRPr="00EC5432" w:rsidRDefault="001935D4" w:rsidP="00453A00">
            <w:pPr>
              <w:rPr>
                <w:i/>
                <w:sz w:val="24"/>
                <w:szCs w:val="24"/>
              </w:rPr>
            </w:pPr>
            <w:r w:rsidRPr="00EC5432">
              <w:rPr>
                <w:i/>
                <w:sz w:val="24"/>
                <w:szCs w:val="24"/>
              </w:rPr>
              <w:lastRenderedPageBreak/>
              <w:t>Mave-tarm-kanalen</w:t>
            </w:r>
          </w:p>
          <w:p w:rsidR="001935D4" w:rsidRPr="00EC5432" w:rsidRDefault="001935D4" w:rsidP="00453A00">
            <w:pPr>
              <w:rPr>
                <w:sz w:val="24"/>
                <w:szCs w:val="24"/>
              </w:rPr>
            </w:pPr>
            <w:r w:rsidRPr="00EC5432">
              <w:rPr>
                <w:sz w:val="24"/>
                <w:szCs w:val="24"/>
              </w:rPr>
              <w:t>Meget almindelig (≥1/10)</w:t>
            </w:r>
          </w:p>
        </w:tc>
        <w:tc>
          <w:tcPr>
            <w:tcW w:w="2348"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Kvalme, opkastning.</w:t>
            </w:r>
          </w:p>
        </w:tc>
      </w:tr>
      <w:tr w:rsidR="001935D4" w:rsidRPr="00EC5432" w:rsidTr="00453A00">
        <w:trPr>
          <w:trHeight w:val="533"/>
        </w:trPr>
        <w:tc>
          <w:tcPr>
            <w:tcW w:w="2652"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i/>
                <w:sz w:val="24"/>
                <w:szCs w:val="24"/>
              </w:rPr>
            </w:pPr>
            <w:r w:rsidRPr="00EC5432">
              <w:rPr>
                <w:i/>
                <w:sz w:val="24"/>
                <w:szCs w:val="24"/>
              </w:rPr>
              <w:t>Hud og subkutane væv</w:t>
            </w:r>
          </w:p>
          <w:p w:rsidR="001935D4" w:rsidRPr="00EC5432" w:rsidRDefault="001935D4" w:rsidP="00453A00">
            <w:pPr>
              <w:rPr>
                <w:sz w:val="24"/>
                <w:szCs w:val="24"/>
              </w:rPr>
            </w:pPr>
            <w:r w:rsidRPr="00EC5432">
              <w:rPr>
                <w:sz w:val="24"/>
                <w:szCs w:val="24"/>
              </w:rPr>
              <w:t>Ikke almindelig (≥1/1.000 til &lt;1/100)</w:t>
            </w:r>
          </w:p>
          <w:p w:rsidR="001935D4" w:rsidRPr="00EC5432" w:rsidRDefault="001935D4" w:rsidP="00453A00">
            <w:pPr>
              <w:rPr>
                <w:sz w:val="24"/>
                <w:szCs w:val="24"/>
              </w:rPr>
            </w:pPr>
          </w:p>
          <w:p w:rsidR="001935D4" w:rsidRPr="00EC5432" w:rsidRDefault="001935D4" w:rsidP="00453A00">
            <w:pPr>
              <w:rPr>
                <w:bCs/>
                <w:sz w:val="24"/>
                <w:szCs w:val="24"/>
              </w:rPr>
            </w:pPr>
            <w:r w:rsidRPr="00EC5432">
              <w:rPr>
                <w:sz w:val="24"/>
                <w:szCs w:val="24"/>
              </w:rPr>
              <w:t>Sjælden (</w:t>
            </w:r>
            <w:r w:rsidRPr="00EC5432">
              <w:rPr>
                <w:bCs/>
                <w:sz w:val="24"/>
                <w:szCs w:val="24"/>
              </w:rPr>
              <w:sym w:font="Symbol" w:char="F0B3"/>
            </w:r>
            <w:r w:rsidRPr="00EC5432">
              <w:rPr>
                <w:sz w:val="24"/>
                <w:szCs w:val="24"/>
              </w:rPr>
              <w:t>1/10.000 til &lt;/1.000)</w:t>
            </w:r>
          </w:p>
          <w:p w:rsidR="001935D4" w:rsidRPr="00EC5432" w:rsidRDefault="001935D4" w:rsidP="00453A00">
            <w:pPr>
              <w:rPr>
                <w:bCs/>
                <w:sz w:val="24"/>
                <w:szCs w:val="24"/>
              </w:rPr>
            </w:pPr>
          </w:p>
          <w:p w:rsidR="001935D4" w:rsidRPr="00EC5432" w:rsidRDefault="001935D4" w:rsidP="00453A00">
            <w:pPr>
              <w:rPr>
                <w:bCs/>
                <w:sz w:val="24"/>
                <w:szCs w:val="24"/>
              </w:rPr>
            </w:pPr>
            <w:r w:rsidRPr="00EC5432">
              <w:rPr>
                <w:sz w:val="24"/>
                <w:szCs w:val="24"/>
              </w:rPr>
              <w:t>Hyppigheden er ikke kendt (hyppigheden kan ikke vurderes ud fra tilgængelige data).</w:t>
            </w:r>
          </w:p>
          <w:p w:rsidR="001935D4" w:rsidRPr="00EC5432" w:rsidRDefault="001935D4" w:rsidP="00453A00">
            <w:pPr>
              <w:rPr>
                <w:b/>
                <w:bCs/>
                <w:sz w:val="24"/>
                <w:szCs w:val="24"/>
              </w:rPr>
            </w:pPr>
          </w:p>
        </w:tc>
        <w:tc>
          <w:tcPr>
            <w:tcW w:w="2348"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 xml:space="preserve">Allergisk </w:t>
            </w:r>
            <w:proofErr w:type="spellStart"/>
            <w:r w:rsidRPr="00EC5432">
              <w:rPr>
                <w:sz w:val="24"/>
                <w:szCs w:val="24"/>
              </w:rPr>
              <w:t>dermatitis</w:t>
            </w:r>
            <w:proofErr w:type="spellEnd"/>
            <w:r w:rsidRPr="00EC5432">
              <w:rPr>
                <w:sz w:val="24"/>
                <w:szCs w:val="24"/>
              </w:rPr>
              <w:t xml:space="preserve">, </w:t>
            </w:r>
            <w:proofErr w:type="spellStart"/>
            <w:r w:rsidRPr="00EC5432">
              <w:rPr>
                <w:sz w:val="24"/>
                <w:szCs w:val="24"/>
              </w:rPr>
              <w:t>hyperhidrosis</w:t>
            </w:r>
            <w:proofErr w:type="spellEnd"/>
          </w:p>
          <w:p w:rsidR="001935D4" w:rsidRPr="00EC5432" w:rsidRDefault="001935D4" w:rsidP="00453A00">
            <w:pPr>
              <w:rPr>
                <w:sz w:val="24"/>
                <w:szCs w:val="24"/>
              </w:rPr>
            </w:pPr>
          </w:p>
          <w:p w:rsidR="001935D4" w:rsidRPr="00EC5432" w:rsidRDefault="001935D4" w:rsidP="00453A00">
            <w:pPr>
              <w:rPr>
                <w:sz w:val="24"/>
                <w:szCs w:val="24"/>
              </w:rPr>
            </w:pPr>
            <w:proofErr w:type="spellStart"/>
            <w:r w:rsidRPr="00EC5432">
              <w:rPr>
                <w:sz w:val="24"/>
                <w:szCs w:val="24"/>
              </w:rPr>
              <w:t>Pruritus</w:t>
            </w:r>
            <w:proofErr w:type="spellEnd"/>
          </w:p>
          <w:p w:rsidR="001935D4" w:rsidRPr="00EC5432" w:rsidRDefault="001935D4" w:rsidP="00453A00">
            <w:pPr>
              <w:rPr>
                <w:sz w:val="24"/>
                <w:szCs w:val="24"/>
              </w:rPr>
            </w:pPr>
          </w:p>
          <w:p w:rsidR="001935D4" w:rsidRPr="00EC5432" w:rsidRDefault="001935D4" w:rsidP="00453A00">
            <w:pPr>
              <w:rPr>
                <w:sz w:val="24"/>
                <w:szCs w:val="24"/>
              </w:rPr>
            </w:pPr>
            <w:proofErr w:type="spellStart"/>
            <w:r w:rsidRPr="00EC5432">
              <w:rPr>
                <w:sz w:val="24"/>
                <w:szCs w:val="24"/>
              </w:rPr>
              <w:t>Erytem</w:t>
            </w:r>
            <w:proofErr w:type="spellEnd"/>
            <w:r w:rsidRPr="00EC5432">
              <w:rPr>
                <w:sz w:val="24"/>
                <w:szCs w:val="24"/>
              </w:rPr>
              <w:t>, udslæt</w:t>
            </w:r>
          </w:p>
        </w:tc>
      </w:tr>
      <w:tr w:rsidR="001935D4" w:rsidRPr="00EC5432" w:rsidTr="00453A00">
        <w:trPr>
          <w:trHeight w:val="533"/>
        </w:trPr>
        <w:tc>
          <w:tcPr>
            <w:tcW w:w="2652" w:type="pct"/>
            <w:tcBorders>
              <w:top w:val="single" w:sz="4" w:space="0" w:color="auto"/>
              <w:left w:val="single" w:sz="4" w:space="0" w:color="auto"/>
              <w:bottom w:val="single" w:sz="4" w:space="0" w:color="auto"/>
              <w:right w:val="single" w:sz="4" w:space="0" w:color="auto"/>
            </w:tcBorders>
            <w:hideMark/>
          </w:tcPr>
          <w:p w:rsidR="001935D4" w:rsidRPr="00EC5432" w:rsidRDefault="001935D4" w:rsidP="00453A00">
            <w:pPr>
              <w:rPr>
                <w:i/>
                <w:sz w:val="24"/>
                <w:szCs w:val="24"/>
              </w:rPr>
            </w:pPr>
            <w:r w:rsidRPr="00EC5432">
              <w:rPr>
                <w:i/>
                <w:sz w:val="24"/>
                <w:szCs w:val="24"/>
              </w:rPr>
              <w:t>Knogler, led, muskler og bindevæv</w:t>
            </w:r>
          </w:p>
          <w:p w:rsidR="001935D4" w:rsidRPr="00EC5432" w:rsidRDefault="001935D4" w:rsidP="00453A00">
            <w:pPr>
              <w:rPr>
                <w:bCs/>
                <w:sz w:val="24"/>
                <w:szCs w:val="24"/>
              </w:rPr>
            </w:pPr>
            <w:r w:rsidRPr="00EC5432">
              <w:rPr>
                <w:sz w:val="24"/>
                <w:szCs w:val="24"/>
              </w:rPr>
              <w:t>Almindelig (≥1/100 til &lt;1/10)</w:t>
            </w:r>
          </w:p>
        </w:tc>
        <w:tc>
          <w:tcPr>
            <w:tcW w:w="2348"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Muskelrigiditet</w:t>
            </w:r>
          </w:p>
        </w:tc>
      </w:tr>
      <w:tr w:rsidR="001935D4" w:rsidRPr="00EC5432" w:rsidTr="00453A00">
        <w:trPr>
          <w:trHeight w:val="146"/>
        </w:trPr>
        <w:tc>
          <w:tcPr>
            <w:tcW w:w="2652"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i/>
                <w:sz w:val="24"/>
                <w:szCs w:val="24"/>
              </w:rPr>
            </w:pPr>
            <w:r w:rsidRPr="00EC5432">
              <w:rPr>
                <w:i/>
                <w:sz w:val="24"/>
                <w:szCs w:val="24"/>
              </w:rPr>
              <w:t>Almene symptomer og reaktioner på administrationsstedet</w:t>
            </w:r>
          </w:p>
          <w:p w:rsidR="001935D4" w:rsidRDefault="001935D4" w:rsidP="00453A00">
            <w:pPr>
              <w:rPr>
                <w:sz w:val="24"/>
                <w:szCs w:val="24"/>
              </w:rPr>
            </w:pPr>
            <w:r w:rsidRPr="00EC5432">
              <w:rPr>
                <w:sz w:val="24"/>
                <w:szCs w:val="24"/>
              </w:rPr>
              <w:t>Almindelig (≥1/100 til &lt;1/10)</w:t>
            </w:r>
          </w:p>
          <w:p w:rsidR="00065868" w:rsidRPr="00EC5432" w:rsidRDefault="00065868" w:rsidP="00453A00">
            <w:pPr>
              <w:rPr>
                <w:sz w:val="24"/>
                <w:szCs w:val="24"/>
              </w:rPr>
            </w:pP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Ikke almindelig (≥1/1.000 til &lt;1/100)</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Hyppigheden er ikke kendt (hyppigheden kan ikke vurderes ud fra tilgængelige data).</w:t>
            </w:r>
          </w:p>
        </w:tc>
        <w:tc>
          <w:tcPr>
            <w:tcW w:w="2348"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sz w:val="24"/>
                <w:szCs w:val="24"/>
              </w:rPr>
            </w:pP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Kulderystelser, smerter ved injektionsstedet, træthed</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Smerter</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Feber</w:t>
            </w:r>
          </w:p>
        </w:tc>
      </w:tr>
      <w:tr w:rsidR="001935D4" w:rsidRPr="00EC5432" w:rsidTr="00453A00">
        <w:trPr>
          <w:trHeight w:val="146"/>
        </w:trPr>
        <w:tc>
          <w:tcPr>
            <w:tcW w:w="2652" w:type="pct"/>
            <w:tcBorders>
              <w:top w:val="single" w:sz="4" w:space="0" w:color="auto"/>
              <w:left w:val="single" w:sz="4" w:space="0" w:color="auto"/>
              <w:bottom w:val="single" w:sz="4" w:space="0" w:color="auto"/>
              <w:right w:val="single" w:sz="4" w:space="0" w:color="auto"/>
            </w:tcBorders>
          </w:tcPr>
          <w:p w:rsidR="001935D4" w:rsidRPr="00EC5432" w:rsidRDefault="001935D4" w:rsidP="00453A00">
            <w:pPr>
              <w:rPr>
                <w:i/>
                <w:sz w:val="24"/>
                <w:szCs w:val="24"/>
              </w:rPr>
            </w:pPr>
            <w:r w:rsidRPr="00EC5432">
              <w:rPr>
                <w:i/>
                <w:sz w:val="24"/>
                <w:szCs w:val="24"/>
              </w:rPr>
              <w:t>Traumer, forgiftninger og behandlingskomplikationer</w:t>
            </w:r>
          </w:p>
          <w:p w:rsidR="001935D4" w:rsidRPr="00EC5432" w:rsidRDefault="001935D4" w:rsidP="00453A00">
            <w:pPr>
              <w:rPr>
                <w:sz w:val="24"/>
                <w:szCs w:val="24"/>
              </w:rPr>
            </w:pPr>
            <w:r w:rsidRPr="00EC5432">
              <w:rPr>
                <w:sz w:val="24"/>
                <w:szCs w:val="24"/>
              </w:rPr>
              <w:t>Almindelig (≥1/100 til &lt;1/10)</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Ikke almindelig (≥1/1.000 til &lt;1/100)</w:t>
            </w:r>
          </w:p>
          <w:p w:rsidR="001935D4" w:rsidRPr="00EC5432" w:rsidRDefault="001935D4" w:rsidP="00453A00">
            <w:pPr>
              <w:rPr>
                <w:sz w:val="24"/>
                <w:szCs w:val="24"/>
              </w:rPr>
            </w:pP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Sjælden (</w:t>
            </w:r>
            <w:r w:rsidRPr="00EC5432">
              <w:rPr>
                <w:sz w:val="24"/>
                <w:szCs w:val="24"/>
              </w:rPr>
              <w:sym w:font="Symbol" w:char="F0B3"/>
            </w:r>
            <w:r w:rsidRPr="00EC5432">
              <w:rPr>
                <w:sz w:val="24"/>
                <w:szCs w:val="24"/>
              </w:rPr>
              <w:t>1/10.000 til &lt;/1.000)</w:t>
            </w:r>
          </w:p>
        </w:tc>
        <w:tc>
          <w:tcPr>
            <w:tcW w:w="2348" w:type="pct"/>
            <w:tcBorders>
              <w:top w:val="single" w:sz="4" w:space="0" w:color="auto"/>
              <w:left w:val="single" w:sz="4" w:space="0" w:color="auto"/>
              <w:bottom w:val="single" w:sz="4" w:space="0" w:color="auto"/>
              <w:right w:val="single" w:sz="4" w:space="0" w:color="auto"/>
            </w:tcBorders>
          </w:tcPr>
          <w:p w:rsidR="001935D4" w:rsidRDefault="001935D4" w:rsidP="00453A00">
            <w:pPr>
              <w:rPr>
                <w:sz w:val="24"/>
                <w:szCs w:val="24"/>
              </w:rPr>
            </w:pPr>
          </w:p>
          <w:p w:rsidR="00065868" w:rsidRPr="00EC5432" w:rsidRDefault="00065868" w:rsidP="00453A00">
            <w:pPr>
              <w:rPr>
                <w:sz w:val="24"/>
                <w:szCs w:val="24"/>
              </w:rPr>
            </w:pPr>
          </w:p>
          <w:p w:rsidR="001935D4" w:rsidRPr="00EC5432" w:rsidRDefault="001935D4" w:rsidP="00453A00">
            <w:pPr>
              <w:rPr>
                <w:sz w:val="24"/>
                <w:szCs w:val="24"/>
              </w:rPr>
            </w:pPr>
            <w:r w:rsidRPr="00EC5432">
              <w:rPr>
                <w:sz w:val="24"/>
                <w:szCs w:val="24"/>
              </w:rPr>
              <w:t>Operationssmerter</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Postoperativ agitation, luftvejskomplikationer fra anæstesi, postoperativ forvirring</w:t>
            </w:r>
          </w:p>
          <w:p w:rsidR="001935D4" w:rsidRPr="00EC5432" w:rsidRDefault="001935D4" w:rsidP="00453A00">
            <w:pPr>
              <w:rPr>
                <w:sz w:val="24"/>
                <w:szCs w:val="24"/>
              </w:rPr>
            </w:pPr>
          </w:p>
          <w:p w:rsidR="001935D4" w:rsidRPr="00EC5432" w:rsidRDefault="001935D4" w:rsidP="00453A00">
            <w:pPr>
              <w:rPr>
                <w:sz w:val="24"/>
                <w:szCs w:val="24"/>
              </w:rPr>
            </w:pPr>
            <w:r w:rsidRPr="00EC5432">
              <w:rPr>
                <w:sz w:val="24"/>
                <w:szCs w:val="24"/>
              </w:rPr>
              <w:t xml:space="preserve">Neurologiske anæstesikomplikationer, behandlingskomplikationer, komplikationer ved </w:t>
            </w:r>
            <w:proofErr w:type="spellStart"/>
            <w:r w:rsidRPr="00EC5432">
              <w:rPr>
                <w:sz w:val="24"/>
                <w:szCs w:val="24"/>
              </w:rPr>
              <w:t>endotrakeal</w:t>
            </w:r>
            <w:proofErr w:type="spellEnd"/>
            <w:r w:rsidRPr="00EC5432">
              <w:rPr>
                <w:sz w:val="24"/>
                <w:szCs w:val="24"/>
              </w:rPr>
              <w:t xml:space="preserve"> </w:t>
            </w:r>
            <w:proofErr w:type="spellStart"/>
            <w:r w:rsidRPr="00EC5432">
              <w:rPr>
                <w:sz w:val="24"/>
                <w:szCs w:val="24"/>
              </w:rPr>
              <w:t>intubation</w:t>
            </w:r>
            <w:proofErr w:type="spellEnd"/>
          </w:p>
        </w:tc>
      </w:tr>
    </w:tbl>
    <w:p w:rsidR="001935D4" w:rsidRPr="00AC1736" w:rsidRDefault="001935D4" w:rsidP="00043ACC">
      <w:pPr>
        <w:tabs>
          <w:tab w:val="left" w:pos="0"/>
          <w:tab w:val="left" w:pos="851"/>
        </w:tabs>
        <w:ind w:left="851"/>
        <w:rPr>
          <w:sz w:val="24"/>
          <w:szCs w:val="24"/>
        </w:rPr>
      </w:pPr>
    </w:p>
    <w:p w:rsidR="001935D4" w:rsidRPr="007A0F9F" w:rsidRDefault="001935D4" w:rsidP="001935D4">
      <w:pPr>
        <w:tabs>
          <w:tab w:val="left" w:pos="851"/>
        </w:tabs>
        <w:ind w:left="851"/>
        <w:rPr>
          <w:sz w:val="24"/>
          <w:szCs w:val="24"/>
          <w:u w:val="single"/>
        </w:rPr>
      </w:pPr>
      <w:r w:rsidRPr="007A0F9F">
        <w:rPr>
          <w:sz w:val="24"/>
          <w:szCs w:val="24"/>
          <w:u w:val="single"/>
        </w:rPr>
        <w:t>Pædiatrisk population</w:t>
      </w:r>
    </w:p>
    <w:p w:rsidR="001935D4" w:rsidRPr="00AC1736" w:rsidRDefault="001935D4" w:rsidP="001935D4">
      <w:pPr>
        <w:tabs>
          <w:tab w:val="left" w:pos="0"/>
          <w:tab w:val="left" w:pos="851"/>
        </w:tabs>
        <w:ind w:left="851"/>
        <w:rPr>
          <w:sz w:val="24"/>
          <w:szCs w:val="24"/>
        </w:rPr>
      </w:pPr>
      <w:r w:rsidRPr="00AC1736">
        <w:rPr>
          <w:sz w:val="24"/>
          <w:szCs w:val="24"/>
        </w:rPr>
        <w:t>Bivirkningers hyppighed, art og sværhedsgrad hos børn forventes at være som hos voksne, dog med følgende undtagelser:</w:t>
      </w:r>
    </w:p>
    <w:p w:rsidR="001935D4" w:rsidRPr="00AC1736" w:rsidRDefault="001935D4" w:rsidP="001935D4">
      <w:pPr>
        <w:tabs>
          <w:tab w:val="left" w:pos="0"/>
          <w:tab w:val="left" w:pos="851"/>
        </w:tabs>
        <w:ind w:left="851"/>
        <w:rPr>
          <w:sz w:val="24"/>
          <w:szCs w:val="24"/>
        </w:rPr>
      </w:pPr>
    </w:p>
    <w:p w:rsidR="001935D4" w:rsidRPr="00AC1736" w:rsidRDefault="001935D4" w:rsidP="001935D4">
      <w:pPr>
        <w:tabs>
          <w:tab w:val="left" w:pos="0"/>
          <w:tab w:val="left" w:pos="851"/>
        </w:tabs>
        <w:ind w:left="851"/>
        <w:rPr>
          <w:sz w:val="24"/>
          <w:szCs w:val="24"/>
        </w:rPr>
      </w:pPr>
      <w:r w:rsidRPr="00AC1736">
        <w:rPr>
          <w:sz w:val="24"/>
          <w:szCs w:val="24"/>
        </w:rPr>
        <w:t xml:space="preserve">Let til moderat muskelrigiditet er ofte set hos nyfødte, selv om antallet af nyfødte, der indgik i kliniske forsøg, var lille. Mindre hyppigt kan der forekomme svær rigiditet og muskelspjæt, som kan være ledsaget af forbigående nedsat vejrtrækning, især når </w:t>
      </w:r>
      <w:proofErr w:type="spellStart"/>
      <w:r w:rsidRPr="00AC1736">
        <w:rPr>
          <w:sz w:val="24"/>
          <w:szCs w:val="24"/>
        </w:rPr>
        <w:t>alfentanil</w:t>
      </w:r>
      <w:proofErr w:type="spellEnd"/>
      <w:r w:rsidRPr="00AC1736">
        <w:rPr>
          <w:sz w:val="24"/>
          <w:szCs w:val="24"/>
        </w:rPr>
        <w:t xml:space="preserve"> gives i høje doser eller som hurtig intravenøs injektion.</w:t>
      </w:r>
    </w:p>
    <w:p w:rsidR="001935D4" w:rsidRPr="00AC1736" w:rsidRDefault="001935D4" w:rsidP="001935D4">
      <w:pPr>
        <w:tabs>
          <w:tab w:val="left" w:pos="0"/>
          <w:tab w:val="left" w:pos="851"/>
        </w:tabs>
        <w:ind w:left="851"/>
        <w:rPr>
          <w:sz w:val="24"/>
          <w:szCs w:val="24"/>
        </w:rPr>
      </w:pPr>
    </w:p>
    <w:p w:rsidR="001935D4" w:rsidRPr="00AC1736" w:rsidRDefault="001935D4" w:rsidP="001935D4">
      <w:pPr>
        <w:autoSpaceDE w:val="0"/>
        <w:autoSpaceDN w:val="0"/>
        <w:adjustRightInd w:val="0"/>
        <w:ind w:left="851"/>
        <w:rPr>
          <w:sz w:val="24"/>
          <w:szCs w:val="24"/>
          <w:u w:val="single"/>
        </w:rPr>
      </w:pPr>
      <w:r w:rsidRPr="00AC1736">
        <w:rPr>
          <w:sz w:val="24"/>
          <w:szCs w:val="24"/>
          <w:u w:val="single"/>
        </w:rPr>
        <w:t>Indberetning af formodede bivirkninger</w:t>
      </w:r>
    </w:p>
    <w:p w:rsidR="001935D4" w:rsidRDefault="001935D4" w:rsidP="001935D4">
      <w:pPr>
        <w:tabs>
          <w:tab w:val="left" w:pos="0"/>
          <w:tab w:val="left" w:pos="851"/>
        </w:tabs>
        <w:ind w:left="851"/>
        <w:rPr>
          <w:sz w:val="24"/>
          <w:szCs w:val="24"/>
        </w:rPr>
      </w:pPr>
      <w:r w:rsidRPr="00AC1736">
        <w:rPr>
          <w:sz w:val="24"/>
          <w:szCs w:val="24"/>
        </w:rPr>
        <w:t>Når lægemidlet er godkendt, er indberetning af formodede bivirkninger vigtig. Det muliggør løbende overvågning af benefit/</w:t>
      </w:r>
      <w:proofErr w:type="spellStart"/>
      <w:r w:rsidRPr="00AC1736">
        <w:rPr>
          <w:sz w:val="24"/>
          <w:szCs w:val="24"/>
        </w:rPr>
        <w:t>risk</w:t>
      </w:r>
      <w:proofErr w:type="spellEnd"/>
      <w:r w:rsidRPr="00AC1736">
        <w:rPr>
          <w:sz w:val="24"/>
          <w:szCs w:val="24"/>
        </w:rPr>
        <w:t xml:space="preserve">-forholdet for lægemidlet. </w:t>
      </w:r>
      <w:r w:rsidR="007A0F9F">
        <w:rPr>
          <w:sz w:val="24"/>
          <w:szCs w:val="24"/>
        </w:rPr>
        <w:t>Sundhedspersoner</w:t>
      </w:r>
      <w:r w:rsidRPr="00AC1736">
        <w:rPr>
          <w:sz w:val="24"/>
          <w:szCs w:val="24"/>
        </w:rPr>
        <w:t xml:space="preserve"> anmodes om at indberette alle formodede bivirkninger via:</w:t>
      </w:r>
    </w:p>
    <w:p w:rsidR="007A0F9F" w:rsidRPr="00AC1736" w:rsidRDefault="007A0F9F" w:rsidP="001935D4">
      <w:pPr>
        <w:tabs>
          <w:tab w:val="left" w:pos="0"/>
          <w:tab w:val="left" w:pos="851"/>
        </w:tabs>
        <w:ind w:left="851"/>
        <w:rPr>
          <w:sz w:val="24"/>
          <w:szCs w:val="24"/>
        </w:rPr>
      </w:pPr>
    </w:p>
    <w:p w:rsidR="001935D4" w:rsidRPr="00AC1736" w:rsidRDefault="001935D4" w:rsidP="001935D4">
      <w:pPr>
        <w:tabs>
          <w:tab w:val="left" w:pos="0"/>
          <w:tab w:val="left" w:pos="851"/>
        </w:tabs>
        <w:ind w:left="851"/>
        <w:rPr>
          <w:sz w:val="24"/>
          <w:szCs w:val="24"/>
        </w:rPr>
      </w:pPr>
      <w:r w:rsidRPr="00AC1736">
        <w:rPr>
          <w:sz w:val="24"/>
          <w:szCs w:val="24"/>
        </w:rPr>
        <w:t>Lægemiddelstyrelsen</w:t>
      </w:r>
    </w:p>
    <w:p w:rsidR="001935D4" w:rsidRPr="00AC1736" w:rsidRDefault="001935D4" w:rsidP="001935D4">
      <w:pPr>
        <w:tabs>
          <w:tab w:val="left" w:pos="0"/>
          <w:tab w:val="left" w:pos="851"/>
        </w:tabs>
        <w:ind w:left="851"/>
        <w:rPr>
          <w:sz w:val="24"/>
          <w:szCs w:val="24"/>
        </w:rPr>
      </w:pPr>
      <w:r w:rsidRPr="00AC1736">
        <w:rPr>
          <w:sz w:val="24"/>
          <w:szCs w:val="24"/>
        </w:rPr>
        <w:lastRenderedPageBreak/>
        <w:t>Axel Heides Gade 1</w:t>
      </w:r>
    </w:p>
    <w:p w:rsidR="001935D4" w:rsidRPr="00AC1736" w:rsidRDefault="001935D4" w:rsidP="001935D4">
      <w:pPr>
        <w:tabs>
          <w:tab w:val="left" w:pos="0"/>
          <w:tab w:val="left" w:pos="851"/>
        </w:tabs>
        <w:ind w:left="851"/>
        <w:rPr>
          <w:sz w:val="24"/>
          <w:szCs w:val="24"/>
        </w:rPr>
      </w:pPr>
      <w:r w:rsidRPr="00AC1736">
        <w:rPr>
          <w:sz w:val="24"/>
          <w:szCs w:val="24"/>
        </w:rPr>
        <w:t>DK-2300 København S</w:t>
      </w:r>
    </w:p>
    <w:p w:rsidR="001935D4" w:rsidRPr="00A83730" w:rsidRDefault="001935D4" w:rsidP="001935D4">
      <w:pPr>
        <w:tabs>
          <w:tab w:val="left" w:pos="0"/>
          <w:tab w:val="left" w:pos="851"/>
        </w:tabs>
        <w:ind w:left="851"/>
        <w:rPr>
          <w:sz w:val="24"/>
          <w:szCs w:val="24"/>
        </w:rPr>
      </w:pPr>
      <w:r w:rsidRPr="00A83730">
        <w:rPr>
          <w:sz w:val="24"/>
          <w:szCs w:val="24"/>
        </w:rPr>
        <w:t>Websted: www.meldenbivirkning.dk</w:t>
      </w:r>
    </w:p>
    <w:p w:rsidR="001935D4" w:rsidRPr="00A83730" w:rsidRDefault="001935D4" w:rsidP="00043ACC">
      <w:pPr>
        <w:pStyle w:val="Sidehoved"/>
        <w:tabs>
          <w:tab w:val="left" w:pos="851"/>
        </w:tabs>
        <w:ind w:left="851"/>
        <w:rPr>
          <w:szCs w:val="24"/>
        </w:rPr>
      </w:pPr>
    </w:p>
    <w:p w:rsidR="001935D4" w:rsidRPr="00A83730" w:rsidRDefault="001935D4" w:rsidP="001935D4">
      <w:pPr>
        <w:tabs>
          <w:tab w:val="left" w:pos="851"/>
        </w:tabs>
        <w:ind w:left="851" w:hanging="851"/>
        <w:rPr>
          <w:b/>
          <w:sz w:val="24"/>
          <w:szCs w:val="24"/>
        </w:rPr>
      </w:pPr>
      <w:r w:rsidRPr="00A83730">
        <w:rPr>
          <w:b/>
          <w:sz w:val="24"/>
          <w:szCs w:val="24"/>
        </w:rPr>
        <w:t>4.9</w:t>
      </w:r>
      <w:r w:rsidRPr="00A83730">
        <w:rPr>
          <w:b/>
          <w:sz w:val="24"/>
          <w:szCs w:val="24"/>
        </w:rPr>
        <w:tab/>
        <w:t>Overdosering</w:t>
      </w:r>
    </w:p>
    <w:p w:rsidR="001935D4" w:rsidRPr="00A83730" w:rsidRDefault="001935D4" w:rsidP="001935D4">
      <w:pPr>
        <w:ind w:left="851"/>
        <w:rPr>
          <w:i/>
          <w:sz w:val="24"/>
          <w:szCs w:val="24"/>
        </w:rPr>
      </w:pPr>
    </w:p>
    <w:p w:rsidR="001935D4" w:rsidRPr="00A83730" w:rsidRDefault="001935D4" w:rsidP="001935D4">
      <w:pPr>
        <w:ind w:left="851"/>
        <w:rPr>
          <w:sz w:val="24"/>
          <w:szCs w:val="24"/>
          <w:u w:val="single"/>
          <w:lang w:eastAsia="da-DK"/>
        </w:rPr>
      </w:pPr>
      <w:r w:rsidRPr="00A83730">
        <w:rPr>
          <w:sz w:val="24"/>
          <w:szCs w:val="24"/>
          <w:u w:val="single"/>
        </w:rPr>
        <w:t>Symptomer</w:t>
      </w:r>
    </w:p>
    <w:p w:rsidR="001935D4" w:rsidRPr="00AC1736" w:rsidRDefault="001935D4" w:rsidP="001935D4">
      <w:pPr>
        <w:ind w:left="851"/>
        <w:rPr>
          <w:sz w:val="24"/>
          <w:szCs w:val="24"/>
        </w:rPr>
      </w:pPr>
      <w:r w:rsidRPr="00AC1736">
        <w:rPr>
          <w:sz w:val="24"/>
          <w:szCs w:val="24"/>
        </w:rPr>
        <w:t xml:space="preserve">Overdosering viser sig som en forlængelse af </w:t>
      </w:r>
      <w:proofErr w:type="spellStart"/>
      <w:r w:rsidRPr="00AC1736">
        <w:rPr>
          <w:sz w:val="24"/>
          <w:szCs w:val="24"/>
        </w:rPr>
        <w:t>alfentanils</w:t>
      </w:r>
      <w:proofErr w:type="spellEnd"/>
      <w:r w:rsidRPr="00AC1736">
        <w:rPr>
          <w:sz w:val="24"/>
          <w:szCs w:val="24"/>
        </w:rPr>
        <w:t xml:space="preserve"> farmakologiske virkning. Der kan forekomme forskellige grader af respirationsdepression varierende fra </w:t>
      </w:r>
      <w:proofErr w:type="spellStart"/>
      <w:r w:rsidRPr="00AC1736">
        <w:rPr>
          <w:sz w:val="24"/>
          <w:szCs w:val="24"/>
        </w:rPr>
        <w:t>bradypnø</w:t>
      </w:r>
      <w:proofErr w:type="spellEnd"/>
      <w:r w:rsidRPr="00AC1736">
        <w:rPr>
          <w:sz w:val="24"/>
          <w:szCs w:val="24"/>
        </w:rPr>
        <w:t xml:space="preserve"> til apnø.</w:t>
      </w:r>
    </w:p>
    <w:p w:rsidR="001935D4" w:rsidRPr="00AC1736" w:rsidRDefault="001935D4" w:rsidP="001935D4">
      <w:pPr>
        <w:ind w:left="851"/>
        <w:rPr>
          <w:sz w:val="24"/>
          <w:szCs w:val="24"/>
        </w:rPr>
      </w:pPr>
    </w:p>
    <w:p w:rsidR="001935D4" w:rsidRPr="007A0F9F" w:rsidRDefault="001935D4" w:rsidP="001935D4">
      <w:pPr>
        <w:ind w:left="851"/>
        <w:rPr>
          <w:sz w:val="24"/>
          <w:szCs w:val="24"/>
          <w:u w:val="single"/>
        </w:rPr>
      </w:pPr>
      <w:r w:rsidRPr="007A0F9F">
        <w:rPr>
          <w:sz w:val="24"/>
          <w:szCs w:val="24"/>
          <w:u w:val="single"/>
        </w:rPr>
        <w:t>Behandling</w:t>
      </w:r>
    </w:p>
    <w:p w:rsidR="001935D4" w:rsidRPr="00AC1736" w:rsidRDefault="001935D4" w:rsidP="001935D4">
      <w:pPr>
        <w:ind w:left="851"/>
        <w:rPr>
          <w:sz w:val="24"/>
          <w:szCs w:val="24"/>
        </w:rPr>
      </w:pPr>
      <w:r w:rsidRPr="00AC1736">
        <w:rPr>
          <w:sz w:val="24"/>
          <w:szCs w:val="24"/>
        </w:rPr>
        <w:t xml:space="preserve">Ved </w:t>
      </w:r>
      <w:proofErr w:type="spellStart"/>
      <w:r w:rsidRPr="00AC1736">
        <w:rPr>
          <w:sz w:val="24"/>
          <w:szCs w:val="24"/>
        </w:rPr>
        <w:t>hypoventilation</w:t>
      </w:r>
      <w:proofErr w:type="spellEnd"/>
      <w:r w:rsidRPr="00AC1736">
        <w:rPr>
          <w:sz w:val="24"/>
          <w:szCs w:val="24"/>
        </w:rPr>
        <w:t xml:space="preserve"> eller apnø skal der gives oxygen, og respirationen skal assisteres eller kontrolleres efter behov. Der skal gives en særlig opioidantagonist, som </w:t>
      </w:r>
      <w:proofErr w:type="spellStart"/>
      <w:r w:rsidRPr="00AC1736">
        <w:rPr>
          <w:sz w:val="24"/>
          <w:szCs w:val="24"/>
        </w:rPr>
        <w:t>naloxon</w:t>
      </w:r>
      <w:proofErr w:type="spellEnd"/>
      <w:r w:rsidRPr="00AC1736">
        <w:rPr>
          <w:sz w:val="24"/>
          <w:szCs w:val="24"/>
        </w:rPr>
        <w:t>, for at kontrollere respirationsdepressionen. Dette udelukker ikke mere øjeblikkelige modforanstaltninger. Respirationsdepressionen kan vare længere end antagonistens virkning. Derfor kan der være brug for flere doser af antagonisten.</w:t>
      </w:r>
    </w:p>
    <w:p w:rsidR="001935D4" w:rsidRPr="00AC1736" w:rsidRDefault="001935D4" w:rsidP="001935D4">
      <w:pPr>
        <w:ind w:left="851"/>
        <w:rPr>
          <w:sz w:val="24"/>
          <w:szCs w:val="24"/>
        </w:rPr>
      </w:pPr>
    </w:p>
    <w:p w:rsidR="001935D4" w:rsidRPr="00AC1736" w:rsidRDefault="001935D4" w:rsidP="001935D4">
      <w:pPr>
        <w:ind w:left="851"/>
        <w:rPr>
          <w:i/>
          <w:sz w:val="24"/>
          <w:szCs w:val="24"/>
        </w:rPr>
      </w:pPr>
      <w:r w:rsidRPr="00AC1736">
        <w:rPr>
          <w:sz w:val="24"/>
          <w:szCs w:val="24"/>
        </w:rPr>
        <w:t xml:space="preserve">Hvis respirationsdepressionen er forbundet med muskelrigiditet, kan det være nødvendigt at give et </w:t>
      </w:r>
      <w:proofErr w:type="spellStart"/>
      <w:r w:rsidRPr="00AC1736">
        <w:rPr>
          <w:sz w:val="24"/>
          <w:szCs w:val="24"/>
        </w:rPr>
        <w:t>neuromuskulært</w:t>
      </w:r>
      <w:proofErr w:type="spellEnd"/>
      <w:r w:rsidRPr="00AC1736">
        <w:rPr>
          <w:sz w:val="24"/>
          <w:szCs w:val="24"/>
        </w:rPr>
        <w:t xml:space="preserve"> blokerende middel intravenøst for at lette respirationen.</w:t>
      </w:r>
    </w:p>
    <w:p w:rsidR="001935D4" w:rsidRPr="00AC1736" w:rsidRDefault="001935D4" w:rsidP="001935D4">
      <w:pPr>
        <w:tabs>
          <w:tab w:val="left" w:pos="0"/>
          <w:tab w:val="left" w:pos="851"/>
        </w:tabs>
        <w:ind w:left="851"/>
        <w:rPr>
          <w:sz w:val="24"/>
          <w:szCs w:val="24"/>
        </w:rPr>
      </w:pPr>
      <w:r w:rsidRPr="00AC1736">
        <w:rPr>
          <w:sz w:val="24"/>
          <w:szCs w:val="24"/>
        </w:rPr>
        <w:t xml:space="preserve">Patienten skal observeres nøje: Kropsvarme og tilstrækkeligt væskeindtag skal opretholdes. Ved alvorlig eller vedvarende hypotension skal </w:t>
      </w:r>
      <w:proofErr w:type="spellStart"/>
      <w:r w:rsidRPr="00AC1736">
        <w:rPr>
          <w:sz w:val="24"/>
          <w:szCs w:val="24"/>
        </w:rPr>
        <w:t>hypovolæmi</w:t>
      </w:r>
      <w:proofErr w:type="spellEnd"/>
      <w:r w:rsidRPr="00AC1736">
        <w:rPr>
          <w:sz w:val="24"/>
          <w:szCs w:val="24"/>
        </w:rPr>
        <w:t xml:space="preserve"> overvejes, og det kan korrigeres med parenteral væsketilførsel.</w:t>
      </w:r>
    </w:p>
    <w:p w:rsidR="001935D4" w:rsidRPr="00AC1736" w:rsidRDefault="001935D4" w:rsidP="00043ACC">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4.10</w:t>
      </w:r>
      <w:r w:rsidRPr="00AC1736">
        <w:rPr>
          <w:b/>
          <w:sz w:val="24"/>
          <w:szCs w:val="24"/>
        </w:rPr>
        <w:tab/>
        <w:t>Udlevering</w:t>
      </w:r>
    </w:p>
    <w:p w:rsidR="001935D4" w:rsidRPr="00AC1736" w:rsidRDefault="001935D4" w:rsidP="001935D4">
      <w:pPr>
        <w:tabs>
          <w:tab w:val="left" w:pos="851"/>
        </w:tabs>
        <w:ind w:left="851" w:hanging="851"/>
        <w:rPr>
          <w:sz w:val="24"/>
          <w:szCs w:val="24"/>
        </w:rPr>
      </w:pPr>
      <w:r>
        <w:rPr>
          <w:sz w:val="24"/>
          <w:szCs w:val="24"/>
        </w:rPr>
        <w:tab/>
      </w:r>
      <w:r w:rsidRPr="00AC1736">
        <w:rPr>
          <w:sz w:val="24"/>
          <w:szCs w:val="24"/>
        </w:rPr>
        <w:t>A§4 (kopieringspligt</w:t>
      </w:r>
      <w:r w:rsidR="00C84432">
        <w:rPr>
          <w:sz w:val="24"/>
          <w:szCs w:val="24"/>
        </w:rPr>
        <w:t>igt</w:t>
      </w:r>
      <w:r w:rsidRPr="00AC1736">
        <w:rPr>
          <w:sz w:val="24"/>
          <w:szCs w:val="24"/>
        </w:rPr>
        <w:t>)</w:t>
      </w:r>
    </w:p>
    <w:p w:rsidR="001935D4" w:rsidRPr="00AC1736" w:rsidRDefault="001935D4" w:rsidP="00043ACC">
      <w:pPr>
        <w:tabs>
          <w:tab w:val="left" w:pos="851"/>
        </w:tabs>
        <w:ind w:left="851"/>
        <w:rPr>
          <w:sz w:val="24"/>
          <w:szCs w:val="24"/>
        </w:rPr>
      </w:pPr>
    </w:p>
    <w:p w:rsidR="001935D4" w:rsidRPr="00AC1736" w:rsidRDefault="001935D4" w:rsidP="00043ACC">
      <w:pPr>
        <w:tabs>
          <w:tab w:val="left" w:pos="851"/>
        </w:tabs>
        <w:ind w:left="851"/>
        <w:rPr>
          <w:sz w:val="24"/>
          <w:szCs w:val="24"/>
        </w:rPr>
      </w:pPr>
    </w:p>
    <w:p w:rsidR="0029198B" w:rsidRPr="00C84483" w:rsidRDefault="0029198B" w:rsidP="0029198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9198B" w:rsidRPr="00C84483" w:rsidRDefault="0029198B" w:rsidP="0029198B">
      <w:pPr>
        <w:tabs>
          <w:tab w:val="left" w:pos="851"/>
        </w:tabs>
        <w:ind w:left="851"/>
        <w:rPr>
          <w:sz w:val="24"/>
          <w:szCs w:val="24"/>
        </w:rPr>
      </w:pPr>
    </w:p>
    <w:p w:rsidR="0029198B" w:rsidRPr="00C84483" w:rsidRDefault="0029198B" w:rsidP="0029198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9198B" w:rsidRPr="00AC1736" w:rsidRDefault="0029198B" w:rsidP="0029198B">
      <w:pPr>
        <w:tabs>
          <w:tab w:val="left" w:pos="0"/>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AC1736">
        <w:rPr>
          <w:sz w:val="24"/>
          <w:szCs w:val="24"/>
        </w:rPr>
        <w:t>Opioid-</w:t>
      </w:r>
      <w:proofErr w:type="spellStart"/>
      <w:r w:rsidRPr="00AC1736">
        <w:rPr>
          <w:sz w:val="24"/>
          <w:szCs w:val="24"/>
        </w:rPr>
        <w:t>anæstetika</w:t>
      </w:r>
      <w:proofErr w:type="spellEnd"/>
      <w:r>
        <w:rPr>
          <w:sz w:val="24"/>
          <w:szCs w:val="24"/>
        </w:rPr>
        <w:t xml:space="preserve">, </w:t>
      </w:r>
      <w:r w:rsidRPr="00AC1736">
        <w:rPr>
          <w:sz w:val="24"/>
          <w:szCs w:val="24"/>
        </w:rPr>
        <w:t>ATC-kode: N01AH02.</w:t>
      </w:r>
    </w:p>
    <w:p w:rsidR="0029198B" w:rsidRDefault="0029198B" w:rsidP="001935D4">
      <w:pPr>
        <w:tabs>
          <w:tab w:val="left" w:pos="0"/>
          <w:tab w:val="left" w:pos="851"/>
        </w:tabs>
        <w:ind w:left="851"/>
        <w:rPr>
          <w:sz w:val="24"/>
          <w:szCs w:val="24"/>
        </w:rPr>
      </w:pPr>
    </w:p>
    <w:p w:rsidR="001935D4" w:rsidRPr="00AC1736" w:rsidRDefault="001935D4" w:rsidP="001935D4">
      <w:pPr>
        <w:tabs>
          <w:tab w:val="left" w:pos="0"/>
          <w:tab w:val="left" w:pos="851"/>
        </w:tabs>
        <w:ind w:left="851"/>
        <w:rPr>
          <w:sz w:val="24"/>
          <w:szCs w:val="24"/>
          <w:lang w:eastAsia="da-DK"/>
        </w:rPr>
      </w:pPr>
      <w:proofErr w:type="spellStart"/>
      <w:r w:rsidRPr="00AC1736">
        <w:rPr>
          <w:sz w:val="24"/>
          <w:szCs w:val="24"/>
        </w:rPr>
        <w:t>Alfentanil</w:t>
      </w:r>
      <w:proofErr w:type="spellEnd"/>
      <w:r w:rsidRPr="00AC1736">
        <w:rPr>
          <w:sz w:val="24"/>
          <w:szCs w:val="24"/>
        </w:rPr>
        <w:t xml:space="preserve"> er et potent, hurtigt og kortvarigt virkende </w:t>
      </w:r>
      <w:proofErr w:type="spellStart"/>
      <w:r w:rsidRPr="00AC1736">
        <w:rPr>
          <w:sz w:val="24"/>
          <w:szCs w:val="24"/>
        </w:rPr>
        <w:t>opioidt</w:t>
      </w:r>
      <w:proofErr w:type="spellEnd"/>
      <w:r w:rsidRPr="00AC1736">
        <w:rPr>
          <w:sz w:val="24"/>
          <w:szCs w:val="24"/>
        </w:rPr>
        <w:t xml:space="preserve"> </w:t>
      </w:r>
      <w:proofErr w:type="spellStart"/>
      <w:r w:rsidRPr="00AC1736">
        <w:rPr>
          <w:sz w:val="24"/>
          <w:szCs w:val="24"/>
        </w:rPr>
        <w:t>analgetikum</w:t>
      </w:r>
      <w:proofErr w:type="spellEnd"/>
      <w:r w:rsidRPr="00AC1736">
        <w:rPr>
          <w:sz w:val="24"/>
          <w:szCs w:val="24"/>
        </w:rPr>
        <w:t>, der kemisk er beslægtet med fentanyl.</w:t>
      </w:r>
    </w:p>
    <w:p w:rsidR="001935D4" w:rsidRPr="00AC1736" w:rsidRDefault="001935D4" w:rsidP="001935D4">
      <w:pPr>
        <w:tabs>
          <w:tab w:val="left" w:pos="0"/>
          <w:tab w:val="left" w:pos="851"/>
        </w:tabs>
        <w:ind w:left="851"/>
        <w:rPr>
          <w:sz w:val="24"/>
          <w:szCs w:val="24"/>
        </w:rPr>
      </w:pPr>
      <w:r w:rsidRPr="00AC1736">
        <w:rPr>
          <w:sz w:val="24"/>
          <w:szCs w:val="24"/>
        </w:rPr>
        <w:t xml:space="preserve">Efter intravenøs administration af </w:t>
      </w:r>
      <w:proofErr w:type="spellStart"/>
      <w:r w:rsidRPr="00AC1736">
        <w:rPr>
          <w:sz w:val="24"/>
          <w:szCs w:val="24"/>
        </w:rPr>
        <w:t>alfentanil</w:t>
      </w:r>
      <w:proofErr w:type="spellEnd"/>
      <w:r w:rsidRPr="00AC1736">
        <w:rPr>
          <w:sz w:val="24"/>
          <w:szCs w:val="24"/>
        </w:rPr>
        <w:t xml:space="preserve"> indtræder virkningen næsten øjeblikkeligt, den indsættende virkning er kun en fjerdedel af en ækvivalent analgetisk dosis af fentanyl. Den maksimale analgetiske og respirationsdeprimerende virkning indtræder inden for 1-2 minutter.</w:t>
      </w:r>
    </w:p>
    <w:p w:rsidR="001935D4" w:rsidRPr="00AC1736" w:rsidRDefault="001935D4" w:rsidP="001935D4">
      <w:pPr>
        <w:tabs>
          <w:tab w:val="left" w:pos="0"/>
          <w:tab w:val="left" w:pos="851"/>
        </w:tabs>
        <w:ind w:left="851"/>
        <w:rPr>
          <w:sz w:val="24"/>
          <w:szCs w:val="24"/>
        </w:rPr>
      </w:pPr>
      <w:r w:rsidRPr="00AC1736">
        <w:rPr>
          <w:sz w:val="24"/>
          <w:szCs w:val="24"/>
        </w:rPr>
        <w:t xml:space="preserve">Virkningstiden for </w:t>
      </w:r>
      <w:proofErr w:type="spellStart"/>
      <w:r w:rsidRPr="00AC1736">
        <w:rPr>
          <w:sz w:val="24"/>
          <w:szCs w:val="24"/>
        </w:rPr>
        <w:t>alfentanil</w:t>
      </w:r>
      <w:proofErr w:type="spellEnd"/>
      <w:r w:rsidRPr="00AC1736">
        <w:rPr>
          <w:sz w:val="24"/>
          <w:szCs w:val="24"/>
        </w:rPr>
        <w:t xml:space="preserve"> er kun en tredjedel af den tilsvarende analgetiske dosis af fentanyl, og den er klart dosisafhængig. Til analgesi, der varer længere end 60 minutter, foretrækkes infusion. </w:t>
      </w:r>
      <w:proofErr w:type="spellStart"/>
      <w:r w:rsidRPr="00AC1736">
        <w:rPr>
          <w:sz w:val="24"/>
          <w:szCs w:val="24"/>
        </w:rPr>
        <w:t>Alfentanils</w:t>
      </w:r>
      <w:proofErr w:type="spellEnd"/>
      <w:r w:rsidRPr="00AC1736">
        <w:rPr>
          <w:sz w:val="24"/>
          <w:szCs w:val="24"/>
        </w:rPr>
        <w:t xml:space="preserve"> deprimerende effekt på respirationsfrekvensen og den alveolære ventilation er også kortere end fentanyls, og i de fleste tilfælde varer den analgetiske effekt længere end respirationsdepressionen. Respirationsdepressionens varighed og sværhedsgrad er dosisafhængig.</w:t>
      </w:r>
    </w:p>
    <w:p w:rsidR="001935D4" w:rsidRPr="00AC1736" w:rsidRDefault="001935D4" w:rsidP="001935D4">
      <w:pPr>
        <w:tabs>
          <w:tab w:val="left" w:pos="0"/>
          <w:tab w:val="left" w:pos="851"/>
        </w:tabs>
        <w:ind w:left="851"/>
        <w:rPr>
          <w:sz w:val="24"/>
          <w:szCs w:val="24"/>
        </w:rPr>
      </w:pPr>
      <w:proofErr w:type="spellStart"/>
      <w:r w:rsidRPr="00AC1736">
        <w:rPr>
          <w:sz w:val="24"/>
          <w:szCs w:val="24"/>
        </w:rPr>
        <w:t>Alfentanil</w:t>
      </w:r>
      <w:proofErr w:type="spellEnd"/>
      <w:r w:rsidRPr="00AC1736">
        <w:rPr>
          <w:sz w:val="24"/>
          <w:szCs w:val="24"/>
        </w:rPr>
        <w:t xml:space="preserve"> kan sammen med andre </w:t>
      </w:r>
      <w:proofErr w:type="spellStart"/>
      <w:r w:rsidRPr="00AC1736">
        <w:rPr>
          <w:sz w:val="24"/>
          <w:szCs w:val="24"/>
        </w:rPr>
        <w:t>opioide</w:t>
      </w:r>
      <w:proofErr w:type="spellEnd"/>
      <w:r w:rsidRPr="00AC1736">
        <w:rPr>
          <w:sz w:val="24"/>
          <w:szCs w:val="24"/>
        </w:rPr>
        <w:t xml:space="preserve"> </w:t>
      </w:r>
      <w:proofErr w:type="spellStart"/>
      <w:r w:rsidRPr="00AC1736">
        <w:rPr>
          <w:sz w:val="24"/>
          <w:szCs w:val="24"/>
        </w:rPr>
        <w:t>analgetika</w:t>
      </w:r>
      <w:proofErr w:type="spellEnd"/>
      <w:r w:rsidRPr="00AC1736">
        <w:rPr>
          <w:sz w:val="24"/>
          <w:szCs w:val="24"/>
        </w:rPr>
        <w:t xml:space="preserve"> - og afhængigt af dosis og administrationshastighed - forårsage muskelrigiditet, såvel som eufori, </w:t>
      </w:r>
      <w:proofErr w:type="spellStart"/>
      <w:r w:rsidRPr="00AC1736">
        <w:rPr>
          <w:sz w:val="24"/>
          <w:szCs w:val="24"/>
        </w:rPr>
        <w:t>miosis</w:t>
      </w:r>
      <w:proofErr w:type="spellEnd"/>
      <w:r w:rsidRPr="00AC1736">
        <w:rPr>
          <w:sz w:val="24"/>
          <w:szCs w:val="24"/>
        </w:rPr>
        <w:t xml:space="preserve"> og bradykardi.</w:t>
      </w:r>
    </w:p>
    <w:p w:rsidR="001935D4" w:rsidRPr="00AC1736" w:rsidRDefault="001935D4" w:rsidP="001935D4">
      <w:pPr>
        <w:tabs>
          <w:tab w:val="left" w:pos="0"/>
          <w:tab w:val="left" w:pos="851"/>
        </w:tabs>
        <w:ind w:left="851"/>
        <w:rPr>
          <w:sz w:val="24"/>
          <w:szCs w:val="24"/>
        </w:rPr>
      </w:pPr>
      <w:r w:rsidRPr="00AC1736">
        <w:rPr>
          <w:sz w:val="24"/>
          <w:szCs w:val="24"/>
        </w:rPr>
        <w:t xml:space="preserve">Ved doser op til 200 mikrogram/kg </w:t>
      </w:r>
      <w:proofErr w:type="spellStart"/>
      <w:r w:rsidRPr="00AC1736">
        <w:rPr>
          <w:sz w:val="24"/>
          <w:szCs w:val="24"/>
        </w:rPr>
        <w:t>alfentanil</w:t>
      </w:r>
      <w:proofErr w:type="spellEnd"/>
      <w:r w:rsidRPr="00AC1736">
        <w:rPr>
          <w:sz w:val="24"/>
          <w:szCs w:val="24"/>
        </w:rPr>
        <w:t xml:space="preserve"> var der ingen signifikant øgning i histamin-koncentration eller klinisk tegn på histaminfrigivelse.</w:t>
      </w:r>
    </w:p>
    <w:p w:rsidR="001935D4" w:rsidRPr="00AC1736" w:rsidRDefault="001935D4" w:rsidP="001935D4">
      <w:pPr>
        <w:tabs>
          <w:tab w:val="left" w:pos="0"/>
          <w:tab w:val="left" w:pos="851"/>
        </w:tabs>
        <w:ind w:left="851"/>
        <w:rPr>
          <w:sz w:val="24"/>
          <w:szCs w:val="24"/>
        </w:rPr>
      </w:pPr>
      <w:r w:rsidRPr="00AC1736">
        <w:rPr>
          <w:sz w:val="24"/>
          <w:szCs w:val="24"/>
        </w:rPr>
        <w:t xml:space="preserve">Restitutionen efter indgift af </w:t>
      </w:r>
      <w:proofErr w:type="spellStart"/>
      <w:r w:rsidRPr="00AC1736">
        <w:rPr>
          <w:sz w:val="24"/>
          <w:szCs w:val="24"/>
        </w:rPr>
        <w:t>alfentanil</w:t>
      </w:r>
      <w:proofErr w:type="spellEnd"/>
      <w:r w:rsidRPr="00AC1736">
        <w:rPr>
          <w:sz w:val="24"/>
          <w:szCs w:val="24"/>
        </w:rPr>
        <w:t xml:space="preserve"> er typisk hurtig og rolig med lav </w:t>
      </w:r>
      <w:proofErr w:type="spellStart"/>
      <w:r w:rsidRPr="00AC1736">
        <w:rPr>
          <w:sz w:val="24"/>
          <w:szCs w:val="24"/>
        </w:rPr>
        <w:t>incidens</w:t>
      </w:r>
      <w:proofErr w:type="spellEnd"/>
      <w:r w:rsidRPr="00AC1736">
        <w:rPr>
          <w:sz w:val="24"/>
          <w:szCs w:val="24"/>
        </w:rPr>
        <w:t xml:space="preserve"> af postoperativ kvalme og opkastning.</w:t>
      </w:r>
    </w:p>
    <w:p w:rsidR="001935D4" w:rsidRPr="00AC1736" w:rsidRDefault="001935D4" w:rsidP="001935D4">
      <w:pPr>
        <w:tabs>
          <w:tab w:val="left" w:pos="0"/>
          <w:tab w:val="left" w:pos="851"/>
        </w:tabs>
        <w:ind w:left="851"/>
        <w:rPr>
          <w:sz w:val="24"/>
          <w:szCs w:val="24"/>
        </w:rPr>
      </w:pPr>
      <w:proofErr w:type="spellStart"/>
      <w:r w:rsidRPr="00AC1736">
        <w:rPr>
          <w:sz w:val="24"/>
          <w:szCs w:val="24"/>
        </w:rPr>
        <w:lastRenderedPageBreak/>
        <w:t>Alfentanils</w:t>
      </w:r>
      <w:proofErr w:type="spellEnd"/>
      <w:r w:rsidRPr="00AC1736">
        <w:rPr>
          <w:sz w:val="24"/>
          <w:szCs w:val="24"/>
        </w:rPr>
        <w:t xml:space="preserve"> virkning bliver ophævet ved en specifik opioidantagonist, så som </w:t>
      </w:r>
      <w:proofErr w:type="spellStart"/>
      <w:r w:rsidRPr="00AC1736">
        <w:rPr>
          <w:sz w:val="24"/>
          <w:szCs w:val="24"/>
        </w:rPr>
        <w:t>naloxon</w:t>
      </w:r>
      <w:proofErr w:type="spellEnd"/>
      <w:r w:rsidRPr="00AC1736">
        <w:rPr>
          <w:sz w:val="24"/>
          <w:szCs w:val="24"/>
        </w:rPr>
        <w:t>.</w:t>
      </w:r>
    </w:p>
    <w:p w:rsidR="001935D4" w:rsidRPr="00AC1736" w:rsidRDefault="001935D4" w:rsidP="008D283B">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5.2</w:t>
      </w:r>
      <w:r w:rsidRPr="00AC1736">
        <w:rPr>
          <w:b/>
          <w:sz w:val="24"/>
          <w:szCs w:val="24"/>
        </w:rPr>
        <w:tab/>
      </w:r>
      <w:proofErr w:type="spellStart"/>
      <w:r w:rsidRPr="00AC1736">
        <w:rPr>
          <w:b/>
          <w:sz w:val="24"/>
          <w:szCs w:val="24"/>
        </w:rPr>
        <w:t>Farmakokinetiske</w:t>
      </w:r>
      <w:proofErr w:type="spellEnd"/>
      <w:r w:rsidRPr="00AC1736">
        <w:rPr>
          <w:b/>
          <w:sz w:val="24"/>
          <w:szCs w:val="24"/>
        </w:rPr>
        <w:t xml:space="preserve"> egenskaber</w:t>
      </w:r>
    </w:p>
    <w:p w:rsidR="001935D4" w:rsidRPr="00AC1736" w:rsidRDefault="001935D4" w:rsidP="001935D4">
      <w:pPr>
        <w:tabs>
          <w:tab w:val="left" w:pos="0"/>
          <w:tab w:val="left" w:pos="851"/>
        </w:tabs>
        <w:ind w:left="851"/>
        <w:rPr>
          <w:bCs/>
          <w:sz w:val="24"/>
          <w:szCs w:val="24"/>
          <w:lang w:eastAsia="da-DK"/>
        </w:rPr>
      </w:pPr>
      <w:proofErr w:type="spellStart"/>
      <w:r w:rsidRPr="00AC1736">
        <w:rPr>
          <w:sz w:val="24"/>
          <w:szCs w:val="24"/>
        </w:rPr>
        <w:t>Alfentanil</w:t>
      </w:r>
      <w:proofErr w:type="spellEnd"/>
      <w:r w:rsidRPr="00AC1736">
        <w:rPr>
          <w:sz w:val="24"/>
          <w:szCs w:val="24"/>
        </w:rPr>
        <w:t xml:space="preserve"> er et syntetisk opioid med </w:t>
      </w:r>
      <w:r w:rsidRPr="00AC1736">
        <w:rPr>
          <w:bCs/>
          <w:sz w:val="24"/>
          <w:szCs w:val="24"/>
          <w:lang w:val="en-GB"/>
        </w:rPr>
        <w:sym w:font="Symbol" w:char="F06D"/>
      </w:r>
      <w:r w:rsidRPr="00AC1736">
        <w:rPr>
          <w:bCs/>
          <w:sz w:val="24"/>
          <w:szCs w:val="24"/>
        </w:rPr>
        <w:noBreakHyphen/>
      </w:r>
      <w:r w:rsidRPr="00AC1736">
        <w:rPr>
          <w:sz w:val="24"/>
          <w:szCs w:val="24"/>
        </w:rPr>
        <w:t xml:space="preserve">agonist farmakologisk virkning. </w:t>
      </w:r>
      <w:proofErr w:type="spellStart"/>
      <w:r w:rsidRPr="00AC1736">
        <w:rPr>
          <w:sz w:val="24"/>
          <w:szCs w:val="24"/>
        </w:rPr>
        <w:t>Alfentanil</w:t>
      </w:r>
      <w:proofErr w:type="spellEnd"/>
      <w:r w:rsidRPr="00AC1736">
        <w:rPr>
          <w:sz w:val="24"/>
          <w:szCs w:val="24"/>
        </w:rPr>
        <w:t xml:space="preserve"> bruges kun intravenøst.</w:t>
      </w:r>
    </w:p>
    <w:p w:rsidR="001935D4" w:rsidRPr="00AC1736" w:rsidRDefault="001935D4" w:rsidP="001935D4">
      <w:pPr>
        <w:tabs>
          <w:tab w:val="left" w:pos="0"/>
          <w:tab w:val="left" w:pos="851"/>
        </w:tabs>
        <w:ind w:left="851"/>
        <w:rPr>
          <w:bCs/>
          <w:sz w:val="24"/>
          <w:szCs w:val="24"/>
        </w:rPr>
      </w:pPr>
    </w:p>
    <w:p w:rsidR="001935D4" w:rsidRPr="00AC1736" w:rsidRDefault="001935D4" w:rsidP="001935D4">
      <w:pPr>
        <w:tabs>
          <w:tab w:val="left" w:pos="0"/>
          <w:tab w:val="left" w:pos="851"/>
        </w:tabs>
        <w:ind w:left="851"/>
        <w:rPr>
          <w:sz w:val="24"/>
          <w:szCs w:val="24"/>
          <w:u w:val="single"/>
        </w:rPr>
      </w:pPr>
      <w:r w:rsidRPr="00AC1736">
        <w:rPr>
          <w:sz w:val="24"/>
          <w:szCs w:val="24"/>
          <w:u w:val="single"/>
        </w:rPr>
        <w:t>Fordeling</w:t>
      </w:r>
    </w:p>
    <w:p w:rsidR="001935D4" w:rsidRPr="00AC1736" w:rsidRDefault="001935D4" w:rsidP="001935D4">
      <w:pPr>
        <w:tabs>
          <w:tab w:val="left" w:pos="0"/>
          <w:tab w:val="left" w:pos="851"/>
        </w:tabs>
        <w:ind w:left="851"/>
        <w:rPr>
          <w:sz w:val="24"/>
          <w:szCs w:val="24"/>
        </w:rPr>
      </w:pPr>
      <w:r w:rsidRPr="00AC1736">
        <w:rPr>
          <w:sz w:val="24"/>
          <w:szCs w:val="24"/>
        </w:rPr>
        <w:t>Den lave ionisation (11</w:t>
      </w:r>
      <w:r>
        <w:rPr>
          <w:sz w:val="24"/>
          <w:szCs w:val="24"/>
        </w:rPr>
        <w:t xml:space="preserve"> %</w:t>
      </w:r>
      <w:r w:rsidRPr="00AC1736">
        <w:rPr>
          <w:sz w:val="24"/>
          <w:szCs w:val="24"/>
        </w:rPr>
        <w:t xml:space="preserve"> ved pH 7,4) bidrager signifikant til den hurtige fordeling. Fordeling i vævene er begrænset: det totale fordelingsvolumen varierer fra 0,4 til 1,0 l/kg, hvilket er ca. en fjerdedel til en tiendedel af fentanyls.</w:t>
      </w:r>
    </w:p>
    <w:p w:rsidR="001935D4" w:rsidRPr="00AC1736" w:rsidRDefault="001935D4" w:rsidP="001935D4">
      <w:pPr>
        <w:tabs>
          <w:tab w:val="left" w:pos="0"/>
          <w:tab w:val="left" w:pos="851"/>
        </w:tabs>
        <w:ind w:left="851"/>
        <w:rPr>
          <w:sz w:val="24"/>
          <w:szCs w:val="24"/>
        </w:rPr>
      </w:pPr>
    </w:p>
    <w:p w:rsidR="001935D4" w:rsidRPr="00AC1736" w:rsidRDefault="001935D4" w:rsidP="001935D4">
      <w:pPr>
        <w:tabs>
          <w:tab w:val="left" w:pos="0"/>
          <w:tab w:val="left" w:pos="851"/>
        </w:tabs>
        <w:ind w:left="851"/>
        <w:rPr>
          <w:sz w:val="24"/>
          <w:szCs w:val="24"/>
        </w:rPr>
      </w:pPr>
      <w:proofErr w:type="spellStart"/>
      <w:r w:rsidRPr="00AC1736">
        <w:rPr>
          <w:sz w:val="24"/>
          <w:szCs w:val="24"/>
        </w:rPr>
        <w:t>Alfentanils</w:t>
      </w:r>
      <w:proofErr w:type="spellEnd"/>
      <w:r w:rsidRPr="00AC1736">
        <w:rPr>
          <w:sz w:val="24"/>
          <w:szCs w:val="24"/>
        </w:rPr>
        <w:t xml:space="preserve"> begrænsede lipidopløselighed og kraftige plasmaproteinbinding (92</w:t>
      </w:r>
      <w:r>
        <w:rPr>
          <w:sz w:val="24"/>
          <w:szCs w:val="24"/>
        </w:rPr>
        <w:t xml:space="preserve"> %</w:t>
      </w:r>
      <w:r w:rsidRPr="00AC1736">
        <w:rPr>
          <w:sz w:val="24"/>
          <w:szCs w:val="24"/>
        </w:rPr>
        <w:t>) bidrager til dets begrænsede fordelingsvolumen.</w:t>
      </w:r>
    </w:p>
    <w:p w:rsidR="001935D4" w:rsidRPr="00AC1736" w:rsidRDefault="001935D4" w:rsidP="001935D4">
      <w:pPr>
        <w:tabs>
          <w:tab w:val="left" w:pos="0"/>
          <w:tab w:val="left" w:pos="851"/>
        </w:tabs>
        <w:ind w:left="851"/>
        <w:rPr>
          <w:sz w:val="24"/>
          <w:szCs w:val="24"/>
        </w:rPr>
      </w:pPr>
    </w:p>
    <w:p w:rsidR="001935D4" w:rsidRPr="00AC1736" w:rsidRDefault="001935D4" w:rsidP="001935D4">
      <w:pPr>
        <w:tabs>
          <w:tab w:val="left" w:pos="0"/>
          <w:tab w:val="left" w:pos="851"/>
        </w:tabs>
        <w:ind w:left="851"/>
        <w:rPr>
          <w:bCs/>
          <w:sz w:val="24"/>
          <w:szCs w:val="24"/>
          <w:u w:val="single"/>
        </w:rPr>
      </w:pPr>
      <w:r w:rsidRPr="00AC1736">
        <w:rPr>
          <w:bCs/>
          <w:sz w:val="24"/>
          <w:szCs w:val="24"/>
          <w:u w:val="single"/>
        </w:rPr>
        <w:t>Biotransformation</w:t>
      </w:r>
    </w:p>
    <w:p w:rsidR="001935D4" w:rsidRPr="00AC1736" w:rsidRDefault="001935D4" w:rsidP="001935D4">
      <w:pPr>
        <w:tabs>
          <w:tab w:val="left" w:pos="0"/>
          <w:tab w:val="left" w:pos="851"/>
        </w:tabs>
        <w:ind w:left="851"/>
        <w:rPr>
          <w:sz w:val="24"/>
          <w:szCs w:val="24"/>
        </w:rPr>
      </w:pPr>
      <w:proofErr w:type="spellStart"/>
      <w:r w:rsidRPr="00AC1736">
        <w:rPr>
          <w:sz w:val="24"/>
          <w:szCs w:val="24"/>
        </w:rPr>
        <w:t>Alfentanil</w:t>
      </w:r>
      <w:proofErr w:type="spellEnd"/>
      <w:r w:rsidRPr="00AC1736">
        <w:rPr>
          <w:sz w:val="24"/>
          <w:szCs w:val="24"/>
        </w:rPr>
        <w:t xml:space="preserve"> </w:t>
      </w:r>
      <w:proofErr w:type="spellStart"/>
      <w:r w:rsidRPr="00AC1736">
        <w:rPr>
          <w:sz w:val="24"/>
          <w:szCs w:val="24"/>
        </w:rPr>
        <w:t>metaboliseres</w:t>
      </w:r>
      <w:proofErr w:type="spellEnd"/>
      <w:r w:rsidRPr="00AC1736">
        <w:rPr>
          <w:sz w:val="24"/>
          <w:szCs w:val="24"/>
        </w:rPr>
        <w:t xml:space="preserve"> hovedsageligt i leveren. Kun 1</w:t>
      </w:r>
      <w:r>
        <w:rPr>
          <w:sz w:val="24"/>
          <w:szCs w:val="24"/>
        </w:rPr>
        <w:t xml:space="preserve"> %</w:t>
      </w:r>
      <w:r w:rsidRPr="00AC1736">
        <w:rPr>
          <w:sz w:val="24"/>
          <w:szCs w:val="24"/>
        </w:rPr>
        <w:t xml:space="preserve"> af det aktive stof findes uændret i urinen. Metabolitterne er inaktive og 70 til 80</w:t>
      </w:r>
      <w:r>
        <w:rPr>
          <w:sz w:val="24"/>
          <w:szCs w:val="24"/>
        </w:rPr>
        <w:t xml:space="preserve"> %</w:t>
      </w:r>
      <w:r w:rsidRPr="00AC1736">
        <w:rPr>
          <w:sz w:val="24"/>
          <w:szCs w:val="24"/>
        </w:rPr>
        <w:t xml:space="preserve"> af dem bliver udskilt med urinen.</w:t>
      </w:r>
    </w:p>
    <w:p w:rsidR="001935D4" w:rsidRPr="00AC1736" w:rsidRDefault="001935D4" w:rsidP="001935D4">
      <w:pPr>
        <w:pStyle w:val="Ingenafstand"/>
        <w:ind w:left="851"/>
        <w:rPr>
          <w:sz w:val="24"/>
          <w:szCs w:val="24"/>
        </w:rPr>
      </w:pPr>
    </w:p>
    <w:p w:rsidR="001935D4" w:rsidRPr="00AC1736" w:rsidRDefault="001935D4" w:rsidP="001935D4">
      <w:pPr>
        <w:pStyle w:val="Ingenafstand"/>
        <w:ind w:left="851"/>
        <w:rPr>
          <w:sz w:val="24"/>
          <w:szCs w:val="24"/>
          <w:u w:val="single"/>
        </w:rPr>
      </w:pPr>
      <w:r w:rsidRPr="00AC1736">
        <w:rPr>
          <w:sz w:val="24"/>
          <w:szCs w:val="24"/>
          <w:u w:val="single"/>
        </w:rPr>
        <w:t>Elimination</w:t>
      </w:r>
    </w:p>
    <w:p w:rsidR="001935D4" w:rsidRPr="00AC1736" w:rsidRDefault="001935D4" w:rsidP="001935D4">
      <w:pPr>
        <w:tabs>
          <w:tab w:val="left" w:pos="0"/>
          <w:tab w:val="left" w:pos="851"/>
        </w:tabs>
        <w:ind w:left="851"/>
        <w:rPr>
          <w:sz w:val="24"/>
          <w:szCs w:val="24"/>
        </w:rPr>
      </w:pPr>
      <w:proofErr w:type="spellStart"/>
      <w:r w:rsidRPr="00AC1736">
        <w:rPr>
          <w:sz w:val="24"/>
          <w:szCs w:val="24"/>
        </w:rPr>
        <w:t>Alfentanil</w:t>
      </w:r>
      <w:proofErr w:type="spellEnd"/>
      <w:r w:rsidRPr="00AC1736">
        <w:rPr>
          <w:sz w:val="24"/>
          <w:szCs w:val="24"/>
        </w:rPr>
        <w:t xml:space="preserve"> elimineres hurtigt efter intravenøs administration. Der er indberettet terminale halveringstider på 83-223 min. </w:t>
      </w:r>
      <w:proofErr w:type="spellStart"/>
      <w:r w:rsidRPr="00AC1736">
        <w:rPr>
          <w:sz w:val="24"/>
          <w:szCs w:val="24"/>
        </w:rPr>
        <w:t>Plasmaclearance</w:t>
      </w:r>
      <w:proofErr w:type="spellEnd"/>
      <w:r w:rsidRPr="00AC1736">
        <w:rPr>
          <w:sz w:val="24"/>
          <w:szCs w:val="24"/>
        </w:rPr>
        <w:t xml:space="preserve"> hos personer under 40 år er gennemsnitlig 356 ml/min. og falder cirka 8</w:t>
      </w:r>
      <w:r>
        <w:rPr>
          <w:sz w:val="24"/>
          <w:szCs w:val="24"/>
        </w:rPr>
        <w:t xml:space="preserve"> %</w:t>
      </w:r>
      <w:r w:rsidRPr="00AC1736">
        <w:rPr>
          <w:sz w:val="24"/>
          <w:szCs w:val="24"/>
        </w:rPr>
        <w:t xml:space="preserve"> pr. decennium efter 40-års alderen. Udskillelse sker meget hurtigt: sekventielle fordelingshalveringstider er 1 og 14 min. og den totale halveringstid er 90-111 min. (interval 50-150 minutter), hvilket er flere gange kortere end fentanyls og </w:t>
      </w:r>
      <w:proofErr w:type="spellStart"/>
      <w:r w:rsidRPr="00AC1736">
        <w:rPr>
          <w:sz w:val="24"/>
          <w:szCs w:val="24"/>
        </w:rPr>
        <w:t>sufentanils</w:t>
      </w:r>
      <w:proofErr w:type="spellEnd"/>
      <w:r w:rsidRPr="00AC1736">
        <w:rPr>
          <w:sz w:val="24"/>
          <w:szCs w:val="24"/>
        </w:rPr>
        <w:t xml:space="preserve">. Når </w:t>
      </w:r>
      <w:proofErr w:type="spellStart"/>
      <w:r w:rsidRPr="00AC1736">
        <w:rPr>
          <w:sz w:val="24"/>
          <w:szCs w:val="24"/>
        </w:rPr>
        <w:t>steady-state</w:t>
      </w:r>
      <w:proofErr w:type="spellEnd"/>
      <w:r w:rsidRPr="00AC1736">
        <w:rPr>
          <w:sz w:val="24"/>
          <w:szCs w:val="24"/>
        </w:rPr>
        <w:t xml:space="preserve"> er opnået ved infusion, forbliver halveringstiden uændret.</w:t>
      </w:r>
    </w:p>
    <w:p w:rsidR="001935D4" w:rsidRPr="00AC1736" w:rsidRDefault="001935D4" w:rsidP="001935D4">
      <w:pPr>
        <w:tabs>
          <w:tab w:val="left" w:pos="0"/>
          <w:tab w:val="left" w:pos="851"/>
        </w:tabs>
        <w:ind w:left="851"/>
        <w:rPr>
          <w:sz w:val="24"/>
          <w:szCs w:val="24"/>
        </w:rPr>
      </w:pPr>
      <w:r w:rsidRPr="00AC1736">
        <w:rPr>
          <w:sz w:val="24"/>
          <w:szCs w:val="24"/>
        </w:rPr>
        <w:t>Når administrationen ophører, vågner patienten hurtigt uden opioideftervirkninger.</w:t>
      </w:r>
    </w:p>
    <w:p w:rsidR="001935D4" w:rsidRPr="00AC1736" w:rsidRDefault="001935D4" w:rsidP="001935D4">
      <w:pPr>
        <w:tabs>
          <w:tab w:val="left" w:pos="0"/>
          <w:tab w:val="left" w:pos="851"/>
        </w:tabs>
        <w:ind w:left="851"/>
        <w:rPr>
          <w:sz w:val="24"/>
          <w:szCs w:val="24"/>
        </w:rPr>
      </w:pPr>
    </w:p>
    <w:p w:rsidR="001935D4" w:rsidRPr="00AC1736" w:rsidRDefault="001935D4" w:rsidP="001935D4">
      <w:pPr>
        <w:tabs>
          <w:tab w:val="left" w:pos="0"/>
          <w:tab w:val="left" w:pos="851"/>
        </w:tabs>
        <w:ind w:left="851"/>
        <w:rPr>
          <w:bCs/>
          <w:sz w:val="24"/>
          <w:szCs w:val="24"/>
          <w:u w:val="single"/>
        </w:rPr>
      </w:pPr>
      <w:r w:rsidRPr="00AC1736">
        <w:rPr>
          <w:bCs/>
          <w:sz w:val="24"/>
          <w:szCs w:val="24"/>
          <w:u w:val="single"/>
        </w:rPr>
        <w:t>Særlige populationer</w:t>
      </w:r>
    </w:p>
    <w:p w:rsidR="001935D4" w:rsidRPr="00AC1736" w:rsidRDefault="001935D4" w:rsidP="001935D4">
      <w:pPr>
        <w:tabs>
          <w:tab w:val="left" w:pos="0"/>
          <w:tab w:val="left" w:pos="851"/>
        </w:tabs>
        <w:ind w:left="851"/>
        <w:rPr>
          <w:i/>
          <w:sz w:val="24"/>
          <w:szCs w:val="24"/>
        </w:rPr>
      </w:pPr>
    </w:p>
    <w:p w:rsidR="001935D4" w:rsidRPr="00AC1736" w:rsidRDefault="001935D4" w:rsidP="001935D4">
      <w:pPr>
        <w:tabs>
          <w:tab w:val="left" w:pos="0"/>
          <w:tab w:val="left" w:pos="851"/>
        </w:tabs>
        <w:ind w:left="851"/>
        <w:rPr>
          <w:i/>
          <w:sz w:val="24"/>
          <w:szCs w:val="24"/>
        </w:rPr>
      </w:pPr>
      <w:r w:rsidRPr="00AC1736">
        <w:rPr>
          <w:i/>
          <w:sz w:val="24"/>
          <w:szCs w:val="24"/>
        </w:rPr>
        <w:t>Pædiatrisk population</w:t>
      </w:r>
    </w:p>
    <w:p w:rsidR="001935D4" w:rsidRPr="00AC1736" w:rsidRDefault="001935D4" w:rsidP="001935D4">
      <w:pPr>
        <w:ind w:left="851"/>
        <w:rPr>
          <w:sz w:val="24"/>
          <w:szCs w:val="24"/>
        </w:rPr>
      </w:pPr>
      <w:r w:rsidRPr="00AC1736">
        <w:rPr>
          <w:sz w:val="24"/>
          <w:szCs w:val="24"/>
        </w:rPr>
        <w:t xml:space="preserve">Der foreligger kun begrænsede pædiatriske data. Værdierne for de </w:t>
      </w:r>
      <w:proofErr w:type="spellStart"/>
      <w:r w:rsidRPr="00AC1736">
        <w:rPr>
          <w:sz w:val="24"/>
          <w:szCs w:val="24"/>
        </w:rPr>
        <w:t>farmakokinetiske</w:t>
      </w:r>
      <w:proofErr w:type="spellEnd"/>
      <w:r w:rsidRPr="00AC1736">
        <w:rPr>
          <w:sz w:val="24"/>
          <w:szCs w:val="24"/>
        </w:rPr>
        <w:t xml:space="preserve"> parametre fremgår af nedenstående tabel.</w:t>
      </w:r>
    </w:p>
    <w:p w:rsidR="001935D4" w:rsidRPr="00AC1736" w:rsidRDefault="001935D4" w:rsidP="008D283B">
      <w:pPr>
        <w:ind w:left="851"/>
        <w:rPr>
          <w:sz w:val="24"/>
          <w:szCs w:val="24"/>
        </w:rPr>
      </w:pPr>
    </w:p>
    <w:p w:rsidR="001935D4" w:rsidRPr="00AC1736" w:rsidRDefault="001935D4" w:rsidP="001935D4">
      <w:pPr>
        <w:tabs>
          <w:tab w:val="left" w:pos="851"/>
        </w:tabs>
        <w:ind w:left="851" w:hanging="851"/>
        <w:rPr>
          <w:rFonts w:eastAsia="Calibri"/>
          <w:b/>
          <w:sz w:val="24"/>
          <w:szCs w:val="24"/>
        </w:rPr>
      </w:pPr>
      <w:r w:rsidRPr="00AC1736">
        <w:rPr>
          <w:b/>
          <w:sz w:val="24"/>
          <w:szCs w:val="24"/>
        </w:rPr>
        <w:t>Tabel 3</w:t>
      </w:r>
      <w:r>
        <w:rPr>
          <w:b/>
          <w:sz w:val="24"/>
          <w:szCs w:val="24"/>
        </w:rPr>
        <w:t xml:space="preserve">. </w:t>
      </w:r>
      <w:proofErr w:type="spellStart"/>
      <w:r w:rsidRPr="00AC1736">
        <w:rPr>
          <w:b/>
          <w:sz w:val="24"/>
          <w:szCs w:val="24"/>
        </w:rPr>
        <w:t>Farmakokinetiske</w:t>
      </w:r>
      <w:proofErr w:type="spellEnd"/>
      <w:r w:rsidRPr="00AC1736">
        <w:rPr>
          <w:b/>
          <w:sz w:val="24"/>
          <w:szCs w:val="24"/>
        </w:rPr>
        <w:t xml:space="preserve"> parametre for </w:t>
      </w:r>
      <w:proofErr w:type="spellStart"/>
      <w:r w:rsidRPr="00AC1736">
        <w:rPr>
          <w:b/>
          <w:sz w:val="24"/>
          <w:szCs w:val="24"/>
        </w:rPr>
        <w:t>alfentanil</w:t>
      </w:r>
      <w:proofErr w:type="spellEnd"/>
      <w:r w:rsidRPr="00AC1736">
        <w:rPr>
          <w:b/>
          <w:sz w:val="24"/>
          <w:szCs w:val="24"/>
        </w:rPr>
        <w:t xml:space="preserve"> hos pædiatriske forsøgspersoner</w:t>
      </w:r>
    </w:p>
    <w:p w:rsidR="001935D4" w:rsidRPr="00AC1736" w:rsidRDefault="001935D4" w:rsidP="001935D4">
      <w:pPr>
        <w:tabs>
          <w:tab w:val="left" w:pos="0"/>
          <w:tab w:val="left" w:pos="851"/>
        </w:tabs>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1787"/>
        <w:gridCol w:w="2281"/>
        <w:gridCol w:w="1614"/>
      </w:tblGrid>
      <w:tr w:rsidR="001935D4" w:rsidRPr="00AC1736" w:rsidTr="00453A00">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b/>
                <w:sz w:val="24"/>
                <w:szCs w:val="24"/>
              </w:rPr>
            </w:pPr>
            <w:proofErr w:type="spellStart"/>
            <w:r w:rsidRPr="00AC1736">
              <w:rPr>
                <w:b/>
                <w:sz w:val="24"/>
                <w:szCs w:val="24"/>
              </w:rPr>
              <w:t>Farmakokinetiske</w:t>
            </w:r>
            <w:proofErr w:type="spellEnd"/>
            <w:r w:rsidRPr="00AC1736">
              <w:rPr>
                <w:b/>
                <w:sz w:val="24"/>
                <w:szCs w:val="24"/>
              </w:rPr>
              <w:t xml:space="preserve"> parametre for </w:t>
            </w:r>
            <w:proofErr w:type="spellStart"/>
            <w:r w:rsidRPr="00AC1736">
              <w:rPr>
                <w:b/>
                <w:sz w:val="24"/>
                <w:szCs w:val="24"/>
              </w:rPr>
              <w:t>alfentanil</w:t>
            </w:r>
            <w:proofErr w:type="spellEnd"/>
            <w:r w:rsidRPr="00AC1736">
              <w:rPr>
                <w:b/>
                <w:sz w:val="24"/>
                <w:szCs w:val="24"/>
              </w:rPr>
              <w:t xml:space="preserve"> hos pædiatriske forsøgspersoner</w:t>
            </w:r>
          </w:p>
        </w:tc>
      </w:tr>
      <w:tr w:rsidR="001935D4" w:rsidRPr="00AC1736" w:rsidTr="00453A00">
        <w:trPr>
          <w:trHeight w:val="340"/>
          <w:jc w:val="center"/>
        </w:trPr>
        <w:tc>
          <w:tcPr>
            <w:tcW w:w="2230" w:type="pct"/>
            <w:tcBorders>
              <w:top w:val="single" w:sz="4" w:space="0" w:color="auto"/>
              <w:left w:val="single" w:sz="4" w:space="0" w:color="auto"/>
              <w:bottom w:val="single" w:sz="4" w:space="0" w:color="auto"/>
              <w:right w:val="single" w:sz="4" w:space="0" w:color="auto"/>
            </w:tcBorders>
            <w:vAlign w:val="center"/>
          </w:tcPr>
          <w:p w:rsidR="001935D4" w:rsidRPr="00AC1736" w:rsidRDefault="001935D4" w:rsidP="00453A00">
            <w:pPr>
              <w:pStyle w:val="Ingenafstand"/>
              <w:ind w:left="851" w:hanging="851"/>
              <w:rPr>
                <w:b/>
                <w:snapToGrid w:val="0"/>
                <w:sz w:val="24"/>
                <w:szCs w:val="24"/>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b/>
                <w:sz w:val="24"/>
                <w:szCs w:val="24"/>
              </w:rPr>
            </w:pPr>
            <w:r w:rsidRPr="00AC1736">
              <w:rPr>
                <w:b/>
                <w:sz w:val="24"/>
                <w:szCs w:val="24"/>
              </w:rPr>
              <w:t>t</w:t>
            </w:r>
            <w:r w:rsidRPr="00AC1736">
              <w:rPr>
                <w:b/>
                <w:sz w:val="24"/>
                <w:szCs w:val="24"/>
                <w:vertAlign w:val="subscript"/>
              </w:rPr>
              <w:t xml:space="preserve">1/2β </w:t>
            </w:r>
            <w:r w:rsidRPr="00AC1736">
              <w:rPr>
                <w:b/>
                <w:sz w:val="24"/>
                <w:szCs w:val="24"/>
              </w:rPr>
              <w:t>(timer)</w:t>
            </w:r>
          </w:p>
        </w:tc>
        <w:tc>
          <w:tcPr>
            <w:tcW w:w="1000"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b/>
                <w:sz w:val="24"/>
                <w:szCs w:val="24"/>
              </w:rPr>
            </w:pPr>
            <w:r w:rsidRPr="00AC1736">
              <w:rPr>
                <w:b/>
                <w:sz w:val="24"/>
                <w:szCs w:val="24"/>
              </w:rPr>
              <w:t>CL (ml/kg/min)</w:t>
            </w:r>
          </w:p>
        </w:tc>
        <w:tc>
          <w:tcPr>
            <w:tcW w:w="923"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b/>
                <w:sz w:val="24"/>
                <w:szCs w:val="24"/>
              </w:rPr>
            </w:pPr>
            <w:proofErr w:type="spellStart"/>
            <w:r w:rsidRPr="00AC1736">
              <w:rPr>
                <w:b/>
                <w:sz w:val="24"/>
                <w:szCs w:val="24"/>
              </w:rPr>
              <w:t>Vd</w:t>
            </w:r>
            <w:r w:rsidRPr="00AC1736">
              <w:rPr>
                <w:b/>
                <w:sz w:val="24"/>
                <w:szCs w:val="24"/>
                <w:vertAlign w:val="subscript"/>
              </w:rPr>
              <w:t>ss</w:t>
            </w:r>
            <w:proofErr w:type="spellEnd"/>
            <w:r w:rsidRPr="00AC1736">
              <w:rPr>
                <w:b/>
                <w:sz w:val="24"/>
                <w:szCs w:val="24"/>
                <w:vertAlign w:val="subscript"/>
              </w:rPr>
              <w:t xml:space="preserve"> </w:t>
            </w:r>
            <w:r w:rsidRPr="00AC1736">
              <w:rPr>
                <w:b/>
                <w:sz w:val="24"/>
                <w:szCs w:val="24"/>
              </w:rPr>
              <w:t>(l/kg)</w:t>
            </w:r>
          </w:p>
        </w:tc>
      </w:tr>
      <w:tr w:rsidR="001935D4" w:rsidRPr="00AC1736" w:rsidTr="00453A00">
        <w:trPr>
          <w:jc w:val="center"/>
        </w:trPr>
        <w:tc>
          <w:tcPr>
            <w:tcW w:w="2230"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rPr>
                <w:sz w:val="24"/>
                <w:szCs w:val="24"/>
              </w:rPr>
            </w:pPr>
            <w:r w:rsidRPr="00AC1736">
              <w:rPr>
                <w:sz w:val="24"/>
                <w:szCs w:val="24"/>
              </w:rPr>
              <w:t>Præmature nyfødte (0-27 dage)</w:t>
            </w:r>
          </w:p>
          <w:p w:rsidR="001935D4" w:rsidRPr="00AC1736" w:rsidRDefault="001935D4" w:rsidP="00453A00">
            <w:pPr>
              <w:pStyle w:val="Ingenafstand"/>
              <w:ind w:left="851" w:hanging="851"/>
              <w:rPr>
                <w:sz w:val="24"/>
                <w:szCs w:val="24"/>
              </w:rPr>
            </w:pPr>
            <w:proofErr w:type="spellStart"/>
            <w:r w:rsidRPr="00AC1736">
              <w:rPr>
                <w:sz w:val="24"/>
                <w:szCs w:val="24"/>
              </w:rPr>
              <w:t>Gestationsalder</w:t>
            </w:r>
            <w:proofErr w:type="spellEnd"/>
            <w:r w:rsidRPr="00AC1736">
              <w:rPr>
                <w:sz w:val="24"/>
                <w:szCs w:val="24"/>
              </w:rPr>
              <w:t xml:space="preserve"> 25-40 uger; </w:t>
            </w:r>
            <w:r w:rsidRPr="00AC1736">
              <w:rPr>
                <w:bCs/>
                <w:i/>
                <w:sz w:val="24"/>
                <w:szCs w:val="24"/>
              </w:rPr>
              <w:t>n = 68</w:t>
            </w:r>
          </w:p>
        </w:tc>
        <w:tc>
          <w:tcPr>
            <w:tcW w:w="847"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0,7</w:t>
            </w:r>
            <w:r w:rsidRPr="00AC1736">
              <w:rPr>
                <w:snapToGrid w:val="0"/>
                <w:sz w:val="24"/>
                <w:szCs w:val="24"/>
              </w:rPr>
              <w:noBreakHyphen/>
              <w:t>8,8</w:t>
            </w:r>
          </w:p>
        </w:tc>
        <w:tc>
          <w:tcPr>
            <w:tcW w:w="1000"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0,9</w:t>
            </w:r>
            <w:r w:rsidRPr="00AC1736">
              <w:rPr>
                <w:snapToGrid w:val="0"/>
                <w:sz w:val="24"/>
                <w:szCs w:val="24"/>
              </w:rPr>
              <w:noBreakHyphen/>
              <w:t>8,4</w:t>
            </w:r>
          </w:p>
        </w:tc>
        <w:tc>
          <w:tcPr>
            <w:tcW w:w="923"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0,3</w:t>
            </w:r>
            <w:r w:rsidRPr="00AC1736">
              <w:rPr>
                <w:snapToGrid w:val="0"/>
                <w:sz w:val="24"/>
                <w:szCs w:val="24"/>
              </w:rPr>
              <w:noBreakHyphen/>
              <w:t>1,2</w:t>
            </w:r>
          </w:p>
        </w:tc>
      </w:tr>
      <w:tr w:rsidR="001935D4" w:rsidRPr="00AC1736" w:rsidTr="00453A00">
        <w:trPr>
          <w:jc w:val="center"/>
        </w:trPr>
        <w:tc>
          <w:tcPr>
            <w:tcW w:w="2230"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rPr>
                <w:sz w:val="24"/>
                <w:szCs w:val="24"/>
              </w:rPr>
            </w:pPr>
            <w:proofErr w:type="spellStart"/>
            <w:r w:rsidRPr="00AC1736">
              <w:rPr>
                <w:sz w:val="24"/>
                <w:szCs w:val="24"/>
              </w:rPr>
              <w:t>Mature</w:t>
            </w:r>
            <w:proofErr w:type="spellEnd"/>
            <w:r w:rsidRPr="00AC1736">
              <w:rPr>
                <w:sz w:val="24"/>
                <w:szCs w:val="24"/>
              </w:rPr>
              <w:t xml:space="preserve"> nyfødte (0-27 dage)</w:t>
            </w:r>
          </w:p>
          <w:p w:rsidR="001935D4" w:rsidRPr="00AC1736" w:rsidRDefault="001935D4" w:rsidP="00453A00">
            <w:pPr>
              <w:pStyle w:val="Ingenafstand"/>
              <w:ind w:left="851" w:hanging="851"/>
              <w:rPr>
                <w:sz w:val="24"/>
                <w:szCs w:val="24"/>
              </w:rPr>
            </w:pPr>
            <w:proofErr w:type="spellStart"/>
            <w:r w:rsidRPr="00AC1736">
              <w:rPr>
                <w:sz w:val="24"/>
                <w:szCs w:val="24"/>
              </w:rPr>
              <w:t>Gestationsalder</w:t>
            </w:r>
            <w:proofErr w:type="spellEnd"/>
            <w:r w:rsidRPr="00AC1736">
              <w:rPr>
                <w:sz w:val="24"/>
                <w:szCs w:val="24"/>
              </w:rPr>
              <w:t>: 35</w:t>
            </w:r>
            <w:r w:rsidRPr="00AC1736">
              <w:rPr>
                <w:sz w:val="24"/>
                <w:szCs w:val="24"/>
              </w:rPr>
              <w:noBreakHyphen/>
              <w:t xml:space="preserve">41 uger; </w:t>
            </w:r>
            <w:r w:rsidRPr="00AC1736">
              <w:rPr>
                <w:i/>
                <w:sz w:val="24"/>
                <w:szCs w:val="24"/>
              </w:rPr>
              <w:t>n = 18</w:t>
            </w:r>
          </w:p>
        </w:tc>
        <w:tc>
          <w:tcPr>
            <w:tcW w:w="847"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4,1</w:t>
            </w:r>
            <w:r w:rsidRPr="00AC1736">
              <w:rPr>
                <w:snapToGrid w:val="0"/>
                <w:sz w:val="24"/>
                <w:szCs w:val="24"/>
              </w:rPr>
              <w:noBreakHyphen/>
              <w:t>5,5</w:t>
            </w:r>
          </w:p>
        </w:tc>
        <w:tc>
          <w:tcPr>
            <w:tcW w:w="1000"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1,7</w:t>
            </w:r>
            <w:r w:rsidRPr="00AC1736">
              <w:rPr>
                <w:snapToGrid w:val="0"/>
                <w:sz w:val="24"/>
                <w:szCs w:val="24"/>
              </w:rPr>
              <w:noBreakHyphen/>
              <w:t>3,2</w:t>
            </w:r>
          </w:p>
        </w:tc>
        <w:tc>
          <w:tcPr>
            <w:tcW w:w="923"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0,5</w:t>
            </w:r>
            <w:r w:rsidRPr="00AC1736">
              <w:rPr>
                <w:snapToGrid w:val="0"/>
                <w:sz w:val="24"/>
                <w:szCs w:val="24"/>
              </w:rPr>
              <w:noBreakHyphen/>
              <w:t>0,8</w:t>
            </w:r>
          </w:p>
        </w:tc>
      </w:tr>
      <w:tr w:rsidR="001935D4" w:rsidRPr="00AC1736" w:rsidTr="00453A00">
        <w:trPr>
          <w:jc w:val="center"/>
        </w:trPr>
        <w:tc>
          <w:tcPr>
            <w:tcW w:w="2230"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rPr>
                <w:sz w:val="24"/>
                <w:szCs w:val="24"/>
              </w:rPr>
            </w:pPr>
            <w:r w:rsidRPr="00AC1736">
              <w:rPr>
                <w:sz w:val="24"/>
                <w:szCs w:val="24"/>
              </w:rPr>
              <w:t>Spædbørn og småbørn i alderen</w:t>
            </w:r>
          </w:p>
          <w:p w:rsidR="001935D4" w:rsidRPr="00AC1736" w:rsidRDefault="001935D4" w:rsidP="00453A00">
            <w:pPr>
              <w:pStyle w:val="Ingenafstand"/>
              <w:ind w:left="851" w:hanging="851"/>
              <w:rPr>
                <w:sz w:val="24"/>
                <w:szCs w:val="24"/>
              </w:rPr>
            </w:pPr>
            <w:r w:rsidRPr="00AC1736">
              <w:rPr>
                <w:sz w:val="24"/>
                <w:szCs w:val="24"/>
              </w:rPr>
              <w:t xml:space="preserve">28 dage – 23 måneder; </w:t>
            </w:r>
            <w:r w:rsidRPr="00AC1736">
              <w:rPr>
                <w:i/>
                <w:sz w:val="24"/>
                <w:szCs w:val="24"/>
              </w:rPr>
              <w:t>n = 34</w:t>
            </w:r>
          </w:p>
        </w:tc>
        <w:tc>
          <w:tcPr>
            <w:tcW w:w="847"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0,9</w:t>
            </w:r>
            <w:r w:rsidRPr="00AC1736">
              <w:rPr>
                <w:snapToGrid w:val="0"/>
                <w:sz w:val="24"/>
                <w:szCs w:val="24"/>
              </w:rPr>
              <w:noBreakHyphen/>
              <w:t>1,2</w:t>
            </w:r>
          </w:p>
        </w:tc>
        <w:tc>
          <w:tcPr>
            <w:tcW w:w="1000"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7,7</w:t>
            </w:r>
            <w:r w:rsidRPr="00AC1736">
              <w:rPr>
                <w:snapToGrid w:val="0"/>
                <w:sz w:val="24"/>
                <w:szCs w:val="24"/>
              </w:rPr>
              <w:noBreakHyphen/>
              <w:t>13,1</w:t>
            </w:r>
          </w:p>
        </w:tc>
        <w:tc>
          <w:tcPr>
            <w:tcW w:w="923"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0,4</w:t>
            </w:r>
            <w:r w:rsidRPr="00AC1736">
              <w:rPr>
                <w:snapToGrid w:val="0"/>
                <w:sz w:val="24"/>
                <w:szCs w:val="24"/>
              </w:rPr>
              <w:noBreakHyphen/>
              <w:t>1,1</w:t>
            </w:r>
          </w:p>
        </w:tc>
      </w:tr>
      <w:tr w:rsidR="001935D4" w:rsidRPr="00AC1736" w:rsidTr="00453A00">
        <w:trPr>
          <w:jc w:val="center"/>
        </w:trPr>
        <w:tc>
          <w:tcPr>
            <w:tcW w:w="2230"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rPr>
                <w:sz w:val="24"/>
                <w:szCs w:val="24"/>
              </w:rPr>
            </w:pPr>
            <w:r w:rsidRPr="00AC1736">
              <w:rPr>
                <w:sz w:val="24"/>
                <w:szCs w:val="24"/>
              </w:rPr>
              <w:t xml:space="preserve">Børn i alderen </w:t>
            </w:r>
          </w:p>
          <w:p w:rsidR="001935D4" w:rsidRPr="00AC1736" w:rsidRDefault="001935D4" w:rsidP="00453A00">
            <w:pPr>
              <w:pStyle w:val="Ingenafstand"/>
              <w:ind w:left="851" w:hanging="851"/>
              <w:rPr>
                <w:sz w:val="24"/>
                <w:szCs w:val="24"/>
              </w:rPr>
            </w:pPr>
            <w:r w:rsidRPr="00AC1736">
              <w:rPr>
                <w:sz w:val="24"/>
                <w:szCs w:val="24"/>
              </w:rPr>
              <w:t>2</w:t>
            </w:r>
            <w:r w:rsidRPr="00AC1736">
              <w:rPr>
                <w:sz w:val="24"/>
                <w:szCs w:val="24"/>
              </w:rPr>
              <w:noBreakHyphen/>
              <w:t xml:space="preserve">11 år; </w:t>
            </w:r>
            <w:r w:rsidRPr="00AC1736">
              <w:rPr>
                <w:i/>
                <w:sz w:val="24"/>
                <w:szCs w:val="24"/>
              </w:rPr>
              <w:t>n = 32</w:t>
            </w:r>
          </w:p>
        </w:tc>
        <w:tc>
          <w:tcPr>
            <w:tcW w:w="847"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0,7</w:t>
            </w:r>
            <w:r w:rsidRPr="00AC1736">
              <w:rPr>
                <w:snapToGrid w:val="0"/>
                <w:sz w:val="24"/>
                <w:szCs w:val="24"/>
              </w:rPr>
              <w:noBreakHyphen/>
              <w:t>1,3</w:t>
            </w:r>
          </w:p>
        </w:tc>
        <w:tc>
          <w:tcPr>
            <w:tcW w:w="1000"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4,7</w:t>
            </w:r>
            <w:r w:rsidRPr="00AC1736">
              <w:rPr>
                <w:snapToGrid w:val="0"/>
                <w:sz w:val="24"/>
                <w:szCs w:val="24"/>
              </w:rPr>
              <w:noBreakHyphen/>
              <w:t>10,2</w:t>
            </w:r>
          </w:p>
        </w:tc>
        <w:tc>
          <w:tcPr>
            <w:tcW w:w="923"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0,2</w:t>
            </w:r>
            <w:r w:rsidRPr="00AC1736">
              <w:rPr>
                <w:snapToGrid w:val="0"/>
                <w:sz w:val="24"/>
                <w:szCs w:val="24"/>
              </w:rPr>
              <w:noBreakHyphen/>
              <w:t>1,0</w:t>
            </w:r>
          </w:p>
        </w:tc>
      </w:tr>
      <w:tr w:rsidR="001935D4" w:rsidRPr="00AC1736" w:rsidTr="00453A00">
        <w:trPr>
          <w:jc w:val="center"/>
        </w:trPr>
        <w:tc>
          <w:tcPr>
            <w:tcW w:w="2230"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rPr>
                <w:sz w:val="24"/>
                <w:szCs w:val="24"/>
              </w:rPr>
            </w:pPr>
            <w:r w:rsidRPr="00AC1736">
              <w:rPr>
                <w:sz w:val="24"/>
                <w:szCs w:val="24"/>
              </w:rPr>
              <w:t>Unge i alderen</w:t>
            </w:r>
          </w:p>
          <w:p w:rsidR="001935D4" w:rsidRPr="00AC1736" w:rsidRDefault="001935D4" w:rsidP="00453A00">
            <w:pPr>
              <w:pStyle w:val="Ingenafstand"/>
              <w:ind w:left="851" w:hanging="851"/>
              <w:rPr>
                <w:sz w:val="24"/>
                <w:szCs w:val="24"/>
              </w:rPr>
            </w:pPr>
            <w:r w:rsidRPr="00AC1736">
              <w:rPr>
                <w:sz w:val="24"/>
                <w:szCs w:val="24"/>
              </w:rPr>
              <w:t>12</w:t>
            </w:r>
            <w:r w:rsidRPr="00AC1736">
              <w:rPr>
                <w:sz w:val="24"/>
                <w:szCs w:val="24"/>
              </w:rPr>
              <w:noBreakHyphen/>
              <w:t xml:space="preserve">14 år; </w:t>
            </w:r>
            <w:r w:rsidRPr="00AC1736">
              <w:rPr>
                <w:i/>
                <w:sz w:val="24"/>
                <w:szCs w:val="24"/>
              </w:rPr>
              <w:t>n = 3</w:t>
            </w:r>
          </w:p>
        </w:tc>
        <w:tc>
          <w:tcPr>
            <w:tcW w:w="847"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1,1</w:t>
            </w:r>
            <w:r w:rsidRPr="00AC1736">
              <w:rPr>
                <w:snapToGrid w:val="0"/>
                <w:sz w:val="24"/>
                <w:szCs w:val="24"/>
              </w:rPr>
              <w:noBreakHyphen/>
              <w:t>1,9</w:t>
            </w:r>
          </w:p>
        </w:tc>
        <w:tc>
          <w:tcPr>
            <w:tcW w:w="1000"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5,5</w:t>
            </w:r>
            <w:r w:rsidRPr="00AC1736">
              <w:rPr>
                <w:snapToGrid w:val="0"/>
                <w:sz w:val="24"/>
                <w:szCs w:val="24"/>
              </w:rPr>
              <w:noBreakHyphen/>
              <w:t>7,4</w:t>
            </w:r>
          </w:p>
        </w:tc>
        <w:tc>
          <w:tcPr>
            <w:tcW w:w="923" w:type="pct"/>
            <w:tcBorders>
              <w:top w:val="single" w:sz="4" w:space="0" w:color="auto"/>
              <w:left w:val="single" w:sz="4" w:space="0" w:color="auto"/>
              <w:bottom w:val="single" w:sz="4" w:space="0" w:color="auto"/>
              <w:right w:val="single" w:sz="4" w:space="0" w:color="auto"/>
            </w:tcBorders>
            <w:vAlign w:val="center"/>
            <w:hideMark/>
          </w:tcPr>
          <w:p w:rsidR="001935D4" w:rsidRPr="00AC1736" w:rsidRDefault="001935D4" w:rsidP="00453A00">
            <w:pPr>
              <w:pStyle w:val="Ingenafstand"/>
              <w:ind w:left="851" w:hanging="851"/>
              <w:jc w:val="center"/>
              <w:rPr>
                <w:snapToGrid w:val="0"/>
                <w:sz w:val="24"/>
                <w:szCs w:val="24"/>
              </w:rPr>
            </w:pPr>
            <w:r w:rsidRPr="00AC1736">
              <w:rPr>
                <w:snapToGrid w:val="0"/>
                <w:sz w:val="24"/>
                <w:szCs w:val="24"/>
              </w:rPr>
              <w:t>0,3</w:t>
            </w:r>
            <w:r w:rsidRPr="00AC1736">
              <w:rPr>
                <w:snapToGrid w:val="0"/>
                <w:sz w:val="24"/>
                <w:szCs w:val="24"/>
              </w:rPr>
              <w:noBreakHyphen/>
              <w:t>0,6</w:t>
            </w:r>
          </w:p>
        </w:tc>
      </w:tr>
    </w:tbl>
    <w:p w:rsidR="001935D4" w:rsidRPr="00AC1736" w:rsidRDefault="001935D4" w:rsidP="008D283B">
      <w:pPr>
        <w:ind w:left="851"/>
        <w:rPr>
          <w:sz w:val="24"/>
          <w:szCs w:val="24"/>
          <w:lang w:val="en-GB"/>
        </w:rPr>
      </w:pPr>
    </w:p>
    <w:p w:rsidR="001935D4" w:rsidRPr="00AC1736" w:rsidRDefault="001935D4" w:rsidP="001935D4">
      <w:pPr>
        <w:ind w:left="851"/>
        <w:rPr>
          <w:sz w:val="24"/>
          <w:szCs w:val="24"/>
        </w:rPr>
      </w:pPr>
      <w:r w:rsidRPr="00AC1736">
        <w:rPr>
          <w:sz w:val="24"/>
          <w:szCs w:val="24"/>
        </w:rPr>
        <w:t>OBS! Data for nyfødte, spædbørn og småbørn og større børn gives som interval af middelværdier.</w:t>
      </w:r>
    </w:p>
    <w:p w:rsidR="001935D4" w:rsidRPr="00AC1736" w:rsidRDefault="001935D4" w:rsidP="001935D4">
      <w:pPr>
        <w:ind w:left="851"/>
        <w:rPr>
          <w:i/>
          <w:iCs/>
          <w:sz w:val="24"/>
          <w:szCs w:val="24"/>
        </w:rPr>
      </w:pPr>
      <w:r w:rsidRPr="00AC1736">
        <w:rPr>
          <w:sz w:val="24"/>
          <w:szCs w:val="24"/>
        </w:rPr>
        <w:lastRenderedPageBreak/>
        <w:t xml:space="preserve">CL = </w:t>
      </w:r>
      <w:proofErr w:type="spellStart"/>
      <w:r w:rsidRPr="00AC1736">
        <w:rPr>
          <w:sz w:val="24"/>
          <w:szCs w:val="24"/>
        </w:rPr>
        <w:t>clearance</w:t>
      </w:r>
      <w:proofErr w:type="spellEnd"/>
      <w:r w:rsidRPr="00AC1736">
        <w:rPr>
          <w:sz w:val="24"/>
          <w:szCs w:val="24"/>
        </w:rPr>
        <w:t xml:space="preserve">. </w:t>
      </w:r>
      <w:proofErr w:type="spellStart"/>
      <w:r w:rsidRPr="00AC1736">
        <w:rPr>
          <w:sz w:val="24"/>
          <w:szCs w:val="24"/>
        </w:rPr>
        <w:t>Vd</w:t>
      </w:r>
      <w:r w:rsidRPr="00AC1736">
        <w:rPr>
          <w:sz w:val="24"/>
          <w:szCs w:val="24"/>
          <w:vertAlign w:val="subscript"/>
        </w:rPr>
        <w:t>ss</w:t>
      </w:r>
      <w:proofErr w:type="spellEnd"/>
      <w:r w:rsidRPr="00AC1736">
        <w:rPr>
          <w:sz w:val="24"/>
          <w:szCs w:val="24"/>
        </w:rPr>
        <w:t xml:space="preserve"> = fordelingsvolumen ved </w:t>
      </w:r>
      <w:proofErr w:type="spellStart"/>
      <w:r w:rsidRPr="00AC1736">
        <w:rPr>
          <w:sz w:val="24"/>
          <w:szCs w:val="24"/>
        </w:rPr>
        <w:t>steady</w:t>
      </w:r>
      <w:proofErr w:type="spellEnd"/>
      <w:r w:rsidRPr="00AC1736">
        <w:rPr>
          <w:sz w:val="24"/>
          <w:szCs w:val="24"/>
        </w:rPr>
        <w:t xml:space="preserve"> </w:t>
      </w:r>
      <w:proofErr w:type="spellStart"/>
      <w:r w:rsidRPr="00AC1736">
        <w:rPr>
          <w:sz w:val="24"/>
          <w:szCs w:val="24"/>
        </w:rPr>
        <w:t>state</w:t>
      </w:r>
      <w:proofErr w:type="spellEnd"/>
      <w:r w:rsidRPr="00AC1736">
        <w:rPr>
          <w:sz w:val="24"/>
          <w:szCs w:val="24"/>
        </w:rPr>
        <w:t>. t</w:t>
      </w:r>
      <w:r w:rsidRPr="00AC1736">
        <w:rPr>
          <w:sz w:val="24"/>
          <w:szCs w:val="24"/>
          <w:vertAlign w:val="subscript"/>
        </w:rPr>
        <w:t>1/2β</w:t>
      </w:r>
      <w:r w:rsidRPr="00AC1736">
        <w:rPr>
          <w:sz w:val="24"/>
          <w:szCs w:val="24"/>
        </w:rPr>
        <w:t xml:space="preserve"> = halveringstid i eliminationsfasen.</w:t>
      </w:r>
    </w:p>
    <w:p w:rsidR="001935D4" w:rsidRPr="00AC1736" w:rsidRDefault="001935D4" w:rsidP="001935D4">
      <w:pPr>
        <w:ind w:left="851"/>
        <w:rPr>
          <w:sz w:val="24"/>
          <w:szCs w:val="24"/>
        </w:rPr>
      </w:pPr>
    </w:p>
    <w:p w:rsidR="001935D4" w:rsidRPr="00AC1736" w:rsidRDefault="001935D4" w:rsidP="001935D4">
      <w:pPr>
        <w:tabs>
          <w:tab w:val="left" w:pos="0"/>
          <w:tab w:val="left" w:pos="851"/>
        </w:tabs>
        <w:ind w:left="851"/>
        <w:rPr>
          <w:sz w:val="24"/>
          <w:szCs w:val="24"/>
        </w:rPr>
      </w:pPr>
      <w:r w:rsidRPr="00AC1736">
        <w:rPr>
          <w:sz w:val="24"/>
          <w:szCs w:val="24"/>
        </w:rPr>
        <w:t>Proteinbinding hos nyfødte er 75</w:t>
      </w:r>
      <w:r>
        <w:rPr>
          <w:sz w:val="24"/>
          <w:szCs w:val="24"/>
        </w:rPr>
        <w:t xml:space="preserve"> %</w:t>
      </w:r>
      <w:r w:rsidRPr="00AC1736">
        <w:rPr>
          <w:sz w:val="24"/>
          <w:szCs w:val="24"/>
        </w:rPr>
        <w:t xml:space="preserve"> og stiger hos børn til 85</w:t>
      </w:r>
      <w:r>
        <w:rPr>
          <w:sz w:val="24"/>
          <w:szCs w:val="24"/>
        </w:rPr>
        <w:t xml:space="preserve"> %</w:t>
      </w:r>
      <w:r w:rsidRPr="00AC1736">
        <w:rPr>
          <w:sz w:val="24"/>
          <w:szCs w:val="24"/>
        </w:rPr>
        <w:t>.</w:t>
      </w:r>
    </w:p>
    <w:p w:rsidR="001935D4" w:rsidRPr="00AC1736" w:rsidRDefault="001935D4" w:rsidP="001935D4">
      <w:pPr>
        <w:tabs>
          <w:tab w:val="left" w:pos="0"/>
          <w:tab w:val="left" w:pos="851"/>
        </w:tabs>
        <w:ind w:left="851"/>
        <w:rPr>
          <w:sz w:val="24"/>
          <w:szCs w:val="24"/>
        </w:rPr>
      </w:pPr>
    </w:p>
    <w:p w:rsidR="001935D4" w:rsidRPr="00AC1736" w:rsidRDefault="001935D4" w:rsidP="001935D4">
      <w:pPr>
        <w:tabs>
          <w:tab w:val="left" w:pos="0"/>
          <w:tab w:val="left" w:pos="851"/>
        </w:tabs>
        <w:ind w:left="851"/>
        <w:rPr>
          <w:sz w:val="24"/>
          <w:szCs w:val="24"/>
        </w:rPr>
      </w:pPr>
      <w:r w:rsidRPr="00AC1736">
        <w:rPr>
          <w:sz w:val="24"/>
          <w:szCs w:val="24"/>
        </w:rPr>
        <w:t xml:space="preserve">Der foreligger kun begrænsede </w:t>
      </w:r>
      <w:proofErr w:type="spellStart"/>
      <w:r w:rsidRPr="00AC1736">
        <w:rPr>
          <w:sz w:val="24"/>
          <w:szCs w:val="24"/>
        </w:rPr>
        <w:t>farmakokinetiske</w:t>
      </w:r>
      <w:proofErr w:type="spellEnd"/>
      <w:r w:rsidRPr="00AC1736">
        <w:rPr>
          <w:sz w:val="24"/>
          <w:szCs w:val="24"/>
        </w:rPr>
        <w:t xml:space="preserve"> data på anvendelse af </w:t>
      </w:r>
      <w:proofErr w:type="spellStart"/>
      <w:r w:rsidRPr="00AC1736">
        <w:rPr>
          <w:sz w:val="24"/>
          <w:szCs w:val="24"/>
        </w:rPr>
        <w:t>alfentanil</w:t>
      </w:r>
      <w:proofErr w:type="spellEnd"/>
      <w:r w:rsidRPr="00AC1736">
        <w:rPr>
          <w:sz w:val="24"/>
          <w:szCs w:val="24"/>
        </w:rPr>
        <w:t xml:space="preserve"> til børn. </w:t>
      </w:r>
      <w:proofErr w:type="spellStart"/>
      <w:r w:rsidRPr="00AC1736">
        <w:rPr>
          <w:sz w:val="24"/>
          <w:szCs w:val="24"/>
        </w:rPr>
        <w:t>Alfentanil</w:t>
      </w:r>
      <w:proofErr w:type="spellEnd"/>
      <w:r w:rsidRPr="00AC1736">
        <w:rPr>
          <w:sz w:val="24"/>
          <w:szCs w:val="24"/>
        </w:rPr>
        <w:t xml:space="preserve"> </w:t>
      </w:r>
      <w:proofErr w:type="spellStart"/>
      <w:r w:rsidRPr="00AC1736">
        <w:rPr>
          <w:sz w:val="24"/>
          <w:szCs w:val="24"/>
        </w:rPr>
        <w:t>metaboliseres</w:t>
      </w:r>
      <w:proofErr w:type="spellEnd"/>
      <w:r w:rsidRPr="00AC1736">
        <w:rPr>
          <w:sz w:val="24"/>
          <w:szCs w:val="24"/>
        </w:rPr>
        <w:t xml:space="preserve"> af CYP3A4. CYP3A4-aktivitet er lav hos nyfødte og stiger efter fødslen, til den når 30-40</w:t>
      </w:r>
      <w:r>
        <w:rPr>
          <w:sz w:val="24"/>
          <w:szCs w:val="24"/>
        </w:rPr>
        <w:t xml:space="preserve"> %</w:t>
      </w:r>
      <w:r w:rsidRPr="00AC1736">
        <w:rPr>
          <w:sz w:val="24"/>
          <w:szCs w:val="24"/>
        </w:rPr>
        <w:t xml:space="preserve"> af niveauet hos voksne, når barnet er 1 måned gammelt. CYP3A4-aktivitet stiger yderligere til 45</w:t>
      </w:r>
      <w:r>
        <w:rPr>
          <w:sz w:val="24"/>
          <w:szCs w:val="24"/>
        </w:rPr>
        <w:t xml:space="preserve"> %</w:t>
      </w:r>
      <w:r w:rsidRPr="00AC1736">
        <w:rPr>
          <w:sz w:val="24"/>
          <w:szCs w:val="24"/>
        </w:rPr>
        <w:t>, når barnet er 6 måneder gammelt, 80</w:t>
      </w:r>
      <w:r>
        <w:rPr>
          <w:sz w:val="24"/>
          <w:szCs w:val="24"/>
        </w:rPr>
        <w:t xml:space="preserve"> %</w:t>
      </w:r>
      <w:r w:rsidRPr="00AC1736">
        <w:rPr>
          <w:sz w:val="24"/>
          <w:szCs w:val="24"/>
        </w:rPr>
        <w:t>, når barnet er 12 måneder gammelt og når niveauet for voksne, når barnet er 6 år gammelt.</w:t>
      </w:r>
    </w:p>
    <w:p w:rsidR="001935D4" w:rsidRPr="00AC1736" w:rsidRDefault="001935D4" w:rsidP="001935D4">
      <w:pPr>
        <w:tabs>
          <w:tab w:val="left" w:pos="0"/>
          <w:tab w:val="left" w:pos="851"/>
        </w:tabs>
        <w:ind w:left="851"/>
        <w:rPr>
          <w:sz w:val="24"/>
          <w:szCs w:val="24"/>
        </w:rPr>
      </w:pPr>
    </w:p>
    <w:p w:rsidR="001935D4" w:rsidRPr="00AC1736" w:rsidRDefault="001935D4" w:rsidP="001935D4">
      <w:pPr>
        <w:tabs>
          <w:tab w:val="left" w:pos="0"/>
          <w:tab w:val="left" w:pos="851"/>
        </w:tabs>
        <w:ind w:left="851"/>
        <w:rPr>
          <w:i/>
          <w:iCs/>
          <w:sz w:val="24"/>
          <w:szCs w:val="24"/>
        </w:rPr>
      </w:pPr>
      <w:r w:rsidRPr="00AC1736">
        <w:rPr>
          <w:i/>
          <w:iCs/>
          <w:sz w:val="24"/>
          <w:szCs w:val="24"/>
        </w:rPr>
        <w:t>Nedsat leverfunktion</w:t>
      </w:r>
    </w:p>
    <w:p w:rsidR="001935D4" w:rsidRPr="00AC1736" w:rsidRDefault="001935D4" w:rsidP="001935D4">
      <w:pPr>
        <w:tabs>
          <w:tab w:val="left" w:pos="0"/>
          <w:tab w:val="left" w:pos="851"/>
        </w:tabs>
        <w:ind w:left="851"/>
        <w:rPr>
          <w:sz w:val="24"/>
          <w:szCs w:val="24"/>
        </w:rPr>
      </w:pPr>
      <w:r w:rsidRPr="00AC1736">
        <w:rPr>
          <w:sz w:val="24"/>
          <w:szCs w:val="24"/>
        </w:rPr>
        <w:t xml:space="preserve">Efter administration af en enkelt intravenøs dosis på 50 mikrogram/kg er den terminale halveringstid signifikant længere hos patienter med </w:t>
      </w:r>
      <w:proofErr w:type="spellStart"/>
      <w:r w:rsidRPr="00AC1736">
        <w:rPr>
          <w:sz w:val="24"/>
          <w:szCs w:val="24"/>
        </w:rPr>
        <w:t>levercirrhose</w:t>
      </w:r>
      <w:proofErr w:type="spellEnd"/>
      <w:r w:rsidRPr="00AC1736">
        <w:rPr>
          <w:sz w:val="24"/>
          <w:szCs w:val="24"/>
        </w:rPr>
        <w:t xml:space="preserve"> end hos kontrolpatienter. Fordelingsvolumen er ikke ændret. Den frie fraktion af </w:t>
      </w:r>
      <w:proofErr w:type="spellStart"/>
      <w:r w:rsidRPr="00AC1736">
        <w:rPr>
          <w:sz w:val="24"/>
          <w:szCs w:val="24"/>
        </w:rPr>
        <w:t>alfentanil</w:t>
      </w:r>
      <w:proofErr w:type="spellEnd"/>
      <w:r w:rsidRPr="00AC1736">
        <w:rPr>
          <w:sz w:val="24"/>
          <w:szCs w:val="24"/>
        </w:rPr>
        <w:t xml:space="preserve"> er hos patienter med </w:t>
      </w:r>
      <w:proofErr w:type="spellStart"/>
      <w:r w:rsidRPr="00AC1736">
        <w:rPr>
          <w:sz w:val="24"/>
          <w:szCs w:val="24"/>
        </w:rPr>
        <w:t>levercirrhose</w:t>
      </w:r>
      <w:proofErr w:type="spellEnd"/>
      <w:r w:rsidRPr="00AC1736">
        <w:rPr>
          <w:sz w:val="24"/>
          <w:szCs w:val="24"/>
        </w:rPr>
        <w:t xml:space="preserve"> øget til 18,5</w:t>
      </w:r>
      <w:r>
        <w:rPr>
          <w:sz w:val="24"/>
          <w:szCs w:val="24"/>
        </w:rPr>
        <w:t xml:space="preserve"> %</w:t>
      </w:r>
      <w:r w:rsidRPr="00AC1736">
        <w:rPr>
          <w:sz w:val="24"/>
          <w:szCs w:val="24"/>
        </w:rPr>
        <w:t>, sammenlignet med 11,5</w:t>
      </w:r>
      <w:r>
        <w:rPr>
          <w:sz w:val="24"/>
          <w:szCs w:val="24"/>
        </w:rPr>
        <w:t xml:space="preserve"> %</w:t>
      </w:r>
      <w:r w:rsidRPr="00AC1736">
        <w:rPr>
          <w:sz w:val="24"/>
          <w:szCs w:val="24"/>
        </w:rPr>
        <w:t xml:space="preserve"> hos kontrolpatienter. Denne stigning i den frie fraktion, sammen med en reduktion i </w:t>
      </w:r>
      <w:proofErr w:type="spellStart"/>
      <w:r w:rsidRPr="00AC1736">
        <w:rPr>
          <w:sz w:val="24"/>
          <w:szCs w:val="24"/>
        </w:rPr>
        <w:t>clearance</w:t>
      </w:r>
      <w:proofErr w:type="spellEnd"/>
      <w:r w:rsidRPr="00AC1736">
        <w:rPr>
          <w:sz w:val="24"/>
          <w:szCs w:val="24"/>
        </w:rPr>
        <w:t xml:space="preserve"> fra 3,06 ml/min/kg hos kontrolpatienter til 1,60 ml/min/kg hos patienter med </w:t>
      </w:r>
      <w:proofErr w:type="spellStart"/>
      <w:r w:rsidRPr="00AC1736">
        <w:rPr>
          <w:sz w:val="24"/>
          <w:szCs w:val="24"/>
        </w:rPr>
        <w:t>levercirrhose</w:t>
      </w:r>
      <w:proofErr w:type="spellEnd"/>
      <w:r w:rsidRPr="00AC1736">
        <w:rPr>
          <w:sz w:val="24"/>
          <w:szCs w:val="24"/>
        </w:rPr>
        <w:t xml:space="preserve"> vil resultere i en øget klinisk effekt af </w:t>
      </w:r>
      <w:proofErr w:type="spellStart"/>
      <w:r w:rsidRPr="00AC1736">
        <w:rPr>
          <w:sz w:val="24"/>
          <w:szCs w:val="24"/>
        </w:rPr>
        <w:t>alfentanil</w:t>
      </w:r>
      <w:proofErr w:type="spellEnd"/>
      <w:r w:rsidRPr="00AC1736">
        <w:rPr>
          <w:sz w:val="24"/>
          <w:szCs w:val="24"/>
        </w:rPr>
        <w:t xml:space="preserve"> (se pkt. 4.2 og 4.4).</w:t>
      </w:r>
    </w:p>
    <w:p w:rsidR="001935D4" w:rsidRPr="00AC1736" w:rsidRDefault="001935D4" w:rsidP="001935D4">
      <w:pPr>
        <w:tabs>
          <w:tab w:val="left" w:pos="0"/>
          <w:tab w:val="left" w:pos="851"/>
        </w:tabs>
        <w:ind w:left="851"/>
        <w:rPr>
          <w:i/>
          <w:sz w:val="24"/>
          <w:szCs w:val="24"/>
        </w:rPr>
      </w:pPr>
    </w:p>
    <w:p w:rsidR="001935D4" w:rsidRPr="00AC1736" w:rsidRDefault="001935D4" w:rsidP="001935D4">
      <w:pPr>
        <w:tabs>
          <w:tab w:val="left" w:pos="0"/>
          <w:tab w:val="left" w:pos="851"/>
        </w:tabs>
        <w:ind w:left="851"/>
        <w:rPr>
          <w:i/>
          <w:sz w:val="24"/>
          <w:szCs w:val="24"/>
        </w:rPr>
      </w:pPr>
      <w:r w:rsidRPr="00AC1736">
        <w:rPr>
          <w:i/>
          <w:sz w:val="24"/>
          <w:szCs w:val="24"/>
        </w:rPr>
        <w:t>Nedsat nyrefunktion</w:t>
      </w:r>
    </w:p>
    <w:p w:rsidR="001935D4" w:rsidRPr="00AC1736" w:rsidRDefault="001935D4" w:rsidP="001935D4">
      <w:pPr>
        <w:tabs>
          <w:tab w:val="left" w:pos="0"/>
          <w:tab w:val="left" w:pos="851"/>
        </w:tabs>
        <w:ind w:left="851"/>
        <w:rPr>
          <w:sz w:val="24"/>
          <w:szCs w:val="24"/>
        </w:rPr>
      </w:pPr>
      <w:r w:rsidRPr="00AC1736">
        <w:rPr>
          <w:sz w:val="24"/>
          <w:szCs w:val="24"/>
        </w:rPr>
        <w:t xml:space="preserve">Fordelingsvolumen og </w:t>
      </w:r>
      <w:proofErr w:type="spellStart"/>
      <w:r w:rsidRPr="00AC1736">
        <w:rPr>
          <w:sz w:val="24"/>
          <w:szCs w:val="24"/>
        </w:rPr>
        <w:t>clearance</w:t>
      </w:r>
      <w:proofErr w:type="spellEnd"/>
      <w:r w:rsidRPr="00AC1736">
        <w:rPr>
          <w:sz w:val="24"/>
          <w:szCs w:val="24"/>
        </w:rPr>
        <w:t xml:space="preserve"> af den frie fraktion er den samme hos nyrepatienter og raske kontrol personer. Den frie fraktion af </w:t>
      </w:r>
      <w:proofErr w:type="spellStart"/>
      <w:r w:rsidRPr="00AC1736">
        <w:rPr>
          <w:sz w:val="24"/>
          <w:szCs w:val="24"/>
        </w:rPr>
        <w:t>alfentanil</w:t>
      </w:r>
      <w:proofErr w:type="spellEnd"/>
      <w:r w:rsidRPr="00AC1736">
        <w:rPr>
          <w:sz w:val="24"/>
          <w:szCs w:val="24"/>
        </w:rPr>
        <w:t xml:space="preserve"> hos nyrepatienter er øget til mellem 12,4 og 19</w:t>
      </w:r>
      <w:r>
        <w:rPr>
          <w:sz w:val="24"/>
          <w:szCs w:val="24"/>
        </w:rPr>
        <w:t xml:space="preserve"> %</w:t>
      </w:r>
      <w:r w:rsidRPr="00AC1736">
        <w:rPr>
          <w:sz w:val="24"/>
          <w:szCs w:val="24"/>
        </w:rPr>
        <w:t xml:space="preserve"> sammenlignet med mellem 10,3 og 11</w:t>
      </w:r>
      <w:r>
        <w:rPr>
          <w:sz w:val="24"/>
          <w:szCs w:val="24"/>
        </w:rPr>
        <w:t xml:space="preserve"> %</w:t>
      </w:r>
      <w:r w:rsidRPr="00AC1736">
        <w:rPr>
          <w:sz w:val="24"/>
          <w:szCs w:val="24"/>
        </w:rPr>
        <w:t xml:space="preserve"> hos kontrolpersoner. Dette kan resultere i en øget klinisk effekt af </w:t>
      </w:r>
      <w:proofErr w:type="spellStart"/>
      <w:r w:rsidRPr="00AC1736">
        <w:rPr>
          <w:sz w:val="24"/>
          <w:szCs w:val="24"/>
        </w:rPr>
        <w:t>alfentanil</w:t>
      </w:r>
      <w:proofErr w:type="spellEnd"/>
      <w:r w:rsidRPr="00AC1736">
        <w:rPr>
          <w:sz w:val="24"/>
          <w:szCs w:val="24"/>
        </w:rPr>
        <w:t xml:space="preserve"> (se pkt. 4.2 og 4.4).</w:t>
      </w:r>
    </w:p>
    <w:p w:rsidR="001935D4" w:rsidRPr="00AC1736" w:rsidRDefault="001935D4" w:rsidP="008D283B">
      <w:pPr>
        <w:tabs>
          <w:tab w:val="left" w:pos="851"/>
        </w:tabs>
        <w:ind w:left="851"/>
        <w:rPr>
          <w:sz w:val="24"/>
          <w:szCs w:val="24"/>
        </w:rPr>
      </w:pPr>
    </w:p>
    <w:p w:rsidR="0029198B" w:rsidRPr="00C84483" w:rsidRDefault="0029198B" w:rsidP="0029198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1935D4" w:rsidRPr="00AC1736" w:rsidRDefault="001935D4" w:rsidP="001935D4">
      <w:pPr>
        <w:autoSpaceDE w:val="0"/>
        <w:autoSpaceDN w:val="0"/>
        <w:adjustRightInd w:val="0"/>
        <w:ind w:left="851"/>
        <w:rPr>
          <w:sz w:val="24"/>
          <w:szCs w:val="24"/>
          <w:lang w:eastAsia="da-DK"/>
        </w:rPr>
      </w:pPr>
      <w:r w:rsidRPr="00AC1736">
        <w:rPr>
          <w:sz w:val="24"/>
          <w:szCs w:val="24"/>
        </w:rPr>
        <w:t xml:space="preserve">De prækliniske data viser ingen særlig risiko for mennesker baseret på konventionelle undersøgelser af sikkerhedsfarmakologi, gentagen dosistoksicitet, </w:t>
      </w:r>
      <w:proofErr w:type="spellStart"/>
      <w:r w:rsidRPr="00AC1736">
        <w:rPr>
          <w:sz w:val="24"/>
          <w:szCs w:val="24"/>
        </w:rPr>
        <w:t>mutagenicitet</w:t>
      </w:r>
      <w:proofErr w:type="spellEnd"/>
      <w:r w:rsidRPr="00AC1736">
        <w:rPr>
          <w:sz w:val="24"/>
          <w:szCs w:val="24"/>
        </w:rPr>
        <w:t xml:space="preserve"> eller reproduktionstoksicitet og udvikling. Der forefindes ikke længerevarende dyreforsøg i relation til </w:t>
      </w:r>
      <w:proofErr w:type="spellStart"/>
      <w:r w:rsidRPr="00AC1736">
        <w:rPr>
          <w:sz w:val="24"/>
          <w:szCs w:val="24"/>
        </w:rPr>
        <w:t>alfentanils</w:t>
      </w:r>
      <w:proofErr w:type="spellEnd"/>
      <w:r w:rsidRPr="00AC1736">
        <w:rPr>
          <w:sz w:val="24"/>
          <w:szCs w:val="24"/>
        </w:rPr>
        <w:t xml:space="preserve"> mulige </w:t>
      </w:r>
      <w:proofErr w:type="spellStart"/>
      <w:r w:rsidRPr="00AC1736">
        <w:rPr>
          <w:sz w:val="24"/>
          <w:szCs w:val="24"/>
        </w:rPr>
        <w:t>karcinogene</w:t>
      </w:r>
      <w:proofErr w:type="spellEnd"/>
      <w:r w:rsidRPr="00AC1736">
        <w:rPr>
          <w:sz w:val="24"/>
          <w:szCs w:val="24"/>
        </w:rPr>
        <w:t xml:space="preserve"> potentiale.</w:t>
      </w:r>
    </w:p>
    <w:p w:rsidR="001935D4" w:rsidRPr="00AC1736" w:rsidRDefault="001935D4" w:rsidP="008D283B">
      <w:pPr>
        <w:tabs>
          <w:tab w:val="left" w:pos="851"/>
        </w:tabs>
        <w:ind w:left="851"/>
        <w:rPr>
          <w:sz w:val="24"/>
          <w:szCs w:val="24"/>
        </w:rPr>
      </w:pPr>
    </w:p>
    <w:p w:rsidR="001935D4" w:rsidRPr="00AC1736" w:rsidRDefault="001935D4" w:rsidP="008D283B">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6.</w:t>
      </w:r>
      <w:r w:rsidRPr="00AC1736">
        <w:rPr>
          <w:b/>
          <w:sz w:val="24"/>
          <w:szCs w:val="24"/>
        </w:rPr>
        <w:tab/>
        <w:t>FARMACEUTISKE OPLYSNINGER</w:t>
      </w:r>
    </w:p>
    <w:p w:rsidR="001935D4" w:rsidRPr="00AC1736" w:rsidRDefault="001935D4" w:rsidP="008D283B">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6.1</w:t>
      </w:r>
      <w:r w:rsidRPr="00AC1736">
        <w:rPr>
          <w:b/>
          <w:sz w:val="24"/>
          <w:szCs w:val="24"/>
        </w:rPr>
        <w:tab/>
        <w:t>Hjælpestoffer</w:t>
      </w:r>
    </w:p>
    <w:p w:rsidR="001935D4" w:rsidRPr="00AC1736" w:rsidRDefault="001935D4" w:rsidP="001935D4">
      <w:pPr>
        <w:tabs>
          <w:tab w:val="left" w:pos="0"/>
          <w:tab w:val="left" w:pos="851"/>
        </w:tabs>
        <w:ind w:left="851"/>
        <w:rPr>
          <w:sz w:val="24"/>
          <w:szCs w:val="24"/>
          <w:lang w:eastAsia="da-DK"/>
        </w:rPr>
      </w:pPr>
      <w:proofErr w:type="spellStart"/>
      <w:r w:rsidRPr="00AC1736">
        <w:rPr>
          <w:sz w:val="24"/>
          <w:szCs w:val="24"/>
        </w:rPr>
        <w:t>Natriumchlorid</w:t>
      </w:r>
      <w:proofErr w:type="spellEnd"/>
    </w:p>
    <w:p w:rsidR="001935D4" w:rsidRPr="00AC1736" w:rsidRDefault="001935D4" w:rsidP="001935D4">
      <w:pPr>
        <w:tabs>
          <w:tab w:val="left" w:pos="0"/>
          <w:tab w:val="left" w:pos="851"/>
        </w:tabs>
        <w:ind w:left="851"/>
        <w:rPr>
          <w:sz w:val="24"/>
          <w:szCs w:val="24"/>
        </w:rPr>
      </w:pPr>
      <w:r w:rsidRPr="00AC1736">
        <w:rPr>
          <w:sz w:val="24"/>
          <w:szCs w:val="24"/>
        </w:rPr>
        <w:t>Natriumhydroxid (til pH-justering)</w:t>
      </w:r>
    </w:p>
    <w:p w:rsidR="001935D4" w:rsidRPr="00AC1736" w:rsidRDefault="001935D4" w:rsidP="001935D4">
      <w:pPr>
        <w:tabs>
          <w:tab w:val="left" w:pos="0"/>
          <w:tab w:val="left" w:pos="851"/>
        </w:tabs>
        <w:ind w:left="851"/>
        <w:rPr>
          <w:sz w:val="24"/>
          <w:szCs w:val="24"/>
        </w:rPr>
      </w:pPr>
      <w:r w:rsidRPr="00AC1736">
        <w:rPr>
          <w:sz w:val="24"/>
          <w:szCs w:val="24"/>
        </w:rPr>
        <w:t>Vand til injektionsvæsker</w:t>
      </w:r>
    </w:p>
    <w:p w:rsidR="001935D4" w:rsidRPr="00AC1736" w:rsidRDefault="001935D4" w:rsidP="008D283B">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6.2</w:t>
      </w:r>
      <w:r w:rsidRPr="00AC1736">
        <w:rPr>
          <w:b/>
          <w:sz w:val="24"/>
          <w:szCs w:val="24"/>
        </w:rPr>
        <w:tab/>
        <w:t>Uforligeligheder</w:t>
      </w:r>
    </w:p>
    <w:p w:rsidR="005D5576" w:rsidRDefault="001935D4" w:rsidP="00FB1109">
      <w:pPr>
        <w:tabs>
          <w:tab w:val="left" w:pos="0"/>
          <w:tab w:val="left" w:pos="851"/>
        </w:tabs>
        <w:ind w:left="851"/>
        <w:rPr>
          <w:sz w:val="24"/>
          <w:szCs w:val="24"/>
        </w:rPr>
      </w:pPr>
      <w:r w:rsidRPr="00AC1736">
        <w:rPr>
          <w:sz w:val="24"/>
          <w:szCs w:val="24"/>
        </w:rPr>
        <w:t>Dette lægemiddel må ikke anvendes samtidig med andre lægemidler, med undtagelse af de</w:t>
      </w:r>
      <w:r w:rsidR="005D5576">
        <w:rPr>
          <w:sz w:val="24"/>
          <w:szCs w:val="24"/>
        </w:rPr>
        <w:t>m</w:t>
      </w:r>
      <w:r w:rsidRPr="00AC1736">
        <w:rPr>
          <w:sz w:val="24"/>
          <w:szCs w:val="24"/>
        </w:rPr>
        <w:t>, der er nævnt i pkt. 6.6.</w:t>
      </w:r>
    </w:p>
    <w:p w:rsidR="00D958F8" w:rsidRDefault="00D958F8">
      <w:pPr>
        <w:rPr>
          <w:sz w:val="24"/>
          <w:szCs w:val="24"/>
        </w:rPr>
      </w:pPr>
      <w:r>
        <w:rPr>
          <w:sz w:val="24"/>
          <w:szCs w:val="24"/>
        </w:rPr>
        <w:br w:type="page"/>
      </w:r>
    </w:p>
    <w:p w:rsidR="001935D4" w:rsidRPr="00AC1736" w:rsidRDefault="001935D4" w:rsidP="008D283B">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6.3</w:t>
      </w:r>
      <w:r w:rsidRPr="00AC1736">
        <w:rPr>
          <w:b/>
          <w:sz w:val="24"/>
          <w:szCs w:val="24"/>
        </w:rPr>
        <w:tab/>
        <w:t>Opbevaringstid</w:t>
      </w:r>
    </w:p>
    <w:p w:rsidR="001935D4" w:rsidRPr="00AC1736" w:rsidRDefault="00A27290" w:rsidP="001935D4">
      <w:pPr>
        <w:tabs>
          <w:tab w:val="left" w:pos="0"/>
          <w:tab w:val="left" w:pos="851"/>
        </w:tabs>
        <w:ind w:left="851"/>
        <w:rPr>
          <w:sz w:val="24"/>
          <w:szCs w:val="24"/>
          <w:lang w:eastAsia="da-DK"/>
        </w:rPr>
      </w:pPr>
      <w:r>
        <w:rPr>
          <w:sz w:val="24"/>
          <w:szCs w:val="24"/>
        </w:rPr>
        <w:t>4</w:t>
      </w:r>
      <w:r w:rsidR="001935D4" w:rsidRPr="00AC1736">
        <w:rPr>
          <w:sz w:val="24"/>
          <w:szCs w:val="24"/>
        </w:rPr>
        <w:t xml:space="preserve"> år.</w:t>
      </w:r>
    </w:p>
    <w:p w:rsidR="001935D4" w:rsidRPr="00AC1736" w:rsidRDefault="001935D4" w:rsidP="001935D4">
      <w:pPr>
        <w:tabs>
          <w:tab w:val="left" w:pos="0"/>
          <w:tab w:val="left" w:pos="851"/>
        </w:tabs>
        <w:ind w:left="851"/>
        <w:rPr>
          <w:sz w:val="24"/>
          <w:szCs w:val="24"/>
        </w:rPr>
      </w:pPr>
    </w:p>
    <w:p w:rsidR="001935D4" w:rsidRPr="00AC1736" w:rsidRDefault="001935D4" w:rsidP="001935D4">
      <w:pPr>
        <w:pStyle w:val="Ingenafstand"/>
        <w:ind w:left="851"/>
        <w:rPr>
          <w:sz w:val="24"/>
          <w:szCs w:val="24"/>
          <w:u w:val="single"/>
        </w:rPr>
      </w:pPr>
      <w:r w:rsidRPr="00AC1736">
        <w:rPr>
          <w:sz w:val="24"/>
          <w:szCs w:val="24"/>
          <w:u w:val="single"/>
        </w:rPr>
        <w:t>Holdbarhed efter fortynding</w:t>
      </w:r>
    </w:p>
    <w:p w:rsidR="001935D4" w:rsidRPr="00AC1736" w:rsidRDefault="001935D4" w:rsidP="001935D4">
      <w:pPr>
        <w:pStyle w:val="Ingenafstand"/>
        <w:ind w:left="851"/>
        <w:rPr>
          <w:sz w:val="24"/>
          <w:szCs w:val="24"/>
        </w:rPr>
      </w:pPr>
      <w:r w:rsidRPr="00AC1736">
        <w:rPr>
          <w:sz w:val="24"/>
          <w:szCs w:val="24"/>
        </w:rPr>
        <w:t>Der er påvist kemisk og fysisk stabilitet under brug i 48 timer ved 25 °C og 2</w:t>
      </w:r>
      <w:r w:rsidR="005D5576">
        <w:rPr>
          <w:sz w:val="24"/>
          <w:szCs w:val="24"/>
        </w:rPr>
        <w:t>-</w:t>
      </w:r>
      <w:r w:rsidRPr="00AC1736">
        <w:rPr>
          <w:sz w:val="24"/>
          <w:szCs w:val="24"/>
        </w:rPr>
        <w:t>8 °C (se pkt. 6.6).</w:t>
      </w:r>
    </w:p>
    <w:p w:rsidR="001935D4" w:rsidRPr="00AC1736" w:rsidRDefault="001935D4" w:rsidP="001935D4">
      <w:pPr>
        <w:ind w:left="851"/>
        <w:rPr>
          <w:sz w:val="24"/>
          <w:szCs w:val="24"/>
        </w:rPr>
      </w:pPr>
      <w:r w:rsidRPr="00AC1736">
        <w:rPr>
          <w:sz w:val="24"/>
          <w:szCs w:val="24"/>
        </w:rPr>
        <w:t>Ud fra et mikrobiologisk synspunkt bør det opløste præparat bruges med det samme. Hvis præparatet ikke anvendes straks, er brugsopbevaringstider og forhold før anvendelse brugerens ansvar. Det bør sædvanligvis ikke opbevares længere end 24 timer ved 2-8 °C, med mindre fortynding har fundet sted under kontrollerede og validerede aseptiske forhold.</w:t>
      </w:r>
    </w:p>
    <w:p w:rsidR="001935D4" w:rsidRPr="00AC1736" w:rsidRDefault="001935D4" w:rsidP="008D283B">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6.4</w:t>
      </w:r>
      <w:r w:rsidRPr="00AC1736">
        <w:rPr>
          <w:b/>
          <w:sz w:val="24"/>
          <w:szCs w:val="24"/>
        </w:rPr>
        <w:tab/>
        <w:t>Særlige opbevaringsforhold</w:t>
      </w:r>
    </w:p>
    <w:p w:rsidR="001935D4" w:rsidRPr="00AC1736" w:rsidRDefault="001935D4" w:rsidP="001935D4">
      <w:pPr>
        <w:tabs>
          <w:tab w:val="left" w:pos="0"/>
        </w:tabs>
        <w:ind w:left="851"/>
        <w:rPr>
          <w:sz w:val="24"/>
          <w:szCs w:val="24"/>
          <w:lang w:eastAsia="da-DK"/>
        </w:rPr>
      </w:pPr>
      <w:r w:rsidRPr="00AC1736">
        <w:rPr>
          <w:sz w:val="24"/>
          <w:szCs w:val="24"/>
        </w:rPr>
        <w:t>Se pkt. 6.3 for oplysninger om opbevaringsforhold efter fortynding eller første åbning af lægemidlet.</w:t>
      </w:r>
    </w:p>
    <w:p w:rsidR="001935D4" w:rsidRPr="00AC1736" w:rsidRDefault="001935D4" w:rsidP="008D283B">
      <w:pPr>
        <w:tabs>
          <w:tab w:val="left" w:pos="851"/>
        </w:tabs>
        <w:ind w:left="851"/>
        <w:rPr>
          <w:sz w:val="24"/>
          <w:szCs w:val="24"/>
        </w:rPr>
      </w:pPr>
    </w:p>
    <w:p w:rsidR="0029198B" w:rsidRPr="00C84483" w:rsidRDefault="0029198B" w:rsidP="0029198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935D4" w:rsidRPr="00AC1736" w:rsidRDefault="001935D4" w:rsidP="001935D4">
      <w:pPr>
        <w:pStyle w:val="Ingenafstand"/>
        <w:ind w:left="851"/>
        <w:rPr>
          <w:sz w:val="24"/>
          <w:szCs w:val="24"/>
        </w:rPr>
      </w:pPr>
      <w:r w:rsidRPr="00AC1736">
        <w:rPr>
          <w:sz w:val="24"/>
          <w:szCs w:val="24"/>
        </w:rPr>
        <w:t xml:space="preserve">2 ml og 10 ml type I hydrolytiske farveløs ampul i </w:t>
      </w:r>
      <w:proofErr w:type="spellStart"/>
      <w:r w:rsidRPr="00AC1736">
        <w:rPr>
          <w:sz w:val="24"/>
          <w:szCs w:val="24"/>
        </w:rPr>
        <w:t>borosilikatglas</w:t>
      </w:r>
      <w:proofErr w:type="spellEnd"/>
      <w:r w:rsidRPr="00AC1736">
        <w:rPr>
          <w:sz w:val="24"/>
          <w:szCs w:val="24"/>
        </w:rPr>
        <w:t xml:space="preserve"> med OPC (One-Point-Cut).</w:t>
      </w:r>
    </w:p>
    <w:p w:rsidR="001935D4" w:rsidRPr="00AC1736" w:rsidRDefault="001935D4" w:rsidP="001935D4">
      <w:pPr>
        <w:pStyle w:val="Ingenafstand"/>
        <w:ind w:left="851"/>
        <w:rPr>
          <w:sz w:val="24"/>
          <w:szCs w:val="24"/>
        </w:rPr>
      </w:pPr>
      <w:r w:rsidRPr="00AC1736">
        <w:rPr>
          <w:sz w:val="24"/>
          <w:szCs w:val="24"/>
        </w:rPr>
        <w:t xml:space="preserve">Ampullen er pakket i </w:t>
      </w:r>
      <w:proofErr w:type="spellStart"/>
      <w:r w:rsidRPr="00AC1736">
        <w:rPr>
          <w:sz w:val="24"/>
          <w:szCs w:val="24"/>
        </w:rPr>
        <w:t>dæklag</w:t>
      </w:r>
      <w:proofErr w:type="spellEnd"/>
      <w:r w:rsidRPr="00AC1736">
        <w:rPr>
          <w:sz w:val="24"/>
          <w:szCs w:val="24"/>
        </w:rPr>
        <w:t xml:space="preserve"> af PVC (</w:t>
      </w:r>
      <w:proofErr w:type="spellStart"/>
      <w:r w:rsidRPr="00AC1736">
        <w:rPr>
          <w:sz w:val="24"/>
          <w:szCs w:val="24"/>
        </w:rPr>
        <w:t>polyvinylchlorid</w:t>
      </w:r>
      <w:proofErr w:type="spellEnd"/>
      <w:r w:rsidRPr="00AC1736">
        <w:rPr>
          <w:sz w:val="24"/>
          <w:szCs w:val="24"/>
        </w:rPr>
        <w:t>). Dæklagene er pakket i en kartonæske.</w:t>
      </w:r>
    </w:p>
    <w:p w:rsidR="001935D4" w:rsidRPr="00AC1736" w:rsidRDefault="001935D4" w:rsidP="001935D4">
      <w:pPr>
        <w:pStyle w:val="Ingenafstand"/>
        <w:ind w:left="851"/>
        <w:rPr>
          <w:sz w:val="24"/>
          <w:szCs w:val="24"/>
          <w:highlight w:val="yellow"/>
        </w:rPr>
      </w:pPr>
    </w:p>
    <w:p w:rsidR="001935D4" w:rsidRPr="00335AC6" w:rsidRDefault="001935D4" w:rsidP="001935D4">
      <w:pPr>
        <w:pStyle w:val="Ingenafstand"/>
        <w:ind w:left="851"/>
        <w:rPr>
          <w:sz w:val="24"/>
          <w:szCs w:val="24"/>
          <w:u w:val="single"/>
        </w:rPr>
      </w:pPr>
      <w:r w:rsidRPr="00335AC6">
        <w:rPr>
          <w:sz w:val="24"/>
          <w:szCs w:val="24"/>
          <w:u w:val="single"/>
        </w:rPr>
        <w:t>Pakningsstørrelser</w:t>
      </w:r>
    </w:p>
    <w:p w:rsidR="001935D4" w:rsidRPr="00AC1736" w:rsidRDefault="001935D4" w:rsidP="001935D4">
      <w:pPr>
        <w:pStyle w:val="Ingenafstand"/>
        <w:ind w:left="851"/>
        <w:rPr>
          <w:sz w:val="24"/>
          <w:szCs w:val="24"/>
        </w:rPr>
      </w:pPr>
      <w:r w:rsidRPr="00AC1736">
        <w:rPr>
          <w:sz w:val="24"/>
          <w:szCs w:val="24"/>
        </w:rPr>
        <w:t xml:space="preserve">5 </w:t>
      </w:r>
      <w:r w:rsidR="001D415E">
        <w:rPr>
          <w:sz w:val="24"/>
          <w:szCs w:val="24"/>
        </w:rPr>
        <w:t>og</w:t>
      </w:r>
      <w:r w:rsidRPr="00AC1736">
        <w:rPr>
          <w:sz w:val="24"/>
          <w:szCs w:val="24"/>
        </w:rPr>
        <w:t xml:space="preserve"> 10 ampuller med 2 ml</w:t>
      </w:r>
      <w:r w:rsidR="00335AC6">
        <w:rPr>
          <w:sz w:val="24"/>
          <w:szCs w:val="24"/>
        </w:rPr>
        <w:t>.</w:t>
      </w:r>
    </w:p>
    <w:p w:rsidR="001935D4" w:rsidRPr="00AC1736" w:rsidRDefault="001935D4" w:rsidP="001935D4">
      <w:pPr>
        <w:tabs>
          <w:tab w:val="left" w:pos="0"/>
          <w:tab w:val="left" w:pos="851"/>
        </w:tabs>
        <w:ind w:left="851"/>
        <w:rPr>
          <w:sz w:val="24"/>
          <w:szCs w:val="24"/>
        </w:rPr>
      </w:pPr>
      <w:r w:rsidRPr="00AC1736">
        <w:rPr>
          <w:sz w:val="24"/>
          <w:szCs w:val="24"/>
        </w:rPr>
        <w:t xml:space="preserve">5 </w:t>
      </w:r>
      <w:r w:rsidR="001D415E">
        <w:rPr>
          <w:sz w:val="24"/>
          <w:szCs w:val="24"/>
        </w:rPr>
        <w:t>og</w:t>
      </w:r>
      <w:r w:rsidRPr="00AC1736">
        <w:rPr>
          <w:sz w:val="24"/>
          <w:szCs w:val="24"/>
        </w:rPr>
        <w:t xml:space="preserve"> 10 ampuller med 10 ml</w:t>
      </w:r>
      <w:r w:rsidR="00335AC6">
        <w:rPr>
          <w:sz w:val="24"/>
          <w:szCs w:val="24"/>
        </w:rPr>
        <w:t>.</w:t>
      </w:r>
    </w:p>
    <w:p w:rsidR="001935D4" w:rsidRPr="00AC1736" w:rsidRDefault="001935D4" w:rsidP="001935D4">
      <w:pPr>
        <w:tabs>
          <w:tab w:val="left" w:pos="0"/>
          <w:tab w:val="left" w:pos="851"/>
        </w:tabs>
        <w:ind w:left="851"/>
        <w:rPr>
          <w:sz w:val="24"/>
          <w:szCs w:val="24"/>
        </w:rPr>
      </w:pPr>
    </w:p>
    <w:p w:rsidR="001935D4" w:rsidRPr="00AC1736" w:rsidRDefault="001935D4" w:rsidP="001935D4">
      <w:pPr>
        <w:tabs>
          <w:tab w:val="left" w:pos="0"/>
          <w:tab w:val="left" w:pos="851"/>
        </w:tabs>
        <w:ind w:left="851"/>
        <w:rPr>
          <w:sz w:val="24"/>
          <w:szCs w:val="24"/>
        </w:rPr>
      </w:pPr>
      <w:r w:rsidRPr="00AC1736">
        <w:rPr>
          <w:sz w:val="24"/>
          <w:szCs w:val="24"/>
        </w:rPr>
        <w:t>Ikke alle pakningsstørrelser er nødvendigvis markedsført.</w:t>
      </w:r>
    </w:p>
    <w:p w:rsidR="001935D4" w:rsidRPr="00AC1736" w:rsidRDefault="001935D4" w:rsidP="008D283B">
      <w:pPr>
        <w:tabs>
          <w:tab w:val="left" w:pos="851"/>
        </w:tabs>
        <w:ind w:left="851"/>
        <w:rPr>
          <w:sz w:val="24"/>
          <w:szCs w:val="24"/>
        </w:rPr>
      </w:pPr>
    </w:p>
    <w:p w:rsidR="0029198B" w:rsidRPr="00C84483" w:rsidRDefault="0029198B" w:rsidP="0029198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1935D4" w:rsidRPr="00AC1736" w:rsidRDefault="001935D4" w:rsidP="001935D4">
      <w:pPr>
        <w:ind w:left="851"/>
        <w:rPr>
          <w:rFonts w:eastAsia="Calibri"/>
          <w:sz w:val="24"/>
          <w:szCs w:val="24"/>
          <w:lang w:eastAsia="da-DK"/>
        </w:rPr>
      </w:pPr>
      <w:r w:rsidRPr="00AC1736">
        <w:rPr>
          <w:sz w:val="24"/>
          <w:szCs w:val="24"/>
        </w:rPr>
        <w:t>Kun til engangsbrug.</w:t>
      </w:r>
    </w:p>
    <w:p w:rsidR="001935D4" w:rsidRPr="00AC1736" w:rsidRDefault="001935D4" w:rsidP="001935D4">
      <w:pPr>
        <w:tabs>
          <w:tab w:val="left" w:pos="0"/>
          <w:tab w:val="left" w:pos="851"/>
        </w:tabs>
        <w:ind w:left="851"/>
        <w:rPr>
          <w:bCs/>
          <w:sz w:val="24"/>
          <w:szCs w:val="24"/>
        </w:rPr>
      </w:pPr>
    </w:p>
    <w:p w:rsidR="001935D4" w:rsidRPr="001D415E" w:rsidRDefault="001935D4" w:rsidP="001935D4">
      <w:pPr>
        <w:pStyle w:val="Ingenafstand"/>
        <w:ind w:left="851"/>
        <w:rPr>
          <w:sz w:val="24"/>
          <w:szCs w:val="24"/>
          <w:u w:val="single"/>
        </w:rPr>
      </w:pPr>
      <w:r w:rsidRPr="001D415E">
        <w:rPr>
          <w:sz w:val="24"/>
          <w:szCs w:val="24"/>
          <w:u w:val="single"/>
        </w:rPr>
        <w:t>Vejledning til fremstilling af fortyndet opløsning:</w:t>
      </w:r>
    </w:p>
    <w:p w:rsidR="001935D4" w:rsidRPr="00AC1736" w:rsidRDefault="001935D4" w:rsidP="005E346E">
      <w:pPr>
        <w:pStyle w:val="Ingenafstand"/>
        <w:numPr>
          <w:ilvl w:val="0"/>
          <w:numId w:val="11"/>
        </w:numPr>
        <w:ind w:left="1134" w:hanging="283"/>
        <w:rPr>
          <w:sz w:val="24"/>
          <w:szCs w:val="24"/>
        </w:rPr>
      </w:pPr>
      <w:r w:rsidRPr="00AC1736">
        <w:rPr>
          <w:sz w:val="24"/>
          <w:szCs w:val="24"/>
        </w:rPr>
        <w:t>Kontrollér ampullen visuelt inden brug. Der bør kun anvendes klare opløsninger, der er fri for partikler.</w:t>
      </w:r>
    </w:p>
    <w:p w:rsidR="001935D4" w:rsidRPr="00AC1736" w:rsidRDefault="001935D4" w:rsidP="005E346E">
      <w:pPr>
        <w:pStyle w:val="Ingenafstand"/>
        <w:numPr>
          <w:ilvl w:val="0"/>
          <w:numId w:val="11"/>
        </w:numPr>
        <w:ind w:left="1134" w:hanging="283"/>
        <w:rPr>
          <w:sz w:val="24"/>
          <w:szCs w:val="24"/>
        </w:rPr>
      </w:pPr>
      <w:r w:rsidRPr="00AC1736">
        <w:rPr>
          <w:sz w:val="24"/>
          <w:szCs w:val="24"/>
        </w:rPr>
        <w:t>Bær handsker under åbning af ampullen.</w:t>
      </w:r>
    </w:p>
    <w:p w:rsidR="001935D4" w:rsidRPr="00AC1736" w:rsidRDefault="001935D4" w:rsidP="005E346E">
      <w:pPr>
        <w:pStyle w:val="Ingenafstand"/>
        <w:numPr>
          <w:ilvl w:val="0"/>
          <w:numId w:val="11"/>
        </w:numPr>
        <w:ind w:left="1134" w:hanging="283"/>
        <w:rPr>
          <w:sz w:val="24"/>
          <w:szCs w:val="24"/>
        </w:rPr>
      </w:pPr>
      <w:r w:rsidRPr="00AC1736">
        <w:rPr>
          <w:sz w:val="24"/>
          <w:szCs w:val="24"/>
        </w:rPr>
        <w:t>Åbning af ampullen:</w:t>
      </w:r>
    </w:p>
    <w:p w:rsidR="001935D4" w:rsidRPr="00AC1736" w:rsidRDefault="001935D4" w:rsidP="005E346E">
      <w:pPr>
        <w:pStyle w:val="Listeafsnit"/>
        <w:numPr>
          <w:ilvl w:val="0"/>
          <w:numId w:val="12"/>
        </w:numPr>
        <w:spacing w:after="0" w:line="240" w:lineRule="auto"/>
        <w:ind w:left="1418" w:hanging="284"/>
        <w:rPr>
          <w:rFonts w:ascii="Times New Roman" w:hAnsi="Times New Roman" w:cs="Times New Roman"/>
          <w:sz w:val="24"/>
          <w:szCs w:val="24"/>
        </w:rPr>
      </w:pPr>
      <w:r w:rsidRPr="00AC1736">
        <w:rPr>
          <w:rFonts w:ascii="Times New Roman" w:hAnsi="Times New Roman" w:cs="Times New Roman"/>
          <w:sz w:val="24"/>
          <w:szCs w:val="24"/>
        </w:rPr>
        <w:t>Vend ampullen, så den farvede prik vender opad. Hvis der er opløsning i den øverste del af ampullen, så bank let med fingeren for at få al opløsning ned i bunden af ampullen.</w:t>
      </w:r>
    </w:p>
    <w:p w:rsidR="001935D4" w:rsidRPr="00AC1736" w:rsidRDefault="001935D4" w:rsidP="005E346E">
      <w:pPr>
        <w:pStyle w:val="Listeafsnit"/>
        <w:numPr>
          <w:ilvl w:val="0"/>
          <w:numId w:val="12"/>
        </w:numPr>
        <w:spacing w:after="0" w:line="240" w:lineRule="auto"/>
        <w:ind w:left="1418" w:hanging="284"/>
        <w:rPr>
          <w:rFonts w:ascii="Times New Roman" w:hAnsi="Times New Roman" w:cs="Times New Roman"/>
          <w:sz w:val="24"/>
          <w:szCs w:val="24"/>
        </w:rPr>
      </w:pPr>
      <w:r w:rsidRPr="00AC1736">
        <w:rPr>
          <w:rFonts w:ascii="Times New Roman" w:hAnsi="Times New Roman" w:cs="Times New Roman"/>
          <w:sz w:val="24"/>
          <w:szCs w:val="24"/>
        </w:rPr>
        <w:t>Brug begge hænder til at åbne ampullen. Mens du holder den nederste del af ampullen i den ene hånd, skal du bruge den anden hånd til at knække den øverste del af ampullen i retning væk fra det farvede punkt (se nedenstående billeder).</w:t>
      </w:r>
    </w:p>
    <w:p w:rsidR="001935D4" w:rsidRPr="00AC1736" w:rsidRDefault="001935D4" w:rsidP="001935D4">
      <w:pPr>
        <w:ind w:left="851"/>
        <w:rPr>
          <w:sz w:val="24"/>
          <w:szCs w:val="24"/>
        </w:rPr>
      </w:pPr>
      <w:r w:rsidRPr="00AC1736">
        <w:rPr>
          <w:noProof/>
          <w:sz w:val="24"/>
          <w:szCs w:val="24"/>
          <w:lang w:eastAsia="da-DK"/>
        </w:rPr>
        <w:drawing>
          <wp:inline distT="0" distB="0" distL="0" distR="0" wp14:anchorId="61CBA161" wp14:editId="5BFB01A5">
            <wp:extent cx="2217420" cy="159258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7420" cy="1592580"/>
                    </a:xfrm>
                    <a:prstGeom prst="rect">
                      <a:avLst/>
                    </a:prstGeom>
                    <a:noFill/>
                    <a:ln>
                      <a:noFill/>
                    </a:ln>
                  </pic:spPr>
                </pic:pic>
              </a:graphicData>
            </a:graphic>
          </wp:inline>
        </w:drawing>
      </w:r>
      <w:bookmarkStart w:id="1" w:name="_GoBack"/>
      <w:bookmarkEnd w:id="1"/>
    </w:p>
    <w:p w:rsidR="001935D4" w:rsidRPr="00AC1736" w:rsidRDefault="001935D4" w:rsidP="008D283B">
      <w:pPr>
        <w:pStyle w:val="Ingenafstand"/>
        <w:ind w:left="851"/>
        <w:rPr>
          <w:sz w:val="24"/>
          <w:szCs w:val="24"/>
          <w:lang w:val="en-GB"/>
        </w:rPr>
      </w:pPr>
    </w:p>
    <w:p w:rsidR="001935D4" w:rsidRPr="00664610" w:rsidRDefault="001935D4" w:rsidP="005E346E">
      <w:pPr>
        <w:pStyle w:val="Listeafsnit"/>
        <w:numPr>
          <w:ilvl w:val="0"/>
          <w:numId w:val="13"/>
        </w:numPr>
        <w:spacing w:after="0" w:line="240" w:lineRule="auto"/>
        <w:ind w:left="1134" w:hanging="283"/>
        <w:rPr>
          <w:rFonts w:ascii="Times New Roman" w:hAnsi="Times New Roman" w:cs="Times New Roman"/>
          <w:sz w:val="24"/>
          <w:szCs w:val="24"/>
        </w:rPr>
      </w:pPr>
      <w:r w:rsidRPr="00664610">
        <w:rPr>
          <w:rFonts w:ascii="Times New Roman" w:hAnsi="Times New Roman" w:cs="Times New Roman"/>
          <w:sz w:val="24"/>
          <w:szCs w:val="24"/>
        </w:rPr>
        <w:t>Lægemidlet skal anvendes umiddelbart efter åbning af ampullen.</w:t>
      </w:r>
    </w:p>
    <w:p w:rsidR="001935D4" w:rsidRPr="00664610" w:rsidRDefault="001935D4" w:rsidP="005E346E">
      <w:pPr>
        <w:pStyle w:val="Listeafsnit"/>
        <w:numPr>
          <w:ilvl w:val="0"/>
          <w:numId w:val="13"/>
        </w:numPr>
        <w:spacing w:after="0" w:line="240" w:lineRule="auto"/>
        <w:ind w:left="1134" w:hanging="283"/>
        <w:rPr>
          <w:rFonts w:ascii="Times New Roman" w:hAnsi="Times New Roman" w:cs="Times New Roman"/>
          <w:sz w:val="24"/>
          <w:szCs w:val="24"/>
        </w:rPr>
      </w:pPr>
      <w:r w:rsidRPr="00664610">
        <w:rPr>
          <w:rFonts w:ascii="Times New Roman" w:hAnsi="Times New Roman" w:cs="Times New Roman"/>
          <w:sz w:val="24"/>
          <w:szCs w:val="24"/>
        </w:rPr>
        <w:t>Fortynd ampullens indholdet til en koncentration på 25</w:t>
      </w:r>
      <w:r w:rsidRPr="00664610">
        <w:rPr>
          <w:rFonts w:ascii="Times New Roman" w:hAnsi="Times New Roman" w:cs="Times New Roman"/>
          <w:sz w:val="24"/>
          <w:szCs w:val="24"/>
        </w:rPr>
        <w:noBreakHyphen/>
        <w:t>80 mikrogram/ml med:</w:t>
      </w:r>
    </w:p>
    <w:p w:rsidR="001935D4" w:rsidRPr="00664610" w:rsidRDefault="001935D4" w:rsidP="005E346E">
      <w:pPr>
        <w:pStyle w:val="Listeafsnit"/>
        <w:numPr>
          <w:ilvl w:val="0"/>
          <w:numId w:val="14"/>
        </w:numPr>
        <w:spacing w:after="0" w:line="240" w:lineRule="auto"/>
        <w:ind w:left="1418" w:hanging="284"/>
        <w:rPr>
          <w:rFonts w:ascii="Times New Roman" w:hAnsi="Times New Roman" w:cs="Times New Roman"/>
          <w:sz w:val="24"/>
          <w:szCs w:val="24"/>
        </w:rPr>
      </w:pPr>
      <w:r w:rsidRPr="00664610">
        <w:rPr>
          <w:rFonts w:ascii="Times New Roman" w:hAnsi="Times New Roman" w:cs="Times New Roman"/>
          <w:sz w:val="24"/>
          <w:szCs w:val="24"/>
        </w:rPr>
        <w:t>0,9</w:t>
      </w:r>
      <w:r>
        <w:rPr>
          <w:rFonts w:ascii="Times New Roman" w:hAnsi="Times New Roman" w:cs="Times New Roman"/>
          <w:sz w:val="24"/>
          <w:szCs w:val="24"/>
        </w:rPr>
        <w:t xml:space="preserve"> %</w:t>
      </w:r>
      <w:r w:rsidRPr="00664610">
        <w:rPr>
          <w:rFonts w:ascii="Times New Roman" w:hAnsi="Times New Roman" w:cs="Times New Roman"/>
          <w:sz w:val="24"/>
          <w:szCs w:val="24"/>
        </w:rPr>
        <w:t xml:space="preserve"> </w:t>
      </w:r>
      <w:proofErr w:type="spellStart"/>
      <w:r w:rsidRPr="00664610">
        <w:rPr>
          <w:rFonts w:ascii="Times New Roman" w:hAnsi="Times New Roman" w:cs="Times New Roman"/>
          <w:sz w:val="24"/>
          <w:szCs w:val="24"/>
        </w:rPr>
        <w:t>natriumchloridopløsning</w:t>
      </w:r>
      <w:proofErr w:type="spellEnd"/>
      <w:r w:rsidRPr="00664610">
        <w:rPr>
          <w:rFonts w:ascii="Times New Roman" w:hAnsi="Times New Roman" w:cs="Times New Roman"/>
          <w:sz w:val="24"/>
          <w:szCs w:val="24"/>
        </w:rPr>
        <w:t xml:space="preserve"> eller</w:t>
      </w:r>
    </w:p>
    <w:p w:rsidR="001935D4" w:rsidRPr="00664610" w:rsidRDefault="001935D4" w:rsidP="005E346E">
      <w:pPr>
        <w:pStyle w:val="Listeafsnit"/>
        <w:numPr>
          <w:ilvl w:val="0"/>
          <w:numId w:val="14"/>
        </w:numPr>
        <w:spacing w:after="0" w:line="240" w:lineRule="auto"/>
        <w:ind w:left="1418" w:hanging="284"/>
        <w:rPr>
          <w:rFonts w:ascii="Times New Roman" w:hAnsi="Times New Roman" w:cs="Times New Roman"/>
          <w:sz w:val="24"/>
          <w:szCs w:val="24"/>
        </w:rPr>
      </w:pPr>
      <w:r w:rsidRPr="00664610">
        <w:rPr>
          <w:rFonts w:ascii="Times New Roman" w:hAnsi="Times New Roman" w:cs="Times New Roman"/>
          <w:sz w:val="24"/>
          <w:szCs w:val="24"/>
        </w:rPr>
        <w:t>5</w:t>
      </w:r>
      <w:r>
        <w:rPr>
          <w:rFonts w:ascii="Times New Roman" w:hAnsi="Times New Roman" w:cs="Times New Roman"/>
          <w:sz w:val="24"/>
          <w:szCs w:val="24"/>
        </w:rPr>
        <w:t xml:space="preserve"> %</w:t>
      </w:r>
      <w:r w:rsidRPr="00664610">
        <w:rPr>
          <w:rFonts w:ascii="Times New Roman" w:hAnsi="Times New Roman" w:cs="Times New Roman"/>
          <w:sz w:val="24"/>
          <w:szCs w:val="24"/>
        </w:rPr>
        <w:t xml:space="preserve"> </w:t>
      </w:r>
      <w:proofErr w:type="spellStart"/>
      <w:r w:rsidRPr="00664610">
        <w:rPr>
          <w:rFonts w:ascii="Times New Roman" w:hAnsi="Times New Roman" w:cs="Times New Roman"/>
          <w:sz w:val="24"/>
          <w:szCs w:val="24"/>
        </w:rPr>
        <w:t>glucoseopløsning</w:t>
      </w:r>
      <w:proofErr w:type="spellEnd"/>
      <w:r w:rsidRPr="00664610">
        <w:rPr>
          <w:rFonts w:ascii="Times New Roman" w:hAnsi="Times New Roman" w:cs="Times New Roman"/>
          <w:sz w:val="24"/>
          <w:szCs w:val="24"/>
        </w:rPr>
        <w:t xml:space="preserve"> eller</w:t>
      </w:r>
    </w:p>
    <w:p w:rsidR="001935D4" w:rsidRPr="00664610" w:rsidRDefault="001935D4" w:rsidP="005E346E">
      <w:pPr>
        <w:pStyle w:val="Listeafsnit"/>
        <w:numPr>
          <w:ilvl w:val="0"/>
          <w:numId w:val="14"/>
        </w:numPr>
        <w:spacing w:after="0" w:line="240" w:lineRule="auto"/>
        <w:ind w:left="1418" w:hanging="284"/>
        <w:rPr>
          <w:rFonts w:ascii="Times New Roman" w:hAnsi="Times New Roman" w:cs="Times New Roman"/>
          <w:sz w:val="24"/>
          <w:szCs w:val="24"/>
        </w:rPr>
      </w:pPr>
      <w:proofErr w:type="spellStart"/>
      <w:r w:rsidRPr="00664610">
        <w:rPr>
          <w:rFonts w:ascii="Times New Roman" w:hAnsi="Times New Roman" w:cs="Times New Roman"/>
          <w:sz w:val="24"/>
          <w:szCs w:val="24"/>
        </w:rPr>
        <w:t>Ringelaktatopløsning</w:t>
      </w:r>
      <w:proofErr w:type="spellEnd"/>
      <w:r w:rsidRPr="00664610">
        <w:rPr>
          <w:rFonts w:ascii="Times New Roman" w:hAnsi="Times New Roman" w:cs="Times New Roman"/>
          <w:sz w:val="24"/>
          <w:szCs w:val="24"/>
        </w:rPr>
        <w:t>.</w:t>
      </w:r>
    </w:p>
    <w:p w:rsidR="001935D4" w:rsidRPr="00664610" w:rsidRDefault="001935D4" w:rsidP="005E346E">
      <w:pPr>
        <w:pStyle w:val="Listeafsnit"/>
        <w:numPr>
          <w:ilvl w:val="0"/>
          <w:numId w:val="13"/>
        </w:numPr>
        <w:spacing w:after="0" w:line="240" w:lineRule="auto"/>
        <w:ind w:left="1134" w:hanging="283"/>
        <w:rPr>
          <w:rFonts w:ascii="Times New Roman" w:hAnsi="Times New Roman" w:cs="Times New Roman"/>
          <w:sz w:val="24"/>
          <w:szCs w:val="24"/>
        </w:rPr>
      </w:pPr>
      <w:r w:rsidRPr="00664610">
        <w:rPr>
          <w:rFonts w:ascii="Times New Roman" w:hAnsi="Times New Roman" w:cs="Times New Roman"/>
          <w:sz w:val="24"/>
          <w:szCs w:val="24"/>
        </w:rPr>
        <w:t>Kassér eventuelt ikke anvendt lægemiddel.</w:t>
      </w:r>
    </w:p>
    <w:p w:rsidR="001935D4" w:rsidRPr="00664610" w:rsidRDefault="001935D4" w:rsidP="005E346E">
      <w:pPr>
        <w:pStyle w:val="Listeafsnit"/>
        <w:numPr>
          <w:ilvl w:val="0"/>
          <w:numId w:val="13"/>
        </w:numPr>
        <w:spacing w:after="0" w:line="240" w:lineRule="auto"/>
        <w:ind w:left="1134" w:hanging="283"/>
        <w:rPr>
          <w:rFonts w:ascii="Times New Roman" w:hAnsi="Times New Roman" w:cs="Times New Roman"/>
          <w:sz w:val="24"/>
          <w:szCs w:val="24"/>
        </w:rPr>
      </w:pPr>
      <w:r w:rsidRPr="00664610">
        <w:rPr>
          <w:rFonts w:ascii="Times New Roman" w:hAnsi="Times New Roman" w:cs="Times New Roman"/>
          <w:sz w:val="24"/>
          <w:szCs w:val="24"/>
        </w:rPr>
        <w:t>Hvis huden ved et uheld eksponeres, skal der behandles ved at skylle det berørte område med vand. Undgå at bruge sæbe, sprit og andre rengøringsmidler, der kan medføre kemiske eller fysiske skader på huden.</w:t>
      </w:r>
    </w:p>
    <w:p w:rsidR="001935D4" w:rsidRPr="00AC1736" w:rsidRDefault="001935D4" w:rsidP="008D283B">
      <w:pPr>
        <w:pStyle w:val="Ingenafstand"/>
        <w:ind w:left="851"/>
        <w:rPr>
          <w:sz w:val="24"/>
          <w:szCs w:val="24"/>
        </w:rPr>
      </w:pPr>
    </w:p>
    <w:p w:rsidR="001935D4" w:rsidRPr="00AC1736" w:rsidRDefault="001935D4" w:rsidP="001935D4">
      <w:pPr>
        <w:pStyle w:val="Ingenafstand"/>
        <w:ind w:left="851"/>
        <w:rPr>
          <w:sz w:val="24"/>
          <w:szCs w:val="24"/>
        </w:rPr>
      </w:pPr>
      <w:r w:rsidRPr="00AC1736">
        <w:rPr>
          <w:sz w:val="24"/>
          <w:szCs w:val="24"/>
        </w:rPr>
        <w:t>Fortyndede opløsninger er kemisk og fysisk stabile ved kontakt med sædvanligvis anvendte intravenøse administrationsenheder.</w:t>
      </w:r>
    </w:p>
    <w:p w:rsidR="001935D4" w:rsidRPr="00AC1736" w:rsidRDefault="001935D4" w:rsidP="001935D4">
      <w:pPr>
        <w:pStyle w:val="Ingenafstand"/>
        <w:ind w:left="851"/>
        <w:rPr>
          <w:sz w:val="24"/>
          <w:szCs w:val="24"/>
          <w:lang w:eastAsia="en-US"/>
        </w:rPr>
      </w:pPr>
    </w:p>
    <w:p w:rsidR="001935D4" w:rsidRPr="00AC1736" w:rsidRDefault="001935D4" w:rsidP="001935D4">
      <w:pPr>
        <w:pStyle w:val="Ingenafstand"/>
        <w:ind w:left="851"/>
        <w:rPr>
          <w:sz w:val="24"/>
          <w:szCs w:val="24"/>
        </w:rPr>
      </w:pPr>
      <w:r w:rsidRPr="00AC1736">
        <w:rPr>
          <w:sz w:val="24"/>
          <w:szCs w:val="24"/>
        </w:rPr>
        <w:t>Holdbarhed af fortyndet opløsning, se pkt. 6.3.</w:t>
      </w:r>
    </w:p>
    <w:p w:rsidR="001935D4" w:rsidRPr="00AC1736" w:rsidRDefault="001935D4" w:rsidP="001935D4">
      <w:pPr>
        <w:tabs>
          <w:tab w:val="left" w:pos="0"/>
          <w:tab w:val="left" w:pos="851"/>
        </w:tabs>
        <w:ind w:left="851"/>
        <w:rPr>
          <w:sz w:val="24"/>
          <w:szCs w:val="24"/>
        </w:rPr>
      </w:pPr>
    </w:p>
    <w:p w:rsidR="001935D4" w:rsidRPr="00AC1736" w:rsidRDefault="001935D4" w:rsidP="001935D4">
      <w:pPr>
        <w:pStyle w:val="Ingenafstand"/>
        <w:ind w:left="851"/>
        <w:rPr>
          <w:sz w:val="24"/>
          <w:szCs w:val="24"/>
        </w:rPr>
      </w:pPr>
      <w:r w:rsidRPr="00AC1736">
        <w:rPr>
          <w:sz w:val="24"/>
          <w:szCs w:val="24"/>
        </w:rPr>
        <w:t>Ikke anvendt lægemiddel samt affald heraf skal bortskaffes i henhold til lokale retningslinjer.</w:t>
      </w:r>
    </w:p>
    <w:p w:rsidR="001935D4" w:rsidRPr="00AC1736" w:rsidRDefault="001935D4" w:rsidP="008D283B">
      <w:pPr>
        <w:tabs>
          <w:tab w:val="left" w:pos="851"/>
        </w:tabs>
        <w:ind w:left="851"/>
        <w:jc w:val="both"/>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7.</w:t>
      </w:r>
      <w:r w:rsidRPr="00AC1736">
        <w:rPr>
          <w:b/>
          <w:sz w:val="24"/>
          <w:szCs w:val="24"/>
        </w:rPr>
        <w:tab/>
        <w:t>INDEHAVER AF MARKEDSFØRINGSTILLADELSEN</w:t>
      </w:r>
    </w:p>
    <w:p w:rsidR="001935D4" w:rsidRPr="00AC1736" w:rsidRDefault="001935D4" w:rsidP="001935D4">
      <w:pPr>
        <w:autoSpaceDE w:val="0"/>
        <w:autoSpaceDN w:val="0"/>
        <w:adjustRightInd w:val="0"/>
        <w:spacing w:line="240" w:lineRule="atLeast"/>
        <w:ind w:left="851"/>
        <w:rPr>
          <w:color w:val="000000"/>
          <w:sz w:val="24"/>
          <w:szCs w:val="24"/>
        </w:rPr>
      </w:pPr>
      <w:r w:rsidRPr="00AC1736">
        <w:rPr>
          <w:color w:val="000000"/>
          <w:sz w:val="24"/>
          <w:szCs w:val="24"/>
        </w:rPr>
        <w:t xml:space="preserve">AS </w:t>
      </w:r>
      <w:proofErr w:type="spellStart"/>
      <w:r w:rsidRPr="00AC1736">
        <w:rPr>
          <w:color w:val="000000"/>
          <w:sz w:val="24"/>
          <w:szCs w:val="24"/>
        </w:rPr>
        <w:t>Kalceks</w:t>
      </w:r>
      <w:proofErr w:type="spellEnd"/>
    </w:p>
    <w:p w:rsidR="001935D4" w:rsidRPr="001255C7" w:rsidRDefault="001935D4" w:rsidP="001935D4">
      <w:pPr>
        <w:ind w:left="851"/>
        <w:rPr>
          <w:sz w:val="24"/>
          <w:szCs w:val="24"/>
        </w:rPr>
      </w:pPr>
      <w:proofErr w:type="spellStart"/>
      <w:r w:rsidRPr="001255C7">
        <w:rPr>
          <w:sz w:val="24"/>
          <w:szCs w:val="24"/>
        </w:rPr>
        <w:t>Krustpils</w:t>
      </w:r>
      <w:proofErr w:type="spellEnd"/>
      <w:r w:rsidRPr="001255C7">
        <w:rPr>
          <w:sz w:val="24"/>
          <w:szCs w:val="24"/>
        </w:rPr>
        <w:t xml:space="preserve"> </w:t>
      </w:r>
      <w:proofErr w:type="spellStart"/>
      <w:r w:rsidRPr="001255C7">
        <w:rPr>
          <w:sz w:val="24"/>
          <w:szCs w:val="24"/>
        </w:rPr>
        <w:t>iela</w:t>
      </w:r>
      <w:proofErr w:type="spellEnd"/>
      <w:r w:rsidRPr="001255C7">
        <w:rPr>
          <w:sz w:val="24"/>
          <w:szCs w:val="24"/>
        </w:rPr>
        <w:t xml:space="preserve"> 53</w:t>
      </w:r>
    </w:p>
    <w:p w:rsidR="001935D4" w:rsidRPr="001255C7" w:rsidRDefault="001935D4" w:rsidP="001935D4">
      <w:pPr>
        <w:ind w:left="851"/>
        <w:rPr>
          <w:sz w:val="24"/>
          <w:szCs w:val="24"/>
        </w:rPr>
      </w:pPr>
      <w:r w:rsidRPr="001255C7">
        <w:rPr>
          <w:sz w:val="24"/>
          <w:szCs w:val="24"/>
        </w:rPr>
        <w:t>LV</w:t>
      </w:r>
      <w:r w:rsidRPr="001255C7">
        <w:rPr>
          <w:sz w:val="24"/>
          <w:szCs w:val="24"/>
        </w:rPr>
        <w:noBreakHyphen/>
        <w:t xml:space="preserve">1057 </w:t>
      </w:r>
      <w:proofErr w:type="spellStart"/>
      <w:r w:rsidRPr="001255C7">
        <w:rPr>
          <w:sz w:val="24"/>
          <w:szCs w:val="24"/>
        </w:rPr>
        <w:t>Rīga</w:t>
      </w:r>
      <w:proofErr w:type="spellEnd"/>
    </w:p>
    <w:p w:rsidR="001935D4" w:rsidRPr="001255C7" w:rsidRDefault="001935D4" w:rsidP="001935D4">
      <w:pPr>
        <w:ind w:left="851"/>
        <w:rPr>
          <w:sz w:val="24"/>
          <w:szCs w:val="24"/>
          <w:lang w:eastAsia="da-DK"/>
        </w:rPr>
      </w:pPr>
      <w:r w:rsidRPr="001255C7">
        <w:rPr>
          <w:sz w:val="24"/>
          <w:szCs w:val="24"/>
        </w:rPr>
        <w:t>Letland</w:t>
      </w:r>
    </w:p>
    <w:p w:rsidR="001935D4" w:rsidRPr="001255C7" w:rsidRDefault="001935D4" w:rsidP="008D283B">
      <w:pPr>
        <w:tabs>
          <w:tab w:val="left" w:pos="851"/>
        </w:tabs>
        <w:ind w:left="851"/>
        <w:rPr>
          <w:sz w:val="24"/>
          <w:szCs w:val="24"/>
        </w:rPr>
      </w:pPr>
    </w:p>
    <w:p w:rsidR="0029198B" w:rsidRPr="00C84483" w:rsidRDefault="0029198B" w:rsidP="0029198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1935D4" w:rsidRPr="00AC1736" w:rsidRDefault="001935D4" w:rsidP="008D283B">
      <w:pPr>
        <w:tabs>
          <w:tab w:val="left" w:pos="851"/>
        </w:tabs>
        <w:ind w:left="851"/>
        <w:rPr>
          <w:sz w:val="24"/>
          <w:szCs w:val="24"/>
        </w:rPr>
      </w:pPr>
      <w:r w:rsidRPr="00AC1736">
        <w:rPr>
          <w:sz w:val="24"/>
          <w:szCs w:val="24"/>
        </w:rPr>
        <w:t>61571</w:t>
      </w:r>
    </w:p>
    <w:p w:rsidR="001935D4" w:rsidRPr="00AC1736" w:rsidRDefault="001935D4" w:rsidP="008D283B">
      <w:pPr>
        <w:tabs>
          <w:tab w:val="left" w:pos="851"/>
        </w:tabs>
        <w:ind w:left="851"/>
        <w:jc w:val="both"/>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9.</w:t>
      </w:r>
      <w:r w:rsidRPr="00AC1736">
        <w:rPr>
          <w:b/>
          <w:sz w:val="24"/>
          <w:szCs w:val="24"/>
        </w:rPr>
        <w:tab/>
        <w:t>DATO FOR FØRSTE MARKEDSFØRINGSTILLADELSE</w:t>
      </w:r>
    </w:p>
    <w:p w:rsidR="001935D4" w:rsidRPr="00AC1736" w:rsidRDefault="001935D4" w:rsidP="008D283B">
      <w:pPr>
        <w:tabs>
          <w:tab w:val="left" w:pos="851"/>
        </w:tabs>
        <w:ind w:left="851"/>
        <w:rPr>
          <w:sz w:val="24"/>
          <w:szCs w:val="24"/>
        </w:rPr>
      </w:pPr>
      <w:r>
        <w:rPr>
          <w:sz w:val="24"/>
          <w:szCs w:val="24"/>
        </w:rPr>
        <w:t>19. september 2019</w:t>
      </w:r>
    </w:p>
    <w:p w:rsidR="001935D4" w:rsidRPr="00AC1736" w:rsidRDefault="001935D4" w:rsidP="008D283B">
      <w:pPr>
        <w:tabs>
          <w:tab w:val="left" w:pos="851"/>
        </w:tabs>
        <w:ind w:left="851"/>
        <w:rPr>
          <w:sz w:val="24"/>
          <w:szCs w:val="24"/>
        </w:rPr>
      </w:pPr>
    </w:p>
    <w:p w:rsidR="001935D4" w:rsidRPr="00AC1736" w:rsidRDefault="001935D4" w:rsidP="001935D4">
      <w:pPr>
        <w:tabs>
          <w:tab w:val="left" w:pos="851"/>
        </w:tabs>
        <w:ind w:left="851" w:hanging="851"/>
        <w:rPr>
          <w:b/>
          <w:sz w:val="24"/>
          <w:szCs w:val="24"/>
        </w:rPr>
      </w:pPr>
      <w:r w:rsidRPr="00AC1736">
        <w:rPr>
          <w:b/>
          <w:sz w:val="24"/>
          <w:szCs w:val="24"/>
        </w:rPr>
        <w:t>10.</w:t>
      </w:r>
      <w:r w:rsidRPr="00AC1736">
        <w:rPr>
          <w:b/>
          <w:sz w:val="24"/>
          <w:szCs w:val="24"/>
        </w:rPr>
        <w:tab/>
        <w:t>DATO FOR ÆNDRING AF TEKSTEN</w:t>
      </w:r>
    </w:p>
    <w:p w:rsidR="009260DE" w:rsidRPr="000C4F99" w:rsidRDefault="0029198B" w:rsidP="008D283B">
      <w:pPr>
        <w:tabs>
          <w:tab w:val="left" w:pos="851"/>
        </w:tabs>
        <w:ind w:left="851"/>
        <w:rPr>
          <w:sz w:val="24"/>
          <w:szCs w:val="24"/>
        </w:rPr>
      </w:pPr>
      <w:r>
        <w:rPr>
          <w:sz w:val="24"/>
          <w:szCs w:val="24"/>
        </w:rPr>
        <w:t>18. juli 2023</w:t>
      </w:r>
    </w:p>
    <w:sectPr w:rsidR="009260DE" w:rsidRPr="000C4F9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F06" w:rsidRDefault="00292F06">
      <w:r>
        <w:separator/>
      </w:r>
    </w:p>
  </w:endnote>
  <w:endnote w:type="continuationSeparator" w:id="0">
    <w:p w:rsidR="00292F06" w:rsidRDefault="0029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F06" w:rsidRDefault="00292F06">
    <w:pPr>
      <w:pStyle w:val="Sidefod"/>
      <w:pBdr>
        <w:bottom w:val="single" w:sz="6" w:space="1" w:color="auto"/>
      </w:pBdr>
    </w:pPr>
  </w:p>
  <w:p w:rsidR="00292F06" w:rsidRDefault="00292F06" w:rsidP="00C42586">
    <w:pPr>
      <w:pStyle w:val="Sidefod"/>
      <w:tabs>
        <w:tab w:val="clear" w:pos="4819"/>
        <w:tab w:val="left" w:pos="8505"/>
      </w:tabs>
      <w:rPr>
        <w:i/>
        <w:sz w:val="18"/>
        <w:szCs w:val="18"/>
      </w:rPr>
    </w:pPr>
  </w:p>
  <w:p w:rsidR="00292F06" w:rsidRPr="00B373D7" w:rsidRDefault="00292F0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Alfentanil Kalceks, injektions--infusionsvæske, opløsning 0,5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F06" w:rsidRDefault="00292F06">
      <w:r>
        <w:separator/>
      </w:r>
    </w:p>
  </w:footnote>
  <w:footnote w:type="continuationSeparator" w:id="0">
    <w:p w:rsidR="00292F06" w:rsidRDefault="00292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F93"/>
    <w:multiLevelType w:val="hybridMultilevel"/>
    <w:tmpl w:val="56F2F828"/>
    <w:lvl w:ilvl="0" w:tplc="FFFFFFF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DF6545A"/>
    <w:multiLevelType w:val="hybridMultilevel"/>
    <w:tmpl w:val="B178C378"/>
    <w:lvl w:ilvl="0" w:tplc="5A5CF712">
      <w:start w:val="1"/>
      <w:numFmt w:val="bullet"/>
      <w:lvlText w:val="-"/>
      <w:lvlJc w:val="left"/>
      <w:pPr>
        <w:ind w:left="720" w:hanging="360"/>
      </w:pPr>
      <w:rPr>
        <w:rFonts w:ascii="Courier New" w:hAnsi="Courier New" w:cs="Times New Roman" w:hint="default"/>
      </w:rPr>
    </w:lvl>
    <w:lvl w:ilvl="1" w:tplc="683C6770">
      <w:numFmt w:val="bullet"/>
      <w:lvlText w:val="•"/>
      <w:lvlJc w:val="left"/>
      <w:pPr>
        <w:ind w:left="1440" w:hanging="360"/>
      </w:pPr>
      <w:rPr>
        <w:rFonts w:ascii="Times New Roman" w:eastAsia="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2B0040B"/>
    <w:multiLevelType w:val="hybridMultilevel"/>
    <w:tmpl w:val="FFBEA418"/>
    <w:lvl w:ilvl="0" w:tplc="5A5CF712">
      <w:start w:val="1"/>
      <w:numFmt w:val="bullet"/>
      <w:lvlText w:val="-"/>
      <w:lvlJc w:val="left"/>
      <w:pPr>
        <w:ind w:left="720" w:hanging="360"/>
      </w:pPr>
      <w:rPr>
        <w:rFonts w:ascii="Courier New" w:hAnsi="Courier New" w:cs="Times New Roman" w:hint="default"/>
        <w:w w:val="10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927318"/>
    <w:multiLevelType w:val="hybridMultilevel"/>
    <w:tmpl w:val="728CC5F6"/>
    <w:lvl w:ilvl="0" w:tplc="5A5CF712">
      <w:start w:val="1"/>
      <w:numFmt w:val="bullet"/>
      <w:lvlText w:val="-"/>
      <w:lvlJc w:val="left"/>
      <w:pPr>
        <w:ind w:left="720" w:hanging="360"/>
      </w:pPr>
      <w:rPr>
        <w:rFonts w:ascii="Courier New" w:hAnsi="Courier New" w:cs="Times New Roman" w:hint="default"/>
        <w:w w:val="102"/>
      </w:rPr>
    </w:lvl>
    <w:lvl w:ilvl="1" w:tplc="1C428296">
      <w:start w:val="1"/>
      <w:numFmt w:val="bullet"/>
      <w:lvlText w:val="o"/>
      <w:lvlJc w:val="left"/>
      <w:pPr>
        <w:ind w:left="1440" w:hanging="360"/>
      </w:pPr>
      <w:rPr>
        <w:rFonts w:ascii="Courier New" w:hAnsi="Courier New" w:cs="Courier New" w:hint="default"/>
      </w:rPr>
    </w:lvl>
    <w:lvl w:ilvl="2" w:tplc="56161554">
      <w:start w:val="1"/>
      <w:numFmt w:val="bullet"/>
      <w:lvlText w:val=""/>
      <w:lvlJc w:val="left"/>
      <w:pPr>
        <w:ind w:left="2160" w:hanging="360"/>
      </w:pPr>
      <w:rPr>
        <w:rFonts w:ascii="Wingdings" w:hAnsi="Wingdings" w:hint="default"/>
      </w:rPr>
    </w:lvl>
    <w:lvl w:ilvl="3" w:tplc="755A99D2">
      <w:start w:val="1"/>
      <w:numFmt w:val="bullet"/>
      <w:lvlText w:val=""/>
      <w:lvlJc w:val="left"/>
      <w:pPr>
        <w:ind w:left="2880" w:hanging="360"/>
      </w:pPr>
      <w:rPr>
        <w:rFonts w:ascii="Symbol" w:hAnsi="Symbol" w:hint="default"/>
      </w:rPr>
    </w:lvl>
    <w:lvl w:ilvl="4" w:tplc="79A89AD0">
      <w:start w:val="1"/>
      <w:numFmt w:val="bullet"/>
      <w:lvlText w:val="o"/>
      <w:lvlJc w:val="left"/>
      <w:pPr>
        <w:ind w:left="3600" w:hanging="360"/>
      </w:pPr>
      <w:rPr>
        <w:rFonts w:ascii="Courier New" w:hAnsi="Courier New" w:cs="Courier New" w:hint="default"/>
      </w:rPr>
    </w:lvl>
    <w:lvl w:ilvl="5" w:tplc="B1965448">
      <w:start w:val="1"/>
      <w:numFmt w:val="bullet"/>
      <w:lvlText w:val=""/>
      <w:lvlJc w:val="left"/>
      <w:pPr>
        <w:ind w:left="4320" w:hanging="360"/>
      </w:pPr>
      <w:rPr>
        <w:rFonts w:ascii="Wingdings" w:hAnsi="Wingdings" w:hint="default"/>
      </w:rPr>
    </w:lvl>
    <w:lvl w:ilvl="6" w:tplc="A0CC3AD0">
      <w:start w:val="1"/>
      <w:numFmt w:val="bullet"/>
      <w:lvlText w:val=""/>
      <w:lvlJc w:val="left"/>
      <w:pPr>
        <w:ind w:left="5040" w:hanging="360"/>
      </w:pPr>
      <w:rPr>
        <w:rFonts w:ascii="Symbol" w:hAnsi="Symbol" w:hint="default"/>
      </w:rPr>
    </w:lvl>
    <w:lvl w:ilvl="7" w:tplc="C5A60CAC">
      <w:start w:val="1"/>
      <w:numFmt w:val="bullet"/>
      <w:lvlText w:val="o"/>
      <w:lvlJc w:val="left"/>
      <w:pPr>
        <w:ind w:left="5760" w:hanging="360"/>
      </w:pPr>
      <w:rPr>
        <w:rFonts w:ascii="Courier New" w:hAnsi="Courier New" w:cs="Courier New" w:hint="default"/>
      </w:rPr>
    </w:lvl>
    <w:lvl w:ilvl="8" w:tplc="9AF06D74">
      <w:start w:val="1"/>
      <w:numFmt w:val="bullet"/>
      <w:lvlText w:val=""/>
      <w:lvlJc w:val="left"/>
      <w:pPr>
        <w:ind w:left="648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40D6FB4"/>
    <w:multiLevelType w:val="hybridMultilevel"/>
    <w:tmpl w:val="1518B548"/>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0C55757"/>
    <w:multiLevelType w:val="hybridMultilevel"/>
    <w:tmpl w:val="B524C488"/>
    <w:lvl w:ilvl="0" w:tplc="CE029B36">
      <w:start w:val="1"/>
      <w:numFmt w:val="bullet"/>
      <w:lvlText w:val="-"/>
      <w:lvlJc w:val="left"/>
      <w:pPr>
        <w:ind w:left="720" w:hanging="360"/>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584019A"/>
    <w:multiLevelType w:val="hybridMultilevel"/>
    <w:tmpl w:val="4724A602"/>
    <w:lvl w:ilvl="0" w:tplc="5A5CF712">
      <w:start w:val="1"/>
      <w:numFmt w:val="bullet"/>
      <w:lvlText w:val="-"/>
      <w:lvlJc w:val="left"/>
      <w:pPr>
        <w:ind w:left="720" w:hanging="360"/>
      </w:pPr>
      <w:rPr>
        <w:rFonts w:ascii="Courier New" w:hAnsi="Courier New" w:cs="Times New Roman" w:hint="default"/>
      </w:rPr>
    </w:lvl>
    <w:lvl w:ilvl="1" w:tplc="5A5CF712">
      <w:start w:val="1"/>
      <w:numFmt w:val="bullet"/>
      <w:lvlText w:val="-"/>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732051C1"/>
    <w:multiLevelType w:val="hybridMultilevel"/>
    <w:tmpl w:val="560C5B7A"/>
    <w:lvl w:ilvl="0" w:tplc="026E865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897145A"/>
    <w:multiLevelType w:val="hybridMultilevel"/>
    <w:tmpl w:val="022C8BC0"/>
    <w:lvl w:ilvl="0" w:tplc="5A5CF712">
      <w:start w:val="1"/>
      <w:numFmt w:val="bullet"/>
      <w:lvlText w:val="-"/>
      <w:lvlJc w:val="left"/>
      <w:pPr>
        <w:ind w:left="1211" w:hanging="360"/>
      </w:pPr>
      <w:rPr>
        <w:rFonts w:ascii="Courier New" w:hAnsi="Courier New" w:cs="Times New Roman" w:hint="default"/>
        <w:w w:val="102"/>
      </w:rPr>
    </w:lvl>
    <w:lvl w:ilvl="1" w:tplc="3688724C">
      <w:start w:val="1"/>
      <w:numFmt w:val="bullet"/>
      <w:lvlText w:val="o"/>
      <w:lvlJc w:val="left"/>
      <w:pPr>
        <w:ind w:left="1931" w:hanging="360"/>
      </w:pPr>
      <w:rPr>
        <w:rFonts w:ascii="Courier New" w:hAnsi="Courier New" w:cs="Courier New" w:hint="default"/>
      </w:rPr>
    </w:lvl>
    <w:lvl w:ilvl="2" w:tplc="5B6244F2">
      <w:start w:val="1"/>
      <w:numFmt w:val="bullet"/>
      <w:lvlText w:val=""/>
      <w:lvlJc w:val="left"/>
      <w:pPr>
        <w:ind w:left="2651" w:hanging="360"/>
      </w:pPr>
      <w:rPr>
        <w:rFonts w:ascii="Wingdings" w:hAnsi="Wingdings" w:hint="default"/>
      </w:rPr>
    </w:lvl>
    <w:lvl w:ilvl="3" w:tplc="892CDEFA">
      <w:start w:val="1"/>
      <w:numFmt w:val="bullet"/>
      <w:lvlText w:val=""/>
      <w:lvlJc w:val="left"/>
      <w:pPr>
        <w:ind w:left="3371" w:hanging="360"/>
      </w:pPr>
      <w:rPr>
        <w:rFonts w:ascii="Symbol" w:hAnsi="Symbol" w:hint="default"/>
      </w:rPr>
    </w:lvl>
    <w:lvl w:ilvl="4" w:tplc="B238931E">
      <w:start w:val="1"/>
      <w:numFmt w:val="bullet"/>
      <w:lvlText w:val="o"/>
      <w:lvlJc w:val="left"/>
      <w:pPr>
        <w:ind w:left="4091" w:hanging="360"/>
      </w:pPr>
      <w:rPr>
        <w:rFonts w:ascii="Courier New" w:hAnsi="Courier New" w:cs="Courier New" w:hint="default"/>
      </w:rPr>
    </w:lvl>
    <w:lvl w:ilvl="5" w:tplc="7468578A">
      <w:start w:val="1"/>
      <w:numFmt w:val="bullet"/>
      <w:lvlText w:val=""/>
      <w:lvlJc w:val="left"/>
      <w:pPr>
        <w:ind w:left="4811" w:hanging="360"/>
      </w:pPr>
      <w:rPr>
        <w:rFonts w:ascii="Wingdings" w:hAnsi="Wingdings" w:hint="default"/>
      </w:rPr>
    </w:lvl>
    <w:lvl w:ilvl="6" w:tplc="CF3E2B14">
      <w:start w:val="1"/>
      <w:numFmt w:val="bullet"/>
      <w:lvlText w:val=""/>
      <w:lvlJc w:val="left"/>
      <w:pPr>
        <w:ind w:left="5531" w:hanging="360"/>
      </w:pPr>
      <w:rPr>
        <w:rFonts w:ascii="Symbol" w:hAnsi="Symbol" w:hint="default"/>
      </w:rPr>
    </w:lvl>
    <w:lvl w:ilvl="7" w:tplc="18141D06">
      <w:start w:val="1"/>
      <w:numFmt w:val="bullet"/>
      <w:lvlText w:val="o"/>
      <w:lvlJc w:val="left"/>
      <w:pPr>
        <w:ind w:left="6251" w:hanging="360"/>
      </w:pPr>
      <w:rPr>
        <w:rFonts w:ascii="Courier New" w:hAnsi="Courier New" w:cs="Courier New" w:hint="default"/>
      </w:rPr>
    </w:lvl>
    <w:lvl w:ilvl="8" w:tplc="EF42438E">
      <w:start w:val="1"/>
      <w:numFmt w:val="bullet"/>
      <w:lvlText w:val=""/>
      <w:lvlJc w:val="left"/>
      <w:pPr>
        <w:ind w:left="6971" w:hanging="360"/>
      </w:pPr>
      <w:rPr>
        <w:rFonts w:ascii="Wingdings" w:hAnsi="Wingdings" w:hint="default"/>
      </w:rPr>
    </w:lvl>
  </w:abstractNum>
  <w:abstractNum w:abstractNumId="14" w15:restartNumberingAfterBreak="0">
    <w:nsid w:val="7F09518C"/>
    <w:multiLevelType w:val="hybridMultilevel"/>
    <w:tmpl w:val="E38C245E"/>
    <w:lvl w:ilvl="0" w:tplc="5A5CF712">
      <w:start w:val="1"/>
      <w:numFmt w:val="bullet"/>
      <w:lvlText w:val="-"/>
      <w:lvlJc w:val="left"/>
      <w:pPr>
        <w:ind w:left="1211" w:hanging="360"/>
      </w:pPr>
      <w:rPr>
        <w:rFonts w:ascii="Courier New" w:hAnsi="Courier New" w:cs="Times New Roman" w:hint="default"/>
        <w:w w:val="102"/>
      </w:rPr>
    </w:lvl>
    <w:lvl w:ilvl="1" w:tplc="13C6FF98">
      <w:start w:val="1"/>
      <w:numFmt w:val="bullet"/>
      <w:lvlText w:val="o"/>
      <w:lvlJc w:val="left"/>
      <w:pPr>
        <w:ind w:left="1931" w:hanging="360"/>
      </w:pPr>
      <w:rPr>
        <w:rFonts w:ascii="Courier New" w:hAnsi="Courier New" w:cs="Courier New" w:hint="default"/>
      </w:rPr>
    </w:lvl>
    <w:lvl w:ilvl="2" w:tplc="F08CB3F2">
      <w:start w:val="1"/>
      <w:numFmt w:val="bullet"/>
      <w:lvlText w:val=""/>
      <w:lvlJc w:val="left"/>
      <w:pPr>
        <w:ind w:left="2651" w:hanging="360"/>
      </w:pPr>
      <w:rPr>
        <w:rFonts w:ascii="Wingdings" w:hAnsi="Wingdings" w:hint="default"/>
      </w:rPr>
    </w:lvl>
    <w:lvl w:ilvl="3" w:tplc="E0F0E80A">
      <w:start w:val="1"/>
      <w:numFmt w:val="bullet"/>
      <w:lvlText w:val=""/>
      <w:lvlJc w:val="left"/>
      <w:pPr>
        <w:ind w:left="3371" w:hanging="360"/>
      </w:pPr>
      <w:rPr>
        <w:rFonts w:ascii="Symbol" w:hAnsi="Symbol" w:hint="default"/>
      </w:rPr>
    </w:lvl>
    <w:lvl w:ilvl="4" w:tplc="74B4ABB6">
      <w:start w:val="1"/>
      <w:numFmt w:val="bullet"/>
      <w:lvlText w:val="o"/>
      <w:lvlJc w:val="left"/>
      <w:pPr>
        <w:ind w:left="4091" w:hanging="360"/>
      </w:pPr>
      <w:rPr>
        <w:rFonts w:ascii="Courier New" w:hAnsi="Courier New" w:cs="Courier New" w:hint="default"/>
      </w:rPr>
    </w:lvl>
    <w:lvl w:ilvl="5" w:tplc="CEC292BE">
      <w:start w:val="1"/>
      <w:numFmt w:val="bullet"/>
      <w:lvlText w:val=""/>
      <w:lvlJc w:val="left"/>
      <w:pPr>
        <w:ind w:left="4811" w:hanging="360"/>
      </w:pPr>
      <w:rPr>
        <w:rFonts w:ascii="Wingdings" w:hAnsi="Wingdings" w:hint="default"/>
      </w:rPr>
    </w:lvl>
    <w:lvl w:ilvl="6" w:tplc="17C2C300">
      <w:start w:val="1"/>
      <w:numFmt w:val="bullet"/>
      <w:lvlText w:val=""/>
      <w:lvlJc w:val="left"/>
      <w:pPr>
        <w:ind w:left="5531" w:hanging="360"/>
      </w:pPr>
      <w:rPr>
        <w:rFonts w:ascii="Symbol" w:hAnsi="Symbol" w:hint="default"/>
      </w:rPr>
    </w:lvl>
    <w:lvl w:ilvl="7" w:tplc="70CE0B44">
      <w:start w:val="1"/>
      <w:numFmt w:val="bullet"/>
      <w:lvlText w:val="o"/>
      <w:lvlJc w:val="left"/>
      <w:pPr>
        <w:ind w:left="6251" w:hanging="360"/>
      </w:pPr>
      <w:rPr>
        <w:rFonts w:ascii="Courier New" w:hAnsi="Courier New" w:cs="Courier New" w:hint="default"/>
      </w:rPr>
    </w:lvl>
    <w:lvl w:ilvl="8" w:tplc="B2CA5CCE">
      <w:start w:val="1"/>
      <w:numFmt w:val="bullet"/>
      <w:lvlText w:val=""/>
      <w:lvlJc w:val="left"/>
      <w:pPr>
        <w:ind w:left="697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1"/>
  </w:num>
  <w:num w:numId="9">
    <w:abstractNumId w:val="14"/>
  </w:num>
  <w:num w:numId="10">
    <w:abstractNumId w:val="13"/>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D4"/>
    <w:rsid w:val="000259B9"/>
    <w:rsid w:val="00033337"/>
    <w:rsid w:val="00041491"/>
    <w:rsid w:val="00043ACC"/>
    <w:rsid w:val="00043AFD"/>
    <w:rsid w:val="000447CF"/>
    <w:rsid w:val="00050D16"/>
    <w:rsid w:val="00062F9A"/>
    <w:rsid w:val="00065868"/>
    <w:rsid w:val="00074F2A"/>
    <w:rsid w:val="000A1CA8"/>
    <w:rsid w:val="000A466B"/>
    <w:rsid w:val="000B058C"/>
    <w:rsid w:val="000B528C"/>
    <w:rsid w:val="000C4F99"/>
    <w:rsid w:val="000E4EE6"/>
    <w:rsid w:val="001454E2"/>
    <w:rsid w:val="00146E31"/>
    <w:rsid w:val="0017324A"/>
    <w:rsid w:val="001935D4"/>
    <w:rsid w:val="001D415E"/>
    <w:rsid w:val="00206CE8"/>
    <w:rsid w:val="0021526C"/>
    <w:rsid w:val="00227B35"/>
    <w:rsid w:val="00261616"/>
    <w:rsid w:val="00274421"/>
    <w:rsid w:val="00283A2B"/>
    <w:rsid w:val="002900F5"/>
    <w:rsid w:val="0029198B"/>
    <w:rsid w:val="00292F06"/>
    <w:rsid w:val="002B30AD"/>
    <w:rsid w:val="002C2C01"/>
    <w:rsid w:val="00335AC6"/>
    <w:rsid w:val="00370204"/>
    <w:rsid w:val="003A29AE"/>
    <w:rsid w:val="003A32D7"/>
    <w:rsid w:val="003B25AE"/>
    <w:rsid w:val="003B4074"/>
    <w:rsid w:val="003C769A"/>
    <w:rsid w:val="003D2E2D"/>
    <w:rsid w:val="003F1838"/>
    <w:rsid w:val="00416FE3"/>
    <w:rsid w:val="00445DA0"/>
    <w:rsid w:val="00453A00"/>
    <w:rsid w:val="0045746C"/>
    <w:rsid w:val="0049104B"/>
    <w:rsid w:val="004E3B12"/>
    <w:rsid w:val="00522BC3"/>
    <w:rsid w:val="00532310"/>
    <w:rsid w:val="00560ECC"/>
    <w:rsid w:val="00565F0F"/>
    <w:rsid w:val="00594A86"/>
    <w:rsid w:val="00596D86"/>
    <w:rsid w:val="005D5576"/>
    <w:rsid w:val="005E346E"/>
    <w:rsid w:val="00636723"/>
    <w:rsid w:val="00637F5A"/>
    <w:rsid w:val="006560B1"/>
    <w:rsid w:val="006756DD"/>
    <w:rsid w:val="006D358E"/>
    <w:rsid w:val="00707102"/>
    <w:rsid w:val="00737275"/>
    <w:rsid w:val="00740EEC"/>
    <w:rsid w:val="0078011A"/>
    <w:rsid w:val="00782AF4"/>
    <w:rsid w:val="00790EE7"/>
    <w:rsid w:val="007A0F9F"/>
    <w:rsid w:val="007A7FC5"/>
    <w:rsid w:val="007B6649"/>
    <w:rsid w:val="0081546F"/>
    <w:rsid w:val="0082576E"/>
    <w:rsid w:val="008B315A"/>
    <w:rsid w:val="008D283B"/>
    <w:rsid w:val="00907F75"/>
    <w:rsid w:val="00921774"/>
    <w:rsid w:val="009260DE"/>
    <w:rsid w:val="0093258A"/>
    <w:rsid w:val="009602D0"/>
    <w:rsid w:val="00974F8D"/>
    <w:rsid w:val="009C7BA3"/>
    <w:rsid w:val="009D1F5A"/>
    <w:rsid w:val="00A27290"/>
    <w:rsid w:val="00A3201B"/>
    <w:rsid w:val="00A83730"/>
    <w:rsid w:val="00A94C3E"/>
    <w:rsid w:val="00AB6B3E"/>
    <w:rsid w:val="00B003BF"/>
    <w:rsid w:val="00B13CCE"/>
    <w:rsid w:val="00B3576E"/>
    <w:rsid w:val="00B373D7"/>
    <w:rsid w:val="00B85C2B"/>
    <w:rsid w:val="00B8694E"/>
    <w:rsid w:val="00BF3A58"/>
    <w:rsid w:val="00C20AF1"/>
    <w:rsid w:val="00C36276"/>
    <w:rsid w:val="00C42586"/>
    <w:rsid w:val="00C4278F"/>
    <w:rsid w:val="00C60CCD"/>
    <w:rsid w:val="00C84432"/>
    <w:rsid w:val="00C84483"/>
    <w:rsid w:val="00C86C7D"/>
    <w:rsid w:val="00C95551"/>
    <w:rsid w:val="00CB20D7"/>
    <w:rsid w:val="00CB7A6B"/>
    <w:rsid w:val="00D020B0"/>
    <w:rsid w:val="00D052FA"/>
    <w:rsid w:val="00D11748"/>
    <w:rsid w:val="00D366CF"/>
    <w:rsid w:val="00D4310E"/>
    <w:rsid w:val="00D958F8"/>
    <w:rsid w:val="00E108AA"/>
    <w:rsid w:val="00E31812"/>
    <w:rsid w:val="00E3749A"/>
    <w:rsid w:val="00E7437F"/>
    <w:rsid w:val="00E865B8"/>
    <w:rsid w:val="00EC0B9B"/>
    <w:rsid w:val="00ED5E9F"/>
    <w:rsid w:val="00F350AA"/>
    <w:rsid w:val="00F459A6"/>
    <w:rsid w:val="00F66D4F"/>
    <w:rsid w:val="00FB1109"/>
    <w:rsid w:val="00FB6D01"/>
    <w:rsid w:val="00FD52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BCBD5"/>
  <w15:chartTrackingRefBased/>
  <w15:docId w15:val="{9E61F37C-AB1C-441F-B68E-A84F8F0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1935D4"/>
    <w:pPr>
      <w:spacing w:after="120"/>
    </w:pPr>
    <w:rPr>
      <w:sz w:val="22"/>
      <w:lang w:eastAsia="da-DK"/>
    </w:rPr>
  </w:style>
  <w:style w:type="character" w:customStyle="1" w:styleId="BrdtekstTegn">
    <w:name w:val="Brødtekst Tegn"/>
    <w:basedOn w:val="Standardskrifttypeiafsnit"/>
    <w:link w:val="Brdtekst"/>
    <w:semiHidden/>
    <w:rsid w:val="001935D4"/>
    <w:rPr>
      <w:sz w:val="22"/>
    </w:rPr>
  </w:style>
  <w:style w:type="paragraph" w:styleId="Ingenafstand">
    <w:name w:val="No Spacing"/>
    <w:uiPriority w:val="1"/>
    <w:qFormat/>
    <w:rsid w:val="001935D4"/>
    <w:rPr>
      <w:sz w:val="22"/>
    </w:rPr>
  </w:style>
  <w:style w:type="character" w:styleId="Hyperlink">
    <w:name w:val="Hyperlink"/>
    <w:basedOn w:val="Standardskrifttypeiafsnit"/>
    <w:uiPriority w:val="99"/>
    <w:semiHidden/>
    <w:unhideWhenUsed/>
    <w:rsid w:val="001935D4"/>
    <w:rPr>
      <w:color w:val="0000FF"/>
      <w:u w:val="single"/>
    </w:rPr>
  </w:style>
  <w:style w:type="paragraph" w:styleId="Listeafsnit">
    <w:name w:val="List Paragraph"/>
    <w:basedOn w:val="Normal"/>
    <w:uiPriority w:val="34"/>
    <w:qFormat/>
    <w:rsid w:val="001935D4"/>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31184961">
      <w:bodyDiv w:val="1"/>
      <w:marLeft w:val="0"/>
      <w:marRight w:val="0"/>
      <w:marTop w:val="0"/>
      <w:marBottom w:val="0"/>
      <w:divBdr>
        <w:top w:val="none" w:sz="0" w:space="0" w:color="auto"/>
        <w:left w:val="none" w:sz="0" w:space="0" w:color="auto"/>
        <w:bottom w:val="none" w:sz="0" w:space="0" w:color="auto"/>
        <w:right w:val="none" w:sz="0" w:space="0" w:color="auto"/>
      </w:divBdr>
    </w:div>
    <w:div w:id="9095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14</Pages>
  <Words>3988</Words>
  <Characters>26057</Characters>
  <Application>Microsoft Office Word</Application>
  <DocSecurity>0</DocSecurity>
  <Lines>217</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2022090229, var. 7G, pkt. 4.4 og 4.5</dc:description>
  <cp:lastModifiedBy>Gitte Jørgensen</cp:lastModifiedBy>
  <cp:revision>8</cp:revision>
  <cp:lastPrinted>2012-08-22T08:53:00Z</cp:lastPrinted>
  <dcterms:created xsi:type="dcterms:W3CDTF">2023-07-18T12:39:00Z</dcterms:created>
  <dcterms:modified xsi:type="dcterms:W3CDTF">2023-07-18T12:48:00Z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