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DA558" w14:textId="77777777" w:rsidR="009260DE" w:rsidRPr="009644D5" w:rsidRDefault="0021526C" w:rsidP="009260DE">
      <w:pPr>
        <w:rPr>
          <w:sz w:val="24"/>
          <w:szCs w:val="24"/>
        </w:rPr>
      </w:pPr>
      <w:bookmarkStart w:id="0" w:name="_GoBack"/>
      <w:bookmarkEnd w:id="0"/>
      <w:r w:rsidRPr="009644D5">
        <w:rPr>
          <w:noProof/>
          <w:sz w:val="24"/>
          <w:szCs w:val="24"/>
          <w:lang w:eastAsia="da-DK"/>
        </w:rPr>
        <w:drawing>
          <wp:anchor distT="0" distB="0" distL="114300" distR="114300" simplePos="0" relativeHeight="251658240" behindDoc="0" locked="0" layoutInCell="1" allowOverlap="1" wp14:anchorId="75F03F08" wp14:editId="1CAEFC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644D5">
        <w:rPr>
          <w:sz w:val="24"/>
          <w:szCs w:val="24"/>
        </w:rPr>
        <w:br w:type="textWrapping" w:clear="all"/>
      </w:r>
    </w:p>
    <w:p w14:paraId="2730F169" w14:textId="3997CDDB" w:rsidR="009260DE" w:rsidRPr="009644D5" w:rsidRDefault="009260DE" w:rsidP="009260DE">
      <w:pPr>
        <w:pStyle w:val="Titel"/>
        <w:tabs>
          <w:tab w:val="right" w:pos="9356"/>
        </w:tabs>
        <w:jc w:val="left"/>
        <w:rPr>
          <w:b w:val="0"/>
          <w:szCs w:val="24"/>
          <w:lang w:eastAsia="en-US"/>
        </w:rPr>
      </w:pPr>
      <w:r w:rsidRPr="009644D5">
        <w:rPr>
          <w:b w:val="0"/>
          <w:szCs w:val="24"/>
          <w:lang w:eastAsia="en-US"/>
        </w:rPr>
        <w:tab/>
      </w:r>
      <w:r w:rsidR="00BE39A5">
        <w:rPr>
          <w:szCs w:val="24"/>
        </w:rPr>
        <w:t>21. januar 2025</w:t>
      </w:r>
    </w:p>
    <w:p w14:paraId="3223360F" w14:textId="0B09E17D" w:rsidR="00DB1470" w:rsidRDefault="00DB1470" w:rsidP="009260DE">
      <w:pPr>
        <w:pStyle w:val="Titel"/>
        <w:jc w:val="left"/>
        <w:rPr>
          <w:b w:val="0"/>
          <w:szCs w:val="24"/>
        </w:rPr>
      </w:pPr>
    </w:p>
    <w:p w14:paraId="151C21B3" w14:textId="77777777" w:rsidR="00BE39A5" w:rsidRPr="009644D5" w:rsidRDefault="00BE39A5" w:rsidP="009260DE">
      <w:pPr>
        <w:pStyle w:val="Titel"/>
        <w:jc w:val="left"/>
        <w:rPr>
          <w:b w:val="0"/>
          <w:szCs w:val="24"/>
        </w:rPr>
      </w:pPr>
    </w:p>
    <w:p w14:paraId="5E6ED457" w14:textId="77777777" w:rsidR="009260DE" w:rsidRPr="009644D5" w:rsidRDefault="009260DE" w:rsidP="009260DE">
      <w:pPr>
        <w:pStyle w:val="Titel"/>
        <w:jc w:val="left"/>
        <w:rPr>
          <w:b w:val="0"/>
          <w:szCs w:val="24"/>
        </w:rPr>
      </w:pPr>
    </w:p>
    <w:p w14:paraId="5CD4EAD1" w14:textId="77777777" w:rsidR="009260DE" w:rsidRPr="009644D5" w:rsidRDefault="009260DE" w:rsidP="009260DE">
      <w:pPr>
        <w:jc w:val="center"/>
        <w:rPr>
          <w:b/>
          <w:sz w:val="24"/>
          <w:szCs w:val="24"/>
        </w:rPr>
      </w:pPr>
      <w:r w:rsidRPr="009644D5">
        <w:rPr>
          <w:b/>
          <w:sz w:val="24"/>
          <w:szCs w:val="24"/>
        </w:rPr>
        <w:t>PRODUKTRESUMÉ</w:t>
      </w:r>
    </w:p>
    <w:p w14:paraId="6F412C44" w14:textId="77777777" w:rsidR="009260DE" w:rsidRPr="009644D5" w:rsidRDefault="009260DE" w:rsidP="009260DE">
      <w:pPr>
        <w:jc w:val="center"/>
        <w:rPr>
          <w:b/>
          <w:sz w:val="24"/>
          <w:szCs w:val="24"/>
        </w:rPr>
      </w:pPr>
    </w:p>
    <w:p w14:paraId="324C0C76" w14:textId="77777777" w:rsidR="009260DE" w:rsidRPr="009644D5" w:rsidRDefault="009260DE" w:rsidP="009260DE">
      <w:pPr>
        <w:jc w:val="center"/>
        <w:rPr>
          <w:b/>
          <w:sz w:val="24"/>
          <w:szCs w:val="24"/>
        </w:rPr>
      </w:pPr>
      <w:r w:rsidRPr="009644D5">
        <w:rPr>
          <w:b/>
          <w:sz w:val="24"/>
          <w:szCs w:val="24"/>
        </w:rPr>
        <w:t>for</w:t>
      </w:r>
    </w:p>
    <w:p w14:paraId="2A86EA1A" w14:textId="77777777" w:rsidR="000B058C" w:rsidRPr="009644D5" w:rsidRDefault="000B058C" w:rsidP="009260DE">
      <w:pPr>
        <w:jc w:val="center"/>
        <w:rPr>
          <w:b/>
          <w:sz w:val="24"/>
          <w:szCs w:val="24"/>
        </w:rPr>
      </w:pPr>
    </w:p>
    <w:p w14:paraId="14CFBC1E" w14:textId="79BF0980" w:rsidR="009260DE" w:rsidRPr="009644D5" w:rsidRDefault="00DB412C" w:rsidP="009260DE">
      <w:pPr>
        <w:jc w:val="center"/>
        <w:rPr>
          <w:b/>
          <w:sz w:val="24"/>
          <w:szCs w:val="24"/>
        </w:rPr>
      </w:pPr>
      <w:proofErr w:type="spellStart"/>
      <w:r w:rsidRPr="009644D5">
        <w:rPr>
          <w:b/>
          <w:sz w:val="24"/>
          <w:szCs w:val="24"/>
        </w:rPr>
        <w:t>Alkacit</w:t>
      </w:r>
      <w:proofErr w:type="spellEnd"/>
      <w:r w:rsidRPr="009644D5">
        <w:rPr>
          <w:b/>
          <w:sz w:val="24"/>
          <w:szCs w:val="24"/>
        </w:rPr>
        <w:t>, tabletter med modificeret udløsning</w:t>
      </w:r>
    </w:p>
    <w:p w14:paraId="0070881E" w14:textId="77777777" w:rsidR="009260DE" w:rsidRPr="009644D5" w:rsidRDefault="009260DE" w:rsidP="009260DE">
      <w:pPr>
        <w:jc w:val="both"/>
        <w:rPr>
          <w:sz w:val="24"/>
          <w:szCs w:val="24"/>
        </w:rPr>
      </w:pPr>
    </w:p>
    <w:p w14:paraId="7822A9BB" w14:textId="77777777" w:rsidR="009260DE" w:rsidRPr="009644D5" w:rsidRDefault="009260DE" w:rsidP="009260DE">
      <w:pPr>
        <w:jc w:val="both"/>
        <w:rPr>
          <w:sz w:val="24"/>
          <w:szCs w:val="24"/>
        </w:rPr>
      </w:pPr>
    </w:p>
    <w:p w14:paraId="64D66C09" w14:textId="77777777" w:rsidR="009260DE" w:rsidRPr="009644D5" w:rsidRDefault="009260DE" w:rsidP="009260DE">
      <w:pPr>
        <w:tabs>
          <w:tab w:val="left" w:pos="851"/>
        </w:tabs>
        <w:ind w:left="851" w:hanging="851"/>
        <w:rPr>
          <w:b/>
          <w:sz w:val="24"/>
          <w:szCs w:val="24"/>
        </w:rPr>
      </w:pPr>
      <w:r w:rsidRPr="009644D5">
        <w:rPr>
          <w:b/>
          <w:sz w:val="24"/>
          <w:szCs w:val="24"/>
        </w:rPr>
        <w:t>0.</w:t>
      </w:r>
      <w:r w:rsidRPr="009644D5">
        <w:rPr>
          <w:b/>
          <w:sz w:val="24"/>
          <w:szCs w:val="24"/>
        </w:rPr>
        <w:tab/>
        <w:t>D.SP.NR.</w:t>
      </w:r>
    </w:p>
    <w:p w14:paraId="10FB7974" w14:textId="6A243D6E" w:rsidR="009260DE" w:rsidRPr="009644D5" w:rsidRDefault="00DB412C" w:rsidP="009260DE">
      <w:pPr>
        <w:tabs>
          <w:tab w:val="left" w:pos="851"/>
        </w:tabs>
        <w:ind w:left="851"/>
        <w:rPr>
          <w:sz w:val="24"/>
          <w:szCs w:val="24"/>
        </w:rPr>
      </w:pPr>
      <w:r w:rsidRPr="009644D5">
        <w:rPr>
          <w:sz w:val="24"/>
          <w:szCs w:val="24"/>
        </w:rPr>
        <w:t>33216</w:t>
      </w:r>
    </w:p>
    <w:p w14:paraId="1A6F0500" w14:textId="77777777" w:rsidR="009260DE" w:rsidRPr="009644D5" w:rsidRDefault="009260DE" w:rsidP="009260DE">
      <w:pPr>
        <w:tabs>
          <w:tab w:val="left" w:pos="851"/>
        </w:tabs>
        <w:ind w:left="851"/>
        <w:rPr>
          <w:sz w:val="24"/>
          <w:szCs w:val="24"/>
        </w:rPr>
      </w:pPr>
    </w:p>
    <w:p w14:paraId="301F8AC5" w14:textId="77777777" w:rsidR="009260DE" w:rsidRPr="009644D5" w:rsidRDefault="009260DE" w:rsidP="009260DE">
      <w:pPr>
        <w:tabs>
          <w:tab w:val="left" w:pos="851"/>
        </w:tabs>
        <w:ind w:left="851" w:hanging="851"/>
        <w:rPr>
          <w:b/>
          <w:sz w:val="24"/>
          <w:szCs w:val="24"/>
        </w:rPr>
      </w:pPr>
      <w:r w:rsidRPr="009644D5">
        <w:rPr>
          <w:b/>
          <w:sz w:val="24"/>
          <w:szCs w:val="24"/>
        </w:rPr>
        <w:t>1.</w:t>
      </w:r>
      <w:r w:rsidRPr="009644D5">
        <w:rPr>
          <w:b/>
          <w:sz w:val="24"/>
          <w:szCs w:val="24"/>
        </w:rPr>
        <w:tab/>
        <w:t>LÆGEMIDLETS NAVN</w:t>
      </w:r>
    </w:p>
    <w:p w14:paraId="451B8321" w14:textId="5F50D3AD" w:rsidR="009260DE" w:rsidRPr="009644D5" w:rsidRDefault="00DB412C" w:rsidP="009260DE">
      <w:pPr>
        <w:tabs>
          <w:tab w:val="left" w:pos="851"/>
        </w:tabs>
        <w:ind w:left="851"/>
        <w:rPr>
          <w:sz w:val="24"/>
          <w:szCs w:val="24"/>
        </w:rPr>
      </w:pPr>
      <w:proofErr w:type="spellStart"/>
      <w:r w:rsidRPr="009644D5">
        <w:rPr>
          <w:sz w:val="24"/>
          <w:szCs w:val="24"/>
        </w:rPr>
        <w:t>Alkacit</w:t>
      </w:r>
      <w:proofErr w:type="spellEnd"/>
    </w:p>
    <w:p w14:paraId="4B82617A" w14:textId="77777777" w:rsidR="009260DE" w:rsidRPr="009644D5" w:rsidRDefault="009260DE" w:rsidP="009260DE">
      <w:pPr>
        <w:tabs>
          <w:tab w:val="left" w:pos="851"/>
        </w:tabs>
        <w:ind w:left="851"/>
        <w:rPr>
          <w:sz w:val="24"/>
          <w:szCs w:val="24"/>
        </w:rPr>
      </w:pPr>
    </w:p>
    <w:p w14:paraId="63E27303" w14:textId="77777777" w:rsidR="009260DE" w:rsidRPr="009644D5" w:rsidRDefault="009260DE" w:rsidP="009260DE">
      <w:pPr>
        <w:tabs>
          <w:tab w:val="left" w:pos="851"/>
        </w:tabs>
        <w:ind w:left="851" w:hanging="851"/>
        <w:rPr>
          <w:b/>
          <w:sz w:val="24"/>
          <w:szCs w:val="24"/>
        </w:rPr>
      </w:pPr>
      <w:r w:rsidRPr="009644D5">
        <w:rPr>
          <w:b/>
          <w:sz w:val="24"/>
          <w:szCs w:val="24"/>
        </w:rPr>
        <w:t>2.</w:t>
      </w:r>
      <w:r w:rsidRPr="009644D5">
        <w:rPr>
          <w:b/>
          <w:sz w:val="24"/>
          <w:szCs w:val="24"/>
        </w:rPr>
        <w:tab/>
        <w:t>KVALITATIV OG KVANTITATIV SAMMENSÆTNING</w:t>
      </w:r>
    </w:p>
    <w:p w14:paraId="1886921E" w14:textId="77777777" w:rsidR="00D02EA9" w:rsidRPr="009644D5" w:rsidRDefault="00D02EA9" w:rsidP="009644D5">
      <w:pPr>
        <w:ind w:left="851"/>
        <w:rPr>
          <w:rFonts w:eastAsia="Arial Unicode MS"/>
          <w:color w:val="231F20"/>
          <w:sz w:val="24"/>
          <w:szCs w:val="24"/>
        </w:rPr>
      </w:pPr>
      <w:r w:rsidRPr="009644D5">
        <w:rPr>
          <w:sz w:val="24"/>
          <w:szCs w:val="24"/>
        </w:rPr>
        <w:t xml:space="preserve">Hver tablet indeholder </w:t>
      </w:r>
      <w:r w:rsidRPr="009644D5">
        <w:rPr>
          <w:color w:val="231F20"/>
          <w:sz w:val="24"/>
          <w:szCs w:val="24"/>
        </w:rPr>
        <w:t>1.080 mg (</w:t>
      </w:r>
      <w:r w:rsidRPr="009644D5">
        <w:rPr>
          <w:sz w:val="24"/>
          <w:szCs w:val="24"/>
        </w:rPr>
        <w:t>10 </w:t>
      </w:r>
      <w:proofErr w:type="spellStart"/>
      <w:r w:rsidRPr="009644D5">
        <w:rPr>
          <w:sz w:val="24"/>
          <w:szCs w:val="24"/>
        </w:rPr>
        <w:t>mEq</w:t>
      </w:r>
      <w:proofErr w:type="spellEnd"/>
      <w:r w:rsidRPr="009644D5">
        <w:rPr>
          <w:sz w:val="24"/>
          <w:szCs w:val="24"/>
        </w:rPr>
        <w:t>) kaliumcitrat, svarende til 390 mg kalium.</w:t>
      </w:r>
    </w:p>
    <w:p w14:paraId="7DA04D74" w14:textId="77777777" w:rsidR="00D02EA9" w:rsidRPr="009644D5" w:rsidRDefault="00D02EA9" w:rsidP="009644D5">
      <w:pPr>
        <w:ind w:left="851"/>
        <w:rPr>
          <w:rFonts w:eastAsia="Arial Unicode MS"/>
          <w:color w:val="231F20"/>
          <w:sz w:val="24"/>
          <w:szCs w:val="24"/>
        </w:rPr>
      </w:pPr>
      <w:r w:rsidRPr="009644D5">
        <w:rPr>
          <w:color w:val="231F20"/>
          <w:sz w:val="24"/>
          <w:szCs w:val="24"/>
        </w:rPr>
        <w:t>Alle hjælpestoffer er anført under pkt. 6.1.</w:t>
      </w:r>
    </w:p>
    <w:p w14:paraId="564D2617" w14:textId="77777777" w:rsidR="009260DE" w:rsidRPr="009644D5" w:rsidRDefault="009260DE" w:rsidP="009260DE">
      <w:pPr>
        <w:tabs>
          <w:tab w:val="left" w:pos="851"/>
        </w:tabs>
        <w:ind w:left="851"/>
        <w:rPr>
          <w:sz w:val="24"/>
          <w:szCs w:val="24"/>
        </w:rPr>
      </w:pPr>
    </w:p>
    <w:p w14:paraId="68BB2522" w14:textId="77777777" w:rsidR="009260DE" w:rsidRPr="009644D5" w:rsidRDefault="009260DE" w:rsidP="009260DE">
      <w:pPr>
        <w:tabs>
          <w:tab w:val="left" w:pos="851"/>
        </w:tabs>
        <w:ind w:left="851" w:hanging="851"/>
        <w:rPr>
          <w:b/>
          <w:sz w:val="24"/>
          <w:szCs w:val="24"/>
        </w:rPr>
      </w:pPr>
      <w:r w:rsidRPr="009644D5">
        <w:rPr>
          <w:b/>
          <w:sz w:val="24"/>
          <w:szCs w:val="24"/>
        </w:rPr>
        <w:t>3.</w:t>
      </w:r>
      <w:r w:rsidRPr="009644D5">
        <w:rPr>
          <w:b/>
          <w:sz w:val="24"/>
          <w:szCs w:val="24"/>
        </w:rPr>
        <w:tab/>
        <w:t>LÆGEMIDDELFORM</w:t>
      </w:r>
    </w:p>
    <w:p w14:paraId="0949E9CF" w14:textId="2FD351FF" w:rsidR="009644D5" w:rsidRPr="009644D5" w:rsidRDefault="009644D5" w:rsidP="009644D5">
      <w:pPr>
        <w:ind w:left="851"/>
        <w:rPr>
          <w:rFonts w:eastAsia="Arial Unicode MS"/>
          <w:sz w:val="24"/>
          <w:szCs w:val="24"/>
        </w:rPr>
      </w:pPr>
      <w:r w:rsidRPr="009644D5">
        <w:rPr>
          <w:sz w:val="24"/>
          <w:szCs w:val="24"/>
        </w:rPr>
        <w:t>Tablet</w:t>
      </w:r>
      <w:r>
        <w:rPr>
          <w:sz w:val="24"/>
          <w:szCs w:val="24"/>
        </w:rPr>
        <w:t>ter</w:t>
      </w:r>
      <w:r w:rsidRPr="009644D5">
        <w:rPr>
          <w:sz w:val="24"/>
          <w:szCs w:val="24"/>
        </w:rPr>
        <w:t xml:space="preserve"> med modificeret udløsning</w:t>
      </w:r>
    </w:p>
    <w:p w14:paraId="739B6C5C" w14:textId="77777777" w:rsidR="009644D5" w:rsidRPr="009644D5" w:rsidRDefault="009644D5" w:rsidP="009644D5">
      <w:pPr>
        <w:ind w:left="851"/>
        <w:rPr>
          <w:rFonts w:eastAsia="Arial Unicode MS"/>
          <w:sz w:val="24"/>
          <w:szCs w:val="24"/>
        </w:rPr>
      </w:pPr>
      <w:r w:rsidRPr="009644D5">
        <w:rPr>
          <w:sz w:val="24"/>
          <w:szCs w:val="24"/>
        </w:rPr>
        <w:t xml:space="preserve">Cremefarvede til gule, ovale, </w:t>
      </w:r>
      <w:proofErr w:type="spellStart"/>
      <w:r w:rsidRPr="009644D5">
        <w:rPr>
          <w:sz w:val="24"/>
          <w:szCs w:val="24"/>
        </w:rPr>
        <w:t>bikonvekse</w:t>
      </w:r>
      <w:proofErr w:type="spellEnd"/>
      <w:r w:rsidRPr="009644D5">
        <w:rPr>
          <w:sz w:val="24"/>
          <w:szCs w:val="24"/>
        </w:rPr>
        <w:t xml:space="preserve">, </w:t>
      </w:r>
      <w:proofErr w:type="spellStart"/>
      <w:r w:rsidRPr="009644D5">
        <w:rPr>
          <w:sz w:val="24"/>
          <w:szCs w:val="24"/>
        </w:rPr>
        <w:t>uovertrukne</w:t>
      </w:r>
      <w:proofErr w:type="spellEnd"/>
      <w:r w:rsidRPr="009644D5">
        <w:rPr>
          <w:sz w:val="24"/>
          <w:szCs w:val="24"/>
        </w:rPr>
        <w:t xml:space="preserve"> tabletter </w:t>
      </w:r>
      <w:bookmarkStart w:id="1" w:name="_Hlk135670618"/>
      <w:r w:rsidRPr="009644D5">
        <w:rPr>
          <w:sz w:val="24"/>
          <w:szCs w:val="24"/>
        </w:rPr>
        <w:t>(længde: 18,50 mm</w:t>
      </w:r>
      <w:bookmarkEnd w:id="1"/>
      <w:r w:rsidRPr="009644D5">
        <w:rPr>
          <w:sz w:val="24"/>
          <w:szCs w:val="24"/>
        </w:rPr>
        <w:t>).</w:t>
      </w:r>
    </w:p>
    <w:p w14:paraId="6E8C7A6A" w14:textId="72F3AD3D" w:rsidR="009260DE" w:rsidRPr="009644D5" w:rsidRDefault="009260DE" w:rsidP="009260DE">
      <w:pPr>
        <w:tabs>
          <w:tab w:val="left" w:pos="851"/>
        </w:tabs>
        <w:ind w:left="851"/>
        <w:rPr>
          <w:sz w:val="24"/>
          <w:szCs w:val="24"/>
        </w:rPr>
      </w:pPr>
    </w:p>
    <w:p w14:paraId="471CD574" w14:textId="77777777" w:rsidR="009260DE" w:rsidRPr="009644D5" w:rsidRDefault="009260DE" w:rsidP="009260DE">
      <w:pPr>
        <w:tabs>
          <w:tab w:val="left" w:pos="851"/>
        </w:tabs>
        <w:ind w:left="851"/>
        <w:rPr>
          <w:sz w:val="24"/>
          <w:szCs w:val="24"/>
        </w:rPr>
      </w:pPr>
    </w:p>
    <w:p w14:paraId="3835926A" w14:textId="77777777" w:rsidR="009260DE" w:rsidRPr="009644D5" w:rsidRDefault="009260DE" w:rsidP="009260DE">
      <w:pPr>
        <w:tabs>
          <w:tab w:val="left" w:pos="851"/>
        </w:tabs>
        <w:ind w:left="851" w:hanging="851"/>
        <w:rPr>
          <w:b/>
          <w:sz w:val="24"/>
          <w:szCs w:val="24"/>
        </w:rPr>
      </w:pPr>
      <w:r w:rsidRPr="009644D5">
        <w:rPr>
          <w:b/>
          <w:sz w:val="24"/>
          <w:szCs w:val="24"/>
        </w:rPr>
        <w:t>4.</w:t>
      </w:r>
      <w:r w:rsidRPr="009644D5">
        <w:rPr>
          <w:b/>
          <w:sz w:val="24"/>
          <w:szCs w:val="24"/>
        </w:rPr>
        <w:tab/>
        <w:t>KLINISKE OPLYSNINGER</w:t>
      </w:r>
    </w:p>
    <w:p w14:paraId="7A3ECD16" w14:textId="77777777" w:rsidR="009260DE" w:rsidRPr="009644D5" w:rsidRDefault="009260DE" w:rsidP="009260DE">
      <w:pPr>
        <w:tabs>
          <w:tab w:val="left" w:pos="851"/>
        </w:tabs>
        <w:ind w:left="851"/>
        <w:rPr>
          <w:b/>
          <w:sz w:val="24"/>
          <w:szCs w:val="24"/>
        </w:rPr>
      </w:pPr>
    </w:p>
    <w:p w14:paraId="564ECA5D" w14:textId="77777777" w:rsidR="009260DE" w:rsidRPr="009644D5" w:rsidRDefault="009260DE" w:rsidP="009260DE">
      <w:pPr>
        <w:tabs>
          <w:tab w:val="left" w:pos="851"/>
        </w:tabs>
        <w:ind w:left="851" w:hanging="851"/>
        <w:rPr>
          <w:b/>
          <w:sz w:val="24"/>
          <w:szCs w:val="24"/>
          <w:u w:val="single"/>
        </w:rPr>
      </w:pPr>
      <w:r w:rsidRPr="009644D5">
        <w:rPr>
          <w:b/>
          <w:sz w:val="24"/>
          <w:szCs w:val="24"/>
        </w:rPr>
        <w:t>4.1</w:t>
      </w:r>
      <w:r w:rsidRPr="009644D5">
        <w:rPr>
          <w:b/>
          <w:sz w:val="24"/>
          <w:szCs w:val="24"/>
        </w:rPr>
        <w:tab/>
        <w:t>Terapeutiske indikationer</w:t>
      </w:r>
    </w:p>
    <w:p w14:paraId="71E563D9" w14:textId="77777777" w:rsidR="009644D5" w:rsidRPr="009644D5" w:rsidRDefault="009644D5" w:rsidP="009644D5">
      <w:pPr>
        <w:ind w:left="851"/>
        <w:rPr>
          <w:rFonts w:eastAsia="Arial Unicode MS"/>
          <w:sz w:val="24"/>
          <w:szCs w:val="24"/>
        </w:rPr>
      </w:pPr>
      <w:bookmarkStart w:id="2" w:name="_Hlk146198552"/>
      <w:proofErr w:type="spellStart"/>
      <w:r w:rsidRPr="009644D5">
        <w:rPr>
          <w:sz w:val="24"/>
          <w:szCs w:val="24"/>
        </w:rPr>
        <w:t>Alkacit</w:t>
      </w:r>
      <w:proofErr w:type="spellEnd"/>
      <w:r w:rsidRPr="009644D5">
        <w:rPr>
          <w:sz w:val="24"/>
          <w:szCs w:val="24"/>
        </w:rPr>
        <w:t xml:space="preserve"> er et alkaliserende lægemiddel og er indiceret til voksne til: </w:t>
      </w:r>
    </w:p>
    <w:p w14:paraId="08346D5A" w14:textId="47FDD251" w:rsidR="009644D5" w:rsidRPr="00BB5071" w:rsidRDefault="009644D5" w:rsidP="00BB5071">
      <w:pPr>
        <w:pStyle w:val="Listeafsnit"/>
        <w:numPr>
          <w:ilvl w:val="0"/>
          <w:numId w:val="13"/>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 xml:space="preserve">behandling af patienter med nyresten og </w:t>
      </w:r>
      <w:proofErr w:type="spellStart"/>
      <w:r w:rsidRPr="00BB5071">
        <w:rPr>
          <w:rFonts w:ascii="Times New Roman" w:hAnsi="Times New Roman" w:cs="Times New Roman"/>
          <w:sz w:val="24"/>
          <w:szCs w:val="24"/>
        </w:rPr>
        <w:t>hypocitraturi</w:t>
      </w:r>
      <w:proofErr w:type="spellEnd"/>
      <w:r w:rsidRPr="00BB5071">
        <w:rPr>
          <w:rFonts w:ascii="Times New Roman" w:hAnsi="Times New Roman" w:cs="Times New Roman"/>
          <w:sz w:val="24"/>
          <w:szCs w:val="24"/>
        </w:rPr>
        <w:t xml:space="preserve"> eller kroniske </w:t>
      </w:r>
      <w:proofErr w:type="spellStart"/>
      <w:r w:rsidRPr="00BB5071">
        <w:rPr>
          <w:rFonts w:ascii="Times New Roman" w:hAnsi="Times New Roman" w:cs="Times New Roman"/>
          <w:sz w:val="24"/>
          <w:szCs w:val="24"/>
        </w:rPr>
        <w:t>calciumoxalatsten</w:t>
      </w:r>
      <w:proofErr w:type="spellEnd"/>
    </w:p>
    <w:p w14:paraId="5E53D05D" w14:textId="20975A71" w:rsidR="009644D5" w:rsidRPr="00BB5071" w:rsidRDefault="009644D5" w:rsidP="00BB5071">
      <w:pPr>
        <w:pStyle w:val="Listeafsnit"/>
        <w:numPr>
          <w:ilvl w:val="0"/>
          <w:numId w:val="13"/>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 xml:space="preserve">behandling og forebyggelse af tilbagevendende urinsyresten med eller uden calciumsten og </w:t>
      </w:r>
      <w:proofErr w:type="spellStart"/>
      <w:r w:rsidRPr="00BB5071">
        <w:rPr>
          <w:rFonts w:ascii="Times New Roman" w:hAnsi="Times New Roman" w:cs="Times New Roman"/>
          <w:sz w:val="24"/>
          <w:szCs w:val="24"/>
        </w:rPr>
        <w:t>cystinsten</w:t>
      </w:r>
      <w:proofErr w:type="spellEnd"/>
    </w:p>
    <w:p w14:paraId="506D623E" w14:textId="3E7AE7E0" w:rsidR="009644D5" w:rsidRPr="00BB5071" w:rsidRDefault="009644D5" w:rsidP="00BB5071">
      <w:pPr>
        <w:pStyle w:val="Listeafsnit"/>
        <w:numPr>
          <w:ilvl w:val="0"/>
          <w:numId w:val="13"/>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 xml:space="preserve">behandling af </w:t>
      </w:r>
      <w:proofErr w:type="spellStart"/>
      <w:r w:rsidRPr="00BB5071">
        <w:rPr>
          <w:rFonts w:ascii="Times New Roman" w:hAnsi="Times New Roman" w:cs="Times New Roman"/>
          <w:sz w:val="24"/>
          <w:szCs w:val="24"/>
        </w:rPr>
        <w:t>renal</w:t>
      </w:r>
      <w:proofErr w:type="spellEnd"/>
      <w:r w:rsidRPr="00BB5071">
        <w:rPr>
          <w:rFonts w:ascii="Times New Roman" w:hAnsi="Times New Roman" w:cs="Times New Roman"/>
          <w:sz w:val="24"/>
          <w:szCs w:val="24"/>
        </w:rPr>
        <w:t xml:space="preserve"> </w:t>
      </w:r>
      <w:proofErr w:type="spellStart"/>
      <w:r w:rsidRPr="00BB5071">
        <w:rPr>
          <w:rFonts w:ascii="Times New Roman" w:hAnsi="Times New Roman" w:cs="Times New Roman"/>
          <w:sz w:val="24"/>
          <w:szCs w:val="24"/>
        </w:rPr>
        <w:t>tubulær</w:t>
      </w:r>
      <w:proofErr w:type="spellEnd"/>
      <w:r w:rsidRPr="00BB5071">
        <w:rPr>
          <w:rFonts w:ascii="Times New Roman" w:hAnsi="Times New Roman" w:cs="Times New Roman"/>
          <w:sz w:val="24"/>
          <w:szCs w:val="24"/>
        </w:rPr>
        <w:t xml:space="preserve"> </w:t>
      </w:r>
      <w:proofErr w:type="spellStart"/>
      <w:r w:rsidRPr="00BB5071">
        <w:rPr>
          <w:rFonts w:ascii="Times New Roman" w:hAnsi="Times New Roman" w:cs="Times New Roman"/>
          <w:sz w:val="24"/>
          <w:szCs w:val="24"/>
        </w:rPr>
        <w:t>acidose</w:t>
      </w:r>
      <w:proofErr w:type="spellEnd"/>
      <w:r w:rsidRPr="00BB5071">
        <w:rPr>
          <w:rFonts w:ascii="Times New Roman" w:hAnsi="Times New Roman" w:cs="Times New Roman"/>
          <w:sz w:val="24"/>
          <w:szCs w:val="24"/>
        </w:rPr>
        <w:t xml:space="preserve"> med calcium-</w:t>
      </w:r>
      <w:proofErr w:type="spellStart"/>
      <w:r w:rsidRPr="00BB5071">
        <w:rPr>
          <w:rFonts w:ascii="Times New Roman" w:hAnsi="Times New Roman" w:cs="Times New Roman"/>
          <w:sz w:val="24"/>
          <w:szCs w:val="24"/>
        </w:rPr>
        <w:t>nefrolithiasis</w:t>
      </w:r>
      <w:proofErr w:type="spellEnd"/>
      <w:r w:rsidRPr="00BB5071">
        <w:rPr>
          <w:rFonts w:ascii="Times New Roman" w:hAnsi="Times New Roman" w:cs="Times New Roman"/>
          <w:sz w:val="24"/>
          <w:szCs w:val="24"/>
        </w:rPr>
        <w:t>.</w:t>
      </w:r>
      <w:bookmarkEnd w:id="2"/>
    </w:p>
    <w:p w14:paraId="148BD597" w14:textId="77777777" w:rsidR="009260DE" w:rsidRPr="009644D5" w:rsidRDefault="009260DE" w:rsidP="009260DE">
      <w:pPr>
        <w:tabs>
          <w:tab w:val="left" w:pos="851"/>
        </w:tabs>
        <w:ind w:left="851"/>
        <w:rPr>
          <w:sz w:val="24"/>
          <w:szCs w:val="24"/>
        </w:rPr>
      </w:pPr>
    </w:p>
    <w:p w14:paraId="538DC391" w14:textId="77777777" w:rsidR="009260DE" w:rsidRPr="009644D5" w:rsidRDefault="009260DE" w:rsidP="009260DE">
      <w:pPr>
        <w:tabs>
          <w:tab w:val="left" w:pos="851"/>
        </w:tabs>
        <w:ind w:left="851" w:hanging="851"/>
        <w:rPr>
          <w:b/>
          <w:sz w:val="24"/>
          <w:szCs w:val="24"/>
        </w:rPr>
      </w:pPr>
      <w:r w:rsidRPr="009644D5">
        <w:rPr>
          <w:b/>
          <w:sz w:val="24"/>
          <w:szCs w:val="24"/>
        </w:rPr>
        <w:t>4.2</w:t>
      </w:r>
      <w:r w:rsidRPr="009644D5">
        <w:rPr>
          <w:b/>
          <w:sz w:val="24"/>
          <w:szCs w:val="24"/>
        </w:rPr>
        <w:tab/>
        <w:t xml:space="preserve">Dosering og </w:t>
      </w:r>
      <w:r w:rsidR="002C1EC0" w:rsidRPr="009644D5">
        <w:rPr>
          <w:b/>
          <w:sz w:val="24"/>
          <w:szCs w:val="24"/>
        </w:rPr>
        <w:t>administration</w:t>
      </w:r>
    </w:p>
    <w:p w14:paraId="7611A91E" w14:textId="77777777" w:rsidR="00BB5071" w:rsidRDefault="00BB5071" w:rsidP="009644D5">
      <w:pPr>
        <w:ind w:left="851"/>
        <w:rPr>
          <w:sz w:val="24"/>
          <w:szCs w:val="24"/>
        </w:rPr>
      </w:pPr>
      <w:bookmarkStart w:id="3" w:name="_Hlk146198598"/>
    </w:p>
    <w:p w14:paraId="4D621264" w14:textId="28BD0265" w:rsidR="009644D5" w:rsidRPr="00BB5071" w:rsidRDefault="009644D5" w:rsidP="009644D5">
      <w:pPr>
        <w:ind w:left="851"/>
        <w:rPr>
          <w:rFonts w:eastAsia="Arial Unicode MS"/>
          <w:sz w:val="24"/>
          <w:szCs w:val="24"/>
          <w:u w:val="single"/>
        </w:rPr>
      </w:pPr>
      <w:r w:rsidRPr="00BB5071">
        <w:rPr>
          <w:sz w:val="24"/>
          <w:szCs w:val="24"/>
          <w:u w:val="single"/>
        </w:rPr>
        <w:t>Dosering</w:t>
      </w:r>
    </w:p>
    <w:p w14:paraId="466853BB" w14:textId="77777777" w:rsidR="009644D5" w:rsidRPr="009644D5" w:rsidRDefault="009644D5" w:rsidP="009644D5">
      <w:pPr>
        <w:ind w:left="851"/>
        <w:rPr>
          <w:rFonts w:eastAsia="Arial Unicode MS"/>
          <w:sz w:val="24"/>
          <w:szCs w:val="24"/>
        </w:rPr>
      </w:pPr>
      <w:r w:rsidRPr="009644D5">
        <w:rPr>
          <w:sz w:val="24"/>
          <w:szCs w:val="24"/>
        </w:rPr>
        <w:t xml:space="preserve">Hos patienter med svær </w:t>
      </w:r>
      <w:proofErr w:type="spellStart"/>
      <w:r w:rsidRPr="009644D5">
        <w:rPr>
          <w:sz w:val="24"/>
          <w:szCs w:val="24"/>
        </w:rPr>
        <w:t>hypocitraturi</w:t>
      </w:r>
      <w:proofErr w:type="spellEnd"/>
      <w:r w:rsidRPr="009644D5">
        <w:rPr>
          <w:sz w:val="24"/>
          <w:szCs w:val="24"/>
        </w:rPr>
        <w:t xml:space="preserve"> (urincitrat &lt;150 mg/dag) skal behandlingen indledes med en dosis på 6.480 mg (60 </w:t>
      </w:r>
      <w:proofErr w:type="spellStart"/>
      <w:r w:rsidRPr="009644D5">
        <w:rPr>
          <w:sz w:val="24"/>
          <w:szCs w:val="24"/>
        </w:rPr>
        <w:t>mEq</w:t>
      </w:r>
      <w:proofErr w:type="spellEnd"/>
      <w:r w:rsidRPr="009644D5">
        <w:rPr>
          <w:sz w:val="24"/>
          <w:szCs w:val="24"/>
        </w:rPr>
        <w:t>) pr. dag (6 tabletter) fordelt over 3 indtag pr. dag.</w:t>
      </w:r>
    </w:p>
    <w:p w14:paraId="2B60F8C3" w14:textId="77777777" w:rsidR="009644D5" w:rsidRPr="009644D5" w:rsidRDefault="009644D5" w:rsidP="009644D5">
      <w:pPr>
        <w:ind w:left="851"/>
        <w:rPr>
          <w:rFonts w:eastAsia="Arial Unicode MS"/>
          <w:sz w:val="24"/>
          <w:szCs w:val="24"/>
          <w:lang w:eastAsia="de-DE" w:bidi="de-DE"/>
        </w:rPr>
      </w:pPr>
    </w:p>
    <w:p w14:paraId="423423C9" w14:textId="77777777" w:rsidR="009644D5" w:rsidRPr="009644D5" w:rsidRDefault="009644D5" w:rsidP="009644D5">
      <w:pPr>
        <w:ind w:left="851"/>
        <w:rPr>
          <w:rFonts w:eastAsia="Arial Unicode MS"/>
          <w:sz w:val="24"/>
          <w:szCs w:val="24"/>
        </w:rPr>
      </w:pPr>
      <w:r w:rsidRPr="009644D5">
        <w:rPr>
          <w:sz w:val="24"/>
          <w:szCs w:val="24"/>
        </w:rPr>
        <w:t xml:space="preserve">Hos patienter med mild </w:t>
      </w:r>
      <w:proofErr w:type="spellStart"/>
      <w:r w:rsidRPr="009644D5">
        <w:rPr>
          <w:sz w:val="24"/>
          <w:szCs w:val="24"/>
        </w:rPr>
        <w:t>hypocitraturi</w:t>
      </w:r>
      <w:proofErr w:type="spellEnd"/>
      <w:r w:rsidRPr="009644D5">
        <w:rPr>
          <w:sz w:val="24"/>
          <w:szCs w:val="24"/>
        </w:rPr>
        <w:t xml:space="preserve"> (urincitrat &gt;150 mg/dag) skal behandlingen indledes med en dosis på 3.240 mg (30 </w:t>
      </w:r>
      <w:proofErr w:type="spellStart"/>
      <w:r w:rsidRPr="009644D5">
        <w:rPr>
          <w:sz w:val="24"/>
          <w:szCs w:val="24"/>
        </w:rPr>
        <w:t>mEq</w:t>
      </w:r>
      <w:proofErr w:type="spellEnd"/>
      <w:r w:rsidRPr="009644D5">
        <w:rPr>
          <w:sz w:val="24"/>
          <w:szCs w:val="24"/>
        </w:rPr>
        <w:t>) pr. dag (3 tabletter) fordelt over 3 indtag pr. dag.</w:t>
      </w:r>
    </w:p>
    <w:p w14:paraId="654DB2C7" w14:textId="77777777" w:rsidR="009644D5" w:rsidRPr="009644D5" w:rsidRDefault="009644D5" w:rsidP="009644D5">
      <w:pPr>
        <w:ind w:left="851"/>
        <w:rPr>
          <w:rFonts w:eastAsia="Arial Unicode MS"/>
          <w:sz w:val="24"/>
          <w:szCs w:val="24"/>
          <w:lang w:eastAsia="de-DE" w:bidi="de-DE"/>
        </w:rPr>
      </w:pPr>
    </w:p>
    <w:p w14:paraId="70D0778C" w14:textId="77777777" w:rsidR="009644D5" w:rsidRPr="009644D5" w:rsidRDefault="009644D5" w:rsidP="009644D5">
      <w:pPr>
        <w:ind w:left="851"/>
        <w:rPr>
          <w:rFonts w:eastAsia="Arial Unicode MS"/>
          <w:sz w:val="24"/>
          <w:szCs w:val="24"/>
        </w:rPr>
      </w:pPr>
      <w:r w:rsidRPr="009644D5">
        <w:rPr>
          <w:sz w:val="24"/>
          <w:szCs w:val="24"/>
        </w:rPr>
        <w:t>Dosis kan om nødvendigt øges, forudsat at grænsen på 10.800 mg (100 </w:t>
      </w:r>
      <w:proofErr w:type="spellStart"/>
      <w:proofErr w:type="gramStart"/>
      <w:r w:rsidRPr="009644D5">
        <w:rPr>
          <w:sz w:val="24"/>
          <w:szCs w:val="24"/>
        </w:rPr>
        <w:t>mEq</w:t>
      </w:r>
      <w:proofErr w:type="spellEnd"/>
      <w:r w:rsidRPr="009644D5">
        <w:rPr>
          <w:sz w:val="24"/>
          <w:szCs w:val="24"/>
        </w:rPr>
        <w:t>)/</w:t>
      </w:r>
      <w:proofErr w:type="gramEnd"/>
      <w:r w:rsidRPr="009644D5">
        <w:rPr>
          <w:sz w:val="24"/>
          <w:szCs w:val="24"/>
        </w:rPr>
        <w:t xml:space="preserve">dag ikke overskrides. </w:t>
      </w:r>
    </w:p>
    <w:bookmarkEnd w:id="3"/>
    <w:p w14:paraId="08872E59" w14:textId="77777777" w:rsidR="009644D5" w:rsidRPr="009644D5" w:rsidRDefault="009644D5" w:rsidP="009644D5">
      <w:pPr>
        <w:ind w:left="851"/>
        <w:rPr>
          <w:rFonts w:eastAsia="Arial Unicode MS"/>
          <w:sz w:val="24"/>
          <w:szCs w:val="24"/>
          <w:lang w:eastAsia="de-DE" w:bidi="de-DE"/>
        </w:rPr>
      </w:pPr>
    </w:p>
    <w:p w14:paraId="4509C2CE" w14:textId="77777777" w:rsidR="009644D5" w:rsidRPr="00BB5071" w:rsidRDefault="009644D5" w:rsidP="009644D5">
      <w:pPr>
        <w:ind w:left="851"/>
        <w:rPr>
          <w:rFonts w:eastAsia="Arial Unicode MS"/>
          <w:sz w:val="24"/>
          <w:szCs w:val="24"/>
          <w:u w:val="single"/>
        </w:rPr>
      </w:pPr>
      <w:bookmarkStart w:id="4" w:name="_Hlk147826548"/>
      <w:r w:rsidRPr="00BB5071">
        <w:rPr>
          <w:sz w:val="24"/>
          <w:szCs w:val="24"/>
          <w:u w:val="single"/>
        </w:rPr>
        <w:t>Nedsat nyrefunktion</w:t>
      </w:r>
    </w:p>
    <w:p w14:paraId="228334B3" w14:textId="77777777" w:rsidR="009644D5" w:rsidRPr="009644D5" w:rsidRDefault="009644D5" w:rsidP="009644D5">
      <w:pPr>
        <w:ind w:left="851"/>
        <w:rPr>
          <w:rFonts w:eastAsia="Arial Unicode MS"/>
          <w:sz w:val="24"/>
          <w:szCs w:val="24"/>
        </w:rPr>
      </w:pPr>
      <w:bookmarkStart w:id="5" w:name="_Hlk146198671"/>
      <w:bookmarkStart w:id="6" w:name="_Hlk146198637"/>
      <w:proofErr w:type="spellStart"/>
      <w:r w:rsidRPr="009644D5">
        <w:rPr>
          <w:sz w:val="24"/>
          <w:szCs w:val="24"/>
        </w:rPr>
        <w:t>Alkacit</w:t>
      </w:r>
      <w:proofErr w:type="spellEnd"/>
      <w:r w:rsidRPr="009644D5">
        <w:rPr>
          <w:sz w:val="24"/>
          <w:szCs w:val="24"/>
        </w:rPr>
        <w:t xml:space="preserve"> er kontraindiceret </w:t>
      </w:r>
      <w:bookmarkEnd w:id="5"/>
      <w:r w:rsidRPr="009644D5">
        <w:rPr>
          <w:sz w:val="24"/>
          <w:szCs w:val="24"/>
        </w:rPr>
        <w:t xml:space="preserve">hos personer med en </w:t>
      </w:r>
      <w:proofErr w:type="spellStart"/>
      <w:r w:rsidRPr="009644D5">
        <w:rPr>
          <w:sz w:val="24"/>
          <w:szCs w:val="24"/>
        </w:rPr>
        <w:t>glomerulær</w:t>
      </w:r>
      <w:proofErr w:type="spellEnd"/>
      <w:r w:rsidRPr="009644D5">
        <w:rPr>
          <w:sz w:val="24"/>
          <w:szCs w:val="24"/>
        </w:rPr>
        <w:t xml:space="preserve"> filtrationshastighed (GFR) </w:t>
      </w:r>
      <w:bookmarkStart w:id="7" w:name="_Hlk146198683"/>
      <w:r w:rsidRPr="009644D5">
        <w:rPr>
          <w:sz w:val="24"/>
          <w:szCs w:val="24"/>
        </w:rPr>
        <w:t>≤</w:t>
      </w:r>
      <w:bookmarkEnd w:id="7"/>
      <w:r w:rsidRPr="009644D5">
        <w:rPr>
          <w:sz w:val="24"/>
          <w:szCs w:val="24"/>
        </w:rPr>
        <w:t>44 ml/min/1,73m</w:t>
      </w:r>
      <w:r w:rsidRPr="009644D5">
        <w:rPr>
          <w:sz w:val="24"/>
          <w:szCs w:val="24"/>
          <w:vertAlign w:val="superscript"/>
        </w:rPr>
        <w:t xml:space="preserve">2 </w:t>
      </w:r>
      <w:bookmarkStart w:id="8" w:name="_Hlk146198711"/>
      <w:r w:rsidRPr="009644D5">
        <w:rPr>
          <w:sz w:val="24"/>
          <w:szCs w:val="24"/>
        </w:rPr>
        <w:t>(se pkt. 4.3)</w:t>
      </w:r>
      <w:bookmarkEnd w:id="8"/>
      <w:r w:rsidRPr="009644D5">
        <w:rPr>
          <w:sz w:val="24"/>
          <w:szCs w:val="24"/>
        </w:rPr>
        <w:t>. Hos personer med en GFR på mellem 45 og 59 ml/min/1,73 m</w:t>
      </w:r>
      <w:r w:rsidRPr="009644D5">
        <w:rPr>
          <w:sz w:val="24"/>
          <w:szCs w:val="24"/>
          <w:vertAlign w:val="superscript"/>
        </w:rPr>
        <w:t>2</w:t>
      </w:r>
      <w:bookmarkStart w:id="9" w:name="_Hlk146198737"/>
      <w:r w:rsidRPr="009644D5">
        <w:rPr>
          <w:sz w:val="24"/>
          <w:szCs w:val="24"/>
        </w:rPr>
        <w:t xml:space="preserve"> og </w:t>
      </w:r>
      <w:bookmarkEnd w:id="9"/>
      <w:r w:rsidRPr="009644D5">
        <w:rPr>
          <w:sz w:val="24"/>
          <w:szCs w:val="24"/>
        </w:rPr>
        <w:t xml:space="preserve">en kaliumkoncentration i plasma, der ligger </w:t>
      </w:r>
      <w:bookmarkStart w:id="10" w:name="_Hlk146198746"/>
      <w:r w:rsidRPr="009644D5">
        <w:rPr>
          <w:sz w:val="24"/>
          <w:szCs w:val="24"/>
        </w:rPr>
        <w:t xml:space="preserve">indenfor </w:t>
      </w:r>
      <w:bookmarkEnd w:id="10"/>
      <w:r w:rsidRPr="009644D5">
        <w:rPr>
          <w:sz w:val="24"/>
          <w:szCs w:val="24"/>
        </w:rPr>
        <w:t xml:space="preserve">normalområdet, anbefales regelmæssig kontrol af nyrefunktionsparametrene og kaliumkoncentrationen i </w:t>
      </w:r>
      <w:bookmarkStart w:id="11" w:name="_Hlk146198816"/>
      <w:r w:rsidRPr="009644D5">
        <w:rPr>
          <w:sz w:val="24"/>
          <w:szCs w:val="24"/>
        </w:rPr>
        <w:t xml:space="preserve">blodet (se pkt. 4.4). </w:t>
      </w:r>
    </w:p>
    <w:p w14:paraId="1E898508" w14:textId="77777777" w:rsidR="009644D5" w:rsidRPr="009644D5" w:rsidRDefault="009644D5" w:rsidP="009644D5">
      <w:pPr>
        <w:ind w:left="851"/>
        <w:rPr>
          <w:rFonts w:eastAsia="Arial Unicode MS"/>
          <w:sz w:val="24"/>
          <w:szCs w:val="24"/>
          <w:lang w:eastAsia="de-DE" w:bidi="de-DE"/>
        </w:rPr>
      </w:pPr>
    </w:p>
    <w:p w14:paraId="1CC13AC2" w14:textId="77777777" w:rsidR="009644D5" w:rsidRPr="009644D5" w:rsidRDefault="009644D5" w:rsidP="009644D5">
      <w:pPr>
        <w:ind w:left="851"/>
        <w:rPr>
          <w:rFonts w:eastAsia="Arial Unicode MS"/>
          <w:sz w:val="24"/>
          <w:szCs w:val="24"/>
        </w:rPr>
      </w:pPr>
      <w:r w:rsidRPr="009644D5">
        <w:rPr>
          <w:sz w:val="24"/>
          <w:szCs w:val="24"/>
        </w:rPr>
        <w:t xml:space="preserve">Kaliumcitrat er kontraindiceret hos patienter med forhøjet </w:t>
      </w:r>
      <w:bookmarkEnd w:id="11"/>
      <w:r w:rsidRPr="009644D5">
        <w:rPr>
          <w:sz w:val="24"/>
          <w:szCs w:val="24"/>
        </w:rPr>
        <w:t>kaliumkoncentration i plasma (se pkt. 4.3).</w:t>
      </w:r>
    </w:p>
    <w:bookmarkEnd w:id="4"/>
    <w:bookmarkEnd w:id="6"/>
    <w:p w14:paraId="3BF7D674" w14:textId="1E91C83B" w:rsidR="009644D5" w:rsidRPr="009644D5" w:rsidRDefault="009644D5" w:rsidP="009644D5">
      <w:pPr>
        <w:ind w:left="851"/>
        <w:rPr>
          <w:rFonts w:eastAsia="Arial Unicode MS"/>
          <w:sz w:val="24"/>
          <w:szCs w:val="24"/>
        </w:rPr>
      </w:pPr>
    </w:p>
    <w:p w14:paraId="2DEAFFE7" w14:textId="77777777" w:rsidR="009644D5" w:rsidRPr="00BB5071" w:rsidRDefault="009644D5" w:rsidP="009644D5">
      <w:pPr>
        <w:ind w:left="851"/>
        <w:rPr>
          <w:rFonts w:eastAsia="Arial Unicode MS"/>
          <w:iCs/>
          <w:sz w:val="24"/>
          <w:szCs w:val="24"/>
          <w:u w:val="single"/>
        </w:rPr>
      </w:pPr>
      <w:r w:rsidRPr="00BB5071">
        <w:rPr>
          <w:sz w:val="24"/>
          <w:szCs w:val="24"/>
          <w:u w:val="single"/>
        </w:rPr>
        <w:t>Nedsat leverfunktion</w:t>
      </w:r>
    </w:p>
    <w:p w14:paraId="2B67F9A4" w14:textId="77777777" w:rsidR="009644D5" w:rsidRPr="009644D5" w:rsidRDefault="009644D5" w:rsidP="009644D5">
      <w:pPr>
        <w:ind w:left="851"/>
        <w:rPr>
          <w:rFonts w:eastAsia="Arial Unicode MS"/>
          <w:sz w:val="24"/>
          <w:szCs w:val="24"/>
        </w:rPr>
      </w:pPr>
      <w:r w:rsidRPr="009644D5">
        <w:rPr>
          <w:sz w:val="24"/>
          <w:szCs w:val="24"/>
        </w:rPr>
        <w:t xml:space="preserve">Kaliumcitrat skal anvendes med forsigtighed hos patienter med nedsat leverfunktion </w:t>
      </w:r>
      <w:bookmarkStart w:id="12" w:name="_Hlk146198876"/>
      <w:r w:rsidRPr="009644D5">
        <w:rPr>
          <w:sz w:val="24"/>
          <w:szCs w:val="24"/>
        </w:rPr>
        <w:t>(se pkt. 4.4)</w:t>
      </w:r>
      <w:bookmarkEnd w:id="12"/>
      <w:r w:rsidRPr="009644D5">
        <w:rPr>
          <w:sz w:val="24"/>
          <w:szCs w:val="24"/>
        </w:rPr>
        <w:t xml:space="preserve">. </w:t>
      </w:r>
    </w:p>
    <w:p w14:paraId="4EE0CF4F" w14:textId="77777777" w:rsidR="009644D5" w:rsidRPr="009644D5" w:rsidRDefault="009644D5" w:rsidP="009644D5">
      <w:pPr>
        <w:ind w:left="851"/>
        <w:rPr>
          <w:rFonts w:eastAsia="Arial Unicode MS"/>
          <w:sz w:val="24"/>
          <w:szCs w:val="24"/>
          <w:lang w:eastAsia="de-DE" w:bidi="de-DE"/>
        </w:rPr>
      </w:pPr>
    </w:p>
    <w:p w14:paraId="217DF586" w14:textId="77777777" w:rsidR="009644D5" w:rsidRPr="00BB5071" w:rsidRDefault="009644D5" w:rsidP="009644D5">
      <w:pPr>
        <w:ind w:left="851"/>
        <w:rPr>
          <w:rFonts w:eastAsia="Arial Unicode MS"/>
          <w:sz w:val="24"/>
          <w:szCs w:val="24"/>
          <w:u w:val="single"/>
        </w:rPr>
      </w:pPr>
      <w:r w:rsidRPr="00BB5071">
        <w:rPr>
          <w:sz w:val="24"/>
          <w:szCs w:val="24"/>
          <w:u w:val="single"/>
        </w:rPr>
        <w:t>Pædiatrisk population</w:t>
      </w:r>
    </w:p>
    <w:p w14:paraId="7840D7C3" w14:textId="77777777" w:rsidR="009644D5" w:rsidRPr="009644D5" w:rsidRDefault="009644D5" w:rsidP="009644D5">
      <w:pPr>
        <w:ind w:left="851"/>
        <w:rPr>
          <w:rFonts w:eastAsia="Arial Unicode MS"/>
          <w:sz w:val="24"/>
          <w:szCs w:val="24"/>
        </w:rPr>
      </w:pPr>
      <w:proofErr w:type="spellStart"/>
      <w:r w:rsidRPr="009644D5">
        <w:rPr>
          <w:sz w:val="24"/>
          <w:szCs w:val="24"/>
        </w:rPr>
        <w:t>Alkacits</w:t>
      </w:r>
      <w:proofErr w:type="spellEnd"/>
      <w:r w:rsidRPr="009644D5">
        <w:rPr>
          <w:sz w:val="24"/>
          <w:szCs w:val="24"/>
        </w:rPr>
        <w:t xml:space="preserve"> sikkerhed og virkning hos børn er ikke klarlagt. Der foreligger ingen data.</w:t>
      </w:r>
    </w:p>
    <w:p w14:paraId="6AA25BFB" w14:textId="77777777" w:rsidR="009644D5" w:rsidRPr="009644D5" w:rsidRDefault="009644D5" w:rsidP="009644D5">
      <w:pPr>
        <w:ind w:left="851"/>
        <w:rPr>
          <w:rFonts w:eastAsia="Arial Unicode MS"/>
          <w:sz w:val="24"/>
          <w:szCs w:val="24"/>
          <w:lang w:eastAsia="de-DE" w:bidi="de-DE"/>
        </w:rPr>
      </w:pPr>
    </w:p>
    <w:p w14:paraId="71AFAE08" w14:textId="77777777" w:rsidR="009644D5" w:rsidRPr="00BB5071" w:rsidRDefault="009644D5" w:rsidP="009644D5">
      <w:pPr>
        <w:ind w:left="851"/>
        <w:rPr>
          <w:rFonts w:eastAsia="Arial Unicode MS"/>
          <w:sz w:val="24"/>
          <w:szCs w:val="24"/>
          <w:u w:val="single"/>
        </w:rPr>
      </w:pPr>
      <w:r w:rsidRPr="00BB5071">
        <w:rPr>
          <w:sz w:val="24"/>
          <w:szCs w:val="24"/>
          <w:u w:val="single"/>
        </w:rPr>
        <w:t>Administration</w:t>
      </w:r>
    </w:p>
    <w:p w14:paraId="7BB460CA" w14:textId="77777777" w:rsidR="009644D5" w:rsidRPr="009644D5" w:rsidRDefault="009644D5" w:rsidP="009644D5">
      <w:pPr>
        <w:ind w:left="851"/>
        <w:rPr>
          <w:rFonts w:eastAsia="Arial Unicode MS"/>
          <w:sz w:val="24"/>
          <w:szCs w:val="24"/>
        </w:rPr>
      </w:pPr>
      <w:proofErr w:type="spellStart"/>
      <w:r w:rsidRPr="009644D5">
        <w:rPr>
          <w:sz w:val="24"/>
          <w:szCs w:val="24"/>
        </w:rPr>
        <w:t>Alkacit</w:t>
      </w:r>
      <w:proofErr w:type="spellEnd"/>
      <w:r w:rsidRPr="009644D5">
        <w:rPr>
          <w:sz w:val="24"/>
          <w:szCs w:val="24"/>
        </w:rPr>
        <w:t xml:space="preserve"> administreres oralt.</w:t>
      </w:r>
    </w:p>
    <w:p w14:paraId="51F21733" w14:textId="77777777" w:rsidR="009644D5" w:rsidRPr="009644D5" w:rsidRDefault="009644D5" w:rsidP="009644D5">
      <w:pPr>
        <w:ind w:left="851"/>
        <w:rPr>
          <w:rFonts w:eastAsia="Arial Unicode MS"/>
          <w:sz w:val="24"/>
          <w:szCs w:val="24"/>
          <w:lang w:eastAsia="de-DE" w:bidi="de-DE"/>
        </w:rPr>
      </w:pPr>
    </w:p>
    <w:p w14:paraId="4F70D612" w14:textId="77777777" w:rsidR="009644D5" w:rsidRPr="009644D5" w:rsidRDefault="009644D5" w:rsidP="009644D5">
      <w:pPr>
        <w:ind w:left="851"/>
        <w:rPr>
          <w:rFonts w:eastAsia="Arial Unicode MS"/>
          <w:sz w:val="24"/>
          <w:szCs w:val="24"/>
        </w:rPr>
      </w:pPr>
      <w:r w:rsidRPr="009644D5">
        <w:rPr>
          <w:sz w:val="24"/>
          <w:szCs w:val="24"/>
        </w:rPr>
        <w:t xml:space="preserve">Tabletterne </w:t>
      </w:r>
      <w:bookmarkStart w:id="13" w:name="_Hlk114677559"/>
      <w:r w:rsidRPr="009644D5">
        <w:rPr>
          <w:sz w:val="24"/>
          <w:szCs w:val="24"/>
        </w:rPr>
        <w:t xml:space="preserve">skal tages i forbindelse med et måltid eller </w:t>
      </w:r>
      <w:bookmarkEnd w:id="13"/>
      <w:r w:rsidRPr="009644D5">
        <w:rPr>
          <w:sz w:val="24"/>
          <w:szCs w:val="24"/>
        </w:rPr>
        <w:t xml:space="preserve">inden for 30 minutter efter et måltid for at undgå </w:t>
      </w:r>
      <w:proofErr w:type="spellStart"/>
      <w:r w:rsidRPr="009644D5">
        <w:rPr>
          <w:sz w:val="24"/>
          <w:szCs w:val="24"/>
        </w:rPr>
        <w:t>gastrointestinale</w:t>
      </w:r>
      <w:proofErr w:type="spellEnd"/>
      <w:r w:rsidRPr="009644D5">
        <w:rPr>
          <w:sz w:val="24"/>
          <w:szCs w:val="24"/>
        </w:rPr>
        <w:t xml:space="preserve"> reaktioner.</w:t>
      </w:r>
    </w:p>
    <w:p w14:paraId="36D14283" w14:textId="77777777" w:rsidR="009644D5" w:rsidRPr="009644D5" w:rsidRDefault="009644D5" w:rsidP="009644D5">
      <w:pPr>
        <w:ind w:left="851"/>
        <w:rPr>
          <w:rFonts w:eastAsia="Arial Unicode MS"/>
          <w:sz w:val="24"/>
          <w:szCs w:val="24"/>
          <w:lang w:eastAsia="de-DE" w:bidi="de-DE"/>
        </w:rPr>
      </w:pPr>
    </w:p>
    <w:p w14:paraId="14F16A7E" w14:textId="77777777" w:rsidR="009644D5" w:rsidRPr="009644D5" w:rsidRDefault="009644D5" w:rsidP="009644D5">
      <w:pPr>
        <w:ind w:left="851"/>
        <w:rPr>
          <w:rFonts w:eastAsia="Arial Unicode MS"/>
          <w:sz w:val="24"/>
          <w:szCs w:val="24"/>
        </w:rPr>
      </w:pPr>
      <w:r w:rsidRPr="009644D5">
        <w:rPr>
          <w:sz w:val="24"/>
          <w:szCs w:val="24"/>
        </w:rPr>
        <w:t>Tabletterne skal synkes hele med rigelig væske og må ikke tages sammen med alkohol, knuses, tygges eller opløses, da det kan resultere i, at lægemidlet frigives for tidligt.</w:t>
      </w:r>
    </w:p>
    <w:p w14:paraId="0C8F2185" w14:textId="77777777" w:rsidR="009644D5" w:rsidRPr="009644D5" w:rsidRDefault="009644D5" w:rsidP="009644D5">
      <w:pPr>
        <w:ind w:left="851"/>
        <w:rPr>
          <w:rFonts w:eastAsia="Arial Unicode MS"/>
          <w:sz w:val="24"/>
          <w:szCs w:val="24"/>
          <w:lang w:eastAsia="de-DE" w:bidi="de-DE"/>
        </w:rPr>
      </w:pPr>
    </w:p>
    <w:p w14:paraId="6A059234" w14:textId="77777777" w:rsidR="009644D5" w:rsidRPr="009644D5" w:rsidRDefault="009644D5" w:rsidP="009644D5">
      <w:pPr>
        <w:ind w:left="851"/>
        <w:rPr>
          <w:rFonts w:eastAsia="Arial Unicode MS"/>
          <w:sz w:val="24"/>
          <w:szCs w:val="24"/>
        </w:rPr>
      </w:pPr>
      <w:r w:rsidRPr="009644D5">
        <w:rPr>
          <w:sz w:val="24"/>
          <w:szCs w:val="24"/>
        </w:rPr>
        <w:t xml:space="preserve">Tabletterne skal anvendes i kombination med en diæt, hvor fødevarer med højt natriumindhold og bordsalt undgås. Patienter, der tager </w:t>
      </w:r>
      <w:proofErr w:type="spellStart"/>
      <w:r w:rsidRPr="009644D5">
        <w:rPr>
          <w:sz w:val="24"/>
          <w:szCs w:val="24"/>
        </w:rPr>
        <w:t>Alkacit</w:t>
      </w:r>
      <w:proofErr w:type="spellEnd"/>
      <w:r w:rsidRPr="009644D5">
        <w:rPr>
          <w:sz w:val="24"/>
          <w:szCs w:val="24"/>
        </w:rPr>
        <w:t xml:space="preserve"> tabletter med modificeret udløsning, skal øge deres væskeindtag. </w:t>
      </w:r>
    </w:p>
    <w:p w14:paraId="72C6B924" w14:textId="77777777" w:rsidR="009644D5" w:rsidRPr="009644D5" w:rsidRDefault="009644D5" w:rsidP="009644D5">
      <w:pPr>
        <w:ind w:left="851"/>
        <w:rPr>
          <w:rFonts w:eastAsia="Arial Unicode MS"/>
          <w:sz w:val="24"/>
          <w:szCs w:val="24"/>
          <w:lang w:eastAsia="de-DE" w:bidi="de-DE"/>
        </w:rPr>
      </w:pPr>
    </w:p>
    <w:p w14:paraId="4CB99BA1" w14:textId="77777777" w:rsidR="009644D5" w:rsidRPr="009644D5" w:rsidRDefault="009644D5" w:rsidP="009644D5">
      <w:pPr>
        <w:ind w:left="851"/>
        <w:rPr>
          <w:rFonts w:eastAsia="Arial Unicode MS"/>
          <w:sz w:val="24"/>
          <w:szCs w:val="24"/>
        </w:rPr>
      </w:pPr>
      <w:r w:rsidRPr="009644D5">
        <w:rPr>
          <w:sz w:val="24"/>
          <w:szCs w:val="24"/>
        </w:rPr>
        <w:t xml:space="preserve">Det anbefales at måle citrat og pH i urinen en gang i døgnet for at afgøre, om den indledende dosis er hensigtsmæssig, og for at evaluere effektiviteten af en eventuel dosisændring. Hvis pH-værdien er højere eller lavere end </w:t>
      </w:r>
      <w:proofErr w:type="spellStart"/>
      <w:r w:rsidRPr="009644D5">
        <w:rPr>
          <w:sz w:val="24"/>
          <w:szCs w:val="24"/>
        </w:rPr>
        <w:t>målområdet</w:t>
      </w:r>
      <w:proofErr w:type="spellEnd"/>
      <w:r w:rsidRPr="009644D5">
        <w:rPr>
          <w:sz w:val="24"/>
          <w:szCs w:val="24"/>
        </w:rPr>
        <w:t xml:space="preserve"> på 6,0 til 7,0, skal den daglige dosis justeres i overensstemmelse med patientens behov. Det anbefales at gøre dette med aftendosen.</w:t>
      </w:r>
    </w:p>
    <w:p w14:paraId="5AA544D6" w14:textId="77777777" w:rsidR="009260DE" w:rsidRPr="009644D5" w:rsidRDefault="009260DE" w:rsidP="009260DE">
      <w:pPr>
        <w:tabs>
          <w:tab w:val="left" w:pos="851"/>
        </w:tabs>
        <w:ind w:left="851"/>
        <w:rPr>
          <w:sz w:val="24"/>
          <w:szCs w:val="24"/>
        </w:rPr>
      </w:pPr>
    </w:p>
    <w:p w14:paraId="114EB4CA" w14:textId="77777777" w:rsidR="009260DE" w:rsidRPr="009644D5" w:rsidRDefault="009260DE" w:rsidP="009260DE">
      <w:pPr>
        <w:tabs>
          <w:tab w:val="left" w:pos="851"/>
        </w:tabs>
        <w:ind w:left="851" w:hanging="851"/>
        <w:rPr>
          <w:b/>
          <w:sz w:val="24"/>
          <w:szCs w:val="24"/>
        </w:rPr>
      </w:pPr>
      <w:r w:rsidRPr="009644D5">
        <w:rPr>
          <w:b/>
          <w:sz w:val="24"/>
          <w:szCs w:val="24"/>
        </w:rPr>
        <w:t>4.3</w:t>
      </w:r>
      <w:r w:rsidRPr="009644D5">
        <w:rPr>
          <w:b/>
          <w:sz w:val="24"/>
          <w:szCs w:val="24"/>
        </w:rPr>
        <w:tab/>
        <w:t>Kontraindikationer</w:t>
      </w:r>
    </w:p>
    <w:p w14:paraId="3167AB89"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Overfølsomhed over for det aktive stof eller over for et eller flere af hjælpestofferne anført i pkt. 6.1</w:t>
      </w:r>
      <w:bookmarkStart w:id="14" w:name="_Hlk62653682"/>
      <w:bookmarkStart w:id="15" w:name="_Hlk62652256"/>
    </w:p>
    <w:p w14:paraId="712C7BA9"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Nedsat nyrefunktion (</w:t>
      </w:r>
      <w:bookmarkStart w:id="16" w:name="_Hlk130373799"/>
      <w:r w:rsidRPr="00BB5071">
        <w:rPr>
          <w:rFonts w:ascii="Times New Roman" w:hAnsi="Times New Roman" w:cs="Times New Roman"/>
          <w:sz w:val="24"/>
          <w:szCs w:val="24"/>
        </w:rPr>
        <w:t>GFR ≤44 ml/min/1,73 m</w:t>
      </w:r>
      <w:r w:rsidRPr="00BB5071">
        <w:rPr>
          <w:rFonts w:ascii="Times New Roman" w:hAnsi="Times New Roman" w:cs="Times New Roman"/>
          <w:sz w:val="24"/>
          <w:szCs w:val="24"/>
          <w:vertAlign w:val="superscript"/>
        </w:rPr>
        <w:t>2</w:t>
      </w:r>
      <w:bookmarkEnd w:id="16"/>
      <w:r w:rsidRPr="00BB5071">
        <w:rPr>
          <w:rFonts w:ascii="Times New Roman" w:hAnsi="Times New Roman" w:cs="Times New Roman"/>
          <w:sz w:val="24"/>
          <w:szCs w:val="24"/>
        </w:rPr>
        <w:t>)</w:t>
      </w:r>
    </w:p>
    <w:bookmarkEnd w:id="14"/>
    <w:p w14:paraId="5290FAE1"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Aktive eller vedvarende urinvejsinfektioner</w:t>
      </w:r>
    </w:p>
    <w:p w14:paraId="1EF56694"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Signifikant eller fuldstændig obstruktion af urinvejene</w:t>
      </w:r>
    </w:p>
    <w:p w14:paraId="476CF144"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proofErr w:type="spellStart"/>
      <w:r w:rsidRPr="00BB5071">
        <w:rPr>
          <w:rFonts w:ascii="Times New Roman" w:hAnsi="Times New Roman" w:cs="Times New Roman"/>
          <w:sz w:val="24"/>
          <w:szCs w:val="24"/>
        </w:rPr>
        <w:t>Hyperkaliæmi</w:t>
      </w:r>
      <w:proofErr w:type="spellEnd"/>
    </w:p>
    <w:p w14:paraId="39708BB4"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 xml:space="preserve">Alvorlig </w:t>
      </w:r>
      <w:proofErr w:type="spellStart"/>
      <w:r w:rsidRPr="00BB5071">
        <w:rPr>
          <w:rFonts w:ascii="Times New Roman" w:hAnsi="Times New Roman" w:cs="Times New Roman"/>
          <w:sz w:val="24"/>
          <w:szCs w:val="24"/>
        </w:rPr>
        <w:t>myokardieskade</w:t>
      </w:r>
      <w:proofErr w:type="spellEnd"/>
    </w:p>
    <w:p w14:paraId="2DAC559A"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Ubehandlet diabetes mellitus</w:t>
      </w:r>
    </w:p>
    <w:p w14:paraId="475CCD49"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Binyrebarkinsufficiens</w:t>
      </w:r>
    </w:p>
    <w:p w14:paraId="4E3C4947"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 xml:space="preserve">Metabolisk eller respiratorisk </w:t>
      </w:r>
      <w:proofErr w:type="spellStart"/>
      <w:r w:rsidRPr="00BB5071">
        <w:rPr>
          <w:rFonts w:ascii="Times New Roman" w:hAnsi="Times New Roman" w:cs="Times New Roman"/>
          <w:sz w:val="24"/>
          <w:szCs w:val="24"/>
        </w:rPr>
        <w:t>alkalose</w:t>
      </w:r>
      <w:proofErr w:type="spellEnd"/>
    </w:p>
    <w:p w14:paraId="79D407E0"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r w:rsidRPr="00BB5071">
        <w:rPr>
          <w:rFonts w:ascii="Times New Roman" w:hAnsi="Times New Roman" w:cs="Times New Roman"/>
          <w:sz w:val="24"/>
          <w:szCs w:val="24"/>
        </w:rPr>
        <w:t>Aktivt mavesår</w:t>
      </w:r>
    </w:p>
    <w:p w14:paraId="563F0978"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proofErr w:type="spellStart"/>
      <w:r w:rsidRPr="00BB5071">
        <w:rPr>
          <w:rFonts w:ascii="Times New Roman" w:hAnsi="Times New Roman" w:cs="Times New Roman"/>
          <w:sz w:val="24"/>
          <w:szCs w:val="24"/>
        </w:rPr>
        <w:t>Gastroparese</w:t>
      </w:r>
      <w:proofErr w:type="spellEnd"/>
    </w:p>
    <w:p w14:paraId="4B5B2C6A" w14:textId="77777777" w:rsidR="009644D5" w:rsidRPr="00BB5071" w:rsidRDefault="009644D5" w:rsidP="00BB5071">
      <w:pPr>
        <w:pStyle w:val="Listeafsnit"/>
        <w:numPr>
          <w:ilvl w:val="0"/>
          <w:numId w:val="14"/>
        </w:numPr>
        <w:spacing w:after="0" w:line="240" w:lineRule="auto"/>
        <w:ind w:left="1276" w:hanging="425"/>
        <w:rPr>
          <w:rFonts w:ascii="Times New Roman" w:eastAsia="Arial Unicode MS" w:hAnsi="Times New Roman" w:cs="Times New Roman"/>
          <w:sz w:val="24"/>
          <w:szCs w:val="24"/>
        </w:rPr>
      </w:pPr>
      <w:proofErr w:type="spellStart"/>
      <w:r w:rsidRPr="00BB5071">
        <w:rPr>
          <w:rFonts w:ascii="Times New Roman" w:hAnsi="Times New Roman" w:cs="Times New Roman"/>
          <w:sz w:val="24"/>
          <w:szCs w:val="24"/>
        </w:rPr>
        <w:t>Intestinal</w:t>
      </w:r>
      <w:proofErr w:type="spellEnd"/>
      <w:r w:rsidRPr="00BB5071">
        <w:rPr>
          <w:rFonts w:ascii="Times New Roman" w:hAnsi="Times New Roman" w:cs="Times New Roman"/>
          <w:sz w:val="24"/>
          <w:szCs w:val="24"/>
        </w:rPr>
        <w:t xml:space="preserve"> obstruktion</w:t>
      </w:r>
    </w:p>
    <w:bookmarkEnd w:id="15"/>
    <w:p w14:paraId="5B1AB522" w14:textId="77777777" w:rsidR="009260DE" w:rsidRPr="009644D5" w:rsidRDefault="009260DE" w:rsidP="009260DE">
      <w:pPr>
        <w:tabs>
          <w:tab w:val="left" w:pos="851"/>
        </w:tabs>
        <w:ind w:left="851"/>
        <w:rPr>
          <w:sz w:val="24"/>
          <w:szCs w:val="24"/>
        </w:rPr>
      </w:pPr>
    </w:p>
    <w:p w14:paraId="2AA3B42B" w14:textId="77777777" w:rsidR="009260DE" w:rsidRPr="009644D5" w:rsidRDefault="009260DE" w:rsidP="009260DE">
      <w:pPr>
        <w:tabs>
          <w:tab w:val="left" w:pos="851"/>
        </w:tabs>
        <w:ind w:left="851" w:hanging="851"/>
        <w:rPr>
          <w:b/>
          <w:sz w:val="24"/>
          <w:szCs w:val="24"/>
        </w:rPr>
      </w:pPr>
      <w:r w:rsidRPr="009644D5">
        <w:rPr>
          <w:b/>
          <w:sz w:val="24"/>
          <w:szCs w:val="24"/>
        </w:rPr>
        <w:t>4.4</w:t>
      </w:r>
      <w:r w:rsidRPr="009644D5">
        <w:rPr>
          <w:b/>
          <w:sz w:val="24"/>
          <w:szCs w:val="24"/>
        </w:rPr>
        <w:tab/>
        <w:t>Særlige advarsler og forsigtighedsregler vedrørende brugen</w:t>
      </w:r>
    </w:p>
    <w:p w14:paraId="0F771108" w14:textId="77777777" w:rsidR="00BB5071" w:rsidRDefault="00BB5071" w:rsidP="009644D5">
      <w:pPr>
        <w:ind w:left="851"/>
        <w:rPr>
          <w:sz w:val="24"/>
          <w:szCs w:val="24"/>
        </w:rPr>
      </w:pPr>
      <w:bookmarkStart w:id="17" w:name="_Hlk146199232"/>
    </w:p>
    <w:p w14:paraId="11D4402C" w14:textId="76C8C694" w:rsidR="009644D5" w:rsidRPr="00BB5071" w:rsidRDefault="009644D5" w:rsidP="009644D5">
      <w:pPr>
        <w:ind w:left="851"/>
        <w:rPr>
          <w:sz w:val="24"/>
          <w:szCs w:val="24"/>
          <w:u w:val="single"/>
        </w:rPr>
      </w:pPr>
      <w:proofErr w:type="spellStart"/>
      <w:r w:rsidRPr="00BB5071">
        <w:rPr>
          <w:sz w:val="24"/>
          <w:szCs w:val="24"/>
          <w:u w:val="single"/>
        </w:rPr>
        <w:t>Hyperkaliæmi</w:t>
      </w:r>
      <w:proofErr w:type="spellEnd"/>
      <w:r w:rsidRPr="00BB5071">
        <w:rPr>
          <w:sz w:val="24"/>
          <w:szCs w:val="24"/>
          <w:u w:val="single"/>
        </w:rPr>
        <w:t xml:space="preserve"> og </w:t>
      </w:r>
      <w:proofErr w:type="spellStart"/>
      <w:r w:rsidRPr="00BB5071">
        <w:rPr>
          <w:sz w:val="24"/>
          <w:szCs w:val="24"/>
          <w:u w:val="single"/>
        </w:rPr>
        <w:t>kardiotoksicitet</w:t>
      </w:r>
      <w:bookmarkEnd w:id="17"/>
      <w:proofErr w:type="spellEnd"/>
      <w:r w:rsidRPr="00BB5071">
        <w:rPr>
          <w:sz w:val="24"/>
          <w:szCs w:val="24"/>
          <w:u w:val="single"/>
        </w:rPr>
        <w:t xml:space="preserve"> </w:t>
      </w:r>
    </w:p>
    <w:p w14:paraId="16AE9BCC" w14:textId="77777777" w:rsidR="009644D5" w:rsidRPr="009644D5" w:rsidRDefault="009644D5" w:rsidP="009644D5">
      <w:pPr>
        <w:ind w:left="851"/>
        <w:rPr>
          <w:sz w:val="24"/>
          <w:szCs w:val="24"/>
        </w:rPr>
      </w:pPr>
      <w:r w:rsidRPr="009644D5">
        <w:rPr>
          <w:sz w:val="24"/>
          <w:szCs w:val="24"/>
        </w:rPr>
        <w:t xml:space="preserve">Hos patienter med nedsat kaliumudskillelse kan administration af </w:t>
      </w:r>
      <w:proofErr w:type="spellStart"/>
      <w:r w:rsidRPr="009644D5">
        <w:rPr>
          <w:sz w:val="24"/>
          <w:szCs w:val="24"/>
        </w:rPr>
        <w:t>Alkacit</w:t>
      </w:r>
      <w:proofErr w:type="spellEnd"/>
      <w:r w:rsidRPr="009644D5">
        <w:rPr>
          <w:sz w:val="24"/>
          <w:szCs w:val="24"/>
        </w:rPr>
        <w:t xml:space="preserve"> føre til </w:t>
      </w:r>
      <w:proofErr w:type="spellStart"/>
      <w:r w:rsidRPr="009644D5">
        <w:rPr>
          <w:sz w:val="24"/>
          <w:szCs w:val="24"/>
        </w:rPr>
        <w:t>hyperkaliæmi</w:t>
      </w:r>
      <w:proofErr w:type="spellEnd"/>
      <w:r w:rsidRPr="009644D5">
        <w:rPr>
          <w:sz w:val="24"/>
          <w:szCs w:val="24"/>
        </w:rPr>
        <w:t xml:space="preserve"> og hjertestop. Potentielt livstruende </w:t>
      </w:r>
      <w:proofErr w:type="spellStart"/>
      <w:r w:rsidRPr="009644D5">
        <w:rPr>
          <w:sz w:val="24"/>
          <w:szCs w:val="24"/>
        </w:rPr>
        <w:t>hyperkaliæmi</w:t>
      </w:r>
      <w:proofErr w:type="spellEnd"/>
      <w:r w:rsidRPr="009644D5">
        <w:rPr>
          <w:sz w:val="24"/>
          <w:szCs w:val="24"/>
        </w:rPr>
        <w:t xml:space="preserve"> kan udvikle sig hurtigt og være asymptomatisk. </w:t>
      </w:r>
    </w:p>
    <w:p w14:paraId="439BA359" w14:textId="77777777" w:rsidR="009644D5" w:rsidRPr="009644D5" w:rsidRDefault="009644D5" w:rsidP="009644D5">
      <w:pPr>
        <w:ind w:left="851"/>
        <w:rPr>
          <w:sz w:val="24"/>
          <w:szCs w:val="24"/>
        </w:rPr>
      </w:pPr>
      <w:bookmarkStart w:id="18" w:name="_Hlk146199365"/>
    </w:p>
    <w:p w14:paraId="44D656B0" w14:textId="77777777" w:rsidR="009644D5" w:rsidRPr="009644D5" w:rsidRDefault="009644D5" w:rsidP="009644D5">
      <w:pPr>
        <w:ind w:left="851"/>
        <w:rPr>
          <w:sz w:val="24"/>
          <w:szCs w:val="24"/>
        </w:rPr>
      </w:pPr>
      <w:proofErr w:type="spellStart"/>
      <w:r w:rsidRPr="009644D5">
        <w:rPr>
          <w:sz w:val="24"/>
          <w:szCs w:val="24"/>
        </w:rPr>
        <w:t>Alkacit</w:t>
      </w:r>
      <w:proofErr w:type="spellEnd"/>
      <w:r w:rsidRPr="009644D5">
        <w:rPr>
          <w:sz w:val="24"/>
          <w:szCs w:val="24"/>
        </w:rPr>
        <w:t xml:space="preserve"> skal anvendes med forsigtighed når det kombineres med andre produkter, der øger plasma-kalium eller disponerer for hjertestop (se pkt. 4.5).</w:t>
      </w:r>
    </w:p>
    <w:bookmarkEnd w:id="18"/>
    <w:p w14:paraId="6DC8711B" w14:textId="77777777" w:rsidR="009644D5" w:rsidRPr="009644D5" w:rsidRDefault="009644D5" w:rsidP="009644D5">
      <w:pPr>
        <w:ind w:left="851"/>
        <w:rPr>
          <w:sz w:val="24"/>
          <w:szCs w:val="24"/>
        </w:rPr>
      </w:pPr>
    </w:p>
    <w:p w14:paraId="3DA80A7A" w14:textId="77777777" w:rsidR="009644D5" w:rsidRPr="009644D5" w:rsidRDefault="009644D5" w:rsidP="009644D5">
      <w:pPr>
        <w:ind w:left="851"/>
        <w:rPr>
          <w:sz w:val="24"/>
          <w:szCs w:val="24"/>
        </w:rPr>
      </w:pPr>
      <w:r w:rsidRPr="009644D5">
        <w:rPr>
          <w:sz w:val="24"/>
          <w:szCs w:val="24"/>
        </w:rPr>
        <w:t xml:space="preserve">Serumelektrolytter (natrium, kalium, klorid og kuldioxid), </w:t>
      </w:r>
      <w:proofErr w:type="spellStart"/>
      <w:r w:rsidRPr="009644D5">
        <w:rPr>
          <w:sz w:val="24"/>
          <w:szCs w:val="24"/>
        </w:rPr>
        <w:t>serumkreatinin</w:t>
      </w:r>
      <w:proofErr w:type="spellEnd"/>
      <w:r w:rsidRPr="009644D5">
        <w:rPr>
          <w:sz w:val="24"/>
          <w:szCs w:val="24"/>
        </w:rPr>
        <w:t xml:space="preserve"> og komplet blodtælling skal kontrolleres hver fjerde måned.  </w:t>
      </w:r>
    </w:p>
    <w:p w14:paraId="72A6B2EC" w14:textId="77777777" w:rsidR="009644D5" w:rsidRPr="009644D5" w:rsidRDefault="009644D5" w:rsidP="009644D5">
      <w:pPr>
        <w:ind w:left="851"/>
        <w:rPr>
          <w:sz w:val="24"/>
          <w:szCs w:val="24"/>
        </w:rPr>
      </w:pPr>
    </w:p>
    <w:p w14:paraId="002B0851" w14:textId="77777777" w:rsidR="009644D5" w:rsidRPr="00BB5071" w:rsidRDefault="009644D5" w:rsidP="009644D5">
      <w:pPr>
        <w:ind w:left="851"/>
        <w:rPr>
          <w:rFonts w:eastAsia="Arial Unicode MS"/>
          <w:color w:val="231F20"/>
          <w:sz w:val="24"/>
          <w:szCs w:val="24"/>
          <w:u w:val="single"/>
        </w:rPr>
      </w:pPr>
      <w:bookmarkStart w:id="19" w:name="_Hlk130375515"/>
      <w:r w:rsidRPr="00BB5071">
        <w:rPr>
          <w:color w:val="231F20"/>
          <w:sz w:val="24"/>
          <w:szCs w:val="24"/>
          <w:u w:val="single"/>
        </w:rPr>
        <w:t xml:space="preserve">Svært nedsat leverfunktion. </w:t>
      </w:r>
    </w:p>
    <w:bookmarkEnd w:id="19"/>
    <w:p w14:paraId="0DEAB337" w14:textId="77777777" w:rsidR="009644D5" w:rsidRPr="009644D5" w:rsidRDefault="009644D5" w:rsidP="009644D5">
      <w:pPr>
        <w:ind w:left="851"/>
        <w:rPr>
          <w:rFonts w:eastAsia="Arial Unicode MS"/>
          <w:sz w:val="24"/>
          <w:szCs w:val="24"/>
        </w:rPr>
      </w:pPr>
      <w:r w:rsidRPr="009644D5">
        <w:rPr>
          <w:sz w:val="24"/>
          <w:szCs w:val="24"/>
        </w:rPr>
        <w:t xml:space="preserve">Der er en potentiel risiko for </w:t>
      </w:r>
      <w:proofErr w:type="spellStart"/>
      <w:r w:rsidRPr="009644D5">
        <w:rPr>
          <w:sz w:val="24"/>
          <w:szCs w:val="24"/>
        </w:rPr>
        <w:t>hyperkaliæmi</w:t>
      </w:r>
      <w:proofErr w:type="spellEnd"/>
      <w:r w:rsidRPr="009644D5">
        <w:rPr>
          <w:sz w:val="24"/>
          <w:szCs w:val="24"/>
        </w:rPr>
        <w:t xml:space="preserve"> og citrattoksicitet ved svært nedsat leverfunktion, skønt virkningen af </w:t>
      </w:r>
      <w:proofErr w:type="gramStart"/>
      <w:r w:rsidRPr="009644D5">
        <w:rPr>
          <w:sz w:val="24"/>
          <w:szCs w:val="24"/>
        </w:rPr>
        <w:t>oral kaliumcitrat</w:t>
      </w:r>
      <w:proofErr w:type="gramEnd"/>
      <w:r w:rsidRPr="009644D5">
        <w:rPr>
          <w:sz w:val="24"/>
          <w:szCs w:val="24"/>
        </w:rPr>
        <w:t xml:space="preserve"> hos disse patienter ikke er blevet undersøgt </w:t>
      </w:r>
      <w:bookmarkStart w:id="20" w:name="_Hlk146199537"/>
      <w:r w:rsidRPr="009644D5">
        <w:rPr>
          <w:sz w:val="24"/>
          <w:szCs w:val="24"/>
        </w:rPr>
        <w:t>(se pkt. 4.2).</w:t>
      </w:r>
      <w:bookmarkEnd w:id="20"/>
    </w:p>
    <w:p w14:paraId="7FEA09C3" w14:textId="77777777" w:rsidR="009644D5" w:rsidRPr="009644D5" w:rsidRDefault="009644D5" w:rsidP="009644D5">
      <w:pPr>
        <w:ind w:left="851"/>
        <w:rPr>
          <w:rFonts w:eastAsia="Arial Unicode MS"/>
          <w:color w:val="231F20"/>
          <w:sz w:val="24"/>
          <w:szCs w:val="24"/>
          <w:lang w:eastAsia="de-DE" w:bidi="de-DE"/>
        </w:rPr>
      </w:pPr>
    </w:p>
    <w:p w14:paraId="508582AB" w14:textId="77777777" w:rsidR="009644D5" w:rsidRPr="00BB5071" w:rsidRDefault="009644D5" w:rsidP="009644D5">
      <w:pPr>
        <w:ind w:left="851"/>
        <w:rPr>
          <w:rFonts w:eastAsia="Arial Unicode MS"/>
          <w:color w:val="231F20"/>
          <w:sz w:val="24"/>
          <w:szCs w:val="24"/>
          <w:u w:val="single"/>
        </w:rPr>
      </w:pPr>
      <w:bookmarkStart w:id="21" w:name="_Hlk146199568"/>
      <w:r w:rsidRPr="00BB5071">
        <w:rPr>
          <w:color w:val="231F20"/>
          <w:sz w:val="24"/>
          <w:szCs w:val="24"/>
          <w:u w:val="single"/>
        </w:rPr>
        <w:t>Nedsat nyrefunktion</w:t>
      </w:r>
    </w:p>
    <w:p w14:paraId="5E09A8C6" w14:textId="77777777" w:rsidR="00BB5071" w:rsidRDefault="009644D5" w:rsidP="009644D5">
      <w:pPr>
        <w:ind w:left="851"/>
        <w:rPr>
          <w:sz w:val="24"/>
          <w:szCs w:val="24"/>
        </w:rPr>
      </w:pPr>
      <w:r w:rsidRPr="009644D5">
        <w:rPr>
          <w:sz w:val="24"/>
          <w:szCs w:val="24"/>
        </w:rPr>
        <w:t>Hos personer med en GFR på mellem 45 og 59 ml/min/1,73 m</w:t>
      </w:r>
      <w:r w:rsidRPr="009644D5">
        <w:rPr>
          <w:sz w:val="24"/>
          <w:szCs w:val="24"/>
          <w:vertAlign w:val="superscript"/>
        </w:rPr>
        <w:t>2</w:t>
      </w:r>
      <w:r w:rsidRPr="009644D5">
        <w:rPr>
          <w:sz w:val="24"/>
          <w:szCs w:val="24"/>
        </w:rPr>
        <w:t xml:space="preserve"> og en kaliumkoncentration i plasma, der ligger indenfor normalområdet, anbefales regelmæssig kontrol af nyrefunktionsparametrene og kaliumkoncentrationen i blodet ved startdosis, efter en dosisforøgelse eller i tilfælde af et fald i GFR. Derefter fastsættes hyppigheden efter lægens kriterier, dog mindst to gange om året. </w:t>
      </w:r>
      <w:bookmarkEnd w:id="21"/>
    </w:p>
    <w:p w14:paraId="5571DA3D" w14:textId="77777777" w:rsidR="00BB5071" w:rsidRDefault="00BB5071" w:rsidP="009644D5">
      <w:pPr>
        <w:ind w:left="851"/>
        <w:rPr>
          <w:color w:val="231F20"/>
          <w:sz w:val="24"/>
          <w:szCs w:val="24"/>
        </w:rPr>
      </w:pPr>
    </w:p>
    <w:p w14:paraId="618C3CCF" w14:textId="1D07F5EA" w:rsidR="009644D5" w:rsidRPr="00BB5071" w:rsidRDefault="00BB5071" w:rsidP="009644D5">
      <w:pPr>
        <w:ind w:left="851"/>
        <w:rPr>
          <w:rFonts w:eastAsia="Arial Unicode MS"/>
          <w:color w:val="231F20"/>
          <w:sz w:val="24"/>
          <w:szCs w:val="24"/>
          <w:u w:val="single"/>
        </w:rPr>
      </w:pPr>
      <w:r w:rsidRPr="00BB5071">
        <w:rPr>
          <w:color w:val="231F20"/>
          <w:sz w:val="24"/>
          <w:szCs w:val="24"/>
          <w:u w:val="single"/>
        </w:rPr>
        <w:t>H</w:t>
      </w:r>
      <w:r w:rsidR="009644D5" w:rsidRPr="00BB5071">
        <w:rPr>
          <w:color w:val="231F20"/>
          <w:sz w:val="24"/>
          <w:szCs w:val="24"/>
          <w:u w:val="single"/>
        </w:rPr>
        <w:t>jælpestoffer</w:t>
      </w:r>
    </w:p>
    <w:p w14:paraId="5C05A9D7" w14:textId="77777777" w:rsidR="009644D5" w:rsidRPr="009644D5" w:rsidRDefault="009644D5" w:rsidP="009644D5">
      <w:pPr>
        <w:ind w:left="851"/>
        <w:rPr>
          <w:rFonts w:eastAsia="Arial Unicode MS"/>
          <w:color w:val="231F20"/>
          <w:sz w:val="24"/>
          <w:szCs w:val="24"/>
        </w:rPr>
      </w:pPr>
      <w:r w:rsidRPr="009644D5">
        <w:rPr>
          <w:color w:val="231F20"/>
          <w:sz w:val="24"/>
          <w:szCs w:val="24"/>
        </w:rPr>
        <w:t>Dette lægemiddel indeholder 390 mg kalium pr. tablet. Det skal der tages højde for hos patienter med nedsat nyrefunktion eller patienter der får en kaliumfattig diæt.</w:t>
      </w:r>
    </w:p>
    <w:p w14:paraId="6BC9CBEC" w14:textId="77777777" w:rsidR="009260DE" w:rsidRPr="009644D5" w:rsidRDefault="009260DE" w:rsidP="009260DE">
      <w:pPr>
        <w:tabs>
          <w:tab w:val="left" w:pos="851"/>
        </w:tabs>
        <w:ind w:left="851"/>
        <w:rPr>
          <w:sz w:val="24"/>
          <w:szCs w:val="24"/>
        </w:rPr>
      </w:pPr>
    </w:p>
    <w:p w14:paraId="37A11632" w14:textId="77777777" w:rsidR="009260DE" w:rsidRPr="009644D5" w:rsidRDefault="009260DE" w:rsidP="009260DE">
      <w:pPr>
        <w:tabs>
          <w:tab w:val="left" w:pos="851"/>
        </w:tabs>
        <w:ind w:left="851" w:hanging="851"/>
        <w:rPr>
          <w:b/>
          <w:sz w:val="24"/>
          <w:szCs w:val="24"/>
        </w:rPr>
      </w:pPr>
      <w:r w:rsidRPr="009644D5">
        <w:rPr>
          <w:b/>
          <w:sz w:val="24"/>
          <w:szCs w:val="24"/>
        </w:rPr>
        <w:t>4.5</w:t>
      </w:r>
      <w:r w:rsidRPr="009644D5">
        <w:rPr>
          <w:b/>
          <w:sz w:val="24"/>
          <w:szCs w:val="24"/>
        </w:rPr>
        <w:tab/>
        <w:t>Interaktion med andre lægemidler og andre former for interaktion</w:t>
      </w:r>
    </w:p>
    <w:p w14:paraId="151C0F6C" w14:textId="77777777" w:rsidR="009644D5" w:rsidRPr="009644D5" w:rsidRDefault="009644D5" w:rsidP="009644D5">
      <w:pPr>
        <w:ind w:left="851"/>
        <w:rPr>
          <w:rFonts w:eastAsia="Arial Unicode MS"/>
          <w:sz w:val="24"/>
          <w:szCs w:val="24"/>
        </w:rPr>
      </w:pPr>
      <w:r w:rsidRPr="009644D5">
        <w:rPr>
          <w:sz w:val="24"/>
          <w:szCs w:val="24"/>
        </w:rPr>
        <w:t xml:space="preserve">Samtidig anvendelse skal undgås </w:t>
      </w:r>
    </w:p>
    <w:p w14:paraId="70886FEF" w14:textId="77777777" w:rsidR="009644D5" w:rsidRPr="009644D5" w:rsidRDefault="009644D5" w:rsidP="009644D5">
      <w:pPr>
        <w:ind w:left="851"/>
        <w:rPr>
          <w:rFonts w:eastAsia="Arial Unicode MS"/>
          <w:sz w:val="24"/>
          <w:szCs w:val="24"/>
          <w:lang w:eastAsia="de-DE" w:bidi="de-DE"/>
        </w:rPr>
      </w:pPr>
    </w:p>
    <w:tbl>
      <w:tblPr>
        <w:tblStyle w:val="Tabel-Gitter"/>
        <w:tblW w:w="8788" w:type="dxa"/>
        <w:tblInd w:w="846" w:type="dxa"/>
        <w:tblLayout w:type="fixed"/>
        <w:tblLook w:val="04A0" w:firstRow="1" w:lastRow="0" w:firstColumn="1" w:lastColumn="0" w:noHBand="0" w:noVBand="1"/>
      </w:tblPr>
      <w:tblGrid>
        <w:gridCol w:w="2800"/>
        <w:gridCol w:w="5988"/>
      </w:tblGrid>
      <w:tr w:rsidR="009644D5" w:rsidRPr="009644D5" w14:paraId="3B24BF20"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3D3B0B87" w14:textId="77777777" w:rsidR="009644D5" w:rsidRPr="009644D5" w:rsidRDefault="009644D5">
            <w:pPr>
              <w:rPr>
                <w:rFonts w:ascii="Times New Roman" w:eastAsia="Times New Roman" w:hAnsi="Times New Roman" w:cs="Times New Roman"/>
                <w:bCs/>
                <w:color w:val="000000"/>
                <w:sz w:val="24"/>
                <w:szCs w:val="24"/>
              </w:rPr>
            </w:pPr>
            <w:r w:rsidRPr="009644D5">
              <w:rPr>
                <w:rFonts w:ascii="Times New Roman" w:hAnsi="Times New Roman" w:cs="Times New Roman"/>
                <w:sz w:val="24"/>
                <w:szCs w:val="24"/>
              </w:rPr>
              <w:t>Amfetamin</w:t>
            </w:r>
          </w:p>
        </w:tc>
        <w:tc>
          <w:tcPr>
            <w:tcW w:w="5988" w:type="dxa"/>
            <w:tcBorders>
              <w:top w:val="single" w:sz="4" w:space="0" w:color="auto"/>
              <w:left w:val="single" w:sz="4" w:space="0" w:color="auto"/>
              <w:bottom w:val="single" w:sz="4" w:space="0" w:color="auto"/>
              <w:right w:val="single" w:sz="4" w:space="0" w:color="auto"/>
            </w:tcBorders>
            <w:hideMark/>
          </w:tcPr>
          <w:p w14:paraId="1D35FC82"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Alkaliserende midler kan nedsætte udskillelsen af amfetamin. Foranstaltninger: Alternativer til amfetamin og alkaliserende midler i kombination skal overvejes. Hvis det er nødvendigt at bruge disse lægemidler sammen, skal patienterne monitoreres nøje for kraftige amfetaminvirkninger.</w:t>
            </w:r>
            <w:r w:rsidRPr="009644D5">
              <w:rPr>
                <w:rFonts w:ascii="Times New Roman" w:hAnsi="Times New Roman" w:cs="Times New Roman"/>
                <w:i/>
                <w:sz w:val="24"/>
                <w:szCs w:val="24"/>
              </w:rPr>
              <w:t> </w:t>
            </w:r>
            <w:r w:rsidRPr="009644D5">
              <w:rPr>
                <w:rFonts w:ascii="Times New Roman" w:hAnsi="Times New Roman" w:cs="Times New Roman"/>
                <w:color w:val="000000" w:themeColor="text1"/>
                <w:sz w:val="24"/>
                <w:szCs w:val="24"/>
              </w:rPr>
              <w:t>En ændring af behandlingen skal overvejes.</w:t>
            </w:r>
          </w:p>
        </w:tc>
      </w:tr>
      <w:tr w:rsidR="009644D5" w:rsidRPr="009644D5" w14:paraId="44B3FD14"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0BC4F570" w14:textId="77777777" w:rsidR="009644D5" w:rsidRPr="009644D5" w:rsidRDefault="009644D5">
            <w:pPr>
              <w:rPr>
                <w:rFonts w:ascii="Times New Roman" w:eastAsia="Times New Roman" w:hAnsi="Times New Roman" w:cs="Times New Roman"/>
                <w:bCs/>
                <w:color w:val="000000"/>
                <w:sz w:val="24"/>
                <w:szCs w:val="24"/>
              </w:rPr>
            </w:pPr>
            <w:proofErr w:type="spellStart"/>
            <w:r w:rsidRPr="009644D5">
              <w:rPr>
                <w:rFonts w:ascii="Times New Roman" w:hAnsi="Times New Roman" w:cs="Times New Roman"/>
                <w:sz w:val="24"/>
                <w:szCs w:val="24"/>
              </w:rPr>
              <w:t>Antikolinergika</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1E086FC1"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ulcerogene</w:t>
            </w:r>
            <w:proofErr w:type="spellEnd"/>
            <w:r w:rsidRPr="009644D5">
              <w:rPr>
                <w:rFonts w:ascii="Times New Roman" w:hAnsi="Times New Roman" w:cs="Times New Roman"/>
                <w:sz w:val="24"/>
                <w:szCs w:val="24"/>
              </w:rPr>
              <w:t xml:space="preserve"> virkning af kaliumcitrat.</w:t>
            </w:r>
          </w:p>
        </w:tc>
      </w:tr>
      <w:tr w:rsidR="009644D5" w:rsidRPr="009644D5" w14:paraId="6FA905B2"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4800CA6C"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Kaliumbesparende </w:t>
            </w:r>
            <w:proofErr w:type="spellStart"/>
            <w:r w:rsidRPr="009644D5">
              <w:rPr>
                <w:rFonts w:ascii="Times New Roman" w:hAnsi="Times New Roman" w:cs="Times New Roman"/>
                <w:sz w:val="24"/>
                <w:szCs w:val="24"/>
              </w:rPr>
              <w:t>diuretika</w:t>
            </w:r>
            <w:proofErr w:type="spellEnd"/>
            <w:r w:rsidRPr="009644D5">
              <w:rPr>
                <w:rFonts w:ascii="Times New Roman" w:hAnsi="Times New Roman" w:cs="Times New Roman"/>
                <w:sz w:val="24"/>
                <w:szCs w:val="24"/>
              </w:rPr>
              <w:t xml:space="preserve"> </w:t>
            </w:r>
          </w:p>
          <w:p w14:paraId="61626920"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color w:val="231F20"/>
                <w:sz w:val="24"/>
                <w:szCs w:val="24"/>
              </w:rPr>
              <w:t xml:space="preserve">(f.eks. </w:t>
            </w:r>
            <w:proofErr w:type="spellStart"/>
            <w:r w:rsidRPr="009644D5">
              <w:rPr>
                <w:rFonts w:ascii="Times New Roman" w:hAnsi="Times New Roman" w:cs="Times New Roman"/>
                <w:color w:val="231F20"/>
                <w:sz w:val="24"/>
                <w:szCs w:val="24"/>
              </w:rPr>
              <w:t>amilorid</w:t>
            </w:r>
            <w:proofErr w:type="spellEnd"/>
            <w:r w:rsidRPr="009644D5">
              <w:rPr>
                <w:rFonts w:ascii="Times New Roman" w:hAnsi="Times New Roman" w:cs="Times New Roman"/>
                <w:color w:val="231F20"/>
                <w:sz w:val="24"/>
                <w:szCs w:val="24"/>
              </w:rPr>
              <w:t xml:space="preserve">, </w:t>
            </w:r>
            <w:proofErr w:type="spellStart"/>
            <w:r w:rsidRPr="009644D5">
              <w:rPr>
                <w:rFonts w:ascii="Times New Roman" w:hAnsi="Times New Roman" w:cs="Times New Roman"/>
                <w:color w:val="231F20"/>
                <w:sz w:val="24"/>
                <w:szCs w:val="24"/>
              </w:rPr>
              <w:t>eplerenon</w:t>
            </w:r>
            <w:proofErr w:type="spellEnd"/>
            <w:r w:rsidRPr="009644D5">
              <w:rPr>
                <w:rFonts w:ascii="Times New Roman" w:hAnsi="Times New Roman" w:cs="Times New Roman"/>
                <w:color w:val="231F20"/>
                <w:sz w:val="24"/>
                <w:szCs w:val="24"/>
              </w:rPr>
              <w:t xml:space="preserve">, </w:t>
            </w:r>
            <w:proofErr w:type="spellStart"/>
            <w:r w:rsidRPr="009644D5">
              <w:rPr>
                <w:rFonts w:ascii="Times New Roman" w:hAnsi="Times New Roman" w:cs="Times New Roman"/>
                <w:color w:val="231F20"/>
                <w:sz w:val="24"/>
                <w:szCs w:val="24"/>
              </w:rPr>
              <w:t>spironolacton</w:t>
            </w:r>
            <w:proofErr w:type="spellEnd"/>
            <w:r w:rsidRPr="009644D5">
              <w:rPr>
                <w:rFonts w:ascii="Times New Roman" w:hAnsi="Times New Roman" w:cs="Times New Roman"/>
                <w:color w:val="231F20"/>
                <w:sz w:val="24"/>
                <w:szCs w:val="24"/>
              </w:rPr>
              <w:t xml:space="preserve">, </w:t>
            </w:r>
            <w:proofErr w:type="spellStart"/>
            <w:r w:rsidRPr="009644D5">
              <w:rPr>
                <w:rFonts w:ascii="Times New Roman" w:hAnsi="Times New Roman" w:cs="Times New Roman"/>
                <w:color w:val="231F20"/>
                <w:sz w:val="24"/>
                <w:szCs w:val="24"/>
              </w:rPr>
              <w:t>triamteren</w:t>
            </w:r>
            <w:proofErr w:type="spellEnd"/>
            <w:r w:rsidRPr="009644D5">
              <w:rPr>
                <w:rFonts w:ascii="Times New Roman" w:hAnsi="Times New Roman" w:cs="Times New Roman"/>
                <w:color w:val="231F20"/>
                <w:sz w:val="24"/>
                <w:szCs w:val="24"/>
              </w:rPr>
              <w:t>)</w:t>
            </w:r>
          </w:p>
        </w:tc>
        <w:tc>
          <w:tcPr>
            <w:tcW w:w="5988" w:type="dxa"/>
            <w:tcBorders>
              <w:top w:val="single" w:sz="4" w:space="0" w:color="auto"/>
              <w:left w:val="single" w:sz="4" w:space="0" w:color="auto"/>
              <w:bottom w:val="single" w:sz="4" w:space="0" w:color="auto"/>
              <w:right w:val="single" w:sz="4" w:space="0" w:color="auto"/>
            </w:tcBorders>
            <w:hideMark/>
          </w:tcPr>
          <w:p w14:paraId="1767CCF1"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Kaliumsalte 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kaliumbesparende </w:t>
            </w:r>
            <w:proofErr w:type="spellStart"/>
            <w:r w:rsidRPr="009644D5">
              <w:rPr>
                <w:rFonts w:ascii="Times New Roman" w:hAnsi="Times New Roman" w:cs="Times New Roman"/>
                <w:sz w:val="24"/>
                <w:szCs w:val="24"/>
              </w:rPr>
              <w:t>diuretika</w:t>
            </w:r>
            <w:proofErr w:type="spellEnd"/>
            <w:r w:rsidRPr="009644D5">
              <w:rPr>
                <w:rFonts w:ascii="Times New Roman" w:hAnsi="Times New Roman" w:cs="Times New Roman"/>
                <w:sz w:val="24"/>
                <w:szCs w:val="24"/>
              </w:rPr>
              <w:t xml:space="preserve">. </w:t>
            </w:r>
          </w:p>
          <w:p w14:paraId="042DE4A3"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Foranstaltninger: Denne kombination må kun anvendes i tilfælde af signifikant </w:t>
            </w:r>
            <w:proofErr w:type="spellStart"/>
            <w:r w:rsidRPr="009644D5">
              <w:rPr>
                <w:rFonts w:ascii="Times New Roman" w:hAnsi="Times New Roman" w:cs="Times New Roman"/>
                <w:sz w:val="24"/>
                <w:szCs w:val="24"/>
              </w:rPr>
              <w:t>hypokaliæmi</w:t>
            </w:r>
            <w:proofErr w:type="spellEnd"/>
            <w:r w:rsidRPr="009644D5">
              <w:rPr>
                <w:rFonts w:ascii="Times New Roman" w:hAnsi="Times New Roman" w:cs="Times New Roman"/>
                <w:sz w:val="24"/>
                <w:szCs w:val="24"/>
              </w:rPr>
              <w:t xml:space="preserve">, og kun hvis serumkalium kan monitoreres nøje. </w:t>
            </w:r>
            <w:r w:rsidRPr="009644D5">
              <w:rPr>
                <w:rFonts w:ascii="Times New Roman" w:hAnsi="Times New Roman" w:cs="Times New Roman"/>
                <w:color w:val="000000" w:themeColor="text1"/>
                <w:sz w:val="24"/>
                <w:szCs w:val="24"/>
              </w:rPr>
              <w:t>En ændring af behandlingen skal overvejes.</w:t>
            </w:r>
          </w:p>
        </w:tc>
      </w:tr>
    </w:tbl>
    <w:p w14:paraId="424C7E9E" w14:textId="4BDE21C6" w:rsidR="002E7874" w:rsidRDefault="002E7874" w:rsidP="009644D5">
      <w:pPr>
        <w:tabs>
          <w:tab w:val="left" w:pos="426"/>
        </w:tabs>
        <w:rPr>
          <w:rFonts w:eastAsia="Arial Unicode MS"/>
          <w:color w:val="231F20"/>
          <w:sz w:val="24"/>
          <w:szCs w:val="24"/>
          <w:lang w:eastAsia="de-DE" w:bidi="de-DE"/>
        </w:rPr>
      </w:pPr>
    </w:p>
    <w:p w14:paraId="23C28EE9" w14:textId="77777777" w:rsidR="002E7874" w:rsidRDefault="002E7874">
      <w:pPr>
        <w:rPr>
          <w:rFonts w:eastAsia="Arial Unicode MS"/>
          <w:color w:val="231F20"/>
          <w:sz w:val="24"/>
          <w:szCs w:val="24"/>
          <w:lang w:eastAsia="de-DE" w:bidi="de-DE"/>
        </w:rPr>
      </w:pPr>
      <w:r>
        <w:rPr>
          <w:rFonts w:eastAsia="Arial Unicode MS"/>
          <w:color w:val="231F20"/>
          <w:sz w:val="24"/>
          <w:szCs w:val="24"/>
          <w:lang w:eastAsia="de-DE" w:bidi="de-DE"/>
        </w:rPr>
        <w:br w:type="page"/>
      </w:r>
    </w:p>
    <w:p w14:paraId="52D837B6" w14:textId="77777777" w:rsidR="009644D5" w:rsidRPr="009644D5" w:rsidRDefault="009644D5" w:rsidP="009644D5">
      <w:pPr>
        <w:tabs>
          <w:tab w:val="left" w:pos="426"/>
        </w:tabs>
        <w:rPr>
          <w:rFonts w:eastAsia="Arial Unicode MS"/>
          <w:color w:val="231F20"/>
          <w:sz w:val="24"/>
          <w:szCs w:val="24"/>
          <w:lang w:eastAsia="de-DE" w:bidi="de-DE"/>
        </w:rPr>
      </w:pPr>
    </w:p>
    <w:p w14:paraId="0BA23E1B" w14:textId="77777777" w:rsidR="009644D5" w:rsidRPr="00BB5071" w:rsidRDefault="009644D5" w:rsidP="009644D5">
      <w:pPr>
        <w:ind w:left="851"/>
        <w:rPr>
          <w:rFonts w:eastAsia="Arial Unicode MS"/>
          <w:color w:val="231F20"/>
          <w:sz w:val="24"/>
          <w:szCs w:val="24"/>
          <w:u w:val="single"/>
        </w:rPr>
      </w:pPr>
      <w:r w:rsidRPr="00BB5071">
        <w:rPr>
          <w:sz w:val="24"/>
          <w:szCs w:val="24"/>
          <w:u w:val="single"/>
        </w:rPr>
        <w:t xml:space="preserve">Samtidig anvendelse skal overvåges </w:t>
      </w:r>
    </w:p>
    <w:p w14:paraId="6A3548F4" w14:textId="77777777" w:rsidR="009644D5" w:rsidRPr="009644D5" w:rsidRDefault="009644D5" w:rsidP="009644D5">
      <w:pPr>
        <w:autoSpaceDE w:val="0"/>
        <w:autoSpaceDN w:val="0"/>
        <w:adjustRightInd w:val="0"/>
        <w:rPr>
          <w:rFonts w:eastAsiaTheme="minorHAnsi"/>
          <w:sz w:val="24"/>
          <w:szCs w:val="24"/>
        </w:rPr>
      </w:pPr>
    </w:p>
    <w:tbl>
      <w:tblPr>
        <w:tblStyle w:val="Tabel-Gitter"/>
        <w:tblW w:w="8788" w:type="dxa"/>
        <w:tblInd w:w="846" w:type="dxa"/>
        <w:tblLayout w:type="fixed"/>
        <w:tblLook w:val="04A0" w:firstRow="1" w:lastRow="0" w:firstColumn="1" w:lastColumn="0" w:noHBand="0" w:noVBand="1"/>
      </w:tblPr>
      <w:tblGrid>
        <w:gridCol w:w="2800"/>
        <w:gridCol w:w="5988"/>
      </w:tblGrid>
      <w:tr w:rsidR="009644D5" w:rsidRPr="009644D5" w14:paraId="301EF7F6"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193CACDB"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ACE-</w:t>
            </w:r>
            <w:proofErr w:type="spellStart"/>
            <w:r w:rsidRPr="009644D5">
              <w:rPr>
                <w:rFonts w:ascii="Times New Roman" w:hAnsi="Times New Roman" w:cs="Times New Roman"/>
                <w:sz w:val="24"/>
                <w:szCs w:val="24"/>
              </w:rPr>
              <w:t>hæmmere</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47C01CD5"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w:t>
            </w:r>
          </w:p>
        </w:tc>
      </w:tr>
      <w:tr w:rsidR="009644D5" w:rsidRPr="009644D5" w14:paraId="0D37E3F2"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2F1B7761" w14:textId="77777777" w:rsidR="009644D5" w:rsidRPr="009644D5" w:rsidRDefault="009644D5">
            <w:pPr>
              <w:rPr>
                <w:rFonts w:ascii="Times New Roman" w:eastAsia="Times New Roman" w:hAnsi="Times New Roman" w:cs="Times New Roman"/>
                <w:bCs/>
                <w:color w:val="000000"/>
                <w:sz w:val="24"/>
                <w:szCs w:val="24"/>
              </w:rPr>
            </w:pPr>
            <w:proofErr w:type="spellStart"/>
            <w:r w:rsidRPr="009644D5">
              <w:rPr>
                <w:rFonts w:ascii="Times New Roman" w:hAnsi="Times New Roman" w:cs="Times New Roman"/>
                <w:sz w:val="24"/>
                <w:szCs w:val="24"/>
              </w:rPr>
              <w:t>Aliskiren</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4BBF8400"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Kaliumsalte 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w:t>
            </w:r>
            <w:proofErr w:type="spellStart"/>
            <w:r w:rsidRPr="009644D5">
              <w:rPr>
                <w:rFonts w:ascii="Times New Roman" w:hAnsi="Times New Roman" w:cs="Times New Roman"/>
                <w:sz w:val="24"/>
                <w:szCs w:val="24"/>
              </w:rPr>
              <w:t>aliskiren</w:t>
            </w:r>
            <w:proofErr w:type="spellEnd"/>
            <w:r w:rsidRPr="009644D5">
              <w:rPr>
                <w:rFonts w:ascii="Times New Roman" w:hAnsi="Times New Roman" w:cs="Times New Roman"/>
                <w:sz w:val="24"/>
                <w:szCs w:val="24"/>
              </w:rPr>
              <w:t>.</w:t>
            </w:r>
          </w:p>
        </w:tc>
      </w:tr>
      <w:tr w:rsidR="009644D5" w:rsidRPr="009644D5" w14:paraId="3A39A49E"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34307CA1" w14:textId="77777777" w:rsidR="009644D5" w:rsidRPr="009644D5" w:rsidRDefault="009644D5">
            <w:pPr>
              <w:rPr>
                <w:rFonts w:ascii="Times New Roman" w:eastAsia="Times New Roman" w:hAnsi="Times New Roman" w:cs="Times New Roman"/>
                <w:bCs/>
                <w:color w:val="000000"/>
                <w:sz w:val="24"/>
                <w:szCs w:val="24"/>
              </w:rPr>
            </w:pPr>
            <w:r w:rsidRPr="009644D5">
              <w:rPr>
                <w:rFonts w:ascii="Times New Roman" w:hAnsi="Times New Roman" w:cs="Times New Roman"/>
                <w:sz w:val="24"/>
                <w:szCs w:val="24"/>
              </w:rPr>
              <w:t>Alfa/beta-agonister (indirekte virkende)</w:t>
            </w:r>
          </w:p>
        </w:tc>
        <w:tc>
          <w:tcPr>
            <w:tcW w:w="5988" w:type="dxa"/>
            <w:tcBorders>
              <w:top w:val="single" w:sz="4" w:space="0" w:color="auto"/>
              <w:left w:val="single" w:sz="4" w:space="0" w:color="auto"/>
              <w:bottom w:val="single" w:sz="4" w:space="0" w:color="auto"/>
              <w:right w:val="single" w:sz="4" w:space="0" w:color="auto"/>
            </w:tcBorders>
            <w:hideMark/>
          </w:tcPr>
          <w:p w14:paraId="4329EB6E" w14:textId="77777777" w:rsidR="009644D5" w:rsidRPr="009644D5" w:rsidRDefault="009644D5">
            <w:pPr>
              <w:rPr>
                <w:rFonts w:ascii="Times New Roman" w:hAnsi="Times New Roman" w:cs="Times New Roman"/>
                <w:color w:val="000000" w:themeColor="text1"/>
                <w:sz w:val="24"/>
                <w:szCs w:val="24"/>
              </w:rPr>
            </w:pPr>
            <w:proofErr w:type="spellStart"/>
            <w:r w:rsidRPr="009644D5">
              <w:rPr>
                <w:rFonts w:ascii="Times New Roman" w:hAnsi="Times New Roman" w:cs="Times New Roman"/>
                <w:sz w:val="24"/>
                <w:szCs w:val="24"/>
              </w:rPr>
              <w:t>Alkaliniserende</w:t>
            </w:r>
            <w:proofErr w:type="spellEnd"/>
            <w:r w:rsidRPr="009644D5">
              <w:rPr>
                <w:rFonts w:ascii="Times New Roman" w:hAnsi="Times New Roman" w:cs="Times New Roman"/>
                <w:sz w:val="24"/>
                <w:szCs w:val="24"/>
              </w:rPr>
              <w:t xml:space="preserve"> midler kan øge serumkoncentrationen af alfa/beta-agonister (indirekte virkende). </w:t>
            </w:r>
          </w:p>
        </w:tc>
      </w:tr>
      <w:tr w:rsidR="009644D5" w:rsidRPr="009644D5" w14:paraId="67213FCE"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506D0A14" w14:textId="77777777" w:rsidR="009644D5" w:rsidRPr="009644D5" w:rsidRDefault="009644D5">
            <w:pPr>
              <w:rPr>
                <w:rFonts w:ascii="Times New Roman" w:eastAsia="Times New Roman" w:hAnsi="Times New Roman" w:cs="Times New Roman"/>
                <w:bCs/>
                <w:color w:val="000000"/>
                <w:sz w:val="24"/>
                <w:szCs w:val="24"/>
              </w:rPr>
            </w:pPr>
            <w:r w:rsidRPr="009644D5">
              <w:rPr>
                <w:rFonts w:ascii="Times New Roman" w:hAnsi="Times New Roman" w:cs="Times New Roman"/>
                <w:sz w:val="24"/>
                <w:szCs w:val="24"/>
              </w:rPr>
              <w:t>Aluminiumhydroxid</w:t>
            </w:r>
          </w:p>
        </w:tc>
        <w:tc>
          <w:tcPr>
            <w:tcW w:w="5988" w:type="dxa"/>
            <w:tcBorders>
              <w:top w:val="single" w:sz="4" w:space="0" w:color="auto"/>
              <w:left w:val="single" w:sz="4" w:space="0" w:color="auto"/>
              <w:bottom w:val="single" w:sz="4" w:space="0" w:color="auto"/>
              <w:right w:val="single" w:sz="4" w:space="0" w:color="auto"/>
            </w:tcBorders>
            <w:hideMark/>
          </w:tcPr>
          <w:p w14:paraId="02288274"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Derivater af citronsyre kan øge absorptionen af aluminiumhydroxid. </w:t>
            </w:r>
          </w:p>
        </w:tc>
      </w:tr>
      <w:tr w:rsidR="009644D5" w:rsidRPr="009644D5" w14:paraId="32CD9734"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0199AD5D" w14:textId="77777777" w:rsidR="009644D5" w:rsidRPr="009644D5" w:rsidRDefault="009644D5">
            <w:pPr>
              <w:rPr>
                <w:rFonts w:ascii="Times New Roman" w:eastAsia="Times New Roman" w:hAnsi="Times New Roman" w:cs="Times New Roman"/>
                <w:bCs/>
                <w:color w:val="000000"/>
                <w:sz w:val="24"/>
                <w:szCs w:val="24"/>
              </w:rPr>
            </w:pPr>
            <w:proofErr w:type="spellStart"/>
            <w:r w:rsidRPr="009644D5">
              <w:rPr>
                <w:rFonts w:ascii="Times New Roman" w:hAnsi="Times New Roman" w:cs="Times New Roman"/>
                <w:sz w:val="24"/>
                <w:szCs w:val="24"/>
              </w:rPr>
              <w:t>Amantadin</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7F9C85FF" w14:textId="77777777" w:rsidR="009644D5" w:rsidRPr="009644D5" w:rsidRDefault="009644D5">
            <w:pPr>
              <w:rPr>
                <w:rFonts w:ascii="Times New Roman" w:hAnsi="Times New Roman" w:cs="Times New Roman"/>
                <w:color w:val="000000" w:themeColor="text1"/>
                <w:sz w:val="24"/>
                <w:szCs w:val="24"/>
              </w:rPr>
            </w:pPr>
            <w:proofErr w:type="spellStart"/>
            <w:r w:rsidRPr="009644D5">
              <w:rPr>
                <w:rFonts w:ascii="Times New Roman" w:hAnsi="Times New Roman" w:cs="Times New Roman"/>
                <w:sz w:val="24"/>
                <w:szCs w:val="24"/>
              </w:rPr>
              <w:t>Alkaliniserende</w:t>
            </w:r>
            <w:proofErr w:type="spellEnd"/>
            <w:r w:rsidRPr="009644D5">
              <w:rPr>
                <w:rFonts w:ascii="Times New Roman" w:hAnsi="Times New Roman" w:cs="Times New Roman"/>
                <w:sz w:val="24"/>
                <w:szCs w:val="24"/>
              </w:rPr>
              <w:t xml:space="preserve"> midler kan øge serumkoncentrationen af </w:t>
            </w:r>
            <w:proofErr w:type="spellStart"/>
            <w:r w:rsidRPr="009644D5">
              <w:rPr>
                <w:rFonts w:ascii="Times New Roman" w:hAnsi="Times New Roman" w:cs="Times New Roman"/>
                <w:sz w:val="24"/>
                <w:szCs w:val="24"/>
              </w:rPr>
              <w:t>amantadin</w:t>
            </w:r>
            <w:proofErr w:type="spellEnd"/>
            <w:r w:rsidRPr="009644D5">
              <w:rPr>
                <w:rFonts w:ascii="Times New Roman" w:hAnsi="Times New Roman" w:cs="Times New Roman"/>
                <w:sz w:val="24"/>
                <w:szCs w:val="24"/>
              </w:rPr>
              <w:t xml:space="preserve">. </w:t>
            </w:r>
          </w:p>
        </w:tc>
      </w:tr>
      <w:tr w:rsidR="009644D5" w:rsidRPr="009644D5" w14:paraId="6AFDC787"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142E65CF" w14:textId="77777777" w:rsidR="009644D5" w:rsidRPr="009644D5" w:rsidRDefault="009644D5">
            <w:pPr>
              <w:rPr>
                <w:rFonts w:ascii="Times New Roman" w:eastAsia="Times New Roman" w:hAnsi="Times New Roman" w:cs="Times New Roman"/>
                <w:bCs/>
                <w:color w:val="000000"/>
                <w:sz w:val="24"/>
                <w:szCs w:val="24"/>
              </w:rPr>
            </w:pPr>
            <w:proofErr w:type="spellStart"/>
            <w:r w:rsidRPr="009644D5">
              <w:rPr>
                <w:rFonts w:ascii="Times New Roman" w:hAnsi="Times New Roman" w:cs="Times New Roman"/>
                <w:sz w:val="24"/>
                <w:szCs w:val="24"/>
              </w:rPr>
              <w:t>Angiotensin</w:t>
            </w:r>
            <w:proofErr w:type="spellEnd"/>
            <w:r w:rsidRPr="009644D5">
              <w:rPr>
                <w:rFonts w:ascii="Times New Roman" w:hAnsi="Times New Roman" w:cs="Times New Roman"/>
                <w:sz w:val="24"/>
                <w:szCs w:val="24"/>
              </w:rPr>
              <w:t> II-receptorblokkere</w:t>
            </w:r>
          </w:p>
        </w:tc>
        <w:tc>
          <w:tcPr>
            <w:tcW w:w="5988" w:type="dxa"/>
            <w:tcBorders>
              <w:top w:val="single" w:sz="4" w:space="0" w:color="auto"/>
              <w:left w:val="single" w:sz="4" w:space="0" w:color="auto"/>
              <w:bottom w:val="single" w:sz="4" w:space="0" w:color="auto"/>
              <w:right w:val="single" w:sz="4" w:space="0" w:color="auto"/>
            </w:tcBorders>
            <w:hideMark/>
          </w:tcPr>
          <w:p w14:paraId="5304675A" w14:textId="77777777" w:rsidR="009644D5" w:rsidRPr="009644D5" w:rsidRDefault="009644D5">
            <w:pPr>
              <w:rPr>
                <w:rFonts w:ascii="Times New Roman" w:hAnsi="Times New Roman" w:cs="Times New Roman"/>
                <w:bCs/>
                <w:sz w:val="24"/>
                <w:szCs w:val="24"/>
              </w:rPr>
            </w:pPr>
            <w:r w:rsidRPr="009644D5">
              <w:rPr>
                <w:rFonts w:ascii="Times New Roman" w:hAnsi="Times New Roman" w:cs="Times New Roman"/>
                <w:sz w:val="24"/>
                <w:szCs w:val="24"/>
              </w:rPr>
              <w:t xml:space="preserve">Kaliumsalte 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w:t>
            </w:r>
            <w:proofErr w:type="spellStart"/>
            <w:r w:rsidRPr="009644D5">
              <w:rPr>
                <w:rFonts w:ascii="Times New Roman" w:hAnsi="Times New Roman" w:cs="Times New Roman"/>
                <w:sz w:val="24"/>
                <w:szCs w:val="24"/>
              </w:rPr>
              <w:t>angiotensin</w:t>
            </w:r>
            <w:proofErr w:type="spellEnd"/>
            <w:r w:rsidRPr="009644D5">
              <w:rPr>
                <w:rFonts w:ascii="Times New Roman" w:hAnsi="Times New Roman" w:cs="Times New Roman"/>
                <w:sz w:val="24"/>
                <w:szCs w:val="24"/>
              </w:rPr>
              <w:t> II-receptorblokkere.</w:t>
            </w:r>
          </w:p>
        </w:tc>
      </w:tr>
      <w:tr w:rsidR="009644D5" w:rsidRPr="00BB5071" w14:paraId="241EDB3E"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24DC6C19" w14:textId="77777777" w:rsidR="009644D5" w:rsidRPr="00BB5071" w:rsidRDefault="009644D5" w:rsidP="00BB5071">
            <w:pPr>
              <w:rPr>
                <w:rFonts w:ascii="Times New Roman" w:hAnsi="Times New Roman" w:cs="Times New Roman"/>
                <w:sz w:val="24"/>
                <w:szCs w:val="24"/>
              </w:rPr>
            </w:pPr>
            <w:r w:rsidRPr="00BB5071">
              <w:rPr>
                <w:rFonts w:ascii="Times New Roman" w:hAnsi="Times New Roman" w:cs="Times New Roman"/>
                <w:sz w:val="24"/>
                <w:szCs w:val="24"/>
              </w:rPr>
              <w:t>Betablokkere</w:t>
            </w:r>
          </w:p>
        </w:tc>
        <w:tc>
          <w:tcPr>
            <w:tcW w:w="5988" w:type="dxa"/>
            <w:tcBorders>
              <w:top w:val="single" w:sz="4" w:space="0" w:color="auto"/>
              <w:left w:val="single" w:sz="4" w:space="0" w:color="auto"/>
              <w:bottom w:val="single" w:sz="4" w:space="0" w:color="auto"/>
              <w:right w:val="single" w:sz="4" w:space="0" w:color="auto"/>
            </w:tcBorders>
            <w:hideMark/>
          </w:tcPr>
          <w:p w14:paraId="372BBDD8" w14:textId="77777777" w:rsidR="009644D5" w:rsidRPr="00BB5071" w:rsidRDefault="009644D5" w:rsidP="00BB5071">
            <w:pPr>
              <w:rPr>
                <w:rFonts w:ascii="Times New Roman" w:hAnsi="Times New Roman" w:cs="Times New Roman"/>
                <w:sz w:val="24"/>
                <w:szCs w:val="24"/>
              </w:rPr>
            </w:pPr>
            <w:r w:rsidRPr="00BB5071">
              <w:rPr>
                <w:rFonts w:ascii="Times New Roman" w:hAnsi="Times New Roman" w:cs="Times New Roman"/>
                <w:sz w:val="24"/>
                <w:szCs w:val="24"/>
              </w:rPr>
              <w:t xml:space="preserve">Kan forstærke den </w:t>
            </w:r>
            <w:proofErr w:type="spellStart"/>
            <w:r w:rsidRPr="00BB5071">
              <w:rPr>
                <w:rFonts w:ascii="Times New Roman" w:hAnsi="Times New Roman" w:cs="Times New Roman"/>
                <w:sz w:val="24"/>
                <w:szCs w:val="24"/>
              </w:rPr>
              <w:t>hyperkaliæmiske</w:t>
            </w:r>
            <w:proofErr w:type="spellEnd"/>
            <w:r w:rsidRPr="00BB5071">
              <w:rPr>
                <w:rFonts w:ascii="Times New Roman" w:hAnsi="Times New Roman" w:cs="Times New Roman"/>
                <w:sz w:val="24"/>
                <w:szCs w:val="24"/>
              </w:rPr>
              <w:t xml:space="preserve"> virkning af kaliumsalte.</w:t>
            </w:r>
          </w:p>
        </w:tc>
      </w:tr>
      <w:tr w:rsidR="009644D5" w:rsidRPr="009644D5" w14:paraId="07C4F9B9"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4ECD8FD9"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Digoxin</w:t>
            </w:r>
            <w:proofErr w:type="spellEnd"/>
            <w:r w:rsidRPr="009644D5">
              <w:rPr>
                <w:rFonts w:ascii="Times New Roman" w:hAnsi="Times New Roman" w:cs="Times New Roman"/>
                <w:sz w:val="24"/>
                <w:szCs w:val="24"/>
              </w:rPr>
              <w:t xml:space="preserve"> </w:t>
            </w:r>
          </w:p>
        </w:tc>
        <w:tc>
          <w:tcPr>
            <w:tcW w:w="5988" w:type="dxa"/>
            <w:tcBorders>
              <w:top w:val="single" w:sz="4" w:space="0" w:color="auto"/>
              <w:left w:val="single" w:sz="4" w:space="0" w:color="auto"/>
              <w:bottom w:val="single" w:sz="4" w:space="0" w:color="auto"/>
              <w:right w:val="single" w:sz="4" w:space="0" w:color="auto"/>
            </w:tcBorders>
            <w:hideMark/>
          </w:tcPr>
          <w:p w14:paraId="3F1445C2"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 </w:t>
            </w:r>
          </w:p>
        </w:tc>
      </w:tr>
      <w:tr w:rsidR="009644D5" w:rsidRPr="009644D5" w14:paraId="668A531D"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2AACE44F"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Produkter, der indeholder </w:t>
            </w:r>
            <w:proofErr w:type="spellStart"/>
            <w:r w:rsidRPr="009644D5">
              <w:rPr>
                <w:rFonts w:ascii="Times New Roman" w:hAnsi="Times New Roman" w:cs="Times New Roman"/>
                <w:sz w:val="24"/>
                <w:szCs w:val="24"/>
              </w:rPr>
              <w:t>drospirenon</w:t>
            </w:r>
            <w:proofErr w:type="spellEnd"/>
          </w:p>
        </w:tc>
        <w:tc>
          <w:tcPr>
            <w:tcW w:w="5988" w:type="dxa"/>
            <w:tcBorders>
              <w:top w:val="single" w:sz="4" w:space="0" w:color="auto"/>
              <w:left w:val="single" w:sz="4" w:space="0" w:color="auto"/>
              <w:bottom w:val="single" w:sz="4" w:space="0" w:color="auto"/>
              <w:right w:val="single" w:sz="4" w:space="0" w:color="auto"/>
            </w:tcBorders>
          </w:tcPr>
          <w:p w14:paraId="5A616C73" w14:textId="782FF2BA" w:rsidR="009644D5" w:rsidRPr="009644D5" w:rsidRDefault="009644D5" w:rsidP="00BB5071">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w:t>
            </w:r>
          </w:p>
        </w:tc>
      </w:tr>
      <w:tr w:rsidR="009644D5" w:rsidRPr="009644D5" w14:paraId="55D487BE"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63A3697B" w14:textId="2F9B8D09" w:rsidR="009644D5" w:rsidRPr="009644D5" w:rsidRDefault="009644D5">
            <w:pPr>
              <w:rPr>
                <w:rFonts w:ascii="Times New Roman" w:hAnsi="Times New Roman" w:cs="Times New Roman"/>
                <w:sz w:val="24"/>
                <w:szCs w:val="24"/>
              </w:rPr>
            </w:pPr>
            <w:bookmarkStart w:id="22" w:name="_Hlk135667418"/>
            <w:r w:rsidRPr="009644D5">
              <w:rPr>
                <w:rFonts w:ascii="Times New Roman" w:hAnsi="Times New Roman" w:cs="Times New Roman"/>
                <w:sz w:val="24"/>
                <w:szCs w:val="24"/>
              </w:rPr>
              <w:t>Finerenon</w:t>
            </w:r>
            <w:bookmarkEnd w:id="22"/>
          </w:p>
        </w:tc>
        <w:tc>
          <w:tcPr>
            <w:tcW w:w="5988" w:type="dxa"/>
            <w:tcBorders>
              <w:top w:val="single" w:sz="4" w:space="0" w:color="auto"/>
              <w:left w:val="single" w:sz="4" w:space="0" w:color="auto"/>
              <w:bottom w:val="single" w:sz="4" w:space="0" w:color="auto"/>
              <w:right w:val="single" w:sz="4" w:space="0" w:color="auto"/>
            </w:tcBorders>
            <w:hideMark/>
          </w:tcPr>
          <w:p w14:paraId="0F128DBF"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Kaliumsalte 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finerenon. </w:t>
            </w:r>
          </w:p>
        </w:tc>
      </w:tr>
      <w:tr w:rsidR="009644D5" w:rsidRPr="009644D5" w14:paraId="7E5A63C3"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55685612"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Heparin</w:t>
            </w:r>
            <w:proofErr w:type="spellEnd"/>
            <w:r w:rsidRPr="009644D5">
              <w:rPr>
                <w:rFonts w:ascii="Times New Roman" w:hAnsi="Times New Roman" w:cs="Times New Roman"/>
                <w:sz w:val="24"/>
                <w:szCs w:val="24"/>
              </w:rPr>
              <w:t xml:space="preserve"> (inkl. lav molekylvægt)</w:t>
            </w:r>
          </w:p>
        </w:tc>
        <w:tc>
          <w:tcPr>
            <w:tcW w:w="5988" w:type="dxa"/>
            <w:tcBorders>
              <w:top w:val="single" w:sz="4" w:space="0" w:color="auto"/>
              <w:left w:val="single" w:sz="4" w:space="0" w:color="auto"/>
              <w:bottom w:val="single" w:sz="4" w:space="0" w:color="auto"/>
              <w:right w:val="single" w:sz="4" w:space="0" w:color="auto"/>
            </w:tcBorders>
            <w:hideMark/>
          </w:tcPr>
          <w:p w14:paraId="1EBAC669"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w:t>
            </w:r>
          </w:p>
        </w:tc>
      </w:tr>
      <w:tr w:rsidR="009644D5" w:rsidRPr="009644D5" w14:paraId="1393F869"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6CB223D4"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Mecamylamin</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09155CC0"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Alkaliniserende</w:t>
            </w:r>
            <w:proofErr w:type="spellEnd"/>
            <w:r w:rsidRPr="009644D5">
              <w:rPr>
                <w:rFonts w:ascii="Times New Roman" w:hAnsi="Times New Roman" w:cs="Times New Roman"/>
                <w:sz w:val="24"/>
                <w:szCs w:val="24"/>
              </w:rPr>
              <w:t xml:space="preserve"> midler kan øge serumkoncentrationen af </w:t>
            </w:r>
            <w:proofErr w:type="spellStart"/>
            <w:r w:rsidRPr="009644D5">
              <w:rPr>
                <w:rFonts w:ascii="Times New Roman" w:hAnsi="Times New Roman" w:cs="Times New Roman"/>
                <w:sz w:val="24"/>
                <w:szCs w:val="24"/>
              </w:rPr>
              <w:t>mecamylamin</w:t>
            </w:r>
            <w:proofErr w:type="spellEnd"/>
            <w:r w:rsidRPr="009644D5">
              <w:rPr>
                <w:rFonts w:ascii="Times New Roman" w:hAnsi="Times New Roman" w:cs="Times New Roman"/>
                <w:sz w:val="24"/>
                <w:szCs w:val="24"/>
              </w:rPr>
              <w:t>.</w:t>
            </w:r>
          </w:p>
        </w:tc>
      </w:tr>
      <w:tr w:rsidR="009644D5" w:rsidRPr="009644D5" w14:paraId="364439A4"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2EAD92A3"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Memantin</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53DF3D6C"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Alkaliniserende</w:t>
            </w:r>
            <w:proofErr w:type="spellEnd"/>
            <w:r w:rsidRPr="009644D5">
              <w:rPr>
                <w:rFonts w:ascii="Times New Roman" w:hAnsi="Times New Roman" w:cs="Times New Roman"/>
                <w:sz w:val="24"/>
                <w:szCs w:val="24"/>
              </w:rPr>
              <w:t xml:space="preserve"> midler kan øge serumkoncentrationen af </w:t>
            </w:r>
            <w:proofErr w:type="spellStart"/>
            <w:r w:rsidRPr="009644D5">
              <w:rPr>
                <w:rFonts w:ascii="Times New Roman" w:hAnsi="Times New Roman" w:cs="Times New Roman"/>
                <w:sz w:val="24"/>
                <w:szCs w:val="24"/>
              </w:rPr>
              <w:t>memantin</w:t>
            </w:r>
            <w:proofErr w:type="spellEnd"/>
            <w:r w:rsidRPr="009644D5">
              <w:rPr>
                <w:rFonts w:ascii="Times New Roman" w:hAnsi="Times New Roman" w:cs="Times New Roman"/>
                <w:sz w:val="24"/>
                <w:szCs w:val="24"/>
              </w:rPr>
              <w:t>.</w:t>
            </w:r>
          </w:p>
        </w:tc>
      </w:tr>
      <w:tr w:rsidR="009644D5" w:rsidRPr="009644D5" w14:paraId="2365B29A"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72642782"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Nicorandil</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074CABC1" w14:textId="77777777" w:rsidR="009644D5" w:rsidRPr="009644D5" w:rsidRDefault="009644D5">
            <w:pPr>
              <w:rPr>
                <w:rFonts w:ascii="Times New Roman" w:hAnsi="Times New Roman" w:cs="Times New Roman"/>
                <w:color w:val="000000" w:themeColor="text1"/>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w:t>
            </w:r>
          </w:p>
        </w:tc>
      </w:tr>
      <w:tr w:rsidR="009644D5" w:rsidRPr="009644D5" w14:paraId="1ED2CC1C"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0F818D39"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Non-</w:t>
            </w:r>
            <w:proofErr w:type="spellStart"/>
            <w:r w:rsidRPr="009644D5">
              <w:rPr>
                <w:rFonts w:ascii="Times New Roman" w:hAnsi="Times New Roman" w:cs="Times New Roman"/>
                <w:sz w:val="24"/>
                <w:szCs w:val="24"/>
              </w:rPr>
              <w:t>steroide</w:t>
            </w:r>
            <w:proofErr w:type="spellEnd"/>
            <w:r w:rsidRPr="009644D5">
              <w:rPr>
                <w:rFonts w:ascii="Times New Roman" w:hAnsi="Times New Roman" w:cs="Times New Roman"/>
                <w:sz w:val="24"/>
                <w:szCs w:val="24"/>
              </w:rPr>
              <w:t xml:space="preserve"> antiinflammatoriske midler (NSAID) (f.eks. </w:t>
            </w:r>
            <w:proofErr w:type="spellStart"/>
            <w:r w:rsidRPr="009644D5">
              <w:rPr>
                <w:rFonts w:ascii="Times New Roman" w:hAnsi="Times New Roman" w:cs="Times New Roman"/>
                <w:sz w:val="24"/>
                <w:szCs w:val="24"/>
              </w:rPr>
              <w:t>indometacin</w:t>
            </w:r>
            <w:proofErr w:type="spellEnd"/>
            <w:r w:rsidRPr="009644D5">
              <w:rPr>
                <w:rFonts w:ascii="Times New Roman" w:hAnsi="Times New Roman" w:cs="Times New Roman"/>
                <w:sz w:val="24"/>
                <w:szCs w:val="24"/>
              </w:rPr>
              <w:t>)</w:t>
            </w:r>
          </w:p>
        </w:tc>
        <w:tc>
          <w:tcPr>
            <w:tcW w:w="5988" w:type="dxa"/>
            <w:tcBorders>
              <w:top w:val="single" w:sz="4" w:space="0" w:color="auto"/>
              <w:left w:val="single" w:sz="4" w:space="0" w:color="auto"/>
              <w:bottom w:val="single" w:sz="4" w:space="0" w:color="auto"/>
              <w:right w:val="single" w:sz="4" w:space="0" w:color="auto"/>
            </w:tcBorders>
            <w:hideMark/>
          </w:tcPr>
          <w:p w14:paraId="78137DEC" w14:textId="77777777" w:rsidR="009644D5" w:rsidRPr="009644D5" w:rsidRDefault="009644D5">
            <w:pPr>
              <w:rPr>
                <w:rFonts w:ascii="Times New Roman" w:hAnsi="Times New Roman" w:cs="Times New Roman"/>
                <w:sz w:val="24"/>
                <w:szCs w:val="24"/>
              </w:rPr>
            </w:pPr>
            <w:r w:rsidRPr="009644D5">
              <w:rPr>
                <w:rFonts w:ascii="Times New Roman" w:hAnsi="Times New Roman" w:cs="Times New Roman"/>
                <w:sz w:val="24"/>
                <w:szCs w:val="24"/>
              </w:rPr>
              <w:t xml:space="preserve">Kan forstærke den </w:t>
            </w:r>
            <w:proofErr w:type="spellStart"/>
            <w:r w:rsidRPr="009644D5">
              <w:rPr>
                <w:rFonts w:ascii="Times New Roman" w:hAnsi="Times New Roman" w:cs="Times New Roman"/>
                <w:sz w:val="24"/>
                <w:szCs w:val="24"/>
              </w:rPr>
              <w:t>hyperkaliæmiske</w:t>
            </w:r>
            <w:proofErr w:type="spellEnd"/>
            <w:r w:rsidRPr="009644D5">
              <w:rPr>
                <w:rFonts w:ascii="Times New Roman" w:hAnsi="Times New Roman" w:cs="Times New Roman"/>
                <w:sz w:val="24"/>
                <w:szCs w:val="24"/>
              </w:rPr>
              <w:t xml:space="preserve"> virkning af kaliumsalte.</w:t>
            </w:r>
          </w:p>
        </w:tc>
      </w:tr>
      <w:tr w:rsidR="009644D5" w:rsidRPr="009644D5" w14:paraId="37183C48" w14:textId="77777777" w:rsidTr="00BB5071">
        <w:tc>
          <w:tcPr>
            <w:tcW w:w="2800" w:type="dxa"/>
            <w:tcBorders>
              <w:top w:val="single" w:sz="4" w:space="0" w:color="auto"/>
              <w:left w:val="single" w:sz="4" w:space="0" w:color="auto"/>
              <w:bottom w:val="single" w:sz="4" w:space="0" w:color="auto"/>
              <w:right w:val="single" w:sz="4" w:space="0" w:color="auto"/>
            </w:tcBorders>
            <w:hideMark/>
          </w:tcPr>
          <w:p w14:paraId="17ED0DF0" w14:textId="77777777" w:rsidR="009644D5" w:rsidRPr="009644D5" w:rsidRDefault="009644D5">
            <w:pPr>
              <w:rPr>
                <w:rFonts w:ascii="Times New Roman" w:hAnsi="Times New Roman" w:cs="Times New Roman"/>
                <w:sz w:val="24"/>
                <w:szCs w:val="24"/>
              </w:rPr>
            </w:pPr>
            <w:proofErr w:type="spellStart"/>
            <w:r w:rsidRPr="009644D5">
              <w:rPr>
                <w:rFonts w:ascii="Times New Roman" w:hAnsi="Times New Roman" w:cs="Times New Roman"/>
                <w:sz w:val="24"/>
                <w:szCs w:val="24"/>
              </w:rPr>
              <w:t>Quinin</w:t>
            </w:r>
            <w:proofErr w:type="spellEnd"/>
          </w:p>
        </w:tc>
        <w:tc>
          <w:tcPr>
            <w:tcW w:w="5988" w:type="dxa"/>
            <w:tcBorders>
              <w:top w:val="single" w:sz="4" w:space="0" w:color="auto"/>
              <w:left w:val="single" w:sz="4" w:space="0" w:color="auto"/>
              <w:bottom w:val="single" w:sz="4" w:space="0" w:color="auto"/>
              <w:right w:val="single" w:sz="4" w:space="0" w:color="auto"/>
            </w:tcBorders>
            <w:hideMark/>
          </w:tcPr>
          <w:p w14:paraId="7C3C79C4" w14:textId="77777777" w:rsidR="009644D5" w:rsidRPr="009644D5" w:rsidRDefault="009644D5">
            <w:pPr>
              <w:rPr>
                <w:rFonts w:ascii="Times New Roman" w:hAnsi="Times New Roman" w:cs="Times New Roman"/>
                <w:color w:val="000000" w:themeColor="text1"/>
                <w:sz w:val="24"/>
                <w:szCs w:val="24"/>
              </w:rPr>
            </w:pPr>
            <w:proofErr w:type="spellStart"/>
            <w:r w:rsidRPr="009644D5">
              <w:rPr>
                <w:rFonts w:ascii="Times New Roman" w:hAnsi="Times New Roman" w:cs="Times New Roman"/>
                <w:sz w:val="24"/>
                <w:szCs w:val="24"/>
              </w:rPr>
              <w:t>Alkaliniserende</w:t>
            </w:r>
            <w:proofErr w:type="spellEnd"/>
            <w:r w:rsidRPr="009644D5">
              <w:rPr>
                <w:rFonts w:ascii="Times New Roman" w:hAnsi="Times New Roman" w:cs="Times New Roman"/>
                <w:sz w:val="24"/>
                <w:szCs w:val="24"/>
              </w:rPr>
              <w:t xml:space="preserve"> midler kan øge serumkoncentrationen af </w:t>
            </w:r>
            <w:proofErr w:type="spellStart"/>
            <w:r w:rsidRPr="009644D5">
              <w:rPr>
                <w:rFonts w:ascii="Times New Roman" w:hAnsi="Times New Roman" w:cs="Times New Roman"/>
                <w:sz w:val="24"/>
                <w:szCs w:val="24"/>
              </w:rPr>
              <w:t>quinin</w:t>
            </w:r>
            <w:proofErr w:type="spellEnd"/>
            <w:r w:rsidRPr="009644D5">
              <w:rPr>
                <w:rFonts w:ascii="Times New Roman" w:hAnsi="Times New Roman" w:cs="Times New Roman"/>
                <w:sz w:val="24"/>
                <w:szCs w:val="24"/>
              </w:rPr>
              <w:t>.</w:t>
            </w:r>
          </w:p>
        </w:tc>
      </w:tr>
    </w:tbl>
    <w:p w14:paraId="37CD552C" w14:textId="77777777" w:rsidR="009644D5" w:rsidRPr="009644D5" w:rsidRDefault="009644D5" w:rsidP="009644D5">
      <w:pPr>
        <w:ind w:left="851"/>
        <w:rPr>
          <w:sz w:val="24"/>
          <w:szCs w:val="24"/>
        </w:rPr>
      </w:pPr>
    </w:p>
    <w:p w14:paraId="5B49499B" w14:textId="77777777" w:rsidR="009644D5" w:rsidRPr="009644D5" w:rsidRDefault="009644D5" w:rsidP="009644D5">
      <w:pPr>
        <w:ind w:left="851"/>
        <w:rPr>
          <w:rFonts w:eastAsia="Arial Unicode MS"/>
          <w:sz w:val="24"/>
          <w:szCs w:val="24"/>
          <w:u w:val="single"/>
        </w:rPr>
      </w:pPr>
      <w:r w:rsidRPr="009644D5">
        <w:rPr>
          <w:sz w:val="24"/>
          <w:szCs w:val="24"/>
          <w:u w:val="single"/>
        </w:rPr>
        <w:t>Interaktion med alkohol</w:t>
      </w:r>
    </w:p>
    <w:p w14:paraId="2599AA3C" w14:textId="77777777" w:rsidR="009644D5" w:rsidRPr="009644D5" w:rsidRDefault="009644D5" w:rsidP="009644D5">
      <w:pPr>
        <w:ind w:left="851"/>
        <w:rPr>
          <w:rFonts w:eastAsia="Arial Unicode MS"/>
          <w:sz w:val="24"/>
          <w:szCs w:val="24"/>
        </w:rPr>
      </w:pPr>
      <w:r w:rsidRPr="009644D5">
        <w:rPr>
          <w:sz w:val="24"/>
          <w:szCs w:val="24"/>
        </w:rPr>
        <w:t xml:space="preserve">Indtagelse af </w:t>
      </w:r>
      <w:proofErr w:type="spellStart"/>
      <w:r w:rsidRPr="009644D5">
        <w:rPr>
          <w:sz w:val="24"/>
          <w:szCs w:val="24"/>
        </w:rPr>
        <w:t>Alkacit</w:t>
      </w:r>
      <w:proofErr w:type="spellEnd"/>
      <w:r w:rsidRPr="009644D5">
        <w:rPr>
          <w:sz w:val="24"/>
          <w:szCs w:val="24"/>
        </w:rPr>
        <w:t xml:space="preserve"> sammen med alkohol kan føre til tab af den modificerede udløsningseffekt (se pkt. 4.2). </w:t>
      </w:r>
    </w:p>
    <w:p w14:paraId="78031B05" w14:textId="77777777" w:rsidR="009260DE" w:rsidRPr="009644D5" w:rsidRDefault="009260DE" w:rsidP="009644D5">
      <w:pPr>
        <w:ind w:left="851"/>
        <w:rPr>
          <w:sz w:val="24"/>
          <w:szCs w:val="24"/>
        </w:rPr>
      </w:pPr>
    </w:p>
    <w:p w14:paraId="2A3083EE" w14:textId="77777777" w:rsidR="009260DE" w:rsidRPr="009644D5" w:rsidRDefault="009260DE" w:rsidP="009260DE">
      <w:pPr>
        <w:tabs>
          <w:tab w:val="left" w:pos="851"/>
        </w:tabs>
        <w:ind w:left="851" w:hanging="851"/>
        <w:rPr>
          <w:b/>
          <w:sz w:val="24"/>
          <w:szCs w:val="24"/>
        </w:rPr>
      </w:pPr>
      <w:r w:rsidRPr="009644D5">
        <w:rPr>
          <w:b/>
          <w:sz w:val="24"/>
          <w:szCs w:val="24"/>
        </w:rPr>
        <w:t>4.6</w:t>
      </w:r>
      <w:r w:rsidRPr="009644D5">
        <w:rPr>
          <w:b/>
          <w:sz w:val="24"/>
          <w:szCs w:val="24"/>
        </w:rPr>
        <w:tab/>
      </w:r>
      <w:r w:rsidR="0071241E" w:rsidRPr="009644D5">
        <w:rPr>
          <w:b/>
          <w:sz w:val="24"/>
          <w:szCs w:val="24"/>
        </w:rPr>
        <w:t>Fertilitet, g</w:t>
      </w:r>
      <w:r w:rsidRPr="009644D5">
        <w:rPr>
          <w:b/>
          <w:sz w:val="24"/>
          <w:szCs w:val="24"/>
        </w:rPr>
        <w:t>raviditet og amning</w:t>
      </w:r>
    </w:p>
    <w:p w14:paraId="57814FE3" w14:textId="77777777" w:rsidR="00BB5071" w:rsidRDefault="00BB5071" w:rsidP="009644D5">
      <w:pPr>
        <w:ind w:left="851"/>
        <w:rPr>
          <w:rStyle w:val="cf01"/>
          <w:rFonts w:ascii="Times New Roman" w:hAnsi="Times New Roman" w:cs="Times New Roman"/>
          <w:sz w:val="24"/>
          <w:szCs w:val="24"/>
        </w:rPr>
      </w:pPr>
    </w:p>
    <w:p w14:paraId="3A33207A" w14:textId="627FAF9F" w:rsidR="009644D5" w:rsidRPr="009644D5" w:rsidRDefault="009644D5" w:rsidP="009644D5">
      <w:pPr>
        <w:ind w:left="851"/>
        <w:rPr>
          <w:sz w:val="24"/>
          <w:szCs w:val="24"/>
          <w:lang w:eastAsia="hr-HR"/>
        </w:rPr>
      </w:pPr>
      <w:r w:rsidRPr="009644D5">
        <w:rPr>
          <w:rStyle w:val="cf01"/>
          <w:rFonts w:ascii="Times New Roman" w:hAnsi="Times New Roman" w:cs="Times New Roman"/>
          <w:sz w:val="24"/>
          <w:szCs w:val="24"/>
        </w:rPr>
        <w:t>Graviditet</w:t>
      </w:r>
    </w:p>
    <w:p w14:paraId="5671BD70" w14:textId="77777777" w:rsidR="009644D5" w:rsidRPr="009644D5" w:rsidRDefault="009644D5" w:rsidP="009644D5">
      <w:pPr>
        <w:ind w:left="851"/>
        <w:rPr>
          <w:rStyle w:val="cf21"/>
          <w:rFonts w:ascii="Times New Roman" w:hAnsi="Times New Roman" w:cs="Times New Roman"/>
          <w:sz w:val="24"/>
          <w:szCs w:val="24"/>
        </w:rPr>
      </w:pPr>
      <w:r w:rsidRPr="009644D5">
        <w:rPr>
          <w:rStyle w:val="cf21"/>
          <w:rFonts w:ascii="Times New Roman" w:hAnsi="Times New Roman" w:cs="Times New Roman"/>
          <w:sz w:val="24"/>
          <w:szCs w:val="24"/>
        </w:rPr>
        <w:t xml:space="preserve">Der foreligger ingen data fra anvendelse af </w:t>
      </w:r>
      <w:proofErr w:type="spellStart"/>
      <w:r w:rsidRPr="009644D5">
        <w:rPr>
          <w:rStyle w:val="cf21"/>
          <w:rFonts w:ascii="Times New Roman" w:hAnsi="Times New Roman" w:cs="Times New Roman"/>
          <w:sz w:val="24"/>
          <w:szCs w:val="24"/>
        </w:rPr>
        <w:t>Alkacit</w:t>
      </w:r>
      <w:proofErr w:type="spellEnd"/>
      <w:r w:rsidRPr="009644D5">
        <w:rPr>
          <w:rStyle w:val="cf21"/>
          <w:rFonts w:ascii="Times New Roman" w:hAnsi="Times New Roman" w:cs="Times New Roman"/>
          <w:sz w:val="24"/>
          <w:szCs w:val="24"/>
        </w:rPr>
        <w:t xml:space="preserve"> hos gravide kvinder. Dyreforsøg viser ingen direkte eller indirekte skadelige virkninger, hvad angår graviditet, embryonal/</w:t>
      </w:r>
      <w:proofErr w:type="spellStart"/>
      <w:r w:rsidRPr="009644D5">
        <w:rPr>
          <w:rStyle w:val="cf21"/>
          <w:rFonts w:ascii="Times New Roman" w:hAnsi="Times New Roman" w:cs="Times New Roman"/>
          <w:sz w:val="24"/>
          <w:szCs w:val="24"/>
        </w:rPr>
        <w:t>føtal</w:t>
      </w:r>
      <w:proofErr w:type="spellEnd"/>
      <w:r w:rsidRPr="009644D5">
        <w:rPr>
          <w:rStyle w:val="cf21"/>
          <w:rFonts w:ascii="Times New Roman" w:hAnsi="Times New Roman" w:cs="Times New Roman"/>
          <w:sz w:val="24"/>
          <w:szCs w:val="24"/>
        </w:rPr>
        <w:t xml:space="preserve"> udvikling, </w:t>
      </w:r>
      <w:proofErr w:type="spellStart"/>
      <w:r w:rsidRPr="009644D5">
        <w:rPr>
          <w:rStyle w:val="cf21"/>
          <w:rFonts w:ascii="Times New Roman" w:hAnsi="Times New Roman" w:cs="Times New Roman"/>
          <w:sz w:val="24"/>
          <w:szCs w:val="24"/>
        </w:rPr>
        <w:t>partus</w:t>
      </w:r>
      <w:proofErr w:type="spellEnd"/>
      <w:r w:rsidRPr="009644D5">
        <w:rPr>
          <w:rStyle w:val="cf21"/>
          <w:rFonts w:ascii="Times New Roman" w:hAnsi="Times New Roman" w:cs="Times New Roman"/>
          <w:sz w:val="24"/>
          <w:szCs w:val="24"/>
        </w:rPr>
        <w:t xml:space="preserve"> eller </w:t>
      </w:r>
      <w:proofErr w:type="spellStart"/>
      <w:r w:rsidRPr="009644D5">
        <w:rPr>
          <w:rStyle w:val="cf21"/>
          <w:rFonts w:ascii="Times New Roman" w:hAnsi="Times New Roman" w:cs="Times New Roman"/>
          <w:sz w:val="24"/>
          <w:szCs w:val="24"/>
        </w:rPr>
        <w:t>postnatal</w:t>
      </w:r>
      <w:proofErr w:type="spellEnd"/>
      <w:r w:rsidRPr="009644D5">
        <w:rPr>
          <w:rStyle w:val="cf21"/>
          <w:rFonts w:ascii="Times New Roman" w:hAnsi="Times New Roman" w:cs="Times New Roman"/>
          <w:sz w:val="24"/>
          <w:szCs w:val="24"/>
        </w:rPr>
        <w:t xml:space="preserve"> udvikling (se pkt. 5.3).</w:t>
      </w:r>
    </w:p>
    <w:p w14:paraId="647D58B6" w14:textId="77777777" w:rsidR="009644D5" w:rsidRPr="009644D5" w:rsidRDefault="009644D5" w:rsidP="009644D5">
      <w:pPr>
        <w:ind w:left="851"/>
        <w:rPr>
          <w:sz w:val="24"/>
          <w:szCs w:val="24"/>
        </w:rPr>
      </w:pPr>
    </w:p>
    <w:p w14:paraId="37C134F4" w14:textId="77777777" w:rsidR="009644D5" w:rsidRPr="009644D5" w:rsidRDefault="009644D5" w:rsidP="009644D5">
      <w:pPr>
        <w:ind w:left="851"/>
        <w:rPr>
          <w:rStyle w:val="cf21"/>
          <w:rFonts w:ascii="Times New Roman" w:hAnsi="Times New Roman" w:cs="Times New Roman"/>
          <w:sz w:val="24"/>
          <w:szCs w:val="24"/>
        </w:rPr>
      </w:pPr>
      <w:proofErr w:type="spellStart"/>
      <w:r w:rsidRPr="009644D5">
        <w:rPr>
          <w:rStyle w:val="cf21"/>
          <w:rFonts w:ascii="Times New Roman" w:hAnsi="Times New Roman" w:cs="Times New Roman"/>
          <w:sz w:val="24"/>
          <w:szCs w:val="24"/>
        </w:rPr>
        <w:t>Alkacit</w:t>
      </w:r>
      <w:proofErr w:type="spellEnd"/>
      <w:r w:rsidRPr="009644D5">
        <w:rPr>
          <w:rStyle w:val="cf21"/>
          <w:rFonts w:ascii="Times New Roman" w:hAnsi="Times New Roman" w:cs="Times New Roman"/>
          <w:sz w:val="24"/>
          <w:szCs w:val="24"/>
        </w:rPr>
        <w:t xml:space="preserve"> bør kun anvendes under graviditet, hvis de forventede fordele opvejer de potentielle risici. Selvom der under graviditeten og især under fødslen er øget risiko forbundet med potentielt svær </w:t>
      </w:r>
      <w:proofErr w:type="spellStart"/>
      <w:r w:rsidRPr="009644D5">
        <w:rPr>
          <w:rStyle w:val="cf21"/>
          <w:rFonts w:ascii="Times New Roman" w:hAnsi="Times New Roman" w:cs="Times New Roman"/>
          <w:sz w:val="24"/>
          <w:szCs w:val="24"/>
        </w:rPr>
        <w:t>acidose</w:t>
      </w:r>
      <w:proofErr w:type="spellEnd"/>
      <w:r w:rsidRPr="009644D5">
        <w:rPr>
          <w:rStyle w:val="cf21"/>
          <w:rFonts w:ascii="Times New Roman" w:hAnsi="Times New Roman" w:cs="Times New Roman"/>
          <w:sz w:val="24"/>
          <w:szCs w:val="24"/>
        </w:rPr>
        <w:t xml:space="preserve"> og </w:t>
      </w:r>
      <w:proofErr w:type="spellStart"/>
      <w:r w:rsidRPr="009644D5">
        <w:rPr>
          <w:rStyle w:val="cf21"/>
          <w:rFonts w:ascii="Times New Roman" w:hAnsi="Times New Roman" w:cs="Times New Roman"/>
          <w:sz w:val="24"/>
          <w:szCs w:val="24"/>
        </w:rPr>
        <w:t>hypokaliæmi</w:t>
      </w:r>
      <w:proofErr w:type="spellEnd"/>
      <w:r w:rsidRPr="009644D5">
        <w:rPr>
          <w:rStyle w:val="cf21"/>
          <w:rFonts w:ascii="Times New Roman" w:hAnsi="Times New Roman" w:cs="Times New Roman"/>
          <w:sz w:val="24"/>
          <w:szCs w:val="24"/>
        </w:rPr>
        <w:t xml:space="preserve"> hos </w:t>
      </w:r>
      <w:proofErr w:type="spellStart"/>
      <w:r w:rsidRPr="009644D5">
        <w:rPr>
          <w:rStyle w:val="cf21"/>
          <w:rFonts w:ascii="Times New Roman" w:hAnsi="Times New Roman" w:cs="Times New Roman"/>
          <w:sz w:val="24"/>
          <w:szCs w:val="24"/>
        </w:rPr>
        <w:t>dRTA</w:t>
      </w:r>
      <w:proofErr w:type="spellEnd"/>
      <w:r w:rsidRPr="009644D5">
        <w:rPr>
          <w:rStyle w:val="cf21"/>
          <w:rFonts w:ascii="Times New Roman" w:hAnsi="Times New Roman" w:cs="Times New Roman"/>
          <w:sz w:val="24"/>
          <w:szCs w:val="24"/>
        </w:rPr>
        <w:t xml:space="preserve">-patienter end med alkalisk behandling, kan der være en øget risiko for </w:t>
      </w:r>
      <w:proofErr w:type="spellStart"/>
      <w:r w:rsidRPr="009644D5">
        <w:rPr>
          <w:rStyle w:val="cf21"/>
          <w:rFonts w:ascii="Times New Roman" w:hAnsi="Times New Roman" w:cs="Times New Roman"/>
          <w:sz w:val="24"/>
          <w:szCs w:val="24"/>
        </w:rPr>
        <w:t>hyperkaliæmi</w:t>
      </w:r>
      <w:proofErr w:type="spellEnd"/>
      <w:r w:rsidRPr="009644D5">
        <w:rPr>
          <w:rStyle w:val="cf21"/>
          <w:rFonts w:ascii="Times New Roman" w:hAnsi="Times New Roman" w:cs="Times New Roman"/>
          <w:sz w:val="24"/>
          <w:szCs w:val="24"/>
        </w:rPr>
        <w:t xml:space="preserve"> hos kvinder med problematiske graviditeter, når kaliumindtaget er højt.</w:t>
      </w:r>
    </w:p>
    <w:p w14:paraId="0A1951A1" w14:textId="77777777" w:rsidR="009644D5" w:rsidRPr="009644D5" w:rsidRDefault="009644D5" w:rsidP="009644D5">
      <w:pPr>
        <w:ind w:left="851"/>
        <w:rPr>
          <w:sz w:val="24"/>
          <w:szCs w:val="24"/>
        </w:rPr>
      </w:pPr>
    </w:p>
    <w:p w14:paraId="085D50ED" w14:textId="77777777" w:rsidR="009644D5" w:rsidRPr="009644D5" w:rsidRDefault="009644D5" w:rsidP="009644D5">
      <w:pPr>
        <w:ind w:left="851"/>
        <w:rPr>
          <w:sz w:val="24"/>
          <w:szCs w:val="24"/>
        </w:rPr>
      </w:pPr>
      <w:r w:rsidRPr="009644D5">
        <w:rPr>
          <w:rStyle w:val="cf01"/>
          <w:rFonts w:ascii="Times New Roman" w:hAnsi="Times New Roman" w:cs="Times New Roman"/>
          <w:sz w:val="24"/>
          <w:szCs w:val="24"/>
        </w:rPr>
        <w:t>Amning</w:t>
      </w:r>
    </w:p>
    <w:p w14:paraId="7EF659DA" w14:textId="77777777" w:rsidR="009644D5" w:rsidRPr="009644D5" w:rsidRDefault="009644D5" w:rsidP="009644D5">
      <w:pPr>
        <w:ind w:left="851"/>
        <w:rPr>
          <w:rStyle w:val="cf21"/>
          <w:rFonts w:ascii="Times New Roman" w:hAnsi="Times New Roman" w:cs="Times New Roman"/>
          <w:sz w:val="24"/>
          <w:szCs w:val="24"/>
        </w:rPr>
      </w:pPr>
      <w:r w:rsidRPr="009644D5">
        <w:rPr>
          <w:rStyle w:val="cf21"/>
          <w:rFonts w:ascii="Times New Roman" w:hAnsi="Times New Roman" w:cs="Times New Roman"/>
          <w:sz w:val="24"/>
          <w:szCs w:val="24"/>
        </w:rPr>
        <w:t xml:space="preserve">Kalium udskilles i modermælk, men ved terapeutiske doser af </w:t>
      </w:r>
      <w:proofErr w:type="spellStart"/>
      <w:r w:rsidRPr="009644D5">
        <w:rPr>
          <w:rStyle w:val="cf21"/>
          <w:rFonts w:ascii="Times New Roman" w:hAnsi="Times New Roman" w:cs="Times New Roman"/>
          <w:sz w:val="24"/>
          <w:szCs w:val="24"/>
        </w:rPr>
        <w:t>Alkacit</w:t>
      </w:r>
      <w:proofErr w:type="spellEnd"/>
      <w:r w:rsidRPr="009644D5">
        <w:rPr>
          <w:rStyle w:val="cf21"/>
          <w:rFonts w:ascii="Times New Roman" w:hAnsi="Times New Roman" w:cs="Times New Roman"/>
          <w:sz w:val="24"/>
          <w:szCs w:val="24"/>
        </w:rPr>
        <w:t xml:space="preserve"> forventes ingen påvirkning af nyfødte/spædbørn, der ammes.</w:t>
      </w:r>
    </w:p>
    <w:p w14:paraId="4BE20485" w14:textId="77777777" w:rsidR="009644D5" w:rsidRPr="009644D5" w:rsidRDefault="009644D5" w:rsidP="009644D5">
      <w:pPr>
        <w:ind w:left="851"/>
        <w:rPr>
          <w:sz w:val="24"/>
          <w:szCs w:val="24"/>
        </w:rPr>
      </w:pPr>
    </w:p>
    <w:p w14:paraId="38D433C4" w14:textId="77777777" w:rsidR="009644D5" w:rsidRPr="009644D5" w:rsidRDefault="009644D5" w:rsidP="009644D5">
      <w:pPr>
        <w:ind w:left="851"/>
        <w:rPr>
          <w:rStyle w:val="cf21"/>
          <w:rFonts w:ascii="Times New Roman" w:hAnsi="Times New Roman" w:cs="Times New Roman"/>
          <w:sz w:val="24"/>
          <w:szCs w:val="24"/>
        </w:rPr>
      </w:pPr>
      <w:bookmarkStart w:id="23" w:name="_Hlk135663888"/>
      <w:proofErr w:type="spellStart"/>
      <w:r w:rsidRPr="009644D5">
        <w:rPr>
          <w:rStyle w:val="cf21"/>
          <w:rFonts w:ascii="Times New Roman" w:hAnsi="Times New Roman" w:cs="Times New Roman"/>
          <w:sz w:val="24"/>
          <w:szCs w:val="24"/>
        </w:rPr>
        <w:t>Alkacit</w:t>
      </w:r>
      <w:proofErr w:type="spellEnd"/>
      <w:r w:rsidRPr="009644D5">
        <w:rPr>
          <w:rStyle w:val="cf21"/>
          <w:rFonts w:ascii="Times New Roman" w:hAnsi="Times New Roman" w:cs="Times New Roman"/>
          <w:sz w:val="24"/>
          <w:szCs w:val="24"/>
        </w:rPr>
        <w:t xml:space="preserve"> kan anvendes under amning.</w:t>
      </w:r>
    </w:p>
    <w:bookmarkEnd w:id="23"/>
    <w:p w14:paraId="3FD2AAB0" w14:textId="77777777" w:rsidR="009644D5" w:rsidRPr="009644D5" w:rsidRDefault="009644D5" w:rsidP="009644D5">
      <w:pPr>
        <w:ind w:left="851"/>
        <w:rPr>
          <w:sz w:val="24"/>
          <w:szCs w:val="24"/>
        </w:rPr>
      </w:pPr>
    </w:p>
    <w:p w14:paraId="0FEAFC87" w14:textId="77777777" w:rsidR="009644D5" w:rsidRPr="009644D5" w:rsidRDefault="009644D5" w:rsidP="009644D5">
      <w:pPr>
        <w:ind w:left="851"/>
        <w:rPr>
          <w:sz w:val="24"/>
          <w:szCs w:val="24"/>
        </w:rPr>
      </w:pPr>
      <w:r w:rsidRPr="009644D5">
        <w:rPr>
          <w:rStyle w:val="cf01"/>
          <w:rFonts w:ascii="Times New Roman" w:hAnsi="Times New Roman" w:cs="Times New Roman"/>
          <w:sz w:val="24"/>
          <w:szCs w:val="24"/>
        </w:rPr>
        <w:t>Fertilitet</w:t>
      </w:r>
    </w:p>
    <w:p w14:paraId="44E691AC" w14:textId="77777777" w:rsidR="009644D5" w:rsidRPr="009644D5" w:rsidRDefault="009644D5" w:rsidP="009644D5">
      <w:pPr>
        <w:ind w:left="851"/>
        <w:rPr>
          <w:sz w:val="24"/>
          <w:szCs w:val="24"/>
        </w:rPr>
      </w:pPr>
      <w:r w:rsidRPr="009644D5">
        <w:rPr>
          <w:rStyle w:val="cf21"/>
          <w:rFonts w:ascii="Times New Roman" w:hAnsi="Times New Roman" w:cs="Times New Roman"/>
          <w:sz w:val="24"/>
          <w:szCs w:val="24"/>
        </w:rPr>
        <w:t xml:space="preserve">Kaliumcitrat menes ikke at påvirke fertiliteten. </w:t>
      </w:r>
    </w:p>
    <w:p w14:paraId="5C9430DA" w14:textId="77777777" w:rsidR="009260DE" w:rsidRPr="009644D5" w:rsidRDefault="009260DE" w:rsidP="009260DE">
      <w:pPr>
        <w:tabs>
          <w:tab w:val="left" w:pos="851"/>
        </w:tabs>
        <w:ind w:left="851"/>
        <w:rPr>
          <w:sz w:val="24"/>
          <w:szCs w:val="24"/>
        </w:rPr>
      </w:pPr>
    </w:p>
    <w:p w14:paraId="3C22FA94" w14:textId="77777777" w:rsidR="009260DE" w:rsidRPr="009644D5" w:rsidRDefault="009260DE" w:rsidP="009260DE">
      <w:pPr>
        <w:tabs>
          <w:tab w:val="left" w:pos="851"/>
        </w:tabs>
        <w:ind w:left="851" w:hanging="851"/>
        <w:rPr>
          <w:b/>
          <w:sz w:val="24"/>
          <w:szCs w:val="24"/>
        </w:rPr>
      </w:pPr>
      <w:r w:rsidRPr="009644D5">
        <w:rPr>
          <w:b/>
          <w:sz w:val="24"/>
          <w:szCs w:val="24"/>
        </w:rPr>
        <w:t>4.7</w:t>
      </w:r>
      <w:r w:rsidRPr="009644D5">
        <w:rPr>
          <w:b/>
          <w:sz w:val="24"/>
          <w:szCs w:val="24"/>
        </w:rPr>
        <w:tab/>
        <w:t xml:space="preserve">Virkning på evnen til at føre motorkøretøj </w:t>
      </w:r>
      <w:r w:rsidR="0071241E" w:rsidRPr="009644D5">
        <w:rPr>
          <w:b/>
          <w:sz w:val="24"/>
          <w:szCs w:val="24"/>
        </w:rPr>
        <w:t>og</w:t>
      </w:r>
      <w:r w:rsidRPr="009644D5">
        <w:rPr>
          <w:b/>
          <w:sz w:val="24"/>
          <w:szCs w:val="24"/>
        </w:rPr>
        <w:t xml:space="preserve"> betjene maskiner</w:t>
      </w:r>
    </w:p>
    <w:p w14:paraId="55BC6999" w14:textId="77777777" w:rsidR="009644D5" w:rsidRPr="009644D5" w:rsidRDefault="009644D5" w:rsidP="009644D5">
      <w:pPr>
        <w:ind w:left="851"/>
        <w:rPr>
          <w:rFonts w:eastAsia="Arial Unicode MS"/>
          <w:sz w:val="24"/>
          <w:szCs w:val="24"/>
          <w:lang w:eastAsia="de-DE" w:bidi="de-DE"/>
        </w:rPr>
      </w:pPr>
      <w:r w:rsidRPr="009644D5">
        <w:rPr>
          <w:rFonts w:eastAsia="Arial Unicode MS"/>
          <w:sz w:val="24"/>
          <w:szCs w:val="24"/>
          <w:lang w:eastAsia="de-DE" w:bidi="de-DE"/>
        </w:rPr>
        <w:t>Ikke mærkning.</w:t>
      </w:r>
    </w:p>
    <w:p w14:paraId="382BEE85" w14:textId="77777777" w:rsidR="009644D5" w:rsidRPr="009644D5" w:rsidRDefault="009644D5" w:rsidP="009644D5">
      <w:pPr>
        <w:ind w:left="851"/>
        <w:rPr>
          <w:rFonts w:eastAsia="Arial Unicode MS"/>
          <w:sz w:val="24"/>
          <w:szCs w:val="24"/>
        </w:rPr>
      </w:pPr>
      <w:proofErr w:type="spellStart"/>
      <w:r w:rsidRPr="009644D5">
        <w:rPr>
          <w:sz w:val="24"/>
          <w:szCs w:val="24"/>
        </w:rPr>
        <w:t>Alkacit</w:t>
      </w:r>
      <w:proofErr w:type="spellEnd"/>
      <w:r w:rsidRPr="009644D5">
        <w:rPr>
          <w:sz w:val="24"/>
          <w:szCs w:val="24"/>
        </w:rPr>
        <w:t xml:space="preserve"> påvirker ikke evnen til at føre motorkøretøj og betjene maskiner.</w:t>
      </w:r>
    </w:p>
    <w:p w14:paraId="3B4031DA" w14:textId="77777777" w:rsidR="009260DE" w:rsidRPr="009644D5" w:rsidRDefault="009260DE" w:rsidP="009260DE">
      <w:pPr>
        <w:tabs>
          <w:tab w:val="left" w:pos="851"/>
        </w:tabs>
        <w:ind w:left="851"/>
        <w:rPr>
          <w:sz w:val="24"/>
          <w:szCs w:val="24"/>
        </w:rPr>
      </w:pPr>
    </w:p>
    <w:p w14:paraId="28C53BC8" w14:textId="77777777" w:rsidR="009260DE" w:rsidRPr="009644D5" w:rsidRDefault="009260DE" w:rsidP="009260DE">
      <w:pPr>
        <w:tabs>
          <w:tab w:val="left" w:pos="851"/>
        </w:tabs>
        <w:ind w:left="851" w:hanging="851"/>
        <w:rPr>
          <w:b/>
          <w:sz w:val="24"/>
          <w:szCs w:val="24"/>
        </w:rPr>
      </w:pPr>
      <w:r w:rsidRPr="009644D5">
        <w:rPr>
          <w:b/>
          <w:sz w:val="24"/>
          <w:szCs w:val="24"/>
        </w:rPr>
        <w:t>4.8</w:t>
      </w:r>
      <w:r w:rsidRPr="009644D5">
        <w:rPr>
          <w:b/>
          <w:sz w:val="24"/>
          <w:szCs w:val="24"/>
        </w:rPr>
        <w:tab/>
        <w:t>Bivirkninger</w:t>
      </w:r>
    </w:p>
    <w:p w14:paraId="7CE45867" w14:textId="77777777" w:rsidR="009644D5" w:rsidRPr="009644D5" w:rsidRDefault="009644D5" w:rsidP="009644D5">
      <w:pPr>
        <w:ind w:left="851"/>
        <w:rPr>
          <w:rFonts w:eastAsia="Arial Unicode MS"/>
          <w:sz w:val="24"/>
          <w:szCs w:val="24"/>
        </w:rPr>
      </w:pPr>
      <w:r w:rsidRPr="009644D5">
        <w:rPr>
          <w:sz w:val="24"/>
          <w:szCs w:val="24"/>
        </w:rPr>
        <w:t xml:space="preserve">De mest almindelige bivirkninger vedrører formuleringen og kaliumprodukter, der forårsager </w:t>
      </w:r>
      <w:proofErr w:type="spellStart"/>
      <w:r w:rsidRPr="009644D5">
        <w:rPr>
          <w:sz w:val="24"/>
          <w:szCs w:val="24"/>
        </w:rPr>
        <w:t>gastrointestinale</w:t>
      </w:r>
      <w:proofErr w:type="spellEnd"/>
      <w:r w:rsidRPr="009644D5">
        <w:rPr>
          <w:sz w:val="24"/>
          <w:szCs w:val="24"/>
        </w:rPr>
        <w:t xml:space="preserve"> forstyrrelser, herunder kvalme, opkastning, diarré, mavesmerter og ubehag, og de kan potentielt føre til </w:t>
      </w:r>
      <w:proofErr w:type="spellStart"/>
      <w:r w:rsidRPr="009644D5">
        <w:rPr>
          <w:sz w:val="24"/>
          <w:szCs w:val="24"/>
        </w:rPr>
        <w:t>gastrointestinale</w:t>
      </w:r>
      <w:proofErr w:type="spellEnd"/>
      <w:r w:rsidRPr="009644D5">
        <w:rPr>
          <w:sz w:val="24"/>
          <w:szCs w:val="24"/>
        </w:rPr>
        <w:t xml:space="preserve"> sår, blødninger, perforation og/eller obstruktion.</w:t>
      </w:r>
    </w:p>
    <w:p w14:paraId="5F20678B" w14:textId="77777777" w:rsidR="009644D5" w:rsidRPr="009644D5" w:rsidRDefault="009644D5" w:rsidP="009644D5">
      <w:pPr>
        <w:ind w:left="851"/>
        <w:rPr>
          <w:rFonts w:eastAsia="Arial Unicode MS"/>
          <w:sz w:val="24"/>
          <w:szCs w:val="24"/>
          <w:lang w:eastAsia="de-DE" w:bidi="de-DE"/>
        </w:rPr>
      </w:pPr>
    </w:p>
    <w:p w14:paraId="793130B6" w14:textId="77777777" w:rsidR="009644D5" w:rsidRPr="009644D5" w:rsidRDefault="009644D5" w:rsidP="009644D5">
      <w:pPr>
        <w:ind w:left="851"/>
        <w:rPr>
          <w:noProof/>
          <w:sz w:val="24"/>
          <w:szCs w:val="24"/>
        </w:rPr>
      </w:pPr>
      <w:r w:rsidRPr="009644D5">
        <w:rPr>
          <w:sz w:val="24"/>
          <w:szCs w:val="24"/>
        </w:rPr>
        <w:t xml:space="preserve">Bivirkningerne er anført nedenfor i henhold til </w:t>
      </w:r>
      <w:proofErr w:type="spellStart"/>
      <w:r w:rsidRPr="009644D5">
        <w:rPr>
          <w:sz w:val="24"/>
          <w:szCs w:val="24"/>
        </w:rPr>
        <w:t>MedDRA</w:t>
      </w:r>
      <w:proofErr w:type="spellEnd"/>
      <w:r w:rsidRPr="009644D5">
        <w:rPr>
          <w:sz w:val="24"/>
          <w:szCs w:val="24"/>
        </w:rPr>
        <w:t xml:space="preserve"> systemorganklasser. Hyppighed defineres som: Meget almindelig (≥1/10), almindelig (≥1/100 til &lt;1/10), ikke almindelig (≥1/1 000 til &lt;1/100), sjælden (≥1/10 000 til &lt;1/1 000), meget sjælden (&lt;1/10 000), ikke kendt (kan ikke estimeres ud fra forhåndenværende data).</w:t>
      </w:r>
    </w:p>
    <w:p w14:paraId="6F26A190" w14:textId="77777777" w:rsidR="009644D5" w:rsidRPr="009644D5" w:rsidRDefault="009644D5" w:rsidP="009644D5">
      <w:pPr>
        <w:ind w:left="851"/>
        <w:rPr>
          <w:noProof/>
          <w:sz w:val="24"/>
          <w:szCs w:val="24"/>
          <w:lang w:eastAsia="en-GB" w:bidi="en-GB"/>
        </w:rPr>
      </w:pPr>
    </w:p>
    <w:tbl>
      <w:tblPr>
        <w:tblStyle w:val="Tabel-Gitter"/>
        <w:tblW w:w="9063" w:type="dxa"/>
        <w:tblInd w:w="846" w:type="dxa"/>
        <w:tblLook w:val="04A0" w:firstRow="1" w:lastRow="0" w:firstColumn="1" w:lastColumn="0" w:noHBand="0" w:noVBand="1"/>
      </w:tblPr>
      <w:tblGrid>
        <w:gridCol w:w="4531"/>
        <w:gridCol w:w="4532"/>
      </w:tblGrid>
      <w:tr w:rsidR="009644D5" w:rsidRPr="009644D5" w14:paraId="28F1C6B0" w14:textId="77777777" w:rsidTr="009644D5">
        <w:trPr>
          <w:trHeight w:val="397"/>
        </w:trPr>
        <w:tc>
          <w:tcPr>
            <w:tcW w:w="4531" w:type="dxa"/>
            <w:tcBorders>
              <w:top w:val="single" w:sz="4" w:space="0" w:color="auto"/>
              <w:left w:val="single" w:sz="4" w:space="0" w:color="auto"/>
              <w:bottom w:val="single" w:sz="4" w:space="0" w:color="auto"/>
              <w:right w:val="single" w:sz="4" w:space="0" w:color="auto"/>
            </w:tcBorders>
            <w:vAlign w:val="center"/>
            <w:hideMark/>
          </w:tcPr>
          <w:p w14:paraId="3810FD6F" w14:textId="77777777" w:rsidR="009644D5" w:rsidRPr="009644D5" w:rsidRDefault="009644D5">
            <w:pPr>
              <w:tabs>
                <w:tab w:val="left" w:pos="426"/>
              </w:tabs>
              <w:rPr>
                <w:rFonts w:ascii="Times New Roman" w:hAnsi="Times New Roman" w:cs="Times New Roman"/>
                <w:b/>
                <w:color w:val="000000"/>
                <w:sz w:val="24"/>
                <w:szCs w:val="24"/>
              </w:rPr>
            </w:pPr>
            <w:r w:rsidRPr="009644D5">
              <w:rPr>
                <w:rFonts w:ascii="Times New Roman" w:hAnsi="Times New Roman" w:cs="Times New Roman"/>
                <w:b/>
                <w:color w:val="000000"/>
                <w:sz w:val="24"/>
                <w:szCs w:val="24"/>
              </w:rPr>
              <w:t>Systemorganklasse/hyppighed</w:t>
            </w:r>
          </w:p>
        </w:tc>
        <w:tc>
          <w:tcPr>
            <w:tcW w:w="4532" w:type="dxa"/>
            <w:tcBorders>
              <w:top w:val="single" w:sz="4" w:space="0" w:color="auto"/>
              <w:left w:val="single" w:sz="4" w:space="0" w:color="auto"/>
              <w:bottom w:val="single" w:sz="4" w:space="0" w:color="auto"/>
              <w:right w:val="single" w:sz="4" w:space="0" w:color="auto"/>
            </w:tcBorders>
            <w:vAlign w:val="center"/>
            <w:hideMark/>
          </w:tcPr>
          <w:p w14:paraId="7ED7695B" w14:textId="77777777" w:rsidR="009644D5" w:rsidRPr="009644D5" w:rsidRDefault="009644D5">
            <w:pPr>
              <w:tabs>
                <w:tab w:val="left" w:pos="426"/>
              </w:tabs>
              <w:rPr>
                <w:rFonts w:ascii="Times New Roman" w:hAnsi="Times New Roman" w:cs="Times New Roman"/>
                <w:b/>
                <w:color w:val="000000"/>
                <w:sz w:val="24"/>
                <w:szCs w:val="24"/>
              </w:rPr>
            </w:pPr>
            <w:proofErr w:type="spellStart"/>
            <w:r w:rsidRPr="009644D5">
              <w:rPr>
                <w:rFonts w:ascii="Times New Roman" w:hAnsi="Times New Roman" w:cs="Times New Roman"/>
                <w:b/>
                <w:color w:val="000000"/>
                <w:sz w:val="24"/>
                <w:szCs w:val="24"/>
              </w:rPr>
              <w:t>MedDRA</w:t>
            </w:r>
            <w:proofErr w:type="spellEnd"/>
            <w:r w:rsidRPr="009644D5">
              <w:rPr>
                <w:rFonts w:ascii="Times New Roman" w:hAnsi="Times New Roman" w:cs="Times New Roman"/>
                <w:b/>
                <w:color w:val="000000"/>
                <w:sz w:val="24"/>
                <w:szCs w:val="24"/>
              </w:rPr>
              <w:t xml:space="preserve"> foretrukken term</w:t>
            </w:r>
          </w:p>
        </w:tc>
      </w:tr>
      <w:tr w:rsidR="009644D5" w:rsidRPr="009644D5" w14:paraId="51DDBC6E" w14:textId="77777777" w:rsidTr="009644D5">
        <w:trPr>
          <w:trHeight w:val="283"/>
        </w:trPr>
        <w:tc>
          <w:tcPr>
            <w:tcW w:w="4531" w:type="dxa"/>
            <w:tcBorders>
              <w:top w:val="single" w:sz="4" w:space="0" w:color="auto"/>
              <w:left w:val="single" w:sz="4" w:space="0" w:color="auto"/>
              <w:bottom w:val="nil"/>
              <w:right w:val="single" w:sz="4" w:space="0" w:color="auto"/>
            </w:tcBorders>
            <w:hideMark/>
          </w:tcPr>
          <w:p w14:paraId="5E6026E0" w14:textId="77777777" w:rsidR="009644D5" w:rsidRPr="009644D5" w:rsidRDefault="009644D5">
            <w:pPr>
              <w:tabs>
                <w:tab w:val="left" w:pos="426"/>
              </w:tabs>
              <w:rPr>
                <w:rFonts w:ascii="Times New Roman" w:eastAsia="Arial Unicode MS" w:hAnsi="Times New Roman" w:cs="Times New Roman"/>
                <w:b/>
                <w:color w:val="231F20"/>
                <w:sz w:val="24"/>
                <w:szCs w:val="24"/>
              </w:rPr>
            </w:pPr>
            <w:r w:rsidRPr="009644D5">
              <w:rPr>
                <w:rFonts w:ascii="Times New Roman" w:hAnsi="Times New Roman" w:cs="Times New Roman"/>
                <w:b/>
                <w:sz w:val="24"/>
                <w:szCs w:val="24"/>
              </w:rPr>
              <w:t>Mave-tarm-kanalen</w:t>
            </w:r>
          </w:p>
        </w:tc>
        <w:tc>
          <w:tcPr>
            <w:tcW w:w="4532" w:type="dxa"/>
            <w:tcBorders>
              <w:top w:val="single" w:sz="4" w:space="0" w:color="auto"/>
              <w:left w:val="single" w:sz="4" w:space="0" w:color="auto"/>
              <w:bottom w:val="nil"/>
              <w:right w:val="single" w:sz="4" w:space="0" w:color="auto"/>
            </w:tcBorders>
          </w:tcPr>
          <w:p w14:paraId="29C05085" w14:textId="77777777" w:rsidR="009644D5" w:rsidRPr="009644D5" w:rsidRDefault="009644D5">
            <w:pPr>
              <w:tabs>
                <w:tab w:val="left" w:pos="426"/>
              </w:tabs>
              <w:rPr>
                <w:rFonts w:ascii="Times New Roman" w:eastAsia="Arial Unicode MS" w:hAnsi="Times New Roman" w:cs="Times New Roman"/>
                <w:b/>
                <w:color w:val="231F20"/>
                <w:sz w:val="24"/>
                <w:szCs w:val="24"/>
                <w:lang w:eastAsia="de-DE" w:bidi="de-DE"/>
              </w:rPr>
            </w:pPr>
          </w:p>
        </w:tc>
      </w:tr>
      <w:tr w:rsidR="009644D5" w:rsidRPr="009644D5" w14:paraId="7CF298D3" w14:textId="77777777" w:rsidTr="009644D5">
        <w:trPr>
          <w:trHeight w:val="283"/>
        </w:trPr>
        <w:tc>
          <w:tcPr>
            <w:tcW w:w="4531" w:type="dxa"/>
            <w:tcBorders>
              <w:top w:val="nil"/>
              <w:left w:val="single" w:sz="4" w:space="0" w:color="auto"/>
              <w:bottom w:val="nil"/>
              <w:right w:val="single" w:sz="4" w:space="0" w:color="auto"/>
            </w:tcBorders>
            <w:hideMark/>
          </w:tcPr>
          <w:p w14:paraId="4292B80E" w14:textId="77777777" w:rsidR="009644D5" w:rsidRPr="009644D5" w:rsidRDefault="009644D5">
            <w:pPr>
              <w:tabs>
                <w:tab w:val="left" w:pos="426"/>
              </w:tabs>
              <w:rPr>
                <w:rFonts w:ascii="Times New Roman" w:eastAsia="Arial Unicode MS" w:hAnsi="Times New Roman" w:cs="Times New Roman"/>
                <w:i/>
                <w:iCs/>
                <w:color w:val="231F20"/>
                <w:sz w:val="24"/>
                <w:szCs w:val="24"/>
              </w:rPr>
            </w:pPr>
            <w:r w:rsidRPr="009644D5">
              <w:rPr>
                <w:rFonts w:ascii="Times New Roman" w:hAnsi="Times New Roman" w:cs="Times New Roman"/>
                <w:i/>
                <w:color w:val="231F20"/>
                <w:sz w:val="24"/>
                <w:szCs w:val="24"/>
              </w:rPr>
              <w:t>Meget almindelig</w:t>
            </w:r>
          </w:p>
        </w:tc>
        <w:tc>
          <w:tcPr>
            <w:tcW w:w="4532" w:type="dxa"/>
            <w:tcBorders>
              <w:top w:val="nil"/>
              <w:left w:val="single" w:sz="4" w:space="0" w:color="auto"/>
              <w:bottom w:val="nil"/>
              <w:right w:val="single" w:sz="4" w:space="0" w:color="auto"/>
            </w:tcBorders>
          </w:tcPr>
          <w:p w14:paraId="11ABC0BD" w14:textId="77777777" w:rsidR="009644D5" w:rsidRPr="009644D5" w:rsidRDefault="009644D5">
            <w:pPr>
              <w:tabs>
                <w:tab w:val="left" w:pos="426"/>
              </w:tabs>
              <w:rPr>
                <w:rFonts w:ascii="Times New Roman" w:hAnsi="Times New Roman" w:cs="Times New Roman"/>
                <w:sz w:val="24"/>
                <w:szCs w:val="24"/>
              </w:rPr>
            </w:pPr>
            <w:r w:rsidRPr="009644D5">
              <w:rPr>
                <w:rFonts w:ascii="Times New Roman" w:hAnsi="Times New Roman" w:cs="Times New Roman"/>
                <w:sz w:val="24"/>
                <w:szCs w:val="24"/>
              </w:rPr>
              <w:t xml:space="preserve">Mavesmerter, kvalme </w:t>
            </w:r>
          </w:p>
          <w:p w14:paraId="050DC95D" w14:textId="77777777" w:rsidR="009644D5" w:rsidRPr="009644D5" w:rsidRDefault="009644D5">
            <w:pPr>
              <w:tabs>
                <w:tab w:val="left" w:pos="426"/>
              </w:tabs>
              <w:rPr>
                <w:rFonts w:ascii="Times New Roman" w:eastAsia="Arial Unicode MS" w:hAnsi="Times New Roman" w:cs="Times New Roman"/>
                <w:color w:val="231F20"/>
                <w:sz w:val="24"/>
                <w:szCs w:val="24"/>
                <w:lang w:eastAsia="de-DE" w:bidi="de-DE"/>
              </w:rPr>
            </w:pPr>
          </w:p>
        </w:tc>
      </w:tr>
      <w:tr w:rsidR="009644D5" w:rsidRPr="009644D5" w14:paraId="062F5325" w14:textId="77777777" w:rsidTr="009644D5">
        <w:trPr>
          <w:trHeight w:val="283"/>
        </w:trPr>
        <w:tc>
          <w:tcPr>
            <w:tcW w:w="4531" w:type="dxa"/>
            <w:tcBorders>
              <w:top w:val="nil"/>
              <w:left w:val="single" w:sz="4" w:space="0" w:color="auto"/>
              <w:bottom w:val="nil"/>
              <w:right w:val="single" w:sz="4" w:space="0" w:color="auto"/>
            </w:tcBorders>
            <w:hideMark/>
          </w:tcPr>
          <w:p w14:paraId="01DDBEA8" w14:textId="77777777" w:rsidR="009644D5" w:rsidRPr="009644D5" w:rsidRDefault="009644D5">
            <w:pPr>
              <w:tabs>
                <w:tab w:val="left" w:pos="426"/>
              </w:tabs>
              <w:rPr>
                <w:rFonts w:ascii="Times New Roman" w:eastAsia="Arial Unicode MS" w:hAnsi="Times New Roman" w:cs="Times New Roman"/>
                <w:i/>
                <w:iCs/>
                <w:color w:val="231F20"/>
                <w:sz w:val="24"/>
                <w:szCs w:val="24"/>
              </w:rPr>
            </w:pPr>
            <w:r w:rsidRPr="009644D5">
              <w:rPr>
                <w:rFonts w:ascii="Times New Roman" w:hAnsi="Times New Roman" w:cs="Times New Roman"/>
                <w:i/>
                <w:color w:val="231F20"/>
                <w:sz w:val="24"/>
                <w:szCs w:val="24"/>
              </w:rPr>
              <w:t>Almindelig</w:t>
            </w:r>
          </w:p>
        </w:tc>
        <w:tc>
          <w:tcPr>
            <w:tcW w:w="4532" w:type="dxa"/>
            <w:tcBorders>
              <w:top w:val="nil"/>
              <w:left w:val="single" w:sz="4" w:space="0" w:color="auto"/>
              <w:bottom w:val="nil"/>
              <w:right w:val="single" w:sz="4" w:space="0" w:color="auto"/>
            </w:tcBorders>
            <w:hideMark/>
          </w:tcPr>
          <w:p w14:paraId="32E7EB01" w14:textId="77777777" w:rsidR="009644D5" w:rsidRPr="009644D5" w:rsidRDefault="009644D5">
            <w:pPr>
              <w:tabs>
                <w:tab w:val="left" w:pos="426"/>
              </w:tabs>
              <w:rPr>
                <w:rFonts w:ascii="Times New Roman" w:hAnsi="Times New Roman" w:cs="Times New Roman"/>
                <w:sz w:val="24"/>
                <w:szCs w:val="24"/>
              </w:rPr>
            </w:pPr>
            <w:r w:rsidRPr="009644D5">
              <w:rPr>
                <w:rFonts w:ascii="Times New Roman" w:hAnsi="Times New Roman" w:cs="Times New Roman"/>
                <w:sz w:val="24"/>
                <w:szCs w:val="24"/>
              </w:rPr>
              <w:t xml:space="preserve">Mavesmerter i den øvre del af maven, diarré, dyspepsi, </w:t>
            </w:r>
            <w:proofErr w:type="spellStart"/>
            <w:r w:rsidRPr="009644D5">
              <w:rPr>
                <w:rFonts w:ascii="Times New Roman" w:hAnsi="Times New Roman" w:cs="Times New Roman"/>
                <w:sz w:val="24"/>
                <w:szCs w:val="24"/>
              </w:rPr>
              <w:t>dysfagi</w:t>
            </w:r>
            <w:proofErr w:type="spellEnd"/>
            <w:r w:rsidRPr="009644D5">
              <w:rPr>
                <w:rFonts w:ascii="Times New Roman" w:hAnsi="Times New Roman" w:cs="Times New Roman"/>
                <w:sz w:val="24"/>
                <w:szCs w:val="24"/>
              </w:rPr>
              <w:t xml:space="preserve">, </w:t>
            </w:r>
            <w:proofErr w:type="spellStart"/>
            <w:r w:rsidRPr="009644D5">
              <w:rPr>
                <w:rFonts w:ascii="Times New Roman" w:hAnsi="Times New Roman" w:cs="Times New Roman"/>
                <w:sz w:val="24"/>
                <w:szCs w:val="24"/>
              </w:rPr>
              <w:t>oesophagitis</w:t>
            </w:r>
            <w:proofErr w:type="spellEnd"/>
            <w:r w:rsidRPr="009644D5">
              <w:rPr>
                <w:rFonts w:ascii="Times New Roman" w:hAnsi="Times New Roman" w:cs="Times New Roman"/>
                <w:sz w:val="24"/>
                <w:szCs w:val="24"/>
              </w:rPr>
              <w:t>, opkastning, gasdannelse (oppustethed, opstød, luft i maven)</w:t>
            </w:r>
          </w:p>
        </w:tc>
      </w:tr>
      <w:tr w:rsidR="009644D5" w:rsidRPr="009644D5" w14:paraId="350B7A7E" w14:textId="77777777" w:rsidTr="009644D5">
        <w:trPr>
          <w:trHeight w:val="283"/>
        </w:trPr>
        <w:tc>
          <w:tcPr>
            <w:tcW w:w="4531" w:type="dxa"/>
            <w:tcBorders>
              <w:top w:val="nil"/>
              <w:left w:val="single" w:sz="4" w:space="0" w:color="auto"/>
              <w:bottom w:val="single" w:sz="4" w:space="0" w:color="auto"/>
              <w:right w:val="single" w:sz="4" w:space="0" w:color="auto"/>
            </w:tcBorders>
          </w:tcPr>
          <w:p w14:paraId="60956B63" w14:textId="77777777" w:rsidR="009644D5" w:rsidRPr="009644D5" w:rsidRDefault="009644D5">
            <w:pPr>
              <w:tabs>
                <w:tab w:val="left" w:pos="426"/>
              </w:tabs>
              <w:rPr>
                <w:rFonts w:ascii="Times New Roman" w:hAnsi="Times New Roman" w:cs="Times New Roman"/>
                <w:i/>
                <w:color w:val="231F20"/>
                <w:sz w:val="24"/>
                <w:szCs w:val="24"/>
              </w:rPr>
            </w:pPr>
          </w:p>
          <w:p w14:paraId="5F45909A" w14:textId="77777777" w:rsidR="009644D5" w:rsidRPr="009644D5" w:rsidRDefault="009644D5">
            <w:pPr>
              <w:tabs>
                <w:tab w:val="left" w:pos="426"/>
              </w:tabs>
              <w:rPr>
                <w:rFonts w:ascii="Times New Roman" w:eastAsia="Arial Unicode MS" w:hAnsi="Times New Roman" w:cs="Times New Roman"/>
                <w:i/>
                <w:iCs/>
                <w:color w:val="231F20"/>
                <w:sz w:val="24"/>
                <w:szCs w:val="24"/>
              </w:rPr>
            </w:pPr>
            <w:r w:rsidRPr="009644D5">
              <w:rPr>
                <w:rFonts w:ascii="Times New Roman" w:hAnsi="Times New Roman" w:cs="Times New Roman"/>
                <w:i/>
                <w:color w:val="231F20"/>
                <w:sz w:val="24"/>
                <w:szCs w:val="24"/>
              </w:rPr>
              <w:t>Ikke kendt</w:t>
            </w:r>
          </w:p>
        </w:tc>
        <w:tc>
          <w:tcPr>
            <w:tcW w:w="4532" w:type="dxa"/>
            <w:tcBorders>
              <w:top w:val="nil"/>
              <w:left w:val="single" w:sz="4" w:space="0" w:color="auto"/>
              <w:bottom w:val="single" w:sz="4" w:space="0" w:color="auto"/>
              <w:right w:val="single" w:sz="4" w:space="0" w:color="auto"/>
            </w:tcBorders>
          </w:tcPr>
          <w:p w14:paraId="0AC94368" w14:textId="77777777" w:rsidR="009644D5" w:rsidRPr="009644D5" w:rsidRDefault="009644D5">
            <w:pPr>
              <w:tabs>
                <w:tab w:val="left" w:pos="426"/>
              </w:tabs>
              <w:rPr>
                <w:rFonts w:ascii="Times New Roman" w:hAnsi="Times New Roman" w:cs="Times New Roman"/>
                <w:sz w:val="24"/>
                <w:szCs w:val="24"/>
              </w:rPr>
            </w:pPr>
          </w:p>
          <w:p w14:paraId="662BAFFD" w14:textId="77777777" w:rsidR="009644D5" w:rsidRPr="009644D5" w:rsidRDefault="009644D5">
            <w:pPr>
              <w:tabs>
                <w:tab w:val="left" w:pos="426"/>
              </w:tabs>
              <w:rPr>
                <w:rFonts w:ascii="Times New Roman" w:eastAsia="Arial Unicode MS" w:hAnsi="Times New Roman" w:cs="Times New Roman"/>
                <w:color w:val="231F20"/>
                <w:sz w:val="24"/>
                <w:szCs w:val="24"/>
              </w:rPr>
            </w:pPr>
            <w:r w:rsidRPr="009644D5">
              <w:rPr>
                <w:rFonts w:ascii="Times New Roman" w:hAnsi="Times New Roman" w:cs="Times New Roman"/>
                <w:sz w:val="24"/>
                <w:szCs w:val="24"/>
              </w:rPr>
              <w:t xml:space="preserve">Læsioner i mave-tarm-kanalens slimhinde, </w:t>
            </w:r>
            <w:proofErr w:type="spellStart"/>
            <w:r w:rsidRPr="009644D5">
              <w:rPr>
                <w:rFonts w:ascii="Times New Roman" w:hAnsi="Times New Roman" w:cs="Times New Roman"/>
                <w:sz w:val="24"/>
                <w:szCs w:val="24"/>
              </w:rPr>
              <w:t>gastrointestinal</w:t>
            </w:r>
            <w:proofErr w:type="spellEnd"/>
            <w:r w:rsidRPr="009644D5">
              <w:rPr>
                <w:rFonts w:ascii="Times New Roman" w:hAnsi="Times New Roman" w:cs="Times New Roman"/>
                <w:sz w:val="24"/>
                <w:szCs w:val="24"/>
              </w:rPr>
              <w:t xml:space="preserve"> blødning eller obstruktion </w:t>
            </w:r>
          </w:p>
        </w:tc>
      </w:tr>
      <w:tr w:rsidR="009644D5" w:rsidRPr="00BB5071" w14:paraId="609D5E11" w14:textId="77777777" w:rsidTr="009644D5">
        <w:trPr>
          <w:trHeight w:val="283"/>
        </w:trPr>
        <w:tc>
          <w:tcPr>
            <w:tcW w:w="4531" w:type="dxa"/>
            <w:tcBorders>
              <w:top w:val="single" w:sz="4" w:space="0" w:color="auto"/>
              <w:left w:val="single" w:sz="4" w:space="0" w:color="auto"/>
              <w:bottom w:val="nil"/>
              <w:right w:val="single" w:sz="4" w:space="0" w:color="auto"/>
            </w:tcBorders>
            <w:hideMark/>
          </w:tcPr>
          <w:p w14:paraId="1466F7BD" w14:textId="77777777" w:rsidR="009644D5" w:rsidRPr="00BB5071" w:rsidRDefault="009644D5" w:rsidP="00BB5071">
            <w:pPr>
              <w:rPr>
                <w:rFonts w:ascii="Times New Roman" w:hAnsi="Times New Roman" w:cs="Times New Roman"/>
                <w:b/>
                <w:sz w:val="24"/>
                <w:szCs w:val="24"/>
              </w:rPr>
            </w:pPr>
            <w:r w:rsidRPr="00BB5071">
              <w:rPr>
                <w:rFonts w:ascii="Times New Roman" w:hAnsi="Times New Roman" w:cs="Times New Roman"/>
                <w:b/>
                <w:sz w:val="24"/>
                <w:szCs w:val="24"/>
              </w:rPr>
              <w:t>Metabolisme og ernæring</w:t>
            </w:r>
          </w:p>
        </w:tc>
        <w:tc>
          <w:tcPr>
            <w:tcW w:w="4532" w:type="dxa"/>
            <w:tcBorders>
              <w:top w:val="single" w:sz="4" w:space="0" w:color="auto"/>
              <w:left w:val="single" w:sz="4" w:space="0" w:color="auto"/>
              <w:bottom w:val="nil"/>
              <w:right w:val="single" w:sz="4" w:space="0" w:color="auto"/>
            </w:tcBorders>
          </w:tcPr>
          <w:p w14:paraId="4D3AB778" w14:textId="77777777" w:rsidR="009644D5" w:rsidRPr="00BB5071" w:rsidRDefault="009644D5" w:rsidP="00BB5071">
            <w:pPr>
              <w:rPr>
                <w:rFonts w:ascii="Times New Roman" w:hAnsi="Times New Roman" w:cs="Times New Roman"/>
                <w:b/>
                <w:sz w:val="24"/>
                <w:szCs w:val="24"/>
              </w:rPr>
            </w:pPr>
          </w:p>
        </w:tc>
      </w:tr>
      <w:tr w:rsidR="009644D5" w:rsidRPr="009644D5" w14:paraId="77D48AAB" w14:textId="77777777" w:rsidTr="009644D5">
        <w:trPr>
          <w:trHeight w:val="283"/>
        </w:trPr>
        <w:tc>
          <w:tcPr>
            <w:tcW w:w="4531" w:type="dxa"/>
            <w:tcBorders>
              <w:top w:val="nil"/>
              <w:left w:val="single" w:sz="4" w:space="0" w:color="auto"/>
              <w:bottom w:val="single" w:sz="4" w:space="0" w:color="auto"/>
              <w:right w:val="single" w:sz="4" w:space="0" w:color="auto"/>
            </w:tcBorders>
            <w:hideMark/>
          </w:tcPr>
          <w:p w14:paraId="102EAC76" w14:textId="77777777" w:rsidR="009644D5" w:rsidRPr="009644D5" w:rsidRDefault="009644D5">
            <w:pPr>
              <w:tabs>
                <w:tab w:val="left" w:pos="426"/>
              </w:tabs>
              <w:rPr>
                <w:rFonts w:ascii="Times New Roman" w:eastAsia="Arial Unicode MS" w:hAnsi="Times New Roman" w:cs="Times New Roman"/>
                <w:i/>
                <w:iCs/>
                <w:color w:val="231F20"/>
                <w:sz w:val="24"/>
                <w:szCs w:val="24"/>
              </w:rPr>
            </w:pPr>
            <w:r w:rsidRPr="009644D5">
              <w:rPr>
                <w:rFonts w:ascii="Times New Roman" w:hAnsi="Times New Roman" w:cs="Times New Roman"/>
                <w:i/>
                <w:color w:val="231F20"/>
                <w:sz w:val="24"/>
                <w:szCs w:val="24"/>
              </w:rPr>
              <w:t>Ikke kendt</w:t>
            </w:r>
          </w:p>
        </w:tc>
        <w:tc>
          <w:tcPr>
            <w:tcW w:w="4532" w:type="dxa"/>
            <w:tcBorders>
              <w:top w:val="nil"/>
              <w:left w:val="single" w:sz="4" w:space="0" w:color="auto"/>
              <w:bottom w:val="single" w:sz="4" w:space="0" w:color="auto"/>
              <w:right w:val="single" w:sz="4" w:space="0" w:color="auto"/>
            </w:tcBorders>
            <w:hideMark/>
          </w:tcPr>
          <w:p w14:paraId="699AEF20" w14:textId="77777777" w:rsidR="009644D5" w:rsidRPr="009644D5" w:rsidRDefault="009644D5">
            <w:pPr>
              <w:tabs>
                <w:tab w:val="left" w:pos="426"/>
              </w:tabs>
              <w:rPr>
                <w:rFonts w:ascii="Times New Roman" w:hAnsi="Times New Roman" w:cs="Times New Roman"/>
                <w:sz w:val="24"/>
                <w:szCs w:val="24"/>
              </w:rPr>
            </w:pPr>
            <w:proofErr w:type="spellStart"/>
            <w:r w:rsidRPr="009644D5">
              <w:rPr>
                <w:rFonts w:ascii="Times New Roman" w:hAnsi="Times New Roman" w:cs="Times New Roman"/>
                <w:sz w:val="24"/>
                <w:szCs w:val="24"/>
              </w:rPr>
              <w:t>Hyperkaliæmi</w:t>
            </w:r>
            <w:proofErr w:type="spellEnd"/>
          </w:p>
        </w:tc>
      </w:tr>
      <w:tr w:rsidR="009644D5" w:rsidRPr="009644D5" w14:paraId="2AF88F12" w14:textId="77777777" w:rsidTr="009644D5">
        <w:trPr>
          <w:trHeight w:val="283"/>
        </w:trPr>
        <w:tc>
          <w:tcPr>
            <w:tcW w:w="4531" w:type="dxa"/>
            <w:tcBorders>
              <w:top w:val="single" w:sz="4" w:space="0" w:color="auto"/>
              <w:left w:val="single" w:sz="4" w:space="0" w:color="auto"/>
              <w:bottom w:val="nil"/>
              <w:right w:val="single" w:sz="4" w:space="0" w:color="auto"/>
            </w:tcBorders>
            <w:hideMark/>
          </w:tcPr>
          <w:p w14:paraId="2FD8BF7A" w14:textId="77777777" w:rsidR="009644D5" w:rsidRPr="009644D5" w:rsidRDefault="009644D5">
            <w:pPr>
              <w:tabs>
                <w:tab w:val="left" w:pos="426"/>
              </w:tabs>
              <w:rPr>
                <w:rFonts w:ascii="Times New Roman" w:eastAsia="Arial Unicode MS" w:hAnsi="Times New Roman" w:cs="Times New Roman"/>
                <w:b/>
                <w:bCs/>
                <w:color w:val="231F20"/>
                <w:sz w:val="24"/>
                <w:szCs w:val="24"/>
              </w:rPr>
            </w:pPr>
            <w:r w:rsidRPr="009644D5">
              <w:rPr>
                <w:rFonts w:ascii="Times New Roman" w:hAnsi="Times New Roman" w:cs="Times New Roman"/>
                <w:b/>
                <w:color w:val="231F20"/>
                <w:sz w:val="24"/>
                <w:szCs w:val="24"/>
              </w:rPr>
              <w:t>Hud og subkutane væv</w:t>
            </w:r>
          </w:p>
        </w:tc>
        <w:tc>
          <w:tcPr>
            <w:tcW w:w="4532" w:type="dxa"/>
            <w:tcBorders>
              <w:top w:val="single" w:sz="4" w:space="0" w:color="auto"/>
              <w:left w:val="single" w:sz="4" w:space="0" w:color="auto"/>
              <w:bottom w:val="nil"/>
              <w:right w:val="single" w:sz="4" w:space="0" w:color="auto"/>
            </w:tcBorders>
          </w:tcPr>
          <w:p w14:paraId="293680D1" w14:textId="77777777" w:rsidR="009644D5" w:rsidRPr="009644D5" w:rsidRDefault="009644D5">
            <w:pPr>
              <w:tabs>
                <w:tab w:val="left" w:pos="426"/>
              </w:tabs>
              <w:rPr>
                <w:rFonts w:ascii="Times New Roman" w:hAnsi="Times New Roman" w:cs="Times New Roman"/>
                <w:sz w:val="24"/>
                <w:szCs w:val="24"/>
              </w:rPr>
            </w:pPr>
          </w:p>
        </w:tc>
      </w:tr>
      <w:tr w:rsidR="009644D5" w:rsidRPr="009644D5" w14:paraId="4699B8C5" w14:textId="77777777" w:rsidTr="009644D5">
        <w:trPr>
          <w:trHeight w:val="283"/>
        </w:trPr>
        <w:tc>
          <w:tcPr>
            <w:tcW w:w="4531" w:type="dxa"/>
            <w:tcBorders>
              <w:top w:val="nil"/>
              <w:left w:val="single" w:sz="4" w:space="0" w:color="auto"/>
              <w:bottom w:val="single" w:sz="4" w:space="0" w:color="auto"/>
              <w:right w:val="single" w:sz="4" w:space="0" w:color="auto"/>
            </w:tcBorders>
            <w:hideMark/>
          </w:tcPr>
          <w:p w14:paraId="1C956169" w14:textId="77777777" w:rsidR="009644D5" w:rsidRPr="009644D5" w:rsidRDefault="009644D5">
            <w:pPr>
              <w:tabs>
                <w:tab w:val="left" w:pos="426"/>
              </w:tabs>
              <w:rPr>
                <w:rFonts w:ascii="Times New Roman" w:eastAsia="Arial Unicode MS" w:hAnsi="Times New Roman" w:cs="Times New Roman"/>
                <w:i/>
                <w:iCs/>
                <w:color w:val="231F20"/>
                <w:sz w:val="24"/>
                <w:szCs w:val="24"/>
              </w:rPr>
            </w:pPr>
            <w:r w:rsidRPr="009644D5">
              <w:rPr>
                <w:rFonts w:ascii="Times New Roman" w:hAnsi="Times New Roman" w:cs="Times New Roman"/>
                <w:i/>
                <w:color w:val="231F20"/>
                <w:sz w:val="24"/>
                <w:szCs w:val="24"/>
              </w:rPr>
              <w:t>Almindelig</w:t>
            </w:r>
          </w:p>
        </w:tc>
        <w:tc>
          <w:tcPr>
            <w:tcW w:w="4532" w:type="dxa"/>
            <w:tcBorders>
              <w:top w:val="nil"/>
              <w:left w:val="single" w:sz="4" w:space="0" w:color="auto"/>
              <w:bottom w:val="single" w:sz="4" w:space="0" w:color="auto"/>
              <w:right w:val="single" w:sz="4" w:space="0" w:color="auto"/>
            </w:tcBorders>
            <w:hideMark/>
          </w:tcPr>
          <w:p w14:paraId="29C6B1A4" w14:textId="77777777" w:rsidR="009644D5" w:rsidRPr="009644D5" w:rsidRDefault="009644D5">
            <w:pPr>
              <w:tabs>
                <w:tab w:val="left" w:pos="426"/>
              </w:tabs>
              <w:rPr>
                <w:rFonts w:ascii="Times New Roman" w:hAnsi="Times New Roman" w:cs="Times New Roman"/>
                <w:sz w:val="24"/>
                <w:szCs w:val="24"/>
              </w:rPr>
            </w:pPr>
            <w:r w:rsidRPr="009644D5">
              <w:rPr>
                <w:rFonts w:ascii="Times New Roman" w:hAnsi="Times New Roman" w:cs="Times New Roman"/>
                <w:sz w:val="24"/>
                <w:szCs w:val="24"/>
              </w:rPr>
              <w:t>Udslæt</w:t>
            </w:r>
          </w:p>
        </w:tc>
      </w:tr>
    </w:tbl>
    <w:p w14:paraId="12522F64" w14:textId="77777777" w:rsidR="009644D5" w:rsidRPr="009644D5" w:rsidRDefault="009644D5" w:rsidP="009644D5">
      <w:pPr>
        <w:tabs>
          <w:tab w:val="left" w:pos="426"/>
        </w:tabs>
        <w:rPr>
          <w:rFonts w:eastAsia="Arial Unicode MS"/>
          <w:color w:val="231F20"/>
          <w:sz w:val="24"/>
          <w:szCs w:val="24"/>
          <w:lang w:eastAsia="de-DE" w:bidi="de-DE"/>
        </w:rPr>
      </w:pPr>
    </w:p>
    <w:p w14:paraId="75F0D04A" w14:textId="77777777" w:rsidR="009644D5" w:rsidRPr="009644D5" w:rsidRDefault="009644D5" w:rsidP="009644D5">
      <w:pPr>
        <w:ind w:left="851"/>
        <w:rPr>
          <w:rFonts w:eastAsiaTheme="minorHAnsi"/>
          <w:color w:val="000000"/>
          <w:sz w:val="24"/>
          <w:szCs w:val="24"/>
          <w:lang w:bidi="en-US"/>
        </w:rPr>
      </w:pPr>
      <w:r w:rsidRPr="009644D5">
        <w:rPr>
          <w:sz w:val="24"/>
          <w:szCs w:val="24"/>
        </w:rPr>
        <w:t xml:space="preserve">Hos patienter med hurtig </w:t>
      </w:r>
      <w:proofErr w:type="spellStart"/>
      <w:r w:rsidRPr="009644D5">
        <w:rPr>
          <w:sz w:val="24"/>
          <w:szCs w:val="24"/>
        </w:rPr>
        <w:t>gastrointestinal</w:t>
      </w:r>
      <w:proofErr w:type="spellEnd"/>
      <w:r w:rsidRPr="009644D5">
        <w:rPr>
          <w:sz w:val="24"/>
          <w:szCs w:val="24"/>
        </w:rPr>
        <w:t xml:space="preserve"> transittid kan tablettens voksmatrix være til stede i fæces.</w:t>
      </w:r>
    </w:p>
    <w:p w14:paraId="3273933B" w14:textId="77777777" w:rsidR="009644D5" w:rsidRPr="009644D5" w:rsidRDefault="009644D5" w:rsidP="009644D5">
      <w:pPr>
        <w:ind w:left="851"/>
        <w:rPr>
          <w:sz w:val="24"/>
          <w:szCs w:val="24"/>
        </w:rPr>
      </w:pPr>
    </w:p>
    <w:p w14:paraId="16E40B17" w14:textId="77777777" w:rsidR="009644D5" w:rsidRPr="009644D5" w:rsidRDefault="009644D5" w:rsidP="009644D5">
      <w:pPr>
        <w:ind w:left="851"/>
        <w:rPr>
          <w:sz w:val="24"/>
          <w:szCs w:val="24"/>
          <w:u w:val="single"/>
        </w:rPr>
      </w:pPr>
      <w:r w:rsidRPr="009644D5">
        <w:rPr>
          <w:sz w:val="24"/>
          <w:szCs w:val="24"/>
          <w:u w:val="single"/>
        </w:rPr>
        <w:t>Beskrivelse af udvalgte bivirkninger</w:t>
      </w:r>
    </w:p>
    <w:p w14:paraId="458A1DDD" w14:textId="77777777" w:rsidR="009644D5" w:rsidRPr="009644D5" w:rsidRDefault="009644D5" w:rsidP="009644D5">
      <w:pPr>
        <w:ind w:left="851"/>
        <w:rPr>
          <w:sz w:val="24"/>
          <w:szCs w:val="24"/>
        </w:rPr>
      </w:pPr>
      <w:r w:rsidRPr="009644D5">
        <w:rPr>
          <w:sz w:val="24"/>
          <w:szCs w:val="24"/>
        </w:rPr>
        <w:t xml:space="preserve">Indtagelse af kaliumcitrat kan fremkalde </w:t>
      </w:r>
      <w:proofErr w:type="spellStart"/>
      <w:r w:rsidRPr="009644D5">
        <w:rPr>
          <w:sz w:val="24"/>
          <w:szCs w:val="24"/>
        </w:rPr>
        <w:t>hyperkaliæmi</w:t>
      </w:r>
      <w:proofErr w:type="spellEnd"/>
      <w:r w:rsidRPr="009644D5">
        <w:rPr>
          <w:sz w:val="24"/>
          <w:szCs w:val="24"/>
        </w:rPr>
        <w:t>.</w:t>
      </w:r>
    </w:p>
    <w:p w14:paraId="5EA87D14" w14:textId="77777777" w:rsidR="009644D5" w:rsidRPr="009644D5" w:rsidRDefault="009644D5" w:rsidP="009644D5">
      <w:pPr>
        <w:ind w:left="851"/>
        <w:rPr>
          <w:sz w:val="24"/>
          <w:szCs w:val="24"/>
        </w:rPr>
      </w:pPr>
    </w:p>
    <w:p w14:paraId="00D34149" w14:textId="77777777" w:rsidR="009644D5" w:rsidRPr="009644D5" w:rsidRDefault="009644D5" w:rsidP="009644D5">
      <w:pPr>
        <w:ind w:left="851"/>
        <w:rPr>
          <w:sz w:val="24"/>
          <w:szCs w:val="24"/>
        </w:rPr>
      </w:pPr>
      <w:r w:rsidRPr="009644D5">
        <w:rPr>
          <w:sz w:val="24"/>
          <w:szCs w:val="24"/>
        </w:rPr>
        <w:t xml:space="preserve">Svær </w:t>
      </w:r>
      <w:proofErr w:type="spellStart"/>
      <w:r w:rsidRPr="009644D5">
        <w:rPr>
          <w:sz w:val="24"/>
          <w:szCs w:val="24"/>
        </w:rPr>
        <w:t>hyperkaliæmi</w:t>
      </w:r>
      <w:proofErr w:type="spellEnd"/>
      <w:r w:rsidRPr="009644D5">
        <w:rPr>
          <w:sz w:val="24"/>
          <w:szCs w:val="24"/>
        </w:rPr>
        <w:t xml:space="preserve"> kan føre til muskelsvaghed/paralyse og ledningsforstyrrelser i hjertet (f.eks. hjerteblok, </w:t>
      </w:r>
      <w:proofErr w:type="spellStart"/>
      <w:r w:rsidRPr="009644D5">
        <w:rPr>
          <w:sz w:val="24"/>
          <w:szCs w:val="24"/>
        </w:rPr>
        <w:t>ventrikulære</w:t>
      </w:r>
      <w:proofErr w:type="spellEnd"/>
      <w:r w:rsidRPr="009644D5">
        <w:rPr>
          <w:sz w:val="24"/>
          <w:szCs w:val="24"/>
        </w:rPr>
        <w:t xml:space="preserve"> </w:t>
      </w:r>
      <w:proofErr w:type="spellStart"/>
      <w:r w:rsidRPr="009644D5">
        <w:rPr>
          <w:sz w:val="24"/>
          <w:szCs w:val="24"/>
        </w:rPr>
        <w:t>arytmier</w:t>
      </w:r>
      <w:proofErr w:type="spellEnd"/>
      <w:r w:rsidRPr="009644D5">
        <w:rPr>
          <w:sz w:val="24"/>
          <w:szCs w:val="24"/>
        </w:rPr>
        <w:t xml:space="preserve">, </w:t>
      </w:r>
      <w:proofErr w:type="spellStart"/>
      <w:r w:rsidRPr="009644D5">
        <w:rPr>
          <w:sz w:val="24"/>
          <w:szCs w:val="24"/>
        </w:rPr>
        <w:t>asystoli</w:t>
      </w:r>
      <w:proofErr w:type="spellEnd"/>
      <w:r w:rsidRPr="009644D5">
        <w:rPr>
          <w:sz w:val="24"/>
          <w:szCs w:val="24"/>
        </w:rPr>
        <w:t xml:space="preserve">). Patienter med hjerte-kar-sygdomme, f.eks. hjerteinsufficiens, </w:t>
      </w:r>
      <w:proofErr w:type="spellStart"/>
      <w:r w:rsidRPr="009644D5">
        <w:rPr>
          <w:sz w:val="24"/>
          <w:szCs w:val="24"/>
        </w:rPr>
        <w:t>hjertearytmier</w:t>
      </w:r>
      <w:proofErr w:type="spellEnd"/>
      <w:r w:rsidRPr="009644D5">
        <w:rPr>
          <w:sz w:val="24"/>
          <w:szCs w:val="24"/>
        </w:rPr>
        <w:t>, kan være mere sårbare over for livstruende hjertepåvirkninger som følge af hyper-/</w:t>
      </w:r>
      <w:proofErr w:type="spellStart"/>
      <w:r w:rsidRPr="009644D5">
        <w:rPr>
          <w:sz w:val="24"/>
          <w:szCs w:val="24"/>
        </w:rPr>
        <w:t>hypokaliæmi</w:t>
      </w:r>
      <w:proofErr w:type="spellEnd"/>
      <w:r w:rsidRPr="009644D5">
        <w:rPr>
          <w:sz w:val="24"/>
          <w:szCs w:val="24"/>
        </w:rPr>
        <w:t>. Kaliumcitrat skal derfor anvendes med forsigtighed (se pkt. 4.4).</w:t>
      </w:r>
    </w:p>
    <w:p w14:paraId="437C38E7" w14:textId="77777777" w:rsidR="009644D5" w:rsidRPr="009644D5" w:rsidRDefault="009644D5" w:rsidP="009644D5">
      <w:pPr>
        <w:ind w:left="851"/>
        <w:rPr>
          <w:sz w:val="24"/>
          <w:szCs w:val="24"/>
          <w:u w:val="single"/>
        </w:rPr>
      </w:pPr>
    </w:p>
    <w:p w14:paraId="0F9FD648" w14:textId="77777777" w:rsidR="009644D5" w:rsidRPr="009644D5" w:rsidRDefault="009644D5" w:rsidP="009644D5">
      <w:pPr>
        <w:ind w:left="851"/>
        <w:rPr>
          <w:kern w:val="2"/>
          <w:sz w:val="24"/>
          <w:szCs w:val="24"/>
          <w:u w:val="single"/>
        </w:rPr>
      </w:pPr>
      <w:r w:rsidRPr="009644D5">
        <w:rPr>
          <w:sz w:val="24"/>
          <w:szCs w:val="24"/>
          <w:u w:val="single"/>
        </w:rPr>
        <w:t>Indberetning af formodede bivirkninger</w:t>
      </w:r>
    </w:p>
    <w:p w14:paraId="01EC375D" w14:textId="77777777" w:rsidR="009644D5" w:rsidRPr="009644D5" w:rsidRDefault="009644D5" w:rsidP="009644D5">
      <w:pPr>
        <w:ind w:left="851"/>
        <w:rPr>
          <w:rFonts w:eastAsiaTheme="minorHAnsi"/>
          <w:sz w:val="24"/>
          <w:szCs w:val="24"/>
        </w:rPr>
      </w:pPr>
      <w:r w:rsidRPr="009644D5">
        <w:rPr>
          <w:sz w:val="24"/>
          <w:szCs w:val="24"/>
        </w:rPr>
        <w:t>Når lægemidlet er godkendt, er indberetning af formodede bivirkninger vigtig. Det muliggør løbende overvågning af benefit/</w:t>
      </w:r>
      <w:proofErr w:type="spellStart"/>
      <w:r w:rsidRPr="009644D5">
        <w:rPr>
          <w:sz w:val="24"/>
          <w:szCs w:val="24"/>
        </w:rPr>
        <w:t>risk</w:t>
      </w:r>
      <w:proofErr w:type="spellEnd"/>
      <w:r w:rsidRPr="009644D5">
        <w:rPr>
          <w:sz w:val="24"/>
          <w:szCs w:val="24"/>
        </w:rPr>
        <w:t xml:space="preserve">-forholdet for lægemidlet. Sundhedspersoner anmodes om at indberette alle formodede bivirkninger via: </w:t>
      </w:r>
    </w:p>
    <w:p w14:paraId="5E14AEE5" w14:textId="77777777" w:rsidR="009644D5" w:rsidRPr="009644D5" w:rsidRDefault="009644D5" w:rsidP="009644D5">
      <w:pPr>
        <w:ind w:left="851"/>
        <w:rPr>
          <w:sz w:val="24"/>
          <w:szCs w:val="24"/>
        </w:rPr>
      </w:pPr>
    </w:p>
    <w:p w14:paraId="5A86654D" w14:textId="77777777" w:rsidR="009644D5" w:rsidRPr="009644D5" w:rsidRDefault="009644D5" w:rsidP="009644D5">
      <w:pPr>
        <w:ind w:left="851"/>
        <w:rPr>
          <w:sz w:val="24"/>
          <w:szCs w:val="24"/>
        </w:rPr>
      </w:pPr>
      <w:r w:rsidRPr="009644D5">
        <w:rPr>
          <w:sz w:val="24"/>
          <w:szCs w:val="24"/>
        </w:rPr>
        <w:t>Lægemiddelstyrelsen</w:t>
      </w:r>
    </w:p>
    <w:p w14:paraId="70E93135" w14:textId="77777777" w:rsidR="009644D5" w:rsidRPr="009644D5" w:rsidRDefault="009644D5" w:rsidP="009644D5">
      <w:pPr>
        <w:ind w:left="851"/>
        <w:rPr>
          <w:sz w:val="24"/>
          <w:szCs w:val="24"/>
        </w:rPr>
      </w:pPr>
      <w:r w:rsidRPr="009644D5">
        <w:rPr>
          <w:sz w:val="24"/>
          <w:szCs w:val="24"/>
        </w:rPr>
        <w:t>Axel Heides Gade 1</w:t>
      </w:r>
    </w:p>
    <w:p w14:paraId="3D11B038" w14:textId="77777777" w:rsidR="009644D5" w:rsidRPr="009644D5" w:rsidRDefault="009644D5" w:rsidP="009644D5">
      <w:pPr>
        <w:ind w:left="851"/>
        <w:rPr>
          <w:sz w:val="24"/>
          <w:szCs w:val="24"/>
        </w:rPr>
      </w:pPr>
      <w:r w:rsidRPr="009644D5">
        <w:rPr>
          <w:sz w:val="24"/>
          <w:szCs w:val="24"/>
        </w:rPr>
        <w:t>DK-2300 København S</w:t>
      </w:r>
    </w:p>
    <w:p w14:paraId="6AA238D2" w14:textId="77777777" w:rsidR="009644D5" w:rsidRPr="009644D5" w:rsidRDefault="009644D5" w:rsidP="009644D5">
      <w:pPr>
        <w:ind w:left="851"/>
        <w:rPr>
          <w:sz w:val="24"/>
          <w:szCs w:val="24"/>
        </w:rPr>
      </w:pPr>
      <w:r w:rsidRPr="009644D5">
        <w:rPr>
          <w:sz w:val="24"/>
          <w:szCs w:val="24"/>
        </w:rPr>
        <w:t xml:space="preserve">Websted: </w:t>
      </w:r>
      <w:hyperlink r:id="rId8" w:history="1">
        <w:r w:rsidRPr="009644D5">
          <w:rPr>
            <w:rStyle w:val="Hyperlink"/>
            <w:sz w:val="24"/>
            <w:szCs w:val="24"/>
          </w:rPr>
          <w:t>www.meldenbivirkning.dk</w:t>
        </w:r>
      </w:hyperlink>
    </w:p>
    <w:p w14:paraId="7858C169" w14:textId="77777777" w:rsidR="009260DE" w:rsidRPr="009644D5" w:rsidRDefault="009260DE" w:rsidP="00A10294">
      <w:pPr>
        <w:tabs>
          <w:tab w:val="left" w:pos="851"/>
        </w:tabs>
        <w:ind w:left="851"/>
        <w:rPr>
          <w:sz w:val="24"/>
          <w:szCs w:val="24"/>
        </w:rPr>
      </w:pPr>
    </w:p>
    <w:p w14:paraId="0000D18F" w14:textId="77777777" w:rsidR="009260DE" w:rsidRPr="009644D5" w:rsidRDefault="009260DE" w:rsidP="009260DE">
      <w:pPr>
        <w:tabs>
          <w:tab w:val="left" w:pos="851"/>
        </w:tabs>
        <w:ind w:left="851" w:hanging="851"/>
        <w:rPr>
          <w:b/>
          <w:sz w:val="24"/>
          <w:szCs w:val="24"/>
        </w:rPr>
      </w:pPr>
      <w:r w:rsidRPr="009644D5">
        <w:rPr>
          <w:b/>
          <w:sz w:val="24"/>
          <w:szCs w:val="24"/>
        </w:rPr>
        <w:t>4.9</w:t>
      </w:r>
      <w:r w:rsidRPr="009644D5">
        <w:rPr>
          <w:b/>
          <w:sz w:val="24"/>
          <w:szCs w:val="24"/>
        </w:rPr>
        <w:tab/>
        <w:t>Overdosering</w:t>
      </w:r>
    </w:p>
    <w:p w14:paraId="0A6A53E8" w14:textId="77777777" w:rsidR="00BB5071" w:rsidRDefault="00BB5071" w:rsidP="009644D5">
      <w:pPr>
        <w:ind w:left="851"/>
        <w:rPr>
          <w:sz w:val="24"/>
          <w:szCs w:val="24"/>
        </w:rPr>
      </w:pPr>
    </w:p>
    <w:p w14:paraId="1ACBE2A3" w14:textId="31F7CC6E" w:rsidR="009644D5" w:rsidRPr="00BB5071" w:rsidRDefault="009644D5" w:rsidP="009644D5">
      <w:pPr>
        <w:ind w:left="851"/>
        <w:rPr>
          <w:sz w:val="24"/>
          <w:szCs w:val="24"/>
          <w:u w:val="single"/>
        </w:rPr>
      </w:pPr>
      <w:r w:rsidRPr="00BB5071">
        <w:rPr>
          <w:sz w:val="24"/>
          <w:szCs w:val="24"/>
          <w:u w:val="single"/>
        </w:rPr>
        <w:t>Symptomer</w:t>
      </w:r>
    </w:p>
    <w:p w14:paraId="1AC25525" w14:textId="77777777" w:rsidR="009644D5" w:rsidRPr="009644D5" w:rsidRDefault="009644D5" w:rsidP="009644D5">
      <w:pPr>
        <w:ind w:left="851"/>
        <w:rPr>
          <w:sz w:val="24"/>
          <w:szCs w:val="24"/>
        </w:rPr>
      </w:pPr>
      <w:r w:rsidRPr="009644D5">
        <w:rPr>
          <w:sz w:val="24"/>
          <w:szCs w:val="24"/>
        </w:rPr>
        <w:t xml:space="preserve">En overdosis af </w:t>
      </w:r>
      <w:proofErr w:type="spellStart"/>
      <w:r w:rsidRPr="009644D5">
        <w:rPr>
          <w:sz w:val="24"/>
          <w:szCs w:val="24"/>
        </w:rPr>
        <w:t>Alkacit</w:t>
      </w:r>
      <w:proofErr w:type="spellEnd"/>
      <w:r w:rsidRPr="009644D5">
        <w:rPr>
          <w:sz w:val="24"/>
          <w:szCs w:val="24"/>
        </w:rPr>
        <w:t xml:space="preserve"> kan forårsage </w:t>
      </w:r>
      <w:proofErr w:type="spellStart"/>
      <w:r w:rsidRPr="009644D5">
        <w:rPr>
          <w:sz w:val="24"/>
          <w:szCs w:val="24"/>
        </w:rPr>
        <w:t>hyperkaliæmi</w:t>
      </w:r>
      <w:proofErr w:type="spellEnd"/>
      <w:r w:rsidRPr="009644D5">
        <w:rPr>
          <w:sz w:val="24"/>
          <w:szCs w:val="24"/>
        </w:rPr>
        <w:t xml:space="preserve">. </w:t>
      </w:r>
      <w:proofErr w:type="spellStart"/>
      <w:r w:rsidRPr="009644D5">
        <w:rPr>
          <w:sz w:val="24"/>
          <w:szCs w:val="24"/>
        </w:rPr>
        <w:t>Hyperkaliæmi</w:t>
      </w:r>
      <w:proofErr w:type="spellEnd"/>
      <w:r w:rsidRPr="009644D5">
        <w:rPr>
          <w:sz w:val="24"/>
          <w:szCs w:val="24"/>
        </w:rPr>
        <w:t xml:space="preserve"> forårsager primært </w:t>
      </w:r>
      <w:proofErr w:type="spellStart"/>
      <w:r w:rsidRPr="009644D5">
        <w:rPr>
          <w:sz w:val="24"/>
          <w:szCs w:val="24"/>
        </w:rPr>
        <w:t>neuromuskulære</w:t>
      </w:r>
      <w:proofErr w:type="spellEnd"/>
      <w:r w:rsidRPr="009644D5">
        <w:rPr>
          <w:sz w:val="24"/>
          <w:szCs w:val="24"/>
        </w:rPr>
        <w:t xml:space="preserve"> og </w:t>
      </w:r>
      <w:proofErr w:type="spellStart"/>
      <w:r w:rsidRPr="009644D5">
        <w:rPr>
          <w:sz w:val="24"/>
          <w:szCs w:val="24"/>
        </w:rPr>
        <w:t>kardiovaskulære</w:t>
      </w:r>
      <w:proofErr w:type="spellEnd"/>
      <w:r w:rsidRPr="009644D5">
        <w:rPr>
          <w:sz w:val="24"/>
          <w:szCs w:val="24"/>
        </w:rPr>
        <w:t xml:space="preserve"> forstyrrelser.</w:t>
      </w:r>
    </w:p>
    <w:p w14:paraId="2C491C52" w14:textId="77777777" w:rsidR="009644D5" w:rsidRPr="009644D5" w:rsidRDefault="009644D5" w:rsidP="009644D5">
      <w:pPr>
        <w:ind w:left="851"/>
        <w:rPr>
          <w:sz w:val="24"/>
          <w:szCs w:val="24"/>
        </w:rPr>
      </w:pPr>
    </w:p>
    <w:p w14:paraId="0BD05241" w14:textId="77777777" w:rsidR="009644D5" w:rsidRPr="009644D5" w:rsidRDefault="009644D5" w:rsidP="009644D5">
      <w:pPr>
        <w:ind w:left="851"/>
        <w:rPr>
          <w:sz w:val="24"/>
          <w:szCs w:val="24"/>
        </w:rPr>
      </w:pPr>
      <w:proofErr w:type="spellStart"/>
      <w:r w:rsidRPr="009644D5">
        <w:rPr>
          <w:sz w:val="24"/>
          <w:szCs w:val="24"/>
        </w:rPr>
        <w:t>Neuromuskulære</w:t>
      </w:r>
      <w:proofErr w:type="spellEnd"/>
      <w:r w:rsidRPr="009644D5">
        <w:rPr>
          <w:sz w:val="24"/>
          <w:szCs w:val="24"/>
        </w:rPr>
        <w:t xml:space="preserve"> forstyrrelser omfatter depression, mental forvirring, </w:t>
      </w:r>
      <w:proofErr w:type="spellStart"/>
      <w:r w:rsidRPr="009644D5">
        <w:rPr>
          <w:sz w:val="24"/>
          <w:szCs w:val="24"/>
        </w:rPr>
        <w:t>paræstesi</w:t>
      </w:r>
      <w:proofErr w:type="spellEnd"/>
      <w:r w:rsidRPr="009644D5">
        <w:rPr>
          <w:sz w:val="24"/>
          <w:szCs w:val="24"/>
        </w:rPr>
        <w:t>, muskelsvaghed og undertiden slap lammelse i ekstremiteterne, som kan være progressiv.</w:t>
      </w:r>
    </w:p>
    <w:p w14:paraId="51F040A2" w14:textId="77777777" w:rsidR="009644D5" w:rsidRPr="009644D5" w:rsidRDefault="009644D5" w:rsidP="009644D5">
      <w:pPr>
        <w:ind w:left="851"/>
        <w:rPr>
          <w:sz w:val="24"/>
          <w:szCs w:val="24"/>
        </w:rPr>
      </w:pPr>
    </w:p>
    <w:p w14:paraId="08EC6976" w14:textId="77777777" w:rsidR="009644D5" w:rsidRPr="009644D5" w:rsidRDefault="009644D5" w:rsidP="009644D5">
      <w:pPr>
        <w:ind w:left="851"/>
        <w:rPr>
          <w:sz w:val="24"/>
          <w:szCs w:val="24"/>
        </w:rPr>
      </w:pPr>
      <w:proofErr w:type="spellStart"/>
      <w:r w:rsidRPr="009644D5">
        <w:rPr>
          <w:sz w:val="24"/>
          <w:szCs w:val="24"/>
        </w:rPr>
        <w:t>Kardiovaskulære</w:t>
      </w:r>
      <w:proofErr w:type="spellEnd"/>
      <w:r w:rsidRPr="009644D5">
        <w:rPr>
          <w:sz w:val="24"/>
          <w:szCs w:val="24"/>
        </w:rPr>
        <w:t xml:space="preserve"> forstyrrelser omfatter bradykardi, lavt blodtryk, som i nogle tilfælde kan være alvorligt og føre til </w:t>
      </w:r>
      <w:proofErr w:type="spellStart"/>
      <w:r w:rsidRPr="009644D5">
        <w:rPr>
          <w:sz w:val="24"/>
          <w:szCs w:val="24"/>
        </w:rPr>
        <w:t>hjertearytmier</w:t>
      </w:r>
      <w:proofErr w:type="spellEnd"/>
      <w:r w:rsidRPr="009644D5">
        <w:rPr>
          <w:sz w:val="24"/>
          <w:szCs w:val="24"/>
        </w:rPr>
        <w:t>, hjertestop og pludselig død.</w:t>
      </w:r>
    </w:p>
    <w:p w14:paraId="709688D7" w14:textId="77777777" w:rsidR="009644D5" w:rsidRPr="009644D5" w:rsidRDefault="009644D5" w:rsidP="009644D5">
      <w:pPr>
        <w:ind w:left="851"/>
        <w:rPr>
          <w:sz w:val="24"/>
          <w:szCs w:val="24"/>
        </w:rPr>
      </w:pPr>
    </w:p>
    <w:p w14:paraId="5A0C8A0E" w14:textId="77777777" w:rsidR="009644D5" w:rsidRPr="00BB5071" w:rsidRDefault="009644D5" w:rsidP="009644D5">
      <w:pPr>
        <w:ind w:left="851"/>
        <w:rPr>
          <w:sz w:val="24"/>
          <w:szCs w:val="24"/>
          <w:u w:val="single"/>
        </w:rPr>
      </w:pPr>
      <w:r w:rsidRPr="00BB5071">
        <w:rPr>
          <w:sz w:val="24"/>
          <w:szCs w:val="24"/>
          <w:u w:val="single"/>
        </w:rPr>
        <w:t>Behandling</w:t>
      </w:r>
    </w:p>
    <w:p w14:paraId="2E190EEF" w14:textId="77777777" w:rsidR="009644D5" w:rsidRPr="009644D5" w:rsidRDefault="009644D5" w:rsidP="009644D5">
      <w:pPr>
        <w:ind w:left="851"/>
        <w:rPr>
          <w:sz w:val="24"/>
          <w:szCs w:val="24"/>
        </w:rPr>
      </w:pPr>
      <w:r w:rsidRPr="009644D5">
        <w:rPr>
          <w:sz w:val="24"/>
          <w:szCs w:val="24"/>
        </w:rPr>
        <w:t xml:space="preserve">I tilfælde af overdosering skal administrationen af kalium seponeres. Behandlingen kan, afhængigt af </w:t>
      </w:r>
      <w:proofErr w:type="spellStart"/>
      <w:r w:rsidRPr="009644D5">
        <w:rPr>
          <w:sz w:val="24"/>
          <w:szCs w:val="24"/>
        </w:rPr>
        <w:t>hyperkaliæmiens</w:t>
      </w:r>
      <w:proofErr w:type="spellEnd"/>
      <w:r w:rsidRPr="009644D5">
        <w:rPr>
          <w:sz w:val="24"/>
          <w:szCs w:val="24"/>
        </w:rPr>
        <w:t xml:space="preserve"> sværhedsgrad, omfatte hurtigtvirkende midler til behandling af </w:t>
      </w:r>
      <w:proofErr w:type="spellStart"/>
      <w:r w:rsidRPr="009644D5">
        <w:rPr>
          <w:sz w:val="24"/>
          <w:szCs w:val="24"/>
        </w:rPr>
        <w:t>hyperkaliæmi</w:t>
      </w:r>
      <w:proofErr w:type="spellEnd"/>
      <w:r w:rsidRPr="009644D5">
        <w:rPr>
          <w:sz w:val="24"/>
          <w:szCs w:val="24"/>
        </w:rPr>
        <w:t xml:space="preserve"> (calcium og insulin med glukose) samt tiltag, der eliminerer kalium fra kroppen (hæmodialyse, </w:t>
      </w:r>
      <w:proofErr w:type="spellStart"/>
      <w:r w:rsidRPr="009644D5">
        <w:rPr>
          <w:sz w:val="24"/>
          <w:szCs w:val="24"/>
        </w:rPr>
        <w:t>gastrointestinale</w:t>
      </w:r>
      <w:proofErr w:type="spellEnd"/>
      <w:r w:rsidRPr="009644D5">
        <w:rPr>
          <w:sz w:val="24"/>
          <w:szCs w:val="24"/>
        </w:rPr>
        <w:t xml:space="preserve"> kaliumbindere eller </w:t>
      </w:r>
      <w:proofErr w:type="spellStart"/>
      <w:r w:rsidRPr="009644D5">
        <w:rPr>
          <w:sz w:val="24"/>
          <w:szCs w:val="24"/>
        </w:rPr>
        <w:t>diuretika</w:t>
      </w:r>
      <w:proofErr w:type="spellEnd"/>
      <w:r w:rsidRPr="009644D5">
        <w:rPr>
          <w:sz w:val="24"/>
          <w:szCs w:val="24"/>
        </w:rPr>
        <w:t>). Patienterne skal EKG-overvåges.</w:t>
      </w:r>
    </w:p>
    <w:p w14:paraId="10C4C400" w14:textId="77777777" w:rsidR="009260DE" w:rsidRPr="009644D5" w:rsidRDefault="009260DE" w:rsidP="009260DE">
      <w:pPr>
        <w:tabs>
          <w:tab w:val="left" w:pos="851"/>
        </w:tabs>
        <w:ind w:left="851"/>
        <w:rPr>
          <w:sz w:val="24"/>
          <w:szCs w:val="24"/>
        </w:rPr>
      </w:pPr>
    </w:p>
    <w:p w14:paraId="679FE4ED" w14:textId="77777777" w:rsidR="009260DE" w:rsidRPr="009644D5" w:rsidRDefault="009260DE" w:rsidP="009260DE">
      <w:pPr>
        <w:tabs>
          <w:tab w:val="left" w:pos="851"/>
        </w:tabs>
        <w:ind w:left="851" w:hanging="851"/>
        <w:rPr>
          <w:b/>
          <w:sz w:val="24"/>
          <w:szCs w:val="24"/>
        </w:rPr>
      </w:pPr>
      <w:r w:rsidRPr="009644D5">
        <w:rPr>
          <w:b/>
          <w:sz w:val="24"/>
          <w:szCs w:val="24"/>
        </w:rPr>
        <w:t>4.10</w:t>
      </w:r>
      <w:r w:rsidRPr="009644D5">
        <w:rPr>
          <w:b/>
          <w:sz w:val="24"/>
          <w:szCs w:val="24"/>
        </w:rPr>
        <w:tab/>
        <w:t>Udlevering</w:t>
      </w:r>
    </w:p>
    <w:p w14:paraId="7C1E4963" w14:textId="2881BC02" w:rsidR="009260DE" w:rsidRPr="009644D5" w:rsidRDefault="009644D5" w:rsidP="009260DE">
      <w:pPr>
        <w:tabs>
          <w:tab w:val="left" w:pos="851"/>
        </w:tabs>
        <w:ind w:left="851"/>
        <w:rPr>
          <w:sz w:val="24"/>
          <w:szCs w:val="24"/>
        </w:rPr>
      </w:pPr>
      <w:r w:rsidRPr="009644D5">
        <w:rPr>
          <w:sz w:val="24"/>
          <w:szCs w:val="24"/>
        </w:rPr>
        <w:t>B</w:t>
      </w:r>
    </w:p>
    <w:p w14:paraId="30F24D62" w14:textId="77777777" w:rsidR="009260DE" w:rsidRPr="009644D5" w:rsidRDefault="009260DE" w:rsidP="009260DE">
      <w:pPr>
        <w:tabs>
          <w:tab w:val="left" w:pos="851"/>
        </w:tabs>
        <w:ind w:left="851"/>
        <w:rPr>
          <w:sz w:val="24"/>
          <w:szCs w:val="24"/>
        </w:rPr>
      </w:pPr>
    </w:p>
    <w:p w14:paraId="5A8F6A2A" w14:textId="77777777" w:rsidR="009260DE" w:rsidRPr="009644D5" w:rsidRDefault="009260DE" w:rsidP="009260DE">
      <w:pPr>
        <w:tabs>
          <w:tab w:val="left" w:pos="851"/>
        </w:tabs>
        <w:ind w:left="851"/>
        <w:rPr>
          <w:sz w:val="24"/>
          <w:szCs w:val="24"/>
        </w:rPr>
      </w:pPr>
    </w:p>
    <w:p w14:paraId="4AE8A4A0" w14:textId="77777777" w:rsidR="009260DE" w:rsidRPr="009644D5" w:rsidRDefault="009260DE" w:rsidP="009260DE">
      <w:pPr>
        <w:tabs>
          <w:tab w:val="left" w:pos="851"/>
        </w:tabs>
        <w:ind w:left="851" w:hanging="851"/>
        <w:rPr>
          <w:b/>
          <w:sz w:val="24"/>
          <w:szCs w:val="24"/>
        </w:rPr>
      </w:pPr>
      <w:r w:rsidRPr="009644D5">
        <w:rPr>
          <w:b/>
          <w:sz w:val="24"/>
          <w:szCs w:val="24"/>
        </w:rPr>
        <w:t>5.</w:t>
      </w:r>
      <w:r w:rsidRPr="009644D5">
        <w:rPr>
          <w:b/>
          <w:sz w:val="24"/>
          <w:szCs w:val="24"/>
        </w:rPr>
        <w:tab/>
        <w:t>FARMAKOLOGISKE EGENSKABER</w:t>
      </w:r>
    </w:p>
    <w:p w14:paraId="5A006005" w14:textId="77777777" w:rsidR="009260DE" w:rsidRPr="009644D5" w:rsidRDefault="009260DE" w:rsidP="009260DE">
      <w:pPr>
        <w:tabs>
          <w:tab w:val="left" w:pos="851"/>
        </w:tabs>
        <w:ind w:left="851"/>
        <w:rPr>
          <w:sz w:val="24"/>
          <w:szCs w:val="24"/>
        </w:rPr>
      </w:pPr>
    </w:p>
    <w:p w14:paraId="5B708E1C" w14:textId="77777777" w:rsidR="009260DE" w:rsidRPr="009644D5" w:rsidRDefault="009260DE" w:rsidP="009260DE">
      <w:pPr>
        <w:tabs>
          <w:tab w:val="num" w:pos="851"/>
        </w:tabs>
        <w:ind w:left="851" w:hanging="851"/>
        <w:rPr>
          <w:b/>
          <w:sz w:val="24"/>
          <w:szCs w:val="24"/>
        </w:rPr>
      </w:pPr>
      <w:r w:rsidRPr="009644D5">
        <w:rPr>
          <w:b/>
          <w:sz w:val="24"/>
          <w:szCs w:val="24"/>
        </w:rPr>
        <w:t>5.1</w:t>
      </w:r>
      <w:r w:rsidRPr="009644D5">
        <w:rPr>
          <w:b/>
          <w:sz w:val="24"/>
          <w:szCs w:val="24"/>
        </w:rPr>
        <w:tab/>
      </w:r>
      <w:proofErr w:type="spellStart"/>
      <w:r w:rsidRPr="009644D5">
        <w:rPr>
          <w:b/>
          <w:sz w:val="24"/>
          <w:szCs w:val="24"/>
        </w:rPr>
        <w:t>Farmakodynamiske</w:t>
      </w:r>
      <w:proofErr w:type="spellEnd"/>
      <w:r w:rsidRPr="009644D5">
        <w:rPr>
          <w:b/>
          <w:sz w:val="24"/>
          <w:szCs w:val="24"/>
        </w:rPr>
        <w:t xml:space="preserve"> egenskaber</w:t>
      </w:r>
    </w:p>
    <w:p w14:paraId="0E6B41DA" w14:textId="79F13C49" w:rsidR="009644D5" w:rsidRPr="009644D5" w:rsidRDefault="009644D5" w:rsidP="009644D5">
      <w:pPr>
        <w:ind w:left="851"/>
        <w:rPr>
          <w:rFonts w:eastAsia="Arial Unicode MS"/>
          <w:color w:val="000000"/>
          <w:sz w:val="24"/>
          <w:szCs w:val="24"/>
        </w:rPr>
      </w:pPr>
      <w:proofErr w:type="spellStart"/>
      <w:r w:rsidRPr="009644D5">
        <w:rPr>
          <w:sz w:val="24"/>
          <w:szCs w:val="24"/>
        </w:rPr>
        <w:t>Farmakoterapeutisk</w:t>
      </w:r>
      <w:proofErr w:type="spellEnd"/>
      <w:r w:rsidRPr="009644D5">
        <w:rPr>
          <w:sz w:val="24"/>
          <w:szCs w:val="24"/>
        </w:rPr>
        <w:t xml:space="preserve"> klassifikation: mineraltilskud, kalium, ATC-kode: A12BA02</w:t>
      </w:r>
      <w:r w:rsidR="002E7874">
        <w:rPr>
          <w:sz w:val="24"/>
          <w:szCs w:val="24"/>
        </w:rPr>
        <w:t>.</w:t>
      </w:r>
    </w:p>
    <w:p w14:paraId="43C9F1C8" w14:textId="77777777" w:rsidR="009644D5" w:rsidRPr="009644D5" w:rsidRDefault="009644D5" w:rsidP="009644D5">
      <w:pPr>
        <w:ind w:left="851"/>
        <w:rPr>
          <w:rFonts w:eastAsia="Arial Unicode MS"/>
          <w:sz w:val="24"/>
          <w:szCs w:val="24"/>
          <w:lang w:eastAsia="de-DE" w:bidi="de-DE"/>
        </w:rPr>
      </w:pPr>
    </w:p>
    <w:p w14:paraId="354D583A" w14:textId="77777777" w:rsidR="009644D5" w:rsidRPr="009644D5" w:rsidRDefault="009644D5" w:rsidP="009644D5">
      <w:pPr>
        <w:ind w:left="851"/>
        <w:rPr>
          <w:rFonts w:eastAsiaTheme="minorHAnsi"/>
          <w:color w:val="000000"/>
          <w:sz w:val="24"/>
          <w:szCs w:val="24"/>
          <w:lang w:bidi="en-US"/>
        </w:rPr>
      </w:pPr>
      <w:r w:rsidRPr="009644D5">
        <w:rPr>
          <w:sz w:val="24"/>
          <w:szCs w:val="24"/>
        </w:rPr>
        <w:t>Administration af lægemidlet øger pH-værdien og citratindholdet i urinen. Under langvarig administration svarer den daglige udskillelse af kalium stort set til den daglige dosis, og en ophobning af kalium er ikke sandsynlig såfremt nyrefunktionen er intakt. Hos visse patienter kan der forekomme et forbigående fald i indholdet af calcium i urinen.</w:t>
      </w:r>
    </w:p>
    <w:p w14:paraId="733E895A" w14:textId="77777777" w:rsidR="009644D5" w:rsidRPr="009644D5" w:rsidRDefault="009644D5" w:rsidP="009644D5">
      <w:pPr>
        <w:ind w:left="851"/>
        <w:rPr>
          <w:sz w:val="24"/>
          <w:szCs w:val="24"/>
        </w:rPr>
      </w:pPr>
    </w:p>
    <w:p w14:paraId="41282B32" w14:textId="77777777" w:rsidR="009644D5" w:rsidRPr="009644D5" w:rsidRDefault="009644D5" w:rsidP="009644D5">
      <w:pPr>
        <w:ind w:left="851"/>
        <w:rPr>
          <w:sz w:val="24"/>
          <w:szCs w:val="24"/>
        </w:rPr>
      </w:pPr>
      <w:r w:rsidRPr="009644D5">
        <w:rPr>
          <w:sz w:val="24"/>
          <w:szCs w:val="24"/>
        </w:rPr>
        <w:t xml:space="preserve">Som et resultat af </w:t>
      </w:r>
      <w:proofErr w:type="spellStart"/>
      <w:r w:rsidRPr="009644D5">
        <w:rPr>
          <w:sz w:val="24"/>
          <w:szCs w:val="24"/>
        </w:rPr>
        <w:t>Alkacits</w:t>
      </w:r>
      <w:proofErr w:type="spellEnd"/>
      <w:r w:rsidRPr="009644D5">
        <w:rPr>
          <w:sz w:val="24"/>
          <w:szCs w:val="24"/>
        </w:rPr>
        <w:t xml:space="preserve"> alkaliserende virkning mindskes tendensen til, at </w:t>
      </w:r>
      <w:proofErr w:type="spellStart"/>
      <w:r w:rsidRPr="009644D5">
        <w:rPr>
          <w:sz w:val="24"/>
          <w:szCs w:val="24"/>
        </w:rPr>
        <w:t>calciumoxalat</w:t>
      </w:r>
      <w:proofErr w:type="spellEnd"/>
      <w:r w:rsidRPr="009644D5">
        <w:rPr>
          <w:sz w:val="24"/>
          <w:szCs w:val="24"/>
        </w:rPr>
        <w:t xml:space="preserve"> og urinsyre krystalliserer signifikant, med efterfølgende reduceret tendens til udvikling af </w:t>
      </w:r>
      <w:proofErr w:type="spellStart"/>
      <w:r w:rsidRPr="009644D5">
        <w:rPr>
          <w:sz w:val="24"/>
          <w:szCs w:val="24"/>
        </w:rPr>
        <w:t>nefrolithiasis</w:t>
      </w:r>
      <w:proofErr w:type="spellEnd"/>
      <w:r w:rsidRPr="009644D5">
        <w:rPr>
          <w:sz w:val="24"/>
          <w:szCs w:val="24"/>
        </w:rPr>
        <w:t xml:space="preserve"> fra disse salte.</w:t>
      </w:r>
    </w:p>
    <w:p w14:paraId="3D0DED6A" w14:textId="77777777" w:rsidR="009644D5" w:rsidRPr="009644D5" w:rsidRDefault="009644D5" w:rsidP="009644D5">
      <w:pPr>
        <w:ind w:left="851"/>
        <w:rPr>
          <w:sz w:val="24"/>
          <w:szCs w:val="24"/>
        </w:rPr>
      </w:pPr>
    </w:p>
    <w:p w14:paraId="5A59C396" w14:textId="77777777" w:rsidR="009644D5" w:rsidRPr="009644D5" w:rsidRDefault="009644D5" w:rsidP="009644D5">
      <w:pPr>
        <w:ind w:left="851"/>
        <w:rPr>
          <w:sz w:val="24"/>
          <w:szCs w:val="24"/>
        </w:rPr>
      </w:pPr>
      <w:r w:rsidRPr="009644D5">
        <w:rPr>
          <w:sz w:val="24"/>
          <w:szCs w:val="24"/>
        </w:rPr>
        <w:t xml:space="preserve">Endvidere fremmer stigningen i urinens citratindhold dets kombination med calciumsalte, hvilket reducerer </w:t>
      </w:r>
      <w:proofErr w:type="spellStart"/>
      <w:r w:rsidRPr="009644D5">
        <w:rPr>
          <w:sz w:val="24"/>
          <w:szCs w:val="24"/>
        </w:rPr>
        <w:t>calciumionaktiviteten</w:t>
      </w:r>
      <w:proofErr w:type="spellEnd"/>
      <w:r w:rsidRPr="009644D5">
        <w:rPr>
          <w:sz w:val="24"/>
          <w:szCs w:val="24"/>
        </w:rPr>
        <w:t xml:space="preserve"> og dermed mætningen af </w:t>
      </w:r>
      <w:proofErr w:type="spellStart"/>
      <w:r w:rsidRPr="009644D5">
        <w:rPr>
          <w:sz w:val="24"/>
          <w:szCs w:val="24"/>
        </w:rPr>
        <w:t>calciumoxalat</w:t>
      </w:r>
      <w:proofErr w:type="spellEnd"/>
      <w:r w:rsidRPr="009644D5">
        <w:rPr>
          <w:sz w:val="24"/>
          <w:szCs w:val="24"/>
        </w:rPr>
        <w:t xml:space="preserve">. Stigningen i urinens pH-værdi reducerer både </w:t>
      </w:r>
      <w:proofErr w:type="spellStart"/>
      <w:r w:rsidRPr="009644D5">
        <w:rPr>
          <w:sz w:val="24"/>
          <w:szCs w:val="24"/>
        </w:rPr>
        <w:t>calciumionernes</w:t>
      </w:r>
      <w:proofErr w:type="spellEnd"/>
      <w:r w:rsidRPr="009644D5">
        <w:rPr>
          <w:sz w:val="24"/>
          <w:szCs w:val="24"/>
        </w:rPr>
        <w:t xml:space="preserve"> aktivitet, hvorved kombinationen med dissocierede anioner bliver lettere, og bidrager til en øget ionisering af urinsyre.</w:t>
      </w:r>
    </w:p>
    <w:p w14:paraId="40B147A8" w14:textId="77777777" w:rsidR="009644D5" w:rsidRPr="009644D5" w:rsidRDefault="009644D5" w:rsidP="009644D5">
      <w:pPr>
        <w:ind w:left="851"/>
        <w:rPr>
          <w:sz w:val="24"/>
          <w:szCs w:val="24"/>
        </w:rPr>
      </w:pPr>
    </w:p>
    <w:p w14:paraId="6C16BCAA" w14:textId="77777777" w:rsidR="009644D5" w:rsidRPr="009644D5" w:rsidRDefault="009644D5" w:rsidP="009644D5">
      <w:pPr>
        <w:ind w:left="851"/>
        <w:rPr>
          <w:sz w:val="24"/>
          <w:szCs w:val="24"/>
        </w:rPr>
      </w:pPr>
      <w:proofErr w:type="spellStart"/>
      <w:r w:rsidRPr="009644D5">
        <w:rPr>
          <w:sz w:val="24"/>
          <w:szCs w:val="24"/>
        </w:rPr>
        <w:t>Alkacit</w:t>
      </w:r>
      <w:proofErr w:type="spellEnd"/>
      <w:r w:rsidRPr="009644D5">
        <w:rPr>
          <w:sz w:val="24"/>
          <w:szCs w:val="24"/>
        </w:rPr>
        <w:t xml:space="preserve"> ændrer ikke urinmætningen af calciumfosfat, idet effekten af den øgede </w:t>
      </w:r>
      <w:proofErr w:type="spellStart"/>
      <w:r w:rsidRPr="009644D5">
        <w:rPr>
          <w:sz w:val="24"/>
          <w:szCs w:val="24"/>
        </w:rPr>
        <w:t>citratkompleksering</w:t>
      </w:r>
      <w:proofErr w:type="spellEnd"/>
      <w:r w:rsidRPr="009644D5">
        <w:rPr>
          <w:sz w:val="24"/>
          <w:szCs w:val="24"/>
        </w:rPr>
        <w:t xml:space="preserve"> af calcium modvirkes af stigningen i den pH-afhængige dissociation af fosfat. Calciumfosfatsten er mere stabile i basisk urin.</w:t>
      </w:r>
    </w:p>
    <w:p w14:paraId="506405EE" w14:textId="77777777" w:rsidR="009260DE" w:rsidRPr="009644D5" w:rsidRDefault="009260DE" w:rsidP="009644D5">
      <w:pPr>
        <w:ind w:left="851"/>
        <w:rPr>
          <w:sz w:val="24"/>
          <w:szCs w:val="24"/>
        </w:rPr>
      </w:pPr>
    </w:p>
    <w:p w14:paraId="2844633D" w14:textId="77777777" w:rsidR="009260DE" w:rsidRPr="009644D5" w:rsidRDefault="009260DE" w:rsidP="009260DE">
      <w:pPr>
        <w:tabs>
          <w:tab w:val="left" w:pos="851"/>
        </w:tabs>
        <w:ind w:left="851" w:hanging="851"/>
        <w:rPr>
          <w:b/>
          <w:sz w:val="24"/>
          <w:szCs w:val="24"/>
        </w:rPr>
      </w:pPr>
      <w:r w:rsidRPr="009644D5">
        <w:rPr>
          <w:b/>
          <w:sz w:val="24"/>
          <w:szCs w:val="24"/>
        </w:rPr>
        <w:t>5.2</w:t>
      </w:r>
      <w:r w:rsidRPr="009644D5">
        <w:rPr>
          <w:b/>
          <w:sz w:val="24"/>
          <w:szCs w:val="24"/>
        </w:rPr>
        <w:tab/>
      </w:r>
      <w:proofErr w:type="spellStart"/>
      <w:r w:rsidRPr="009644D5">
        <w:rPr>
          <w:b/>
          <w:sz w:val="24"/>
          <w:szCs w:val="24"/>
        </w:rPr>
        <w:t>Farmakokinetiske</w:t>
      </w:r>
      <w:proofErr w:type="spellEnd"/>
      <w:r w:rsidRPr="009644D5">
        <w:rPr>
          <w:b/>
          <w:sz w:val="24"/>
          <w:szCs w:val="24"/>
        </w:rPr>
        <w:t xml:space="preserve"> egenskaber</w:t>
      </w:r>
    </w:p>
    <w:p w14:paraId="3F6CDCB9" w14:textId="77777777" w:rsidR="009644D5" w:rsidRPr="009644D5" w:rsidRDefault="009644D5" w:rsidP="009644D5">
      <w:pPr>
        <w:ind w:left="851"/>
        <w:rPr>
          <w:rFonts w:eastAsia="Arial Unicode MS"/>
          <w:sz w:val="24"/>
          <w:szCs w:val="24"/>
        </w:rPr>
      </w:pPr>
      <w:proofErr w:type="spellStart"/>
      <w:r w:rsidRPr="009644D5">
        <w:rPr>
          <w:sz w:val="24"/>
          <w:szCs w:val="24"/>
        </w:rPr>
        <w:t>Alkacit</w:t>
      </w:r>
      <w:proofErr w:type="spellEnd"/>
      <w:r w:rsidRPr="009644D5">
        <w:rPr>
          <w:sz w:val="24"/>
          <w:szCs w:val="24"/>
        </w:rPr>
        <w:t xml:space="preserve"> absorberes næsten fuldstændigt fra den øvre del af mave-tarm-kanalen inden for 3 timer.</w:t>
      </w:r>
    </w:p>
    <w:p w14:paraId="4E5C6C04" w14:textId="77777777" w:rsidR="009644D5" w:rsidRPr="009644D5" w:rsidRDefault="009644D5" w:rsidP="009644D5">
      <w:pPr>
        <w:ind w:left="851"/>
        <w:rPr>
          <w:rFonts w:eastAsia="Arial Unicode MS"/>
          <w:sz w:val="24"/>
          <w:szCs w:val="24"/>
          <w:u w:val="single"/>
          <w:lang w:eastAsia="de-DE" w:bidi="de-DE"/>
        </w:rPr>
      </w:pPr>
    </w:p>
    <w:p w14:paraId="4AA8A1E1" w14:textId="77777777" w:rsidR="009644D5" w:rsidRPr="009644D5" w:rsidRDefault="009644D5" w:rsidP="009644D5">
      <w:pPr>
        <w:ind w:left="851"/>
        <w:rPr>
          <w:rFonts w:eastAsiaTheme="minorHAnsi"/>
          <w:color w:val="000000"/>
          <w:sz w:val="24"/>
          <w:szCs w:val="24"/>
          <w:lang w:bidi="en-US"/>
        </w:rPr>
      </w:pPr>
      <w:r w:rsidRPr="009644D5">
        <w:rPr>
          <w:sz w:val="24"/>
          <w:szCs w:val="24"/>
        </w:rPr>
        <w:t xml:space="preserve">Hos patienter med normal nyrefunktion ses en stigning i mængden af citrat i urinen inden for den første time efter administration af </w:t>
      </w:r>
      <w:proofErr w:type="spellStart"/>
      <w:r w:rsidRPr="009644D5">
        <w:rPr>
          <w:sz w:val="24"/>
          <w:szCs w:val="24"/>
        </w:rPr>
        <w:t>Alkacit</w:t>
      </w:r>
      <w:proofErr w:type="spellEnd"/>
      <w:r w:rsidRPr="009644D5">
        <w:rPr>
          <w:sz w:val="24"/>
          <w:szCs w:val="24"/>
        </w:rPr>
        <w:t xml:space="preserve"> ved en dosis på 2.160 mg (20 </w:t>
      </w:r>
      <w:proofErr w:type="spellStart"/>
      <w:r w:rsidRPr="009644D5">
        <w:rPr>
          <w:sz w:val="24"/>
          <w:szCs w:val="24"/>
        </w:rPr>
        <w:t>mEq</w:t>
      </w:r>
      <w:proofErr w:type="spellEnd"/>
      <w:r w:rsidRPr="009644D5">
        <w:rPr>
          <w:sz w:val="24"/>
          <w:szCs w:val="24"/>
        </w:rPr>
        <w:t xml:space="preserve">), og den varer ca. 12 timer. Ved flere doser når stigningen i citratudskillelsen sit højdepunkt på tredjedagen. </w:t>
      </w:r>
      <w:proofErr w:type="spellStart"/>
      <w:r w:rsidRPr="009644D5">
        <w:rPr>
          <w:sz w:val="24"/>
          <w:szCs w:val="24"/>
        </w:rPr>
        <w:t>Alkacit</w:t>
      </w:r>
      <w:proofErr w:type="spellEnd"/>
      <w:r w:rsidRPr="009644D5">
        <w:rPr>
          <w:sz w:val="24"/>
          <w:szCs w:val="24"/>
        </w:rPr>
        <w:t xml:space="preserve"> forhindrer den normalt store døgnfluktuation i citrat i urinen, hvorved citrat i urinen forbliver på et højere og mere konstant niveau hele dagen.</w:t>
      </w:r>
    </w:p>
    <w:p w14:paraId="42571911" w14:textId="77777777" w:rsidR="009644D5" w:rsidRPr="009644D5" w:rsidRDefault="009644D5" w:rsidP="009644D5">
      <w:pPr>
        <w:ind w:left="851"/>
        <w:rPr>
          <w:sz w:val="24"/>
          <w:szCs w:val="24"/>
        </w:rPr>
      </w:pPr>
    </w:p>
    <w:p w14:paraId="22698355" w14:textId="77777777" w:rsidR="009644D5" w:rsidRPr="009644D5" w:rsidRDefault="009644D5" w:rsidP="009644D5">
      <w:pPr>
        <w:ind w:left="851"/>
        <w:rPr>
          <w:sz w:val="24"/>
          <w:szCs w:val="24"/>
        </w:rPr>
      </w:pPr>
      <w:r w:rsidRPr="009644D5">
        <w:rPr>
          <w:sz w:val="24"/>
          <w:szCs w:val="24"/>
        </w:rPr>
        <w:t xml:space="preserve">Når behandlingen med </w:t>
      </w:r>
      <w:proofErr w:type="spellStart"/>
      <w:r w:rsidRPr="009644D5">
        <w:rPr>
          <w:sz w:val="24"/>
          <w:szCs w:val="24"/>
        </w:rPr>
        <w:t>Alkacit</w:t>
      </w:r>
      <w:proofErr w:type="spellEnd"/>
      <w:r w:rsidRPr="009644D5">
        <w:rPr>
          <w:sz w:val="24"/>
          <w:szCs w:val="24"/>
        </w:rPr>
        <w:t xml:space="preserve"> seponeres, vil urinens citratindhold vende tilbage til niveauet før behandlingen.</w:t>
      </w:r>
    </w:p>
    <w:p w14:paraId="44E02BC5" w14:textId="77777777" w:rsidR="009644D5" w:rsidRPr="009644D5" w:rsidRDefault="009644D5" w:rsidP="009644D5">
      <w:pPr>
        <w:ind w:left="851"/>
        <w:rPr>
          <w:sz w:val="24"/>
          <w:szCs w:val="24"/>
        </w:rPr>
      </w:pPr>
    </w:p>
    <w:p w14:paraId="66FC00E0" w14:textId="77777777" w:rsidR="009644D5" w:rsidRPr="009644D5" w:rsidRDefault="009644D5" w:rsidP="009644D5">
      <w:pPr>
        <w:ind w:left="851"/>
        <w:rPr>
          <w:sz w:val="24"/>
          <w:szCs w:val="24"/>
        </w:rPr>
      </w:pPr>
      <w:r w:rsidRPr="009644D5">
        <w:rPr>
          <w:sz w:val="24"/>
          <w:szCs w:val="24"/>
        </w:rPr>
        <w:t>Efter længere tids behandling øger administration af 6.480 mg (60 </w:t>
      </w:r>
      <w:proofErr w:type="spellStart"/>
      <w:proofErr w:type="gramStart"/>
      <w:r w:rsidRPr="009644D5">
        <w:rPr>
          <w:sz w:val="24"/>
          <w:szCs w:val="24"/>
        </w:rPr>
        <w:t>mEq</w:t>
      </w:r>
      <w:proofErr w:type="spellEnd"/>
      <w:r w:rsidRPr="009644D5">
        <w:rPr>
          <w:sz w:val="24"/>
          <w:szCs w:val="24"/>
        </w:rPr>
        <w:t>)/</w:t>
      </w:r>
      <w:proofErr w:type="gramEnd"/>
      <w:r w:rsidRPr="009644D5">
        <w:rPr>
          <w:sz w:val="24"/>
          <w:szCs w:val="24"/>
        </w:rPr>
        <w:t>dag urinens citrat- og pH-værdi med henholdsvis ca. 400 mg/dag og 0,7 enheder.</w:t>
      </w:r>
    </w:p>
    <w:p w14:paraId="2B114EFF" w14:textId="77777777" w:rsidR="009260DE" w:rsidRPr="009644D5" w:rsidRDefault="009260DE" w:rsidP="009260DE">
      <w:pPr>
        <w:tabs>
          <w:tab w:val="left" w:pos="851"/>
        </w:tabs>
        <w:ind w:left="851"/>
        <w:rPr>
          <w:sz w:val="24"/>
          <w:szCs w:val="24"/>
        </w:rPr>
      </w:pPr>
    </w:p>
    <w:p w14:paraId="521053D1" w14:textId="77777777" w:rsidR="009260DE" w:rsidRPr="009644D5" w:rsidRDefault="009260DE" w:rsidP="009260DE">
      <w:pPr>
        <w:tabs>
          <w:tab w:val="left" w:pos="851"/>
        </w:tabs>
        <w:ind w:left="851" w:hanging="851"/>
        <w:rPr>
          <w:b/>
          <w:sz w:val="24"/>
          <w:szCs w:val="24"/>
        </w:rPr>
      </w:pPr>
      <w:r w:rsidRPr="009644D5">
        <w:rPr>
          <w:b/>
          <w:sz w:val="24"/>
          <w:szCs w:val="24"/>
        </w:rPr>
        <w:t>5.3</w:t>
      </w:r>
      <w:r w:rsidRPr="009644D5">
        <w:rPr>
          <w:b/>
          <w:sz w:val="24"/>
          <w:szCs w:val="24"/>
        </w:rPr>
        <w:tab/>
      </w:r>
      <w:r w:rsidR="00BD7931" w:rsidRPr="009644D5">
        <w:rPr>
          <w:b/>
          <w:sz w:val="24"/>
          <w:szCs w:val="24"/>
        </w:rPr>
        <w:t>Non-</w:t>
      </w:r>
      <w:r w:rsidRPr="009644D5">
        <w:rPr>
          <w:b/>
          <w:sz w:val="24"/>
          <w:szCs w:val="24"/>
        </w:rPr>
        <w:t>kliniske sikkerhedsdata</w:t>
      </w:r>
    </w:p>
    <w:p w14:paraId="26651D24" w14:textId="77777777" w:rsidR="009644D5" w:rsidRPr="009644D5" w:rsidRDefault="009644D5" w:rsidP="009644D5">
      <w:pPr>
        <w:ind w:left="851"/>
        <w:rPr>
          <w:sz w:val="24"/>
          <w:szCs w:val="24"/>
        </w:rPr>
      </w:pPr>
      <w:r w:rsidRPr="009644D5">
        <w:rPr>
          <w:sz w:val="24"/>
          <w:szCs w:val="24"/>
        </w:rPr>
        <w:t xml:space="preserve">Non-kliniske data viser ingen speciel risiko for mennesker vurderet ud fra konventionelle studier af sikkerhedsfarmakologi, toksicitet efter gentagne doser, genotoksicitet, </w:t>
      </w:r>
      <w:proofErr w:type="spellStart"/>
      <w:r w:rsidRPr="009644D5">
        <w:rPr>
          <w:sz w:val="24"/>
          <w:szCs w:val="24"/>
        </w:rPr>
        <w:t>karcinogent</w:t>
      </w:r>
      <w:proofErr w:type="spellEnd"/>
      <w:r w:rsidRPr="009644D5">
        <w:rPr>
          <w:sz w:val="24"/>
          <w:szCs w:val="24"/>
        </w:rPr>
        <w:t xml:space="preserve"> potentiale samt reproduktions- og udviklingstoksicitet.</w:t>
      </w:r>
    </w:p>
    <w:p w14:paraId="74E615E3" w14:textId="77777777" w:rsidR="009260DE" w:rsidRPr="009644D5" w:rsidRDefault="009260DE" w:rsidP="009260DE">
      <w:pPr>
        <w:tabs>
          <w:tab w:val="left" w:pos="851"/>
        </w:tabs>
        <w:ind w:left="851"/>
        <w:rPr>
          <w:sz w:val="24"/>
          <w:szCs w:val="24"/>
        </w:rPr>
      </w:pPr>
    </w:p>
    <w:p w14:paraId="39E2897F" w14:textId="77777777" w:rsidR="009260DE" w:rsidRPr="009644D5" w:rsidRDefault="009260DE" w:rsidP="009260DE">
      <w:pPr>
        <w:tabs>
          <w:tab w:val="left" w:pos="851"/>
        </w:tabs>
        <w:ind w:left="851"/>
        <w:rPr>
          <w:sz w:val="24"/>
          <w:szCs w:val="24"/>
        </w:rPr>
      </w:pPr>
    </w:p>
    <w:p w14:paraId="42C1937F" w14:textId="77777777" w:rsidR="009260DE" w:rsidRPr="009644D5" w:rsidRDefault="009260DE" w:rsidP="009260DE">
      <w:pPr>
        <w:tabs>
          <w:tab w:val="left" w:pos="851"/>
        </w:tabs>
        <w:ind w:left="851" w:hanging="851"/>
        <w:rPr>
          <w:b/>
          <w:sz w:val="24"/>
          <w:szCs w:val="24"/>
        </w:rPr>
      </w:pPr>
      <w:r w:rsidRPr="009644D5">
        <w:rPr>
          <w:b/>
          <w:sz w:val="24"/>
          <w:szCs w:val="24"/>
        </w:rPr>
        <w:t>6.</w:t>
      </w:r>
      <w:r w:rsidRPr="009644D5">
        <w:rPr>
          <w:b/>
          <w:sz w:val="24"/>
          <w:szCs w:val="24"/>
        </w:rPr>
        <w:tab/>
        <w:t>FARMACEUTISKE OPLYSNINGER</w:t>
      </w:r>
    </w:p>
    <w:p w14:paraId="1744381F" w14:textId="77777777" w:rsidR="009260DE" w:rsidRPr="009644D5" w:rsidRDefault="009260DE" w:rsidP="009260DE">
      <w:pPr>
        <w:tabs>
          <w:tab w:val="left" w:pos="851"/>
        </w:tabs>
        <w:ind w:left="851"/>
        <w:rPr>
          <w:sz w:val="24"/>
          <w:szCs w:val="24"/>
        </w:rPr>
      </w:pPr>
    </w:p>
    <w:p w14:paraId="2F29AD98" w14:textId="77777777" w:rsidR="009260DE" w:rsidRPr="009644D5" w:rsidRDefault="009260DE" w:rsidP="009260DE">
      <w:pPr>
        <w:tabs>
          <w:tab w:val="left" w:pos="851"/>
        </w:tabs>
        <w:ind w:left="851" w:hanging="851"/>
        <w:rPr>
          <w:b/>
          <w:sz w:val="24"/>
          <w:szCs w:val="24"/>
        </w:rPr>
      </w:pPr>
      <w:r w:rsidRPr="009644D5">
        <w:rPr>
          <w:b/>
          <w:sz w:val="24"/>
          <w:szCs w:val="24"/>
        </w:rPr>
        <w:t>6.1</w:t>
      </w:r>
      <w:r w:rsidRPr="009644D5">
        <w:rPr>
          <w:b/>
          <w:sz w:val="24"/>
          <w:szCs w:val="24"/>
        </w:rPr>
        <w:tab/>
        <w:t>Hjælpestoffer</w:t>
      </w:r>
    </w:p>
    <w:p w14:paraId="3F1F1F71" w14:textId="77777777" w:rsidR="009644D5" w:rsidRPr="009644D5" w:rsidRDefault="009644D5" w:rsidP="009644D5">
      <w:pPr>
        <w:ind w:left="851"/>
        <w:rPr>
          <w:rFonts w:eastAsia="Arial Unicode MS"/>
          <w:sz w:val="24"/>
          <w:szCs w:val="24"/>
        </w:rPr>
      </w:pPr>
      <w:proofErr w:type="spellStart"/>
      <w:r w:rsidRPr="009644D5">
        <w:rPr>
          <w:sz w:val="24"/>
          <w:szCs w:val="24"/>
        </w:rPr>
        <w:t>Carnaubavoks</w:t>
      </w:r>
      <w:proofErr w:type="spellEnd"/>
    </w:p>
    <w:p w14:paraId="28060CB7" w14:textId="77777777" w:rsidR="009644D5" w:rsidRPr="009644D5" w:rsidRDefault="009644D5" w:rsidP="009644D5">
      <w:pPr>
        <w:ind w:left="851"/>
        <w:rPr>
          <w:rFonts w:eastAsia="Arial Unicode MS"/>
          <w:sz w:val="24"/>
          <w:szCs w:val="24"/>
        </w:rPr>
      </w:pPr>
      <w:proofErr w:type="spellStart"/>
      <w:r w:rsidRPr="009644D5">
        <w:rPr>
          <w:sz w:val="24"/>
          <w:szCs w:val="24"/>
        </w:rPr>
        <w:t>Magnesiumstearat</w:t>
      </w:r>
      <w:proofErr w:type="spellEnd"/>
    </w:p>
    <w:p w14:paraId="1B817ADD" w14:textId="77777777" w:rsidR="009260DE" w:rsidRPr="009644D5" w:rsidRDefault="009260DE" w:rsidP="009260DE">
      <w:pPr>
        <w:tabs>
          <w:tab w:val="left" w:pos="851"/>
        </w:tabs>
        <w:ind w:left="851"/>
        <w:rPr>
          <w:sz w:val="24"/>
          <w:szCs w:val="24"/>
        </w:rPr>
      </w:pPr>
    </w:p>
    <w:p w14:paraId="51532ED9" w14:textId="77777777" w:rsidR="009260DE" w:rsidRPr="009644D5" w:rsidRDefault="009260DE" w:rsidP="009260DE">
      <w:pPr>
        <w:tabs>
          <w:tab w:val="left" w:pos="851"/>
        </w:tabs>
        <w:ind w:left="851" w:hanging="851"/>
        <w:rPr>
          <w:b/>
          <w:sz w:val="24"/>
          <w:szCs w:val="24"/>
        </w:rPr>
      </w:pPr>
      <w:r w:rsidRPr="009644D5">
        <w:rPr>
          <w:b/>
          <w:sz w:val="24"/>
          <w:szCs w:val="24"/>
        </w:rPr>
        <w:t>6.2</w:t>
      </w:r>
      <w:r w:rsidRPr="009644D5">
        <w:rPr>
          <w:b/>
          <w:sz w:val="24"/>
          <w:szCs w:val="24"/>
        </w:rPr>
        <w:tab/>
        <w:t>Uforligeligheder</w:t>
      </w:r>
    </w:p>
    <w:p w14:paraId="0C53C533" w14:textId="77777777" w:rsidR="009644D5" w:rsidRPr="009644D5" w:rsidRDefault="009644D5" w:rsidP="009644D5">
      <w:pPr>
        <w:ind w:left="851"/>
        <w:rPr>
          <w:rFonts w:eastAsia="Arial Unicode MS"/>
          <w:sz w:val="24"/>
          <w:szCs w:val="24"/>
        </w:rPr>
      </w:pPr>
      <w:r w:rsidRPr="009644D5">
        <w:rPr>
          <w:sz w:val="24"/>
          <w:szCs w:val="24"/>
        </w:rPr>
        <w:t>Ikke relevant.</w:t>
      </w:r>
    </w:p>
    <w:p w14:paraId="4FB4CFCC" w14:textId="77777777" w:rsidR="009260DE" w:rsidRPr="009644D5" w:rsidRDefault="009260DE" w:rsidP="009260DE">
      <w:pPr>
        <w:tabs>
          <w:tab w:val="left" w:pos="851"/>
        </w:tabs>
        <w:ind w:left="851"/>
        <w:rPr>
          <w:sz w:val="24"/>
          <w:szCs w:val="24"/>
        </w:rPr>
      </w:pPr>
    </w:p>
    <w:p w14:paraId="6694A47E" w14:textId="77777777" w:rsidR="009260DE" w:rsidRPr="009644D5" w:rsidRDefault="009260DE" w:rsidP="009260DE">
      <w:pPr>
        <w:tabs>
          <w:tab w:val="left" w:pos="851"/>
        </w:tabs>
        <w:ind w:left="851" w:hanging="851"/>
        <w:rPr>
          <w:b/>
          <w:sz w:val="24"/>
          <w:szCs w:val="24"/>
        </w:rPr>
      </w:pPr>
      <w:r w:rsidRPr="009644D5">
        <w:rPr>
          <w:b/>
          <w:sz w:val="24"/>
          <w:szCs w:val="24"/>
        </w:rPr>
        <w:t>6.3</w:t>
      </w:r>
      <w:r w:rsidRPr="009644D5">
        <w:rPr>
          <w:b/>
          <w:sz w:val="24"/>
          <w:szCs w:val="24"/>
        </w:rPr>
        <w:tab/>
        <w:t>Opbevaringstid</w:t>
      </w:r>
    </w:p>
    <w:p w14:paraId="5B6A83EC" w14:textId="2184312D" w:rsidR="009644D5" w:rsidRPr="009644D5" w:rsidRDefault="00AF1CDA" w:rsidP="009644D5">
      <w:pPr>
        <w:ind w:left="851"/>
        <w:rPr>
          <w:rFonts w:eastAsia="Arial Unicode MS"/>
          <w:sz w:val="24"/>
          <w:szCs w:val="24"/>
        </w:rPr>
      </w:pPr>
      <w:r>
        <w:rPr>
          <w:sz w:val="24"/>
          <w:szCs w:val="24"/>
        </w:rPr>
        <w:t>2 år</w:t>
      </w:r>
      <w:r w:rsidR="009644D5" w:rsidRPr="009644D5">
        <w:rPr>
          <w:sz w:val="24"/>
          <w:szCs w:val="24"/>
        </w:rPr>
        <w:t>.</w:t>
      </w:r>
    </w:p>
    <w:p w14:paraId="50865C93" w14:textId="77777777" w:rsidR="009260DE" w:rsidRPr="009644D5" w:rsidRDefault="009260DE" w:rsidP="009260DE">
      <w:pPr>
        <w:tabs>
          <w:tab w:val="left" w:pos="851"/>
        </w:tabs>
        <w:ind w:left="851"/>
        <w:rPr>
          <w:sz w:val="24"/>
          <w:szCs w:val="24"/>
        </w:rPr>
      </w:pPr>
    </w:p>
    <w:p w14:paraId="4D9A5D6D" w14:textId="77777777" w:rsidR="009260DE" w:rsidRPr="009644D5" w:rsidRDefault="009260DE" w:rsidP="009260DE">
      <w:pPr>
        <w:tabs>
          <w:tab w:val="left" w:pos="851"/>
        </w:tabs>
        <w:ind w:left="851" w:hanging="851"/>
        <w:rPr>
          <w:b/>
          <w:sz w:val="24"/>
          <w:szCs w:val="24"/>
        </w:rPr>
      </w:pPr>
      <w:r w:rsidRPr="009644D5">
        <w:rPr>
          <w:b/>
          <w:sz w:val="24"/>
          <w:szCs w:val="24"/>
        </w:rPr>
        <w:t>6.4</w:t>
      </w:r>
      <w:r w:rsidRPr="009644D5">
        <w:rPr>
          <w:b/>
          <w:sz w:val="24"/>
          <w:szCs w:val="24"/>
        </w:rPr>
        <w:tab/>
        <w:t>Særlige opbevaringsforhold</w:t>
      </w:r>
    </w:p>
    <w:p w14:paraId="321B4E4E" w14:textId="77777777" w:rsidR="009644D5" w:rsidRPr="009644D5" w:rsidRDefault="009644D5" w:rsidP="009644D5">
      <w:pPr>
        <w:ind w:left="851"/>
        <w:rPr>
          <w:rFonts w:eastAsia="Arial Unicode MS"/>
          <w:sz w:val="24"/>
          <w:szCs w:val="24"/>
        </w:rPr>
      </w:pPr>
      <w:r w:rsidRPr="009644D5">
        <w:rPr>
          <w:sz w:val="24"/>
          <w:szCs w:val="24"/>
        </w:rPr>
        <w:t>Opbevares i den originale yderpakning for at beskytte mod fugt.</w:t>
      </w:r>
    </w:p>
    <w:p w14:paraId="11AD50F1" w14:textId="77777777" w:rsidR="009260DE" w:rsidRPr="009644D5" w:rsidRDefault="009260DE" w:rsidP="009260DE">
      <w:pPr>
        <w:tabs>
          <w:tab w:val="left" w:pos="851"/>
        </w:tabs>
        <w:ind w:left="851"/>
        <w:rPr>
          <w:sz w:val="24"/>
          <w:szCs w:val="24"/>
        </w:rPr>
      </w:pPr>
    </w:p>
    <w:p w14:paraId="4106D99C" w14:textId="77777777" w:rsidR="009260DE" w:rsidRPr="009644D5" w:rsidRDefault="009260DE" w:rsidP="009260DE">
      <w:pPr>
        <w:tabs>
          <w:tab w:val="left" w:pos="851"/>
        </w:tabs>
        <w:ind w:left="851" w:hanging="851"/>
        <w:rPr>
          <w:b/>
          <w:sz w:val="24"/>
          <w:szCs w:val="24"/>
        </w:rPr>
      </w:pPr>
      <w:r w:rsidRPr="009644D5">
        <w:rPr>
          <w:b/>
          <w:sz w:val="24"/>
          <w:szCs w:val="24"/>
        </w:rPr>
        <w:t>6.5</w:t>
      </w:r>
      <w:r w:rsidRPr="009644D5">
        <w:rPr>
          <w:b/>
          <w:sz w:val="24"/>
          <w:szCs w:val="24"/>
        </w:rPr>
        <w:tab/>
        <w:t>Emballagetype og pakningsstørrelser</w:t>
      </w:r>
    </w:p>
    <w:p w14:paraId="43F04624" w14:textId="77777777" w:rsidR="009644D5" w:rsidRPr="009644D5" w:rsidRDefault="009644D5" w:rsidP="009644D5">
      <w:pPr>
        <w:ind w:left="851"/>
        <w:rPr>
          <w:rFonts w:eastAsiaTheme="minorHAnsi"/>
          <w:color w:val="0A0D0A"/>
          <w:sz w:val="24"/>
          <w:szCs w:val="24"/>
        </w:rPr>
      </w:pPr>
      <w:r w:rsidRPr="009644D5">
        <w:rPr>
          <w:color w:val="0A0D0A"/>
          <w:sz w:val="24"/>
          <w:szCs w:val="24"/>
        </w:rPr>
        <w:t xml:space="preserve">Dette lægemiddel er pakket i en flaske af </w:t>
      </w:r>
      <w:proofErr w:type="spellStart"/>
      <w:r w:rsidRPr="009644D5">
        <w:rPr>
          <w:color w:val="0A0D0A"/>
          <w:sz w:val="24"/>
          <w:szCs w:val="24"/>
        </w:rPr>
        <w:t>polyethylen</w:t>
      </w:r>
      <w:proofErr w:type="spellEnd"/>
      <w:r w:rsidRPr="009644D5">
        <w:rPr>
          <w:color w:val="0A0D0A"/>
          <w:sz w:val="24"/>
          <w:szCs w:val="24"/>
        </w:rPr>
        <w:t xml:space="preserve"> (HDPE), som er lukket med et sikkerhedslåg med en PE/PP/Al-indlæg af aluminium. Flasken er mærket og pakket i en æske.</w:t>
      </w:r>
    </w:p>
    <w:p w14:paraId="73BFA93E" w14:textId="77777777" w:rsidR="009644D5" w:rsidRPr="009644D5" w:rsidRDefault="009644D5" w:rsidP="009644D5">
      <w:pPr>
        <w:ind w:left="851"/>
        <w:rPr>
          <w:color w:val="0A0D0A"/>
          <w:sz w:val="24"/>
          <w:szCs w:val="24"/>
        </w:rPr>
      </w:pPr>
    </w:p>
    <w:p w14:paraId="1ACCAB62" w14:textId="77777777" w:rsidR="009644D5" w:rsidRPr="009644D5" w:rsidRDefault="009644D5" w:rsidP="009644D5">
      <w:pPr>
        <w:ind w:left="851"/>
        <w:rPr>
          <w:color w:val="0A0D0A"/>
          <w:sz w:val="24"/>
          <w:szCs w:val="24"/>
        </w:rPr>
      </w:pPr>
      <w:r w:rsidRPr="009644D5">
        <w:rPr>
          <w:color w:val="0A0D0A"/>
          <w:sz w:val="24"/>
          <w:szCs w:val="24"/>
        </w:rPr>
        <w:t>Pakningsstørrelse: 100 tabletter med modificeret udløsning.</w:t>
      </w:r>
    </w:p>
    <w:p w14:paraId="38D78BD2" w14:textId="77777777" w:rsidR="009644D5" w:rsidRPr="009644D5" w:rsidRDefault="009644D5" w:rsidP="009644D5">
      <w:pPr>
        <w:ind w:left="851"/>
        <w:rPr>
          <w:color w:val="0A0D0A"/>
          <w:sz w:val="24"/>
          <w:szCs w:val="24"/>
        </w:rPr>
      </w:pPr>
    </w:p>
    <w:p w14:paraId="401BBA20" w14:textId="77777777" w:rsidR="009644D5" w:rsidRPr="009644D5" w:rsidRDefault="009644D5" w:rsidP="009644D5">
      <w:pPr>
        <w:ind w:left="851"/>
        <w:rPr>
          <w:sz w:val="24"/>
          <w:szCs w:val="24"/>
        </w:rPr>
      </w:pPr>
      <w:r w:rsidRPr="009644D5">
        <w:rPr>
          <w:sz w:val="24"/>
          <w:szCs w:val="24"/>
        </w:rPr>
        <w:t>Ikke alle pakningsstørrelser er nødvendigvis markedsført.</w:t>
      </w:r>
    </w:p>
    <w:p w14:paraId="5A5B7331" w14:textId="77777777" w:rsidR="009260DE" w:rsidRPr="009644D5" w:rsidRDefault="009260DE" w:rsidP="009260DE">
      <w:pPr>
        <w:tabs>
          <w:tab w:val="left" w:pos="851"/>
        </w:tabs>
        <w:ind w:left="851"/>
        <w:rPr>
          <w:sz w:val="24"/>
          <w:szCs w:val="24"/>
        </w:rPr>
      </w:pPr>
    </w:p>
    <w:p w14:paraId="015F14AB" w14:textId="77777777" w:rsidR="009260DE" w:rsidRPr="009644D5" w:rsidRDefault="009260DE" w:rsidP="009260DE">
      <w:pPr>
        <w:tabs>
          <w:tab w:val="left" w:pos="851"/>
        </w:tabs>
        <w:ind w:left="851" w:hanging="851"/>
        <w:rPr>
          <w:b/>
          <w:sz w:val="24"/>
          <w:szCs w:val="24"/>
        </w:rPr>
      </w:pPr>
      <w:r w:rsidRPr="009644D5">
        <w:rPr>
          <w:b/>
          <w:sz w:val="24"/>
          <w:szCs w:val="24"/>
        </w:rPr>
        <w:t>6.6</w:t>
      </w:r>
      <w:r w:rsidRPr="009644D5">
        <w:rPr>
          <w:b/>
          <w:sz w:val="24"/>
          <w:szCs w:val="24"/>
        </w:rPr>
        <w:tab/>
        <w:t xml:space="preserve">Regler for </w:t>
      </w:r>
      <w:r w:rsidR="00BD7931" w:rsidRPr="009644D5">
        <w:rPr>
          <w:b/>
          <w:sz w:val="24"/>
          <w:szCs w:val="24"/>
        </w:rPr>
        <w:t>bortskaffelse</w:t>
      </w:r>
      <w:r w:rsidRPr="009644D5">
        <w:rPr>
          <w:b/>
          <w:sz w:val="24"/>
          <w:szCs w:val="24"/>
        </w:rPr>
        <w:t xml:space="preserve"> og anden håndtering</w:t>
      </w:r>
    </w:p>
    <w:p w14:paraId="3E870CB3" w14:textId="77777777" w:rsidR="009644D5" w:rsidRPr="009644D5" w:rsidRDefault="009644D5" w:rsidP="009644D5">
      <w:pPr>
        <w:ind w:left="851"/>
        <w:rPr>
          <w:sz w:val="24"/>
          <w:szCs w:val="24"/>
        </w:rPr>
      </w:pPr>
      <w:r w:rsidRPr="009644D5">
        <w:rPr>
          <w:sz w:val="24"/>
          <w:szCs w:val="24"/>
        </w:rPr>
        <w:t>Ingen særlige forholdsregler.</w:t>
      </w:r>
    </w:p>
    <w:p w14:paraId="5DFF04E5" w14:textId="77777777" w:rsidR="009644D5" w:rsidRPr="009644D5" w:rsidRDefault="009644D5" w:rsidP="009644D5">
      <w:pPr>
        <w:ind w:left="851"/>
        <w:rPr>
          <w:rFonts w:eastAsia="SimSun"/>
          <w:kern w:val="2"/>
          <w:sz w:val="24"/>
          <w:szCs w:val="24"/>
        </w:rPr>
      </w:pPr>
    </w:p>
    <w:p w14:paraId="1B6BA52D" w14:textId="77777777" w:rsidR="009644D5" w:rsidRPr="009644D5" w:rsidRDefault="009644D5" w:rsidP="009644D5">
      <w:pPr>
        <w:ind w:left="851"/>
        <w:rPr>
          <w:rFonts w:eastAsiaTheme="minorHAnsi"/>
          <w:sz w:val="24"/>
          <w:szCs w:val="24"/>
        </w:rPr>
      </w:pPr>
      <w:r w:rsidRPr="009644D5">
        <w:rPr>
          <w:sz w:val="24"/>
          <w:szCs w:val="24"/>
        </w:rPr>
        <w:t>Ikke anvendt lægemiddel samt affald heraf skal bortskaffes i henhold til lokale retningslinjer.</w:t>
      </w:r>
    </w:p>
    <w:p w14:paraId="58318CBF" w14:textId="77777777" w:rsidR="009260DE" w:rsidRPr="009644D5" w:rsidRDefault="009260DE" w:rsidP="000730CA">
      <w:pPr>
        <w:tabs>
          <w:tab w:val="left" w:pos="851"/>
        </w:tabs>
        <w:ind w:left="851"/>
        <w:rPr>
          <w:sz w:val="24"/>
          <w:szCs w:val="24"/>
        </w:rPr>
      </w:pPr>
    </w:p>
    <w:p w14:paraId="7FF16E19" w14:textId="77777777" w:rsidR="009260DE" w:rsidRPr="009644D5" w:rsidRDefault="009260DE" w:rsidP="009260DE">
      <w:pPr>
        <w:tabs>
          <w:tab w:val="left" w:pos="851"/>
        </w:tabs>
        <w:ind w:left="851" w:hanging="851"/>
        <w:rPr>
          <w:b/>
          <w:sz w:val="24"/>
          <w:szCs w:val="24"/>
        </w:rPr>
      </w:pPr>
      <w:r w:rsidRPr="009644D5">
        <w:rPr>
          <w:b/>
          <w:sz w:val="24"/>
          <w:szCs w:val="24"/>
        </w:rPr>
        <w:t>7.</w:t>
      </w:r>
      <w:r w:rsidRPr="009644D5">
        <w:rPr>
          <w:b/>
          <w:sz w:val="24"/>
          <w:szCs w:val="24"/>
        </w:rPr>
        <w:tab/>
        <w:t>INDEHAVER AF MARKEDSFØRINGSTILLADELSEN</w:t>
      </w:r>
    </w:p>
    <w:p w14:paraId="4E80BCB3" w14:textId="77777777" w:rsidR="0094752A" w:rsidRPr="00294AB9" w:rsidRDefault="0094752A" w:rsidP="009644D5">
      <w:pPr>
        <w:ind w:left="851"/>
        <w:rPr>
          <w:sz w:val="24"/>
          <w:szCs w:val="24"/>
        </w:rPr>
      </w:pPr>
      <w:r w:rsidRPr="00294AB9">
        <w:rPr>
          <w:sz w:val="24"/>
          <w:szCs w:val="24"/>
        </w:rPr>
        <w:t>XGX Pharma ApS</w:t>
      </w:r>
    </w:p>
    <w:p w14:paraId="357E62D6" w14:textId="6D937F1F" w:rsidR="009644D5" w:rsidRPr="00294AB9" w:rsidRDefault="009644D5" w:rsidP="009644D5">
      <w:pPr>
        <w:ind w:left="851"/>
        <w:rPr>
          <w:rFonts w:eastAsia="Arial Unicode MS"/>
          <w:sz w:val="24"/>
          <w:szCs w:val="24"/>
        </w:rPr>
      </w:pPr>
      <w:r w:rsidRPr="00294AB9">
        <w:rPr>
          <w:sz w:val="24"/>
          <w:szCs w:val="24"/>
        </w:rPr>
        <w:t>Frederiksgade 11, st. th.</w:t>
      </w:r>
    </w:p>
    <w:p w14:paraId="4CA28DAC" w14:textId="77777777" w:rsidR="009644D5" w:rsidRPr="009644D5" w:rsidRDefault="009644D5" w:rsidP="009644D5">
      <w:pPr>
        <w:ind w:left="851"/>
        <w:rPr>
          <w:rFonts w:eastAsia="Arial Unicode MS"/>
          <w:sz w:val="24"/>
          <w:szCs w:val="24"/>
        </w:rPr>
      </w:pPr>
      <w:r w:rsidRPr="009644D5">
        <w:rPr>
          <w:sz w:val="24"/>
          <w:szCs w:val="24"/>
        </w:rPr>
        <w:t>1265 København K</w:t>
      </w:r>
    </w:p>
    <w:p w14:paraId="0B4842F0" w14:textId="77777777" w:rsidR="00641C65" w:rsidRPr="009644D5" w:rsidRDefault="00641C65" w:rsidP="009260DE">
      <w:pPr>
        <w:tabs>
          <w:tab w:val="left" w:pos="851"/>
        </w:tabs>
        <w:ind w:left="851"/>
        <w:rPr>
          <w:sz w:val="24"/>
          <w:szCs w:val="24"/>
        </w:rPr>
      </w:pPr>
    </w:p>
    <w:p w14:paraId="6E3CAD21" w14:textId="77777777" w:rsidR="009260DE" w:rsidRPr="009644D5" w:rsidRDefault="009260DE" w:rsidP="009260DE">
      <w:pPr>
        <w:tabs>
          <w:tab w:val="left" w:pos="851"/>
        </w:tabs>
        <w:ind w:left="851" w:hanging="851"/>
        <w:rPr>
          <w:b/>
          <w:sz w:val="24"/>
          <w:szCs w:val="24"/>
        </w:rPr>
      </w:pPr>
      <w:r w:rsidRPr="009644D5">
        <w:rPr>
          <w:b/>
          <w:sz w:val="24"/>
          <w:szCs w:val="24"/>
        </w:rPr>
        <w:t>8.</w:t>
      </w:r>
      <w:r w:rsidRPr="009644D5">
        <w:rPr>
          <w:b/>
          <w:sz w:val="24"/>
          <w:szCs w:val="24"/>
        </w:rPr>
        <w:tab/>
        <w:t>MARKEDSFØRINGSTILLADELSESNUMMER (</w:t>
      </w:r>
      <w:r w:rsidR="00BF6243" w:rsidRPr="009644D5">
        <w:rPr>
          <w:b/>
          <w:sz w:val="24"/>
          <w:szCs w:val="24"/>
        </w:rPr>
        <w:t>-</w:t>
      </w:r>
      <w:r w:rsidRPr="009644D5">
        <w:rPr>
          <w:b/>
          <w:sz w:val="24"/>
          <w:szCs w:val="24"/>
        </w:rPr>
        <w:t>NUMRE)</w:t>
      </w:r>
    </w:p>
    <w:p w14:paraId="28CAB0D1" w14:textId="4365347A" w:rsidR="009260DE" w:rsidRPr="009644D5" w:rsidRDefault="009644D5" w:rsidP="009260DE">
      <w:pPr>
        <w:tabs>
          <w:tab w:val="left" w:pos="851"/>
        </w:tabs>
        <w:ind w:left="851"/>
        <w:rPr>
          <w:sz w:val="24"/>
          <w:szCs w:val="24"/>
        </w:rPr>
      </w:pPr>
      <w:r w:rsidRPr="009644D5">
        <w:rPr>
          <w:sz w:val="24"/>
          <w:szCs w:val="24"/>
        </w:rPr>
        <w:t>68667</w:t>
      </w:r>
    </w:p>
    <w:p w14:paraId="02EE1613" w14:textId="77777777" w:rsidR="009260DE" w:rsidRPr="009644D5" w:rsidRDefault="009260DE" w:rsidP="009260DE">
      <w:pPr>
        <w:tabs>
          <w:tab w:val="left" w:pos="851"/>
        </w:tabs>
        <w:ind w:left="851"/>
        <w:jc w:val="both"/>
        <w:rPr>
          <w:sz w:val="24"/>
          <w:szCs w:val="24"/>
        </w:rPr>
      </w:pPr>
    </w:p>
    <w:p w14:paraId="02D189B5" w14:textId="77777777" w:rsidR="009260DE" w:rsidRPr="009644D5" w:rsidRDefault="009260DE" w:rsidP="009260DE">
      <w:pPr>
        <w:tabs>
          <w:tab w:val="left" w:pos="851"/>
        </w:tabs>
        <w:ind w:left="851" w:hanging="851"/>
        <w:rPr>
          <w:b/>
          <w:sz w:val="24"/>
          <w:szCs w:val="24"/>
        </w:rPr>
      </w:pPr>
      <w:r w:rsidRPr="009644D5">
        <w:rPr>
          <w:b/>
          <w:sz w:val="24"/>
          <w:szCs w:val="24"/>
        </w:rPr>
        <w:t>9.</w:t>
      </w:r>
      <w:r w:rsidRPr="009644D5">
        <w:rPr>
          <w:b/>
          <w:sz w:val="24"/>
          <w:szCs w:val="24"/>
        </w:rPr>
        <w:tab/>
        <w:t>DATO FOR FØRSTE MARKEDSFØRINGSTILLADELSE</w:t>
      </w:r>
    </w:p>
    <w:p w14:paraId="3B9C9E14" w14:textId="1189FA9A" w:rsidR="009260DE" w:rsidRPr="009644D5" w:rsidRDefault="00B31690" w:rsidP="009260DE">
      <w:pPr>
        <w:tabs>
          <w:tab w:val="left" w:pos="851"/>
        </w:tabs>
        <w:ind w:left="851"/>
        <w:rPr>
          <w:sz w:val="24"/>
          <w:szCs w:val="24"/>
        </w:rPr>
      </w:pPr>
      <w:r>
        <w:rPr>
          <w:sz w:val="24"/>
          <w:szCs w:val="24"/>
        </w:rPr>
        <w:t>13. februar 2024</w:t>
      </w:r>
    </w:p>
    <w:p w14:paraId="02692E05" w14:textId="77777777" w:rsidR="009260DE" w:rsidRPr="009644D5" w:rsidRDefault="009260DE" w:rsidP="009260DE">
      <w:pPr>
        <w:tabs>
          <w:tab w:val="left" w:pos="851"/>
        </w:tabs>
        <w:ind w:left="851"/>
        <w:rPr>
          <w:sz w:val="24"/>
          <w:szCs w:val="24"/>
        </w:rPr>
      </w:pPr>
    </w:p>
    <w:p w14:paraId="18172FF7" w14:textId="77777777" w:rsidR="009260DE" w:rsidRPr="009644D5" w:rsidRDefault="009260DE" w:rsidP="009260DE">
      <w:pPr>
        <w:tabs>
          <w:tab w:val="left" w:pos="851"/>
        </w:tabs>
        <w:ind w:left="851" w:hanging="851"/>
        <w:rPr>
          <w:b/>
          <w:sz w:val="24"/>
          <w:szCs w:val="24"/>
        </w:rPr>
      </w:pPr>
      <w:r w:rsidRPr="009644D5">
        <w:rPr>
          <w:b/>
          <w:sz w:val="24"/>
          <w:szCs w:val="24"/>
        </w:rPr>
        <w:t>10.</w:t>
      </w:r>
      <w:r w:rsidRPr="009644D5">
        <w:rPr>
          <w:b/>
          <w:sz w:val="24"/>
          <w:szCs w:val="24"/>
        </w:rPr>
        <w:tab/>
        <w:t>DATO FOR ÆNDRING AF TEKSTEN</w:t>
      </w:r>
    </w:p>
    <w:p w14:paraId="4C97C869" w14:textId="0DEAD62A" w:rsidR="009260DE" w:rsidRPr="009644D5" w:rsidRDefault="00AF1CDA" w:rsidP="009260DE">
      <w:pPr>
        <w:tabs>
          <w:tab w:val="left" w:pos="851"/>
        </w:tabs>
        <w:ind w:left="851"/>
        <w:rPr>
          <w:sz w:val="24"/>
          <w:szCs w:val="24"/>
        </w:rPr>
      </w:pPr>
      <w:r>
        <w:rPr>
          <w:sz w:val="24"/>
          <w:szCs w:val="24"/>
        </w:rPr>
        <w:t>21. januar 2025</w:t>
      </w:r>
    </w:p>
    <w:sectPr w:rsidR="009260DE" w:rsidRPr="009644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9344B" w14:textId="77777777" w:rsidR="00F6108D" w:rsidRDefault="00F6108D">
      <w:r>
        <w:separator/>
      </w:r>
    </w:p>
  </w:endnote>
  <w:endnote w:type="continuationSeparator" w:id="0">
    <w:p w14:paraId="4BDD6484" w14:textId="77777777" w:rsidR="00F6108D" w:rsidRDefault="00F6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0FCD" w14:textId="77777777" w:rsidR="000259B9" w:rsidRDefault="000259B9">
    <w:pPr>
      <w:pStyle w:val="Sidefod"/>
      <w:pBdr>
        <w:bottom w:val="single" w:sz="6" w:space="1" w:color="auto"/>
      </w:pBdr>
    </w:pPr>
  </w:p>
  <w:p w14:paraId="71E325E7" w14:textId="77777777" w:rsidR="000259B9" w:rsidRDefault="000259B9" w:rsidP="00C42586">
    <w:pPr>
      <w:pStyle w:val="Sidefod"/>
      <w:tabs>
        <w:tab w:val="clear" w:pos="4819"/>
        <w:tab w:val="left" w:pos="8505"/>
      </w:tabs>
      <w:rPr>
        <w:i/>
        <w:sz w:val="18"/>
        <w:szCs w:val="18"/>
      </w:rPr>
    </w:pPr>
  </w:p>
  <w:p w14:paraId="323207A1" w14:textId="19CD726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E7874">
      <w:rPr>
        <w:i/>
        <w:noProof/>
        <w:sz w:val="18"/>
        <w:szCs w:val="18"/>
      </w:rPr>
      <w:t>Alkacit, tabletter med modificeret udløsning 10 mEq.docx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8489" w14:textId="77777777" w:rsidR="00F6108D" w:rsidRDefault="00F6108D">
      <w:r>
        <w:separator/>
      </w:r>
    </w:p>
  </w:footnote>
  <w:footnote w:type="continuationSeparator" w:id="0">
    <w:p w14:paraId="72044B53" w14:textId="77777777" w:rsidR="00F6108D" w:rsidRDefault="00F6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2735D"/>
    <w:multiLevelType w:val="hybridMultilevel"/>
    <w:tmpl w:val="0C2C427A"/>
    <w:lvl w:ilvl="0" w:tplc="55D68A72">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861914"/>
    <w:multiLevelType w:val="hybridMultilevel"/>
    <w:tmpl w:val="B7FA6A08"/>
    <w:lvl w:ilvl="0" w:tplc="55D68A7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340000"/>
    <w:multiLevelType w:val="hybridMultilevel"/>
    <w:tmpl w:val="55BEEC4E"/>
    <w:lvl w:ilvl="0" w:tplc="55D68A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DDC4171"/>
    <w:multiLevelType w:val="hybridMultilevel"/>
    <w:tmpl w:val="AB1A92D6"/>
    <w:lvl w:ilvl="0" w:tplc="9E9C307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B06B89"/>
    <w:multiLevelType w:val="hybridMultilevel"/>
    <w:tmpl w:val="74AA20FC"/>
    <w:lvl w:ilvl="0" w:tplc="9E9C307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31545CD"/>
    <w:multiLevelType w:val="hybridMultilevel"/>
    <w:tmpl w:val="2BFA5A2A"/>
    <w:lvl w:ilvl="0" w:tplc="55D68A7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5334876"/>
    <w:multiLevelType w:val="hybridMultilevel"/>
    <w:tmpl w:val="3B545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F794073"/>
    <w:multiLevelType w:val="hybridMultilevel"/>
    <w:tmpl w:val="54A6FE38"/>
    <w:lvl w:ilvl="0" w:tplc="9E9C307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3"/>
  </w:num>
  <w:num w:numId="9">
    <w:abstractNumId w:val="1"/>
  </w:num>
  <w:num w:numId="10">
    <w:abstractNumId w:val="0"/>
  </w:num>
  <w:num w:numId="11">
    <w:abstractNumId w:val="10"/>
  </w:num>
  <w:num w:numId="12">
    <w:abstractNumId w:val="1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8D"/>
    <w:rsid w:val="000259B9"/>
    <w:rsid w:val="00041491"/>
    <w:rsid w:val="00050D16"/>
    <w:rsid w:val="000730CA"/>
    <w:rsid w:val="00074F2A"/>
    <w:rsid w:val="000A1CA8"/>
    <w:rsid w:val="000A466B"/>
    <w:rsid w:val="000B058C"/>
    <w:rsid w:val="000D68B0"/>
    <w:rsid w:val="000E4EE6"/>
    <w:rsid w:val="001454E2"/>
    <w:rsid w:val="00206CE8"/>
    <w:rsid w:val="0021526C"/>
    <w:rsid w:val="00227073"/>
    <w:rsid w:val="00283A2B"/>
    <w:rsid w:val="00294AB9"/>
    <w:rsid w:val="002B30AD"/>
    <w:rsid w:val="002C1EC0"/>
    <w:rsid w:val="002C2C01"/>
    <w:rsid w:val="002E7874"/>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4230B"/>
    <w:rsid w:val="0078011A"/>
    <w:rsid w:val="00782AF4"/>
    <w:rsid w:val="00790EE7"/>
    <w:rsid w:val="007B6649"/>
    <w:rsid w:val="0082576E"/>
    <w:rsid w:val="0089346F"/>
    <w:rsid w:val="00907F75"/>
    <w:rsid w:val="009260DE"/>
    <w:rsid w:val="0093258A"/>
    <w:rsid w:val="0094752A"/>
    <w:rsid w:val="009644D5"/>
    <w:rsid w:val="009C7BA3"/>
    <w:rsid w:val="009D1F5A"/>
    <w:rsid w:val="00A10294"/>
    <w:rsid w:val="00AF1CDA"/>
    <w:rsid w:val="00B003BF"/>
    <w:rsid w:val="00B31690"/>
    <w:rsid w:val="00B373D7"/>
    <w:rsid w:val="00B55271"/>
    <w:rsid w:val="00BB5071"/>
    <w:rsid w:val="00BD7931"/>
    <w:rsid w:val="00BE39A5"/>
    <w:rsid w:val="00BF6243"/>
    <w:rsid w:val="00C36276"/>
    <w:rsid w:val="00C37D9E"/>
    <w:rsid w:val="00C42586"/>
    <w:rsid w:val="00C45F6B"/>
    <w:rsid w:val="00C60CCD"/>
    <w:rsid w:val="00C84483"/>
    <w:rsid w:val="00C95551"/>
    <w:rsid w:val="00CB20D7"/>
    <w:rsid w:val="00D020B0"/>
    <w:rsid w:val="00D02EA9"/>
    <w:rsid w:val="00D11748"/>
    <w:rsid w:val="00D237F6"/>
    <w:rsid w:val="00D34D98"/>
    <w:rsid w:val="00D366CF"/>
    <w:rsid w:val="00D93992"/>
    <w:rsid w:val="00DB1470"/>
    <w:rsid w:val="00DB412C"/>
    <w:rsid w:val="00E108AA"/>
    <w:rsid w:val="00E3749A"/>
    <w:rsid w:val="00E7437F"/>
    <w:rsid w:val="00E865B8"/>
    <w:rsid w:val="00EC0B9B"/>
    <w:rsid w:val="00ED3866"/>
    <w:rsid w:val="00ED5E9F"/>
    <w:rsid w:val="00F01AA3"/>
    <w:rsid w:val="00F06BDC"/>
    <w:rsid w:val="00F6108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04F50"/>
  <w15:chartTrackingRefBased/>
  <w15:docId w15:val="{A9A46DB4-8935-449F-94C8-ED819A2B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644D5"/>
    <w:pPr>
      <w:spacing w:after="160" w:line="256" w:lineRule="auto"/>
      <w:ind w:left="720"/>
      <w:contextualSpacing/>
    </w:pPr>
    <w:rPr>
      <w:rFonts w:asciiTheme="minorHAnsi" w:eastAsiaTheme="minorHAnsi" w:hAnsiTheme="minorHAnsi" w:cstheme="minorBidi"/>
      <w:sz w:val="22"/>
      <w:szCs w:val="22"/>
    </w:rPr>
  </w:style>
  <w:style w:type="character" w:customStyle="1" w:styleId="akapitZnak">
    <w:name w:val="akapit Znak"/>
    <w:basedOn w:val="Standardskrifttypeiafsnit"/>
    <w:link w:val="akapit"/>
    <w:locked/>
    <w:rsid w:val="009644D5"/>
    <w:rPr>
      <w:rFonts w:ascii="Arial" w:hAnsi="Arial" w:cs="Arial"/>
      <w:color w:val="000000"/>
      <w:lang w:bidi="en-US"/>
    </w:rPr>
  </w:style>
  <w:style w:type="paragraph" w:customStyle="1" w:styleId="akapit">
    <w:name w:val="akapit"/>
    <w:basedOn w:val="Normal"/>
    <w:link w:val="akapitZnak"/>
    <w:qFormat/>
    <w:rsid w:val="009644D5"/>
    <w:pPr>
      <w:widowControl w:val="0"/>
      <w:spacing w:before="240"/>
      <w:ind w:left="426"/>
      <w:jc w:val="both"/>
    </w:pPr>
    <w:rPr>
      <w:rFonts w:ascii="Arial" w:hAnsi="Arial" w:cs="Arial"/>
      <w:color w:val="000000"/>
      <w:sz w:val="20"/>
      <w:lang w:eastAsia="da-DK" w:bidi="en-US"/>
    </w:rPr>
  </w:style>
  <w:style w:type="table" w:styleId="Tabel-Gitter">
    <w:name w:val="Table Grid"/>
    <w:basedOn w:val="Tabel-Normal"/>
    <w:uiPriority w:val="39"/>
    <w:rsid w:val="009644D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644D5"/>
    <w:pPr>
      <w:spacing w:before="100" w:beforeAutospacing="1" w:after="100" w:afterAutospacing="1"/>
    </w:pPr>
    <w:rPr>
      <w:sz w:val="24"/>
      <w:szCs w:val="24"/>
      <w:lang w:eastAsia="hr-HR"/>
    </w:rPr>
  </w:style>
  <w:style w:type="character" w:customStyle="1" w:styleId="cf01">
    <w:name w:val="cf01"/>
    <w:basedOn w:val="Standardskrifttypeiafsnit"/>
    <w:rsid w:val="009644D5"/>
    <w:rPr>
      <w:rFonts w:ascii="Segoe UI" w:hAnsi="Segoe UI" w:cs="Segoe UI" w:hint="default"/>
      <w:sz w:val="18"/>
      <w:szCs w:val="18"/>
      <w:u w:val="single"/>
    </w:rPr>
  </w:style>
  <w:style w:type="character" w:customStyle="1" w:styleId="cf21">
    <w:name w:val="cf21"/>
    <w:basedOn w:val="Standardskrifttypeiafsnit"/>
    <w:rsid w:val="009644D5"/>
    <w:rPr>
      <w:rFonts w:ascii="Segoe UI" w:hAnsi="Segoe UI" w:cs="Segoe UI" w:hint="default"/>
      <w:sz w:val="18"/>
      <w:szCs w:val="18"/>
    </w:rPr>
  </w:style>
  <w:style w:type="character" w:styleId="Hyperlink">
    <w:name w:val="Hyperlink"/>
    <w:basedOn w:val="Standardskrifttypeiafsnit"/>
    <w:uiPriority w:val="99"/>
    <w:semiHidden/>
    <w:unhideWhenUsed/>
    <w:rsid w:val="009644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8672">
      <w:bodyDiv w:val="1"/>
      <w:marLeft w:val="0"/>
      <w:marRight w:val="0"/>
      <w:marTop w:val="0"/>
      <w:marBottom w:val="0"/>
      <w:divBdr>
        <w:top w:val="none" w:sz="0" w:space="0" w:color="auto"/>
        <w:left w:val="none" w:sz="0" w:space="0" w:color="auto"/>
        <w:bottom w:val="none" w:sz="0" w:space="0" w:color="auto"/>
        <w:right w:val="none" w:sz="0" w:space="0" w:color="auto"/>
      </w:divBdr>
    </w:div>
    <w:div w:id="56247253">
      <w:bodyDiv w:val="1"/>
      <w:marLeft w:val="0"/>
      <w:marRight w:val="0"/>
      <w:marTop w:val="0"/>
      <w:marBottom w:val="0"/>
      <w:divBdr>
        <w:top w:val="none" w:sz="0" w:space="0" w:color="auto"/>
        <w:left w:val="none" w:sz="0" w:space="0" w:color="auto"/>
        <w:bottom w:val="none" w:sz="0" w:space="0" w:color="auto"/>
        <w:right w:val="none" w:sz="0" w:space="0" w:color="auto"/>
      </w:divBdr>
    </w:div>
    <w:div w:id="120732674">
      <w:bodyDiv w:val="1"/>
      <w:marLeft w:val="0"/>
      <w:marRight w:val="0"/>
      <w:marTop w:val="0"/>
      <w:marBottom w:val="0"/>
      <w:divBdr>
        <w:top w:val="none" w:sz="0" w:space="0" w:color="auto"/>
        <w:left w:val="none" w:sz="0" w:space="0" w:color="auto"/>
        <w:bottom w:val="none" w:sz="0" w:space="0" w:color="auto"/>
        <w:right w:val="none" w:sz="0" w:space="0" w:color="auto"/>
      </w:divBdr>
    </w:div>
    <w:div w:id="147402864">
      <w:bodyDiv w:val="1"/>
      <w:marLeft w:val="0"/>
      <w:marRight w:val="0"/>
      <w:marTop w:val="0"/>
      <w:marBottom w:val="0"/>
      <w:divBdr>
        <w:top w:val="none" w:sz="0" w:space="0" w:color="auto"/>
        <w:left w:val="none" w:sz="0" w:space="0" w:color="auto"/>
        <w:bottom w:val="none" w:sz="0" w:space="0" w:color="auto"/>
        <w:right w:val="none" w:sz="0" w:space="0" w:color="auto"/>
      </w:divBdr>
    </w:div>
    <w:div w:id="152989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8974911">
      <w:bodyDiv w:val="1"/>
      <w:marLeft w:val="0"/>
      <w:marRight w:val="0"/>
      <w:marTop w:val="0"/>
      <w:marBottom w:val="0"/>
      <w:divBdr>
        <w:top w:val="none" w:sz="0" w:space="0" w:color="auto"/>
        <w:left w:val="none" w:sz="0" w:space="0" w:color="auto"/>
        <w:bottom w:val="none" w:sz="0" w:space="0" w:color="auto"/>
        <w:right w:val="none" w:sz="0" w:space="0" w:color="auto"/>
      </w:divBdr>
    </w:div>
    <w:div w:id="654647016">
      <w:bodyDiv w:val="1"/>
      <w:marLeft w:val="0"/>
      <w:marRight w:val="0"/>
      <w:marTop w:val="0"/>
      <w:marBottom w:val="0"/>
      <w:divBdr>
        <w:top w:val="none" w:sz="0" w:space="0" w:color="auto"/>
        <w:left w:val="none" w:sz="0" w:space="0" w:color="auto"/>
        <w:bottom w:val="none" w:sz="0" w:space="0" w:color="auto"/>
        <w:right w:val="none" w:sz="0" w:space="0" w:color="auto"/>
      </w:divBdr>
    </w:div>
    <w:div w:id="784007495">
      <w:bodyDiv w:val="1"/>
      <w:marLeft w:val="0"/>
      <w:marRight w:val="0"/>
      <w:marTop w:val="0"/>
      <w:marBottom w:val="0"/>
      <w:divBdr>
        <w:top w:val="none" w:sz="0" w:space="0" w:color="auto"/>
        <w:left w:val="none" w:sz="0" w:space="0" w:color="auto"/>
        <w:bottom w:val="none" w:sz="0" w:space="0" w:color="auto"/>
        <w:right w:val="none" w:sz="0" w:space="0" w:color="auto"/>
      </w:divBdr>
    </w:div>
    <w:div w:id="839396064">
      <w:bodyDiv w:val="1"/>
      <w:marLeft w:val="0"/>
      <w:marRight w:val="0"/>
      <w:marTop w:val="0"/>
      <w:marBottom w:val="0"/>
      <w:divBdr>
        <w:top w:val="none" w:sz="0" w:space="0" w:color="auto"/>
        <w:left w:val="none" w:sz="0" w:space="0" w:color="auto"/>
        <w:bottom w:val="none" w:sz="0" w:space="0" w:color="auto"/>
        <w:right w:val="none" w:sz="0" w:space="0" w:color="auto"/>
      </w:divBdr>
    </w:div>
    <w:div w:id="879244076">
      <w:bodyDiv w:val="1"/>
      <w:marLeft w:val="0"/>
      <w:marRight w:val="0"/>
      <w:marTop w:val="0"/>
      <w:marBottom w:val="0"/>
      <w:divBdr>
        <w:top w:val="none" w:sz="0" w:space="0" w:color="auto"/>
        <w:left w:val="none" w:sz="0" w:space="0" w:color="auto"/>
        <w:bottom w:val="none" w:sz="0" w:space="0" w:color="auto"/>
        <w:right w:val="none" w:sz="0" w:space="0" w:color="auto"/>
      </w:divBdr>
    </w:div>
    <w:div w:id="969169307">
      <w:bodyDiv w:val="1"/>
      <w:marLeft w:val="0"/>
      <w:marRight w:val="0"/>
      <w:marTop w:val="0"/>
      <w:marBottom w:val="0"/>
      <w:divBdr>
        <w:top w:val="none" w:sz="0" w:space="0" w:color="auto"/>
        <w:left w:val="none" w:sz="0" w:space="0" w:color="auto"/>
        <w:bottom w:val="none" w:sz="0" w:space="0" w:color="auto"/>
        <w:right w:val="none" w:sz="0" w:space="0" w:color="auto"/>
      </w:divBdr>
    </w:div>
    <w:div w:id="1204290029">
      <w:bodyDiv w:val="1"/>
      <w:marLeft w:val="0"/>
      <w:marRight w:val="0"/>
      <w:marTop w:val="0"/>
      <w:marBottom w:val="0"/>
      <w:divBdr>
        <w:top w:val="none" w:sz="0" w:space="0" w:color="auto"/>
        <w:left w:val="none" w:sz="0" w:space="0" w:color="auto"/>
        <w:bottom w:val="none" w:sz="0" w:space="0" w:color="auto"/>
        <w:right w:val="none" w:sz="0" w:space="0" w:color="auto"/>
      </w:divBdr>
    </w:div>
    <w:div w:id="1314337262">
      <w:bodyDiv w:val="1"/>
      <w:marLeft w:val="0"/>
      <w:marRight w:val="0"/>
      <w:marTop w:val="0"/>
      <w:marBottom w:val="0"/>
      <w:divBdr>
        <w:top w:val="none" w:sz="0" w:space="0" w:color="auto"/>
        <w:left w:val="none" w:sz="0" w:space="0" w:color="auto"/>
        <w:bottom w:val="none" w:sz="0" w:space="0" w:color="auto"/>
        <w:right w:val="none" w:sz="0" w:space="0" w:color="auto"/>
      </w:divBdr>
    </w:div>
    <w:div w:id="1374311950">
      <w:bodyDiv w:val="1"/>
      <w:marLeft w:val="0"/>
      <w:marRight w:val="0"/>
      <w:marTop w:val="0"/>
      <w:marBottom w:val="0"/>
      <w:divBdr>
        <w:top w:val="none" w:sz="0" w:space="0" w:color="auto"/>
        <w:left w:val="none" w:sz="0" w:space="0" w:color="auto"/>
        <w:bottom w:val="none" w:sz="0" w:space="0" w:color="auto"/>
        <w:right w:val="none" w:sz="0" w:space="0" w:color="auto"/>
      </w:divBdr>
    </w:div>
    <w:div w:id="1442337659">
      <w:bodyDiv w:val="1"/>
      <w:marLeft w:val="0"/>
      <w:marRight w:val="0"/>
      <w:marTop w:val="0"/>
      <w:marBottom w:val="0"/>
      <w:divBdr>
        <w:top w:val="none" w:sz="0" w:space="0" w:color="auto"/>
        <w:left w:val="none" w:sz="0" w:space="0" w:color="auto"/>
        <w:bottom w:val="none" w:sz="0" w:space="0" w:color="auto"/>
        <w:right w:val="none" w:sz="0" w:space="0" w:color="auto"/>
      </w:divBdr>
    </w:div>
    <w:div w:id="1449162742">
      <w:bodyDiv w:val="1"/>
      <w:marLeft w:val="0"/>
      <w:marRight w:val="0"/>
      <w:marTop w:val="0"/>
      <w:marBottom w:val="0"/>
      <w:divBdr>
        <w:top w:val="none" w:sz="0" w:space="0" w:color="auto"/>
        <w:left w:val="none" w:sz="0" w:space="0" w:color="auto"/>
        <w:bottom w:val="none" w:sz="0" w:space="0" w:color="auto"/>
        <w:right w:val="none" w:sz="0" w:space="0" w:color="auto"/>
      </w:divBdr>
    </w:div>
    <w:div w:id="1642731869">
      <w:bodyDiv w:val="1"/>
      <w:marLeft w:val="0"/>
      <w:marRight w:val="0"/>
      <w:marTop w:val="0"/>
      <w:marBottom w:val="0"/>
      <w:divBdr>
        <w:top w:val="none" w:sz="0" w:space="0" w:color="auto"/>
        <w:left w:val="none" w:sz="0" w:space="0" w:color="auto"/>
        <w:bottom w:val="none" w:sz="0" w:space="0" w:color="auto"/>
        <w:right w:val="none" w:sz="0" w:space="0" w:color="auto"/>
      </w:divBdr>
    </w:div>
    <w:div w:id="1679037145">
      <w:bodyDiv w:val="1"/>
      <w:marLeft w:val="0"/>
      <w:marRight w:val="0"/>
      <w:marTop w:val="0"/>
      <w:marBottom w:val="0"/>
      <w:divBdr>
        <w:top w:val="none" w:sz="0" w:space="0" w:color="auto"/>
        <w:left w:val="none" w:sz="0" w:space="0" w:color="auto"/>
        <w:bottom w:val="none" w:sz="0" w:space="0" w:color="auto"/>
        <w:right w:val="none" w:sz="0" w:space="0" w:color="auto"/>
      </w:divBdr>
    </w:div>
    <w:div w:id="1897932558">
      <w:bodyDiv w:val="1"/>
      <w:marLeft w:val="0"/>
      <w:marRight w:val="0"/>
      <w:marTop w:val="0"/>
      <w:marBottom w:val="0"/>
      <w:divBdr>
        <w:top w:val="none" w:sz="0" w:space="0" w:color="auto"/>
        <w:left w:val="none" w:sz="0" w:space="0" w:color="auto"/>
        <w:bottom w:val="none" w:sz="0" w:space="0" w:color="auto"/>
        <w:right w:val="none" w:sz="0" w:space="0" w:color="auto"/>
      </w:divBdr>
    </w:div>
    <w:div w:id="1972245683">
      <w:bodyDiv w:val="1"/>
      <w:marLeft w:val="0"/>
      <w:marRight w:val="0"/>
      <w:marTop w:val="0"/>
      <w:marBottom w:val="0"/>
      <w:divBdr>
        <w:top w:val="none" w:sz="0" w:space="0" w:color="auto"/>
        <w:left w:val="none" w:sz="0" w:space="0" w:color="auto"/>
        <w:bottom w:val="none" w:sz="0" w:space="0" w:color="auto"/>
        <w:right w:val="none" w:sz="0" w:space="0" w:color="auto"/>
      </w:divBdr>
    </w:div>
    <w:div w:id="20263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8</Pages>
  <Words>1873</Words>
  <Characters>12838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2024071237, var. 1, holdbarhed ændret fra 18 mdr. til 2 år</dc:description>
  <cp:lastModifiedBy>Gitte Jørgensen</cp:lastModifiedBy>
  <cp:revision>5</cp:revision>
  <cp:lastPrinted>2012-08-22T08:53:00Z</cp:lastPrinted>
  <dcterms:created xsi:type="dcterms:W3CDTF">2025-01-21T09:42:00Z</dcterms:created>
  <dcterms:modified xsi:type="dcterms:W3CDTF">2025-01-21T09:46:00Z</dcterms:modified>
</cp:coreProperties>
</file>