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957A5"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278D4259" wp14:editId="71371FF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24745C6A" w14:textId="6B6B9FE5" w:rsidR="009260DE" w:rsidRDefault="009260DE" w:rsidP="009260DE">
      <w:pPr>
        <w:pStyle w:val="Titel"/>
        <w:tabs>
          <w:tab w:val="right" w:pos="9356"/>
        </w:tabs>
        <w:jc w:val="left"/>
        <w:rPr>
          <w:b w:val="0"/>
          <w:szCs w:val="24"/>
          <w:lang w:eastAsia="en-US"/>
        </w:rPr>
      </w:pPr>
    </w:p>
    <w:p w14:paraId="427F807A" w14:textId="77777777" w:rsidR="00392C9E" w:rsidRDefault="00392C9E" w:rsidP="009260DE">
      <w:pPr>
        <w:pStyle w:val="Titel"/>
        <w:tabs>
          <w:tab w:val="right" w:pos="9356"/>
        </w:tabs>
        <w:jc w:val="left"/>
        <w:rPr>
          <w:b w:val="0"/>
          <w:szCs w:val="24"/>
          <w:lang w:eastAsia="en-US"/>
        </w:rPr>
      </w:pPr>
    </w:p>
    <w:p w14:paraId="1F0A1192" w14:textId="4CE0FC62" w:rsidR="009260DE" w:rsidRPr="000954C4" w:rsidRDefault="009260DE" w:rsidP="009260DE">
      <w:pPr>
        <w:pStyle w:val="Titel"/>
        <w:tabs>
          <w:tab w:val="right" w:pos="9356"/>
        </w:tabs>
        <w:jc w:val="left"/>
        <w:rPr>
          <w:b w:val="0"/>
          <w:szCs w:val="24"/>
          <w:lang w:eastAsia="en-US"/>
        </w:rPr>
      </w:pPr>
      <w:r w:rsidRPr="00C84483">
        <w:rPr>
          <w:b w:val="0"/>
          <w:szCs w:val="24"/>
          <w:lang w:eastAsia="en-US"/>
        </w:rPr>
        <w:tab/>
      </w:r>
      <w:r w:rsidR="00392C9E">
        <w:rPr>
          <w:szCs w:val="24"/>
        </w:rPr>
        <w:t>30. juli 2024</w:t>
      </w:r>
    </w:p>
    <w:p w14:paraId="6050D751" w14:textId="77777777" w:rsidR="009260DE" w:rsidRPr="000954C4" w:rsidRDefault="009260DE" w:rsidP="009260DE">
      <w:pPr>
        <w:pStyle w:val="Titel"/>
        <w:tabs>
          <w:tab w:val="left" w:pos="8222"/>
        </w:tabs>
        <w:jc w:val="left"/>
        <w:rPr>
          <w:b w:val="0"/>
          <w:szCs w:val="24"/>
        </w:rPr>
      </w:pPr>
    </w:p>
    <w:p w14:paraId="186130FE" w14:textId="77777777" w:rsidR="009260DE" w:rsidRPr="000954C4" w:rsidRDefault="009260DE" w:rsidP="009260DE">
      <w:pPr>
        <w:pStyle w:val="Titel"/>
        <w:jc w:val="left"/>
        <w:rPr>
          <w:b w:val="0"/>
          <w:szCs w:val="24"/>
        </w:rPr>
      </w:pPr>
    </w:p>
    <w:p w14:paraId="63A14FB2" w14:textId="77777777" w:rsidR="009260DE" w:rsidRPr="000954C4" w:rsidRDefault="009260DE" w:rsidP="009260DE">
      <w:pPr>
        <w:pStyle w:val="Titel"/>
        <w:jc w:val="left"/>
        <w:rPr>
          <w:b w:val="0"/>
          <w:szCs w:val="24"/>
        </w:rPr>
      </w:pPr>
    </w:p>
    <w:p w14:paraId="3E7B4E2F" w14:textId="77777777" w:rsidR="009260DE" w:rsidRPr="000954C4" w:rsidRDefault="009260DE" w:rsidP="009260DE">
      <w:pPr>
        <w:jc w:val="center"/>
        <w:rPr>
          <w:b/>
          <w:sz w:val="24"/>
          <w:szCs w:val="24"/>
        </w:rPr>
      </w:pPr>
      <w:r w:rsidRPr="000954C4">
        <w:rPr>
          <w:b/>
          <w:sz w:val="24"/>
          <w:szCs w:val="24"/>
        </w:rPr>
        <w:t>PRODUKTRESUMÉ</w:t>
      </w:r>
    </w:p>
    <w:p w14:paraId="1B7337D8" w14:textId="77777777" w:rsidR="009260DE" w:rsidRPr="000954C4" w:rsidRDefault="009260DE" w:rsidP="009260DE">
      <w:pPr>
        <w:jc w:val="center"/>
        <w:rPr>
          <w:b/>
          <w:sz w:val="24"/>
          <w:szCs w:val="24"/>
        </w:rPr>
      </w:pPr>
    </w:p>
    <w:p w14:paraId="2E3219FC" w14:textId="77777777" w:rsidR="009260DE" w:rsidRPr="000954C4" w:rsidRDefault="009260DE" w:rsidP="009260DE">
      <w:pPr>
        <w:jc w:val="center"/>
        <w:rPr>
          <w:b/>
          <w:sz w:val="24"/>
          <w:szCs w:val="24"/>
        </w:rPr>
      </w:pPr>
      <w:r w:rsidRPr="000954C4">
        <w:rPr>
          <w:b/>
          <w:sz w:val="24"/>
          <w:szCs w:val="24"/>
        </w:rPr>
        <w:t>for</w:t>
      </w:r>
    </w:p>
    <w:p w14:paraId="531B9B15" w14:textId="77777777" w:rsidR="000B058C" w:rsidRPr="000954C4" w:rsidRDefault="000B058C" w:rsidP="009260DE">
      <w:pPr>
        <w:jc w:val="center"/>
        <w:rPr>
          <w:b/>
          <w:sz w:val="24"/>
          <w:szCs w:val="24"/>
        </w:rPr>
      </w:pPr>
    </w:p>
    <w:p w14:paraId="651959DB" w14:textId="661D639D" w:rsidR="009260DE" w:rsidRPr="00263CB7" w:rsidRDefault="00263CB7" w:rsidP="009260DE">
      <w:pPr>
        <w:jc w:val="center"/>
        <w:rPr>
          <w:b/>
          <w:sz w:val="24"/>
          <w:szCs w:val="24"/>
          <w:lang w:val="en-US"/>
        </w:rPr>
      </w:pPr>
      <w:proofErr w:type="gramStart"/>
      <w:r w:rsidRPr="00263CB7">
        <w:rPr>
          <w:b/>
          <w:sz w:val="24"/>
          <w:szCs w:val="24"/>
          <w:lang w:val="en-US"/>
        </w:rPr>
        <w:t>Allopurinol ”Nordic</w:t>
      </w:r>
      <w:proofErr w:type="gramEnd"/>
      <w:r w:rsidRPr="00263CB7">
        <w:rPr>
          <w:b/>
          <w:sz w:val="24"/>
          <w:szCs w:val="24"/>
          <w:lang w:val="en-US"/>
        </w:rPr>
        <w:t xml:space="preserve"> Prime”</w:t>
      </w:r>
      <w:r w:rsidR="000B71C3" w:rsidRPr="00263CB7">
        <w:rPr>
          <w:b/>
          <w:sz w:val="24"/>
          <w:szCs w:val="24"/>
          <w:lang w:val="en-US"/>
        </w:rPr>
        <w:t xml:space="preserve">, </w:t>
      </w:r>
      <w:proofErr w:type="spellStart"/>
      <w:r w:rsidR="000B71C3" w:rsidRPr="00263CB7">
        <w:rPr>
          <w:b/>
          <w:sz w:val="24"/>
          <w:szCs w:val="24"/>
          <w:lang w:val="en-US"/>
        </w:rPr>
        <w:t>tabletter</w:t>
      </w:r>
      <w:proofErr w:type="spellEnd"/>
      <w:r w:rsidRPr="00263CB7">
        <w:rPr>
          <w:b/>
          <w:sz w:val="24"/>
          <w:szCs w:val="24"/>
          <w:lang w:val="en-US"/>
        </w:rPr>
        <w:t xml:space="preserve"> (</w:t>
      </w:r>
      <w:proofErr w:type="spellStart"/>
      <w:r w:rsidRPr="00263CB7">
        <w:rPr>
          <w:b/>
          <w:sz w:val="24"/>
          <w:szCs w:val="24"/>
          <w:lang w:val="en-US"/>
        </w:rPr>
        <w:t>N</w:t>
      </w:r>
      <w:r>
        <w:rPr>
          <w:b/>
          <w:sz w:val="24"/>
          <w:szCs w:val="24"/>
          <w:lang w:val="en-US"/>
        </w:rPr>
        <w:t>oridic</w:t>
      </w:r>
      <w:proofErr w:type="spellEnd"/>
      <w:r>
        <w:rPr>
          <w:b/>
          <w:sz w:val="24"/>
          <w:szCs w:val="24"/>
          <w:lang w:val="en-US"/>
        </w:rPr>
        <w:t xml:space="preserve"> Prime)</w:t>
      </w:r>
    </w:p>
    <w:p w14:paraId="18990F9C" w14:textId="77777777" w:rsidR="009260DE" w:rsidRPr="00263CB7" w:rsidRDefault="009260DE" w:rsidP="009260DE">
      <w:pPr>
        <w:jc w:val="both"/>
        <w:rPr>
          <w:sz w:val="24"/>
          <w:szCs w:val="24"/>
          <w:lang w:val="en-US"/>
        </w:rPr>
      </w:pPr>
    </w:p>
    <w:p w14:paraId="42F8A079" w14:textId="77777777" w:rsidR="009260DE" w:rsidRPr="00263CB7" w:rsidRDefault="009260DE" w:rsidP="009260DE">
      <w:pPr>
        <w:jc w:val="both"/>
        <w:rPr>
          <w:sz w:val="24"/>
          <w:szCs w:val="24"/>
          <w:lang w:val="en-US"/>
        </w:rPr>
      </w:pPr>
    </w:p>
    <w:p w14:paraId="573122C3"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130F86C2" w14:textId="77777777" w:rsidR="009260DE" w:rsidRPr="00C84483" w:rsidRDefault="00122EC8" w:rsidP="009260DE">
      <w:pPr>
        <w:tabs>
          <w:tab w:val="left" w:pos="851"/>
        </w:tabs>
        <w:ind w:left="851"/>
        <w:rPr>
          <w:sz w:val="24"/>
          <w:szCs w:val="24"/>
        </w:rPr>
      </w:pPr>
      <w:r>
        <w:rPr>
          <w:sz w:val="24"/>
          <w:szCs w:val="24"/>
        </w:rPr>
        <w:t>31</w:t>
      </w:r>
      <w:r w:rsidR="008B2C24">
        <w:rPr>
          <w:sz w:val="24"/>
          <w:szCs w:val="24"/>
        </w:rPr>
        <w:t>836</w:t>
      </w:r>
    </w:p>
    <w:p w14:paraId="55B173E0" w14:textId="77777777" w:rsidR="009260DE" w:rsidRPr="00C84483" w:rsidRDefault="009260DE" w:rsidP="009260DE">
      <w:pPr>
        <w:tabs>
          <w:tab w:val="left" w:pos="851"/>
        </w:tabs>
        <w:ind w:left="851"/>
        <w:rPr>
          <w:sz w:val="24"/>
          <w:szCs w:val="24"/>
        </w:rPr>
      </w:pPr>
    </w:p>
    <w:p w14:paraId="13B74972"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7989518F" w14:textId="0DDFD83F" w:rsidR="009260DE" w:rsidRPr="008B2C24" w:rsidRDefault="00263CB7" w:rsidP="009260DE">
      <w:pPr>
        <w:tabs>
          <w:tab w:val="left" w:pos="851"/>
        </w:tabs>
        <w:ind w:left="851"/>
        <w:rPr>
          <w:sz w:val="24"/>
          <w:szCs w:val="24"/>
        </w:rPr>
      </w:pPr>
      <w:proofErr w:type="spellStart"/>
      <w:r>
        <w:rPr>
          <w:sz w:val="24"/>
          <w:szCs w:val="24"/>
        </w:rPr>
        <w:t>Allopurinol</w:t>
      </w:r>
      <w:proofErr w:type="spellEnd"/>
      <w:r>
        <w:rPr>
          <w:sz w:val="24"/>
          <w:szCs w:val="24"/>
        </w:rPr>
        <w:t xml:space="preserve"> ”Nordic Prime”</w:t>
      </w:r>
    </w:p>
    <w:p w14:paraId="240ACF2A" w14:textId="77777777" w:rsidR="009260DE" w:rsidRPr="008B2C24" w:rsidRDefault="009260DE" w:rsidP="009260DE">
      <w:pPr>
        <w:tabs>
          <w:tab w:val="left" w:pos="851"/>
        </w:tabs>
        <w:ind w:left="851"/>
        <w:rPr>
          <w:sz w:val="24"/>
          <w:szCs w:val="24"/>
        </w:rPr>
      </w:pPr>
    </w:p>
    <w:p w14:paraId="4DBA4D9B"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7F401ADB" w14:textId="77777777" w:rsidR="00EA4C85" w:rsidRDefault="00EA4C85" w:rsidP="008B2C24">
      <w:pPr>
        <w:tabs>
          <w:tab w:val="left" w:pos="851"/>
        </w:tabs>
        <w:ind w:left="851"/>
        <w:rPr>
          <w:sz w:val="24"/>
          <w:szCs w:val="24"/>
        </w:rPr>
      </w:pPr>
    </w:p>
    <w:p w14:paraId="595344CF" w14:textId="77777777" w:rsidR="008B2C24" w:rsidRPr="00EA4C85" w:rsidRDefault="008B2C24" w:rsidP="008B2C24">
      <w:pPr>
        <w:tabs>
          <w:tab w:val="left" w:pos="851"/>
        </w:tabs>
        <w:ind w:left="851"/>
        <w:rPr>
          <w:sz w:val="24"/>
          <w:szCs w:val="24"/>
          <w:u w:val="single"/>
        </w:rPr>
      </w:pPr>
      <w:r w:rsidRPr="00EA4C85">
        <w:rPr>
          <w:sz w:val="24"/>
          <w:szCs w:val="24"/>
          <w:u w:val="single"/>
        </w:rPr>
        <w:t>100 mg</w:t>
      </w:r>
    </w:p>
    <w:p w14:paraId="6A839FC6" w14:textId="77777777" w:rsidR="008B2C24" w:rsidRPr="008B2C24" w:rsidRDefault="008B2C24" w:rsidP="008B2C24">
      <w:pPr>
        <w:tabs>
          <w:tab w:val="left" w:pos="851"/>
        </w:tabs>
        <w:ind w:left="851"/>
        <w:rPr>
          <w:sz w:val="24"/>
          <w:szCs w:val="24"/>
        </w:rPr>
      </w:pPr>
      <w:r w:rsidRPr="008B2C24">
        <w:rPr>
          <w:sz w:val="24"/>
          <w:szCs w:val="24"/>
        </w:rPr>
        <w:t xml:space="preserve">Hver tablet indeholder 100 mg </w:t>
      </w:r>
      <w:proofErr w:type="spellStart"/>
      <w:r w:rsidRPr="008B2C24">
        <w:rPr>
          <w:sz w:val="24"/>
          <w:szCs w:val="24"/>
        </w:rPr>
        <w:t>allopurinol</w:t>
      </w:r>
      <w:proofErr w:type="spellEnd"/>
      <w:r w:rsidRPr="008B2C24">
        <w:rPr>
          <w:sz w:val="24"/>
          <w:szCs w:val="24"/>
        </w:rPr>
        <w:t xml:space="preserve">. </w:t>
      </w:r>
    </w:p>
    <w:p w14:paraId="56956251" w14:textId="77777777" w:rsidR="008B2C24" w:rsidRPr="008B2C24" w:rsidRDefault="008B2C24" w:rsidP="008B2C24">
      <w:pPr>
        <w:tabs>
          <w:tab w:val="left" w:pos="851"/>
        </w:tabs>
        <w:ind w:left="851"/>
        <w:rPr>
          <w:sz w:val="24"/>
          <w:szCs w:val="24"/>
        </w:rPr>
      </w:pPr>
    </w:p>
    <w:p w14:paraId="27DADB5C" w14:textId="77777777" w:rsidR="008B2C24" w:rsidRPr="008B2C24" w:rsidRDefault="008B2C24" w:rsidP="008B2C24">
      <w:pPr>
        <w:tabs>
          <w:tab w:val="left" w:pos="851"/>
        </w:tabs>
        <w:ind w:left="851"/>
        <w:rPr>
          <w:sz w:val="24"/>
          <w:szCs w:val="24"/>
          <w:u w:val="single"/>
        </w:rPr>
      </w:pPr>
      <w:r w:rsidRPr="008B2C24">
        <w:rPr>
          <w:sz w:val="24"/>
          <w:szCs w:val="24"/>
          <w:u w:val="single"/>
        </w:rPr>
        <w:t>Hjælpestof, som behandleren skal være opmærksom på</w:t>
      </w:r>
    </w:p>
    <w:p w14:paraId="121E1E7C" w14:textId="77777777" w:rsidR="008B2C24" w:rsidRPr="008B2C24" w:rsidRDefault="008B2C24" w:rsidP="008B2C24">
      <w:pPr>
        <w:tabs>
          <w:tab w:val="left" w:pos="851"/>
        </w:tabs>
        <w:ind w:left="851"/>
        <w:rPr>
          <w:sz w:val="24"/>
          <w:szCs w:val="24"/>
        </w:rPr>
      </w:pPr>
      <w:r w:rsidRPr="008B2C24">
        <w:rPr>
          <w:sz w:val="24"/>
          <w:szCs w:val="24"/>
        </w:rPr>
        <w:t>100 mg</w:t>
      </w:r>
      <w:r w:rsidR="00EA4C85">
        <w:rPr>
          <w:sz w:val="24"/>
          <w:szCs w:val="24"/>
        </w:rPr>
        <w:t xml:space="preserve">: </w:t>
      </w:r>
      <w:r w:rsidRPr="008B2C24">
        <w:rPr>
          <w:sz w:val="24"/>
          <w:szCs w:val="24"/>
        </w:rPr>
        <w:t xml:space="preserve">Hver tablet indeholder 38 mg </w:t>
      </w:r>
      <w:proofErr w:type="spellStart"/>
      <w:r w:rsidRPr="008B2C24">
        <w:rPr>
          <w:sz w:val="24"/>
          <w:szCs w:val="24"/>
        </w:rPr>
        <w:t>lactose</w:t>
      </w:r>
      <w:proofErr w:type="spellEnd"/>
      <w:r w:rsidRPr="008B2C24">
        <w:rPr>
          <w:sz w:val="24"/>
          <w:szCs w:val="24"/>
        </w:rPr>
        <w:t xml:space="preserve"> (som monohydrat).</w:t>
      </w:r>
    </w:p>
    <w:p w14:paraId="71054757" w14:textId="77777777" w:rsidR="008B2C24" w:rsidRPr="008B2C24" w:rsidRDefault="008B2C24" w:rsidP="008B2C24">
      <w:pPr>
        <w:tabs>
          <w:tab w:val="left" w:pos="851"/>
        </w:tabs>
        <w:ind w:left="851"/>
        <w:rPr>
          <w:sz w:val="24"/>
          <w:szCs w:val="24"/>
        </w:rPr>
      </w:pPr>
    </w:p>
    <w:p w14:paraId="728ED960" w14:textId="77777777" w:rsidR="008B2C24" w:rsidRPr="008B2C24" w:rsidRDefault="008B2C24" w:rsidP="008B2C24">
      <w:pPr>
        <w:tabs>
          <w:tab w:val="left" w:pos="851"/>
        </w:tabs>
        <w:ind w:left="851"/>
        <w:rPr>
          <w:sz w:val="24"/>
          <w:szCs w:val="24"/>
        </w:rPr>
      </w:pPr>
      <w:r w:rsidRPr="008B2C24">
        <w:rPr>
          <w:sz w:val="24"/>
          <w:szCs w:val="24"/>
        </w:rPr>
        <w:t>Alle hjælpestoffer er anført under pkt. 6.1.</w:t>
      </w:r>
    </w:p>
    <w:p w14:paraId="6D3632FB" w14:textId="77777777" w:rsidR="009260DE" w:rsidRPr="00C84483" w:rsidRDefault="009260DE" w:rsidP="009260DE">
      <w:pPr>
        <w:tabs>
          <w:tab w:val="left" w:pos="851"/>
        </w:tabs>
        <w:ind w:left="851"/>
        <w:rPr>
          <w:sz w:val="24"/>
          <w:szCs w:val="24"/>
        </w:rPr>
      </w:pPr>
    </w:p>
    <w:p w14:paraId="534EB1CE"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0D0817F6" w14:textId="4D325554" w:rsidR="009260DE" w:rsidRPr="00C84483" w:rsidRDefault="00EA4C85" w:rsidP="009260DE">
      <w:pPr>
        <w:tabs>
          <w:tab w:val="left" w:pos="851"/>
        </w:tabs>
        <w:ind w:left="851"/>
        <w:rPr>
          <w:sz w:val="24"/>
          <w:szCs w:val="24"/>
        </w:rPr>
      </w:pPr>
      <w:r>
        <w:rPr>
          <w:sz w:val="24"/>
          <w:szCs w:val="24"/>
        </w:rPr>
        <w:t>Tabletter</w:t>
      </w:r>
      <w:r w:rsidR="00263CB7">
        <w:rPr>
          <w:sz w:val="24"/>
          <w:szCs w:val="24"/>
        </w:rPr>
        <w:t xml:space="preserve"> (Nordic Prime)</w:t>
      </w:r>
    </w:p>
    <w:p w14:paraId="0A8BEFF8" w14:textId="77777777" w:rsidR="009260DE" w:rsidRDefault="009260DE" w:rsidP="009260DE">
      <w:pPr>
        <w:tabs>
          <w:tab w:val="left" w:pos="851"/>
        </w:tabs>
        <w:ind w:left="851"/>
        <w:rPr>
          <w:sz w:val="24"/>
          <w:szCs w:val="24"/>
        </w:rPr>
      </w:pPr>
    </w:p>
    <w:p w14:paraId="099054E6" w14:textId="77777777" w:rsidR="00C06B24" w:rsidRPr="00C06B24" w:rsidRDefault="00C06B24" w:rsidP="00C06B24">
      <w:pPr>
        <w:tabs>
          <w:tab w:val="left" w:pos="851"/>
        </w:tabs>
        <w:ind w:left="851"/>
        <w:rPr>
          <w:sz w:val="24"/>
          <w:szCs w:val="24"/>
        </w:rPr>
      </w:pPr>
      <w:r w:rsidRPr="00C06B24">
        <w:rPr>
          <w:sz w:val="24"/>
          <w:szCs w:val="24"/>
        </w:rPr>
        <w:t xml:space="preserve">Tabletten kan deles i to lige store doser. </w:t>
      </w:r>
    </w:p>
    <w:p w14:paraId="0115B63A" w14:textId="77777777" w:rsidR="00EA4C85" w:rsidRPr="00C84483" w:rsidRDefault="00EA4C85" w:rsidP="009260DE">
      <w:pPr>
        <w:tabs>
          <w:tab w:val="left" w:pos="851"/>
        </w:tabs>
        <w:ind w:left="851"/>
        <w:rPr>
          <w:sz w:val="24"/>
          <w:szCs w:val="24"/>
        </w:rPr>
      </w:pPr>
    </w:p>
    <w:p w14:paraId="38FC8B2A" w14:textId="77777777" w:rsidR="009260DE" w:rsidRPr="00C84483" w:rsidRDefault="009260DE" w:rsidP="009260DE">
      <w:pPr>
        <w:tabs>
          <w:tab w:val="left" w:pos="851"/>
        </w:tabs>
        <w:ind w:left="851"/>
        <w:rPr>
          <w:sz w:val="24"/>
          <w:szCs w:val="24"/>
        </w:rPr>
      </w:pPr>
    </w:p>
    <w:p w14:paraId="4B7397A9"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2C8E05B0" w14:textId="77777777" w:rsidR="009260DE" w:rsidRPr="00C84483" w:rsidRDefault="009260DE" w:rsidP="009260DE">
      <w:pPr>
        <w:tabs>
          <w:tab w:val="left" w:pos="851"/>
        </w:tabs>
        <w:ind w:left="851"/>
        <w:rPr>
          <w:b/>
          <w:sz w:val="24"/>
          <w:szCs w:val="24"/>
        </w:rPr>
      </w:pPr>
    </w:p>
    <w:p w14:paraId="5F7CFBDD"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58D73FB3" w14:textId="77777777" w:rsidR="005C7399" w:rsidRPr="005C7399" w:rsidRDefault="005C7399" w:rsidP="005C7399">
      <w:pPr>
        <w:tabs>
          <w:tab w:val="left" w:pos="851"/>
        </w:tabs>
        <w:ind w:left="851"/>
        <w:rPr>
          <w:sz w:val="24"/>
          <w:szCs w:val="24"/>
        </w:rPr>
      </w:pPr>
      <w:r w:rsidRPr="005C7399">
        <w:rPr>
          <w:sz w:val="24"/>
          <w:szCs w:val="24"/>
        </w:rPr>
        <w:tab/>
      </w:r>
    </w:p>
    <w:p w14:paraId="54B39DE1" w14:textId="77777777" w:rsidR="005C7399" w:rsidRPr="005C7399" w:rsidRDefault="005C7399" w:rsidP="005C7399">
      <w:pPr>
        <w:tabs>
          <w:tab w:val="left" w:pos="1134"/>
        </w:tabs>
        <w:ind w:left="1134" w:hanging="283"/>
        <w:rPr>
          <w:sz w:val="24"/>
          <w:szCs w:val="24"/>
          <w:u w:val="single"/>
        </w:rPr>
      </w:pPr>
      <w:r w:rsidRPr="005C7399">
        <w:rPr>
          <w:sz w:val="24"/>
          <w:szCs w:val="24"/>
          <w:u w:val="single"/>
        </w:rPr>
        <w:t>Voksne</w:t>
      </w:r>
    </w:p>
    <w:p w14:paraId="09BC9124" w14:textId="77777777" w:rsidR="005C7399" w:rsidRPr="005C7399" w:rsidRDefault="005C7399" w:rsidP="005C7399">
      <w:pPr>
        <w:numPr>
          <w:ilvl w:val="0"/>
          <w:numId w:val="6"/>
        </w:numPr>
        <w:tabs>
          <w:tab w:val="left" w:pos="1134"/>
        </w:tabs>
        <w:ind w:left="1134" w:hanging="283"/>
        <w:rPr>
          <w:sz w:val="24"/>
          <w:szCs w:val="24"/>
        </w:rPr>
      </w:pPr>
      <w:proofErr w:type="spellStart"/>
      <w:r w:rsidRPr="005C7399">
        <w:rPr>
          <w:sz w:val="24"/>
          <w:szCs w:val="24"/>
        </w:rPr>
        <w:t>Hyperurikæmi</w:t>
      </w:r>
      <w:proofErr w:type="spellEnd"/>
      <w:r w:rsidRPr="005C7399">
        <w:rPr>
          <w:sz w:val="24"/>
          <w:szCs w:val="24"/>
        </w:rPr>
        <w:t xml:space="preserve"> med en koncentration af urinsyre fra 500 mikromol/l (8,5 mg/100 ml) og over, hvis diætændringer ikke er tilstrækkeligt. </w:t>
      </w:r>
    </w:p>
    <w:p w14:paraId="2218C1BC" w14:textId="77777777" w:rsidR="005C7399" w:rsidRPr="005C7399" w:rsidRDefault="005C7399" w:rsidP="005C7399">
      <w:pPr>
        <w:numPr>
          <w:ilvl w:val="0"/>
          <w:numId w:val="6"/>
        </w:numPr>
        <w:tabs>
          <w:tab w:val="left" w:pos="1134"/>
        </w:tabs>
        <w:ind w:left="1134" w:hanging="283"/>
        <w:rPr>
          <w:sz w:val="24"/>
          <w:szCs w:val="24"/>
        </w:rPr>
      </w:pPr>
      <w:r w:rsidRPr="005C7399">
        <w:rPr>
          <w:sz w:val="24"/>
          <w:szCs w:val="24"/>
        </w:rPr>
        <w:t xml:space="preserve">Kliniske tilstande hvor urat/urinsyre-udfældning kan opstå, især idiopatisk gigt, akut </w:t>
      </w:r>
      <w:proofErr w:type="spellStart"/>
      <w:r w:rsidRPr="005C7399">
        <w:rPr>
          <w:sz w:val="24"/>
          <w:szCs w:val="24"/>
        </w:rPr>
        <w:t>urinsyrenefropati</w:t>
      </w:r>
      <w:proofErr w:type="spellEnd"/>
      <w:r w:rsidRPr="005C7399">
        <w:rPr>
          <w:sz w:val="24"/>
          <w:szCs w:val="24"/>
        </w:rPr>
        <w:t xml:space="preserve">. </w:t>
      </w:r>
    </w:p>
    <w:p w14:paraId="2ACD10DB" w14:textId="77777777" w:rsidR="005C7399" w:rsidRPr="005C7399" w:rsidRDefault="005C7399" w:rsidP="005C7399">
      <w:pPr>
        <w:numPr>
          <w:ilvl w:val="0"/>
          <w:numId w:val="6"/>
        </w:numPr>
        <w:tabs>
          <w:tab w:val="left" w:pos="1134"/>
        </w:tabs>
        <w:ind w:left="1134" w:hanging="283"/>
        <w:rPr>
          <w:sz w:val="24"/>
          <w:szCs w:val="24"/>
        </w:rPr>
      </w:pPr>
      <w:r w:rsidRPr="005C7399">
        <w:rPr>
          <w:sz w:val="24"/>
          <w:szCs w:val="24"/>
        </w:rPr>
        <w:t xml:space="preserve">Opløsning og forebyggelse af dannelse af </w:t>
      </w:r>
      <w:proofErr w:type="spellStart"/>
      <w:r w:rsidRPr="005C7399">
        <w:rPr>
          <w:sz w:val="24"/>
          <w:szCs w:val="24"/>
        </w:rPr>
        <w:t>calciumoxalat</w:t>
      </w:r>
      <w:proofErr w:type="spellEnd"/>
      <w:r w:rsidRPr="005C7399">
        <w:rPr>
          <w:sz w:val="24"/>
          <w:szCs w:val="24"/>
        </w:rPr>
        <w:t xml:space="preserve">-sten ved samtidig </w:t>
      </w:r>
      <w:proofErr w:type="spellStart"/>
      <w:r w:rsidRPr="005C7399">
        <w:rPr>
          <w:sz w:val="24"/>
          <w:szCs w:val="24"/>
        </w:rPr>
        <w:t>hyperurikæmi</w:t>
      </w:r>
      <w:proofErr w:type="spellEnd"/>
      <w:r w:rsidRPr="005C7399">
        <w:rPr>
          <w:sz w:val="24"/>
          <w:szCs w:val="24"/>
        </w:rPr>
        <w:t xml:space="preserve">. </w:t>
      </w:r>
    </w:p>
    <w:p w14:paraId="180C66F2" w14:textId="77777777" w:rsidR="005C7399" w:rsidRPr="005C7399" w:rsidRDefault="005C7399" w:rsidP="005C7399">
      <w:pPr>
        <w:numPr>
          <w:ilvl w:val="0"/>
          <w:numId w:val="6"/>
        </w:numPr>
        <w:tabs>
          <w:tab w:val="left" w:pos="1134"/>
        </w:tabs>
        <w:ind w:left="1134" w:hanging="283"/>
        <w:rPr>
          <w:sz w:val="24"/>
          <w:szCs w:val="24"/>
        </w:rPr>
      </w:pPr>
      <w:r w:rsidRPr="005C7399">
        <w:rPr>
          <w:sz w:val="24"/>
          <w:szCs w:val="24"/>
        </w:rPr>
        <w:lastRenderedPageBreak/>
        <w:t xml:space="preserve">Sekundær </w:t>
      </w:r>
      <w:proofErr w:type="spellStart"/>
      <w:r w:rsidRPr="005C7399">
        <w:rPr>
          <w:sz w:val="24"/>
          <w:szCs w:val="24"/>
        </w:rPr>
        <w:t>hyperurikæmi</w:t>
      </w:r>
      <w:proofErr w:type="spellEnd"/>
      <w:r w:rsidRPr="005C7399">
        <w:rPr>
          <w:sz w:val="24"/>
          <w:szCs w:val="24"/>
        </w:rPr>
        <w:t xml:space="preserve"> af varierende oprindelse. </w:t>
      </w:r>
    </w:p>
    <w:p w14:paraId="2ED60D09" w14:textId="77777777" w:rsidR="005C7399" w:rsidRPr="005C7399" w:rsidRDefault="005C7399" w:rsidP="005C7399">
      <w:pPr>
        <w:tabs>
          <w:tab w:val="left" w:pos="1134"/>
        </w:tabs>
        <w:ind w:left="1134" w:hanging="283"/>
        <w:rPr>
          <w:sz w:val="24"/>
          <w:szCs w:val="24"/>
        </w:rPr>
      </w:pPr>
    </w:p>
    <w:p w14:paraId="64BED1CF" w14:textId="09ED3683" w:rsidR="005C7399" w:rsidRPr="005C7399" w:rsidRDefault="005C7399" w:rsidP="005C7399">
      <w:pPr>
        <w:tabs>
          <w:tab w:val="left" w:pos="1134"/>
        </w:tabs>
        <w:ind w:left="1134" w:hanging="283"/>
        <w:rPr>
          <w:sz w:val="24"/>
          <w:szCs w:val="24"/>
          <w:u w:val="single"/>
        </w:rPr>
      </w:pPr>
      <w:r w:rsidRPr="005C7399">
        <w:rPr>
          <w:sz w:val="24"/>
          <w:szCs w:val="24"/>
          <w:u w:val="single"/>
        </w:rPr>
        <w:t xml:space="preserve">Kun for </w:t>
      </w:r>
      <w:proofErr w:type="spellStart"/>
      <w:r w:rsidR="00263CB7">
        <w:rPr>
          <w:sz w:val="24"/>
          <w:szCs w:val="24"/>
          <w:u w:val="single"/>
        </w:rPr>
        <w:t>Allopurinol</w:t>
      </w:r>
      <w:proofErr w:type="spellEnd"/>
      <w:r w:rsidR="00263CB7">
        <w:rPr>
          <w:sz w:val="24"/>
          <w:szCs w:val="24"/>
          <w:u w:val="single"/>
        </w:rPr>
        <w:t xml:space="preserve"> ”Nordic Prime”</w:t>
      </w:r>
      <w:r w:rsidRPr="005C7399">
        <w:rPr>
          <w:sz w:val="24"/>
          <w:szCs w:val="24"/>
          <w:u w:val="single"/>
        </w:rPr>
        <w:t xml:space="preserve"> 100 mg tabletter</w:t>
      </w:r>
    </w:p>
    <w:p w14:paraId="0783CD3E" w14:textId="77777777" w:rsidR="005C7399" w:rsidRPr="005C7399" w:rsidRDefault="005C7399" w:rsidP="005C7399">
      <w:pPr>
        <w:tabs>
          <w:tab w:val="left" w:pos="1134"/>
        </w:tabs>
        <w:ind w:left="1134" w:hanging="283"/>
        <w:rPr>
          <w:sz w:val="24"/>
          <w:szCs w:val="24"/>
        </w:rPr>
      </w:pPr>
    </w:p>
    <w:p w14:paraId="66656B3C" w14:textId="77777777" w:rsidR="005C7399" w:rsidRPr="005C7399" w:rsidRDefault="005C7399" w:rsidP="005C7399">
      <w:pPr>
        <w:tabs>
          <w:tab w:val="left" w:pos="1134"/>
        </w:tabs>
        <w:ind w:left="1134" w:hanging="283"/>
        <w:rPr>
          <w:i/>
          <w:sz w:val="24"/>
          <w:szCs w:val="24"/>
        </w:rPr>
      </w:pPr>
      <w:r w:rsidRPr="005C7399">
        <w:rPr>
          <w:i/>
          <w:sz w:val="24"/>
          <w:szCs w:val="24"/>
        </w:rPr>
        <w:t>Børn og unge under 15 år</w:t>
      </w:r>
    </w:p>
    <w:p w14:paraId="5BCFC0FA" w14:textId="77777777" w:rsidR="005C7399" w:rsidRPr="005C7399" w:rsidRDefault="005C7399" w:rsidP="005C7399">
      <w:pPr>
        <w:numPr>
          <w:ilvl w:val="0"/>
          <w:numId w:val="6"/>
        </w:numPr>
        <w:tabs>
          <w:tab w:val="left" w:pos="1134"/>
        </w:tabs>
        <w:ind w:left="1134" w:hanging="283"/>
        <w:rPr>
          <w:sz w:val="24"/>
          <w:szCs w:val="24"/>
        </w:rPr>
      </w:pPr>
      <w:r w:rsidRPr="005C7399">
        <w:rPr>
          <w:sz w:val="24"/>
          <w:szCs w:val="24"/>
        </w:rPr>
        <w:t xml:space="preserve">Sekundær </w:t>
      </w:r>
      <w:proofErr w:type="spellStart"/>
      <w:r w:rsidRPr="005C7399">
        <w:rPr>
          <w:sz w:val="24"/>
          <w:szCs w:val="24"/>
        </w:rPr>
        <w:t>hyperurikæmi</w:t>
      </w:r>
      <w:proofErr w:type="spellEnd"/>
      <w:r w:rsidRPr="005C7399">
        <w:rPr>
          <w:sz w:val="24"/>
          <w:szCs w:val="24"/>
        </w:rPr>
        <w:t xml:space="preserve"> af varierende oprindelse. </w:t>
      </w:r>
    </w:p>
    <w:p w14:paraId="4C2B0B0A" w14:textId="77777777" w:rsidR="005C7399" w:rsidRPr="005C7399" w:rsidRDefault="005C7399" w:rsidP="005C7399">
      <w:pPr>
        <w:numPr>
          <w:ilvl w:val="0"/>
          <w:numId w:val="6"/>
        </w:numPr>
        <w:tabs>
          <w:tab w:val="left" w:pos="1134"/>
        </w:tabs>
        <w:ind w:left="1134" w:hanging="283"/>
        <w:rPr>
          <w:sz w:val="24"/>
          <w:szCs w:val="24"/>
        </w:rPr>
      </w:pPr>
      <w:proofErr w:type="spellStart"/>
      <w:r w:rsidRPr="005C7399">
        <w:rPr>
          <w:sz w:val="24"/>
          <w:szCs w:val="24"/>
        </w:rPr>
        <w:t>Hyperurikæmi</w:t>
      </w:r>
      <w:proofErr w:type="spellEnd"/>
      <w:r w:rsidRPr="005C7399">
        <w:rPr>
          <w:sz w:val="24"/>
          <w:szCs w:val="24"/>
        </w:rPr>
        <w:t xml:space="preserve"> </w:t>
      </w:r>
      <w:proofErr w:type="spellStart"/>
      <w:r w:rsidRPr="005C7399">
        <w:rPr>
          <w:sz w:val="24"/>
          <w:szCs w:val="24"/>
        </w:rPr>
        <w:t>nefropati</w:t>
      </w:r>
      <w:proofErr w:type="spellEnd"/>
      <w:r w:rsidRPr="005C7399">
        <w:rPr>
          <w:sz w:val="24"/>
          <w:szCs w:val="24"/>
        </w:rPr>
        <w:t xml:space="preserve"> i behandling mod leukæmi. </w:t>
      </w:r>
    </w:p>
    <w:p w14:paraId="2A535EC4" w14:textId="77777777" w:rsidR="005C7399" w:rsidRPr="005C7399" w:rsidRDefault="005C7399" w:rsidP="005C7399">
      <w:pPr>
        <w:numPr>
          <w:ilvl w:val="0"/>
          <w:numId w:val="6"/>
        </w:numPr>
        <w:tabs>
          <w:tab w:val="left" w:pos="1134"/>
        </w:tabs>
        <w:ind w:left="1134" w:hanging="283"/>
        <w:rPr>
          <w:sz w:val="24"/>
          <w:szCs w:val="24"/>
        </w:rPr>
      </w:pPr>
      <w:r w:rsidRPr="005C7399">
        <w:rPr>
          <w:sz w:val="24"/>
          <w:szCs w:val="24"/>
        </w:rPr>
        <w:t xml:space="preserve">Kongenitale enzymmangler: </w:t>
      </w:r>
      <w:proofErr w:type="spellStart"/>
      <w:r w:rsidRPr="005C7399">
        <w:rPr>
          <w:sz w:val="24"/>
          <w:szCs w:val="24"/>
        </w:rPr>
        <w:t>Lesch-Nyhan</w:t>
      </w:r>
      <w:proofErr w:type="spellEnd"/>
      <w:r w:rsidRPr="005C7399">
        <w:rPr>
          <w:sz w:val="24"/>
          <w:szCs w:val="24"/>
        </w:rPr>
        <w:t xml:space="preserve"> syndrom (delvis eller total mangel på </w:t>
      </w:r>
      <w:proofErr w:type="spellStart"/>
      <w:r w:rsidRPr="005C7399">
        <w:rPr>
          <w:sz w:val="24"/>
          <w:szCs w:val="24"/>
        </w:rPr>
        <w:t>hypoxanthin</w:t>
      </w:r>
      <w:proofErr w:type="spellEnd"/>
      <w:r w:rsidRPr="005C7399">
        <w:rPr>
          <w:sz w:val="24"/>
          <w:szCs w:val="24"/>
        </w:rPr>
        <w:t>-guanin-</w:t>
      </w:r>
      <w:proofErr w:type="spellStart"/>
      <w:r w:rsidRPr="005C7399">
        <w:rPr>
          <w:sz w:val="24"/>
          <w:szCs w:val="24"/>
        </w:rPr>
        <w:t>phosphoribosyltransferase</w:t>
      </w:r>
      <w:proofErr w:type="spellEnd"/>
      <w:r w:rsidRPr="005C7399">
        <w:rPr>
          <w:sz w:val="24"/>
          <w:szCs w:val="24"/>
        </w:rPr>
        <w:t>) og adenin-</w:t>
      </w:r>
      <w:proofErr w:type="spellStart"/>
      <w:r w:rsidRPr="005C7399">
        <w:rPr>
          <w:sz w:val="24"/>
          <w:szCs w:val="24"/>
        </w:rPr>
        <w:t>phosphoribosyltransferase</w:t>
      </w:r>
      <w:proofErr w:type="spellEnd"/>
      <w:r w:rsidRPr="005C7399">
        <w:rPr>
          <w:sz w:val="24"/>
          <w:szCs w:val="24"/>
        </w:rPr>
        <w:t xml:space="preserve"> defekt. </w:t>
      </w:r>
    </w:p>
    <w:p w14:paraId="5B6760C4" w14:textId="77777777" w:rsidR="009260DE" w:rsidRPr="00C84483" w:rsidRDefault="009260DE" w:rsidP="009260DE">
      <w:pPr>
        <w:tabs>
          <w:tab w:val="left" w:pos="851"/>
        </w:tabs>
        <w:ind w:left="851"/>
        <w:rPr>
          <w:sz w:val="24"/>
          <w:szCs w:val="24"/>
        </w:rPr>
      </w:pPr>
    </w:p>
    <w:p w14:paraId="27F817B2"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C56A05">
        <w:rPr>
          <w:b/>
          <w:sz w:val="24"/>
          <w:szCs w:val="24"/>
        </w:rPr>
        <w:t>administration</w:t>
      </w:r>
    </w:p>
    <w:p w14:paraId="73B1CEFE" w14:textId="77777777" w:rsidR="00E70F5C" w:rsidRPr="00E70F5C" w:rsidRDefault="00E70F5C" w:rsidP="00E70F5C">
      <w:pPr>
        <w:tabs>
          <w:tab w:val="left" w:pos="851"/>
        </w:tabs>
        <w:ind w:left="851"/>
        <w:rPr>
          <w:sz w:val="24"/>
          <w:szCs w:val="24"/>
        </w:rPr>
      </w:pPr>
      <w:r w:rsidRPr="00E70F5C">
        <w:rPr>
          <w:sz w:val="24"/>
          <w:szCs w:val="24"/>
        </w:rPr>
        <w:tab/>
      </w:r>
    </w:p>
    <w:p w14:paraId="075EE37B" w14:textId="77777777" w:rsidR="00E70F5C" w:rsidRPr="009535D3" w:rsidRDefault="00E70F5C" w:rsidP="00E70F5C">
      <w:pPr>
        <w:tabs>
          <w:tab w:val="left" w:pos="851"/>
        </w:tabs>
        <w:ind w:left="851"/>
        <w:rPr>
          <w:b/>
          <w:bCs/>
          <w:sz w:val="24"/>
          <w:szCs w:val="24"/>
          <w:u w:val="single"/>
        </w:rPr>
      </w:pPr>
      <w:r w:rsidRPr="009535D3">
        <w:rPr>
          <w:b/>
          <w:bCs/>
          <w:sz w:val="24"/>
          <w:szCs w:val="24"/>
          <w:u w:val="single"/>
        </w:rPr>
        <w:t>Dosering</w:t>
      </w:r>
    </w:p>
    <w:p w14:paraId="5E49AD3D" w14:textId="77777777" w:rsidR="00E70F5C" w:rsidRPr="00E70F5C" w:rsidRDefault="00E70F5C" w:rsidP="00E70F5C">
      <w:pPr>
        <w:tabs>
          <w:tab w:val="left" w:pos="851"/>
        </w:tabs>
        <w:ind w:left="851"/>
        <w:rPr>
          <w:sz w:val="24"/>
          <w:szCs w:val="24"/>
        </w:rPr>
      </w:pPr>
      <w:r w:rsidRPr="00E70F5C">
        <w:rPr>
          <w:sz w:val="24"/>
          <w:szCs w:val="24"/>
        </w:rPr>
        <w:tab/>
      </w:r>
    </w:p>
    <w:p w14:paraId="4B87E8E8" w14:textId="7B750338" w:rsidR="00E70F5C" w:rsidRPr="009535D3" w:rsidRDefault="00E70F5C" w:rsidP="00E70F5C">
      <w:pPr>
        <w:tabs>
          <w:tab w:val="left" w:pos="851"/>
        </w:tabs>
        <w:ind w:left="851"/>
        <w:rPr>
          <w:b/>
          <w:sz w:val="24"/>
          <w:szCs w:val="24"/>
        </w:rPr>
      </w:pPr>
      <w:r w:rsidRPr="009535D3">
        <w:rPr>
          <w:b/>
          <w:sz w:val="24"/>
          <w:szCs w:val="24"/>
        </w:rPr>
        <w:t xml:space="preserve">For </w:t>
      </w:r>
      <w:proofErr w:type="spellStart"/>
      <w:r w:rsidR="00263CB7">
        <w:rPr>
          <w:b/>
          <w:sz w:val="24"/>
          <w:szCs w:val="24"/>
        </w:rPr>
        <w:t>Allopurinol</w:t>
      </w:r>
      <w:proofErr w:type="spellEnd"/>
      <w:r w:rsidR="00263CB7">
        <w:rPr>
          <w:b/>
          <w:sz w:val="24"/>
          <w:szCs w:val="24"/>
        </w:rPr>
        <w:t xml:space="preserve"> ”Nordic Prime”</w:t>
      </w:r>
      <w:r w:rsidRPr="009535D3">
        <w:rPr>
          <w:b/>
          <w:sz w:val="24"/>
          <w:szCs w:val="24"/>
        </w:rPr>
        <w:t xml:space="preserve"> 100 mg</w:t>
      </w:r>
    </w:p>
    <w:p w14:paraId="37FEEDC4" w14:textId="77777777" w:rsidR="00E70F5C" w:rsidRPr="00E70F5C" w:rsidRDefault="00E70F5C" w:rsidP="00E70F5C">
      <w:pPr>
        <w:tabs>
          <w:tab w:val="left" w:pos="851"/>
        </w:tabs>
        <w:ind w:left="851"/>
        <w:rPr>
          <w:sz w:val="24"/>
          <w:szCs w:val="24"/>
        </w:rPr>
      </w:pPr>
      <w:r w:rsidRPr="00E70F5C">
        <w:rPr>
          <w:sz w:val="24"/>
          <w:szCs w:val="24"/>
        </w:rPr>
        <w:tab/>
      </w:r>
    </w:p>
    <w:p w14:paraId="49F437BE" w14:textId="77777777" w:rsidR="00E70F5C" w:rsidRPr="009535D3" w:rsidRDefault="00E70F5C" w:rsidP="00E70F5C">
      <w:pPr>
        <w:tabs>
          <w:tab w:val="left" w:pos="851"/>
        </w:tabs>
        <w:ind w:left="851"/>
        <w:rPr>
          <w:iCs/>
          <w:sz w:val="24"/>
          <w:szCs w:val="24"/>
          <w:u w:val="single"/>
        </w:rPr>
      </w:pPr>
      <w:r w:rsidRPr="009535D3">
        <w:rPr>
          <w:iCs/>
          <w:sz w:val="24"/>
          <w:szCs w:val="24"/>
          <w:u w:val="single"/>
        </w:rPr>
        <w:t>Voksne</w:t>
      </w:r>
    </w:p>
    <w:p w14:paraId="390B4F10" w14:textId="77777777" w:rsidR="00E70F5C" w:rsidRPr="00E70F5C" w:rsidRDefault="00E70F5C" w:rsidP="00E70F5C">
      <w:pPr>
        <w:tabs>
          <w:tab w:val="left" w:pos="851"/>
        </w:tabs>
        <w:ind w:left="851"/>
        <w:rPr>
          <w:sz w:val="24"/>
          <w:szCs w:val="24"/>
        </w:rPr>
      </w:pPr>
      <w:r w:rsidRPr="00E70F5C">
        <w:rPr>
          <w:sz w:val="24"/>
          <w:szCs w:val="24"/>
        </w:rPr>
        <w:t xml:space="preserve">Den anbefalede dosis er 100 mg til 300 mg </w:t>
      </w:r>
      <w:proofErr w:type="spellStart"/>
      <w:r w:rsidRPr="00E70F5C">
        <w:rPr>
          <w:sz w:val="24"/>
          <w:szCs w:val="24"/>
        </w:rPr>
        <w:t>allopurinol</w:t>
      </w:r>
      <w:proofErr w:type="spellEnd"/>
      <w:r w:rsidRPr="00E70F5C">
        <w:rPr>
          <w:sz w:val="24"/>
          <w:szCs w:val="24"/>
        </w:rPr>
        <w:t xml:space="preserve"> daglig, afhængig af urinsyreniveauet i serum.</w:t>
      </w:r>
    </w:p>
    <w:p w14:paraId="01E4E6E4" w14:textId="77777777" w:rsidR="00E70F5C" w:rsidRPr="00E70F5C" w:rsidRDefault="00E70F5C" w:rsidP="00E70F5C">
      <w:pPr>
        <w:tabs>
          <w:tab w:val="left" w:pos="851"/>
        </w:tabs>
        <w:ind w:left="851"/>
        <w:rPr>
          <w:sz w:val="24"/>
          <w:szCs w:val="24"/>
        </w:rPr>
      </w:pPr>
      <w:r w:rsidRPr="00E70F5C">
        <w:rPr>
          <w:sz w:val="24"/>
          <w:szCs w:val="24"/>
        </w:rPr>
        <w:tab/>
      </w:r>
    </w:p>
    <w:p w14:paraId="457A76A5" w14:textId="77777777" w:rsidR="00E70F5C" w:rsidRPr="00E70F5C" w:rsidRDefault="00C56A05" w:rsidP="00E70F5C">
      <w:pPr>
        <w:tabs>
          <w:tab w:val="left" w:pos="851"/>
        </w:tabs>
        <w:ind w:left="851"/>
        <w:rPr>
          <w:sz w:val="24"/>
          <w:szCs w:val="24"/>
        </w:rPr>
      </w:pPr>
      <w:proofErr w:type="spellStart"/>
      <w:r w:rsidRPr="00C56A05">
        <w:rPr>
          <w:sz w:val="24"/>
          <w:szCs w:val="24"/>
        </w:rPr>
        <w:t>Allopurinol</w:t>
      </w:r>
      <w:proofErr w:type="spellEnd"/>
      <w:r w:rsidRPr="00C56A05">
        <w:rPr>
          <w:sz w:val="24"/>
          <w:szCs w:val="24"/>
        </w:rPr>
        <w:t xml:space="preserve"> bør introduceres ved en lav dosering, f.eks. 100 mg/dag, for at reducere risikoen for bivirkninger, og dosen bør kun øges, hvis serumurat-responset er utilfredsstillende. </w:t>
      </w:r>
      <w:bookmarkStart w:id="0" w:name="_Hlk96675318"/>
      <w:r w:rsidRPr="00C56A05">
        <w:rPr>
          <w:sz w:val="24"/>
          <w:szCs w:val="24"/>
        </w:rPr>
        <w:t>Der bør udvises ekstra forsigtighed, hvis nyrefunktionen er nedsat.</w:t>
      </w:r>
      <w:bookmarkEnd w:id="0"/>
      <w:r w:rsidR="00E70F5C" w:rsidRPr="00E70F5C">
        <w:rPr>
          <w:sz w:val="24"/>
          <w:szCs w:val="24"/>
        </w:rPr>
        <w:t xml:space="preserve"> </w:t>
      </w:r>
    </w:p>
    <w:p w14:paraId="06266C2B" w14:textId="77777777" w:rsidR="00E70F5C" w:rsidRPr="00E70F5C" w:rsidRDefault="00E70F5C" w:rsidP="00E70F5C">
      <w:pPr>
        <w:tabs>
          <w:tab w:val="left" w:pos="851"/>
        </w:tabs>
        <w:ind w:left="851"/>
        <w:rPr>
          <w:sz w:val="24"/>
          <w:szCs w:val="24"/>
        </w:rPr>
      </w:pPr>
    </w:p>
    <w:p w14:paraId="0B105809" w14:textId="77777777" w:rsidR="00E70F5C" w:rsidRPr="00E70F5C" w:rsidRDefault="00E70F5C" w:rsidP="00E70F5C">
      <w:pPr>
        <w:tabs>
          <w:tab w:val="left" w:pos="851"/>
        </w:tabs>
        <w:ind w:left="851"/>
        <w:rPr>
          <w:sz w:val="24"/>
          <w:szCs w:val="24"/>
        </w:rPr>
      </w:pPr>
      <w:r w:rsidRPr="00E70F5C">
        <w:rPr>
          <w:sz w:val="24"/>
          <w:szCs w:val="24"/>
        </w:rPr>
        <w:t xml:space="preserve">I individuelle tilfælde kan dosis øges til 600 mg til 800 mg </w:t>
      </w:r>
      <w:proofErr w:type="spellStart"/>
      <w:r w:rsidRPr="00E70F5C">
        <w:rPr>
          <w:sz w:val="24"/>
          <w:szCs w:val="24"/>
        </w:rPr>
        <w:t>allopurinol</w:t>
      </w:r>
      <w:proofErr w:type="spellEnd"/>
      <w:r w:rsidRPr="00E70F5C">
        <w:rPr>
          <w:sz w:val="24"/>
          <w:szCs w:val="24"/>
        </w:rPr>
        <w:t xml:space="preserve"> </w:t>
      </w:r>
      <w:r w:rsidR="000E1E40">
        <w:rPr>
          <w:sz w:val="24"/>
          <w:szCs w:val="24"/>
        </w:rPr>
        <w:t>daglig</w:t>
      </w:r>
      <w:r w:rsidRPr="00E70F5C">
        <w:rPr>
          <w:sz w:val="24"/>
          <w:szCs w:val="24"/>
        </w:rPr>
        <w:t xml:space="preserve">. I denne situation bør koncentrationen af serum </w:t>
      </w:r>
      <w:proofErr w:type="spellStart"/>
      <w:r w:rsidRPr="00E70F5C">
        <w:rPr>
          <w:sz w:val="24"/>
          <w:szCs w:val="24"/>
        </w:rPr>
        <w:t>oxipurinol</w:t>
      </w:r>
      <w:proofErr w:type="spellEnd"/>
      <w:r w:rsidRPr="00E70F5C">
        <w:rPr>
          <w:sz w:val="24"/>
          <w:szCs w:val="24"/>
        </w:rPr>
        <w:t xml:space="preserve"> tages i betragtning, da den ikke bør overstige en værdi på 15 mikrogram/ml (100 mikromol). </w:t>
      </w:r>
    </w:p>
    <w:p w14:paraId="0D0DFD68" w14:textId="77777777" w:rsidR="00E70F5C" w:rsidRPr="00E70F5C" w:rsidRDefault="00E70F5C" w:rsidP="00E70F5C">
      <w:pPr>
        <w:tabs>
          <w:tab w:val="left" w:pos="851"/>
        </w:tabs>
        <w:ind w:left="851"/>
        <w:rPr>
          <w:sz w:val="24"/>
          <w:szCs w:val="24"/>
        </w:rPr>
      </w:pPr>
    </w:p>
    <w:p w14:paraId="6CBF31BB" w14:textId="77777777" w:rsidR="00E70F5C" w:rsidRPr="00E70F5C" w:rsidRDefault="00E70F5C" w:rsidP="00E70F5C">
      <w:pPr>
        <w:tabs>
          <w:tab w:val="left" w:pos="851"/>
        </w:tabs>
        <w:ind w:left="851"/>
        <w:rPr>
          <w:sz w:val="24"/>
          <w:szCs w:val="24"/>
        </w:rPr>
      </w:pPr>
      <w:r w:rsidRPr="00E70F5C">
        <w:rPr>
          <w:sz w:val="24"/>
          <w:szCs w:val="24"/>
        </w:rPr>
        <w:t xml:space="preserve">Den maksimale daglige dosis er 800 mg </w:t>
      </w:r>
      <w:proofErr w:type="spellStart"/>
      <w:r w:rsidRPr="00E70F5C">
        <w:rPr>
          <w:sz w:val="24"/>
          <w:szCs w:val="24"/>
        </w:rPr>
        <w:t>allopurinol</w:t>
      </w:r>
      <w:proofErr w:type="spellEnd"/>
      <w:r w:rsidRPr="00E70F5C">
        <w:rPr>
          <w:sz w:val="24"/>
          <w:szCs w:val="24"/>
        </w:rPr>
        <w:t xml:space="preserve">. </w:t>
      </w:r>
    </w:p>
    <w:p w14:paraId="7DE3C08D" w14:textId="77777777" w:rsidR="00E70F5C" w:rsidRPr="00E70F5C" w:rsidRDefault="00E70F5C" w:rsidP="00E70F5C">
      <w:pPr>
        <w:tabs>
          <w:tab w:val="left" w:pos="851"/>
        </w:tabs>
        <w:ind w:left="851"/>
        <w:rPr>
          <w:sz w:val="24"/>
          <w:szCs w:val="24"/>
        </w:rPr>
      </w:pPr>
    </w:p>
    <w:p w14:paraId="255ED789" w14:textId="77777777" w:rsidR="00E70F5C" w:rsidRPr="00E70F5C" w:rsidRDefault="00E70F5C" w:rsidP="00E70F5C">
      <w:pPr>
        <w:tabs>
          <w:tab w:val="left" w:pos="851"/>
        </w:tabs>
        <w:ind w:left="851"/>
        <w:rPr>
          <w:sz w:val="24"/>
          <w:szCs w:val="24"/>
        </w:rPr>
      </w:pPr>
      <w:r w:rsidRPr="00E70F5C">
        <w:rPr>
          <w:sz w:val="24"/>
          <w:szCs w:val="24"/>
        </w:rPr>
        <w:t xml:space="preserve">For bedre tolerance bør der ikke tages mere end 300 mg </w:t>
      </w:r>
      <w:proofErr w:type="spellStart"/>
      <w:r w:rsidRPr="00E70F5C">
        <w:rPr>
          <w:sz w:val="24"/>
          <w:szCs w:val="24"/>
        </w:rPr>
        <w:t>allopurinol</w:t>
      </w:r>
      <w:proofErr w:type="spellEnd"/>
      <w:r w:rsidRPr="00E70F5C">
        <w:rPr>
          <w:sz w:val="24"/>
          <w:szCs w:val="24"/>
        </w:rPr>
        <w:t xml:space="preserve">, som enkeltdosis. Skulle den daglige dosis overstige 300 mg </w:t>
      </w:r>
      <w:proofErr w:type="spellStart"/>
      <w:r w:rsidRPr="00E70F5C">
        <w:rPr>
          <w:sz w:val="24"/>
          <w:szCs w:val="24"/>
        </w:rPr>
        <w:t>allopurinol</w:t>
      </w:r>
      <w:proofErr w:type="spellEnd"/>
      <w:r w:rsidRPr="00E70F5C">
        <w:rPr>
          <w:sz w:val="24"/>
          <w:szCs w:val="24"/>
        </w:rPr>
        <w:t xml:space="preserve"> og </w:t>
      </w:r>
      <w:proofErr w:type="spellStart"/>
      <w:r w:rsidRPr="00E70F5C">
        <w:rPr>
          <w:sz w:val="24"/>
          <w:szCs w:val="24"/>
        </w:rPr>
        <w:t>gastrointestinal</w:t>
      </w:r>
      <w:proofErr w:type="spellEnd"/>
      <w:r w:rsidRPr="00E70F5C">
        <w:rPr>
          <w:sz w:val="24"/>
          <w:szCs w:val="24"/>
        </w:rPr>
        <w:t xml:space="preserve"> intolerance opstår, kan et delt dosisregime være passende. </w:t>
      </w:r>
    </w:p>
    <w:p w14:paraId="427F756A" w14:textId="77777777" w:rsidR="00E70F5C" w:rsidRPr="00E70F5C" w:rsidRDefault="00E70F5C" w:rsidP="00E70F5C">
      <w:pPr>
        <w:tabs>
          <w:tab w:val="left" w:pos="851"/>
        </w:tabs>
        <w:ind w:left="851"/>
        <w:rPr>
          <w:sz w:val="24"/>
          <w:szCs w:val="24"/>
        </w:rPr>
      </w:pPr>
    </w:p>
    <w:p w14:paraId="2EC84AC3" w14:textId="77777777" w:rsidR="00E70F5C" w:rsidRPr="009535D3" w:rsidRDefault="00E70F5C" w:rsidP="00710446">
      <w:pPr>
        <w:keepNext/>
        <w:tabs>
          <w:tab w:val="left" w:pos="851"/>
        </w:tabs>
        <w:ind w:left="851"/>
        <w:rPr>
          <w:bCs/>
          <w:iCs/>
          <w:sz w:val="24"/>
          <w:szCs w:val="24"/>
          <w:u w:val="single"/>
        </w:rPr>
      </w:pPr>
      <w:r w:rsidRPr="009535D3">
        <w:rPr>
          <w:bCs/>
          <w:iCs/>
          <w:sz w:val="24"/>
          <w:szCs w:val="24"/>
          <w:u w:val="single"/>
        </w:rPr>
        <w:t>Specielle populationer</w:t>
      </w:r>
    </w:p>
    <w:p w14:paraId="54E8D9DB" w14:textId="77777777" w:rsidR="00E70F5C" w:rsidRPr="00E70F5C" w:rsidRDefault="00E70F5C" w:rsidP="00710446">
      <w:pPr>
        <w:keepNext/>
        <w:tabs>
          <w:tab w:val="left" w:pos="851"/>
        </w:tabs>
        <w:ind w:left="851"/>
        <w:rPr>
          <w:sz w:val="24"/>
          <w:szCs w:val="24"/>
        </w:rPr>
      </w:pPr>
    </w:p>
    <w:p w14:paraId="03FA772F" w14:textId="77777777" w:rsidR="00E70F5C" w:rsidRPr="009535D3" w:rsidRDefault="00E70F5C" w:rsidP="00710446">
      <w:pPr>
        <w:keepNext/>
        <w:tabs>
          <w:tab w:val="left" w:pos="851"/>
        </w:tabs>
        <w:ind w:left="851"/>
        <w:rPr>
          <w:i/>
          <w:sz w:val="24"/>
          <w:szCs w:val="24"/>
        </w:rPr>
      </w:pPr>
      <w:r w:rsidRPr="009535D3">
        <w:rPr>
          <w:i/>
          <w:iCs/>
          <w:sz w:val="24"/>
          <w:szCs w:val="24"/>
        </w:rPr>
        <w:t>Ældre</w:t>
      </w:r>
    </w:p>
    <w:p w14:paraId="3ABB0AA2" w14:textId="77777777" w:rsidR="00E70F5C" w:rsidRPr="00E70F5C" w:rsidRDefault="00E70F5C" w:rsidP="00E70F5C">
      <w:pPr>
        <w:tabs>
          <w:tab w:val="left" w:pos="851"/>
        </w:tabs>
        <w:ind w:left="851"/>
        <w:rPr>
          <w:sz w:val="24"/>
          <w:szCs w:val="24"/>
        </w:rPr>
      </w:pPr>
      <w:r w:rsidRPr="00E70F5C">
        <w:rPr>
          <w:sz w:val="24"/>
          <w:szCs w:val="24"/>
        </w:rPr>
        <w:t xml:space="preserve">I mangel på specifikke data, bør den laveste dosis, som giver tilfredsstillende urat-reduktion, anvendes. Der bør lægges særlig vægt på anbefalingerne i pkt. 4.2 ”Nedsat nyrefunktion” og pkt. 4.4. </w:t>
      </w:r>
    </w:p>
    <w:p w14:paraId="3493CA69" w14:textId="77777777" w:rsidR="00E70F5C" w:rsidRPr="00E70F5C" w:rsidRDefault="00E70F5C" w:rsidP="00E70F5C">
      <w:pPr>
        <w:tabs>
          <w:tab w:val="left" w:pos="851"/>
        </w:tabs>
        <w:ind w:left="851"/>
        <w:rPr>
          <w:sz w:val="24"/>
          <w:szCs w:val="24"/>
        </w:rPr>
      </w:pPr>
    </w:p>
    <w:p w14:paraId="24C8E4A7" w14:textId="77777777" w:rsidR="00E70F5C" w:rsidRPr="009535D3" w:rsidRDefault="00E70F5C" w:rsidP="00E70F5C">
      <w:pPr>
        <w:tabs>
          <w:tab w:val="left" w:pos="851"/>
        </w:tabs>
        <w:ind w:left="851"/>
        <w:rPr>
          <w:i/>
          <w:iCs/>
          <w:sz w:val="24"/>
          <w:szCs w:val="24"/>
        </w:rPr>
      </w:pPr>
      <w:r w:rsidRPr="009535D3">
        <w:rPr>
          <w:i/>
          <w:iCs/>
          <w:sz w:val="24"/>
          <w:szCs w:val="24"/>
        </w:rPr>
        <w:t>Nedsat nyrefunktion</w:t>
      </w:r>
    </w:p>
    <w:p w14:paraId="49F8B196" w14:textId="77777777" w:rsidR="00E70F5C" w:rsidRPr="00E70F5C" w:rsidRDefault="00E70F5C" w:rsidP="00E70F5C">
      <w:pPr>
        <w:tabs>
          <w:tab w:val="left" w:pos="851"/>
        </w:tabs>
        <w:ind w:left="851"/>
        <w:rPr>
          <w:sz w:val="24"/>
          <w:szCs w:val="24"/>
        </w:rPr>
      </w:pPr>
      <w:r w:rsidRPr="00E70F5C">
        <w:rPr>
          <w:sz w:val="24"/>
          <w:szCs w:val="24"/>
        </w:rPr>
        <w:t xml:space="preserve">Nedsat nyrefunktion, uden justering af dosis, kan resultere i en overdosering, da </w:t>
      </w:r>
      <w:proofErr w:type="spellStart"/>
      <w:r w:rsidRPr="00E70F5C">
        <w:rPr>
          <w:sz w:val="24"/>
          <w:szCs w:val="24"/>
        </w:rPr>
        <w:t>allopurinol</w:t>
      </w:r>
      <w:proofErr w:type="spellEnd"/>
      <w:r w:rsidRPr="00E70F5C">
        <w:rPr>
          <w:sz w:val="24"/>
          <w:szCs w:val="24"/>
        </w:rPr>
        <w:t xml:space="preserve"> og dets metabolitter bliver udskilt i nyrerne. </w:t>
      </w:r>
    </w:p>
    <w:p w14:paraId="64C195F1" w14:textId="77777777" w:rsidR="00E70F5C" w:rsidRPr="00E70F5C" w:rsidRDefault="00E70F5C" w:rsidP="00E70F5C">
      <w:pPr>
        <w:tabs>
          <w:tab w:val="left" w:pos="851"/>
        </w:tabs>
        <w:ind w:left="851"/>
        <w:rPr>
          <w:sz w:val="24"/>
          <w:szCs w:val="24"/>
        </w:rPr>
      </w:pPr>
    </w:p>
    <w:p w14:paraId="71A21F35" w14:textId="77777777" w:rsidR="00E70F5C" w:rsidRPr="00E70F5C" w:rsidRDefault="00E70F5C" w:rsidP="00E70F5C">
      <w:pPr>
        <w:tabs>
          <w:tab w:val="left" w:pos="851"/>
        </w:tabs>
        <w:ind w:left="851"/>
        <w:rPr>
          <w:sz w:val="24"/>
          <w:szCs w:val="24"/>
        </w:rPr>
      </w:pPr>
      <w:r w:rsidRPr="00E70F5C">
        <w:rPr>
          <w:sz w:val="24"/>
          <w:szCs w:val="24"/>
        </w:rPr>
        <w:t xml:space="preserve">For at reducere risikoen, bør den anbefalede dosis justeres. Ved svært nedsat nyrefunktion anbefales det ikke at anvende mere end 100 mg </w:t>
      </w:r>
      <w:proofErr w:type="spellStart"/>
      <w:r w:rsidRPr="00E70F5C">
        <w:rPr>
          <w:sz w:val="24"/>
          <w:szCs w:val="24"/>
        </w:rPr>
        <w:t>allopurinol</w:t>
      </w:r>
      <w:proofErr w:type="spellEnd"/>
      <w:r w:rsidRPr="00E70F5C">
        <w:rPr>
          <w:sz w:val="24"/>
          <w:szCs w:val="24"/>
        </w:rPr>
        <w:t xml:space="preserve"> pr. dag eller enkeltdoser på 100 mg i længere intervaller end </w:t>
      </w:r>
      <w:r w:rsidR="000E1E40">
        <w:rPr>
          <w:sz w:val="24"/>
          <w:szCs w:val="24"/>
        </w:rPr>
        <w:t>en</w:t>
      </w:r>
      <w:r w:rsidRPr="00E70F5C">
        <w:rPr>
          <w:sz w:val="24"/>
          <w:szCs w:val="24"/>
        </w:rPr>
        <w:t xml:space="preserve"> dag. Den administrerede dosis bør kun øges, hvis der er utilstrækkeligt respons på behandlingen. Koncentrationen af serum </w:t>
      </w:r>
      <w:proofErr w:type="spellStart"/>
      <w:r w:rsidRPr="00E70F5C">
        <w:rPr>
          <w:sz w:val="24"/>
          <w:szCs w:val="24"/>
        </w:rPr>
        <w:t>oxipurinol</w:t>
      </w:r>
      <w:proofErr w:type="spellEnd"/>
      <w:r w:rsidRPr="00E70F5C">
        <w:rPr>
          <w:sz w:val="24"/>
          <w:szCs w:val="24"/>
        </w:rPr>
        <w:t xml:space="preserve"> bør overvåges, da den ikke bør overstige en værdi på 15,2 mikrogram/ml.</w:t>
      </w:r>
    </w:p>
    <w:p w14:paraId="73941A3A" w14:textId="77777777" w:rsidR="00E70F5C" w:rsidRPr="00E70F5C" w:rsidRDefault="00E70F5C" w:rsidP="00E70F5C">
      <w:pPr>
        <w:tabs>
          <w:tab w:val="left" w:pos="851"/>
        </w:tabs>
        <w:ind w:left="851"/>
        <w:rPr>
          <w:sz w:val="24"/>
          <w:szCs w:val="24"/>
        </w:rPr>
      </w:pPr>
      <w:r w:rsidRPr="00E70F5C">
        <w:rPr>
          <w:sz w:val="24"/>
          <w:szCs w:val="24"/>
        </w:rPr>
        <w:lastRenderedPageBreak/>
        <w:t xml:space="preserve">Den følgende tabel giver vejledning i dosisjusteringer ved nedsat nyrefunktion: </w:t>
      </w:r>
    </w:p>
    <w:p w14:paraId="13BF2B85" w14:textId="77777777" w:rsidR="00E70F5C" w:rsidRPr="00E70F5C" w:rsidRDefault="00E70F5C" w:rsidP="00E70F5C">
      <w:pPr>
        <w:tabs>
          <w:tab w:val="left" w:pos="851"/>
        </w:tabs>
        <w:ind w:left="851"/>
        <w:rPr>
          <w:sz w:val="24"/>
          <w:szCs w:val="24"/>
        </w:rPr>
      </w:pPr>
    </w:p>
    <w:tbl>
      <w:tblPr>
        <w:tblW w:w="864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148"/>
      </w:tblGrid>
      <w:tr w:rsidR="00E70F5C" w:rsidRPr="00E70F5C" w14:paraId="403A7C2A" w14:textId="77777777" w:rsidTr="00E70F5C">
        <w:tc>
          <w:tcPr>
            <w:tcW w:w="4499" w:type="dxa"/>
            <w:tcBorders>
              <w:top w:val="single" w:sz="4" w:space="0" w:color="auto"/>
              <w:left w:val="single" w:sz="4" w:space="0" w:color="auto"/>
              <w:bottom w:val="single" w:sz="4" w:space="0" w:color="auto"/>
              <w:right w:val="single" w:sz="4" w:space="0" w:color="auto"/>
            </w:tcBorders>
            <w:hideMark/>
          </w:tcPr>
          <w:p w14:paraId="27F537F4" w14:textId="77777777" w:rsidR="00E70F5C" w:rsidRPr="00E70F5C" w:rsidRDefault="00E70F5C" w:rsidP="00E70F5C">
            <w:pPr>
              <w:tabs>
                <w:tab w:val="left" w:pos="851"/>
              </w:tabs>
              <w:ind w:left="851"/>
              <w:rPr>
                <w:i/>
                <w:iCs/>
                <w:sz w:val="24"/>
                <w:szCs w:val="24"/>
              </w:rPr>
            </w:pPr>
            <w:proofErr w:type="spellStart"/>
            <w:r w:rsidRPr="00E70F5C">
              <w:rPr>
                <w:i/>
                <w:iCs/>
                <w:sz w:val="24"/>
                <w:szCs w:val="24"/>
              </w:rPr>
              <w:t>Kreatininclearance</w:t>
            </w:r>
            <w:proofErr w:type="spellEnd"/>
          </w:p>
        </w:tc>
        <w:tc>
          <w:tcPr>
            <w:tcW w:w="4148" w:type="dxa"/>
            <w:tcBorders>
              <w:top w:val="single" w:sz="4" w:space="0" w:color="auto"/>
              <w:left w:val="single" w:sz="4" w:space="0" w:color="auto"/>
              <w:bottom w:val="single" w:sz="4" w:space="0" w:color="auto"/>
              <w:right w:val="single" w:sz="4" w:space="0" w:color="auto"/>
            </w:tcBorders>
            <w:hideMark/>
          </w:tcPr>
          <w:p w14:paraId="05704CAF" w14:textId="77777777" w:rsidR="00E70F5C" w:rsidRPr="00E70F5C" w:rsidRDefault="00E70F5C" w:rsidP="00E70F5C">
            <w:pPr>
              <w:tabs>
                <w:tab w:val="left" w:pos="851"/>
              </w:tabs>
              <w:ind w:left="851"/>
              <w:rPr>
                <w:i/>
                <w:iCs/>
                <w:sz w:val="24"/>
                <w:szCs w:val="24"/>
              </w:rPr>
            </w:pPr>
            <w:r w:rsidRPr="00E70F5C">
              <w:rPr>
                <w:i/>
                <w:iCs/>
                <w:sz w:val="24"/>
                <w:szCs w:val="24"/>
              </w:rPr>
              <w:t>Daglig dosis</w:t>
            </w:r>
          </w:p>
        </w:tc>
      </w:tr>
      <w:tr w:rsidR="00E70F5C" w:rsidRPr="00E70F5C" w14:paraId="2CD52DFB" w14:textId="77777777" w:rsidTr="00E70F5C">
        <w:tc>
          <w:tcPr>
            <w:tcW w:w="4499" w:type="dxa"/>
            <w:tcBorders>
              <w:top w:val="single" w:sz="4" w:space="0" w:color="auto"/>
              <w:left w:val="single" w:sz="4" w:space="0" w:color="auto"/>
              <w:bottom w:val="single" w:sz="4" w:space="0" w:color="auto"/>
              <w:right w:val="single" w:sz="4" w:space="0" w:color="auto"/>
            </w:tcBorders>
            <w:hideMark/>
          </w:tcPr>
          <w:p w14:paraId="1EBA1FA4" w14:textId="77777777" w:rsidR="00E70F5C" w:rsidRPr="00E70F5C" w:rsidRDefault="00E70F5C" w:rsidP="00E70F5C">
            <w:pPr>
              <w:tabs>
                <w:tab w:val="left" w:pos="851"/>
              </w:tabs>
              <w:ind w:left="851"/>
              <w:rPr>
                <w:sz w:val="24"/>
                <w:szCs w:val="24"/>
              </w:rPr>
            </w:pPr>
            <w:r w:rsidRPr="00E70F5C">
              <w:rPr>
                <w:sz w:val="24"/>
                <w:szCs w:val="24"/>
              </w:rPr>
              <w:t>&gt;20 ml/min</w:t>
            </w:r>
          </w:p>
        </w:tc>
        <w:tc>
          <w:tcPr>
            <w:tcW w:w="4148" w:type="dxa"/>
            <w:tcBorders>
              <w:top w:val="single" w:sz="4" w:space="0" w:color="auto"/>
              <w:left w:val="single" w:sz="4" w:space="0" w:color="auto"/>
              <w:bottom w:val="single" w:sz="4" w:space="0" w:color="auto"/>
              <w:right w:val="single" w:sz="4" w:space="0" w:color="auto"/>
            </w:tcBorders>
            <w:hideMark/>
          </w:tcPr>
          <w:p w14:paraId="655C9BE3" w14:textId="77777777" w:rsidR="00E70F5C" w:rsidRPr="00E70F5C" w:rsidRDefault="00E70F5C" w:rsidP="00E70F5C">
            <w:pPr>
              <w:tabs>
                <w:tab w:val="left" w:pos="851"/>
              </w:tabs>
              <w:ind w:left="851"/>
              <w:rPr>
                <w:sz w:val="24"/>
                <w:szCs w:val="24"/>
              </w:rPr>
            </w:pPr>
            <w:r w:rsidRPr="00E70F5C">
              <w:rPr>
                <w:sz w:val="24"/>
                <w:szCs w:val="24"/>
              </w:rPr>
              <w:t>Standarddosis</w:t>
            </w:r>
          </w:p>
        </w:tc>
      </w:tr>
      <w:tr w:rsidR="00E70F5C" w:rsidRPr="00E70F5C" w14:paraId="5EB4DFF2" w14:textId="77777777" w:rsidTr="00E70F5C">
        <w:tc>
          <w:tcPr>
            <w:tcW w:w="4499" w:type="dxa"/>
            <w:tcBorders>
              <w:top w:val="single" w:sz="4" w:space="0" w:color="auto"/>
              <w:left w:val="single" w:sz="4" w:space="0" w:color="auto"/>
              <w:bottom w:val="single" w:sz="4" w:space="0" w:color="auto"/>
              <w:right w:val="single" w:sz="4" w:space="0" w:color="auto"/>
            </w:tcBorders>
            <w:hideMark/>
          </w:tcPr>
          <w:p w14:paraId="0951B9D9" w14:textId="77777777" w:rsidR="00E70F5C" w:rsidRPr="00E70F5C" w:rsidRDefault="00E70F5C" w:rsidP="00E70F5C">
            <w:pPr>
              <w:tabs>
                <w:tab w:val="left" w:pos="851"/>
              </w:tabs>
              <w:ind w:left="851"/>
              <w:rPr>
                <w:sz w:val="24"/>
                <w:szCs w:val="24"/>
              </w:rPr>
            </w:pPr>
            <w:r w:rsidRPr="00E70F5C">
              <w:rPr>
                <w:sz w:val="24"/>
                <w:szCs w:val="24"/>
              </w:rPr>
              <w:t>10-20 ml/min</w:t>
            </w:r>
          </w:p>
        </w:tc>
        <w:tc>
          <w:tcPr>
            <w:tcW w:w="4148" w:type="dxa"/>
            <w:tcBorders>
              <w:top w:val="single" w:sz="4" w:space="0" w:color="auto"/>
              <w:left w:val="single" w:sz="4" w:space="0" w:color="auto"/>
              <w:bottom w:val="single" w:sz="4" w:space="0" w:color="auto"/>
              <w:right w:val="single" w:sz="4" w:space="0" w:color="auto"/>
            </w:tcBorders>
            <w:hideMark/>
          </w:tcPr>
          <w:p w14:paraId="1F536E22" w14:textId="77777777" w:rsidR="00E70F5C" w:rsidRPr="00E70F5C" w:rsidRDefault="00E70F5C" w:rsidP="00E70F5C">
            <w:pPr>
              <w:tabs>
                <w:tab w:val="left" w:pos="851"/>
              </w:tabs>
              <w:ind w:left="851"/>
              <w:rPr>
                <w:sz w:val="24"/>
                <w:szCs w:val="24"/>
              </w:rPr>
            </w:pPr>
            <w:r w:rsidRPr="00E70F5C">
              <w:rPr>
                <w:sz w:val="24"/>
                <w:szCs w:val="24"/>
              </w:rPr>
              <w:t xml:space="preserve">100 mg-200 mg </w:t>
            </w:r>
          </w:p>
        </w:tc>
      </w:tr>
      <w:tr w:rsidR="00E70F5C" w:rsidRPr="00E70F5C" w14:paraId="46B49641" w14:textId="77777777" w:rsidTr="00E70F5C">
        <w:tc>
          <w:tcPr>
            <w:tcW w:w="4499" w:type="dxa"/>
            <w:tcBorders>
              <w:top w:val="single" w:sz="4" w:space="0" w:color="auto"/>
              <w:left w:val="single" w:sz="4" w:space="0" w:color="auto"/>
              <w:bottom w:val="single" w:sz="4" w:space="0" w:color="auto"/>
              <w:right w:val="single" w:sz="4" w:space="0" w:color="auto"/>
            </w:tcBorders>
            <w:hideMark/>
          </w:tcPr>
          <w:p w14:paraId="5C003FB2" w14:textId="77777777" w:rsidR="00E70F5C" w:rsidRPr="00E70F5C" w:rsidRDefault="00E70F5C" w:rsidP="00E70F5C">
            <w:pPr>
              <w:tabs>
                <w:tab w:val="left" w:pos="851"/>
              </w:tabs>
              <w:ind w:left="851"/>
              <w:rPr>
                <w:sz w:val="24"/>
                <w:szCs w:val="24"/>
              </w:rPr>
            </w:pPr>
            <w:r w:rsidRPr="00E70F5C">
              <w:rPr>
                <w:sz w:val="24"/>
                <w:szCs w:val="24"/>
              </w:rPr>
              <w:t>&lt;10 ml/min</w:t>
            </w:r>
          </w:p>
        </w:tc>
        <w:tc>
          <w:tcPr>
            <w:tcW w:w="4148" w:type="dxa"/>
            <w:tcBorders>
              <w:top w:val="single" w:sz="4" w:space="0" w:color="auto"/>
              <w:left w:val="single" w:sz="4" w:space="0" w:color="auto"/>
              <w:bottom w:val="single" w:sz="4" w:space="0" w:color="auto"/>
              <w:right w:val="single" w:sz="4" w:space="0" w:color="auto"/>
            </w:tcBorders>
            <w:hideMark/>
          </w:tcPr>
          <w:p w14:paraId="10988860" w14:textId="77777777" w:rsidR="00E70F5C" w:rsidRPr="00E70F5C" w:rsidRDefault="00E70F5C" w:rsidP="00E70F5C">
            <w:pPr>
              <w:tabs>
                <w:tab w:val="left" w:pos="851"/>
              </w:tabs>
              <w:ind w:left="851"/>
              <w:rPr>
                <w:sz w:val="24"/>
                <w:szCs w:val="24"/>
              </w:rPr>
            </w:pPr>
            <w:r w:rsidRPr="00E70F5C">
              <w:rPr>
                <w:sz w:val="24"/>
                <w:szCs w:val="24"/>
              </w:rPr>
              <w:t>100 mg eller længere intervaller</w:t>
            </w:r>
          </w:p>
        </w:tc>
      </w:tr>
    </w:tbl>
    <w:p w14:paraId="18F50B1D" w14:textId="77777777" w:rsidR="00E70F5C" w:rsidRPr="00E70F5C" w:rsidRDefault="00E70F5C" w:rsidP="00E70F5C">
      <w:pPr>
        <w:tabs>
          <w:tab w:val="left" w:pos="851"/>
        </w:tabs>
        <w:ind w:left="851"/>
        <w:rPr>
          <w:sz w:val="24"/>
          <w:szCs w:val="24"/>
        </w:rPr>
      </w:pPr>
    </w:p>
    <w:p w14:paraId="0BB826AA" w14:textId="77777777" w:rsidR="00E70F5C" w:rsidRPr="00E70F5C" w:rsidRDefault="00E70F5C" w:rsidP="00E70F5C">
      <w:pPr>
        <w:tabs>
          <w:tab w:val="left" w:pos="851"/>
        </w:tabs>
        <w:ind w:left="851"/>
        <w:rPr>
          <w:sz w:val="24"/>
          <w:szCs w:val="24"/>
        </w:rPr>
      </w:pPr>
      <w:r w:rsidRPr="00E70F5C">
        <w:rPr>
          <w:sz w:val="24"/>
          <w:szCs w:val="24"/>
        </w:rPr>
        <w:t xml:space="preserve">I tilfælde af hæmodialyse kan der administreres 300 mg til 400 mg </w:t>
      </w:r>
      <w:proofErr w:type="spellStart"/>
      <w:r w:rsidRPr="00E70F5C">
        <w:rPr>
          <w:sz w:val="24"/>
          <w:szCs w:val="24"/>
        </w:rPr>
        <w:t>allopurinol</w:t>
      </w:r>
      <w:proofErr w:type="spellEnd"/>
      <w:r w:rsidRPr="00E70F5C">
        <w:rPr>
          <w:sz w:val="24"/>
          <w:szCs w:val="24"/>
        </w:rPr>
        <w:t xml:space="preserve"> umiddelbart efter hver behandling (dvs. to eller tre gange ugentligt). </w:t>
      </w:r>
    </w:p>
    <w:p w14:paraId="32AFF40B" w14:textId="77777777" w:rsidR="00E70F5C" w:rsidRPr="00E70F5C" w:rsidRDefault="00E70F5C" w:rsidP="00E70F5C">
      <w:pPr>
        <w:tabs>
          <w:tab w:val="left" w:pos="851"/>
        </w:tabs>
        <w:ind w:left="851"/>
        <w:rPr>
          <w:sz w:val="24"/>
          <w:szCs w:val="24"/>
        </w:rPr>
      </w:pPr>
    </w:p>
    <w:p w14:paraId="23320AE3" w14:textId="77777777" w:rsidR="00E70F5C" w:rsidRPr="009535D3" w:rsidRDefault="00E70F5C" w:rsidP="00E70F5C">
      <w:pPr>
        <w:tabs>
          <w:tab w:val="left" w:pos="851"/>
        </w:tabs>
        <w:ind w:left="851"/>
        <w:rPr>
          <w:sz w:val="24"/>
          <w:szCs w:val="24"/>
        </w:rPr>
      </w:pPr>
      <w:r w:rsidRPr="009535D3">
        <w:rPr>
          <w:i/>
          <w:iCs/>
          <w:sz w:val="24"/>
          <w:szCs w:val="24"/>
        </w:rPr>
        <w:t>Nedsat leverfunktion</w:t>
      </w:r>
    </w:p>
    <w:p w14:paraId="51D8657B" w14:textId="77777777" w:rsidR="00E70F5C" w:rsidRPr="00E70F5C" w:rsidRDefault="00E70F5C" w:rsidP="00E70F5C">
      <w:pPr>
        <w:tabs>
          <w:tab w:val="left" w:pos="851"/>
        </w:tabs>
        <w:ind w:left="851"/>
        <w:rPr>
          <w:sz w:val="24"/>
          <w:szCs w:val="24"/>
        </w:rPr>
      </w:pPr>
      <w:r w:rsidRPr="00E70F5C">
        <w:rPr>
          <w:sz w:val="24"/>
          <w:szCs w:val="24"/>
        </w:rPr>
        <w:t xml:space="preserve">Dosis bør nedsættes hos patienter med nedsat leverfunktion, på samme måde, som det anbefales hos patienter med nedsat nyrefunktion. Der anbefales periodiske leverfunktionstest i de tidlige stadier af behandlingen. </w:t>
      </w:r>
    </w:p>
    <w:p w14:paraId="75B9F04E" w14:textId="77777777" w:rsidR="00E70F5C" w:rsidRPr="00E70F5C" w:rsidRDefault="00E70F5C" w:rsidP="00E70F5C">
      <w:pPr>
        <w:tabs>
          <w:tab w:val="left" w:pos="851"/>
        </w:tabs>
        <w:ind w:left="851"/>
        <w:rPr>
          <w:sz w:val="24"/>
          <w:szCs w:val="24"/>
        </w:rPr>
      </w:pPr>
    </w:p>
    <w:p w14:paraId="7944CB41" w14:textId="77777777" w:rsidR="00E70F5C" w:rsidRPr="009535D3" w:rsidRDefault="00E70F5C" w:rsidP="00E70F5C">
      <w:pPr>
        <w:tabs>
          <w:tab w:val="left" w:pos="851"/>
        </w:tabs>
        <w:ind w:left="851"/>
        <w:rPr>
          <w:sz w:val="24"/>
          <w:szCs w:val="24"/>
        </w:rPr>
      </w:pPr>
      <w:r w:rsidRPr="009535D3">
        <w:rPr>
          <w:i/>
          <w:iCs/>
          <w:sz w:val="24"/>
          <w:szCs w:val="24"/>
        </w:rPr>
        <w:t>Pædiatrisk population under 15 år</w:t>
      </w:r>
    </w:p>
    <w:p w14:paraId="5F36849B" w14:textId="77777777" w:rsidR="00E70F5C" w:rsidRPr="00E70F5C" w:rsidRDefault="00E70F5C" w:rsidP="00E70F5C">
      <w:pPr>
        <w:tabs>
          <w:tab w:val="left" w:pos="851"/>
        </w:tabs>
        <w:ind w:left="851"/>
        <w:rPr>
          <w:sz w:val="24"/>
          <w:szCs w:val="24"/>
        </w:rPr>
      </w:pPr>
      <w:r w:rsidRPr="00E70F5C">
        <w:rPr>
          <w:sz w:val="24"/>
          <w:szCs w:val="24"/>
        </w:rPr>
        <w:t xml:space="preserve">Den daglige dosis er 10 mg/kg legemsvægt op til et maksimum på 400 mg/dag, fordelt på 3 doser. </w:t>
      </w:r>
    </w:p>
    <w:p w14:paraId="498A2239" w14:textId="77777777" w:rsidR="00E70F5C" w:rsidRPr="00E70F5C" w:rsidRDefault="00E70F5C" w:rsidP="00E70F5C">
      <w:pPr>
        <w:tabs>
          <w:tab w:val="left" w:pos="851"/>
        </w:tabs>
        <w:ind w:left="851"/>
        <w:rPr>
          <w:sz w:val="24"/>
          <w:szCs w:val="24"/>
        </w:rPr>
      </w:pPr>
    </w:p>
    <w:p w14:paraId="534FBE78" w14:textId="77777777" w:rsidR="00E70F5C" w:rsidRPr="009535D3" w:rsidRDefault="00E70F5C" w:rsidP="00E70F5C">
      <w:pPr>
        <w:tabs>
          <w:tab w:val="left" w:pos="851"/>
        </w:tabs>
        <w:ind w:left="851"/>
        <w:rPr>
          <w:b/>
          <w:sz w:val="24"/>
          <w:szCs w:val="24"/>
        </w:rPr>
      </w:pPr>
      <w:r w:rsidRPr="009535D3">
        <w:rPr>
          <w:b/>
          <w:sz w:val="24"/>
          <w:szCs w:val="24"/>
        </w:rPr>
        <w:t>For doser på 300 mg</w:t>
      </w:r>
    </w:p>
    <w:p w14:paraId="354AF2A9" w14:textId="77777777" w:rsidR="00E70F5C" w:rsidRPr="00E70F5C" w:rsidRDefault="00E70F5C" w:rsidP="00E70F5C">
      <w:pPr>
        <w:tabs>
          <w:tab w:val="left" w:pos="851"/>
        </w:tabs>
        <w:ind w:left="851"/>
        <w:rPr>
          <w:sz w:val="24"/>
          <w:szCs w:val="24"/>
        </w:rPr>
      </w:pPr>
    </w:p>
    <w:p w14:paraId="174C1AE8" w14:textId="77777777" w:rsidR="00E70F5C" w:rsidRPr="009535D3" w:rsidRDefault="00E70F5C" w:rsidP="00E70F5C">
      <w:pPr>
        <w:tabs>
          <w:tab w:val="left" w:pos="851"/>
        </w:tabs>
        <w:ind w:left="851"/>
        <w:rPr>
          <w:sz w:val="24"/>
          <w:szCs w:val="24"/>
        </w:rPr>
      </w:pPr>
      <w:r w:rsidRPr="009535D3">
        <w:rPr>
          <w:iCs/>
          <w:sz w:val="24"/>
          <w:szCs w:val="24"/>
          <w:u w:val="single"/>
        </w:rPr>
        <w:t>Voksne</w:t>
      </w:r>
    </w:p>
    <w:p w14:paraId="5DB10421" w14:textId="77777777" w:rsidR="00E70F5C" w:rsidRPr="00E70F5C" w:rsidRDefault="00E70F5C" w:rsidP="00E70F5C">
      <w:pPr>
        <w:tabs>
          <w:tab w:val="left" w:pos="851"/>
        </w:tabs>
        <w:ind w:left="851"/>
        <w:rPr>
          <w:sz w:val="24"/>
          <w:szCs w:val="24"/>
        </w:rPr>
      </w:pPr>
      <w:r w:rsidRPr="00E70F5C">
        <w:rPr>
          <w:sz w:val="24"/>
          <w:szCs w:val="24"/>
        </w:rPr>
        <w:t xml:space="preserve">Den anbefalede dosis er 300 mg </w:t>
      </w:r>
      <w:proofErr w:type="spellStart"/>
      <w:r w:rsidRPr="00E70F5C">
        <w:rPr>
          <w:sz w:val="24"/>
          <w:szCs w:val="24"/>
        </w:rPr>
        <w:t>allopurinol</w:t>
      </w:r>
      <w:proofErr w:type="spellEnd"/>
      <w:r w:rsidRPr="00E70F5C">
        <w:rPr>
          <w:sz w:val="24"/>
          <w:szCs w:val="24"/>
        </w:rPr>
        <w:t xml:space="preserve"> </w:t>
      </w:r>
      <w:r w:rsidR="000E1E40">
        <w:rPr>
          <w:sz w:val="24"/>
          <w:szCs w:val="24"/>
        </w:rPr>
        <w:t>daglig</w:t>
      </w:r>
      <w:r w:rsidRPr="00E70F5C">
        <w:rPr>
          <w:sz w:val="24"/>
          <w:szCs w:val="24"/>
        </w:rPr>
        <w:t xml:space="preserve">, afhængig af urinsyreniveauet i serum. </w:t>
      </w:r>
    </w:p>
    <w:p w14:paraId="6AF85BA0" w14:textId="77777777" w:rsidR="00E70F5C" w:rsidRPr="00E70F5C" w:rsidRDefault="00E70F5C" w:rsidP="00E70F5C">
      <w:pPr>
        <w:tabs>
          <w:tab w:val="left" w:pos="851"/>
        </w:tabs>
        <w:ind w:left="851"/>
        <w:rPr>
          <w:sz w:val="24"/>
          <w:szCs w:val="24"/>
        </w:rPr>
      </w:pPr>
      <w:r w:rsidRPr="00E70F5C">
        <w:rPr>
          <w:sz w:val="24"/>
          <w:szCs w:val="24"/>
        </w:rPr>
        <w:tab/>
      </w:r>
    </w:p>
    <w:p w14:paraId="54DFE9B5" w14:textId="77777777" w:rsidR="00C56A05" w:rsidRDefault="00C56A05" w:rsidP="00C56A05">
      <w:pPr>
        <w:tabs>
          <w:tab w:val="left" w:pos="851"/>
        </w:tabs>
        <w:ind w:left="851"/>
        <w:rPr>
          <w:sz w:val="24"/>
          <w:szCs w:val="24"/>
        </w:rPr>
      </w:pPr>
      <w:proofErr w:type="spellStart"/>
      <w:r w:rsidRPr="00C56A05">
        <w:rPr>
          <w:sz w:val="24"/>
          <w:szCs w:val="24"/>
        </w:rPr>
        <w:t>Allopurinol</w:t>
      </w:r>
      <w:proofErr w:type="spellEnd"/>
      <w:r w:rsidRPr="00C56A05">
        <w:rPr>
          <w:sz w:val="24"/>
          <w:szCs w:val="24"/>
        </w:rPr>
        <w:t xml:space="preserve"> bør introduceres ved en lav dosering, f.eks. 100 mg/dag, for at reducere risikoen for bivirkninger og bør kun øges, hvis serumurat-responset er utilfredsstillende. Der bør udvises ekstra forsigtighed, hvis nyrefunktionen er nedsat.</w:t>
      </w:r>
    </w:p>
    <w:p w14:paraId="2D15A3D7" w14:textId="77777777" w:rsidR="00E70F5C" w:rsidRPr="00E70F5C" w:rsidRDefault="00E70F5C" w:rsidP="00E70F5C">
      <w:pPr>
        <w:tabs>
          <w:tab w:val="left" w:pos="851"/>
        </w:tabs>
        <w:ind w:left="851"/>
        <w:rPr>
          <w:sz w:val="24"/>
          <w:szCs w:val="24"/>
        </w:rPr>
      </w:pPr>
    </w:p>
    <w:p w14:paraId="323B35D7" w14:textId="77777777" w:rsidR="00E70F5C" w:rsidRPr="00E70F5C" w:rsidRDefault="00E70F5C" w:rsidP="00E70F5C">
      <w:pPr>
        <w:tabs>
          <w:tab w:val="left" w:pos="851"/>
        </w:tabs>
        <w:ind w:left="851"/>
        <w:rPr>
          <w:sz w:val="24"/>
          <w:szCs w:val="24"/>
        </w:rPr>
      </w:pPr>
      <w:r w:rsidRPr="00E70F5C">
        <w:rPr>
          <w:sz w:val="24"/>
          <w:szCs w:val="24"/>
        </w:rPr>
        <w:t xml:space="preserve">Alternativt kan 100 mg til 300 mg </w:t>
      </w:r>
      <w:proofErr w:type="spellStart"/>
      <w:r w:rsidRPr="00E70F5C">
        <w:rPr>
          <w:sz w:val="24"/>
          <w:szCs w:val="24"/>
        </w:rPr>
        <w:t>allopurinol</w:t>
      </w:r>
      <w:proofErr w:type="spellEnd"/>
      <w:r w:rsidRPr="00E70F5C">
        <w:rPr>
          <w:sz w:val="24"/>
          <w:szCs w:val="24"/>
        </w:rPr>
        <w:t xml:space="preserve"> tages, hvis andre styrker er tilgængelige. </w:t>
      </w:r>
    </w:p>
    <w:p w14:paraId="248D3E91" w14:textId="77777777" w:rsidR="00E70F5C" w:rsidRPr="00E70F5C" w:rsidRDefault="00E70F5C" w:rsidP="00E70F5C">
      <w:pPr>
        <w:tabs>
          <w:tab w:val="left" w:pos="851"/>
        </w:tabs>
        <w:ind w:left="851"/>
        <w:rPr>
          <w:sz w:val="24"/>
          <w:szCs w:val="24"/>
        </w:rPr>
      </w:pPr>
    </w:p>
    <w:p w14:paraId="59A602C3" w14:textId="77777777" w:rsidR="00E70F5C" w:rsidRPr="00E70F5C" w:rsidRDefault="00E70F5C" w:rsidP="00E70F5C">
      <w:pPr>
        <w:tabs>
          <w:tab w:val="left" w:pos="851"/>
        </w:tabs>
        <w:ind w:left="851"/>
        <w:rPr>
          <w:sz w:val="24"/>
          <w:szCs w:val="24"/>
        </w:rPr>
      </w:pPr>
      <w:r w:rsidRPr="00E70F5C">
        <w:rPr>
          <w:sz w:val="24"/>
          <w:szCs w:val="24"/>
        </w:rPr>
        <w:t xml:space="preserve">I individuelle tilfælde kan dosis øges til 600 mg </w:t>
      </w:r>
      <w:proofErr w:type="spellStart"/>
      <w:r w:rsidRPr="00E70F5C">
        <w:rPr>
          <w:sz w:val="24"/>
          <w:szCs w:val="24"/>
        </w:rPr>
        <w:t>allopurinol</w:t>
      </w:r>
      <w:proofErr w:type="spellEnd"/>
      <w:r w:rsidRPr="00E70F5C">
        <w:rPr>
          <w:sz w:val="24"/>
          <w:szCs w:val="24"/>
        </w:rPr>
        <w:t xml:space="preserve"> </w:t>
      </w:r>
      <w:r w:rsidR="000E1E40">
        <w:rPr>
          <w:sz w:val="24"/>
          <w:szCs w:val="24"/>
        </w:rPr>
        <w:t>daglig</w:t>
      </w:r>
      <w:r w:rsidRPr="00E70F5C">
        <w:rPr>
          <w:sz w:val="24"/>
          <w:szCs w:val="24"/>
        </w:rPr>
        <w:t xml:space="preserve">. I denne situation bør koncentrationen af serum </w:t>
      </w:r>
      <w:proofErr w:type="spellStart"/>
      <w:r w:rsidRPr="00E70F5C">
        <w:rPr>
          <w:sz w:val="24"/>
          <w:szCs w:val="24"/>
        </w:rPr>
        <w:t>oxipurinol</w:t>
      </w:r>
      <w:proofErr w:type="spellEnd"/>
      <w:r w:rsidRPr="00E70F5C">
        <w:rPr>
          <w:sz w:val="24"/>
          <w:szCs w:val="24"/>
        </w:rPr>
        <w:t xml:space="preserve"> tages i betragtning, da den ikke bør overstige en værdi på 15 mikrogram/ml (100 mikromol). </w:t>
      </w:r>
    </w:p>
    <w:p w14:paraId="50C4D49F" w14:textId="77777777" w:rsidR="00E70F5C" w:rsidRPr="00E70F5C" w:rsidRDefault="00E70F5C" w:rsidP="00E70F5C">
      <w:pPr>
        <w:tabs>
          <w:tab w:val="left" w:pos="851"/>
        </w:tabs>
        <w:ind w:left="851"/>
        <w:rPr>
          <w:sz w:val="24"/>
          <w:szCs w:val="24"/>
        </w:rPr>
      </w:pPr>
    </w:p>
    <w:p w14:paraId="2A1DB32D" w14:textId="77777777" w:rsidR="00E70F5C" w:rsidRPr="00E70F5C" w:rsidRDefault="00E70F5C" w:rsidP="00E70F5C">
      <w:pPr>
        <w:tabs>
          <w:tab w:val="left" w:pos="851"/>
        </w:tabs>
        <w:ind w:left="851"/>
        <w:rPr>
          <w:sz w:val="24"/>
          <w:szCs w:val="24"/>
        </w:rPr>
      </w:pPr>
      <w:r w:rsidRPr="00E70F5C">
        <w:rPr>
          <w:sz w:val="24"/>
          <w:szCs w:val="24"/>
        </w:rPr>
        <w:t xml:space="preserve">Den maksimale daglige dosis er 800 mg </w:t>
      </w:r>
      <w:proofErr w:type="spellStart"/>
      <w:r w:rsidRPr="00E70F5C">
        <w:rPr>
          <w:sz w:val="24"/>
          <w:szCs w:val="24"/>
        </w:rPr>
        <w:t>allopurinol</w:t>
      </w:r>
      <w:proofErr w:type="spellEnd"/>
      <w:r w:rsidRPr="00E70F5C">
        <w:rPr>
          <w:sz w:val="24"/>
          <w:szCs w:val="24"/>
        </w:rPr>
        <w:t xml:space="preserve">. </w:t>
      </w:r>
    </w:p>
    <w:p w14:paraId="506F8FE7" w14:textId="77777777" w:rsidR="00E70F5C" w:rsidRPr="00E70F5C" w:rsidRDefault="00E70F5C" w:rsidP="00E70F5C">
      <w:pPr>
        <w:tabs>
          <w:tab w:val="left" w:pos="851"/>
        </w:tabs>
        <w:ind w:left="851"/>
        <w:rPr>
          <w:sz w:val="24"/>
          <w:szCs w:val="24"/>
        </w:rPr>
      </w:pPr>
    </w:p>
    <w:p w14:paraId="62F0607D" w14:textId="77777777" w:rsidR="00E70F5C" w:rsidRPr="00E70F5C" w:rsidRDefault="00E70F5C" w:rsidP="00E70F5C">
      <w:pPr>
        <w:tabs>
          <w:tab w:val="left" w:pos="851"/>
        </w:tabs>
        <w:ind w:left="851"/>
        <w:rPr>
          <w:sz w:val="24"/>
          <w:szCs w:val="24"/>
        </w:rPr>
      </w:pPr>
      <w:r w:rsidRPr="00E70F5C">
        <w:rPr>
          <w:sz w:val="24"/>
          <w:szCs w:val="24"/>
        </w:rPr>
        <w:t xml:space="preserve">For bedre tolerance bør der ikke tages mere end 300 mg </w:t>
      </w:r>
      <w:proofErr w:type="spellStart"/>
      <w:r w:rsidRPr="00E70F5C">
        <w:rPr>
          <w:sz w:val="24"/>
          <w:szCs w:val="24"/>
        </w:rPr>
        <w:t>allopurinol</w:t>
      </w:r>
      <w:proofErr w:type="spellEnd"/>
      <w:r w:rsidRPr="00E70F5C">
        <w:rPr>
          <w:sz w:val="24"/>
          <w:szCs w:val="24"/>
        </w:rPr>
        <w:t xml:space="preserve"> som enkeltdosis. Skulle den daglige dosis overstige 300 mg </w:t>
      </w:r>
      <w:proofErr w:type="spellStart"/>
      <w:r w:rsidRPr="00E70F5C">
        <w:rPr>
          <w:sz w:val="24"/>
          <w:szCs w:val="24"/>
        </w:rPr>
        <w:t>allopurinol</w:t>
      </w:r>
      <w:proofErr w:type="spellEnd"/>
      <w:r w:rsidRPr="00E70F5C">
        <w:rPr>
          <w:sz w:val="24"/>
          <w:szCs w:val="24"/>
        </w:rPr>
        <w:t xml:space="preserve"> og </w:t>
      </w:r>
      <w:proofErr w:type="spellStart"/>
      <w:r w:rsidRPr="00E70F5C">
        <w:rPr>
          <w:sz w:val="24"/>
          <w:szCs w:val="24"/>
        </w:rPr>
        <w:t>gastrointestinal</w:t>
      </w:r>
      <w:proofErr w:type="spellEnd"/>
      <w:r w:rsidRPr="00E70F5C">
        <w:rPr>
          <w:sz w:val="24"/>
          <w:szCs w:val="24"/>
        </w:rPr>
        <w:t xml:space="preserve"> intolerance opstår, kan et delt dosisregime være passende. </w:t>
      </w:r>
    </w:p>
    <w:p w14:paraId="7078EE2C" w14:textId="77777777" w:rsidR="00E70F5C" w:rsidRPr="00E70F5C" w:rsidRDefault="00E70F5C" w:rsidP="00E70F5C">
      <w:pPr>
        <w:tabs>
          <w:tab w:val="left" w:pos="851"/>
        </w:tabs>
        <w:ind w:left="851"/>
        <w:rPr>
          <w:sz w:val="24"/>
          <w:szCs w:val="24"/>
        </w:rPr>
      </w:pPr>
    </w:p>
    <w:p w14:paraId="6A55F59C" w14:textId="77777777" w:rsidR="00E70F5C" w:rsidRPr="009535D3" w:rsidRDefault="00E70F5C" w:rsidP="00E70F5C">
      <w:pPr>
        <w:tabs>
          <w:tab w:val="left" w:pos="851"/>
        </w:tabs>
        <w:ind w:left="851"/>
        <w:rPr>
          <w:iCs/>
          <w:sz w:val="24"/>
          <w:szCs w:val="24"/>
          <w:u w:val="single"/>
        </w:rPr>
      </w:pPr>
      <w:r w:rsidRPr="009535D3">
        <w:rPr>
          <w:bCs/>
          <w:iCs/>
          <w:sz w:val="24"/>
          <w:szCs w:val="24"/>
          <w:u w:val="single"/>
        </w:rPr>
        <w:t>Specielle populationer</w:t>
      </w:r>
    </w:p>
    <w:p w14:paraId="7EBC439A" w14:textId="77777777" w:rsidR="00E70F5C" w:rsidRPr="00E70F5C" w:rsidRDefault="00E70F5C" w:rsidP="00E70F5C">
      <w:pPr>
        <w:tabs>
          <w:tab w:val="left" w:pos="851"/>
        </w:tabs>
        <w:ind w:left="851"/>
        <w:rPr>
          <w:i/>
          <w:iCs/>
          <w:sz w:val="24"/>
          <w:szCs w:val="24"/>
          <w:u w:val="single"/>
        </w:rPr>
      </w:pPr>
    </w:p>
    <w:p w14:paraId="177A544C" w14:textId="77777777" w:rsidR="00E70F5C" w:rsidRPr="009535D3" w:rsidRDefault="00E70F5C" w:rsidP="00E70F5C">
      <w:pPr>
        <w:tabs>
          <w:tab w:val="left" w:pos="851"/>
        </w:tabs>
        <w:ind w:left="851"/>
        <w:rPr>
          <w:i/>
          <w:iCs/>
          <w:sz w:val="24"/>
          <w:szCs w:val="24"/>
        </w:rPr>
      </w:pPr>
      <w:r w:rsidRPr="009535D3">
        <w:rPr>
          <w:i/>
          <w:iCs/>
          <w:sz w:val="24"/>
          <w:szCs w:val="24"/>
        </w:rPr>
        <w:t>Ældre</w:t>
      </w:r>
    </w:p>
    <w:p w14:paraId="4B00AA12" w14:textId="77777777" w:rsidR="00E70F5C" w:rsidRPr="00E70F5C" w:rsidRDefault="00E70F5C" w:rsidP="00E70F5C">
      <w:pPr>
        <w:tabs>
          <w:tab w:val="left" w:pos="851"/>
        </w:tabs>
        <w:ind w:left="851"/>
        <w:rPr>
          <w:sz w:val="24"/>
          <w:szCs w:val="24"/>
        </w:rPr>
      </w:pPr>
      <w:r w:rsidRPr="00E70F5C">
        <w:rPr>
          <w:sz w:val="24"/>
          <w:szCs w:val="24"/>
        </w:rPr>
        <w:t xml:space="preserve">I mangel på specifikke data, bør den laveste dosis, som giver en tilfredsstillende urat-reduktion, anvendes. Der bør lægges særlig vægt på anbefalingerne i pkt. 4.2 ”Nedsat nyrefunktion” og pkt. 4.4. </w:t>
      </w:r>
    </w:p>
    <w:p w14:paraId="738952CC" w14:textId="77777777" w:rsidR="00E70F5C" w:rsidRPr="00E70F5C" w:rsidRDefault="00E70F5C" w:rsidP="00E70F5C">
      <w:pPr>
        <w:tabs>
          <w:tab w:val="left" w:pos="851"/>
        </w:tabs>
        <w:ind w:left="851"/>
        <w:rPr>
          <w:sz w:val="24"/>
          <w:szCs w:val="24"/>
        </w:rPr>
      </w:pPr>
    </w:p>
    <w:p w14:paraId="763A4947" w14:textId="77777777" w:rsidR="00E70F5C" w:rsidRPr="009535D3" w:rsidRDefault="00E70F5C" w:rsidP="00E70F5C">
      <w:pPr>
        <w:tabs>
          <w:tab w:val="left" w:pos="851"/>
        </w:tabs>
        <w:ind w:left="851"/>
        <w:rPr>
          <w:sz w:val="24"/>
          <w:szCs w:val="24"/>
        </w:rPr>
      </w:pPr>
      <w:r w:rsidRPr="009535D3">
        <w:rPr>
          <w:i/>
          <w:iCs/>
          <w:sz w:val="24"/>
          <w:szCs w:val="24"/>
        </w:rPr>
        <w:t>Nedsat nyrefunktion</w:t>
      </w:r>
    </w:p>
    <w:p w14:paraId="351A1BA9" w14:textId="2E317778" w:rsidR="00E70F5C" w:rsidRPr="00E70F5C" w:rsidRDefault="00E70F5C" w:rsidP="00E70F5C">
      <w:pPr>
        <w:tabs>
          <w:tab w:val="left" w:pos="851"/>
        </w:tabs>
        <w:ind w:left="851"/>
        <w:rPr>
          <w:sz w:val="24"/>
          <w:szCs w:val="24"/>
        </w:rPr>
      </w:pPr>
      <w:r w:rsidRPr="00E70F5C">
        <w:rPr>
          <w:sz w:val="24"/>
          <w:szCs w:val="24"/>
        </w:rPr>
        <w:t xml:space="preserve">På grund af det høje indhold af det aktive stof er </w:t>
      </w:r>
      <w:proofErr w:type="spellStart"/>
      <w:r w:rsidR="00263CB7">
        <w:rPr>
          <w:sz w:val="24"/>
          <w:szCs w:val="24"/>
        </w:rPr>
        <w:t>Allopurinol</w:t>
      </w:r>
      <w:proofErr w:type="spellEnd"/>
      <w:r w:rsidR="00263CB7">
        <w:rPr>
          <w:sz w:val="24"/>
          <w:szCs w:val="24"/>
        </w:rPr>
        <w:t xml:space="preserve"> ”Nordic Prime”</w:t>
      </w:r>
      <w:r w:rsidRPr="00E70F5C">
        <w:rPr>
          <w:sz w:val="24"/>
          <w:szCs w:val="24"/>
        </w:rPr>
        <w:t xml:space="preserve"> 300 mg ikke egnet til patienter med nedsat nyrefunktion. </w:t>
      </w:r>
    </w:p>
    <w:p w14:paraId="45A3E767" w14:textId="77777777" w:rsidR="00E70F5C" w:rsidRPr="00E70F5C" w:rsidRDefault="00E70F5C" w:rsidP="00E70F5C">
      <w:pPr>
        <w:tabs>
          <w:tab w:val="left" w:pos="851"/>
        </w:tabs>
        <w:ind w:left="851"/>
        <w:rPr>
          <w:sz w:val="24"/>
          <w:szCs w:val="24"/>
        </w:rPr>
      </w:pPr>
    </w:p>
    <w:p w14:paraId="3BF13F6C" w14:textId="1A1675B7" w:rsidR="00E70F5C" w:rsidRPr="00E70F5C" w:rsidRDefault="00E70F5C" w:rsidP="00E70F5C">
      <w:pPr>
        <w:tabs>
          <w:tab w:val="left" w:pos="851"/>
        </w:tabs>
        <w:ind w:left="851"/>
        <w:rPr>
          <w:sz w:val="24"/>
          <w:szCs w:val="24"/>
        </w:rPr>
      </w:pPr>
      <w:r w:rsidRPr="00E70F5C">
        <w:rPr>
          <w:sz w:val="24"/>
          <w:szCs w:val="24"/>
        </w:rPr>
        <w:lastRenderedPageBreak/>
        <w:t xml:space="preserve">Til denne patientgruppe er </w:t>
      </w:r>
      <w:proofErr w:type="spellStart"/>
      <w:r w:rsidR="00263CB7">
        <w:rPr>
          <w:sz w:val="24"/>
          <w:szCs w:val="24"/>
        </w:rPr>
        <w:t>Allopurinol</w:t>
      </w:r>
      <w:proofErr w:type="spellEnd"/>
      <w:r w:rsidR="00263CB7">
        <w:rPr>
          <w:sz w:val="24"/>
          <w:szCs w:val="24"/>
        </w:rPr>
        <w:t xml:space="preserve"> ”Nordic Prime”</w:t>
      </w:r>
      <w:r w:rsidRPr="00E70F5C">
        <w:rPr>
          <w:sz w:val="24"/>
          <w:szCs w:val="24"/>
        </w:rPr>
        <w:t xml:space="preserve"> 100 mg tilgængelig. </w:t>
      </w:r>
    </w:p>
    <w:p w14:paraId="311AE661" w14:textId="77777777" w:rsidR="00E70F5C" w:rsidRPr="00E70F5C" w:rsidRDefault="00E70F5C" w:rsidP="00E70F5C">
      <w:pPr>
        <w:tabs>
          <w:tab w:val="left" w:pos="851"/>
        </w:tabs>
        <w:ind w:left="851"/>
        <w:rPr>
          <w:sz w:val="24"/>
          <w:szCs w:val="24"/>
        </w:rPr>
      </w:pPr>
    </w:p>
    <w:p w14:paraId="7004F066" w14:textId="77777777" w:rsidR="00E70F5C" w:rsidRPr="00E70F5C" w:rsidRDefault="00E70F5C" w:rsidP="00E70F5C">
      <w:pPr>
        <w:tabs>
          <w:tab w:val="left" w:pos="851"/>
        </w:tabs>
        <w:ind w:left="851"/>
        <w:rPr>
          <w:sz w:val="24"/>
          <w:szCs w:val="24"/>
        </w:rPr>
      </w:pPr>
      <w:r w:rsidRPr="00E70F5C">
        <w:rPr>
          <w:sz w:val="24"/>
          <w:szCs w:val="24"/>
        </w:rPr>
        <w:t xml:space="preserve">Ved hæmodialyse kan 300 mg til 400 mg </w:t>
      </w:r>
      <w:proofErr w:type="spellStart"/>
      <w:r w:rsidRPr="00E70F5C">
        <w:rPr>
          <w:sz w:val="24"/>
          <w:szCs w:val="24"/>
        </w:rPr>
        <w:t>allopurinol</w:t>
      </w:r>
      <w:proofErr w:type="spellEnd"/>
      <w:r w:rsidRPr="00E70F5C">
        <w:rPr>
          <w:sz w:val="24"/>
          <w:szCs w:val="24"/>
        </w:rPr>
        <w:t xml:space="preserve"> blive administreret straks efter hver behandling (dvs. to eller tre gange ugentligt). </w:t>
      </w:r>
    </w:p>
    <w:p w14:paraId="08877F1B" w14:textId="77777777" w:rsidR="00E70F5C" w:rsidRPr="00E70F5C" w:rsidRDefault="00E70F5C" w:rsidP="00E70F5C">
      <w:pPr>
        <w:tabs>
          <w:tab w:val="left" w:pos="851"/>
        </w:tabs>
        <w:ind w:left="851"/>
        <w:rPr>
          <w:sz w:val="24"/>
          <w:szCs w:val="24"/>
        </w:rPr>
      </w:pPr>
    </w:p>
    <w:p w14:paraId="5123E0A3" w14:textId="77777777" w:rsidR="00E70F5C" w:rsidRPr="009535D3" w:rsidRDefault="00E70F5C" w:rsidP="00E70F5C">
      <w:pPr>
        <w:tabs>
          <w:tab w:val="left" w:pos="851"/>
        </w:tabs>
        <w:ind w:left="851"/>
        <w:rPr>
          <w:sz w:val="24"/>
          <w:szCs w:val="24"/>
        </w:rPr>
      </w:pPr>
      <w:r w:rsidRPr="009535D3">
        <w:rPr>
          <w:i/>
          <w:iCs/>
          <w:sz w:val="24"/>
          <w:szCs w:val="24"/>
        </w:rPr>
        <w:t>Nedsat leverfunktion</w:t>
      </w:r>
    </w:p>
    <w:p w14:paraId="686D9F09" w14:textId="4C6F59FD" w:rsidR="00E70F5C" w:rsidRPr="00E70F5C" w:rsidRDefault="00E70F5C" w:rsidP="00E70F5C">
      <w:pPr>
        <w:tabs>
          <w:tab w:val="left" w:pos="851"/>
        </w:tabs>
        <w:ind w:left="851"/>
        <w:rPr>
          <w:sz w:val="24"/>
          <w:szCs w:val="24"/>
        </w:rPr>
      </w:pPr>
      <w:r w:rsidRPr="00E70F5C">
        <w:rPr>
          <w:sz w:val="24"/>
          <w:szCs w:val="24"/>
        </w:rPr>
        <w:t xml:space="preserve">På grund af det høje indhold af det aktive stof, er </w:t>
      </w:r>
      <w:proofErr w:type="spellStart"/>
      <w:r w:rsidR="00263CB7">
        <w:rPr>
          <w:sz w:val="24"/>
          <w:szCs w:val="24"/>
        </w:rPr>
        <w:t>Allopurinol</w:t>
      </w:r>
      <w:proofErr w:type="spellEnd"/>
      <w:r w:rsidR="00263CB7">
        <w:rPr>
          <w:sz w:val="24"/>
          <w:szCs w:val="24"/>
        </w:rPr>
        <w:t xml:space="preserve"> ”Nordic Prime”</w:t>
      </w:r>
      <w:r w:rsidRPr="00E70F5C">
        <w:rPr>
          <w:sz w:val="24"/>
          <w:szCs w:val="24"/>
        </w:rPr>
        <w:t xml:space="preserve"> 300 mg ikke egnet til patienter med nedsat leverfunktion. </w:t>
      </w:r>
    </w:p>
    <w:p w14:paraId="507B0398" w14:textId="77777777" w:rsidR="00E70F5C" w:rsidRPr="00E70F5C" w:rsidRDefault="00E70F5C" w:rsidP="00E70F5C">
      <w:pPr>
        <w:tabs>
          <w:tab w:val="left" w:pos="851"/>
        </w:tabs>
        <w:ind w:left="851"/>
        <w:rPr>
          <w:sz w:val="24"/>
          <w:szCs w:val="24"/>
        </w:rPr>
      </w:pPr>
    </w:p>
    <w:p w14:paraId="1A45CA91" w14:textId="25E1E196" w:rsidR="00E70F5C" w:rsidRPr="00E70F5C" w:rsidRDefault="00E70F5C" w:rsidP="00E70F5C">
      <w:pPr>
        <w:tabs>
          <w:tab w:val="left" w:pos="851"/>
        </w:tabs>
        <w:ind w:left="851"/>
        <w:rPr>
          <w:sz w:val="24"/>
          <w:szCs w:val="24"/>
        </w:rPr>
      </w:pPr>
      <w:r w:rsidRPr="00E70F5C">
        <w:rPr>
          <w:sz w:val="24"/>
          <w:szCs w:val="24"/>
        </w:rPr>
        <w:t xml:space="preserve">Til denne patientgruppe er </w:t>
      </w:r>
      <w:proofErr w:type="spellStart"/>
      <w:r w:rsidR="00263CB7">
        <w:rPr>
          <w:sz w:val="24"/>
          <w:szCs w:val="24"/>
        </w:rPr>
        <w:t>Allopurinol</w:t>
      </w:r>
      <w:proofErr w:type="spellEnd"/>
      <w:r w:rsidR="00263CB7">
        <w:rPr>
          <w:sz w:val="24"/>
          <w:szCs w:val="24"/>
        </w:rPr>
        <w:t xml:space="preserve"> ”Nordic Prime”</w:t>
      </w:r>
      <w:r w:rsidRPr="00E70F5C">
        <w:rPr>
          <w:sz w:val="24"/>
          <w:szCs w:val="24"/>
        </w:rPr>
        <w:t xml:space="preserve"> 100 mg tilgængelig. </w:t>
      </w:r>
    </w:p>
    <w:p w14:paraId="0278E92F" w14:textId="77777777" w:rsidR="00E70F5C" w:rsidRPr="00E70F5C" w:rsidRDefault="00E70F5C" w:rsidP="00E70F5C">
      <w:pPr>
        <w:tabs>
          <w:tab w:val="left" w:pos="851"/>
        </w:tabs>
        <w:ind w:left="851"/>
        <w:rPr>
          <w:sz w:val="24"/>
          <w:szCs w:val="24"/>
        </w:rPr>
      </w:pPr>
    </w:p>
    <w:p w14:paraId="73964EA4" w14:textId="77777777" w:rsidR="00E70F5C" w:rsidRPr="009535D3" w:rsidRDefault="00E70F5C" w:rsidP="00E70F5C">
      <w:pPr>
        <w:tabs>
          <w:tab w:val="left" w:pos="851"/>
        </w:tabs>
        <w:ind w:left="851"/>
        <w:rPr>
          <w:b/>
          <w:bCs/>
          <w:sz w:val="24"/>
          <w:szCs w:val="24"/>
        </w:rPr>
      </w:pPr>
      <w:r w:rsidRPr="009535D3">
        <w:rPr>
          <w:i/>
          <w:iCs/>
          <w:sz w:val="24"/>
          <w:szCs w:val="24"/>
        </w:rPr>
        <w:t>Pædiatrisk population under 15 år</w:t>
      </w:r>
    </w:p>
    <w:p w14:paraId="6853EDFA" w14:textId="12F53D0D" w:rsidR="00E70F5C" w:rsidRPr="00E70F5C" w:rsidRDefault="00E70F5C" w:rsidP="00E70F5C">
      <w:pPr>
        <w:tabs>
          <w:tab w:val="left" w:pos="851"/>
        </w:tabs>
        <w:ind w:left="851"/>
        <w:rPr>
          <w:sz w:val="24"/>
          <w:szCs w:val="24"/>
        </w:rPr>
      </w:pPr>
      <w:r w:rsidRPr="00E70F5C">
        <w:rPr>
          <w:sz w:val="24"/>
          <w:szCs w:val="24"/>
        </w:rPr>
        <w:t xml:space="preserve">På grund af det høje indhold af det aktive stof, er </w:t>
      </w:r>
      <w:proofErr w:type="spellStart"/>
      <w:r w:rsidR="00263CB7">
        <w:rPr>
          <w:sz w:val="24"/>
          <w:szCs w:val="24"/>
        </w:rPr>
        <w:t>Allopurinol</w:t>
      </w:r>
      <w:proofErr w:type="spellEnd"/>
      <w:r w:rsidR="00263CB7">
        <w:rPr>
          <w:sz w:val="24"/>
          <w:szCs w:val="24"/>
        </w:rPr>
        <w:t xml:space="preserve"> ”Nordic Prime”</w:t>
      </w:r>
      <w:r w:rsidRPr="00E70F5C">
        <w:rPr>
          <w:sz w:val="24"/>
          <w:szCs w:val="24"/>
        </w:rPr>
        <w:t xml:space="preserve"> 300 mg ikke egnet til børn under 15 år. </w:t>
      </w:r>
    </w:p>
    <w:p w14:paraId="76DD7F16" w14:textId="77777777" w:rsidR="00E70F5C" w:rsidRPr="00E70F5C" w:rsidRDefault="00E70F5C" w:rsidP="00E70F5C">
      <w:pPr>
        <w:tabs>
          <w:tab w:val="left" w:pos="851"/>
        </w:tabs>
        <w:ind w:left="851"/>
        <w:rPr>
          <w:sz w:val="24"/>
          <w:szCs w:val="24"/>
        </w:rPr>
      </w:pPr>
    </w:p>
    <w:p w14:paraId="2A616515" w14:textId="0E89D5BF" w:rsidR="00E70F5C" w:rsidRPr="00E70F5C" w:rsidRDefault="00E70F5C" w:rsidP="00E70F5C">
      <w:pPr>
        <w:tabs>
          <w:tab w:val="left" w:pos="851"/>
        </w:tabs>
        <w:ind w:left="851"/>
        <w:rPr>
          <w:sz w:val="24"/>
          <w:szCs w:val="24"/>
        </w:rPr>
      </w:pPr>
      <w:r w:rsidRPr="00E70F5C">
        <w:rPr>
          <w:sz w:val="24"/>
          <w:szCs w:val="24"/>
        </w:rPr>
        <w:t xml:space="preserve">Til denne patientgruppe er </w:t>
      </w:r>
      <w:proofErr w:type="spellStart"/>
      <w:r w:rsidR="00263CB7">
        <w:rPr>
          <w:sz w:val="24"/>
          <w:szCs w:val="24"/>
        </w:rPr>
        <w:t>Allopurinol</w:t>
      </w:r>
      <w:proofErr w:type="spellEnd"/>
      <w:r w:rsidR="00263CB7">
        <w:rPr>
          <w:sz w:val="24"/>
          <w:szCs w:val="24"/>
        </w:rPr>
        <w:t xml:space="preserve"> ”Nordic Prime”</w:t>
      </w:r>
      <w:r w:rsidRPr="00E70F5C">
        <w:rPr>
          <w:sz w:val="24"/>
          <w:szCs w:val="24"/>
        </w:rPr>
        <w:t xml:space="preserve"> 100 mg tilgængelig. </w:t>
      </w:r>
    </w:p>
    <w:p w14:paraId="756F944B" w14:textId="77777777" w:rsidR="00E70F5C" w:rsidRPr="00E70F5C" w:rsidRDefault="00E70F5C" w:rsidP="00E70F5C">
      <w:pPr>
        <w:tabs>
          <w:tab w:val="left" w:pos="851"/>
        </w:tabs>
        <w:ind w:left="851"/>
        <w:rPr>
          <w:sz w:val="24"/>
          <w:szCs w:val="24"/>
        </w:rPr>
      </w:pPr>
    </w:p>
    <w:p w14:paraId="5498EDE4" w14:textId="77777777" w:rsidR="00E70F5C" w:rsidRPr="00E70F5C" w:rsidRDefault="00E70F5C" w:rsidP="00E70F5C">
      <w:pPr>
        <w:tabs>
          <w:tab w:val="left" w:pos="851"/>
        </w:tabs>
        <w:ind w:left="851"/>
        <w:rPr>
          <w:b/>
          <w:bCs/>
          <w:sz w:val="24"/>
          <w:szCs w:val="24"/>
          <w:u w:val="single"/>
        </w:rPr>
      </w:pPr>
      <w:r w:rsidRPr="00E70F5C">
        <w:rPr>
          <w:b/>
          <w:bCs/>
          <w:sz w:val="24"/>
          <w:szCs w:val="24"/>
          <w:u w:val="single"/>
        </w:rPr>
        <w:t>Varighed af behandling</w:t>
      </w:r>
    </w:p>
    <w:p w14:paraId="09EB2C5B" w14:textId="77777777" w:rsidR="00E70F5C" w:rsidRPr="00E70F5C" w:rsidRDefault="00E70F5C" w:rsidP="00E70F5C">
      <w:pPr>
        <w:tabs>
          <w:tab w:val="left" w:pos="851"/>
        </w:tabs>
        <w:ind w:left="851"/>
        <w:rPr>
          <w:sz w:val="24"/>
          <w:szCs w:val="24"/>
        </w:rPr>
      </w:pPr>
      <w:r w:rsidRPr="00E70F5C">
        <w:rPr>
          <w:sz w:val="24"/>
          <w:szCs w:val="24"/>
        </w:rPr>
        <w:t xml:space="preserve">Behandlingens varighed afhænger af den underliggende sygdom. For at forhindre dannelse af </w:t>
      </w:r>
      <w:proofErr w:type="spellStart"/>
      <w:r w:rsidRPr="00E70F5C">
        <w:rPr>
          <w:sz w:val="24"/>
          <w:szCs w:val="24"/>
        </w:rPr>
        <w:t>calciumoxalat</w:t>
      </w:r>
      <w:proofErr w:type="spellEnd"/>
      <w:r w:rsidRPr="00E70F5C">
        <w:rPr>
          <w:sz w:val="24"/>
          <w:szCs w:val="24"/>
        </w:rPr>
        <w:t xml:space="preserve">- og urinsyresten, samt primær </w:t>
      </w:r>
      <w:proofErr w:type="spellStart"/>
      <w:r w:rsidRPr="00E70F5C">
        <w:rPr>
          <w:sz w:val="24"/>
          <w:szCs w:val="24"/>
        </w:rPr>
        <w:t>hyperurikæmi</w:t>
      </w:r>
      <w:proofErr w:type="spellEnd"/>
      <w:r w:rsidRPr="00E70F5C">
        <w:rPr>
          <w:sz w:val="24"/>
          <w:szCs w:val="24"/>
        </w:rPr>
        <w:t xml:space="preserve"> og gigt, kræver det i de fleste tilfælde en længerevarende behandling. Ved sekundær </w:t>
      </w:r>
      <w:proofErr w:type="spellStart"/>
      <w:r w:rsidRPr="00E70F5C">
        <w:rPr>
          <w:sz w:val="24"/>
          <w:szCs w:val="24"/>
        </w:rPr>
        <w:t>hyperurikæmi</w:t>
      </w:r>
      <w:proofErr w:type="spellEnd"/>
      <w:r w:rsidRPr="00E70F5C">
        <w:rPr>
          <w:sz w:val="24"/>
          <w:szCs w:val="24"/>
        </w:rPr>
        <w:t xml:space="preserve"> anbefales en temporær behandling i henhold til varigheden af det forhøjede urinsyreniveau. </w:t>
      </w:r>
    </w:p>
    <w:p w14:paraId="1E116173" w14:textId="77777777" w:rsidR="00E70F5C" w:rsidRPr="00E70F5C" w:rsidRDefault="00E70F5C" w:rsidP="00E70F5C">
      <w:pPr>
        <w:tabs>
          <w:tab w:val="left" w:pos="851"/>
        </w:tabs>
        <w:ind w:left="851"/>
        <w:rPr>
          <w:sz w:val="24"/>
          <w:szCs w:val="24"/>
        </w:rPr>
      </w:pPr>
    </w:p>
    <w:p w14:paraId="1BD429B5" w14:textId="77777777" w:rsidR="00E70F5C" w:rsidRPr="00E70F5C" w:rsidRDefault="00E70F5C" w:rsidP="00E70F5C">
      <w:pPr>
        <w:tabs>
          <w:tab w:val="left" w:pos="851"/>
        </w:tabs>
        <w:ind w:left="851"/>
        <w:rPr>
          <w:b/>
          <w:bCs/>
          <w:sz w:val="24"/>
          <w:szCs w:val="24"/>
          <w:u w:val="single"/>
        </w:rPr>
      </w:pPr>
      <w:r w:rsidRPr="00E70F5C">
        <w:rPr>
          <w:b/>
          <w:bCs/>
          <w:sz w:val="24"/>
          <w:szCs w:val="24"/>
          <w:u w:val="single"/>
        </w:rPr>
        <w:t>Administration</w:t>
      </w:r>
    </w:p>
    <w:p w14:paraId="3550CFAF" w14:textId="352EBBEE" w:rsidR="00E70F5C" w:rsidRPr="00E70F5C" w:rsidRDefault="00263CB7" w:rsidP="00E70F5C">
      <w:pPr>
        <w:tabs>
          <w:tab w:val="left" w:pos="851"/>
        </w:tabs>
        <w:ind w:left="851"/>
        <w:rPr>
          <w:sz w:val="24"/>
          <w:szCs w:val="24"/>
        </w:rPr>
      </w:pPr>
      <w:proofErr w:type="spellStart"/>
      <w:r>
        <w:rPr>
          <w:sz w:val="24"/>
          <w:szCs w:val="24"/>
        </w:rPr>
        <w:t>Allopurinol</w:t>
      </w:r>
      <w:proofErr w:type="spellEnd"/>
      <w:r>
        <w:rPr>
          <w:sz w:val="24"/>
          <w:szCs w:val="24"/>
        </w:rPr>
        <w:t xml:space="preserve"> ”Nordic Prime”</w:t>
      </w:r>
      <w:r w:rsidR="00E70F5C" w:rsidRPr="00E70F5C">
        <w:rPr>
          <w:sz w:val="24"/>
          <w:szCs w:val="24"/>
        </w:rPr>
        <w:t xml:space="preserve"> er til oral anvendelse. </w:t>
      </w:r>
    </w:p>
    <w:p w14:paraId="783C38A0" w14:textId="77777777" w:rsidR="00E70F5C" w:rsidRPr="00E70F5C" w:rsidRDefault="00E70F5C" w:rsidP="00E70F5C">
      <w:pPr>
        <w:tabs>
          <w:tab w:val="left" w:pos="851"/>
        </w:tabs>
        <w:ind w:left="851"/>
        <w:rPr>
          <w:sz w:val="24"/>
          <w:szCs w:val="24"/>
        </w:rPr>
      </w:pPr>
      <w:r w:rsidRPr="00E70F5C">
        <w:rPr>
          <w:sz w:val="24"/>
          <w:szCs w:val="24"/>
        </w:rPr>
        <w:t xml:space="preserve">Tabletterne bør tages </w:t>
      </w:r>
      <w:r w:rsidR="000E1E40">
        <w:rPr>
          <w:sz w:val="24"/>
          <w:szCs w:val="24"/>
        </w:rPr>
        <w:t>en</w:t>
      </w:r>
      <w:r w:rsidRPr="00E70F5C">
        <w:rPr>
          <w:sz w:val="24"/>
          <w:szCs w:val="24"/>
        </w:rPr>
        <w:t xml:space="preserve"> gang </w:t>
      </w:r>
      <w:r w:rsidR="000E1E40">
        <w:rPr>
          <w:sz w:val="24"/>
          <w:szCs w:val="24"/>
        </w:rPr>
        <w:t>daglig</w:t>
      </w:r>
      <w:r w:rsidRPr="00E70F5C">
        <w:rPr>
          <w:sz w:val="24"/>
          <w:szCs w:val="24"/>
        </w:rPr>
        <w:t xml:space="preserve"> sammen med rigelig væske. </w:t>
      </w:r>
    </w:p>
    <w:p w14:paraId="395539FA" w14:textId="77777777" w:rsidR="00E70F5C" w:rsidRPr="00E70F5C" w:rsidRDefault="00E70F5C" w:rsidP="00E70F5C">
      <w:pPr>
        <w:tabs>
          <w:tab w:val="left" w:pos="851"/>
        </w:tabs>
        <w:ind w:left="851"/>
        <w:rPr>
          <w:sz w:val="24"/>
          <w:szCs w:val="24"/>
        </w:rPr>
      </w:pPr>
    </w:p>
    <w:p w14:paraId="159DFC5F"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68E7861A" w14:textId="77777777" w:rsidR="00C82685" w:rsidRPr="00C82685" w:rsidRDefault="00C82685" w:rsidP="00C82685">
      <w:pPr>
        <w:tabs>
          <w:tab w:val="left" w:pos="851"/>
        </w:tabs>
        <w:ind w:left="851"/>
        <w:rPr>
          <w:sz w:val="24"/>
          <w:szCs w:val="24"/>
        </w:rPr>
      </w:pPr>
      <w:r w:rsidRPr="00C82685">
        <w:rPr>
          <w:sz w:val="24"/>
          <w:szCs w:val="24"/>
        </w:rPr>
        <w:t>Overfølsomhed over for det aktive stof eller over for et eller flere af hjælpestofferne anført i pkt. 6.1.</w:t>
      </w:r>
    </w:p>
    <w:p w14:paraId="15107920" w14:textId="77777777" w:rsidR="009260DE" w:rsidRPr="00C84483" w:rsidRDefault="009260DE" w:rsidP="009260DE">
      <w:pPr>
        <w:tabs>
          <w:tab w:val="left" w:pos="851"/>
        </w:tabs>
        <w:ind w:left="851"/>
        <w:rPr>
          <w:sz w:val="24"/>
          <w:szCs w:val="24"/>
        </w:rPr>
      </w:pPr>
    </w:p>
    <w:p w14:paraId="340386C2"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06559AEB" w14:textId="77777777" w:rsidR="00C82685" w:rsidRPr="00C82685" w:rsidRDefault="00C82685" w:rsidP="00C82685">
      <w:pPr>
        <w:tabs>
          <w:tab w:val="left" w:pos="851"/>
        </w:tabs>
        <w:ind w:left="851"/>
        <w:rPr>
          <w:sz w:val="24"/>
          <w:szCs w:val="24"/>
        </w:rPr>
      </w:pPr>
      <w:bookmarkStart w:id="1" w:name="_Hlk53562319"/>
      <w:bookmarkStart w:id="2" w:name="_Hlk55820656"/>
      <w:r w:rsidRPr="00C82685">
        <w:rPr>
          <w:sz w:val="24"/>
          <w:szCs w:val="24"/>
        </w:rPr>
        <w:t xml:space="preserve">I følge nyere litteraturanbefalinger er lægemiddelbehandling unødvendig ved et serumurinsyre-niveau under 506 mikromol/l ækvivalent med 8,5 mg/100 ml og under forudsætning af, at de ernæringsmæssige krav er mødt og der ikke er nyreskader. </w:t>
      </w:r>
    </w:p>
    <w:bookmarkEnd w:id="1"/>
    <w:bookmarkEnd w:id="2"/>
    <w:p w14:paraId="1D24E611" w14:textId="77777777" w:rsidR="00C82685" w:rsidRPr="00C82685" w:rsidRDefault="00C82685" w:rsidP="00C82685">
      <w:pPr>
        <w:tabs>
          <w:tab w:val="left" w:pos="851"/>
        </w:tabs>
        <w:ind w:left="851"/>
        <w:rPr>
          <w:sz w:val="24"/>
          <w:szCs w:val="24"/>
        </w:rPr>
      </w:pPr>
      <w:r w:rsidRPr="00C82685">
        <w:rPr>
          <w:sz w:val="24"/>
          <w:szCs w:val="24"/>
        </w:rPr>
        <w:t xml:space="preserve">Fødevarer med et højt </w:t>
      </w:r>
      <w:proofErr w:type="spellStart"/>
      <w:r w:rsidRPr="00C82685">
        <w:rPr>
          <w:sz w:val="24"/>
          <w:szCs w:val="24"/>
        </w:rPr>
        <w:t>purin</w:t>
      </w:r>
      <w:proofErr w:type="spellEnd"/>
      <w:r w:rsidRPr="00C82685">
        <w:rPr>
          <w:sz w:val="24"/>
          <w:szCs w:val="24"/>
        </w:rPr>
        <w:t xml:space="preserve">-indhold bør undgås f.eks. indmad som lever, brissel, nyre, hjerne, hjerte og tunge samt kødekstrakt og alkohol, især øl, idet </w:t>
      </w:r>
      <w:proofErr w:type="spellStart"/>
      <w:r w:rsidRPr="00C82685">
        <w:rPr>
          <w:sz w:val="24"/>
          <w:szCs w:val="24"/>
        </w:rPr>
        <w:t>guanosin</w:t>
      </w:r>
      <w:proofErr w:type="spellEnd"/>
      <w:r w:rsidRPr="00C82685">
        <w:rPr>
          <w:sz w:val="24"/>
          <w:szCs w:val="24"/>
        </w:rPr>
        <w:t xml:space="preserve">, et </w:t>
      </w:r>
      <w:proofErr w:type="spellStart"/>
      <w:r w:rsidRPr="00C82685">
        <w:rPr>
          <w:sz w:val="24"/>
          <w:szCs w:val="24"/>
        </w:rPr>
        <w:t>ribonukleosid</w:t>
      </w:r>
      <w:proofErr w:type="spellEnd"/>
      <w:r w:rsidRPr="00C82685">
        <w:rPr>
          <w:sz w:val="24"/>
          <w:szCs w:val="24"/>
        </w:rPr>
        <w:t xml:space="preserve"> der i væsentlig grad øger mængden af urinsyre, optages med det.  </w:t>
      </w:r>
    </w:p>
    <w:p w14:paraId="2B9AD299" w14:textId="77777777" w:rsidR="00C82685" w:rsidRPr="00C82685" w:rsidRDefault="00C82685" w:rsidP="00C82685">
      <w:pPr>
        <w:tabs>
          <w:tab w:val="left" w:pos="851"/>
        </w:tabs>
        <w:ind w:left="851"/>
        <w:rPr>
          <w:sz w:val="24"/>
          <w:szCs w:val="24"/>
        </w:rPr>
      </w:pPr>
    </w:p>
    <w:p w14:paraId="6D8E08CD" w14:textId="7366E14B" w:rsidR="00C82685" w:rsidRPr="00C82685" w:rsidRDefault="00C82685" w:rsidP="00C82685">
      <w:pPr>
        <w:tabs>
          <w:tab w:val="left" w:pos="851"/>
        </w:tabs>
        <w:ind w:left="851"/>
        <w:rPr>
          <w:sz w:val="24"/>
          <w:szCs w:val="24"/>
        </w:rPr>
      </w:pPr>
      <w:r w:rsidRPr="00C82685">
        <w:rPr>
          <w:sz w:val="24"/>
          <w:szCs w:val="24"/>
        </w:rPr>
        <w:t xml:space="preserve">Hvis overfølsomhedsreaktioner, f.eks. hududslæt opstår, skal behandling med </w:t>
      </w:r>
      <w:proofErr w:type="spellStart"/>
      <w:r w:rsidR="00263CB7">
        <w:rPr>
          <w:sz w:val="24"/>
          <w:szCs w:val="24"/>
        </w:rPr>
        <w:t>Allopurinol</w:t>
      </w:r>
      <w:proofErr w:type="spellEnd"/>
      <w:r w:rsidR="00263CB7">
        <w:rPr>
          <w:sz w:val="24"/>
          <w:szCs w:val="24"/>
        </w:rPr>
        <w:t xml:space="preserve"> ”Nordic Prime”</w:t>
      </w:r>
      <w:r w:rsidRPr="00C82685">
        <w:rPr>
          <w:sz w:val="24"/>
          <w:szCs w:val="24"/>
        </w:rPr>
        <w:t xml:space="preserve"> stoppes øjeblikkeligt. </w:t>
      </w:r>
    </w:p>
    <w:p w14:paraId="7CF49CC6" w14:textId="77777777" w:rsidR="00C82685" w:rsidRPr="00C82685" w:rsidRDefault="00C82685" w:rsidP="00C82685">
      <w:pPr>
        <w:tabs>
          <w:tab w:val="left" w:pos="851"/>
        </w:tabs>
        <w:ind w:left="851"/>
        <w:rPr>
          <w:sz w:val="24"/>
          <w:szCs w:val="24"/>
        </w:rPr>
      </w:pPr>
    </w:p>
    <w:p w14:paraId="4F2F6552" w14:textId="77777777" w:rsidR="00C82685" w:rsidRPr="00C82685" w:rsidRDefault="00C82685" w:rsidP="00C82685">
      <w:pPr>
        <w:tabs>
          <w:tab w:val="left" w:pos="851"/>
        </w:tabs>
        <w:ind w:left="851"/>
        <w:rPr>
          <w:sz w:val="24"/>
          <w:szCs w:val="24"/>
        </w:rPr>
      </w:pPr>
      <w:r w:rsidRPr="00C82685">
        <w:rPr>
          <w:sz w:val="24"/>
          <w:szCs w:val="24"/>
          <w:u w:val="single"/>
        </w:rPr>
        <w:t>Overfølsomhedssyndrom (DRESS), SJS og TEN</w:t>
      </w:r>
    </w:p>
    <w:p w14:paraId="684ECB56" w14:textId="77777777" w:rsidR="00C82685" w:rsidRPr="00C82685" w:rsidRDefault="00C82685" w:rsidP="00C82685">
      <w:pPr>
        <w:tabs>
          <w:tab w:val="left" w:pos="851"/>
        </w:tabs>
        <w:ind w:left="851"/>
        <w:rPr>
          <w:sz w:val="24"/>
          <w:szCs w:val="24"/>
        </w:rPr>
      </w:pPr>
      <w:r w:rsidRPr="00C82685">
        <w:rPr>
          <w:sz w:val="24"/>
          <w:szCs w:val="24"/>
        </w:rPr>
        <w:t xml:space="preserve">Overfølsomhedsreaktioner overfor </w:t>
      </w:r>
      <w:proofErr w:type="spellStart"/>
      <w:r w:rsidRPr="00C82685">
        <w:rPr>
          <w:sz w:val="24"/>
          <w:szCs w:val="24"/>
        </w:rPr>
        <w:t>allopurinol</w:t>
      </w:r>
      <w:proofErr w:type="spellEnd"/>
      <w:r w:rsidRPr="00C82685">
        <w:rPr>
          <w:sz w:val="24"/>
          <w:szCs w:val="24"/>
        </w:rPr>
        <w:t xml:space="preserve"> kan manifestere sig på mange forskellige måder, inklusive </w:t>
      </w:r>
      <w:proofErr w:type="spellStart"/>
      <w:r w:rsidRPr="00C82685">
        <w:rPr>
          <w:sz w:val="24"/>
          <w:szCs w:val="24"/>
        </w:rPr>
        <w:t>makulopapulær</w:t>
      </w:r>
      <w:proofErr w:type="spellEnd"/>
      <w:r w:rsidRPr="00C82685">
        <w:rPr>
          <w:sz w:val="24"/>
          <w:szCs w:val="24"/>
        </w:rPr>
        <w:t xml:space="preserve"> overfølsomhedssyndrom (også kendt som DRESS – lægemiddeloverfølsomhed med </w:t>
      </w:r>
      <w:proofErr w:type="spellStart"/>
      <w:r w:rsidRPr="00C82685">
        <w:rPr>
          <w:sz w:val="24"/>
          <w:szCs w:val="24"/>
        </w:rPr>
        <w:t>eosinofili</w:t>
      </w:r>
      <w:proofErr w:type="spellEnd"/>
      <w:r w:rsidRPr="00C82685">
        <w:rPr>
          <w:sz w:val="24"/>
          <w:szCs w:val="24"/>
        </w:rPr>
        <w:t xml:space="preserve"> og systemiske symptomer), samt livsfarlige hudreaktioner (Stevens Johnson syndrom (SJS) og toksisk </w:t>
      </w:r>
      <w:proofErr w:type="spellStart"/>
      <w:r w:rsidRPr="00C82685">
        <w:rPr>
          <w:sz w:val="24"/>
          <w:szCs w:val="24"/>
        </w:rPr>
        <w:t>epidermal</w:t>
      </w:r>
      <w:proofErr w:type="spellEnd"/>
      <w:r w:rsidRPr="00C82685">
        <w:rPr>
          <w:sz w:val="24"/>
          <w:szCs w:val="24"/>
        </w:rPr>
        <w:t xml:space="preserve"> </w:t>
      </w:r>
      <w:proofErr w:type="spellStart"/>
      <w:r w:rsidRPr="00C82685">
        <w:rPr>
          <w:sz w:val="24"/>
          <w:szCs w:val="24"/>
        </w:rPr>
        <w:t>nekrolyse</w:t>
      </w:r>
      <w:proofErr w:type="spellEnd"/>
      <w:r w:rsidRPr="00C82685">
        <w:rPr>
          <w:sz w:val="24"/>
          <w:szCs w:val="24"/>
        </w:rPr>
        <w:t xml:space="preserve"> (TEN)). Patienter bør informeres om tegn og symptomer på disse overfølsomhedsreaktioner, og bør overvåges nøje i tilfælde af at der skulle opstå hudreaktioner. Der er en højere risiko for at disse reaktioner opstår i de første uger af behandlingen. </w:t>
      </w:r>
    </w:p>
    <w:p w14:paraId="31DB8633" w14:textId="77777777" w:rsidR="00C82685" w:rsidRPr="00C82685" w:rsidRDefault="00C82685" w:rsidP="00C82685">
      <w:pPr>
        <w:tabs>
          <w:tab w:val="left" w:pos="851"/>
        </w:tabs>
        <w:ind w:left="851"/>
        <w:rPr>
          <w:sz w:val="24"/>
          <w:szCs w:val="24"/>
        </w:rPr>
      </w:pPr>
      <w:r w:rsidRPr="00C82685">
        <w:rPr>
          <w:sz w:val="24"/>
          <w:szCs w:val="24"/>
        </w:rPr>
        <w:lastRenderedPageBreak/>
        <w:t xml:space="preserve">Hvis tegn og symptomer på SJS eller TEN (som progressiv </w:t>
      </w:r>
      <w:proofErr w:type="spellStart"/>
      <w:r w:rsidRPr="00C82685">
        <w:rPr>
          <w:sz w:val="24"/>
          <w:szCs w:val="24"/>
        </w:rPr>
        <w:t>exanthem</w:t>
      </w:r>
      <w:proofErr w:type="spellEnd"/>
      <w:r w:rsidRPr="00C82685">
        <w:rPr>
          <w:sz w:val="24"/>
          <w:szCs w:val="24"/>
        </w:rPr>
        <w:t xml:space="preserve"> med blærer eller samtidige læsioner på slimhinder) forekommer på et hvilket tidspunkt under behandlingen, bør </w:t>
      </w:r>
      <w:proofErr w:type="spellStart"/>
      <w:r w:rsidRPr="00C82685">
        <w:rPr>
          <w:sz w:val="24"/>
          <w:szCs w:val="24"/>
        </w:rPr>
        <w:t>allopurinol</w:t>
      </w:r>
      <w:proofErr w:type="spellEnd"/>
      <w:r w:rsidRPr="00C82685">
        <w:rPr>
          <w:sz w:val="24"/>
          <w:szCs w:val="24"/>
        </w:rPr>
        <w:t xml:space="preserve"> seponeres øjeblikkeligt. </w:t>
      </w:r>
    </w:p>
    <w:p w14:paraId="4DB811D7" w14:textId="77777777" w:rsidR="00C82685" w:rsidRPr="00C82685" w:rsidRDefault="00C82685" w:rsidP="00C82685">
      <w:pPr>
        <w:tabs>
          <w:tab w:val="left" w:pos="851"/>
        </w:tabs>
        <w:ind w:left="851"/>
        <w:rPr>
          <w:sz w:val="24"/>
          <w:szCs w:val="24"/>
        </w:rPr>
      </w:pPr>
      <w:r w:rsidRPr="00C82685">
        <w:rPr>
          <w:sz w:val="24"/>
          <w:szCs w:val="24"/>
        </w:rPr>
        <w:t xml:space="preserve">Udviklingen af overfølsomhedsreaktioner afhænger af tidlig diagnosering og øjeblikkelig </w:t>
      </w:r>
      <w:proofErr w:type="spellStart"/>
      <w:r w:rsidRPr="00C82685">
        <w:rPr>
          <w:sz w:val="24"/>
          <w:szCs w:val="24"/>
        </w:rPr>
        <w:t>seponering</w:t>
      </w:r>
      <w:proofErr w:type="spellEnd"/>
      <w:r w:rsidRPr="00C82685">
        <w:rPr>
          <w:sz w:val="24"/>
          <w:szCs w:val="24"/>
        </w:rPr>
        <w:t xml:space="preserve"> af mistænkelige lægemidler, dvs. tidlig </w:t>
      </w:r>
      <w:proofErr w:type="spellStart"/>
      <w:r w:rsidRPr="00C82685">
        <w:rPr>
          <w:sz w:val="24"/>
          <w:szCs w:val="24"/>
        </w:rPr>
        <w:t>seponering</w:t>
      </w:r>
      <w:proofErr w:type="spellEnd"/>
      <w:r w:rsidRPr="00C82685">
        <w:rPr>
          <w:sz w:val="24"/>
          <w:szCs w:val="24"/>
        </w:rPr>
        <w:t xml:space="preserve"> af lægemidlet forbedrer prognosen. Der bør ikke </w:t>
      </w:r>
      <w:proofErr w:type="spellStart"/>
      <w:r w:rsidRPr="00C82685">
        <w:rPr>
          <w:sz w:val="24"/>
          <w:szCs w:val="24"/>
        </w:rPr>
        <w:t>readministreres</w:t>
      </w:r>
      <w:proofErr w:type="spellEnd"/>
      <w:r w:rsidRPr="00C82685">
        <w:rPr>
          <w:sz w:val="24"/>
          <w:szCs w:val="24"/>
        </w:rPr>
        <w:t xml:space="preserve"> til patienter med overfølsomhedssyndrom og SJS/TEN. </w:t>
      </w:r>
      <w:proofErr w:type="spellStart"/>
      <w:r w:rsidRPr="00C82685">
        <w:rPr>
          <w:sz w:val="24"/>
          <w:szCs w:val="24"/>
        </w:rPr>
        <w:t>Kortikosteroider</w:t>
      </w:r>
      <w:proofErr w:type="spellEnd"/>
      <w:r w:rsidRPr="00C82685">
        <w:rPr>
          <w:sz w:val="24"/>
          <w:szCs w:val="24"/>
        </w:rPr>
        <w:t xml:space="preserve"> kan være gavnlige til at overvinde overfølsomhedsreaktioner i huden. </w:t>
      </w:r>
    </w:p>
    <w:p w14:paraId="2991519A" w14:textId="77777777" w:rsidR="00C82685" w:rsidRPr="00C82685" w:rsidRDefault="00C82685" w:rsidP="00C82685">
      <w:pPr>
        <w:tabs>
          <w:tab w:val="left" w:pos="851"/>
        </w:tabs>
        <w:ind w:left="851"/>
        <w:rPr>
          <w:sz w:val="24"/>
          <w:szCs w:val="24"/>
        </w:rPr>
      </w:pPr>
    </w:p>
    <w:p w14:paraId="46F45B62" w14:textId="77777777" w:rsidR="00C82685" w:rsidRPr="00C82685" w:rsidRDefault="00C82685" w:rsidP="00C82685">
      <w:pPr>
        <w:tabs>
          <w:tab w:val="left" w:pos="851"/>
        </w:tabs>
        <w:ind w:left="851"/>
        <w:rPr>
          <w:sz w:val="24"/>
          <w:szCs w:val="24"/>
        </w:rPr>
      </w:pPr>
      <w:r w:rsidRPr="00C82685">
        <w:rPr>
          <w:sz w:val="24"/>
          <w:szCs w:val="24"/>
          <w:u w:val="single"/>
        </w:rPr>
        <w:t>HLA-B*5801 allel</w:t>
      </w:r>
    </w:p>
    <w:p w14:paraId="2762A1A9" w14:textId="77777777" w:rsidR="00C56A05" w:rsidRDefault="00C56A05" w:rsidP="00C56A05">
      <w:pPr>
        <w:tabs>
          <w:tab w:val="left" w:pos="851"/>
        </w:tabs>
        <w:ind w:left="851"/>
        <w:rPr>
          <w:sz w:val="24"/>
          <w:szCs w:val="24"/>
        </w:rPr>
      </w:pPr>
      <w:r>
        <w:rPr>
          <w:sz w:val="24"/>
          <w:szCs w:val="24"/>
        </w:rPr>
        <w:t xml:space="preserve">Allel HLA-B*5801 har vist sig at være forbundet med risikoen for udvikling af </w:t>
      </w:r>
      <w:proofErr w:type="spellStart"/>
      <w:r>
        <w:rPr>
          <w:sz w:val="24"/>
          <w:szCs w:val="24"/>
        </w:rPr>
        <w:t>allopurinol</w:t>
      </w:r>
      <w:proofErr w:type="spellEnd"/>
      <w:r>
        <w:rPr>
          <w:sz w:val="24"/>
          <w:szCs w:val="24"/>
        </w:rPr>
        <w:t>-relateret overfølsomhedssyndrom og SJS/TEN. Forekomsten af allel HLA</w:t>
      </w:r>
      <w:r>
        <w:rPr>
          <w:sz w:val="24"/>
          <w:szCs w:val="24"/>
        </w:rPr>
        <w:noBreakHyphen/>
        <w:t>B*5801 varierer meget mellem forskellige etniske populationer idet den er op til 20 % i den Han</w:t>
      </w:r>
      <w:r>
        <w:rPr>
          <w:sz w:val="24"/>
          <w:szCs w:val="24"/>
        </w:rPr>
        <w:noBreakHyphen/>
        <w:t xml:space="preserve">kinesiske population, 8-15 % i den thailandske population, ca. 12 % i den koreanske population og 1-2 % hos personer af japansk eller europæisk oprindelse. </w:t>
      </w:r>
    </w:p>
    <w:p w14:paraId="0DE088D2" w14:textId="77777777" w:rsidR="00C56A05" w:rsidRDefault="00C56A05" w:rsidP="00C56A05">
      <w:pPr>
        <w:tabs>
          <w:tab w:val="left" w:pos="851"/>
        </w:tabs>
        <w:ind w:left="851"/>
        <w:rPr>
          <w:bCs/>
          <w:sz w:val="24"/>
          <w:szCs w:val="24"/>
        </w:rPr>
      </w:pPr>
    </w:p>
    <w:p w14:paraId="79ED8B25" w14:textId="77777777" w:rsidR="00C56A05" w:rsidRDefault="00C56A05" w:rsidP="00C56A05">
      <w:pPr>
        <w:tabs>
          <w:tab w:val="left" w:pos="851"/>
        </w:tabs>
        <w:ind w:left="851"/>
        <w:rPr>
          <w:bCs/>
          <w:sz w:val="24"/>
          <w:szCs w:val="24"/>
        </w:rPr>
      </w:pPr>
      <w:r>
        <w:rPr>
          <w:bCs/>
          <w:sz w:val="24"/>
          <w:szCs w:val="24"/>
        </w:rPr>
        <w:t xml:space="preserve">Det bør overvejes at screene for HLA-B*5801 inden opstart af behandling med </w:t>
      </w:r>
      <w:proofErr w:type="spellStart"/>
      <w:r>
        <w:rPr>
          <w:bCs/>
          <w:sz w:val="24"/>
          <w:szCs w:val="24"/>
        </w:rPr>
        <w:t>allopurinol</w:t>
      </w:r>
      <w:proofErr w:type="spellEnd"/>
      <w:r>
        <w:rPr>
          <w:bCs/>
          <w:sz w:val="24"/>
          <w:szCs w:val="24"/>
        </w:rPr>
        <w:t xml:space="preserve"> i patientundergrupper, hvor prævalensen af denne allel vides at være høj. Kronisk nyresygdom kan øge risikoen yderligere hos sådanne patienter. I tilfælde, hvor der ikke foreligger nogen HLA-B*5801-genotypebestemmelse hos patienter af Han</w:t>
      </w:r>
      <w:r>
        <w:rPr>
          <w:bCs/>
          <w:sz w:val="24"/>
          <w:szCs w:val="24"/>
        </w:rPr>
        <w:noBreakHyphen/>
        <w:t xml:space="preserve">kinesisk, thailandsk eller koreansk oprindelse, bør fordelene ved behandling evalueres nøje, og der bør kun iværksættes behandling, hvis de vurderes at opveje de potentielle øgede risici. Brugen af genotypebestemmelse er ikke undersøgt i andre patientpopulationer. </w:t>
      </w:r>
    </w:p>
    <w:p w14:paraId="290006C0" w14:textId="77777777" w:rsidR="00C56A05" w:rsidRDefault="00C56A05" w:rsidP="00C56A05">
      <w:pPr>
        <w:tabs>
          <w:tab w:val="left" w:pos="851"/>
        </w:tabs>
        <w:ind w:left="851"/>
        <w:rPr>
          <w:sz w:val="24"/>
          <w:szCs w:val="24"/>
        </w:rPr>
      </w:pPr>
    </w:p>
    <w:p w14:paraId="010FB46B" w14:textId="77777777" w:rsidR="00C56A05" w:rsidRDefault="00C56A05" w:rsidP="00C56A05">
      <w:pPr>
        <w:tabs>
          <w:tab w:val="left" w:pos="851"/>
        </w:tabs>
        <w:ind w:left="851"/>
        <w:rPr>
          <w:sz w:val="24"/>
          <w:szCs w:val="24"/>
        </w:rPr>
      </w:pPr>
      <w:r>
        <w:rPr>
          <w:sz w:val="24"/>
          <w:szCs w:val="24"/>
        </w:rPr>
        <w:t>Hvis patienten vides at være bærer af HLA-B*5801 (</w:t>
      </w:r>
      <w:r>
        <w:rPr>
          <w:bCs/>
          <w:sz w:val="24"/>
          <w:szCs w:val="24"/>
        </w:rPr>
        <w:t>især patienter af Han</w:t>
      </w:r>
      <w:r>
        <w:rPr>
          <w:bCs/>
          <w:sz w:val="24"/>
          <w:szCs w:val="24"/>
        </w:rPr>
        <w:noBreakHyphen/>
        <w:t>kinesisk, thailandsk eller koreansk oprindelse)</w:t>
      </w:r>
      <w:r>
        <w:rPr>
          <w:sz w:val="24"/>
          <w:szCs w:val="24"/>
        </w:rPr>
        <w:t xml:space="preserve">, </w:t>
      </w:r>
      <w:r>
        <w:rPr>
          <w:bCs/>
          <w:sz w:val="24"/>
          <w:szCs w:val="24"/>
        </w:rPr>
        <w:t xml:space="preserve">bør der ikke opstartes behandling med </w:t>
      </w:r>
      <w:proofErr w:type="spellStart"/>
      <w:r>
        <w:rPr>
          <w:bCs/>
          <w:sz w:val="24"/>
          <w:szCs w:val="24"/>
        </w:rPr>
        <w:t>allopurinol</w:t>
      </w:r>
      <w:proofErr w:type="spellEnd"/>
      <w:r>
        <w:rPr>
          <w:bCs/>
          <w:sz w:val="24"/>
          <w:szCs w:val="24"/>
        </w:rPr>
        <w:t xml:space="preserve">, medmindre der ikke er andre passende behandlingsmuligheder, og </w:t>
      </w:r>
      <w:r>
        <w:rPr>
          <w:sz w:val="24"/>
          <w:szCs w:val="24"/>
        </w:rPr>
        <w:t xml:space="preserve">fordelene forventes at opveje risiciene. Der skal udvises ekstra opmærksomhed for tegn på overfølsomhedssyndrom eller SJS/TEN, og patienten bør informeres om behovet for straks at stoppe behandlingen i tilfælde af symptomer. </w:t>
      </w:r>
    </w:p>
    <w:p w14:paraId="528916FB" w14:textId="77777777" w:rsidR="00C56A05" w:rsidRDefault="00C56A05" w:rsidP="00C56A05">
      <w:pPr>
        <w:tabs>
          <w:tab w:val="left" w:pos="851"/>
        </w:tabs>
        <w:ind w:left="851"/>
        <w:rPr>
          <w:sz w:val="24"/>
          <w:szCs w:val="24"/>
        </w:rPr>
      </w:pPr>
    </w:p>
    <w:p w14:paraId="7043782B" w14:textId="77777777" w:rsidR="00C56A05" w:rsidRDefault="00C56A05" w:rsidP="00C56A05">
      <w:pPr>
        <w:tabs>
          <w:tab w:val="left" w:pos="851"/>
        </w:tabs>
        <w:ind w:left="851"/>
        <w:rPr>
          <w:sz w:val="24"/>
          <w:szCs w:val="24"/>
        </w:rPr>
      </w:pPr>
      <w:r>
        <w:rPr>
          <w:bCs/>
          <w:sz w:val="24"/>
          <w:szCs w:val="24"/>
        </w:rPr>
        <w:t>SJS/TEN kan stadig forekomme hos patienter, der testes negative for HLA-B*5801, uanset deres etniske oprindelse.</w:t>
      </w:r>
    </w:p>
    <w:p w14:paraId="6765FEE2" w14:textId="77777777" w:rsidR="00C82685" w:rsidRPr="00C82685" w:rsidRDefault="00C82685" w:rsidP="00C82685">
      <w:pPr>
        <w:tabs>
          <w:tab w:val="left" w:pos="851"/>
        </w:tabs>
        <w:ind w:left="851"/>
        <w:rPr>
          <w:sz w:val="24"/>
          <w:szCs w:val="24"/>
        </w:rPr>
      </w:pPr>
    </w:p>
    <w:p w14:paraId="4EF00848" w14:textId="77777777" w:rsidR="00C82685" w:rsidRPr="00C82685" w:rsidRDefault="00C82685" w:rsidP="00710446">
      <w:pPr>
        <w:keepNext/>
        <w:tabs>
          <w:tab w:val="left" w:pos="851"/>
        </w:tabs>
        <w:ind w:left="851"/>
        <w:rPr>
          <w:sz w:val="24"/>
          <w:szCs w:val="24"/>
        </w:rPr>
      </w:pPr>
      <w:r w:rsidRPr="00C82685">
        <w:rPr>
          <w:sz w:val="24"/>
          <w:szCs w:val="24"/>
          <w:u w:val="single"/>
        </w:rPr>
        <w:t>Nedsat nyre- eller leverfunktion</w:t>
      </w:r>
    </w:p>
    <w:p w14:paraId="697A8660" w14:textId="77777777" w:rsidR="00C82685" w:rsidRPr="00C82685" w:rsidRDefault="00C82685" w:rsidP="00C82685">
      <w:pPr>
        <w:tabs>
          <w:tab w:val="left" w:pos="851"/>
        </w:tabs>
        <w:ind w:left="851"/>
        <w:rPr>
          <w:sz w:val="24"/>
          <w:szCs w:val="24"/>
        </w:rPr>
      </w:pPr>
      <w:r w:rsidRPr="00C82685">
        <w:rPr>
          <w:sz w:val="24"/>
          <w:szCs w:val="24"/>
        </w:rPr>
        <w:t xml:space="preserve">Det er nødvendigt med særlig medicinsk overvågning af patienter med nedsat nyre- eller leverfunktion eller eksisterende </w:t>
      </w:r>
      <w:proofErr w:type="spellStart"/>
      <w:r w:rsidRPr="00C82685">
        <w:rPr>
          <w:sz w:val="24"/>
          <w:szCs w:val="24"/>
        </w:rPr>
        <w:t>hæmatopoietiske</w:t>
      </w:r>
      <w:proofErr w:type="spellEnd"/>
      <w:r w:rsidRPr="00C82685">
        <w:rPr>
          <w:sz w:val="24"/>
          <w:szCs w:val="24"/>
        </w:rPr>
        <w:t xml:space="preserve"> lidelser. Særlige doseringsanbefalinger bør følges til patienter med nedsat nyre- eller leverfunktion (se pkt. 4.2). </w:t>
      </w:r>
    </w:p>
    <w:p w14:paraId="1C81F103" w14:textId="77777777" w:rsidR="00C82685" w:rsidRPr="00C82685" w:rsidRDefault="00C82685" w:rsidP="00C82685">
      <w:pPr>
        <w:tabs>
          <w:tab w:val="left" w:pos="851"/>
        </w:tabs>
        <w:ind w:left="851"/>
        <w:rPr>
          <w:sz w:val="24"/>
          <w:szCs w:val="24"/>
        </w:rPr>
      </w:pPr>
      <w:proofErr w:type="spellStart"/>
      <w:r w:rsidRPr="00C82685">
        <w:rPr>
          <w:sz w:val="24"/>
          <w:szCs w:val="24"/>
        </w:rPr>
        <w:t>Allopurinol</w:t>
      </w:r>
      <w:proofErr w:type="spellEnd"/>
      <w:r w:rsidRPr="00C82685">
        <w:rPr>
          <w:sz w:val="24"/>
          <w:szCs w:val="24"/>
        </w:rPr>
        <w:t xml:space="preserve"> bør gives med forsigtighed, specielt til patienter i behandling for hypertension eller hjerteinsufficiens med f.eks. </w:t>
      </w:r>
      <w:proofErr w:type="spellStart"/>
      <w:r w:rsidRPr="00C82685">
        <w:rPr>
          <w:sz w:val="24"/>
          <w:szCs w:val="24"/>
        </w:rPr>
        <w:t>diuretika</w:t>
      </w:r>
      <w:proofErr w:type="spellEnd"/>
      <w:r w:rsidRPr="00C82685">
        <w:rPr>
          <w:sz w:val="24"/>
          <w:szCs w:val="24"/>
        </w:rPr>
        <w:t xml:space="preserve"> eller ACE-</w:t>
      </w:r>
      <w:proofErr w:type="spellStart"/>
      <w:r w:rsidRPr="00C82685">
        <w:rPr>
          <w:sz w:val="24"/>
          <w:szCs w:val="24"/>
        </w:rPr>
        <w:t>hæmmere</w:t>
      </w:r>
      <w:proofErr w:type="spellEnd"/>
      <w:r w:rsidRPr="00C82685">
        <w:rPr>
          <w:sz w:val="24"/>
          <w:szCs w:val="24"/>
        </w:rPr>
        <w:t>, da samtidig nedsat nyrefunktion kan forekomme hos denne patientgruppe (se pkt. 4.5).</w:t>
      </w:r>
    </w:p>
    <w:p w14:paraId="4007B54A" w14:textId="77777777" w:rsidR="00C82685" w:rsidRPr="00C82685" w:rsidRDefault="00C82685" w:rsidP="00C82685">
      <w:pPr>
        <w:tabs>
          <w:tab w:val="left" w:pos="851"/>
        </w:tabs>
        <w:ind w:left="851"/>
        <w:rPr>
          <w:sz w:val="24"/>
          <w:szCs w:val="24"/>
        </w:rPr>
      </w:pPr>
      <w:r w:rsidRPr="00C82685">
        <w:rPr>
          <w:sz w:val="24"/>
          <w:szCs w:val="24"/>
        </w:rPr>
        <w:t xml:space="preserve">Hvis nyrefunktionen allerede er nedsat pga. urat </w:t>
      </w:r>
      <w:proofErr w:type="spellStart"/>
      <w:r w:rsidRPr="00C82685">
        <w:rPr>
          <w:sz w:val="24"/>
          <w:szCs w:val="24"/>
        </w:rPr>
        <w:t>nefropati</w:t>
      </w:r>
      <w:proofErr w:type="spellEnd"/>
      <w:r w:rsidRPr="00C82685">
        <w:rPr>
          <w:sz w:val="24"/>
          <w:szCs w:val="24"/>
        </w:rPr>
        <w:t xml:space="preserve"> eller andre patologiske ændringer, skal dosis justeres i henhold hertil (se pkt. 4.2).</w:t>
      </w:r>
    </w:p>
    <w:p w14:paraId="02C2B061" w14:textId="77777777" w:rsidR="00C82685" w:rsidRPr="00C82685" w:rsidRDefault="00C82685" w:rsidP="00C82685">
      <w:pPr>
        <w:tabs>
          <w:tab w:val="left" w:pos="851"/>
        </w:tabs>
        <w:ind w:left="851"/>
        <w:rPr>
          <w:sz w:val="24"/>
          <w:szCs w:val="24"/>
        </w:rPr>
      </w:pPr>
    </w:p>
    <w:p w14:paraId="01F51A36" w14:textId="77777777" w:rsidR="00C82685" w:rsidRPr="00C82685" w:rsidRDefault="00C82685" w:rsidP="00C82685">
      <w:pPr>
        <w:tabs>
          <w:tab w:val="left" w:pos="851"/>
        </w:tabs>
        <w:ind w:left="851"/>
        <w:rPr>
          <w:sz w:val="24"/>
          <w:szCs w:val="24"/>
        </w:rPr>
      </w:pPr>
      <w:r w:rsidRPr="00C82685">
        <w:rPr>
          <w:sz w:val="24"/>
          <w:szCs w:val="24"/>
          <w:u w:val="single"/>
        </w:rPr>
        <w:t>For at undgå forhøjede</w:t>
      </w:r>
      <w:r w:rsidRPr="00C82685">
        <w:rPr>
          <w:sz w:val="24"/>
          <w:szCs w:val="24"/>
        </w:rPr>
        <w:t xml:space="preserve"> urinsyrekoncentrationer i serum og urin (f.eks. ved strålebehandling og kemoterapi af neoplasmer eller ved </w:t>
      </w:r>
      <w:proofErr w:type="spellStart"/>
      <w:r w:rsidRPr="00C82685">
        <w:rPr>
          <w:sz w:val="24"/>
          <w:szCs w:val="24"/>
        </w:rPr>
        <w:t>Lesch-Nyhan</w:t>
      </w:r>
      <w:proofErr w:type="spellEnd"/>
      <w:r w:rsidRPr="00C82685">
        <w:rPr>
          <w:sz w:val="24"/>
          <w:szCs w:val="24"/>
        </w:rPr>
        <w:t xml:space="preserve"> syndrom) bør rigeligt væskeindtag sikres for at opnå en tilstrækkelig diurese. Derudover kan </w:t>
      </w:r>
      <w:proofErr w:type="spellStart"/>
      <w:r w:rsidRPr="00C82685">
        <w:rPr>
          <w:sz w:val="24"/>
          <w:szCs w:val="24"/>
        </w:rPr>
        <w:t>alkalisering</w:t>
      </w:r>
      <w:proofErr w:type="spellEnd"/>
      <w:r w:rsidRPr="00C82685">
        <w:rPr>
          <w:sz w:val="24"/>
          <w:szCs w:val="24"/>
        </w:rPr>
        <w:t xml:space="preserve"> af urinen forbedre opløseligheden af urat/urinsyre, og dermed øge udskillelsen af disse stoffer i urinen.</w:t>
      </w:r>
    </w:p>
    <w:p w14:paraId="32FB3A19" w14:textId="77777777" w:rsidR="00C82685" w:rsidRPr="00C82685" w:rsidRDefault="00C82685" w:rsidP="00C82685">
      <w:pPr>
        <w:tabs>
          <w:tab w:val="left" w:pos="851"/>
        </w:tabs>
        <w:ind w:left="851"/>
        <w:rPr>
          <w:sz w:val="24"/>
          <w:szCs w:val="24"/>
        </w:rPr>
      </w:pPr>
    </w:p>
    <w:p w14:paraId="6AF0AF8F" w14:textId="77777777" w:rsidR="00C82685" w:rsidRPr="00C82685" w:rsidRDefault="00C82685" w:rsidP="00C82685">
      <w:pPr>
        <w:tabs>
          <w:tab w:val="left" w:pos="851"/>
        </w:tabs>
        <w:ind w:left="851"/>
        <w:rPr>
          <w:sz w:val="24"/>
          <w:szCs w:val="24"/>
          <w:u w:val="single"/>
        </w:rPr>
      </w:pPr>
      <w:r w:rsidRPr="00C82685">
        <w:rPr>
          <w:sz w:val="24"/>
          <w:szCs w:val="24"/>
          <w:u w:val="single"/>
        </w:rPr>
        <w:t>Akut anfald af urinsyregigt</w:t>
      </w:r>
    </w:p>
    <w:p w14:paraId="2E8BFB62" w14:textId="77777777" w:rsidR="00C82685" w:rsidRPr="00C82685" w:rsidRDefault="00C82685" w:rsidP="00C82685">
      <w:pPr>
        <w:tabs>
          <w:tab w:val="left" w:pos="851"/>
        </w:tabs>
        <w:ind w:left="851"/>
        <w:rPr>
          <w:sz w:val="24"/>
          <w:szCs w:val="24"/>
        </w:rPr>
      </w:pPr>
      <w:r w:rsidRPr="00C82685">
        <w:rPr>
          <w:sz w:val="24"/>
          <w:szCs w:val="24"/>
        </w:rPr>
        <w:lastRenderedPageBreak/>
        <w:t xml:space="preserve">Behandling med </w:t>
      </w:r>
      <w:proofErr w:type="spellStart"/>
      <w:r w:rsidRPr="00C82685">
        <w:rPr>
          <w:sz w:val="24"/>
          <w:szCs w:val="24"/>
        </w:rPr>
        <w:t>allopurinol</w:t>
      </w:r>
      <w:proofErr w:type="spellEnd"/>
      <w:r w:rsidRPr="00C82685">
        <w:rPr>
          <w:sz w:val="24"/>
          <w:szCs w:val="24"/>
        </w:rPr>
        <w:t xml:space="preserve"> bør kun opstartes efter fuldstændigt ophør af akutte anfald af urinsyregigt. I begyndelsen af </w:t>
      </w:r>
      <w:proofErr w:type="spellStart"/>
      <w:r w:rsidRPr="00C82685">
        <w:rPr>
          <w:sz w:val="24"/>
          <w:szCs w:val="24"/>
        </w:rPr>
        <w:t>allopurinol</w:t>
      </w:r>
      <w:proofErr w:type="spellEnd"/>
      <w:r w:rsidRPr="00C82685">
        <w:rPr>
          <w:sz w:val="24"/>
          <w:szCs w:val="24"/>
        </w:rPr>
        <w:t xml:space="preserve">-behandlingen, kan akutte anfald af urinsyregigt blive udløst af opløsning af større urinsyredepoter. Derfor anbefales det at give profylaktisk behandling med et passende antiinflammatorisk lægemiddel eller </w:t>
      </w:r>
      <w:proofErr w:type="spellStart"/>
      <w:r w:rsidRPr="00C82685">
        <w:rPr>
          <w:sz w:val="24"/>
          <w:szCs w:val="24"/>
        </w:rPr>
        <w:t>colchicin</w:t>
      </w:r>
      <w:proofErr w:type="spellEnd"/>
      <w:r w:rsidRPr="00C82685">
        <w:rPr>
          <w:sz w:val="24"/>
          <w:szCs w:val="24"/>
        </w:rPr>
        <w:t xml:space="preserve"> i de første 4 uger af behandlingen.</w:t>
      </w:r>
    </w:p>
    <w:p w14:paraId="4B37B0F3" w14:textId="77777777" w:rsidR="00C82685" w:rsidRPr="00C82685" w:rsidRDefault="00C82685" w:rsidP="00C82685">
      <w:pPr>
        <w:tabs>
          <w:tab w:val="left" w:pos="851"/>
        </w:tabs>
        <w:ind w:left="851"/>
        <w:rPr>
          <w:sz w:val="24"/>
          <w:szCs w:val="24"/>
        </w:rPr>
      </w:pPr>
    </w:p>
    <w:p w14:paraId="328C25A8" w14:textId="77777777" w:rsidR="00C82685" w:rsidRPr="00C82685" w:rsidRDefault="00C82685" w:rsidP="00C82685">
      <w:pPr>
        <w:tabs>
          <w:tab w:val="left" w:pos="851"/>
        </w:tabs>
        <w:ind w:left="851"/>
        <w:rPr>
          <w:sz w:val="24"/>
          <w:szCs w:val="24"/>
          <w:u w:val="single"/>
        </w:rPr>
      </w:pPr>
      <w:r w:rsidRPr="00C82685">
        <w:rPr>
          <w:sz w:val="24"/>
          <w:szCs w:val="24"/>
          <w:u w:val="single"/>
        </w:rPr>
        <w:t xml:space="preserve">Implikation af urinsyrenyresten </w:t>
      </w:r>
    </w:p>
    <w:p w14:paraId="458D6D88" w14:textId="77777777" w:rsidR="00C82685" w:rsidRPr="00C82685" w:rsidRDefault="00C82685" w:rsidP="00C82685">
      <w:pPr>
        <w:tabs>
          <w:tab w:val="left" w:pos="851"/>
        </w:tabs>
        <w:ind w:left="851"/>
        <w:rPr>
          <w:sz w:val="24"/>
          <w:szCs w:val="24"/>
        </w:rPr>
      </w:pPr>
      <w:r w:rsidRPr="00C82685">
        <w:rPr>
          <w:sz w:val="24"/>
          <w:szCs w:val="24"/>
        </w:rPr>
        <w:t xml:space="preserve">Tilstrækkelig behandling med </w:t>
      </w:r>
      <w:proofErr w:type="spellStart"/>
      <w:r w:rsidRPr="00C82685">
        <w:rPr>
          <w:sz w:val="24"/>
          <w:szCs w:val="24"/>
        </w:rPr>
        <w:t>allopurinol</w:t>
      </w:r>
      <w:proofErr w:type="spellEnd"/>
      <w:r w:rsidRPr="00C82685">
        <w:rPr>
          <w:sz w:val="24"/>
          <w:szCs w:val="24"/>
        </w:rPr>
        <w:t xml:space="preserve"> vil føre til opløsning af større urinsyrenyresten, og det kan ikke udelukkes at dele af disse sten samler sig i urinlederen.</w:t>
      </w:r>
    </w:p>
    <w:p w14:paraId="5DAFC987" w14:textId="77777777" w:rsidR="00C82685" w:rsidRPr="00C82685" w:rsidRDefault="00C82685" w:rsidP="00C82685">
      <w:pPr>
        <w:tabs>
          <w:tab w:val="left" w:pos="851"/>
        </w:tabs>
        <w:ind w:left="851"/>
        <w:rPr>
          <w:sz w:val="24"/>
          <w:szCs w:val="24"/>
        </w:rPr>
      </w:pPr>
      <w:r w:rsidRPr="00C82685">
        <w:rPr>
          <w:sz w:val="24"/>
          <w:szCs w:val="24"/>
        </w:rPr>
        <w:t>Urinmængden bør være mindst 2 liter/dag under behandling af urinsyregigt og urinsyresten.</w:t>
      </w:r>
    </w:p>
    <w:p w14:paraId="3BD3390E" w14:textId="77777777" w:rsidR="00C82685" w:rsidRPr="00C82685" w:rsidRDefault="00C82685" w:rsidP="00C82685">
      <w:pPr>
        <w:tabs>
          <w:tab w:val="left" w:pos="851"/>
        </w:tabs>
        <w:ind w:left="851"/>
        <w:rPr>
          <w:sz w:val="24"/>
          <w:szCs w:val="24"/>
        </w:rPr>
      </w:pPr>
    </w:p>
    <w:p w14:paraId="31408EFA" w14:textId="77777777" w:rsidR="00C82685" w:rsidRPr="00C82685" w:rsidRDefault="00C82685" w:rsidP="00C82685">
      <w:pPr>
        <w:tabs>
          <w:tab w:val="left" w:pos="851"/>
        </w:tabs>
        <w:ind w:left="851"/>
        <w:rPr>
          <w:sz w:val="24"/>
          <w:szCs w:val="24"/>
        </w:rPr>
      </w:pPr>
      <w:proofErr w:type="spellStart"/>
      <w:r w:rsidRPr="00C82685">
        <w:rPr>
          <w:bCs/>
          <w:sz w:val="24"/>
          <w:szCs w:val="24"/>
          <w:u w:val="single"/>
        </w:rPr>
        <w:t>Thyroideaforstyrrelser</w:t>
      </w:r>
      <w:proofErr w:type="spellEnd"/>
      <w:r w:rsidRPr="00C82685">
        <w:rPr>
          <w:bCs/>
          <w:sz w:val="24"/>
          <w:szCs w:val="24"/>
          <w:u w:val="single"/>
        </w:rPr>
        <w:t xml:space="preserve"> </w:t>
      </w:r>
    </w:p>
    <w:p w14:paraId="14B9CBD7" w14:textId="77777777" w:rsidR="00C82685" w:rsidRPr="00C82685" w:rsidRDefault="00C56A05" w:rsidP="00C82685">
      <w:pPr>
        <w:tabs>
          <w:tab w:val="left" w:pos="851"/>
        </w:tabs>
        <w:ind w:left="851"/>
        <w:rPr>
          <w:bCs/>
          <w:sz w:val="24"/>
          <w:szCs w:val="24"/>
        </w:rPr>
      </w:pPr>
      <w:r>
        <w:rPr>
          <w:bCs/>
          <w:sz w:val="24"/>
          <w:szCs w:val="24"/>
        </w:rPr>
        <w:t xml:space="preserve">Der er set øgede TSH-værdier (&gt;5,5 </w:t>
      </w:r>
      <w:proofErr w:type="spellStart"/>
      <w:r>
        <w:rPr>
          <w:bCs/>
          <w:sz w:val="24"/>
          <w:szCs w:val="24"/>
        </w:rPr>
        <w:t>mikroIE</w:t>
      </w:r>
      <w:proofErr w:type="spellEnd"/>
      <w:r>
        <w:rPr>
          <w:bCs/>
          <w:sz w:val="24"/>
          <w:szCs w:val="24"/>
        </w:rPr>
        <w:t xml:space="preserve">/ml) hos patienter i langvarig behandling med </w:t>
      </w:r>
      <w:proofErr w:type="spellStart"/>
      <w:r>
        <w:rPr>
          <w:bCs/>
          <w:sz w:val="24"/>
          <w:szCs w:val="24"/>
        </w:rPr>
        <w:t>allopurinol</w:t>
      </w:r>
      <w:proofErr w:type="spellEnd"/>
      <w:r>
        <w:rPr>
          <w:bCs/>
          <w:sz w:val="24"/>
          <w:szCs w:val="24"/>
        </w:rPr>
        <w:t xml:space="preserve"> (5,8 %) i et langvarigt </w:t>
      </w:r>
      <w:r>
        <w:rPr>
          <w:sz w:val="24"/>
          <w:szCs w:val="24"/>
        </w:rPr>
        <w:t>forlængelsesstudie med åben behandling</w:t>
      </w:r>
      <w:r>
        <w:rPr>
          <w:bCs/>
          <w:sz w:val="24"/>
          <w:szCs w:val="24"/>
        </w:rPr>
        <w:t xml:space="preserve">. Der skal udvises forsigtighed, når </w:t>
      </w:r>
      <w:proofErr w:type="spellStart"/>
      <w:r>
        <w:rPr>
          <w:bCs/>
          <w:sz w:val="24"/>
          <w:szCs w:val="24"/>
        </w:rPr>
        <w:t>allopurinol</w:t>
      </w:r>
      <w:proofErr w:type="spellEnd"/>
      <w:r>
        <w:rPr>
          <w:bCs/>
          <w:sz w:val="24"/>
          <w:szCs w:val="24"/>
        </w:rPr>
        <w:t xml:space="preserve"> anvendes hos patienter med forandringer i </w:t>
      </w:r>
      <w:proofErr w:type="spellStart"/>
      <w:r>
        <w:rPr>
          <w:bCs/>
          <w:sz w:val="24"/>
          <w:szCs w:val="24"/>
        </w:rPr>
        <w:t>thyroideafunktionen</w:t>
      </w:r>
      <w:proofErr w:type="spellEnd"/>
      <w:r>
        <w:rPr>
          <w:bCs/>
          <w:sz w:val="24"/>
          <w:szCs w:val="24"/>
        </w:rPr>
        <w:t>.</w:t>
      </w:r>
    </w:p>
    <w:p w14:paraId="36CDA15E" w14:textId="77777777" w:rsidR="00C82685" w:rsidRPr="00C82685" w:rsidRDefault="00C82685" w:rsidP="00C82685">
      <w:pPr>
        <w:tabs>
          <w:tab w:val="left" w:pos="851"/>
        </w:tabs>
        <w:ind w:left="851"/>
        <w:rPr>
          <w:sz w:val="24"/>
          <w:szCs w:val="24"/>
        </w:rPr>
      </w:pPr>
    </w:p>
    <w:p w14:paraId="09B457B6" w14:textId="77777777" w:rsidR="00C82685" w:rsidRPr="00C82685" w:rsidRDefault="00C82685" w:rsidP="00C82685">
      <w:pPr>
        <w:tabs>
          <w:tab w:val="left" w:pos="851"/>
        </w:tabs>
        <w:ind w:left="851"/>
        <w:rPr>
          <w:sz w:val="24"/>
          <w:szCs w:val="24"/>
        </w:rPr>
      </w:pPr>
      <w:proofErr w:type="spellStart"/>
      <w:r w:rsidRPr="00C82685">
        <w:rPr>
          <w:sz w:val="24"/>
          <w:szCs w:val="24"/>
          <w:u w:val="single"/>
        </w:rPr>
        <w:t>Lactose</w:t>
      </w:r>
      <w:proofErr w:type="spellEnd"/>
    </w:p>
    <w:p w14:paraId="66959C4F" w14:textId="77777777" w:rsidR="00C82685" w:rsidRPr="00C82685" w:rsidRDefault="00C82685" w:rsidP="00C82685">
      <w:pPr>
        <w:tabs>
          <w:tab w:val="left" w:pos="851"/>
        </w:tabs>
        <w:ind w:left="851"/>
        <w:rPr>
          <w:sz w:val="24"/>
          <w:szCs w:val="24"/>
        </w:rPr>
      </w:pPr>
      <w:r w:rsidRPr="00C82685">
        <w:rPr>
          <w:sz w:val="24"/>
          <w:szCs w:val="24"/>
        </w:rPr>
        <w:t xml:space="preserve">Bør ikke anvendes til patienter med hereditær </w:t>
      </w:r>
      <w:proofErr w:type="spellStart"/>
      <w:r w:rsidRPr="00C82685">
        <w:rPr>
          <w:sz w:val="24"/>
          <w:szCs w:val="24"/>
        </w:rPr>
        <w:t>galactoseintolerans</w:t>
      </w:r>
      <w:proofErr w:type="spellEnd"/>
      <w:r w:rsidRPr="00C82685">
        <w:rPr>
          <w:sz w:val="24"/>
          <w:szCs w:val="24"/>
        </w:rPr>
        <w:t xml:space="preserve">, total </w:t>
      </w:r>
      <w:proofErr w:type="spellStart"/>
      <w:r w:rsidRPr="00C82685">
        <w:rPr>
          <w:sz w:val="24"/>
          <w:szCs w:val="24"/>
        </w:rPr>
        <w:t>lactasemangel</w:t>
      </w:r>
      <w:proofErr w:type="spellEnd"/>
      <w:r w:rsidRPr="00C82685">
        <w:rPr>
          <w:sz w:val="24"/>
          <w:szCs w:val="24"/>
        </w:rPr>
        <w:t xml:space="preserve"> eller </w:t>
      </w:r>
      <w:proofErr w:type="spellStart"/>
      <w:r w:rsidRPr="00C82685">
        <w:rPr>
          <w:sz w:val="24"/>
          <w:szCs w:val="24"/>
        </w:rPr>
        <w:t>glucose</w:t>
      </w:r>
      <w:proofErr w:type="spellEnd"/>
      <w:r w:rsidRPr="00C82685">
        <w:rPr>
          <w:sz w:val="24"/>
          <w:szCs w:val="24"/>
        </w:rPr>
        <w:t>/</w:t>
      </w:r>
      <w:proofErr w:type="spellStart"/>
      <w:r w:rsidRPr="00C82685">
        <w:rPr>
          <w:sz w:val="24"/>
          <w:szCs w:val="24"/>
        </w:rPr>
        <w:t>galactosemalabsorption</w:t>
      </w:r>
      <w:proofErr w:type="spellEnd"/>
      <w:r w:rsidRPr="00C82685">
        <w:rPr>
          <w:sz w:val="24"/>
          <w:szCs w:val="24"/>
        </w:rPr>
        <w:t xml:space="preserve">. </w:t>
      </w:r>
    </w:p>
    <w:p w14:paraId="149A6F93" w14:textId="77777777" w:rsidR="009260DE" w:rsidRPr="00C84483" w:rsidRDefault="009260DE" w:rsidP="009260DE">
      <w:pPr>
        <w:tabs>
          <w:tab w:val="left" w:pos="851"/>
        </w:tabs>
        <w:ind w:left="851"/>
        <w:rPr>
          <w:sz w:val="24"/>
          <w:szCs w:val="24"/>
        </w:rPr>
      </w:pPr>
    </w:p>
    <w:p w14:paraId="03B70AF6"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202C2775" w14:textId="77777777" w:rsidR="006A69DD" w:rsidRPr="006A69DD" w:rsidRDefault="006A69DD" w:rsidP="006A69DD">
      <w:pPr>
        <w:tabs>
          <w:tab w:val="left" w:pos="851"/>
        </w:tabs>
        <w:ind w:left="851"/>
        <w:rPr>
          <w:sz w:val="24"/>
          <w:szCs w:val="24"/>
          <w:u w:val="single"/>
        </w:rPr>
      </w:pPr>
    </w:p>
    <w:p w14:paraId="58F26DCC" w14:textId="77777777" w:rsidR="006A69DD" w:rsidRPr="006A69DD" w:rsidRDefault="006A69DD" w:rsidP="006A69DD">
      <w:pPr>
        <w:tabs>
          <w:tab w:val="left" w:pos="851"/>
        </w:tabs>
        <w:ind w:left="851"/>
        <w:rPr>
          <w:sz w:val="24"/>
          <w:szCs w:val="24"/>
        </w:rPr>
      </w:pPr>
      <w:proofErr w:type="spellStart"/>
      <w:r w:rsidRPr="006A69DD">
        <w:rPr>
          <w:sz w:val="24"/>
          <w:szCs w:val="24"/>
          <w:u w:val="single"/>
        </w:rPr>
        <w:t>Probenecid</w:t>
      </w:r>
      <w:proofErr w:type="spellEnd"/>
    </w:p>
    <w:p w14:paraId="676B1116" w14:textId="77777777" w:rsidR="006A69DD" w:rsidRPr="006A69DD" w:rsidRDefault="006A69DD" w:rsidP="006A69DD">
      <w:pPr>
        <w:tabs>
          <w:tab w:val="left" w:pos="851"/>
        </w:tabs>
        <w:ind w:left="851"/>
        <w:rPr>
          <w:sz w:val="24"/>
          <w:szCs w:val="24"/>
        </w:rPr>
      </w:pPr>
      <w:proofErr w:type="spellStart"/>
      <w:r w:rsidRPr="006A69DD">
        <w:rPr>
          <w:sz w:val="24"/>
          <w:szCs w:val="24"/>
        </w:rPr>
        <w:t>Allopurinol</w:t>
      </w:r>
      <w:proofErr w:type="spellEnd"/>
      <w:r w:rsidRPr="006A69DD">
        <w:rPr>
          <w:sz w:val="24"/>
          <w:szCs w:val="24"/>
        </w:rPr>
        <w:t xml:space="preserve"> nedsætter eliminationen af </w:t>
      </w:r>
      <w:proofErr w:type="spellStart"/>
      <w:r w:rsidRPr="006A69DD">
        <w:rPr>
          <w:sz w:val="24"/>
          <w:szCs w:val="24"/>
        </w:rPr>
        <w:t>probenecid</w:t>
      </w:r>
      <w:proofErr w:type="spellEnd"/>
      <w:r w:rsidRPr="006A69DD">
        <w:rPr>
          <w:sz w:val="24"/>
          <w:szCs w:val="24"/>
        </w:rPr>
        <w:t>.</w:t>
      </w:r>
    </w:p>
    <w:p w14:paraId="117B5B00" w14:textId="77777777" w:rsidR="006A69DD" w:rsidRPr="006A69DD" w:rsidRDefault="006A69DD" w:rsidP="006A69DD">
      <w:pPr>
        <w:tabs>
          <w:tab w:val="left" w:pos="851"/>
        </w:tabs>
        <w:ind w:left="851"/>
        <w:rPr>
          <w:sz w:val="24"/>
          <w:szCs w:val="24"/>
        </w:rPr>
      </w:pPr>
    </w:p>
    <w:p w14:paraId="445ED8F4" w14:textId="77777777" w:rsidR="006A69DD" w:rsidRPr="006A69DD" w:rsidRDefault="006A69DD" w:rsidP="006A69DD">
      <w:pPr>
        <w:tabs>
          <w:tab w:val="left" w:pos="851"/>
        </w:tabs>
        <w:ind w:left="851"/>
        <w:rPr>
          <w:sz w:val="24"/>
          <w:szCs w:val="24"/>
          <w:u w:val="single"/>
        </w:rPr>
      </w:pPr>
      <w:proofErr w:type="spellStart"/>
      <w:r w:rsidRPr="006A69DD">
        <w:rPr>
          <w:sz w:val="24"/>
          <w:szCs w:val="24"/>
          <w:u w:val="single"/>
        </w:rPr>
        <w:t>Probenecid</w:t>
      </w:r>
      <w:proofErr w:type="spellEnd"/>
      <w:r w:rsidRPr="006A69DD">
        <w:rPr>
          <w:sz w:val="24"/>
          <w:szCs w:val="24"/>
          <w:u w:val="single"/>
        </w:rPr>
        <w:t xml:space="preserve">, </w:t>
      </w:r>
      <w:proofErr w:type="spellStart"/>
      <w:r w:rsidRPr="006A69DD">
        <w:rPr>
          <w:sz w:val="24"/>
          <w:szCs w:val="24"/>
          <w:u w:val="single"/>
        </w:rPr>
        <w:t>benzbromaron</w:t>
      </w:r>
      <w:proofErr w:type="spellEnd"/>
      <w:r w:rsidRPr="006A69DD">
        <w:rPr>
          <w:sz w:val="24"/>
          <w:szCs w:val="24"/>
          <w:u w:val="single"/>
        </w:rPr>
        <w:t xml:space="preserve">, </w:t>
      </w:r>
      <w:proofErr w:type="spellStart"/>
      <w:r w:rsidRPr="006A69DD">
        <w:rPr>
          <w:sz w:val="24"/>
          <w:szCs w:val="24"/>
          <w:u w:val="single"/>
        </w:rPr>
        <w:t>sulfinpyrazon</w:t>
      </w:r>
      <w:proofErr w:type="spellEnd"/>
      <w:r w:rsidRPr="006A69DD">
        <w:rPr>
          <w:sz w:val="24"/>
          <w:szCs w:val="24"/>
          <w:u w:val="single"/>
        </w:rPr>
        <w:t xml:space="preserve">, eller større doser af </w:t>
      </w:r>
      <w:proofErr w:type="spellStart"/>
      <w:r w:rsidRPr="006A69DD">
        <w:rPr>
          <w:sz w:val="24"/>
          <w:szCs w:val="24"/>
          <w:u w:val="single"/>
        </w:rPr>
        <w:t>salicylat</w:t>
      </w:r>
      <w:proofErr w:type="spellEnd"/>
      <w:r w:rsidRPr="006A69DD">
        <w:rPr>
          <w:sz w:val="24"/>
          <w:szCs w:val="24"/>
          <w:u w:val="single"/>
        </w:rPr>
        <w:t xml:space="preserve"> </w:t>
      </w:r>
    </w:p>
    <w:p w14:paraId="05B5ED33" w14:textId="77777777" w:rsidR="006A69DD" w:rsidRPr="006A69DD" w:rsidRDefault="006A69DD" w:rsidP="006A69DD">
      <w:pPr>
        <w:tabs>
          <w:tab w:val="left" w:pos="851"/>
        </w:tabs>
        <w:ind w:left="851"/>
        <w:rPr>
          <w:sz w:val="24"/>
          <w:szCs w:val="24"/>
        </w:rPr>
      </w:pPr>
      <w:r w:rsidRPr="006A69DD">
        <w:rPr>
          <w:sz w:val="24"/>
          <w:szCs w:val="24"/>
        </w:rPr>
        <w:t xml:space="preserve">Udskillelse af </w:t>
      </w:r>
      <w:proofErr w:type="spellStart"/>
      <w:r w:rsidRPr="006A69DD">
        <w:rPr>
          <w:sz w:val="24"/>
          <w:szCs w:val="24"/>
        </w:rPr>
        <w:t>allopurinol</w:t>
      </w:r>
      <w:proofErr w:type="spellEnd"/>
      <w:r w:rsidRPr="006A69DD">
        <w:rPr>
          <w:sz w:val="24"/>
          <w:szCs w:val="24"/>
        </w:rPr>
        <w:t xml:space="preserve"> øges ved samtidig brug af lægemidler med </w:t>
      </w:r>
      <w:proofErr w:type="spellStart"/>
      <w:r w:rsidRPr="006A69DD">
        <w:rPr>
          <w:sz w:val="24"/>
          <w:szCs w:val="24"/>
        </w:rPr>
        <w:t>uricosurisk</w:t>
      </w:r>
      <w:proofErr w:type="spellEnd"/>
      <w:r w:rsidRPr="006A69DD">
        <w:rPr>
          <w:sz w:val="24"/>
          <w:szCs w:val="24"/>
        </w:rPr>
        <w:t xml:space="preserve"> aktivitet. Dette kan nedsætte den terapeutiske aktivitet af </w:t>
      </w:r>
      <w:proofErr w:type="spellStart"/>
      <w:r w:rsidRPr="006A69DD">
        <w:rPr>
          <w:sz w:val="24"/>
          <w:szCs w:val="24"/>
        </w:rPr>
        <w:t>allopurinol</w:t>
      </w:r>
      <w:proofErr w:type="spellEnd"/>
      <w:r w:rsidRPr="006A69DD">
        <w:rPr>
          <w:sz w:val="24"/>
          <w:szCs w:val="24"/>
        </w:rPr>
        <w:t xml:space="preserve">, men betydningen heraf skal vurderes i hvert tilfælde. </w:t>
      </w:r>
    </w:p>
    <w:p w14:paraId="2F5967DD" w14:textId="77777777" w:rsidR="006A69DD" w:rsidRPr="006A69DD" w:rsidRDefault="006A69DD" w:rsidP="006A69DD">
      <w:pPr>
        <w:tabs>
          <w:tab w:val="left" w:pos="851"/>
        </w:tabs>
        <w:ind w:left="851"/>
        <w:rPr>
          <w:sz w:val="24"/>
          <w:szCs w:val="24"/>
        </w:rPr>
      </w:pPr>
    </w:p>
    <w:p w14:paraId="13F254D1" w14:textId="77777777" w:rsidR="006A69DD" w:rsidRPr="006A69DD" w:rsidRDefault="006A69DD" w:rsidP="006A69DD">
      <w:pPr>
        <w:tabs>
          <w:tab w:val="left" w:pos="851"/>
        </w:tabs>
        <w:ind w:left="851"/>
        <w:rPr>
          <w:sz w:val="24"/>
          <w:szCs w:val="24"/>
          <w:u w:val="single"/>
        </w:rPr>
      </w:pPr>
      <w:r w:rsidRPr="006A69DD">
        <w:rPr>
          <w:sz w:val="24"/>
          <w:szCs w:val="24"/>
          <w:u w:val="single"/>
        </w:rPr>
        <w:t xml:space="preserve">6-mercaptopurin og </w:t>
      </w:r>
      <w:proofErr w:type="spellStart"/>
      <w:r w:rsidRPr="006A69DD">
        <w:rPr>
          <w:sz w:val="24"/>
          <w:szCs w:val="24"/>
          <w:u w:val="single"/>
        </w:rPr>
        <w:t>azathioprin</w:t>
      </w:r>
      <w:proofErr w:type="spellEnd"/>
    </w:p>
    <w:p w14:paraId="52AC8CFF" w14:textId="77777777" w:rsidR="006A69DD" w:rsidRPr="006A69DD" w:rsidRDefault="006A69DD" w:rsidP="006A69DD">
      <w:pPr>
        <w:tabs>
          <w:tab w:val="left" w:pos="851"/>
        </w:tabs>
        <w:ind w:left="851"/>
        <w:rPr>
          <w:sz w:val="24"/>
          <w:szCs w:val="24"/>
        </w:rPr>
      </w:pPr>
      <w:r w:rsidRPr="006A69DD">
        <w:rPr>
          <w:sz w:val="24"/>
          <w:szCs w:val="24"/>
        </w:rPr>
        <w:t xml:space="preserve">Når der behandles med 6-mercaptopurin eller </w:t>
      </w:r>
      <w:proofErr w:type="spellStart"/>
      <w:r w:rsidRPr="006A69DD">
        <w:rPr>
          <w:sz w:val="24"/>
          <w:szCs w:val="24"/>
        </w:rPr>
        <w:t>azathioprin</w:t>
      </w:r>
      <w:proofErr w:type="spellEnd"/>
      <w:r w:rsidRPr="006A69DD">
        <w:rPr>
          <w:sz w:val="24"/>
          <w:szCs w:val="24"/>
        </w:rPr>
        <w:t xml:space="preserve"> samtidig med </w:t>
      </w:r>
      <w:proofErr w:type="spellStart"/>
      <w:r w:rsidRPr="006A69DD">
        <w:rPr>
          <w:sz w:val="24"/>
          <w:szCs w:val="24"/>
        </w:rPr>
        <w:t>allopurinol</w:t>
      </w:r>
      <w:proofErr w:type="spellEnd"/>
      <w:r w:rsidRPr="006A69DD">
        <w:rPr>
          <w:sz w:val="24"/>
          <w:szCs w:val="24"/>
        </w:rPr>
        <w:t xml:space="preserve"> bør dosis reduceres til ¼ af oprindelig dosis af 6-mercaptopurin eller </w:t>
      </w:r>
      <w:proofErr w:type="spellStart"/>
      <w:r w:rsidRPr="006A69DD">
        <w:rPr>
          <w:sz w:val="24"/>
          <w:szCs w:val="24"/>
        </w:rPr>
        <w:t>azathioprin</w:t>
      </w:r>
      <w:proofErr w:type="spellEnd"/>
      <w:r w:rsidRPr="006A69DD">
        <w:rPr>
          <w:sz w:val="24"/>
          <w:szCs w:val="24"/>
        </w:rPr>
        <w:t xml:space="preserve">, fordi hæmning af </w:t>
      </w:r>
      <w:proofErr w:type="spellStart"/>
      <w:r w:rsidRPr="006A69DD">
        <w:rPr>
          <w:sz w:val="24"/>
          <w:szCs w:val="24"/>
        </w:rPr>
        <w:t>xanthinoxidase</w:t>
      </w:r>
      <w:proofErr w:type="spellEnd"/>
      <w:r w:rsidRPr="006A69DD">
        <w:rPr>
          <w:sz w:val="24"/>
          <w:szCs w:val="24"/>
        </w:rPr>
        <w:t xml:space="preserve"> vil nedsætte deres </w:t>
      </w:r>
      <w:proofErr w:type="spellStart"/>
      <w:r w:rsidRPr="006A69DD">
        <w:rPr>
          <w:sz w:val="24"/>
          <w:szCs w:val="24"/>
        </w:rPr>
        <w:t>metabolisering</w:t>
      </w:r>
      <w:proofErr w:type="spellEnd"/>
      <w:r w:rsidRPr="006A69DD">
        <w:rPr>
          <w:sz w:val="24"/>
          <w:szCs w:val="24"/>
        </w:rPr>
        <w:t xml:space="preserve">, og derfor forlænge deres aktivitet. </w:t>
      </w:r>
    </w:p>
    <w:p w14:paraId="40A9FFE2" w14:textId="77777777" w:rsidR="006A69DD" w:rsidRPr="006A69DD" w:rsidRDefault="006A69DD" w:rsidP="006A69DD">
      <w:pPr>
        <w:tabs>
          <w:tab w:val="left" w:pos="851"/>
        </w:tabs>
        <w:ind w:left="851"/>
        <w:rPr>
          <w:sz w:val="24"/>
          <w:szCs w:val="24"/>
        </w:rPr>
      </w:pPr>
    </w:p>
    <w:p w14:paraId="54CA547F" w14:textId="77777777" w:rsidR="006A69DD" w:rsidRPr="006A69DD" w:rsidRDefault="006A69DD" w:rsidP="006A69DD">
      <w:pPr>
        <w:tabs>
          <w:tab w:val="left" w:pos="851"/>
        </w:tabs>
        <w:ind w:left="851"/>
        <w:rPr>
          <w:sz w:val="24"/>
          <w:szCs w:val="24"/>
          <w:u w:val="single"/>
        </w:rPr>
      </w:pPr>
      <w:proofErr w:type="spellStart"/>
      <w:r w:rsidRPr="006A69DD">
        <w:rPr>
          <w:sz w:val="24"/>
          <w:szCs w:val="24"/>
          <w:u w:val="single"/>
        </w:rPr>
        <w:t>Ampicillin</w:t>
      </w:r>
      <w:proofErr w:type="spellEnd"/>
      <w:r w:rsidRPr="006A69DD">
        <w:rPr>
          <w:sz w:val="24"/>
          <w:szCs w:val="24"/>
          <w:u w:val="single"/>
        </w:rPr>
        <w:t xml:space="preserve"> eller </w:t>
      </w:r>
      <w:proofErr w:type="spellStart"/>
      <w:r w:rsidRPr="006A69DD">
        <w:rPr>
          <w:sz w:val="24"/>
          <w:szCs w:val="24"/>
          <w:u w:val="single"/>
        </w:rPr>
        <w:t>amoxillin</w:t>
      </w:r>
      <w:proofErr w:type="spellEnd"/>
    </w:p>
    <w:p w14:paraId="71186C58" w14:textId="77777777" w:rsidR="006A69DD" w:rsidRPr="006A69DD" w:rsidRDefault="006A69DD" w:rsidP="006A69DD">
      <w:pPr>
        <w:tabs>
          <w:tab w:val="left" w:pos="851"/>
        </w:tabs>
        <w:ind w:left="851"/>
        <w:rPr>
          <w:sz w:val="24"/>
          <w:szCs w:val="24"/>
        </w:rPr>
      </w:pPr>
      <w:r w:rsidRPr="006A69DD">
        <w:rPr>
          <w:sz w:val="24"/>
          <w:szCs w:val="24"/>
        </w:rPr>
        <w:t xml:space="preserve">Der er rapporteret en stigning i hyppigheden af allergiske reaktioner (hududslæt) blandt patienter der får </w:t>
      </w:r>
      <w:proofErr w:type="spellStart"/>
      <w:r w:rsidRPr="006A69DD">
        <w:rPr>
          <w:sz w:val="24"/>
          <w:szCs w:val="24"/>
        </w:rPr>
        <w:t>ampicillin</w:t>
      </w:r>
      <w:proofErr w:type="spellEnd"/>
      <w:r w:rsidRPr="006A69DD">
        <w:rPr>
          <w:sz w:val="24"/>
          <w:szCs w:val="24"/>
        </w:rPr>
        <w:t xml:space="preserve"> eller </w:t>
      </w:r>
      <w:proofErr w:type="spellStart"/>
      <w:r w:rsidRPr="006A69DD">
        <w:rPr>
          <w:sz w:val="24"/>
          <w:szCs w:val="24"/>
        </w:rPr>
        <w:t>amoxillin</w:t>
      </w:r>
      <w:proofErr w:type="spellEnd"/>
      <w:r w:rsidRPr="006A69DD">
        <w:rPr>
          <w:sz w:val="24"/>
          <w:szCs w:val="24"/>
        </w:rPr>
        <w:t xml:space="preserve"> samtidig med </w:t>
      </w:r>
      <w:proofErr w:type="spellStart"/>
      <w:r w:rsidRPr="006A69DD">
        <w:rPr>
          <w:sz w:val="24"/>
          <w:szCs w:val="24"/>
        </w:rPr>
        <w:t>allopurinol</w:t>
      </w:r>
      <w:proofErr w:type="spellEnd"/>
      <w:r w:rsidRPr="006A69DD">
        <w:rPr>
          <w:sz w:val="24"/>
          <w:szCs w:val="24"/>
        </w:rPr>
        <w:t xml:space="preserve">. Derfor anbefales alternative antibiotiske lægemidler, hvis det er muligt, til patienter der får </w:t>
      </w:r>
      <w:proofErr w:type="spellStart"/>
      <w:r w:rsidRPr="006A69DD">
        <w:rPr>
          <w:sz w:val="24"/>
          <w:szCs w:val="24"/>
        </w:rPr>
        <w:t>allopurinol</w:t>
      </w:r>
      <w:proofErr w:type="spellEnd"/>
      <w:r w:rsidRPr="006A69DD">
        <w:rPr>
          <w:sz w:val="24"/>
          <w:szCs w:val="24"/>
        </w:rPr>
        <w:t xml:space="preserve">.  </w:t>
      </w:r>
    </w:p>
    <w:p w14:paraId="51014E80" w14:textId="77777777" w:rsidR="006A69DD" w:rsidRPr="006A69DD" w:rsidRDefault="006A69DD" w:rsidP="006A69DD">
      <w:pPr>
        <w:tabs>
          <w:tab w:val="left" w:pos="851"/>
        </w:tabs>
        <w:ind w:left="851"/>
        <w:rPr>
          <w:sz w:val="24"/>
          <w:szCs w:val="24"/>
        </w:rPr>
      </w:pPr>
    </w:p>
    <w:p w14:paraId="3A2D58F2" w14:textId="77777777" w:rsidR="006A69DD" w:rsidRPr="006A69DD" w:rsidRDefault="006A69DD" w:rsidP="006A69DD">
      <w:pPr>
        <w:tabs>
          <w:tab w:val="left" w:pos="851"/>
        </w:tabs>
        <w:ind w:left="851"/>
        <w:rPr>
          <w:sz w:val="24"/>
          <w:szCs w:val="24"/>
        </w:rPr>
      </w:pPr>
      <w:proofErr w:type="spellStart"/>
      <w:r w:rsidRPr="006A69DD">
        <w:rPr>
          <w:sz w:val="24"/>
          <w:szCs w:val="24"/>
          <w:u w:val="single"/>
        </w:rPr>
        <w:t>Kumarin</w:t>
      </w:r>
      <w:proofErr w:type="spellEnd"/>
      <w:r w:rsidRPr="006A69DD">
        <w:rPr>
          <w:sz w:val="24"/>
          <w:szCs w:val="24"/>
          <w:u w:val="single"/>
        </w:rPr>
        <w:t xml:space="preserve"> </w:t>
      </w:r>
      <w:proofErr w:type="spellStart"/>
      <w:r w:rsidRPr="006A69DD">
        <w:rPr>
          <w:sz w:val="24"/>
          <w:szCs w:val="24"/>
          <w:u w:val="single"/>
        </w:rPr>
        <w:t>antikoagulantia</w:t>
      </w:r>
      <w:proofErr w:type="spellEnd"/>
    </w:p>
    <w:p w14:paraId="78BA0A96" w14:textId="77777777" w:rsidR="006A69DD" w:rsidRPr="006A69DD" w:rsidRDefault="006A69DD" w:rsidP="006A69DD">
      <w:pPr>
        <w:tabs>
          <w:tab w:val="left" w:pos="851"/>
        </w:tabs>
        <w:ind w:left="851"/>
        <w:rPr>
          <w:sz w:val="24"/>
          <w:szCs w:val="24"/>
        </w:rPr>
      </w:pPr>
      <w:r w:rsidRPr="006A69DD">
        <w:rPr>
          <w:sz w:val="24"/>
          <w:szCs w:val="24"/>
        </w:rPr>
        <w:t xml:space="preserve">Ved samtidig behandling med </w:t>
      </w:r>
      <w:proofErr w:type="spellStart"/>
      <w:r w:rsidRPr="006A69DD">
        <w:rPr>
          <w:sz w:val="24"/>
          <w:szCs w:val="24"/>
        </w:rPr>
        <w:t>allopurinol</w:t>
      </w:r>
      <w:proofErr w:type="spellEnd"/>
      <w:r w:rsidRPr="006A69DD">
        <w:rPr>
          <w:sz w:val="24"/>
          <w:szCs w:val="24"/>
        </w:rPr>
        <w:t xml:space="preserve">, kan effekten øges. Derfor skal alle patienter, som behandles med </w:t>
      </w:r>
      <w:proofErr w:type="spellStart"/>
      <w:r w:rsidRPr="006A69DD">
        <w:rPr>
          <w:sz w:val="24"/>
          <w:szCs w:val="24"/>
        </w:rPr>
        <w:t>antikoagulantia</w:t>
      </w:r>
      <w:proofErr w:type="spellEnd"/>
      <w:r w:rsidRPr="006A69DD">
        <w:rPr>
          <w:sz w:val="24"/>
          <w:szCs w:val="24"/>
        </w:rPr>
        <w:t xml:space="preserve">, overvåges nøje med hensyn til deres blodkoagulering, og eventuelt kan en tilsvarende dosisreduktion af </w:t>
      </w:r>
      <w:proofErr w:type="spellStart"/>
      <w:r w:rsidRPr="006A69DD">
        <w:rPr>
          <w:sz w:val="24"/>
          <w:szCs w:val="24"/>
        </w:rPr>
        <w:t>kumarin</w:t>
      </w:r>
      <w:proofErr w:type="spellEnd"/>
      <w:r w:rsidRPr="006A69DD">
        <w:rPr>
          <w:sz w:val="24"/>
          <w:szCs w:val="24"/>
        </w:rPr>
        <w:t xml:space="preserve"> </w:t>
      </w:r>
      <w:proofErr w:type="spellStart"/>
      <w:r w:rsidRPr="006A69DD">
        <w:rPr>
          <w:sz w:val="24"/>
          <w:szCs w:val="24"/>
        </w:rPr>
        <w:t>antikoagulantia</w:t>
      </w:r>
      <w:proofErr w:type="spellEnd"/>
      <w:r w:rsidRPr="006A69DD">
        <w:rPr>
          <w:sz w:val="24"/>
          <w:szCs w:val="24"/>
        </w:rPr>
        <w:t xml:space="preserve"> være nødvendig. </w:t>
      </w:r>
    </w:p>
    <w:p w14:paraId="1435120F" w14:textId="77777777" w:rsidR="006A69DD" w:rsidRPr="006A69DD" w:rsidRDefault="006A69DD" w:rsidP="006A69DD">
      <w:pPr>
        <w:tabs>
          <w:tab w:val="left" w:pos="851"/>
        </w:tabs>
        <w:ind w:left="851"/>
        <w:rPr>
          <w:sz w:val="24"/>
          <w:szCs w:val="24"/>
        </w:rPr>
      </w:pPr>
    </w:p>
    <w:p w14:paraId="53027CC6" w14:textId="77777777" w:rsidR="006A69DD" w:rsidRPr="006A69DD" w:rsidRDefault="006A69DD" w:rsidP="006A69DD">
      <w:pPr>
        <w:tabs>
          <w:tab w:val="left" w:pos="851"/>
        </w:tabs>
        <w:ind w:left="851"/>
        <w:rPr>
          <w:sz w:val="24"/>
          <w:szCs w:val="24"/>
        </w:rPr>
      </w:pPr>
      <w:proofErr w:type="spellStart"/>
      <w:r w:rsidRPr="006A69DD">
        <w:rPr>
          <w:sz w:val="24"/>
          <w:szCs w:val="24"/>
          <w:u w:val="single"/>
        </w:rPr>
        <w:t>Chlorpropamid</w:t>
      </w:r>
      <w:proofErr w:type="spellEnd"/>
    </w:p>
    <w:p w14:paraId="2179A208" w14:textId="77777777" w:rsidR="006A69DD" w:rsidRPr="006A69DD" w:rsidRDefault="006A69DD" w:rsidP="006A69DD">
      <w:pPr>
        <w:tabs>
          <w:tab w:val="left" w:pos="851"/>
        </w:tabs>
        <w:ind w:left="851"/>
        <w:rPr>
          <w:sz w:val="24"/>
          <w:szCs w:val="24"/>
        </w:rPr>
      </w:pPr>
      <w:r w:rsidRPr="006A69DD">
        <w:rPr>
          <w:sz w:val="24"/>
          <w:szCs w:val="24"/>
        </w:rPr>
        <w:lastRenderedPageBreak/>
        <w:t xml:space="preserve">Hvis </w:t>
      </w:r>
      <w:proofErr w:type="spellStart"/>
      <w:r w:rsidRPr="006A69DD">
        <w:rPr>
          <w:sz w:val="24"/>
          <w:szCs w:val="24"/>
        </w:rPr>
        <w:t>allopurinol</w:t>
      </w:r>
      <w:proofErr w:type="spellEnd"/>
      <w:r w:rsidRPr="006A69DD">
        <w:rPr>
          <w:sz w:val="24"/>
          <w:szCs w:val="24"/>
        </w:rPr>
        <w:t xml:space="preserve"> gives samtidig med </w:t>
      </w:r>
      <w:proofErr w:type="spellStart"/>
      <w:r w:rsidRPr="006A69DD">
        <w:rPr>
          <w:sz w:val="24"/>
          <w:szCs w:val="24"/>
        </w:rPr>
        <w:t>chlorpropamid</w:t>
      </w:r>
      <w:proofErr w:type="spellEnd"/>
      <w:r w:rsidRPr="006A69DD">
        <w:rPr>
          <w:sz w:val="24"/>
          <w:szCs w:val="24"/>
        </w:rPr>
        <w:t xml:space="preserve">, og særligt ved nedsat nyrefunktion, kan der opstå en øget risiko for forlænget </w:t>
      </w:r>
      <w:proofErr w:type="spellStart"/>
      <w:r w:rsidRPr="006A69DD">
        <w:rPr>
          <w:sz w:val="24"/>
          <w:szCs w:val="24"/>
        </w:rPr>
        <w:t>hypoglykæmisk</w:t>
      </w:r>
      <w:proofErr w:type="spellEnd"/>
      <w:r w:rsidRPr="006A69DD">
        <w:rPr>
          <w:sz w:val="24"/>
          <w:szCs w:val="24"/>
        </w:rPr>
        <w:t xml:space="preserve"> aktivitet, hvorfor det kan være nødvendigt med en dosisreduktion. </w:t>
      </w:r>
    </w:p>
    <w:p w14:paraId="5249C82C" w14:textId="77777777" w:rsidR="006A69DD" w:rsidRPr="006A69DD" w:rsidRDefault="006A69DD" w:rsidP="006A69DD">
      <w:pPr>
        <w:tabs>
          <w:tab w:val="left" w:pos="851"/>
        </w:tabs>
        <w:ind w:left="851"/>
        <w:rPr>
          <w:sz w:val="24"/>
          <w:szCs w:val="24"/>
        </w:rPr>
      </w:pPr>
    </w:p>
    <w:p w14:paraId="739133D2" w14:textId="77777777" w:rsidR="006A69DD" w:rsidRPr="006A69DD" w:rsidRDefault="006A69DD" w:rsidP="006A69DD">
      <w:pPr>
        <w:tabs>
          <w:tab w:val="left" w:pos="851"/>
        </w:tabs>
        <w:ind w:left="851"/>
        <w:rPr>
          <w:sz w:val="24"/>
          <w:szCs w:val="24"/>
        </w:rPr>
      </w:pPr>
      <w:proofErr w:type="spellStart"/>
      <w:r w:rsidRPr="006A69DD">
        <w:rPr>
          <w:sz w:val="24"/>
          <w:szCs w:val="24"/>
          <w:u w:val="single"/>
        </w:rPr>
        <w:t>Theophyllin</w:t>
      </w:r>
      <w:proofErr w:type="spellEnd"/>
    </w:p>
    <w:p w14:paraId="247DF873" w14:textId="77777777" w:rsidR="006A69DD" w:rsidRPr="006A69DD" w:rsidRDefault="006A69DD" w:rsidP="006A69DD">
      <w:pPr>
        <w:tabs>
          <w:tab w:val="left" w:pos="851"/>
        </w:tabs>
        <w:ind w:left="851"/>
        <w:rPr>
          <w:sz w:val="24"/>
          <w:szCs w:val="24"/>
        </w:rPr>
      </w:pPr>
      <w:proofErr w:type="spellStart"/>
      <w:r w:rsidRPr="006A69DD">
        <w:rPr>
          <w:sz w:val="24"/>
          <w:szCs w:val="24"/>
        </w:rPr>
        <w:t>Allopurinol</w:t>
      </w:r>
      <w:proofErr w:type="spellEnd"/>
      <w:r w:rsidRPr="006A69DD">
        <w:rPr>
          <w:sz w:val="24"/>
          <w:szCs w:val="24"/>
        </w:rPr>
        <w:t xml:space="preserve"> inhiberer </w:t>
      </w:r>
      <w:proofErr w:type="spellStart"/>
      <w:r w:rsidRPr="006A69DD">
        <w:rPr>
          <w:sz w:val="24"/>
          <w:szCs w:val="24"/>
        </w:rPr>
        <w:t>theophyllins</w:t>
      </w:r>
      <w:proofErr w:type="spellEnd"/>
      <w:r w:rsidRPr="006A69DD">
        <w:rPr>
          <w:sz w:val="24"/>
          <w:szCs w:val="24"/>
        </w:rPr>
        <w:t xml:space="preserve"> metabolisme ved høje doser. Niveauet af </w:t>
      </w:r>
      <w:proofErr w:type="spellStart"/>
      <w:r w:rsidRPr="006A69DD">
        <w:rPr>
          <w:sz w:val="24"/>
          <w:szCs w:val="24"/>
        </w:rPr>
        <w:t>theophyllin</w:t>
      </w:r>
      <w:proofErr w:type="spellEnd"/>
      <w:r w:rsidRPr="006A69DD">
        <w:rPr>
          <w:sz w:val="24"/>
          <w:szCs w:val="24"/>
        </w:rPr>
        <w:t xml:space="preserve"> bør overvåges i patienter, der starter på </w:t>
      </w:r>
      <w:proofErr w:type="spellStart"/>
      <w:r w:rsidRPr="006A69DD">
        <w:rPr>
          <w:sz w:val="24"/>
          <w:szCs w:val="24"/>
        </w:rPr>
        <w:t>allopurinolbehandling</w:t>
      </w:r>
      <w:proofErr w:type="spellEnd"/>
      <w:r w:rsidRPr="006A69DD">
        <w:rPr>
          <w:sz w:val="24"/>
          <w:szCs w:val="24"/>
        </w:rPr>
        <w:t xml:space="preserve"> eller hvis </w:t>
      </w:r>
      <w:proofErr w:type="spellStart"/>
      <w:r w:rsidRPr="006A69DD">
        <w:rPr>
          <w:sz w:val="24"/>
          <w:szCs w:val="24"/>
        </w:rPr>
        <w:t>allopurinol</w:t>
      </w:r>
      <w:proofErr w:type="spellEnd"/>
      <w:r w:rsidRPr="006A69DD">
        <w:rPr>
          <w:sz w:val="24"/>
          <w:szCs w:val="24"/>
        </w:rPr>
        <w:t xml:space="preserve"> dosis øges. </w:t>
      </w:r>
    </w:p>
    <w:p w14:paraId="0FB122AE" w14:textId="77777777" w:rsidR="006A69DD" w:rsidRPr="006A69DD" w:rsidRDefault="006A69DD" w:rsidP="006A69DD">
      <w:pPr>
        <w:tabs>
          <w:tab w:val="left" w:pos="851"/>
        </w:tabs>
        <w:ind w:left="851"/>
        <w:rPr>
          <w:sz w:val="24"/>
          <w:szCs w:val="24"/>
        </w:rPr>
      </w:pPr>
    </w:p>
    <w:p w14:paraId="198C2AF4" w14:textId="77777777" w:rsidR="006A69DD" w:rsidRPr="006A69DD" w:rsidRDefault="006A69DD" w:rsidP="006A69DD">
      <w:pPr>
        <w:tabs>
          <w:tab w:val="left" w:pos="851"/>
        </w:tabs>
        <w:ind w:left="851"/>
        <w:rPr>
          <w:sz w:val="24"/>
          <w:szCs w:val="24"/>
        </w:rPr>
      </w:pPr>
      <w:proofErr w:type="spellStart"/>
      <w:r w:rsidRPr="006A69DD">
        <w:rPr>
          <w:sz w:val="24"/>
          <w:szCs w:val="24"/>
          <w:u w:val="single"/>
        </w:rPr>
        <w:t>Cytostatika</w:t>
      </w:r>
      <w:proofErr w:type="spellEnd"/>
    </w:p>
    <w:p w14:paraId="31589FE5" w14:textId="77777777" w:rsidR="00C56A05" w:rsidRDefault="00C56A05" w:rsidP="00C56A05">
      <w:pPr>
        <w:tabs>
          <w:tab w:val="left" w:pos="851"/>
        </w:tabs>
        <w:ind w:left="851"/>
        <w:rPr>
          <w:sz w:val="24"/>
          <w:szCs w:val="24"/>
        </w:rPr>
      </w:pPr>
      <w:proofErr w:type="spellStart"/>
      <w:r>
        <w:rPr>
          <w:sz w:val="24"/>
          <w:szCs w:val="24"/>
        </w:rPr>
        <w:t>Bloddyskrasier</w:t>
      </w:r>
      <w:proofErr w:type="spellEnd"/>
      <w:r>
        <w:rPr>
          <w:sz w:val="24"/>
          <w:szCs w:val="24"/>
        </w:rPr>
        <w:t xml:space="preserve"> forekommer hyppigere ved samtidig administration af </w:t>
      </w:r>
      <w:proofErr w:type="spellStart"/>
      <w:r>
        <w:rPr>
          <w:sz w:val="24"/>
          <w:szCs w:val="24"/>
        </w:rPr>
        <w:t>allopurinol</w:t>
      </w:r>
      <w:proofErr w:type="spellEnd"/>
      <w:r>
        <w:rPr>
          <w:sz w:val="24"/>
          <w:szCs w:val="24"/>
        </w:rPr>
        <w:t xml:space="preserve"> og </w:t>
      </w:r>
      <w:proofErr w:type="spellStart"/>
      <w:r>
        <w:rPr>
          <w:sz w:val="24"/>
          <w:szCs w:val="24"/>
        </w:rPr>
        <w:t>cytostatika</w:t>
      </w:r>
      <w:proofErr w:type="spellEnd"/>
      <w:r>
        <w:rPr>
          <w:sz w:val="24"/>
          <w:szCs w:val="24"/>
        </w:rPr>
        <w:t xml:space="preserve"> (f.eks. </w:t>
      </w:r>
      <w:proofErr w:type="spellStart"/>
      <w:r>
        <w:rPr>
          <w:sz w:val="24"/>
          <w:szCs w:val="24"/>
        </w:rPr>
        <w:t>cyclophosphamid</w:t>
      </w:r>
      <w:proofErr w:type="spellEnd"/>
      <w:r>
        <w:rPr>
          <w:sz w:val="24"/>
          <w:szCs w:val="24"/>
        </w:rPr>
        <w:t xml:space="preserve">, </w:t>
      </w:r>
      <w:proofErr w:type="spellStart"/>
      <w:r>
        <w:rPr>
          <w:sz w:val="24"/>
          <w:szCs w:val="24"/>
        </w:rPr>
        <w:t>doxyrubicin</w:t>
      </w:r>
      <w:proofErr w:type="spellEnd"/>
      <w:r>
        <w:rPr>
          <w:sz w:val="24"/>
          <w:szCs w:val="24"/>
        </w:rPr>
        <w:t xml:space="preserve">, </w:t>
      </w:r>
      <w:proofErr w:type="spellStart"/>
      <w:r>
        <w:rPr>
          <w:sz w:val="24"/>
          <w:szCs w:val="24"/>
        </w:rPr>
        <w:t>bleomycin</w:t>
      </w:r>
      <w:proofErr w:type="spellEnd"/>
      <w:r>
        <w:rPr>
          <w:sz w:val="24"/>
          <w:szCs w:val="24"/>
        </w:rPr>
        <w:t xml:space="preserve">, </w:t>
      </w:r>
      <w:proofErr w:type="spellStart"/>
      <w:r>
        <w:rPr>
          <w:sz w:val="24"/>
          <w:szCs w:val="24"/>
        </w:rPr>
        <w:t>procarbazin</w:t>
      </w:r>
      <w:proofErr w:type="spellEnd"/>
      <w:r>
        <w:rPr>
          <w:sz w:val="24"/>
          <w:szCs w:val="24"/>
        </w:rPr>
        <w:t xml:space="preserve">, </w:t>
      </w:r>
      <w:proofErr w:type="spellStart"/>
      <w:r>
        <w:rPr>
          <w:sz w:val="24"/>
          <w:szCs w:val="24"/>
        </w:rPr>
        <w:t>alkylhalogenider</w:t>
      </w:r>
      <w:proofErr w:type="spellEnd"/>
      <w:r>
        <w:rPr>
          <w:sz w:val="24"/>
          <w:szCs w:val="24"/>
        </w:rPr>
        <w:t xml:space="preserve">), end når disse aktive stoffer administreres alene. </w:t>
      </w:r>
    </w:p>
    <w:p w14:paraId="2FFAD215" w14:textId="77777777" w:rsidR="006A69DD" w:rsidRDefault="00C56A05" w:rsidP="00C56A05">
      <w:pPr>
        <w:tabs>
          <w:tab w:val="left" w:pos="851"/>
        </w:tabs>
        <w:ind w:left="851"/>
        <w:rPr>
          <w:sz w:val="24"/>
          <w:szCs w:val="24"/>
        </w:rPr>
      </w:pPr>
      <w:r>
        <w:rPr>
          <w:sz w:val="24"/>
          <w:szCs w:val="24"/>
        </w:rPr>
        <w:t>Der bør derfor gennemføres regelmæssig kontrol i form af blodtællinger.</w:t>
      </w:r>
    </w:p>
    <w:p w14:paraId="445A4AD1" w14:textId="77777777" w:rsidR="00C56A05" w:rsidRPr="006A69DD" w:rsidRDefault="00C56A05" w:rsidP="00C56A05">
      <w:pPr>
        <w:tabs>
          <w:tab w:val="left" w:pos="851"/>
        </w:tabs>
        <w:ind w:left="851"/>
        <w:rPr>
          <w:sz w:val="24"/>
          <w:szCs w:val="24"/>
        </w:rPr>
      </w:pPr>
    </w:p>
    <w:p w14:paraId="56F50FF0" w14:textId="77777777" w:rsidR="006A69DD" w:rsidRPr="006A69DD" w:rsidRDefault="006A69DD" w:rsidP="006A69DD">
      <w:pPr>
        <w:tabs>
          <w:tab w:val="left" w:pos="851"/>
        </w:tabs>
        <w:ind w:left="851"/>
        <w:rPr>
          <w:sz w:val="24"/>
          <w:szCs w:val="24"/>
        </w:rPr>
      </w:pPr>
      <w:proofErr w:type="spellStart"/>
      <w:r w:rsidRPr="006A69DD">
        <w:rPr>
          <w:sz w:val="24"/>
          <w:szCs w:val="24"/>
          <w:u w:val="single"/>
        </w:rPr>
        <w:t>Vidarabin</w:t>
      </w:r>
      <w:proofErr w:type="spellEnd"/>
    </w:p>
    <w:p w14:paraId="12714621" w14:textId="77777777" w:rsidR="006A69DD" w:rsidRPr="006A69DD" w:rsidRDefault="006A69DD" w:rsidP="006A69DD">
      <w:pPr>
        <w:tabs>
          <w:tab w:val="left" w:pos="851"/>
        </w:tabs>
        <w:ind w:left="851"/>
        <w:rPr>
          <w:sz w:val="24"/>
          <w:szCs w:val="24"/>
        </w:rPr>
      </w:pPr>
      <w:r w:rsidRPr="006A69DD">
        <w:rPr>
          <w:sz w:val="24"/>
          <w:szCs w:val="24"/>
        </w:rPr>
        <w:t xml:space="preserve">Evidens tyder på, at plasmahalveringstiden af </w:t>
      </w:r>
      <w:proofErr w:type="spellStart"/>
      <w:r w:rsidRPr="006A69DD">
        <w:rPr>
          <w:sz w:val="24"/>
          <w:szCs w:val="24"/>
        </w:rPr>
        <w:t>vidarabin</w:t>
      </w:r>
      <w:proofErr w:type="spellEnd"/>
      <w:r w:rsidRPr="006A69DD">
        <w:rPr>
          <w:sz w:val="24"/>
          <w:szCs w:val="24"/>
        </w:rPr>
        <w:t xml:space="preserve"> er øget ved tilstedeværelse af </w:t>
      </w:r>
      <w:proofErr w:type="spellStart"/>
      <w:r w:rsidRPr="006A69DD">
        <w:rPr>
          <w:sz w:val="24"/>
          <w:szCs w:val="24"/>
        </w:rPr>
        <w:t>allopurinol</w:t>
      </w:r>
      <w:proofErr w:type="spellEnd"/>
      <w:r w:rsidRPr="006A69DD">
        <w:rPr>
          <w:sz w:val="24"/>
          <w:szCs w:val="24"/>
        </w:rPr>
        <w:t>. Hvis disse to lægemidler gives samtidig, er det nødvendigt med ekstra opmærksomhed, for at opdage forstærkede toksiske virkninger.</w:t>
      </w:r>
    </w:p>
    <w:p w14:paraId="1E9C0E99" w14:textId="77777777" w:rsidR="006A69DD" w:rsidRPr="006A69DD" w:rsidRDefault="006A69DD" w:rsidP="006A69DD">
      <w:pPr>
        <w:tabs>
          <w:tab w:val="left" w:pos="851"/>
        </w:tabs>
        <w:ind w:left="851"/>
        <w:rPr>
          <w:sz w:val="24"/>
          <w:szCs w:val="24"/>
        </w:rPr>
      </w:pPr>
    </w:p>
    <w:p w14:paraId="63E8B64E" w14:textId="77777777" w:rsidR="006A69DD" w:rsidRPr="006A69DD" w:rsidRDefault="006A69DD" w:rsidP="006A69DD">
      <w:pPr>
        <w:tabs>
          <w:tab w:val="left" w:pos="851"/>
        </w:tabs>
        <w:ind w:left="851"/>
        <w:rPr>
          <w:sz w:val="24"/>
          <w:szCs w:val="24"/>
          <w:u w:val="single"/>
        </w:rPr>
      </w:pPr>
      <w:proofErr w:type="spellStart"/>
      <w:r w:rsidRPr="006A69DD">
        <w:rPr>
          <w:sz w:val="24"/>
          <w:szCs w:val="24"/>
          <w:u w:val="single"/>
        </w:rPr>
        <w:t>Ciclosporin</w:t>
      </w:r>
      <w:proofErr w:type="spellEnd"/>
    </w:p>
    <w:p w14:paraId="71A6CD69" w14:textId="77777777" w:rsidR="006A69DD" w:rsidRPr="006A69DD" w:rsidRDefault="006A69DD" w:rsidP="006A69DD">
      <w:pPr>
        <w:tabs>
          <w:tab w:val="left" w:pos="851"/>
        </w:tabs>
        <w:ind w:left="851"/>
        <w:rPr>
          <w:sz w:val="24"/>
          <w:szCs w:val="24"/>
        </w:rPr>
      </w:pPr>
      <w:r w:rsidRPr="006A69DD">
        <w:rPr>
          <w:sz w:val="24"/>
          <w:szCs w:val="24"/>
        </w:rPr>
        <w:t xml:space="preserve">Rapporter tyder på, at plasmakoncentrationen af </w:t>
      </w:r>
      <w:proofErr w:type="spellStart"/>
      <w:r w:rsidRPr="006A69DD">
        <w:rPr>
          <w:sz w:val="24"/>
          <w:szCs w:val="24"/>
        </w:rPr>
        <w:t>ciclosporin</w:t>
      </w:r>
      <w:proofErr w:type="spellEnd"/>
      <w:r w:rsidRPr="006A69DD">
        <w:rPr>
          <w:sz w:val="24"/>
          <w:szCs w:val="24"/>
        </w:rPr>
        <w:t xml:space="preserve"> kan øges ved samtidig behandling med </w:t>
      </w:r>
      <w:proofErr w:type="spellStart"/>
      <w:r w:rsidRPr="006A69DD">
        <w:rPr>
          <w:sz w:val="24"/>
          <w:szCs w:val="24"/>
        </w:rPr>
        <w:t>allopurinol</w:t>
      </w:r>
      <w:proofErr w:type="spellEnd"/>
      <w:r w:rsidRPr="006A69DD">
        <w:rPr>
          <w:sz w:val="24"/>
          <w:szCs w:val="24"/>
        </w:rPr>
        <w:t xml:space="preserve">. Muligheden for øget forekomst af </w:t>
      </w:r>
      <w:proofErr w:type="spellStart"/>
      <w:r w:rsidRPr="006A69DD">
        <w:rPr>
          <w:sz w:val="24"/>
          <w:szCs w:val="24"/>
        </w:rPr>
        <w:t>ciclosporintoxicitetskal</w:t>
      </w:r>
      <w:proofErr w:type="spellEnd"/>
      <w:r w:rsidRPr="006A69DD">
        <w:rPr>
          <w:sz w:val="24"/>
          <w:szCs w:val="24"/>
        </w:rPr>
        <w:t xml:space="preserve"> tages i betragtning, hvis lægemidlerne administreres samtidigt. </w:t>
      </w:r>
    </w:p>
    <w:p w14:paraId="272337BF" w14:textId="77777777" w:rsidR="006A69DD" w:rsidRPr="006A69DD" w:rsidRDefault="006A69DD" w:rsidP="006A69DD">
      <w:pPr>
        <w:tabs>
          <w:tab w:val="left" w:pos="851"/>
        </w:tabs>
        <w:ind w:left="851"/>
        <w:rPr>
          <w:sz w:val="24"/>
          <w:szCs w:val="24"/>
        </w:rPr>
      </w:pPr>
    </w:p>
    <w:p w14:paraId="0D1E64F2" w14:textId="77777777" w:rsidR="006A69DD" w:rsidRPr="006A69DD" w:rsidRDefault="006A69DD" w:rsidP="006A69DD">
      <w:pPr>
        <w:tabs>
          <w:tab w:val="left" w:pos="851"/>
        </w:tabs>
        <w:ind w:left="851"/>
        <w:rPr>
          <w:sz w:val="24"/>
          <w:szCs w:val="24"/>
          <w:u w:val="single"/>
        </w:rPr>
      </w:pPr>
      <w:proofErr w:type="spellStart"/>
      <w:r w:rsidRPr="006A69DD">
        <w:rPr>
          <w:sz w:val="24"/>
          <w:szCs w:val="24"/>
          <w:u w:val="single"/>
        </w:rPr>
        <w:t>Phenytoin</w:t>
      </w:r>
      <w:proofErr w:type="spellEnd"/>
    </w:p>
    <w:p w14:paraId="6213411F" w14:textId="77777777" w:rsidR="006A69DD" w:rsidRPr="006A69DD" w:rsidRDefault="006A69DD" w:rsidP="006A69DD">
      <w:pPr>
        <w:tabs>
          <w:tab w:val="left" w:pos="851"/>
        </w:tabs>
        <w:ind w:left="851"/>
        <w:rPr>
          <w:sz w:val="24"/>
          <w:szCs w:val="24"/>
        </w:rPr>
      </w:pPr>
      <w:proofErr w:type="spellStart"/>
      <w:r w:rsidRPr="006A69DD">
        <w:rPr>
          <w:sz w:val="24"/>
          <w:szCs w:val="24"/>
        </w:rPr>
        <w:t>Allopurinol</w:t>
      </w:r>
      <w:proofErr w:type="spellEnd"/>
      <w:r w:rsidRPr="006A69DD">
        <w:rPr>
          <w:sz w:val="24"/>
          <w:szCs w:val="24"/>
        </w:rPr>
        <w:t xml:space="preserve"> kan nedsætte metabolismen af </w:t>
      </w:r>
      <w:proofErr w:type="spellStart"/>
      <w:r w:rsidRPr="006A69DD">
        <w:rPr>
          <w:sz w:val="24"/>
          <w:szCs w:val="24"/>
        </w:rPr>
        <w:t>phenytoin</w:t>
      </w:r>
      <w:proofErr w:type="spellEnd"/>
      <w:r w:rsidRPr="006A69DD">
        <w:rPr>
          <w:sz w:val="24"/>
          <w:szCs w:val="24"/>
        </w:rPr>
        <w:t xml:space="preserve"> i leveren, men det vides ikke om dette har klinisk signifikans. </w:t>
      </w:r>
    </w:p>
    <w:p w14:paraId="17B63EB8" w14:textId="77777777" w:rsidR="006A69DD" w:rsidRPr="006A69DD" w:rsidRDefault="006A69DD" w:rsidP="006A69DD">
      <w:pPr>
        <w:tabs>
          <w:tab w:val="left" w:pos="851"/>
        </w:tabs>
        <w:ind w:left="851"/>
        <w:rPr>
          <w:sz w:val="24"/>
          <w:szCs w:val="24"/>
        </w:rPr>
      </w:pPr>
    </w:p>
    <w:p w14:paraId="4590E75E" w14:textId="77777777" w:rsidR="006A69DD" w:rsidRPr="006A69DD" w:rsidRDefault="006A69DD" w:rsidP="006A69DD">
      <w:pPr>
        <w:tabs>
          <w:tab w:val="left" w:pos="851"/>
        </w:tabs>
        <w:ind w:left="851"/>
        <w:rPr>
          <w:sz w:val="24"/>
          <w:szCs w:val="24"/>
        </w:rPr>
      </w:pPr>
      <w:proofErr w:type="spellStart"/>
      <w:r w:rsidRPr="006A69DD">
        <w:rPr>
          <w:sz w:val="24"/>
          <w:szCs w:val="24"/>
          <w:u w:val="single"/>
        </w:rPr>
        <w:t>Didanosin</w:t>
      </w:r>
      <w:proofErr w:type="spellEnd"/>
    </w:p>
    <w:p w14:paraId="6308E8C6" w14:textId="77777777" w:rsidR="006A69DD" w:rsidRPr="006A69DD" w:rsidRDefault="006A69DD" w:rsidP="006A69DD">
      <w:pPr>
        <w:tabs>
          <w:tab w:val="left" w:pos="851"/>
        </w:tabs>
        <w:ind w:left="851"/>
        <w:rPr>
          <w:sz w:val="24"/>
          <w:szCs w:val="24"/>
        </w:rPr>
      </w:pPr>
      <w:proofErr w:type="spellStart"/>
      <w:r w:rsidRPr="006A69DD">
        <w:rPr>
          <w:sz w:val="24"/>
          <w:szCs w:val="24"/>
        </w:rPr>
        <w:t>Allopurinol</w:t>
      </w:r>
      <w:proofErr w:type="spellEnd"/>
      <w:r w:rsidRPr="006A69DD">
        <w:rPr>
          <w:sz w:val="24"/>
          <w:szCs w:val="24"/>
        </w:rPr>
        <w:t xml:space="preserve"> kan ved samtidig administrering øge </w:t>
      </w:r>
      <w:proofErr w:type="spellStart"/>
      <w:r w:rsidRPr="006A69DD">
        <w:rPr>
          <w:sz w:val="24"/>
          <w:szCs w:val="24"/>
        </w:rPr>
        <w:t>didanosin</w:t>
      </w:r>
      <w:proofErr w:type="spellEnd"/>
      <w:r w:rsidRPr="006A69DD">
        <w:rPr>
          <w:sz w:val="24"/>
          <w:szCs w:val="24"/>
        </w:rPr>
        <w:t xml:space="preserve"> eksponering og dermed risikoen for </w:t>
      </w:r>
      <w:proofErr w:type="spellStart"/>
      <w:r w:rsidRPr="006A69DD">
        <w:rPr>
          <w:sz w:val="24"/>
          <w:szCs w:val="24"/>
        </w:rPr>
        <w:t>didanosin</w:t>
      </w:r>
      <w:proofErr w:type="spellEnd"/>
      <w:r w:rsidRPr="006A69DD">
        <w:rPr>
          <w:sz w:val="24"/>
          <w:szCs w:val="24"/>
        </w:rPr>
        <w:t xml:space="preserve">-relaterede bivirkninger, idet </w:t>
      </w:r>
      <w:proofErr w:type="spellStart"/>
      <w:r w:rsidRPr="006A69DD">
        <w:rPr>
          <w:sz w:val="24"/>
          <w:szCs w:val="24"/>
        </w:rPr>
        <w:t>xanthinoxidase</w:t>
      </w:r>
      <w:proofErr w:type="spellEnd"/>
      <w:r w:rsidRPr="006A69DD">
        <w:rPr>
          <w:sz w:val="24"/>
          <w:szCs w:val="24"/>
        </w:rPr>
        <w:t xml:space="preserve"> er involveret i </w:t>
      </w:r>
      <w:proofErr w:type="spellStart"/>
      <w:r w:rsidRPr="006A69DD">
        <w:rPr>
          <w:sz w:val="24"/>
          <w:szCs w:val="24"/>
        </w:rPr>
        <w:t>metaboliseringen</w:t>
      </w:r>
      <w:proofErr w:type="spellEnd"/>
      <w:r w:rsidRPr="006A69DD">
        <w:rPr>
          <w:sz w:val="24"/>
          <w:szCs w:val="24"/>
        </w:rPr>
        <w:t xml:space="preserve"> af </w:t>
      </w:r>
      <w:proofErr w:type="spellStart"/>
      <w:r w:rsidRPr="006A69DD">
        <w:rPr>
          <w:sz w:val="24"/>
          <w:szCs w:val="24"/>
        </w:rPr>
        <w:t>didanosin</w:t>
      </w:r>
      <w:proofErr w:type="spellEnd"/>
      <w:r w:rsidRPr="006A69DD">
        <w:rPr>
          <w:sz w:val="24"/>
          <w:szCs w:val="24"/>
        </w:rPr>
        <w:t xml:space="preserve">. Patienter bør overvåges nøje med hensyn til </w:t>
      </w:r>
      <w:proofErr w:type="spellStart"/>
      <w:r w:rsidRPr="006A69DD">
        <w:rPr>
          <w:sz w:val="24"/>
          <w:szCs w:val="24"/>
        </w:rPr>
        <w:t>didanosin</w:t>
      </w:r>
      <w:proofErr w:type="spellEnd"/>
      <w:r w:rsidRPr="006A69DD">
        <w:rPr>
          <w:sz w:val="24"/>
          <w:szCs w:val="24"/>
        </w:rPr>
        <w:t xml:space="preserve">-relaterede bivirkninger. </w:t>
      </w:r>
    </w:p>
    <w:p w14:paraId="67D6D5C9" w14:textId="77777777" w:rsidR="006A69DD" w:rsidRPr="006A69DD" w:rsidRDefault="006A69DD" w:rsidP="006A69DD">
      <w:pPr>
        <w:tabs>
          <w:tab w:val="left" w:pos="851"/>
        </w:tabs>
        <w:ind w:left="851"/>
        <w:rPr>
          <w:sz w:val="24"/>
          <w:szCs w:val="24"/>
        </w:rPr>
      </w:pPr>
    </w:p>
    <w:p w14:paraId="37D46267" w14:textId="77777777" w:rsidR="006A69DD" w:rsidRPr="006A69DD" w:rsidRDefault="006A69DD" w:rsidP="00710446">
      <w:pPr>
        <w:keepNext/>
        <w:tabs>
          <w:tab w:val="left" w:pos="851"/>
        </w:tabs>
        <w:ind w:left="851"/>
        <w:rPr>
          <w:sz w:val="24"/>
          <w:szCs w:val="24"/>
        </w:rPr>
      </w:pPr>
      <w:r w:rsidRPr="006A69DD">
        <w:rPr>
          <w:sz w:val="24"/>
          <w:szCs w:val="24"/>
          <w:u w:val="single"/>
        </w:rPr>
        <w:t>Aluminiumhydroxid</w:t>
      </w:r>
    </w:p>
    <w:p w14:paraId="69CFCFD9" w14:textId="77777777" w:rsidR="006A69DD" w:rsidRPr="006A69DD" w:rsidRDefault="006A69DD" w:rsidP="006A69DD">
      <w:pPr>
        <w:tabs>
          <w:tab w:val="left" w:pos="851"/>
        </w:tabs>
        <w:ind w:left="851"/>
        <w:rPr>
          <w:bCs/>
          <w:sz w:val="24"/>
          <w:szCs w:val="24"/>
        </w:rPr>
      </w:pPr>
      <w:proofErr w:type="spellStart"/>
      <w:r w:rsidRPr="006A69DD">
        <w:rPr>
          <w:bCs/>
          <w:sz w:val="24"/>
          <w:szCs w:val="24"/>
        </w:rPr>
        <w:t>Allopurinol</w:t>
      </w:r>
      <w:proofErr w:type="spellEnd"/>
      <w:r w:rsidRPr="006A69DD">
        <w:rPr>
          <w:bCs/>
          <w:sz w:val="24"/>
          <w:szCs w:val="24"/>
        </w:rPr>
        <w:t xml:space="preserve"> kan have nedsat virkning, hvis det tages samtidig med aluminiumhydroxid. Der bør være et mellemrum på mindst 3 timer mellem indtagelse af de to lægemidler.</w:t>
      </w:r>
    </w:p>
    <w:p w14:paraId="6465AE24" w14:textId="77777777" w:rsidR="006A69DD" w:rsidRPr="006A69DD" w:rsidRDefault="006A69DD" w:rsidP="006A69DD">
      <w:pPr>
        <w:tabs>
          <w:tab w:val="left" w:pos="851"/>
        </w:tabs>
        <w:ind w:left="851"/>
        <w:rPr>
          <w:bCs/>
          <w:sz w:val="24"/>
          <w:szCs w:val="24"/>
        </w:rPr>
      </w:pPr>
    </w:p>
    <w:p w14:paraId="2BD69404" w14:textId="77777777" w:rsidR="006A69DD" w:rsidRPr="006A69DD" w:rsidRDefault="006A69DD" w:rsidP="006A69DD">
      <w:pPr>
        <w:tabs>
          <w:tab w:val="left" w:pos="851"/>
        </w:tabs>
        <w:ind w:left="851"/>
        <w:rPr>
          <w:sz w:val="24"/>
          <w:szCs w:val="24"/>
        </w:rPr>
      </w:pPr>
      <w:proofErr w:type="spellStart"/>
      <w:r w:rsidRPr="006A69DD">
        <w:rPr>
          <w:sz w:val="24"/>
          <w:szCs w:val="24"/>
          <w:u w:val="single"/>
        </w:rPr>
        <w:t>Diuretika</w:t>
      </w:r>
      <w:proofErr w:type="spellEnd"/>
    </w:p>
    <w:p w14:paraId="61F9175F" w14:textId="77777777" w:rsidR="006A69DD" w:rsidRPr="006A69DD" w:rsidRDefault="006A69DD" w:rsidP="006A69DD">
      <w:pPr>
        <w:tabs>
          <w:tab w:val="left" w:pos="851"/>
        </w:tabs>
        <w:ind w:left="851"/>
        <w:rPr>
          <w:sz w:val="24"/>
          <w:szCs w:val="24"/>
        </w:rPr>
      </w:pPr>
      <w:r w:rsidRPr="006A69DD">
        <w:rPr>
          <w:sz w:val="24"/>
          <w:szCs w:val="24"/>
        </w:rPr>
        <w:t xml:space="preserve">Der er rapporteret interaktion mellem </w:t>
      </w:r>
      <w:proofErr w:type="spellStart"/>
      <w:r w:rsidRPr="006A69DD">
        <w:rPr>
          <w:sz w:val="24"/>
          <w:szCs w:val="24"/>
        </w:rPr>
        <w:t>allopurinol</w:t>
      </w:r>
      <w:proofErr w:type="spellEnd"/>
      <w:r w:rsidRPr="006A69DD">
        <w:rPr>
          <w:sz w:val="24"/>
          <w:szCs w:val="24"/>
        </w:rPr>
        <w:t xml:space="preserve"> og </w:t>
      </w:r>
      <w:proofErr w:type="spellStart"/>
      <w:r w:rsidRPr="006A69DD">
        <w:rPr>
          <w:sz w:val="24"/>
          <w:szCs w:val="24"/>
        </w:rPr>
        <w:t>furosemid</w:t>
      </w:r>
      <w:proofErr w:type="spellEnd"/>
      <w:r w:rsidRPr="006A69DD">
        <w:rPr>
          <w:sz w:val="24"/>
          <w:szCs w:val="24"/>
        </w:rPr>
        <w:t xml:space="preserve">, som resulterer i øgede serum urat- og </w:t>
      </w:r>
      <w:proofErr w:type="spellStart"/>
      <w:r w:rsidRPr="006A69DD">
        <w:rPr>
          <w:sz w:val="24"/>
          <w:szCs w:val="24"/>
        </w:rPr>
        <w:t>plasmaoxipurinolkoncentrationer</w:t>
      </w:r>
      <w:proofErr w:type="spellEnd"/>
      <w:r w:rsidRPr="006A69DD">
        <w:rPr>
          <w:sz w:val="24"/>
          <w:szCs w:val="24"/>
        </w:rPr>
        <w:t xml:space="preserve">. </w:t>
      </w:r>
    </w:p>
    <w:p w14:paraId="2C028103" w14:textId="77777777" w:rsidR="006A69DD" w:rsidRPr="006A69DD" w:rsidRDefault="006A69DD" w:rsidP="006A69DD">
      <w:pPr>
        <w:tabs>
          <w:tab w:val="left" w:pos="851"/>
        </w:tabs>
        <w:ind w:left="851"/>
        <w:rPr>
          <w:sz w:val="24"/>
          <w:szCs w:val="24"/>
        </w:rPr>
      </w:pPr>
      <w:r w:rsidRPr="006A69DD">
        <w:rPr>
          <w:sz w:val="24"/>
          <w:szCs w:val="24"/>
        </w:rPr>
        <w:t xml:space="preserve">Der er rapporteret en øget risiko for overfølsomhed, når </w:t>
      </w:r>
      <w:proofErr w:type="spellStart"/>
      <w:r w:rsidRPr="006A69DD">
        <w:rPr>
          <w:sz w:val="24"/>
          <w:szCs w:val="24"/>
        </w:rPr>
        <w:t>allopurinol</w:t>
      </w:r>
      <w:proofErr w:type="spellEnd"/>
      <w:r w:rsidRPr="006A69DD">
        <w:rPr>
          <w:sz w:val="24"/>
          <w:szCs w:val="24"/>
        </w:rPr>
        <w:t xml:space="preserve"> gives sammen med </w:t>
      </w:r>
      <w:proofErr w:type="spellStart"/>
      <w:r w:rsidRPr="006A69DD">
        <w:rPr>
          <w:sz w:val="24"/>
          <w:szCs w:val="24"/>
        </w:rPr>
        <w:t>diuretika</w:t>
      </w:r>
      <w:proofErr w:type="spellEnd"/>
      <w:r w:rsidRPr="006A69DD">
        <w:rPr>
          <w:sz w:val="24"/>
          <w:szCs w:val="24"/>
        </w:rPr>
        <w:t xml:space="preserve">, i særdeleshed </w:t>
      </w:r>
      <w:proofErr w:type="spellStart"/>
      <w:r w:rsidRPr="006A69DD">
        <w:rPr>
          <w:sz w:val="24"/>
          <w:szCs w:val="24"/>
        </w:rPr>
        <w:t>thiazider</w:t>
      </w:r>
      <w:proofErr w:type="spellEnd"/>
      <w:r w:rsidRPr="006A69DD">
        <w:rPr>
          <w:sz w:val="24"/>
          <w:szCs w:val="24"/>
        </w:rPr>
        <w:t xml:space="preserve">, og især ved nedsat nyrefunktion. </w:t>
      </w:r>
    </w:p>
    <w:p w14:paraId="771C2056" w14:textId="77777777" w:rsidR="006A69DD" w:rsidRPr="006A69DD" w:rsidRDefault="006A69DD" w:rsidP="006A69DD">
      <w:pPr>
        <w:tabs>
          <w:tab w:val="left" w:pos="851"/>
        </w:tabs>
        <w:ind w:left="851"/>
        <w:rPr>
          <w:sz w:val="24"/>
          <w:szCs w:val="24"/>
        </w:rPr>
      </w:pPr>
      <w:r w:rsidRPr="006A69DD">
        <w:rPr>
          <w:sz w:val="24"/>
          <w:szCs w:val="24"/>
        </w:rPr>
        <w:t xml:space="preserve"> </w:t>
      </w:r>
    </w:p>
    <w:p w14:paraId="0D1171B1" w14:textId="77777777" w:rsidR="006A69DD" w:rsidRPr="006A69DD" w:rsidRDefault="006A69DD" w:rsidP="006A69DD">
      <w:pPr>
        <w:tabs>
          <w:tab w:val="left" w:pos="851"/>
        </w:tabs>
        <w:ind w:left="851"/>
        <w:rPr>
          <w:sz w:val="24"/>
          <w:szCs w:val="24"/>
          <w:u w:val="single"/>
        </w:rPr>
      </w:pPr>
      <w:proofErr w:type="spellStart"/>
      <w:r w:rsidRPr="006A69DD">
        <w:rPr>
          <w:sz w:val="24"/>
          <w:szCs w:val="24"/>
          <w:u w:val="single"/>
        </w:rPr>
        <w:t>Angiotensin</w:t>
      </w:r>
      <w:proofErr w:type="spellEnd"/>
      <w:r w:rsidRPr="006A69DD">
        <w:rPr>
          <w:sz w:val="24"/>
          <w:szCs w:val="24"/>
          <w:u w:val="single"/>
        </w:rPr>
        <w:t xml:space="preserve">-konverterings-enzym (ACE) </w:t>
      </w:r>
      <w:proofErr w:type="spellStart"/>
      <w:r w:rsidRPr="006A69DD">
        <w:rPr>
          <w:sz w:val="24"/>
          <w:szCs w:val="24"/>
          <w:u w:val="single"/>
        </w:rPr>
        <w:t>hæmmere</w:t>
      </w:r>
      <w:proofErr w:type="spellEnd"/>
    </w:p>
    <w:p w14:paraId="71433CE2" w14:textId="77777777" w:rsidR="006A69DD" w:rsidRPr="006A69DD" w:rsidRDefault="006A69DD" w:rsidP="006A69DD">
      <w:pPr>
        <w:tabs>
          <w:tab w:val="left" w:pos="851"/>
        </w:tabs>
        <w:ind w:left="851"/>
        <w:rPr>
          <w:sz w:val="24"/>
          <w:szCs w:val="24"/>
        </w:rPr>
      </w:pPr>
      <w:r w:rsidRPr="006A69DD">
        <w:rPr>
          <w:sz w:val="24"/>
          <w:szCs w:val="24"/>
        </w:rPr>
        <w:t xml:space="preserve">Der er rapporteret risiko for overfølsomhedsreaktioner, når </w:t>
      </w:r>
      <w:proofErr w:type="spellStart"/>
      <w:r w:rsidRPr="006A69DD">
        <w:rPr>
          <w:sz w:val="24"/>
          <w:szCs w:val="24"/>
        </w:rPr>
        <w:t>allopurinol</w:t>
      </w:r>
      <w:proofErr w:type="spellEnd"/>
      <w:r w:rsidRPr="006A69DD">
        <w:rPr>
          <w:sz w:val="24"/>
          <w:szCs w:val="24"/>
        </w:rPr>
        <w:t xml:space="preserve"> gives samtidig med ACE-</w:t>
      </w:r>
      <w:proofErr w:type="spellStart"/>
      <w:r w:rsidRPr="006A69DD">
        <w:rPr>
          <w:sz w:val="24"/>
          <w:szCs w:val="24"/>
        </w:rPr>
        <w:t>hæmmere</w:t>
      </w:r>
      <w:proofErr w:type="spellEnd"/>
      <w:r w:rsidRPr="006A69DD">
        <w:rPr>
          <w:sz w:val="24"/>
          <w:szCs w:val="24"/>
        </w:rPr>
        <w:t xml:space="preserve">, såsom </w:t>
      </w:r>
      <w:proofErr w:type="spellStart"/>
      <w:r w:rsidRPr="006A69DD">
        <w:rPr>
          <w:sz w:val="24"/>
          <w:szCs w:val="24"/>
        </w:rPr>
        <w:t>captopril</w:t>
      </w:r>
      <w:proofErr w:type="spellEnd"/>
      <w:r w:rsidRPr="006A69DD">
        <w:rPr>
          <w:sz w:val="24"/>
          <w:szCs w:val="24"/>
        </w:rPr>
        <w:t xml:space="preserve">, især ved nedsat nyrefunktion og kronisk nyresvigt. </w:t>
      </w:r>
    </w:p>
    <w:p w14:paraId="3B83A309" w14:textId="77777777" w:rsidR="009260DE" w:rsidRPr="00C84483" w:rsidRDefault="009260DE" w:rsidP="009260DE">
      <w:pPr>
        <w:tabs>
          <w:tab w:val="left" w:pos="851"/>
        </w:tabs>
        <w:ind w:left="851"/>
        <w:rPr>
          <w:sz w:val="24"/>
          <w:szCs w:val="24"/>
        </w:rPr>
      </w:pPr>
    </w:p>
    <w:p w14:paraId="441270B4"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C56A05">
        <w:rPr>
          <w:b/>
          <w:sz w:val="24"/>
          <w:szCs w:val="24"/>
        </w:rPr>
        <w:t>Fertilitet, g</w:t>
      </w:r>
      <w:r w:rsidRPr="00C84483">
        <w:rPr>
          <w:b/>
          <w:sz w:val="24"/>
          <w:szCs w:val="24"/>
        </w:rPr>
        <w:t>raviditet og amning</w:t>
      </w:r>
    </w:p>
    <w:p w14:paraId="127A7A77" w14:textId="77777777" w:rsidR="00B63560" w:rsidRPr="00B63560" w:rsidRDefault="00B63560" w:rsidP="00B63560">
      <w:pPr>
        <w:tabs>
          <w:tab w:val="left" w:pos="851"/>
        </w:tabs>
        <w:ind w:left="851"/>
        <w:rPr>
          <w:sz w:val="24"/>
          <w:szCs w:val="24"/>
        </w:rPr>
      </w:pPr>
    </w:p>
    <w:p w14:paraId="7FB8EF3C" w14:textId="77777777" w:rsidR="00B63560" w:rsidRPr="00B63560" w:rsidRDefault="00B63560" w:rsidP="00B63560">
      <w:pPr>
        <w:tabs>
          <w:tab w:val="left" w:pos="851"/>
        </w:tabs>
        <w:ind w:left="851"/>
        <w:rPr>
          <w:sz w:val="24"/>
          <w:szCs w:val="24"/>
          <w:u w:val="single"/>
        </w:rPr>
      </w:pPr>
      <w:r w:rsidRPr="00B63560">
        <w:rPr>
          <w:sz w:val="24"/>
          <w:szCs w:val="24"/>
          <w:u w:val="single"/>
        </w:rPr>
        <w:lastRenderedPageBreak/>
        <w:t>Graviditet</w:t>
      </w:r>
    </w:p>
    <w:p w14:paraId="74BEBFFD" w14:textId="77777777" w:rsidR="00B63560" w:rsidRPr="00B63560" w:rsidRDefault="00B63560" w:rsidP="00B63560">
      <w:pPr>
        <w:tabs>
          <w:tab w:val="left" w:pos="851"/>
        </w:tabs>
        <w:ind w:left="851"/>
        <w:rPr>
          <w:sz w:val="24"/>
          <w:szCs w:val="24"/>
        </w:rPr>
      </w:pPr>
      <w:r w:rsidRPr="00B63560">
        <w:rPr>
          <w:sz w:val="24"/>
          <w:szCs w:val="24"/>
        </w:rPr>
        <w:t xml:space="preserve">Der er ingen eller utilstrækkelige data fra anvendelsen af </w:t>
      </w:r>
      <w:proofErr w:type="spellStart"/>
      <w:r w:rsidRPr="00B63560">
        <w:rPr>
          <w:sz w:val="24"/>
          <w:szCs w:val="24"/>
        </w:rPr>
        <w:t>allopurinol</w:t>
      </w:r>
      <w:proofErr w:type="spellEnd"/>
      <w:r w:rsidRPr="00B63560">
        <w:rPr>
          <w:sz w:val="24"/>
          <w:szCs w:val="24"/>
        </w:rPr>
        <w:t xml:space="preserve"> til gravide kvinder. Dyreforsøg har påvist reproduktionstoksicitet (se pkt. 5.3). </w:t>
      </w:r>
    </w:p>
    <w:p w14:paraId="54D83C07" w14:textId="77777777" w:rsidR="00B63560" w:rsidRPr="00B63560" w:rsidRDefault="00B63560" w:rsidP="00B63560">
      <w:pPr>
        <w:tabs>
          <w:tab w:val="left" w:pos="851"/>
        </w:tabs>
        <w:ind w:left="851"/>
        <w:rPr>
          <w:sz w:val="24"/>
          <w:szCs w:val="24"/>
        </w:rPr>
      </w:pPr>
      <w:r w:rsidRPr="00B63560">
        <w:rPr>
          <w:sz w:val="24"/>
          <w:szCs w:val="24"/>
        </w:rPr>
        <w:t xml:space="preserve">Siden </w:t>
      </w:r>
      <w:proofErr w:type="spellStart"/>
      <w:r w:rsidRPr="00B63560">
        <w:rPr>
          <w:sz w:val="24"/>
          <w:szCs w:val="24"/>
        </w:rPr>
        <w:t>allopurinol</w:t>
      </w:r>
      <w:proofErr w:type="spellEnd"/>
      <w:r w:rsidRPr="00B63560">
        <w:rPr>
          <w:sz w:val="24"/>
          <w:szCs w:val="24"/>
        </w:rPr>
        <w:t xml:space="preserve"> interagerer med </w:t>
      </w:r>
      <w:proofErr w:type="spellStart"/>
      <w:r w:rsidRPr="00B63560">
        <w:rPr>
          <w:sz w:val="24"/>
          <w:szCs w:val="24"/>
        </w:rPr>
        <w:t>purinmetabolismen</w:t>
      </w:r>
      <w:proofErr w:type="spellEnd"/>
      <w:r w:rsidRPr="00B63560">
        <w:rPr>
          <w:sz w:val="24"/>
          <w:szCs w:val="24"/>
        </w:rPr>
        <w:t xml:space="preserve"> og den potentielle risiko for mennesker endnu ikke kendes, bør </w:t>
      </w:r>
      <w:proofErr w:type="spellStart"/>
      <w:r w:rsidRPr="00B63560">
        <w:rPr>
          <w:sz w:val="24"/>
          <w:szCs w:val="24"/>
        </w:rPr>
        <w:t>allopurinol</w:t>
      </w:r>
      <w:proofErr w:type="spellEnd"/>
      <w:r w:rsidRPr="00B63560">
        <w:rPr>
          <w:sz w:val="24"/>
          <w:szCs w:val="24"/>
        </w:rPr>
        <w:t xml:space="preserve"> kun anvendes under graviditet hvor der ikke findes et mere sikkert alternativ, og hvor sygdommen i sig selv medfører risiko for enten moderen eller barnet. En ultralydsscanning bør udføres i løbet af det første trimester af en ikke-planlagt graviditet for at bekræfte en normal fosterudvikling. </w:t>
      </w:r>
    </w:p>
    <w:p w14:paraId="0683C0C6" w14:textId="77777777" w:rsidR="00B63560" w:rsidRPr="00B63560" w:rsidRDefault="00B63560" w:rsidP="00B63560">
      <w:pPr>
        <w:tabs>
          <w:tab w:val="left" w:pos="851"/>
        </w:tabs>
        <w:ind w:left="851"/>
        <w:rPr>
          <w:sz w:val="24"/>
          <w:szCs w:val="24"/>
        </w:rPr>
      </w:pPr>
    </w:p>
    <w:p w14:paraId="07871272" w14:textId="77777777" w:rsidR="00B63560" w:rsidRPr="00B63560" w:rsidRDefault="00B63560" w:rsidP="00B63560">
      <w:pPr>
        <w:tabs>
          <w:tab w:val="left" w:pos="851"/>
        </w:tabs>
        <w:ind w:left="851"/>
        <w:rPr>
          <w:sz w:val="24"/>
          <w:szCs w:val="24"/>
          <w:u w:val="single"/>
        </w:rPr>
      </w:pPr>
      <w:r w:rsidRPr="00B63560">
        <w:rPr>
          <w:sz w:val="24"/>
          <w:szCs w:val="24"/>
          <w:u w:val="single"/>
        </w:rPr>
        <w:t>Amning</w:t>
      </w:r>
    </w:p>
    <w:p w14:paraId="63DB60D3" w14:textId="77777777" w:rsidR="00C56A05" w:rsidRDefault="00B63560" w:rsidP="00B63560">
      <w:pPr>
        <w:tabs>
          <w:tab w:val="left" w:pos="851"/>
        </w:tabs>
        <w:ind w:left="851"/>
        <w:rPr>
          <w:sz w:val="24"/>
          <w:szCs w:val="24"/>
        </w:rPr>
      </w:pPr>
      <w:proofErr w:type="spellStart"/>
      <w:r w:rsidRPr="00B63560">
        <w:rPr>
          <w:sz w:val="24"/>
          <w:szCs w:val="24"/>
        </w:rPr>
        <w:t>Allopurinol</w:t>
      </w:r>
      <w:proofErr w:type="spellEnd"/>
      <w:r w:rsidRPr="00B63560">
        <w:rPr>
          <w:sz w:val="24"/>
          <w:szCs w:val="24"/>
        </w:rPr>
        <w:t xml:space="preserve"> og dets metabolit </w:t>
      </w:r>
      <w:proofErr w:type="spellStart"/>
      <w:r w:rsidRPr="00B63560">
        <w:rPr>
          <w:sz w:val="24"/>
          <w:szCs w:val="24"/>
        </w:rPr>
        <w:t>oxipurinol</w:t>
      </w:r>
      <w:proofErr w:type="spellEnd"/>
      <w:r w:rsidRPr="00B63560">
        <w:rPr>
          <w:sz w:val="24"/>
          <w:szCs w:val="24"/>
        </w:rPr>
        <w:t xml:space="preserve"> udskilles i human modermælk. </w:t>
      </w:r>
      <w:r w:rsidR="00C56A05">
        <w:rPr>
          <w:sz w:val="24"/>
          <w:szCs w:val="24"/>
        </w:rPr>
        <w:t xml:space="preserve">Det frarådes at anvende </w:t>
      </w:r>
      <w:proofErr w:type="spellStart"/>
      <w:r w:rsidR="00C56A05">
        <w:rPr>
          <w:sz w:val="24"/>
          <w:szCs w:val="24"/>
        </w:rPr>
        <w:t>allopurinol</w:t>
      </w:r>
      <w:proofErr w:type="spellEnd"/>
      <w:r w:rsidR="00C56A05">
        <w:rPr>
          <w:sz w:val="24"/>
          <w:szCs w:val="24"/>
        </w:rPr>
        <w:t xml:space="preserve"> under amning.</w:t>
      </w:r>
    </w:p>
    <w:p w14:paraId="721E6E71" w14:textId="77777777" w:rsidR="00C56A05" w:rsidRDefault="00C56A05" w:rsidP="00B63560">
      <w:pPr>
        <w:tabs>
          <w:tab w:val="left" w:pos="851"/>
        </w:tabs>
        <w:ind w:left="851"/>
        <w:rPr>
          <w:sz w:val="24"/>
          <w:szCs w:val="24"/>
        </w:rPr>
      </w:pPr>
    </w:p>
    <w:p w14:paraId="147FE58E" w14:textId="3E8B5BD2" w:rsidR="00B63560" w:rsidRPr="00B63560" w:rsidRDefault="00B63560" w:rsidP="00B63560">
      <w:pPr>
        <w:tabs>
          <w:tab w:val="left" w:pos="851"/>
        </w:tabs>
        <w:ind w:left="851"/>
        <w:rPr>
          <w:sz w:val="24"/>
          <w:szCs w:val="24"/>
        </w:rPr>
      </w:pPr>
      <w:r w:rsidRPr="00B63560">
        <w:rPr>
          <w:sz w:val="24"/>
          <w:szCs w:val="24"/>
        </w:rPr>
        <w:t>Det skal besluttes</w:t>
      </w:r>
      <w:r w:rsidR="00655868">
        <w:rPr>
          <w:sz w:val="24"/>
          <w:szCs w:val="24"/>
        </w:rPr>
        <w:t>,</w:t>
      </w:r>
      <w:r w:rsidRPr="00B63560">
        <w:rPr>
          <w:sz w:val="24"/>
          <w:szCs w:val="24"/>
        </w:rPr>
        <w:t xml:space="preserve"> om amningen eller behandlingen med </w:t>
      </w:r>
      <w:proofErr w:type="spellStart"/>
      <w:r w:rsidRPr="00B63560">
        <w:rPr>
          <w:sz w:val="24"/>
          <w:szCs w:val="24"/>
        </w:rPr>
        <w:t>allopurinol</w:t>
      </w:r>
      <w:proofErr w:type="spellEnd"/>
      <w:r w:rsidRPr="00B63560">
        <w:rPr>
          <w:sz w:val="24"/>
          <w:szCs w:val="24"/>
        </w:rPr>
        <w:t xml:space="preserve"> skal ophøre, idet der tages højde for fordelene ved amning for barnet i forhold til de terapeutiske fordele</w:t>
      </w:r>
      <w:r w:rsidR="0063080B">
        <w:rPr>
          <w:sz w:val="24"/>
          <w:szCs w:val="24"/>
        </w:rPr>
        <w:t xml:space="preserve"> </w:t>
      </w:r>
      <w:r w:rsidRPr="00B63560">
        <w:rPr>
          <w:sz w:val="24"/>
          <w:szCs w:val="24"/>
        </w:rPr>
        <w:t xml:space="preserve">for moderen. </w:t>
      </w:r>
    </w:p>
    <w:p w14:paraId="09963FD9" w14:textId="77777777" w:rsidR="009260DE" w:rsidRPr="00C84483" w:rsidRDefault="009260DE" w:rsidP="009260DE">
      <w:pPr>
        <w:tabs>
          <w:tab w:val="left" w:pos="851"/>
        </w:tabs>
        <w:ind w:left="851"/>
        <w:rPr>
          <w:sz w:val="24"/>
          <w:szCs w:val="24"/>
        </w:rPr>
      </w:pPr>
    </w:p>
    <w:p w14:paraId="641C1157"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C56A05">
        <w:rPr>
          <w:b/>
          <w:sz w:val="24"/>
          <w:szCs w:val="24"/>
        </w:rPr>
        <w:t>og</w:t>
      </w:r>
      <w:r w:rsidRPr="00C84483">
        <w:rPr>
          <w:b/>
          <w:sz w:val="24"/>
          <w:szCs w:val="24"/>
        </w:rPr>
        <w:t xml:space="preserve"> betjene maskiner</w:t>
      </w:r>
    </w:p>
    <w:p w14:paraId="23D22893" w14:textId="77777777" w:rsidR="00A27A10" w:rsidRPr="00A27A10" w:rsidRDefault="00A27A10" w:rsidP="00A27A10">
      <w:pPr>
        <w:tabs>
          <w:tab w:val="left" w:pos="851"/>
        </w:tabs>
        <w:ind w:left="851"/>
        <w:rPr>
          <w:sz w:val="24"/>
          <w:szCs w:val="24"/>
        </w:rPr>
      </w:pPr>
      <w:r w:rsidRPr="00A27A10">
        <w:rPr>
          <w:sz w:val="24"/>
          <w:szCs w:val="24"/>
        </w:rPr>
        <w:t>Ikke mærkning</w:t>
      </w:r>
      <w:r>
        <w:rPr>
          <w:sz w:val="24"/>
          <w:szCs w:val="24"/>
        </w:rPr>
        <w:t>.</w:t>
      </w:r>
    </w:p>
    <w:p w14:paraId="506B4D71" w14:textId="77777777" w:rsidR="00A27A10" w:rsidRPr="00A27A10" w:rsidRDefault="00A27A10" w:rsidP="00A27A10">
      <w:pPr>
        <w:tabs>
          <w:tab w:val="left" w:pos="851"/>
        </w:tabs>
        <w:ind w:left="851"/>
        <w:rPr>
          <w:sz w:val="24"/>
          <w:szCs w:val="24"/>
        </w:rPr>
      </w:pPr>
      <w:proofErr w:type="spellStart"/>
      <w:r w:rsidRPr="00A27A10">
        <w:rPr>
          <w:sz w:val="24"/>
          <w:szCs w:val="24"/>
        </w:rPr>
        <w:t>Allopurinol</w:t>
      </w:r>
      <w:proofErr w:type="spellEnd"/>
      <w:r w:rsidRPr="00A27A10">
        <w:rPr>
          <w:sz w:val="24"/>
          <w:szCs w:val="24"/>
        </w:rPr>
        <w:t xml:space="preserve"> påvirker i moderat grad evnen til at føre motorkøretøj og betjene maskiner.</w:t>
      </w:r>
    </w:p>
    <w:p w14:paraId="3F86D12D" w14:textId="77777777" w:rsidR="00A27A10" w:rsidRPr="00A27A10" w:rsidRDefault="00A27A10" w:rsidP="00A27A10">
      <w:pPr>
        <w:tabs>
          <w:tab w:val="left" w:pos="851"/>
        </w:tabs>
        <w:ind w:left="851"/>
        <w:rPr>
          <w:sz w:val="24"/>
          <w:szCs w:val="24"/>
        </w:rPr>
      </w:pPr>
      <w:r w:rsidRPr="00A27A10">
        <w:rPr>
          <w:sz w:val="24"/>
          <w:szCs w:val="24"/>
        </w:rPr>
        <w:t xml:space="preserve">Eftersom bivirkninger såsom </w:t>
      </w:r>
      <w:proofErr w:type="spellStart"/>
      <w:r w:rsidRPr="00A27A10">
        <w:rPr>
          <w:sz w:val="24"/>
          <w:szCs w:val="24"/>
        </w:rPr>
        <w:t>somnolens</w:t>
      </w:r>
      <w:proofErr w:type="spellEnd"/>
      <w:r w:rsidRPr="00A27A10">
        <w:rPr>
          <w:sz w:val="24"/>
          <w:szCs w:val="24"/>
        </w:rPr>
        <w:t xml:space="preserve">, </w:t>
      </w:r>
      <w:proofErr w:type="spellStart"/>
      <w:r w:rsidRPr="00A27A10">
        <w:rPr>
          <w:sz w:val="24"/>
          <w:szCs w:val="24"/>
        </w:rPr>
        <w:t>vertigo</w:t>
      </w:r>
      <w:proofErr w:type="spellEnd"/>
      <w:r w:rsidRPr="00A27A10">
        <w:rPr>
          <w:sz w:val="24"/>
          <w:szCs w:val="24"/>
        </w:rPr>
        <w:t xml:space="preserve"> og </w:t>
      </w:r>
      <w:proofErr w:type="spellStart"/>
      <w:r w:rsidRPr="00A27A10">
        <w:rPr>
          <w:sz w:val="24"/>
          <w:szCs w:val="24"/>
        </w:rPr>
        <w:t>ataksi</w:t>
      </w:r>
      <w:proofErr w:type="spellEnd"/>
      <w:r w:rsidRPr="00A27A10">
        <w:rPr>
          <w:sz w:val="24"/>
          <w:szCs w:val="24"/>
        </w:rPr>
        <w:t xml:space="preserve"> er rapporteret hos patienter der tager </w:t>
      </w:r>
      <w:proofErr w:type="spellStart"/>
      <w:r w:rsidRPr="00A27A10">
        <w:rPr>
          <w:sz w:val="24"/>
          <w:szCs w:val="24"/>
        </w:rPr>
        <w:t>allopurinol</w:t>
      </w:r>
      <w:proofErr w:type="spellEnd"/>
      <w:r w:rsidRPr="00A27A10">
        <w:rPr>
          <w:sz w:val="24"/>
          <w:szCs w:val="24"/>
        </w:rPr>
        <w:t xml:space="preserve">, bør patienter udvise forsigtighed før de kører bil, betjener maskiner eller deltager i farlige aktiviteter indtil de inden for rimelighedens grænse er sikre på, at </w:t>
      </w:r>
      <w:proofErr w:type="spellStart"/>
      <w:r w:rsidRPr="00A27A10">
        <w:rPr>
          <w:sz w:val="24"/>
          <w:szCs w:val="24"/>
        </w:rPr>
        <w:t>allopurinol</w:t>
      </w:r>
      <w:proofErr w:type="spellEnd"/>
      <w:r w:rsidRPr="00A27A10">
        <w:rPr>
          <w:sz w:val="24"/>
          <w:szCs w:val="24"/>
        </w:rPr>
        <w:t xml:space="preserve"> ikke påvirker ydeevnen negativt. </w:t>
      </w:r>
    </w:p>
    <w:p w14:paraId="32137F1E" w14:textId="77777777" w:rsidR="009260DE" w:rsidRPr="00C84483" w:rsidRDefault="009260DE" w:rsidP="009260DE">
      <w:pPr>
        <w:tabs>
          <w:tab w:val="left" w:pos="851"/>
        </w:tabs>
        <w:ind w:left="851"/>
        <w:rPr>
          <w:sz w:val="24"/>
          <w:szCs w:val="24"/>
        </w:rPr>
      </w:pPr>
    </w:p>
    <w:p w14:paraId="31007E96"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7B050E6A" w14:textId="77777777" w:rsidR="004E6026" w:rsidRPr="001A6485" w:rsidRDefault="004E6026" w:rsidP="001A6485">
      <w:pPr>
        <w:ind w:left="851"/>
        <w:rPr>
          <w:b/>
          <w:sz w:val="24"/>
          <w:szCs w:val="24"/>
          <w:lang w:eastAsia="da-DK"/>
        </w:rPr>
      </w:pPr>
      <w:r w:rsidRPr="001A6485">
        <w:rPr>
          <w:b/>
          <w:sz w:val="24"/>
          <w:szCs w:val="24"/>
        </w:rPr>
        <w:tab/>
      </w:r>
    </w:p>
    <w:p w14:paraId="0C06F51E" w14:textId="77777777" w:rsidR="004E6026" w:rsidRPr="001A6485" w:rsidRDefault="004E6026" w:rsidP="001A6485">
      <w:pPr>
        <w:ind w:left="851"/>
        <w:rPr>
          <w:bCs/>
          <w:sz w:val="24"/>
          <w:szCs w:val="24"/>
          <w:u w:val="single"/>
        </w:rPr>
      </w:pPr>
      <w:r w:rsidRPr="001A6485">
        <w:rPr>
          <w:bCs/>
          <w:sz w:val="24"/>
          <w:szCs w:val="24"/>
          <w:u w:val="single"/>
        </w:rPr>
        <w:t>Evalueringen af bivirkninger er baseret på de følgende frekvenser</w:t>
      </w:r>
    </w:p>
    <w:tbl>
      <w:tblPr>
        <w:tblW w:w="8970" w:type="dxa"/>
        <w:tblInd w:w="817" w:type="dxa"/>
        <w:tblLayout w:type="fixed"/>
        <w:tblLook w:val="04A0" w:firstRow="1" w:lastRow="0" w:firstColumn="1" w:lastColumn="0" w:noHBand="0" w:noVBand="1"/>
      </w:tblPr>
      <w:tblGrid>
        <w:gridCol w:w="8970"/>
      </w:tblGrid>
      <w:tr w:rsidR="004E6026" w:rsidRPr="001A6485" w14:paraId="5D8536E4" w14:textId="77777777" w:rsidTr="004E6026">
        <w:tc>
          <w:tcPr>
            <w:tcW w:w="8965" w:type="dxa"/>
            <w:hideMark/>
          </w:tcPr>
          <w:p w14:paraId="01F63613" w14:textId="77777777" w:rsidR="004E6026" w:rsidRPr="001A6485" w:rsidRDefault="004E6026" w:rsidP="001A6485">
            <w:pPr>
              <w:pStyle w:val="Slutnotetekst"/>
              <w:tabs>
                <w:tab w:val="clear" w:pos="567"/>
                <w:tab w:val="left" w:pos="1304"/>
              </w:tabs>
              <w:ind w:left="-79"/>
              <w:rPr>
                <w:noProof/>
                <w:sz w:val="24"/>
                <w:szCs w:val="24"/>
                <w:lang w:val="da-DK"/>
              </w:rPr>
            </w:pPr>
            <w:r w:rsidRPr="001A6485">
              <w:rPr>
                <w:noProof/>
                <w:sz w:val="24"/>
                <w:szCs w:val="24"/>
                <w:lang w:val="da-DK"/>
              </w:rPr>
              <w:t>Meget almindelig (</w:t>
            </w:r>
            <w:r w:rsidRPr="001A6485">
              <w:rPr>
                <w:noProof/>
                <w:sz w:val="24"/>
                <w:szCs w:val="24"/>
                <w:lang w:val="da-DK"/>
              </w:rPr>
              <w:sym w:font="Symbol" w:char="F0B3"/>
            </w:r>
            <w:r w:rsidRPr="001A6485">
              <w:rPr>
                <w:noProof/>
                <w:sz w:val="24"/>
                <w:szCs w:val="24"/>
                <w:lang w:val="da-DK"/>
              </w:rPr>
              <w:t>1/10)</w:t>
            </w:r>
          </w:p>
        </w:tc>
      </w:tr>
      <w:tr w:rsidR="004E6026" w:rsidRPr="001A6485" w14:paraId="06FA9AC8" w14:textId="77777777" w:rsidTr="004E6026">
        <w:tc>
          <w:tcPr>
            <w:tcW w:w="8965" w:type="dxa"/>
            <w:hideMark/>
          </w:tcPr>
          <w:p w14:paraId="5A97A750" w14:textId="77777777" w:rsidR="004E6026" w:rsidRPr="001A6485" w:rsidRDefault="004E6026" w:rsidP="001A6485">
            <w:pPr>
              <w:pStyle w:val="Slutnotetekst"/>
              <w:tabs>
                <w:tab w:val="clear" w:pos="567"/>
                <w:tab w:val="left" w:pos="1304"/>
              </w:tabs>
              <w:ind w:left="-79"/>
              <w:rPr>
                <w:noProof/>
                <w:sz w:val="24"/>
                <w:szCs w:val="24"/>
                <w:lang w:val="da-DK"/>
              </w:rPr>
            </w:pPr>
            <w:r w:rsidRPr="001A6485">
              <w:rPr>
                <w:noProof/>
                <w:sz w:val="24"/>
                <w:szCs w:val="24"/>
                <w:lang w:val="da-DK"/>
              </w:rPr>
              <w:t>Almindelig (</w:t>
            </w:r>
            <w:r w:rsidRPr="001A6485">
              <w:rPr>
                <w:noProof/>
                <w:sz w:val="24"/>
                <w:szCs w:val="24"/>
                <w:lang w:val="da-DK"/>
              </w:rPr>
              <w:sym w:font="Symbol" w:char="F0B3"/>
            </w:r>
            <w:r w:rsidRPr="001A6485">
              <w:rPr>
                <w:noProof/>
                <w:sz w:val="24"/>
                <w:szCs w:val="24"/>
                <w:lang w:val="da-DK"/>
              </w:rPr>
              <w:t>1/100 til &lt;1/10)</w:t>
            </w:r>
          </w:p>
        </w:tc>
      </w:tr>
      <w:tr w:rsidR="004E6026" w:rsidRPr="001A6485" w14:paraId="341669F2" w14:textId="77777777" w:rsidTr="004E6026">
        <w:tc>
          <w:tcPr>
            <w:tcW w:w="8965" w:type="dxa"/>
            <w:hideMark/>
          </w:tcPr>
          <w:p w14:paraId="5710A1A7" w14:textId="77777777" w:rsidR="004E6026" w:rsidRPr="001A6485" w:rsidRDefault="004E6026" w:rsidP="001A6485">
            <w:pPr>
              <w:pStyle w:val="Slutnotetekst"/>
              <w:tabs>
                <w:tab w:val="clear" w:pos="567"/>
                <w:tab w:val="left" w:pos="1304"/>
              </w:tabs>
              <w:ind w:left="-79"/>
              <w:rPr>
                <w:noProof/>
                <w:sz w:val="24"/>
                <w:szCs w:val="24"/>
                <w:lang w:val="da-DK"/>
              </w:rPr>
            </w:pPr>
            <w:r w:rsidRPr="001A6485">
              <w:rPr>
                <w:noProof/>
                <w:sz w:val="24"/>
                <w:szCs w:val="24"/>
                <w:lang w:val="da-DK"/>
              </w:rPr>
              <w:t>Ikke almindelig (</w:t>
            </w:r>
            <w:r w:rsidRPr="001A6485">
              <w:rPr>
                <w:noProof/>
                <w:sz w:val="24"/>
                <w:szCs w:val="24"/>
                <w:lang w:val="da-DK"/>
              </w:rPr>
              <w:sym w:font="Symbol" w:char="F0B3"/>
            </w:r>
            <w:r w:rsidRPr="001A6485">
              <w:rPr>
                <w:noProof/>
                <w:sz w:val="24"/>
                <w:szCs w:val="24"/>
                <w:lang w:val="da-DK"/>
              </w:rPr>
              <w:t>1/1.000 til &lt;1/100)</w:t>
            </w:r>
          </w:p>
        </w:tc>
      </w:tr>
      <w:tr w:rsidR="004E6026" w:rsidRPr="001A6485" w14:paraId="0E139BCC" w14:textId="77777777" w:rsidTr="004E6026">
        <w:tc>
          <w:tcPr>
            <w:tcW w:w="8965" w:type="dxa"/>
            <w:hideMark/>
          </w:tcPr>
          <w:p w14:paraId="5AEB406E" w14:textId="77777777" w:rsidR="004E6026" w:rsidRPr="001A6485" w:rsidRDefault="004E6026" w:rsidP="001A6485">
            <w:pPr>
              <w:pStyle w:val="Slutnotetekst"/>
              <w:tabs>
                <w:tab w:val="clear" w:pos="567"/>
                <w:tab w:val="left" w:pos="1304"/>
              </w:tabs>
              <w:ind w:left="-79"/>
              <w:rPr>
                <w:noProof/>
                <w:sz w:val="24"/>
                <w:szCs w:val="24"/>
                <w:lang w:val="da-DK"/>
              </w:rPr>
            </w:pPr>
            <w:r w:rsidRPr="001A6485">
              <w:rPr>
                <w:noProof/>
                <w:sz w:val="24"/>
                <w:szCs w:val="24"/>
                <w:lang w:val="da-DK"/>
              </w:rPr>
              <w:t>Sjælden (</w:t>
            </w:r>
            <w:r w:rsidRPr="001A6485">
              <w:rPr>
                <w:noProof/>
                <w:sz w:val="24"/>
                <w:szCs w:val="24"/>
                <w:lang w:val="da-DK"/>
              </w:rPr>
              <w:sym w:font="Symbol" w:char="F0B3"/>
            </w:r>
            <w:r w:rsidRPr="001A6485">
              <w:rPr>
                <w:noProof/>
                <w:sz w:val="24"/>
                <w:szCs w:val="24"/>
                <w:lang w:val="da-DK"/>
              </w:rPr>
              <w:t>1/10.000 til &lt;1/1.000)</w:t>
            </w:r>
          </w:p>
        </w:tc>
      </w:tr>
      <w:tr w:rsidR="004E6026" w:rsidRPr="001A6485" w14:paraId="13C19B16" w14:textId="77777777" w:rsidTr="004E6026">
        <w:tc>
          <w:tcPr>
            <w:tcW w:w="8965" w:type="dxa"/>
            <w:hideMark/>
          </w:tcPr>
          <w:p w14:paraId="214CA0CD" w14:textId="77777777" w:rsidR="004E6026" w:rsidRPr="001A6485" w:rsidRDefault="004E6026" w:rsidP="001A6485">
            <w:pPr>
              <w:pStyle w:val="Slutnotetekst"/>
              <w:tabs>
                <w:tab w:val="clear" w:pos="567"/>
                <w:tab w:val="left" w:pos="1304"/>
              </w:tabs>
              <w:ind w:left="-79"/>
              <w:rPr>
                <w:noProof/>
                <w:sz w:val="24"/>
                <w:szCs w:val="24"/>
                <w:lang w:val="da-DK"/>
              </w:rPr>
            </w:pPr>
            <w:r w:rsidRPr="001A6485">
              <w:rPr>
                <w:noProof/>
                <w:sz w:val="24"/>
                <w:szCs w:val="24"/>
                <w:lang w:val="da-DK"/>
              </w:rPr>
              <w:t>Meget sjælden (&lt;1/10.000)</w:t>
            </w:r>
          </w:p>
        </w:tc>
      </w:tr>
      <w:tr w:rsidR="004E6026" w:rsidRPr="001A6485" w14:paraId="69FA6394" w14:textId="77777777" w:rsidTr="004E6026">
        <w:tc>
          <w:tcPr>
            <w:tcW w:w="8965" w:type="dxa"/>
            <w:hideMark/>
          </w:tcPr>
          <w:p w14:paraId="056760D4" w14:textId="77777777" w:rsidR="004E6026" w:rsidRPr="001A6485" w:rsidRDefault="004E6026" w:rsidP="001A6485">
            <w:pPr>
              <w:pStyle w:val="Slutnotetekst"/>
              <w:tabs>
                <w:tab w:val="clear" w:pos="567"/>
                <w:tab w:val="left" w:pos="1304"/>
              </w:tabs>
              <w:ind w:left="-79"/>
              <w:rPr>
                <w:noProof/>
                <w:sz w:val="24"/>
                <w:szCs w:val="24"/>
                <w:lang w:val="da-DK"/>
              </w:rPr>
            </w:pPr>
            <w:r w:rsidRPr="001A6485">
              <w:rPr>
                <w:noProof/>
                <w:sz w:val="24"/>
                <w:szCs w:val="24"/>
                <w:lang w:val="da-DK"/>
              </w:rPr>
              <w:t>Ikke kendt (kan ikke estimeres ud fra forhåndenværende data)</w:t>
            </w:r>
          </w:p>
        </w:tc>
      </w:tr>
    </w:tbl>
    <w:p w14:paraId="45CB184E" w14:textId="77777777" w:rsidR="004E6026" w:rsidRPr="001A6485" w:rsidRDefault="004E6026" w:rsidP="001A6485">
      <w:pPr>
        <w:ind w:left="851"/>
        <w:rPr>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2163"/>
        <w:gridCol w:w="3721"/>
      </w:tblGrid>
      <w:tr w:rsidR="004E6026" w14:paraId="51DF17CE" w14:textId="77777777" w:rsidTr="00C56A05">
        <w:tc>
          <w:tcPr>
            <w:tcW w:w="2893" w:type="dxa"/>
            <w:tcBorders>
              <w:top w:val="single" w:sz="4" w:space="0" w:color="auto"/>
              <w:left w:val="single" w:sz="4" w:space="0" w:color="auto"/>
              <w:bottom w:val="single" w:sz="4" w:space="0" w:color="auto"/>
              <w:right w:val="single" w:sz="4" w:space="0" w:color="auto"/>
            </w:tcBorders>
            <w:hideMark/>
          </w:tcPr>
          <w:p w14:paraId="1B7045A0" w14:textId="77777777" w:rsidR="004E6026" w:rsidRDefault="004E6026">
            <w:pPr>
              <w:rPr>
                <w:b/>
                <w:bCs/>
                <w:sz w:val="22"/>
                <w:szCs w:val="22"/>
              </w:rPr>
            </w:pPr>
            <w:r>
              <w:rPr>
                <w:b/>
                <w:bCs/>
                <w:sz w:val="22"/>
                <w:szCs w:val="22"/>
              </w:rPr>
              <w:t>Organklasse</w:t>
            </w:r>
          </w:p>
        </w:tc>
        <w:tc>
          <w:tcPr>
            <w:tcW w:w="2163" w:type="dxa"/>
            <w:tcBorders>
              <w:top w:val="single" w:sz="4" w:space="0" w:color="auto"/>
              <w:left w:val="single" w:sz="4" w:space="0" w:color="auto"/>
              <w:bottom w:val="single" w:sz="4" w:space="0" w:color="auto"/>
              <w:right w:val="single" w:sz="4" w:space="0" w:color="auto"/>
            </w:tcBorders>
            <w:hideMark/>
          </w:tcPr>
          <w:p w14:paraId="3D2BC412" w14:textId="77777777" w:rsidR="004E6026" w:rsidRDefault="004E6026">
            <w:pPr>
              <w:rPr>
                <w:b/>
                <w:bCs/>
                <w:sz w:val="22"/>
                <w:szCs w:val="22"/>
              </w:rPr>
            </w:pPr>
            <w:r>
              <w:rPr>
                <w:b/>
                <w:bCs/>
                <w:sz w:val="22"/>
                <w:szCs w:val="22"/>
              </w:rPr>
              <w:t>Frekvens</w:t>
            </w:r>
          </w:p>
        </w:tc>
        <w:tc>
          <w:tcPr>
            <w:tcW w:w="3721" w:type="dxa"/>
            <w:tcBorders>
              <w:top w:val="single" w:sz="4" w:space="0" w:color="auto"/>
              <w:left w:val="single" w:sz="4" w:space="0" w:color="auto"/>
              <w:bottom w:val="single" w:sz="4" w:space="0" w:color="auto"/>
              <w:right w:val="single" w:sz="4" w:space="0" w:color="auto"/>
            </w:tcBorders>
            <w:hideMark/>
          </w:tcPr>
          <w:p w14:paraId="530DC22D" w14:textId="77777777" w:rsidR="004E6026" w:rsidRDefault="004E6026">
            <w:pPr>
              <w:jc w:val="center"/>
              <w:rPr>
                <w:b/>
                <w:bCs/>
                <w:sz w:val="22"/>
                <w:szCs w:val="22"/>
              </w:rPr>
            </w:pPr>
            <w:r>
              <w:rPr>
                <w:b/>
                <w:bCs/>
                <w:sz w:val="22"/>
                <w:szCs w:val="22"/>
              </w:rPr>
              <w:t>Bivirkninger</w:t>
            </w:r>
          </w:p>
        </w:tc>
      </w:tr>
      <w:tr w:rsidR="004E6026" w14:paraId="06E29090" w14:textId="77777777" w:rsidTr="00C56A05">
        <w:tc>
          <w:tcPr>
            <w:tcW w:w="2893" w:type="dxa"/>
            <w:tcBorders>
              <w:top w:val="single" w:sz="4" w:space="0" w:color="auto"/>
              <w:left w:val="single" w:sz="4" w:space="0" w:color="auto"/>
              <w:bottom w:val="single" w:sz="4" w:space="0" w:color="auto"/>
              <w:right w:val="single" w:sz="4" w:space="0" w:color="auto"/>
            </w:tcBorders>
            <w:hideMark/>
          </w:tcPr>
          <w:p w14:paraId="76A12368" w14:textId="77777777" w:rsidR="004E6026" w:rsidRDefault="004E6026">
            <w:pPr>
              <w:rPr>
                <w:sz w:val="22"/>
                <w:szCs w:val="22"/>
              </w:rPr>
            </w:pPr>
            <w:r>
              <w:rPr>
                <w:sz w:val="22"/>
                <w:szCs w:val="22"/>
              </w:rPr>
              <w:t>Infektioner og parasitære sygdomme</w:t>
            </w:r>
          </w:p>
        </w:tc>
        <w:tc>
          <w:tcPr>
            <w:tcW w:w="2163" w:type="dxa"/>
            <w:tcBorders>
              <w:top w:val="single" w:sz="4" w:space="0" w:color="auto"/>
              <w:left w:val="single" w:sz="4" w:space="0" w:color="auto"/>
              <w:bottom w:val="single" w:sz="4" w:space="0" w:color="auto"/>
              <w:right w:val="single" w:sz="4" w:space="0" w:color="auto"/>
            </w:tcBorders>
            <w:hideMark/>
          </w:tcPr>
          <w:p w14:paraId="1ED84A5D" w14:textId="77777777" w:rsidR="004E6026" w:rsidRDefault="004E6026">
            <w:pPr>
              <w:rPr>
                <w:sz w:val="22"/>
                <w:szCs w:val="22"/>
              </w:rPr>
            </w:pPr>
            <w:r>
              <w:rPr>
                <w:sz w:val="22"/>
                <w:szCs w:val="22"/>
              </w:rPr>
              <w:t>Meget sjælden</w:t>
            </w:r>
          </w:p>
        </w:tc>
        <w:tc>
          <w:tcPr>
            <w:tcW w:w="3721" w:type="dxa"/>
            <w:tcBorders>
              <w:top w:val="single" w:sz="4" w:space="0" w:color="auto"/>
              <w:left w:val="single" w:sz="4" w:space="0" w:color="auto"/>
              <w:bottom w:val="single" w:sz="4" w:space="0" w:color="auto"/>
              <w:right w:val="single" w:sz="4" w:space="0" w:color="auto"/>
            </w:tcBorders>
            <w:hideMark/>
          </w:tcPr>
          <w:p w14:paraId="6AA995BE" w14:textId="77777777" w:rsidR="004E6026" w:rsidRDefault="004E6026">
            <w:pPr>
              <w:rPr>
                <w:sz w:val="22"/>
                <w:szCs w:val="22"/>
              </w:rPr>
            </w:pPr>
            <w:r>
              <w:rPr>
                <w:sz w:val="22"/>
                <w:szCs w:val="22"/>
              </w:rPr>
              <w:t xml:space="preserve">I enkelte tilfælde er der modtaget rapporter om furunkel. </w:t>
            </w:r>
          </w:p>
        </w:tc>
      </w:tr>
      <w:tr w:rsidR="004E6026" w14:paraId="68950772" w14:textId="77777777" w:rsidTr="00C56A05">
        <w:tc>
          <w:tcPr>
            <w:tcW w:w="2893" w:type="dxa"/>
            <w:tcBorders>
              <w:top w:val="single" w:sz="4" w:space="0" w:color="auto"/>
              <w:left w:val="single" w:sz="4" w:space="0" w:color="auto"/>
              <w:bottom w:val="single" w:sz="4" w:space="0" w:color="auto"/>
              <w:right w:val="single" w:sz="4" w:space="0" w:color="auto"/>
            </w:tcBorders>
            <w:hideMark/>
          </w:tcPr>
          <w:p w14:paraId="3CD0A56D" w14:textId="77777777" w:rsidR="004E6026" w:rsidRDefault="004E6026">
            <w:pPr>
              <w:rPr>
                <w:sz w:val="22"/>
                <w:szCs w:val="22"/>
              </w:rPr>
            </w:pPr>
            <w:r>
              <w:rPr>
                <w:sz w:val="22"/>
                <w:szCs w:val="22"/>
              </w:rPr>
              <w:t>Benigne, maligne og uspecificerede tumorer (inkl. cyster og polypper)</w:t>
            </w:r>
          </w:p>
        </w:tc>
        <w:tc>
          <w:tcPr>
            <w:tcW w:w="2163" w:type="dxa"/>
            <w:tcBorders>
              <w:top w:val="single" w:sz="4" w:space="0" w:color="auto"/>
              <w:left w:val="single" w:sz="4" w:space="0" w:color="auto"/>
              <w:bottom w:val="single" w:sz="4" w:space="0" w:color="auto"/>
              <w:right w:val="single" w:sz="4" w:space="0" w:color="auto"/>
            </w:tcBorders>
            <w:hideMark/>
          </w:tcPr>
          <w:p w14:paraId="2B671A85" w14:textId="77777777" w:rsidR="004E6026" w:rsidRDefault="004E6026">
            <w:pPr>
              <w:rPr>
                <w:sz w:val="22"/>
                <w:szCs w:val="22"/>
              </w:rPr>
            </w:pPr>
            <w:r>
              <w:rPr>
                <w:sz w:val="22"/>
                <w:szCs w:val="22"/>
              </w:rPr>
              <w:t>Meget sjælden</w:t>
            </w:r>
          </w:p>
        </w:tc>
        <w:tc>
          <w:tcPr>
            <w:tcW w:w="3721" w:type="dxa"/>
            <w:tcBorders>
              <w:top w:val="single" w:sz="4" w:space="0" w:color="auto"/>
              <w:left w:val="single" w:sz="4" w:space="0" w:color="auto"/>
              <w:bottom w:val="single" w:sz="4" w:space="0" w:color="auto"/>
              <w:right w:val="single" w:sz="4" w:space="0" w:color="auto"/>
            </w:tcBorders>
            <w:hideMark/>
          </w:tcPr>
          <w:p w14:paraId="2D712494" w14:textId="77777777" w:rsidR="004E6026" w:rsidRDefault="004E6026">
            <w:pPr>
              <w:rPr>
                <w:sz w:val="22"/>
                <w:szCs w:val="22"/>
              </w:rPr>
            </w:pPr>
            <w:proofErr w:type="spellStart"/>
            <w:r>
              <w:rPr>
                <w:sz w:val="22"/>
                <w:szCs w:val="22"/>
              </w:rPr>
              <w:t>Angioimmunoblastisk</w:t>
            </w:r>
            <w:proofErr w:type="spellEnd"/>
            <w:r>
              <w:rPr>
                <w:sz w:val="22"/>
                <w:szCs w:val="22"/>
              </w:rPr>
              <w:t xml:space="preserve"> T-celle </w:t>
            </w:r>
            <w:proofErr w:type="spellStart"/>
            <w:r>
              <w:rPr>
                <w:sz w:val="22"/>
                <w:szCs w:val="22"/>
              </w:rPr>
              <w:t>lymfom</w:t>
            </w:r>
            <w:proofErr w:type="spellEnd"/>
            <w:r>
              <w:rPr>
                <w:sz w:val="22"/>
                <w:szCs w:val="22"/>
              </w:rPr>
              <w:t xml:space="preserve"> beskrives meget sjældent, og det ser ud til at være reversibelt ved </w:t>
            </w:r>
            <w:proofErr w:type="spellStart"/>
            <w:r>
              <w:rPr>
                <w:sz w:val="22"/>
                <w:szCs w:val="22"/>
              </w:rPr>
              <w:t>seponering</w:t>
            </w:r>
            <w:proofErr w:type="spellEnd"/>
            <w:r>
              <w:rPr>
                <w:sz w:val="22"/>
                <w:szCs w:val="22"/>
              </w:rPr>
              <w:t xml:space="preserve"> af </w:t>
            </w:r>
            <w:proofErr w:type="spellStart"/>
            <w:r>
              <w:rPr>
                <w:sz w:val="22"/>
                <w:szCs w:val="22"/>
              </w:rPr>
              <w:t>allopurinol</w:t>
            </w:r>
            <w:proofErr w:type="spellEnd"/>
            <w:r>
              <w:rPr>
                <w:sz w:val="22"/>
                <w:szCs w:val="22"/>
              </w:rPr>
              <w:t>.</w:t>
            </w:r>
          </w:p>
        </w:tc>
      </w:tr>
      <w:tr w:rsidR="004E6026" w14:paraId="0F446597" w14:textId="77777777" w:rsidTr="00C56A05">
        <w:tc>
          <w:tcPr>
            <w:tcW w:w="2893" w:type="dxa"/>
            <w:tcBorders>
              <w:top w:val="single" w:sz="4" w:space="0" w:color="auto"/>
              <w:left w:val="single" w:sz="4" w:space="0" w:color="auto"/>
              <w:bottom w:val="single" w:sz="4" w:space="0" w:color="auto"/>
              <w:right w:val="single" w:sz="4" w:space="0" w:color="auto"/>
            </w:tcBorders>
          </w:tcPr>
          <w:p w14:paraId="384B9DC5" w14:textId="77777777" w:rsidR="004E6026" w:rsidRDefault="004E6026">
            <w:pPr>
              <w:pStyle w:val="Titel"/>
              <w:jc w:val="left"/>
              <w:rPr>
                <w:b w:val="0"/>
                <w:bCs/>
                <w:noProof/>
                <w:sz w:val="22"/>
                <w:szCs w:val="22"/>
                <w:lang w:eastAsia="en-GB"/>
              </w:rPr>
            </w:pPr>
            <w:r>
              <w:rPr>
                <w:b w:val="0"/>
                <w:bCs/>
                <w:noProof/>
                <w:sz w:val="22"/>
                <w:szCs w:val="22"/>
                <w:lang w:eastAsia="en-GB"/>
              </w:rPr>
              <w:t xml:space="preserve">Blod og lymfesystem  </w:t>
            </w:r>
          </w:p>
          <w:p w14:paraId="47F063FC" w14:textId="77777777" w:rsidR="004E6026" w:rsidRDefault="004E6026">
            <w:pPr>
              <w:rPr>
                <w:sz w:val="22"/>
                <w:szCs w:val="22"/>
                <w:lang w:eastAsia="da-DK"/>
              </w:rPr>
            </w:pPr>
          </w:p>
        </w:tc>
        <w:tc>
          <w:tcPr>
            <w:tcW w:w="2163" w:type="dxa"/>
            <w:tcBorders>
              <w:top w:val="single" w:sz="4" w:space="0" w:color="auto"/>
              <w:left w:val="single" w:sz="4" w:space="0" w:color="auto"/>
              <w:bottom w:val="single" w:sz="4" w:space="0" w:color="auto"/>
              <w:right w:val="single" w:sz="4" w:space="0" w:color="auto"/>
            </w:tcBorders>
            <w:hideMark/>
          </w:tcPr>
          <w:p w14:paraId="6C389715" w14:textId="77777777" w:rsidR="004E6026" w:rsidRDefault="004E6026">
            <w:pPr>
              <w:rPr>
                <w:sz w:val="22"/>
                <w:szCs w:val="22"/>
              </w:rPr>
            </w:pPr>
            <w:r>
              <w:rPr>
                <w:sz w:val="22"/>
                <w:szCs w:val="22"/>
              </w:rPr>
              <w:t>Meget sjælden</w:t>
            </w:r>
          </w:p>
        </w:tc>
        <w:tc>
          <w:tcPr>
            <w:tcW w:w="3721" w:type="dxa"/>
            <w:tcBorders>
              <w:top w:val="single" w:sz="4" w:space="0" w:color="auto"/>
              <w:left w:val="single" w:sz="4" w:space="0" w:color="auto"/>
              <w:bottom w:val="single" w:sz="4" w:space="0" w:color="auto"/>
              <w:right w:val="single" w:sz="4" w:space="0" w:color="auto"/>
            </w:tcBorders>
            <w:hideMark/>
          </w:tcPr>
          <w:p w14:paraId="5208E6FB" w14:textId="77777777" w:rsidR="00C56A05" w:rsidRDefault="00C56A05" w:rsidP="00C56A05">
            <w:pPr>
              <w:rPr>
                <w:sz w:val="22"/>
                <w:szCs w:val="22"/>
                <w:lang w:eastAsia="en-GB"/>
              </w:rPr>
            </w:pPr>
            <w:proofErr w:type="spellStart"/>
            <w:r>
              <w:rPr>
                <w:sz w:val="22"/>
                <w:szCs w:val="22"/>
                <w:lang w:eastAsia="en-GB"/>
              </w:rPr>
              <w:t>Agranulocytose</w:t>
            </w:r>
            <w:proofErr w:type="spellEnd"/>
            <w:r>
              <w:rPr>
                <w:sz w:val="22"/>
                <w:szCs w:val="22"/>
                <w:lang w:eastAsia="en-GB"/>
              </w:rPr>
              <w:t xml:space="preserve">, </w:t>
            </w:r>
            <w:proofErr w:type="spellStart"/>
            <w:r>
              <w:rPr>
                <w:sz w:val="22"/>
                <w:szCs w:val="22"/>
                <w:lang w:eastAsia="en-GB"/>
              </w:rPr>
              <w:t>trombocytopeni</w:t>
            </w:r>
            <w:proofErr w:type="spellEnd"/>
            <w:r>
              <w:rPr>
                <w:sz w:val="22"/>
                <w:szCs w:val="22"/>
                <w:lang w:eastAsia="en-GB"/>
              </w:rPr>
              <w:t xml:space="preserve"> og </w:t>
            </w:r>
            <w:proofErr w:type="spellStart"/>
            <w:r>
              <w:rPr>
                <w:sz w:val="22"/>
                <w:szCs w:val="22"/>
                <w:lang w:eastAsia="en-GB"/>
              </w:rPr>
              <w:t>aplastisk</w:t>
            </w:r>
            <w:proofErr w:type="spellEnd"/>
            <w:r>
              <w:rPr>
                <w:sz w:val="22"/>
                <w:szCs w:val="22"/>
                <w:lang w:eastAsia="en-GB"/>
              </w:rPr>
              <w:t xml:space="preserve"> anæmi. </w:t>
            </w:r>
          </w:p>
          <w:p w14:paraId="3A9209D2" w14:textId="77777777" w:rsidR="00C56A05" w:rsidRDefault="00C56A05" w:rsidP="00C56A05">
            <w:pPr>
              <w:rPr>
                <w:sz w:val="22"/>
                <w:szCs w:val="22"/>
                <w:lang w:eastAsia="da-DK"/>
              </w:rPr>
            </w:pPr>
            <w:r>
              <w:rPr>
                <w:sz w:val="22"/>
                <w:szCs w:val="22"/>
              </w:rPr>
              <w:t xml:space="preserve">Der er modtaget meget sjældne indberetninger om </w:t>
            </w:r>
            <w:proofErr w:type="spellStart"/>
            <w:r>
              <w:rPr>
                <w:sz w:val="22"/>
                <w:szCs w:val="22"/>
              </w:rPr>
              <w:t>agranulocytose</w:t>
            </w:r>
            <w:proofErr w:type="spellEnd"/>
            <w:r>
              <w:rPr>
                <w:sz w:val="22"/>
                <w:szCs w:val="22"/>
              </w:rPr>
              <w:t xml:space="preserve">, </w:t>
            </w:r>
            <w:proofErr w:type="spellStart"/>
            <w:r>
              <w:rPr>
                <w:sz w:val="22"/>
                <w:szCs w:val="22"/>
              </w:rPr>
              <w:t>trombocytopeni</w:t>
            </w:r>
            <w:proofErr w:type="spellEnd"/>
            <w:r>
              <w:rPr>
                <w:sz w:val="22"/>
                <w:szCs w:val="22"/>
              </w:rPr>
              <w:t xml:space="preserve"> og </w:t>
            </w:r>
            <w:proofErr w:type="spellStart"/>
            <w:r>
              <w:rPr>
                <w:sz w:val="22"/>
                <w:szCs w:val="22"/>
              </w:rPr>
              <w:t>aplastisk</w:t>
            </w:r>
            <w:proofErr w:type="spellEnd"/>
            <w:r>
              <w:rPr>
                <w:sz w:val="22"/>
                <w:szCs w:val="22"/>
              </w:rPr>
              <w:t xml:space="preserve"> anæmi, især hos personer med nedsat nyre- og/eller leverfunktion. Der skal derfor udvises særlig forsigtighed i denne patientgruppe. </w:t>
            </w:r>
          </w:p>
          <w:p w14:paraId="0F8F8094" w14:textId="77777777" w:rsidR="004E6026" w:rsidRDefault="00C56A05" w:rsidP="00C56A05">
            <w:pPr>
              <w:rPr>
                <w:sz w:val="22"/>
                <w:szCs w:val="22"/>
              </w:rPr>
            </w:pPr>
            <w:r>
              <w:rPr>
                <w:sz w:val="22"/>
                <w:szCs w:val="22"/>
              </w:rPr>
              <w:lastRenderedPageBreak/>
              <w:t xml:space="preserve">I individuelle sager er der rapporteret om ændrede blodtal, såsom </w:t>
            </w:r>
            <w:proofErr w:type="spellStart"/>
            <w:r>
              <w:rPr>
                <w:sz w:val="22"/>
                <w:szCs w:val="22"/>
              </w:rPr>
              <w:t>leukopeni</w:t>
            </w:r>
            <w:proofErr w:type="spellEnd"/>
            <w:r>
              <w:rPr>
                <w:sz w:val="22"/>
                <w:szCs w:val="22"/>
              </w:rPr>
              <w:t xml:space="preserve">, leukocytose og </w:t>
            </w:r>
            <w:proofErr w:type="spellStart"/>
            <w:r>
              <w:rPr>
                <w:sz w:val="22"/>
                <w:szCs w:val="22"/>
              </w:rPr>
              <w:t>eosinofili</w:t>
            </w:r>
            <w:proofErr w:type="spellEnd"/>
            <w:r>
              <w:rPr>
                <w:sz w:val="22"/>
                <w:szCs w:val="22"/>
              </w:rPr>
              <w:t>.</w:t>
            </w:r>
          </w:p>
        </w:tc>
      </w:tr>
      <w:tr w:rsidR="004E6026" w14:paraId="431B771B" w14:textId="77777777" w:rsidTr="00C56A05">
        <w:tc>
          <w:tcPr>
            <w:tcW w:w="2893" w:type="dxa"/>
            <w:tcBorders>
              <w:top w:val="single" w:sz="4" w:space="0" w:color="auto"/>
              <w:left w:val="single" w:sz="4" w:space="0" w:color="auto"/>
              <w:bottom w:val="single" w:sz="4" w:space="0" w:color="auto"/>
              <w:right w:val="single" w:sz="4" w:space="0" w:color="auto"/>
            </w:tcBorders>
            <w:hideMark/>
          </w:tcPr>
          <w:p w14:paraId="4DFA11B2" w14:textId="77777777" w:rsidR="004E6026" w:rsidRDefault="004E6026">
            <w:pPr>
              <w:rPr>
                <w:sz w:val="22"/>
                <w:szCs w:val="22"/>
              </w:rPr>
            </w:pPr>
            <w:r>
              <w:rPr>
                <w:sz w:val="22"/>
                <w:szCs w:val="22"/>
              </w:rPr>
              <w:lastRenderedPageBreak/>
              <w:t>Immunsystemet</w:t>
            </w:r>
          </w:p>
        </w:tc>
        <w:tc>
          <w:tcPr>
            <w:tcW w:w="2163" w:type="dxa"/>
            <w:tcBorders>
              <w:top w:val="single" w:sz="4" w:space="0" w:color="auto"/>
              <w:left w:val="single" w:sz="4" w:space="0" w:color="auto"/>
              <w:bottom w:val="single" w:sz="4" w:space="0" w:color="auto"/>
              <w:right w:val="single" w:sz="4" w:space="0" w:color="auto"/>
            </w:tcBorders>
            <w:hideMark/>
          </w:tcPr>
          <w:p w14:paraId="0D85AA37" w14:textId="77777777" w:rsidR="004E6026" w:rsidRDefault="004E6026">
            <w:pPr>
              <w:rPr>
                <w:sz w:val="22"/>
                <w:szCs w:val="22"/>
              </w:rPr>
            </w:pPr>
            <w:r>
              <w:rPr>
                <w:sz w:val="22"/>
                <w:szCs w:val="22"/>
              </w:rPr>
              <w:t>Sjælden</w:t>
            </w:r>
          </w:p>
        </w:tc>
        <w:tc>
          <w:tcPr>
            <w:tcW w:w="3721" w:type="dxa"/>
            <w:tcBorders>
              <w:top w:val="single" w:sz="4" w:space="0" w:color="auto"/>
              <w:left w:val="single" w:sz="4" w:space="0" w:color="auto"/>
              <w:bottom w:val="single" w:sz="4" w:space="0" w:color="auto"/>
              <w:right w:val="single" w:sz="4" w:space="0" w:color="auto"/>
            </w:tcBorders>
          </w:tcPr>
          <w:p w14:paraId="5BDFBD92" w14:textId="77777777" w:rsidR="004E6026" w:rsidRDefault="004E6026">
            <w:pPr>
              <w:pStyle w:val="Default"/>
              <w:rPr>
                <w:rFonts w:ascii="Times New Roman" w:hAnsi="Times New Roman" w:cs="Times New Roman"/>
                <w:sz w:val="22"/>
                <w:szCs w:val="22"/>
              </w:rPr>
            </w:pPr>
            <w:r>
              <w:rPr>
                <w:rFonts w:ascii="Times New Roman" w:hAnsi="Times New Roman" w:cs="Times New Roman"/>
                <w:sz w:val="22"/>
                <w:szCs w:val="22"/>
              </w:rPr>
              <w:t xml:space="preserve">En forsinket multiorgan overfølsomhedslidelse (kendt som overfølsomhedssyndrom eller DRESS) med feber, udslæt, </w:t>
            </w:r>
            <w:proofErr w:type="spellStart"/>
            <w:r>
              <w:rPr>
                <w:rFonts w:ascii="Times New Roman" w:hAnsi="Times New Roman" w:cs="Times New Roman"/>
                <w:sz w:val="22"/>
                <w:szCs w:val="22"/>
              </w:rPr>
              <w:t>vaskulitis</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lymfadenopati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pseudolymfom</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arthralgi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leukopeni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eosinofili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splenomegali</w:t>
            </w:r>
            <w:proofErr w:type="spellEnd"/>
            <w:r>
              <w:rPr>
                <w:rFonts w:ascii="Times New Roman" w:hAnsi="Times New Roman" w:cs="Times New Roman"/>
                <w:sz w:val="22"/>
                <w:szCs w:val="22"/>
              </w:rPr>
              <w:t xml:space="preserve">, unormale leverfunktionstests og sygdomme med forsvindende galdegangsyndrom (ødelæggelse og forsvinden af de </w:t>
            </w:r>
            <w:proofErr w:type="spellStart"/>
            <w:r>
              <w:rPr>
                <w:rFonts w:ascii="Times New Roman" w:hAnsi="Times New Roman" w:cs="Times New Roman"/>
                <w:sz w:val="22"/>
                <w:szCs w:val="22"/>
              </w:rPr>
              <w:t>intrahepatiske</w:t>
            </w:r>
            <w:proofErr w:type="spellEnd"/>
            <w:r>
              <w:rPr>
                <w:rFonts w:ascii="Times New Roman" w:hAnsi="Times New Roman" w:cs="Times New Roman"/>
                <w:sz w:val="22"/>
                <w:szCs w:val="22"/>
              </w:rPr>
              <w:t xml:space="preserve"> galdegange) kan opstå i forskellige kombinationer. </w:t>
            </w:r>
          </w:p>
          <w:p w14:paraId="31786FB8" w14:textId="77777777" w:rsidR="004E6026" w:rsidRDefault="004E6026">
            <w:pPr>
              <w:pStyle w:val="Default"/>
              <w:rPr>
                <w:rFonts w:ascii="Times New Roman" w:hAnsi="Times New Roman" w:cs="Times New Roman"/>
                <w:sz w:val="22"/>
                <w:szCs w:val="22"/>
              </w:rPr>
            </w:pPr>
            <w:r>
              <w:rPr>
                <w:rFonts w:ascii="Times New Roman" w:hAnsi="Times New Roman" w:cs="Times New Roman"/>
                <w:sz w:val="22"/>
                <w:szCs w:val="22"/>
              </w:rPr>
              <w:t xml:space="preserve">Andre organer kan også være påvirkede (f.eks. lever, lunger, nyrer, pancreas, </w:t>
            </w:r>
            <w:proofErr w:type="spellStart"/>
            <w:r>
              <w:rPr>
                <w:rFonts w:ascii="Times New Roman" w:hAnsi="Times New Roman" w:cs="Times New Roman"/>
                <w:sz w:val="22"/>
                <w:szCs w:val="22"/>
              </w:rPr>
              <w:t>myokardium</w:t>
            </w:r>
            <w:proofErr w:type="spellEnd"/>
            <w:r>
              <w:rPr>
                <w:rFonts w:ascii="Times New Roman" w:hAnsi="Times New Roman" w:cs="Times New Roman"/>
                <w:sz w:val="22"/>
                <w:szCs w:val="22"/>
              </w:rPr>
              <w:t xml:space="preserve"> og kolon). Hvis sådanne reaktioner opstår, på hvilket som helst tidspunkt under behandlingen, skal </w:t>
            </w:r>
            <w:proofErr w:type="spellStart"/>
            <w:r>
              <w:rPr>
                <w:rFonts w:ascii="Times New Roman" w:hAnsi="Times New Roman" w:cs="Times New Roman"/>
                <w:sz w:val="22"/>
                <w:szCs w:val="22"/>
              </w:rPr>
              <w:t>allopurinol</w:t>
            </w:r>
            <w:proofErr w:type="spellEnd"/>
            <w:r>
              <w:rPr>
                <w:rFonts w:ascii="Times New Roman" w:hAnsi="Times New Roman" w:cs="Times New Roman"/>
                <w:sz w:val="22"/>
                <w:szCs w:val="22"/>
              </w:rPr>
              <w:t xml:space="preserve"> seponeres straks og permanent (se pkt. 4.4). </w:t>
            </w:r>
          </w:p>
          <w:p w14:paraId="7462ABF9" w14:textId="77777777" w:rsidR="004E6026" w:rsidRDefault="004E6026">
            <w:pPr>
              <w:rPr>
                <w:sz w:val="24"/>
                <w:szCs w:val="22"/>
              </w:rPr>
            </w:pPr>
          </w:p>
          <w:p w14:paraId="086C7043" w14:textId="77777777" w:rsidR="004E6026" w:rsidRDefault="004E6026">
            <w:pPr>
              <w:rPr>
                <w:sz w:val="22"/>
                <w:szCs w:val="22"/>
              </w:rPr>
            </w:pPr>
            <w:r>
              <w:rPr>
                <w:sz w:val="22"/>
                <w:szCs w:val="22"/>
              </w:rPr>
              <w:t xml:space="preserve">Når generaliserede overfølsomhedsreaktioner er forekommet, har nyre og/eller leversygdomme normalt været til stede, især når resultatet har været fatalt. </w:t>
            </w:r>
          </w:p>
        </w:tc>
      </w:tr>
      <w:tr w:rsidR="004E6026" w14:paraId="13E7CC01" w14:textId="77777777" w:rsidTr="00C56A05">
        <w:tc>
          <w:tcPr>
            <w:tcW w:w="2893" w:type="dxa"/>
            <w:tcBorders>
              <w:top w:val="nil"/>
              <w:left w:val="single" w:sz="4" w:space="0" w:color="auto"/>
              <w:bottom w:val="single" w:sz="4" w:space="0" w:color="auto"/>
              <w:right w:val="single" w:sz="4" w:space="0" w:color="auto"/>
            </w:tcBorders>
          </w:tcPr>
          <w:p w14:paraId="0FB52C91" w14:textId="77777777" w:rsidR="004E6026" w:rsidRDefault="004E6026">
            <w:pPr>
              <w:rPr>
                <w:sz w:val="22"/>
                <w:szCs w:val="22"/>
              </w:rPr>
            </w:pPr>
          </w:p>
        </w:tc>
        <w:tc>
          <w:tcPr>
            <w:tcW w:w="2163" w:type="dxa"/>
            <w:tcBorders>
              <w:top w:val="single" w:sz="4" w:space="0" w:color="auto"/>
              <w:left w:val="single" w:sz="4" w:space="0" w:color="auto"/>
              <w:bottom w:val="single" w:sz="4" w:space="0" w:color="auto"/>
              <w:right w:val="single" w:sz="4" w:space="0" w:color="auto"/>
            </w:tcBorders>
            <w:hideMark/>
          </w:tcPr>
          <w:p w14:paraId="347B5D6A" w14:textId="77777777" w:rsidR="004E6026" w:rsidRDefault="004E6026">
            <w:pPr>
              <w:rPr>
                <w:sz w:val="22"/>
                <w:szCs w:val="22"/>
              </w:rPr>
            </w:pPr>
            <w:r>
              <w:rPr>
                <w:sz w:val="22"/>
                <w:szCs w:val="22"/>
              </w:rPr>
              <w:t xml:space="preserve">Meget </w:t>
            </w:r>
            <w:r w:rsidR="00C56A05">
              <w:rPr>
                <w:sz w:val="22"/>
                <w:szCs w:val="22"/>
              </w:rPr>
              <w:t>s</w:t>
            </w:r>
            <w:r>
              <w:rPr>
                <w:sz w:val="22"/>
                <w:szCs w:val="22"/>
              </w:rPr>
              <w:t>jælden</w:t>
            </w:r>
          </w:p>
        </w:tc>
        <w:tc>
          <w:tcPr>
            <w:tcW w:w="3721" w:type="dxa"/>
            <w:tcBorders>
              <w:top w:val="single" w:sz="4" w:space="0" w:color="auto"/>
              <w:left w:val="single" w:sz="4" w:space="0" w:color="auto"/>
              <w:bottom w:val="single" w:sz="4" w:space="0" w:color="auto"/>
              <w:right w:val="single" w:sz="4" w:space="0" w:color="auto"/>
            </w:tcBorders>
          </w:tcPr>
          <w:p w14:paraId="7BBB81D2" w14:textId="77777777" w:rsidR="004E6026" w:rsidRDefault="004E6026">
            <w:pPr>
              <w:ind w:right="-135"/>
              <w:rPr>
                <w:sz w:val="22"/>
                <w:szCs w:val="22"/>
                <w:lang w:eastAsia="en-GB"/>
              </w:rPr>
            </w:pPr>
            <w:proofErr w:type="spellStart"/>
            <w:r>
              <w:rPr>
                <w:sz w:val="22"/>
                <w:szCs w:val="22"/>
                <w:lang w:eastAsia="en-GB"/>
              </w:rPr>
              <w:t>Anafylaktisk</w:t>
            </w:r>
            <w:proofErr w:type="spellEnd"/>
            <w:r>
              <w:rPr>
                <w:sz w:val="22"/>
                <w:szCs w:val="22"/>
                <w:lang w:eastAsia="en-GB"/>
              </w:rPr>
              <w:t xml:space="preserve"> reaktion har været rapporteret. </w:t>
            </w:r>
          </w:p>
          <w:p w14:paraId="63705F15" w14:textId="77777777" w:rsidR="004E6026" w:rsidRDefault="004E6026">
            <w:pPr>
              <w:ind w:right="-135"/>
              <w:rPr>
                <w:sz w:val="22"/>
                <w:szCs w:val="22"/>
                <w:lang w:eastAsia="en-GB"/>
              </w:rPr>
            </w:pPr>
          </w:p>
          <w:p w14:paraId="68FC83F7" w14:textId="77777777" w:rsidR="004E6026" w:rsidRDefault="004E6026">
            <w:pPr>
              <w:ind w:right="-135"/>
              <w:rPr>
                <w:sz w:val="22"/>
                <w:szCs w:val="22"/>
                <w:lang w:val="nb-NO" w:eastAsia="en-GB"/>
              </w:rPr>
            </w:pPr>
            <w:r>
              <w:rPr>
                <w:sz w:val="22"/>
                <w:szCs w:val="22"/>
                <w:lang w:val="nb-NO" w:eastAsia="en-GB"/>
              </w:rPr>
              <w:t xml:space="preserve">Stevens Johnsons syndrom (SJS) eller toksisk epidermal nekrolyse (TEN) (se pkt. 4.4). </w:t>
            </w:r>
          </w:p>
          <w:p w14:paraId="3A5F84AE" w14:textId="77777777" w:rsidR="004E6026" w:rsidRDefault="004E6026">
            <w:pPr>
              <w:ind w:right="-135"/>
              <w:rPr>
                <w:sz w:val="22"/>
                <w:szCs w:val="22"/>
                <w:lang w:val="nb-NO" w:eastAsia="en-GB"/>
              </w:rPr>
            </w:pPr>
          </w:p>
          <w:p w14:paraId="7D71DAE7" w14:textId="77777777" w:rsidR="004E6026" w:rsidRDefault="004E6026">
            <w:pPr>
              <w:ind w:right="-135"/>
              <w:rPr>
                <w:sz w:val="22"/>
                <w:szCs w:val="22"/>
                <w:lang w:eastAsia="da-DK"/>
              </w:rPr>
            </w:pPr>
            <w:proofErr w:type="spellStart"/>
            <w:r>
              <w:rPr>
                <w:sz w:val="22"/>
                <w:szCs w:val="22"/>
              </w:rPr>
              <w:t>Quinckes</w:t>
            </w:r>
            <w:proofErr w:type="spellEnd"/>
            <w:r>
              <w:rPr>
                <w:sz w:val="22"/>
                <w:szCs w:val="22"/>
              </w:rPr>
              <w:t xml:space="preserve"> ødem har været rapporteret i individuelle tilfælde.</w:t>
            </w:r>
          </w:p>
        </w:tc>
      </w:tr>
      <w:tr w:rsidR="004E6026" w14:paraId="34236BB6" w14:textId="77777777" w:rsidTr="00C56A05">
        <w:tc>
          <w:tcPr>
            <w:tcW w:w="2893" w:type="dxa"/>
            <w:tcBorders>
              <w:top w:val="single" w:sz="4" w:space="0" w:color="auto"/>
              <w:left w:val="single" w:sz="4" w:space="0" w:color="auto"/>
              <w:bottom w:val="single" w:sz="4" w:space="0" w:color="auto"/>
              <w:right w:val="single" w:sz="4" w:space="0" w:color="auto"/>
            </w:tcBorders>
            <w:hideMark/>
          </w:tcPr>
          <w:p w14:paraId="3E89EE0C" w14:textId="77777777" w:rsidR="004E6026" w:rsidRDefault="004E6026">
            <w:pPr>
              <w:rPr>
                <w:sz w:val="22"/>
                <w:szCs w:val="22"/>
              </w:rPr>
            </w:pPr>
            <w:r>
              <w:rPr>
                <w:sz w:val="22"/>
                <w:szCs w:val="22"/>
              </w:rPr>
              <w:t>Metabolisme og ernæring</w:t>
            </w:r>
          </w:p>
        </w:tc>
        <w:tc>
          <w:tcPr>
            <w:tcW w:w="2163" w:type="dxa"/>
            <w:tcBorders>
              <w:top w:val="single" w:sz="4" w:space="0" w:color="auto"/>
              <w:left w:val="single" w:sz="4" w:space="0" w:color="auto"/>
              <w:bottom w:val="single" w:sz="4" w:space="0" w:color="auto"/>
              <w:right w:val="single" w:sz="4" w:space="0" w:color="auto"/>
            </w:tcBorders>
            <w:hideMark/>
          </w:tcPr>
          <w:p w14:paraId="4C7E183A" w14:textId="77777777" w:rsidR="004E6026" w:rsidRDefault="004E6026">
            <w:pPr>
              <w:rPr>
                <w:sz w:val="22"/>
                <w:szCs w:val="22"/>
              </w:rPr>
            </w:pPr>
            <w:r>
              <w:rPr>
                <w:sz w:val="22"/>
                <w:szCs w:val="22"/>
              </w:rPr>
              <w:t xml:space="preserve">Meget </w:t>
            </w:r>
            <w:r w:rsidR="00C56A05">
              <w:rPr>
                <w:sz w:val="22"/>
                <w:szCs w:val="22"/>
              </w:rPr>
              <w:t>s</w:t>
            </w:r>
            <w:r>
              <w:rPr>
                <w:sz w:val="22"/>
                <w:szCs w:val="22"/>
              </w:rPr>
              <w:t>jælden</w:t>
            </w:r>
          </w:p>
        </w:tc>
        <w:tc>
          <w:tcPr>
            <w:tcW w:w="3721" w:type="dxa"/>
            <w:tcBorders>
              <w:top w:val="single" w:sz="4" w:space="0" w:color="auto"/>
              <w:left w:val="single" w:sz="4" w:space="0" w:color="auto"/>
              <w:bottom w:val="single" w:sz="4" w:space="0" w:color="auto"/>
              <w:right w:val="single" w:sz="4" w:space="0" w:color="auto"/>
            </w:tcBorders>
            <w:hideMark/>
          </w:tcPr>
          <w:p w14:paraId="1C74490E" w14:textId="77777777" w:rsidR="004E6026" w:rsidRDefault="004E6026">
            <w:pPr>
              <w:rPr>
                <w:sz w:val="22"/>
                <w:szCs w:val="22"/>
              </w:rPr>
            </w:pPr>
            <w:r>
              <w:rPr>
                <w:sz w:val="22"/>
                <w:szCs w:val="22"/>
              </w:rPr>
              <w:t xml:space="preserve">Diabetes mellitus, </w:t>
            </w:r>
            <w:proofErr w:type="spellStart"/>
            <w:r>
              <w:rPr>
                <w:sz w:val="22"/>
                <w:szCs w:val="22"/>
              </w:rPr>
              <w:t>hyperlipidæmi</w:t>
            </w:r>
            <w:proofErr w:type="spellEnd"/>
            <w:r>
              <w:rPr>
                <w:sz w:val="22"/>
                <w:szCs w:val="22"/>
              </w:rPr>
              <w:t xml:space="preserve">. </w:t>
            </w:r>
          </w:p>
        </w:tc>
      </w:tr>
      <w:tr w:rsidR="004E6026" w14:paraId="6A40710A" w14:textId="77777777" w:rsidTr="00C56A05">
        <w:tc>
          <w:tcPr>
            <w:tcW w:w="2893" w:type="dxa"/>
            <w:tcBorders>
              <w:top w:val="single" w:sz="4" w:space="0" w:color="auto"/>
              <w:left w:val="single" w:sz="4" w:space="0" w:color="auto"/>
              <w:bottom w:val="single" w:sz="4" w:space="0" w:color="auto"/>
              <w:right w:val="single" w:sz="4" w:space="0" w:color="auto"/>
            </w:tcBorders>
            <w:hideMark/>
          </w:tcPr>
          <w:p w14:paraId="4DE805D9" w14:textId="77777777" w:rsidR="004E6026" w:rsidRDefault="004E6026">
            <w:pPr>
              <w:rPr>
                <w:sz w:val="22"/>
                <w:szCs w:val="22"/>
              </w:rPr>
            </w:pPr>
            <w:r>
              <w:rPr>
                <w:sz w:val="22"/>
                <w:szCs w:val="22"/>
              </w:rPr>
              <w:t>Psykiske forstyrrelser</w:t>
            </w:r>
          </w:p>
        </w:tc>
        <w:tc>
          <w:tcPr>
            <w:tcW w:w="2163" w:type="dxa"/>
            <w:tcBorders>
              <w:top w:val="single" w:sz="4" w:space="0" w:color="auto"/>
              <w:left w:val="single" w:sz="4" w:space="0" w:color="auto"/>
              <w:bottom w:val="single" w:sz="4" w:space="0" w:color="auto"/>
              <w:right w:val="single" w:sz="4" w:space="0" w:color="auto"/>
            </w:tcBorders>
            <w:hideMark/>
          </w:tcPr>
          <w:p w14:paraId="593542C7" w14:textId="77777777" w:rsidR="004E6026" w:rsidRDefault="004E6026">
            <w:pPr>
              <w:rPr>
                <w:sz w:val="22"/>
                <w:szCs w:val="22"/>
              </w:rPr>
            </w:pPr>
            <w:r>
              <w:rPr>
                <w:sz w:val="22"/>
                <w:szCs w:val="22"/>
              </w:rPr>
              <w:t>Meget sjælden</w:t>
            </w:r>
          </w:p>
        </w:tc>
        <w:tc>
          <w:tcPr>
            <w:tcW w:w="3721" w:type="dxa"/>
            <w:tcBorders>
              <w:top w:val="single" w:sz="4" w:space="0" w:color="auto"/>
              <w:left w:val="single" w:sz="4" w:space="0" w:color="auto"/>
              <w:bottom w:val="single" w:sz="4" w:space="0" w:color="auto"/>
              <w:right w:val="single" w:sz="4" w:space="0" w:color="auto"/>
            </w:tcBorders>
            <w:hideMark/>
          </w:tcPr>
          <w:p w14:paraId="6B4FAA2D" w14:textId="77777777" w:rsidR="004E6026" w:rsidRDefault="004E6026">
            <w:pPr>
              <w:rPr>
                <w:sz w:val="22"/>
                <w:szCs w:val="22"/>
              </w:rPr>
            </w:pPr>
            <w:r>
              <w:rPr>
                <w:sz w:val="22"/>
                <w:szCs w:val="22"/>
              </w:rPr>
              <w:t xml:space="preserve">Depression. </w:t>
            </w:r>
          </w:p>
        </w:tc>
      </w:tr>
      <w:tr w:rsidR="00C56A05" w14:paraId="06C7D76F" w14:textId="77777777" w:rsidTr="00C56A05">
        <w:tc>
          <w:tcPr>
            <w:tcW w:w="2893" w:type="dxa"/>
            <w:vMerge w:val="restart"/>
            <w:tcBorders>
              <w:top w:val="single" w:sz="4" w:space="0" w:color="auto"/>
              <w:left w:val="single" w:sz="4" w:space="0" w:color="auto"/>
              <w:right w:val="single" w:sz="4" w:space="0" w:color="auto"/>
            </w:tcBorders>
            <w:hideMark/>
          </w:tcPr>
          <w:p w14:paraId="453D6DAA" w14:textId="77777777" w:rsidR="00C56A05" w:rsidRDefault="00C56A05" w:rsidP="00C56A05">
            <w:pPr>
              <w:keepNext/>
              <w:rPr>
                <w:sz w:val="22"/>
                <w:szCs w:val="22"/>
              </w:rPr>
            </w:pPr>
            <w:r>
              <w:rPr>
                <w:sz w:val="22"/>
                <w:szCs w:val="22"/>
              </w:rPr>
              <w:t>Nervesystemet</w:t>
            </w:r>
          </w:p>
        </w:tc>
        <w:tc>
          <w:tcPr>
            <w:tcW w:w="2163" w:type="dxa"/>
            <w:tcBorders>
              <w:top w:val="single" w:sz="4" w:space="0" w:color="auto"/>
              <w:left w:val="single" w:sz="4" w:space="0" w:color="auto"/>
              <w:bottom w:val="single" w:sz="4" w:space="0" w:color="auto"/>
              <w:right w:val="single" w:sz="4" w:space="0" w:color="auto"/>
            </w:tcBorders>
            <w:hideMark/>
          </w:tcPr>
          <w:p w14:paraId="60A4F536" w14:textId="77777777" w:rsidR="00C56A05" w:rsidRDefault="00C56A05" w:rsidP="00C56A05">
            <w:pPr>
              <w:keepNext/>
              <w:rPr>
                <w:sz w:val="22"/>
                <w:szCs w:val="22"/>
              </w:rPr>
            </w:pPr>
            <w:r>
              <w:rPr>
                <w:sz w:val="22"/>
                <w:szCs w:val="22"/>
              </w:rPr>
              <w:t>Meget sjælden</w:t>
            </w:r>
          </w:p>
        </w:tc>
        <w:tc>
          <w:tcPr>
            <w:tcW w:w="3721" w:type="dxa"/>
            <w:tcBorders>
              <w:top w:val="single" w:sz="4" w:space="0" w:color="auto"/>
              <w:left w:val="single" w:sz="4" w:space="0" w:color="auto"/>
              <w:bottom w:val="single" w:sz="4" w:space="0" w:color="auto"/>
              <w:right w:val="single" w:sz="4" w:space="0" w:color="auto"/>
            </w:tcBorders>
            <w:hideMark/>
          </w:tcPr>
          <w:p w14:paraId="33600C62" w14:textId="77777777" w:rsidR="00C56A05" w:rsidRDefault="00C56A05" w:rsidP="00C56A05">
            <w:pPr>
              <w:keepNext/>
              <w:rPr>
                <w:sz w:val="22"/>
                <w:szCs w:val="22"/>
              </w:rPr>
            </w:pPr>
            <w:proofErr w:type="spellStart"/>
            <w:r>
              <w:rPr>
                <w:sz w:val="22"/>
                <w:szCs w:val="22"/>
              </w:rPr>
              <w:t>Paræstesi</w:t>
            </w:r>
            <w:proofErr w:type="spellEnd"/>
            <w:r>
              <w:rPr>
                <w:sz w:val="22"/>
                <w:szCs w:val="22"/>
              </w:rPr>
              <w:t xml:space="preserve">, koma, paralyse, </w:t>
            </w:r>
            <w:proofErr w:type="spellStart"/>
            <w:r>
              <w:rPr>
                <w:sz w:val="22"/>
                <w:szCs w:val="22"/>
              </w:rPr>
              <w:t>ataksi</w:t>
            </w:r>
            <w:proofErr w:type="spellEnd"/>
            <w:r>
              <w:rPr>
                <w:sz w:val="22"/>
                <w:szCs w:val="22"/>
              </w:rPr>
              <w:t xml:space="preserve">, </w:t>
            </w:r>
            <w:proofErr w:type="spellStart"/>
            <w:r>
              <w:rPr>
                <w:sz w:val="22"/>
                <w:szCs w:val="22"/>
              </w:rPr>
              <w:t>neuritis</w:t>
            </w:r>
            <w:proofErr w:type="spellEnd"/>
            <w:r>
              <w:rPr>
                <w:sz w:val="22"/>
                <w:szCs w:val="22"/>
              </w:rPr>
              <w:t xml:space="preserve">, hovedpine, </w:t>
            </w:r>
            <w:proofErr w:type="spellStart"/>
            <w:r>
              <w:rPr>
                <w:sz w:val="22"/>
                <w:szCs w:val="22"/>
              </w:rPr>
              <w:t>dysgeusi</w:t>
            </w:r>
            <w:proofErr w:type="spellEnd"/>
            <w:r>
              <w:rPr>
                <w:sz w:val="22"/>
                <w:szCs w:val="22"/>
              </w:rPr>
              <w:t xml:space="preserve">, </w:t>
            </w:r>
            <w:proofErr w:type="spellStart"/>
            <w:r>
              <w:rPr>
                <w:sz w:val="22"/>
                <w:szCs w:val="22"/>
              </w:rPr>
              <w:t>somnolens</w:t>
            </w:r>
            <w:proofErr w:type="spellEnd"/>
            <w:r>
              <w:rPr>
                <w:sz w:val="22"/>
                <w:szCs w:val="22"/>
              </w:rPr>
              <w:t xml:space="preserve">. </w:t>
            </w:r>
          </w:p>
        </w:tc>
      </w:tr>
      <w:tr w:rsidR="00C56A05" w14:paraId="3DF9C4F3" w14:textId="77777777" w:rsidTr="00C56A05">
        <w:tc>
          <w:tcPr>
            <w:tcW w:w="2893" w:type="dxa"/>
            <w:vMerge/>
            <w:tcBorders>
              <w:left w:val="single" w:sz="4" w:space="0" w:color="auto"/>
              <w:bottom w:val="single" w:sz="4" w:space="0" w:color="auto"/>
              <w:right w:val="single" w:sz="4" w:space="0" w:color="auto"/>
            </w:tcBorders>
          </w:tcPr>
          <w:p w14:paraId="3BA069E8" w14:textId="77777777" w:rsidR="00C56A05" w:rsidRDefault="00C56A05">
            <w:pPr>
              <w:rPr>
                <w:sz w:val="22"/>
                <w:szCs w:val="22"/>
              </w:rPr>
            </w:pPr>
          </w:p>
        </w:tc>
        <w:tc>
          <w:tcPr>
            <w:tcW w:w="2163" w:type="dxa"/>
            <w:tcBorders>
              <w:top w:val="single" w:sz="4" w:space="0" w:color="auto"/>
              <w:left w:val="single" w:sz="4" w:space="0" w:color="auto"/>
              <w:bottom w:val="single" w:sz="4" w:space="0" w:color="auto"/>
              <w:right w:val="single" w:sz="4" w:space="0" w:color="auto"/>
            </w:tcBorders>
          </w:tcPr>
          <w:p w14:paraId="140BC60C" w14:textId="77777777" w:rsidR="00C56A05" w:rsidRDefault="00C56A05">
            <w:pPr>
              <w:rPr>
                <w:sz w:val="22"/>
                <w:szCs w:val="22"/>
              </w:rPr>
            </w:pPr>
            <w:r>
              <w:rPr>
                <w:sz w:val="22"/>
                <w:szCs w:val="22"/>
              </w:rPr>
              <w:t>Ikke kendt</w:t>
            </w:r>
          </w:p>
        </w:tc>
        <w:tc>
          <w:tcPr>
            <w:tcW w:w="3721" w:type="dxa"/>
            <w:tcBorders>
              <w:top w:val="single" w:sz="4" w:space="0" w:color="auto"/>
              <w:left w:val="single" w:sz="4" w:space="0" w:color="auto"/>
              <w:bottom w:val="single" w:sz="4" w:space="0" w:color="auto"/>
              <w:right w:val="single" w:sz="4" w:space="0" w:color="auto"/>
            </w:tcBorders>
          </w:tcPr>
          <w:p w14:paraId="22B968E4" w14:textId="77777777" w:rsidR="00C56A05" w:rsidRDefault="00C56A05">
            <w:pPr>
              <w:rPr>
                <w:sz w:val="22"/>
                <w:szCs w:val="22"/>
              </w:rPr>
            </w:pPr>
            <w:r w:rsidRPr="00C56A05">
              <w:rPr>
                <w:sz w:val="22"/>
                <w:szCs w:val="22"/>
              </w:rPr>
              <w:t>Aseptisk meningitis</w:t>
            </w:r>
          </w:p>
        </w:tc>
      </w:tr>
      <w:tr w:rsidR="004E6026" w14:paraId="02C68C4D" w14:textId="77777777" w:rsidTr="00C56A05">
        <w:tc>
          <w:tcPr>
            <w:tcW w:w="2893" w:type="dxa"/>
            <w:tcBorders>
              <w:top w:val="single" w:sz="4" w:space="0" w:color="auto"/>
              <w:left w:val="single" w:sz="4" w:space="0" w:color="auto"/>
              <w:bottom w:val="single" w:sz="4" w:space="0" w:color="auto"/>
              <w:right w:val="single" w:sz="4" w:space="0" w:color="auto"/>
            </w:tcBorders>
            <w:hideMark/>
          </w:tcPr>
          <w:p w14:paraId="32057B1D" w14:textId="77777777" w:rsidR="004E6026" w:rsidRDefault="004E6026">
            <w:pPr>
              <w:rPr>
                <w:sz w:val="22"/>
                <w:szCs w:val="22"/>
              </w:rPr>
            </w:pPr>
            <w:r>
              <w:rPr>
                <w:sz w:val="22"/>
                <w:szCs w:val="22"/>
              </w:rPr>
              <w:t>Øjne</w:t>
            </w:r>
          </w:p>
        </w:tc>
        <w:tc>
          <w:tcPr>
            <w:tcW w:w="2163" w:type="dxa"/>
            <w:tcBorders>
              <w:top w:val="single" w:sz="4" w:space="0" w:color="auto"/>
              <w:left w:val="single" w:sz="4" w:space="0" w:color="auto"/>
              <w:bottom w:val="single" w:sz="4" w:space="0" w:color="auto"/>
              <w:right w:val="single" w:sz="4" w:space="0" w:color="auto"/>
            </w:tcBorders>
            <w:hideMark/>
          </w:tcPr>
          <w:p w14:paraId="1750E366" w14:textId="77777777" w:rsidR="004E6026" w:rsidRDefault="004E6026">
            <w:pPr>
              <w:rPr>
                <w:sz w:val="22"/>
                <w:szCs w:val="22"/>
              </w:rPr>
            </w:pPr>
            <w:r>
              <w:rPr>
                <w:sz w:val="22"/>
                <w:szCs w:val="22"/>
              </w:rPr>
              <w:t>Meget sjælden</w:t>
            </w:r>
          </w:p>
        </w:tc>
        <w:tc>
          <w:tcPr>
            <w:tcW w:w="3721" w:type="dxa"/>
            <w:tcBorders>
              <w:top w:val="single" w:sz="4" w:space="0" w:color="auto"/>
              <w:left w:val="single" w:sz="4" w:space="0" w:color="auto"/>
              <w:bottom w:val="single" w:sz="4" w:space="0" w:color="auto"/>
              <w:right w:val="single" w:sz="4" w:space="0" w:color="auto"/>
            </w:tcBorders>
            <w:hideMark/>
          </w:tcPr>
          <w:p w14:paraId="15308E0F" w14:textId="77777777" w:rsidR="004E6026" w:rsidRDefault="004E6026">
            <w:pPr>
              <w:rPr>
                <w:sz w:val="22"/>
                <w:szCs w:val="22"/>
                <w:lang w:val="sv-SE"/>
              </w:rPr>
            </w:pPr>
            <w:r>
              <w:rPr>
                <w:sz w:val="22"/>
                <w:szCs w:val="22"/>
                <w:lang w:val="sv-SE"/>
              </w:rPr>
              <w:t xml:space="preserve">Katarakt, </w:t>
            </w:r>
            <w:proofErr w:type="spellStart"/>
            <w:r>
              <w:rPr>
                <w:sz w:val="22"/>
                <w:szCs w:val="22"/>
                <w:lang w:val="sv-SE"/>
              </w:rPr>
              <w:t>makula</w:t>
            </w:r>
            <w:proofErr w:type="spellEnd"/>
            <w:r>
              <w:rPr>
                <w:sz w:val="22"/>
                <w:szCs w:val="22"/>
                <w:lang w:val="sv-SE"/>
              </w:rPr>
              <w:t xml:space="preserve">-degeneration, </w:t>
            </w:r>
            <w:proofErr w:type="spellStart"/>
            <w:r>
              <w:rPr>
                <w:sz w:val="22"/>
                <w:szCs w:val="22"/>
                <w:lang w:val="sv-SE"/>
              </w:rPr>
              <w:t>nedsat</w:t>
            </w:r>
            <w:proofErr w:type="spellEnd"/>
            <w:r>
              <w:rPr>
                <w:sz w:val="22"/>
                <w:szCs w:val="22"/>
                <w:lang w:val="sv-SE"/>
              </w:rPr>
              <w:t xml:space="preserve"> syn. </w:t>
            </w:r>
          </w:p>
        </w:tc>
      </w:tr>
      <w:tr w:rsidR="004E6026" w14:paraId="3F59C717" w14:textId="77777777" w:rsidTr="00C56A05">
        <w:tc>
          <w:tcPr>
            <w:tcW w:w="2893" w:type="dxa"/>
            <w:tcBorders>
              <w:top w:val="single" w:sz="4" w:space="0" w:color="auto"/>
              <w:left w:val="single" w:sz="4" w:space="0" w:color="auto"/>
              <w:bottom w:val="single" w:sz="4" w:space="0" w:color="auto"/>
              <w:right w:val="single" w:sz="4" w:space="0" w:color="auto"/>
            </w:tcBorders>
            <w:hideMark/>
          </w:tcPr>
          <w:p w14:paraId="160117F4" w14:textId="77777777" w:rsidR="004E6026" w:rsidRDefault="004E6026">
            <w:pPr>
              <w:rPr>
                <w:sz w:val="22"/>
                <w:szCs w:val="22"/>
              </w:rPr>
            </w:pPr>
            <w:r>
              <w:rPr>
                <w:sz w:val="22"/>
                <w:szCs w:val="22"/>
              </w:rPr>
              <w:t>Øre og labyrint</w:t>
            </w:r>
          </w:p>
        </w:tc>
        <w:tc>
          <w:tcPr>
            <w:tcW w:w="2163" w:type="dxa"/>
            <w:tcBorders>
              <w:top w:val="single" w:sz="4" w:space="0" w:color="auto"/>
              <w:left w:val="single" w:sz="4" w:space="0" w:color="auto"/>
              <w:bottom w:val="single" w:sz="4" w:space="0" w:color="auto"/>
              <w:right w:val="single" w:sz="4" w:space="0" w:color="auto"/>
            </w:tcBorders>
            <w:hideMark/>
          </w:tcPr>
          <w:p w14:paraId="4300A50A" w14:textId="77777777" w:rsidR="004E6026" w:rsidRDefault="004E6026">
            <w:pPr>
              <w:rPr>
                <w:sz w:val="22"/>
                <w:szCs w:val="22"/>
              </w:rPr>
            </w:pPr>
            <w:r>
              <w:rPr>
                <w:sz w:val="22"/>
                <w:szCs w:val="22"/>
              </w:rPr>
              <w:t>Meget sjælden</w:t>
            </w:r>
          </w:p>
        </w:tc>
        <w:tc>
          <w:tcPr>
            <w:tcW w:w="3721" w:type="dxa"/>
            <w:tcBorders>
              <w:top w:val="single" w:sz="4" w:space="0" w:color="auto"/>
              <w:left w:val="single" w:sz="4" w:space="0" w:color="auto"/>
              <w:bottom w:val="single" w:sz="4" w:space="0" w:color="auto"/>
              <w:right w:val="single" w:sz="4" w:space="0" w:color="auto"/>
            </w:tcBorders>
            <w:hideMark/>
          </w:tcPr>
          <w:p w14:paraId="0AC8405C" w14:textId="77777777" w:rsidR="004E6026" w:rsidRDefault="004E6026">
            <w:pPr>
              <w:rPr>
                <w:sz w:val="22"/>
                <w:szCs w:val="22"/>
              </w:rPr>
            </w:pPr>
            <w:proofErr w:type="spellStart"/>
            <w:r>
              <w:rPr>
                <w:sz w:val="22"/>
                <w:szCs w:val="22"/>
              </w:rPr>
              <w:t>Vertigo</w:t>
            </w:r>
            <w:proofErr w:type="spellEnd"/>
            <w:r>
              <w:rPr>
                <w:sz w:val="22"/>
                <w:szCs w:val="22"/>
              </w:rPr>
              <w:t xml:space="preserve">. </w:t>
            </w:r>
          </w:p>
        </w:tc>
      </w:tr>
      <w:tr w:rsidR="004E6026" w14:paraId="18CD5A87" w14:textId="77777777" w:rsidTr="00C56A05">
        <w:tc>
          <w:tcPr>
            <w:tcW w:w="2893" w:type="dxa"/>
            <w:tcBorders>
              <w:top w:val="single" w:sz="4" w:space="0" w:color="auto"/>
              <w:left w:val="single" w:sz="4" w:space="0" w:color="auto"/>
              <w:bottom w:val="single" w:sz="4" w:space="0" w:color="auto"/>
              <w:right w:val="single" w:sz="4" w:space="0" w:color="auto"/>
            </w:tcBorders>
            <w:hideMark/>
          </w:tcPr>
          <w:p w14:paraId="723783A3" w14:textId="77777777" w:rsidR="004E6026" w:rsidRDefault="004E6026">
            <w:pPr>
              <w:rPr>
                <w:sz w:val="22"/>
                <w:szCs w:val="22"/>
              </w:rPr>
            </w:pPr>
            <w:r>
              <w:rPr>
                <w:sz w:val="22"/>
                <w:szCs w:val="22"/>
              </w:rPr>
              <w:t>Hjerte</w:t>
            </w:r>
          </w:p>
        </w:tc>
        <w:tc>
          <w:tcPr>
            <w:tcW w:w="2163" w:type="dxa"/>
            <w:tcBorders>
              <w:top w:val="single" w:sz="4" w:space="0" w:color="auto"/>
              <w:left w:val="single" w:sz="4" w:space="0" w:color="auto"/>
              <w:bottom w:val="single" w:sz="4" w:space="0" w:color="auto"/>
              <w:right w:val="single" w:sz="4" w:space="0" w:color="auto"/>
            </w:tcBorders>
            <w:hideMark/>
          </w:tcPr>
          <w:p w14:paraId="56C1EC97" w14:textId="77777777" w:rsidR="004E6026" w:rsidRDefault="004E6026">
            <w:pPr>
              <w:rPr>
                <w:sz w:val="22"/>
                <w:szCs w:val="22"/>
              </w:rPr>
            </w:pPr>
            <w:r>
              <w:rPr>
                <w:sz w:val="22"/>
                <w:szCs w:val="22"/>
              </w:rPr>
              <w:t>Meget sjælden</w:t>
            </w:r>
          </w:p>
        </w:tc>
        <w:tc>
          <w:tcPr>
            <w:tcW w:w="3721" w:type="dxa"/>
            <w:tcBorders>
              <w:top w:val="single" w:sz="4" w:space="0" w:color="auto"/>
              <w:left w:val="single" w:sz="4" w:space="0" w:color="auto"/>
              <w:bottom w:val="single" w:sz="4" w:space="0" w:color="auto"/>
              <w:right w:val="single" w:sz="4" w:space="0" w:color="auto"/>
            </w:tcBorders>
            <w:hideMark/>
          </w:tcPr>
          <w:p w14:paraId="689E37BE" w14:textId="77777777" w:rsidR="004E6026" w:rsidRDefault="004E6026">
            <w:pPr>
              <w:rPr>
                <w:sz w:val="22"/>
                <w:szCs w:val="22"/>
              </w:rPr>
            </w:pPr>
            <w:r>
              <w:rPr>
                <w:sz w:val="22"/>
                <w:szCs w:val="22"/>
                <w:lang w:eastAsia="en-GB"/>
              </w:rPr>
              <w:t>Angina pectoris, bradykardi.</w:t>
            </w:r>
          </w:p>
        </w:tc>
      </w:tr>
      <w:tr w:rsidR="004E6026" w14:paraId="3C92F87C" w14:textId="77777777" w:rsidTr="00C56A05">
        <w:tc>
          <w:tcPr>
            <w:tcW w:w="2893" w:type="dxa"/>
            <w:tcBorders>
              <w:top w:val="single" w:sz="4" w:space="0" w:color="auto"/>
              <w:left w:val="single" w:sz="4" w:space="0" w:color="auto"/>
              <w:bottom w:val="single" w:sz="4" w:space="0" w:color="auto"/>
              <w:right w:val="single" w:sz="4" w:space="0" w:color="auto"/>
            </w:tcBorders>
            <w:hideMark/>
          </w:tcPr>
          <w:p w14:paraId="1916B31B" w14:textId="77777777" w:rsidR="004E6026" w:rsidRDefault="004E6026">
            <w:pPr>
              <w:rPr>
                <w:sz w:val="22"/>
                <w:szCs w:val="22"/>
              </w:rPr>
            </w:pPr>
            <w:proofErr w:type="spellStart"/>
            <w:r>
              <w:rPr>
                <w:sz w:val="22"/>
                <w:szCs w:val="22"/>
              </w:rPr>
              <w:t>Vaskulære</w:t>
            </w:r>
            <w:proofErr w:type="spellEnd"/>
            <w:r>
              <w:rPr>
                <w:sz w:val="22"/>
                <w:szCs w:val="22"/>
              </w:rPr>
              <w:t xml:space="preserve"> sygdomme</w:t>
            </w:r>
          </w:p>
        </w:tc>
        <w:tc>
          <w:tcPr>
            <w:tcW w:w="2163" w:type="dxa"/>
            <w:tcBorders>
              <w:top w:val="single" w:sz="4" w:space="0" w:color="auto"/>
              <w:left w:val="single" w:sz="4" w:space="0" w:color="auto"/>
              <w:bottom w:val="single" w:sz="4" w:space="0" w:color="auto"/>
              <w:right w:val="single" w:sz="4" w:space="0" w:color="auto"/>
            </w:tcBorders>
            <w:hideMark/>
          </w:tcPr>
          <w:p w14:paraId="16E1BFEB" w14:textId="77777777" w:rsidR="004E6026" w:rsidRDefault="004E6026">
            <w:pPr>
              <w:rPr>
                <w:sz w:val="22"/>
                <w:szCs w:val="22"/>
              </w:rPr>
            </w:pPr>
            <w:r>
              <w:rPr>
                <w:sz w:val="22"/>
                <w:szCs w:val="22"/>
              </w:rPr>
              <w:t>Meget sjælden</w:t>
            </w:r>
          </w:p>
        </w:tc>
        <w:tc>
          <w:tcPr>
            <w:tcW w:w="3721" w:type="dxa"/>
            <w:tcBorders>
              <w:top w:val="single" w:sz="4" w:space="0" w:color="auto"/>
              <w:left w:val="single" w:sz="4" w:space="0" w:color="auto"/>
              <w:bottom w:val="single" w:sz="4" w:space="0" w:color="auto"/>
              <w:right w:val="single" w:sz="4" w:space="0" w:color="auto"/>
            </w:tcBorders>
            <w:hideMark/>
          </w:tcPr>
          <w:p w14:paraId="6D8C5B2E" w14:textId="77777777" w:rsidR="004E6026" w:rsidRDefault="004E6026">
            <w:pPr>
              <w:rPr>
                <w:sz w:val="22"/>
                <w:szCs w:val="22"/>
                <w:lang w:eastAsia="en-GB"/>
              </w:rPr>
            </w:pPr>
            <w:r>
              <w:rPr>
                <w:sz w:val="22"/>
                <w:szCs w:val="22"/>
                <w:lang w:eastAsia="en-GB"/>
              </w:rPr>
              <w:t xml:space="preserve">Hypertension. </w:t>
            </w:r>
          </w:p>
        </w:tc>
      </w:tr>
      <w:tr w:rsidR="004E6026" w14:paraId="2B09A7FD" w14:textId="77777777" w:rsidTr="00C56A05">
        <w:tc>
          <w:tcPr>
            <w:tcW w:w="2893" w:type="dxa"/>
            <w:tcBorders>
              <w:top w:val="single" w:sz="4" w:space="0" w:color="auto"/>
              <w:left w:val="single" w:sz="4" w:space="0" w:color="auto"/>
              <w:bottom w:val="nil"/>
              <w:right w:val="single" w:sz="4" w:space="0" w:color="auto"/>
            </w:tcBorders>
            <w:hideMark/>
          </w:tcPr>
          <w:p w14:paraId="6D5381CA" w14:textId="77777777" w:rsidR="004E6026" w:rsidRDefault="004E6026">
            <w:pPr>
              <w:rPr>
                <w:sz w:val="22"/>
                <w:szCs w:val="22"/>
                <w:lang w:eastAsia="da-DK"/>
              </w:rPr>
            </w:pPr>
            <w:r>
              <w:rPr>
                <w:sz w:val="22"/>
                <w:szCs w:val="22"/>
              </w:rPr>
              <w:t xml:space="preserve">Mave-tarm-kanalen </w:t>
            </w:r>
          </w:p>
        </w:tc>
        <w:tc>
          <w:tcPr>
            <w:tcW w:w="2163" w:type="dxa"/>
            <w:tcBorders>
              <w:top w:val="single" w:sz="4" w:space="0" w:color="auto"/>
              <w:left w:val="single" w:sz="4" w:space="0" w:color="auto"/>
              <w:bottom w:val="single" w:sz="4" w:space="0" w:color="auto"/>
              <w:right w:val="single" w:sz="4" w:space="0" w:color="auto"/>
            </w:tcBorders>
            <w:hideMark/>
          </w:tcPr>
          <w:p w14:paraId="37A70CEF" w14:textId="77777777" w:rsidR="004E6026" w:rsidRDefault="004E6026">
            <w:pPr>
              <w:rPr>
                <w:sz w:val="22"/>
                <w:szCs w:val="22"/>
              </w:rPr>
            </w:pPr>
            <w:r>
              <w:rPr>
                <w:sz w:val="22"/>
                <w:szCs w:val="22"/>
              </w:rPr>
              <w:t>Ikke almindelig</w:t>
            </w:r>
          </w:p>
        </w:tc>
        <w:tc>
          <w:tcPr>
            <w:tcW w:w="3721" w:type="dxa"/>
            <w:tcBorders>
              <w:top w:val="single" w:sz="4" w:space="0" w:color="auto"/>
              <w:left w:val="single" w:sz="4" w:space="0" w:color="auto"/>
              <w:bottom w:val="single" w:sz="4" w:space="0" w:color="auto"/>
              <w:right w:val="single" w:sz="4" w:space="0" w:color="auto"/>
            </w:tcBorders>
            <w:hideMark/>
          </w:tcPr>
          <w:p w14:paraId="1EA7EBB1" w14:textId="77777777" w:rsidR="004E6026" w:rsidRDefault="004E6026">
            <w:pPr>
              <w:rPr>
                <w:sz w:val="22"/>
                <w:szCs w:val="22"/>
                <w:lang w:eastAsia="en-GB"/>
              </w:rPr>
            </w:pPr>
            <w:r>
              <w:rPr>
                <w:sz w:val="22"/>
                <w:szCs w:val="22"/>
                <w:lang w:eastAsia="en-GB"/>
              </w:rPr>
              <w:t xml:space="preserve">Opkast, kvalme og diarré kan forekomme. Især hos patienter med en sart mave kan denne reaktion undgås ved at tage </w:t>
            </w:r>
            <w:proofErr w:type="spellStart"/>
            <w:r>
              <w:rPr>
                <w:sz w:val="22"/>
                <w:szCs w:val="22"/>
                <w:lang w:eastAsia="en-GB"/>
              </w:rPr>
              <w:t>allopurinol</w:t>
            </w:r>
            <w:proofErr w:type="spellEnd"/>
            <w:r>
              <w:rPr>
                <w:sz w:val="22"/>
                <w:szCs w:val="22"/>
                <w:lang w:eastAsia="en-GB"/>
              </w:rPr>
              <w:t xml:space="preserve"> efter måltider sammen med et tilstrækkeligt indtag af vand. </w:t>
            </w:r>
          </w:p>
        </w:tc>
      </w:tr>
      <w:tr w:rsidR="004E6026" w14:paraId="058CE213" w14:textId="77777777" w:rsidTr="00C56A05">
        <w:tc>
          <w:tcPr>
            <w:tcW w:w="2893" w:type="dxa"/>
            <w:tcBorders>
              <w:top w:val="nil"/>
              <w:left w:val="single" w:sz="4" w:space="0" w:color="auto"/>
              <w:bottom w:val="nil"/>
              <w:right w:val="single" w:sz="4" w:space="0" w:color="auto"/>
            </w:tcBorders>
          </w:tcPr>
          <w:p w14:paraId="2C7E61B7" w14:textId="77777777" w:rsidR="004E6026" w:rsidRDefault="004E6026">
            <w:pPr>
              <w:rPr>
                <w:sz w:val="22"/>
                <w:szCs w:val="22"/>
                <w:lang w:eastAsia="da-DK"/>
              </w:rPr>
            </w:pPr>
          </w:p>
        </w:tc>
        <w:tc>
          <w:tcPr>
            <w:tcW w:w="2163" w:type="dxa"/>
            <w:tcBorders>
              <w:top w:val="single" w:sz="4" w:space="0" w:color="auto"/>
              <w:left w:val="single" w:sz="4" w:space="0" w:color="auto"/>
              <w:bottom w:val="single" w:sz="4" w:space="0" w:color="auto"/>
              <w:right w:val="single" w:sz="4" w:space="0" w:color="auto"/>
            </w:tcBorders>
            <w:hideMark/>
          </w:tcPr>
          <w:p w14:paraId="077763EE" w14:textId="77777777" w:rsidR="004E6026" w:rsidRDefault="004E6026">
            <w:pPr>
              <w:rPr>
                <w:sz w:val="22"/>
                <w:szCs w:val="22"/>
              </w:rPr>
            </w:pPr>
            <w:r>
              <w:rPr>
                <w:sz w:val="22"/>
                <w:szCs w:val="22"/>
              </w:rPr>
              <w:t>Meget sjælden</w:t>
            </w:r>
          </w:p>
        </w:tc>
        <w:tc>
          <w:tcPr>
            <w:tcW w:w="3721" w:type="dxa"/>
            <w:tcBorders>
              <w:top w:val="single" w:sz="4" w:space="0" w:color="auto"/>
              <w:left w:val="single" w:sz="4" w:space="0" w:color="auto"/>
              <w:bottom w:val="single" w:sz="4" w:space="0" w:color="auto"/>
              <w:right w:val="single" w:sz="4" w:space="0" w:color="auto"/>
            </w:tcBorders>
            <w:hideMark/>
          </w:tcPr>
          <w:p w14:paraId="0A4148A7" w14:textId="77777777" w:rsidR="004E6026" w:rsidRDefault="004E6026">
            <w:pPr>
              <w:rPr>
                <w:sz w:val="22"/>
                <w:szCs w:val="22"/>
                <w:lang w:eastAsia="en-GB"/>
              </w:rPr>
            </w:pPr>
            <w:proofErr w:type="spellStart"/>
            <w:r>
              <w:rPr>
                <w:sz w:val="22"/>
                <w:szCs w:val="22"/>
                <w:lang w:eastAsia="en-GB"/>
              </w:rPr>
              <w:t>Hæmatemese</w:t>
            </w:r>
            <w:proofErr w:type="spellEnd"/>
            <w:r>
              <w:rPr>
                <w:sz w:val="22"/>
                <w:szCs w:val="22"/>
                <w:lang w:eastAsia="en-GB"/>
              </w:rPr>
              <w:t xml:space="preserve">, </w:t>
            </w:r>
            <w:proofErr w:type="spellStart"/>
            <w:r>
              <w:rPr>
                <w:sz w:val="22"/>
                <w:szCs w:val="22"/>
                <w:lang w:eastAsia="en-GB"/>
              </w:rPr>
              <w:t>steatorré</w:t>
            </w:r>
            <w:proofErr w:type="spellEnd"/>
            <w:r>
              <w:rPr>
                <w:sz w:val="22"/>
                <w:szCs w:val="22"/>
                <w:lang w:eastAsia="en-GB"/>
              </w:rPr>
              <w:t xml:space="preserve">, </w:t>
            </w:r>
            <w:proofErr w:type="spellStart"/>
            <w:r>
              <w:rPr>
                <w:sz w:val="22"/>
                <w:szCs w:val="22"/>
                <w:lang w:eastAsia="en-GB"/>
              </w:rPr>
              <w:t>stomatitis</w:t>
            </w:r>
            <w:proofErr w:type="spellEnd"/>
            <w:r>
              <w:rPr>
                <w:sz w:val="22"/>
                <w:szCs w:val="22"/>
                <w:lang w:eastAsia="en-GB"/>
              </w:rPr>
              <w:t>.</w:t>
            </w:r>
          </w:p>
        </w:tc>
      </w:tr>
      <w:tr w:rsidR="004E6026" w14:paraId="1FD4FA8A" w14:textId="77777777" w:rsidTr="00C56A05">
        <w:tc>
          <w:tcPr>
            <w:tcW w:w="2893" w:type="dxa"/>
            <w:tcBorders>
              <w:top w:val="nil"/>
              <w:left w:val="single" w:sz="4" w:space="0" w:color="auto"/>
              <w:bottom w:val="single" w:sz="4" w:space="0" w:color="auto"/>
              <w:right w:val="single" w:sz="4" w:space="0" w:color="auto"/>
            </w:tcBorders>
          </w:tcPr>
          <w:p w14:paraId="08C9973F" w14:textId="77777777" w:rsidR="004E6026" w:rsidRDefault="004E6026">
            <w:pPr>
              <w:rPr>
                <w:sz w:val="22"/>
                <w:szCs w:val="22"/>
                <w:lang w:eastAsia="da-DK"/>
              </w:rPr>
            </w:pPr>
          </w:p>
        </w:tc>
        <w:tc>
          <w:tcPr>
            <w:tcW w:w="2163" w:type="dxa"/>
            <w:tcBorders>
              <w:top w:val="single" w:sz="4" w:space="0" w:color="auto"/>
              <w:left w:val="single" w:sz="4" w:space="0" w:color="auto"/>
              <w:bottom w:val="single" w:sz="4" w:space="0" w:color="auto"/>
              <w:right w:val="single" w:sz="4" w:space="0" w:color="auto"/>
            </w:tcBorders>
            <w:hideMark/>
          </w:tcPr>
          <w:p w14:paraId="38BC0309" w14:textId="77777777" w:rsidR="004E6026" w:rsidRDefault="004E6026">
            <w:pPr>
              <w:rPr>
                <w:sz w:val="22"/>
                <w:szCs w:val="22"/>
              </w:rPr>
            </w:pPr>
            <w:r>
              <w:rPr>
                <w:sz w:val="22"/>
                <w:szCs w:val="22"/>
              </w:rPr>
              <w:t>Ikke kendt</w:t>
            </w:r>
          </w:p>
        </w:tc>
        <w:tc>
          <w:tcPr>
            <w:tcW w:w="3721" w:type="dxa"/>
            <w:tcBorders>
              <w:top w:val="single" w:sz="4" w:space="0" w:color="auto"/>
              <w:left w:val="single" w:sz="4" w:space="0" w:color="auto"/>
              <w:bottom w:val="single" w:sz="4" w:space="0" w:color="auto"/>
              <w:right w:val="single" w:sz="4" w:space="0" w:color="auto"/>
            </w:tcBorders>
            <w:hideMark/>
          </w:tcPr>
          <w:p w14:paraId="1FCD3E1F" w14:textId="77777777" w:rsidR="004E6026" w:rsidRDefault="004E6026">
            <w:pPr>
              <w:rPr>
                <w:sz w:val="22"/>
                <w:szCs w:val="22"/>
                <w:lang w:eastAsia="en-GB"/>
              </w:rPr>
            </w:pPr>
            <w:proofErr w:type="spellStart"/>
            <w:r>
              <w:rPr>
                <w:sz w:val="22"/>
                <w:szCs w:val="22"/>
                <w:lang w:eastAsia="en-GB"/>
              </w:rPr>
              <w:t>Gastrointestinale</w:t>
            </w:r>
            <w:proofErr w:type="spellEnd"/>
            <w:r>
              <w:rPr>
                <w:sz w:val="22"/>
                <w:szCs w:val="22"/>
                <w:lang w:eastAsia="en-GB"/>
              </w:rPr>
              <w:t xml:space="preserve"> blødninger.</w:t>
            </w:r>
          </w:p>
        </w:tc>
      </w:tr>
      <w:tr w:rsidR="004E6026" w14:paraId="4BF44FE5" w14:textId="77777777" w:rsidTr="00C56A05">
        <w:tc>
          <w:tcPr>
            <w:tcW w:w="2893" w:type="dxa"/>
            <w:tcBorders>
              <w:top w:val="single" w:sz="4" w:space="0" w:color="auto"/>
              <w:left w:val="single" w:sz="4" w:space="0" w:color="auto"/>
              <w:bottom w:val="single" w:sz="4" w:space="0" w:color="auto"/>
              <w:right w:val="single" w:sz="4" w:space="0" w:color="auto"/>
            </w:tcBorders>
            <w:hideMark/>
          </w:tcPr>
          <w:p w14:paraId="489C3A5A" w14:textId="77777777" w:rsidR="004E6026" w:rsidRDefault="004E6026">
            <w:pPr>
              <w:rPr>
                <w:sz w:val="22"/>
                <w:szCs w:val="22"/>
                <w:lang w:eastAsia="da-DK"/>
              </w:rPr>
            </w:pPr>
            <w:r>
              <w:rPr>
                <w:sz w:val="22"/>
                <w:szCs w:val="22"/>
              </w:rPr>
              <w:t>Lever og galdeveje</w:t>
            </w:r>
          </w:p>
        </w:tc>
        <w:tc>
          <w:tcPr>
            <w:tcW w:w="2163" w:type="dxa"/>
            <w:tcBorders>
              <w:top w:val="single" w:sz="4" w:space="0" w:color="auto"/>
              <w:left w:val="single" w:sz="4" w:space="0" w:color="auto"/>
              <w:bottom w:val="single" w:sz="4" w:space="0" w:color="auto"/>
              <w:right w:val="single" w:sz="4" w:space="0" w:color="auto"/>
            </w:tcBorders>
            <w:hideMark/>
          </w:tcPr>
          <w:p w14:paraId="2C776DB5" w14:textId="77777777" w:rsidR="004E6026" w:rsidRDefault="004E6026">
            <w:pPr>
              <w:rPr>
                <w:sz w:val="22"/>
                <w:szCs w:val="22"/>
              </w:rPr>
            </w:pPr>
            <w:r>
              <w:rPr>
                <w:sz w:val="22"/>
                <w:szCs w:val="22"/>
              </w:rPr>
              <w:t>Sjælden</w:t>
            </w:r>
          </w:p>
        </w:tc>
        <w:tc>
          <w:tcPr>
            <w:tcW w:w="3721" w:type="dxa"/>
            <w:tcBorders>
              <w:top w:val="single" w:sz="4" w:space="0" w:color="auto"/>
              <w:left w:val="single" w:sz="4" w:space="0" w:color="auto"/>
              <w:bottom w:val="single" w:sz="4" w:space="0" w:color="auto"/>
              <w:right w:val="single" w:sz="4" w:space="0" w:color="auto"/>
            </w:tcBorders>
            <w:hideMark/>
          </w:tcPr>
          <w:p w14:paraId="7CB87884" w14:textId="77777777" w:rsidR="004E6026" w:rsidRDefault="004E6026">
            <w:pPr>
              <w:rPr>
                <w:sz w:val="22"/>
                <w:szCs w:val="22"/>
                <w:lang w:eastAsia="en-GB"/>
              </w:rPr>
            </w:pPr>
            <w:r>
              <w:rPr>
                <w:sz w:val="22"/>
                <w:szCs w:val="22"/>
                <w:lang w:eastAsia="en-GB"/>
              </w:rPr>
              <w:t xml:space="preserve">Der er i sjældne tilfælde rapporteret om leverdysfunktion, der spænder fra asymptomatisk unormale leverfunktionstest til hepatitis (inklusive levernekrose og </w:t>
            </w:r>
            <w:proofErr w:type="spellStart"/>
            <w:r>
              <w:rPr>
                <w:sz w:val="22"/>
                <w:szCs w:val="22"/>
                <w:lang w:eastAsia="en-GB"/>
              </w:rPr>
              <w:t>granulomatøs</w:t>
            </w:r>
            <w:proofErr w:type="spellEnd"/>
            <w:r>
              <w:rPr>
                <w:sz w:val="22"/>
                <w:szCs w:val="22"/>
                <w:lang w:eastAsia="en-GB"/>
              </w:rPr>
              <w:t xml:space="preserve"> hepatitis).</w:t>
            </w:r>
          </w:p>
        </w:tc>
      </w:tr>
      <w:tr w:rsidR="004E6026" w14:paraId="2AB07A9E" w14:textId="77777777" w:rsidTr="00C56A05">
        <w:tc>
          <w:tcPr>
            <w:tcW w:w="2893" w:type="dxa"/>
            <w:tcBorders>
              <w:top w:val="single" w:sz="4" w:space="0" w:color="auto"/>
              <w:left w:val="single" w:sz="4" w:space="0" w:color="auto"/>
              <w:bottom w:val="nil"/>
              <w:right w:val="single" w:sz="4" w:space="0" w:color="auto"/>
            </w:tcBorders>
            <w:hideMark/>
          </w:tcPr>
          <w:p w14:paraId="76A9EC6A" w14:textId="77777777" w:rsidR="004E6026" w:rsidRDefault="004E6026">
            <w:pPr>
              <w:rPr>
                <w:sz w:val="22"/>
                <w:szCs w:val="22"/>
                <w:lang w:eastAsia="da-DK"/>
              </w:rPr>
            </w:pPr>
            <w:r>
              <w:rPr>
                <w:sz w:val="22"/>
                <w:szCs w:val="22"/>
              </w:rPr>
              <w:t>Hud og subkutan</w:t>
            </w:r>
            <w:r>
              <w:t>e</w:t>
            </w:r>
            <w:r>
              <w:rPr>
                <w:sz w:val="22"/>
                <w:szCs w:val="22"/>
              </w:rPr>
              <w:t xml:space="preserve"> væv</w:t>
            </w:r>
          </w:p>
        </w:tc>
        <w:tc>
          <w:tcPr>
            <w:tcW w:w="2163" w:type="dxa"/>
            <w:tcBorders>
              <w:top w:val="single" w:sz="4" w:space="0" w:color="auto"/>
              <w:left w:val="single" w:sz="4" w:space="0" w:color="auto"/>
              <w:bottom w:val="single" w:sz="4" w:space="0" w:color="auto"/>
              <w:right w:val="single" w:sz="4" w:space="0" w:color="auto"/>
            </w:tcBorders>
            <w:hideMark/>
          </w:tcPr>
          <w:p w14:paraId="6FDF91BF" w14:textId="77777777" w:rsidR="004E6026" w:rsidRDefault="004E6026">
            <w:pPr>
              <w:rPr>
                <w:sz w:val="22"/>
                <w:szCs w:val="22"/>
              </w:rPr>
            </w:pPr>
            <w:r>
              <w:rPr>
                <w:sz w:val="22"/>
                <w:szCs w:val="22"/>
              </w:rPr>
              <w:t>Almindelig</w:t>
            </w:r>
          </w:p>
        </w:tc>
        <w:tc>
          <w:tcPr>
            <w:tcW w:w="3721" w:type="dxa"/>
            <w:tcBorders>
              <w:top w:val="single" w:sz="4" w:space="0" w:color="auto"/>
              <w:left w:val="single" w:sz="4" w:space="0" w:color="auto"/>
              <w:bottom w:val="single" w:sz="4" w:space="0" w:color="auto"/>
              <w:right w:val="single" w:sz="4" w:space="0" w:color="auto"/>
            </w:tcBorders>
          </w:tcPr>
          <w:p w14:paraId="6EE7344F" w14:textId="77B0640C" w:rsidR="004E6026" w:rsidRDefault="004E6026">
            <w:pPr>
              <w:rPr>
                <w:sz w:val="22"/>
                <w:szCs w:val="22"/>
                <w:lang w:eastAsia="en-GB"/>
              </w:rPr>
            </w:pPr>
            <w:r>
              <w:rPr>
                <w:sz w:val="22"/>
                <w:szCs w:val="22"/>
                <w:lang w:eastAsia="en-GB"/>
              </w:rPr>
              <w:t>Hudreaktioner er de mest almindelige reaktioner (ca. 4</w:t>
            </w:r>
            <w:r w:rsidR="001856B6">
              <w:rPr>
                <w:sz w:val="22"/>
                <w:szCs w:val="22"/>
                <w:lang w:eastAsia="en-GB"/>
              </w:rPr>
              <w:t xml:space="preserve"> %</w:t>
            </w:r>
            <w:r>
              <w:rPr>
                <w:sz w:val="22"/>
                <w:szCs w:val="22"/>
                <w:lang w:eastAsia="en-GB"/>
              </w:rPr>
              <w:t xml:space="preserve">) og de kan forekomme når som helst under behandlingen. De kan være </w:t>
            </w:r>
            <w:proofErr w:type="spellStart"/>
            <w:r>
              <w:rPr>
                <w:sz w:val="22"/>
                <w:szCs w:val="22"/>
                <w:lang w:eastAsia="en-GB"/>
              </w:rPr>
              <w:t>pruritiske</w:t>
            </w:r>
            <w:proofErr w:type="spellEnd"/>
            <w:r>
              <w:rPr>
                <w:sz w:val="22"/>
                <w:szCs w:val="22"/>
                <w:lang w:eastAsia="en-GB"/>
              </w:rPr>
              <w:t xml:space="preserve">, </w:t>
            </w:r>
            <w:proofErr w:type="spellStart"/>
            <w:r>
              <w:rPr>
                <w:sz w:val="22"/>
                <w:szCs w:val="22"/>
                <w:lang w:eastAsia="en-GB"/>
              </w:rPr>
              <w:t>makulo-papuløse</w:t>
            </w:r>
            <w:proofErr w:type="spellEnd"/>
            <w:r>
              <w:rPr>
                <w:sz w:val="22"/>
                <w:szCs w:val="22"/>
                <w:lang w:eastAsia="en-GB"/>
              </w:rPr>
              <w:t xml:space="preserve">, sommetider med afskalning, sommetider </w:t>
            </w:r>
            <w:proofErr w:type="spellStart"/>
            <w:r>
              <w:rPr>
                <w:sz w:val="22"/>
                <w:szCs w:val="22"/>
                <w:lang w:eastAsia="en-GB"/>
              </w:rPr>
              <w:t>purpura</w:t>
            </w:r>
            <w:proofErr w:type="spellEnd"/>
            <w:r>
              <w:rPr>
                <w:sz w:val="22"/>
                <w:szCs w:val="22"/>
                <w:lang w:eastAsia="en-GB"/>
              </w:rPr>
              <w:t xml:space="preserve">, og sjældnere eksfolierende. </w:t>
            </w:r>
            <w:proofErr w:type="spellStart"/>
            <w:r w:rsidR="00263CB7">
              <w:rPr>
                <w:sz w:val="22"/>
                <w:szCs w:val="22"/>
                <w:lang w:eastAsia="en-GB"/>
              </w:rPr>
              <w:t>Allopurinol</w:t>
            </w:r>
            <w:proofErr w:type="spellEnd"/>
            <w:r w:rsidR="00263CB7">
              <w:rPr>
                <w:sz w:val="22"/>
                <w:szCs w:val="22"/>
                <w:lang w:eastAsia="en-GB"/>
              </w:rPr>
              <w:t xml:space="preserve"> ”Nordic Prime”</w:t>
            </w:r>
            <w:r>
              <w:rPr>
                <w:sz w:val="22"/>
                <w:szCs w:val="22"/>
                <w:lang w:eastAsia="en-GB"/>
              </w:rPr>
              <w:t xml:space="preserve"> bør seponeres straks, hvis sådanne hudreaktioner opstår. Efter rekonvalescens efter milde reaktioner kan </w:t>
            </w:r>
            <w:proofErr w:type="spellStart"/>
            <w:r>
              <w:rPr>
                <w:sz w:val="22"/>
                <w:szCs w:val="22"/>
                <w:lang w:eastAsia="en-GB"/>
              </w:rPr>
              <w:t>allopurinol</w:t>
            </w:r>
            <w:proofErr w:type="spellEnd"/>
            <w:r>
              <w:rPr>
                <w:sz w:val="22"/>
                <w:szCs w:val="22"/>
                <w:lang w:eastAsia="en-GB"/>
              </w:rPr>
              <w:t xml:space="preserve"> reintroduceres ved lav dosis (f.eks. 50 mg/dag) og gradvist øges, hvis det ønskes. Hvis udslæt opstår igen, bør </w:t>
            </w:r>
            <w:proofErr w:type="spellStart"/>
            <w:r>
              <w:rPr>
                <w:sz w:val="22"/>
                <w:szCs w:val="22"/>
                <w:lang w:eastAsia="en-GB"/>
              </w:rPr>
              <w:t>allopurinol</w:t>
            </w:r>
            <w:proofErr w:type="spellEnd"/>
            <w:r>
              <w:rPr>
                <w:sz w:val="22"/>
                <w:szCs w:val="22"/>
                <w:lang w:eastAsia="en-GB"/>
              </w:rPr>
              <w:t xml:space="preserve"> seponeres permanent, da mere </w:t>
            </w:r>
            <w:r>
              <w:rPr>
                <w:sz w:val="22"/>
                <w:szCs w:val="22"/>
              </w:rPr>
              <w:t>alvorlige generaliserede overfølsomhedsreaktioner</w:t>
            </w:r>
            <w:r>
              <w:rPr>
                <w:sz w:val="22"/>
                <w:szCs w:val="22"/>
                <w:lang w:eastAsia="en-GB"/>
              </w:rPr>
              <w:t xml:space="preserve"> kan opstå (se pkt. 4.8 Immunsystemet og pkt. 4.4). </w:t>
            </w:r>
          </w:p>
          <w:p w14:paraId="36CEB881" w14:textId="77777777" w:rsidR="004E6026" w:rsidRDefault="004E6026">
            <w:pPr>
              <w:rPr>
                <w:sz w:val="22"/>
                <w:szCs w:val="22"/>
                <w:lang w:eastAsia="en-GB"/>
              </w:rPr>
            </w:pPr>
          </w:p>
          <w:p w14:paraId="338905CE" w14:textId="77777777" w:rsidR="004E6026" w:rsidRDefault="004E6026">
            <w:pPr>
              <w:rPr>
                <w:sz w:val="22"/>
                <w:szCs w:val="22"/>
                <w:lang w:eastAsia="en-GB"/>
              </w:rPr>
            </w:pPr>
            <w:r>
              <w:rPr>
                <w:sz w:val="22"/>
                <w:szCs w:val="22"/>
                <w:lang w:eastAsia="en-GB"/>
              </w:rPr>
              <w:t xml:space="preserve">Ydermere, i individuelle sager, var overfølsomhedsreaktionerne forbundet med feber, hudreaktioner, kulderystelser og ledsmerter, nedsat leverfunktion (reversibel øgning af </w:t>
            </w:r>
            <w:proofErr w:type="spellStart"/>
            <w:r>
              <w:rPr>
                <w:sz w:val="22"/>
                <w:szCs w:val="22"/>
                <w:lang w:eastAsia="en-GB"/>
              </w:rPr>
              <w:t>transaminaser</w:t>
            </w:r>
            <w:proofErr w:type="spellEnd"/>
            <w:r>
              <w:rPr>
                <w:sz w:val="22"/>
                <w:szCs w:val="22"/>
                <w:lang w:eastAsia="en-GB"/>
              </w:rPr>
              <w:t xml:space="preserve"> og </w:t>
            </w:r>
            <w:proofErr w:type="spellStart"/>
            <w:r>
              <w:rPr>
                <w:sz w:val="22"/>
                <w:szCs w:val="22"/>
                <w:lang w:eastAsia="en-GB"/>
              </w:rPr>
              <w:t>alkaline</w:t>
            </w:r>
            <w:proofErr w:type="spellEnd"/>
            <w:r>
              <w:rPr>
                <w:sz w:val="22"/>
                <w:szCs w:val="22"/>
                <w:lang w:eastAsia="en-GB"/>
              </w:rPr>
              <w:t xml:space="preserve"> </w:t>
            </w:r>
            <w:proofErr w:type="spellStart"/>
            <w:r>
              <w:rPr>
                <w:sz w:val="22"/>
                <w:szCs w:val="22"/>
                <w:lang w:eastAsia="en-GB"/>
              </w:rPr>
              <w:t>phophataser</w:t>
            </w:r>
            <w:proofErr w:type="spellEnd"/>
            <w:r>
              <w:rPr>
                <w:sz w:val="22"/>
                <w:szCs w:val="22"/>
                <w:lang w:eastAsia="en-GB"/>
              </w:rPr>
              <w:t xml:space="preserve">), akut </w:t>
            </w:r>
            <w:proofErr w:type="spellStart"/>
            <w:r>
              <w:rPr>
                <w:sz w:val="22"/>
                <w:szCs w:val="22"/>
                <w:lang w:eastAsia="en-GB"/>
              </w:rPr>
              <w:t>kolangitis</w:t>
            </w:r>
            <w:proofErr w:type="spellEnd"/>
            <w:r>
              <w:rPr>
                <w:sz w:val="22"/>
                <w:szCs w:val="22"/>
                <w:lang w:eastAsia="en-GB"/>
              </w:rPr>
              <w:t xml:space="preserve"> og </w:t>
            </w:r>
            <w:proofErr w:type="spellStart"/>
            <w:r>
              <w:rPr>
                <w:sz w:val="22"/>
                <w:szCs w:val="22"/>
                <w:lang w:eastAsia="en-GB"/>
              </w:rPr>
              <w:t>xanthinsten</w:t>
            </w:r>
            <w:proofErr w:type="spellEnd"/>
            <w:r>
              <w:rPr>
                <w:sz w:val="22"/>
                <w:szCs w:val="22"/>
                <w:lang w:eastAsia="en-GB"/>
              </w:rPr>
              <w:t xml:space="preserve">. </w:t>
            </w:r>
          </w:p>
        </w:tc>
      </w:tr>
      <w:tr w:rsidR="004E6026" w14:paraId="3031EDF9" w14:textId="77777777" w:rsidTr="00C56A05">
        <w:tc>
          <w:tcPr>
            <w:tcW w:w="2893" w:type="dxa"/>
            <w:tcBorders>
              <w:top w:val="nil"/>
              <w:left w:val="single" w:sz="4" w:space="0" w:color="auto"/>
              <w:bottom w:val="single" w:sz="4" w:space="0" w:color="auto"/>
              <w:right w:val="single" w:sz="4" w:space="0" w:color="auto"/>
            </w:tcBorders>
          </w:tcPr>
          <w:p w14:paraId="4F5CBD83" w14:textId="77777777" w:rsidR="004E6026" w:rsidRDefault="004E6026">
            <w:pPr>
              <w:rPr>
                <w:sz w:val="22"/>
                <w:szCs w:val="22"/>
                <w:lang w:eastAsia="da-DK"/>
              </w:rPr>
            </w:pPr>
          </w:p>
        </w:tc>
        <w:tc>
          <w:tcPr>
            <w:tcW w:w="2163" w:type="dxa"/>
            <w:tcBorders>
              <w:top w:val="single" w:sz="4" w:space="0" w:color="auto"/>
              <w:left w:val="single" w:sz="4" w:space="0" w:color="auto"/>
              <w:bottom w:val="single" w:sz="4" w:space="0" w:color="auto"/>
              <w:right w:val="single" w:sz="4" w:space="0" w:color="auto"/>
            </w:tcBorders>
            <w:hideMark/>
          </w:tcPr>
          <w:p w14:paraId="33DF3AAF" w14:textId="77777777" w:rsidR="004E6026" w:rsidRDefault="004E6026">
            <w:pPr>
              <w:rPr>
                <w:sz w:val="22"/>
                <w:szCs w:val="22"/>
              </w:rPr>
            </w:pPr>
            <w:r>
              <w:rPr>
                <w:sz w:val="22"/>
                <w:szCs w:val="22"/>
              </w:rPr>
              <w:t>Meget sjælden</w:t>
            </w:r>
          </w:p>
        </w:tc>
        <w:tc>
          <w:tcPr>
            <w:tcW w:w="3721" w:type="dxa"/>
            <w:tcBorders>
              <w:top w:val="single" w:sz="4" w:space="0" w:color="auto"/>
              <w:left w:val="single" w:sz="4" w:space="0" w:color="auto"/>
              <w:bottom w:val="single" w:sz="4" w:space="0" w:color="auto"/>
              <w:right w:val="single" w:sz="4" w:space="0" w:color="auto"/>
            </w:tcBorders>
            <w:hideMark/>
          </w:tcPr>
          <w:p w14:paraId="15DB1B3A" w14:textId="77777777" w:rsidR="004E6026" w:rsidRDefault="004E6026">
            <w:pPr>
              <w:rPr>
                <w:sz w:val="22"/>
                <w:szCs w:val="22"/>
                <w:lang w:eastAsia="en-GB"/>
              </w:rPr>
            </w:pPr>
            <w:proofErr w:type="spellStart"/>
            <w:r>
              <w:rPr>
                <w:sz w:val="22"/>
                <w:szCs w:val="22"/>
                <w:lang w:eastAsia="en-GB"/>
              </w:rPr>
              <w:t>Angioødem</w:t>
            </w:r>
            <w:proofErr w:type="spellEnd"/>
            <w:r>
              <w:rPr>
                <w:sz w:val="22"/>
                <w:szCs w:val="22"/>
                <w:lang w:eastAsia="en-GB"/>
              </w:rPr>
              <w:t xml:space="preserve"> og akut </w:t>
            </w:r>
            <w:proofErr w:type="spellStart"/>
            <w:r>
              <w:rPr>
                <w:sz w:val="22"/>
                <w:szCs w:val="22"/>
                <w:lang w:eastAsia="en-GB"/>
              </w:rPr>
              <w:t>anafylaktisk</w:t>
            </w:r>
            <w:proofErr w:type="spellEnd"/>
            <w:r>
              <w:rPr>
                <w:sz w:val="22"/>
                <w:szCs w:val="22"/>
                <w:lang w:eastAsia="en-GB"/>
              </w:rPr>
              <w:t xml:space="preserve"> </w:t>
            </w:r>
            <w:proofErr w:type="spellStart"/>
            <w:r>
              <w:rPr>
                <w:sz w:val="22"/>
                <w:szCs w:val="22"/>
                <w:lang w:eastAsia="en-GB"/>
              </w:rPr>
              <w:t>shock</w:t>
            </w:r>
            <w:proofErr w:type="spellEnd"/>
            <w:r>
              <w:rPr>
                <w:sz w:val="22"/>
                <w:szCs w:val="22"/>
                <w:lang w:eastAsia="en-GB"/>
              </w:rPr>
              <w:t xml:space="preserve"> har været rapporteret. </w:t>
            </w:r>
          </w:p>
          <w:p w14:paraId="11B036C5" w14:textId="77777777" w:rsidR="004E6026" w:rsidRDefault="004E6026">
            <w:pPr>
              <w:rPr>
                <w:sz w:val="22"/>
                <w:szCs w:val="22"/>
                <w:lang w:eastAsia="en-GB"/>
              </w:rPr>
            </w:pPr>
            <w:proofErr w:type="spellStart"/>
            <w:r>
              <w:rPr>
                <w:sz w:val="22"/>
                <w:szCs w:val="22"/>
                <w:lang w:eastAsia="en-GB"/>
              </w:rPr>
              <w:t>Alopeci</w:t>
            </w:r>
            <w:proofErr w:type="spellEnd"/>
            <w:r>
              <w:rPr>
                <w:sz w:val="22"/>
                <w:szCs w:val="22"/>
                <w:lang w:eastAsia="en-GB"/>
              </w:rPr>
              <w:t xml:space="preserve"> og misfarvning af håret har været rapporteret i individuelle sager. </w:t>
            </w:r>
          </w:p>
        </w:tc>
      </w:tr>
      <w:tr w:rsidR="004E6026" w14:paraId="61ABBABD" w14:textId="77777777" w:rsidTr="00C56A05">
        <w:tc>
          <w:tcPr>
            <w:tcW w:w="2893" w:type="dxa"/>
            <w:tcBorders>
              <w:top w:val="single" w:sz="4" w:space="0" w:color="auto"/>
              <w:left w:val="single" w:sz="4" w:space="0" w:color="auto"/>
              <w:bottom w:val="single" w:sz="4" w:space="0" w:color="auto"/>
              <w:right w:val="single" w:sz="4" w:space="0" w:color="auto"/>
            </w:tcBorders>
            <w:hideMark/>
          </w:tcPr>
          <w:p w14:paraId="06832B19" w14:textId="77777777" w:rsidR="004E6026" w:rsidRDefault="004E6026">
            <w:pPr>
              <w:rPr>
                <w:sz w:val="22"/>
                <w:szCs w:val="22"/>
                <w:lang w:eastAsia="da-DK"/>
              </w:rPr>
            </w:pPr>
            <w:r>
              <w:rPr>
                <w:sz w:val="22"/>
                <w:szCs w:val="22"/>
              </w:rPr>
              <w:t>Knogler, led, muskler og bindeled</w:t>
            </w:r>
          </w:p>
        </w:tc>
        <w:tc>
          <w:tcPr>
            <w:tcW w:w="2163" w:type="dxa"/>
            <w:tcBorders>
              <w:top w:val="single" w:sz="4" w:space="0" w:color="auto"/>
              <w:left w:val="single" w:sz="4" w:space="0" w:color="auto"/>
              <w:bottom w:val="single" w:sz="4" w:space="0" w:color="auto"/>
              <w:right w:val="single" w:sz="4" w:space="0" w:color="auto"/>
            </w:tcBorders>
            <w:hideMark/>
          </w:tcPr>
          <w:p w14:paraId="7119160D" w14:textId="77777777" w:rsidR="004E6026" w:rsidRDefault="004E6026">
            <w:pPr>
              <w:rPr>
                <w:sz w:val="22"/>
                <w:szCs w:val="22"/>
              </w:rPr>
            </w:pPr>
            <w:r>
              <w:rPr>
                <w:sz w:val="22"/>
                <w:szCs w:val="22"/>
              </w:rPr>
              <w:t>Meget sjælden</w:t>
            </w:r>
          </w:p>
        </w:tc>
        <w:tc>
          <w:tcPr>
            <w:tcW w:w="3721" w:type="dxa"/>
            <w:tcBorders>
              <w:top w:val="single" w:sz="4" w:space="0" w:color="auto"/>
              <w:left w:val="single" w:sz="4" w:space="0" w:color="auto"/>
              <w:bottom w:val="single" w:sz="4" w:space="0" w:color="auto"/>
              <w:right w:val="single" w:sz="4" w:space="0" w:color="auto"/>
            </w:tcBorders>
            <w:hideMark/>
          </w:tcPr>
          <w:p w14:paraId="6A6FE4DC" w14:textId="77777777" w:rsidR="004E6026" w:rsidRDefault="004E6026">
            <w:pPr>
              <w:rPr>
                <w:sz w:val="22"/>
                <w:szCs w:val="22"/>
                <w:lang w:eastAsia="en-GB"/>
              </w:rPr>
            </w:pPr>
            <w:r>
              <w:rPr>
                <w:sz w:val="22"/>
                <w:szCs w:val="22"/>
                <w:lang w:eastAsia="en-GB"/>
              </w:rPr>
              <w:t xml:space="preserve">Individuelle rapporter om muskelsmerter. </w:t>
            </w:r>
          </w:p>
        </w:tc>
      </w:tr>
      <w:tr w:rsidR="004E6026" w14:paraId="0EF3A738" w14:textId="77777777" w:rsidTr="00C56A05">
        <w:tc>
          <w:tcPr>
            <w:tcW w:w="2893" w:type="dxa"/>
            <w:tcBorders>
              <w:top w:val="single" w:sz="4" w:space="0" w:color="auto"/>
              <w:left w:val="single" w:sz="4" w:space="0" w:color="auto"/>
              <w:bottom w:val="single" w:sz="4" w:space="0" w:color="auto"/>
              <w:right w:val="single" w:sz="4" w:space="0" w:color="auto"/>
            </w:tcBorders>
            <w:hideMark/>
          </w:tcPr>
          <w:p w14:paraId="1427D74E" w14:textId="77777777" w:rsidR="004E6026" w:rsidRDefault="004E6026">
            <w:pPr>
              <w:rPr>
                <w:sz w:val="22"/>
                <w:szCs w:val="22"/>
                <w:lang w:eastAsia="da-DK"/>
              </w:rPr>
            </w:pPr>
            <w:r>
              <w:rPr>
                <w:sz w:val="22"/>
                <w:szCs w:val="22"/>
              </w:rPr>
              <w:t>Nyrer og urinveje</w:t>
            </w:r>
          </w:p>
        </w:tc>
        <w:tc>
          <w:tcPr>
            <w:tcW w:w="2163" w:type="dxa"/>
            <w:tcBorders>
              <w:top w:val="single" w:sz="4" w:space="0" w:color="auto"/>
              <w:left w:val="single" w:sz="4" w:space="0" w:color="auto"/>
              <w:bottom w:val="single" w:sz="4" w:space="0" w:color="auto"/>
              <w:right w:val="single" w:sz="4" w:space="0" w:color="auto"/>
            </w:tcBorders>
            <w:hideMark/>
          </w:tcPr>
          <w:p w14:paraId="577B7B5D" w14:textId="77777777" w:rsidR="004E6026" w:rsidRDefault="004E6026">
            <w:pPr>
              <w:rPr>
                <w:sz w:val="22"/>
                <w:szCs w:val="22"/>
              </w:rPr>
            </w:pPr>
            <w:r>
              <w:rPr>
                <w:sz w:val="22"/>
                <w:szCs w:val="22"/>
              </w:rPr>
              <w:t>Meget sjælden</w:t>
            </w:r>
          </w:p>
        </w:tc>
        <w:tc>
          <w:tcPr>
            <w:tcW w:w="3721" w:type="dxa"/>
            <w:tcBorders>
              <w:top w:val="single" w:sz="4" w:space="0" w:color="auto"/>
              <w:left w:val="single" w:sz="4" w:space="0" w:color="auto"/>
              <w:bottom w:val="single" w:sz="4" w:space="0" w:color="auto"/>
              <w:right w:val="single" w:sz="4" w:space="0" w:color="auto"/>
            </w:tcBorders>
            <w:hideMark/>
          </w:tcPr>
          <w:p w14:paraId="3738892F" w14:textId="77777777" w:rsidR="004E6026" w:rsidRDefault="004E6026">
            <w:pPr>
              <w:rPr>
                <w:sz w:val="22"/>
                <w:szCs w:val="22"/>
                <w:lang w:eastAsia="en-GB"/>
              </w:rPr>
            </w:pPr>
            <w:proofErr w:type="spellStart"/>
            <w:r>
              <w:rPr>
                <w:sz w:val="22"/>
                <w:szCs w:val="22"/>
                <w:lang w:eastAsia="en-GB"/>
              </w:rPr>
              <w:t>Azotæmi</w:t>
            </w:r>
            <w:proofErr w:type="spellEnd"/>
            <w:r>
              <w:rPr>
                <w:sz w:val="22"/>
                <w:szCs w:val="22"/>
                <w:lang w:eastAsia="en-GB"/>
              </w:rPr>
              <w:t xml:space="preserve">, hæmaturi har været rapporteret i individuelle sager. </w:t>
            </w:r>
          </w:p>
        </w:tc>
      </w:tr>
      <w:tr w:rsidR="004E6026" w14:paraId="1240E375" w14:textId="77777777" w:rsidTr="00C56A05">
        <w:tc>
          <w:tcPr>
            <w:tcW w:w="2893" w:type="dxa"/>
            <w:tcBorders>
              <w:top w:val="single" w:sz="4" w:space="0" w:color="auto"/>
              <w:left w:val="single" w:sz="4" w:space="0" w:color="auto"/>
              <w:bottom w:val="single" w:sz="4" w:space="0" w:color="auto"/>
              <w:right w:val="single" w:sz="4" w:space="0" w:color="auto"/>
            </w:tcBorders>
          </w:tcPr>
          <w:p w14:paraId="3462CC56" w14:textId="77777777" w:rsidR="004E6026" w:rsidRPr="0063080B" w:rsidRDefault="004E6026" w:rsidP="007467FC">
            <w:pPr>
              <w:pStyle w:val="Titel"/>
              <w:jc w:val="left"/>
              <w:rPr>
                <w:b w:val="0"/>
                <w:noProof/>
                <w:sz w:val="22"/>
                <w:szCs w:val="22"/>
                <w:lang w:eastAsia="en-GB"/>
              </w:rPr>
            </w:pPr>
            <w:r w:rsidRPr="0063080B">
              <w:rPr>
                <w:b w:val="0"/>
                <w:noProof/>
                <w:sz w:val="22"/>
                <w:szCs w:val="22"/>
                <w:lang w:eastAsia="en-GB"/>
              </w:rPr>
              <w:t>Det reproduktive system og mammae</w:t>
            </w:r>
          </w:p>
        </w:tc>
        <w:tc>
          <w:tcPr>
            <w:tcW w:w="2163" w:type="dxa"/>
            <w:tcBorders>
              <w:top w:val="single" w:sz="4" w:space="0" w:color="auto"/>
              <w:left w:val="single" w:sz="4" w:space="0" w:color="auto"/>
              <w:bottom w:val="single" w:sz="4" w:space="0" w:color="auto"/>
              <w:right w:val="single" w:sz="4" w:space="0" w:color="auto"/>
            </w:tcBorders>
            <w:hideMark/>
          </w:tcPr>
          <w:p w14:paraId="4D45D389" w14:textId="77777777" w:rsidR="004E6026" w:rsidRDefault="004E6026">
            <w:pPr>
              <w:rPr>
                <w:sz w:val="22"/>
                <w:szCs w:val="22"/>
              </w:rPr>
            </w:pPr>
            <w:r>
              <w:rPr>
                <w:sz w:val="22"/>
                <w:szCs w:val="22"/>
              </w:rPr>
              <w:t>Meget sjælden</w:t>
            </w:r>
          </w:p>
        </w:tc>
        <w:tc>
          <w:tcPr>
            <w:tcW w:w="3721" w:type="dxa"/>
            <w:tcBorders>
              <w:top w:val="single" w:sz="4" w:space="0" w:color="auto"/>
              <w:left w:val="single" w:sz="4" w:space="0" w:color="auto"/>
              <w:bottom w:val="single" w:sz="4" w:space="0" w:color="auto"/>
              <w:right w:val="single" w:sz="4" w:space="0" w:color="auto"/>
            </w:tcBorders>
            <w:hideMark/>
          </w:tcPr>
          <w:p w14:paraId="0AD115E0" w14:textId="77777777" w:rsidR="004E6026" w:rsidRDefault="004E6026">
            <w:pPr>
              <w:rPr>
                <w:sz w:val="22"/>
                <w:szCs w:val="22"/>
                <w:lang w:eastAsia="en-GB"/>
              </w:rPr>
            </w:pPr>
            <w:r>
              <w:rPr>
                <w:sz w:val="22"/>
                <w:szCs w:val="22"/>
                <w:lang w:eastAsia="en-GB"/>
              </w:rPr>
              <w:t xml:space="preserve">Individuelle rapporter om </w:t>
            </w:r>
            <w:proofErr w:type="spellStart"/>
            <w:r w:rsidRPr="004E6026">
              <w:rPr>
                <w:sz w:val="22"/>
                <w:szCs w:val="22"/>
                <w:lang w:eastAsia="en-GB"/>
              </w:rPr>
              <w:t>infertilitet</w:t>
            </w:r>
            <w:proofErr w:type="spellEnd"/>
            <w:r w:rsidRPr="004E6026">
              <w:rPr>
                <w:sz w:val="22"/>
                <w:szCs w:val="22"/>
                <w:lang w:eastAsia="en-GB"/>
              </w:rPr>
              <w:t xml:space="preserve"> impotens, </w:t>
            </w:r>
            <w:proofErr w:type="spellStart"/>
            <w:r>
              <w:rPr>
                <w:sz w:val="22"/>
                <w:szCs w:val="22"/>
                <w:lang w:eastAsia="en-GB"/>
              </w:rPr>
              <w:t>g</w:t>
            </w:r>
            <w:r w:rsidRPr="004E6026">
              <w:rPr>
                <w:sz w:val="22"/>
                <w:szCs w:val="22"/>
                <w:lang w:eastAsia="en-GB"/>
              </w:rPr>
              <w:t>ynækomasti</w:t>
            </w:r>
            <w:proofErr w:type="spellEnd"/>
            <w:r w:rsidRPr="004E6026">
              <w:rPr>
                <w:sz w:val="22"/>
                <w:szCs w:val="22"/>
                <w:lang w:eastAsia="en-GB"/>
              </w:rPr>
              <w:t>.</w:t>
            </w:r>
          </w:p>
        </w:tc>
      </w:tr>
      <w:tr w:rsidR="004E6026" w14:paraId="67EFBFDD" w14:textId="77777777" w:rsidTr="00C56A05">
        <w:tc>
          <w:tcPr>
            <w:tcW w:w="2893" w:type="dxa"/>
            <w:tcBorders>
              <w:top w:val="single" w:sz="4" w:space="0" w:color="auto"/>
              <w:left w:val="single" w:sz="4" w:space="0" w:color="auto"/>
              <w:bottom w:val="single" w:sz="4" w:space="0" w:color="auto"/>
              <w:right w:val="single" w:sz="4" w:space="0" w:color="auto"/>
            </w:tcBorders>
          </w:tcPr>
          <w:p w14:paraId="5E62B201" w14:textId="77777777" w:rsidR="004E6026" w:rsidRPr="004E6026" w:rsidRDefault="004E6026">
            <w:pPr>
              <w:pStyle w:val="Titel"/>
              <w:jc w:val="left"/>
              <w:rPr>
                <w:b w:val="0"/>
                <w:noProof/>
                <w:sz w:val="22"/>
                <w:szCs w:val="22"/>
                <w:lang w:eastAsia="en-GB"/>
              </w:rPr>
            </w:pPr>
            <w:r>
              <w:rPr>
                <w:b w:val="0"/>
                <w:noProof/>
                <w:sz w:val="22"/>
                <w:szCs w:val="22"/>
                <w:lang w:eastAsia="en-GB"/>
              </w:rPr>
              <w:t>Almene symptomer og reaktioner på administrations-stedet</w:t>
            </w:r>
          </w:p>
        </w:tc>
        <w:tc>
          <w:tcPr>
            <w:tcW w:w="2163" w:type="dxa"/>
            <w:tcBorders>
              <w:top w:val="single" w:sz="4" w:space="0" w:color="auto"/>
              <w:left w:val="single" w:sz="4" w:space="0" w:color="auto"/>
              <w:bottom w:val="single" w:sz="4" w:space="0" w:color="auto"/>
              <w:right w:val="single" w:sz="4" w:space="0" w:color="auto"/>
            </w:tcBorders>
            <w:hideMark/>
          </w:tcPr>
          <w:p w14:paraId="0B53BA8A" w14:textId="77777777" w:rsidR="004E6026" w:rsidRDefault="004E6026">
            <w:pPr>
              <w:rPr>
                <w:sz w:val="22"/>
                <w:szCs w:val="22"/>
                <w:lang w:eastAsia="da-DK"/>
              </w:rPr>
            </w:pPr>
            <w:r>
              <w:rPr>
                <w:sz w:val="22"/>
                <w:szCs w:val="22"/>
              </w:rPr>
              <w:t>Meget sjælden</w:t>
            </w:r>
          </w:p>
        </w:tc>
        <w:tc>
          <w:tcPr>
            <w:tcW w:w="3721" w:type="dxa"/>
            <w:tcBorders>
              <w:top w:val="single" w:sz="4" w:space="0" w:color="auto"/>
              <w:left w:val="single" w:sz="4" w:space="0" w:color="auto"/>
              <w:bottom w:val="single" w:sz="4" w:space="0" w:color="auto"/>
              <w:right w:val="single" w:sz="4" w:space="0" w:color="auto"/>
            </w:tcBorders>
            <w:hideMark/>
          </w:tcPr>
          <w:p w14:paraId="2628025F" w14:textId="77777777" w:rsidR="004E6026" w:rsidRDefault="004E6026">
            <w:pPr>
              <w:rPr>
                <w:sz w:val="22"/>
                <w:szCs w:val="22"/>
                <w:lang w:eastAsia="en-GB"/>
              </w:rPr>
            </w:pPr>
            <w:r>
              <w:rPr>
                <w:sz w:val="22"/>
                <w:szCs w:val="22"/>
                <w:lang w:eastAsia="en-GB"/>
              </w:rPr>
              <w:t>Individuelle rapporter om utilpashed, ø</w:t>
            </w:r>
            <w:r w:rsidRPr="004E6026">
              <w:rPr>
                <w:sz w:val="22"/>
                <w:szCs w:val="22"/>
                <w:lang w:eastAsia="en-GB"/>
              </w:rPr>
              <w:t>dem, asteni.</w:t>
            </w:r>
          </w:p>
        </w:tc>
      </w:tr>
      <w:tr w:rsidR="004E6026" w14:paraId="60F5BAAB" w14:textId="77777777" w:rsidTr="00C56A05">
        <w:tc>
          <w:tcPr>
            <w:tcW w:w="2893" w:type="dxa"/>
            <w:tcBorders>
              <w:top w:val="single" w:sz="4" w:space="0" w:color="auto"/>
              <w:left w:val="single" w:sz="4" w:space="0" w:color="auto"/>
              <w:bottom w:val="single" w:sz="4" w:space="0" w:color="auto"/>
              <w:right w:val="single" w:sz="4" w:space="0" w:color="auto"/>
            </w:tcBorders>
            <w:hideMark/>
          </w:tcPr>
          <w:p w14:paraId="73A07AD1" w14:textId="77777777" w:rsidR="004E6026" w:rsidRDefault="004E6026">
            <w:pPr>
              <w:pStyle w:val="Titel"/>
              <w:jc w:val="left"/>
              <w:rPr>
                <w:b w:val="0"/>
                <w:noProof/>
                <w:sz w:val="22"/>
                <w:szCs w:val="22"/>
                <w:lang w:eastAsia="en-GB"/>
              </w:rPr>
            </w:pPr>
            <w:r>
              <w:rPr>
                <w:b w:val="0"/>
                <w:noProof/>
                <w:sz w:val="22"/>
                <w:szCs w:val="22"/>
                <w:lang w:val="en-GB" w:eastAsia="en-GB"/>
              </w:rPr>
              <w:t>Undersøgelser</w:t>
            </w:r>
          </w:p>
        </w:tc>
        <w:tc>
          <w:tcPr>
            <w:tcW w:w="2163" w:type="dxa"/>
            <w:tcBorders>
              <w:top w:val="single" w:sz="4" w:space="0" w:color="auto"/>
              <w:left w:val="single" w:sz="4" w:space="0" w:color="auto"/>
              <w:bottom w:val="single" w:sz="4" w:space="0" w:color="auto"/>
              <w:right w:val="single" w:sz="4" w:space="0" w:color="auto"/>
            </w:tcBorders>
            <w:hideMark/>
          </w:tcPr>
          <w:p w14:paraId="6E949597" w14:textId="77777777" w:rsidR="004E6026" w:rsidRDefault="004E6026">
            <w:pPr>
              <w:rPr>
                <w:sz w:val="22"/>
                <w:szCs w:val="22"/>
                <w:lang w:eastAsia="da-DK"/>
              </w:rPr>
            </w:pPr>
            <w:r>
              <w:rPr>
                <w:sz w:val="22"/>
                <w:szCs w:val="22"/>
              </w:rPr>
              <w:t>Almindelig</w:t>
            </w:r>
          </w:p>
        </w:tc>
        <w:tc>
          <w:tcPr>
            <w:tcW w:w="3721" w:type="dxa"/>
            <w:tcBorders>
              <w:top w:val="single" w:sz="4" w:space="0" w:color="auto"/>
              <w:left w:val="single" w:sz="4" w:space="0" w:color="auto"/>
              <w:bottom w:val="single" w:sz="4" w:space="0" w:color="auto"/>
              <w:right w:val="single" w:sz="4" w:space="0" w:color="auto"/>
            </w:tcBorders>
            <w:hideMark/>
          </w:tcPr>
          <w:p w14:paraId="553BB0D3" w14:textId="77777777" w:rsidR="007467FC" w:rsidRDefault="007467FC" w:rsidP="007467FC">
            <w:pPr>
              <w:rPr>
                <w:bCs/>
                <w:sz w:val="22"/>
                <w:szCs w:val="22"/>
              </w:rPr>
            </w:pPr>
            <w:r>
              <w:rPr>
                <w:bCs/>
                <w:sz w:val="22"/>
                <w:szCs w:val="22"/>
              </w:rPr>
              <w:t xml:space="preserve">Øget indhold af </w:t>
            </w:r>
            <w:proofErr w:type="spellStart"/>
            <w:r>
              <w:rPr>
                <w:bCs/>
                <w:sz w:val="22"/>
                <w:szCs w:val="22"/>
              </w:rPr>
              <w:t>thyroideastimulerende</w:t>
            </w:r>
            <w:proofErr w:type="spellEnd"/>
            <w:r>
              <w:rPr>
                <w:bCs/>
                <w:sz w:val="22"/>
                <w:szCs w:val="22"/>
              </w:rPr>
              <w:t xml:space="preserve"> hormon i blodet*.</w:t>
            </w:r>
          </w:p>
          <w:p w14:paraId="6DFB68F0" w14:textId="77777777" w:rsidR="004E6026" w:rsidRDefault="004E6026">
            <w:pPr>
              <w:rPr>
                <w:sz w:val="22"/>
                <w:szCs w:val="22"/>
                <w:lang w:eastAsia="en-GB"/>
              </w:rPr>
            </w:pPr>
          </w:p>
        </w:tc>
      </w:tr>
    </w:tbl>
    <w:p w14:paraId="4E071926" w14:textId="77777777" w:rsidR="007467FC" w:rsidRDefault="007467FC" w:rsidP="007467FC">
      <w:pPr>
        <w:ind w:left="851"/>
        <w:rPr>
          <w:bCs/>
          <w:sz w:val="22"/>
          <w:szCs w:val="22"/>
        </w:rPr>
      </w:pPr>
      <w:r>
        <w:rPr>
          <w:bCs/>
          <w:sz w:val="22"/>
          <w:szCs w:val="22"/>
        </w:rPr>
        <w:t xml:space="preserve">*Forekomsten af øget </w:t>
      </w:r>
      <w:proofErr w:type="spellStart"/>
      <w:r>
        <w:rPr>
          <w:bCs/>
          <w:sz w:val="22"/>
          <w:szCs w:val="22"/>
        </w:rPr>
        <w:t>thyroideastimulerende</w:t>
      </w:r>
      <w:proofErr w:type="spellEnd"/>
      <w:r>
        <w:rPr>
          <w:bCs/>
          <w:sz w:val="22"/>
          <w:szCs w:val="22"/>
        </w:rPr>
        <w:t xml:space="preserve"> hormon (TSH) i de relevante studier havde ingen indvirkning på niveauerne af frit T4 eller havde TSH-niveauer, der tydede på subklinisk </w:t>
      </w:r>
      <w:proofErr w:type="spellStart"/>
      <w:r>
        <w:rPr>
          <w:bCs/>
          <w:sz w:val="22"/>
          <w:szCs w:val="22"/>
        </w:rPr>
        <w:t>hypothyreoidisme</w:t>
      </w:r>
      <w:proofErr w:type="spellEnd"/>
      <w:r>
        <w:rPr>
          <w:bCs/>
          <w:sz w:val="22"/>
          <w:szCs w:val="22"/>
        </w:rPr>
        <w:t>.</w:t>
      </w:r>
    </w:p>
    <w:p w14:paraId="015C9748" w14:textId="77777777" w:rsidR="004E6026" w:rsidRPr="004E6026" w:rsidRDefault="004E6026" w:rsidP="004E6026">
      <w:pPr>
        <w:ind w:left="851"/>
        <w:rPr>
          <w:sz w:val="24"/>
          <w:szCs w:val="24"/>
          <w:lang w:eastAsia="da-DK"/>
        </w:rPr>
      </w:pPr>
      <w:r w:rsidRPr="004E6026">
        <w:rPr>
          <w:sz w:val="24"/>
          <w:szCs w:val="24"/>
        </w:rPr>
        <w:tab/>
      </w:r>
    </w:p>
    <w:p w14:paraId="58245BC7" w14:textId="77777777" w:rsidR="004E6026" w:rsidRPr="004E6026" w:rsidRDefault="004E6026" w:rsidP="004E6026">
      <w:pPr>
        <w:ind w:left="851"/>
        <w:rPr>
          <w:sz w:val="24"/>
          <w:szCs w:val="24"/>
        </w:rPr>
      </w:pPr>
      <w:r w:rsidRPr="004E6026">
        <w:rPr>
          <w:sz w:val="24"/>
          <w:szCs w:val="24"/>
        </w:rPr>
        <w:t xml:space="preserve">I de tidlige stadier af behandling med </w:t>
      </w:r>
      <w:proofErr w:type="spellStart"/>
      <w:r w:rsidRPr="004E6026">
        <w:rPr>
          <w:sz w:val="24"/>
          <w:szCs w:val="24"/>
        </w:rPr>
        <w:t>allopurinol</w:t>
      </w:r>
      <w:proofErr w:type="spellEnd"/>
      <w:r w:rsidRPr="004E6026">
        <w:rPr>
          <w:sz w:val="24"/>
          <w:szCs w:val="24"/>
        </w:rPr>
        <w:t xml:space="preserve"> kan et akut tilfælde af leddegigt blive fremskyndet. </w:t>
      </w:r>
    </w:p>
    <w:p w14:paraId="05E1CB19" w14:textId="77777777" w:rsidR="004E6026" w:rsidRPr="004E6026" w:rsidRDefault="004E6026" w:rsidP="004E6026">
      <w:pPr>
        <w:ind w:left="851"/>
        <w:rPr>
          <w:sz w:val="24"/>
          <w:szCs w:val="24"/>
        </w:rPr>
      </w:pPr>
    </w:p>
    <w:p w14:paraId="423928F1" w14:textId="77777777" w:rsidR="004E6026" w:rsidRPr="004E6026" w:rsidRDefault="004E6026" w:rsidP="004E6026">
      <w:pPr>
        <w:pStyle w:val="Brdtekst"/>
        <w:ind w:left="851"/>
        <w:rPr>
          <w:sz w:val="24"/>
          <w:szCs w:val="24"/>
          <w:lang w:val="da-DK"/>
        </w:rPr>
      </w:pPr>
      <w:r w:rsidRPr="004E6026">
        <w:rPr>
          <w:sz w:val="24"/>
          <w:szCs w:val="24"/>
          <w:u w:val="single"/>
          <w:lang w:val="da-DK"/>
        </w:rPr>
        <w:t>Indberetning af formodede bivirkninger</w:t>
      </w:r>
    </w:p>
    <w:p w14:paraId="25E47B7F" w14:textId="77777777" w:rsidR="004E6026" w:rsidRPr="004E6026" w:rsidRDefault="004E6026" w:rsidP="004E6026">
      <w:pPr>
        <w:pStyle w:val="Brdtekst"/>
        <w:spacing w:line="242" w:lineRule="auto"/>
        <w:ind w:left="851"/>
        <w:rPr>
          <w:sz w:val="24"/>
          <w:szCs w:val="24"/>
          <w:lang w:val="da-DK"/>
        </w:rPr>
      </w:pPr>
      <w:r w:rsidRPr="004E6026">
        <w:rPr>
          <w:sz w:val="24"/>
          <w:szCs w:val="24"/>
          <w:lang w:val="da-DK"/>
        </w:rPr>
        <w:t>Når lægemidlet er godkendt, er indberetning af formodede bivirkninger vigtig. Det muliggør løbende overvågning af benefit/</w:t>
      </w:r>
      <w:proofErr w:type="spellStart"/>
      <w:r w:rsidRPr="004E6026">
        <w:rPr>
          <w:sz w:val="24"/>
          <w:szCs w:val="24"/>
          <w:lang w:val="da-DK"/>
        </w:rPr>
        <w:t>risk</w:t>
      </w:r>
      <w:proofErr w:type="spellEnd"/>
      <w:r w:rsidRPr="004E6026">
        <w:rPr>
          <w:sz w:val="24"/>
          <w:szCs w:val="24"/>
          <w:lang w:val="da-DK"/>
        </w:rPr>
        <w:t xml:space="preserve">-forholdet for lægemidlet. </w:t>
      </w:r>
      <w:r w:rsidR="001A6485">
        <w:rPr>
          <w:sz w:val="24"/>
          <w:szCs w:val="24"/>
          <w:lang w:val="da-DK"/>
        </w:rPr>
        <w:t>Sundhedspersoner</w:t>
      </w:r>
      <w:r w:rsidRPr="004E6026">
        <w:rPr>
          <w:sz w:val="24"/>
          <w:szCs w:val="24"/>
          <w:lang w:val="da-DK"/>
        </w:rPr>
        <w:t xml:space="preserve"> anmodes om at indberette alle formodede bivirkninger via</w:t>
      </w:r>
      <w:r w:rsidR="001A6485">
        <w:rPr>
          <w:sz w:val="24"/>
          <w:szCs w:val="24"/>
          <w:lang w:val="da-DK"/>
        </w:rPr>
        <w:t>:</w:t>
      </w:r>
    </w:p>
    <w:p w14:paraId="496277BA" w14:textId="77777777" w:rsidR="004E6026" w:rsidRPr="004E6026" w:rsidRDefault="004E6026" w:rsidP="004E6026">
      <w:pPr>
        <w:pStyle w:val="Brdtekst"/>
        <w:spacing w:line="242" w:lineRule="auto"/>
        <w:ind w:left="851"/>
        <w:rPr>
          <w:sz w:val="24"/>
          <w:szCs w:val="24"/>
          <w:lang w:val="da-DK"/>
        </w:rPr>
      </w:pPr>
    </w:p>
    <w:p w14:paraId="6197E413" w14:textId="77777777" w:rsidR="004E6026" w:rsidRPr="004E6026" w:rsidRDefault="004E6026" w:rsidP="004E6026">
      <w:pPr>
        <w:adjustRightInd w:val="0"/>
        <w:ind w:left="851"/>
        <w:rPr>
          <w:noProof/>
          <w:sz w:val="24"/>
          <w:szCs w:val="24"/>
        </w:rPr>
      </w:pPr>
      <w:r w:rsidRPr="004E6026">
        <w:rPr>
          <w:noProof/>
          <w:sz w:val="24"/>
          <w:szCs w:val="24"/>
        </w:rPr>
        <w:t>Lægemiddelstyrelsen</w:t>
      </w:r>
    </w:p>
    <w:p w14:paraId="1B158E03" w14:textId="77777777" w:rsidR="004E6026" w:rsidRPr="004E6026" w:rsidRDefault="004E6026" w:rsidP="004E6026">
      <w:pPr>
        <w:adjustRightInd w:val="0"/>
        <w:ind w:left="851"/>
        <w:rPr>
          <w:noProof/>
          <w:sz w:val="24"/>
          <w:szCs w:val="24"/>
        </w:rPr>
      </w:pPr>
      <w:r w:rsidRPr="004E6026">
        <w:rPr>
          <w:noProof/>
          <w:sz w:val="24"/>
          <w:szCs w:val="24"/>
        </w:rPr>
        <w:t xml:space="preserve">Axel Heides Gade 1 </w:t>
      </w:r>
    </w:p>
    <w:p w14:paraId="24F5CC27" w14:textId="77777777" w:rsidR="004E6026" w:rsidRPr="004E6026" w:rsidRDefault="004E6026" w:rsidP="004E6026">
      <w:pPr>
        <w:adjustRightInd w:val="0"/>
        <w:ind w:left="851"/>
        <w:rPr>
          <w:noProof/>
          <w:sz w:val="24"/>
          <w:szCs w:val="24"/>
        </w:rPr>
      </w:pPr>
      <w:r w:rsidRPr="004E6026">
        <w:rPr>
          <w:noProof/>
          <w:sz w:val="24"/>
          <w:szCs w:val="24"/>
        </w:rPr>
        <w:t xml:space="preserve">2300 København S </w:t>
      </w:r>
    </w:p>
    <w:p w14:paraId="04A5BD74" w14:textId="6B79E458" w:rsidR="004E6026" w:rsidRPr="004E6026" w:rsidRDefault="004E6026" w:rsidP="004E6026">
      <w:pPr>
        <w:adjustRightInd w:val="0"/>
        <w:ind w:left="851"/>
        <w:rPr>
          <w:noProof/>
          <w:sz w:val="24"/>
          <w:szCs w:val="24"/>
        </w:rPr>
      </w:pPr>
      <w:r w:rsidRPr="004E6026">
        <w:rPr>
          <w:noProof/>
          <w:sz w:val="24"/>
          <w:szCs w:val="24"/>
        </w:rPr>
        <w:t xml:space="preserve">websted: </w:t>
      </w:r>
      <w:hyperlink r:id="rId8" w:history="1">
        <w:r w:rsidR="00263CB7" w:rsidRPr="0051608C">
          <w:rPr>
            <w:rStyle w:val="Hyperlink"/>
            <w:noProof/>
            <w:sz w:val="24"/>
            <w:szCs w:val="24"/>
          </w:rPr>
          <w:t>www.meldenbivirkning.dk</w:t>
        </w:r>
      </w:hyperlink>
      <w:r w:rsidR="00263CB7">
        <w:rPr>
          <w:noProof/>
          <w:sz w:val="24"/>
          <w:szCs w:val="24"/>
        </w:rPr>
        <w:t xml:space="preserve"> </w:t>
      </w:r>
      <w:r w:rsidRPr="004E6026">
        <w:rPr>
          <w:noProof/>
          <w:sz w:val="24"/>
          <w:szCs w:val="24"/>
        </w:rPr>
        <w:t xml:space="preserve"> </w:t>
      </w:r>
    </w:p>
    <w:p w14:paraId="6561B0FA" w14:textId="77777777" w:rsidR="009260DE" w:rsidRPr="004E6026" w:rsidRDefault="009260DE" w:rsidP="004E6026">
      <w:pPr>
        <w:pStyle w:val="Sidehoved"/>
        <w:tabs>
          <w:tab w:val="left" w:pos="851"/>
        </w:tabs>
        <w:ind w:left="851"/>
        <w:rPr>
          <w:szCs w:val="24"/>
        </w:rPr>
      </w:pPr>
    </w:p>
    <w:p w14:paraId="6FCF5C9B"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012094D5" w14:textId="77777777" w:rsidR="00DD0820" w:rsidRPr="00DD0820" w:rsidRDefault="00DD0820" w:rsidP="00DD0820">
      <w:pPr>
        <w:tabs>
          <w:tab w:val="left" w:pos="851"/>
        </w:tabs>
        <w:ind w:left="851"/>
        <w:rPr>
          <w:sz w:val="24"/>
          <w:szCs w:val="24"/>
        </w:rPr>
      </w:pPr>
      <w:r w:rsidRPr="00DD0820">
        <w:rPr>
          <w:sz w:val="24"/>
          <w:szCs w:val="24"/>
        </w:rPr>
        <w:t xml:space="preserve">Symptomer og tegn, som inkluderer kvalme, opkast, diarré og svimmelhed har været rapporteret hos en patient som indtog 20 g </w:t>
      </w:r>
      <w:proofErr w:type="spellStart"/>
      <w:r w:rsidRPr="00DD0820">
        <w:rPr>
          <w:sz w:val="24"/>
          <w:szCs w:val="24"/>
        </w:rPr>
        <w:t>allopurinol</w:t>
      </w:r>
      <w:proofErr w:type="spellEnd"/>
      <w:r w:rsidRPr="00DD0820">
        <w:rPr>
          <w:sz w:val="24"/>
          <w:szCs w:val="24"/>
        </w:rPr>
        <w:t xml:space="preserve">. Indtag af op til 22,5 g </w:t>
      </w:r>
      <w:proofErr w:type="spellStart"/>
      <w:r w:rsidRPr="00DD0820">
        <w:rPr>
          <w:sz w:val="24"/>
          <w:szCs w:val="24"/>
        </w:rPr>
        <w:t>allopurinol</w:t>
      </w:r>
      <w:proofErr w:type="spellEnd"/>
      <w:r w:rsidRPr="00DD0820">
        <w:rPr>
          <w:sz w:val="24"/>
          <w:szCs w:val="24"/>
        </w:rPr>
        <w:t xml:space="preserve"> uden bivirkninger har været rapporteret i en anden patient. </w:t>
      </w:r>
    </w:p>
    <w:p w14:paraId="59FA5FDB" w14:textId="77777777" w:rsidR="00DD0820" w:rsidRPr="00DD0820" w:rsidRDefault="00DD0820" w:rsidP="00DD0820">
      <w:pPr>
        <w:tabs>
          <w:tab w:val="left" w:pos="851"/>
        </w:tabs>
        <w:ind w:left="851"/>
        <w:rPr>
          <w:sz w:val="24"/>
          <w:szCs w:val="24"/>
        </w:rPr>
      </w:pPr>
    </w:p>
    <w:p w14:paraId="753C4267" w14:textId="77777777" w:rsidR="00DD0820" w:rsidRPr="00DD0820" w:rsidRDefault="00DD0820" w:rsidP="00DD0820">
      <w:pPr>
        <w:tabs>
          <w:tab w:val="left" w:pos="851"/>
        </w:tabs>
        <w:ind w:left="851"/>
        <w:rPr>
          <w:sz w:val="24"/>
          <w:szCs w:val="24"/>
        </w:rPr>
      </w:pPr>
      <w:r w:rsidRPr="00DD0820">
        <w:rPr>
          <w:sz w:val="24"/>
          <w:szCs w:val="24"/>
        </w:rPr>
        <w:t xml:space="preserve">Der er modtaget rapporter om patienter med nedsat nyrefunktion, der kronisk tager </w:t>
      </w:r>
      <w:proofErr w:type="spellStart"/>
      <w:r w:rsidRPr="00DD0820">
        <w:rPr>
          <w:sz w:val="24"/>
          <w:szCs w:val="24"/>
        </w:rPr>
        <w:t>allopurinol</w:t>
      </w:r>
      <w:proofErr w:type="spellEnd"/>
      <w:r w:rsidRPr="00DD0820">
        <w:rPr>
          <w:sz w:val="24"/>
          <w:szCs w:val="24"/>
        </w:rPr>
        <w:t xml:space="preserve"> 200 mg til 400 mg dagligt med alvorlige tegn på forgiftning, der består af hudreaktioner, feber, hepatitis, </w:t>
      </w:r>
      <w:proofErr w:type="spellStart"/>
      <w:r w:rsidRPr="00DD0820">
        <w:rPr>
          <w:sz w:val="24"/>
          <w:szCs w:val="24"/>
        </w:rPr>
        <w:t>eosinofili</w:t>
      </w:r>
      <w:proofErr w:type="spellEnd"/>
      <w:r w:rsidRPr="00DD0820">
        <w:rPr>
          <w:sz w:val="24"/>
          <w:szCs w:val="24"/>
        </w:rPr>
        <w:t xml:space="preserve"> og forværring af nyrefunktionen. </w:t>
      </w:r>
    </w:p>
    <w:p w14:paraId="23CC59AA" w14:textId="77777777" w:rsidR="00DD0820" w:rsidRPr="00DD0820" w:rsidRDefault="00DD0820" w:rsidP="00DD0820">
      <w:pPr>
        <w:tabs>
          <w:tab w:val="left" w:pos="851"/>
        </w:tabs>
        <w:ind w:left="851"/>
        <w:rPr>
          <w:sz w:val="24"/>
          <w:szCs w:val="24"/>
        </w:rPr>
      </w:pPr>
    </w:p>
    <w:p w14:paraId="71988621" w14:textId="77777777" w:rsidR="00DD0820" w:rsidRPr="00DD0820" w:rsidRDefault="00DD0820" w:rsidP="00DD0820">
      <w:pPr>
        <w:tabs>
          <w:tab w:val="left" w:pos="851"/>
        </w:tabs>
        <w:ind w:left="851"/>
        <w:rPr>
          <w:sz w:val="24"/>
          <w:szCs w:val="24"/>
        </w:rPr>
      </w:pPr>
      <w:r w:rsidRPr="00DD0820">
        <w:rPr>
          <w:sz w:val="24"/>
          <w:szCs w:val="24"/>
        </w:rPr>
        <w:t xml:space="preserve">Hvis der er mistanke om en overdosis af </w:t>
      </w:r>
      <w:proofErr w:type="spellStart"/>
      <w:r w:rsidRPr="00DD0820">
        <w:rPr>
          <w:sz w:val="24"/>
          <w:szCs w:val="24"/>
        </w:rPr>
        <w:t>allopurinol</w:t>
      </w:r>
      <w:proofErr w:type="spellEnd"/>
      <w:r w:rsidRPr="00DD0820">
        <w:rPr>
          <w:sz w:val="24"/>
          <w:szCs w:val="24"/>
        </w:rPr>
        <w:t xml:space="preserve">, især ved samtidig brug med andre lægemidler der indeholder 6-mercaptopurin og/eller </w:t>
      </w:r>
      <w:proofErr w:type="spellStart"/>
      <w:r w:rsidRPr="00DD0820">
        <w:rPr>
          <w:sz w:val="24"/>
          <w:szCs w:val="24"/>
        </w:rPr>
        <w:t>azathioprin</w:t>
      </w:r>
      <w:proofErr w:type="spellEnd"/>
      <w:r w:rsidRPr="00DD0820">
        <w:rPr>
          <w:sz w:val="24"/>
          <w:szCs w:val="24"/>
        </w:rPr>
        <w:t xml:space="preserve">, bør der gøres tilstrækkelige tiltag for at nedsætte absorption og </w:t>
      </w:r>
      <w:proofErr w:type="spellStart"/>
      <w:r w:rsidRPr="00DD0820">
        <w:rPr>
          <w:sz w:val="24"/>
          <w:szCs w:val="24"/>
        </w:rPr>
        <w:t>facilitering</w:t>
      </w:r>
      <w:proofErr w:type="spellEnd"/>
      <w:r w:rsidRPr="00DD0820">
        <w:rPr>
          <w:sz w:val="24"/>
          <w:szCs w:val="24"/>
        </w:rPr>
        <w:t xml:space="preserve"> af udskillelsen af </w:t>
      </w:r>
      <w:proofErr w:type="spellStart"/>
      <w:r w:rsidRPr="00DD0820">
        <w:rPr>
          <w:sz w:val="24"/>
          <w:szCs w:val="24"/>
        </w:rPr>
        <w:t>allopurinol</w:t>
      </w:r>
      <w:proofErr w:type="spellEnd"/>
      <w:r w:rsidRPr="00DD0820">
        <w:rPr>
          <w:sz w:val="24"/>
          <w:szCs w:val="24"/>
        </w:rPr>
        <w:t xml:space="preserve"> og dets metabolitter bør startes. Tilstrækkelig hydrering for at vedligeholde optimal diurese, og hæmodialyse kan anvendes hvis nødvendigt.</w:t>
      </w:r>
    </w:p>
    <w:p w14:paraId="035E82BF" w14:textId="77777777" w:rsidR="00DD0820" w:rsidRPr="00DD0820" w:rsidRDefault="00DD0820" w:rsidP="00DD0820">
      <w:pPr>
        <w:tabs>
          <w:tab w:val="left" w:pos="851"/>
        </w:tabs>
        <w:ind w:left="851"/>
        <w:rPr>
          <w:sz w:val="24"/>
          <w:szCs w:val="24"/>
        </w:rPr>
      </w:pPr>
      <w:r w:rsidRPr="00DD0820">
        <w:rPr>
          <w:sz w:val="24"/>
          <w:szCs w:val="24"/>
        </w:rPr>
        <w:t xml:space="preserve">En speciel modgift er ikke kendt. </w:t>
      </w:r>
    </w:p>
    <w:p w14:paraId="5BCA9C72" w14:textId="77777777" w:rsidR="009260DE" w:rsidRPr="00C84483" w:rsidRDefault="009260DE" w:rsidP="009260DE">
      <w:pPr>
        <w:tabs>
          <w:tab w:val="left" w:pos="851"/>
        </w:tabs>
        <w:ind w:left="851"/>
        <w:rPr>
          <w:sz w:val="24"/>
          <w:szCs w:val="24"/>
        </w:rPr>
      </w:pPr>
    </w:p>
    <w:p w14:paraId="06E0B110"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74F558A6" w14:textId="77777777" w:rsidR="009260DE" w:rsidRPr="00C84483" w:rsidRDefault="00D97E1B" w:rsidP="009260DE">
      <w:pPr>
        <w:tabs>
          <w:tab w:val="left" w:pos="851"/>
        </w:tabs>
        <w:ind w:left="851"/>
        <w:rPr>
          <w:sz w:val="24"/>
          <w:szCs w:val="24"/>
        </w:rPr>
      </w:pPr>
      <w:r>
        <w:rPr>
          <w:sz w:val="24"/>
          <w:szCs w:val="24"/>
        </w:rPr>
        <w:t>B</w:t>
      </w:r>
    </w:p>
    <w:p w14:paraId="0356CE19" w14:textId="77777777" w:rsidR="009260DE" w:rsidRPr="00C84483" w:rsidRDefault="009260DE" w:rsidP="009260DE">
      <w:pPr>
        <w:tabs>
          <w:tab w:val="left" w:pos="851"/>
        </w:tabs>
        <w:ind w:left="851"/>
        <w:rPr>
          <w:sz w:val="24"/>
          <w:szCs w:val="24"/>
        </w:rPr>
      </w:pPr>
    </w:p>
    <w:p w14:paraId="342D36E0" w14:textId="77777777" w:rsidR="009260DE" w:rsidRPr="00C84483" w:rsidRDefault="009260DE" w:rsidP="009260DE">
      <w:pPr>
        <w:tabs>
          <w:tab w:val="left" w:pos="851"/>
        </w:tabs>
        <w:ind w:left="851"/>
        <w:rPr>
          <w:sz w:val="24"/>
          <w:szCs w:val="24"/>
        </w:rPr>
      </w:pPr>
    </w:p>
    <w:p w14:paraId="459F0624"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00BB79F5" w14:textId="77777777" w:rsidR="009260DE" w:rsidRPr="00C84483" w:rsidRDefault="009260DE" w:rsidP="009260DE">
      <w:pPr>
        <w:tabs>
          <w:tab w:val="left" w:pos="851"/>
        </w:tabs>
        <w:ind w:left="851"/>
        <w:rPr>
          <w:sz w:val="24"/>
          <w:szCs w:val="24"/>
        </w:rPr>
      </w:pPr>
    </w:p>
    <w:p w14:paraId="33426E8B"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1697895D" w14:textId="77777777" w:rsidR="004F6B2A" w:rsidRPr="00B64CE7" w:rsidRDefault="004F6B2A" w:rsidP="004F6B2A">
      <w:pPr>
        <w:tabs>
          <w:tab w:val="left" w:pos="851"/>
        </w:tabs>
        <w:ind w:left="851" w:hanging="851"/>
        <w:rPr>
          <w:sz w:val="24"/>
          <w:szCs w:val="24"/>
        </w:rPr>
      </w:pPr>
      <w:r w:rsidRPr="004F6B2A">
        <w:rPr>
          <w:sz w:val="24"/>
          <w:szCs w:val="24"/>
        </w:rPr>
        <w:tab/>
      </w:r>
      <w:proofErr w:type="spellStart"/>
      <w:r w:rsidRPr="004F6B2A">
        <w:rPr>
          <w:sz w:val="24"/>
          <w:szCs w:val="24"/>
        </w:rPr>
        <w:t>Farmakoterapeutisk</w:t>
      </w:r>
      <w:proofErr w:type="spellEnd"/>
      <w:r w:rsidRPr="004F6B2A">
        <w:rPr>
          <w:sz w:val="24"/>
          <w:szCs w:val="24"/>
        </w:rPr>
        <w:t xml:space="preserve"> klassifikation</w:t>
      </w:r>
      <w:r>
        <w:rPr>
          <w:sz w:val="24"/>
          <w:szCs w:val="24"/>
        </w:rPr>
        <w:t xml:space="preserve">: </w:t>
      </w:r>
      <w:r w:rsidRPr="00B64CE7">
        <w:rPr>
          <w:sz w:val="24"/>
          <w:szCs w:val="24"/>
        </w:rPr>
        <w:t xml:space="preserve">Midler mod </w:t>
      </w:r>
      <w:proofErr w:type="spellStart"/>
      <w:r w:rsidRPr="00B64CE7">
        <w:rPr>
          <w:sz w:val="24"/>
          <w:szCs w:val="24"/>
        </w:rPr>
        <w:t>arthritis</w:t>
      </w:r>
      <w:proofErr w:type="spellEnd"/>
      <w:r w:rsidRPr="00B64CE7">
        <w:rPr>
          <w:sz w:val="24"/>
          <w:szCs w:val="24"/>
        </w:rPr>
        <w:t xml:space="preserve"> </w:t>
      </w:r>
      <w:proofErr w:type="spellStart"/>
      <w:r w:rsidRPr="00B64CE7">
        <w:rPr>
          <w:sz w:val="24"/>
          <w:szCs w:val="24"/>
        </w:rPr>
        <w:t>urica</w:t>
      </w:r>
      <w:proofErr w:type="spellEnd"/>
      <w:r w:rsidRPr="00B64CE7">
        <w:rPr>
          <w:sz w:val="24"/>
          <w:szCs w:val="24"/>
        </w:rPr>
        <w:t>; Midler, der hæmmer urinsyreproduktionen.</w:t>
      </w:r>
      <w:r>
        <w:rPr>
          <w:sz w:val="24"/>
          <w:szCs w:val="24"/>
        </w:rPr>
        <w:t xml:space="preserve"> </w:t>
      </w:r>
      <w:r w:rsidRPr="00B64CE7">
        <w:rPr>
          <w:sz w:val="24"/>
          <w:szCs w:val="24"/>
        </w:rPr>
        <w:t>ATC</w:t>
      </w:r>
      <w:r>
        <w:rPr>
          <w:sz w:val="24"/>
          <w:szCs w:val="24"/>
        </w:rPr>
        <w:t>-</w:t>
      </w:r>
      <w:r w:rsidRPr="00B64CE7">
        <w:rPr>
          <w:sz w:val="24"/>
          <w:szCs w:val="24"/>
        </w:rPr>
        <w:t>kode: M</w:t>
      </w:r>
      <w:r>
        <w:rPr>
          <w:sz w:val="24"/>
          <w:szCs w:val="24"/>
        </w:rPr>
        <w:t xml:space="preserve"> </w:t>
      </w:r>
      <w:r w:rsidRPr="00B64CE7">
        <w:rPr>
          <w:sz w:val="24"/>
          <w:szCs w:val="24"/>
        </w:rPr>
        <w:t>04</w:t>
      </w:r>
      <w:r>
        <w:rPr>
          <w:sz w:val="24"/>
          <w:szCs w:val="24"/>
        </w:rPr>
        <w:t xml:space="preserve"> </w:t>
      </w:r>
      <w:r w:rsidRPr="00B64CE7">
        <w:rPr>
          <w:sz w:val="24"/>
          <w:szCs w:val="24"/>
        </w:rPr>
        <w:t>AA</w:t>
      </w:r>
      <w:r>
        <w:rPr>
          <w:sz w:val="24"/>
          <w:szCs w:val="24"/>
        </w:rPr>
        <w:t xml:space="preserve"> </w:t>
      </w:r>
      <w:r w:rsidRPr="00B64CE7">
        <w:rPr>
          <w:sz w:val="24"/>
          <w:szCs w:val="24"/>
        </w:rPr>
        <w:t>01.</w:t>
      </w:r>
    </w:p>
    <w:p w14:paraId="4E7D82F9" w14:textId="77777777" w:rsidR="004F6B2A" w:rsidRDefault="004F6B2A" w:rsidP="004F6B2A">
      <w:pPr>
        <w:tabs>
          <w:tab w:val="left" w:pos="851"/>
        </w:tabs>
        <w:rPr>
          <w:sz w:val="24"/>
          <w:szCs w:val="24"/>
        </w:rPr>
      </w:pPr>
    </w:p>
    <w:p w14:paraId="401665E8" w14:textId="77777777" w:rsidR="004F6B2A" w:rsidRDefault="004F6B2A" w:rsidP="0031087D">
      <w:pPr>
        <w:tabs>
          <w:tab w:val="left" w:pos="851"/>
        </w:tabs>
        <w:ind w:left="851"/>
        <w:rPr>
          <w:sz w:val="24"/>
          <w:szCs w:val="24"/>
        </w:rPr>
      </w:pPr>
    </w:p>
    <w:p w14:paraId="3650568A" w14:textId="77777777" w:rsidR="0031087D" w:rsidRPr="0031087D" w:rsidRDefault="0031087D" w:rsidP="0031087D">
      <w:pPr>
        <w:tabs>
          <w:tab w:val="left" w:pos="851"/>
        </w:tabs>
        <w:ind w:left="851"/>
        <w:rPr>
          <w:sz w:val="24"/>
          <w:szCs w:val="24"/>
        </w:rPr>
      </w:pPr>
      <w:proofErr w:type="spellStart"/>
      <w:r w:rsidRPr="0031087D">
        <w:rPr>
          <w:sz w:val="24"/>
          <w:szCs w:val="24"/>
        </w:rPr>
        <w:t>Allopurinol</w:t>
      </w:r>
      <w:proofErr w:type="spellEnd"/>
      <w:r w:rsidRPr="0031087D">
        <w:rPr>
          <w:sz w:val="24"/>
          <w:szCs w:val="24"/>
        </w:rPr>
        <w:t xml:space="preserve"> og dets primære metabolit </w:t>
      </w:r>
      <w:proofErr w:type="spellStart"/>
      <w:r w:rsidRPr="0031087D">
        <w:rPr>
          <w:sz w:val="24"/>
          <w:szCs w:val="24"/>
        </w:rPr>
        <w:t>oxipurinol</w:t>
      </w:r>
      <w:proofErr w:type="spellEnd"/>
      <w:r w:rsidRPr="0031087D">
        <w:rPr>
          <w:sz w:val="24"/>
          <w:szCs w:val="24"/>
        </w:rPr>
        <w:t xml:space="preserve"> sænker dannelsen af urinsyre ved at hæmme </w:t>
      </w:r>
      <w:proofErr w:type="spellStart"/>
      <w:r w:rsidRPr="0031087D">
        <w:rPr>
          <w:sz w:val="24"/>
          <w:szCs w:val="24"/>
        </w:rPr>
        <w:t>xanthinoxidase</w:t>
      </w:r>
      <w:proofErr w:type="spellEnd"/>
      <w:r w:rsidRPr="0031087D">
        <w:rPr>
          <w:sz w:val="24"/>
          <w:szCs w:val="24"/>
        </w:rPr>
        <w:t xml:space="preserve">, enzymet der katalyserer omdannelsen af </w:t>
      </w:r>
      <w:proofErr w:type="spellStart"/>
      <w:r w:rsidRPr="0031087D">
        <w:rPr>
          <w:sz w:val="24"/>
          <w:szCs w:val="24"/>
        </w:rPr>
        <w:t>hypoxanthin</w:t>
      </w:r>
      <w:proofErr w:type="spellEnd"/>
      <w:r w:rsidRPr="0031087D">
        <w:rPr>
          <w:sz w:val="24"/>
          <w:szCs w:val="24"/>
        </w:rPr>
        <w:t xml:space="preserve"> til urinsyre. Som et resultat heraf, sænkes urinsyre- og uratniveauerne i serum og urin. </w:t>
      </w:r>
    </w:p>
    <w:p w14:paraId="4314BD21" w14:textId="77777777" w:rsidR="0031087D" w:rsidRPr="0031087D" w:rsidRDefault="0031087D" w:rsidP="0031087D">
      <w:pPr>
        <w:tabs>
          <w:tab w:val="left" w:pos="851"/>
        </w:tabs>
        <w:ind w:left="851"/>
        <w:rPr>
          <w:sz w:val="24"/>
          <w:szCs w:val="24"/>
        </w:rPr>
      </w:pPr>
    </w:p>
    <w:p w14:paraId="0DA88265" w14:textId="77777777" w:rsidR="0031087D" w:rsidRPr="0031087D" w:rsidRDefault="0031087D" w:rsidP="0031087D">
      <w:pPr>
        <w:tabs>
          <w:tab w:val="left" w:pos="851"/>
        </w:tabs>
        <w:ind w:left="851"/>
        <w:rPr>
          <w:sz w:val="24"/>
          <w:szCs w:val="24"/>
        </w:rPr>
      </w:pPr>
      <w:r w:rsidRPr="0031087D">
        <w:rPr>
          <w:sz w:val="24"/>
          <w:szCs w:val="24"/>
        </w:rPr>
        <w:t xml:space="preserve">Ud over hæmning af </w:t>
      </w:r>
      <w:proofErr w:type="spellStart"/>
      <w:r w:rsidRPr="0031087D">
        <w:rPr>
          <w:sz w:val="24"/>
          <w:szCs w:val="24"/>
        </w:rPr>
        <w:t>purinkatabolismen</w:t>
      </w:r>
      <w:proofErr w:type="spellEnd"/>
      <w:r w:rsidRPr="0031087D">
        <w:rPr>
          <w:sz w:val="24"/>
          <w:szCs w:val="24"/>
        </w:rPr>
        <w:t xml:space="preserve"> i nogle patienter, er de </w:t>
      </w:r>
      <w:proofErr w:type="spellStart"/>
      <w:r w:rsidRPr="0031087D">
        <w:rPr>
          <w:sz w:val="24"/>
          <w:szCs w:val="24"/>
        </w:rPr>
        <w:t>novo</w:t>
      </w:r>
      <w:proofErr w:type="spellEnd"/>
      <w:r w:rsidRPr="0031087D">
        <w:rPr>
          <w:sz w:val="24"/>
          <w:szCs w:val="24"/>
        </w:rPr>
        <w:t xml:space="preserve"> </w:t>
      </w:r>
      <w:proofErr w:type="spellStart"/>
      <w:r w:rsidRPr="0031087D">
        <w:rPr>
          <w:sz w:val="24"/>
          <w:szCs w:val="24"/>
        </w:rPr>
        <w:t>purin</w:t>
      </w:r>
      <w:proofErr w:type="spellEnd"/>
      <w:r w:rsidRPr="0031087D">
        <w:rPr>
          <w:sz w:val="24"/>
          <w:szCs w:val="24"/>
        </w:rPr>
        <w:t xml:space="preserve"> biosyntesen nedsat via hæmning af </w:t>
      </w:r>
      <w:proofErr w:type="spellStart"/>
      <w:r w:rsidRPr="0031087D">
        <w:rPr>
          <w:sz w:val="24"/>
          <w:szCs w:val="24"/>
        </w:rPr>
        <w:t>hypoxanthin</w:t>
      </w:r>
      <w:proofErr w:type="spellEnd"/>
      <w:r w:rsidRPr="0031087D">
        <w:rPr>
          <w:sz w:val="24"/>
          <w:szCs w:val="24"/>
        </w:rPr>
        <w:t xml:space="preserve">-guanin </w:t>
      </w:r>
      <w:proofErr w:type="spellStart"/>
      <w:r w:rsidRPr="0031087D">
        <w:rPr>
          <w:sz w:val="24"/>
          <w:szCs w:val="24"/>
        </w:rPr>
        <w:t>phosphoribosyltransferase</w:t>
      </w:r>
      <w:proofErr w:type="spellEnd"/>
      <w:r w:rsidRPr="0031087D">
        <w:rPr>
          <w:sz w:val="24"/>
          <w:szCs w:val="24"/>
        </w:rPr>
        <w:t xml:space="preserve">.  </w:t>
      </w:r>
    </w:p>
    <w:p w14:paraId="149F0348" w14:textId="77777777" w:rsidR="0031087D" w:rsidRPr="0031087D" w:rsidRDefault="0031087D" w:rsidP="0031087D">
      <w:pPr>
        <w:tabs>
          <w:tab w:val="left" w:pos="851"/>
        </w:tabs>
        <w:ind w:left="851"/>
        <w:rPr>
          <w:sz w:val="24"/>
          <w:szCs w:val="24"/>
        </w:rPr>
      </w:pPr>
    </w:p>
    <w:p w14:paraId="334DA98A" w14:textId="77777777" w:rsidR="0031087D" w:rsidRPr="0031087D" w:rsidRDefault="0031087D" w:rsidP="0031087D">
      <w:pPr>
        <w:tabs>
          <w:tab w:val="left" w:pos="851"/>
        </w:tabs>
        <w:ind w:left="851"/>
        <w:rPr>
          <w:sz w:val="24"/>
          <w:szCs w:val="24"/>
        </w:rPr>
      </w:pPr>
      <w:r w:rsidRPr="0031087D">
        <w:rPr>
          <w:sz w:val="24"/>
          <w:szCs w:val="24"/>
        </w:rPr>
        <w:t xml:space="preserve">Desuden er der observeret en reduktion af den hyppigt forhøjede </w:t>
      </w:r>
      <w:proofErr w:type="spellStart"/>
      <w:r w:rsidRPr="0031087D">
        <w:rPr>
          <w:sz w:val="24"/>
          <w:szCs w:val="24"/>
        </w:rPr>
        <w:t>purin</w:t>
      </w:r>
      <w:proofErr w:type="spellEnd"/>
      <w:r w:rsidRPr="0031087D">
        <w:rPr>
          <w:sz w:val="24"/>
          <w:szCs w:val="24"/>
        </w:rPr>
        <w:t xml:space="preserve"> biosyntese til det normale fysiologiske niveau. Det </w:t>
      </w:r>
      <w:proofErr w:type="spellStart"/>
      <w:r w:rsidRPr="0031087D">
        <w:rPr>
          <w:sz w:val="24"/>
          <w:szCs w:val="24"/>
        </w:rPr>
        <w:t>hypoxanthin</w:t>
      </w:r>
      <w:proofErr w:type="spellEnd"/>
      <w:r w:rsidRPr="0031087D">
        <w:rPr>
          <w:sz w:val="24"/>
          <w:szCs w:val="24"/>
        </w:rPr>
        <w:t xml:space="preserve">, der akkumuleres under behandling med </w:t>
      </w:r>
      <w:proofErr w:type="spellStart"/>
      <w:r w:rsidRPr="0031087D">
        <w:rPr>
          <w:sz w:val="24"/>
          <w:szCs w:val="24"/>
        </w:rPr>
        <w:t>allopurinol</w:t>
      </w:r>
      <w:proofErr w:type="spellEnd"/>
      <w:r w:rsidRPr="0031087D">
        <w:rPr>
          <w:sz w:val="24"/>
          <w:szCs w:val="24"/>
        </w:rPr>
        <w:t xml:space="preserve"> </w:t>
      </w:r>
      <w:proofErr w:type="spellStart"/>
      <w:r w:rsidRPr="0031087D">
        <w:rPr>
          <w:sz w:val="24"/>
          <w:szCs w:val="24"/>
        </w:rPr>
        <w:t>metaboliseres</w:t>
      </w:r>
      <w:proofErr w:type="spellEnd"/>
      <w:r w:rsidRPr="0031087D">
        <w:rPr>
          <w:sz w:val="24"/>
          <w:szCs w:val="24"/>
        </w:rPr>
        <w:t xml:space="preserve"> øjeblikkeligt til </w:t>
      </w:r>
      <w:proofErr w:type="spellStart"/>
      <w:r w:rsidRPr="0031087D">
        <w:rPr>
          <w:sz w:val="24"/>
          <w:szCs w:val="24"/>
        </w:rPr>
        <w:t>inosinmonophosphat</w:t>
      </w:r>
      <w:proofErr w:type="spellEnd"/>
      <w:r w:rsidRPr="0031087D">
        <w:rPr>
          <w:sz w:val="24"/>
          <w:szCs w:val="24"/>
        </w:rPr>
        <w:t xml:space="preserve"> og videre til </w:t>
      </w:r>
      <w:proofErr w:type="spellStart"/>
      <w:r w:rsidRPr="0031087D">
        <w:rPr>
          <w:sz w:val="24"/>
          <w:szCs w:val="24"/>
        </w:rPr>
        <w:t>adenosinmonophosphat</w:t>
      </w:r>
      <w:proofErr w:type="spellEnd"/>
      <w:r w:rsidRPr="0031087D">
        <w:rPr>
          <w:sz w:val="24"/>
          <w:szCs w:val="24"/>
        </w:rPr>
        <w:t xml:space="preserve"> (AMP) og </w:t>
      </w:r>
      <w:proofErr w:type="spellStart"/>
      <w:r w:rsidRPr="0031087D">
        <w:rPr>
          <w:sz w:val="24"/>
          <w:szCs w:val="24"/>
        </w:rPr>
        <w:t>guanosinmonophosphat</w:t>
      </w:r>
      <w:proofErr w:type="spellEnd"/>
      <w:r w:rsidRPr="0031087D">
        <w:rPr>
          <w:sz w:val="24"/>
          <w:szCs w:val="24"/>
        </w:rPr>
        <w:t xml:space="preserve"> (GMP). Øgede niveauer af AMP og GMP giver en fysiologisk feedback-hæmning af PRPP-</w:t>
      </w:r>
      <w:proofErr w:type="spellStart"/>
      <w:r w:rsidRPr="0031087D">
        <w:rPr>
          <w:sz w:val="24"/>
          <w:szCs w:val="24"/>
        </w:rPr>
        <w:t>amidotransferase</w:t>
      </w:r>
      <w:proofErr w:type="spellEnd"/>
      <w:r w:rsidRPr="0031087D">
        <w:rPr>
          <w:sz w:val="24"/>
          <w:szCs w:val="24"/>
        </w:rPr>
        <w:t xml:space="preserve">, det første enzym i </w:t>
      </w:r>
      <w:proofErr w:type="spellStart"/>
      <w:r w:rsidRPr="0031087D">
        <w:rPr>
          <w:sz w:val="24"/>
          <w:szCs w:val="24"/>
        </w:rPr>
        <w:t>purins</w:t>
      </w:r>
      <w:proofErr w:type="spellEnd"/>
      <w:r w:rsidRPr="0031087D">
        <w:rPr>
          <w:sz w:val="24"/>
          <w:szCs w:val="24"/>
        </w:rPr>
        <w:t xml:space="preserve"> biosyntese. </w:t>
      </w:r>
    </w:p>
    <w:p w14:paraId="456DD871" w14:textId="77777777" w:rsidR="0031087D" w:rsidRPr="0031087D" w:rsidRDefault="0031087D" w:rsidP="0031087D">
      <w:pPr>
        <w:tabs>
          <w:tab w:val="left" w:pos="851"/>
        </w:tabs>
        <w:ind w:left="851"/>
        <w:rPr>
          <w:sz w:val="24"/>
          <w:szCs w:val="24"/>
        </w:rPr>
      </w:pPr>
    </w:p>
    <w:p w14:paraId="22154191" w14:textId="77777777" w:rsidR="0031087D" w:rsidRPr="0031087D" w:rsidRDefault="0031087D" w:rsidP="0031087D">
      <w:pPr>
        <w:tabs>
          <w:tab w:val="left" w:pos="851"/>
        </w:tabs>
        <w:ind w:left="851"/>
        <w:rPr>
          <w:sz w:val="24"/>
          <w:szCs w:val="24"/>
        </w:rPr>
      </w:pPr>
      <w:proofErr w:type="spellStart"/>
      <w:r w:rsidRPr="0031087D">
        <w:rPr>
          <w:sz w:val="24"/>
          <w:szCs w:val="24"/>
        </w:rPr>
        <w:t>Allopurinol</w:t>
      </w:r>
      <w:proofErr w:type="spellEnd"/>
      <w:r w:rsidRPr="0031087D">
        <w:rPr>
          <w:sz w:val="24"/>
          <w:szCs w:val="24"/>
        </w:rPr>
        <w:t xml:space="preserve"> danner en </w:t>
      </w:r>
      <w:proofErr w:type="spellStart"/>
      <w:r w:rsidRPr="0031087D">
        <w:rPr>
          <w:sz w:val="24"/>
          <w:szCs w:val="24"/>
        </w:rPr>
        <w:t>ribonukleotid</w:t>
      </w:r>
      <w:proofErr w:type="spellEnd"/>
      <w:r w:rsidRPr="0031087D">
        <w:rPr>
          <w:sz w:val="24"/>
          <w:szCs w:val="24"/>
        </w:rPr>
        <w:t xml:space="preserve"> i lave mængder (mængden i leveren &lt;0,0001 mmol/l). Denne koncentration er for lav til at være farmakologisk aktiv. </w:t>
      </w:r>
    </w:p>
    <w:p w14:paraId="24811B57" w14:textId="77777777" w:rsidR="009260DE" w:rsidRPr="00C84483" w:rsidRDefault="009260DE" w:rsidP="009260DE">
      <w:pPr>
        <w:tabs>
          <w:tab w:val="left" w:pos="851"/>
        </w:tabs>
        <w:ind w:left="851"/>
        <w:rPr>
          <w:sz w:val="24"/>
          <w:szCs w:val="24"/>
        </w:rPr>
      </w:pPr>
    </w:p>
    <w:p w14:paraId="08028CE9"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64E471E0" w14:textId="77777777" w:rsidR="004E1EAB" w:rsidRPr="004E1EAB" w:rsidRDefault="004E1EAB" w:rsidP="004E1EAB">
      <w:pPr>
        <w:tabs>
          <w:tab w:val="left" w:pos="851"/>
        </w:tabs>
        <w:ind w:left="851"/>
        <w:rPr>
          <w:sz w:val="24"/>
          <w:szCs w:val="24"/>
        </w:rPr>
      </w:pPr>
    </w:p>
    <w:p w14:paraId="2AF19729" w14:textId="77777777" w:rsidR="004E1EAB" w:rsidRPr="004E1EAB" w:rsidRDefault="004E1EAB" w:rsidP="004E1EAB">
      <w:pPr>
        <w:tabs>
          <w:tab w:val="left" w:pos="851"/>
        </w:tabs>
        <w:ind w:left="851"/>
        <w:rPr>
          <w:sz w:val="24"/>
          <w:szCs w:val="24"/>
        </w:rPr>
      </w:pPr>
      <w:r w:rsidRPr="004E1EAB">
        <w:rPr>
          <w:sz w:val="24"/>
          <w:szCs w:val="24"/>
          <w:u w:val="single"/>
        </w:rPr>
        <w:t>Absorption</w:t>
      </w:r>
    </w:p>
    <w:p w14:paraId="1140D23E" w14:textId="77777777" w:rsidR="004E1EAB" w:rsidRPr="004E1EAB" w:rsidRDefault="004E1EAB" w:rsidP="004E1EAB">
      <w:pPr>
        <w:tabs>
          <w:tab w:val="left" w:pos="851"/>
        </w:tabs>
        <w:ind w:left="851"/>
        <w:rPr>
          <w:sz w:val="24"/>
          <w:szCs w:val="24"/>
        </w:rPr>
      </w:pPr>
      <w:proofErr w:type="spellStart"/>
      <w:r w:rsidRPr="004E1EAB">
        <w:rPr>
          <w:sz w:val="24"/>
          <w:szCs w:val="24"/>
        </w:rPr>
        <w:t>Allopurinol</w:t>
      </w:r>
      <w:proofErr w:type="spellEnd"/>
      <w:r w:rsidRPr="004E1EAB">
        <w:rPr>
          <w:sz w:val="24"/>
          <w:szCs w:val="24"/>
        </w:rPr>
        <w:t xml:space="preserve"> absorberes hurtigt fra mave-tarm-kanalen. Studier har påvist </w:t>
      </w:r>
      <w:proofErr w:type="spellStart"/>
      <w:r w:rsidRPr="004E1EAB">
        <w:rPr>
          <w:sz w:val="24"/>
          <w:szCs w:val="24"/>
        </w:rPr>
        <w:t>allopurinol</w:t>
      </w:r>
      <w:proofErr w:type="spellEnd"/>
      <w:r w:rsidRPr="004E1EAB">
        <w:rPr>
          <w:sz w:val="24"/>
          <w:szCs w:val="24"/>
        </w:rPr>
        <w:t xml:space="preserve"> i blodet 30-60 minutter efter dosering. Estimater af biotilgængeligheden varierer fra 67</w:t>
      </w:r>
      <w:r w:rsidR="001856B6">
        <w:rPr>
          <w:sz w:val="24"/>
          <w:szCs w:val="24"/>
        </w:rPr>
        <w:t xml:space="preserve"> %</w:t>
      </w:r>
      <w:r w:rsidRPr="004E1EAB">
        <w:rPr>
          <w:sz w:val="24"/>
          <w:szCs w:val="24"/>
        </w:rPr>
        <w:t xml:space="preserve"> til 90</w:t>
      </w:r>
      <w:r w:rsidR="001856B6">
        <w:rPr>
          <w:sz w:val="24"/>
          <w:szCs w:val="24"/>
        </w:rPr>
        <w:t xml:space="preserve"> %</w:t>
      </w:r>
      <w:r w:rsidRPr="004E1EAB">
        <w:rPr>
          <w:sz w:val="24"/>
          <w:szCs w:val="24"/>
        </w:rPr>
        <w:t xml:space="preserve">. Plasmaniveauet af </w:t>
      </w:r>
      <w:proofErr w:type="spellStart"/>
      <w:r w:rsidRPr="004E1EAB">
        <w:rPr>
          <w:sz w:val="24"/>
          <w:szCs w:val="24"/>
        </w:rPr>
        <w:t>allopurinol</w:t>
      </w:r>
      <w:proofErr w:type="spellEnd"/>
      <w:r w:rsidRPr="004E1EAB">
        <w:rPr>
          <w:sz w:val="24"/>
          <w:szCs w:val="24"/>
        </w:rPr>
        <w:t xml:space="preserve"> topper generelt cirka 1,5 timer efter oral administrering af </w:t>
      </w:r>
      <w:proofErr w:type="spellStart"/>
      <w:r w:rsidRPr="004E1EAB">
        <w:rPr>
          <w:sz w:val="24"/>
          <w:szCs w:val="24"/>
        </w:rPr>
        <w:t>allopurinol</w:t>
      </w:r>
      <w:proofErr w:type="spellEnd"/>
      <w:r w:rsidRPr="004E1EAB">
        <w:rPr>
          <w:sz w:val="24"/>
          <w:szCs w:val="24"/>
        </w:rPr>
        <w:t xml:space="preserve">, men falder hurtigt og kan knap spores efter 6 timer. Plasmaniveauet af </w:t>
      </w:r>
      <w:proofErr w:type="spellStart"/>
      <w:r w:rsidRPr="004E1EAB">
        <w:rPr>
          <w:sz w:val="24"/>
          <w:szCs w:val="24"/>
        </w:rPr>
        <w:t>oxipurinol</w:t>
      </w:r>
      <w:proofErr w:type="spellEnd"/>
      <w:r w:rsidRPr="004E1EAB">
        <w:rPr>
          <w:sz w:val="24"/>
          <w:szCs w:val="24"/>
        </w:rPr>
        <w:t xml:space="preserve"> topper generelt 3-5 timer efter oral administrering. Der er ingen gastrisk absorption, og de bedste forhold for absorption er fundet i duodenum og øvre jejunum. </w:t>
      </w:r>
    </w:p>
    <w:p w14:paraId="7ECE5FE6" w14:textId="77777777" w:rsidR="004E1EAB" w:rsidRPr="004E1EAB" w:rsidRDefault="004E1EAB" w:rsidP="004E1EAB">
      <w:pPr>
        <w:tabs>
          <w:tab w:val="left" w:pos="851"/>
        </w:tabs>
        <w:ind w:left="851"/>
        <w:rPr>
          <w:sz w:val="24"/>
          <w:szCs w:val="24"/>
        </w:rPr>
      </w:pPr>
    </w:p>
    <w:p w14:paraId="4E41F06B" w14:textId="77777777" w:rsidR="004E1EAB" w:rsidRPr="004E1EAB" w:rsidRDefault="004E1EAB" w:rsidP="004E1EAB">
      <w:pPr>
        <w:tabs>
          <w:tab w:val="left" w:pos="851"/>
        </w:tabs>
        <w:ind w:left="851"/>
        <w:rPr>
          <w:sz w:val="24"/>
          <w:szCs w:val="24"/>
        </w:rPr>
      </w:pPr>
      <w:r w:rsidRPr="004E1EAB">
        <w:rPr>
          <w:sz w:val="24"/>
          <w:szCs w:val="24"/>
        </w:rPr>
        <w:t xml:space="preserve">Det maksimale serumniveau af </w:t>
      </w:r>
      <w:proofErr w:type="spellStart"/>
      <w:r w:rsidRPr="004E1EAB">
        <w:rPr>
          <w:sz w:val="24"/>
          <w:szCs w:val="24"/>
        </w:rPr>
        <w:t>allopurinol</w:t>
      </w:r>
      <w:proofErr w:type="spellEnd"/>
      <w:r w:rsidRPr="004E1EAB">
        <w:rPr>
          <w:sz w:val="24"/>
          <w:szCs w:val="24"/>
        </w:rPr>
        <w:t xml:space="preserve"> ved standarddosis på 300 mg er mellem 1,0 </w:t>
      </w:r>
      <w:proofErr w:type="spellStart"/>
      <w:r w:rsidRPr="004E1EAB">
        <w:rPr>
          <w:sz w:val="24"/>
          <w:szCs w:val="24"/>
        </w:rPr>
        <w:t>mikrog</w:t>
      </w:r>
      <w:proofErr w:type="spellEnd"/>
      <w:r w:rsidRPr="004E1EAB">
        <w:rPr>
          <w:sz w:val="24"/>
          <w:szCs w:val="24"/>
        </w:rPr>
        <w:t xml:space="preserve">/ml og 2,6 </w:t>
      </w:r>
      <w:proofErr w:type="spellStart"/>
      <w:r w:rsidRPr="004E1EAB">
        <w:rPr>
          <w:sz w:val="24"/>
          <w:szCs w:val="24"/>
        </w:rPr>
        <w:t>mikrog</w:t>
      </w:r>
      <w:proofErr w:type="spellEnd"/>
      <w:r w:rsidRPr="004E1EAB">
        <w:rPr>
          <w:sz w:val="24"/>
          <w:szCs w:val="24"/>
        </w:rPr>
        <w:t xml:space="preserve">/ml, med et gennemsnit på 1,8 </w:t>
      </w:r>
      <w:proofErr w:type="spellStart"/>
      <w:r w:rsidRPr="004E1EAB">
        <w:rPr>
          <w:sz w:val="24"/>
          <w:szCs w:val="24"/>
        </w:rPr>
        <w:t>mikrog</w:t>
      </w:r>
      <w:proofErr w:type="spellEnd"/>
      <w:r w:rsidRPr="004E1EAB">
        <w:rPr>
          <w:sz w:val="24"/>
          <w:szCs w:val="24"/>
        </w:rPr>
        <w:t xml:space="preserve">/ml, afhængig omfanget og hastigheden af den individuelle </w:t>
      </w:r>
      <w:proofErr w:type="spellStart"/>
      <w:r w:rsidRPr="004E1EAB">
        <w:rPr>
          <w:sz w:val="24"/>
          <w:szCs w:val="24"/>
        </w:rPr>
        <w:t>first-pass</w:t>
      </w:r>
      <w:proofErr w:type="spellEnd"/>
      <w:r w:rsidRPr="004E1EAB">
        <w:rPr>
          <w:sz w:val="24"/>
          <w:szCs w:val="24"/>
        </w:rPr>
        <w:t xml:space="preserve"> omdannelse til </w:t>
      </w:r>
      <w:proofErr w:type="spellStart"/>
      <w:r w:rsidRPr="004E1EAB">
        <w:rPr>
          <w:sz w:val="24"/>
          <w:szCs w:val="24"/>
        </w:rPr>
        <w:t>oxipurinol</w:t>
      </w:r>
      <w:proofErr w:type="spellEnd"/>
      <w:r w:rsidRPr="004E1EAB">
        <w:rPr>
          <w:sz w:val="24"/>
          <w:szCs w:val="24"/>
        </w:rPr>
        <w:t xml:space="preserve">. De tilsvarende </w:t>
      </w:r>
      <w:proofErr w:type="spellStart"/>
      <w:r w:rsidRPr="004E1EAB">
        <w:rPr>
          <w:sz w:val="24"/>
          <w:szCs w:val="24"/>
        </w:rPr>
        <w:t>oxipurinolværdier</w:t>
      </w:r>
      <w:proofErr w:type="spellEnd"/>
      <w:r w:rsidRPr="004E1EAB">
        <w:rPr>
          <w:sz w:val="24"/>
          <w:szCs w:val="24"/>
        </w:rPr>
        <w:t xml:space="preserve"> er mellem 5 </w:t>
      </w:r>
      <w:proofErr w:type="spellStart"/>
      <w:r w:rsidRPr="004E1EAB">
        <w:rPr>
          <w:sz w:val="24"/>
          <w:szCs w:val="24"/>
        </w:rPr>
        <w:t>mikrog</w:t>
      </w:r>
      <w:proofErr w:type="spellEnd"/>
      <w:r w:rsidRPr="004E1EAB">
        <w:rPr>
          <w:sz w:val="24"/>
          <w:szCs w:val="24"/>
        </w:rPr>
        <w:t xml:space="preserve">/ml og 11 </w:t>
      </w:r>
      <w:proofErr w:type="spellStart"/>
      <w:r w:rsidRPr="004E1EAB">
        <w:rPr>
          <w:sz w:val="24"/>
          <w:szCs w:val="24"/>
        </w:rPr>
        <w:t>mikrog</w:t>
      </w:r>
      <w:proofErr w:type="spellEnd"/>
      <w:r w:rsidRPr="004E1EAB">
        <w:rPr>
          <w:sz w:val="24"/>
          <w:szCs w:val="24"/>
        </w:rPr>
        <w:t xml:space="preserve">/ml, med et gennemsnit på 8,4 </w:t>
      </w:r>
      <w:proofErr w:type="spellStart"/>
      <w:r w:rsidRPr="004E1EAB">
        <w:rPr>
          <w:sz w:val="24"/>
          <w:szCs w:val="24"/>
        </w:rPr>
        <w:t>mikrog</w:t>
      </w:r>
      <w:proofErr w:type="spellEnd"/>
      <w:r w:rsidRPr="004E1EAB">
        <w:rPr>
          <w:sz w:val="24"/>
          <w:szCs w:val="24"/>
        </w:rPr>
        <w:t xml:space="preserve">/ml. </w:t>
      </w:r>
    </w:p>
    <w:p w14:paraId="52B10812" w14:textId="77777777" w:rsidR="004E1EAB" w:rsidRPr="004E1EAB" w:rsidRDefault="004E1EAB" w:rsidP="004E1EAB">
      <w:pPr>
        <w:tabs>
          <w:tab w:val="left" w:pos="851"/>
        </w:tabs>
        <w:ind w:left="851"/>
        <w:rPr>
          <w:sz w:val="24"/>
          <w:szCs w:val="24"/>
        </w:rPr>
      </w:pPr>
    </w:p>
    <w:p w14:paraId="6C8F7427" w14:textId="77777777" w:rsidR="004E1EAB" w:rsidRPr="004E1EAB" w:rsidRDefault="004E1EAB" w:rsidP="004E1EAB">
      <w:pPr>
        <w:tabs>
          <w:tab w:val="left" w:pos="851"/>
        </w:tabs>
        <w:ind w:left="851"/>
        <w:rPr>
          <w:sz w:val="24"/>
          <w:szCs w:val="24"/>
        </w:rPr>
      </w:pPr>
      <w:r w:rsidRPr="004E1EAB">
        <w:rPr>
          <w:sz w:val="24"/>
          <w:szCs w:val="24"/>
        </w:rPr>
        <w:t xml:space="preserve">Under standardiserede forhold med frivillige blev top-plasmaniveauet målt til et gennemsnit på 5,24 </w:t>
      </w:r>
      <w:proofErr w:type="spellStart"/>
      <w:r w:rsidRPr="004E1EAB">
        <w:rPr>
          <w:sz w:val="24"/>
          <w:szCs w:val="24"/>
        </w:rPr>
        <w:t>mikrog</w:t>
      </w:r>
      <w:proofErr w:type="spellEnd"/>
      <w:r w:rsidRPr="004E1EAB">
        <w:rPr>
          <w:sz w:val="24"/>
          <w:szCs w:val="24"/>
        </w:rPr>
        <w:t xml:space="preserve"> </w:t>
      </w:r>
      <w:proofErr w:type="spellStart"/>
      <w:r w:rsidRPr="004E1EAB">
        <w:rPr>
          <w:sz w:val="24"/>
          <w:szCs w:val="24"/>
        </w:rPr>
        <w:t>oxipurinol</w:t>
      </w:r>
      <w:proofErr w:type="spellEnd"/>
      <w:r w:rsidRPr="004E1EAB">
        <w:rPr>
          <w:sz w:val="24"/>
          <w:szCs w:val="24"/>
        </w:rPr>
        <w:t xml:space="preserve">/ml efter en enkeltdosis på 300 mg </w:t>
      </w:r>
      <w:proofErr w:type="spellStart"/>
      <w:r w:rsidRPr="004E1EAB">
        <w:rPr>
          <w:sz w:val="24"/>
          <w:szCs w:val="24"/>
        </w:rPr>
        <w:t>allopurinol</w:t>
      </w:r>
      <w:proofErr w:type="spellEnd"/>
      <w:r w:rsidRPr="004E1EAB">
        <w:rPr>
          <w:sz w:val="24"/>
          <w:szCs w:val="24"/>
        </w:rPr>
        <w:t xml:space="preserve">. 24 timer efter den orale enkeltdosis på 300 mg </w:t>
      </w:r>
      <w:proofErr w:type="spellStart"/>
      <w:r w:rsidRPr="004E1EAB">
        <w:rPr>
          <w:sz w:val="24"/>
          <w:szCs w:val="24"/>
        </w:rPr>
        <w:t>allopurinol</w:t>
      </w:r>
      <w:proofErr w:type="spellEnd"/>
      <w:r w:rsidRPr="004E1EAB">
        <w:rPr>
          <w:sz w:val="24"/>
          <w:szCs w:val="24"/>
        </w:rPr>
        <w:t xml:space="preserve"> var den gennemsnitlige koncentration af </w:t>
      </w:r>
      <w:proofErr w:type="spellStart"/>
      <w:r w:rsidRPr="004E1EAB">
        <w:rPr>
          <w:sz w:val="24"/>
          <w:szCs w:val="24"/>
        </w:rPr>
        <w:t>oxipurinol</w:t>
      </w:r>
      <w:proofErr w:type="spellEnd"/>
      <w:r w:rsidRPr="004E1EAB">
        <w:rPr>
          <w:sz w:val="24"/>
          <w:szCs w:val="24"/>
        </w:rPr>
        <w:t xml:space="preserve"> i plasma 3,78 </w:t>
      </w:r>
      <w:proofErr w:type="spellStart"/>
      <w:r w:rsidRPr="004E1EAB">
        <w:rPr>
          <w:sz w:val="24"/>
          <w:szCs w:val="24"/>
        </w:rPr>
        <w:t>mikrog</w:t>
      </w:r>
      <w:proofErr w:type="spellEnd"/>
      <w:r w:rsidRPr="004E1EAB">
        <w:rPr>
          <w:sz w:val="24"/>
          <w:szCs w:val="24"/>
        </w:rPr>
        <w:t xml:space="preserve">/ml. </w:t>
      </w:r>
    </w:p>
    <w:p w14:paraId="5667DF4C" w14:textId="77777777" w:rsidR="004E1EAB" w:rsidRPr="004E1EAB" w:rsidRDefault="004E1EAB" w:rsidP="004E1EAB">
      <w:pPr>
        <w:tabs>
          <w:tab w:val="left" w:pos="851"/>
        </w:tabs>
        <w:ind w:left="851"/>
        <w:rPr>
          <w:sz w:val="24"/>
          <w:szCs w:val="24"/>
        </w:rPr>
      </w:pPr>
      <w:r w:rsidRPr="004E1EAB">
        <w:rPr>
          <w:sz w:val="24"/>
          <w:szCs w:val="24"/>
        </w:rPr>
        <w:t xml:space="preserve">På grund af den lange halveringstid af </w:t>
      </w:r>
      <w:proofErr w:type="spellStart"/>
      <w:r w:rsidRPr="004E1EAB">
        <w:rPr>
          <w:sz w:val="24"/>
          <w:szCs w:val="24"/>
        </w:rPr>
        <w:t>oxipurinol</w:t>
      </w:r>
      <w:proofErr w:type="spellEnd"/>
      <w:r w:rsidRPr="004E1EAB">
        <w:rPr>
          <w:sz w:val="24"/>
          <w:szCs w:val="24"/>
        </w:rPr>
        <w:t xml:space="preserve"> opstår der akkumulering ved initiering af behandling. Efter omkring 1 uge er ligevægt opnået. Plasmakoncentrationer ved slutningen af dosis-intervallet øges ikke yderligere i patienter med en sund nyrefunktion. </w:t>
      </w:r>
    </w:p>
    <w:p w14:paraId="69EE4C6F" w14:textId="77777777" w:rsidR="004E1EAB" w:rsidRPr="004E1EAB" w:rsidRDefault="004E1EAB" w:rsidP="004E1EAB">
      <w:pPr>
        <w:tabs>
          <w:tab w:val="left" w:pos="851"/>
        </w:tabs>
        <w:ind w:left="851"/>
        <w:rPr>
          <w:sz w:val="24"/>
          <w:szCs w:val="24"/>
        </w:rPr>
      </w:pPr>
      <w:r w:rsidRPr="004E1EAB">
        <w:rPr>
          <w:sz w:val="24"/>
          <w:szCs w:val="24"/>
        </w:rPr>
        <w:t xml:space="preserve">Efter kronisk administrering af 300 mg </w:t>
      </w:r>
      <w:proofErr w:type="spellStart"/>
      <w:r w:rsidRPr="004E1EAB">
        <w:rPr>
          <w:sz w:val="24"/>
          <w:szCs w:val="24"/>
        </w:rPr>
        <w:t>allopurinol</w:t>
      </w:r>
      <w:proofErr w:type="spellEnd"/>
      <w:r w:rsidRPr="004E1EAB">
        <w:rPr>
          <w:sz w:val="24"/>
          <w:szCs w:val="24"/>
        </w:rPr>
        <w:t xml:space="preserve"> til frivillige, under standardiserede forhold, blev </w:t>
      </w:r>
      <w:proofErr w:type="spellStart"/>
      <w:r w:rsidRPr="004E1EAB">
        <w:rPr>
          <w:sz w:val="24"/>
          <w:szCs w:val="24"/>
        </w:rPr>
        <w:t>oxipurinol</w:t>
      </w:r>
      <w:proofErr w:type="spellEnd"/>
      <w:r w:rsidRPr="004E1EAB">
        <w:rPr>
          <w:sz w:val="24"/>
          <w:szCs w:val="24"/>
        </w:rPr>
        <w:t xml:space="preserve"> i plasma bragt i ligevægt efter cirka 168 timer efter initiering af 300 mg </w:t>
      </w:r>
      <w:proofErr w:type="spellStart"/>
      <w:r w:rsidRPr="004E1EAB">
        <w:rPr>
          <w:sz w:val="24"/>
          <w:szCs w:val="24"/>
        </w:rPr>
        <w:t>allopurinol</w:t>
      </w:r>
      <w:proofErr w:type="spellEnd"/>
      <w:r w:rsidRPr="004E1EAB">
        <w:rPr>
          <w:sz w:val="24"/>
          <w:szCs w:val="24"/>
        </w:rPr>
        <w:t xml:space="preserve">. Koncentrationen af </w:t>
      </w:r>
      <w:proofErr w:type="spellStart"/>
      <w:r w:rsidRPr="004E1EAB">
        <w:rPr>
          <w:sz w:val="24"/>
          <w:szCs w:val="24"/>
        </w:rPr>
        <w:t>oxipurinol</w:t>
      </w:r>
      <w:proofErr w:type="spellEnd"/>
      <w:r w:rsidRPr="004E1EAB">
        <w:rPr>
          <w:sz w:val="24"/>
          <w:szCs w:val="24"/>
        </w:rPr>
        <w:t xml:space="preserve"> i forsøgspersonerne var gennemsnitlig på 9,98 </w:t>
      </w:r>
      <w:proofErr w:type="spellStart"/>
      <w:r w:rsidRPr="004E1EAB">
        <w:rPr>
          <w:sz w:val="24"/>
          <w:szCs w:val="24"/>
        </w:rPr>
        <w:t>mikrog</w:t>
      </w:r>
      <w:proofErr w:type="spellEnd"/>
      <w:r w:rsidRPr="004E1EAB">
        <w:rPr>
          <w:sz w:val="24"/>
          <w:szCs w:val="24"/>
        </w:rPr>
        <w:t xml:space="preserve">/ml. Den inter-individuelle variation af plasmakoncentrationerne var imidlertid høj. </w:t>
      </w:r>
    </w:p>
    <w:p w14:paraId="75F738C1" w14:textId="77777777" w:rsidR="004E1EAB" w:rsidRPr="004E1EAB" w:rsidRDefault="004E1EAB" w:rsidP="004E1EAB">
      <w:pPr>
        <w:tabs>
          <w:tab w:val="left" w:pos="851"/>
        </w:tabs>
        <w:ind w:left="851"/>
        <w:rPr>
          <w:sz w:val="24"/>
          <w:szCs w:val="24"/>
        </w:rPr>
      </w:pPr>
    </w:p>
    <w:p w14:paraId="28493CAD" w14:textId="77777777" w:rsidR="004E1EAB" w:rsidRPr="004E1EAB" w:rsidRDefault="004E1EAB" w:rsidP="00710446">
      <w:pPr>
        <w:keepNext/>
        <w:tabs>
          <w:tab w:val="left" w:pos="851"/>
        </w:tabs>
        <w:ind w:left="851"/>
        <w:rPr>
          <w:sz w:val="24"/>
          <w:szCs w:val="24"/>
          <w:u w:val="single"/>
        </w:rPr>
      </w:pPr>
      <w:r w:rsidRPr="004E1EAB">
        <w:rPr>
          <w:sz w:val="24"/>
          <w:szCs w:val="24"/>
          <w:u w:val="single"/>
        </w:rPr>
        <w:t>Distribution</w:t>
      </w:r>
    </w:p>
    <w:p w14:paraId="1CA9765E" w14:textId="77777777" w:rsidR="004E1EAB" w:rsidRPr="004E1EAB" w:rsidRDefault="004E1EAB" w:rsidP="004E1EAB">
      <w:pPr>
        <w:tabs>
          <w:tab w:val="left" w:pos="851"/>
        </w:tabs>
        <w:ind w:left="851"/>
        <w:rPr>
          <w:sz w:val="24"/>
          <w:szCs w:val="24"/>
        </w:rPr>
      </w:pPr>
      <w:proofErr w:type="spellStart"/>
      <w:r w:rsidRPr="004E1EAB">
        <w:rPr>
          <w:sz w:val="24"/>
          <w:szCs w:val="24"/>
        </w:rPr>
        <w:t>Allopurinol</w:t>
      </w:r>
      <w:proofErr w:type="spellEnd"/>
      <w:r w:rsidRPr="004E1EAB">
        <w:rPr>
          <w:sz w:val="24"/>
          <w:szCs w:val="24"/>
        </w:rPr>
        <w:t xml:space="preserve"> bindes kun ubetydeligt af plasmaproteiner og derfor menes variationer i proteinbinding ikke signifikant at ændre </w:t>
      </w:r>
      <w:proofErr w:type="spellStart"/>
      <w:r w:rsidRPr="004E1EAB">
        <w:rPr>
          <w:sz w:val="24"/>
          <w:szCs w:val="24"/>
        </w:rPr>
        <w:t>clearance</w:t>
      </w:r>
      <w:proofErr w:type="spellEnd"/>
      <w:r w:rsidRPr="004E1EAB">
        <w:rPr>
          <w:sz w:val="24"/>
          <w:szCs w:val="24"/>
        </w:rPr>
        <w:t xml:space="preserve">. </w:t>
      </w:r>
      <w:proofErr w:type="spellStart"/>
      <w:r w:rsidRPr="004E1EAB">
        <w:rPr>
          <w:sz w:val="24"/>
          <w:szCs w:val="24"/>
        </w:rPr>
        <w:t>Allopurinols</w:t>
      </w:r>
      <w:proofErr w:type="spellEnd"/>
      <w:r w:rsidRPr="004E1EAB">
        <w:rPr>
          <w:sz w:val="24"/>
          <w:szCs w:val="24"/>
        </w:rPr>
        <w:t xml:space="preserve"> tilsyneladende fordelingsvolumen er ca. 1,6 l/kg, hvilket tyder på relativt udtalt optag i væv. </w:t>
      </w:r>
      <w:proofErr w:type="spellStart"/>
      <w:r w:rsidRPr="004E1EAB">
        <w:rPr>
          <w:sz w:val="24"/>
          <w:szCs w:val="24"/>
        </w:rPr>
        <w:t>Allopurinols</w:t>
      </w:r>
      <w:proofErr w:type="spellEnd"/>
      <w:r w:rsidRPr="004E1EAB">
        <w:rPr>
          <w:sz w:val="24"/>
          <w:szCs w:val="24"/>
        </w:rPr>
        <w:t xml:space="preserve"> koncentrationer i væv er ikke blevet rapporteret hos mennesker, men det er sandsynligt, at </w:t>
      </w:r>
      <w:proofErr w:type="spellStart"/>
      <w:r w:rsidRPr="004E1EAB">
        <w:rPr>
          <w:sz w:val="24"/>
          <w:szCs w:val="24"/>
        </w:rPr>
        <w:t>allopurinol</w:t>
      </w:r>
      <w:proofErr w:type="spellEnd"/>
      <w:r w:rsidRPr="004E1EAB">
        <w:rPr>
          <w:sz w:val="24"/>
          <w:szCs w:val="24"/>
        </w:rPr>
        <w:t xml:space="preserve"> og </w:t>
      </w:r>
      <w:proofErr w:type="spellStart"/>
      <w:r w:rsidRPr="004E1EAB">
        <w:rPr>
          <w:sz w:val="24"/>
          <w:szCs w:val="24"/>
        </w:rPr>
        <w:t>oxipurinol</w:t>
      </w:r>
      <w:proofErr w:type="spellEnd"/>
      <w:r w:rsidRPr="004E1EAB">
        <w:rPr>
          <w:sz w:val="24"/>
          <w:szCs w:val="24"/>
        </w:rPr>
        <w:t xml:space="preserve"> vil være til stede i de højeste koncentrationer i leveren og tarmens slimhinder, hvor </w:t>
      </w:r>
      <w:proofErr w:type="spellStart"/>
      <w:r w:rsidRPr="004E1EAB">
        <w:rPr>
          <w:sz w:val="24"/>
          <w:szCs w:val="24"/>
        </w:rPr>
        <w:t>xanthinoxidaseaktiviteten</w:t>
      </w:r>
      <w:proofErr w:type="spellEnd"/>
      <w:r w:rsidRPr="004E1EAB">
        <w:rPr>
          <w:sz w:val="24"/>
          <w:szCs w:val="24"/>
        </w:rPr>
        <w:t xml:space="preserve"> er høj. </w:t>
      </w:r>
    </w:p>
    <w:p w14:paraId="2C2EAC7F" w14:textId="77777777" w:rsidR="004E1EAB" w:rsidRPr="004E1EAB" w:rsidRDefault="004E1EAB" w:rsidP="004E1EAB">
      <w:pPr>
        <w:tabs>
          <w:tab w:val="left" w:pos="851"/>
        </w:tabs>
        <w:ind w:left="851"/>
        <w:rPr>
          <w:sz w:val="24"/>
          <w:szCs w:val="24"/>
        </w:rPr>
      </w:pPr>
    </w:p>
    <w:p w14:paraId="159C4E65" w14:textId="77777777" w:rsidR="004E1EAB" w:rsidRPr="004E1EAB" w:rsidRDefault="004E1EAB" w:rsidP="004E1EAB">
      <w:pPr>
        <w:tabs>
          <w:tab w:val="left" w:pos="851"/>
        </w:tabs>
        <w:ind w:left="851"/>
        <w:rPr>
          <w:sz w:val="24"/>
          <w:szCs w:val="24"/>
        </w:rPr>
      </w:pPr>
      <w:r w:rsidRPr="004E1EAB">
        <w:rPr>
          <w:sz w:val="24"/>
          <w:szCs w:val="24"/>
          <w:u w:val="single"/>
        </w:rPr>
        <w:t>Metabolisme</w:t>
      </w:r>
    </w:p>
    <w:p w14:paraId="28782C65" w14:textId="77777777" w:rsidR="004E1EAB" w:rsidRPr="004E1EAB" w:rsidRDefault="004E1EAB" w:rsidP="004E1EAB">
      <w:pPr>
        <w:tabs>
          <w:tab w:val="left" w:pos="851"/>
        </w:tabs>
        <w:ind w:left="851"/>
        <w:rPr>
          <w:sz w:val="24"/>
          <w:szCs w:val="24"/>
        </w:rPr>
      </w:pPr>
      <w:proofErr w:type="spellStart"/>
      <w:r w:rsidRPr="004E1EAB">
        <w:rPr>
          <w:sz w:val="24"/>
          <w:szCs w:val="24"/>
        </w:rPr>
        <w:t>Allopurinol</w:t>
      </w:r>
      <w:proofErr w:type="spellEnd"/>
      <w:r w:rsidRPr="004E1EAB">
        <w:rPr>
          <w:sz w:val="24"/>
          <w:szCs w:val="24"/>
        </w:rPr>
        <w:t xml:space="preserve"> er hurtig oxideret ved </w:t>
      </w:r>
      <w:proofErr w:type="spellStart"/>
      <w:r w:rsidRPr="004E1EAB">
        <w:rPr>
          <w:sz w:val="24"/>
          <w:szCs w:val="24"/>
        </w:rPr>
        <w:t>xanthinoxidase</w:t>
      </w:r>
      <w:proofErr w:type="spellEnd"/>
      <w:r w:rsidRPr="004E1EAB">
        <w:rPr>
          <w:sz w:val="24"/>
          <w:szCs w:val="24"/>
        </w:rPr>
        <w:t xml:space="preserve"> og aldehydoxidase til </w:t>
      </w:r>
      <w:proofErr w:type="spellStart"/>
      <w:r w:rsidRPr="004E1EAB">
        <w:rPr>
          <w:sz w:val="24"/>
          <w:szCs w:val="24"/>
        </w:rPr>
        <w:t>oxipurinol</w:t>
      </w:r>
      <w:proofErr w:type="spellEnd"/>
      <w:r w:rsidRPr="004E1EAB">
        <w:rPr>
          <w:sz w:val="24"/>
          <w:szCs w:val="24"/>
        </w:rPr>
        <w:t xml:space="preserve"> (halveringstid på ca. 2 timer). </w:t>
      </w:r>
      <w:proofErr w:type="spellStart"/>
      <w:r w:rsidRPr="004E1EAB">
        <w:rPr>
          <w:sz w:val="24"/>
          <w:szCs w:val="24"/>
        </w:rPr>
        <w:t>Oxipurinol</w:t>
      </w:r>
      <w:proofErr w:type="spellEnd"/>
      <w:r w:rsidRPr="004E1EAB">
        <w:rPr>
          <w:sz w:val="24"/>
          <w:szCs w:val="24"/>
        </w:rPr>
        <w:t xml:space="preserve"> hæmmer også </w:t>
      </w:r>
      <w:proofErr w:type="spellStart"/>
      <w:r w:rsidRPr="004E1EAB">
        <w:rPr>
          <w:sz w:val="24"/>
          <w:szCs w:val="24"/>
        </w:rPr>
        <w:t>xanthinoxidasen</w:t>
      </w:r>
      <w:proofErr w:type="spellEnd"/>
      <w:r w:rsidRPr="004E1EAB">
        <w:rPr>
          <w:sz w:val="24"/>
          <w:szCs w:val="24"/>
        </w:rPr>
        <w:t xml:space="preserve">, men har lavere affinitet til enzymet. </w:t>
      </w:r>
    </w:p>
    <w:p w14:paraId="254BDEE8" w14:textId="77777777" w:rsidR="004E1EAB" w:rsidRPr="004E1EAB" w:rsidRDefault="004E1EAB" w:rsidP="004E1EAB">
      <w:pPr>
        <w:tabs>
          <w:tab w:val="left" w:pos="851"/>
        </w:tabs>
        <w:ind w:left="851"/>
        <w:rPr>
          <w:sz w:val="24"/>
          <w:szCs w:val="24"/>
        </w:rPr>
      </w:pPr>
    </w:p>
    <w:p w14:paraId="6AB3374E" w14:textId="77777777" w:rsidR="004E1EAB" w:rsidRPr="004E1EAB" w:rsidRDefault="004E1EAB" w:rsidP="004E1EAB">
      <w:pPr>
        <w:tabs>
          <w:tab w:val="left" w:pos="851"/>
        </w:tabs>
        <w:ind w:left="851"/>
        <w:rPr>
          <w:sz w:val="24"/>
          <w:szCs w:val="24"/>
        </w:rPr>
      </w:pPr>
      <w:r w:rsidRPr="004E1EAB">
        <w:rPr>
          <w:sz w:val="24"/>
          <w:szCs w:val="24"/>
          <w:u w:val="single"/>
        </w:rPr>
        <w:t>Elimination</w:t>
      </w:r>
    </w:p>
    <w:p w14:paraId="785DA10C" w14:textId="77777777" w:rsidR="004E1EAB" w:rsidRPr="004E1EAB" w:rsidRDefault="004E1EAB" w:rsidP="004E1EAB">
      <w:pPr>
        <w:tabs>
          <w:tab w:val="left" w:pos="851"/>
        </w:tabs>
        <w:ind w:left="851"/>
        <w:rPr>
          <w:sz w:val="24"/>
          <w:szCs w:val="24"/>
        </w:rPr>
      </w:pPr>
      <w:r w:rsidRPr="004E1EAB">
        <w:rPr>
          <w:sz w:val="24"/>
          <w:szCs w:val="24"/>
        </w:rPr>
        <w:t xml:space="preserve">Hverken </w:t>
      </w:r>
      <w:proofErr w:type="spellStart"/>
      <w:r w:rsidRPr="004E1EAB">
        <w:rPr>
          <w:sz w:val="24"/>
          <w:szCs w:val="24"/>
        </w:rPr>
        <w:t>allopurinol</w:t>
      </w:r>
      <w:proofErr w:type="spellEnd"/>
      <w:r w:rsidRPr="004E1EAB">
        <w:rPr>
          <w:sz w:val="24"/>
          <w:szCs w:val="24"/>
        </w:rPr>
        <w:t xml:space="preserve"> eller dets primære metabolit, </w:t>
      </w:r>
      <w:proofErr w:type="spellStart"/>
      <w:r w:rsidRPr="004E1EAB">
        <w:rPr>
          <w:sz w:val="24"/>
          <w:szCs w:val="24"/>
        </w:rPr>
        <w:t>oxipurinol</w:t>
      </w:r>
      <w:proofErr w:type="spellEnd"/>
      <w:r w:rsidRPr="004E1EAB">
        <w:rPr>
          <w:sz w:val="24"/>
          <w:szCs w:val="24"/>
        </w:rPr>
        <w:t xml:space="preserve">, viser udtalt affinitet til plasmaproteiner. Eliminationen af </w:t>
      </w:r>
      <w:proofErr w:type="spellStart"/>
      <w:r w:rsidRPr="004E1EAB">
        <w:rPr>
          <w:sz w:val="24"/>
          <w:szCs w:val="24"/>
        </w:rPr>
        <w:t>allopurinol</w:t>
      </w:r>
      <w:proofErr w:type="spellEnd"/>
      <w:r w:rsidRPr="004E1EAB">
        <w:rPr>
          <w:sz w:val="24"/>
          <w:szCs w:val="24"/>
        </w:rPr>
        <w:t xml:space="preserve"> sker hovedsagelig via nyrerne, hvor mindre end 10</w:t>
      </w:r>
      <w:r w:rsidR="001856B6">
        <w:rPr>
          <w:sz w:val="24"/>
          <w:szCs w:val="24"/>
        </w:rPr>
        <w:t xml:space="preserve"> %</w:t>
      </w:r>
      <w:r w:rsidRPr="004E1EAB">
        <w:rPr>
          <w:sz w:val="24"/>
          <w:szCs w:val="24"/>
        </w:rPr>
        <w:t xml:space="preserve"> af det uændrede aktive stof udskilles i urinen. Cirka 20</w:t>
      </w:r>
      <w:r w:rsidR="001856B6">
        <w:rPr>
          <w:sz w:val="24"/>
          <w:szCs w:val="24"/>
        </w:rPr>
        <w:t xml:space="preserve"> %</w:t>
      </w:r>
      <w:r w:rsidRPr="004E1EAB">
        <w:rPr>
          <w:sz w:val="24"/>
          <w:szCs w:val="24"/>
        </w:rPr>
        <w:t xml:space="preserve"> af indtaget </w:t>
      </w:r>
      <w:proofErr w:type="spellStart"/>
      <w:r w:rsidRPr="004E1EAB">
        <w:rPr>
          <w:sz w:val="24"/>
          <w:szCs w:val="24"/>
        </w:rPr>
        <w:t>allopurinol</w:t>
      </w:r>
      <w:proofErr w:type="spellEnd"/>
      <w:r w:rsidRPr="004E1EAB">
        <w:rPr>
          <w:sz w:val="24"/>
          <w:szCs w:val="24"/>
        </w:rPr>
        <w:t xml:space="preserve"> </w:t>
      </w:r>
      <w:r w:rsidRPr="004E1EAB">
        <w:rPr>
          <w:sz w:val="24"/>
          <w:szCs w:val="24"/>
        </w:rPr>
        <w:lastRenderedPageBreak/>
        <w:t xml:space="preserve">er udskilt i fæces efter 48 til 72 timer. </w:t>
      </w:r>
      <w:proofErr w:type="spellStart"/>
      <w:r w:rsidRPr="004E1EAB">
        <w:rPr>
          <w:sz w:val="24"/>
          <w:szCs w:val="24"/>
        </w:rPr>
        <w:t>Oxipurinol</w:t>
      </w:r>
      <w:proofErr w:type="spellEnd"/>
      <w:r w:rsidRPr="004E1EAB">
        <w:rPr>
          <w:sz w:val="24"/>
          <w:szCs w:val="24"/>
        </w:rPr>
        <w:t xml:space="preserve"> er elimineret uændret i urinen efter </w:t>
      </w:r>
      <w:proofErr w:type="spellStart"/>
      <w:r w:rsidRPr="004E1EAB">
        <w:rPr>
          <w:sz w:val="24"/>
          <w:szCs w:val="24"/>
        </w:rPr>
        <w:t>tubulær</w:t>
      </w:r>
      <w:proofErr w:type="spellEnd"/>
      <w:r w:rsidRPr="004E1EAB">
        <w:rPr>
          <w:sz w:val="24"/>
          <w:szCs w:val="24"/>
        </w:rPr>
        <w:t xml:space="preserve"> </w:t>
      </w:r>
      <w:proofErr w:type="spellStart"/>
      <w:r w:rsidRPr="004E1EAB">
        <w:rPr>
          <w:sz w:val="24"/>
          <w:szCs w:val="24"/>
        </w:rPr>
        <w:t>reabsorption</w:t>
      </w:r>
      <w:proofErr w:type="spellEnd"/>
      <w:r w:rsidRPr="004E1EAB">
        <w:rPr>
          <w:sz w:val="24"/>
          <w:szCs w:val="24"/>
        </w:rPr>
        <w:t xml:space="preserve">. </w:t>
      </w:r>
    </w:p>
    <w:p w14:paraId="3AF830E9" w14:textId="77777777" w:rsidR="004E1EAB" w:rsidRPr="004E1EAB" w:rsidRDefault="004E1EAB" w:rsidP="004E1EAB">
      <w:pPr>
        <w:tabs>
          <w:tab w:val="left" w:pos="851"/>
        </w:tabs>
        <w:ind w:left="851"/>
        <w:rPr>
          <w:sz w:val="24"/>
          <w:szCs w:val="24"/>
        </w:rPr>
      </w:pPr>
    </w:p>
    <w:p w14:paraId="5E7935AE" w14:textId="77777777" w:rsidR="004E1EAB" w:rsidRPr="004E1EAB" w:rsidRDefault="004E1EAB" w:rsidP="004E1EAB">
      <w:pPr>
        <w:tabs>
          <w:tab w:val="left" w:pos="851"/>
        </w:tabs>
        <w:ind w:left="851"/>
        <w:rPr>
          <w:sz w:val="24"/>
          <w:szCs w:val="24"/>
        </w:rPr>
      </w:pPr>
      <w:r w:rsidRPr="004E1EAB">
        <w:rPr>
          <w:sz w:val="24"/>
          <w:szCs w:val="24"/>
        </w:rPr>
        <w:t>Eliminationshalveringstiden varierer meget inter-individuelt. I rapporterede værdier hos raske mennesker varierede eliminationshalveringstiden fra 18 timer til 43 timer. Hos patienter på lav-</w:t>
      </w:r>
      <w:proofErr w:type="spellStart"/>
      <w:r w:rsidRPr="004E1EAB">
        <w:rPr>
          <w:sz w:val="24"/>
          <w:szCs w:val="24"/>
        </w:rPr>
        <w:t>purin</w:t>
      </w:r>
      <w:proofErr w:type="spellEnd"/>
      <w:r w:rsidRPr="004E1EAB">
        <w:rPr>
          <w:sz w:val="24"/>
          <w:szCs w:val="24"/>
        </w:rPr>
        <w:t xml:space="preserve"> diæt lå eliminationshalveringstiden for </w:t>
      </w:r>
      <w:proofErr w:type="spellStart"/>
      <w:r w:rsidRPr="004E1EAB">
        <w:rPr>
          <w:sz w:val="24"/>
          <w:szCs w:val="24"/>
        </w:rPr>
        <w:t>oxipurinol</w:t>
      </w:r>
      <w:proofErr w:type="spellEnd"/>
      <w:r w:rsidRPr="004E1EAB">
        <w:rPr>
          <w:sz w:val="24"/>
          <w:szCs w:val="24"/>
        </w:rPr>
        <w:t xml:space="preserve"> på op til 70 timer. På den anden side har patienter med nedsat nyrefunktion endnu længere eliminationshalveringstid.</w:t>
      </w:r>
    </w:p>
    <w:p w14:paraId="6B0D48A6" w14:textId="77777777" w:rsidR="004E1EAB" w:rsidRPr="004E1EAB" w:rsidRDefault="004E1EAB" w:rsidP="004E1EAB">
      <w:pPr>
        <w:tabs>
          <w:tab w:val="left" w:pos="851"/>
        </w:tabs>
        <w:ind w:left="851"/>
        <w:rPr>
          <w:sz w:val="24"/>
          <w:szCs w:val="24"/>
        </w:rPr>
      </w:pPr>
      <w:r w:rsidRPr="004E1EAB">
        <w:rPr>
          <w:sz w:val="24"/>
          <w:szCs w:val="24"/>
        </w:rPr>
        <w:t xml:space="preserve"> </w:t>
      </w:r>
    </w:p>
    <w:p w14:paraId="77A8EC7B" w14:textId="77777777" w:rsidR="004E1EAB" w:rsidRPr="004E1EAB" w:rsidRDefault="004E1EAB" w:rsidP="004E1EAB">
      <w:pPr>
        <w:tabs>
          <w:tab w:val="left" w:pos="851"/>
        </w:tabs>
        <w:ind w:left="851"/>
        <w:rPr>
          <w:sz w:val="24"/>
          <w:szCs w:val="24"/>
        </w:rPr>
      </w:pPr>
      <w:r w:rsidRPr="004E1EAB">
        <w:rPr>
          <w:sz w:val="24"/>
          <w:szCs w:val="24"/>
        </w:rPr>
        <w:t xml:space="preserve">Denne substans-specifikke langsigtede effekt giver mulighed for et indtag af </w:t>
      </w:r>
      <w:proofErr w:type="spellStart"/>
      <w:r w:rsidRPr="004E1EAB">
        <w:rPr>
          <w:sz w:val="24"/>
          <w:szCs w:val="24"/>
        </w:rPr>
        <w:t>allopurinol</w:t>
      </w:r>
      <w:proofErr w:type="spellEnd"/>
      <w:r w:rsidRPr="004E1EAB">
        <w:rPr>
          <w:sz w:val="24"/>
          <w:szCs w:val="24"/>
        </w:rPr>
        <w:t xml:space="preserve"> én gang om dagen. </w:t>
      </w:r>
    </w:p>
    <w:p w14:paraId="26852558" w14:textId="77777777" w:rsidR="004E1EAB" w:rsidRPr="004E1EAB" w:rsidRDefault="004E1EAB" w:rsidP="004E1EAB">
      <w:pPr>
        <w:tabs>
          <w:tab w:val="left" w:pos="851"/>
        </w:tabs>
        <w:ind w:left="851"/>
        <w:rPr>
          <w:sz w:val="24"/>
          <w:szCs w:val="24"/>
        </w:rPr>
      </w:pPr>
    </w:p>
    <w:p w14:paraId="5CF661C8" w14:textId="77777777" w:rsidR="004E1EAB" w:rsidRPr="004E1EAB" w:rsidRDefault="004E1EAB" w:rsidP="004E1EAB">
      <w:pPr>
        <w:tabs>
          <w:tab w:val="left" w:pos="851"/>
        </w:tabs>
        <w:ind w:left="851"/>
        <w:rPr>
          <w:sz w:val="24"/>
          <w:szCs w:val="24"/>
        </w:rPr>
      </w:pPr>
      <w:r w:rsidRPr="004E1EAB">
        <w:rPr>
          <w:sz w:val="24"/>
          <w:szCs w:val="24"/>
        </w:rPr>
        <w:t xml:space="preserve">Urinsyre i form af mikrokrystaller eller kolloider kan favorisere krystalliseringen af </w:t>
      </w:r>
      <w:proofErr w:type="spellStart"/>
      <w:r w:rsidRPr="004E1EAB">
        <w:rPr>
          <w:sz w:val="24"/>
          <w:szCs w:val="24"/>
        </w:rPr>
        <w:t>calciumoxalat</w:t>
      </w:r>
      <w:proofErr w:type="spellEnd"/>
      <w:r w:rsidRPr="004E1EAB">
        <w:rPr>
          <w:sz w:val="24"/>
          <w:szCs w:val="24"/>
        </w:rPr>
        <w:t xml:space="preserve"> fra overmættede opløsninger (heterogen </w:t>
      </w:r>
      <w:proofErr w:type="spellStart"/>
      <w:r w:rsidRPr="004E1EAB">
        <w:rPr>
          <w:sz w:val="24"/>
          <w:szCs w:val="24"/>
        </w:rPr>
        <w:t>nukleation</w:t>
      </w:r>
      <w:proofErr w:type="spellEnd"/>
      <w:r w:rsidRPr="004E1EAB">
        <w:rPr>
          <w:sz w:val="24"/>
          <w:szCs w:val="24"/>
        </w:rPr>
        <w:t xml:space="preserve">). Krystalliseringsinhibitorer, som forhindrer dannelsen af </w:t>
      </w:r>
      <w:proofErr w:type="spellStart"/>
      <w:r w:rsidRPr="004E1EAB">
        <w:rPr>
          <w:sz w:val="24"/>
          <w:szCs w:val="24"/>
        </w:rPr>
        <w:t>calciumoxalat</w:t>
      </w:r>
      <w:proofErr w:type="spellEnd"/>
      <w:r w:rsidRPr="004E1EAB">
        <w:rPr>
          <w:sz w:val="24"/>
          <w:szCs w:val="24"/>
        </w:rPr>
        <w:t xml:space="preserve">-sten og som hovedsageligt består af syreholdige </w:t>
      </w:r>
      <w:proofErr w:type="spellStart"/>
      <w:r w:rsidRPr="004E1EAB">
        <w:rPr>
          <w:sz w:val="24"/>
          <w:szCs w:val="24"/>
        </w:rPr>
        <w:t>mucopolysakkarider</w:t>
      </w:r>
      <w:proofErr w:type="spellEnd"/>
      <w:r w:rsidRPr="004E1EAB">
        <w:rPr>
          <w:sz w:val="24"/>
          <w:szCs w:val="24"/>
        </w:rPr>
        <w:t xml:space="preserve">, blokeres som følge af deres interferens med urinsyre (selv i koncentrationer på 3 mmol/l). I disse tilfælde forebygger reduktionen af udskillelse af urinsyre, dannelsen af </w:t>
      </w:r>
      <w:proofErr w:type="spellStart"/>
      <w:r w:rsidRPr="004E1EAB">
        <w:rPr>
          <w:sz w:val="24"/>
          <w:szCs w:val="24"/>
        </w:rPr>
        <w:t>calciumoxalat</w:t>
      </w:r>
      <w:proofErr w:type="spellEnd"/>
      <w:r w:rsidRPr="004E1EAB">
        <w:rPr>
          <w:sz w:val="24"/>
          <w:szCs w:val="24"/>
        </w:rPr>
        <w:t xml:space="preserve">-sten. </w:t>
      </w:r>
    </w:p>
    <w:p w14:paraId="73121410" w14:textId="77777777" w:rsidR="004E1EAB" w:rsidRPr="004E1EAB" w:rsidRDefault="004E1EAB" w:rsidP="004E1EAB">
      <w:pPr>
        <w:tabs>
          <w:tab w:val="left" w:pos="851"/>
        </w:tabs>
        <w:ind w:left="851"/>
        <w:rPr>
          <w:sz w:val="24"/>
          <w:szCs w:val="24"/>
        </w:rPr>
      </w:pPr>
    </w:p>
    <w:p w14:paraId="1798A4EC" w14:textId="77777777" w:rsidR="004E1EAB" w:rsidRPr="004E1EAB" w:rsidRDefault="004E1EAB" w:rsidP="004E1EAB">
      <w:pPr>
        <w:tabs>
          <w:tab w:val="left" w:pos="851"/>
        </w:tabs>
        <w:ind w:left="851"/>
        <w:rPr>
          <w:sz w:val="24"/>
          <w:szCs w:val="24"/>
        </w:rPr>
      </w:pPr>
      <w:r w:rsidRPr="004E1EAB">
        <w:rPr>
          <w:sz w:val="24"/>
          <w:szCs w:val="24"/>
          <w:u w:val="single"/>
        </w:rPr>
        <w:t>Nedsat nyrefunktion</w:t>
      </w:r>
    </w:p>
    <w:p w14:paraId="55FBB5FE" w14:textId="77777777" w:rsidR="004E1EAB" w:rsidRPr="004E1EAB" w:rsidRDefault="004E1EAB" w:rsidP="004E1EAB">
      <w:pPr>
        <w:tabs>
          <w:tab w:val="left" w:pos="851"/>
        </w:tabs>
        <w:ind w:left="851"/>
        <w:rPr>
          <w:sz w:val="24"/>
          <w:szCs w:val="24"/>
        </w:rPr>
      </w:pPr>
      <w:proofErr w:type="spellStart"/>
      <w:r w:rsidRPr="004E1EAB">
        <w:rPr>
          <w:sz w:val="24"/>
          <w:szCs w:val="24"/>
        </w:rPr>
        <w:t>Allopurinol</w:t>
      </w:r>
      <w:proofErr w:type="spellEnd"/>
      <w:r w:rsidRPr="004E1EAB">
        <w:rPr>
          <w:sz w:val="24"/>
          <w:szCs w:val="24"/>
        </w:rPr>
        <w:t xml:space="preserve"> og </w:t>
      </w:r>
      <w:proofErr w:type="spellStart"/>
      <w:r w:rsidRPr="004E1EAB">
        <w:rPr>
          <w:sz w:val="24"/>
          <w:szCs w:val="24"/>
        </w:rPr>
        <w:t>oxipurinolclearance</w:t>
      </w:r>
      <w:proofErr w:type="spellEnd"/>
      <w:r w:rsidRPr="004E1EAB">
        <w:rPr>
          <w:sz w:val="24"/>
          <w:szCs w:val="24"/>
        </w:rPr>
        <w:t xml:space="preserve"> er stærkt reduceret hos patienter med nedsat nyrefunktion,</w:t>
      </w:r>
    </w:p>
    <w:p w14:paraId="3481BD52" w14:textId="77777777" w:rsidR="004E1EAB" w:rsidRPr="004E1EAB" w:rsidRDefault="004E1EAB" w:rsidP="004E1EAB">
      <w:pPr>
        <w:tabs>
          <w:tab w:val="left" w:pos="851"/>
        </w:tabs>
        <w:ind w:left="851"/>
        <w:rPr>
          <w:sz w:val="24"/>
          <w:szCs w:val="24"/>
        </w:rPr>
      </w:pPr>
      <w:r w:rsidRPr="004E1EAB">
        <w:rPr>
          <w:sz w:val="24"/>
          <w:szCs w:val="24"/>
        </w:rPr>
        <w:t xml:space="preserve">hvilket resulterer i et højere plasmaniveau ved kronisk behandling. Hos patienter med nedsat nyrefunktion, hvor </w:t>
      </w:r>
      <w:proofErr w:type="spellStart"/>
      <w:r w:rsidRPr="004E1EAB">
        <w:rPr>
          <w:sz w:val="24"/>
          <w:szCs w:val="24"/>
        </w:rPr>
        <w:t>kreatinclearance</w:t>
      </w:r>
      <w:proofErr w:type="spellEnd"/>
      <w:r w:rsidRPr="004E1EAB">
        <w:rPr>
          <w:sz w:val="24"/>
          <w:szCs w:val="24"/>
        </w:rPr>
        <w:t xml:space="preserve"> var mellem 10 og 20 ml/min, var plasmakoncentrationen af </w:t>
      </w:r>
      <w:proofErr w:type="spellStart"/>
      <w:r w:rsidRPr="004E1EAB">
        <w:rPr>
          <w:sz w:val="24"/>
          <w:szCs w:val="24"/>
        </w:rPr>
        <w:t>oxipurinol</w:t>
      </w:r>
      <w:proofErr w:type="spellEnd"/>
      <w:r w:rsidRPr="004E1EAB">
        <w:rPr>
          <w:sz w:val="24"/>
          <w:szCs w:val="24"/>
        </w:rPr>
        <w:t xml:space="preserve"> ca. 30 mg/l efter forlænget behandling med 300 mg </w:t>
      </w:r>
      <w:proofErr w:type="spellStart"/>
      <w:r w:rsidRPr="004E1EAB">
        <w:rPr>
          <w:sz w:val="24"/>
          <w:szCs w:val="24"/>
        </w:rPr>
        <w:t>allopurinol</w:t>
      </w:r>
      <w:proofErr w:type="spellEnd"/>
      <w:r w:rsidRPr="004E1EAB">
        <w:rPr>
          <w:sz w:val="24"/>
          <w:szCs w:val="24"/>
        </w:rPr>
        <w:t xml:space="preserve"> pr. dag. Dette er omtrent den koncentration, som kunne opnås ved doser på 600 mg/dag hos patienter med normal nyrefunktion. Derfor bør den relevante dosis af </w:t>
      </w:r>
      <w:proofErr w:type="spellStart"/>
      <w:r w:rsidRPr="004E1EAB">
        <w:rPr>
          <w:sz w:val="24"/>
          <w:szCs w:val="24"/>
        </w:rPr>
        <w:t>allopurinol</w:t>
      </w:r>
      <w:proofErr w:type="spellEnd"/>
      <w:r w:rsidRPr="004E1EAB">
        <w:rPr>
          <w:sz w:val="24"/>
          <w:szCs w:val="24"/>
        </w:rPr>
        <w:t xml:space="preserve"> til patienter med nedsat nyrefunktion justeres i henhold til anbefalingerne (se pkt. 4.2). </w:t>
      </w:r>
    </w:p>
    <w:p w14:paraId="7048C9C7" w14:textId="77777777" w:rsidR="009260DE" w:rsidRPr="00C84483" w:rsidRDefault="009260DE" w:rsidP="009260DE">
      <w:pPr>
        <w:tabs>
          <w:tab w:val="left" w:pos="851"/>
        </w:tabs>
        <w:ind w:left="851"/>
        <w:rPr>
          <w:sz w:val="24"/>
          <w:szCs w:val="24"/>
        </w:rPr>
      </w:pPr>
    </w:p>
    <w:p w14:paraId="3371D313"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4F6B2A">
        <w:rPr>
          <w:b/>
          <w:sz w:val="24"/>
          <w:szCs w:val="24"/>
        </w:rPr>
        <w:t>Non-</w:t>
      </w:r>
      <w:r w:rsidRPr="00C84483">
        <w:rPr>
          <w:b/>
          <w:sz w:val="24"/>
          <w:szCs w:val="24"/>
        </w:rPr>
        <w:t>kliniske sikkerhedsdata</w:t>
      </w:r>
    </w:p>
    <w:p w14:paraId="30BB5C71" w14:textId="77777777" w:rsidR="00DE6F07" w:rsidRPr="00DE6F07" w:rsidRDefault="00DE6F07" w:rsidP="00DE6F07">
      <w:pPr>
        <w:tabs>
          <w:tab w:val="left" w:pos="851"/>
        </w:tabs>
        <w:ind w:left="851"/>
        <w:rPr>
          <w:sz w:val="24"/>
          <w:szCs w:val="24"/>
        </w:rPr>
      </w:pPr>
      <w:r w:rsidRPr="00DE6F07">
        <w:rPr>
          <w:sz w:val="24"/>
          <w:szCs w:val="24"/>
        </w:rPr>
        <w:t xml:space="preserve">I dyreforsøg har langtidsadministration af høje doser af </w:t>
      </w:r>
      <w:proofErr w:type="spellStart"/>
      <w:r w:rsidRPr="00DE6F07">
        <w:rPr>
          <w:sz w:val="24"/>
          <w:szCs w:val="24"/>
        </w:rPr>
        <w:t>allopurinol</w:t>
      </w:r>
      <w:proofErr w:type="spellEnd"/>
      <w:r w:rsidRPr="00DE6F07">
        <w:rPr>
          <w:sz w:val="24"/>
          <w:szCs w:val="24"/>
        </w:rPr>
        <w:t xml:space="preserve"> resulteret i dannelse af </w:t>
      </w:r>
      <w:proofErr w:type="spellStart"/>
      <w:r w:rsidRPr="00DE6F07">
        <w:rPr>
          <w:sz w:val="24"/>
          <w:szCs w:val="24"/>
        </w:rPr>
        <w:t>xanthin</w:t>
      </w:r>
      <w:proofErr w:type="spellEnd"/>
      <w:r w:rsidRPr="00DE6F07">
        <w:rPr>
          <w:sz w:val="24"/>
          <w:szCs w:val="24"/>
        </w:rPr>
        <w:t xml:space="preserve"> bundfald, hvilket har ført til morfologiske ændringer i urinledende organer. </w:t>
      </w:r>
    </w:p>
    <w:p w14:paraId="1ED61B0B" w14:textId="77777777" w:rsidR="00DE6F07" w:rsidRPr="00DE6F07" w:rsidRDefault="00DE6F07" w:rsidP="00DE6F07">
      <w:pPr>
        <w:tabs>
          <w:tab w:val="left" w:pos="851"/>
        </w:tabs>
        <w:ind w:left="851"/>
        <w:rPr>
          <w:sz w:val="24"/>
          <w:szCs w:val="24"/>
        </w:rPr>
      </w:pPr>
    </w:p>
    <w:p w14:paraId="16D82D1F" w14:textId="77777777" w:rsidR="00DE6F07" w:rsidRPr="00DE6F07" w:rsidRDefault="00DE6F07" w:rsidP="00DE6F07">
      <w:pPr>
        <w:tabs>
          <w:tab w:val="left" w:pos="851"/>
        </w:tabs>
        <w:ind w:left="851"/>
        <w:rPr>
          <w:sz w:val="24"/>
          <w:szCs w:val="24"/>
        </w:rPr>
      </w:pPr>
      <w:r w:rsidRPr="00DE6F07">
        <w:rPr>
          <w:i/>
          <w:iCs/>
          <w:sz w:val="24"/>
          <w:szCs w:val="24"/>
        </w:rPr>
        <w:t>In-</w:t>
      </w:r>
      <w:proofErr w:type="spellStart"/>
      <w:r w:rsidRPr="00DE6F07">
        <w:rPr>
          <w:i/>
          <w:iCs/>
          <w:sz w:val="24"/>
          <w:szCs w:val="24"/>
        </w:rPr>
        <w:t>vitro</w:t>
      </w:r>
      <w:proofErr w:type="spellEnd"/>
      <w:r w:rsidRPr="00DE6F07">
        <w:rPr>
          <w:i/>
          <w:iCs/>
          <w:sz w:val="24"/>
          <w:szCs w:val="24"/>
        </w:rPr>
        <w:t xml:space="preserve">- </w:t>
      </w:r>
      <w:r w:rsidRPr="00DE6F07">
        <w:rPr>
          <w:sz w:val="24"/>
          <w:szCs w:val="24"/>
        </w:rPr>
        <w:t xml:space="preserve">og </w:t>
      </w:r>
      <w:r w:rsidRPr="00DE6F07">
        <w:rPr>
          <w:i/>
          <w:iCs/>
          <w:sz w:val="24"/>
          <w:szCs w:val="24"/>
        </w:rPr>
        <w:t>in-</w:t>
      </w:r>
      <w:proofErr w:type="spellStart"/>
      <w:r w:rsidRPr="00DE6F07">
        <w:rPr>
          <w:i/>
          <w:iCs/>
          <w:sz w:val="24"/>
          <w:szCs w:val="24"/>
        </w:rPr>
        <w:t>vivo</w:t>
      </w:r>
      <w:proofErr w:type="spellEnd"/>
      <w:r w:rsidRPr="00DE6F07">
        <w:rPr>
          <w:i/>
          <w:iCs/>
          <w:sz w:val="24"/>
          <w:szCs w:val="24"/>
        </w:rPr>
        <w:t>-</w:t>
      </w:r>
      <w:r w:rsidRPr="00DE6F07">
        <w:rPr>
          <w:sz w:val="24"/>
          <w:szCs w:val="24"/>
        </w:rPr>
        <w:t xml:space="preserve">studier har indtil videre ikke vist evidens på mutagent eller </w:t>
      </w:r>
      <w:proofErr w:type="spellStart"/>
      <w:r w:rsidRPr="00DE6F07">
        <w:rPr>
          <w:sz w:val="24"/>
          <w:szCs w:val="24"/>
        </w:rPr>
        <w:t>karcinogent</w:t>
      </w:r>
      <w:proofErr w:type="spellEnd"/>
      <w:r w:rsidRPr="00DE6F07">
        <w:rPr>
          <w:sz w:val="24"/>
          <w:szCs w:val="24"/>
        </w:rPr>
        <w:t xml:space="preserve"> potentiale. </w:t>
      </w:r>
    </w:p>
    <w:p w14:paraId="7E47B39B" w14:textId="77777777" w:rsidR="00DE6F07" w:rsidRPr="00DE6F07" w:rsidRDefault="00DE6F07" w:rsidP="00DE6F07">
      <w:pPr>
        <w:tabs>
          <w:tab w:val="left" w:pos="851"/>
        </w:tabs>
        <w:ind w:left="851"/>
        <w:rPr>
          <w:sz w:val="24"/>
          <w:szCs w:val="24"/>
        </w:rPr>
      </w:pPr>
    </w:p>
    <w:p w14:paraId="1FC24E1A" w14:textId="77777777" w:rsidR="00DE6F07" w:rsidRPr="00DE6F07" w:rsidRDefault="00DE6F07" w:rsidP="00DE6F07">
      <w:pPr>
        <w:tabs>
          <w:tab w:val="left" w:pos="851"/>
        </w:tabs>
        <w:ind w:left="851"/>
        <w:rPr>
          <w:sz w:val="24"/>
          <w:szCs w:val="24"/>
        </w:rPr>
      </w:pPr>
      <w:r w:rsidRPr="00DE6F07">
        <w:rPr>
          <w:sz w:val="24"/>
          <w:szCs w:val="24"/>
        </w:rPr>
        <w:t xml:space="preserve">I dyrestudier opstod der i 1 ud af 3 organismer (mus) </w:t>
      </w:r>
      <w:proofErr w:type="spellStart"/>
      <w:r w:rsidRPr="00DE6F07">
        <w:rPr>
          <w:sz w:val="24"/>
          <w:szCs w:val="24"/>
        </w:rPr>
        <w:t>teratogeniske</w:t>
      </w:r>
      <w:proofErr w:type="spellEnd"/>
      <w:r w:rsidRPr="00DE6F07">
        <w:rPr>
          <w:sz w:val="24"/>
          <w:szCs w:val="24"/>
        </w:rPr>
        <w:t xml:space="preserve"> effekter ved dosis på 50 mg/kg legemsvægt på 10. dag af indtag. </w:t>
      </w:r>
    </w:p>
    <w:p w14:paraId="7C3AFA9B" w14:textId="77777777" w:rsidR="00DE6F07" w:rsidRPr="00DE6F07" w:rsidRDefault="00DE6F07" w:rsidP="00DE6F07">
      <w:pPr>
        <w:tabs>
          <w:tab w:val="left" w:pos="851"/>
        </w:tabs>
        <w:ind w:left="851"/>
        <w:rPr>
          <w:sz w:val="24"/>
          <w:szCs w:val="24"/>
        </w:rPr>
      </w:pPr>
    </w:p>
    <w:p w14:paraId="7DAD113A" w14:textId="77777777" w:rsidR="009260DE" w:rsidRPr="00C84483" w:rsidRDefault="009260DE" w:rsidP="009260DE">
      <w:pPr>
        <w:tabs>
          <w:tab w:val="left" w:pos="851"/>
        </w:tabs>
        <w:ind w:left="851"/>
        <w:rPr>
          <w:sz w:val="24"/>
          <w:szCs w:val="24"/>
        </w:rPr>
      </w:pPr>
    </w:p>
    <w:p w14:paraId="737AE743"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4D06E5A8" w14:textId="77777777" w:rsidR="009260DE" w:rsidRPr="00BA09F1" w:rsidRDefault="009260DE" w:rsidP="009260DE">
      <w:pPr>
        <w:tabs>
          <w:tab w:val="left" w:pos="851"/>
        </w:tabs>
        <w:ind w:left="851"/>
        <w:rPr>
          <w:sz w:val="24"/>
          <w:szCs w:val="24"/>
        </w:rPr>
      </w:pPr>
    </w:p>
    <w:p w14:paraId="1CA542AA"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0AFB2510" w14:textId="77777777" w:rsidR="001856B6" w:rsidRPr="001856B6" w:rsidRDefault="001856B6" w:rsidP="001856B6">
      <w:pPr>
        <w:tabs>
          <w:tab w:val="left" w:pos="851"/>
        </w:tabs>
        <w:ind w:left="851"/>
        <w:rPr>
          <w:sz w:val="24"/>
          <w:szCs w:val="24"/>
        </w:rPr>
      </w:pPr>
      <w:proofErr w:type="spellStart"/>
      <w:r w:rsidRPr="001856B6">
        <w:rPr>
          <w:sz w:val="24"/>
          <w:szCs w:val="24"/>
        </w:rPr>
        <w:t>Lactosemonohydrat</w:t>
      </w:r>
      <w:proofErr w:type="spellEnd"/>
    </w:p>
    <w:p w14:paraId="5FC99E38" w14:textId="77777777" w:rsidR="001856B6" w:rsidRPr="001856B6" w:rsidRDefault="001856B6" w:rsidP="001856B6">
      <w:pPr>
        <w:tabs>
          <w:tab w:val="left" w:pos="851"/>
        </w:tabs>
        <w:ind w:left="851"/>
        <w:rPr>
          <w:sz w:val="24"/>
          <w:szCs w:val="24"/>
        </w:rPr>
      </w:pPr>
      <w:r w:rsidRPr="001856B6">
        <w:rPr>
          <w:sz w:val="24"/>
          <w:szCs w:val="24"/>
        </w:rPr>
        <w:t>Majsstivelse</w:t>
      </w:r>
    </w:p>
    <w:p w14:paraId="54C7A827" w14:textId="77777777" w:rsidR="001856B6" w:rsidRPr="001856B6" w:rsidRDefault="001856B6" w:rsidP="001856B6">
      <w:pPr>
        <w:tabs>
          <w:tab w:val="left" w:pos="851"/>
        </w:tabs>
        <w:ind w:left="851"/>
        <w:rPr>
          <w:sz w:val="24"/>
          <w:szCs w:val="24"/>
        </w:rPr>
      </w:pPr>
      <w:proofErr w:type="spellStart"/>
      <w:r w:rsidRPr="001856B6">
        <w:rPr>
          <w:sz w:val="24"/>
          <w:szCs w:val="24"/>
        </w:rPr>
        <w:t>Povidon</w:t>
      </w:r>
      <w:proofErr w:type="spellEnd"/>
      <w:r w:rsidRPr="001856B6">
        <w:rPr>
          <w:sz w:val="24"/>
          <w:szCs w:val="24"/>
        </w:rPr>
        <w:t xml:space="preserve"> K30</w:t>
      </w:r>
    </w:p>
    <w:p w14:paraId="0A8AC9E5" w14:textId="77777777" w:rsidR="001856B6" w:rsidRPr="001856B6" w:rsidRDefault="001856B6" w:rsidP="001856B6">
      <w:pPr>
        <w:tabs>
          <w:tab w:val="left" w:pos="851"/>
        </w:tabs>
        <w:ind w:left="851"/>
        <w:rPr>
          <w:sz w:val="24"/>
          <w:szCs w:val="24"/>
        </w:rPr>
      </w:pPr>
      <w:proofErr w:type="spellStart"/>
      <w:r w:rsidRPr="001856B6">
        <w:rPr>
          <w:sz w:val="24"/>
          <w:szCs w:val="24"/>
        </w:rPr>
        <w:t>Magnesiumstearat</w:t>
      </w:r>
      <w:proofErr w:type="spellEnd"/>
    </w:p>
    <w:p w14:paraId="097014FC" w14:textId="77777777" w:rsidR="009260DE" w:rsidRPr="00C84483" w:rsidRDefault="009260DE" w:rsidP="009260DE">
      <w:pPr>
        <w:tabs>
          <w:tab w:val="left" w:pos="851"/>
        </w:tabs>
        <w:ind w:left="851"/>
        <w:rPr>
          <w:sz w:val="24"/>
          <w:szCs w:val="24"/>
        </w:rPr>
      </w:pPr>
    </w:p>
    <w:p w14:paraId="2BE1C344"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0F0CD8A1" w14:textId="77777777" w:rsidR="009260DE" w:rsidRPr="00C84483" w:rsidRDefault="00810FEB" w:rsidP="009260DE">
      <w:pPr>
        <w:tabs>
          <w:tab w:val="left" w:pos="851"/>
        </w:tabs>
        <w:ind w:left="851"/>
        <w:rPr>
          <w:sz w:val="24"/>
          <w:szCs w:val="24"/>
        </w:rPr>
      </w:pPr>
      <w:r>
        <w:rPr>
          <w:sz w:val="24"/>
          <w:szCs w:val="24"/>
        </w:rPr>
        <w:t>Ikke relevant.</w:t>
      </w:r>
    </w:p>
    <w:p w14:paraId="7ADF528E" w14:textId="77777777" w:rsidR="009260DE" w:rsidRPr="00C84483" w:rsidRDefault="009260DE" w:rsidP="009260DE">
      <w:pPr>
        <w:tabs>
          <w:tab w:val="left" w:pos="851"/>
        </w:tabs>
        <w:ind w:left="851"/>
        <w:rPr>
          <w:sz w:val="24"/>
          <w:szCs w:val="24"/>
        </w:rPr>
      </w:pPr>
    </w:p>
    <w:p w14:paraId="646F0905"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12B9F357" w14:textId="77777777" w:rsidR="009260DE" w:rsidRPr="00C84483" w:rsidRDefault="009260DE" w:rsidP="009260DE">
      <w:pPr>
        <w:tabs>
          <w:tab w:val="left" w:pos="851"/>
        </w:tabs>
        <w:ind w:left="851" w:hanging="851"/>
        <w:rPr>
          <w:sz w:val="24"/>
          <w:szCs w:val="24"/>
        </w:rPr>
      </w:pPr>
      <w:r w:rsidRPr="00C84483">
        <w:rPr>
          <w:sz w:val="24"/>
          <w:szCs w:val="24"/>
        </w:rPr>
        <w:tab/>
      </w:r>
      <w:r w:rsidR="002323D6">
        <w:rPr>
          <w:sz w:val="24"/>
          <w:szCs w:val="24"/>
        </w:rPr>
        <w:t>30 måneder.</w:t>
      </w:r>
    </w:p>
    <w:p w14:paraId="02B90103" w14:textId="77777777" w:rsidR="009260DE" w:rsidRPr="00C84483" w:rsidRDefault="009260DE" w:rsidP="009260DE">
      <w:pPr>
        <w:tabs>
          <w:tab w:val="left" w:pos="851"/>
        </w:tabs>
        <w:ind w:left="851"/>
        <w:rPr>
          <w:sz w:val="24"/>
          <w:szCs w:val="24"/>
        </w:rPr>
      </w:pPr>
    </w:p>
    <w:p w14:paraId="0E68909B"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5C804CD9" w14:textId="77777777" w:rsidR="005E4588" w:rsidRPr="005E4588" w:rsidRDefault="005E4588" w:rsidP="005E4588">
      <w:pPr>
        <w:tabs>
          <w:tab w:val="left" w:pos="851"/>
        </w:tabs>
        <w:ind w:left="851"/>
        <w:rPr>
          <w:sz w:val="24"/>
          <w:szCs w:val="24"/>
        </w:rPr>
      </w:pPr>
      <w:r w:rsidRPr="005E4588">
        <w:rPr>
          <w:sz w:val="24"/>
          <w:szCs w:val="24"/>
        </w:rPr>
        <w:t xml:space="preserve">Dette lægemiddel kræver ingen særlige forholdsregler vedrørende opbevaringen. </w:t>
      </w:r>
    </w:p>
    <w:p w14:paraId="4110F6B3" w14:textId="77777777" w:rsidR="009260DE" w:rsidRPr="00C84483" w:rsidRDefault="009260DE" w:rsidP="005E4588">
      <w:pPr>
        <w:tabs>
          <w:tab w:val="left" w:pos="851"/>
        </w:tabs>
        <w:ind w:left="851"/>
        <w:rPr>
          <w:sz w:val="24"/>
          <w:szCs w:val="24"/>
        </w:rPr>
      </w:pPr>
    </w:p>
    <w:p w14:paraId="42D51103"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14:paraId="25A9F328" w14:textId="46F1A13B" w:rsidR="004F6B2A" w:rsidRDefault="00263CB7" w:rsidP="004F6B2A">
      <w:pPr>
        <w:tabs>
          <w:tab w:val="left" w:pos="851"/>
        </w:tabs>
        <w:ind w:left="851"/>
        <w:rPr>
          <w:sz w:val="24"/>
          <w:szCs w:val="24"/>
        </w:rPr>
      </w:pPr>
      <w:r>
        <w:rPr>
          <w:sz w:val="24"/>
          <w:szCs w:val="24"/>
        </w:rPr>
        <w:t>Blister.</w:t>
      </w:r>
      <w:r w:rsidR="004F6B2A">
        <w:rPr>
          <w:sz w:val="24"/>
          <w:szCs w:val="24"/>
        </w:rPr>
        <w:t xml:space="preserve"> </w:t>
      </w:r>
    </w:p>
    <w:p w14:paraId="03E20F6A" w14:textId="77777777" w:rsidR="009260DE" w:rsidRPr="00C84483" w:rsidRDefault="009260DE" w:rsidP="009260DE">
      <w:pPr>
        <w:tabs>
          <w:tab w:val="left" w:pos="851"/>
        </w:tabs>
        <w:ind w:left="851"/>
        <w:rPr>
          <w:sz w:val="24"/>
          <w:szCs w:val="24"/>
        </w:rPr>
      </w:pPr>
    </w:p>
    <w:p w14:paraId="12760CBC"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14:paraId="55D336C0" w14:textId="77777777" w:rsidR="00063765" w:rsidRPr="00063765" w:rsidRDefault="00063765" w:rsidP="00063765">
      <w:pPr>
        <w:tabs>
          <w:tab w:val="left" w:pos="851"/>
        </w:tabs>
        <w:ind w:left="851"/>
        <w:jc w:val="both"/>
        <w:rPr>
          <w:sz w:val="24"/>
          <w:szCs w:val="24"/>
        </w:rPr>
      </w:pPr>
      <w:r w:rsidRPr="00063765">
        <w:rPr>
          <w:sz w:val="24"/>
          <w:szCs w:val="24"/>
        </w:rPr>
        <w:t xml:space="preserve">Ikke anvendt lægemiddel samt affald heraf skal bortskaffes i henhold til lokale retningslinjer. </w:t>
      </w:r>
    </w:p>
    <w:p w14:paraId="22E85545" w14:textId="77777777" w:rsidR="009260DE" w:rsidRPr="00C84483" w:rsidRDefault="009260DE" w:rsidP="009260DE">
      <w:pPr>
        <w:tabs>
          <w:tab w:val="left" w:pos="851"/>
        </w:tabs>
        <w:ind w:left="851"/>
        <w:jc w:val="both"/>
        <w:rPr>
          <w:sz w:val="24"/>
          <w:szCs w:val="24"/>
        </w:rPr>
      </w:pPr>
    </w:p>
    <w:p w14:paraId="461BF2A9"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5EA9B8CC" w14:textId="77777777" w:rsidR="00392C9E" w:rsidRPr="00392C9E" w:rsidRDefault="00392C9E" w:rsidP="00392C9E">
      <w:pPr>
        <w:ind w:left="851"/>
        <w:rPr>
          <w:lang w:val="en-US"/>
        </w:rPr>
      </w:pPr>
      <w:r w:rsidRPr="00392C9E">
        <w:rPr>
          <w:lang w:val="en-US"/>
        </w:rPr>
        <w:t xml:space="preserve">Nordic Prime </w:t>
      </w:r>
      <w:proofErr w:type="spellStart"/>
      <w:r w:rsidRPr="00392C9E">
        <w:rPr>
          <w:lang w:val="en-US"/>
        </w:rPr>
        <w:t>ApS</w:t>
      </w:r>
      <w:proofErr w:type="spellEnd"/>
    </w:p>
    <w:p w14:paraId="30234B25" w14:textId="77777777" w:rsidR="00392C9E" w:rsidRPr="00392C9E" w:rsidRDefault="00392C9E" w:rsidP="00392C9E">
      <w:pPr>
        <w:ind w:left="851"/>
        <w:rPr>
          <w:lang w:val="en-US"/>
        </w:rPr>
      </w:pPr>
      <w:r w:rsidRPr="00392C9E">
        <w:rPr>
          <w:lang w:val="en-US"/>
        </w:rPr>
        <w:t xml:space="preserve">Niels </w:t>
      </w:r>
      <w:proofErr w:type="spellStart"/>
      <w:r w:rsidRPr="00392C9E">
        <w:rPr>
          <w:lang w:val="en-US"/>
        </w:rPr>
        <w:t>Bohrs</w:t>
      </w:r>
      <w:proofErr w:type="spellEnd"/>
      <w:r w:rsidRPr="00392C9E">
        <w:rPr>
          <w:lang w:val="en-US"/>
        </w:rPr>
        <w:t xml:space="preserve"> </w:t>
      </w:r>
      <w:proofErr w:type="spellStart"/>
      <w:r w:rsidRPr="00392C9E">
        <w:rPr>
          <w:lang w:val="en-US"/>
        </w:rPr>
        <w:t>Vej</w:t>
      </w:r>
      <w:proofErr w:type="spellEnd"/>
      <w:r w:rsidRPr="00392C9E">
        <w:rPr>
          <w:lang w:val="en-US"/>
        </w:rPr>
        <w:t xml:space="preserve"> 6</w:t>
      </w:r>
    </w:p>
    <w:p w14:paraId="55068688" w14:textId="77777777" w:rsidR="00392C9E" w:rsidRPr="00392C9E" w:rsidRDefault="00392C9E" w:rsidP="00392C9E">
      <w:pPr>
        <w:ind w:left="851"/>
        <w:rPr>
          <w:lang w:val="en-US"/>
        </w:rPr>
      </w:pPr>
      <w:r w:rsidRPr="00392C9E">
        <w:rPr>
          <w:lang w:val="en-US"/>
        </w:rPr>
        <w:t>6700 Esbjerg</w:t>
      </w:r>
    </w:p>
    <w:p w14:paraId="1781791A" w14:textId="77777777" w:rsidR="00263CB7" w:rsidRPr="00392C9E" w:rsidRDefault="00263CB7" w:rsidP="00E83A95">
      <w:pPr>
        <w:rPr>
          <w:lang w:val="en-US"/>
        </w:rPr>
      </w:pPr>
    </w:p>
    <w:p w14:paraId="03D8477F"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14:paraId="572375A3" w14:textId="326F2684" w:rsidR="00063765" w:rsidRPr="00C84483" w:rsidRDefault="00263CB7" w:rsidP="00063765">
      <w:pPr>
        <w:tabs>
          <w:tab w:val="left" w:pos="851"/>
          <w:tab w:val="left" w:pos="1843"/>
        </w:tabs>
        <w:ind w:left="851"/>
        <w:rPr>
          <w:sz w:val="24"/>
          <w:szCs w:val="24"/>
        </w:rPr>
      </w:pPr>
      <w:r>
        <w:rPr>
          <w:sz w:val="24"/>
          <w:szCs w:val="24"/>
        </w:rPr>
        <w:t>70227</w:t>
      </w:r>
    </w:p>
    <w:p w14:paraId="0664C0B7" w14:textId="77777777" w:rsidR="009260DE" w:rsidRPr="00C84483" w:rsidRDefault="009260DE" w:rsidP="009260DE">
      <w:pPr>
        <w:tabs>
          <w:tab w:val="left" w:pos="851"/>
        </w:tabs>
        <w:ind w:left="851"/>
        <w:jc w:val="both"/>
        <w:rPr>
          <w:sz w:val="24"/>
          <w:szCs w:val="24"/>
        </w:rPr>
      </w:pPr>
    </w:p>
    <w:p w14:paraId="6241DF6E"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14256C96" w14:textId="0FF6B8FE" w:rsidR="009260DE" w:rsidRPr="00C84483" w:rsidRDefault="00263CB7" w:rsidP="009260DE">
      <w:pPr>
        <w:tabs>
          <w:tab w:val="left" w:pos="851"/>
        </w:tabs>
        <w:ind w:left="851"/>
        <w:rPr>
          <w:sz w:val="24"/>
          <w:szCs w:val="24"/>
        </w:rPr>
      </w:pPr>
      <w:r>
        <w:rPr>
          <w:sz w:val="24"/>
          <w:szCs w:val="24"/>
        </w:rPr>
        <w:t>1</w:t>
      </w:r>
      <w:r w:rsidR="000A2920">
        <w:rPr>
          <w:sz w:val="24"/>
          <w:szCs w:val="24"/>
        </w:rPr>
        <w:t>8</w:t>
      </w:r>
      <w:r>
        <w:rPr>
          <w:sz w:val="24"/>
          <w:szCs w:val="24"/>
        </w:rPr>
        <w:t>. september 2023</w:t>
      </w:r>
    </w:p>
    <w:p w14:paraId="7AC36000" w14:textId="77777777" w:rsidR="009260DE" w:rsidRPr="00C84483" w:rsidRDefault="009260DE" w:rsidP="009260DE">
      <w:pPr>
        <w:tabs>
          <w:tab w:val="left" w:pos="851"/>
        </w:tabs>
        <w:ind w:left="851"/>
        <w:rPr>
          <w:sz w:val="24"/>
          <w:szCs w:val="24"/>
        </w:rPr>
      </w:pPr>
    </w:p>
    <w:p w14:paraId="3446D1F8"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1BF1D536" w14:textId="6E513DAC" w:rsidR="009260DE" w:rsidRPr="00C84483" w:rsidRDefault="00392C9E" w:rsidP="009260DE">
      <w:pPr>
        <w:tabs>
          <w:tab w:val="left" w:pos="851"/>
        </w:tabs>
        <w:ind w:left="851"/>
        <w:rPr>
          <w:sz w:val="24"/>
          <w:szCs w:val="24"/>
        </w:rPr>
      </w:pPr>
      <w:bookmarkStart w:id="3" w:name="_GoBack"/>
      <w:r>
        <w:rPr>
          <w:sz w:val="24"/>
          <w:szCs w:val="24"/>
        </w:rPr>
        <w:t>30. juli 2024</w:t>
      </w:r>
      <w:bookmarkEnd w:id="3"/>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3572C" w14:textId="77777777" w:rsidR="000B71C3" w:rsidRDefault="000B71C3">
      <w:r>
        <w:separator/>
      </w:r>
    </w:p>
  </w:endnote>
  <w:endnote w:type="continuationSeparator" w:id="0">
    <w:p w14:paraId="6D0784B5" w14:textId="77777777" w:rsidR="000B71C3" w:rsidRDefault="000B7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C7B22" w14:textId="77777777" w:rsidR="000259B9" w:rsidRDefault="000259B9">
    <w:pPr>
      <w:pStyle w:val="Sidefod"/>
      <w:pBdr>
        <w:bottom w:val="single" w:sz="6" w:space="1" w:color="auto"/>
      </w:pBdr>
    </w:pPr>
  </w:p>
  <w:p w14:paraId="4CCC92BB" w14:textId="77777777" w:rsidR="000259B9" w:rsidRDefault="000259B9" w:rsidP="00C42586">
    <w:pPr>
      <w:pStyle w:val="Sidefod"/>
      <w:tabs>
        <w:tab w:val="clear" w:pos="4819"/>
        <w:tab w:val="left" w:pos="8505"/>
      </w:tabs>
      <w:rPr>
        <w:i/>
        <w:sz w:val="18"/>
        <w:szCs w:val="18"/>
      </w:rPr>
    </w:pPr>
  </w:p>
  <w:p w14:paraId="5F25DF6E" w14:textId="4CC93840" w:rsidR="000259B9" w:rsidRPr="00263CB7" w:rsidRDefault="00782AF4" w:rsidP="00C42586">
    <w:pPr>
      <w:pStyle w:val="Sidefod"/>
      <w:tabs>
        <w:tab w:val="clear" w:pos="4819"/>
        <w:tab w:val="left" w:pos="8505"/>
      </w:tabs>
      <w:rPr>
        <w:i/>
        <w:sz w:val="18"/>
        <w:szCs w:val="18"/>
        <w:lang w:val="en-US"/>
      </w:rPr>
    </w:pPr>
    <w:r w:rsidRPr="00B373D7">
      <w:rPr>
        <w:i/>
        <w:sz w:val="18"/>
        <w:szCs w:val="18"/>
      </w:rPr>
      <w:fldChar w:fldCharType="begin"/>
    </w:r>
    <w:r w:rsidR="000259B9" w:rsidRPr="00263CB7">
      <w:rPr>
        <w:i/>
        <w:sz w:val="18"/>
        <w:szCs w:val="18"/>
        <w:lang w:val="en-US"/>
      </w:rPr>
      <w:instrText xml:space="preserve"> FILENAME </w:instrText>
    </w:r>
    <w:r w:rsidRPr="00B373D7">
      <w:rPr>
        <w:i/>
        <w:sz w:val="18"/>
        <w:szCs w:val="18"/>
      </w:rPr>
      <w:fldChar w:fldCharType="separate"/>
    </w:r>
    <w:r w:rsidR="00263CB7" w:rsidRPr="00263CB7">
      <w:rPr>
        <w:i/>
        <w:noProof/>
        <w:sz w:val="18"/>
        <w:szCs w:val="18"/>
        <w:lang w:val="en-US"/>
      </w:rPr>
      <w:t>Allopurinol Nordic Prime (Nordic Prime), tabletter 100 mg</w:t>
    </w:r>
    <w:r w:rsidRPr="00B373D7">
      <w:rPr>
        <w:i/>
        <w:sz w:val="18"/>
        <w:szCs w:val="18"/>
      </w:rPr>
      <w:fldChar w:fldCharType="end"/>
    </w:r>
    <w:r w:rsidR="000259B9" w:rsidRPr="00263CB7">
      <w:rPr>
        <w:i/>
        <w:sz w:val="18"/>
        <w:szCs w:val="18"/>
        <w:lang w:val="en-US"/>
      </w:rPr>
      <w:tab/>
      <w:t xml:space="preserve">Side </w:t>
    </w:r>
    <w:r w:rsidRPr="00B373D7">
      <w:rPr>
        <w:rStyle w:val="Sidetal"/>
        <w:i/>
        <w:sz w:val="18"/>
        <w:szCs w:val="18"/>
      </w:rPr>
      <w:fldChar w:fldCharType="begin"/>
    </w:r>
    <w:r w:rsidR="000259B9" w:rsidRPr="00263CB7">
      <w:rPr>
        <w:rStyle w:val="Sidetal"/>
        <w:i/>
        <w:sz w:val="18"/>
        <w:szCs w:val="18"/>
        <w:lang w:val="en-US"/>
      </w:rPr>
      <w:instrText xml:space="preserve"> PAGE </w:instrText>
    </w:r>
    <w:r w:rsidRPr="00B373D7">
      <w:rPr>
        <w:rStyle w:val="Sidetal"/>
        <w:i/>
        <w:sz w:val="18"/>
        <w:szCs w:val="18"/>
      </w:rPr>
      <w:fldChar w:fldCharType="separate"/>
    </w:r>
    <w:r w:rsidR="00C60CCD" w:rsidRPr="00263CB7">
      <w:rPr>
        <w:rStyle w:val="Sidetal"/>
        <w:i/>
        <w:noProof/>
        <w:sz w:val="18"/>
        <w:szCs w:val="18"/>
        <w:lang w:val="en-US"/>
      </w:rPr>
      <w:t>3</w:t>
    </w:r>
    <w:r w:rsidRPr="00B373D7">
      <w:rPr>
        <w:rStyle w:val="Sidetal"/>
        <w:i/>
        <w:sz w:val="18"/>
        <w:szCs w:val="18"/>
      </w:rPr>
      <w:fldChar w:fldCharType="end"/>
    </w:r>
    <w:r w:rsidR="000259B9" w:rsidRPr="00263CB7">
      <w:rPr>
        <w:rStyle w:val="Sidetal"/>
        <w:i/>
        <w:sz w:val="18"/>
        <w:szCs w:val="18"/>
        <w:lang w:val="en-US"/>
      </w:rPr>
      <w:t xml:space="preserve"> af </w:t>
    </w:r>
    <w:r w:rsidRPr="00B373D7">
      <w:rPr>
        <w:rStyle w:val="Sidetal"/>
        <w:i/>
        <w:sz w:val="18"/>
        <w:szCs w:val="18"/>
      </w:rPr>
      <w:fldChar w:fldCharType="begin"/>
    </w:r>
    <w:r w:rsidR="000259B9" w:rsidRPr="00263CB7">
      <w:rPr>
        <w:rStyle w:val="Sidetal"/>
        <w:i/>
        <w:sz w:val="18"/>
        <w:szCs w:val="18"/>
        <w:lang w:val="en-US"/>
      </w:rPr>
      <w:instrText xml:space="preserve"> NUMPAGES </w:instrText>
    </w:r>
    <w:r w:rsidRPr="00B373D7">
      <w:rPr>
        <w:rStyle w:val="Sidetal"/>
        <w:i/>
        <w:sz w:val="18"/>
        <w:szCs w:val="18"/>
      </w:rPr>
      <w:fldChar w:fldCharType="separate"/>
    </w:r>
    <w:r w:rsidR="00C60CCD" w:rsidRPr="00263CB7">
      <w:rPr>
        <w:rStyle w:val="Sidetal"/>
        <w:i/>
        <w:noProof/>
        <w:sz w:val="18"/>
        <w:szCs w:val="18"/>
        <w:lang w:val="en-US"/>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9C48A" w14:textId="77777777" w:rsidR="000B71C3" w:rsidRDefault="000B71C3">
      <w:r>
        <w:separator/>
      </w:r>
    </w:p>
  </w:footnote>
  <w:footnote w:type="continuationSeparator" w:id="0">
    <w:p w14:paraId="1A564C38" w14:textId="77777777" w:rsidR="000B71C3" w:rsidRDefault="000B7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6FB7F1A"/>
    <w:multiLevelType w:val="hybridMultilevel"/>
    <w:tmpl w:val="566AAAC6"/>
    <w:lvl w:ilvl="0" w:tplc="648603B4">
      <w:start w:val="4"/>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1C3"/>
    <w:rsid w:val="000259B9"/>
    <w:rsid w:val="00041491"/>
    <w:rsid w:val="00050D16"/>
    <w:rsid w:val="00063765"/>
    <w:rsid w:val="00074F2A"/>
    <w:rsid w:val="000954C4"/>
    <w:rsid w:val="000A1CA8"/>
    <w:rsid w:val="000A2920"/>
    <w:rsid w:val="000A466B"/>
    <w:rsid w:val="000B058C"/>
    <w:rsid w:val="000B71C3"/>
    <w:rsid w:val="000E1E40"/>
    <w:rsid w:val="000E4EE6"/>
    <w:rsid w:val="00122EC8"/>
    <w:rsid w:val="001454E2"/>
    <w:rsid w:val="001856B6"/>
    <w:rsid w:val="001A6485"/>
    <w:rsid w:val="00206CE8"/>
    <w:rsid w:val="0021526C"/>
    <w:rsid w:val="002323D6"/>
    <w:rsid w:val="00263CB7"/>
    <w:rsid w:val="00283A2B"/>
    <w:rsid w:val="002A1A3C"/>
    <w:rsid w:val="002B30AD"/>
    <w:rsid w:val="002C2C01"/>
    <w:rsid w:val="0031087D"/>
    <w:rsid w:val="00392C9E"/>
    <w:rsid w:val="003A29AE"/>
    <w:rsid w:val="003A32D7"/>
    <w:rsid w:val="003B4074"/>
    <w:rsid w:val="003C769A"/>
    <w:rsid w:val="003F1838"/>
    <w:rsid w:val="00410DC0"/>
    <w:rsid w:val="0042327A"/>
    <w:rsid w:val="004303CC"/>
    <w:rsid w:val="0045746C"/>
    <w:rsid w:val="0049104B"/>
    <w:rsid w:val="004E1EAB"/>
    <w:rsid w:val="004E3B12"/>
    <w:rsid w:val="004E6026"/>
    <w:rsid w:val="004F6B2A"/>
    <w:rsid w:val="005125E7"/>
    <w:rsid w:val="00532310"/>
    <w:rsid w:val="00565F0F"/>
    <w:rsid w:val="00594A86"/>
    <w:rsid w:val="00596D86"/>
    <w:rsid w:val="005B17F5"/>
    <w:rsid w:val="005C7399"/>
    <w:rsid w:val="005E4588"/>
    <w:rsid w:val="0063080B"/>
    <w:rsid w:val="0063505D"/>
    <w:rsid w:val="00637F5A"/>
    <w:rsid w:val="0064698F"/>
    <w:rsid w:val="00655868"/>
    <w:rsid w:val="006560B1"/>
    <w:rsid w:val="006756DD"/>
    <w:rsid w:val="006A69DD"/>
    <w:rsid w:val="00710446"/>
    <w:rsid w:val="00737275"/>
    <w:rsid w:val="00740EEC"/>
    <w:rsid w:val="007467FC"/>
    <w:rsid w:val="0078011A"/>
    <w:rsid w:val="00782AF4"/>
    <w:rsid w:val="00790EE7"/>
    <w:rsid w:val="007B6649"/>
    <w:rsid w:val="00810FEB"/>
    <w:rsid w:val="0082576E"/>
    <w:rsid w:val="008B2C24"/>
    <w:rsid w:val="00907F75"/>
    <w:rsid w:val="009260DE"/>
    <w:rsid w:val="0093258A"/>
    <w:rsid w:val="009535D3"/>
    <w:rsid w:val="009C7BA3"/>
    <w:rsid w:val="009D1F5A"/>
    <w:rsid w:val="00A27A10"/>
    <w:rsid w:val="00B003BF"/>
    <w:rsid w:val="00B373D7"/>
    <w:rsid w:val="00B63560"/>
    <w:rsid w:val="00B64CE7"/>
    <w:rsid w:val="00C06B24"/>
    <w:rsid w:val="00C36276"/>
    <w:rsid w:val="00C41763"/>
    <w:rsid w:val="00C42586"/>
    <w:rsid w:val="00C56A05"/>
    <w:rsid w:val="00C60CCD"/>
    <w:rsid w:val="00C82685"/>
    <w:rsid w:val="00C84483"/>
    <w:rsid w:val="00C95551"/>
    <w:rsid w:val="00CB20D7"/>
    <w:rsid w:val="00D020B0"/>
    <w:rsid w:val="00D11748"/>
    <w:rsid w:val="00D366CF"/>
    <w:rsid w:val="00D71A54"/>
    <w:rsid w:val="00D97E1B"/>
    <w:rsid w:val="00DD0820"/>
    <w:rsid w:val="00DD663E"/>
    <w:rsid w:val="00DE6F07"/>
    <w:rsid w:val="00E108AA"/>
    <w:rsid w:val="00E3749A"/>
    <w:rsid w:val="00E70F5C"/>
    <w:rsid w:val="00E7437F"/>
    <w:rsid w:val="00E865B8"/>
    <w:rsid w:val="00EA4C85"/>
    <w:rsid w:val="00EC0B9B"/>
    <w:rsid w:val="00ED5E9F"/>
    <w:rsid w:val="00F04B81"/>
    <w:rsid w:val="00F07C66"/>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03A726"/>
  <w15:chartTrackingRefBased/>
  <w15:docId w15:val="{2182920C-578B-491B-9896-E392DE84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Slutnotetekst">
    <w:name w:val="endnote text"/>
    <w:basedOn w:val="Normal"/>
    <w:link w:val="SlutnotetekstTegn"/>
    <w:semiHidden/>
    <w:unhideWhenUsed/>
    <w:rsid w:val="004E6026"/>
    <w:pPr>
      <w:tabs>
        <w:tab w:val="left" w:pos="567"/>
      </w:tabs>
    </w:pPr>
    <w:rPr>
      <w:sz w:val="22"/>
      <w:lang w:val="en-GB"/>
    </w:rPr>
  </w:style>
  <w:style w:type="character" w:customStyle="1" w:styleId="SlutnotetekstTegn">
    <w:name w:val="Slutnotetekst Tegn"/>
    <w:basedOn w:val="Standardskrifttypeiafsnit"/>
    <w:link w:val="Slutnotetekst"/>
    <w:semiHidden/>
    <w:rsid w:val="004E6026"/>
    <w:rPr>
      <w:sz w:val="22"/>
      <w:lang w:val="en-GB" w:eastAsia="en-US"/>
    </w:rPr>
  </w:style>
  <w:style w:type="paragraph" w:styleId="Brdtekst">
    <w:name w:val="Body Text"/>
    <w:basedOn w:val="Normal"/>
    <w:link w:val="BrdtekstTegn"/>
    <w:uiPriority w:val="1"/>
    <w:semiHidden/>
    <w:unhideWhenUsed/>
    <w:qFormat/>
    <w:rsid w:val="004E6026"/>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4E6026"/>
    <w:rPr>
      <w:sz w:val="22"/>
      <w:szCs w:val="22"/>
      <w:lang w:val="en-US" w:eastAsia="en-US"/>
    </w:rPr>
  </w:style>
  <w:style w:type="paragraph" w:customStyle="1" w:styleId="Default">
    <w:name w:val="Default"/>
    <w:rsid w:val="004E6026"/>
    <w:pPr>
      <w:autoSpaceDE w:val="0"/>
      <w:autoSpaceDN w:val="0"/>
      <w:adjustRightInd w:val="0"/>
    </w:pPr>
    <w:rPr>
      <w:rFonts w:ascii="Cambria" w:hAnsi="Cambria" w:cs="Cambria"/>
      <w:color w:val="000000"/>
      <w:sz w:val="24"/>
      <w:szCs w:val="24"/>
    </w:rPr>
  </w:style>
  <w:style w:type="character" w:styleId="Hyperlink">
    <w:name w:val="Hyperlink"/>
    <w:basedOn w:val="Standardskrifttypeiafsnit"/>
    <w:uiPriority w:val="99"/>
    <w:unhideWhenUsed/>
    <w:rsid w:val="004E6026"/>
    <w:rPr>
      <w:color w:val="0000FF"/>
      <w:u w:val="single"/>
    </w:rPr>
  </w:style>
  <w:style w:type="character" w:styleId="Ulstomtale">
    <w:name w:val="Unresolved Mention"/>
    <w:basedOn w:val="Standardskrifttypeiafsnit"/>
    <w:uiPriority w:val="99"/>
    <w:semiHidden/>
    <w:unhideWhenUsed/>
    <w:rsid w:val="00263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96508">
      <w:bodyDiv w:val="1"/>
      <w:marLeft w:val="0"/>
      <w:marRight w:val="0"/>
      <w:marTop w:val="0"/>
      <w:marBottom w:val="0"/>
      <w:divBdr>
        <w:top w:val="none" w:sz="0" w:space="0" w:color="auto"/>
        <w:left w:val="none" w:sz="0" w:space="0" w:color="auto"/>
        <w:bottom w:val="none" w:sz="0" w:space="0" w:color="auto"/>
        <w:right w:val="none" w:sz="0" w:space="0" w:color="auto"/>
      </w:divBdr>
      <w:divsChild>
        <w:div w:id="1973366784">
          <w:marLeft w:val="0"/>
          <w:marRight w:val="0"/>
          <w:marTop w:val="0"/>
          <w:marBottom w:val="0"/>
          <w:divBdr>
            <w:top w:val="none" w:sz="0" w:space="0" w:color="auto"/>
            <w:left w:val="none" w:sz="0" w:space="0" w:color="auto"/>
            <w:bottom w:val="none" w:sz="0" w:space="0" w:color="auto"/>
            <w:right w:val="none" w:sz="0" w:space="0" w:color="auto"/>
          </w:divBdr>
          <w:divsChild>
            <w:div w:id="88232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3496">
      <w:bodyDiv w:val="1"/>
      <w:marLeft w:val="0"/>
      <w:marRight w:val="0"/>
      <w:marTop w:val="0"/>
      <w:marBottom w:val="0"/>
      <w:divBdr>
        <w:top w:val="none" w:sz="0" w:space="0" w:color="auto"/>
        <w:left w:val="none" w:sz="0" w:space="0" w:color="auto"/>
        <w:bottom w:val="none" w:sz="0" w:space="0" w:color="auto"/>
        <w:right w:val="none" w:sz="0" w:space="0" w:color="auto"/>
      </w:divBdr>
    </w:div>
    <w:div w:id="143548371">
      <w:bodyDiv w:val="1"/>
      <w:marLeft w:val="0"/>
      <w:marRight w:val="0"/>
      <w:marTop w:val="0"/>
      <w:marBottom w:val="0"/>
      <w:divBdr>
        <w:top w:val="none" w:sz="0" w:space="0" w:color="auto"/>
        <w:left w:val="none" w:sz="0" w:space="0" w:color="auto"/>
        <w:bottom w:val="none" w:sz="0" w:space="0" w:color="auto"/>
        <w:right w:val="none" w:sz="0" w:space="0" w:color="auto"/>
      </w:divBdr>
    </w:div>
    <w:div w:id="148137846">
      <w:bodyDiv w:val="1"/>
      <w:marLeft w:val="0"/>
      <w:marRight w:val="0"/>
      <w:marTop w:val="0"/>
      <w:marBottom w:val="0"/>
      <w:divBdr>
        <w:top w:val="none" w:sz="0" w:space="0" w:color="auto"/>
        <w:left w:val="none" w:sz="0" w:space="0" w:color="auto"/>
        <w:bottom w:val="none" w:sz="0" w:space="0" w:color="auto"/>
        <w:right w:val="none" w:sz="0" w:space="0" w:color="auto"/>
      </w:divBdr>
    </w:div>
    <w:div w:id="15187129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62998440">
      <w:bodyDiv w:val="1"/>
      <w:marLeft w:val="0"/>
      <w:marRight w:val="0"/>
      <w:marTop w:val="0"/>
      <w:marBottom w:val="0"/>
      <w:divBdr>
        <w:top w:val="none" w:sz="0" w:space="0" w:color="auto"/>
        <w:left w:val="none" w:sz="0" w:space="0" w:color="auto"/>
        <w:bottom w:val="none" w:sz="0" w:space="0" w:color="auto"/>
        <w:right w:val="none" w:sz="0" w:space="0" w:color="auto"/>
      </w:divBdr>
    </w:div>
    <w:div w:id="274094982">
      <w:bodyDiv w:val="1"/>
      <w:marLeft w:val="0"/>
      <w:marRight w:val="0"/>
      <w:marTop w:val="0"/>
      <w:marBottom w:val="0"/>
      <w:divBdr>
        <w:top w:val="none" w:sz="0" w:space="0" w:color="auto"/>
        <w:left w:val="none" w:sz="0" w:space="0" w:color="auto"/>
        <w:bottom w:val="none" w:sz="0" w:space="0" w:color="auto"/>
        <w:right w:val="none" w:sz="0" w:space="0" w:color="auto"/>
      </w:divBdr>
    </w:div>
    <w:div w:id="277761680">
      <w:bodyDiv w:val="1"/>
      <w:marLeft w:val="0"/>
      <w:marRight w:val="0"/>
      <w:marTop w:val="0"/>
      <w:marBottom w:val="0"/>
      <w:divBdr>
        <w:top w:val="none" w:sz="0" w:space="0" w:color="auto"/>
        <w:left w:val="none" w:sz="0" w:space="0" w:color="auto"/>
        <w:bottom w:val="none" w:sz="0" w:space="0" w:color="auto"/>
        <w:right w:val="none" w:sz="0" w:space="0" w:color="auto"/>
      </w:divBdr>
    </w:div>
    <w:div w:id="346518255">
      <w:bodyDiv w:val="1"/>
      <w:marLeft w:val="0"/>
      <w:marRight w:val="0"/>
      <w:marTop w:val="0"/>
      <w:marBottom w:val="0"/>
      <w:divBdr>
        <w:top w:val="none" w:sz="0" w:space="0" w:color="auto"/>
        <w:left w:val="none" w:sz="0" w:space="0" w:color="auto"/>
        <w:bottom w:val="none" w:sz="0" w:space="0" w:color="auto"/>
        <w:right w:val="none" w:sz="0" w:space="0" w:color="auto"/>
      </w:divBdr>
    </w:div>
    <w:div w:id="358045503">
      <w:bodyDiv w:val="1"/>
      <w:marLeft w:val="0"/>
      <w:marRight w:val="0"/>
      <w:marTop w:val="0"/>
      <w:marBottom w:val="0"/>
      <w:divBdr>
        <w:top w:val="none" w:sz="0" w:space="0" w:color="auto"/>
        <w:left w:val="none" w:sz="0" w:space="0" w:color="auto"/>
        <w:bottom w:val="none" w:sz="0" w:space="0" w:color="auto"/>
        <w:right w:val="none" w:sz="0" w:space="0" w:color="auto"/>
      </w:divBdr>
    </w:div>
    <w:div w:id="369458625">
      <w:bodyDiv w:val="1"/>
      <w:marLeft w:val="0"/>
      <w:marRight w:val="0"/>
      <w:marTop w:val="0"/>
      <w:marBottom w:val="0"/>
      <w:divBdr>
        <w:top w:val="none" w:sz="0" w:space="0" w:color="auto"/>
        <w:left w:val="none" w:sz="0" w:space="0" w:color="auto"/>
        <w:bottom w:val="none" w:sz="0" w:space="0" w:color="auto"/>
        <w:right w:val="none" w:sz="0" w:space="0" w:color="auto"/>
      </w:divBdr>
    </w:div>
    <w:div w:id="424543051">
      <w:bodyDiv w:val="1"/>
      <w:marLeft w:val="0"/>
      <w:marRight w:val="0"/>
      <w:marTop w:val="0"/>
      <w:marBottom w:val="0"/>
      <w:divBdr>
        <w:top w:val="none" w:sz="0" w:space="0" w:color="auto"/>
        <w:left w:val="none" w:sz="0" w:space="0" w:color="auto"/>
        <w:bottom w:val="none" w:sz="0" w:space="0" w:color="auto"/>
        <w:right w:val="none" w:sz="0" w:space="0" w:color="auto"/>
      </w:divBdr>
    </w:div>
    <w:div w:id="481314883">
      <w:bodyDiv w:val="1"/>
      <w:marLeft w:val="0"/>
      <w:marRight w:val="0"/>
      <w:marTop w:val="0"/>
      <w:marBottom w:val="0"/>
      <w:divBdr>
        <w:top w:val="none" w:sz="0" w:space="0" w:color="auto"/>
        <w:left w:val="none" w:sz="0" w:space="0" w:color="auto"/>
        <w:bottom w:val="none" w:sz="0" w:space="0" w:color="auto"/>
        <w:right w:val="none" w:sz="0" w:space="0" w:color="auto"/>
      </w:divBdr>
    </w:div>
    <w:div w:id="508374093">
      <w:bodyDiv w:val="1"/>
      <w:marLeft w:val="0"/>
      <w:marRight w:val="0"/>
      <w:marTop w:val="0"/>
      <w:marBottom w:val="0"/>
      <w:divBdr>
        <w:top w:val="none" w:sz="0" w:space="0" w:color="auto"/>
        <w:left w:val="none" w:sz="0" w:space="0" w:color="auto"/>
        <w:bottom w:val="none" w:sz="0" w:space="0" w:color="auto"/>
        <w:right w:val="none" w:sz="0" w:space="0" w:color="auto"/>
      </w:divBdr>
    </w:div>
    <w:div w:id="514658065">
      <w:bodyDiv w:val="1"/>
      <w:marLeft w:val="0"/>
      <w:marRight w:val="0"/>
      <w:marTop w:val="0"/>
      <w:marBottom w:val="0"/>
      <w:divBdr>
        <w:top w:val="none" w:sz="0" w:space="0" w:color="auto"/>
        <w:left w:val="none" w:sz="0" w:space="0" w:color="auto"/>
        <w:bottom w:val="none" w:sz="0" w:space="0" w:color="auto"/>
        <w:right w:val="none" w:sz="0" w:space="0" w:color="auto"/>
      </w:divBdr>
    </w:div>
    <w:div w:id="556554288">
      <w:bodyDiv w:val="1"/>
      <w:marLeft w:val="0"/>
      <w:marRight w:val="0"/>
      <w:marTop w:val="0"/>
      <w:marBottom w:val="0"/>
      <w:divBdr>
        <w:top w:val="none" w:sz="0" w:space="0" w:color="auto"/>
        <w:left w:val="none" w:sz="0" w:space="0" w:color="auto"/>
        <w:bottom w:val="none" w:sz="0" w:space="0" w:color="auto"/>
        <w:right w:val="none" w:sz="0" w:space="0" w:color="auto"/>
      </w:divBdr>
      <w:divsChild>
        <w:div w:id="1866943651">
          <w:marLeft w:val="0"/>
          <w:marRight w:val="0"/>
          <w:marTop w:val="0"/>
          <w:marBottom w:val="0"/>
          <w:divBdr>
            <w:top w:val="none" w:sz="0" w:space="0" w:color="auto"/>
            <w:left w:val="none" w:sz="0" w:space="0" w:color="auto"/>
            <w:bottom w:val="none" w:sz="0" w:space="0" w:color="auto"/>
            <w:right w:val="none" w:sz="0" w:space="0" w:color="auto"/>
          </w:divBdr>
          <w:divsChild>
            <w:div w:id="5445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60475">
      <w:bodyDiv w:val="1"/>
      <w:marLeft w:val="0"/>
      <w:marRight w:val="0"/>
      <w:marTop w:val="0"/>
      <w:marBottom w:val="0"/>
      <w:divBdr>
        <w:top w:val="none" w:sz="0" w:space="0" w:color="auto"/>
        <w:left w:val="none" w:sz="0" w:space="0" w:color="auto"/>
        <w:bottom w:val="none" w:sz="0" w:space="0" w:color="auto"/>
        <w:right w:val="none" w:sz="0" w:space="0" w:color="auto"/>
      </w:divBdr>
    </w:div>
    <w:div w:id="665402418">
      <w:bodyDiv w:val="1"/>
      <w:marLeft w:val="0"/>
      <w:marRight w:val="0"/>
      <w:marTop w:val="0"/>
      <w:marBottom w:val="0"/>
      <w:divBdr>
        <w:top w:val="none" w:sz="0" w:space="0" w:color="auto"/>
        <w:left w:val="none" w:sz="0" w:space="0" w:color="auto"/>
        <w:bottom w:val="none" w:sz="0" w:space="0" w:color="auto"/>
        <w:right w:val="none" w:sz="0" w:space="0" w:color="auto"/>
      </w:divBdr>
    </w:div>
    <w:div w:id="716855105">
      <w:bodyDiv w:val="1"/>
      <w:marLeft w:val="0"/>
      <w:marRight w:val="0"/>
      <w:marTop w:val="0"/>
      <w:marBottom w:val="0"/>
      <w:divBdr>
        <w:top w:val="none" w:sz="0" w:space="0" w:color="auto"/>
        <w:left w:val="none" w:sz="0" w:space="0" w:color="auto"/>
        <w:bottom w:val="none" w:sz="0" w:space="0" w:color="auto"/>
        <w:right w:val="none" w:sz="0" w:space="0" w:color="auto"/>
      </w:divBdr>
    </w:div>
    <w:div w:id="858928833">
      <w:bodyDiv w:val="1"/>
      <w:marLeft w:val="0"/>
      <w:marRight w:val="0"/>
      <w:marTop w:val="0"/>
      <w:marBottom w:val="0"/>
      <w:divBdr>
        <w:top w:val="none" w:sz="0" w:space="0" w:color="auto"/>
        <w:left w:val="none" w:sz="0" w:space="0" w:color="auto"/>
        <w:bottom w:val="none" w:sz="0" w:space="0" w:color="auto"/>
        <w:right w:val="none" w:sz="0" w:space="0" w:color="auto"/>
      </w:divBdr>
    </w:div>
    <w:div w:id="871186917">
      <w:bodyDiv w:val="1"/>
      <w:marLeft w:val="0"/>
      <w:marRight w:val="0"/>
      <w:marTop w:val="0"/>
      <w:marBottom w:val="0"/>
      <w:divBdr>
        <w:top w:val="none" w:sz="0" w:space="0" w:color="auto"/>
        <w:left w:val="none" w:sz="0" w:space="0" w:color="auto"/>
        <w:bottom w:val="none" w:sz="0" w:space="0" w:color="auto"/>
        <w:right w:val="none" w:sz="0" w:space="0" w:color="auto"/>
      </w:divBdr>
    </w:div>
    <w:div w:id="880942829">
      <w:bodyDiv w:val="1"/>
      <w:marLeft w:val="0"/>
      <w:marRight w:val="0"/>
      <w:marTop w:val="0"/>
      <w:marBottom w:val="0"/>
      <w:divBdr>
        <w:top w:val="none" w:sz="0" w:space="0" w:color="auto"/>
        <w:left w:val="none" w:sz="0" w:space="0" w:color="auto"/>
        <w:bottom w:val="none" w:sz="0" w:space="0" w:color="auto"/>
        <w:right w:val="none" w:sz="0" w:space="0" w:color="auto"/>
      </w:divBdr>
    </w:div>
    <w:div w:id="922451742">
      <w:bodyDiv w:val="1"/>
      <w:marLeft w:val="0"/>
      <w:marRight w:val="0"/>
      <w:marTop w:val="0"/>
      <w:marBottom w:val="0"/>
      <w:divBdr>
        <w:top w:val="none" w:sz="0" w:space="0" w:color="auto"/>
        <w:left w:val="none" w:sz="0" w:space="0" w:color="auto"/>
        <w:bottom w:val="none" w:sz="0" w:space="0" w:color="auto"/>
        <w:right w:val="none" w:sz="0" w:space="0" w:color="auto"/>
      </w:divBdr>
    </w:div>
    <w:div w:id="993723044">
      <w:bodyDiv w:val="1"/>
      <w:marLeft w:val="0"/>
      <w:marRight w:val="0"/>
      <w:marTop w:val="0"/>
      <w:marBottom w:val="0"/>
      <w:divBdr>
        <w:top w:val="none" w:sz="0" w:space="0" w:color="auto"/>
        <w:left w:val="none" w:sz="0" w:space="0" w:color="auto"/>
        <w:bottom w:val="none" w:sz="0" w:space="0" w:color="auto"/>
        <w:right w:val="none" w:sz="0" w:space="0" w:color="auto"/>
      </w:divBdr>
    </w:div>
    <w:div w:id="1068503438">
      <w:bodyDiv w:val="1"/>
      <w:marLeft w:val="0"/>
      <w:marRight w:val="0"/>
      <w:marTop w:val="0"/>
      <w:marBottom w:val="0"/>
      <w:divBdr>
        <w:top w:val="none" w:sz="0" w:space="0" w:color="auto"/>
        <w:left w:val="none" w:sz="0" w:space="0" w:color="auto"/>
        <w:bottom w:val="none" w:sz="0" w:space="0" w:color="auto"/>
        <w:right w:val="none" w:sz="0" w:space="0" w:color="auto"/>
      </w:divBdr>
    </w:div>
    <w:div w:id="1102072934">
      <w:bodyDiv w:val="1"/>
      <w:marLeft w:val="0"/>
      <w:marRight w:val="0"/>
      <w:marTop w:val="0"/>
      <w:marBottom w:val="0"/>
      <w:divBdr>
        <w:top w:val="none" w:sz="0" w:space="0" w:color="auto"/>
        <w:left w:val="none" w:sz="0" w:space="0" w:color="auto"/>
        <w:bottom w:val="none" w:sz="0" w:space="0" w:color="auto"/>
        <w:right w:val="none" w:sz="0" w:space="0" w:color="auto"/>
      </w:divBdr>
    </w:div>
    <w:div w:id="1133015790">
      <w:bodyDiv w:val="1"/>
      <w:marLeft w:val="0"/>
      <w:marRight w:val="0"/>
      <w:marTop w:val="0"/>
      <w:marBottom w:val="0"/>
      <w:divBdr>
        <w:top w:val="none" w:sz="0" w:space="0" w:color="auto"/>
        <w:left w:val="none" w:sz="0" w:space="0" w:color="auto"/>
        <w:bottom w:val="none" w:sz="0" w:space="0" w:color="auto"/>
        <w:right w:val="none" w:sz="0" w:space="0" w:color="auto"/>
      </w:divBdr>
    </w:div>
    <w:div w:id="1186285384">
      <w:bodyDiv w:val="1"/>
      <w:marLeft w:val="0"/>
      <w:marRight w:val="0"/>
      <w:marTop w:val="0"/>
      <w:marBottom w:val="0"/>
      <w:divBdr>
        <w:top w:val="none" w:sz="0" w:space="0" w:color="auto"/>
        <w:left w:val="none" w:sz="0" w:space="0" w:color="auto"/>
        <w:bottom w:val="none" w:sz="0" w:space="0" w:color="auto"/>
        <w:right w:val="none" w:sz="0" w:space="0" w:color="auto"/>
      </w:divBdr>
    </w:div>
    <w:div w:id="1219437060">
      <w:bodyDiv w:val="1"/>
      <w:marLeft w:val="0"/>
      <w:marRight w:val="0"/>
      <w:marTop w:val="0"/>
      <w:marBottom w:val="0"/>
      <w:divBdr>
        <w:top w:val="none" w:sz="0" w:space="0" w:color="auto"/>
        <w:left w:val="none" w:sz="0" w:space="0" w:color="auto"/>
        <w:bottom w:val="none" w:sz="0" w:space="0" w:color="auto"/>
        <w:right w:val="none" w:sz="0" w:space="0" w:color="auto"/>
      </w:divBdr>
    </w:div>
    <w:div w:id="1303385919">
      <w:bodyDiv w:val="1"/>
      <w:marLeft w:val="0"/>
      <w:marRight w:val="0"/>
      <w:marTop w:val="0"/>
      <w:marBottom w:val="0"/>
      <w:divBdr>
        <w:top w:val="none" w:sz="0" w:space="0" w:color="auto"/>
        <w:left w:val="none" w:sz="0" w:space="0" w:color="auto"/>
        <w:bottom w:val="none" w:sz="0" w:space="0" w:color="auto"/>
        <w:right w:val="none" w:sz="0" w:space="0" w:color="auto"/>
      </w:divBdr>
    </w:div>
    <w:div w:id="1393196072">
      <w:bodyDiv w:val="1"/>
      <w:marLeft w:val="0"/>
      <w:marRight w:val="0"/>
      <w:marTop w:val="0"/>
      <w:marBottom w:val="0"/>
      <w:divBdr>
        <w:top w:val="none" w:sz="0" w:space="0" w:color="auto"/>
        <w:left w:val="none" w:sz="0" w:space="0" w:color="auto"/>
        <w:bottom w:val="none" w:sz="0" w:space="0" w:color="auto"/>
        <w:right w:val="none" w:sz="0" w:space="0" w:color="auto"/>
      </w:divBdr>
    </w:div>
    <w:div w:id="1450592193">
      <w:bodyDiv w:val="1"/>
      <w:marLeft w:val="0"/>
      <w:marRight w:val="0"/>
      <w:marTop w:val="0"/>
      <w:marBottom w:val="0"/>
      <w:divBdr>
        <w:top w:val="none" w:sz="0" w:space="0" w:color="auto"/>
        <w:left w:val="none" w:sz="0" w:space="0" w:color="auto"/>
        <w:bottom w:val="none" w:sz="0" w:space="0" w:color="auto"/>
        <w:right w:val="none" w:sz="0" w:space="0" w:color="auto"/>
      </w:divBdr>
    </w:div>
    <w:div w:id="1452892876">
      <w:bodyDiv w:val="1"/>
      <w:marLeft w:val="0"/>
      <w:marRight w:val="0"/>
      <w:marTop w:val="0"/>
      <w:marBottom w:val="0"/>
      <w:divBdr>
        <w:top w:val="none" w:sz="0" w:space="0" w:color="auto"/>
        <w:left w:val="none" w:sz="0" w:space="0" w:color="auto"/>
        <w:bottom w:val="none" w:sz="0" w:space="0" w:color="auto"/>
        <w:right w:val="none" w:sz="0" w:space="0" w:color="auto"/>
      </w:divBdr>
    </w:div>
    <w:div w:id="1580019058">
      <w:bodyDiv w:val="1"/>
      <w:marLeft w:val="0"/>
      <w:marRight w:val="0"/>
      <w:marTop w:val="0"/>
      <w:marBottom w:val="0"/>
      <w:divBdr>
        <w:top w:val="none" w:sz="0" w:space="0" w:color="auto"/>
        <w:left w:val="none" w:sz="0" w:space="0" w:color="auto"/>
        <w:bottom w:val="none" w:sz="0" w:space="0" w:color="auto"/>
        <w:right w:val="none" w:sz="0" w:space="0" w:color="auto"/>
      </w:divBdr>
    </w:div>
    <w:div w:id="1657218434">
      <w:bodyDiv w:val="1"/>
      <w:marLeft w:val="0"/>
      <w:marRight w:val="0"/>
      <w:marTop w:val="0"/>
      <w:marBottom w:val="0"/>
      <w:divBdr>
        <w:top w:val="none" w:sz="0" w:space="0" w:color="auto"/>
        <w:left w:val="none" w:sz="0" w:space="0" w:color="auto"/>
        <w:bottom w:val="none" w:sz="0" w:space="0" w:color="auto"/>
        <w:right w:val="none" w:sz="0" w:space="0" w:color="auto"/>
      </w:divBdr>
    </w:div>
    <w:div w:id="1701856075">
      <w:bodyDiv w:val="1"/>
      <w:marLeft w:val="0"/>
      <w:marRight w:val="0"/>
      <w:marTop w:val="0"/>
      <w:marBottom w:val="0"/>
      <w:divBdr>
        <w:top w:val="none" w:sz="0" w:space="0" w:color="auto"/>
        <w:left w:val="none" w:sz="0" w:space="0" w:color="auto"/>
        <w:bottom w:val="none" w:sz="0" w:space="0" w:color="auto"/>
        <w:right w:val="none" w:sz="0" w:space="0" w:color="auto"/>
      </w:divBdr>
    </w:div>
    <w:div w:id="1726176353">
      <w:bodyDiv w:val="1"/>
      <w:marLeft w:val="0"/>
      <w:marRight w:val="0"/>
      <w:marTop w:val="0"/>
      <w:marBottom w:val="0"/>
      <w:divBdr>
        <w:top w:val="none" w:sz="0" w:space="0" w:color="auto"/>
        <w:left w:val="none" w:sz="0" w:space="0" w:color="auto"/>
        <w:bottom w:val="none" w:sz="0" w:space="0" w:color="auto"/>
        <w:right w:val="none" w:sz="0" w:space="0" w:color="auto"/>
      </w:divBdr>
    </w:div>
    <w:div w:id="1773816834">
      <w:bodyDiv w:val="1"/>
      <w:marLeft w:val="0"/>
      <w:marRight w:val="0"/>
      <w:marTop w:val="0"/>
      <w:marBottom w:val="0"/>
      <w:divBdr>
        <w:top w:val="none" w:sz="0" w:space="0" w:color="auto"/>
        <w:left w:val="none" w:sz="0" w:space="0" w:color="auto"/>
        <w:bottom w:val="none" w:sz="0" w:space="0" w:color="auto"/>
        <w:right w:val="none" w:sz="0" w:space="0" w:color="auto"/>
      </w:divBdr>
    </w:div>
    <w:div w:id="1793286735">
      <w:bodyDiv w:val="1"/>
      <w:marLeft w:val="0"/>
      <w:marRight w:val="0"/>
      <w:marTop w:val="0"/>
      <w:marBottom w:val="0"/>
      <w:divBdr>
        <w:top w:val="none" w:sz="0" w:space="0" w:color="auto"/>
        <w:left w:val="none" w:sz="0" w:space="0" w:color="auto"/>
        <w:bottom w:val="none" w:sz="0" w:space="0" w:color="auto"/>
        <w:right w:val="none" w:sz="0" w:space="0" w:color="auto"/>
      </w:divBdr>
    </w:div>
    <w:div w:id="1799301512">
      <w:bodyDiv w:val="1"/>
      <w:marLeft w:val="0"/>
      <w:marRight w:val="0"/>
      <w:marTop w:val="0"/>
      <w:marBottom w:val="0"/>
      <w:divBdr>
        <w:top w:val="none" w:sz="0" w:space="0" w:color="auto"/>
        <w:left w:val="none" w:sz="0" w:space="0" w:color="auto"/>
        <w:bottom w:val="none" w:sz="0" w:space="0" w:color="auto"/>
        <w:right w:val="none" w:sz="0" w:space="0" w:color="auto"/>
      </w:divBdr>
    </w:div>
    <w:div w:id="1816483617">
      <w:bodyDiv w:val="1"/>
      <w:marLeft w:val="0"/>
      <w:marRight w:val="0"/>
      <w:marTop w:val="0"/>
      <w:marBottom w:val="0"/>
      <w:divBdr>
        <w:top w:val="none" w:sz="0" w:space="0" w:color="auto"/>
        <w:left w:val="none" w:sz="0" w:space="0" w:color="auto"/>
        <w:bottom w:val="none" w:sz="0" w:space="0" w:color="auto"/>
        <w:right w:val="none" w:sz="0" w:space="0" w:color="auto"/>
      </w:divBdr>
    </w:div>
    <w:div w:id="1824812823">
      <w:bodyDiv w:val="1"/>
      <w:marLeft w:val="0"/>
      <w:marRight w:val="0"/>
      <w:marTop w:val="0"/>
      <w:marBottom w:val="0"/>
      <w:divBdr>
        <w:top w:val="none" w:sz="0" w:space="0" w:color="auto"/>
        <w:left w:val="none" w:sz="0" w:space="0" w:color="auto"/>
        <w:bottom w:val="none" w:sz="0" w:space="0" w:color="auto"/>
        <w:right w:val="none" w:sz="0" w:space="0" w:color="auto"/>
      </w:divBdr>
    </w:div>
    <w:div w:id="1991787182">
      <w:bodyDiv w:val="1"/>
      <w:marLeft w:val="0"/>
      <w:marRight w:val="0"/>
      <w:marTop w:val="0"/>
      <w:marBottom w:val="0"/>
      <w:divBdr>
        <w:top w:val="none" w:sz="0" w:space="0" w:color="auto"/>
        <w:left w:val="none" w:sz="0" w:space="0" w:color="auto"/>
        <w:bottom w:val="none" w:sz="0" w:space="0" w:color="auto"/>
        <w:right w:val="none" w:sz="0" w:space="0" w:color="auto"/>
      </w:divBdr>
    </w:div>
    <w:div w:id="2038264759">
      <w:bodyDiv w:val="1"/>
      <w:marLeft w:val="0"/>
      <w:marRight w:val="0"/>
      <w:marTop w:val="0"/>
      <w:marBottom w:val="0"/>
      <w:divBdr>
        <w:top w:val="none" w:sz="0" w:space="0" w:color="auto"/>
        <w:left w:val="none" w:sz="0" w:space="0" w:color="auto"/>
        <w:bottom w:val="none" w:sz="0" w:space="0" w:color="auto"/>
        <w:right w:val="none" w:sz="0" w:space="0" w:color="auto"/>
      </w:divBdr>
    </w:div>
    <w:div w:id="2046564159">
      <w:bodyDiv w:val="1"/>
      <w:marLeft w:val="0"/>
      <w:marRight w:val="0"/>
      <w:marTop w:val="0"/>
      <w:marBottom w:val="0"/>
      <w:divBdr>
        <w:top w:val="none" w:sz="0" w:space="0" w:color="auto"/>
        <w:left w:val="none" w:sz="0" w:space="0" w:color="auto"/>
        <w:bottom w:val="none" w:sz="0" w:space="0" w:color="auto"/>
        <w:right w:val="none" w:sz="0" w:space="0" w:color="auto"/>
      </w:divBdr>
    </w:div>
    <w:div w:id="2077361234">
      <w:bodyDiv w:val="1"/>
      <w:marLeft w:val="0"/>
      <w:marRight w:val="0"/>
      <w:marTop w:val="0"/>
      <w:marBottom w:val="0"/>
      <w:divBdr>
        <w:top w:val="none" w:sz="0" w:space="0" w:color="auto"/>
        <w:left w:val="none" w:sz="0" w:space="0" w:color="auto"/>
        <w:bottom w:val="none" w:sz="0" w:space="0" w:color="auto"/>
        <w:right w:val="none" w:sz="0" w:space="0" w:color="auto"/>
      </w:divBdr>
    </w:div>
    <w:div w:id="209723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4017</Words>
  <Characters>26429</Characters>
  <Application>Microsoft Office Word</Application>
  <DocSecurity>0</DocSecurity>
  <Lines>220</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2024074570 - pkt. 7 </dc:description>
  <cp:lastModifiedBy>Annette Malmros</cp:lastModifiedBy>
  <cp:revision>4</cp:revision>
  <cp:lastPrinted>2012-08-22T08:53:00Z</cp:lastPrinted>
  <dcterms:created xsi:type="dcterms:W3CDTF">2024-08-14T11:57:00Z</dcterms:created>
  <dcterms:modified xsi:type="dcterms:W3CDTF">2024-08-14T11:59:00Z</dcterms:modified>
</cp:coreProperties>
</file>