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665" w:rsidRPr="008F49E1" w:rsidRDefault="008F0665" w:rsidP="008F0665">
      <w:pPr>
        <w:rPr>
          <w:sz w:val="24"/>
          <w:szCs w:val="24"/>
        </w:rPr>
      </w:pPr>
      <w:r w:rsidRPr="009260DE">
        <w:rPr>
          <w:noProof/>
          <w:sz w:val="24"/>
          <w:szCs w:val="24"/>
          <w:lang w:eastAsia="da-DK"/>
        </w:rPr>
        <w:drawing>
          <wp:anchor distT="0" distB="0" distL="114300" distR="114300" simplePos="0" relativeHeight="251659264" behindDoc="0" locked="0" layoutInCell="1" allowOverlap="1" wp14:anchorId="5DDA784B" wp14:editId="2145ACC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F0665" w:rsidRPr="00C84483" w:rsidRDefault="008F0665" w:rsidP="008F0665">
      <w:pPr>
        <w:pStyle w:val="Titel"/>
        <w:tabs>
          <w:tab w:val="right" w:pos="9356"/>
        </w:tabs>
        <w:jc w:val="left"/>
        <w:rPr>
          <w:b w:val="0"/>
          <w:szCs w:val="24"/>
          <w:lang w:eastAsia="en-US"/>
        </w:rPr>
      </w:pPr>
    </w:p>
    <w:p w:rsidR="008F0665" w:rsidRPr="00C84483" w:rsidRDefault="004D4F8B" w:rsidP="004D4F8B">
      <w:pPr>
        <w:pStyle w:val="Titel"/>
        <w:tabs>
          <w:tab w:val="right" w:pos="9356"/>
        </w:tabs>
        <w:jc w:val="left"/>
        <w:rPr>
          <w:b w:val="0"/>
          <w:szCs w:val="24"/>
          <w:lang w:eastAsia="en-US"/>
        </w:rPr>
      </w:pPr>
      <w:r w:rsidRPr="004D4F8B">
        <w:rPr>
          <w:szCs w:val="24"/>
        </w:rPr>
        <w:tab/>
        <w:t>1</w:t>
      </w:r>
      <w:r>
        <w:rPr>
          <w:szCs w:val="24"/>
        </w:rPr>
        <w:t xml:space="preserve">. april </w:t>
      </w:r>
      <w:r w:rsidR="003B6D17">
        <w:rPr>
          <w:szCs w:val="24"/>
        </w:rPr>
        <w:t>202</w:t>
      </w:r>
      <w:r w:rsidR="005A6BCA">
        <w:rPr>
          <w:szCs w:val="24"/>
        </w:rPr>
        <w:t>5</w:t>
      </w:r>
    </w:p>
    <w:p w:rsidR="008F0665" w:rsidRPr="00C84483" w:rsidRDefault="008F0665" w:rsidP="008F0665">
      <w:pPr>
        <w:pStyle w:val="Titel"/>
        <w:jc w:val="left"/>
        <w:rPr>
          <w:b w:val="0"/>
          <w:szCs w:val="24"/>
        </w:rPr>
      </w:pPr>
    </w:p>
    <w:p w:rsidR="008F0665" w:rsidRPr="00C84483" w:rsidRDefault="008F0665" w:rsidP="008F0665">
      <w:pPr>
        <w:pStyle w:val="Titel"/>
        <w:jc w:val="left"/>
        <w:rPr>
          <w:b w:val="0"/>
          <w:szCs w:val="24"/>
        </w:rPr>
      </w:pPr>
    </w:p>
    <w:p w:rsidR="008F0665" w:rsidRPr="00C84483" w:rsidRDefault="008F0665" w:rsidP="008F0665">
      <w:pPr>
        <w:jc w:val="center"/>
        <w:rPr>
          <w:b/>
          <w:sz w:val="24"/>
          <w:szCs w:val="24"/>
        </w:rPr>
      </w:pPr>
      <w:r w:rsidRPr="00C84483">
        <w:rPr>
          <w:b/>
          <w:sz w:val="24"/>
          <w:szCs w:val="24"/>
        </w:rPr>
        <w:t>PRODUKTRESUMÉ</w:t>
      </w:r>
    </w:p>
    <w:p w:rsidR="008F0665" w:rsidRPr="00C84483" w:rsidRDefault="008F0665" w:rsidP="008F0665">
      <w:pPr>
        <w:jc w:val="center"/>
        <w:rPr>
          <w:b/>
          <w:sz w:val="24"/>
          <w:szCs w:val="24"/>
        </w:rPr>
      </w:pPr>
    </w:p>
    <w:p w:rsidR="008F0665" w:rsidRDefault="008F0665" w:rsidP="008F0665">
      <w:pPr>
        <w:tabs>
          <w:tab w:val="left" w:pos="470"/>
          <w:tab w:val="center" w:pos="4819"/>
        </w:tabs>
        <w:rPr>
          <w:b/>
          <w:sz w:val="24"/>
          <w:szCs w:val="24"/>
        </w:rPr>
      </w:pPr>
      <w:r>
        <w:rPr>
          <w:b/>
          <w:sz w:val="24"/>
          <w:szCs w:val="24"/>
        </w:rPr>
        <w:tab/>
      </w:r>
      <w:r>
        <w:rPr>
          <w:b/>
          <w:sz w:val="24"/>
          <w:szCs w:val="24"/>
        </w:rPr>
        <w:tab/>
      </w:r>
      <w:r w:rsidRPr="00C84483">
        <w:rPr>
          <w:b/>
          <w:sz w:val="24"/>
          <w:szCs w:val="24"/>
        </w:rPr>
        <w:t>for</w:t>
      </w:r>
    </w:p>
    <w:p w:rsidR="008F0665" w:rsidRPr="00C84483" w:rsidRDefault="008F0665" w:rsidP="008F0665">
      <w:pPr>
        <w:jc w:val="center"/>
        <w:rPr>
          <w:b/>
          <w:sz w:val="24"/>
          <w:szCs w:val="24"/>
        </w:rPr>
      </w:pPr>
    </w:p>
    <w:p w:rsidR="008F0665" w:rsidRPr="00C84483" w:rsidRDefault="008F0665" w:rsidP="008F0665">
      <w:pPr>
        <w:jc w:val="center"/>
        <w:rPr>
          <w:b/>
          <w:sz w:val="24"/>
          <w:szCs w:val="24"/>
        </w:rPr>
      </w:pPr>
      <w:proofErr w:type="spellStart"/>
      <w:r>
        <w:rPr>
          <w:b/>
          <w:sz w:val="24"/>
          <w:szCs w:val="24"/>
        </w:rPr>
        <w:t>Allopurinol</w:t>
      </w:r>
      <w:proofErr w:type="spellEnd"/>
      <w:r>
        <w:rPr>
          <w:b/>
          <w:sz w:val="24"/>
          <w:szCs w:val="24"/>
        </w:rPr>
        <w:t xml:space="preserve"> "Sandoz", tabletter</w:t>
      </w:r>
    </w:p>
    <w:p w:rsidR="008F0665" w:rsidRPr="00C84483" w:rsidRDefault="008F0665" w:rsidP="008F0665">
      <w:pPr>
        <w:jc w:val="both"/>
        <w:rPr>
          <w:sz w:val="24"/>
          <w:szCs w:val="24"/>
        </w:rPr>
      </w:pPr>
    </w:p>
    <w:p w:rsidR="008F0665" w:rsidRPr="00C84483" w:rsidRDefault="008F0665" w:rsidP="008F0665">
      <w:pPr>
        <w:jc w:val="both"/>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0.</w:t>
      </w:r>
      <w:r w:rsidRPr="00C84483">
        <w:rPr>
          <w:b/>
          <w:sz w:val="24"/>
          <w:szCs w:val="24"/>
        </w:rPr>
        <w:tab/>
        <w:t>D.SP.NR.</w:t>
      </w:r>
    </w:p>
    <w:p w:rsidR="008F0665" w:rsidRPr="00C84483" w:rsidRDefault="008F0665" w:rsidP="008F0665">
      <w:pPr>
        <w:tabs>
          <w:tab w:val="left" w:pos="851"/>
        </w:tabs>
        <w:ind w:left="851"/>
        <w:rPr>
          <w:sz w:val="24"/>
          <w:szCs w:val="24"/>
        </w:rPr>
      </w:pPr>
      <w:r>
        <w:rPr>
          <w:sz w:val="24"/>
          <w:szCs w:val="24"/>
        </w:rPr>
        <w:t>29828</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1.</w:t>
      </w:r>
      <w:r w:rsidRPr="00C84483">
        <w:rPr>
          <w:b/>
          <w:sz w:val="24"/>
          <w:szCs w:val="24"/>
        </w:rPr>
        <w:tab/>
        <w:t>LÆGEMIDLETS NAVN</w:t>
      </w:r>
    </w:p>
    <w:p w:rsidR="008F0665" w:rsidRPr="00C84483" w:rsidRDefault="008F0665" w:rsidP="008F0665">
      <w:pPr>
        <w:tabs>
          <w:tab w:val="left" w:pos="851"/>
        </w:tabs>
        <w:ind w:left="851"/>
        <w:rPr>
          <w:sz w:val="24"/>
          <w:szCs w:val="24"/>
        </w:rPr>
      </w:pPr>
      <w:proofErr w:type="spellStart"/>
      <w:r>
        <w:rPr>
          <w:sz w:val="24"/>
          <w:szCs w:val="24"/>
        </w:rPr>
        <w:t>Allopurinol</w:t>
      </w:r>
      <w:proofErr w:type="spellEnd"/>
      <w:r>
        <w:rPr>
          <w:sz w:val="24"/>
          <w:szCs w:val="24"/>
        </w:rPr>
        <w:t xml:space="preserve"> "Sandoz"</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F0665" w:rsidRDefault="008F0665" w:rsidP="008F0665">
      <w:pPr>
        <w:tabs>
          <w:tab w:val="left" w:pos="851"/>
        </w:tabs>
        <w:ind w:left="851"/>
        <w:rPr>
          <w:sz w:val="24"/>
          <w:szCs w:val="24"/>
        </w:rPr>
      </w:pPr>
    </w:p>
    <w:p w:rsidR="00B23262" w:rsidRDefault="00B23262" w:rsidP="00B23262">
      <w:pPr>
        <w:tabs>
          <w:tab w:val="left" w:pos="851"/>
        </w:tabs>
        <w:ind w:left="851"/>
        <w:rPr>
          <w:sz w:val="24"/>
          <w:szCs w:val="24"/>
          <w:u w:val="single"/>
        </w:rPr>
      </w:pPr>
      <w:r>
        <w:rPr>
          <w:sz w:val="24"/>
          <w:szCs w:val="24"/>
          <w:u w:val="single"/>
        </w:rPr>
        <w:t>100 mg</w:t>
      </w:r>
    </w:p>
    <w:p w:rsidR="00B23262" w:rsidRDefault="00B23262" w:rsidP="00B23262">
      <w:pPr>
        <w:tabs>
          <w:tab w:val="left" w:pos="851"/>
        </w:tabs>
        <w:ind w:left="851"/>
        <w:rPr>
          <w:sz w:val="24"/>
          <w:szCs w:val="24"/>
        </w:rPr>
      </w:pPr>
      <w:r>
        <w:rPr>
          <w:sz w:val="24"/>
          <w:szCs w:val="24"/>
        </w:rPr>
        <w:t xml:space="preserve">Hver tablet indeholder 100 mg </w:t>
      </w:r>
      <w:proofErr w:type="spellStart"/>
      <w:r>
        <w:rPr>
          <w:sz w:val="24"/>
          <w:szCs w:val="24"/>
        </w:rPr>
        <w:t>allopurinol</w:t>
      </w:r>
      <w:proofErr w:type="spellEnd"/>
      <w:r>
        <w:rPr>
          <w:sz w:val="24"/>
          <w:szCs w:val="24"/>
        </w:rPr>
        <w:t>.</w:t>
      </w:r>
    </w:p>
    <w:p w:rsidR="00B23262" w:rsidRDefault="00B23262" w:rsidP="00B23262">
      <w:pPr>
        <w:tabs>
          <w:tab w:val="left" w:pos="851"/>
        </w:tabs>
        <w:ind w:left="851"/>
        <w:rPr>
          <w:sz w:val="24"/>
          <w:szCs w:val="24"/>
        </w:rPr>
      </w:pPr>
    </w:p>
    <w:p w:rsidR="00B23262" w:rsidRDefault="00B23262" w:rsidP="00B23262">
      <w:pPr>
        <w:tabs>
          <w:tab w:val="left" w:pos="851"/>
        </w:tabs>
        <w:ind w:left="851"/>
        <w:rPr>
          <w:i/>
          <w:sz w:val="24"/>
          <w:szCs w:val="24"/>
        </w:rPr>
      </w:pPr>
      <w:r>
        <w:rPr>
          <w:i/>
          <w:sz w:val="24"/>
          <w:szCs w:val="24"/>
        </w:rPr>
        <w:t>Hjælpestof, som behandleren skal være opmærksom på:</w:t>
      </w:r>
    </w:p>
    <w:p w:rsidR="00B23262" w:rsidRDefault="00B23262" w:rsidP="00B23262">
      <w:pPr>
        <w:tabs>
          <w:tab w:val="left" w:pos="851"/>
        </w:tabs>
        <w:ind w:left="851"/>
        <w:rPr>
          <w:sz w:val="24"/>
          <w:szCs w:val="24"/>
        </w:rPr>
      </w:pPr>
      <w:r>
        <w:rPr>
          <w:sz w:val="24"/>
          <w:szCs w:val="24"/>
        </w:rPr>
        <w:t xml:space="preserve">Hver tablet indeholder 35 mg </w:t>
      </w:r>
      <w:proofErr w:type="spellStart"/>
      <w:r>
        <w:rPr>
          <w:sz w:val="24"/>
          <w:szCs w:val="24"/>
        </w:rPr>
        <w:t>lactose</w:t>
      </w:r>
      <w:proofErr w:type="spellEnd"/>
      <w:r>
        <w:rPr>
          <w:sz w:val="24"/>
          <w:szCs w:val="24"/>
        </w:rPr>
        <w:t xml:space="preserve"> (som monohydrat).</w:t>
      </w:r>
    </w:p>
    <w:p w:rsidR="00B23262" w:rsidRDefault="00B23262" w:rsidP="00B23262">
      <w:pPr>
        <w:tabs>
          <w:tab w:val="left" w:pos="851"/>
        </w:tabs>
        <w:ind w:left="851"/>
        <w:rPr>
          <w:sz w:val="24"/>
          <w:szCs w:val="24"/>
        </w:rPr>
      </w:pPr>
    </w:p>
    <w:p w:rsidR="00B23262" w:rsidRDefault="00B23262" w:rsidP="00B23262">
      <w:pPr>
        <w:tabs>
          <w:tab w:val="left" w:pos="851"/>
        </w:tabs>
        <w:ind w:left="851"/>
        <w:rPr>
          <w:sz w:val="24"/>
          <w:szCs w:val="24"/>
          <w:u w:val="single"/>
        </w:rPr>
      </w:pPr>
      <w:r>
        <w:rPr>
          <w:sz w:val="24"/>
          <w:szCs w:val="24"/>
          <w:u w:val="single"/>
        </w:rPr>
        <w:t>300 mg</w:t>
      </w:r>
    </w:p>
    <w:p w:rsidR="00B23262" w:rsidRDefault="00B23262" w:rsidP="00B23262">
      <w:pPr>
        <w:tabs>
          <w:tab w:val="left" w:pos="851"/>
        </w:tabs>
        <w:ind w:left="851"/>
        <w:rPr>
          <w:sz w:val="24"/>
          <w:szCs w:val="24"/>
        </w:rPr>
      </w:pPr>
      <w:r>
        <w:rPr>
          <w:sz w:val="24"/>
          <w:szCs w:val="24"/>
        </w:rPr>
        <w:t xml:space="preserve">Hver tablet indeholder 300 mg </w:t>
      </w:r>
      <w:proofErr w:type="spellStart"/>
      <w:r>
        <w:rPr>
          <w:sz w:val="24"/>
          <w:szCs w:val="24"/>
        </w:rPr>
        <w:t>allopurinol</w:t>
      </w:r>
      <w:proofErr w:type="spellEnd"/>
      <w:r>
        <w:rPr>
          <w:sz w:val="24"/>
          <w:szCs w:val="24"/>
        </w:rPr>
        <w:t xml:space="preserve">. </w:t>
      </w:r>
    </w:p>
    <w:p w:rsidR="00B23262" w:rsidRDefault="00B23262" w:rsidP="00B23262">
      <w:pPr>
        <w:tabs>
          <w:tab w:val="left" w:pos="851"/>
        </w:tabs>
        <w:ind w:left="851"/>
        <w:rPr>
          <w:sz w:val="24"/>
          <w:szCs w:val="24"/>
        </w:rPr>
      </w:pPr>
    </w:p>
    <w:p w:rsidR="00B23262" w:rsidRDefault="00B23262" w:rsidP="00B23262">
      <w:pPr>
        <w:tabs>
          <w:tab w:val="left" w:pos="851"/>
        </w:tabs>
        <w:ind w:left="851"/>
        <w:rPr>
          <w:i/>
          <w:sz w:val="24"/>
          <w:szCs w:val="24"/>
        </w:rPr>
      </w:pPr>
      <w:r>
        <w:rPr>
          <w:i/>
          <w:sz w:val="24"/>
          <w:szCs w:val="24"/>
        </w:rPr>
        <w:t xml:space="preserve">Hjælpestof, som behandleren skal være opmærksom på: </w:t>
      </w:r>
    </w:p>
    <w:p w:rsidR="00B23262" w:rsidRDefault="00B23262" w:rsidP="00B23262">
      <w:pPr>
        <w:tabs>
          <w:tab w:val="left" w:pos="851"/>
        </w:tabs>
        <w:ind w:left="851"/>
        <w:rPr>
          <w:sz w:val="24"/>
          <w:szCs w:val="24"/>
        </w:rPr>
      </w:pPr>
      <w:r>
        <w:rPr>
          <w:sz w:val="24"/>
          <w:szCs w:val="24"/>
        </w:rPr>
        <w:t xml:space="preserve">Hver tablet indeholder 106 mg </w:t>
      </w:r>
      <w:proofErr w:type="spellStart"/>
      <w:r>
        <w:rPr>
          <w:sz w:val="24"/>
          <w:szCs w:val="24"/>
        </w:rPr>
        <w:t>lactose</w:t>
      </w:r>
      <w:proofErr w:type="spellEnd"/>
      <w:r>
        <w:rPr>
          <w:sz w:val="24"/>
          <w:szCs w:val="24"/>
        </w:rPr>
        <w:t xml:space="preserve"> (som monohydrat).</w:t>
      </w:r>
    </w:p>
    <w:p w:rsidR="008F0665" w:rsidRPr="00315ACF" w:rsidRDefault="008F0665" w:rsidP="008F0665">
      <w:pPr>
        <w:tabs>
          <w:tab w:val="left" w:pos="851"/>
        </w:tabs>
        <w:ind w:left="851"/>
        <w:rPr>
          <w:sz w:val="24"/>
          <w:szCs w:val="24"/>
        </w:rPr>
      </w:pPr>
    </w:p>
    <w:p w:rsidR="008F0665" w:rsidRPr="00C84483" w:rsidRDefault="008F0665" w:rsidP="008F0665">
      <w:pPr>
        <w:tabs>
          <w:tab w:val="left" w:pos="851"/>
        </w:tabs>
        <w:ind w:left="851"/>
        <w:rPr>
          <w:sz w:val="24"/>
          <w:szCs w:val="24"/>
        </w:rPr>
      </w:pPr>
      <w:r w:rsidRPr="00315ACF">
        <w:rPr>
          <w:sz w:val="24"/>
          <w:szCs w:val="24"/>
        </w:rPr>
        <w:t>Alle hjælpestoffer er anført under pkt. 6.1.</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3.</w:t>
      </w:r>
      <w:r w:rsidRPr="00C84483">
        <w:rPr>
          <w:b/>
          <w:sz w:val="24"/>
          <w:szCs w:val="24"/>
        </w:rPr>
        <w:tab/>
        <w:t>LÆGEMIDDELFORM</w:t>
      </w:r>
    </w:p>
    <w:p w:rsidR="008F0665" w:rsidRPr="004A662A" w:rsidRDefault="008F0665" w:rsidP="008F0665">
      <w:pPr>
        <w:pStyle w:val="Default"/>
        <w:ind w:left="851"/>
        <w:rPr>
          <w:color w:val="auto"/>
        </w:rPr>
      </w:pPr>
      <w:r w:rsidRPr="004A662A">
        <w:rPr>
          <w:color w:val="auto"/>
        </w:rPr>
        <w:t>Tablet</w:t>
      </w:r>
      <w:r>
        <w:rPr>
          <w:color w:val="auto"/>
        </w:rPr>
        <w:t>ter</w:t>
      </w:r>
    </w:p>
    <w:p w:rsidR="008F0665" w:rsidRPr="004A662A" w:rsidRDefault="008F0665" w:rsidP="008F0665">
      <w:pPr>
        <w:pStyle w:val="Default"/>
        <w:ind w:left="851"/>
        <w:rPr>
          <w:color w:val="auto"/>
        </w:rPr>
      </w:pPr>
    </w:p>
    <w:p w:rsidR="008F0665" w:rsidRPr="00F12B5B" w:rsidRDefault="008F0665" w:rsidP="008F0665">
      <w:pPr>
        <w:pStyle w:val="Default"/>
        <w:ind w:left="851"/>
        <w:rPr>
          <w:color w:val="auto"/>
          <w:u w:val="single"/>
        </w:rPr>
      </w:pPr>
      <w:r>
        <w:rPr>
          <w:color w:val="auto"/>
          <w:u w:val="single"/>
        </w:rPr>
        <w:t>100 mg</w:t>
      </w:r>
    </w:p>
    <w:p w:rsidR="008F0665" w:rsidRPr="004A662A" w:rsidRDefault="008F0665" w:rsidP="008F0665">
      <w:pPr>
        <w:ind w:left="851"/>
        <w:rPr>
          <w:sz w:val="24"/>
          <w:szCs w:val="24"/>
        </w:rPr>
      </w:pPr>
      <w:r w:rsidRPr="004A662A">
        <w:rPr>
          <w:sz w:val="24"/>
          <w:szCs w:val="24"/>
        </w:rPr>
        <w:t>Hvide til råhvide, flade, cylinderformede tabletter med delekærv, der er præget med ’I’ og ’56’ på hver sin side af delekærven på den ene side og blanke på den anden side. Diameter: cirka 8 mm.</w:t>
      </w:r>
    </w:p>
    <w:p w:rsidR="008F0665" w:rsidRPr="004A662A" w:rsidRDefault="008F0665" w:rsidP="008F0665">
      <w:pPr>
        <w:ind w:left="851"/>
        <w:rPr>
          <w:sz w:val="24"/>
          <w:szCs w:val="24"/>
        </w:rPr>
      </w:pPr>
    </w:p>
    <w:p w:rsidR="008F0665" w:rsidRPr="00F12B5B" w:rsidRDefault="008F0665" w:rsidP="008F0665">
      <w:pPr>
        <w:pStyle w:val="Default"/>
        <w:ind w:left="851"/>
        <w:rPr>
          <w:color w:val="auto"/>
          <w:u w:val="single"/>
        </w:rPr>
      </w:pPr>
      <w:r>
        <w:rPr>
          <w:color w:val="auto"/>
          <w:u w:val="single"/>
        </w:rPr>
        <w:t>300 mg</w:t>
      </w:r>
    </w:p>
    <w:p w:rsidR="008F0665" w:rsidRPr="004A662A" w:rsidRDefault="008F0665" w:rsidP="008F0665">
      <w:pPr>
        <w:ind w:left="851"/>
        <w:rPr>
          <w:i/>
          <w:sz w:val="24"/>
          <w:szCs w:val="24"/>
        </w:rPr>
      </w:pPr>
      <w:r w:rsidRPr="004A662A">
        <w:rPr>
          <w:sz w:val="24"/>
          <w:szCs w:val="24"/>
        </w:rPr>
        <w:t>Hvide til råhvide, flade, cylinderformede tabletter med delekærv, der er præget med ’I’ og ’57’ på hver sin side af delekærven på den ene side og blanke på den anden side. Diameter: cirka 11 mm.</w:t>
      </w:r>
    </w:p>
    <w:p w:rsidR="008F0665" w:rsidRPr="004A662A" w:rsidRDefault="008F0665" w:rsidP="008F0665">
      <w:pPr>
        <w:ind w:left="851"/>
        <w:rPr>
          <w:sz w:val="24"/>
          <w:szCs w:val="24"/>
        </w:rPr>
      </w:pPr>
    </w:p>
    <w:p w:rsidR="008F0665" w:rsidRPr="00EC18F1" w:rsidRDefault="008F0665" w:rsidP="008F0665">
      <w:pPr>
        <w:pStyle w:val="Default"/>
        <w:ind w:left="851"/>
        <w:rPr>
          <w:color w:val="auto"/>
        </w:rPr>
      </w:pPr>
      <w:r w:rsidRPr="004A662A">
        <w:rPr>
          <w:color w:val="auto"/>
        </w:rPr>
        <w:lastRenderedPageBreak/>
        <w:t>Tabletten har kun delekærv for at muliggøre deling af tabletten, så den er nemmere at sluge. Tabletten kan ikke deles i to lige store doser.</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4.</w:t>
      </w:r>
      <w:r w:rsidRPr="00C84483">
        <w:rPr>
          <w:b/>
          <w:sz w:val="24"/>
          <w:szCs w:val="24"/>
        </w:rPr>
        <w:tab/>
        <w:t>KLINISKE OPLYSNINGER</w:t>
      </w:r>
    </w:p>
    <w:p w:rsidR="008F0665" w:rsidRPr="00C84483" w:rsidRDefault="008F0665" w:rsidP="008F0665">
      <w:pPr>
        <w:tabs>
          <w:tab w:val="left" w:pos="851"/>
        </w:tabs>
        <w:ind w:left="851"/>
        <w:rPr>
          <w:b/>
          <w:sz w:val="24"/>
          <w:szCs w:val="24"/>
        </w:rPr>
      </w:pPr>
    </w:p>
    <w:p w:rsidR="008F0665" w:rsidRPr="00C84483" w:rsidRDefault="008F0665" w:rsidP="008F066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F0665" w:rsidRDefault="008F0665" w:rsidP="008F0665">
      <w:pPr>
        <w:pStyle w:val="Default"/>
        <w:ind w:left="851"/>
        <w:rPr>
          <w:color w:val="auto"/>
        </w:rPr>
      </w:pPr>
    </w:p>
    <w:p w:rsidR="008F0665" w:rsidRPr="00EC18F1" w:rsidRDefault="008F0665" w:rsidP="008F0665">
      <w:pPr>
        <w:pStyle w:val="Default"/>
        <w:ind w:left="851"/>
        <w:rPr>
          <w:color w:val="auto"/>
          <w:u w:val="single"/>
        </w:rPr>
      </w:pPr>
      <w:r w:rsidRPr="00EC18F1">
        <w:rPr>
          <w:color w:val="auto"/>
          <w:u w:val="single"/>
        </w:rPr>
        <w:t>Voksne</w:t>
      </w:r>
    </w:p>
    <w:p w:rsidR="008F0665" w:rsidRPr="004A662A" w:rsidRDefault="008F0665" w:rsidP="008F0665">
      <w:pPr>
        <w:pStyle w:val="Default"/>
        <w:numPr>
          <w:ilvl w:val="0"/>
          <w:numId w:val="6"/>
        </w:numPr>
        <w:ind w:left="1134" w:hanging="283"/>
        <w:rPr>
          <w:color w:val="auto"/>
        </w:rPr>
      </w:pPr>
      <w:r w:rsidRPr="004A662A">
        <w:rPr>
          <w:color w:val="auto"/>
        </w:rPr>
        <w:t xml:space="preserve">Alle former for </w:t>
      </w:r>
      <w:proofErr w:type="spellStart"/>
      <w:r w:rsidRPr="004A662A">
        <w:rPr>
          <w:color w:val="auto"/>
        </w:rPr>
        <w:t>hyperurikæmi</w:t>
      </w:r>
      <w:proofErr w:type="spellEnd"/>
      <w:r w:rsidRPr="004A662A">
        <w:rPr>
          <w:color w:val="auto"/>
        </w:rPr>
        <w:t xml:space="preserve">, som ikke kan kontrolleres via diæt, herunder sekundær </w:t>
      </w:r>
      <w:proofErr w:type="spellStart"/>
      <w:r w:rsidRPr="004A662A">
        <w:rPr>
          <w:color w:val="auto"/>
        </w:rPr>
        <w:t>hyperurikæmi</w:t>
      </w:r>
      <w:proofErr w:type="spellEnd"/>
      <w:r w:rsidRPr="004A662A">
        <w:rPr>
          <w:color w:val="auto"/>
        </w:rPr>
        <w:t xml:space="preserve"> af diverse årsager og kliniske komplikationer af </w:t>
      </w:r>
      <w:proofErr w:type="spellStart"/>
      <w:r w:rsidRPr="004A662A">
        <w:rPr>
          <w:color w:val="auto"/>
        </w:rPr>
        <w:t>hyperurikæmiske</w:t>
      </w:r>
      <w:proofErr w:type="spellEnd"/>
      <w:r w:rsidRPr="004A662A">
        <w:rPr>
          <w:color w:val="auto"/>
        </w:rPr>
        <w:t xml:space="preserve"> tilstande, især manifest urinsyregigt, </w:t>
      </w:r>
      <w:proofErr w:type="spellStart"/>
      <w:r w:rsidRPr="004A662A">
        <w:rPr>
          <w:color w:val="auto"/>
        </w:rPr>
        <w:t>uratnefropati</w:t>
      </w:r>
      <w:proofErr w:type="spellEnd"/>
      <w:r w:rsidRPr="004A662A">
        <w:rPr>
          <w:color w:val="auto"/>
        </w:rPr>
        <w:t xml:space="preserve"> og til opløsning og forebyggelse af urinsyresten.</w:t>
      </w:r>
    </w:p>
    <w:p w:rsidR="008F0665" w:rsidRPr="004A662A" w:rsidRDefault="008F0665" w:rsidP="008F0665">
      <w:pPr>
        <w:pStyle w:val="Default"/>
        <w:numPr>
          <w:ilvl w:val="0"/>
          <w:numId w:val="6"/>
        </w:numPr>
        <w:ind w:left="1134" w:hanging="283"/>
        <w:rPr>
          <w:color w:val="auto"/>
        </w:rPr>
      </w:pPr>
      <w:r w:rsidRPr="004A662A">
        <w:rPr>
          <w:color w:val="auto"/>
        </w:rPr>
        <w:t xml:space="preserve">Behandling af tilbagevendende blandede </w:t>
      </w:r>
      <w:proofErr w:type="spellStart"/>
      <w:r w:rsidRPr="004A662A">
        <w:rPr>
          <w:color w:val="auto"/>
        </w:rPr>
        <w:t>calciumoxalatsten</w:t>
      </w:r>
      <w:proofErr w:type="spellEnd"/>
      <w:r w:rsidRPr="004A662A">
        <w:rPr>
          <w:color w:val="auto"/>
        </w:rPr>
        <w:t xml:space="preserve"> ved samtidig </w:t>
      </w:r>
      <w:proofErr w:type="spellStart"/>
      <w:r w:rsidRPr="004A662A">
        <w:rPr>
          <w:color w:val="auto"/>
        </w:rPr>
        <w:t>hyperurikæmi</w:t>
      </w:r>
      <w:proofErr w:type="spellEnd"/>
      <w:r w:rsidRPr="004A662A">
        <w:rPr>
          <w:color w:val="auto"/>
        </w:rPr>
        <w:t>, når væske, diæt og lignende tiltag har svigtet.</w:t>
      </w:r>
    </w:p>
    <w:p w:rsidR="008F0665" w:rsidRPr="004A662A" w:rsidRDefault="008F0665" w:rsidP="008F0665">
      <w:pPr>
        <w:pStyle w:val="Default"/>
        <w:ind w:left="851"/>
        <w:rPr>
          <w:color w:val="auto"/>
        </w:rPr>
      </w:pPr>
    </w:p>
    <w:p w:rsidR="008F0665" w:rsidRPr="00EC18F1" w:rsidRDefault="008F0665" w:rsidP="008F0665">
      <w:pPr>
        <w:pStyle w:val="Default"/>
        <w:ind w:left="851"/>
        <w:rPr>
          <w:color w:val="auto"/>
          <w:u w:val="single"/>
        </w:rPr>
      </w:pPr>
      <w:r w:rsidRPr="00EC18F1">
        <w:rPr>
          <w:color w:val="auto"/>
          <w:u w:val="single"/>
        </w:rPr>
        <w:t>Børn og unge</w:t>
      </w:r>
    </w:p>
    <w:p w:rsidR="008F0665" w:rsidRPr="004A662A" w:rsidRDefault="008F0665" w:rsidP="008F0665">
      <w:pPr>
        <w:pStyle w:val="Default"/>
        <w:numPr>
          <w:ilvl w:val="0"/>
          <w:numId w:val="6"/>
        </w:numPr>
        <w:ind w:left="1134" w:hanging="283"/>
        <w:rPr>
          <w:color w:val="auto"/>
        </w:rPr>
      </w:pPr>
      <w:r w:rsidRPr="004A662A">
        <w:rPr>
          <w:color w:val="auto"/>
        </w:rPr>
        <w:t xml:space="preserve">Sekundær </w:t>
      </w:r>
      <w:proofErr w:type="spellStart"/>
      <w:r w:rsidRPr="004A662A">
        <w:rPr>
          <w:color w:val="auto"/>
        </w:rPr>
        <w:t>hyperurikæmi</w:t>
      </w:r>
      <w:proofErr w:type="spellEnd"/>
      <w:r w:rsidRPr="004A662A">
        <w:rPr>
          <w:color w:val="auto"/>
        </w:rPr>
        <w:t xml:space="preserve"> af diverse årsager</w:t>
      </w:r>
    </w:p>
    <w:p w:rsidR="008F0665" w:rsidRPr="004A662A" w:rsidRDefault="008F0665" w:rsidP="008F0665">
      <w:pPr>
        <w:pStyle w:val="Default"/>
        <w:numPr>
          <w:ilvl w:val="0"/>
          <w:numId w:val="6"/>
        </w:numPr>
        <w:ind w:left="1134" w:hanging="283"/>
        <w:rPr>
          <w:color w:val="auto"/>
        </w:rPr>
      </w:pPr>
      <w:proofErr w:type="spellStart"/>
      <w:r w:rsidRPr="004A662A">
        <w:rPr>
          <w:color w:val="auto"/>
        </w:rPr>
        <w:t>Urinsyrenefropati</w:t>
      </w:r>
      <w:proofErr w:type="spellEnd"/>
      <w:r w:rsidRPr="004A662A">
        <w:rPr>
          <w:color w:val="auto"/>
        </w:rPr>
        <w:t xml:space="preserve"> i forbindelse med leukæmibehandling</w:t>
      </w:r>
    </w:p>
    <w:p w:rsidR="008F0665" w:rsidRPr="00EC18F1" w:rsidRDefault="008F0665" w:rsidP="008F0665">
      <w:pPr>
        <w:pStyle w:val="Default"/>
        <w:numPr>
          <w:ilvl w:val="0"/>
          <w:numId w:val="6"/>
        </w:numPr>
        <w:ind w:left="1134" w:hanging="283"/>
        <w:rPr>
          <w:color w:val="auto"/>
        </w:rPr>
      </w:pPr>
      <w:r w:rsidRPr="004A662A">
        <w:rPr>
          <w:color w:val="auto"/>
        </w:rPr>
        <w:t xml:space="preserve">Arvelige enzymmangelsygdomme, </w:t>
      </w:r>
      <w:proofErr w:type="spellStart"/>
      <w:r w:rsidRPr="004A662A">
        <w:rPr>
          <w:color w:val="auto"/>
        </w:rPr>
        <w:t>Lesch-Nyhans</w:t>
      </w:r>
      <w:proofErr w:type="spellEnd"/>
      <w:r w:rsidRPr="004A662A">
        <w:rPr>
          <w:color w:val="auto"/>
        </w:rPr>
        <w:t xml:space="preserve"> syndrom (delvis eller total mangel på </w:t>
      </w:r>
      <w:proofErr w:type="spellStart"/>
      <w:r w:rsidRPr="004A662A">
        <w:rPr>
          <w:color w:val="auto"/>
        </w:rPr>
        <w:t>hypoxanthin-guaninphosphoribosyltransferase</w:t>
      </w:r>
      <w:proofErr w:type="spellEnd"/>
      <w:r w:rsidRPr="004A662A">
        <w:rPr>
          <w:color w:val="auto"/>
        </w:rPr>
        <w:t xml:space="preserve">) og mangel på </w:t>
      </w:r>
      <w:proofErr w:type="spellStart"/>
      <w:r w:rsidRPr="004A662A">
        <w:rPr>
          <w:color w:val="auto"/>
        </w:rPr>
        <w:t>adeninphosphoribosyltransferase</w:t>
      </w:r>
      <w:proofErr w:type="spellEnd"/>
      <w:r w:rsidRPr="004A662A">
        <w:rPr>
          <w:color w:val="auto"/>
        </w:rPr>
        <w:t>.</w:t>
      </w:r>
    </w:p>
    <w:p w:rsidR="008F0665" w:rsidRPr="00C84483" w:rsidRDefault="008F0665" w:rsidP="008F0665">
      <w:pPr>
        <w:tabs>
          <w:tab w:val="left" w:pos="851"/>
        </w:tabs>
        <w:ind w:left="851"/>
        <w:rPr>
          <w:sz w:val="24"/>
          <w:szCs w:val="24"/>
        </w:rPr>
      </w:pPr>
    </w:p>
    <w:p w:rsidR="00B23262" w:rsidRDefault="008F0665" w:rsidP="00B23262">
      <w:pPr>
        <w:tabs>
          <w:tab w:val="left" w:pos="851"/>
        </w:tabs>
        <w:ind w:left="851" w:hanging="851"/>
        <w:rPr>
          <w:b/>
          <w:sz w:val="24"/>
          <w:szCs w:val="24"/>
        </w:rPr>
      </w:pPr>
      <w:r w:rsidRPr="00C84483">
        <w:rPr>
          <w:b/>
          <w:sz w:val="24"/>
          <w:szCs w:val="24"/>
        </w:rPr>
        <w:t>4.2</w:t>
      </w:r>
      <w:r w:rsidRPr="00C84483">
        <w:rPr>
          <w:b/>
          <w:sz w:val="24"/>
          <w:szCs w:val="24"/>
        </w:rPr>
        <w:tab/>
      </w:r>
      <w:r w:rsidR="00B23262">
        <w:rPr>
          <w:b/>
          <w:sz w:val="24"/>
          <w:szCs w:val="24"/>
        </w:rPr>
        <w:t>Dosering og administration</w:t>
      </w:r>
    </w:p>
    <w:p w:rsidR="00B23262" w:rsidRDefault="00B23262" w:rsidP="00B23262">
      <w:pPr>
        <w:autoSpaceDE w:val="0"/>
        <w:autoSpaceDN w:val="0"/>
        <w:adjustRightInd w:val="0"/>
        <w:ind w:left="851"/>
        <w:rPr>
          <w:sz w:val="24"/>
          <w:szCs w:val="24"/>
          <w:u w:val="single"/>
        </w:rPr>
      </w:pPr>
    </w:p>
    <w:p w:rsidR="00B23262" w:rsidRDefault="00B23262" w:rsidP="00B23262">
      <w:pPr>
        <w:autoSpaceDE w:val="0"/>
        <w:autoSpaceDN w:val="0"/>
        <w:adjustRightInd w:val="0"/>
        <w:ind w:left="851"/>
        <w:rPr>
          <w:sz w:val="24"/>
          <w:szCs w:val="24"/>
          <w:u w:val="single"/>
        </w:rPr>
      </w:pPr>
      <w:r>
        <w:rPr>
          <w:sz w:val="24"/>
          <w:szCs w:val="24"/>
          <w:u w:val="single"/>
        </w:rPr>
        <w:t>Dosering</w:t>
      </w:r>
    </w:p>
    <w:p w:rsidR="00B23262" w:rsidRDefault="00B23262" w:rsidP="00B23262">
      <w:pPr>
        <w:autoSpaceDE w:val="0"/>
        <w:autoSpaceDN w:val="0"/>
        <w:adjustRightInd w:val="0"/>
        <w:ind w:left="851"/>
        <w:rPr>
          <w:sz w:val="24"/>
          <w:szCs w:val="24"/>
        </w:rPr>
      </w:pPr>
    </w:p>
    <w:p w:rsidR="00B23262" w:rsidRDefault="00B23262" w:rsidP="00B23262">
      <w:pPr>
        <w:ind w:left="851"/>
        <w:rPr>
          <w:i/>
          <w:sz w:val="24"/>
          <w:szCs w:val="24"/>
        </w:rPr>
      </w:pPr>
      <w:r>
        <w:rPr>
          <w:i/>
          <w:sz w:val="24"/>
          <w:szCs w:val="24"/>
        </w:rPr>
        <w:t>Voksne</w:t>
      </w:r>
    </w:p>
    <w:p w:rsidR="00B23262" w:rsidRDefault="00B23262" w:rsidP="00B23262">
      <w:pPr>
        <w:pStyle w:val="Default"/>
        <w:ind w:left="851"/>
        <w:rPr>
          <w:color w:val="auto"/>
        </w:rPr>
      </w:pPr>
      <w:r>
        <w:rPr>
          <w:color w:val="auto"/>
        </w:rPr>
        <w:t xml:space="preserve">Behandlingen med </w:t>
      </w:r>
      <w:proofErr w:type="spellStart"/>
      <w:r>
        <w:rPr>
          <w:color w:val="auto"/>
        </w:rPr>
        <w:t>Allopurinol</w:t>
      </w:r>
      <w:proofErr w:type="spellEnd"/>
      <w:r>
        <w:rPr>
          <w:color w:val="auto"/>
        </w:rPr>
        <w:t xml:space="preserve"> "Sandoz" bør opstartes med en lav dosis, f.eks. 100 mg/dag, for at nedsætte risikoen for bivirkninger, og dosis bør kun øges, hvis serumuratresponset er utilfredsstillende. Der bør udvises ekstra forsigtighed, hvis nyrefunktionen er nedsat (se </w:t>
      </w:r>
      <w:r>
        <w:rPr>
          <w:i/>
          <w:color w:val="auto"/>
        </w:rPr>
        <w:t>Nedsat nyrefunktion</w:t>
      </w:r>
      <w:r>
        <w:rPr>
          <w:color w:val="auto"/>
        </w:rPr>
        <w:t>).</w:t>
      </w:r>
    </w:p>
    <w:p w:rsidR="00B23262" w:rsidRDefault="00B23262" w:rsidP="00B23262">
      <w:pPr>
        <w:pStyle w:val="Default"/>
        <w:ind w:left="851"/>
        <w:rPr>
          <w:color w:val="auto"/>
        </w:rPr>
      </w:pPr>
    </w:p>
    <w:p w:rsidR="00B23262" w:rsidRDefault="00B23262" w:rsidP="00B23262">
      <w:pPr>
        <w:pStyle w:val="Default"/>
        <w:ind w:left="851"/>
        <w:rPr>
          <w:color w:val="auto"/>
        </w:rPr>
      </w:pPr>
      <w:r>
        <w:rPr>
          <w:color w:val="auto"/>
        </w:rPr>
        <w:t>Følgende doseringsplaner anbefales:</w:t>
      </w:r>
    </w:p>
    <w:p w:rsidR="00B23262" w:rsidRDefault="00B23262" w:rsidP="00B23262">
      <w:pPr>
        <w:pStyle w:val="Default"/>
        <w:ind w:left="851"/>
        <w:rPr>
          <w:color w:val="auto"/>
        </w:rPr>
      </w:pPr>
      <w:r>
        <w:rPr>
          <w:color w:val="auto"/>
        </w:rPr>
        <w:t>100 til 200 mg daglig ved milde tilstande</w:t>
      </w:r>
    </w:p>
    <w:p w:rsidR="00B23262" w:rsidRDefault="00B23262" w:rsidP="00B23262">
      <w:pPr>
        <w:pStyle w:val="Default"/>
        <w:ind w:left="851"/>
        <w:rPr>
          <w:color w:val="auto"/>
        </w:rPr>
      </w:pPr>
      <w:r>
        <w:rPr>
          <w:color w:val="auto"/>
        </w:rPr>
        <w:t>300 til 600 mg daglig ved moderate tilstande</w:t>
      </w:r>
    </w:p>
    <w:p w:rsidR="00B23262" w:rsidRDefault="00B23262" w:rsidP="00B23262">
      <w:pPr>
        <w:pStyle w:val="Default"/>
        <w:ind w:left="851"/>
        <w:rPr>
          <w:color w:val="auto"/>
        </w:rPr>
      </w:pPr>
      <w:r>
        <w:rPr>
          <w:color w:val="auto"/>
        </w:rPr>
        <w:t>700 til 900 mg daglig ved alvorlige tilstande</w:t>
      </w:r>
    </w:p>
    <w:p w:rsidR="00B23262" w:rsidRDefault="00B23262" w:rsidP="00B23262">
      <w:pPr>
        <w:pStyle w:val="Default"/>
        <w:ind w:left="851"/>
        <w:rPr>
          <w:color w:val="auto"/>
        </w:rPr>
      </w:pPr>
      <w:r>
        <w:rPr>
          <w:color w:val="auto"/>
        </w:rPr>
        <w:t>Hvis det er nødvendigt med en dosering baseret på mg/kg legemsvægt, skal der anvendes 2-10 mg/kg legemsvægt/dag.</w:t>
      </w:r>
    </w:p>
    <w:p w:rsidR="00B23262" w:rsidRDefault="00B23262" w:rsidP="00B23262">
      <w:pPr>
        <w:pStyle w:val="Default"/>
        <w:ind w:left="851"/>
        <w:rPr>
          <w:i/>
        </w:rPr>
      </w:pPr>
    </w:p>
    <w:p w:rsidR="00B23262" w:rsidRDefault="00B23262" w:rsidP="00B23262">
      <w:pPr>
        <w:pStyle w:val="Default"/>
        <w:ind w:left="851"/>
      </w:pPr>
      <w:r>
        <w:rPr>
          <w:i/>
        </w:rPr>
        <w:t>Pædiatrisk population</w:t>
      </w:r>
    </w:p>
    <w:p w:rsidR="00B23262" w:rsidRDefault="00B23262" w:rsidP="00B23262">
      <w:pPr>
        <w:pStyle w:val="Default"/>
        <w:ind w:left="851"/>
        <w:rPr>
          <w:color w:val="auto"/>
        </w:rPr>
      </w:pPr>
      <w:r>
        <w:rPr>
          <w:color w:val="auto"/>
        </w:rPr>
        <w:t>100 mg tabletter: Pædiatrisk population ≥ 15 kg legemsvægt.</w:t>
      </w:r>
    </w:p>
    <w:p w:rsidR="00B23262" w:rsidRDefault="00B23262" w:rsidP="00B23262">
      <w:pPr>
        <w:pStyle w:val="Default"/>
        <w:ind w:left="851"/>
        <w:rPr>
          <w:color w:val="auto"/>
        </w:rPr>
      </w:pPr>
      <w:r>
        <w:rPr>
          <w:color w:val="auto"/>
        </w:rPr>
        <w:t>300 mg tabletter: Pædiatrisk population ≥ 45 kg legemsvægt.</w:t>
      </w:r>
    </w:p>
    <w:p w:rsidR="00B23262" w:rsidRDefault="00B23262" w:rsidP="00B23262">
      <w:pPr>
        <w:pStyle w:val="Default"/>
        <w:ind w:left="851"/>
        <w:rPr>
          <w:color w:val="auto"/>
        </w:rPr>
      </w:pPr>
    </w:p>
    <w:p w:rsidR="00B23262" w:rsidRDefault="00B23262" w:rsidP="00B23262">
      <w:pPr>
        <w:pStyle w:val="Default"/>
        <w:ind w:left="851"/>
        <w:rPr>
          <w:color w:val="auto"/>
        </w:rPr>
      </w:pPr>
      <w:r>
        <w:rPr>
          <w:color w:val="auto"/>
        </w:rPr>
        <w:t>Børn under 15 år: 10-20 mg/kg legemsvægt/dag, dog højst 400 mg daglig, fordelt på 3 doser.</w:t>
      </w:r>
    </w:p>
    <w:p w:rsidR="00425836" w:rsidRDefault="00425836" w:rsidP="00B23262">
      <w:pPr>
        <w:pStyle w:val="Default"/>
        <w:ind w:left="851"/>
        <w:rPr>
          <w:color w:val="auto"/>
        </w:rPr>
      </w:pPr>
    </w:p>
    <w:p w:rsidR="00425836" w:rsidRDefault="00425836" w:rsidP="00425836">
      <w:pPr>
        <w:pStyle w:val="Default"/>
        <w:ind w:left="851"/>
        <w:rPr>
          <w:color w:val="auto"/>
        </w:rPr>
      </w:pPr>
      <w:r>
        <w:rPr>
          <w:color w:val="auto"/>
        </w:rPr>
        <w:t xml:space="preserve">Brug hos børn er sjældent indiceret, undtagen ved maligne sygdomme (især leukæmi) og visse enzymforstyrrelser, såsom </w:t>
      </w:r>
      <w:proofErr w:type="spellStart"/>
      <w:r>
        <w:rPr>
          <w:color w:val="auto"/>
        </w:rPr>
        <w:t>Lesch-Nyhans</w:t>
      </w:r>
      <w:proofErr w:type="spellEnd"/>
      <w:r>
        <w:rPr>
          <w:color w:val="auto"/>
        </w:rPr>
        <w:t xml:space="preserve"> syndrom.</w:t>
      </w:r>
    </w:p>
    <w:p w:rsidR="00425836" w:rsidRDefault="00425836" w:rsidP="00B23262">
      <w:pPr>
        <w:pStyle w:val="Default"/>
        <w:ind w:left="851"/>
        <w:rPr>
          <w:color w:val="auto"/>
        </w:rPr>
      </w:pPr>
    </w:p>
    <w:p w:rsidR="008F0665" w:rsidRPr="004A662A" w:rsidRDefault="008F0665" w:rsidP="00B23262">
      <w:pPr>
        <w:tabs>
          <w:tab w:val="left" w:pos="851"/>
        </w:tabs>
        <w:ind w:left="851" w:hanging="851"/>
      </w:pPr>
    </w:p>
    <w:p w:rsidR="00B23262" w:rsidRDefault="00B23262" w:rsidP="00B23262">
      <w:pPr>
        <w:autoSpaceDE w:val="0"/>
        <w:autoSpaceDN w:val="0"/>
        <w:adjustRightInd w:val="0"/>
        <w:ind w:left="851"/>
        <w:rPr>
          <w:i/>
          <w:sz w:val="24"/>
          <w:szCs w:val="24"/>
        </w:rPr>
      </w:pPr>
      <w:r>
        <w:rPr>
          <w:i/>
          <w:iCs/>
          <w:sz w:val="24"/>
          <w:szCs w:val="24"/>
        </w:rPr>
        <w:lastRenderedPageBreak/>
        <w:t>Ældre</w:t>
      </w:r>
    </w:p>
    <w:p w:rsidR="00B23262" w:rsidRDefault="00B23262" w:rsidP="00B23262">
      <w:pPr>
        <w:autoSpaceDE w:val="0"/>
        <w:autoSpaceDN w:val="0"/>
        <w:adjustRightInd w:val="0"/>
        <w:ind w:left="851"/>
        <w:rPr>
          <w:sz w:val="24"/>
          <w:szCs w:val="24"/>
        </w:rPr>
      </w:pPr>
      <w:r>
        <w:rPr>
          <w:sz w:val="24"/>
          <w:szCs w:val="24"/>
        </w:rPr>
        <w:t xml:space="preserve">Da der mangler specifikke data, bør der anvendes den laveste dosis, der giver tilfredsstillende uratreduktion. Der bør udvises særlig opmærksomhed på rådene i afsnittet </w:t>
      </w:r>
      <w:r>
        <w:rPr>
          <w:i/>
          <w:sz w:val="24"/>
          <w:szCs w:val="24"/>
        </w:rPr>
        <w:t>Nedsat nyrefunktion</w:t>
      </w:r>
      <w:r>
        <w:rPr>
          <w:sz w:val="24"/>
          <w:szCs w:val="24"/>
        </w:rPr>
        <w:t xml:space="preserve"> og i pkt. 4.4.</w:t>
      </w:r>
    </w:p>
    <w:p w:rsidR="008F0665" w:rsidRPr="004A662A" w:rsidRDefault="008F0665" w:rsidP="008F0665">
      <w:pPr>
        <w:autoSpaceDE w:val="0"/>
        <w:autoSpaceDN w:val="0"/>
        <w:adjustRightInd w:val="0"/>
        <w:ind w:left="851"/>
        <w:rPr>
          <w:sz w:val="24"/>
          <w:szCs w:val="24"/>
        </w:rPr>
      </w:pPr>
    </w:p>
    <w:p w:rsidR="008F0665" w:rsidRPr="004A662A" w:rsidRDefault="008F0665" w:rsidP="008F0665">
      <w:pPr>
        <w:autoSpaceDE w:val="0"/>
        <w:autoSpaceDN w:val="0"/>
        <w:adjustRightInd w:val="0"/>
        <w:ind w:left="851"/>
        <w:rPr>
          <w:i/>
          <w:sz w:val="24"/>
          <w:szCs w:val="24"/>
        </w:rPr>
      </w:pPr>
      <w:r w:rsidRPr="004A662A">
        <w:rPr>
          <w:i/>
          <w:sz w:val="24"/>
          <w:szCs w:val="24"/>
        </w:rPr>
        <w:t>Nedsat nyrefunktion</w:t>
      </w:r>
    </w:p>
    <w:p w:rsidR="008F0665" w:rsidRPr="004A662A" w:rsidRDefault="008F0665" w:rsidP="008F0665">
      <w:pPr>
        <w:autoSpaceDE w:val="0"/>
        <w:autoSpaceDN w:val="0"/>
        <w:adjustRightInd w:val="0"/>
        <w:ind w:left="851"/>
        <w:rPr>
          <w:sz w:val="24"/>
          <w:szCs w:val="24"/>
        </w:rPr>
      </w:pPr>
      <w:r w:rsidRPr="004A662A">
        <w:rPr>
          <w:sz w:val="24"/>
          <w:szCs w:val="24"/>
        </w:rPr>
        <w:t xml:space="preserve">Eftersom </w:t>
      </w:r>
      <w:proofErr w:type="spellStart"/>
      <w:r w:rsidRPr="004A662A">
        <w:rPr>
          <w:sz w:val="24"/>
          <w:szCs w:val="24"/>
        </w:rPr>
        <w:t>allopurinol</w:t>
      </w:r>
      <w:proofErr w:type="spellEnd"/>
      <w:r w:rsidRPr="004A662A">
        <w:rPr>
          <w:sz w:val="24"/>
          <w:szCs w:val="24"/>
        </w:rPr>
        <w:t xml:space="preserve"> og dets metabolitter udskilles via nyrerne, kan nedsat nyrefunktion resultere i ophobning af lægemidlet og/eller dets metabolitter og deraf følgende forlænget halveringstid i plasma.</w:t>
      </w:r>
    </w:p>
    <w:p w:rsidR="008F0665" w:rsidRPr="004A662A" w:rsidRDefault="008F0665" w:rsidP="008F0665">
      <w:pPr>
        <w:autoSpaceDE w:val="0"/>
        <w:autoSpaceDN w:val="0"/>
        <w:adjustRightInd w:val="0"/>
        <w:ind w:left="851"/>
        <w:rPr>
          <w:sz w:val="24"/>
          <w:szCs w:val="24"/>
        </w:rPr>
      </w:pPr>
    </w:p>
    <w:p w:rsidR="008F0665" w:rsidRPr="004A662A" w:rsidRDefault="008F0665" w:rsidP="008F0665">
      <w:pPr>
        <w:autoSpaceDE w:val="0"/>
        <w:autoSpaceDN w:val="0"/>
        <w:adjustRightInd w:val="0"/>
        <w:ind w:left="851"/>
        <w:rPr>
          <w:sz w:val="24"/>
          <w:szCs w:val="24"/>
        </w:rPr>
      </w:pPr>
      <w:r w:rsidRPr="004A662A">
        <w:rPr>
          <w:sz w:val="24"/>
          <w:szCs w:val="24"/>
        </w:rPr>
        <w:t>Følgende skema kan anvendes som vejledning i forbindelse med dosisjusteringer ved nedsat nyrefunktion:</w:t>
      </w:r>
    </w:p>
    <w:p w:rsidR="008F0665" w:rsidRPr="004A662A" w:rsidRDefault="008F0665" w:rsidP="008F0665">
      <w:pPr>
        <w:pStyle w:val="knZulassung02"/>
        <w:ind w:left="0"/>
        <w:rPr>
          <w:rFonts w:ascii="Times New Roman" w:hAnsi="Times New Roman" w:cs="Times New Roman"/>
        </w:rPr>
      </w:pPr>
    </w:p>
    <w:tbl>
      <w:tblPr>
        <w:tblW w:w="715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686"/>
      </w:tblGrid>
      <w:tr w:rsidR="008F0665" w:rsidRPr="004A662A" w:rsidTr="003B4BCE">
        <w:tc>
          <w:tcPr>
            <w:tcW w:w="3472" w:type="dxa"/>
          </w:tcPr>
          <w:p w:rsidR="008F0665" w:rsidRPr="004A662A" w:rsidRDefault="008F0665" w:rsidP="003B4BCE">
            <w:pPr>
              <w:ind w:right="713"/>
              <w:rPr>
                <w:b/>
                <w:sz w:val="24"/>
                <w:szCs w:val="24"/>
              </w:rPr>
            </w:pPr>
            <w:proofErr w:type="spellStart"/>
            <w:r w:rsidRPr="004A662A">
              <w:rPr>
                <w:b/>
                <w:sz w:val="24"/>
                <w:szCs w:val="24"/>
              </w:rPr>
              <w:t>Kreatininclearance</w:t>
            </w:r>
            <w:proofErr w:type="spellEnd"/>
          </w:p>
        </w:tc>
        <w:tc>
          <w:tcPr>
            <w:tcW w:w="3686" w:type="dxa"/>
          </w:tcPr>
          <w:p w:rsidR="008F0665" w:rsidRPr="004A662A" w:rsidRDefault="008F0665" w:rsidP="003B4BCE">
            <w:pPr>
              <w:rPr>
                <w:b/>
                <w:sz w:val="24"/>
                <w:szCs w:val="24"/>
              </w:rPr>
            </w:pPr>
            <w:r w:rsidRPr="004A662A">
              <w:rPr>
                <w:b/>
                <w:sz w:val="24"/>
                <w:szCs w:val="24"/>
              </w:rPr>
              <w:t>Daglig dosis</w:t>
            </w:r>
          </w:p>
        </w:tc>
      </w:tr>
      <w:tr w:rsidR="008F0665" w:rsidRPr="004A662A" w:rsidTr="003B4BCE">
        <w:tc>
          <w:tcPr>
            <w:tcW w:w="3472" w:type="dxa"/>
          </w:tcPr>
          <w:p w:rsidR="008F0665" w:rsidRPr="004A662A" w:rsidRDefault="008F0665" w:rsidP="003B4BCE">
            <w:pPr>
              <w:ind w:left="-75" w:firstLine="75"/>
              <w:rPr>
                <w:sz w:val="24"/>
                <w:szCs w:val="24"/>
              </w:rPr>
            </w:pPr>
            <w:r w:rsidRPr="004A662A">
              <w:rPr>
                <w:sz w:val="24"/>
                <w:szCs w:val="24"/>
              </w:rPr>
              <w:t>&gt; 20 ml/min.</w:t>
            </w:r>
          </w:p>
        </w:tc>
        <w:tc>
          <w:tcPr>
            <w:tcW w:w="3686" w:type="dxa"/>
          </w:tcPr>
          <w:p w:rsidR="008F0665" w:rsidRPr="004A662A" w:rsidRDefault="008F0665" w:rsidP="003B4BCE">
            <w:pPr>
              <w:rPr>
                <w:sz w:val="24"/>
                <w:szCs w:val="24"/>
              </w:rPr>
            </w:pPr>
            <w:r w:rsidRPr="004A662A">
              <w:rPr>
                <w:sz w:val="24"/>
                <w:szCs w:val="24"/>
              </w:rPr>
              <w:t>normal dosis</w:t>
            </w:r>
          </w:p>
        </w:tc>
      </w:tr>
      <w:tr w:rsidR="008F0665" w:rsidRPr="004A662A" w:rsidTr="003B4BCE">
        <w:tc>
          <w:tcPr>
            <w:tcW w:w="3472" w:type="dxa"/>
          </w:tcPr>
          <w:p w:rsidR="008F0665" w:rsidRPr="004A662A" w:rsidRDefault="008F0665" w:rsidP="003B4BCE">
            <w:pPr>
              <w:rPr>
                <w:sz w:val="24"/>
                <w:szCs w:val="24"/>
              </w:rPr>
            </w:pPr>
            <w:r w:rsidRPr="004A662A">
              <w:rPr>
                <w:sz w:val="24"/>
                <w:szCs w:val="24"/>
              </w:rPr>
              <w:t>10 til 20 ml/min.</w:t>
            </w:r>
          </w:p>
        </w:tc>
        <w:tc>
          <w:tcPr>
            <w:tcW w:w="3686" w:type="dxa"/>
          </w:tcPr>
          <w:p w:rsidR="008F0665" w:rsidRPr="004A662A" w:rsidRDefault="008F0665" w:rsidP="003B4BCE">
            <w:pPr>
              <w:rPr>
                <w:sz w:val="24"/>
                <w:szCs w:val="24"/>
              </w:rPr>
            </w:pPr>
            <w:r w:rsidRPr="004A662A">
              <w:rPr>
                <w:sz w:val="24"/>
                <w:szCs w:val="24"/>
              </w:rPr>
              <w:t xml:space="preserve">100 til 200 mg </w:t>
            </w:r>
            <w:r>
              <w:rPr>
                <w:sz w:val="24"/>
                <w:szCs w:val="24"/>
              </w:rPr>
              <w:t>daglig</w:t>
            </w:r>
          </w:p>
        </w:tc>
      </w:tr>
      <w:tr w:rsidR="008F0665" w:rsidRPr="004A662A" w:rsidTr="003B4BCE">
        <w:tc>
          <w:tcPr>
            <w:tcW w:w="3472" w:type="dxa"/>
          </w:tcPr>
          <w:p w:rsidR="008F0665" w:rsidRPr="004A662A" w:rsidRDefault="008F0665" w:rsidP="003B4BCE">
            <w:pPr>
              <w:rPr>
                <w:sz w:val="24"/>
                <w:szCs w:val="24"/>
              </w:rPr>
            </w:pPr>
            <w:r w:rsidRPr="004A662A">
              <w:rPr>
                <w:sz w:val="24"/>
                <w:szCs w:val="24"/>
              </w:rPr>
              <w:t>&lt; 10 ml/min.</w:t>
            </w:r>
          </w:p>
        </w:tc>
        <w:tc>
          <w:tcPr>
            <w:tcW w:w="3686" w:type="dxa"/>
          </w:tcPr>
          <w:p w:rsidR="008F0665" w:rsidRPr="004A662A" w:rsidRDefault="008F0665" w:rsidP="003B4BCE">
            <w:pPr>
              <w:rPr>
                <w:sz w:val="24"/>
                <w:szCs w:val="24"/>
              </w:rPr>
            </w:pPr>
            <w:r w:rsidRPr="004A662A">
              <w:rPr>
                <w:sz w:val="24"/>
                <w:szCs w:val="24"/>
              </w:rPr>
              <w:t>100 mg/dag eller længere dosisintervaller</w:t>
            </w:r>
          </w:p>
        </w:tc>
      </w:tr>
    </w:tbl>
    <w:p w:rsidR="008F0665" w:rsidRPr="004A662A" w:rsidRDefault="008F0665" w:rsidP="008F0665">
      <w:pPr>
        <w:pStyle w:val="knZulassung02"/>
        <w:ind w:left="0" w:right="639"/>
        <w:rPr>
          <w:rFonts w:ascii="Times New Roman" w:hAnsi="Times New Roman" w:cs="Times New Roman"/>
        </w:rPr>
      </w:pPr>
    </w:p>
    <w:p w:rsidR="008F0665" w:rsidRPr="004A662A" w:rsidRDefault="008F0665" w:rsidP="008F0665">
      <w:pPr>
        <w:autoSpaceDE w:val="0"/>
        <w:autoSpaceDN w:val="0"/>
        <w:adjustRightInd w:val="0"/>
        <w:ind w:left="851"/>
        <w:rPr>
          <w:sz w:val="24"/>
          <w:szCs w:val="24"/>
        </w:rPr>
      </w:pPr>
      <w:r w:rsidRPr="004A662A">
        <w:rPr>
          <w:sz w:val="24"/>
          <w:szCs w:val="24"/>
        </w:rPr>
        <w:t xml:space="preserve">I tilfælde af svært nedsat nyrefunktion kan det være tilrådeligt at anvende under 100 mg om dagen eller at anvende enkeltdoser på 100 mg med længere mellemrum end </w:t>
      </w:r>
      <w:r>
        <w:rPr>
          <w:sz w:val="24"/>
          <w:szCs w:val="24"/>
        </w:rPr>
        <w:t>en</w:t>
      </w:r>
      <w:r w:rsidRPr="004A662A">
        <w:rPr>
          <w:sz w:val="24"/>
          <w:szCs w:val="24"/>
        </w:rPr>
        <w:t xml:space="preserve"> dag.</w:t>
      </w:r>
    </w:p>
    <w:p w:rsidR="008F0665" w:rsidRPr="004A662A" w:rsidRDefault="008F0665" w:rsidP="008F0665">
      <w:pPr>
        <w:autoSpaceDE w:val="0"/>
        <w:autoSpaceDN w:val="0"/>
        <w:adjustRightInd w:val="0"/>
        <w:ind w:left="851"/>
        <w:rPr>
          <w:sz w:val="24"/>
          <w:szCs w:val="24"/>
        </w:rPr>
      </w:pPr>
    </w:p>
    <w:p w:rsidR="008F0665" w:rsidRPr="004A662A" w:rsidRDefault="008F0665" w:rsidP="008F0665">
      <w:pPr>
        <w:autoSpaceDE w:val="0"/>
        <w:autoSpaceDN w:val="0"/>
        <w:adjustRightInd w:val="0"/>
        <w:ind w:left="851"/>
        <w:rPr>
          <w:sz w:val="24"/>
          <w:szCs w:val="24"/>
        </w:rPr>
      </w:pPr>
      <w:r w:rsidRPr="004A662A">
        <w:rPr>
          <w:sz w:val="24"/>
          <w:szCs w:val="24"/>
        </w:rPr>
        <w:t xml:space="preserve">Hvis der er adgang til faciliteter til monitorering af </w:t>
      </w:r>
      <w:proofErr w:type="spellStart"/>
      <w:r w:rsidRPr="004A662A">
        <w:rPr>
          <w:sz w:val="24"/>
          <w:szCs w:val="24"/>
        </w:rPr>
        <w:t>plasmaoxipurinolkoncentrationerne</w:t>
      </w:r>
      <w:proofErr w:type="spellEnd"/>
      <w:r w:rsidRPr="004A662A">
        <w:rPr>
          <w:sz w:val="24"/>
          <w:szCs w:val="24"/>
        </w:rPr>
        <w:t xml:space="preserve">, bør dosis justeres for at fastholde plasmaniveauerne af </w:t>
      </w:r>
      <w:proofErr w:type="spellStart"/>
      <w:r w:rsidRPr="004A662A">
        <w:rPr>
          <w:sz w:val="24"/>
          <w:szCs w:val="24"/>
        </w:rPr>
        <w:t>oxipurinol</w:t>
      </w:r>
      <w:proofErr w:type="spellEnd"/>
      <w:r w:rsidRPr="004A662A">
        <w:rPr>
          <w:sz w:val="24"/>
          <w:szCs w:val="24"/>
        </w:rPr>
        <w:t xml:space="preserve"> under 100 mikromol/liter (15,2 mg/liter).</w:t>
      </w:r>
    </w:p>
    <w:p w:rsidR="008F0665" w:rsidRPr="004A662A" w:rsidRDefault="008F0665" w:rsidP="008F0665">
      <w:pPr>
        <w:autoSpaceDE w:val="0"/>
        <w:autoSpaceDN w:val="0"/>
        <w:adjustRightInd w:val="0"/>
        <w:ind w:left="851"/>
        <w:rPr>
          <w:sz w:val="24"/>
          <w:szCs w:val="24"/>
        </w:rPr>
      </w:pPr>
    </w:p>
    <w:p w:rsidR="008F0665" w:rsidRPr="004A662A" w:rsidRDefault="008F0665" w:rsidP="008F0665">
      <w:pPr>
        <w:autoSpaceDE w:val="0"/>
        <w:autoSpaceDN w:val="0"/>
        <w:adjustRightInd w:val="0"/>
        <w:ind w:left="851"/>
        <w:rPr>
          <w:sz w:val="24"/>
          <w:szCs w:val="24"/>
        </w:rPr>
      </w:pPr>
      <w:proofErr w:type="spellStart"/>
      <w:r w:rsidRPr="004A662A">
        <w:rPr>
          <w:sz w:val="24"/>
          <w:szCs w:val="24"/>
        </w:rPr>
        <w:t>Allopurinol</w:t>
      </w:r>
      <w:proofErr w:type="spellEnd"/>
      <w:r w:rsidRPr="004A662A">
        <w:rPr>
          <w:sz w:val="24"/>
          <w:szCs w:val="24"/>
        </w:rPr>
        <w:t xml:space="preserve"> og dets metabolitter fjernes ved nyredialyse. Hvis der er behov for dialyse to til tre gange om ugen, bør det overvejes at anvende en anden doseringsplan med 300-400 mg </w:t>
      </w:r>
      <w:proofErr w:type="spellStart"/>
      <w:r>
        <w:rPr>
          <w:sz w:val="24"/>
          <w:szCs w:val="24"/>
        </w:rPr>
        <w:t>Allopurinol</w:t>
      </w:r>
      <w:proofErr w:type="spellEnd"/>
      <w:r>
        <w:rPr>
          <w:sz w:val="24"/>
          <w:szCs w:val="24"/>
        </w:rPr>
        <w:t xml:space="preserve"> "Sandoz"</w:t>
      </w:r>
      <w:r w:rsidRPr="004A662A">
        <w:rPr>
          <w:sz w:val="24"/>
          <w:szCs w:val="24"/>
        </w:rPr>
        <w:t xml:space="preserve"> umiddelbart efter hver dialyse og ingen doser imellem dialysebehandlingerne.</w:t>
      </w:r>
    </w:p>
    <w:p w:rsidR="008F0665" w:rsidRPr="004A662A" w:rsidRDefault="008F0665" w:rsidP="008F0665">
      <w:pPr>
        <w:autoSpaceDE w:val="0"/>
        <w:autoSpaceDN w:val="0"/>
        <w:adjustRightInd w:val="0"/>
        <w:ind w:left="851"/>
        <w:rPr>
          <w:sz w:val="24"/>
          <w:szCs w:val="24"/>
        </w:rPr>
      </w:pPr>
    </w:p>
    <w:p w:rsidR="008F0665" w:rsidRPr="004A662A" w:rsidRDefault="008F0665" w:rsidP="008F0665">
      <w:pPr>
        <w:autoSpaceDE w:val="0"/>
        <w:autoSpaceDN w:val="0"/>
        <w:adjustRightInd w:val="0"/>
        <w:ind w:left="851"/>
        <w:rPr>
          <w:i/>
          <w:sz w:val="24"/>
          <w:szCs w:val="24"/>
        </w:rPr>
      </w:pPr>
      <w:r w:rsidRPr="004A662A">
        <w:rPr>
          <w:i/>
          <w:sz w:val="24"/>
          <w:szCs w:val="24"/>
        </w:rPr>
        <w:t>Nedsat leverfunktion</w:t>
      </w:r>
    </w:p>
    <w:p w:rsidR="008F0665" w:rsidRPr="004A662A" w:rsidRDefault="008F0665" w:rsidP="008F0665">
      <w:pPr>
        <w:autoSpaceDE w:val="0"/>
        <w:autoSpaceDN w:val="0"/>
        <w:adjustRightInd w:val="0"/>
        <w:ind w:left="851"/>
        <w:rPr>
          <w:sz w:val="24"/>
          <w:szCs w:val="24"/>
        </w:rPr>
      </w:pPr>
      <w:r w:rsidRPr="004A662A">
        <w:rPr>
          <w:sz w:val="24"/>
          <w:szCs w:val="24"/>
        </w:rPr>
        <w:t>Der bør anvendes lavere doser hos patienter med nedsat leverfunktion. Det anbefales at udføre regelmæssige leverfunktionstest på de tidlige behandlingsstadier.</w:t>
      </w:r>
    </w:p>
    <w:p w:rsidR="008F0665" w:rsidRPr="004A662A" w:rsidRDefault="008F0665" w:rsidP="008F0665">
      <w:pPr>
        <w:autoSpaceDE w:val="0"/>
        <w:autoSpaceDN w:val="0"/>
        <w:adjustRightInd w:val="0"/>
        <w:ind w:left="851"/>
        <w:rPr>
          <w:sz w:val="24"/>
          <w:szCs w:val="24"/>
        </w:rPr>
      </w:pPr>
    </w:p>
    <w:p w:rsidR="008F0665" w:rsidRPr="004A662A" w:rsidRDefault="008F0665" w:rsidP="008F0665">
      <w:pPr>
        <w:autoSpaceDE w:val="0"/>
        <w:autoSpaceDN w:val="0"/>
        <w:adjustRightInd w:val="0"/>
        <w:ind w:left="851"/>
        <w:rPr>
          <w:i/>
          <w:sz w:val="24"/>
          <w:szCs w:val="24"/>
        </w:rPr>
      </w:pPr>
      <w:r w:rsidRPr="004A662A">
        <w:rPr>
          <w:i/>
          <w:sz w:val="24"/>
          <w:szCs w:val="24"/>
        </w:rPr>
        <w:t xml:space="preserve">Behandling af tilstande med høj uratomsætning, f.eks. </w:t>
      </w:r>
      <w:proofErr w:type="spellStart"/>
      <w:r w:rsidRPr="004A662A">
        <w:rPr>
          <w:i/>
          <w:sz w:val="24"/>
          <w:szCs w:val="24"/>
        </w:rPr>
        <w:t>neoplasi</w:t>
      </w:r>
      <w:proofErr w:type="spellEnd"/>
      <w:r w:rsidRPr="004A662A">
        <w:rPr>
          <w:i/>
          <w:sz w:val="24"/>
          <w:szCs w:val="24"/>
        </w:rPr>
        <w:t xml:space="preserve">, </w:t>
      </w:r>
      <w:proofErr w:type="spellStart"/>
      <w:r w:rsidRPr="004A662A">
        <w:rPr>
          <w:i/>
          <w:sz w:val="24"/>
          <w:szCs w:val="24"/>
        </w:rPr>
        <w:t>Lesch-Nyhans</w:t>
      </w:r>
      <w:proofErr w:type="spellEnd"/>
      <w:r w:rsidRPr="004A662A">
        <w:rPr>
          <w:i/>
          <w:sz w:val="24"/>
          <w:szCs w:val="24"/>
        </w:rPr>
        <w:t xml:space="preserve"> syndrom</w:t>
      </w:r>
    </w:p>
    <w:p w:rsidR="008F0665" w:rsidRPr="004A662A" w:rsidRDefault="008F0665" w:rsidP="008F0665">
      <w:pPr>
        <w:autoSpaceDE w:val="0"/>
        <w:autoSpaceDN w:val="0"/>
        <w:adjustRightInd w:val="0"/>
        <w:ind w:left="851"/>
        <w:rPr>
          <w:sz w:val="24"/>
          <w:szCs w:val="24"/>
        </w:rPr>
      </w:pPr>
      <w:r w:rsidRPr="004A662A">
        <w:rPr>
          <w:sz w:val="24"/>
          <w:szCs w:val="24"/>
        </w:rPr>
        <w:t xml:space="preserve">Det anbefales at korrigere eksisterende </w:t>
      </w:r>
      <w:proofErr w:type="spellStart"/>
      <w:r w:rsidRPr="004A662A">
        <w:rPr>
          <w:sz w:val="24"/>
          <w:szCs w:val="24"/>
        </w:rPr>
        <w:t>hyperurikæmi</w:t>
      </w:r>
      <w:proofErr w:type="spellEnd"/>
      <w:r w:rsidRPr="004A662A">
        <w:rPr>
          <w:sz w:val="24"/>
          <w:szCs w:val="24"/>
        </w:rPr>
        <w:t xml:space="preserve"> og/eller </w:t>
      </w:r>
      <w:proofErr w:type="spellStart"/>
      <w:r w:rsidRPr="004A662A">
        <w:rPr>
          <w:sz w:val="24"/>
          <w:szCs w:val="24"/>
        </w:rPr>
        <w:t>hyperurikosuri</w:t>
      </w:r>
      <w:proofErr w:type="spellEnd"/>
      <w:r w:rsidRPr="004A662A">
        <w:rPr>
          <w:sz w:val="24"/>
          <w:szCs w:val="24"/>
        </w:rPr>
        <w:t xml:space="preserve"> med </w:t>
      </w:r>
      <w:proofErr w:type="spellStart"/>
      <w:r>
        <w:rPr>
          <w:sz w:val="24"/>
          <w:szCs w:val="24"/>
        </w:rPr>
        <w:t>Allopurinol</w:t>
      </w:r>
      <w:proofErr w:type="spellEnd"/>
      <w:r>
        <w:rPr>
          <w:sz w:val="24"/>
          <w:szCs w:val="24"/>
        </w:rPr>
        <w:t xml:space="preserve"> "Sandoz"</w:t>
      </w:r>
      <w:r w:rsidRPr="004A662A">
        <w:rPr>
          <w:sz w:val="24"/>
          <w:szCs w:val="24"/>
        </w:rPr>
        <w:t xml:space="preserve"> inden opstart af </w:t>
      </w:r>
      <w:proofErr w:type="spellStart"/>
      <w:r w:rsidRPr="004A662A">
        <w:rPr>
          <w:sz w:val="24"/>
          <w:szCs w:val="24"/>
        </w:rPr>
        <w:t>cytotoksisk</w:t>
      </w:r>
      <w:proofErr w:type="spellEnd"/>
      <w:r w:rsidRPr="004A662A">
        <w:rPr>
          <w:sz w:val="24"/>
          <w:szCs w:val="24"/>
        </w:rPr>
        <w:t xml:space="preserve"> behandling. Det er vigtigt at sikre tilstrækkelig hydrering for at opretholde optimal diurese og at forsøge </w:t>
      </w:r>
      <w:proofErr w:type="spellStart"/>
      <w:r w:rsidRPr="004A662A">
        <w:rPr>
          <w:sz w:val="24"/>
          <w:szCs w:val="24"/>
        </w:rPr>
        <w:t>alkalinisering</w:t>
      </w:r>
      <w:proofErr w:type="spellEnd"/>
      <w:r w:rsidRPr="004A662A">
        <w:rPr>
          <w:sz w:val="24"/>
          <w:szCs w:val="24"/>
        </w:rPr>
        <w:t xml:space="preserve"> af urinen for at øge opløseligheden af urat/urinsyre i urinen. Doseringen af </w:t>
      </w:r>
      <w:proofErr w:type="spellStart"/>
      <w:r>
        <w:rPr>
          <w:sz w:val="24"/>
          <w:szCs w:val="24"/>
        </w:rPr>
        <w:t>Allopurinol</w:t>
      </w:r>
      <w:proofErr w:type="spellEnd"/>
      <w:r>
        <w:rPr>
          <w:sz w:val="24"/>
          <w:szCs w:val="24"/>
        </w:rPr>
        <w:t xml:space="preserve"> "Sandoz"</w:t>
      </w:r>
      <w:r w:rsidRPr="004A662A">
        <w:rPr>
          <w:sz w:val="24"/>
          <w:szCs w:val="24"/>
        </w:rPr>
        <w:t xml:space="preserve"> bør ligge i den lave ende af den anbefalede doseringsplan.</w:t>
      </w:r>
    </w:p>
    <w:p w:rsidR="008F0665" w:rsidRPr="004A662A" w:rsidRDefault="008F0665" w:rsidP="008F0665">
      <w:pPr>
        <w:autoSpaceDE w:val="0"/>
        <w:autoSpaceDN w:val="0"/>
        <w:adjustRightInd w:val="0"/>
        <w:ind w:left="851"/>
        <w:rPr>
          <w:sz w:val="24"/>
          <w:szCs w:val="24"/>
        </w:rPr>
      </w:pPr>
    </w:p>
    <w:p w:rsidR="008F0665" w:rsidRPr="004A662A" w:rsidRDefault="008F0665" w:rsidP="008F0665">
      <w:pPr>
        <w:autoSpaceDE w:val="0"/>
        <w:autoSpaceDN w:val="0"/>
        <w:adjustRightInd w:val="0"/>
        <w:ind w:left="851"/>
        <w:rPr>
          <w:sz w:val="24"/>
          <w:szCs w:val="24"/>
        </w:rPr>
      </w:pPr>
      <w:r w:rsidRPr="004A662A">
        <w:rPr>
          <w:sz w:val="24"/>
          <w:szCs w:val="24"/>
        </w:rPr>
        <w:t xml:space="preserve">Hvis nyrefunktionen er kompromitteret som følge af </w:t>
      </w:r>
      <w:proofErr w:type="spellStart"/>
      <w:r w:rsidRPr="004A662A">
        <w:rPr>
          <w:sz w:val="24"/>
          <w:szCs w:val="24"/>
        </w:rPr>
        <w:t>uratnefropati</w:t>
      </w:r>
      <w:proofErr w:type="spellEnd"/>
      <w:r w:rsidRPr="004A662A">
        <w:rPr>
          <w:sz w:val="24"/>
          <w:szCs w:val="24"/>
        </w:rPr>
        <w:t xml:space="preserve"> eller anden patologi, skal rådene i afsnittet </w:t>
      </w:r>
      <w:r w:rsidRPr="004A662A">
        <w:rPr>
          <w:i/>
          <w:sz w:val="24"/>
          <w:szCs w:val="24"/>
        </w:rPr>
        <w:t>Nedsat nyrefunktion</w:t>
      </w:r>
      <w:r w:rsidRPr="004A662A">
        <w:rPr>
          <w:sz w:val="24"/>
          <w:szCs w:val="24"/>
        </w:rPr>
        <w:t xml:space="preserve"> følges.</w:t>
      </w:r>
    </w:p>
    <w:p w:rsidR="008F0665" w:rsidRPr="004A662A" w:rsidRDefault="008F0665" w:rsidP="008F0665">
      <w:pPr>
        <w:autoSpaceDE w:val="0"/>
        <w:autoSpaceDN w:val="0"/>
        <w:adjustRightInd w:val="0"/>
        <w:ind w:left="851"/>
        <w:rPr>
          <w:sz w:val="24"/>
          <w:szCs w:val="24"/>
        </w:rPr>
      </w:pPr>
    </w:p>
    <w:p w:rsidR="008F0665" w:rsidRPr="004A662A" w:rsidRDefault="008F0665" w:rsidP="008F0665">
      <w:pPr>
        <w:autoSpaceDE w:val="0"/>
        <w:autoSpaceDN w:val="0"/>
        <w:adjustRightInd w:val="0"/>
        <w:ind w:left="851"/>
        <w:rPr>
          <w:sz w:val="24"/>
          <w:szCs w:val="24"/>
        </w:rPr>
      </w:pPr>
      <w:r w:rsidRPr="004A662A">
        <w:rPr>
          <w:sz w:val="24"/>
          <w:szCs w:val="24"/>
        </w:rPr>
        <w:t xml:space="preserve">Disse tiltag kan reducere risikoen for aflejring af </w:t>
      </w:r>
      <w:proofErr w:type="spellStart"/>
      <w:r w:rsidRPr="004A662A">
        <w:rPr>
          <w:sz w:val="24"/>
          <w:szCs w:val="24"/>
        </w:rPr>
        <w:t>xanthin</w:t>
      </w:r>
      <w:proofErr w:type="spellEnd"/>
      <w:r w:rsidRPr="004A662A">
        <w:rPr>
          <w:sz w:val="24"/>
          <w:szCs w:val="24"/>
        </w:rPr>
        <w:t xml:space="preserve"> og/eller </w:t>
      </w:r>
      <w:proofErr w:type="spellStart"/>
      <w:r w:rsidRPr="004A662A">
        <w:rPr>
          <w:sz w:val="24"/>
          <w:szCs w:val="24"/>
        </w:rPr>
        <w:t>oxipurinol</w:t>
      </w:r>
      <w:proofErr w:type="spellEnd"/>
      <w:r w:rsidRPr="004A662A">
        <w:rPr>
          <w:sz w:val="24"/>
          <w:szCs w:val="24"/>
        </w:rPr>
        <w:t>, som komplicerer den kliniske situation. Se også pkt. 4.5 og 4.8.</w:t>
      </w:r>
    </w:p>
    <w:p w:rsidR="008F0665" w:rsidRPr="004A662A" w:rsidRDefault="008F0665" w:rsidP="008F0665">
      <w:pPr>
        <w:autoSpaceDE w:val="0"/>
        <w:autoSpaceDN w:val="0"/>
        <w:adjustRightInd w:val="0"/>
        <w:ind w:left="851"/>
        <w:rPr>
          <w:sz w:val="24"/>
          <w:szCs w:val="24"/>
        </w:rPr>
      </w:pPr>
    </w:p>
    <w:p w:rsidR="00B23262" w:rsidRDefault="00B23262" w:rsidP="00B23262">
      <w:pPr>
        <w:autoSpaceDE w:val="0"/>
        <w:autoSpaceDN w:val="0"/>
        <w:adjustRightInd w:val="0"/>
        <w:ind w:left="851"/>
        <w:rPr>
          <w:sz w:val="24"/>
          <w:szCs w:val="24"/>
        </w:rPr>
      </w:pPr>
      <w:r>
        <w:rPr>
          <w:i/>
          <w:sz w:val="24"/>
          <w:szCs w:val="24"/>
        </w:rPr>
        <w:t>Anbefalet monitorering</w:t>
      </w:r>
    </w:p>
    <w:p w:rsidR="00B23262" w:rsidRDefault="00B23262" w:rsidP="00B23262">
      <w:pPr>
        <w:autoSpaceDE w:val="0"/>
        <w:autoSpaceDN w:val="0"/>
        <w:adjustRightInd w:val="0"/>
        <w:ind w:left="851"/>
        <w:rPr>
          <w:sz w:val="24"/>
          <w:szCs w:val="24"/>
        </w:rPr>
      </w:pPr>
      <w:r>
        <w:rPr>
          <w:sz w:val="24"/>
          <w:szCs w:val="24"/>
        </w:rPr>
        <w:t>Dosis bør justeres på baggrund af monitorering af serumuratkoncentrationerne og niveauerne af urat/urinsyre i urinen med passende mellemrum.</w:t>
      </w:r>
    </w:p>
    <w:p w:rsidR="00B23262" w:rsidRDefault="00B23262" w:rsidP="00B23262">
      <w:pPr>
        <w:autoSpaceDE w:val="0"/>
        <w:autoSpaceDN w:val="0"/>
        <w:adjustRightInd w:val="0"/>
        <w:ind w:left="851"/>
        <w:rPr>
          <w:sz w:val="24"/>
          <w:szCs w:val="24"/>
          <w:u w:val="single"/>
        </w:rPr>
      </w:pPr>
    </w:p>
    <w:p w:rsidR="00B23262" w:rsidRDefault="00B23262" w:rsidP="00B23262">
      <w:pPr>
        <w:autoSpaceDE w:val="0"/>
        <w:autoSpaceDN w:val="0"/>
        <w:adjustRightInd w:val="0"/>
        <w:ind w:left="851"/>
        <w:rPr>
          <w:sz w:val="24"/>
          <w:szCs w:val="24"/>
        </w:rPr>
      </w:pPr>
      <w:r>
        <w:rPr>
          <w:sz w:val="24"/>
          <w:szCs w:val="24"/>
          <w:u w:val="single"/>
        </w:rPr>
        <w:t xml:space="preserve">Administration </w:t>
      </w:r>
    </w:p>
    <w:p w:rsidR="00B23262" w:rsidRDefault="00B23262" w:rsidP="00B23262">
      <w:pPr>
        <w:autoSpaceDE w:val="0"/>
        <w:autoSpaceDN w:val="0"/>
        <w:adjustRightInd w:val="0"/>
        <w:ind w:left="851"/>
        <w:rPr>
          <w:sz w:val="24"/>
          <w:szCs w:val="24"/>
        </w:rPr>
      </w:pPr>
      <w:proofErr w:type="spellStart"/>
      <w:r>
        <w:rPr>
          <w:sz w:val="24"/>
          <w:szCs w:val="24"/>
        </w:rPr>
        <w:t>Allopurinol</w:t>
      </w:r>
      <w:proofErr w:type="spellEnd"/>
      <w:r>
        <w:rPr>
          <w:sz w:val="24"/>
          <w:szCs w:val="24"/>
        </w:rPr>
        <w:t xml:space="preserve"> "Sandoz" kan indtages oralt en gang om dagen efter et måltid. Hvis den daglige dosis overstiger 300 mg, og der er tydelig </w:t>
      </w:r>
      <w:proofErr w:type="spellStart"/>
      <w:r>
        <w:rPr>
          <w:sz w:val="24"/>
          <w:szCs w:val="24"/>
        </w:rPr>
        <w:t>gastrointestinal</w:t>
      </w:r>
      <w:proofErr w:type="spellEnd"/>
      <w:r>
        <w:rPr>
          <w:sz w:val="24"/>
          <w:szCs w:val="24"/>
        </w:rPr>
        <w:t xml:space="preserve"> </w:t>
      </w:r>
      <w:proofErr w:type="spellStart"/>
      <w:r>
        <w:rPr>
          <w:sz w:val="24"/>
          <w:szCs w:val="24"/>
        </w:rPr>
        <w:t>intolerans</w:t>
      </w:r>
      <w:proofErr w:type="spellEnd"/>
      <w:r>
        <w:rPr>
          <w:sz w:val="24"/>
          <w:szCs w:val="24"/>
        </w:rPr>
        <w:t>, kan det være hensigtsmæssigt at fordele den på flere daglige doser.</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4.3</w:t>
      </w:r>
      <w:r w:rsidRPr="00C84483">
        <w:rPr>
          <w:b/>
          <w:sz w:val="24"/>
          <w:szCs w:val="24"/>
        </w:rPr>
        <w:tab/>
        <w:t>Kontraindikationer</w:t>
      </w:r>
    </w:p>
    <w:p w:rsidR="008F0665" w:rsidRPr="008E7512" w:rsidRDefault="008F0665" w:rsidP="008F0665">
      <w:pPr>
        <w:pStyle w:val="Default"/>
        <w:ind w:left="851"/>
        <w:rPr>
          <w:color w:val="auto"/>
        </w:rPr>
      </w:pPr>
      <w:r w:rsidRPr="004A662A">
        <w:rPr>
          <w:color w:val="auto"/>
        </w:rPr>
        <w:t>Overfølsomhed over for det aktive stof eller over for et eller flere af hjælpestofferne anført i pkt. 6.1.</w:t>
      </w:r>
    </w:p>
    <w:p w:rsidR="008F0665" w:rsidRPr="00C84483" w:rsidRDefault="008F0665" w:rsidP="008F0665">
      <w:pPr>
        <w:tabs>
          <w:tab w:val="left" w:pos="851"/>
        </w:tabs>
        <w:ind w:left="851"/>
        <w:rPr>
          <w:sz w:val="24"/>
          <w:szCs w:val="24"/>
        </w:rPr>
      </w:pPr>
    </w:p>
    <w:p w:rsidR="008F0665" w:rsidRDefault="008F0665" w:rsidP="008F0665">
      <w:pPr>
        <w:tabs>
          <w:tab w:val="left" w:pos="851"/>
        </w:tabs>
        <w:ind w:left="851" w:hanging="851"/>
        <w:rPr>
          <w:b/>
          <w:sz w:val="24"/>
          <w:szCs w:val="24"/>
        </w:rPr>
      </w:pPr>
      <w:r w:rsidRPr="00C84483">
        <w:rPr>
          <w:b/>
          <w:sz w:val="24"/>
          <w:szCs w:val="24"/>
        </w:rPr>
        <w:t>4.4</w:t>
      </w:r>
      <w:r w:rsidRPr="00C84483">
        <w:rPr>
          <w:b/>
          <w:sz w:val="24"/>
          <w:szCs w:val="24"/>
        </w:rPr>
        <w:tab/>
      </w:r>
      <w:r>
        <w:rPr>
          <w:b/>
          <w:sz w:val="24"/>
          <w:szCs w:val="24"/>
        </w:rPr>
        <w:t>Særlige advarsler og forsigtighedsregler vedrørende brugen</w:t>
      </w:r>
    </w:p>
    <w:p w:rsidR="008F0665" w:rsidRDefault="008F0665" w:rsidP="008F0665">
      <w:pPr>
        <w:ind w:left="851"/>
        <w:rPr>
          <w:sz w:val="24"/>
          <w:szCs w:val="24"/>
          <w:u w:val="single"/>
        </w:rPr>
      </w:pPr>
    </w:p>
    <w:p w:rsidR="00B23262" w:rsidRPr="00C41A3E" w:rsidRDefault="00B23262" w:rsidP="00B23262">
      <w:pPr>
        <w:ind w:left="851"/>
        <w:rPr>
          <w:sz w:val="24"/>
          <w:szCs w:val="24"/>
          <w:u w:val="single"/>
        </w:rPr>
      </w:pPr>
      <w:r w:rsidRPr="00C41A3E">
        <w:rPr>
          <w:sz w:val="24"/>
          <w:szCs w:val="24"/>
          <w:u w:val="single"/>
        </w:rPr>
        <w:t>Overfølsomhedssyndrom, SJS og TEN</w:t>
      </w:r>
    </w:p>
    <w:p w:rsidR="00B23262" w:rsidRPr="00C41A3E" w:rsidRDefault="00B23262" w:rsidP="00B23262">
      <w:pPr>
        <w:ind w:left="851"/>
        <w:rPr>
          <w:sz w:val="24"/>
          <w:szCs w:val="24"/>
        </w:rPr>
      </w:pPr>
      <w:r w:rsidRPr="00C41A3E">
        <w:rPr>
          <w:sz w:val="24"/>
          <w:szCs w:val="24"/>
        </w:rPr>
        <w:t xml:space="preserve">Overfølsomhedsreaktioner over for </w:t>
      </w:r>
      <w:proofErr w:type="spellStart"/>
      <w:r w:rsidRPr="00C41A3E">
        <w:rPr>
          <w:sz w:val="24"/>
          <w:szCs w:val="24"/>
        </w:rPr>
        <w:t>allopurinol</w:t>
      </w:r>
      <w:proofErr w:type="spellEnd"/>
      <w:r w:rsidRPr="00C41A3E">
        <w:rPr>
          <w:sz w:val="24"/>
          <w:szCs w:val="24"/>
        </w:rPr>
        <w:t xml:space="preserve"> kan vise sig på mange forskellige måder, herunder som </w:t>
      </w:r>
      <w:proofErr w:type="spellStart"/>
      <w:r w:rsidRPr="00C41A3E">
        <w:rPr>
          <w:sz w:val="24"/>
          <w:szCs w:val="24"/>
        </w:rPr>
        <w:t>makulopapulært</w:t>
      </w:r>
      <w:proofErr w:type="spellEnd"/>
      <w:r w:rsidRPr="00C41A3E">
        <w:rPr>
          <w:sz w:val="24"/>
          <w:szCs w:val="24"/>
        </w:rPr>
        <w:t xml:space="preserve"> </w:t>
      </w:r>
      <w:proofErr w:type="spellStart"/>
      <w:r w:rsidRPr="00C41A3E">
        <w:rPr>
          <w:sz w:val="24"/>
          <w:szCs w:val="24"/>
        </w:rPr>
        <w:t>eksantem</w:t>
      </w:r>
      <w:proofErr w:type="spellEnd"/>
      <w:r w:rsidRPr="00C41A3E">
        <w:rPr>
          <w:sz w:val="24"/>
          <w:szCs w:val="24"/>
        </w:rPr>
        <w:t xml:space="preserve">, overfølsomhedssyndrom (også kaldet DRESS) og Stevens-Johnsons syndrom (SJS)/toksisk </w:t>
      </w:r>
      <w:proofErr w:type="spellStart"/>
      <w:r w:rsidRPr="00C41A3E">
        <w:rPr>
          <w:sz w:val="24"/>
          <w:szCs w:val="24"/>
        </w:rPr>
        <w:t>epidermal</w:t>
      </w:r>
      <w:proofErr w:type="spellEnd"/>
      <w:r w:rsidRPr="00C41A3E">
        <w:rPr>
          <w:sz w:val="24"/>
          <w:szCs w:val="24"/>
        </w:rPr>
        <w:t xml:space="preserve"> </w:t>
      </w:r>
      <w:proofErr w:type="spellStart"/>
      <w:r w:rsidRPr="00C41A3E">
        <w:rPr>
          <w:sz w:val="24"/>
          <w:szCs w:val="24"/>
        </w:rPr>
        <w:t>nekrolyse</w:t>
      </w:r>
      <w:proofErr w:type="spellEnd"/>
      <w:r w:rsidRPr="00C41A3E">
        <w:rPr>
          <w:sz w:val="24"/>
          <w:szCs w:val="24"/>
        </w:rPr>
        <w:t xml:space="preserve"> (TEN).</w:t>
      </w:r>
    </w:p>
    <w:p w:rsidR="00B23262" w:rsidRPr="00C41A3E" w:rsidRDefault="00B23262" w:rsidP="00B23262">
      <w:pPr>
        <w:ind w:left="851"/>
        <w:rPr>
          <w:sz w:val="24"/>
          <w:szCs w:val="24"/>
        </w:rPr>
      </w:pPr>
      <w:r w:rsidRPr="00C41A3E">
        <w:rPr>
          <w:sz w:val="24"/>
          <w:szCs w:val="24"/>
        </w:rPr>
        <w:t xml:space="preserve">Disse reaktioner er kliniske diagnoser, og den kliniske fremtræden af disse reaktioner udgør grundlaget for beslutningstagning. Hvis der opstår sådanne reaktioner under behandlingen, bør </w:t>
      </w:r>
      <w:proofErr w:type="spellStart"/>
      <w:r w:rsidRPr="00C41A3E">
        <w:rPr>
          <w:sz w:val="24"/>
          <w:szCs w:val="24"/>
        </w:rPr>
        <w:t>allopurinol</w:t>
      </w:r>
      <w:proofErr w:type="spellEnd"/>
      <w:r w:rsidRPr="00C41A3E">
        <w:rPr>
          <w:sz w:val="24"/>
          <w:szCs w:val="24"/>
        </w:rPr>
        <w:t xml:space="preserve"> straks seponeres. Det bør ikke forsøges at genoptage behandlingen med </w:t>
      </w:r>
      <w:proofErr w:type="spellStart"/>
      <w:r w:rsidRPr="00C41A3E">
        <w:rPr>
          <w:sz w:val="24"/>
          <w:szCs w:val="24"/>
        </w:rPr>
        <w:t>allopurinol</w:t>
      </w:r>
      <w:proofErr w:type="spellEnd"/>
      <w:r w:rsidRPr="00C41A3E">
        <w:rPr>
          <w:sz w:val="24"/>
          <w:szCs w:val="24"/>
        </w:rPr>
        <w:t xml:space="preserve"> hos patienter med overfølsomhedssyndrom og SJS/TEN. </w:t>
      </w:r>
      <w:proofErr w:type="spellStart"/>
      <w:r w:rsidRPr="00C41A3E">
        <w:rPr>
          <w:sz w:val="24"/>
          <w:szCs w:val="24"/>
        </w:rPr>
        <w:t>Kortikosteroider</w:t>
      </w:r>
      <w:proofErr w:type="spellEnd"/>
      <w:r w:rsidRPr="00C41A3E">
        <w:rPr>
          <w:sz w:val="24"/>
          <w:szCs w:val="24"/>
        </w:rPr>
        <w:t xml:space="preserve"> kan være nyttige til behandling af overfølsomhedsreaktioner i huden.</w:t>
      </w:r>
    </w:p>
    <w:p w:rsidR="00B23262" w:rsidRPr="00C41A3E" w:rsidRDefault="00B23262" w:rsidP="00B23262">
      <w:pPr>
        <w:ind w:left="851"/>
        <w:rPr>
          <w:sz w:val="24"/>
          <w:szCs w:val="24"/>
        </w:rPr>
      </w:pPr>
    </w:p>
    <w:p w:rsidR="00B23262" w:rsidRPr="00C41A3E" w:rsidRDefault="00B23262" w:rsidP="00B23262">
      <w:pPr>
        <w:ind w:left="851"/>
        <w:rPr>
          <w:sz w:val="24"/>
          <w:szCs w:val="24"/>
          <w:u w:val="single"/>
        </w:rPr>
      </w:pPr>
      <w:r w:rsidRPr="00C41A3E">
        <w:rPr>
          <w:sz w:val="24"/>
          <w:szCs w:val="24"/>
          <w:u w:val="single"/>
        </w:rPr>
        <w:t>HLA-B*5801-allel</w:t>
      </w:r>
    </w:p>
    <w:p w:rsidR="00B23262" w:rsidRPr="00C41A3E" w:rsidRDefault="00B23262" w:rsidP="00B23262">
      <w:pPr>
        <w:ind w:left="851"/>
        <w:rPr>
          <w:sz w:val="24"/>
          <w:szCs w:val="24"/>
        </w:rPr>
      </w:pPr>
      <w:r w:rsidRPr="00C41A3E">
        <w:rPr>
          <w:sz w:val="24"/>
          <w:szCs w:val="24"/>
        </w:rPr>
        <w:t xml:space="preserve">Allel HLA-B*5801 har vist sig at være forbundet med risikoen for udvikling af </w:t>
      </w:r>
      <w:proofErr w:type="spellStart"/>
      <w:r w:rsidRPr="00C41A3E">
        <w:rPr>
          <w:sz w:val="24"/>
          <w:szCs w:val="24"/>
        </w:rPr>
        <w:t>allopurinolrelateret</w:t>
      </w:r>
      <w:proofErr w:type="spellEnd"/>
      <w:r w:rsidRPr="00C41A3E">
        <w:rPr>
          <w:sz w:val="24"/>
          <w:szCs w:val="24"/>
        </w:rPr>
        <w:t xml:space="preserve"> overfølsomhedssyndrom og SJS/TEN. Forekomsten af allel HLA-B*5801 varierer meget mellem forskellige etniske populationer, idet den er op til 20 % i den Han-kinesiske population, </w:t>
      </w:r>
      <w:r w:rsidRPr="00C41A3E">
        <w:rPr>
          <w:bCs/>
          <w:sz w:val="24"/>
          <w:szCs w:val="24"/>
        </w:rPr>
        <w:t>8-15 % i den thailandske population</w:t>
      </w:r>
      <w:r w:rsidRPr="00C41A3E">
        <w:rPr>
          <w:bCs/>
          <w:sz w:val="24"/>
          <w:szCs w:val="24"/>
          <w:u w:val="single"/>
        </w:rPr>
        <w:t>,</w:t>
      </w:r>
      <w:r w:rsidRPr="00C41A3E">
        <w:rPr>
          <w:b/>
          <w:bCs/>
          <w:sz w:val="24"/>
          <w:szCs w:val="24"/>
          <w:u w:val="single"/>
        </w:rPr>
        <w:t xml:space="preserve"> </w:t>
      </w:r>
      <w:r w:rsidRPr="00C41A3E">
        <w:rPr>
          <w:sz w:val="24"/>
          <w:szCs w:val="24"/>
        </w:rPr>
        <w:t xml:space="preserve">cirka 12 % i den koreanske population og 1-2 % hos personer af japansk eller europæisk oprindelse. </w:t>
      </w:r>
      <w:r w:rsidRPr="00C41A3E">
        <w:rPr>
          <w:bCs/>
          <w:sz w:val="24"/>
          <w:szCs w:val="24"/>
        </w:rPr>
        <w:t xml:space="preserve">Det bør overvejes at screene for HLA-B*5801 inden opstart af behandling med </w:t>
      </w:r>
      <w:proofErr w:type="spellStart"/>
      <w:r w:rsidRPr="00C41A3E">
        <w:rPr>
          <w:bCs/>
          <w:sz w:val="24"/>
          <w:szCs w:val="24"/>
        </w:rPr>
        <w:t>allopurinol</w:t>
      </w:r>
      <w:proofErr w:type="spellEnd"/>
      <w:r w:rsidRPr="00C41A3E">
        <w:rPr>
          <w:bCs/>
          <w:sz w:val="24"/>
          <w:szCs w:val="24"/>
        </w:rPr>
        <w:t xml:space="preserve"> i patientundergrupper, hvor prævalensen af denne allel vides at være høj. Kronisk nyresygdom kan øge risikoen yderligere hos sådanne patienter. I tilfælde, hvor der ikke foreligger nogen HLA-B*5801-genotypebestemmelse hos patienter af Han-kinesisk, thailandsk eller koreansk oprindelse, bør fordelene ved behandling evalueres nøje, og der bør kun iværksættes behandling, hvis de vurderes at opveje de potentielle øgede risici. Brugen af genotypebestemmelse er ikke undersøgt i andre patientpopulationer.</w:t>
      </w:r>
      <w:r w:rsidRPr="00C41A3E">
        <w:rPr>
          <w:b/>
          <w:bCs/>
          <w:sz w:val="24"/>
          <w:szCs w:val="24"/>
          <w:u w:val="single"/>
        </w:rPr>
        <w:t xml:space="preserve"> </w:t>
      </w:r>
      <w:r w:rsidRPr="00C41A3E">
        <w:rPr>
          <w:sz w:val="24"/>
          <w:szCs w:val="24"/>
        </w:rPr>
        <w:t xml:space="preserve">Hvis patienten vides at være bærer af HLA-B*5801 </w:t>
      </w:r>
      <w:r w:rsidRPr="00C41A3E">
        <w:rPr>
          <w:bCs/>
          <w:sz w:val="24"/>
          <w:szCs w:val="24"/>
        </w:rPr>
        <w:t>(især patienter af Han-kinesisk, thailandsk eller koreansk oprindelse)</w:t>
      </w:r>
      <w:r w:rsidRPr="00C41A3E">
        <w:rPr>
          <w:sz w:val="24"/>
          <w:szCs w:val="24"/>
        </w:rPr>
        <w:t xml:space="preserve">, </w:t>
      </w:r>
      <w:r w:rsidRPr="00C41A3E">
        <w:rPr>
          <w:bCs/>
          <w:sz w:val="24"/>
          <w:szCs w:val="24"/>
        </w:rPr>
        <w:t xml:space="preserve">bør der ikke opstartes behandling med </w:t>
      </w:r>
      <w:proofErr w:type="spellStart"/>
      <w:r w:rsidRPr="00C41A3E">
        <w:rPr>
          <w:bCs/>
          <w:sz w:val="24"/>
          <w:szCs w:val="24"/>
        </w:rPr>
        <w:t>allopurinol</w:t>
      </w:r>
      <w:proofErr w:type="spellEnd"/>
      <w:r w:rsidRPr="00C41A3E">
        <w:rPr>
          <w:bCs/>
          <w:sz w:val="24"/>
          <w:szCs w:val="24"/>
        </w:rPr>
        <w:t>, medmindre der ikke er andre passende behandlingsmuligheder, og</w:t>
      </w:r>
      <w:r w:rsidRPr="00C41A3E">
        <w:rPr>
          <w:sz w:val="24"/>
          <w:szCs w:val="24"/>
        </w:rPr>
        <w:t xml:space="preserve"> fordelene forventes at opveje risiciene. Der skal udvises ekstra opmærksomhed ved tegn på overfølsomhedssyndrom eller SJS/TEN, og patienten bør informeres om behovet for straks at stoppe behandlingen i tilfælde af symptomer. </w:t>
      </w:r>
    </w:p>
    <w:p w:rsidR="00B23262" w:rsidRPr="00C41A3E" w:rsidRDefault="00B23262" w:rsidP="00B23262">
      <w:pPr>
        <w:ind w:left="851"/>
        <w:rPr>
          <w:bCs/>
          <w:sz w:val="24"/>
          <w:szCs w:val="24"/>
          <w:u w:val="single"/>
        </w:rPr>
      </w:pPr>
    </w:p>
    <w:p w:rsidR="00B23262" w:rsidRPr="00C41A3E" w:rsidRDefault="00B23262" w:rsidP="00B23262">
      <w:pPr>
        <w:ind w:left="851"/>
        <w:rPr>
          <w:sz w:val="24"/>
          <w:szCs w:val="24"/>
        </w:rPr>
      </w:pPr>
      <w:r w:rsidRPr="00C41A3E">
        <w:rPr>
          <w:bCs/>
          <w:sz w:val="24"/>
          <w:szCs w:val="24"/>
          <w:u w:val="single"/>
        </w:rPr>
        <w:t>SJS/TEN kan stadig forekomme hos patienter, der testes negative for HLA-B*5801, uanset deres etniske oprindelse.</w:t>
      </w:r>
    </w:p>
    <w:p w:rsidR="00B23262" w:rsidRPr="00C41A3E" w:rsidRDefault="00B23262" w:rsidP="00B23262">
      <w:pPr>
        <w:ind w:left="851"/>
        <w:rPr>
          <w:sz w:val="24"/>
          <w:szCs w:val="24"/>
          <w:u w:val="single"/>
        </w:rPr>
      </w:pPr>
    </w:p>
    <w:p w:rsidR="00B23262" w:rsidRPr="00E71EA9" w:rsidRDefault="00B23262" w:rsidP="00B23262">
      <w:pPr>
        <w:ind w:left="851"/>
        <w:rPr>
          <w:sz w:val="24"/>
          <w:szCs w:val="24"/>
          <w:u w:val="single"/>
        </w:rPr>
      </w:pPr>
      <w:r w:rsidRPr="00E71EA9">
        <w:rPr>
          <w:sz w:val="24"/>
          <w:szCs w:val="24"/>
          <w:u w:val="single"/>
        </w:rPr>
        <w:t>Kronisk nedsat nyrefunktion</w:t>
      </w:r>
    </w:p>
    <w:p w:rsidR="00B23262" w:rsidRPr="00E71EA9" w:rsidRDefault="00B23262" w:rsidP="00B23262">
      <w:pPr>
        <w:ind w:left="851"/>
        <w:rPr>
          <w:sz w:val="24"/>
          <w:szCs w:val="24"/>
        </w:rPr>
      </w:pPr>
      <w:r w:rsidRPr="00E71EA9">
        <w:rPr>
          <w:sz w:val="24"/>
          <w:szCs w:val="24"/>
        </w:rPr>
        <w:t xml:space="preserve">Kronisk nedsat nyrefunktion og samtidig brug af </w:t>
      </w:r>
      <w:proofErr w:type="spellStart"/>
      <w:r w:rsidRPr="00E71EA9">
        <w:rPr>
          <w:sz w:val="24"/>
          <w:szCs w:val="24"/>
        </w:rPr>
        <w:t>diuretika</w:t>
      </w:r>
      <w:proofErr w:type="spellEnd"/>
      <w:r w:rsidRPr="00E71EA9">
        <w:rPr>
          <w:sz w:val="24"/>
          <w:szCs w:val="24"/>
        </w:rPr>
        <w:t xml:space="preserve">, især </w:t>
      </w:r>
      <w:proofErr w:type="spellStart"/>
      <w:r w:rsidRPr="00E71EA9">
        <w:rPr>
          <w:sz w:val="24"/>
          <w:szCs w:val="24"/>
        </w:rPr>
        <w:t>thiazider</w:t>
      </w:r>
      <w:proofErr w:type="spellEnd"/>
      <w:r w:rsidRPr="00E71EA9">
        <w:rPr>
          <w:sz w:val="24"/>
          <w:szCs w:val="24"/>
        </w:rPr>
        <w:t xml:space="preserve">, er blevet forbundet med en øget risiko for </w:t>
      </w:r>
      <w:proofErr w:type="spellStart"/>
      <w:r w:rsidRPr="00E71EA9">
        <w:rPr>
          <w:sz w:val="24"/>
          <w:szCs w:val="24"/>
        </w:rPr>
        <w:t>allopurinol</w:t>
      </w:r>
      <w:proofErr w:type="spellEnd"/>
      <w:r w:rsidRPr="00E71EA9">
        <w:rPr>
          <w:sz w:val="24"/>
          <w:szCs w:val="24"/>
        </w:rPr>
        <w:t>-induceret SJS-/TEN-syndrom og andre svære overfølsomhedsreaktioner.</w:t>
      </w:r>
    </w:p>
    <w:p w:rsidR="00B23262" w:rsidRDefault="00B23262" w:rsidP="00B23262">
      <w:pPr>
        <w:ind w:left="851"/>
        <w:rPr>
          <w:sz w:val="24"/>
          <w:szCs w:val="24"/>
          <w:u w:val="single"/>
        </w:rPr>
      </w:pPr>
    </w:p>
    <w:p w:rsidR="00B23262" w:rsidRPr="00783E65" w:rsidRDefault="00B23262" w:rsidP="00100EF5">
      <w:pPr>
        <w:keepNext/>
        <w:ind w:left="851"/>
        <w:rPr>
          <w:sz w:val="24"/>
          <w:szCs w:val="24"/>
          <w:u w:val="single"/>
        </w:rPr>
      </w:pPr>
      <w:r w:rsidRPr="00C669A8">
        <w:rPr>
          <w:sz w:val="24"/>
          <w:szCs w:val="24"/>
          <w:u w:val="single"/>
        </w:rPr>
        <w:lastRenderedPageBreak/>
        <w:t xml:space="preserve">Nedsat lever- eller </w:t>
      </w:r>
      <w:r w:rsidRPr="00783E65">
        <w:rPr>
          <w:sz w:val="24"/>
          <w:szCs w:val="24"/>
          <w:u w:val="single"/>
        </w:rPr>
        <w:t>nyrefunktion</w:t>
      </w:r>
    </w:p>
    <w:p w:rsidR="00B23262" w:rsidRPr="00C41A3E" w:rsidRDefault="00B23262" w:rsidP="00B23262">
      <w:pPr>
        <w:ind w:left="851"/>
        <w:rPr>
          <w:sz w:val="24"/>
          <w:szCs w:val="24"/>
        </w:rPr>
      </w:pPr>
      <w:r w:rsidRPr="00C41A3E">
        <w:rPr>
          <w:sz w:val="24"/>
          <w:szCs w:val="24"/>
        </w:rPr>
        <w:t xml:space="preserve">Der bør anvendes lavere doser hos patienter med nedsat lever- eller nyrefunktion. (Se pkt. 4.2). Patienter i behandling for hypertension eller hjerteinsufficiens, for eksempel med </w:t>
      </w:r>
      <w:proofErr w:type="spellStart"/>
      <w:r w:rsidRPr="00C41A3E">
        <w:rPr>
          <w:sz w:val="24"/>
          <w:szCs w:val="24"/>
        </w:rPr>
        <w:t>diuretika</w:t>
      </w:r>
      <w:proofErr w:type="spellEnd"/>
      <w:r w:rsidRPr="00C41A3E">
        <w:rPr>
          <w:sz w:val="24"/>
          <w:szCs w:val="24"/>
        </w:rPr>
        <w:t xml:space="preserve"> eller ACE-</w:t>
      </w:r>
      <w:proofErr w:type="spellStart"/>
      <w:r w:rsidRPr="00C41A3E">
        <w:rPr>
          <w:sz w:val="24"/>
          <w:szCs w:val="24"/>
        </w:rPr>
        <w:t>hæmmere</w:t>
      </w:r>
      <w:proofErr w:type="spellEnd"/>
      <w:r w:rsidRPr="00C41A3E">
        <w:rPr>
          <w:sz w:val="24"/>
          <w:szCs w:val="24"/>
        </w:rPr>
        <w:t xml:space="preserve">, kan samtidig have en vis nedsættelse af nyrefunktionen, og </w:t>
      </w:r>
      <w:proofErr w:type="spellStart"/>
      <w:r w:rsidRPr="00C41A3E">
        <w:rPr>
          <w:sz w:val="24"/>
          <w:szCs w:val="24"/>
        </w:rPr>
        <w:t>allopurinol</w:t>
      </w:r>
      <w:proofErr w:type="spellEnd"/>
      <w:r w:rsidRPr="00C41A3E">
        <w:rPr>
          <w:sz w:val="24"/>
          <w:szCs w:val="24"/>
        </w:rPr>
        <w:t xml:space="preserve"> bør anvendes med forsigtighed i denne gruppe.</w:t>
      </w:r>
    </w:p>
    <w:p w:rsidR="00B23262" w:rsidRPr="00C41A3E" w:rsidRDefault="00B23262" w:rsidP="00B23262">
      <w:pPr>
        <w:ind w:left="851"/>
        <w:rPr>
          <w:sz w:val="24"/>
          <w:szCs w:val="24"/>
        </w:rPr>
      </w:pPr>
    </w:p>
    <w:p w:rsidR="00B23262" w:rsidRPr="00C41A3E" w:rsidRDefault="00B23262" w:rsidP="00B23262">
      <w:pPr>
        <w:ind w:left="851"/>
        <w:rPr>
          <w:sz w:val="24"/>
          <w:szCs w:val="24"/>
        </w:rPr>
      </w:pPr>
      <w:r w:rsidRPr="00C41A3E">
        <w:rPr>
          <w:sz w:val="24"/>
          <w:szCs w:val="24"/>
        </w:rPr>
        <w:t xml:space="preserve">Asymptomatisk </w:t>
      </w:r>
      <w:proofErr w:type="spellStart"/>
      <w:r w:rsidRPr="00C41A3E">
        <w:rPr>
          <w:sz w:val="24"/>
          <w:szCs w:val="24"/>
        </w:rPr>
        <w:t>hyperurikæmi</w:t>
      </w:r>
      <w:proofErr w:type="spellEnd"/>
      <w:r w:rsidRPr="00C41A3E">
        <w:rPr>
          <w:sz w:val="24"/>
          <w:szCs w:val="24"/>
        </w:rPr>
        <w:t xml:space="preserve"> </w:t>
      </w:r>
      <w:r w:rsidRPr="00C41A3E">
        <w:rPr>
          <w:sz w:val="24"/>
          <w:szCs w:val="24"/>
          <w:u w:val="single"/>
        </w:rPr>
        <w:t>i sig selv</w:t>
      </w:r>
      <w:r w:rsidRPr="00C41A3E">
        <w:rPr>
          <w:sz w:val="24"/>
          <w:szCs w:val="24"/>
        </w:rPr>
        <w:t xml:space="preserve"> anses normalt ikke som en indikation for brug af </w:t>
      </w:r>
      <w:proofErr w:type="spellStart"/>
      <w:r w:rsidRPr="00C41A3E">
        <w:rPr>
          <w:sz w:val="24"/>
          <w:szCs w:val="24"/>
        </w:rPr>
        <w:t>allopurinol</w:t>
      </w:r>
      <w:proofErr w:type="spellEnd"/>
      <w:r w:rsidRPr="00C41A3E">
        <w:rPr>
          <w:sz w:val="24"/>
          <w:szCs w:val="24"/>
        </w:rPr>
        <w:t>. Tilstanden kan korrigeres med væske- og kostændringer ledsaget af behandling af den underliggende årsag.</w:t>
      </w:r>
    </w:p>
    <w:p w:rsidR="00B23262" w:rsidRPr="00C41A3E" w:rsidRDefault="00B23262" w:rsidP="00B23262">
      <w:pPr>
        <w:ind w:left="851"/>
        <w:rPr>
          <w:sz w:val="24"/>
          <w:szCs w:val="24"/>
        </w:rPr>
      </w:pPr>
    </w:p>
    <w:p w:rsidR="00B23262" w:rsidRPr="00C41A3E" w:rsidRDefault="00B23262" w:rsidP="00B23262">
      <w:pPr>
        <w:ind w:left="851"/>
        <w:rPr>
          <w:sz w:val="24"/>
          <w:szCs w:val="24"/>
          <w:u w:val="single"/>
        </w:rPr>
      </w:pPr>
      <w:r w:rsidRPr="00C41A3E">
        <w:rPr>
          <w:sz w:val="24"/>
          <w:szCs w:val="24"/>
          <w:u w:val="single"/>
        </w:rPr>
        <w:t>Akutte urinsyregigtanfald</w:t>
      </w:r>
    </w:p>
    <w:p w:rsidR="00B23262" w:rsidRPr="00C41A3E" w:rsidRDefault="00B23262" w:rsidP="00B23262">
      <w:pPr>
        <w:ind w:left="851"/>
        <w:rPr>
          <w:sz w:val="24"/>
          <w:szCs w:val="24"/>
        </w:rPr>
      </w:pPr>
      <w:r w:rsidRPr="00C41A3E">
        <w:rPr>
          <w:sz w:val="24"/>
          <w:szCs w:val="24"/>
        </w:rPr>
        <w:t xml:space="preserve">Der bør ikke iværksættes behandling med </w:t>
      </w:r>
      <w:proofErr w:type="spellStart"/>
      <w:r w:rsidRPr="00C41A3E">
        <w:rPr>
          <w:sz w:val="24"/>
          <w:szCs w:val="24"/>
        </w:rPr>
        <w:t>allopurinol</w:t>
      </w:r>
      <w:proofErr w:type="spellEnd"/>
      <w:r w:rsidRPr="00C41A3E">
        <w:rPr>
          <w:sz w:val="24"/>
          <w:szCs w:val="24"/>
        </w:rPr>
        <w:t>, før et akut urinsyregigtanfald er fuldstændig forsvundet, da det kan udløse yderligere anfald.</w:t>
      </w:r>
    </w:p>
    <w:p w:rsidR="00B23262" w:rsidRPr="00C41A3E" w:rsidRDefault="00B23262" w:rsidP="00B23262">
      <w:pPr>
        <w:ind w:left="851"/>
        <w:rPr>
          <w:sz w:val="24"/>
          <w:szCs w:val="24"/>
        </w:rPr>
      </w:pPr>
    </w:p>
    <w:p w:rsidR="00B23262" w:rsidRPr="00C41A3E" w:rsidRDefault="00B23262" w:rsidP="00B23262">
      <w:pPr>
        <w:ind w:left="851"/>
        <w:rPr>
          <w:sz w:val="24"/>
          <w:szCs w:val="24"/>
        </w:rPr>
      </w:pPr>
      <w:r w:rsidRPr="00C41A3E">
        <w:rPr>
          <w:sz w:val="24"/>
          <w:szCs w:val="24"/>
        </w:rPr>
        <w:t xml:space="preserve">På de tidlige behandlingsstadier med </w:t>
      </w:r>
      <w:proofErr w:type="spellStart"/>
      <w:r w:rsidRPr="00C41A3E">
        <w:rPr>
          <w:sz w:val="24"/>
          <w:szCs w:val="24"/>
        </w:rPr>
        <w:t>Allopurinol</w:t>
      </w:r>
      <w:proofErr w:type="spellEnd"/>
      <w:r w:rsidRPr="00C41A3E">
        <w:rPr>
          <w:sz w:val="24"/>
          <w:szCs w:val="24"/>
        </w:rPr>
        <w:t xml:space="preserve"> "Sandoz" kan der udløses et akut anfald af urinsyregigt, ligesom det er tilfældet med </w:t>
      </w:r>
      <w:proofErr w:type="spellStart"/>
      <w:r w:rsidRPr="00C41A3E">
        <w:rPr>
          <w:sz w:val="24"/>
          <w:szCs w:val="24"/>
        </w:rPr>
        <w:t>urikosurika</w:t>
      </w:r>
      <w:proofErr w:type="spellEnd"/>
      <w:r w:rsidRPr="00C41A3E">
        <w:rPr>
          <w:sz w:val="24"/>
          <w:szCs w:val="24"/>
        </w:rPr>
        <w:t xml:space="preserve">. Det anbefales derfor at give profylakse med et passende antiinflammatorisk middel eller </w:t>
      </w:r>
      <w:proofErr w:type="spellStart"/>
      <w:r w:rsidRPr="00C41A3E">
        <w:rPr>
          <w:sz w:val="24"/>
          <w:szCs w:val="24"/>
        </w:rPr>
        <w:t>colchicin</w:t>
      </w:r>
      <w:proofErr w:type="spellEnd"/>
      <w:r w:rsidRPr="00C41A3E">
        <w:rPr>
          <w:sz w:val="24"/>
          <w:szCs w:val="24"/>
        </w:rPr>
        <w:t xml:space="preserve"> i mindst en måned. Der bør søges oplysninger om passende dosering og advarsler og forsigtighedsregler i litteraturen.</w:t>
      </w:r>
    </w:p>
    <w:p w:rsidR="00B23262" w:rsidRPr="00C41A3E" w:rsidRDefault="00B23262" w:rsidP="00B23262">
      <w:pPr>
        <w:ind w:left="851"/>
        <w:rPr>
          <w:sz w:val="24"/>
          <w:szCs w:val="24"/>
        </w:rPr>
      </w:pPr>
    </w:p>
    <w:p w:rsidR="00B23262" w:rsidRPr="00C41A3E" w:rsidRDefault="00B23262" w:rsidP="00B23262">
      <w:pPr>
        <w:ind w:left="851"/>
        <w:rPr>
          <w:sz w:val="24"/>
          <w:szCs w:val="24"/>
        </w:rPr>
      </w:pPr>
      <w:r w:rsidRPr="00C41A3E">
        <w:rPr>
          <w:sz w:val="24"/>
          <w:szCs w:val="24"/>
        </w:rPr>
        <w:t xml:space="preserve">Hvis der udvikles akutte anfald hos patienter i </w:t>
      </w:r>
      <w:proofErr w:type="spellStart"/>
      <w:r w:rsidRPr="00C41A3E">
        <w:rPr>
          <w:sz w:val="24"/>
          <w:szCs w:val="24"/>
        </w:rPr>
        <w:t>allopurinolbehandling</w:t>
      </w:r>
      <w:proofErr w:type="spellEnd"/>
      <w:r w:rsidRPr="00C41A3E">
        <w:rPr>
          <w:sz w:val="24"/>
          <w:szCs w:val="24"/>
        </w:rPr>
        <w:t xml:space="preserve">, bør behandlingen fortsættes med samme </w:t>
      </w:r>
      <w:r>
        <w:rPr>
          <w:sz w:val="24"/>
          <w:szCs w:val="24"/>
        </w:rPr>
        <w:t>dosis</w:t>
      </w:r>
      <w:r w:rsidRPr="00783E65">
        <w:rPr>
          <w:sz w:val="24"/>
          <w:szCs w:val="24"/>
        </w:rPr>
        <w:t>, samtidig med at det akutte anfald behandles med et velegnet antiinflammator</w:t>
      </w:r>
      <w:r w:rsidRPr="00C41A3E">
        <w:rPr>
          <w:sz w:val="24"/>
          <w:szCs w:val="24"/>
        </w:rPr>
        <w:t>isk middel.</w:t>
      </w:r>
    </w:p>
    <w:p w:rsidR="00B23262" w:rsidRPr="00C41A3E" w:rsidRDefault="00B23262" w:rsidP="00B23262">
      <w:pPr>
        <w:ind w:left="851"/>
        <w:rPr>
          <w:sz w:val="24"/>
          <w:szCs w:val="24"/>
        </w:rPr>
      </w:pPr>
    </w:p>
    <w:p w:rsidR="00B23262" w:rsidRPr="00C41A3E" w:rsidRDefault="00B23262" w:rsidP="00B23262">
      <w:pPr>
        <w:ind w:left="851"/>
        <w:rPr>
          <w:sz w:val="24"/>
          <w:szCs w:val="24"/>
          <w:u w:val="single"/>
        </w:rPr>
      </w:pPr>
      <w:proofErr w:type="spellStart"/>
      <w:r w:rsidRPr="00C41A3E">
        <w:rPr>
          <w:sz w:val="24"/>
          <w:szCs w:val="24"/>
          <w:u w:val="single"/>
        </w:rPr>
        <w:t>Xanthin</w:t>
      </w:r>
      <w:proofErr w:type="spellEnd"/>
      <w:r w:rsidRPr="00C41A3E">
        <w:rPr>
          <w:sz w:val="24"/>
          <w:szCs w:val="24"/>
          <w:u w:val="single"/>
        </w:rPr>
        <w:t>-aflejring</w:t>
      </w:r>
    </w:p>
    <w:p w:rsidR="00B23262" w:rsidRPr="00C669A8" w:rsidRDefault="00B23262" w:rsidP="00B23262">
      <w:pPr>
        <w:ind w:left="851"/>
        <w:rPr>
          <w:sz w:val="24"/>
          <w:szCs w:val="24"/>
        </w:rPr>
      </w:pPr>
      <w:r w:rsidRPr="00C41A3E">
        <w:rPr>
          <w:sz w:val="24"/>
          <w:szCs w:val="24"/>
        </w:rPr>
        <w:t xml:space="preserve">I situationer, hvor hastigheden af uratdannelse er kraftigt forøget (f.eks. malign sygdom og behandling heraf og </w:t>
      </w:r>
      <w:proofErr w:type="spellStart"/>
      <w:r w:rsidRPr="00C41A3E">
        <w:rPr>
          <w:sz w:val="24"/>
          <w:szCs w:val="24"/>
        </w:rPr>
        <w:t>Lesch-Nyhans</w:t>
      </w:r>
      <w:proofErr w:type="spellEnd"/>
      <w:r w:rsidRPr="00C41A3E">
        <w:rPr>
          <w:sz w:val="24"/>
          <w:szCs w:val="24"/>
        </w:rPr>
        <w:t xml:space="preserve"> syndrom), kan den absolutte koncentration af </w:t>
      </w:r>
      <w:proofErr w:type="spellStart"/>
      <w:r w:rsidRPr="00C41A3E">
        <w:rPr>
          <w:sz w:val="24"/>
          <w:szCs w:val="24"/>
        </w:rPr>
        <w:t>xanthin</w:t>
      </w:r>
      <w:proofErr w:type="spellEnd"/>
      <w:r w:rsidRPr="00C41A3E">
        <w:rPr>
          <w:sz w:val="24"/>
          <w:szCs w:val="24"/>
        </w:rPr>
        <w:t xml:space="preserve"> i urinen i sjældne tilfælde stige så meget, at der aflejres </w:t>
      </w:r>
      <w:proofErr w:type="spellStart"/>
      <w:r w:rsidRPr="00C41A3E">
        <w:rPr>
          <w:sz w:val="24"/>
          <w:szCs w:val="24"/>
        </w:rPr>
        <w:t>xanthin</w:t>
      </w:r>
      <w:proofErr w:type="spellEnd"/>
      <w:r w:rsidRPr="00C41A3E">
        <w:rPr>
          <w:sz w:val="24"/>
          <w:szCs w:val="24"/>
        </w:rPr>
        <w:t xml:space="preserve"> i urinvejen</w:t>
      </w:r>
      <w:r>
        <w:rPr>
          <w:sz w:val="24"/>
          <w:szCs w:val="24"/>
        </w:rPr>
        <w:t>e</w:t>
      </w:r>
      <w:r w:rsidRPr="00C41A3E">
        <w:rPr>
          <w:sz w:val="24"/>
          <w:szCs w:val="24"/>
        </w:rPr>
        <w:t>. Denne risiko kan minimeres ved hjælp af tilstrækkelig hydrering for at opnå optimal urinfortynding.</w:t>
      </w:r>
    </w:p>
    <w:p w:rsidR="00B23262" w:rsidRPr="00783E65" w:rsidRDefault="00B23262" w:rsidP="00B23262">
      <w:pPr>
        <w:ind w:left="851"/>
        <w:rPr>
          <w:sz w:val="24"/>
          <w:szCs w:val="24"/>
        </w:rPr>
      </w:pPr>
    </w:p>
    <w:p w:rsidR="00B23262" w:rsidRPr="00C41A3E" w:rsidRDefault="00B23262" w:rsidP="00B23262">
      <w:pPr>
        <w:ind w:left="851"/>
        <w:rPr>
          <w:sz w:val="24"/>
          <w:szCs w:val="24"/>
          <w:u w:val="single"/>
        </w:rPr>
      </w:pPr>
      <w:proofErr w:type="spellStart"/>
      <w:r w:rsidRPr="00C41A3E">
        <w:rPr>
          <w:sz w:val="24"/>
          <w:szCs w:val="24"/>
          <w:u w:val="single"/>
        </w:rPr>
        <w:t>Fastkiling</w:t>
      </w:r>
      <w:proofErr w:type="spellEnd"/>
      <w:r w:rsidRPr="00C41A3E">
        <w:rPr>
          <w:sz w:val="24"/>
          <w:szCs w:val="24"/>
          <w:u w:val="single"/>
        </w:rPr>
        <w:t xml:space="preserve"> af urinsyrenyresten</w:t>
      </w:r>
    </w:p>
    <w:p w:rsidR="00B23262" w:rsidRPr="00C41A3E" w:rsidRDefault="00B23262" w:rsidP="00B23262">
      <w:pPr>
        <w:ind w:left="851"/>
        <w:rPr>
          <w:sz w:val="24"/>
          <w:szCs w:val="24"/>
        </w:rPr>
      </w:pPr>
      <w:r w:rsidRPr="00C41A3E">
        <w:rPr>
          <w:sz w:val="24"/>
          <w:szCs w:val="24"/>
        </w:rPr>
        <w:t xml:space="preserve">Adækvat behandling med </w:t>
      </w:r>
      <w:proofErr w:type="spellStart"/>
      <w:r w:rsidRPr="00C41A3E">
        <w:rPr>
          <w:sz w:val="24"/>
          <w:szCs w:val="24"/>
        </w:rPr>
        <w:t>Allopurinol</w:t>
      </w:r>
      <w:proofErr w:type="spellEnd"/>
      <w:r w:rsidRPr="00C41A3E">
        <w:rPr>
          <w:sz w:val="24"/>
          <w:szCs w:val="24"/>
        </w:rPr>
        <w:t xml:space="preserve"> "Sandoz" vil resultere i opløsning af store urinsyresten i nyrebækkenet med en forsvindende lille risiko for </w:t>
      </w:r>
      <w:proofErr w:type="spellStart"/>
      <w:r w:rsidRPr="00C41A3E">
        <w:rPr>
          <w:sz w:val="24"/>
          <w:szCs w:val="24"/>
        </w:rPr>
        <w:t>fastkiling</w:t>
      </w:r>
      <w:proofErr w:type="spellEnd"/>
      <w:r w:rsidRPr="00C41A3E">
        <w:rPr>
          <w:sz w:val="24"/>
          <w:szCs w:val="24"/>
        </w:rPr>
        <w:t xml:space="preserve"> i urinlederen.</w:t>
      </w:r>
    </w:p>
    <w:p w:rsidR="00B23262" w:rsidRPr="00C41A3E" w:rsidRDefault="00B23262" w:rsidP="00B23262">
      <w:pPr>
        <w:ind w:left="851"/>
        <w:rPr>
          <w:sz w:val="24"/>
          <w:szCs w:val="24"/>
        </w:rPr>
      </w:pPr>
    </w:p>
    <w:p w:rsidR="00B23262" w:rsidRPr="00C41A3E" w:rsidRDefault="00B23262" w:rsidP="00B23262">
      <w:pPr>
        <w:ind w:left="851"/>
        <w:rPr>
          <w:sz w:val="24"/>
          <w:szCs w:val="24"/>
        </w:rPr>
      </w:pPr>
      <w:proofErr w:type="spellStart"/>
      <w:r w:rsidRPr="00C41A3E">
        <w:rPr>
          <w:bCs/>
          <w:sz w:val="24"/>
          <w:szCs w:val="24"/>
          <w:u w:val="single"/>
        </w:rPr>
        <w:t>Thyroideaforstyrrelser</w:t>
      </w:r>
      <w:proofErr w:type="spellEnd"/>
      <w:r w:rsidRPr="00C41A3E">
        <w:rPr>
          <w:bCs/>
          <w:sz w:val="24"/>
          <w:szCs w:val="24"/>
          <w:u w:val="single"/>
        </w:rPr>
        <w:t xml:space="preserve"> </w:t>
      </w:r>
    </w:p>
    <w:p w:rsidR="00B23262" w:rsidRDefault="00B23262" w:rsidP="00B23262">
      <w:pPr>
        <w:ind w:left="851"/>
        <w:rPr>
          <w:bCs/>
          <w:sz w:val="24"/>
          <w:szCs w:val="24"/>
        </w:rPr>
      </w:pPr>
      <w:r w:rsidRPr="00C41A3E">
        <w:rPr>
          <w:bCs/>
          <w:sz w:val="24"/>
          <w:szCs w:val="24"/>
        </w:rPr>
        <w:t xml:space="preserve">Der er set øgede TSH-værdier (&gt;5,5 </w:t>
      </w:r>
      <w:proofErr w:type="spellStart"/>
      <w:r w:rsidRPr="00C41A3E">
        <w:rPr>
          <w:bCs/>
          <w:sz w:val="24"/>
          <w:szCs w:val="24"/>
        </w:rPr>
        <w:t>μIE</w:t>
      </w:r>
      <w:proofErr w:type="spellEnd"/>
      <w:r w:rsidRPr="00C41A3E">
        <w:rPr>
          <w:bCs/>
          <w:sz w:val="24"/>
          <w:szCs w:val="24"/>
        </w:rPr>
        <w:t xml:space="preserve">/ml) hos patienter i langvarig behandling med </w:t>
      </w:r>
      <w:proofErr w:type="spellStart"/>
      <w:r w:rsidRPr="00C41A3E">
        <w:rPr>
          <w:bCs/>
          <w:sz w:val="24"/>
          <w:szCs w:val="24"/>
        </w:rPr>
        <w:t>allopurinol</w:t>
      </w:r>
      <w:proofErr w:type="spellEnd"/>
      <w:r w:rsidRPr="00C41A3E">
        <w:rPr>
          <w:bCs/>
          <w:sz w:val="24"/>
          <w:szCs w:val="24"/>
        </w:rPr>
        <w:t xml:space="preserve"> (5,8 %) i et langvarigt forlængelsesstudie med åben behandling. Der skal udvises forsigtighed, når </w:t>
      </w:r>
      <w:proofErr w:type="spellStart"/>
      <w:r w:rsidRPr="00C41A3E">
        <w:rPr>
          <w:bCs/>
          <w:sz w:val="24"/>
          <w:szCs w:val="24"/>
        </w:rPr>
        <w:t>allopurinol</w:t>
      </w:r>
      <w:proofErr w:type="spellEnd"/>
      <w:r w:rsidRPr="00C41A3E">
        <w:rPr>
          <w:bCs/>
          <w:sz w:val="24"/>
          <w:szCs w:val="24"/>
        </w:rPr>
        <w:t xml:space="preserve"> anvendes hos patienter med forandringer i </w:t>
      </w:r>
      <w:proofErr w:type="spellStart"/>
      <w:r w:rsidRPr="00C41A3E">
        <w:rPr>
          <w:bCs/>
          <w:sz w:val="24"/>
          <w:szCs w:val="24"/>
        </w:rPr>
        <w:t>thyroideafunktionen</w:t>
      </w:r>
      <w:proofErr w:type="spellEnd"/>
      <w:r w:rsidRPr="00C41A3E">
        <w:rPr>
          <w:bCs/>
          <w:sz w:val="24"/>
          <w:szCs w:val="24"/>
        </w:rPr>
        <w:t>.</w:t>
      </w:r>
    </w:p>
    <w:p w:rsidR="005A6BCA" w:rsidRDefault="005A6BCA" w:rsidP="00B23262">
      <w:pPr>
        <w:ind w:left="851"/>
        <w:rPr>
          <w:bCs/>
          <w:sz w:val="24"/>
          <w:szCs w:val="24"/>
        </w:rPr>
      </w:pPr>
    </w:p>
    <w:p w:rsidR="005A6BCA" w:rsidRPr="00C41A3E" w:rsidRDefault="005A6BCA" w:rsidP="005A6BCA">
      <w:pPr>
        <w:ind w:left="851"/>
        <w:rPr>
          <w:bCs/>
          <w:sz w:val="24"/>
          <w:szCs w:val="24"/>
        </w:rPr>
      </w:pPr>
      <w:r>
        <w:rPr>
          <w:bCs/>
          <w:sz w:val="24"/>
          <w:szCs w:val="24"/>
        </w:rPr>
        <w:t xml:space="preserve">Samtidig brug af </w:t>
      </w:r>
      <w:proofErr w:type="spellStart"/>
      <w:r>
        <w:rPr>
          <w:bCs/>
          <w:sz w:val="24"/>
          <w:szCs w:val="24"/>
        </w:rPr>
        <w:t>allopurinol</w:t>
      </w:r>
      <w:proofErr w:type="spellEnd"/>
      <w:r>
        <w:rPr>
          <w:bCs/>
          <w:sz w:val="24"/>
          <w:szCs w:val="24"/>
        </w:rPr>
        <w:t xml:space="preserve"> og 6-mercaptopurin eller </w:t>
      </w:r>
      <w:proofErr w:type="spellStart"/>
      <w:r>
        <w:rPr>
          <w:bCs/>
          <w:sz w:val="24"/>
          <w:szCs w:val="24"/>
        </w:rPr>
        <w:t>azathioprin</w:t>
      </w:r>
      <w:proofErr w:type="spellEnd"/>
      <w:r>
        <w:rPr>
          <w:bCs/>
          <w:sz w:val="24"/>
          <w:szCs w:val="24"/>
        </w:rPr>
        <w:t xml:space="preserve"> bør undgås, da der er rapporteret om dødelige tilfælde (se pkt. 4.5).</w:t>
      </w:r>
    </w:p>
    <w:p w:rsidR="00B23262" w:rsidRPr="00C41A3E" w:rsidRDefault="00B23262" w:rsidP="00B23262">
      <w:pPr>
        <w:ind w:left="851"/>
        <w:rPr>
          <w:sz w:val="24"/>
          <w:szCs w:val="24"/>
        </w:rPr>
      </w:pPr>
    </w:p>
    <w:p w:rsidR="00B23262" w:rsidRPr="00C41A3E" w:rsidRDefault="00B23262" w:rsidP="00B23262">
      <w:pPr>
        <w:ind w:left="851"/>
        <w:rPr>
          <w:sz w:val="24"/>
          <w:szCs w:val="24"/>
        </w:rPr>
      </w:pPr>
      <w:proofErr w:type="spellStart"/>
      <w:r w:rsidRPr="00E71EA9">
        <w:rPr>
          <w:sz w:val="24"/>
          <w:szCs w:val="24"/>
          <w:u w:val="single"/>
        </w:rPr>
        <w:t>Allopurinol</w:t>
      </w:r>
      <w:proofErr w:type="spellEnd"/>
      <w:r w:rsidRPr="00E71EA9">
        <w:rPr>
          <w:sz w:val="24"/>
          <w:szCs w:val="24"/>
          <w:u w:val="single"/>
        </w:rPr>
        <w:t xml:space="preserve"> "Sandoz" indeholder </w:t>
      </w:r>
      <w:proofErr w:type="spellStart"/>
      <w:r w:rsidRPr="00E71EA9">
        <w:rPr>
          <w:sz w:val="24"/>
          <w:szCs w:val="24"/>
          <w:u w:val="single"/>
        </w:rPr>
        <w:t>lactose</w:t>
      </w:r>
      <w:proofErr w:type="spellEnd"/>
    </w:p>
    <w:p w:rsidR="008F0665" w:rsidRDefault="00B23262" w:rsidP="00B23262">
      <w:pPr>
        <w:tabs>
          <w:tab w:val="left" w:pos="851"/>
        </w:tabs>
        <w:ind w:left="851" w:hanging="851"/>
        <w:rPr>
          <w:sz w:val="24"/>
          <w:szCs w:val="24"/>
        </w:rPr>
      </w:pPr>
      <w:r>
        <w:rPr>
          <w:sz w:val="24"/>
          <w:szCs w:val="24"/>
        </w:rPr>
        <w:tab/>
      </w:r>
      <w:r w:rsidRPr="00C41A3E">
        <w:rPr>
          <w:sz w:val="24"/>
          <w:szCs w:val="24"/>
        </w:rPr>
        <w:t>Bør ikke anvendes til</w:t>
      </w:r>
      <w:r w:rsidRPr="00C669A8">
        <w:rPr>
          <w:sz w:val="24"/>
          <w:szCs w:val="24"/>
        </w:rPr>
        <w:t xml:space="preserve"> </w:t>
      </w:r>
      <w:r w:rsidRPr="00783E65">
        <w:rPr>
          <w:sz w:val="24"/>
          <w:szCs w:val="24"/>
        </w:rPr>
        <w:t xml:space="preserve">patienter med hereditær </w:t>
      </w:r>
      <w:proofErr w:type="spellStart"/>
      <w:r w:rsidRPr="00783E65">
        <w:rPr>
          <w:sz w:val="24"/>
          <w:szCs w:val="24"/>
        </w:rPr>
        <w:t>galactoseintolerans</w:t>
      </w:r>
      <w:proofErr w:type="spellEnd"/>
      <w:r w:rsidRPr="00783E65">
        <w:rPr>
          <w:sz w:val="24"/>
          <w:szCs w:val="24"/>
        </w:rPr>
        <w:t xml:space="preserve">, </w:t>
      </w:r>
      <w:r w:rsidRPr="00C41A3E">
        <w:rPr>
          <w:sz w:val="24"/>
          <w:szCs w:val="24"/>
        </w:rPr>
        <w:t xml:space="preserve">total </w:t>
      </w:r>
      <w:proofErr w:type="spellStart"/>
      <w:r w:rsidRPr="00C41A3E">
        <w:rPr>
          <w:sz w:val="24"/>
          <w:szCs w:val="24"/>
        </w:rPr>
        <w:t>lactasemangel</w:t>
      </w:r>
      <w:proofErr w:type="spellEnd"/>
      <w:r w:rsidRPr="00C41A3E">
        <w:rPr>
          <w:sz w:val="24"/>
          <w:szCs w:val="24"/>
        </w:rPr>
        <w:t xml:space="preserve"> eller </w:t>
      </w:r>
      <w:proofErr w:type="spellStart"/>
      <w:r w:rsidRPr="00C41A3E">
        <w:rPr>
          <w:sz w:val="24"/>
          <w:szCs w:val="24"/>
        </w:rPr>
        <w:t>glucose</w:t>
      </w:r>
      <w:proofErr w:type="spellEnd"/>
      <w:r w:rsidRPr="00C41A3E">
        <w:rPr>
          <w:sz w:val="24"/>
          <w:szCs w:val="24"/>
        </w:rPr>
        <w:t>/</w:t>
      </w:r>
      <w:proofErr w:type="spellStart"/>
      <w:r w:rsidRPr="00C41A3E">
        <w:rPr>
          <w:sz w:val="24"/>
          <w:szCs w:val="24"/>
        </w:rPr>
        <w:t>galactosemalabsorption</w:t>
      </w:r>
      <w:proofErr w:type="spellEnd"/>
      <w:r w:rsidRPr="00783E65">
        <w:rPr>
          <w:sz w:val="24"/>
          <w:szCs w:val="24"/>
        </w:rPr>
        <w:t>.</w:t>
      </w:r>
    </w:p>
    <w:p w:rsidR="00B23262" w:rsidRPr="00C84483" w:rsidRDefault="00B23262" w:rsidP="00B23262">
      <w:pPr>
        <w:tabs>
          <w:tab w:val="left" w:pos="851"/>
        </w:tabs>
        <w:ind w:left="851" w:hanging="851"/>
        <w:rPr>
          <w:sz w:val="24"/>
          <w:szCs w:val="24"/>
        </w:rPr>
      </w:pPr>
    </w:p>
    <w:p w:rsidR="008F0665" w:rsidRDefault="008F0665" w:rsidP="008F0665">
      <w:pPr>
        <w:tabs>
          <w:tab w:val="left" w:pos="851"/>
        </w:tabs>
        <w:ind w:left="851" w:hanging="851"/>
        <w:rPr>
          <w:b/>
          <w:sz w:val="24"/>
          <w:szCs w:val="24"/>
        </w:rPr>
      </w:pPr>
      <w:r w:rsidRPr="00C84483">
        <w:rPr>
          <w:b/>
          <w:sz w:val="24"/>
          <w:szCs w:val="24"/>
        </w:rPr>
        <w:t>4.5</w:t>
      </w:r>
      <w:r w:rsidRPr="00C84483">
        <w:rPr>
          <w:b/>
          <w:sz w:val="24"/>
          <w:szCs w:val="24"/>
        </w:rPr>
        <w:tab/>
      </w:r>
      <w:r>
        <w:rPr>
          <w:b/>
          <w:sz w:val="24"/>
          <w:szCs w:val="24"/>
        </w:rPr>
        <w:t>Interaktion med andre lægemidler og andre former for interaktion</w:t>
      </w:r>
    </w:p>
    <w:p w:rsidR="008F0665" w:rsidRDefault="008F0665" w:rsidP="008F0665">
      <w:pPr>
        <w:ind w:left="851"/>
        <w:rPr>
          <w:sz w:val="24"/>
          <w:szCs w:val="24"/>
          <w:u w:val="single"/>
        </w:rPr>
      </w:pPr>
    </w:p>
    <w:p w:rsidR="00B23262" w:rsidRPr="00C41A3E" w:rsidRDefault="00B23262" w:rsidP="00B23262">
      <w:pPr>
        <w:ind w:left="851"/>
        <w:rPr>
          <w:sz w:val="24"/>
          <w:szCs w:val="24"/>
          <w:u w:val="single"/>
        </w:rPr>
      </w:pPr>
      <w:proofErr w:type="spellStart"/>
      <w:r w:rsidRPr="00C41A3E">
        <w:rPr>
          <w:bCs/>
          <w:sz w:val="24"/>
          <w:szCs w:val="24"/>
          <w:u w:val="single"/>
        </w:rPr>
        <w:t>Cytostatika</w:t>
      </w:r>
      <w:proofErr w:type="spellEnd"/>
      <w:r w:rsidRPr="00C41A3E">
        <w:rPr>
          <w:sz w:val="24"/>
          <w:szCs w:val="24"/>
          <w:u w:val="single"/>
        </w:rPr>
        <w:t xml:space="preserve"> </w:t>
      </w:r>
    </w:p>
    <w:p w:rsidR="00B23262" w:rsidRPr="00C41A3E" w:rsidRDefault="00B23262" w:rsidP="00B23262">
      <w:pPr>
        <w:ind w:left="851"/>
        <w:rPr>
          <w:sz w:val="24"/>
          <w:szCs w:val="24"/>
        </w:rPr>
      </w:pPr>
      <w:proofErr w:type="spellStart"/>
      <w:r w:rsidRPr="00C41A3E">
        <w:rPr>
          <w:bCs/>
          <w:sz w:val="24"/>
          <w:szCs w:val="24"/>
        </w:rPr>
        <w:lastRenderedPageBreak/>
        <w:t>Bloddyskrasier</w:t>
      </w:r>
      <w:proofErr w:type="spellEnd"/>
      <w:r w:rsidRPr="00C41A3E">
        <w:rPr>
          <w:bCs/>
          <w:sz w:val="24"/>
          <w:szCs w:val="24"/>
        </w:rPr>
        <w:t xml:space="preserve"> forekommer hyppigere ved samtidig administration af </w:t>
      </w:r>
      <w:proofErr w:type="spellStart"/>
      <w:r w:rsidRPr="00C41A3E">
        <w:rPr>
          <w:bCs/>
          <w:sz w:val="24"/>
          <w:szCs w:val="24"/>
        </w:rPr>
        <w:t>allopurinol</w:t>
      </w:r>
      <w:proofErr w:type="spellEnd"/>
      <w:r w:rsidRPr="00C41A3E">
        <w:rPr>
          <w:bCs/>
          <w:sz w:val="24"/>
          <w:szCs w:val="24"/>
        </w:rPr>
        <w:t xml:space="preserve"> og </w:t>
      </w:r>
      <w:proofErr w:type="spellStart"/>
      <w:r w:rsidRPr="00C41A3E">
        <w:rPr>
          <w:bCs/>
          <w:sz w:val="24"/>
          <w:szCs w:val="24"/>
        </w:rPr>
        <w:t>cytostatika</w:t>
      </w:r>
      <w:proofErr w:type="spellEnd"/>
      <w:r w:rsidRPr="00C41A3E">
        <w:rPr>
          <w:bCs/>
          <w:sz w:val="24"/>
          <w:szCs w:val="24"/>
        </w:rPr>
        <w:t xml:space="preserve"> (f.eks. </w:t>
      </w:r>
      <w:proofErr w:type="spellStart"/>
      <w:r w:rsidRPr="00C41A3E">
        <w:rPr>
          <w:bCs/>
          <w:sz w:val="24"/>
          <w:szCs w:val="24"/>
        </w:rPr>
        <w:t>cyclophosphamid</w:t>
      </w:r>
      <w:proofErr w:type="spellEnd"/>
      <w:r w:rsidRPr="00C41A3E">
        <w:rPr>
          <w:bCs/>
          <w:sz w:val="24"/>
          <w:szCs w:val="24"/>
        </w:rPr>
        <w:t xml:space="preserve">, </w:t>
      </w:r>
      <w:proofErr w:type="spellStart"/>
      <w:r w:rsidRPr="00C41A3E">
        <w:rPr>
          <w:bCs/>
          <w:sz w:val="24"/>
          <w:szCs w:val="24"/>
        </w:rPr>
        <w:t>doxorubicin</w:t>
      </w:r>
      <w:proofErr w:type="spellEnd"/>
      <w:r w:rsidRPr="00C41A3E">
        <w:rPr>
          <w:bCs/>
          <w:sz w:val="24"/>
          <w:szCs w:val="24"/>
        </w:rPr>
        <w:t xml:space="preserve">, </w:t>
      </w:r>
      <w:proofErr w:type="spellStart"/>
      <w:r w:rsidRPr="00C41A3E">
        <w:rPr>
          <w:bCs/>
          <w:sz w:val="24"/>
          <w:szCs w:val="24"/>
        </w:rPr>
        <w:t>bleomycin</w:t>
      </w:r>
      <w:proofErr w:type="spellEnd"/>
      <w:r w:rsidRPr="00C41A3E">
        <w:rPr>
          <w:bCs/>
          <w:sz w:val="24"/>
          <w:szCs w:val="24"/>
        </w:rPr>
        <w:t xml:space="preserve">, </w:t>
      </w:r>
      <w:proofErr w:type="spellStart"/>
      <w:r w:rsidRPr="00C41A3E">
        <w:rPr>
          <w:bCs/>
          <w:sz w:val="24"/>
          <w:szCs w:val="24"/>
        </w:rPr>
        <w:t>procarbazin</w:t>
      </w:r>
      <w:proofErr w:type="spellEnd"/>
      <w:r w:rsidRPr="00C41A3E">
        <w:rPr>
          <w:bCs/>
          <w:sz w:val="24"/>
          <w:szCs w:val="24"/>
        </w:rPr>
        <w:t xml:space="preserve">, </w:t>
      </w:r>
      <w:proofErr w:type="spellStart"/>
      <w:r w:rsidRPr="00C41A3E">
        <w:rPr>
          <w:bCs/>
          <w:sz w:val="24"/>
          <w:szCs w:val="24"/>
        </w:rPr>
        <w:t>alkylhalogenider</w:t>
      </w:r>
      <w:proofErr w:type="spellEnd"/>
      <w:r w:rsidRPr="00C41A3E">
        <w:rPr>
          <w:bCs/>
          <w:sz w:val="24"/>
          <w:szCs w:val="24"/>
        </w:rPr>
        <w:t xml:space="preserve">), end når disse aktive stoffer administreres alene. </w:t>
      </w:r>
    </w:p>
    <w:p w:rsidR="00B23262" w:rsidRPr="00C41A3E" w:rsidRDefault="00B23262" w:rsidP="00B23262">
      <w:pPr>
        <w:ind w:left="851"/>
        <w:rPr>
          <w:sz w:val="24"/>
          <w:szCs w:val="24"/>
        </w:rPr>
      </w:pPr>
      <w:r w:rsidRPr="00C41A3E">
        <w:rPr>
          <w:bCs/>
          <w:sz w:val="24"/>
          <w:szCs w:val="24"/>
        </w:rPr>
        <w:t xml:space="preserve">Der bør derfor gennemføres regelmæssig kontrol i form af blodtællinger. </w:t>
      </w:r>
    </w:p>
    <w:p w:rsidR="00B23262" w:rsidRPr="00C41A3E" w:rsidRDefault="00B23262" w:rsidP="00B23262">
      <w:pPr>
        <w:ind w:left="851"/>
        <w:rPr>
          <w:i/>
          <w:iCs/>
          <w:sz w:val="24"/>
          <w:szCs w:val="24"/>
          <w:u w:val="single"/>
        </w:rPr>
      </w:pPr>
    </w:p>
    <w:p w:rsidR="00B23262" w:rsidRPr="00C41A3E" w:rsidRDefault="00B23262" w:rsidP="00B23262">
      <w:pPr>
        <w:ind w:left="851"/>
        <w:rPr>
          <w:sz w:val="24"/>
          <w:szCs w:val="24"/>
          <w:u w:val="single"/>
        </w:rPr>
      </w:pPr>
      <w:r w:rsidRPr="00C41A3E">
        <w:rPr>
          <w:bCs/>
          <w:sz w:val="24"/>
          <w:szCs w:val="24"/>
          <w:u w:val="single"/>
        </w:rPr>
        <w:t xml:space="preserve">Aluminiumhydroxid </w:t>
      </w:r>
    </w:p>
    <w:p w:rsidR="00B23262" w:rsidRPr="00C41A3E" w:rsidRDefault="00B23262" w:rsidP="00B23262">
      <w:pPr>
        <w:ind w:left="851"/>
        <w:rPr>
          <w:bCs/>
          <w:sz w:val="24"/>
          <w:szCs w:val="24"/>
        </w:rPr>
      </w:pPr>
      <w:proofErr w:type="spellStart"/>
      <w:r w:rsidRPr="00C41A3E">
        <w:rPr>
          <w:bCs/>
          <w:sz w:val="24"/>
          <w:szCs w:val="24"/>
        </w:rPr>
        <w:t>Allopurinol</w:t>
      </w:r>
      <w:proofErr w:type="spellEnd"/>
      <w:r w:rsidRPr="00C41A3E">
        <w:rPr>
          <w:bCs/>
          <w:sz w:val="24"/>
          <w:szCs w:val="24"/>
        </w:rPr>
        <w:t xml:space="preserve"> kan have nedsat virkning, hvis det tages samtidig med aluminiumhydroxid. Der bør være et mellemrum på mindst 3 timer mellem indtagelse af de to lægemidler.</w:t>
      </w:r>
    </w:p>
    <w:p w:rsidR="00B23262" w:rsidRPr="00C41A3E" w:rsidRDefault="00B23262" w:rsidP="00B23262">
      <w:pPr>
        <w:ind w:left="851"/>
        <w:rPr>
          <w:sz w:val="24"/>
          <w:szCs w:val="24"/>
        </w:rPr>
      </w:pPr>
    </w:p>
    <w:p w:rsidR="005A6BCA" w:rsidRDefault="005A6BCA" w:rsidP="005A6BCA">
      <w:pPr>
        <w:ind w:left="851"/>
        <w:rPr>
          <w:sz w:val="24"/>
          <w:szCs w:val="24"/>
          <w:u w:val="single"/>
        </w:rPr>
      </w:pPr>
      <w:r>
        <w:rPr>
          <w:sz w:val="24"/>
          <w:szCs w:val="24"/>
          <w:u w:val="single"/>
        </w:rPr>
        <w:t xml:space="preserve">6-mercaptopurin og </w:t>
      </w:r>
      <w:proofErr w:type="spellStart"/>
      <w:r>
        <w:rPr>
          <w:sz w:val="24"/>
          <w:szCs w:val="24"/>
          <w:u w:val="single"/>
        </w:rPr>
        <w:t>azathioprin</w:t>
      </w:r>
      <w:proofErr w:type="spellEnd"/>
    </w:p>
    <w:p w:rsidR="005A6BCA" w:rsidRDefault="005A6BCA" w:rsidP="005A6BCA">
      <w:pPr>
        <w:ind w:left="851"/>
        <w:rPr>
          <w:sz w:val="24"/>
          <w:szCs w:val="24"/>
        </w:rPr>
      </w:pPr>
      <w:proofErr w:type="spellStart"/>
      <w:r>
        <w:rPr>
          <w:sz w:val="24"/>
          <w:szCs w:val="24"/>
        </w:rPr>
        <w:t>Azathioprin</w:t>
      </w:r>
      <w:proofErr w:type="spellEnd"/>
      <w:r>
        <w:rPr>
          <w:sz w:val="24"/>
          <w:szCs w:val="24"/>
        </w:rPr>
        <w:t xml:space="preserve"> </w:t>
      </w:r>
      <w:proofErr w:type="spellStart"/>
      <w:r>
        <w:rPr>
          <w:sz w:val="24"/>
          <w:szCs w:val="24"/>
        </w:rPr>
        <w:t>metaboliseres</w:t>
      </w:r>
      <w:proofErr w:type="spellEnd"/>
      <w:r>
        <w:rPr>
          <w:sz w:val="24"/>
          <w:szCs w:val="24"/>
        </w:rPr>
        <w:t xml:space="preserve"> til 6-mercaptopurin, der inaktiveres af virkningen af </w:t>
      </w:r>
      <w:proofErr w:type="spellStart"/>
      <w:r>
        <w:rPr>
          <w:sz w:val="24"/>
          <w:szCs w:val="24"/>
        </w:rPr>
        <w:t>xanthinoxidase</w:t>
      </w:r>
      <w:proofErr w:type="spellEnd"/>
      <w:r>
        <w:rPr>
          <w:sz w:val="24"/>
          <w:szCs w:val="24"/>
        </w:rPr>
        <w:t xml:space="preserve">. Når 6-mercaptopurin eller </w:t>
      </w:r>
      <w:proofErr w:type="spellStart"/>
      <w:r>
        <w:rPr>
          <w:sz w:val="24"/>
          <w:szCs w:val="24"/>
        </w:rPr>
        <w:t>azathioprin</w:t>
      </w:r>
      <w:proofErr w:type="spellEnd"/>
      <w:r>
        <w:rPr>
          <w:sz w:val="24"/>
          <w:szCs w:val="24"/>
        </w:rPr>
        <w:t xml:space="preserve"> gives samtidig med </w:t>
      </w:r>
      <w:proofErr w:type="spellStart"/>
      <w:r>
        <w:rPr>
          <w:sz w:val="24"/>
          <w:szCs w:val="24"/>
        </w:rPr>
        <w:t>allopurinol</w:t>
      </w:r>
      <w:proofErr w:type="spellEnd"/>
      <w:r>
        <w:rPr>
          <w:sz w:val="24"/>
          <w:szCs w:val="24"/>
        </w:rPr>
        <w:t xml:space="preserve">, en </w:t>
      </w:r>
      <w:proofErr w:type="spellStart"/>
      <w:r>
        <w:rPr>
          <w:sz w:val="24"/>
          <w:szCs w:val="24"/>
        </w:rPr>
        <w:t>xanthinoxidasehæmmer</w:t>
      </w:r>
      <w:proofErr w:type="spellEnd"/>
      <w:r>
        <w:rPr>
          <w:sz w:val="24"/>
          <w:szCs w:val="24"/>
        </w:rPr>
        <w:t xml:space="preserve">, bliver deres virkning forlænget som følge af hæmningen af xanthinoxidase. Serumkoncentrationen af 6-mercaptopurin eller </w:t>
      </w:r>
      <w:proofErr w:type="spellStart"/>
      <w:r>
        <w:rPr>
          <w:sz w:val="24"/>
          <w:szCs w:val="24"/>
        </w:rPr>
        <w:t>azathioprin</w:t>
      </w:r>
      <w:proofErr w:type="spellEnd"/>
      <w:r>
        <w:rPr>
          <w:sz w:val="24"/>
          <w:szCs w:val="24"/>
        </w:rPr>
        <w:t xml:space="preserve"> kan nå toksiske niveauer med deraf følgende livstruende </w:t>
      </w:r>
      <w:proofErr w:type="spellStart"/>
      <w:r>
        <w:rPr>
          <w:sz w:val="24"/>
          <w:szCs w:val="24"/>
        </w:rPr>
        <w:t>pancytopeni</w:t>
      </w:r>
      <w:proofErr w:type="spellEnd"/>
      <w:r>
        <w:rPr>
          <w:sz w:val="24"/>
          <w:szCs w:val="24"/>
        </w:rPr>
        <w:t xml:space="preserve"> og </w:t>
      </w:r>
      <w:proofErr w:type="spellStart"/>
      <w:r>
        <w:rPr>
          <w:sz w:val="24"/>
          <w:szCs w:val="24"/>
        </w:rPr>
        <w:t>myelosuppression</w:t>
      </w:r>
      <w:proofErr w:type="spellEnd"/>
      <w:r>
        <w:rPr>
          <w:sz w:val="24"/>
          <w:szCs w:val="24"/>
        </w:rPr>
        <w:t xml:space="preserve">, når disse lægemidler gives sammen med </w:t>
      </w:r>
      <w:proofErr w:type="spellStart"/>
      <w:r>
        <w:rPr>
          <w:sz w:val="24"/>
          <w:szCs w:val="24"/>
        </w:rPr>
        <w:t>allopurinol</w:t>
      </w:r>
      <w:proofErr w:type="spellEnd"/>
      <w:r>
        <w:rPr>
          <w:sz w:val="24"/>
          <w:szCs w:val="24"/>
        </w:rPr>
        <w:t xml:space="preserve">. Derfor bør samtidig brug af </w:t>
      </w:r>
      <w:proofErr w:type="spellStart"/>
      <w:r>
        <w:rPr>
          <w:sz w:val="24"/>
          <w:szCs w:val="24"/>
        </w:rPr>
        <w:t>allopurinol</w:t>
      </w:r>
      <w:proofErr w:type="spellEnd"/>
      <w:r>
        <w:rPr>
          <w:sz w:val="24"/>
          <w:szCs w:val="24"/>
        </w:rPr>
        <w:t xml:space="preserve"> og 6-mercaptopurin eller </w:t>
      </w:r>
      <w:proofErr w:type="spellStart"/>
      <w:r>
        <w:rPr>
          <w:sz w:val="24"/>
          <w:szCs w:val="24"/>
        </w:rPr>
        <w:t>azathioprin</w:t>
      </w:r>
      <w:proofErr w:type="spellEnd"/>
      <w:r>
        <w:rPr>
          <w:sz w:val="24"/>
          <w:szCs w:val="24"/>
        </w:rPr>
        <w:t xml:space="preserve"> undgås. Hvis samtidig administration af 6-mercaptopurin eller </w:t>
      </w:r>
      <w:proofErr w:type="spellStart"/>
      <w:r>
        <w:rPr>
          <w:sz w:val="24"/>
          <w:szCs w:val="24"/>
        </w:rPr>
        <w:t>azathioprin</w:t>
      </w:r>
      <w:proofErr w:type="spellEnd"/>
      <w:r>
        <w:rPr>
          <w:sz w:val="24"/>
          <w:szCs w:val="24"/>
        </w:rPr>
        <w:t xml:space="preserve"> er klinisk nødvendigt, skal doseringen af 6-mercaptopurin eller </w:t>
      </w:r>
      <w:proofErr w:type="spellStart"/>
      <w:r>
        <w:rPr>
          <w:sz w:val="24"/>
          <w:szCs w:val="24"/>
        </w:rPr>
        <w:t>azathioprin</w:t>
      </w:r>
      <w:proofErr w:type="spellEnd"/>
      <w:r>
        <w:rPr>
          <w:sz w:val="24"/>
          <w:szCs w:val="24"/>
        </w:rPr>
        <w:t xml:space="preserve"> reduceres til en fjerdedel (25 %) af den sædvanlige dosis, og hyppig hæmatologisk monitorering skal tilsikres (se pkt. 4.4).</w:t>
      </w:r>
    </w:p>
    <w:p w:rsidR="005A6BCA" w:rsidRDefault="005A6BCA" w:rsidP="005A6BCA">
      <w:pPr>
        <w:ind w:left="851"/>
        <w:rPr>
          <w:sz w:val="24"/>
          <w:szCs w:val="24"/>
        </w:rPr>
      </w:pPr>
    </w:p>
    <w:p w:rsidR="005A6BCA" w:rsidRDefault="005A6BCA" w:rsidP="005A6BCA">
      <w:pPr>
        <w:ind w:left="851"/>
        <w:rPr>
          <w:sz w:val="24"/>
          <w:szCs w:val="24"/>
        </w:rPr>
      </w:pPr>
      <w:r>
        <w:rPr>
          <w:sz w:val="24"/>
          <w:szCs w:val="24"/>
        </w:rPr>
        <w:t>Patienter skal rådes til at indberette ethvert tegn eller symptom på knoglemarvssuppression (uforklarlige blå mærker eller blødning, ondt i halsen, feber).</w:t>
      </w:r>
    </w:p>
    <w:p w:rsidR="005A6BCA" w:rsidRDefault="005A6BCA" w:rsidP="00B23262">
      <w:pPr>
        <w:ind w:left="851"/>
        <w:rPr>
          <w:sz w:val="24"/>
          <w:szCs w:val="24"/>
          <w:u w:val="single"/>
        </w:rPr>
      </w:pPr>
    </w:p>
    <w:p w:rsidR="00B23262" w:rsidRPr="00C41A3E" w:rsidRDefault="00B23262" w:rsidP="00B23262">
      <w:pPr>
        <w:ind w:left="851"/>
        <w:rPr>
          <w:sz w:val="24"/>
          <w:szCs w:val="24"/>
          <w:u w:val="single"/>
        </w:rPr>
      </w:pPr>
      <w:proofErr w:type="spellStart"/>
      <w:r w:rsidRPr="00C41A3E">
        <w:rPr>
          <w:sz w:val="24"/>
          <w:szCs w:val="24"/>
          <w:u w:val="single"/>
        </w:rPr>
        <w:t>Vidarabin</w:t>
      </w:r>
      <w:proofErr w:type="spellEnd"/>
      <w:r w:rsidRPr="00C41A3E">
        <w:rPr>
          <w:sz w:val="24"/>
          <w:szCs w:val="24"/>
          <w:u w:val="single"/>
        </w:rPr>
        <w:t xml:space="preserve"> (</w:t>
      </w:r>
      <w:proofErr w:type="spellStart"/>
      <w:r w:rsidRPr="00C41A3E">
        <w:rPr>
          <w:sz w:val="24"/>
          <w:szCs w:val="24"/>
          <w:u w:val="single"/>
        </w:rPr>
        <w:t>adeninarabinosid</w:t>
      </w:r>
      <w:proofErr w:type="spellEnd"/>
      <w:r w:rsidRPr="00C41A3E">
        <w:rPr>
          <w:sz w:val="24"/>
          <w:szCs w:val="24"/>
          <w:u w:val="single"/>
        </w:rPr>
        <w:t>)</w:t>
      </w:r>
    </w:p>
    <w:p w:rsidR="00B23262" w:rsidRPr="00C41A3E" w:rsidRDefault="00B23262" w:rsidP="00B23262">
      <w:pPr>
        <w:ind w:left="851"/>
        <w:rPr>
          <w:sz w:val="24"/>
          <w:szCs w:val="24"/>
        </w:rPr>
      </w:pPr>
      <w:r w:rsidRPr="00C41A3E">
        <w:rPr>
          <w:sz w:val="24"/>
          <w:szCs w:val="24"/>
        </w:rPr>
        <w:t xml:space="preserve">Der er evidens, der tyder på, at </w:t>
      </w:r>
      <w:proofErr w:type="spellStart"/>
      <w:r w:rsidRPr="00C41A3E">
        <w:rPr>
          <w:sz w:val="24"/>
          <w:szCs w:val="24"/>
        </w:rPr>
        <w:t>vidarabins</w:t>
      </w:r>
      <w:proofErr w:type="spellEnd"/>
      <w:r w:rsidRPr="00C41A3E">
        <w:rPr>
          <w:sz w:val="24"/>
          <w:szCs w:val="24"/>
        </w:rPr>
        <w:t xml:space="preserve"> halveringstid i plasma øges ved tilstedeværelse af </w:t>
      </w:r>
      <w:proofErr w:type="spellStart"/>
      <w:r w:rsidRPr="00C41A3E">
        <w:rPr>
          <w:sz w:val="24"/>
          <w:szCs w:val="24"/>
        </w:rPr>
        <w:t>allopurinol</w:t>
      </w:r>
      <w:proofErr w:type="spellEnd"/>
      <w:r w:rsidRPr="00C41A3E">
        <w:rPr>
          <w:sz w:val="24"/>
          <w:szCs w:val="24"/>
        </w:rPr>
        <w:t>. Når de to lægemidler anvendes samtidig, skal der udvises ekstra opmærksomhed på forstærkede toksiske virkninger.</w:t>
      </w:r>
    </w:p>
    <w:p w:rsidR="00B23262" w:rsidRPr="00C41A3E" w:rsidRDefault="00B23262" w:rsidP="00B23262">
      <w:pPr>
        <w:ind w:left="851"/>
        <w:rPr>
          <w:sz w:val="24"/>
          <w:szCs w:val="24"/>
        </w:rPr>
      </w:pPr>
    </w:p>
    <w:p w:rsidR="00B23262" w:rsidRPr="00C41A3E" w:rsidRDefault="00B23262" w:rsidP="00B23262">
      <w:pPr>
        <w:ind w:left="851"/>
        <w:rPr>
          <w:sz w:val="24"/>
          <w:szCs w:val="24"/>
          <w:u w:val="single"/>
        </w:rPr>
      </w:pPr>
      <w:proofErr w:type="spellStart"/>
      <w:r w:rsidRPr="00C41A3E">
        <w:rPr>
          <w:sz w:val="24"/>
          <w:szCs w:val="24"/>
          <w:u w:val="single"/>
        </w:rPr>
        <w:t>Salicylater</w:t>
      </w:r>
      <w:proofErr w:type="spellEnd"/>
      <w:r w:rsidRPr="00C41A3E">
        <w:rPr>
          <w:sz w:val="24"/>
          <w:szCs w:val="24"/>
          <w:u w:val="single"/>
        </w:rPr>
        <w:t xml:space="preserve"> og </w:t>
      </w:r>
      <w:proofErr w:type="spellStart"/>
      <w:r w:rsidRPr="00C41A3E">
        <w:rPr>
          <w:sz w:val="24"/>
          <w:szCs w:val="24"/>
          <w:u w:val="single"/>
        </w:rPr>
        <w:t>urikosurika</w:t>
      </w:r>
      <w:proofErr w:type="spellEnd"/>
    </w:p>
    <w:p w:rsidR="00B23262" w:rsidRPr="00C41A3E" w:rsidRDefault="00B23262" w:rsidP="00B23262">
      <w:pPr>
        <w:ind w:left="851"/>
        <w:rPr>
          <w:sz w:val="24"/>
          <w:szCs w:val="24"/>
        </w:rPr>
      </w:pPr>
      <w:proofErr w:type="spellStart"/>
      <w:r w:rsidRPr="00C41A3E">
        <w:rPr>
          <w:sz w:val="24"/>
          <w:szCs w:val="24"/>
        </w:rPr>
        <w:t>Oxipurinol</w:t>
      </w:r>
      <w:proofErr w:type="spellEnd"/>
      <w:r w:rsidRPr="00C41A3E">
        <w:rPr>
          <w:sz w:val="24"/>
          <w:szCs w:val="24"/>
        </w:rPr>
        <w:t xml:space="preserve">, som er den primære metabolit af </w:t>
      </w:r>
      <w:proofErr w:type="spellStart"/>
      <w:r w:rsidRPr="00C41A3E">
        <w:rPr>
          <w:sz w:val="24"/>
          <w:szCs w:val="24"/>
        </w:rPr>
        <w:t>allopurinol</w:t>
      </w:r>
      <w:proofErr w:type="spellEnd"/>
      <w:r w:rsidRPr="00C41A3E">
        <w:rPr>
          <w:sz w:val="24"/>
          <w:szCs w:val="24"/>
        </w:rPr>
        <w:t xml:space="preserve">, og som i sig selv er terapeutisk aktiv, udskilles via nyrerne på samme måde som urat. Derfor kan lægemidler med </w:t>
      </w:r>
      <w:proofErr w:type="spellStart"/>
      <w:r w:rsidRPr="00C41A3E">
        <w:rPr>
          <w:sz w:val="24"/>
          <w:szCs w:val="24"/>
        </w:rPr>
        <w:t>urikosurisk</w:t>
      </w:r>
      <w:proofErr w:type="spellEnd"/>
      <w:r w:rsidRPr="00C41A3E">
        <w:rPr>
          <w:sz w:val="24"/>
          <w:szCs w:val="24"/>
        </w:rPr>
        <w:t xml:space="preserve"> aktivitet, såsom </w:t>
      </w:r>
      <w:proofErr w:type="spellStart"/>
      <w:r w:rsidRPr="00C41A3E">
        <w:rPr>
          <w:sz w:val="24"/>
          <w:szCs w:val="24"/>
        </w:rPr>
        <w:t>probenecid</w:t>
      </w:r>
      <w:proofErr w:type="spellEnd"/>
      <w:r w:rsidRPr="00C41A3E">
        <w:rPr>
          <w:sz w:val="24"/>
          <w:szCs w:val="24"/>
        </w:rPr>
        <w:t xml:space="preserve"> eller store </w:t>
      </w:r>
      <w:proofErr w:type="spellStart"/>
      <w:r w:rsidRPr="00C41A3E">
        <w:rPr>
          <w:sz w:val="24"/>
          <w:szCs w:val="24"/>
        </w:rPr>
        <w:t>salicylatdoser</w:t>
      </w:r>
      <w:proofErr w:type="spellEnd"/>
      <w:r w:rsidRPr="00C41A3E">
        <w:rPr>
          <w:sz w:val="24"/>
          <w:szCs w:val="24"/>
        </w:rPr>
        <w:t xml:space="preserve">, medvirke til, at </w:t>
      </w:r>
      <w:proofErr w:type="spellStart"/>
      <w:r w:rsidRPr="00C41A3E">
        <w:rPr>
          <w:sz w:val="24"/>
          <w:szCs w:val="24"/>
        </w:rPr>
        <w:t>oxipurinol</w:t>
      </w:r>
      <w:proofErr w:type="spellEnd"/>
      <w:r w:rsidRPr="00C41A3E">
        <w:rPr>
          <w:sz w:val="24"/>
          <w:szCs w:val="24"/>
        </w:rPr>
        <w:t xml:space="preserve"> udskilles hurtigere. Dette kan føre til nedsat terapeutisk virkning af </w:t>
      </w:r>
      <w:proofErr w:type="spellStart"/>
      <w:r w:rsidRPr="00C41A3E">
        <w:rPr>
          <w:sz w:val="24"/>
          <w:szCs w:val="24"/>
        </w:rPr>
        <w:t>allopurinol</w:t>
      </w:r>
      <w:proofErr w:type="spellEnd"/>
      <w:r w:rsidRPr="00C41A3E">
        <w:rPr>
          <w:sz w:val="24"/>
          <w:szCs w:val="24"/>
        </w:rPr>
        <w:t>, men relevansen heraf må vurderes i hvert enkelt tilfælde.</w:t>
      </w:r>
    </w:p>
    <w:p w:rsidR="00B23262" w:rsidRPr="00C41A3E" w:rsidRDefault="00B23262" w:rsidP="00B23262">
      <w:pPr>
        <w:ind w:left="851"/>
        <w:rPr>
          <w:sz w:val="24"/>
          <w:szCs w:val="24"/>
        </w:rPr>
      </w:pPr>
    </w:p>
    <w:p w:rsidR="00B23262" w:rsidRPr="00C41A3E" w:rsidRDefault="00B23262" w:rsidP="00B23262">
      <w:pPr>
        <w:ind w:left="851"/>
        <w:rPr>
          <w:sz w:val="24"/>
          <w:szCs w:val="24"/>
          <w:u w:val="single"/>
        </w:rPr>
      </w:pPr>
      <w:proofErr w:type="spellStart"/>
      <w:r w:rsidRPr="00C41A3E">
        <w:rPr>
          <w:sz w:val="24"/>
          <w:szCs w:val="24"/>
          <w:u w:val="single"/>
        </w:rPr>
        <w:t>Chlorpropamid</w:t>
      </w:r>
      <w:proofErr w:type="spellEnd"/>
    </w:p>
    <w:p w:rsidR="00B23262" w:rsidRPr="00C41A3E" w:rsidRDefault="00B23262" w:rsidP="00B23262">
      <w:pPr>
        <w:ind w:left="851"/>
        <w:rPr>
          <w:sz w:val="24"/>
          <w:szCs w:val="24"/>
        </w:rPr>
      </w:pPr>
      <w:r w:rsidRPr="00C41A3E">
        <w:rPr>
          <w:sz w:val="24"/>
          <w:szCs w:val="24"/>
        </w:rPr>
        <w:t xml:space="preserve">Hvis </w:t>
      </w:r>
      <w:proofErr w:type="spellStart"/>
      <w:r w:rsidRPr="00C41A3E">
        <w:rPr>
          <w:sz w:val="24"/>
          <w:szCs w:val="24"/>
        </w:rPr>
        <w:t>allopurinol</w:t>
      </w:r>
      <w:proofErr w:type="spellEnd"/>
      <w:r w:rsidRPr="00C41A3E">
        <w:rPr>
          <w:sz w:val="24"/>
          <w:szCs w:val="24"/>
        </w:rPr>
        <w:t xml:space="preserve"> gives samtidig med </w:t>
      </w:r>
      <w:proofErr w:type="spellStart"/>
      <w:r w:rsidRPr="00C41A3E">
        <w:rPr>
          <w:sz w:val="24"/>
          <w:szCs w:val="24"/>
        </w:rPr>
        <w:t>chlorpropamid</w:t>
      </w:r>
      <w:proofErr w:type="spellEnd"/>
      <w:r w:rsidRPr="00C41A3E">
        <w:rPr>
          <w:sz w:val="24"/>
          <w:szCs w:val="24"/>
        </w:rPr>
        <w:t xml:space="preserve"> hos patienter med ringe nyrefunktion, kan der være en øget risiko for forlænget </w:t>
      </w:r>
      <w:proofErr w:type="spellStart"/>
      <w:r w:rsidRPr="00C41A3E">
        <w:rPr>
          <w:sz w:val="24"/>
          <w:szCs w:val="24"/>
        </w:rPr>
        <w:t>hypoglykæmisk</w:t>
      </w:r>
      <w:proofErr w:type="spellEnd"/>
      <w:r w:rsidRPr="00C41A3E">
        <w:rPr>
          <w:sz w:val="24"/>
          <w:szCs w:val="24"/>
        </w:rPr>
        <w:t xml:space="preserve"> virkning, fordi </w:t>
      </w:r>
      <w:proofErr w:type="spellStart"/>
      <w:r w:rsidRPr="00C41A3E">
        <w:rPr>
          <w:sz w:val="24"/>
          <w:szCs w:val="24"/>
        </w:rPr>
        <w:t>allopurinol</w:t>
      </w:r>
      <w:proofErr w:type="spellEnd"/>
      <w:r w:rsidRPr="00C41A3E">
        <w:rPr>
          <w:sz w:val="24"/>
          <w:szCs w:val="24"/>
        </w:rPr>
        <w:t xml:space="preserve"> og </w:t>
      </w:r>
      <w:proofErr w:type="spellStart"/>
      <w:r w:rsidRPr="00C41A3E">
        <w:rPr>
          <w:sz w:val="24"/>
          <w:szCs w:val="24"/>
        </w:rPr>
        <w:t>chlorpropamid</w:t>
      </w:r>
      <w:proofErr w:type="spellEnd"/>
      <w:r w:rsidRPr="00C41A3E">
        <w:rPr>
          <w:sz w:val="24"/>
          <w:szCs w:val="24"/>
        </w:rPr>
        <w:t xml:space="preserve"> kan konkurrere om udskillelsen i </w:t>
      </w:r>
      <w:proofErr w:type="spellStart"/>
      <w:r w:rsidRPr="00C41A3E">
        <w:rPr>
          <w:sz w:val="24"/>
          <w:szCs w:val="24"/>
        </w:rPr>
        <w:t>nyretubuli</w:t>
      </w:r>
      <w:proofErr w:type="spellEnd"/>
      <w:r w:rsidRPr="00C41A3E">
        <w:rPr>
          <w:sz w:val="24"/>
          <w:szCs w:val="24"/>
        </w:rPr>
        <w:t>.</w:t>
      </w:r>
    </w:p>
    <w:p w:rsidR="00B23262" w:rsidRPr="00C41A3E" w:rsidRDefault="00B23262" w:rsidP="00B23262">
      <w:pPr>
        <w:ind w:left="851"/>
        <w:rPr>
          <w:sz w:val="24"/>
          <w:szCs w:val="24"/>
        </w:rPr>
      </w:pPr>
    </w:p>
    <w:p w:rsidR="00B23262" w:rsidRPr="00C41A3E" w:rsidRDefault="00B23262" w:rsidP="00B23262">
      <w:pPr>
        <w:ind w:left="851"/>
        <w:rPr>
          <w:sz w:val="24"/>
          <w:szCs w:val="24"/>
          <w:u w:val="single"/>
        </w:rPr>
      </w:pPr>
      <w:proofErr w:type="spellStart"/>
      <w:r w:rsidRPr="00C41A3E">
        <w:rPr>
          <w:sz w:val="24"/>
          <w:szCs w:val="24"/>
          <w:u w:val="single"/>
        </w:rPr>
        <w:t>Antikoagulantia</w:t>
      </w:r>
      <w:proofErr w:type="spellEnd"/>
      <w:r w:rsidRPr="00C41A3E">
        <w:rPr>
          <w:sz w:val="24"/>
          <w:szCs w:val="24"/>
          <w:u w:val="single"/>
        </w:rPr>
        <w:t xml:space="preserve"> af </w:t>
      </w:r>
      <w:proofErr w:type="spellStart"/>
      <w:r w:rsidRPr="00C41A3E">
        <w:rPr>
          <w:sz w:val="24"/>
          <w:szCs w:val="24"/>
          <w:u w:val="single"/>
        </w:rPr>
        <w:t>coumarintypen</w:t>
      </w:r>
      <w:proofErr w:type="spellEnd"/>
    </w:p>
    <w:p w:rsidR="00B23262" w:rsidRPr="00C41A3E" w:rsidRDefault="00B23262" w:rsidP="00B23262">
      <w:pPr>
        <w:ind w:left="851"/>
        <w:rPr>
          <w:sz w:val="24"/>
          <w:szCs w:val="24"/>
        </w:rPr>
      </w:pPr>
      <w:r w:rsidRPr="00C41A3E">
        <w:rPr>
          <w:sz w:val="24"/>
          <w:szCs w:val="24"/>
        </w:rPr>
        <w:t xml:space="preserve">Der er i sjældne tilfælde rapporteret om øget virkning af </w:t>
      </w:r>
      <w:proofErr w:type="spellStart"/>
      <w:r w:rsidRPr="00C41A3E">
        <w:rPr>
          <w:sz w:val="24"/>
          <w:szCs w:val="24"/>
        </w:rPr>
        <w:t>warfarin</w:t>
      </w:r>
      <w:proofErr w:type="spellEnd"/>
      <w:r w:rsidRPr="00C41A3E">
        <w:rPr>
          <w:sz w:val="24"/>
          <w:szCs w:val="24"/>
        </w:rPr>
        <w:t xml:space="preserve"> og andre </w:t>
      </w:r>
      <w:proofErr w:type="spellStart"/>
      <w:r w:rsidRPr="00C41A3E">
        <w:rPr>
          <w:sz w:val="24"/>
          <w:szCs w:val="24"/>
        </w:rPr>
        <w:t>antikoagulantia</w:t>
      </w:r>
      <w:proofErr w:type="spellEnd"/>
      <w:r w:rsidRPr="00C41A3E">
        <w:rPr>
          <w:sz w:val="24"/>
          <w:szCs w:val="24"/>
        </w:rPr>
        <w:t xml:space="preserve"> af </w:t>
      </w:r>
      <w:proofErr w:type="spellStart"/>
      <w:r w:rsidRPr="00C41A3E">
        <w:rPr>
          <w:sz w:val="24"/>
          <w:szCs w:val="24"/>
        </w:rPr>
        <w:t>coumarintypen</w:t>
      </w:r>
      <w:proofErr w:type="spellEnd"/>
      <w:r w:rsidRPr="00C41A3E">
        <w:rPr>
          <w:sz w:val="24"/>
          <w:szCs w:val="24"/>
        </w:rPr>
        <w:t xml:space="preserve"> ved samtidig administration af </w:t>
      </w:r>
      <w:proofErr w:type="spellStart"/>
      <w:r w:rsidRPr="00C41A3E">
        <w:rPr>
          <w:sz w:val="24"/>
          <w:szCs w:val="24"/>
        </w:rPr>
        <w:t>allopurinol</w:t>
      </w:r>
      <w:proofErr w:type="spellEnd"/>
      <w:r w:rsidRPr="00C41A3E">
        <w:rPr>
          <w:sz w:val="24"/>
          <w:szCs w:val="24"/>
        </w:rPr>
        <w:t xml:space="preserve">. Derfor skal alle patienter, der får </w:t>
      </w:r>
      <w:proofErr w:type="spellStart"/>
      <w:r w:rsidRPr="00C41A3E">
        <w:rPr>
          <w:sz w:val="24"/>
          <w:szCs w:val="24"/>
        </w:rPr>
        <w:t>antikoagulantia</w:t>
      </w:r>
      <w:proofErr w:type="spellEnd"/>
      <w:r w:rsidRPr="00C41A3E">
        <w:rPr>
          <w:sz w:val="24"/>
          <w:szCs w:val="24"/>
        </w:rPr>
        <w:t>, monitoreres nøje.</w:t>
      </w:r>
    </w:p>
    <w:p w:rsidR="00B23262" w:rsidRPr="00C41A3E" w:rsidRDefault="00B23262" w:rsidP="00B23262">
      <w:pPr>
        <w:ind w:left="851"/>
        <w:rPr>
          <w:sz w:val="24"/>
          <w:szCs w:val="24"/>
        </w:rPr>
      </w:pPr>
    </w:p>
    <w:p w:rsidR="00B23262" w:rsidRPr="00C41A3E" w:rsidRDefault="00B23262" w:rsidP="00B23262">
      <w:pPr>
        <w:ind w:left="851"/>
        <w:rPr>
          <w:sz w:val="24"/>
          <w:szCs w:val="24"/>
          <w:u w:val="single"/>
        </w:rPr>
      </w:pPr>
      <w:proofErr w:type="spellStart"/>
      <w:r w:rsidRPr="00C41A3E">
        <w:rPr>
          <w:sz w:val="24"/>
          <w:szCs w:val="24"/>
          <w:u w:val="single"/>
        </w:rPr>
        <w:t>Phenytoin</w:t>
      </w:r>
      <w:proofErr w:type="spellEnd"/>
    </w:p>
    <w:p w:rsidR="00B23262" w:rsidRPr="00C41A3E" w:rsidRDefault="00B23262" w:rsidP="00B23262">
      <w:pPr>
        <w:ind w:left="851"/>
        <w:rPr>
          <w:sz w:val="24"/>
          <w:szCs w:val="24"/>
        </w:rPr>
      </w:pPr>
      <w:proofErr w:type="spellStart"/>
      <w:r w:rsidRPr="00C41A3E">
        <w:rPr>
          <w:sz w:val="24"/>
          <w:szCs w:val="24"/>
        </w:rPr>
        <w:t>Allopurinol</w:t>
      </w:r>
      <w:proofErr w:type="spellEnd"/>
      <w:r w:rsidRPr="00C41A3E">
        <w:rPr>
          <w:sz w:val="24"/>
          <w:szCs w:val="24"/>
        </w:rPr>
        <w:t xml:space="preserve"> kan hæmme den </w:t>
      </w:r>
      <w:proofErr w:type="spellStart"/>
      <w:r w:rsidRPr="00C41A3E">
        <w:rPr>
          <w:sz w:val="24"/>
          <w:szCs w:val="24"/>
        </w:rPr>
        <w:t>hepatiske</w:t>
      </w:r>
      <w:proofErr w:type="spellEnd"/>
      <w:r w:rsidRPr="00C41A3E">
        <w:rPr>
          <w:sz w:val="24"/>
          <w:szCs w:val="24"/>
        </w:rPr>
        <w:t xml:space="preserve"> oxidering af </w:t>
      </w:r>
      <w:proofErr w:type="spellStart"/>
      <w:r w:rsidRPr="00C41A3E">
        <w:rPr>
          <w:sz w:val="24"/>
          <w:szCs w:val="24"/>
        </w:rPr>
        <w:t>phenytoin</w:t>
      </w:r>
      <w:proofErr w:type="spellEnd"/>
      <w:r w:rsidRPr="00C41A3E">
        <w:rPr>
          <w:sz w:val="24"/>
          <w:szCs w:val="24"/>
        </w:rPr>
        <w:t>, men den kliniske betydning er ikke klarlagt.</w:t>
      </w:r>
    </w:p>
    <w:p w:rsidR="00B23262" w:rsidRPr="00C41A3E" w:rsidRDefault="00B23262" w:rsidP="00B23262">
      <w:pPr>
        <w:ind w:left="851"/>
        <w:rPr>
          <w:sz w:val="24"/>
          <w:szCs w:val="24"/>
        </w:rPr>
      </w:pPr>
    </w:p>
    <w:p w:rsidR="00B23262" w:rsidRPr="00C41A3E" w:rsidRDefault="00B23262" w:rsidP="00B23262">
      <w:pPr>
        <w:ind w:left="851"/>
        <w:rPr>
          <w:sz w:val="24"/>
          <w:szCs w:val="24"/>
          <w:u w:val="single"/>
        </w:rPr>
      </w:pPr>
      <w:proofErr w:type="spellStart"/>
      <w:r w:rsidRPr="00C41A3E">
        <w:rPr>
          <w:sz w:val="24"/>
          <w:szCs w:val="24"/>
          <w:u w:val="single"/>
        </w:rPr>
        <w:t>Theophyllin</w:t>
      </w:r>
      <w:proofErr w:type="spellEnd"/>
    </w:p>
    <w:p w:rsidR="00B23262" w:rsidRPr="00C41A3E" w:rsidRDefault="00B23262" w:rsidP="00B23262">
      <w:pPr>
        <w:ind w:left="851"/>
        <w:rPr>
          <w:sz w:val="24"/>
          <w:szCs w:val="24"/>
        </w:rPr>
      </w:pPr>
      <w:r w:rsidRPr="00C41A3E">
        <w:rPr>
          <w:sz w:val="24"/>
          <w:szCs w:val="24"/>
        </w:rPr>
        <w:lastRenderedPageBreak/>
        <w:t xml:space="preserve">Der er rapporteret om hæmning af metabolismen af </w:t>
      </w:r>
      <w:proofErr w:type="spellStart"/>
      <w:r w:rsidRPr="00C41A3E">
        <w:rPr>
          <w:sz w:val="24"/>
          <w:szCs w:val="24"/>
        </w:rPr>
        <w:t>theophyllin</w:t>
      </w:r>
      <w:proofErr w:type="spellEnd"/>
      <w:r w:rsidRPr="00C41A3E">
        <w:rPr>
          <w:sz w:val="24"/>
          <w:szCs w:val="24"/>
        </w:rPr>
        <w:t xml:space="preserve">. Mekanismen bag denne interaktion kan skyldes, at </w:t>
      </w:r>
      <w:proofErr w:type="spellStart"/>
      <w:r w:rsidRPr="00C41A3E">
        <w:rPr>
          <w:sz w:val="24"/>
          <w:szCs w:val="24"/>
        </w:rPr>
        <w:t>xanthinoxidase</w:t>
      </w:r>
      <w:proofErr w:type="spellEnd"/>
      <w:r w:rsidRPr="00C41A3E">
        <w:rPr>
          <w:sz w:val="24"/>
          <w:szCs w:val="24"/>
        </w:rPr>
        <w:t xml:space="preserve"> er involveret i biotransformationen af </w:t>
      </w:r>
      <w:proofErr w:type="spellStart"/>
      <w:r w:rsidRPr="00C41A3E">
        <w:rPr>
          <w:sz w:val="24"/>
          <w:szCs w:val="24"/>
        </w:rPr>
        <w:t>theophyllin</w:t>
      </w:r>
      <w:proofErr w:type="spellEnd"/>
      <w:r w:rsidRPr="00C41A3E">
        <w:rPr>
          <w:sz w:val="24"/>
          <w:szCs w:val="24"/>
        </w:rPr>
        <w:t xml:space="preserve"> hos mennesker. </w:t>
      </w:r>
      <w:proofErr w:type="spellStart"/>
      <w:r w:rsidRPr="00C41A3E">
        <w:rPr>
          <w:sz w:val="24"/>
          <w:szCs w:val="24"/>
        </w:rPr>
        <w:t>Theophyllinniveauerne</w:t>
      </w:r>
      <w:proofErr w:type="spellEnd"/>
      <w:r w:rsidRPr="00C41A3E">
        <w:rPr>
          <w:sz w:val="24"/>
          <w:szCs w:val="24"/>
        </w:rPr>
        <w:t xml:space="preserve"> bør monitoreres i starten af behandlingen med </w:t>
      </w:r>
      <w:proofErr w:type="spellStart"/>
      <w:r w:rsidRPr="00C41A3E">
        <w:rPr>
          <w:sz w:val="24"/>
          <w:szCs w:val="24"/>
        </w:rPr>
        <w:t>allopurinol</w:t>
      </w:r>
      <w:proofErr w:type="spellEnd"/>
      <w:r w:rsidRPr="00C41A3E">
        <w:rPr>
          <w:sz w:val="24"/>
          <w:szCs w:val="24"/>
        </w:rPr>
        <w:t xml:space="preserve"> og i forbindelse med dosisøgninger.</w:t>
      </w:r>
    </w:p>
    <w:p w:rsidR="00B23262" w:rsidRPr="00C41A3E" w:rsidRDefault="00B23262" w:rsidP="00B23262">
      <w:pPr>
        <w:ind w:left="851"/>
        <w:rPr>
          <w:sz w:val="24"/>
          <w:szCs w:val="24"/>
        </w:rPr>
      </w:pPr>
    </w:p>
    <w:p w:rsidR="00B23262" w:rsidRPr="00C41A3E" w:rsidRDefault="00B23262" w:rsidP="00B23262">
      <w:pPr>
        <w:ind w:left="851"/>
        <w:rPr>
          <w:sz w:val="24"/>
          <w:szCs w:val="24"/>
          <w:u w:val="single"/>
        </w:rPr>
      </w:pPr>
      <w:proofErr w:type="spellStart"/>
      <w:r w:rsidRPr="00C41A3E">
        <w:rPr>
          <w:sz w:val="24"/>
          <w:szCs w:val="24"/>
          <w:u w:val="single"/>
        </w:rPr>
        <w:t>Ampicillin</w:t>
      </w:r>
      <w:proofErr w:type="spellEnd"/>
      <w:r w:rsidRPr="00C41A3E">
        <w:rPr>
          <w:sz w:val="24"/>
          <w:szCs w:val="24"/>
          <w:u w:val="single"/>
        </w:rPr>
        <w:t>/</w:t>
      </w:r>
      <w:proofErr w:type="spellStart"/>
      <w:r w:rsidRPr="00C41A3E">
        <w:rPr>
          <w:sz w:val="24"/>
          <w:szCs w:val="24"/>
          <w:u w:val="single"/>
        </w:rPr>
        <w:t>amoxicillin</w:t>
      </w:r>
      <w:proofErr w:type="spellEnd"/>
    </w:p>
    <w:p w:rsidR="00B23262" w:rsidRPr="00C41A3E" w:rsidRDefault="00B23262" w:rsidP="00B23262">
      <w:pPr>
        <w:ind w:left="851"/>
        <w:rPr>
          <w:sz w:val="24"/>
          <w:szCs w:val="24"/>
        </w:rPr>
      </w:pPr>
      <w:r w:rsidRPr="00C41A3E">
        <w:rPr>
          <w:sz w:val="24"/>
          <w:szCs w:val="24"/>
        </w:rPr>
        <w:t xml:space="preserve">Der er rapporteret om en øget forekomst af hududslæt hos patienter, der får </w:t>
      </w:r>
      <w:proofErr w:type="spellStart"/>
      <w:r w:rsidRPr="00C41A3E">
        <w:rPr>
          <w:sz w:val="24"/>
          <w:szCs w:val="24"/>
        </w:rPr>
        <w:t>ampicillin</w:t>
      </w:r>
      <w:proofErr w:type="spellEnd"/>
      <w:r w:rsidRPr="00C41A3E">
        <w:rPr>
          <w:sz w:val="24"/>
          <w:szCs w:val="24"/>
        </w:rPr>
        <w:t xml:space="preserve"> eller </w:t>
      </w:r>
      <w:proofErr w:type="spellStart"/>
      <w:r w:rsidRPr="00C41A3E">
        <w:rPr>
          <w:sz w:val="24"/>
          <w:szCs w:val="24"/>
        </w:rPr>
        <w:t>amoxicillin</w:t>
      </w:r>
      <w:proofErr w:type="spellEnd"/>
      <w:r w:rsidRPr="00C41A3E">
        <w:rPr>
          <w:sz w:val="24"/>
          <w:szCs w:val="24"/>
        </w:rPr>
        <w:t xml:space="preserve"> samtidig med </w:t>
      </w:r>
      <w:proofErr w:type="spellStart"/>
      <w:r w:rsidRPr="00C41A3E">
        <w:rPr>
          <w:sz w:val="24"/>
          <w:szCs w:val="24"/>
        </w:rPr>
        <w:t>allopurinol</w:t>
      </w:r>
      <w:proofErr w:type="spellEnd"/>
      <w:r w:rsidRPr="00C41A3E">
        <w:rPr>
          <w:sz w:val="24"/>
          <w:szCs w:val="24"/>
        </w:rPr>
        <w:t xml:space="preserve">, i forhold til patienter, der ikke får begge lægemidler. Årsagen til den indberettede sammenhæng er ikke fastlagt. Det anbefales dog, at der om muligt anvendes andre lægemidler end </w:t>
      </w:r>
      <w:proofErr w:type="spellStart"/>
      <w:r w:rsidRPr="00C41A3E">
        <w:rPr>
          <w:sz w:val="24"/>
          <w:szCs w:val="24"/>
        </w:rPr>
        <w:t>ampicillin</w:t>
      </w:r>
      <w:proofErr w:type="spellEnd"/>
      <w:r w:rsidRPr="00C41A3E">
        <w:rPr>
          <w:sz w:val="24"/>
          <w:szCs w:val="24"/>
        </w:rPr>
        <w:t xml:space="preserve"> eller </w:t>
      </w:r>
      <w:proofErr w:type="spellStart"/>
      <w:r w:rsidRPr="00C41A3E">
        <w:rPr>
          <w:sz w:val="24"/>
          <w:szCs w:val="24"/>
        </w:rPr>
        <w:t>amoxicillin</w:t>
      </w:r>
      <w:proofErr w:type="spellEnd"/>
      <w:r w:rsidRPr="00C41A3E">
        <w:rPr>
          <w:sz w:val="24"/>
          <w:szCs w:val="24"/>
        </w:rPr>
        <w:t xml:space="preserve"> hos patienter, der får </w:t>
      </w:r>
      <w:proofErr w:type="spellStart"/>
      <w:r w:rsidRPr="00C41A3E">
        <w:rPr>
          <w:sz w:val="24"/>
          <w:szCs w:val="24"/>
        </w:rPr>
        <w:t>allopurinol</w:t>
      </w:r>
      <w:proofErr w:type="spellEnd"/>
      <w:r w:rsidRPr="00C41A3E">
        <w:rPr>
          <w:sz w:val="24"/>
          <w:szCs w:val="24"/>
        </w:rPr>
        <w:t>.</w:t>
      </w:r>
    </w:p>
    <w:p w:rsidR="00B23262" w:rsidRDefault="00B23262" w:rsidP="00B23262">
      <w:pPr>
        <w:ind w:left="851"/>
        <w:rPr>
          <w:sz w:val="24"/>
          <w:szCs w:val="24"/>
          <w:u w:val="single"/>
        </w:rPr>
      </w:pPr>
    </w:p>
    <w:p w:rsidR="00B23262" w:rsidRPr="00C41A3E" w:rsidRDefault="00B23262" w:rsidP="00100EF5">
      <w:pPr>
        <w:keepNext/>
        <w:ind w:left="851"/>
        <w:rPr>
          <w:sz w:val="24"/>
          <w:szCs w:val="24"/>
          <w:u w:val="single"/>
        </w:rPr>
      </w:pPr>
      <w:proofErr w:type="spellStart"/>
      <w:r w:rsidRPr="00C41A3E">
        <w:rPr>
          <w:sz w:val="24"/>
          <w:szCs w:val="24"/>
          <w:u w:val="single"/>
        </w:rPr>
        <w:t>Ciclosporin</w:t>
      </w:r>
      <w:proofErr w:type="spellEnd"/>
    </w:p>
    <w:p w:rsidR="00B23262" w:rsidRPr="00C41A3E" w:rsidRDefault="00B23262" w:rsidP="00B23262">
      <w:pPr>
        <w:ind w:left="851"/>
        <w:rPr>
          <w:sz w:val="24"/>
          <w:szCs w:val="24"/>
        </w:rPr>
      </w:pPr>
      <w:r w:rsidRPr="00C41A3E">
        <w:rPr>
          <w:sz w:val="24"/>
          <w:szCs w:val="24"/>
        </w:rPr>
        <w:t xml:space="preserve">Der er indberetninger, der tyder på, at plasmakoncentrationen af </w:t>
      </w:r>
      <w:proofErr w:type="spellStart"/>
      <w:r w:rsidRPr="00C41A3E">
        <w:rPr>
          <w:sz w:val="24"/>
          <w:szCs w:val="24"/>
        </w:rPr>
        <w:t>ciclosporin</w:t>
      </w:r>
      <w:proofErr w:type="spellEnd"/>
      <w:r w:rsidRPr="00C41A3E">
        <w:rPr>
          <w:sz w:val="24"/>
          <w:szCs w:val="24"/>
        </w:rPr>
        <w:t xml:space="preserve"> kan være forøget ved samtidig behandling med </w:t>
      </w:r>
      <w:proofErr w:type="spellStart"/>
      <w:r w:rsidRPr="00C41A3E">
        <w:rPr>
          <w:sz w:val="24"/>
          <w:szCs w:val="24"/>
        </w:rPr>
        <w:t>allopurinol</w:t>
      </w:r>
      <w:proofErr w:type="spellEnd"/>
      <w:r w:rsidRPr="00C41A3E">
        <w:rPr>
          <w:sz w:val="24"/>
          <w:szCs w:val="24"/>
        </w:rPr>
        <w:t xml:space="preserve">. Der bør tages højde for muligheden for øget </w:t>
      </w:r>
      <w:proofErr w:type="spellStart"/>
      <w:r w:rsidRPr="00C41A3E">
        <w:rPr>
          <w:sz w:val="24"/>
          <w:szCs w:val="24"/>
        </w:rPr>
        <w:t>ciclosporintoksicitet</w:t>
      </w:r>
      <w:proofErr w:type="spellEnd"/>
      <w:r w:rsidRPr="00C41A3E">
        <w:rPr>
          <w:sz w:val="24"/>
          <w:szCs w:val="24"/>
        </w:rPr>
        <w:t xml:space="preserve"> ved samtidig administration af lægemidlerne.</w:t>
      </w:r>
    </w:p>
    <w:p w:rsidR="00B23262" w:rsidRPr="00C41A3E" w:rsidRDefault="00B23262" w:rsidP="00B23262">
      <w:pPr>
        <w:ind w:left="851"/>
        <w:rPr>
          <w:sz w:val="24"/>
          <w:szCs w:val="24"/>
        </w:rPr>
      </w:pPr>
    </w:p>
    <w:p w:rsidR="00B23262" w:rsidRPr="00C41A3E" w:rsidRDefault="00B23262" w:rsidP="00B23262">
      <w:pPr>
        <w:ind w:left="851"/>
        <w:rPr>
          <w:sz w:val="24"/>
          <w:szCs w:val="24"/>
          <w:u w:val="single"/>
        </w:rPr>
      </w:pPr>
      <w:proofErr w:type="spellStart"/>
      <w:r w:rsidRPr="00C41A3E">
        <w:rPr>
          <w:sz w:val="24"/>
          <w:szCs w:val="24"/>
          <w:u w:val="single"/>
        </w:rPr>
        <w:t>Didanosin</w:t>
      </w:r>
      <w:proofErr w:type="spellEnd"/>
    </w:p>
    <w:p w:rsidR="00B23262" w:rsidRPr="00C41A3E" w:rsidRDefault="00B23262" w:rsidP="00B23262">
      <w:pPr>
        <w:ind w:left="851"/>
        <w:rPr>
          <w:sz w:val="24"/>
          <w:szCs w:val="24"/>
        </w:rPr>
      </w:pPr>
      <w:r w:rsidRPr="00C41A3E">
        <w:rPr>
          <w:sz w:val="24"/>
          <w:szCs w:val="24"/>
        </w:rPr>
        <w:t xml:space="preserve">Hos raske frivillige og hiv-patienter, der fik </w:t>
      </w:r>
      <w:proofErr w:type="spellStart"/>
      <w:r w:rsidRPr="00C41A3E">
        <w:rPr>
          <w:sz w:val="24"/>
          <w:szCs w:val="24"/>
        </w:rPr>
        <w:t>didanosin</w:t>
      </w:r>
      <w:proofErr w:type="spellEnd"/>
      <w:r w:rsidRPr="00C41A3E">
        <w:rPr>
          <w:sz w:val="24"/>
          <w:szCs w:val="24"/>
        </w:rPr>
        <w:t xml:space="preserve">, var </w:t>
      </w:r>
      <w:proofErr w:type="spellStart"/>
      <w:r w:rsidRPr="00C41A3E">
        <w:rPr>
          <w:sz w:val="24"/>
          <w:szCs w:val="24"/>
        </w:rPr>
        <w:t>C</w:t>
      </w:r>
      <w:r w:rsidRPr="00C41A3E">
        <w:rPr>
          <w:sz w:val="24"/>
          <w:szCs w:val="24"/>
          <w:vertAlign w:val="subscript"/>
        </w:rPr>
        <w:t>max</w:t>
      </w:r>
      <w:proofErr w:type="spellEnd"/>
      <w:r w:rsidRPr="00C41A3E">
        <w:rPr>
          <w:sz w:val="24"/>
          <w:szCs w:val="24"/>
        </w:rPr>
        <w:t xml:space="preserve"> og AUC-værdierne af </w:t>
      </w:r>
      <w:proofErr w:type="spellStart"/>
      <w:r w:rsidRPr="00C41A3E">
        <w:rPr>
          <w:sz w:val="24"/>
          <w:szCs w:val="24"/>
        </w:rPr>
        <w:t>plasmadidanosin</w:t>
      </w:r>
      <w:proofErr w:type="spellEnd"/>
      <w:r w:rsidRPr="00C41A3E">
        <w:rPr>
          <w:sz w:val="24"/>
          <w:szCs w:val="24"/>
        </w:rPr>
        <w:t xml:space="preserve"> cirka fordoblet ved samtidig behandling med </w:t>
      </w:r>
      <w:proofErr w:type="spellStart"/>
      <w:r w:rsidRPr="00C41A3E">
        <w:rPr>
          <w:sz w:val="24"/>
          <w:szCs w:val="24"/>
        </w:rPr>
        <w:t>allopurinol</w:t>
      </w:r>
      <w:proofErr w:type="spellEnd"/>
      <w:r w:rsidRPr="00C41A3E">
        <w:rPr>
          <w:sz w:val="24"/>
          <w:szCs w:val="24"/>
        </w:rPr>
        <w:t xml:space="preserve"> (300 mg daglig). Den terminale halveringstid var upåvirket. Samtidig administration af disse to lægemidler frarådes generelt. Hvis samtidig brug ikke kan undgås, kan det være nødvendigt at reducere dosen af </w:t>
      </w:r>
      <w:proofErr w:type="spellStart"/>
      <w:r w:rsidRPr="00C41A3E">
        <w:rPr>
          <w:sz w:val="24"/>
          <w:szCs w:val="24"/>
        </w:rPr>
        <w:t>didanosin</w:t>
      </w:r>
      <w:proofErr w:type="spellEnd"/>
      <w:r w:rsidRPr="00C41A3E">
        <w:rPr>
          <w:sz w:val="24"/>
          <w:szCs w:val="24"/>
        </w:rPr>
        <w:t>, og patienterne bør holdes under tæt monitorering.</w:t>
      </w:r>
    </w:p>
    <w:p w:rsidR="00B23262" w:rsidRPr="00C41A3E" w:rsidRDefault="00B23262" w:rsidP="00B23262">
      <w:pPr>
        <w:ind w:left="851"/>
        <w:rPr>
          <w:sz w:val="24"/>
          <w:szCs w:val="24"/>
        </w:rPr>
      </w:pPr>
    </w:p>
    <w:p w:rsidR="00B23262" w:rsidRPr="00E71EA9" w:rsidRDefault="00B23262" w:rsidP="00B23262">
      <w:pPr>
        <w:ind w:left="851"/>
        <w:rPr>
          <w:sz w:val="24"/>
          <w:szCs w:val="24"/>
          <w:u w:val="single"/>
        </w:rPr>
      </w:pPr>
      <w:proofErr w:type="spellStart"/>
      <w:r w:rsidRPr="00E71EA9">
        <w:rPr>
          <w:sz w:val="24"/>
          <w:szCs w:val="24"/>
          <w:u w:val="single"/>
        </w:rPr>
        <w:t>Diuretika</w:t>
      </w:r>
      <w:proofErr w:type="spellEnd"/>
    </w:p>
    <w:p w:rsidR="00B23262" w:rsidRPr="00C669A8" w:rsidRDefault="00B23262" w:rsidP="00B23262">
      <w:pPr>
        <w:ind w:left="851"/>
        <w:rPr>
          <w:sz w:val="24"/>
          <w:szCs w:val="24"/>
        </w:rPr>
      </w:pPr>
      <w:r w:rsidRPr="00C41A3E">
        <w:rPr>
          <w:sz w:val="24"/>
          <w:szCs w:val="24"/>
        </w:rPr>
        <w:t xml:space="preserve">Der er rapporteret om interaktioner mellem </w:t>
      </w:r>
      <w:proofErr w:type="spellStart"/>
      <w:r w:rsidRPr="00C41A3E">
        <w:rPr>
          <w:sz w:val="24"/>
          <w:szCs w:val="24"/>
        </w:rPr>
        <w:t>allopurinol</w:t>
      </w:r>
      <w:proofErr w:type="spellEnd"/>
      <w:r w:rsidRPr="00C41A3E">
        <w:rPr>
          <w:sz w:val="24"/>
          <w:szCs w:val="24"/>
        </w:rPr>
        <w:t xml:space="preserve"> og </w:t>
      </w:r>
      <w:proofErr w:type="spellStart"/>
      <w:r w:rsidRPr="00C41A3E">
        <w:rPr>
          <w:sz w:val="24"/>
          <w:szCs w:val="24"/>
        </w:rPr>
        <w:t>furosemid</w:t>
      </w:r>
      <w:proofErr w:type="spellEnd"/>
      <w:r w:rsidRPr="00C41A3E">
        <w:rPr>
          <w:sz w:val="24"/>
          <w:szCs w:val="24"/>
        </w:rPr>
        <w:t>, som f</w:t>
      </w:r>
      <w:r w:rsidRPr="00380E57">
        <w:rPr>
          <w:sz w:val="24"/>
          <w:szCs w:val="24"/>
        </w:rPr>
        <w:t xml:space="preserve">orårsager øgede koncentrationer af serumurat og </w:t>
      </w:r>
      <w:proofErr w:type="spellStart"/>
      <w:r w:rsidRPr="00380E57">
        <w:rPr>
          <w:sz w:val="24"/>
          <w:szCs w:val="24"/>
        </w:rPr>
        <w:t>plasmaoxypurinol</w:t>
      </w:r>
      <w:proofErr w:type="spellEnd"/>
      <w:r w:rsidRPr="00380E57">
        <w:rPr>
          <w:sz w:val="24"/>
          <w:szCs w:val="24"/>
        </w:rPr>
        <w:t xml:space="preserve">. Der er rapporteret om en øget risiko for overfølsomhed, når </w:t>
      </w:r>
      <w:proofErr w:type="spellStart"/>
      <w:r w:rsidRPr="00380E57">
        <w:rPr>
          <w:sz w:val="24"/>
          <w:szCs w:val="24"/>
        </w:rPr>
        <w:t>allopurinol</w:t>
      </w:r>
      <w:proofErr w:type="spellEnd"/>
      <w:r w:rsidRPr="00380E57">
        <w:rPr>
          <w:sz w:val="24"/>
          <w:szCs w:val="24"/>
        </w:rPr>
        <w:t xml:space="preserve"> gives sammen med </w:t>
      </w:r>
      <w:proofErr w:type="spellStart"/>
      <w:r w:rsidRPr="00380E57">
        <w:rPr>
          <w:sz w:val="24"/>
          <w:szCs w:val="24"/>
        </w:rPr>
        <w:t>diuretika</w:t>
      </w:r>
      <w:proofErr w:type="spellEnd"/>
      <w:r w:rsidRPr="00380E57">
        <w:rPr>
          <w:sz w:val="24"/>
          <w:szCs w:val="24"/>
        </w:rPr>
        <w:t xml:space="preserve">, særligt med </w:t>
      </w:r>
      <w:proofErr w:type="spellStart"/>
      <w:r w:rsidRPr="00380E57">
        <w:rPr>
          <w:sz w:val="24"/>
          <w:szCs w:val="24"/>
        </w:rPr>
        <w:t>thiazider</w:t>
      </w:r>
      <w:proofErr w:type="spellEnd"/>
      <w:r w:rsidRPr="00380E57">
        <w:rPr>
          <w:sz w:val="24"/>
          <w:szCs w:val="24"/>
        </w:rPr>
        <w:t xml:space="preserve"> og særligt hos personer med nedsat nyrefunktion.</w:t>
      </w:r>
    </w:p>
    <w:p w:rsidR="00B23262" w:rsidRPr="00783E65" w:rsidRDefault="00B23262" w:rsidP="00B23262">
      <w:pPr>
        <w:ind w:left="851"/>
        <w:rPr>
          <w:sz w:val="24"/>
          <w:szCs w:val="24"/>
        </w:rPr>
      </w:pPr>
    </w:p>
    <w:p w:rsidR="00B23262" w:rsidRPr="00E71EA9" w:rsidRDefault="00B23262" w:rsidP="00B23262">
      <w:pPr>
        <w:ind w:left="851"/>
        <w:rPr>
          <w:sz w:val="24"/>
          <w:szCs w:val="24"/>
          <w:u w:val="single"/>
        </w:rPr>
      </w:pPr>
      <w:proofErr w:type="spellStart"/>
      <w:r w:rsidRPr="00E71EA9">
        <w:rPr>
          <w:sz w:val="24"/>
          <w:szCs w:val="24"/>
          <w:u w:val="single"/>
        </w:rPr>
        <w:t>Angiotensinkonverterende</w:t>
      </w:r>
      <w:proofErr w:type="spellEnd"/>
      <w:r w:rsidRPr="00E71EA9">
        <w:rPr>
          <w:sz w:val="24"/>
          <w:szCs w:val="24"/>
          <w:u w:val="single"/>
        </w:rPr>
        <w:t xml:space="preserve"> </w:t>
      </w:r>
      <w:proofErr w:type="spellStart"/>
      <w:r w:rsidRPr="00E71EA9">
        <w:rPr>
          <w:sz w:val="24"/>
          <w:szCs w:val="24"/>
          <w:u w:val="single"/>
        </w:rPr>
        <w:t>enzymhæmmere</w:t>
      </w:r>
      <w:proofErr w:type="spellEnd"/>
      <w:r w:rsidRPr="00E71EA9">
        <w:rPr>
          <w:sz w:val="24"/>
          <w:szCs w:val="24"/>
          <w:u w:val="single"/>
        </w:rPr>
        <w:t xml:space="preserve"> (ACE</w:t>
      </w:r>
      <w:r w:rsidRPr="00C41A3E">
        <w:rPr>
          <w:sz w:val="24"/>
          <w:szCs w:val="24"/>
          <w:u w:val="single"/>
        </w:rPr>
        <w:t>-</w:t>
      </w:r>
      <w:proofErr w:type="spellStart"/>
      <w:r w:rsidRPr="00C41A3E">
        <w:rPr>
          <w:sz w:val="24"/>
          <w:szCs w:val="24"/>
          <w:u w:val="single"/>
        </w:rPr>
        <w:t>hæmmere</w:t>
      </w:r>
      <w:proofErr w:type="spellEnd"/>
      <w:r w:rsidRPr="00E71EA9">
        <w:rPr>
          <w:sz w:val="24"/>
          <w:szCs w:val="24"/>
          <w:u w:val="single"/>
        </w:rPr>
        <w:t>)</w:t>
      </w:r>
    </w:p>
    <w:p w:rsidR="00B23262" w:rsidRPr="00C669A8" w:rsidRDefault="00B23262" w:rsidP="00B23262">
      <w:pPr>
        <w:ind w:left="851"/>
        <w:rPr>
          <w:sz w:val="24"/>
          <w:szCs w:val="24"/>
        </w:rPr>
      </w:pPr>
      <w:r w:rsidRPr="00C41A3E">
        <w:rPr>
          <w:sz w:val="24"/>
          <w:szCs w:val="24"/>
        </w:rPr>
        <w:t xml:space="preserve">Der er rapporteret om en øget risiko for overfølsomhed, når </w:t>
      </w:r>
      <w:proofErr w:type="spellStart"/>
      <w:r w:rsidRPr="00C41A3E">
        <w:rPr>
          <w:sz w:val="24"/>
          <w:szCs w:val="24"/>
        </w:rPr>
        <w:t>allopurinol</w:t>
      </w:r>
      <w:proofErr w:type="spellEnd"/>
      <w:r w:rsidRPr="00C41A3E">
        <w:rPr>
          <w:sz w:val="24"/>
          <w:szCs w:val="24"/>
        </w:rPr>
        <w:t xml:space="preserve"> gives sammen med ACE-</w:t>
      </w:r>
      <w:proofErr w:type="spellStart"/>
      <w:r w:rsidRPr="00C41A3E">
        <w:rPr>
          <w:sz w:val="24"/>
          <w:szCs w:val="24"/>
        </w:rPr>
        <w:t>hæmmere</w:t>
      </w:r>
      <w:proofErr w:type="spellEnd"/>
      <w:r w:rsidRPr="00C41A3E">
        <w:rPr>
          <w:sz w:val="24"/>
          <w:szCs w:val="24"/>
        </w:rPr>
        <w:t>, særligt hos personer med nedsat nyrefunktion.</w:t>
      </w:r>
    </w:p>
    <w:p w:rsidR="00B23262" w:rsidRPr="00783E65" w:rsidRDefault="00B23262" w:rsidP="00B23262">
      <w:pPr>
        <w:ind w:left="851"/>
        <w:rPr>
          <w:sz w:val="24"/>
          <w:szCs w:val="24"/>
        </w:rPr>
      </w:pPr>
    </w:p>
    <w:p w:rsidR="00B23262" w:rsidRPr="00C41A3E" w:rsidRDefault="00B23262" w:rsidP="00B23262">
      <w:pPr>
        <w:ind w:left="851"/>
        <w:rPr>
          <w:spacing w:val="29"/>
          <w:sz w:val="24"/>
          <w:szCs w:val="24"/>
          <w:u w:val="single"/>
        </w:rPr>
      </w:pPr>
      <w:proofErr w:type="spellStart"/>
      <w:r w:rsidRPr="00C41A3E">
        <w:rPr>
          <w:sz w:val="24"/>
          <w:szCs w:val="24"/>
          <w:u w:val="single"/>
        </w:rPr>
        <w:t>Captopril</w:t>
      </w:r>
      <w:proofErr w:type="spellEnd"/>
    </w:p>
    <w:p w:rsidR="00B23262" w:rsidRPr="00C41A3E" w:rsidRDefault="00B23262" w:rsidP="00B23262">
      <w:pPr>
        <w:ind w:left="851"/>
        <w:rPr>
          <w:sz w:val="24"/>
          <w:szCs w:val="24"/>
        </w:rPr>
      </w:pPr>
      <w:r w:rsidRPr="00C41A3E">
        <w:rPr>
          <w:sz w:val="24"/>
          <w:szCs w:val="24"/>
        </w:rPr>
        <w:t xml:space="preserve">Ved samtidig administration af </w:t>
      </w:r>
      <w:proofErr w:type="spellStart"/>
      <w:r w:rsidRPr="00C41A3E">
        <w:rPr>
          <w:sz w:val="24"/>
          <w:szCs w:val="24"/>
        </w:rPr>
        <w:t>allopurinol</w:t>
      </w:r>
      <w:proofErr w:type="spellEnd"/>
      <w:r w:rsidRPr="00C41A3E">
        <w:rPr>
          <w:sz w:val="24"/>
          <w:szCs w:val="24"/>
        </w:rPr>
        <w:t xml:space="preserve"> og </w:t>
      </w:r>
      <w:proofErr w:type="spellStart"/>
      <w:r w:rsidRPr="00C41A3E">
        <w:rPr>
          <w:sz w:val="24"/>
          <w:szCs w:val="24"/>
        </w:rPr>
        <w:t>captopril</w:t>
      </w:r>
      <w:proofErr w:type="spellEnd"/>
      <w:r w:rsidRPr="00C41A3E">
        <w:rPr>
          <w:sz w:val="24"/>
          <w:szCs w:val="24"/>
        </w:rPr>
        <w:t xml:space="preserve"> kan risikoen for hudreaktioner være forøget, især i tilfælde af kronisk nyresvigt.</w:t>
      </w:r>
    </w:p>
    <w:p w:rsidR="008F0665" w:rsidRDefault="008F0665" w:rsidP="008F0665">
      <w:pPr>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4.6</w:t>
      </w:r>
      <w:r w:rsidRPr="00C84483">
        <w:rPr>
          <w:b/>
          <w:sz w:val="24"/>
          <w:szCs w:val="24"/>
        </w:rPr>
        <w:tab/>
        <w:t>Graviditet og amning</w:t>
      </w:r>
    </w:p>
    <w:p w:rsidR="008F0665" w:rsidRPr="004A662A" w:rsidRDefault="008F0665" w:rsidP="008F0665">
      <w:pPr>
        <w:pStyle w:val="Default"/>
        <w:ind w:left="851"/>
        <w:rPr>
          <w:color w:val="auto"/>
          <w:u w:val="single"/>
        </w:rPr>
      </w:pPr>
    </w:p>
    <w:p w:rsidR="008F0665" w:rsidRPr="004A662A" w:rsidRDefault="008F0665" w:rsidP="008F0665">
      <w:pPr>
        <w:pStyle w:val="Default"/>
        <w:ind w:left="851"/>
        <w:rPr>
          <w:color w:val="auto"/>
          <w:u w:val="single"/>
        </w:rPr>
      </w:pPr>
      <w:r w:rsidRPr="004A662A">
        <w:rPr>
          <w:color w:val="auto"/>
          <w:u w:val="single"/>
        </w:rPr>
        <w:t>Graviditet</w:t>
      </w:r>
    </w:p>
    <w:p w:rsidR="008F0665" w:rsidRPr="004A662A" w:rsidRDefault="008F0665" w:rsidP="008F0665">
      <w:pPr>
        <w:pStyle w:val="Default"/>
        <w:ind w:left="851"/>
        <w:rPr>
          <w:color w:val="auto"/>
        </w:rPr>
      </w:pPr>
      <w:r w:rsidRPr="004A662A">
        <w:rPr>
          <w:color w:val="auto"/>
        </w:rPr>
        <w:t xml:space="preserve">Der er utilstrækkelig evidens for sikkerheden af </w:t>
      </w:r>
      <w:proofErr w:type="spellStart"/>
      <w:r w:rsidRPr="004A662A">
        <w:rPr>
          <w:color w:val="auto"/>
        </w:rPr>
        <w:t>allopurinol</w:t>
      </w:r>
      <w:proofErr w:type="spellEnd"/>
      <w:r w:rsidRPr="004A662A">
        <w:rPr>
          <w:color w:val="auto"/>
        </w:rPr>
        <w:t xml:space="preserve"> hos gravide kvinder. Reproduktionstoksicitetsstudier hos dyr har vist modstridende resultater (se pkt. 5.3).</w:t>
      </w:r>
    </w:p>
    <w:p w:rsidR="008F0665" w:rsidRPr="004A662A" w:rsidRDefault="008F0665" w:rsidP="008F0665">
      <w:pPr>
        <w:pStyle w:val="Default"/>
        <w:ind w:left="851"/>
        <w:rPr>
          <w:color w:val="auto"/>
        </w:rPr>
      </w:pPr>
      <w:r w:rsidRPr="004A662A">
        <w:rPr>
          <w:color w:val="auto"/>
        </w:rPr>
        <w:t>Bør kun anvendes under graviditet, hvis der ikke er noget sikkert alternativ, og hvis sygdommen i sig selv indebærer en risiko for moderen eller det ufødte barn.</w:t>
      </w:r>
    </w:p>
    <w:p w:rsidR="008F0665" w:rsidRPr="004A662A" w:rsidRDefault="008F0665" w:rsidP="008F0665">
      <w:pPr>
        <w:pStyle w:val="Default"/>
        <w:ind w:left="851"/>
        <w:rPr>
          <w:color w:val="auto"/>
        </w:rPr>
      </w:pPr>
    </w:p>
    <w:p w:rsidR="008F0665" w:rsidRDefault="008F0665" w:rsidP="008F0665">
      <w:pPr>
        <w:pStyle w:val="Default"/>
        <w:ind w:left="851"/>
        <w:rPr>
          <w:color w:val="auto"/>
          <w:u w:val="single"/>
        </w:rPr>
      </w:pPr>
      <w:r>
        <w:rPr>
          <w:color w:val="auto"/>
          <w:u w:val="single"/>
        </w:rPr>
        <w:t>Amning</w:t>
      </w:r>
    </w:p>
    <w:p w:rsidR="008F0665" w:rsidRDefault="008F0665" w:rsidP="008F0665">
      <w:pPr>
        <w:pStyle w:val="Default"/>
        <w:ind w:left="851"/>
        <w:rPr>
          <w:color w:val="auto"/>
        </w:rPr>
      </w:pPr>
      <w:proofErr w:type="spellStart"/>
      <w:r>
        <w:rPr>
          <w:bCs/>
          <w:color w:val="auto"/>
        </w:rPr>
        <w:t>Allopurinol</w:t>
      </w:r>
      <w:proofErr w:type="spellEnd"/>
      <w:r>
        <w:rPr>
          <w:bCs/>
          <w:color w:val="auto"/>
        </w:rPr>
        <w:t xml:space="preserve"> og dets metabolit </w:t>
      </w:r>
      <w:proofErr w:type="spellStart"/>
      <w:r>
        <w:rPr>
          <w:bCs/>
          <w:color w:val="auto"/>
        </w:rPr>
        <w:t>oxipurinol</w:t>
      </w:r>
      <w:proofErr w:type="spellEnd"/>
      <w:r>
        <w:rPr>
          <w:bCs/>
          <w:color w:val="auto"/>
        </w:rPr>
        <w:t xml:space="preserve"> udskilles i human mælk. Det frarådes at anvende </w:t>
      </w:r>
      <w:proofErr w:type="spellStart"/>
      <w:r>
        <w:rPr>
          <w:bCs/>
          <w:color w:val="auto"/>
        </w:rPr>
        <w:t>allopurinol</w:t>
      </w:r>
      <w:proofErr w:type="spellEnd"/>
      <w:r>
        <w:rPr>
          <w:bCs/>
          <w:color w:val="auto"/>
        </w:rPr>
        <w:t xml:space="preserve"> under amning. </w:t>
      </w:r>
      <w:r>
        <w:rPr>
          <w:color w:val="auto"/>
        </w:rPr>
        <w:t xml:space="preserve">Der er påvist koncentrationer på 1,4 mg/liter </w:t>
      </w:r>
      <w:proofErr w:type="spellStart"/>
      <w:r>
        <w:rPr>
          <w:color w:val="auto"/>
        </w:rPr>
        <w:t>allopurinol</w:t>
      </w:r>
      <w:proofErr w:type="spellEnd"/>
      <w:r>
        <w:rPr>
          <w:color w:val="auto"/>
        </w:rPr>
        <w:t xml:space="preserve"> og 57,3 mg/liter </w:t>
      </w:r>
      <w:proofErr w:type="spellStart"/>
      <w:r>
        <w:rPr>
          <w:color w:val="auto"/>
        </w:rPr>
        <w:t>oxipurinol</w:t>
      </w:r>
      <w:proofErr w:type="spellEnd"/>
      <w:r>
        <w:rPr>
          <w:color w:val="auto"/>
        </w:rPr>
        <w:t xml:space="preserve"> i modermælk fra kvinder, der tog </w:t>
      </w:r>
      <w:proofErr w:type="spellStart"/>
      <w:r>
        <w:rPr>
          <w:color w:val="auto"/>
        </w:rPr>
        <w:t>allopurinol</w:t>
      </w:r>
      <w:proofErr w:type="spellEnd"/>
      <w:r>
        <w:rPr>
          <w:color w:val="auto"/>
        </w:rPr>
        <w:t xml:space="preserve"> 300 mg/dag. Der er dog </w:t>
      </w:r>
      <w:r>
        <w:rPr>
          <w:color w:val="auto"/>
        </w:rPr>
        <w:lastRenderedPageBreak/>
        <w:t xml:space="preserve">ingen data vedrørende virkningerne af </w:t>
      </w:r>
      <w:proofErr w:type="spellStart"/>
      <w:r>
        <w:rPr>
          <w:color w:val="auto"/>
        </w:rPr>
        <w:t>allopurinol</w:t>
      </w:r>
      <w:proofErr w:type="spellEnd"/>
      <w:r>
        <w:rPr>
          <w:color w:val="auto"/>
        </w:rPr>
        <w:t xml:space="preserve"> eller dets metabolitter hos det ammede barn.</w:t>
      </w:r>
    </w:p>
    <w:p w:rsidR="008F0665" w:rsidRDefault="008F0665" w:rsidP="008F0665">
      <w:pPr>
        <w:pStyle w:val="Default"/>
        <w:ind w:left="851"/>
        <w:rPr>
          <w:color w:val="auto"/>
        </w:rPr>
      </w:pPr>
      <w:r>
        <w:rPr>
          <w:color w:val="auto"/>
        </w:rPr>
        <w:t xml:space="preserve">Det skal besluttes, om amning skal ophøre eller behandling med </w:t>
      </w:r>
      <w:proofErr w:type="spellStart"/>
      <w:r>
        <w:rPr>
          <w:color w:val="auto"/>
        </w:rPr>
        <w:t>allopurinol</w:t>
      </w:r>
      <w:proofErr w:type="spellEnd"/>
      <w:r>
        <w:rPr>
          <w:color w:val="auto"/>
        </w:rPr>
        <w:t xml:space="preserve"> seponeres, idet der tages højde for fordelene ved amning for barnet i forhold til de terapeutiske fordele for moderen.</w:t>
      </w:r>
    </w:p>
    <w:p w:rsidR="008F0665" w:rsidRPr="00C84483" w:rsidRDefault="008F0665" w:rsidP="008F0665">
      <w:pPr>
        <w:tabs>
          <w:tab w:val="left" w:pos="851"/>
        </w:tabs>
        <w:ind w:left="851"/>
        <w:rPr>
          <w:sz w:val="24"/>
          <w:szCs w:val="24"/>
        </w:rPr>
      </w:pPr>
    </w:p>
    <w:p w:rsidR="00B23262" w:rsidRPr="00C669A8" w:rsidRDefault="008F0665" w:rsidP="00B23262">
      <w:pPr>
        <w:tabs>
          <w:tab w:val="left" w:pos="851"/>
        </w:tabs>
        <w:ind w:left="851" w:hanging="851"/>
        <w:rPr>
          <w:b/>
          <w:sz w:val="24"/>
          <w:szCs w:val="24"/>
        </w:rPr>
      </w:pPr>
      <w:r w:rsidRPr="00C84483">
        <w:rPr>
          <w:b/>
          <w:sz w:val="24"/>
          <w:szCs w:val="24"/>
        </w:rPr>
        <w:t>4.7</w:t>
      </w:r>
      <w:r w:rsidRPr="00C84483">
        <w:rPr>
          <w:b/>
          <w:sz w:val="24"/>
          <w:szCs w:val="24"/>
        </w:rPr>
        <w:tab/>
      </w:r>
      <w:r w:rsidR="00B23262" w:rsidRPr="00C41A3E">
        <w:rPr>
          <w:b/>
          <w:sz w:val="24"/>
          <w:szCs w:val="24"/>
        </w:rPr>
        <w:t>Virkning</w:t>
      </w:r>
      <w:r w:rsidR="003B6D17">
        <w:rPr>
          <w:b/>
          <w:sz w:val="24"/>
          <w:szCs w:val="24"/>
        </w:rPr>
        <w:t>er</w:t>
      </w:r>
      <w:r w:rsidR="00B23262" w:rsidRPr="00C41A3E">
        <w:rPr>
          <w:b/>
          <w:sz w:val="24"/>
          <w:szCs w:val="24"/>
        </w:rPr>
        <w:t xml:space="preserve"> på evnen til at føre motorkøretøj </w:t>
      </w:r>
      <w:r w:rsidR="003B6D17">
        <w:rPr>
          <w:b/>
          <w:sz w:val="24"/>
          <w:szCs w:val="24"/>
        </w:rPr>
        <w:t>eller</w:t>
      </w:r>
      <w:r w:rsidR="00B23262" w:rsidRPr="00380E57">
        <w:rPr>
          <w:b/>
          <w:sz w:val="24"/>
          <w:szCs w:val="24"/>
        </w:rPr>
        <w:t xml:space="preserve"> betjene maskiner</w:t>
      </w:r>
    </w:p>
    <w:p w:rsidR="00B23262" w:rsidRPr="00C41A3E" w:rsidRDefault="00B23262" w:rsidP="00B23262">
      <w:pPr>
        <w:pStyle w:val="Default"/>
        <w:ind w:left="851"/>
        <w:rPr>
          <w:color w:val="auto"/>
        </w:rPr>
      </w:pPr>
      <w:r w:rsidRPr="00783E65">
        <w:rPr>
          <w:color w:val="auto"/>
        </w:rPr>
        <w:t>Ikke mærkning.</w:t>
      </w:r>
    </w:p>
    <w:p w:rsidR="00B23262" w:rsidRPr="00C41A3E" w:rsidRDefault="00B23262" w:rsidP="00B23262">
      <w:pPr>
        <w:pStyle w:val="Default"/>
        <w:ind w:left="851"/>
        <w:rPr>
          <w:color w:val="auto"/>
        </w:rPr>
      </w:pPr>
      <w:r w:rsidRPr="00C41A3E">
        <w:rPr>
          <w:color w:val="auto"/>
        </w:rPr>
        <w:t xml:space="preserve">Da der er rapporteret om bivirkninger, såsom </w:t>
      </w:r>
      <w:proofErr w:type="spellStart"/>
      <w:r w:rsidRPr="00C41A3E">
        <w:rPr>
          <w:color w:val="auto"/>
        </w:rPr>
        <w:t>vertigo</w:t>
      </w:r>
      <w:proofErr w:type="spellEnd"/>
      <w:r w:rsidRPr="00C41A3E">
        <w:rPr>
          <w:color w:val="auto"/>
        </w:rPr>
        <w:t xml:space="preserve">, døsighed og </w:t>
      </w:r>
      <w:proofErr w:type="spellStart"/>
      <w:r w:rsidRPr="00C41A3E">
        <w:rPr>
          <w:color w:val="auto"/>
        </w:rPr>
        <w:t>ataksi</w:t>
      </w:r>
      <w:proofErr w:type="spellEnd"/>
      <w:r w:rsidRPr="00C41A3E">
        <w:rPr>
          <w:color w:val="auto"/>
        </w:rPr>
        <w:t xml:space="preserve">, hos patienter i behandling med </w:t>
      </w:r>
      <w:proofErr w:type="spellStart"/>
      <w:r w:rsidRPr="00C41A3E">
        <w:rPr>
          <w:color w:val="auto"/>
        </w:rPr>
        <w:t>allopurinol</w:t>
      </w:r>
      <w:proofErr w:type="spellEnd"/>
      <w:r w:rsidRPr="00C41A3E">
        <w:rPr>
          <w:color w:val="auto"/>
        </w:rPr>
        <w:t xml:space="preserve">, skal patienterne udvise forsigtighed, før de fører motorkøretøj, betjener maskiner eller deltager i farlige aktiviteter, indtil de er rimelige sikre på, at </w:t>
      </w:r>
      <w:proofErr w:type="spellStart"/>
      <w:r w:rsidRPr="00C41A3E">
        <w:rPr>
          <w:color w:val="auto"/>
        </w:rPr>
        <w:t>allopurinol</w:t>
      </w:r>
      <w:proofErr w:type="spellEnd"/>
      <w:r w:rsidRPr="00C41A3E">
        <w:rPr>
          <w:color w:val="auto"/>
        </w:rPr>
        <w:t xml:space="preserve"> ikke påvirker deres evne til at udføre sådanne aktiviteter.</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4.8</w:t>
      </w:r>
      <w:r w:rsidRPr="00C84483">
        <w:rPr>
          <w:b/>
          <w:sz w:val="24"/>
          <w:szCs w:val="24"/>
        </w:rPr>
        <w:tab/>
        <w:t>Bivirkninger</w:t>
      </w:r>
    </w:p>
    <w:p w:rsidR="008F0665" w:rsidRPr="004A662A" w:rsidRDefault="008F0665" w:rsidP="008F0665">
      <w:pPr>
        <w:pStyle w:val="Default"/>
        <w:ind w:left="851"/>
        <w:rPr>
          <w:color w:val="auto"/>
        </w:rPr>
      </w:pPr>
      <w:r w:rsidRPr="004A662A">
        <w:rPr>
          <w:color w:val="auto"/>
        </w:rPr>
        <w:t>Der foreligger ingen nyere klinisk dokumentation for dette lægemiddel, der kan anvendes i beregningen af bivirkningshyppigheden. Hyppigheden af bivirkninger kan variere med dosis og ved kombination med andre lægemidler.</w:t>
      </w:r>
    </w:p>
    <w:p w:rsidR="008F0665" w:rsidRPr="004A662A" w:rsidRDefault="008F0665" w:rsidP="008F0665">
      <w:pPr>
        <w:pStyle w:val="Default"/>
        <w:ind w:left="851"/>
        <w:rPr>
          <w:color w:val="auto"/>
        </w:rPr>
      </w:pPr>
    </w:p>
    <w:p w:rsidR="008F0665" w:rsidRPr="004A662A" w:rsidRDefault="008F0665" w:rsidP="008F0665">
      <w:pPr>
        <w:pStyle w:val="Default"/>
        <w:ind w:left="851"/>
        <w:rPr>
          <w:color w:val="auto"/>
        </w:rPr>
      </w:pPr>
      <w:r w:rsidRPr="004A662A">
        <w:rPr>
          <w:color w:val="auto"/>
        </w:rPr>
        <w:t>De nedenfor tildelte hyppighedskategorier er estimater, da der for de fleste reaktioners vedkommende ikke foreligger tilstrækkelige data til at beregne hyppigheden. Bivirkninger, der er identificeret i forbindelse med overvågningen efter markedsføringen, blev vurderet at være sjældne eller meget sjældne. Der er benyttet følgende konvention til klassificering af hyppigheden:</w:t>
      </w:r>
    </w:p>
    <w:p w:rsidR="008F0665" w:rsidRPr="004A662A" w:rsidRDefault="008F0665" w:rsidP="008F0665">
      <w:pPr>
        <w:pStyle w:val="Default"/>
        <w:ind w:left="851"/>
        <w:rPr>
          <w:color w:val="auto"/>
        </w:rPr>
      </w:pPr>
    </w:p>
    <w:p w:rsidR="008F0665" w:rsidRPr="004A662A" w:rsidRDefault="008F0665" w:rsidP="008F0665">
      <w:pPr>
        <w:pStyle w:val="Default"/>
        <w:ind w:left="851"/>
        <w:rPr>
          <w:color w:val="auto"/>
        </w:rPr>
      </w:pPr>
      <w:r w:rsidRPr="004A662A">
        <w:rPr>
          <w:color w:val="auto"/>
        </w:rPr>
        <w:t>Meget almindelig (≥ 1/10)</w:t>
      </w:r>
    </w:p>
    <w:p w:rsidR="008F0665" w:rsidRPr="004A662A" w:rsidRDefault="008F0665" w:rsidP="008F0665">
      <w:pPr>
        <w:pStyle w:val="Default"/>
        <w:ind w:left="851"/>
        <w:rPr>
          <w:color w:val="auto"/>
        </w:rPr>
      </w:pPr>
      <w:r w:rsidRPr="004A662A">
        <w:rPr>
          <w:color w:val="auto"/>
        </w:rPr>
        <w:t>Almindelig (≥ 1/100 til &lt; 1/10)</w:t>
      </w:r>
    </w:p>
    <w:p w:rsidR="008F0665" w:rsidRPr="004A662A" w:rsidRDefault="008F0665" w:rsidP="008F0665">
      <w:pPr>
        <w:pStyle w:val="Default"/>
        <w:ind w:left="851"/>
        <w:rPr>
          <w:color w:val="auto"/>
        </w:rPr>
      </w:pPr>
      <w:r w:rsidRPr="004A662A">
        <w:rPr>
          <w:color w:val="auto"/>
        </w:rPr>
        <w:t>Ikke almindelig (≥ 1/1.000 til &lt; 1/100)</w:t>
      </w:r>
    </w:p>
    <w:p w:rsidR="008F0665" w:rsidRPr="004A662A" w:rsidRDefault="008F0665" w:rsidP="008F0665">
      <w:pPr>
        <w:pStyle w:val="Default"/>
        <w:ind w:left="851"/>
        <w:rPr>
          <w:color w:val="auto"/>
        </w:rPr>
      </w:pPr>
      <w:r w:rsidRPr="004A662A">
        <w:rPr>
          <w:color w:val="auto"/>
        </w:rPr>
        <w:t>Sjælden (≥ 1/10.000 til &lt; 1/1.000)</w:t>
      </w:r>
    </w:p>
    <w:p w:rsidR="008F0665" w:rsidRPr="004A662A" w:rsidRDefault="008F0665" w:rsidP="008F0665">
      <w:pPr>
        <w:pStyle w:val="Default"/>
        <w:ind w:left="851"/>
        <w:rPr>
          <w:color w:val="auto"/>
        </w:rPr>
      </w:pPr>
      <w:r w:rsidRPr="004A662A">
        <w:rPr>
          <w:color w:val="auto"/>
        </w:rPr>
        <w:t>Meget sjælden (&lt; 1/10.000)</w:t>
      </w:r>
    </w:p>
    <w:p w:rsidR="008F0665" w:rsidRPr="004A662A" w:rsidRDefault="008F0665" w:rsidP="008F0665">
      <w:pPr>
        <w:pStyle w:val="Default"/>
        <w:ind w:left="851"/>
        <w:rPr>
          <w:color w:val="auto"/>
        </w:rPr>
      </w:pPr>
      <w:r w:rsidRPr="004A662A">
        <w:rPr>
          <w:color w:val="auto"/>
        </w:rPr>
        <w:t>Ikke kendt (frekvens kan ikke fastslås ud fra tilgængelige data)</w:t>
      </w:r>
    </w:p>
    <w:p w:rsidR="008F0665" w:rsidRPr="004A662A" w:rsidRDefault="008F0665" w:rsidP="008F0665">
      <w:pPr>
        <w:ind w:left="851"/>
        <w:rPr>
          <w:sz w:val="24"/>
          <w:szCs w:val="24"/>
        </w:rPr>
      </w:pPr>
    </w:p>
    <w:p w:rsidR="008F0665" w:rsidRDefault="008F0665" w:rsidP="008F0665">
      <w:pPr>
        <w:ind w:left="851"/>
        <w:rPr>
          <w:sz w:val="24"/>
          <w:szCs w:val="24"/>
        </w:rPr>
      </w:pPr>
      <w:r w:rsidRPr="004A662A">
        <w:rPr>
          <w:sz w:val="24"/>
          <w:szCs w:val="24"/>
        </w:rPr>
        <w:t>Hyppigheden af bivirkninger er højere ved nyre- og/eller leversygdom.</w:t>
      </w:r>
    </w:p>
    <w:p w:rsidR="008F0665" w:rsidRPr="004A662A" w:rsidRDefault="008F0665" w:rsidP="008F0665">
      <w:pPr>
        <w:ind w:left="851"/>
        <w:rPr>
          <w:sz w:val="24"/>
          <w:szCs w:val="24"/>
        </w:rPr>
      </w:pPr>
    </w:p>
    <w:p w:rsidR="00B23262" w:rsidRPr="00C41A3E" w:rsidRDefault="00B23262" w:rsidP="00B23262">
      <w:pPr>
        <w:ind w:left="851"/>
        <w:rPr>
          <w:sz w:val="24"/>
          <w:szCs w:val="24"/>
          <w:u w:val="single"/>
        </w:rPr>
      </w:pPr>
      <w:r w:rsidRPr="00C41A3E">
        <w:rPr>
          <w:sz w:val="24"/>
          <w:szCs w:val="24"/>
          <w:u w:val="single"/>
        </w:rPr>
        <w:t>Tabel 1 Bivirkninger</w:t>
      </w:r>
    </w:p>
    <w:p w:rsidR="00B23262" w:rsidRPr="00C41A3E" w:rsidRDefault="00B23262" w:rsidP="00B23262">
      <w:pPr>
        <w:ind w:left="851"/>
        <w:rPr>
          <w:sz w:val="24"/>
          <w:szCs w:val="24"/>
        </w:rPr>
      </w:pPr>
    </w:p>
    <w:tbl>
      <w:tblPr>
        <w:tblW w:w="8789" w:type="dxa"/>
        <w:tblInd w:w="703" w:type="dxa"/>
        <w:tblLayout w:type="fixed"/>
        <w:tblCellMar>
          <w:left w:w="0" w:type="dxa"/>
          <w:right w:w="0" w:type="dxa"/>
        </w:tblCellMar>
        <w:tblLook w:val="01E0" w:firstRow="1" w:lastRow="1" w:firstColumn="1" w:lastColumn="1" w:noHBand="0" w:noVBand="0"/>
      </w:tblPr>
      <w:tblGrid>
        <w:gridCol w:w="3119"/>
        <w:gridCol w:w="2693"/>
        <w:gridCol w:w="2977"/>
      </w:tblGrid>
      <w:tr w:rsidR="00B23262" w:rsidRPr="00C41A3E" w:rsidTr="00E71EA9">
        <w:trPr>
          <w:trHeight w:hRule="exact" w:val="395"/>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b/>
                <w:sz w:val="24"/>
                <w:szCs w:val="24"/>
              </w:rPr>
            </w:pPr>
            <w:r w:rsidRPr="00C41A3E">
              <w:rPr>
                <w:b/>
                <w:sz w:val="24"/>
                <w:szCs w:val="24"/>
              </w:rPr>
              <w:t>Systemorganklasse</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3" w:right="-20"/>
              <w:rPr>
                <w:rFonts w:eastAsia="Arial"/>
                <w:b/>
                <w:sz w:val="24"/>
                <w:szCs w:val="24"/>
              </w:rPr>
            </w:pPr>
            <w:r w:rsidRPr="00C41A3E">
              <w:rPr>
                <w:b/>
                <w:sz w:val="24"/>
                <w:szCs w:val="24"/>
              </w:rPr>
              <w:t>Hyppighed</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20"/>
              <w:rPr>
                <w:rFonts w:eastAsia="Arial"/>
                <w:b/>
                <w:sz w:val="24"/>
                <w:szCs w:val="24"/>
              </w:rPr>
            </w:pPr>
            <w:r w:rsidRPr="00C41A3E">
              <w:rPr>
                <w:b/>
                <w:sz w:val="24"/>
                <w:szCs w:val="24"/>
              </w:rPr>
              <w:t>Bivirkning</w:t>
            </w:r>
          </w:p>
        </w:tc>
      </w:tr>
      <w:tr w:rsidR="00B23262" w:rsidRPr="00C41A3E" w:rsidTr="00E71EA9">
        <w:trPr>
          <w:trHeight w:hRule="exact" w:val="557"/>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Infektioner og parasitære sygdomme</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3" w:right="-20"/>
              <w:rPr>
                <w:rFonts w:eastAsia="Arial"/>
                <w:sz w:val="24"/>
                <w:szCs w:val="24"/>
              </w:rPr>
            </w:pPr>
            <w:r w:rsidRPr="00C41A3E">
              <w:rPr>
                <w:sz w:val="24"/>
                <w:szCs w:val="24"/>
              </w:rPr>
              <w:t>Byld</w:t>
            </w:r>
          </w:p>
        </w:tc>
      </w:tr>
      <w:tr w:rsidR="00B23262" w:rsidRPr="00C41A3E" w:rsidTr="00E71EA9">
        <w:trPr>
          <w:trHeight w:hRule="exact" w:val="933"/>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Blod og lymfesystem</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20"/>
              <w:rPr>
                <w:sz w:val="24"/>
                <w:szCs w:val="24"/>
              </w:rPr>
            </w:pPr>
            <w:r w:rsidRPr="00C41A3E">
              <w:rPr>
                <w:sz w:val="24"/>
                <w:szCs w:val="24"/>
              </w:rPr>
              <w:t>Aranulocytose</w:t>
            </w:r>
            <w:r w:rsidRPr="00C41A3E">
              <w:rPr>
                <w:sz w:val="24"/>
                <w:szCs w:val="24"/>
                <w:vertAlign w:val="superscript"/>
              </w:rPr>
              <w:t>1</w:t>
            </w:r>
          </w:p>
          <w:p w:rsidR="00B23262" w:rsidRPr="00C41A3E" w:rsidRDefault="00B23262" w:rsidP="00E71EA9">
            <w:pPr>
              <w:ind w:left="34" w:right="-20"/>
              <w:rPr>
                <w:sz w:val="24"/>
                <w:szCs w:val="24"/>
              </w:rPr>
            </w:pPr>
            <w:proofErr w:type="spellStart"/>
            <w:r w:rsidRPr="00C41A3E">
              <w:rPr>
                <w:sz w:val="24"/>
                <w:szCs w:val="24"/>
              </w:rPr>
              <w:t>Aplastisk</w:t>
            </w:r>
            <w:proofErr w:type="spellEnd"/>
            <w:r w:rsidRPr="00C41A3E">
              <w:rPr>
                <w:sz w:val="24"/>
                <w:szCs w:val="24"/>
              </w:rPr>
              <w:t xml:space="preserve"> anæmi</w:t>
            </w:r>
            <w:r w:rsidRPr="00C41A3E">
              <w:rPr>
                <w:sz w:val="24"/>
                <w:szCs w:val="24"/>
                <w:vertAlign w:val="superscript"/>
              </w:rPr>
              <w:t>1</w:t>
            </w:r>
          </w:p>
          <w:p w:rsidR="00B23262" w:rsidRPr="00C41A3E" w:rsidRDefault="00B23262" w:rsidP="00E71EA9">
            <w:pPr>
              <w:ind w:left="34" w:right="-20"/>
              <w:rPr>
                <w:rFonts w:eastAsia="Arial"/>
                <w:sz w:val="24"/>
                <w:szCs w:val="24"/>
              </w:rPr>
            </w:pPr>
            <w:r w:rsidRPr="00C41A3E">
              <w:rPr>
                <w:sz w:val="24"/>
                <w:szCs w:val="24"/>
              </w:rPr>
              <w:t>Thrombocytopeni</w:t>
            </w:r>
            <w:r w:rsidRPr="00C41A3E">
              <w:rPr>
                <w:sz w:val="24"/>
                <w:szCs w:val="24"/>
                <w:vertAlign w:val="superscript"/>
              </w:rPr>
              <w:t>1</w:t>
            </w:r>
          </w:p>
        </w:tc>
      </w:tr>
      <w:tr w:rsidR="00B23262" w:rsidRPr="00C41A3E" w:rsidTr="00E71EA9">
        <w:trPr>
          <w:trHeight w:hRule="exact" w:val="439"/>
        </w:trPr>
        <w:tc>
          <w:tcPr>
            <w:tcW w:w="3119" w:type="dxa"/>
            <w:vMerge w:val="restart"/>
            <w:tcBorders>
              <w:top w:val="single" w:sz="5" w:space="0" w:color="101010"/>
              <w:left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Immunsystemet</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Ikke almindelig</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20"/>
              <w:rPr>
                <w:rFonts w:eastAsia="Arial"/>
                <w:sz w:val="24"/>
                <w:szCs w:val="24"/>
              </w:rPr>
            </w:pPr>
            <w:r w:rsidRPr="00C41A3E">
              <w:rPr>
                <w:sz w:val="24"/>
                <w:szCs w:val="24"/>
              </w:rPr>
              <w:t>Overfølsomhed</w:t>
            </w:r>
            <w:r w:rsidRPr="00C41A3E">
              <w:rPr>
                <w:sz w:val="24"/>
                <w:szCs w:val="24"/>
                <w:vertAlign w:val="superscript"/>
              </w:rPr>
              <w:t>2</w:t>
            </w:r>
          </w:p>
        </w:tc>
      </w:tr>
      <w:tr w:rsidR="00B23262" w:rsidRPr="00C41A3E" w:rsidTr="00E71EA9">
        <w:trPr>
          <w:trHeight w:hRule="exact" w:val="1245"/>
        </w:trPr>
        <w:tc>
          <w:tcPr>
            <w:tcW w:w="3119" w:type="dxa"/>
            <w:vMerge/>
            <w:tcBorders>
              <w:left w:val="single" w:sz="5" w:space="0" w:color="101010"/>
              <w:bottom w:val="single" w:sz="5" w:space="0" w:color="101010"/>
              <w:right w:val="single" w:sz="5" w:space="0" w:color="101010"/>
            </w:tcBorders>
          </w:tcPr>
          <w:p w:rsidR="00B23262" w:rsidRPr="00C41A3E" w:rsidRDefault="00B23262" w:rsidP="00E71EA9">
            <w:pPr>
              <w:rPr>
                <w:sz w:val="24"/>
                <w:szCs w:val="24"/>
              </w:rPr>
            </w:pP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20"/>
              <w:rPr>
                <w:sz w:val="24"/>
                <w:szCs w:val="24"/>
              </w:rPr>
            </w:pPr>
            <w:proofErr w:type="spellStart"/>
            <w:r w:rsidRPr="00C41A3E">
              <w:rPr>
                <w:sz w:val="24"/>
                <w:szCs w:val="24"/>
              </w:rPr>
              <w:t>Angioimmunoblastær</w:t>
            </w:r>
            <w:proofErr w:type="spellEnd"/>
            <w:r w:rsidRPr="00C41A3E">
              <w:t xml:space="preserve"> </w:t>
            </w:r>
            <w:r w:rsidRPr="00C41A3E">
              <w:rPr>
                <w:sz w:val="24"/>
                <w:szCs w:val="24"/>
              </w:rPr>
              <w:t>lymfadenopati</w:t>
            </w:r>
            <w:r w:rsidRPr="00C41A3E">
              <w:rPr>
                <w:sz w:val="24"/>
                <w:szCs w:val="24"/>
                <w:vertAlign w:val="superscript"/>
              </w:rPr>
              <w:t>3</w:t>
            </w:r>
            <w:r w:rsidRPr="00C41A3E">
              <w:rPr>
                <w:sz w:val="24"/>
                <w:szCs w:val="24"/>
              </w:rPr>
              <w:t xml:space="preserve"> </w:t>
            </w:r>
          </w:p>
          <w:p w:rsidR="00B23262" w:rsidRPr="00C41A3E" w:rsidRDefault="00B23262" w:rsidP="00E71EA9">
            <w:pPr>
              <w:ind w:left="34" w:right="-20"/>
              <w:rPr>
                <w:rFonts w:eastAsia="Arial"/>
                <w:sz w:val="24"/>
                <w:szCs w:val="24"/>
              </w:rPr>
            </w:pPr>
            <w:proofErr w:type="spellStart"/>
            <w:r w:rsidRPr="00C41A3E">
              <w:rPr>
                <w:sz w:val="24"/>
                <w:szCs w:val="24"/>
              </w:rPr>
              <w:t>Anafylaktisk</w:t>
            </w:r>
            <w:proofErr w:type="spellEnd"/>
            <w:r w:rsidRPr="00C41A3E">
              <w:rPr>
                <w:sz w:val="24"/>
                <w:szCs w:val="24"/>
              </w:rPr>
              <w:t xml:space="preserve"> reaktion</w:t>
            </w:r>
          </w:p>
        </w:tc>
      </w:tr>
      <w:tr w:rsidR="00B23262" w:rsidRPr="00C41A3E" w:rsidTr="00E71EA9">
        <w:trPr>
          <w:trHeight w:hRule="exact" w:val="713"/>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Metabolisme og ernæring</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3" w:right="-20"/>
              <w:rPr>
                <w:sz w:val="24"/>
                <w:szCs w:val="24"/>
              </w:rPr>
            </w:pPr>
            <w:r w:rsidRPr="00C41A3E">
              <w:rPr>
                <w:sz w:val="24"/>
                <w:szCs w:val="24"/>
              </w:rPr>
              <w:t>Diabetes mellitus</w:t>
            </w:r>
          </w:p>
          <w:p w:rsidR="00B23262" w:rsidRPr="00C41A3E" w:rsidRDefault="00B23262" w:rsidP="00E71EA9">
            <w:pPr>
              <w:ind w:left="34" w:right="-20"/>
              <w:rPr>
                <w:rFonts w:eastAsia="Arial"/>
                <w:sz w:val="24"/>
                <w:szCs w:val="24"/>
              </w:rPr>
            </w:pPr>
            <w:proofErr w:type="spellStart"/>
            <w:r w:rsidRPr="00C41A3E">
              <w:rPr>
                <w:sz w:val="24"/>
                <w:szCs w:val="24"/>
              </w:rPr>
              <w:t>Hyperlipidæmi</w:t>
            </w:r>
            <w:proofErr w:type="spellEnd"/>
          </w:p>
        </w:tc>
      </w:tr>
      <w:tr w:rsidR="00B23262" w:rsidRPr="00C41A3E" w:rsidTr="00E71EA9">
        <w:trPr>
          <w:trHeight w:hRule="exact" w:val="396"/>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lastRenderedPageBreak/>
              <w:t>Psykiske forstyrrelser</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20"/>
              <w:rPr>
                <w:rFonts w:eastAsia="Arial"/>
                <w:sz w:val="24"/>
                <w:szCs w:val="24"/>
              </w:rPr>
            </w:pPr>
            <w:r w:rsidRPr="00C41A3E">
              <w:rPr>
                <w:sz w:val="24"/>
                <w:szCs w:val="24"/>
              </w:rPr>
              <w:t>Depression</w:t>
            </w:r>
          </w:p>
        </w:tc>
      </w:tr>
      <w:tr w:rsidR="003B6D17" w:rsidRPr="00C41A3E" w:rsidTr="0019282D">
        <w:trPr>
          <w:trHeight w:hRule="exact" w:val="2283"/>
        </w:trPr>
        <w:tc>
          <w:tcPr>
            <w:tcW w:w="3119" w:type="dxa"/>
            <w:vMerge w:val="restart"/>
            <w:tcBorders>
              <w:top w:val="single" w:sz="5" w:space="0" w:color="101010"/>
              <w:left w:val="single" w:sz="5" w:space="0" w:color="101010"/>
              <w:right w:val="single" w:sz="5" w:space="0" w:color="101010"/>
            </w:tcBorders>
          </w:tcPr>
          <w:p w:rsidR="003B6D17" w:rsidRPr="00C41A3E" w:rsidRDefault="003B6D17" w:rsidP="00E71EA9">
            <w:pPr>
              <w:ind w:left="32" w:right="-20"/>
              <w:rPr>
                <w:rFonts w:eastAsia="Arial"/>
                <w:sz w:val="24"/>
                <w:szCs w:val="24"/>
              </w:rPr>
            </w:pPr>
            <w:r w:rsidRPr="00C41A3E">
              <w:rPr>
                <w:sz w:val="24"/>
                <w:szCs w:val="24"/>
              </w:rPr>
              <w:t>Nervesystemet</w:t>
            </w:r>
          </w:p>
        </w:tc>
        <w:tc>
          <w:tcPr>
            <w:tcW w:w="2693" w:type="dxa"/>
            <w:tcBorders>
              <w:top w:val="single" w:sz="5" w:space="0" w:color="101010"/>
              <w:left w:val="single" w:sz="5" w:space="0" w:color="101010"/>
              <w:bottom w:val="single" w:sz="5" w:space="0" w:color="101010"/>
              <w:right w:val="single" w:sz="5" w:space="0" w:color="101010"/>
            </w:tcBorders>
          </w:tcPr>
          <w:p w:rsidR="003B6D17" w:rsidRPr="00C41A3E" w:rsidRDefault="003B6D17"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3B6D17" w:rsidRPr="00182A67" w:rsidRDefault="003B6D17" w:rsidP="00E71EA9">
            <w:pPr>
              <w:ind w:left="142" w:right="142" w:hanging="109"/>
              <w:rPr>
                <w:sz w:val="24"/>
                <w:szCs w:val="24"/>
                <w:lang w:val="fi-FI"/>
              </w:rPr>
            </w:pPr>
            <w:r w:rsidRPr="00182A67">
              <w:rPr>
                <w:sz w:val="24"/>
                <w:szCs w:val="24"/>
                <w:lang w:val="fi-FI"/>
              </w:rPr>
              <w:t>Koma</w:t>
            </w:r>
          </w:p>
          <w:p w:rsidR="003B6D17" w:rsidRPr="00182A67" w:rsidRDefault="003B6D17" w:rsidP="00E71EA9">
            <w:pPr>
              <w:ind w:left="142" w:right="142" w:hanging="109"/>
              <w:rPr>
                <w:sz w:val="24"/>
                <w:szCs w:val="24"/>
                <w:lang w:val="fi-FI"/>
              </w:rPr>
            </w:pPr>
            <w:r w:rsidRPr="00182A67">
              <w:rPr>
                <w:sz w:val="24"/>
                <w:szCs w:val="24"/>
                <w:lang w:val="fi-FI"/>
              </w:rPr>
              <w:t>Paralyse</w:t>
            </w:r>
          </w:p>
          <w:p w:rsidR="003B6D17" w:rsidRPr="00182A67" w:rsidRDefault="003B6D17" w:rsidP="00E71EA9">
            <w:pPr>
              <w:ind w:left="142" w:right="142" w:hanging="109"/>
              <w:rPr>
                <w:rFonts w:eastAsia="Arial"/>
                <w:sz w:val="24"/>
                <w:szCs w:val="24"/>
                <w:lang w:val="fi-FI"/>
              </w:rPr>
            </w:pPr>
            <w:r w:rsidRPr="00182A67">
              <w:rPr>
                <w:sz w:val="24"/>
                <w:szCs w:val="24"/>
                <w:lang w:val="fi-FI"/>
              </w:rPr>
              <w:t>Ataksi</w:t>
            </w:r>
          </w:p>
          <w:p w:rsidR="003B6D17" w:rsidRPr="00182A67" w:rsidRDefault="003B6D17" w:rsidP="00E71EA9">
            <w:pPr>
              <w:ind w:left="34" w:right="155"/>
              <w:rPr>
                <w:rFonts w:eastAsia="Arial"/>
                <w:w w:val="103"/>
                <w:sz w:val="24"/>
                <w:szCs w:val="24"/>
                <w:lang w:val="fi-FI"/>
              </w:rPr>
            </w:pPr>
            <w:r w:rsidRPr="00182A67">
              <w:rPr>
                <w:sz w:val="24"/>
                <w:szCs w:val="24"/>
                <w:lang w:val="fi-FI"/>
              </w:rPr>
              <w:t>Perifer neuropati</w:t>
            </w:r>
          </w:p>
          <w:p w:rsidR="003B6D17" w:rsidRPr="00182A67" w:rsidRDefault="003B6D17" w:rsidP="00E71EA9">
            <w:pPr>
              <w:ind w:left="34" w:right="155"/>
              <w:rPr>
                <w:rFonts w:eastAsia="Arial"/>
                <w:w w:val="103"/>
                <w:sz w:val="24"/>
                <w:szCs w:val="24"/>
                <w:lang w:val="fi-FI"/>
              </w:rPr>
            </w:pPr>
            <w:r w:rsidRPr="00182A67">
              <w:rPr>
                <w:sz w:val="24"/>
                <w:szCs w:val="24"/>
                <w:lang w:val="fi-FI"/>
              </w:rPr>
              <w:t>Paræstesi</w:t>
            </w:r>
          </w:p>
          <w:p w:rsidR="003B6D17" w:rsidRPr="00380E57" w:rsidRDefault="003B6D17" w:rsidP="00E71EA9">
            <w:pPr>
              <w:ind w:left="34" w:right="155"/>
              <w:rPr>
                <w:rFonts w:eastAsia="Arial"/>
                <w:spacing w:val="-1"/>
                <w:w w:val="103"/>
                <w:sz w:val="24"/>
                <w:szCs w:val="24"/>
              </w:rPr>
            </w:pPr>
            <w:r w:rsidRPr="00C41A3E">
              <w:rPr>
                <w:sz w:val="24"/>
                <w:szCs w:val="24"/>
              </w:rPr>
              <w:t>Døsighed</w:t>
            </w:r>
          </w:p>
          <w:p w:rsidR="003B6D17" w:rsidRPr="00783E65" w:rsidRDefault="003B6D17" w:rsidP="00E71EA9">
            <w:pPr>
              <w:ind w:left="34" w:right="155"/>
              <w:rPr>
                <w:rFonts w:eastAsia="Arial"/>
                <w:spacing w:val="-1"/>
                <w:w w:val="103"/>
                <w:sz w:val="24"/>
                <w:szCs w:val="24"/>
              </w:rPr>
            </w:pPr>
            <w:r w:rsidRPr="00C669A8">
              <w:rPr>
                <w:sz w:val="24"/>
                <w:szCs w:val="24"/>
              </w:rPr>
              <w:t>Hovedpine</w:t>
            </w:r>
          </w:p>
          <w:p w:rsidR="003B6D17" w:rsidRPr="00C41A3E" w:rsidRDefault="003B6D17" w:rsidP="00E71EA9">
            <w:pPr>
              <w:ind w:left="34" w:right="155"/>
              <w:rPr>
                <w:rFonts w:eastAsia="Arial"/>
                <w:sz w:val="24"/>
                <w:szCs w:val="24"/>
              </w:rPr>
            </w:pPr>
            <w:proofErr w:type="spellStart"/>
            <w:r w:rsidRPr="00C41A3E">
              <w:rPr>
                <w:sz w:val="24"/>
                <w:szCs w:val="24"/>
              </w:rPr>
              <w:t>Dysgeusi</w:t>
            </w:r>
            <w:proofErr w:type="spellEnd"/>
          </w:p>
        </w:tc>
      </w:tr>
      <w:tr w:rsidR="003B6D17" w:rsidRPr="00C41A3E" w:rsidTr="003B6D17">
        <w:tc>
          <w:tcPr>
            <w:tcW w:w="3119" w:type="dxa"/>
            <w:vMerge/>
            <w:tcBorders>
              <w:left w:val="single" w:sz="5" w:space="0" w:color="101010"/>
              <w:bottom w:val="single" w:sz="5" w:space="0" w:color="101010"/>
              <w:right w:val="single" w:sz="5" w:space="0" w:color="101010"/>
            </w:tcBorders>
          </w:tcPr>
          <w:p w:rsidR="003B6D17" w:rsidRPr="00C41A3E" w:rsidRDefault="003B6D17" w:rsidP="00E71EA9">
            <w:pPr>
              <w:ind w:left="32" w:right="-20"/>
              <w:rPr>
                <w:sz w:val="24"/>
                <w:szCs w:val="24"/>
              </w:rPr>
            </w:pPr>
          </w:p>
        </w:tc>
        <w:tc>
          <w:tcPr>
            <w:tcW w:w="2693" w:type="dxa"/>
            <w:tcBorders>
              <w:top w:val="single" w:sz="5" w:space="0" w:color="101010"/>
              <w:left w:val="single" w:sz="5" w:space="0" w:color="101010"/>
              <w:bottom w:val="single" w:sz="5" w:space="0" w:color="101010"/>
              <w:right w:val="single" w:sz="5" w:space="0" w:color="101010"/>
            </w:tcBorders>
          </w:tcPr>
          <w:p w:rsidR="003B6D17" w:rsidRPr="00C41A3E" w:rsidRDefault="003B6D17" w:rsidP="00E71EA9">
            <w:pPr>
              <w:ind w:left="32" w:right="-20"/>
              <w:rPr>
                <w:sz w:val="24"/>
                <w:szCs w:val="24"/>
              </w:rPr>
            </w:pPr>
            <w:r>
              <w:rPr>
                <w:sz w:val="24"/>
                <w:szCs w:val="24"/>
              </w:rPr>
              <w:t>Ikke kendt</w:t>
            </w:r>
          </w:p>
        </w:tc>
        <w:tc>
          <w:tcPr>
            <w:tcW w:w="2977" w:type="dxa"/>
            <w:tcBorders>
              <w:top w:val="single" w:sz="5" w:space="0" w:color="101010"/>
              <w:left w:val="single" w:sz="5" w:space="0" w:color="101010"/>
              <w:bottom w:val="single" w:sz="5" w:space="0" w:color="101010"/>
              <w:right w:val="single" w:sz="5" w:space="0" w:color="3F3F3F"/>
            </w:tcBorders>
          </w:tcPr>
          <w:p w:rsidR="003B6D17" w:rsidRPr="00182A67" w:rsidRDefault="003B6D17" w:rsidP="00E71EA9">
            <w:pPr>
              <w:ind w:left="142" w:right="142" w:hanging="109"/>
              <w:rPr>
                <w:sz w:val="24"/>
                <w:szCs w:val="24"/>
                <w:lang w:val="fi-FI"/>
              </w:rPr>
            </w:pPr>
            <w:r w:rsidRPr="00351B02">
              <w:rPr>
                <w:sz w:val="22"/>
                <w:szCs w:val="22"/>
              </w:rPr>
              <w:t>Aseptisk meningitis</w:t>
            </w:r>
          </w:p>
        </w:tc>
      </w:tr>
      <w:tr w:rsidR="00B23262" w:rsidRPr="00C41A3E" w:rsidTr="00E71EA9">
        <w:trPr>
          <w:trHeight w:hRule="exact" w:val="851"/>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Øjne</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20"/>
              <w:rPr>
                <w:sz w:val="24"/>
                <w:szCs w:val="24"/>
              </w:rPr>
            </w:pPr>
            <w:r w:rsidRPr="00C41A3E">
              <w:rPr>
                <w:sz w:val="24"/>
                <w:szCs w:val="24"/>
              </w:rPr>
              <w:t>Katarakt</w:t>
            </w:r>
          </w:p>
          <w:p w:rsidR="00B23262" w:rsidRPr="00C41A3E" w:rsidRDefault="00B23262" w:rsidP="00E71EA9">
            <w:pPr>
              <w:ind w:left="34" w:right="-20"/>
              <w:rPr>
                <w:sz w:val="24"/>
                <w:szCs w:val="24"/>
              </w:rPr>
            </w:pPr>
            <w:r w:rsidRPr="00C41A3E">
              <w:rPr>
                <w:sz w:val="24"/>
                <w:szCs w:val="24"/>
              </w:rPr>
              <w:t>Nedsat syn</w:t>
            </w:r>
          </w:p>
          <w:p w:rsidR="00B23262" w:rsidRPr="00C41A3E" w:rsidRDefault="00B23262" w:rsidP="00E71EA9">
            <w:pPr>
              <w:ind w:left="34" w:right="-20"/>
              <w:rPr>
                <w:rFonts w:eastAsia="Arial"/>
                <w:sz w:val="24"/>
                <w:szCs w:val="24"/>
              </w:rPr>
            </w:pPr>
            <w:proofErr w:type="spellStart"/>
            <w:r w:rsidRPr="00C41A3E">
              <w:rPr>
                <w:sz w:val="24"/>
                <w:szCs w:val="24"/>
              </w:rPr>
              <w:t>Makulopati</w:t>
            </w:r>
            <w:proofErr w:type="spellEnd"/>
          </w:p>
        </w:tc>
      </w:tr>
      <w:tr w:rsidR="00B23262" w:rsidRPr="00C41A3E" w:rsidTr="00E71EA9">
        <w:trPr>
          <w:trHeight w:hRule="exact" w:val="266"/>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Øre og labyrint</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1"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3" w:right="-20"/>
              <w:rPr>
                <w:rFonts w:eastAsia="Arial"/>
                <w:sz w:val="24"/>
                <w:szCs w:val="24"/>
              </w:rPr>
            </w:pPr>
            <w:proofErr w:type="spellStart"/>
            <w:r w:rsidRPr="00C41A3E">
              <w:rPr>
                <w:sz w:val="24"/>
                <w:szCs w:val="24"/>
              </w:rPr>
              <w:t>Vertigo</w:t>
            </w:r>
            <w:proofErr w:type="spellEnd"/>
          </w:p>
        </w:tc>
      </w:tr>
      <w:tr w:rsidR="00B23262" w:rsidRPr="00C41A3E" w:rsidTr="00E71EA9">
        <w:trPr>
          <w:trHeight w:hRule="exact" w:val="569"/>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Hjerte</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20"/>
              <w:rPr>
                <w:sz w:val="24"/>
                <w:szCs w:val="24"/>
              </w:rPr>
            </w:pPr>
            <w:r w:rsidRPr="00C41A3E">
              <w:rPr>
                <w:sz w:val="24"/>
                <w:szCs w:val="24"/>
              </w:rPr>
              <w:t>Angina pectoris</w:t>
            </w:r>
          </w:p>
          <w:p w:rsidR="00B23262" w:rsidRPr="00C41A3E" w:rsidRDefault="00B23262" w:rsidP="00E71EA9">
            <w:pPr>
              <w:ind w:left="34" w:right="-20"/>
              <w:rPr>
                <w:rFonts w:eastAsia="Arial"/>
                <w:sz w:val="24"/>
                <w:szCs w:val="24"/>
              </w:rPr>
            </w:pPr>
            <w:r w:rsidRPr="00C41A3E">
              <w:rPr>
                <w:sz w:val="24"/>
                <w:szCs w:val="24"/>
              </w:rPr>
              <w:t>Bradykardi</w:t>
            </w:r>
          </w:p>
        </w:tc>
      </w:tr>
      <w:tr w:rsidR="00B23262" w:rsidRPr="00C41A3E" w:rsidTr="00E71EA9">
        <w:trPr>
          <w:trHeight w:hRule="exact" w:val="280"/>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proofErr w:type="spellStart"/>
            <w:r w:rsidRPr="00C41A3E">
              <w:rPr>
                <w:sz w:val="24"/>
                <w:szCs w:val="24"/>
              </w:rPr>
              <w:t>Vaskulære</w:t>
            </w:r>
            <w:proofErr w:type="spellEnd"/>
            <w:r w:rsidRPr="00C41A3E">
              <w:rPr>
                <w:sz w:val="24"/>
                <w:szCs w:val="24"/>
              </w:rPr>
              <w:t xml:space="preserve"> sygdomme</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3"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20"/>
              <w:rPr>
                <w:rFonts w:eastAsia="Arial"/>
                <w:sz w:val="24"/>
                <w:szCs w:val="24"/>
              </w:rPr>
            </w:pPr>
            <w:r w:rsidRPr="00C41A3E">
              <w:rPr>
                <w:sz w:val="24"/>
                <w:szCs w:val="24"/>
              </w:rPr>
              <w:t>Hypertension</w:t>
            </w:r>
          </w:p>
        </w:tc>
      </w:tr>
      <w:tr w:rsidR="00B23262" w:rsidRPr="00C41A3E" w:rsidTr="003B6D17">
        <w:tc>
          <w:tcPr>
            <w:tcW w:w="3119" w:type="dxa"/>
            <w:vMerge w:val="restart"/>
            <w:tcBorders>
              <w:top w:val="single" w:sz="5" w:space="0" w:color="101010"/>
              <w:left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Mave-tarm-kanalen</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1" w:right="-20"/>
              <w:rPr>
                <w:rFonts w:eastAsia="Arial"/>
                <w:sz w:val="24"/>
                <w:szCs w:val="24"/>
              </w:rPr>
            </w:pPr>
            <w:r w:rsidRPr="00C41A3E">
              <w:rPr>
                <w:sz w:val="24"/>
                <w:szCs w:val="24"/>
              </w:rPr>
              <w:t>Ikke almindelig</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20"/>
              <w:rPr>
                <w:sz w:val="24"/>
                <w:szCs w:val="24"/>
              </w:rPr>
            </w:pPr>
            <w:r w:rsidRPr="00C41A3E">
              <w:rPr>
                <w:sz w:val="24"/>
                <w:szCs w:val="24"/>
              </w:rPr>
              <w:t>Opkastning</w:t>
            </w:r>
            <w:r w:rsidRPr="00C41A3E">
              <w:rPr>
                <w:sz w:val="24"/>
                <w:szCs w:val="24"/>
                <w:vertAlign w:val="superscript"/>
              </w:rPr>
              <w:t>4</w:t>
            </w:r>
          </w:p>
          <w:p w:rsidR="00B23262" w:rsidRDefault="00B23262" w:rsidP="00E71EA9">
            <w:pPr>
              <w:ind w:left="34" w:right="-20"/>
              <w:rPr>
                <w:sz w:val="24"/>
                <w:szCs w:val="24"/>
                <w:vertAlign w:val="superscript"/>
              </w:rPr>
            </w:pPr>
            <w:r w:rsidRPr="00C41A3E">
              <w:rPr>
                <w:sz w:val="24"/>
                <w:szCs w:val="24"/>
              </w:rPr>
              <w:t>Kvalme</w:t>
            </w:r>
            <w:r w:rsidRPr="00C41A3E">
              <w:rPr>
                <w:sz w:val="24"/>
                <w:szCs w:val="24"/>
                <w:vertAlign w:val="superscript"/>
              </w:rPr>
              <w:t>4</w:t>
            </w:r>
          </w:p>
          <w:p w:rsidR="003B6D17" w:rsidRPr="00C41A3E" w:rsidRDefault="003B6D17" w:rsidP="00E71EA9">
            <w:pPr>
              <w:ind w:left="34" w:right="-20"/>
              <w:rPr>
                <w:rFonts w:eastAsia="Arial"/>
                <w:sz w:val="24"/>
                <w:szCs w:val="24"/>
              </w:rPr>
            </w:pPr>
            <w:r w:rsidRPr="0084360C">
              <w:rPr>
                <w:sz w:val="24"/>
                <w:szCs w:val="24"/>
              </w:rPr>
              <w:t>Diarré</w:t>
            </w:r>
          </w:p>
        </w:tc>
      </w:tr>
      <w:tr w:rsidR="00B23262" w:rsidRPr="00C41A3E" w:rsidTr="00E71EA9">
        <w:trPr>
          <w:trHeight w:hRule="exact" w:val="1126"/>
        </w:trPr>
        <w:tc>
          <w:tcPr>
            <w:tcW w:w="3119" w:type="dxa"/>
            <w:vMerge/>
            <w:tcBorders>
              <w:left w:val="single" w:sz="5" w:space="0" w:color="101010"/>
              <w:bottom w:val="single" w:sz="6" w:space="0" w:color="101010"/>
              <w:right w:val="single" w:sz="5" w:space="0" w:color="101010"/>
            </w:tcBorders>
          </w:tcPr>
          <w:p w:rsidR="00B23262" w:rsidRPr="00C41A3E" w:rsidRDefault="00B23262" w:rsidP="00E71EA9">
            <w:pPr>
              <w:rPr>
                <w:sz w:val="24"/>
                <w:szCs w:val="24"/>
              </w:rPr>
            </w:pPr>
          </w:p>
        </w:tc>
        <w:tc>
          <w:tcPr>
            <w:tcW w:w="2693" w:type="dxa"/>
            <w:tcBorders>
              <w:top w:val="single" w:sz="5" w:space="0" w:color="101010"/>
              <w:left w:val="single" w:sz="5" w:space="0" w:color="101010"/>
              <w:bottom w:val="single" w:sz="6"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6" w:space="0" w:color="101010"/>
              <w:right w:val="single" w:sz="5" w:space="0" w:color="3F3F3F"/>
            </w:tcBorders>
          </w:tcPr>
          <w:p w:rsidR="00B23262" w:rsidRPr="00C41A3E" w:rsidRDefault="00B23262" w:rsidP="00E71EA9">
            <w:pPr>
              <w:ind w:left="34" w:right="13"/>
              <w:rPr>
                <w:rFonts w:eastAsia="Arial"/>
                <w:w w:val="103"/>
                <w:sz w:val="24"/>
                <w:szCs w:val="24"/>
              </w:rPr>
            </w:pPr>
            <w:proofErr w:type="spellStart"/>
            <w:r w:rsidRPr="00C41A3E">
              <w:rPr>
                <w:sz w:val="24"/>
                <w:szCs w:val="24"/>
              </w:rPr>
              <w:t>Hæmatemese</w:t>
            </w:r>
            <w:proofErr w:type="spellEnd"/>
          </w:p>
          <w:p w:rsidR="00B23262" w:rsidRPr="00C41A3E" w:rsidRDefault="00B23262" w:rsidP="00E71EA9">
            <w:pPr>
              <w:ind w:left="34" w:right="13"/>
              <w:rPr>
                <w:rFonts w:eastAsia="Arial"/>
                <w:w w:val="103"/>
                <w:sz w:val="24"/>
                <w:szCs w:val="24"/>
              </w:rPr>
            </w:pPr>
            <w:proofErr w:type="spellStart"/>
            <w:r w:rsidRPr="00C41A3E">
              <w:rPr>
                <w:sz w:val="24"/>
                <w:szCs w:val="24"/>
              </w:rPr>
              <w:t>Steatorré</w:t>
            </w:r>
            <w:proofErr w:type="spellEnd"/>
          </w:p>
          <w:p w:rsidR="00B23262" w:rsidRPr="00C41A3E" w:rsidRDefault="00B23262" w:rsidP="00E71EA9">
            <w:pPr>
              <w:ind w:left="34" w:right="13"/>
              <w:rPr>
                <w:rFonts w:eastAsia="Arial"/>
                <w:sz w:val="24"/>
                <w:szCs w:val="24"/>
              </w:rPr>
            </w:pPr>
            <w:proofErr w:type="spellStart"/>
            <w:r w:rsidRPr="00C41A3E">
              <w:rPr>
                <w:sz w:val="24"/>
                <w:szCs w:val="24"/>
              </w:rPr>
              <w:t>Stomatitis</w:t>
            </w:r>
            <w:proofErr w:type="spellEnd"/>
          </w:p>
          <w:p w:rsidR="00B23262" w:rsidRPr="00C41A3E" w:rsidRDefault="00B23262" w:rsidP="00E71EA9">
            <w:pPr>
              <w:ind w:left="34" w:right="-20"/>
              <w:rPr>
                <w:rFonts w:eastAsia="Arial"/>
                <w:sz w:val="24"/>
                <w:szCs w:val="24"/>
              </w:rPr>
            </w:pPr>
            <w:r w:rsidRPr="00C41A3E">
              <w:rPr>
                <w:sz w:val="24"/>
                <w:szCs w:val="24"/>
              </w:rPr>
              <w:t>Ændret afføringsmønster</w:t>
            </w:r>
          </w:p>
        </w:tc>
      </w:tr>
      <w:tr w:rsidR="00B23262" w:rsidRPr="00C41A3E" w:rsidTr="00E71EA9">
        <w:trPr>
          <w:trHeight w:hRule="exact" w:val="440"/>
        </w:trPr>
        <w:tc>
          <w:tcPr>
            <w:tcW w:w="3119" w:type="dxa"/>
            <w:vMerge w:val="restart"/>
            <w:tcBorders>
              <w:top w:val="single" w:sz="6" w:space="0" w:color="101010"/>
              <w:left w:val="single" w:sz="6" w:space="0" w:color="101010"/>
              <w:right w:val="single" w:sz="6" w:space="0" w:color="101010"/>
            </w:tcBorders>
          </w:tcPr>
          <w:p w:rsidR="00B23262" w:rsidRPr="00C41A3E" w:rsidRDefault="00B23262" w:rsidP="00E71EA9">
            <w:pPr>
              <w:ind w:left="32" w:right="-20"/>
              <w:rPr>
                <w:rFonts w:eastAsia="Arial"/>
                <w:sz w:val="24"/>
                <w:szCs w:val="24"/>
              </w:rPr>
            </w:pPr>
            <w:r w:rsidRPr="00C41A3E">
              <w:rPr>
                <w:sz w:val="24"/>
                <w:szCs w:val="24"/>
              </w:rPr>
              <w:t>Lever og galdeveje</w:t>
            </w:r>
          </w:p>
        </w:tc>
        <w:tc>
          <w:tcPr>
            <w:tcW w:w="2693" w:type="dxa"/>
            <w:tcBorders>
              <w:top w:val="single" w:sz="6" w:space="0" w:color="101010"/>
              <w:left w:val="single" w:sz="6" w:space="0" w:color="101010"/>
              <w:bottom w:val="single" w:sz="6" w:space="0" w:color="101010"/>
              <w:right w:val="single" w:sz="6" w:space="0" w:color="101010"/>
            </w:tcBorders>
          </w:tcPr>
          <w:p w:rsidR="00B23262" w:rsidRPr="00C41A3E" w:rsidRDefault="00B23262" w:rsidP="00E71EA9">
            <w:pPr>
              <w:ind w:left="32" w:right="-20"/>
              <w:rPr>
                <w:rFonts w:eastAsia="Arial"/>
                <w:sz w:val="24"/>
                <w:szCs w:val="24"/>
              </w:rPr>
            </w:pPr>
            <w:r w:rsidRPr="00C41A3E">
              <w:rPr>
                <w:sz w:val="24"/>
                <w:szCs w:val="24"/>
              </w:rPr>
              <w:t>Ikke almindelig</w:t>
            </w:r>
          </w:p>
        </w:tc>
        <w:tc>
          <w:tcPr>
            <w:tcW w:w="2977" w:type="dxa"/>
            <w:tcBorders>
              <w:top w:val="single" w:sz="6" w:space="0" w:color="101010"/>
              <w:left w:val="single" w:sz="6" w:space="0" w:color="101010"/>
              <w:bottom w:val="single" w:sz="6" w:space="0" w:color="101010"/>
              <w:right w:val="single" w:sz="6" w:space="0" w:color="3F3F3F"/>
            </w:tcBorders>
          </w:tcPr>
          <w:p w:rsidR="00B23262" w:rsidRPr="00C41A3E" w:rsidRDefault="00B23262" w:rsidP="00E71EA9">
            <w:pPr>
              <w:ind w:left="34" w:right="-20"/>
              <w:rPr>
                <w:rFonts w:eastAsia="Arial"/>
                <w:sz w:val="24"/>
                <w:szCs w:val="24"/>
              </w:rPr>
            </w:pPr>
            <w:r w:rsidRPr="00C41A3E">
              <w:rPr>
                <w:sz w:val="24"/>
                <w:szCs w:val="24"/>
              </w:rPr>
              <w:t>Abnorme leverværdier</w:t>
            </w:r>
            <w:r w:rsidRPr="00C41A3E">
              <w:rPr>
                <w:sz w:val="24"/>
                <w:szCs w:val="24"/>
                <w:vertAlign w:val="superscript"/>
              </w:rPr>
              <w:t>5</w:t>
            </w:r>
          </w:p>
        </w:tc>
      </w:tr>
      <w:tr w:rsidR="00B23262" w:rsidRPr="00C41A3E" w:rsidTr="00E71EA9">
        <w:trPr>
          <w:trHeight w:hRule="exact" w:val="875"/>
        </w:trPr>
        <w:tc>
          <w:tcPr>
            <w:tcW w:w="3119" w:type="dxa"/>
            <w:vMerge/>
            <w:tcBorders>
              <w:left w:val="single" w:sz="6" w:space="0" w:color="101010"/>
              <w:bottom w:val="single" w:sz="4" w:space="0" w:color="auto"/>
              <w:right w:val="single" w:sz="6" w:space="0" w:color="101010"/>
            </w:tcBorders>
          </w:tcPr>
          <w:p w:rsidR="00B23262" w:rsidRPr="00C41A3E" w:rsidRDefault="00B23262" w:rsidP="00E71EA9">
            <w:pPr>
              <w:ind w:left="32" w:right="-20"/>
              <w:rPr>
                <w:rFonts w:eastAsia="Arial"/>
                <w:sz w:val="24"/>
                <w:szCs w:val="24"/>
              </w:rPr>
            </w:pPr>
          </w:p>
        </w:tc>
        <w:tc>
          <w:tcPr>
            <w:tcW w:w="2693" w:type="dxa"/>
            <w:tcBorders>
              <w:top w:val="single" w:sz="6" w:space="0" w:color="101010"/>
              <w:left w:val="single" w:sz="6" w:space="0" w:color="101010"/>
              <w:bottom w:val="single" w:sz="4" w:space="0" w:color="auto"/>
              <w:right w:val="single" w:sz="6" w:space="0" w:color="101010"/>
            </w:tcBorders>
          </w:tcPr>
          <w:p w:rsidR="00B23262" w:rsidRPr="00C41A3E" w:rsidRDefault="00B23262" w:rsidP="00E71EA9">
            <w:pPr>
              <w:ind w:left="32" w:right="-20"/>
              <w:rPr>
                <w:rFonts w:eastAsia="Arial"/>
                <w:w w:val="103"/>
                <w:sz w:val="24"/>
                <w:szCs w:val="24"/>
              </w:rPr>
            </w:pPr>
            <w:r w:rsidRPr="00C41A3E">
              <w:rPr>
                <w:sz w:val="24"/>
                <w:szCs w:val="24"/>
              </w:rPr>
              <w:t>Sjælden</w:t>
            </w:r>
          </w:p>
        </w:tc>
        <w:tc>
          <w:tcPr>
            <w:tcW w:w="2977" w:type="dxa"/>
            <w:tcBorders>
              <w:top w:val="single" w:sz="6" w:space="0" w:color="101010"/>
              <w:left w:val="single" w:sz="6" w:space="0" w:color="101010"/>
              <w:bottom w:val="single" w:sz="4" w:space="0" w:color="auto"/>
              <w:right w:val="single" w:sz="6" w:space="0" w:color="3F3F3F"/>
            </w:tcBorders>
          </w:tcPr>
          <w:p w:rsidR="00B23262" w:rsidRPr="00C41A3E" w:rsidRDefault="00B23262" w:rsidP="00E71EA9">
            <w:pPr>
              <w:ind w:left="34" w:right="-20"/>
              <w:rPr>
                <w:rFonts w:eastAsia="Arial"/>
                <w:spacing w:val="-1"/>
                <w:sz w:val="24"/>
                <w:szCs w:val="24"/>
              </w:rPr>
            </w:pPr>
            <w:r w:rsidRPr="00C41A3E">
              <w:rPr>
                <w:sz w:val="24"/>
                <w:szCs w:val="24"/>
              </w:rPr>
              <w:t xml:space="preserve">Hepatitis (inklusive levernekrose og </w:t>
            </w:r>
            <w:proofErr w:type="spellStart"/>
            <w:r w:rsidRPr="00C41A3E">
              <w:rPr>
                <w:sz w:val="24"/>
                <w:szCs w:val="24"/>
              </w:rPr>
              <w:t>granulomatøs</w:t>
            </w:r>
            <w:proofErr w:type="spellEnd"/>
            <w:r w:rsidRPr="00C41A3E">
              <w:rPr>
                <w:sz w:val="24"/>
                <w:szCs w:val="24"/>
              </w:rPr>
              <w:t xml:space="preserve"> hepatitis)</w:t>
            </w:r>
            <w:r w:rsidRPr="00C41A3E">
              <w:rPr>
                <w:sz w:val="24"/>
                <w:szCs w:val="24"/>
                <w:vertAlign w:val="superscript"/>
              </w:rPr>
              <w:t>5</w:t>
            </w:r>
          </w:p>
        </w:tc>
      </w:tr>
      <w:tr w:rsidR="005A6BCA" w:rsidRPr="00C41A3E" w:rsidTr="00E71EA9">
        <w:trPr>
          <w:trHeight w:hRule="exact" w:val="270"/>
        </w:trPr>
        <w:tc>
          <w:tcPr>
            <w:tcW w:w="3119" w:type="dxa"/>
            <w:vMerge w:val="restart"/>
            <w:tcBorders>
              <w:top w:val="single" w:sz="6" w:space="0" w:color="101010"/>
              <w:left w:val="single" w:sz="6" w:space="0" w:color="101010"/>
              <w:right w:val="single" w:sz="6" w:space="0" w:color="101010"/>
            </w:tcBorders>
          </w:tcPr>
          <w:p w:rsidR="005A6BCA" w:rsidRPr="00C41A3E" w:rsidRDefault="005A6BCA" w:rsidP="00E71EA9">
            <w:pPr>
              <w:ind w:left="32" w:right="-20"/>
              <w:rPr>
                <w:rFonts w:eastAsia="Arial"/>
                <w:sz w:val="24"/>
                <w:szCs w:val="24"/>
              </w:rPr>
            </w:pPr>
            <w:r w:rsidRPr="00C41A3E">
              <w:rPr>
                <w:sz w:val="24"/>
                <w:szCs w:val="24"/>
              </w:rPr>
              <w:t>Hud og subkutane væv</w:t>
            </w:r>
          </w:p>
        </w:tc>
        <w:tc>
          <w:tcPr>
            <w:tcW w:w="2693" w:type="dxa"/>
            <w:tcBorders>
              <w:top w:val="single" w:sz="6" w:space="0" w:color="101010"/>
              <w:left w:val="single" w:sz="6" w:space="0" w:color="101010"/>
              <w:bottom w:val="single" w:sz="6" w:space="0" w:color="101010"/>
              <w:right w:val="single" w:sz="6" w:space="0" w:color="101010"/>
            </w:tcBorders>
          </w:tcPr>
          <w:p w:rsidR="005A6BCA" w:rsidRPr="00C41A3E" w:rsidRDefault="005A6BCA" w:rsidP="00E71EA9">
            <w:pPr>
              <w:ind w:left="32" w:right="-20"/>
              <w:rPr>
                <w:rFonts w:eastAsia="Arial"/>
                <w:sz w:val="24"/>
                <w:szCs w:val="24"/>
              </w:rPr>
            </w:pPr>
            <w:r w:rsidRPr="00C41A3E">
              <w:rPr>
                <w:sz w:val="24"/>
                <w:szCs w:val="24"/>
              </w:rPr>
              <w:t>Almindelig</w:t>
            </w:r>
          </w:p>
        </w:tc>
        <w:tc>
          <w:tcPr>
            <w:tcW w:w="2977" w:type="dxa"/>
            <w:tcBorders>
              <w:top w:val="single" w:sz="6" w:space="0" w:color="101010"/>
              <w:left w:val="single" w:sz="6" w:space="0" w:color="101010"/>
              <w:bottom w:val="single" w:sz="6" w:space="0" w:color="101010"/>
              <w:right w:val="single" w:sz="6" w:space="0" w:color="3F3F3F"/>
            </w:tcBorders>
          </w:tcPr>
          <w:p w:rsidR="005A6BCA" w:rsidRPr="00C41A3E" w:rsidRDefault="005A6BCA" w:rsidP="00E71EA9">
            <w:pPr>
              <w:ind w:left="34" w:right="-20"/>
              <w:rPr>
                <w:rFonts w:eastAsia="Arial"/>
                <w:sz w:val="24"/>
                <w:szCs w:val="24"/>
              </w:rPr>
            </w:pPr>
            <w:r w:rsidRPr="00C41A3E">
              <w:rPr>
                <w:sz w:val="24"/>
                <w:szCs w:val="24"/>
              </w:rPr>
              <w:t>Udslæt</w:t>
            </w:r>
          </w:p>
        </w:tc>
      </w:tr>
      <w:tr w:rsidR="005A6BCA" w:rsidRPr="00C41A3E" w:rsidTr="00E71EA9">
        <w:trPr>
          <w:trHeight w:hRule="exact" w:val="863"/>
        </w:trPr>
        <w:tc>
          <w:tcPr>
            <w:tcW w:w="3119" w:type="dxa"/>
            <w:vMerge/>
            <w:tcBorders>
              <w:left w:val="single" w:sz="6" w:space="0" w:color="101010"/>
              <w:right w:val="single" w:sz="6" w:space="0" w:color="101010"/>
            </w:tcBorders>
          </w:tcPr>
          <w:p w:rsidR="005A6BCA" w:rsidRPr="00C41A3E" w:rsidRDefault="005A6BCA" w:rsidP="00E71EA9">
            <w:pPr>
              <w:ind w:left="32" w:right="-20"/>
              <w:rPr>
                <w:rFonts w:eastAsia="Arial"/>
                <w:sz w:val="24"/>
                <w:szCs w:val="24"/>
              </w:rPr>
            </w:pPr>
          </w:p>
        </w:tc>
        <w:tc>
          <w:tcPr>
            <w:tcW w:w="2693" w:type="dxa"/>
            <w:tcBorders>
              <w:top w:val="single" w:sz="6" w:space="0" w:color="101010"/>
              <w:left w:val="single" w:sz="6" w:space="0" w:color="101010"/>
              <w:bottom w:val="single" w:sz="4" w:space="0" w:color="auto"/>
              <w:right w:val="single" w:sz="6" w:space="0" w:color="101010"/>
            </w:tcBorders>
          </w:tcPr>
          <w:p w:rsidR="005A6BCA" w:rsidRPr="00C41A3E" w:rsidRDefault="005A6BCA" w:rsidP="00E71EA9">
            <w:pPr>
              <w:ind w:left="32" w:right="-20"/>
              <w:rPr>
                <w:rFonts w:eastAsia="Arial"/>
                <w:w w:val="103"/>
                <w:sz w:val="24"/>
                <w:szCs w:val="24"/>
              </w:rPr>
            </w:pPr>
            <w:r w:rsidRPr="00C41A3E">
              <w:rPr>
                <w:sz w:val="24"/>
                <w:szCs w:val="24"/>
              </w:rPr>
              <w:t>Sjælden</w:t>
            </w:r>
          </w:p>
        </w:tc>
        <w:tc>
          <w:tcPr>
            <w:tcW w:w="2977" w:type="dxa"/>
            <w:tcBorders>
              <w:top w:val="single" w:sz="6" w:space="0" w:color="101010"/>
              <w:left w:val="single" w:sz="6" w:space="0" w:color="101010"/>
              <w:bottom w:val="single" w:sz="4" w:space="0" w:color="auto"/>
              <w:right w:val="single" w:sz="6" w:space="0" w:color="3F3F3F"/>
            </w:tcBorders>
          </w:tcPr>
          <w:p w:rsidR="005A6BCA" w:rsidRPr="00E71EA9" w:rsidRDefault="005A6BCA" w:rsidP="00E71EA9">
            <w:pPr>
              <w:ind w:left="34" w:right="-20"/>
              <w:rPr>
                <w:rFonts w:eastAsia="Arial"/>
                <w:sz w:val="24"/>
                <w:szCs w:val="24"/>
                <w:lang w:val="nb-NO"/>
              </w:rPr>
            </w:pPr>
            <w:r w:rsidRPr="00E71EA9">
              <w:rPr>
                <w:sz w:val="24"/>
                <w:szCs w:val="24"/>
                <w:lang w:val="nb-NO"/>
              </w:rPr>
              <w:t>Stevens-Johnson's syndrom/toksisk epidermal nekrolyse</w:t>
            </w:r>
            <w:r w:rsidRPr="00E71EA9">
              <w:rPr>
                <w:sz w:val="24"/>
                <w:szCs w:val="24"/>
                <w:vertAlign w:val="superscript"/>
                <w:lang w:val="nb-NO"/>
              </w:rPr>
              <w:t>6</w:t>
            </w:r>
          </w:p>
          <w:p w:rsidR="005A6BCA" w:rsidRPr="00C41A3E" w:rsidRDefault="005A6BCA" w:rsidP="00E71EA9">
            <w:pPr>
              <w:ind w:left="34" w:right="-20"/>
              <w:rPr>
                <w:rFonts w:eastAsia="Arial"/>
                <w:spacing w:val="-1"/>
                <w:sz w:val="24"/>
                <w:szCs w:val="24"/>
              </w:rPr>
            </w:pPr>
            <w:r w:rsidRPr="00C41A3E">
              <w:rPr>
                <w:sz w:val="24"/>
                <w:szCs w:val="24"/>
              </w:rPr>
              <w:t>Nekrolyse</w:t>
            </w:r>
            <w:r w:rsidRPr="00C41A3E">
              <w:rPr>
                <w:sz w:val="24"/>
                <w:szCs w:val="24"/>
                <w:vertAlign w:val="superscript"/>
              </w:rPr>
              <w:t>6</w:t>
            </w:r>
          </w:p>
        </w:tc>
      </w:tr>
      <w:tr w:rsidR="005A6BCA" w:rsidRPr="00C41A3E" w:rsidTr="00796EE8">
        <w:trPr>
          <w:trHeight w:hRule="exact" w:val="1169"/>
        </w:trPr>
        <w:tc>
          <w:tcPr>
            <w:tcW w:w="3119" w:type="dxa"/>
            <w:vMerge/>
            <w:tcBorders>
              <w:left w:val="single" w:sz="6" w:space="0" w:color="101010"/>
              <w:right w:val="single" w:sz="6" w:space="0" w:color="101010"/>
            </w:tcBorders>
          </w:tcPr>
          <w:p w:rsidR="005A6BCA" w:rsidRPr="00C41A3E" w:rsidRDefault="005A6BCA" w:rsidP="00E71EA9">
            <w:pPr>
              <w:ind w:left="32" w:right="-23"/>
              <w:rPr>
                <w:rFonts w:eastAsia="Arial"/>
                <w:sz w:val="24"/>
                <w:szCs w:val="24"/>
              </w:rPr>
            </w:pPr>
          </w:p>
        </w:tc>
        <w:tc>
          <w:tcPr>
            <w:tcW w:w="2693" w:type="dxa"/>
            <w:tcBorders>
              <w:top w:val="single" w:sz="6" w:space="0" w:color="101010"/>
              <w:left w:val="single" w:sz="6" w:space="0" w:color="101010"/>
              <w:bottom w:val="single" w:sz="4" w:space="0" w:color="auto"/>
              <w:right w:val="single" w:sz="6" w:space="0" w:color="101010"/>
            </w:tcBorders>
          </w:tcPr>
          <w:p w:rsidR="005A6BCA" w:rsidRPr="00C41A3E" w:rsidRDefault="005A6BCA" w:rsidP="00E71EA9">
            <w:pPr>
              <w:ind w:left="32" w:right="-23"/>
              <w:rPr>
                <w:rFonts w:eastAsia="Arial"/>
                <w:sz w:val="24"/>
                <w:szCs w:val="24"/>
              </w:rPr>
            </w:pPr>
            <w:r w:rsidRPr="00C41A3E">
              <w:rPr>
                <w:sz w:val="24"/>
                <w:szCs w:val="24"/>
              </w:rPr>
              <w:t>Meget sjælden</w:t>
            </w:r>
          </w:p>
        </w:tc>
        <w:tc>
          <w:tcPr>
            <w:tcW w:w="2977" w:type="dxa"/>
            <w:tcBorders>
              <w:top w:val="single" w:sz="6" w:space="0" w:color="101010"/>
              <w:left w:val="single" w:sz="6" w:space="0" w:color="101010"/>
              <w:bottom w:val="single" w:sz="4" w:space="0" w:color="auto"/>
              <w:right w:val="single" w:sz="6" w:space="0" w:color="3F3F3F"/>
            </w:tcBorders>
          </w:tcPr>
          <w:p w:rsidR="005A6BCA" w:rsidRPr="00C41A3E" w:rsidRDefault="005A6BCA" w:rsidP="00E71EA9">
            <w:pPr>
              <w:ind w:left="32" w:right="-23"/>
              <w:rPr>
                <w:rFonts w:eastAsia="Arial"/>
                <w:w w:val="103"/>
                <w:sz w:val="24"/>
                <w:szCs w:val="24"/>
              </w:rPr>
            </w:pPr>
            <w:r w:rsidRPr="00C41A3E">
              <w:rPr>
                <w:sz w:val="24"/>
                <w:szCs w:val="24"/>
              </w:rPr>
              <w:t>Angioødem</w:t>
            </w:r>
            <w:r w:rsidRPr="00C41A3E">
              <w:rPr>
                <w:sz w:val="24"/>
                <w:szCs w:val="24"/>
                <w:vertAlign w:val="superscript"/>
              </w:rPr>
              <w:t>7</w:t>
            </w:r>
          </w:p>
          <w:p w:rsidR="005A6BCA" w:rsidRPr="00C41A3E" w:rsidRDefault="005A6BCA" w:rsidP="00E71EA9">
            <w:pPr>
              <w:ind w:left="32" w:right="-23"/>
              <w:rPr>
                <w:rFonts w:eastAsia="Arial"/>
                <w:w w:val="103"/>
                <w:sz w:val="24"/>
                <w:szCs w:val="24"/>
              </w:rPr>
            </w:pPr>
            <w:r w:rsidRPr="00C41A3E">
              <w:rPr>
                <w:sz w:val="24"/>
                <w:szCs w:val="24"/>
              </w:rPr>
              <w:t>Medicinudslæt</w:t>
            </w:r>
          </w:p>
          <w:p w:rsidR="005A6BCA" w:rsidRPr="00C41A3E" w:rsidRDefault="005A6BCA" w:rsidP="00E71EA9">
            <w:pPr>
              <w:ind w:left="32" w:right="-23"/>
              <w:rPr>
                <w:rFonts w:eastAsia="Arial"/>
                <w:w w:val="103"/>
                <w:sz w:val="24"/>
                <w:szCs w:val="24"/>
              </w:rPr>
            </w:pPr>
            <w:proofErr w:type="spellStart"/>
            <w:r w:rsidRPr="00C41A3E">
              <w:rPr>
                <w:sz w:val="24"/>
                <w:szCs w:val="24"/>
              </w:rPr>
              <w:t>Alopeci</w:t>
            </w:r>
            <w:proofErr w:type="spellEnd"/>
          </w:p>
          <w:p w:rsidR="005A6BCA" w:rsidRPr="00C41A3E" w:rsidRDefault="005A6BCA" w:rsidP="00E71EA9">
            <w:pPr>
              <w:ind w:left="32" w:right="-23"/>
              <w:rPr>
                <w:rFonts w:eastAsia="Arial"/>
                <w:w w:val="103"/>
                <w:sz w:val="24"/>
                <w:szCs w:val="24"/>
              </w:rPr>
            </w:pPr>
            <w:r w:rsidRPr="00C41A3E">
              <w:rPr>
                <w:sz w:val="24"/>
                <w:szCs w:val="24"/>
              </w:rPr>
              <w:t>Ændret hårfarve</w:t>
            </w:r>
          </w:p>
        </w:tc>
      </w:tr>
      <w:tr w:rsidR="005A6BCA" w:rsidRPr="00C41A3E" w:rsidTr="00E71EA9">
        <w:trPr>
          <w:trHeight w:hRule="exact" w:val="1169"/>
        </w:trPr>
        <w:tc>
          <w:tcPr>
            <w:tcW w:w="3119" w:type="dxa"/>
            <w:vMerge/>
            <w:tcBorders>
              <w:left w:val="single" w:sz="6" w:space="0" w:color="101010"/>
              <w:bottom w:val="single" w:sz="4" w:space="0" w:color="auto"/>
              <w:right w:val="single" w:sz="6" w:space="0" w:color="101010"/>
            </w:tcBorders>
          </w:tcPr>
          <w:p w:rsidR="005A6BCA" w:rsidRPr="00C41A3E" w:rsidRDefault="005A6BCA" w:rsidP="00E71EA9">
            <w:pPr>
              <w:ind w:left="32" w:right="-23"/>
              <w:rPr>
                <w:rFonts w:eastAsia="Arial"/>
                <w:sz w:val="24"/>
                <w:szCs w:val="24"/>
              </w:rPr>
            </w:pPr>
          </w:p>
        </w:tc>
        <w:tc>
          <w:tcPr>
            <w:tcW w:w="2693" w:type="dxa"/>
            <w:tcBorders>
              <w:top w:val="single" w:sz="6" w:space="0" w:color="101010"/>
              <w:left w:val="single" w:sz="6" w:space="0" w:color="101010"/>
              <w:bottom w:val="single" w:sz="4" w:space="0" w:color="auto"/>
              <w:right w:val="single" w:sz="6" w:space="0" w:color="101010"/>
            </w:tcBorders>
          </w:tcPr>
          <w:p w:rsidR="005A6BCA" w:rsidRPr="00C41A3E" w:rsidRDefault="005A6BCA" w:rsidP="00E71EA9">
            <w:pPr>
              <w:ind w:left="32" w:right="-23"/>
              <w:rPr>
                <w:sz w:val="24"/>
                <w:szCs w:val="24"/>
              </w:rPr>
            </w:pPr>
            <w:r>
              <w:rPr>
                <w:sz w:val="24"/>
                <w:szCs w:val="24"/>
              </w:rPr>
              <w:t>Ikke kendt</w:t>
            </w:r>
          </w:p>
        </w:tc>
        <w:tc>
          <w:tcPr>
            <w:tcW w:w="2977" w:type="dxa"/>
            <w:tcBorders>
              <w:top w:val="single" w:sz="6" w:space="0" w:color="101010"/>
              <w:left w:val="single" w:sz="6" w:space="0" w:color="101010"/>
              <w:bottom w:val="single" w:sz="4" w:space="0" w:color="auto"/>
              <w:right w:val="single" w:sz="6" w:space="0" w:color="3F3F3F"/>
            </w:tcBorders>
          </w:tcPr>
          <w:p w:rsidR="005A6BCA" w:rsidRPr="00C41A3E" w:rsidRDefault="005A6BCA" w:rsidP="00E71EA9">
            <w:pPr>
              <w:ind w:left="32" w:right="-23"/>
              <w:rPr>
                <w:sz w:val="24"/>
                <w:szCs w:val="24"/>
              </w:rPr>
            </w:pPr>
            <w:proofErr w:type="spellStart"/>
            <w:r>
              <w:rPr>
                <w:sz w:val="24"/>
                <w:szCs w:val="24"/>
              </w:rPr>
              <w:t>Lichenoid</w:t>
            </w:r>
            <w:proofErr w:type="spellEnd"/>
            <w:r>
              <w:rPr>
                <w:sz w:val="24"/>
                <w:szCs w:val="24"/>
              </w:rPr>
              <w:t xml:space="preserve"> lægemiddelreaktion</w:t>
            </w:r>
          </w:p>
        </w:tc>
      </w:tr>
      <w:tr w:rsidR="00B23262" w:rsidRPr="00C41A3E" w:rsidTr="00E71EA9">
        <w:trPr>
          <w:trHeight w:hRule="exact" w:val="596"/>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9" w:right="-23"/>
              <w:rPr>
                <w:rFonts w:eastAsia="Arial"/>
                <w:sz w:val="24"/>
                <w:szCs w:val="24"/>
              </w:rPr>
            </w:pPr>
            <w:r w:rsidRPr="00C41A3E">
              <w:rPr>
                <w:sz w:val="24"/>
                <w:szCs w:val="24"/>
              </w:rPr>
              <w:t>Nyrer og urinveje</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1" w:right="-23"/>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3" w:right="-23"/>
              <w:rPr>
                <w:sz w:val="24"/>
                <w:szCs w:val="24"/>
              </w:rPr>
            </w:pPr>
            <w:r w:rsidRPr="00C41A3E">
              <w:rPr>
                <w:sz w:val="24"/>
                <w:szCs w:val="24"/>
              </w:rPr>
              <w:t>Hæmaturi</w:t>
            </w:r>
          </w:p>
          <w:p w:rsidR="00B23262" w:rsidRPr="00C41A3E" w:rsidRDefault="00B23262" w:rsidP="00E71EA9">
            <w:pPr>
              <w:ind w:left="34" w:right="-23"/>
              <w:rPr>
                <w:rFonts w:eastAsia="Arial"/>
                <w:sz w:val="24"/>
                <w:szCs w:val="24"/>
              </w:rPr>
            </w:pPr>
            <w:proofErr w:type="spellStart"/>
            <w:r w:rsidRPr="00C41A3E">
              <w:rPr>
                <w:sz w:val="24"/>
                <w:szCs w:val="24"/>
              </w:rPr>
              <w:t>Azotæmi</w:t>
            </w:r>
            <w:proofErr w:type="spellEnd"/>
          </w:p>
        </w:tc>
      </w:tr>
      <w:tr w:rsidR="00B23262" w:rsidRPr="00C41A3E" w:rsidTr="00E71EA9">
        <w:trPr>
          <w:trHeight w:hRule="exact" w:val="890"/>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9" w:right="565"/>
              <w:rPr>
                <w:rFonts w:eastAsia="Arial"/>
                <w:sz w:val="24"/>
                <w:szCs w:val="24"/>
              </w:rPr>
            </w:pPr>
            <w:r w:rsidRPr="00C41A3E">
              <w:rPr>
                <w:sz w:val="24"/>
                <w:szCs w:val="24"/>
              </w:rPr>
              <w:t>Det reproduktive system og mammae</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142" w:firstLine="1"/>
              <w:rPr>
                <w:rFonts w:eastAsia="Arial"/>
                <w:w w:val="103"/>
                <w:sz w:val="24"/>
                <w:szCs w:val="24"/>
              </w:rPr>
            </w:pPr>
            <w:r w:rsidRPr="00C41A3E">
              <w:rPr>
                <w:sz w:val="24"/>
                <w:szCs w:val="24"/>
              </w:rPr>
              <w:t xml:space="preserve">Mandlig </w:t>
            </w:r>
            <w:proofErr w:type="spellStart"/>
            <w:r w:rsidRPr="00C41A3E">
              <w:rPr>
                <w:sz w:val="24"/>
                <w:szCs w:val="24"/>
              </w:rPr>
              <w:t>infertilitet</w:t>
            </w:r>
            <w:proofErr w:type="spellEnd"/>
          </w:p>
          <w:p w:rsidR="00B23262" w:rsidRPr="00C669A8" w:rsidRDefault="00B23262" w:rsidP="00E71EA9">
            <w:pPr>
              <w:ind w:left="34" w:right="142" w:firstLine="1"/>
              <w:rPr>
                <w:rFonts w:eastAsia="Arial"/>
                <w:sz w:val="24"/>
                <w:szCs w:val="24"/>
              </w:rPr>
            </w:pPr>
            <w:proofErr w:type="spellStart"/>
            <w:r w:rsidRPr="00C41A3E">
              <w:rPr>
                <w:sz w:val="24"/>
                <w:szCs w:val="24"/>
              </w:rPr>
              <w:t>Erektil</w:t>
            </w:r>
            <w:proofErr w:type="spellEnd"/>
            <w:r w:rsidRPr="00C41A3E">
              <w:rPr>
                <w:sz w:val="24"/>
                <w:szCs w:val="24"/>
              </w:rPr>
              <w:t xml:space="preserve"> </w:t>
            </w:r>
            <w:r>
              <w:rPr>
                <w:sz w:val="24"/>
                <w:szCs w:val="24"/>
              </w:rPr>
              <w:t>d</w:t>
            </w:r>
            <w:r w:rsidRPr="00C41A3E">
              <w:rPr>
                <w:sz w:val="24"/>
                <w:szCs w:val="24"/>
              </w:rPr>
              <w:t xml:space="preserve">ysfunktion </w:t>
            </w:r>
            <w:proofErr w:type="spellStart"/>
            <w:r w:rsidRPr="00C41A3E">
              <w:rPr>
                <w:sz w:val="24"/>
                <w:szCs w:val="24"/>
              </w:rPr>
              <w:t>Gynækomasti</w:t>
            </w:r>
            <w:proofErr w:type="spellEnd"/>
          </w:p>
        </w:tc>
      </w:tr>
      <w:tr w:rsidR="00B23262" w:rsidRPr="00C41A3E" w:rsidTr="00E71EA9">
        <w:trPr>
          <w:trHeight w:hRule="exact" w:val="1148"/>
        </w:trPr>
        <w:tc>
          <w:tcPr>
            <w:tcW w:w="3119"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9" w:right="203"/>
              <w:rPr>
                <w:rFonts w:eastAsia="Arial"/>
                <w:sz w:val="24"/>
                <w:szCs w:val="24"/>
              </w:rPr>
            </w:pPr>
            <w:r w:rsidRPr="00C41A3E">
              <w:rPr>
                <w:sz w:val="24"/>
                <w:szCs w:val="24"/>
              </w:rPr>
              <w:lastRenderedPageBreak/>
              <w:t>Almene symptomer og reaktioner på administrationsstedet</w:t>
            </w:r>
          </w:p>
        </w:tc>
        <w:tc>
          <w:tcPr>
            <w:tcW w:w="2693" w:type="dxa"/>
            <w:tcBorders>
              <w:top w:val="single" w:sz="5" w:space="0" w:color="101010"/>
              <w:left w:val="single" w:sz="5" w:space="0" w:color="101010"/>
              <w:bottom w:val="single" w:sz="5" w:space="0" w:color="101010"/>
              <w:right w:val="single" w:sz="5" w:space="0" w:color="101010"/>
            </w:tcBorders>
          </w:tcPr>
          <w:p w:rsidR="00B23262" w:rsidRPr="00C41A3E" w:rsidRDefault="00B23262" w:rsidP="00E71EA9">
            <w:pPr>
              <w:ind w:left="32" w:right="-20"/>
              <w:rPr>
                <w:rFonts w:eastAsia="Arial"/>
                <w:sz w:val="24"/>
                <w:szCs w:val="24"/>
              </w:rPr>
            </w:pPr>
            <w:r w:rsidRPr="00C41A3E">
              <w:rPr>
                <w:sz w:val="24"/>
                <w:szCs w:val="24"/>
              </w:rPr>
              <w:t>Meget sjælden</w:t>
            </w:r>
          </w:p>
        </w:tc>
        <w:tc>
          <w:tcPr>
            <w:tcW w:w="2977" w:type="dxa"/>
            <w:tcBorders>
              <w:top w:val="single" w:sz="5" w:space="0" w:color="101010"/>
              <w:left w:val="single" w:sz="5" w:space="0" w:color="101010"/>
              <w:bottom w:val="single" w:sz="5" w:space="0" w:color="101010"/>
              <w:right w:val="single" w:sz="5" w:space="0" w:color="3F3F3F"/>
            </w:tcBorders>
          </w:tcPr>
          <w:p w:rsidR="00B23262" w:rsidRPr="00C41A3E" w:rsidRDefault="00B23262" w:rsidP="00E71EA9">
            <w:pPr>
              <w:ind w:left="34" w:right="142" w:firstLine="1"/>
              <w:rPr>
                <w:sz w:val="24"/>
                <w:szCs w:val="24"/>
              </w:rPr>
            </w:pPr>
            <w:r w:rsidRPr="00C41A3E">
              <w:rPr>
                <w:sz w:val="24"/>
                <w:szCs w:val="24"/>
              </w:rPr>
              <w:t>Ødem</w:t>
            </w:r>
          </w:p>
          <w:p w:rsidR="00B23262" w:rsidRPr="00C41A3E" w:rsidRDefault="00B23262" w:rsidP="00E71EA9">
            <w:pPr>
              <w:ind w:left="34" w:right="142" w:firstLine="1"/>
              <w:rPr>
                <w:sz w:val="24"/>
                <w:szCs w:val="24"/>
              </w:rPr>
            </w:pPr>
            <w:r w:rsidRPr="00C41A3E">
              <w:rPr>
                <w:sz w:val="24"/>
                <w:szCs w:val="24"/>
              </w:rPr>
              <w:t>Utilpashed</w:t>
            </w:r>
          </w:p>
          <w:p w:rsidR="00B23262" w:rsidRPr="00C41A3E" w:rsidRDefault="00B23262" w:rsidP="00E71EA9">
            <w:pPr>
              <w:ind w:left="34" w:right="142" w:firstLine="1"/>
              <w:rPr>
                <w:rFonts w:eastAsia="Arial"/>
                <w:sz w:val="24"/>
                <w:szCs w:val="24"/>
              </w:rPr>
            </w:pPr>
            <w:r w:rsidRPr="00C41A3E">
              <w:rPr>
                <w:sz w:val="24"/>
                <w:szCs w:val="24"/>
              </w:rPr>
              <w:t>Asteni</w:t>
            </w:r>
          </w:p>
          <w:p w:rsidR="00B23262" w:rsidRPr="00C41A3E" w:rsidRDefault="00B23262" w:rsidP="00E71EA9">
            <w:pPr>
              <w:ind w:left="34" w:right="142" w:firstLine="1"/>
              <w:rPr>
                <w:rFonts w:eastAsia="Arial"/>
                <w:sz w:val="24"/>
                <w:szCs w:val="24"/>
              </w:rPr>
            </w:pPr>
            <w:r w:rsidRPr="00C41A3E">
              <w:rPr>
                <w:sz w:val="24"/>
                <w:szCs w:val="24"/>
              </w:rPr>
              <w:t>Pyreksi</w:t>
            </w:r>
            <w:r w:rsidRPr="00C41A3E">
              <w:rPr>
                <w:sz w:val="24"/>
                <w:szCs w:val="24"/>
                <w:vertAlign w:val="superscript"/>
              </w:rPr>
              <w:t>8</w:t>
            </w:r>
          </w:p>
        </w:tc>
      </w:tr>
      <w:tr w:rsidR="00B23262" w:rsidRPr="00C41A3E" w:rsidTr="00E71EA9">
        <w:trPr>
          <w:trHeight w:hRule="exact" w:val="1148"/>
        </w:trPr>
        <w:tc>
          <w:tcPr>
            <w:tcW w:w="3119" w:type="dxa"/>
            <w:tcBorders>
              <w:top w:val="single" w:sz="5" w:space="0" w:color="101010"/>
              <w:left w:val="single" w:sz="5" w:space="0" w:color="101010"/>
              <w:bottom w:val="single" w:sz="5" w:space="0" w:color="3F3F3F"/>
              <w:right w:val="single" w:sz="5" w:space="0" w:color="101010"/>
            </w:tcBorders>
          </w:tcPr>
          <w:p w:rsidR="00B23262" w:rsidRPr="00C41A3E" w:rsidRDefault="00B23262" w:rsidP="00E71EA9">
            <w:pPr>
              <w:ind w:left="39" w:right="203"/>
              <w:rPr>
                <w:sz w:val="24"/>
                <w:szCs w:val="24"/>
              </w:rPr>
            </w:pPr>
            <w:r w:rsidRPr="00C41A3E">
              <w:rPr>
                <w:sz w:val="24"/>
                <w:szCs w:val="24"/>
              </w:rPr>
              <w:t>Undersøgelser</w:t>
            </w:r>
          </w:p>
        </w:tc>
        <w:tc>
          <w:tcPr>
            <w:tcW w:w="2693" w:type="dxa"/>
            <w:tcBorders>
              <w:top w:val="single" w:sz="5" w:space="0" w:color="101010"/>
              <w:left w:val="single" w:sz="5" w:space="0" w:color="101010"/>
              <w:bottom w:val="single" w:sz="5" w:space="0" w:color="3F3F3F"/>
              <w:right w:val="single" w:sz="5" w:space="0" w:color="101010"/>
            </w:tcBorders>
          </w:tcPr>
          <w:p w:rsidR="00B23262" w:rsidRPr="00C41A3E" w:rsidRDefault="00B23262" w:rsidP="00E71EA9">
            <w:pPr>
              <w:ind w:left="32" w:right="-20"/>
              <w:rPr>
                <w:sz w:val="24"/>
                <w:szCs w:val="24"/>
              </w:rPr>
            </w:pPr>
            <w:r w:rsidRPr="00C41A3E">
              <w:rPr>
                <w:sz w:val="24"/>
                <w:szCs w:val="24"/>
              </w:rPr>
              <w:t>Almindelig</w:t>
            </w:r>
          </w:p>
        </w:tc>
        <w:tc>
          <w:tcPr>
            <w:tcW w:w="2977" w:type="dxa"/>
            <w:tcBorders>
              <w:top w:val="single" w:sz="5" w:space="0" w:color="101010"/>
              <w:left w:val="single" w:sz="5" w:space="0" w:color="101010"/>
              <w:bottom w:val="single" w:sz="5" w:space="0" w:color="3F3F3F"/>
              <w:right w:val="single" w:sz="5" w:space="0" w:color="3F3F3F"/>
            </w:tcBorders>
          </w:tcPr>
          <w:p w:rsidR="00B23262" w:rsidRPr="00C41A3E" w:rsidRDefault="00B23262" w:rsidP="00E71EA9">
            <w:pPr>
              <w:ind w:left="34" w:right="142" w:firstLine="1"/>
              <w:rPr>
                <w:sz w:val="24"/>
                <w:szCs w:val="24"/>
              </w:rPr>
            </w:pPr>
            <w:r w:rsidRPr="00C41A3E">
              <w:rPr>
                <w:bCs/>
                <w:sz w:val="24"/>
                <w:szCs w:val="24"/>
              </w:rPr>
              <w:t xml:space="preserve">Øget indhold af </w:t>
            </w:r>
            <w:proofErr w:type="spellStart"/>
            <w:r w:rsidRPr="00C41A3E">
              <w:rPr>
                <w:bCs/>
                <w:sz w:val="24"/>
                <w:szCs w:val="24"/>
              </w:rPr>
              <w:t>thyroideastimulerende</w:t>
            </w:r>
            <w:proofErr w:type="spellEnd"/>
            <w:r w:rsidRPr="00C41A3E">
              <w:rPr>
                <w:bCs/>
                <w:sz w:val="24"/>
                <w:szCs w:val="24"/>
              </w:rPr>
              <w:t xml:space="preserve"> hormon i blodet</w:t>
            </w:r>
            <w:r w:rsidRPr="00C41A3E">
              <w:rPr>
                <w:bCs/>
                <w:sz w:val="24"/>
                <w:szCs w:val="24"/>
                <w:vertAlign w:val="superscript"/>
              </w:rPr>
              <w:t>9</w:t>
            </w:r>
          </w:p>
        </w:tc>
      </w:tr>
    </w:tbl>
    <w:p w:rsidR="00B23262" w:rsidRPr="00C41A3E" w:rsidRDefault="00B23262" w:rsidP="00B23262">
      <w:pPr>
        <w:rPr>
          <w:sz w:val="24"/>
          <w:szCs w:val="24"/>
        </w:rPr>
      </w:pPr>
    </w:p>
    <w:p w:rsidR="00B23262" w:rsidRPr="00C41A3E" w:rsidRDefault="00B23262" w:rsidP="00B23262">
      <w:pPr>
        <w:ind w:left="1134" w:hanging="283"/>
        <w:rPr>
          <w:sz w:val="20"/>
        </w:rPr>
      </w:pPr>
      <w:r w:rsidRPr="00C41A3E">
        <w:rPr>
          <w:sz w:val="20"/>
          <w:vertAlign w:val="superscript"/>
        </w:rPr>
        <w:t>1</w:t>
      </w:r>
      <w:r w:rsidRPr="00C41A3E">
        <w:rPr>
          <w:sz w:val="20"/>
          <w:vertAlign w:val="superscript"/>
        </w:rPr>
        <w:tab/>
      </w:r>
      <w:r w:rsidRPr="00C41A3E">
        <w:rPr>
          <w:sz w:val="20"/>
        </w:rPr>
        <w:t xml:space="preserve">Der er modtaget meget sjældne rapporter om </w:t>
      </w:r>
      <w:proofErr w:type="spellStart"/>
      <w:r w:rsidRPr="00C41A3E">
        <w:rPr>
          <w:sz w:val="20"/>
        </w:rPr>
        <w:t>trombocytopeni</w:t>
      </w:r>
      <w:proofErr w:type="spellEnd"/>
      <w:r w:rsidRPr="00C41A3E">
        <w:rPr>
          <w:sz w:val="20"/>
        </w:rPr>
        <w:t xml:space="preserve">, </w:t>
      </w:r>
      <w:proofErr w:type="spellStart"/>
      <w:r w:rsidRPr="00C41A3E">
        <w:rPr>
          <w:sz w:val="20"/>
        </w:rPr>
        <w:t>agranulocytose</w:t>
      </w:r>
      <w:proofErr w:type="spellEnd"/>
      <w:r w:rsidRPr="00C41A3E">
        <w:rPr>
          <w:sz w:val="20"/>
        </w:rPr>
        <w:t xml:space="preserve"> og </w:t>
      </w:r>
      <w:proofErr w:type="spellStart"/>
      <w:r w:rsidRPr="00C41A3E">
        <w:rPr>
          <w:sz w:val="20"/>
        </w:rPr>
        <w:t>aplastisk</w:t>
      </w:r>
      <w:proofErr w:type="spellEnd"/>
      <w:r w:rsidRPr="00C41A3E">
        <w:rPr>
          <w:sz w:val="20"/>
        </w:rPr>
        <w:t xml:space="preserve"> anæmi, særligt hos personer med nedsat nyre- og/eller leverfunktion, hvilket understreger behovet for særlig omhyggelighed i denne patientgruppe.</w:t>
      </w:r>
    </w:p>
    <w:p w:rsidR="00B23262" w:rsidRPr="00C41A3E" w:rsidRDefault="00B23262" w:rsidP="00B23262">
      <w:pPr>
        <w:ind w:left="1134" w:hanging="283"/>
        <w:rPr>
          <w:sz w:val="20"/>
        </w:rPr>
      </w:pPr>
    </w:p>
    <w:p w:rsidR="00B23262" w:rsidRPr="00C41A3E" w:rsidRDefault="00B23262" w:rsidP="00B23262">
      <w:pPr>
        <w:pStyle w:val="Default"/>
        <w:ind w:left="1134" w:hanging="283"/>
        <w:rPr>
          <w:color w:val="auto"/>
          <w:sz w:val="20"/>
          <w:szCs w:val="20"/>
        </w:rPr>
      </w:pPr>
      <w:r w:rsidRPr="00C41A3E">
        <w:rPr>
          <w:color w:val="auto"/>
          <w:sz w:val="20"/>
          <w:szCs w:val="20"/>
          <w:vertAlign w:val="superscript"/>
        </w:rPr>
        <w:t xml:space="preserve">2 </w:t>
      </w:r>
      <w:r w:rsidRPr="00C41A3E">
        <w:rPr>
          <w:color w:val="auto"/>
          <w:sz w:val="20"/>
          <w:szCs w:val="20"/>
          <w:vertAlign w:val="superscript"/>
        </w:rPr>
        <w:tab/>
      </w:r>
      <w:r w:rsidRPr="00C41A3E">
        <w:rPr>
          <w:color w:val="auto"/>
          <w:sz w:val="20"/>
          <w:szCs w:val="20"/>
        </w:rPr>
        <w:t xml:space="preserve">En forsinket overfølsomhedsforstyrrelse, der berører flere organer (kaldet overfølsomhedssyndrom eller DRESS), og som er forbundet med feber, udslæt, </w:t>
      </w:r>
      <w:proofErr w:type="spellStart"/>
      <w:r w:rsidRPr="00C41A3E">
        <w:rPr>
          <w:color w:val="auto"/>
          <w:sz w:val="20"/>
          <w:szCs w:val="20"/>
        </w:rPr>
        <w:t>vaskulitis</w:t>
      </w:r>
      <w:proofErr w:type="spellEnd"/>
      <w:r w:rsidRPr="00C41A3E">
        <w:rPr>
          <w:color w:val="auto"/>
          <w:sz w:val="20"/>
          <w:szCs w:val="20"/>
        </w:rPr>
        <w:t xml:space="preserve">, </w:t>
      </w:r>
      <w:proofErr w:type="spellStart"/>
      <w:r w:rsidRPr="00C41A3E">
        <w:rPr>
          <w:color w:val="auto"/>
          <w:sz w:val="20"/>
          <w:szCs w:val="20"/>
        </w:rPr>
        <w:t>lymfadenopati</w:t>
      </w:r>
      <w:proofErr w:type="spellEnd"/>
      <w:r w:rsidRPr="00C41A3E">
        <w:rPr>
          <w:color w:val="auto"/>
          <w:sz w:val="20"/>
          <w:szCs w:val="20"/>
        </w:rPr>
        <w:t xml:space="preserve">, </w:t>
      </w:r>
      <w:proofErr w:type="spellStart"/>
      <w:r w:rsidRPr="00C41A3E">
        <w:rPr>
          <w:color w:val="auto"/>
          <w:sz w:val="20"/>
          <w:szCs w:val="20"/>
        </w:rPr>
        <w:t>pseudolymfom</w:t>
      </w:r>
      <w:proofErr w:type="spellEnd"/>
      <w:r w:rsidRPr="00C41A3E">
        <w:rPr>
          <w:color w:val="auto"/>
          <w:sz w:val="20"/>
          <w:szCs w:val="20"/>
        </w:rPr>
        <w:t xml:space="preserve">, </w:t>
      </w:r>
      <w:proofErr w:type="spellStart"/>
      <w:r w:rsidRPr="00C41A3E">
        <w:rPr>
          <w:color w:val="auto"/>
          <w:sz w:val="20"/>
          <w:szCs w:val="20"/>
        </w:rPr>
        <w:t>artralgi</w:t>
      </w:r>
      <w:proofErr w:type="spellEnd"/>
      <w:r w:rsidRPr="00C41A3E">
        <w:rPr>
          <w:color w:val="auto"/>
          <w:sz w:val="20"/>
          <w:szCs w:val="20"/>
        </w:rPr>
        <w:t xml:space="preserve">, </w:t>
      </w:r>
      <w:proofErr w:type="spellStart"/>
      <w:r w:rsidRPr="00C41A3E">
        <w:rPr>
          <w:color w:val="auto"/>
          <w:sz w:val="20"/>
          <w:szCs w:val="20"/>
        </w:rPr>
        <w:t>leukopeni</w:t>
      </w:r>
      <w:proofErr w:type="spellEnd"/>
      <w:r w:rsidRPr="00C41A3E">
        <w:rPr>
          <w:color w:val="auto"/>
          <w:sz w:val="20"/>
          <w:szCs w:val="20"/>
        </w:rPr>
        <w:t xml:space="preserve">, </w:t>
      </w:r>
      <w:proofErr w:type="spellStart"/>
      <w:r w:rsidRPr="00C41A3E">
        <w:rPr>
          <w:color w:val="auto"/>
          <w:sz w:val="20"/>
          <w:szCs w:val="20"/>
        </w:rPr>
        <w:t>eosinofili</w:t>
      </w:r>
      <w:proofErr w:type="spellEnd"/>
      <w:r w:rsidRPr="00C41A3E">
        <w:rPr>
          <w:color w:val="auto"/>
          <w:sz w:val="20"/>
          <w:szCs w:val="20"/>
        </w:rPr>
        <w:t xml:space="preserve">, </w:t>
      </w:r>
      <w:proofErr w:type="spellStart"/>
      <w:r w:rsidRPr="00C41A3E">
        <w:rPr>
          <w:color w:val="auto"/>
          <w:sz w:val="20"/>
          <w:szCs w:val="20"/>
        </w:rPr>
        <w:t>hepatosplenomegali</w:t>
      </w:r>
      <w:proofErr w:type="spellEnd"/>
      <w:r w:rsidRPr="00C41A3E">
        <w:rPr>
          <w:color w:val="auto"/>
          <w:sz w:val="20"/>
          <w:szCs w:val="20"/>
        </w:rPr>
        <w:t xml:space="preserve">, abnorme leverfunktionsværdier og </w:t>
      </w:r>
      <w:proofErr w:type="spellStart"/>
      <w:r w:rsidRPr="00C41A3E">
        <w:rPr>
          <w:i/>
          <w:color w:val="auto"/>
          <w:sz w:val="20"/>
          <w:szCs w:val="20"/>
        </w:rPr>
        <w:t>vanishing</w:t>
      </w:r>
      <w:proofErr w:type="spellEnd"/>
      <w:r w:rsidRPr="00C41A3E">
        <w:rPr>
          <w:i/>
          <w:color w:val="auto"/>
          <w:sz w:val="20"/>
          <w:szCs w:val="20"/>
        </w:rPr>
        <w:t xml:space="preserve"> bile </w:t>
      </w:r>
      <w:proofErr w:type="spellStart"/>
      <w:r w:rsidRPr="00C41A3E">
        <w:rPr>
          <w:i/>
          <w:color w:val="auto"/>
          <w:sz w:val="20"/>
          <w:szCs w:val="20"/>
        </w:rPr>
        <w:t>duct</w:t>
      </w:r>
      <w:proofErr w:type="spellEnd"/>
      <w:r w:rsidRPr="00C41A3E">
        <w:rPr>
          <w:i/>
          <w:color w:val="auto"/>
          <w:sz w:val="20"/>
          <w:szCs w:val="20"/>
        </w:rPr>
        <w:t xml:space="preserve"> </w:t>
      </w:r>
      <w:proofErr w:type="spellStart"/>
      <w:r w:rsidRPr="00C41A3E">
        <w:rPr>
          <w:i/>
          <w:color w:val="auto"/>
          <w:sz w:val="20"/>
          <w:szCs w:val="20"/>
        </w:rPr>
        <w:t>syndrome</w:t>
      </w:r>
      <w:proofErr w:type="spellEnd"/>
      <w:r w:rsidRPr="00C41A3E">
        <w:rPr>
          <w:color w:val="auto"/>
          <w:sz w:val="20"/>
          <w:szCs w:val="20"/>
        </w:rPr>
        <w:t xml:space="preserve"> (et syndrom, hvor de </w:t>
      </w:r>
      <w:proofErr w:type="spellStart"/>
      <w:r w:rsidRPr="00C41A3E">
        <w:rPr>
          <w:color w:val="auto"/>
          <w:sz w:val="20"/>
          <w:szCs w:val="20"/>
        </w:rPr>
        <w:t>intrahepatiske</w:t>
      </w:r>
      <w:proofErr w:type="spellEnd"/>
      <w:r w:rsidRPr="00C41A3E">
        <w:rPr>
          <w:color w:val="auto"/>
          <w:sz w:val="20"/>
          <w:szCs w:val="20"/>
        </w:rPr>
        <w:t xml:space="preserve"> galdegange nedbrydes og forsvinder), optræder i diverse kombinationer. Der kan også ses påvirkning af andre organer (f.eks. lever, lunger, nyrer, bugspytkirtel, </w:t>
      </w:r>
      <w:proofErr w:type="spellStart"/>
      <w:r w:rsidRPr="00C41A3E">
        <w:rPr>
          <w:color w:val="auto"/>
          <w:sz w:val="20"/>
          <w:szCs w:val="20"/>
        </w:rPr>
        <w:t>myokardium</w:t>
      </w:r>
      <w:proofErr w:type="spellEnd"/>
      <w:r w:rsidRPr="00C41A3E">
        <w:rPr>
          <w:color w:val="auto"/>
          <w:sz w:val="20"/>
          <w:szCs w:val="20"/>
        </w:rPr>
        <w:t xml:space="preserve"> og tyktarm). Sådanne reaktioner kan opstå på et hvilket som helst tidspunkt i løbet af behandlingen, og i så tilfælde bør </w:t>
      </w:r>
      <w:proofErr w:type="spellStart"/>
      <w:r w:rsidRPr="00C41A3E">
        <w:rPr>
          <w:color w:val="auto"/>
          <w:sz w:val="20"/>
          <w:szCs w:val="20"/>
        </w:rPr>
        <w:t>allopurinol</w:t>
      </w:r>
      <w:proofErr w:type="spellEnd"/>
      <w:r w:rsidRPr="00C41A3E">
        <w:rPr>
          <w:color w:val="auto"/>
          <w:sz w:val="20"/>
          <w:szCs w:val="20"/>
        </w:rPr>
        <w:t xml:space="preserve"> seponeres OMGÅENDE og PERMANENT.</w:t>
      </w:r>
    </w:p>
    <w:p w:rsidR="00B23262" w:rsidRPr="00C41A3E" w:rsidRDefault="00B23262" w:rsidP="00B23262">
      <w:pPr>
        <w:pStyle w:val="Default"/>
        <w:ind w:left="1134" w:hanging="283"/>
        <w:rPr>
          <w:color w:val="auto"/>
          <w:sz w:val="20"/>
          <w:szCs w:val="20"/>
        </w:rPr>
      </w:pPr>
    </w:p>
    <w:p w:rsidR="00B23262" w:rsidRPr="00C41A3E" w:rsidRDefault="00B23262" w:rsidP="00B23262">
      <w:pPr>
        <w:ind w:left="1134"/>
        <w:rPr>
          <w:sz w:val="20"/>
        </w:rPr>
      </w:pPr>
      <w:r w:rsidRPr="00C41A3E">
        <w:rPr>
          <w:sz w:val="20"/>
        </w:rPr>
        <w:t xml:space="preserve">Det bør ikke forsøges at genoptage behandlingen med </w:t>
      </w:r>
      <w:proofErr w:type="spellStart"/>
      <w:r w:rsidRPr="00C41A3E">
        <w:rPr>
          <w:sz w:val="20"/>
        </w:rPr>
        <w:t>allopurinol</w:t>
      </w:r>
      <w:proofErr w:type="spellEnd"/>
      <w:r w:rsidRPr="00C41A3E">
        <w:rPr>
          <w:sz w:val="20"/>
        </w:rPr>
        <w:t xml:space="preserve"> hos patienter med overfølsomhedssyndrom og SJS/TEN. </w:t>
      </w:r>
      <w:proofErr w:type="spellStart"/>
      <w:r w:rsidRPr="00C41A3E">
        <w:rPr>
          <w:sz w:val="20"/>
        </w:rPr>
        <w:t>Kortikosteroider</w:t>
      </w:r>
      <w:proofErr w:type="spellEnd"/>
      <w:r w:rsidRPr="00C41A3E">
        <w:rPr>
          <w:sz w:val="20"/>
        </w:rPr>
        <w:t xml:space="preserve"> kan være nyttige til behandling af overfølsomhedsreaktioner i huden. I de tilfælde, hvor der er opstået generaliserede overfølsomhedsreaktioner, har det som regel været hos patienter med nyre- og/eller leversygdom, især når udfaldet var fatalt.</w:t>
      </w:r>
    </w:p>
    <w:p w:rsidR="00B23262" w:rsidRPr="00C41A3E" w:rsidRDefault="00B23262" w:rsidP="00B23262">
      <w:pPr>
        <w:ind w:left="1134" w:hanging="283"/>
        <w:rPr>
          <w:sz w:val="20"/>
        </w:rPr>
      </w:pPr>
    </w:p>
    <w:p w:rsidR="00B23262" w:rsidRPr="00C41A3E" w:rsidRDefault="00B23262" w:rsidP="00B23262">
      <w:pPr>
        <w:ind w:left="1134" w:hanging="283"/>
        <w:rPr>
          <w:sz w:val="20"/>
        </w:rPr>
      </w:pPr>
      <w:r w:rsidRPr="00C41A3E">
        <w:rPr>
          <w:sz w:val="20"/>
          <w:vertAlign w:val="superscript"/>
        </w:rPr>
        <w:t>3</w:t>
      </w:r>
      <w:r w:rsidRPr="00C41A3E">
        <w:rPr>
          <w:sz w:val="20"/>
          <w:vertAlign w:val="superscript"/>
        </w:rPr>
        <w:tab/>
      </w:r>
      <w:r w:rsidRPr="00C41A3E">
        <w:rPr>
          <w:sz w:val="20"/>
        </w:rPr>
        <w:t xml:space="preserve">Der er rapporteret om meget sjældne tilfælde af </w:t>
      </w:r>
      <w:proofErr w:type="spellStart"/>
      <w:r w:rsidRPr="00C41A3E">
        <w:rPr>
          <w:sz w:val="20"/>
        </w:rPr>
        <w:t>angioimmunoblastær</w:t>
      </w:r>
      <w:proofErr w:type="spellEnd"/>
      <w:r w:rsidRPr="00C41A3E">
        <w:rPr>
          <w:sz w:val="20"/>
        </w:rPr>
        <w:t xml:space="preserve"> </w:t>
      </w:r>
      <w:proofErr w:type="spellStart"/>
      <w:r w:rsidRPr="00C41A3E">
        <w:rPr>
          <w:sz w:val="20"/>
        </w:rPr>
        <w:t>lymfadenopati</w:t>
      </w:r>
      <w:proofErr w:type="spellEnd"/>
      <w:r w:rsidRPr="00C41A3E">
        <w:rPr>
          <w:sz w:val="20"/>
        </w:rPr>
        <w:t xml:space="preserve"> efter biopsi af generaliseret </w:t>
      </w:r>
      <w:proofErr w:type="spellStart"/>
      <w:r w:rsidRPr="00C41A3E">
        <w:rPr>
          <w:sz w:val="20"/>
        </w:rPr>
        <w:t>lymfadenopati</w:t>
      </w:r>
      <w:proofErr w:type="spellEnd"/>
      <w:r w:rsidRPr="00C41A3E">
        <w:rPr>
          <w:sz w:val="20"/>
        </w:rPr>
        <w:t xml:space="preserve">. Det synes at være reversibelt ved </w:t>
      </w:r>
      <w:proofErr w:type="spellStart"/>
      <w:r w:rsidRPr="00C41A3E">
        <w:rPr>
          <w:sz w:val="20"/>
        </w:rPr>
        <w:t>seponering</w:t>
      </w:r>
      <w:proofErr w:type="spellEnd"/>
      <w:r w:rsidRPr="00C41A3E">
        <w:rPr>
          <w:sz w:val="20"/>
        </w:rPr>
        <w:t xml:space="preserve"> af </w:t>
      </w:r>
      <w:proofErr w:type="spellStart"/>
      <w:r w:rsidRPr="00C41A3E">
        <w:rPr>
          <w:sz w:val="20"/>
        </w:rPr>
        <w:t>allopurinol</w:t>
      </w:r>
      <w:proofErr w:type="spellEnd"/>
      <w:r w:rsidRPr="00C41A3E">
        <w:rPr>
          <w:sz w:val="20"/>
        </w:rPr>
        <w:t>.</w:t>
      </w:r>
    </w:p>
    <w:p w:rsidR="00B23262" w:rsidRPr="00C41A3E" w:rsidRDefault="00B23262" w:rsidP="00B23262">
      <w:pPr>
        <w:ind w:left="1134" w:hanging="283"/>
        <w:rPr>
          <w:sz w:val="20"/>
        </w:rPr>
      </w:pPr>
    </w:p>
    <w:p w:rsidR="00B23262" w:rsidRPr="00C41A3E" w:rsidRDefault="00B23262" w:rsidP="00B23262">
      <w:pPr>
        <w:ind w:left="1134" w:hanging="283"/>
        <w:rPr>
          <w:sz w:val="20"/>
        </w:rPr>
      </w:pPr>
      <w:r w:rsidRPr="00C41A3E">
        <w:rPr>
          <w:sz w:val="20"/>
          <w:vertAlign w:val="superscript"/>
        </w:rPr>
        <w:t>4</w:t>
      </w:r>
      <w:r w:rsidRPr="00C41A3E">
        <w:rPr>
          <w:sz w:val="20"/>
        </w:rPr>
        <w:tab/>
        <w:t xml:space="preserve">I tidlige kliniske studier blev der rapporteret om kvalme og opkastning. Yderligere rapporter tyder på, at denne reaktion ikke udgør et betydeligt problem, og at den kan undgås ved at tage </w:t>
      </w:r>
      <w:proofErr w:type="spellStart"/>
      <w:r w:rsidRPr="00C41A3E">
        <w:rPr>
          <w:sz w:val="20"/>
        </w:rPr>
        <w:t>allopurinol</w:t>
      </w:r>
      <w:proofErr w:type="spellEnd"/>
      <w:r w:rsidRPr="00C41A3E">
        <w:rPr>
          <w:sz w:val="20"/>
        </w:rPr>
        <w:t xml:space="preserve"> efter måltiderne.</w:t>
      </w:r>
    </w:p>
    <w:p w:rsidR="00B23262" w:rsidRPr="00C41A3E" w:rsidRDefault="00B23262" w:rsidP="00B23262">
      <w:pPr>
        <w:ind w:left="1134" w:hanging="283"/>
        <w:rPr>
          <w:sz w:val="20"/>
        </w:rPr>
      </w:pPr>
    </w:p>
    <w:p w:rsidR="00B23262" w:rsidRPr="00C41A3E" w:rsidRDefault="00B23262" w:rsidP="00B23262">
      <w:pPr>
        <w:ind w:left="1134" w:hanging="283"/>
        <w:rPr>
          <w:sz w:val="20"/>
        </w:rPr>
      </w:pPr>
      <w:r w:rsidRPr="00C41A3E">
        <w:rPr>
          <w:sz w:val="20"/>
          <w:vertAlign w:val="superscript"/>
        </w:rPr>
        <w:t>5</w:t>
      </w:r>
      <w:r w:rsidRPr="00C41A3E">
        <w:rPr>
          <w:sz w:val="20"/>
          <w:vertAlign w:val="superscript"/>
        </w:rPr>
        <w:tab/>
      </w:r>
      <w:r w:rsidRPr="00C41A3E">
        <w:rPr>
          <w:sz w:val="20"/>
        </w:rPr>
        <w:t xml:space="preserve">Der er rapporteret om </w:t>
      </w:r>
      <w:proofErr w:type="spellStart"/>
      <w:r w:rsidRPr="00C41A3E">
        <w:rPr>
          <w:sz w:val="20"/>
        </w:rPr>
        <w:t>hepatisk</w:t>
      </w:r>
      <w:proofErr w:type="spellEnd"/>
      <w:r w:rsidRPr="00C41A3E">
        <w:rPr>
          <w:sz w:val="20"/>
        </w:rPr>
        <w:t xml:space="preserve"> dysfunktion uden åbenlyse tegn på mere generaliseret overfølsomhed.</w:t>
      </w:r>
    </w:p>
    <w:p w:rsidR="00B23262" w:rsidRPr="00C41A3E" w:rsidRDefault="00B23262" w:rsidP="00B23262">
      <w:pPr>
        <w:ind w:left="1134" w:hanging="283"/>
        <w:rPr>
          <w:sz w:val="20"/>
        </w:rPr>
      </w:pPr>
    </w:p>
    <w:p w:rsidR="00B23262" w:rsidRPr="00C41A3E" w:rsidRDefault="00B23262" w:rsidP="00B23262">
      <w:pPr>
        <w:ind w:left="1134" w:hanging="283"/>
        <w:rPr>
          <w:sz w:val="20"/>
          <w:vertAlign w:val="superscript"/>
        </w:rPr>
      </w:pPr>
      <w:r w:rsidRPr="00C41A3E">
        <w:rPr>
          <w:sz w:val="20"/>
          <w:vertAlign w:val="superscript"/>
        </w:rPr>
        <w:t>6</w:t>
      </w:r>
      <w:r w:rsidRPr="00C41A3E">
        <w:rPr>
          <w:sz w:val="20"/>
          <w:vertAlign w:val="superscript"/>
        </w:rPr>
        <w:tab/>
      </w:r>
      <w:r w:rsidRPr="00C41A3E">
        <w:rPr>
          <w:sz w:val="20"/>
        </w:rPr>
        <w:t xml:space="preserve">Hudreaktioner er de mest almindelige reaktioner og kan opstå på et hvilket som helst tidspunkt under behandlingen. Der kan være tale om </w:t>
      </w:r>
      <w:proofErr w:type="spellStart"/>
      <w:r w:rsidRPr="00C41A3E">
        <w:rPr>
          <w:sz w:val="20"/>
        </w:rPr>
        <w:t>pruritiske</w:t>
      </w:r>
      <w:proofErr w:type="spellEnd"/>
      <w:r w:rsidRPr="00C41A3E">
        <w:rPr>
          <w:sz w:val="20"/>
        </w:rPr>
        <w:t xml:space="preserve">, </w:t>
      </w:r>
      <w:proofErr w:type="spellStart"/>
      <w:r w:rsidRPr="00C41A3E">
        <w:rPr>
          <w:sz w:val="20"/>
        </w:rPr>
        <w:t>makulopapulære</w:t>
      </w:r>
      <w:proofErr w:type="spellEnd"/>
      <w:r w:rsidRPr="00C41A3E">
        <w:rPr>
          <w:sz w:val="20"/>
        </w:rPr>
        <w:t xml:space="preserve">, undertiden skællende, undertiden </w:t>
      </w:r>
      <w:proofErr w:type="spellStart"/>
      <w:r w:rsidRPr="00C41A3E">
        <w:rPr>
          <w:sz w:val="20"/>
        </w:rPr>
        <w:t>purpuriske</w:t>
      </w:r>
      <w:proofErr w:type="spellEnd"/>
      <w:r w:rsidRPr="00C41A3E">
        <w:rPr>
          <w:sz w:val="20"/>
        </w:rPr>
        <w:t xml:space="preserve"> og sjældent </w:t>
      </w:r>
      <w:proofErr w:type="spellStart"/>
      <w:r w:rsidRPr="00C41A3E">
        <w:rPr>
          <w:sz w:val="20"/>
        </w:rPr>
        <w:t>eksfoliative</w:t>
      </w:r>
      <w:proofErr w:type="spellEnd"/>
      <w:r w:rsidRPr="00C41A3E">
        <w:rPr>
          <w:sz w:val="20"/>
        </w:rPr>
        <w:t xml:space="preserve"> reaktioner, såsom Stevens-</w:t>
      </w:r>
      <w:proofErr w:type="spellStart"/>
      <w:r w:rsidRPr="00C41A3E">
        <w:rPr>
          <w:sz w:val="20"/>
        </w:rPr>
        <w:t>Johnson's</w:t>
      </w:r>
      <w:proofErr w:type="spellEnd"/>
      <w:r w:rsidRPr="00C41A3E">
        <w:rPr>
          <w:sz w:val="20"/>
        </w:rPr>
        <w:t xml:space="preserve"> syndrom og toksisk </w:t>
      </w:r>
      <w:proofErr w:type="spellStart"/>
      <w:r w:rsidRPr="00C41A3E">
        <w:rPr>
          <w:sz w:val="20"/>
        </w:rPr>
        <w:t>epidermal</w:t>
      </w:r>
      <w:proofErr w:type="spellEnd"/>
      <w:r w:rsidRPr="00C41A3E">
        <w:rPr>
          <w:sz w:val="20"/>
        </w:rPr>
        <w:t xml:space="preserve"> </w:t>
      </w:r>
      <w:proofErr w:type="spellStart"/>
      <w:r w:rsidRPr="00C41A3E">
        <w:rPr>
          <w:sz w:val="20"/>
        </w:rPr>
        <w:t>nekrolyse</w:t>
      </w:r>
      <w:proofErr w:type="spellEnd"/>
      <w:r w:rsidRPr="00C41A3E">
        <w:rPr>
          <w:sz w:val="20"/>
        </w:rPr>
        <w:t xml:space="preserve"> (SJS/TEN). </w:t>
      </w:r>
      <w:proofErr w:type="spellStart"/>
      <w:r w:rsidRPr="00C41A3E">
        <w:rPr>
          <w:sz w:val="20"/>
        </w:rPr>
        <w:t>Allopurinol</w:t>
      </w:r>
      <w:proofErr w:type="spellEnd"/>
      <w:r w:rsidRPr="00C41A3E">
        <w:rPr>
          <w:sz w:val="20"/>
        </w:rPr>
        <w:t xml:space="preserve"> bør seponeres OMGÅENDE, hvis der opstår sådanne reaktioner. Risikoen for SJS og TEN eller andre alvorlige overfølsomhedsreaktioner er størst i de første behandlingsuger. De bedste resultater i forbindelse med behandling af sådanne reaktioner opnås ved tidlig diagnosticering og øjeblikkelig </w:t>
      </w:r>
      <w:proofErr w:type="spellStart"/>
      <w:r w:rsidRPr="00C41A3E">
        <w:rPr>
          <w:sz w:val="20"/>
        </w:rPr>
        <w:t>seponering</w:t>
      </w:r>
      <w:proofErr w:type="spellEnd"/>
      <w:r w:rsidRPr="00C41A3E">
        <w:rPr>
          <w:sz w:val="20"/>
        </w:rPr>
        <w:t xml:space="preserve"> af det mistænkte lægemiddel. Når der er opnået bedring af milde reaktioner, kan behandlingen med </w:t>
      </w:r>
      <w:proofErr w:type="spellStart"/>
      <w:r w:rsidRPr="00C41A3E">
        <w:rPr>
          <w:sz w:val="20"/>
        </w:rPr>
        <w:t>allopurinol</w:t>
      </w:r>
      <w:proofErr w:type="spellEnd"/>
      <w:r w:rsidRPr="00C41A3E">
        <w:rPr>
          <w:sz w:val="20"/>
        </w:rPr>
        <w:t xml:space="preserve"> om ønsket genoptages med en lavere dosis (f.eks. 50 mg/dag), som øges gradvist. </w:t>
      </w:r>
      <w:bookmarkStart w:id="0" w:name="_Hlk68877884"/>
      <w:r w:rsidRPr="00C41A3E">
        <w:rPr>
          <w:sz w:val="20"/>
        </w:rPr>
        <w:t xml:space="preserve">Allel HLA-B*5801 har vist sig at være forbundet </w:t>
      </w:r>
      <w:bookmarkEnd w:id="0"/>
      <w:r w:rsidRPr="00C41A3E">
        <w:rPr>
          <w:sz w:val="20"/>
        </w:rPr>
        <w:t xml:space="preserve">med risikoen for udvikling af </w:t>
      </w:r>
      <w:proofErr w:type="spellStart"/>
      <w:r w:rsidRPr="00C41A3E">
        <w:rPr>
          <w:sz w:val="20"/>
        </w:rPr>
        <w:t>allopurinolrelateret</w:t>
      </w:r>
      <w:proofErr w:type="spellEnd"/>
      <w:r w:rsidRPr="00C41A3E">
        <w:rPr>
          <w:sz w:val="20"/>
        </w:rPr>
        <w:t xml:space="preserve"> overfølsomhedssyndrom og SJS/TEN. Brugen af genotypebestemmelse som screeningsværktøj med henblik på at træffe beslutninger vedrørende </w:t>
      </w:r>
      <w:proofErr w:type="spellStart"/>
      <w:r w:rsidRPr="00C41A3E">
        <w:rPr>
          <w:sz w:val="20"/>
        </w:rPr>
        <w:t>allopurinolbehandling</w:t>
      </w:r>
      <w:proofErr w:type="spellEnd"/>
      <w:r w:rsidRPr="00C41A3E">
        <w:rPr>
          <w:sz w:val="20"/>
        </w:rPr>
        <w:t xml:space="preserve"> er ikke klarlagt. Hvis udslættet vender tilbage, bør </w:t>
      </w:r>
      <w:proofErr w:type="spellStart"/>
      <w:r w:rsidRPr="00C41A3E">
        <w:rPr>
          <w:sz w:val="20"/>
        </w:rPr>
        <w:t>allopurinol</w:t>
      </w:r>
      <w:proofErr w:type="spellEnd"/>
      <w:r w:rsidRPr="00C41A3E">
        <w:rPr>
          <w:sz w:val="20"/>
        </w:rPr>
        <w:t xml:space="preserve"> seponeres PERMANENT, da der kan opstå mere alvorlig overfølsomhed (se </w:t>
      </w:r>
      <w:r w:rsidRPr="00C41A3E">
        <w:rPr>
          <w:i/>
          <w:sz w:val="20"/>
        </w:rPr>
        <w:t>Immunsystemet).</w:t>
      </w:r>
      <w:r w:rsidRPr="00C41A3E">
        <w:rPr>
          <w:sz w:val="20"/>
        </w:rPr>
        <w:t xml:space="preserve"> Hvis SJS/TEN eller andre alvorlige overfølsomhedsreaktioner ikke kan udelukkes, må </w:t>
      </w:r>
      <w:proofErr w:type="spellStart"/>
      <w:r w:rsidRPr="00C41A3E">
        <w:rPr>
          <w:sz w:val="20"/>
        </w:rPr>
        <w:t>allopurinol</w:t>
      </w:r>
      <w:proofErr w:type="spellEnd"/>
      <w:r w:rsidRPr="00C41A3E">
        <w:rPr>
          <w:sz w:val="20"/>
        </w:rPr>
        <w:t xml:space="preserve"> IKKE genoptages, da det indebærer en risiko for en alvorlig eller endog fatal reaktion. Den kliniske diagnosticering af SJS/TEN eller andre alvorlige overfølsomhedsreaktioner danner grundlaget for beslutningstagningen.</w:t>
      </w:r>
    </w:p>
    <w:p w:rsidR="00B23262" w:rsidRPr="00C41A3E" w:rsidRDefault="00B23262" w:rsidP="00B23262">
      <w:pPr>
        <w:ind w:left="1134" w:hanging="283"/>
        <w:rPr>
          <w:sz w:val="20"/>
        </w:rPr>
      </w:pPr>
    </w:p>
    <w:p w:rsidR="00B23262" w:rsidRPr="00C41A3E" w:rsidRDefault="00B23262" w:rsidP="00B23262">
      <w:pPr>
        <w:ind w:left="1134" w:hanging="283"/>
        <w:rPr>
          <w:sz w:val="20"/>
        </w:rPr>
      </w:pPr>
      <w:r w:rsidRPr="00C41A3E">
        <w:rPr>
          <w:sz w:val="20"/>
          <w:vertAlign w:val="superscript"/>
        </w:rPr>
        <w:t>7</w:t>
      </w:r>
      <w:r w:rsidRPr="00C41A3E">
        <w:rPr>
          <w:sz w:val="20"/>
          <w:vertAlign w:val="superscript"/>
        </w:rPr>
        <w:tab/>
      </w:r>
      <w:r w:rsidRPr="00C41A3E">
        <w:rPr>
          <w:sz w:val="20"/>
        </w:rPr>
        <w:t xml:space="preserve">Der er rapporteret om </w:t>
      </w:r>
      <w:proofErr w:type="spellStart"/>
      <w:r w:rsidRPr="00C41A3E">
        <w:rPr>
          <w:sz w:val="20"/>
        </w:rPr>
        <w:t>angioødemer</w:t>
      </w:r>
      <w:proofErr w:type="spellEnd"/>
      <w:r w:rsidRPr="00C41A3E">
        <w:rPr>
          <w:sz w:val="20"/>
        </w:rPr>
        <w:t xml:space="preserve"> med og uden tegn og symptomer på en mere generaliseret overfølsomhedsreaktion.</w:t>
      </w:r>
    </w:p>
    <w:p w:rsidR="00B23262" w:rsidRPr="00C41A3E" w:rsidRDefault="00B23262" w:rsidP="00B23262">
      <w:pPr>
        <w:ind w:left="1134" w:hanging="283"/>
        <w:rPr>
          <w:sz w:val="20"/>
        </w:rPr>
      </w:pPr>
    </w:p>
    <w:p w:rsidR="00B23262" w:rsidRPr="00C41A3E" w:rsidRDefault="00B23262" w:rsidP="00B23262">
      <w:pPr>
        <w:ind w:left="1134" w:hanging="283"/>
        <w:rPr>
          <w:sz w:val="20"/>
        </w:rPr>
      </w:pPr>
      <w:r w:rsidRPr="00C41A3E">
        <w:rPr>
          <w:sz w:val="20"/>
          <w:vertAlign w:val="superscript"/>
        </w:rPr>
        <w:t>8</w:t>
      </w:r>
      <w:r w:rsidRPr="00C41A3E">
        <w:rPr>
          <w:sz w:val="20"/>
          <w:vertAlign w:val="superscript"/>
        </w:rPr>
        <w:tab/>
      </w:r>
      <w:r w:rsidRPr="00C41A3E">
        <w:rPr>
          <w:sz w:val="20"/>
        </w:rPr>
        <w:t xml:space="preserve">Der er rapporteret om feber med og uden tegn og symptomer på en mere generaliseret overfølsomhedsreaktion over for </w:t>
      </w:r>
      <w:proofErr w:type="spellStart"/>
      <w:r w:rsidRPr="00C41A3E">
        <w:rPr>
          <w:sz w:val="20"/>
        </w:rPr>
        <w:t>allopurinol</w:t>
      </w:r>
      <w:proofErr w:type="spellEnd"/>
      <w:r w:rsidRPr="00C41A3E">
        <w:rPr>
          <w:sz w:val="20"/>
        </w:rPr>
        <w:t xml:space="preserve"> (se </w:t>
      </w:r>
      <w:r w:rsidRPr="00C41A3E">
        <w:rPr>
          <w:i/>
          <w:sz w:val="20"/>
        </w:rPr>
        <w:t>Immunsystemet)</w:t>
      </w:r>
      <w:r w:rsidRPr="00C41A3E">
        <w:rPr>
          <w:sz w:val="20"/>
        </w:rPr>
        <w:t>.</w:t>
      </w:r>
    </w:p>
    <w:p w:rsidR="00B23262" w:rsidRPr="00C41A3E" w:rsidRDefault="00B23262" w:rsidP="00B23262">
      <w:pPr>
        <w:ind w:left="1134" w:hanging="283"/>
        <w:rPr>
          <w:sz w:val="20"/>
        </w:rPr>
      </w:pPr>
    </w:p>
    <w:p w:rsidR="00B23262" w:rsidRPr="00C41A3E" w:rsidRDefault="00B23262" w:rsidP="00B23262">
      <w:pPr>
        <w:ind w:left="1134" w:hanging="283"/>
        <w:rPr>
          <w:sz w:val="20"/>
        </w:rPr>
      </w:pPr>
      <w:r w:rsidRPr="00C41A3E">
        <w:rPr>
          <w:sz w:val="20"/>
          <w:vertAlign w:val="superscript"/>
        </w:rPr>
        <w:lastRenderedPageBreak/>
        <w:t>9</w:t>
      </w:r>
      <w:r w:rsidRPr="00C41A3E">
        <w:rPr>
          <w:sz w:val="20"/>
          <w:vertAlign w:val="superscript"/>
        </w:rPr>
        <w:tab/>
      </w:r>
      <w:r w:rsidRPr="00C41A3E">
        <w:rPr>
          <w:sz w:val="20"/>
        </w:rPr>
        <w:t xml:space="preserve">Forekomsten af øget </w:t>
      </w:r>
      <w:proofErr w:type="spellStart"/>
      <w:r w:rsidRPr="00C41A3E">
        <w:rPr>
          <w:sz w:val="20"/>
        </w:rPr>
        <w:t>thyroideastimulerende</w:t>
      </w:r>
      <w:proofErr w:type="spellEnd"/>
      <w:r w:rsidRPr="00C41A3E">
        <w:rPr>
          <w:sz w:val="20"/>
        </w:rPr>
        <w:t xml:space="preserve"> hormon (TSH) i de relevante studier havde ingen indvirkning på niveauerne af frit T4 eller havde TSH-niveauer, der tydede på subklinisk </w:t>
      </w:r>
      <w:proofErr w:type="spellStart"/>
      <w:r w:rsidRPr="00C41A3E">
        <w:rPr>
          <w:sz w:val="20"/>
        </w:rPr>
        <w:t>hypothyreoidisme</w:t>
      </w:r>
      <w:proofErr w:type="spellEnd"/>
      <w:r w:rsidRPr="00C41A3E">
        <w:rPr>
          <w:bCs/>
          <w:sz w:val="20"/>
          <w:u w:val="single"/>
        </w:rPr>
        <w:t>.</w:t>
      </w:r>
    </w:p>
    <w:p w:rsidR="00B23262" w:rsidRPr="00C41A3E" w:rsidRDefault="00B23262" w:rsidP="00B23262">
      <w:pPr>
        <w:ind w:left="851"/>
        <w:rPr>
          <w:sz w:val="24"/>
          <w:szCs w:val="24"/>
        </w:rPr>
      </w:pPr>
    </w:p>
    <w:p w:rsidR="00B23262" w:rsidRPr="00C41A3E" w:rsidRDefault="00B23262" w:rsidP="00B23262">
      <w:pPr>
        <w:pStyle w:val="Default"/>
        <w:ind w:left="851"/>
        <w:rPr>
          <w:color w:val="auto"/>
          <w:u w:val="single"/>
        </w:rPr>
      </w:pPr>
      <w:r w:rsidRPr="00C41A3E">
        <w:rPr>
          <w:color w:val="auto"/>
          <w:u w:val="single"/>
        </w:rPr>
        <w:t>Indberetning af formodede bivirkninger</w:t>
      </w:r>
    </w:p>
    <w:p w:rsidR="00B23262" w:rsidRDefault="00B23262" w:rsidP="00B23262">
      <w:pPr>
        <w:pStyle w:val="Default"/>
        <w:ind w:left="851"/>
        <w:rPr>
          <w:color w:val="auto"/>
        </w:rPr>
      </w:pPr>
      <w:r w:rsidRPr="00C41A3E">
        <w:rPr>
          <w:color w:val="auto"/>
        </w:rPr>
        <w:t>Når lægemidlet er godkendt, er indberetning af formodede bivirkninger vigtig. Det muliggør løbende overvågning af benefit/</w:t>
      </w:r>
      <w:proofErr w:type="spellStart"/>
      <w:r w:rsidRPr="00C41A3E">
        <w:rPr>
          <w:color w:val="auto"/>
        </w:rPr>
        <w:t>risk</w:t>
      </w:r>
      <w:proofErr w:type="spellEnd"/>
      <w:r w:rsidRPr="00C41A3E">
        <w:rPr>
          <w:color w:val="auto"/>
        </w:rPr>
        <w:t xml:space="preserve">-forholdet for lægemidlet. </w:t>
      </w:r>
      <w:r>
        <w:rPr>
          <w:color w:val="auto"/>
        </w:rPr>
        <w:t xml:space="preserve">Sundhedspersoner </w:t>
      </w:r>
      <w:r w:rsidRPr="00C41A3E">
        <w:rPr>
          <w:color w:val="auto"/>
        </w:rPr>
        <w:t>anmodes om at indberette alle formodede bivirkninger via:</w:t>
      </w:r>
    </w:p>
    <w:p w:rsidR="003B6D17" w:rsidRPr="00C41A3E" w:rsidRDefault="003B6D17" w:rsidP="00B23262">
      <w:pPr>
        <w:pStyle w:val="Default"/>
        <w:ind w:left="851"/>
        <w:rPr>
          <w:color w:val="auto"/>
        </w:rPr>
      </w:pPr>
    </w:p>
    <w:p w:rsidR="00B23262" w:rsidRPr="00C41A3E" w:rsidRDefault="00B23262" w:rsidP="00B23262">
      <w:pPr>
        <w:pStyle w:val="Default"/>
        <w:ind w:left="851"/>
        <w:rPr>
          <w:color w:val="auto"/>
        </w:rPr>
      </w:pPr>
      <w:r w:rsidRPr="00C41A3E">
        <w:rPr>
          <w:color w:val="auto"/>
        </w:rPr>
        <w:t>Lægemiddelstyrelsen</w:t>
      </w:r>
    </w:p>
    <w:p w:rsidR="00B23262" w:rsidRPr="00C41A3E" w:rsidRDefault="00B23262" w:rsidP="00B23262">
      <w:pPr>
        <w:pStyle w:val="Default"/>
        <w:ind w:left="851"/>
        <w:rPr>
          <w:color w:val="auto"/>
        </w:rPr>
      </w:pPr>
      <w:r w:rsidRPr="00C41A3E">
        <w:rPr>
          <w:color w:val="auto"/>
        </w:rPr>
        <w:t>Axel Heides Gade 1</w:t>
      </w:r>
    </w:p>
    <w:p w:rsidR="00B23262" w:rsidRPr="00C41A3E" w:rsidRDefault="00B23262" w:rsidP="00B23262">
      <w:pPr>
        <w:pStyle w:val="Default"/>
        <w:ind w:left="851"/>
        <w:rPr>
          <w:color w:val="auto"/>
        </w:rPr>
      </w:pPr>
      <w:r w:rsidRPr="00C41A3E">
        <w:rPr>
          <w:color w:val="auto"/>
        </w:rPr>
        <w:t>DK-2300 København S</w:t>
      </w:r>
    </w:p>
    <w:p w:rsidR="00B23262" w:rsidRPr="00E71EA9" w:rsidRDefault="00B23262" w:rsidP="00B23262">
      <w:pPr>
        <w:pStyle w:val="Default"/>
        <w:ind w:left="851"/>
        <w:rPr>
          <w:color w:val="auto"/>
          <w:u w:val="single"/>
        </w:rPr>
      </w:pPr>
      <w:r w:rsidRPr="00E71EA9">
        <w:rPr>
          <w:color w:val="auto"/>
        </w:rPr>
        <w:t xml:space="preserve">Websted: </w:t>
      </w:r>
      <w:hyperlink r:id="rId8" w:history="1">
        <w:r w:rsidRPr="00E71EA9">
          <w:rPr>
            <w:rStyle w:val="Hyperlink"/>
            <w:color w:val="auto"/>
          </w:rPr>
          <w:t>www.meldenbivirkning.dk</w:t>
        </w:r>
      </w:hyperlink>
    </w:p>
    <w:p w:rsidR="008F0665" w:rsidRPr="00B23262" w:rsidRDefault="008F0665" w:rsidP="008F0665">
      <w:pPr>
        <w:pStyle w:val="Sidehoved"/>
        <w:tabs>
          <w:tab w:val="left" w:pos="851"/>
        </w:tabs>
        <w:ind w:left="851"/>
        <w:rPr>
          <w:szCs w:val="24"/>
        </w:rPr>
      </w:pPr>
    </w:p>
    <w:p w:rsidR="008F0665" w:rsidRPr="00C84483" w:rsidRDefault="008F0665" w:rsidP="008F0665">
      <w:pPr>
        <w:tabs>
          <w:tab w:val="left" w:pos="851"/>
        </w:tabs>
        <w:ind w:left="851" w:hanging="851"/>
        <w:rPr>
          <w:b/>
          <w:sz w:val="24"/>
          <w:szCs w:val="24"/>
        </w:rPr>
      </w:pPr>
      <w:r w:rsidRPr="00C84483">
        <w:rPr>
          <w:b/>
          <w:sz w:val="24"/>
          <w:szCs w:val="24"/>
        </w:rPr>
        <w:t>4.9</w:t>
      </w:r>
      <w:r w:rsidRPr="00C84483">
        <w:rPr>
          <w:b/>
          <w:sz w:val="24"/>
          <w:szCs w:val="24"/>
        </w:rPr>
        <w:tab/>
        <w:t>Overdosering</w:t>
      </w:r>
    </w:p>
    <w:p w:rsidR="008F0665" w:rsidRDefault="008F0665" w:rsidP="008F0665">
      <w:pPr>
        <w:ind w:left="851"/>
        <w:rPr>
          <w:sz w:val="24"/>
          <w:szCs w:val="24"/>
          <w:u w:val="single"/>
        </w:rPr>
      </w:pPr>
    </w:p>
    <w:p w:rsidR="008F0665" w:rsidRPr="004A662A" w:rsidRDefault="008F0665" w:rsidP="008F0665">
      <w:pPr>
        <w:ind w:left="851"/>
        <w:rPr>
          <w:sz w:val="24"/>
          <w:szCs w:val="24"/>
          <w:u w:val="single"/>
        </w:rPr>
      </w:pPr>
      <w:r w:rsidRPr="004A662A">
        <w:rPr>
          <w:sz w:val="24"/>
          <w:szCs w:val="24"/>
          <w:u w:val="single"/>
        </w:rPr>
        <w:t>Symptomer og tegn</w:t>
      </w:r>
    </w:p>
    <w:p w:rsidR="008F0665" w:rsidRPr="004A662A" w:rsidRDefault="008F0665" w:rsidP="008F0665">
      <w:pPr>
        <w:ind w:left="851"/>
        <w:rPr>
          <w:sz w:val="24"/>
          <w:szCs w:val="24"/>
        </w:rPr>
      </w:pPr>
      <w:r w:rsidRPr="004A662A">
        <w:rPr>
          <w:sz w:val="24"/>
          <w:szCs w:val="24"/>
        </w:rPr>
        <w:t xml:space="preserve">Der er rapporteret om indtagelse af op til 22,5 g </w:t>
      </w:r>
      <w:proofErr w:type="spellStart"/>
      <w:r w:rsidRPr="004A662A">
        <w:rPr>
          <w:sz w:val="24"/>
          <w:szCs w:val="24"/>
        </w:rPr>
        <w:t>allopurinol</w:t>
      </w:r>
      <w:proofErr w:type="spellEnd"/>
      <w:r w:rsidRPr="004A662A">
        <w:rPr>
          <w:sz w:val="24"/>
          <w:szCs w:val="24"/>
        </w:rPr>
        <w:t xml:space="preserve"> uden bivirkninger. Hos en patient, der havde indtaget 20 g </w:t>
      </w:r>
      <w:proofErr w:type="spellStart"/>
      <w:r w:rsidRPr="004A662A">
        <w:rPr>
          <w:sz w:val="24"/>
          <w:szCs w:val="24"/>
        </w:rPr>
        <w:t>allopurinol</w:t>
      </w:r>
      <w:proofErr w:type="spellEnd"/>
      <w:r w:rsidRPr="004A662A">
        <w:rPr>
          <w:sz w:val="24"/>
          <w:szCs w:val="24"/>
        </w:rPr>
        <w:t>, omfattede de indberettede symptomer og tegn kvalme, opkastning, diarré og svimmelhed. Patienten kom sig efter almene understøttende tiltag.</w:t>
      </w:r>
    </w:p>
    <w:p w:rsidR="008F0665" w:rsidRPr="004A662A" w:rsidRDefault="008F0665" w:rsidP="008F0665">
      <w:pPr>
        <w:ind w:left="851"/>
        <w:rPr>
          <w:sz w:val="24"/>
          <w:szCs w:val="24"/>
        </w:rPr>
      </w:pPr>
    </w:p>
    <w:p w:rsidR="008F0665" w:rsidRPr="004A662A" w:rsidRDefault="008F0665" w:rsidP="00100EF5">
      <w:pPr>
        <w:keepNext/>
        <w:ind w:left="851"/>
        <w:rPr>
          <w:sz w:val="24"/>
          <w:szCs w:val="24"/>
          <w:u w:val="single"/>
        </w:rPr>
      </w:pPr>
      <w:r w:rsidRPr="004A662A">
        <w:rPr>
          <w:sz w:val="24"/>
          <w:szCs w:val="24"/>
          <w:u w:val="single"/>
        </w:rPr>
        <w:t>Behandling</w:t>
      </w:r>
    </w:p>
    <w:p w:rsidR="008F0665" w:rsidRPr="004A662A" w:rsidRDefault="008F0665" w:rsidP="008F0665">
      <w:pPr>
        <w:ind w:left="851"/>
        <w:rPr>
          <w:sz w:val="24"/>
          <w:szCs w:val="24"/>
        </w:rPr>
      </w:pPr>
      <w:r w:rsidRPr="004A662A">
        <w:rPr>
          <w:sz w:val="24"/>
          <w:szCs w:val="24"/>
        </w:rPr>
        <w:t xml:space="preserve">Massiv absorption af </w:t>
      </w:r>
      <w:proofErr w:type="spellStart"/>
      <w:r>
        <w:rPr>
          <w:sz w:val="24"/>
          <w:szCs w:val="24"/>
        </w:rPr>
        <w:t>Allopurinol</w:t>
      </w:r>
      <w:proofErr w:type="spellEnd"/>
      <w:r>
        <w:rPr>
          <w:sz w:val="24"/>
          <w:szCs w:val="24"/>
        </w:rPr>
        <w:t xml:space="preserve"> "Sandoz"</w:t>
      </w:r>
      <w:r w:rsidRPr="004A662A">
        <w:rPr>
          <w:sz w:val="24"/>
          <w:szCs w:val="24"/>
        </w:rPr>
        <w:t xml:space="preserve"> kan føre til betydelig hæmning af </w:t>
      </w:r>
      <w:proofErr w:type="spellStart"/>
      <w:r w:rsidRPr="004A662A">
        <w:rPr>
          <w:sz w:val="24"/>
          <w:szCs w:val="24"/>
        </w:rPr>
        <w:t>xanthinoxidaseaktiviteten</w:t>
      </w:r>
      <w:proofErr w:type="spellEnd"/>
      <w:r w:rsidRPr="004A662A">
        <w:rPr>
          <w:sz w:val="24"/>
          <w:szCs w:val="24"/>
        </w:rPr>
        <w:t xml:space="preserve">. Dette bør ikke medføre andre uønskede virkninger end påvirkning af samtidigt administrerede lægemidler, især 6-mercaptopurin og/eller </w:t>
      </w:r>
      <w:proofErr w:type="spellStart"/>
      <w:r w:rsidRPr="004A662A">
        <w:rPr>
          <w:sz w:val="24"/>
          <w:szCs w:val="24"/>
        </w:rPr>
        <w:t>azathioprin</w:t>
      </w:r>
      <w:proofErr w:type="spellEnd"/>
      <w:r w:rsidRPr="004A662A">
        <w:rPr>
          <w:sz w:val="24"/>
          <w:szCs w:val="24"/>
        </w:rPr>
        <w:t>.</w:t>
      </w:r>
    </w:p>
    <w:p w:rsidR="008F0665" w:rsidRPr="00C84483" w:rsidRDefault="008F0665" w:rsidP="008F0665">
      <w:pPr>
        <w:ind w:left="851"/>
        <w:rPr>
          <w:sz w:val="24"/>
          <w:szCs w:val="24"/>
        </w:rPr>
      </w:pPr>
      <w:r w:rsidRPr="004A662A">
        <w:rPr>
          <w:sz w:val="24"/>
          <w:szCs w:val="24"/>
        </w:rPr>
        <w:t xml:space="preserve">Adækvat hydrering med opretholdelse af optimal diurese fremmer udskillelsen af </w:t>
      </w:r>
      <w:proofErr w:type="spellStart"/>
      <w:r w:rsidRPr="004A662A">
        <w:rPr>
          <w:sz w:val="24"/>
          <w:szCs w:val="24"/>
        </w:rPr>
        <w:t>allopurinol</w:t>
      </w:r>
      <w:proofErr w:type="spellEnd"/>
      <w:r w:rsidRPr="004A662A">
        <w:rPr>
          <w:sz w:val="24"/>
          <w:szCs w:val="24"/>
        </w:rPr>
        <w:t xml:space="preserve"> og dets metabolitter. Hæmodialyse kan anvendes, hvis det vurderes at være nødvendigt.</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4.10</w:t>
      </w:r>
      <w:r w:rsidRPr="00C84483">
        <w:rPr>
          <w:b/>
          <w:sz w:val="24"/>
          <w:szCs w:val="24"/>
        </w:rPr>
        <w:tab/>
        <w:t>Udlevering</w:t>
      </w:r>
    </w:p>
    <w:p w:rsidR="008F0665" w:rsidRPr="00C84483" w:rsidRDefault="008F0665" w:rsidP="008F0665">
      <w:pPr>
        <w:tabs>
          <w:tab w:val="left" w:pos="851"/>
        </w:tabs>
        <w:ind w:left="851"/>
        <w:rPr>
          <w:sz w:val="24"/>
          <w:szCs w:val="24"/>
        </w:rPr>
      </w:pPr>
      <w:r>
        <w:rPr>
          <w:sz w:val="24"/>
          <w:szCs w:val="24"/>
        </w:rPr>
        <w:t>B</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F0665" w:rsidRPr="00C84483" w:rsidRDefault="008F0665" w:rsidP="008F0665">
      <w:pPr>
        <w:tabs>
          <w:tab w:val="left" w:pos="851"/>
        </w:tabs>
        <w:ind w:left="851"/>
        <w:rPr>
          <w:sz w:val="24"/>
          <w:szCs w:val="24"/>
        </w:rPr>
      </w:pPr>
    </w:p>
    <w:p w:rsidR="008F0665" w:rsidRDefault="008F0665" w:rsidP="008F0665">
      <w:pPr>
        <w:tabs>
          <w:tab w:val="left" w:pos="851"/>
        </w:tabs>
        <w:ind w:left="851" w:hanging="851"/>
        <w:rPr>
          <w:b/>
          <w:sz w:val="24"/>
          <w:szCs w:val="24"/>
        </w:rPr>
      </w:pPr>
      <w:r w:rsidRPr="00C84483">
        <w:rPr>
          <w:b/>
          <w:sz w:val="24"/>
          <w:szCs w:val="24"/>
        </w:rPr>
        <w:t>5.0</w:t>
      </w:r>
      <w:r w:rsidRPr="00C84483">
        <w:rPr>
          <w:b/>
          <w:sz w:val="24"/>
          <w:szCs w:val="24"/>
        </w:rPr>
        <w:tab/>
      </w:r>
      <w:r>
        <w:rPr>
          <w:b/>
          <w:sz w:val="24"/>
          <w:szCs w:val="24"/>
        </w:rPr>
        <w:t>Terapeutisk klassifikation</w:t>
      </w:r>
    </w:p>
    <w:p w:rsidR="008F0665" w:rsidRDefault="008F0665" w:rsidP="008F0665">
      <w:pPr>
        <w:tabs>
          <w:tab w:val="left" w:pos="567"/>
        </w:tabs>
        <w:ind w:left="851"/>
        <w:rPr>
          <w:sz w:val="24"/>
          <w:szCs w:val="24"/>
        </w:rPr>
      </w:pPr>
      <w:r>
        <w:rPr>
          <w:sz w:val="24"/>
          <w:szCs w:val="24"/>
        </w:rPr>
        <w:t>ATC-kode: M 04 AA 01</w:t>
      </w:r>
      <w:r w:rsidR="00100EF5">
        <w:rPr>
          <w:sz w:val="24"/>
          <w:szCs w:val="24"/>
        </w:rPr>
        <w:t>. M</w:t>
      </w:r>
      <w:r>
        <w:rPr>
          <w:sz w:val="24"/>
          <w:szCs w:val="24"/>
        </w:rPr>
        <w:t xml:space="preserve">idler mod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 midler, der hæmmer urinsyreproduktionen.</w:t>
      </w:r>
    </w:p>
    <w:p w:rsidR="008F0665" w:rsidRPr="00C84483" w:rsidRDefault="008F0665" w:rsidP="008F0665">
      <w:pPr>
        <w:tabs>
          <w:tab w:val="left" w:pos="851"/>
        </w:tabs>
        <w:ind w:left="851" w:hanging="851"/>
        <w:rPr>
          <w:sz w:val="24"/>
          <w:szCs w:val="24"/>
        </w:rPr>
      </w:pPr>
    </w:p>
    <w:p w:rsidR="008F0665" w:rsidRPr="00C84483" w:rsidRDefault="008F0665" w:rsidP="008F066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F0665" w:rsidRPr="007127F9" w:rsidRDefault="008F0665" w:rsidP="008F0665">
      <w:pPr>
        <w:pStyle w:val="Default"/>
        <w:ind w:left="851"/>
        <w:rPr>
          <w:color w:val="auto"/>
        </w:rPr>
      </w:pPr>
      <w:proofErr w:type="spellStart"/>
      <w:r w:rsidRPr="004A662A">
        <w:rPr>
          <w:color w:val="auto"/>
        </w:rPr>
        <w:t>Allopurinol</w:t>
      </w:r>
      <w:proofErr w:type="spellEnd"/>
      <w:r w:rsidRPr="004A662A">
        <w:rPr>
          <w:color w:val="auto"/>
        </w:rPr>
        <w:t xml:space="preserve"> er en </w:t>
      </w:r>
      <w:proofErr w:type="spellStart"/>
      <w:r w:rsidRPr="004A662A">
        <w:rPr>
          <w:color w:val="auto"/>
        </w:rPr>
        <w:t>xanthinoxidasehæmmer</w:t>
      </w:r>
      <w:proofErr w:type="spellEnd"/>
      <w:r w:rsidRPr="004A662A">
        <w:rPr>
          <w:color w:val="auto"/>
        </w:rPr>
        <w:t xml:space="preserve">. </w:t>
      </w:r>
      <w:proofErr w:type="spellStart"/>
      <w:r w:rsidRPr="004A662A">
        <w:rPr>
          <w:color w:val="auto"/>
        </w:rPr>
        <w:t>Allopurinol</w:t>
      </w:r>
      <w:proofErr w:type="spellEnd"/>
      <w:r w:rsidRPr="004A662A">
        <w:rPr>
          <w:color w:val="auto"/>
        </w:rPr>
        <w:t xml:space="preserve"> og dets primære metabolit, </w:t>
      </w:r>
      <w:proofErr w:type="spellStart"/>
      <w:r w:rsidRPr="004A662A">
        <w:rPr>
          <w:color w:val="auto"/>
        </w:rPr>
        <w:t>oxipurinol</w:t>
      </w:r>
      <w:proofErr w:type="spellEnd"/>
      <w:r w:rsidRPr="004A662A">
        <w:rPr>
          <w:color w:val="auto"/>
        </w:rPr>
        <w:t xml:space="preserve">, reducerer niveauet af urinsyre i plasma og urin via hæmning af </w:t>
      </w:r>
      <w:proofErr w:type="spellStart"/>
      <w:r w:rsidRPr="004A662A">
        <w:rPr>
          <w:color w:val="auto"/>
        </w:rPr>
        <w:t>xanthinoxidase</w:t>
      </w:r>
      <w:proofErr w:type="spellEnd"/>
      <w:r w:rsidRPr="004A662A">
        <w:rPr>
          <w:color w:val="auto"/>
        </w:rPr>
        <w:t xml:space="preserve">, som er det enzym, der katalyserer oxideringen af </w:t>
      </w:r>
      <w:proofErr w:type="spellStart"/>
      <w:r w:rsidRPr="004A662A">
        <w:rPr>
          <w:color w:val="auto"/>
        </w:rPr>
        <w:t>hypoxanthin</w:t>
      </w:r>
      <w:proofErr w:type="spellEnd"/>
      <w:r w:rsidRPr="004A662A">
        <w:rPr>
          <w:color w:val="auto"/>
        </w:rPr>
        <w:t xml:space="preserve"> til </w:t>
      </w:r>
      <w:proofErr w:type="spellStart"/>
      <w:r w:rsidRPr="004A662A">
        <w:rPr>
          <w:color w:val="auto"/>
        </w:rPr>
        <w:t>xanthin</w:t>
      </w:r>
      <w:proofErr w:type="spellEnd"/>
      <w:r w:rsidRPr="004A662A">
        <w:rPr>
          <w:color w:val="auto"/>
        </w:rPr>
        <w:t xml:space="preserve"> og af </w:t>
      </w:r>
      <w:proofErr w:type="spellStart"/>
      <w:r w:rsidRPr="004A662A">
        <w:rPr>
          <w:color w:val="auto"/>
        </w:rPr>
        <w:t>xanthin</w:t>
      </w:r>
      <w:proofErr w:type="spellEnd"/>
      <w:r w:rsidRPr="004A662A">
        <w:rPr>
          <w:color w:val="auto"/>
        </w:rPr>
        <w:t xml:space="preserve"> til urinsyre. Udover hæmningen af </w:t>
      </w:r>
      <w:proofErr w:type="spellStart"/>
      <w:r w:rsidRPr="004A662A">
        <w:rPr>
          <w:color w:val="auto"/>
        </w:rPr>
        <w:t>purinkatabolismen</w:t>
      </w:r>
      <w:proofErr w:type="spellEnd"/>
      <w:r w:rsidRPr="004A662A">
        <w:rPr>
          <w:color w:val="auto"/>
        </w:rPr>
        <w:t xml:space="preserve"> hos visse, men ikke alle </w:t>
      </w:r>
      <w:proofErr w:type="spellStart"/>
      <w:r w:rsidRPr="004A662A">
        <w:rPr>
          <w:color w:val="auto"/>
        </w:rPr>
        <w:t>hyperurikæmiske</w:t>
      </w:r>
      <w:proofErr w:type="spellEnd"/>
      <w:r w:rsidRPr="004A662A">
        <w:rPr>
          <w:color w:val="auto"/>
        </w:rPr>
        <w:t xml:space="preserve"> patienter, undertrykkes de </w:t>
      </w:r>
      <w:proofErr w:type="spellStart"/>
      <w:r w:rsidRPr="004A662A">
        <w:rPr>
          <w:color w:val="auto"/>
        </w:rPr>
        <w:t>novo-purinbiosyntesen</w:t>
      </w:r>
      <w:proofErr w:type="spellEnd"/>
      <w:r w:rsidRPr="004A662A">
        <w:rPr>
          <w:color w:val="auto"/>
        </w:rPr>
        <w:t xml:space="preserve"> via feedback-hæmning af </w:t>
      </w:r>
      <w:proofErr w:type="spellStart"/>
      <w:r w:rsidRPr="004A662A">
        <w:rPr>
          <w:color w:val="auto"/>
        </w:rPr>
        <w:t>hypoxanthin-guaninphosphoribosyltransferase</w:t>
      </w:r>
      <w:proofErr w:type="spellEnd"/>
      <w:r w:rsidRPr="004A662A">
        <w:rPr>
          <w:color w:val="auto"/>
        </w:rPr>
        <w:t xml:space="preserve">. </w:t>
      </w:r>
      <w:proofErr w:type="spellStart"/>
      <w:r w:rsidRPr="004A662A">
        <w:rPr>
          <w:color w:val="auto"/>
        </w:rPr>
        <w:t>Allopurinols</w:t>
      </w:r>
      <w:proofErr w:type="spellEnd"/>
      <w:r w:rsidRPr="004A662A">
        <w:rPr>
          <w:color w:val="auto"/>
        </w:rPr>
        <w:t xml:space="preserve"> øvrige metabolitter omfatter </w:t>
      </w:r>
      <w:proofErr w:type="spellStart"/>
      <w:r w:rsidRPr="004A662A">
        <w:rPr>
          <w:color w:val="auto"/>
        </w:rPr>
        <w:t>allopurinol-ribosid</w:t>
      </w:r>
      <w:proofErr w:type="spellEnd"/>
      <w:r w:rsidRPr="004A662A">
        <w:rPr>
          <w:color w:val="auto"/>
        </w:rPr>
        <w:t xml:space="preserve"> og oxipurinol-7-ribosid.</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F0665" w:rsidRDefault="008F0665" w:rsidP="008F0665">
      <w:pPr>
        <w:ind w:left="851"/>
        <w:rPr>
          <w:sz w:val="24"/>
          <w:szCs w:val="24"/>
          <w:u w:val="single"/>
        </w:rPr>
      </w:pPr>
    </w:p>
    <w:p w:rsidR="008F0665" w:rsidRPr="004A662A" w:rsidRDefault="008F0665" w:rsidP="008F0665">
      <w:pPr>
        <w:ind w:left="851"/>
        <w:rPr>
          <w:sz w:val="24"/>
          <w:szCs w:val="24"/>
        </w:rPr>
      </w:pPr>
      <w:r w:rsidRPr="004A662A">
        <w:rPr>
          <w:sz w:val="24"/>
          <w:szCs w:val="24"/>
          <w:u w:val="single"/>
        </w:rPr>
        <w:t>Absorption</w:t>
      </w:r>
      <w:r w:rsidRPr="004A662A">
        <w:rPr>
          <w:sz w:val="24"/>
          <w:szCs w:val="24"/>
        </w:rPr>
        <w:t xml:space="preserve"> </w:t>
      </w:r>
    </w:p>
    <w:p w:rsidR="008F0665" w:rsidRDefault="008F0665" w:rsidP="008F0665">
      <w:pPr>
        <w:ind w:left="851"/>
        <w:rPr>
          <w:sz w:val="24"/>
          <w:szCs w:val="24"/>
        </w:rPr>
      </w:pPr>
      <w:proofErr w:type="spellStart"/>
      <w:r w:rsidRPr="004A662A">
        <w:rPr>
          <w:sz w:val="24"/>
          <w:szCs w:val="24"/>
        </w:rPr>
        <w:lastRenderedPageBreak/>
        <w:t>Allopurinol</w:t>
      </w:r>
      <w:proofErr w:type="spellEnd"/>
      <w:r w:rsidRPr="004A662A">
        <w:rPr>
          <w:sz w:val="24"/>
          <w:szCs w:val="24"/>
        </w:rPr>
        <w:t xml:space="preserve"> er aktivt, når det indgives oralt, og det absorberes hurtigt fra den øvre mave-tarm-kanal. I studier er der detekteret </w:t>
      </w:r>
      <w:proofErr w:type="spellStart"/>
      <w:r w:rsidRPr="004A662A">
        <w:rPr>
          <w:sz w:val="24"/>
          <w:szCs w:val="24"/>
        </w:rPr>
        <w:t>allopurinol</w:t>
      </w:r>
      <w:proofErr w:type="spellEnd"/>
      <w:r w:rsidRPr="004A662A">
        <w:rPr>
          <w:sz w:val="24"/>
          <w:szCs w:val="24"/>
        </w:rPr>
        <w:t xml:space="preserve"> i blodet 30-60 minutter efter administration. Biotilgængeligheden estimeres at være fra 67 % til 90 %. De maksimale plasmaniveauer af </w:t>
      </w:r>
      <w:proofErr w:type="spellStart"/>
      <w:r w:rsidRPr="004A662A">
        <w:rPr>
          <w:sz w:val="24"/>
          <w:szCs w:val="24"/>
        </w:rPr>
        <w:t>allopurinol</w:t>
      </w:r>
      <w:proofErr w:type="spellEnd"/>
      <w:r w:rsidRPr="004A662A">
        <w:rPr>
          <w:sz w:val="24"/>
          <w:szCs w:val="24"/>
        </w:rPr>
        <w:t xml:space="preserve"> opnås som regel cirka 1,5 time efter oral administration af </w:t>
      </w:r>
      <w:proofErr w:type="spellStart"/>
      <w:r w:rsidRPr="004A662A">
        <w:rPr>
          <w:sz w:val="24"/>
          <w:szCs w:val="24"/>
        </w:rPr>
        <w:t>allopurinol</w:t>
      </w:r>
      <w:proofErr w:type="spellEnd"/>
      <w:r w:rsidRPr="004A662A">
        <w:rPr>
          <w:sz w:val="24"/>
          <w:szCs w:val="24"/>
        </w:rPr>
        <w:t xml:space="preserve">, men de falder hurtigt og kan knap spores efter 6 timer. De maksimale niveauer af </w:t>
      </w:r>
      <w:proofErr w:type="spellStart"/>
      <w:r w:rsidRPr="004A662A">
        <w:rPr>
          <w:sz w:val="24"/>
          <w:szCs w:val="24"/>
        </w:rPr>
        <w:t>oxipurinol</w:t>
      </w:r>
      <w:proofErr w:type="spellEnd"/>
      <w:r w:rsidRPr="004A662A">
        <w:rPr>
          <w:sz w:val="24"/>
          <w:szCs w:val="24"/>
        </w:rPr>
        <w:t xml:space="preserve"> indtræder som regel 3-5 timer efter oral administration af </w:t>
      </w:r>
      <w:proofErr w:type="spellStart"/>
      <w:r w:rsidRPr="004A662A">
        <w:rPr>
          <w:sz w:val="24"/>
          <w:szCs w:val="24"/>
        </w:rPr>
        <w:t>allopurinol</w:t>
      </w:r>
      <w:proofErr w:type="spellEnd"/>
      <w:r w:rsidRPr="004A662A">
        <w:rPr>
          <w:sz w:val="24"/>
          <w:szCs w:val="24"/>
        </w:rPr>
        <w:t xml:space="preserve"> og er meget mere vedholdende.</w:t>
      </w:r>
    </w:p>
    <w:p w:rsidR="008F0665" w:rsidRPr="004A662A" w:rsidRDefault="008F0665" w:rsidP="008F0665">
      <w:pPr>
        <w:ind w:left="851"/>
        <w:rPr>
          <w:sz w:val="24"/>
          <w:szCs w:val="24"/>
        </w:rPr>
      </w:pPr>
    </w:p>
    <w:p w:rsidR="008F0665" w:rsidRPr="004A662A" w:rsidRDefault="008F0665" w:rsidP="008F0665">
      <w:pPr>
        <w:ind w:left="851"/>
        <w:rPr>
          <w:sz w:val="24"/>
          <w:szCs w:val="24"/>
        </w:rPr>
      </w:pPr>
      <w:r w:rsidRPr="004A662A">
        <w:rPr>
          <w:sz w:val="24"/>
          <w:szCs w:val="24"/>
          <w:u w:val="single"/>
        </w:rPr>
        <w:t>Fordeling</w:t>
      </w:r>
    </w:p>
    <w:p w:rsidR="008F0665" w:rsidRPr="004A662A" w:rsidRDefault="008F0665" w:rsidP="008F0665">
      <w:pPr>
        <w:ind w:left="851"/>
        <w:rPr>
          <w:sz w:val="24"/>
          <w:szCs w:val="24"/>
        </w:rPr>
      </w:pPr>
      <w:proofErr w:type="spellStart"/>
      <w:r w:rsidRPr="004A662A">
        <w:rPr>
          <w:sz w:val="24"/>
          <w:szCs w:val="24"/>
        </w:rPr>
        <w:t>Allopurinol</w:t>
      </w:r>
      <w:proofErr w:type="spellEnd"/>
      <w:r w:rsidRPr="004A662A">
        <w:rPr>
          <w:sz w:val="24"/>
          <w:szCs w:val="24"/>
        </w:rPr>
        <w:t xml:space="preserve"> bindes i ubetydelig grad til plasmaproteiner, og derfor forventes variationer i proteinbindingen ikke at ændre </w:t>
      </w:r>
      <w:proofErr w:type="spellStart"/>
      <w:r w:rsidRPr="004A662A">
        <w:rPr>
          <w:sz w:val="24"/>
          <w:szCs w:val="24"/>
        </w:rPr>
        <w:t>clearance</w:t>
      </w:r>
      <w:proofErr w:type="spellEnd"/>
      <w:r w:rsidRPr="004A662A">
        <w:rPr>
          <w:sz w:val="24"/>
          <w:szCs w:val="24"/>
        </w:rPr>
        <w:t xml:space="preserve"> betydeligt. </w:t>
      </w:r>
      <w:proofErr w:type="spellStart"/>
      <w:r w:rsidRPr="004A662A">
        <w:rPr>
          <w:sz w:val="24"/>
          <w:szCs w:val="24"/>
        </w:rPr>
        <w:t>Allopurinols</w:t>
      </w:r>
      <w:proofErr w:type="spellEnd"/>
      <w:r w:rsidRPr="004A662A">
        <w:rPr>
          <w:sz w:val="24"/>
          <w:szCs w:val="24"/>
        </w:rPr>
        <w:t xml:space="preserve"> tilsyneladende distributionsvolumen er cirka 1,6 liter/kg, hvilket tyder på relativt omfattende optagelse i vævene. Der er ingen indberetninger om </w:t>
      </w:r>
      <w:proofErr w:type="spellStart"/>
      <w:r w:rsidRPr="004A662A">
        <w:rPr>
          <w:sz w:val="24"/>
          <w:szCs w:val="24"/>
        </w:rPr>
        <w:t>allopurinolkoncentrationer</w:t>
      </w:r>
      <w:proofErr w:type="spellEnd"/>
      <w:r w:rsidRPr="004A662A">
        <w:rPr>
          <w:sz w:val="24"/>
          <w:szCs w:val="24"/>
        </w:rPr>
        <w:t xml:space="preserve"> i væv hos mennesker, men det er sandsynligt, at </w:t>
      </w:r>
      <w:proofErr w:type="spellStart"/>
      <w:r w:rsidRPr="004A662A">
        <w:rPr>
          <w:sz w:val="24"/>
          <w:szCs w:val="24"/>
        </w:rPr>
        <w:t>allopurinol</w:t>
      </w:r>
      <w:proofErr w:type="spellEnd"/>
      <w:r w:rsidRPr="004A662A">
        <w:rPr>
          <w:sz w:val="24"/>
          <w:szCs w:val="24"/>
        </w:rPr>
        <w:t xml:space="preserve"> og </w:t>
      </w:r>
      <w:proofErr w:type="spellStart"/>
      <w:r w:rsidRPr="004A662A">
        <w:rPr>
          <w:sz w:val="24"/>
          <w:szCs w:val="24"/>
        </w:rPr>
        <w:t>oxipurinol</w:t>
      </w:r>
      <w:proofErr w:type="spellEnd"/>
      <w:r w:rsidRPr="004A662A">
        <w:rPr>
          <w:sz w:val="24"/>
          <w:szCs w:val="24"/>
        </w:rPr>
        <w:t xml:space="preserve"> vil være til stede i de højeste koncentrationer i leveren og tarmslimhinderne, hvor </w:t>
      </w:r>
      <w:proofErr w:type="spellStart"/>
      <w:r w:rsidRPr="004A662A">
        <w:rPr>
          <w:sz w:val="24"/>
          <w:szCs w:val="24"/>
        </w:rPr>
        <w:t>xanthinoxidase</w:t>
      </w:r>
      <w:proofErr w:type="spellEnd"/>
      <w:r w:rsidRPr="004A662A">
        <w:rPr>
          <w:sz w:val="24"/>
          <w:szCs w:val="24"/>
        </w:rPr>
        <w:t xml:space="preserve"> har høj aktivitet.</w:t>
      </w:r>
    </w:p>
    <w:p w:rsidR="008F0665" w:rsidRPr="004A662A" w:rsidRDefault="008F0665" w:rsidP="008F0665">
      <w:pPr>
        <w:ind w:left="851"/>
        <w:rPr>
          <w:sz w:val="24"/>
          <w:szCs w:val="24"/>
        </w:rPr>
      </w:pPr>
    </w:p>
    <w:p w:rsidR="00B23262" w:rsidRPr="00C41A3E" w:rsidRDefault="00B23262" w:rsidP="00B23262">
      <w:pPr>
        <w:ind w:left="851"/>
        <w:rPr>
          <w:sz w:val="24"/>
          <w:szCs w:val="24"/>
        </w:rPr>
      </w:pPr>
      <w:r w:rsidRPr="00C41A3E">
        <w:rPr>
          <w:sz w:val="24"/>
          <w:szCs w:val="24"/>
          <w:u w:val="single"/>
        </w:rPr>
        <w:t>Biotransformation</w:t>
      </w:r>
      <w:r w:rsidRPr="00C41A3E">
        <w:rPr>
          <w:sz w:val="24"/>
          <w:szCs w:val="24"/>
        </w:rPr>
        <w:t xml:space="preserve"> </w:t>
      </w:r>
    </w:p>
    <w:p w:rsidR="00B23262" w:rsidRPr="00C41A3E" w:rsidRDefault="00B23262" w:rsidP="00B23262">
      <w:pPr>
        <w:ind w:left="851"/>
        <w:rPr>
          <w:sz w:val="24"/>
          <w:szCs w:val="24"/>
        </w:rPr>
      </w:pPr>
      <w:r w:rsidRPr="00C41A3E">
        <w:rPr>
          <w:sz w:val="24"/>
          <w:szCs w:val="24"/>
        </w:rPr>
        <w:t xml:space="preserve">Cirka 20 % af indtaget </w:t>
      </w:r>
      <w:proofErr w:type="spellStart"/>
      <w:r w:rsidRPr="00C41A3E">
        <w:rPr>
          <w:sz w:val="24"/>
          <w:szCs w:val="24"/>
        </w:rPr>
        <w:t>allopurinol</w:t>
      </w:r>
      <w:proofErr w:type="spellEnd"/>
      <w:r w:rsidRPr="00C41A3E">
        <w:rPr>
          <w:sz w:val="24"/>
          <w:szCs w:val="24"/>
        </w:rPr>
        <w:t xml:space="preserve"> udskilles via fæces. </w:t>
      </w:r>
      <w:proofErr w:type="spellStart"/>
      <w:r w:rsidRPr="00C41A3E">
        <w:rPr>
          <w:sz w:val="24"/>
          <w:szCs w:val="24"/>
        </w:rPr>
        <w:t>Allopurinol</w:t>
      </w:r>
      <w:proofErr w:type="spellEnd"/>
      <w:r w:rsidRPr="00C41A3E">
        <w:rPr>
          <w:sz w:val="24"/>
          <w:szCs w:val="24"/>
        </w:rPr>
        <w:t xml:space="preserve"> elimineres primært ved metabolisk omdannelse til </w:t>
      </w:r>
      <w:proofErr w:type="spellStart"/>
      <w:r w:rsidRPr="00C41A3E">
        <w:rPr>
          <w:sz w:val="24"/>
          <w:szCs w:val="24"/>
        </w:rPr>
        <w:t>oxipurinol</w:t>
      </w:r>
      <w:proofErr w:type="spellEnd"/>
      <w:r w:rsidRPr="00C41A3E">
        <w:rPr>
          <w:sz w:val="24"/>
          <w:szCs w:val="24"/>
        </w:rPr>
        <w:t xml:space="preserve"> via </w:t>
      </w:r>
      <w:proofErr w:type="spellStart"/>
      <w:r w:rsidRPr="00C41A3E">
        <w:rPr>
          <w:sz w:val="24"/>
          <w:szCs w:val="24"/>
        </w:rPr>
        <w:t>xanthinoxidase</w:t>
      </w:r>
      <w:proofErr w:type="spellEnd"/>
      <w:r w:rsidRPr="00C41A3E">
        <w:rPr>
          <w:sz w:val="24"/>
          <w:szCs w:val="24"/>
        </w:rPr>
        <w:t xml:space="preserve"> og aldehydoxidase, og under 10</w:t>
      </w:r>
      <w:r w:rsidR="00100EF5">
        <w:rPr>
          <w:sz w:val="24"/>
          <w:szCs w:val="24"/>
        </w:rPr>
        <w:t> </w:t>
      </w:r>
      <w:r w:rsidRPr="00C41A3E">
        <w:rPr>
          <w:sz w:val="24"/>
          <w:szCs w:val="24"/>
        </w:rPr>
        <w:t xml:space="preserve">% af det </w:t>
      </w:r>
      <w:proofErr w:type="spellStart"/>
      <w:r w:rsidRPr="00C41A3E">
        <w:rPr>
          <w:sz w:val="24"/>
          <w:szCs w:val="24"/>
        </w:rPr>
        <w:t>uomdannede</w:t>
      </w:r>
      <w:proofErr w:type="spellEnd"/>
      <w:r w:rsidRPr="00C41A3E">
        <w:rPr>
          <w:sz w:val="24"/>
          <w:szCs w:val="24"/>
        </w:rPr>
        <w:t xml:space="preserve"> </w:t>
      </w:r>
      <w:proofErr w:type="spellStart"/>
      <w:r w:rsidRPr="00C41A3E">
        <w:rPr>
          <w:sz w:val="24"/>
          <w:szCs w:val="24"/>
        </w:rPr>
        <w:t>allopurinol</w:t>
      </w:r>
      <w:proofErr w:type="spellEnd"/>
      <w:r w:rsidRPr="00C41A3E">
        <w:rPr>
          <w:sz w:val="24"/>
          <w:szCs w:val="24"/>
        </w:rPr>
        <w:t xml:space="preserve"> udskilles via urinen. Plasmahalveringstiden for </w:t>
      </w:r>
      <w:proofErr w:type="spellStart"/>
      <w:r w:rsidRPr="00C41A3E">
        <w:rPr>
          <w:sz w:val="24"/>
          <w:szCs w:val="24"/>
        </w:rPr>
        <w:t>allopurinol</w:t>
      </w:r>
      <w:proofErr w:type="spellEnd"/>
      <w:r w:rsidRPr="00C41A3E">
        <w:rPr>
          <w:sz w:val="24"/>
          <w:szCs w:val="24"/>
        </w:rPr>
        <w:t xml:space="preserve"> er ca. 1 til 2 timer.</w:t>
      </w:r>
    </w:p>
    <w:p w:rsidR="008F0665" w:rsidRPr="004A662A" w:rsidRDefault="008F0665" w:rsidP="008F0665">
      <w:pPr>
        <w:ind w:left="851"/>
        <w:rPr>
          <w:sz w:val="24"/>
          <w:szCs w:val="24"/>
        </w:rPr>
      </w:pPr>
    </w:p>
    <w:p w:rsidR="008F0665" w:rsidRPr="004A662A" w:rsidRDefault="008F0665" w:rsidP="008F0665">
      <w:pPr>
        <w:ind w:left="851"/>
        <w:rPr>
          <w:sz w:val="24"/>
          <w:szCs w:val="24"/>
        </w:rPr>
      </w:pPr>
      <w:proofErr w:type="spellStart"/>
      <w:r w:rsidRPr="004A662A">
        <w:rPr>
          <w:sz w:val="24"/>
          <w:szCs w:val="24"/>
        </w:rPr>
        <w:t>Oxipurinol</w:t>
      </w:r>
      <w:proofErr w:type="spellEnd"/>
      <w:r w:rsidRPr="004A662A">
        <w:rPr>
          <w:sz w:val="24"/>
          <w:szCs w:val="24"/>
        </w:rPr>
        <w:t xml:space="preserve"> er en mindre potent hæmmer af </w:t>
      </w:r>
      <w:proofErr w:type="spellStart"/>
      <w:r w:rsidRPr="004A662A">
        <w:rPr>
          <w:sz w:val="24"/>
          <w:szCs w:val="24"/>
        </w:rPr>
        <w:t>xanthinoxidase</w:t>
      </w:r>
      <w:proofErr w:type="spellEnd"/>
      <w:r w:rsidRPr="004A662A">
        <w:rPr>
          <w:sz w:val="24"/>
          <w:szCs w:val="24"/>
        </w:rPr>
        <w:t xml:space="preserve"> end </w:t>
      </w:r>
      <w:proofErr w:type="spellStart"/>
      <w:r w:rsidRPr="004A662A">
        <w:rPr>
          <w:sz w:val="24"/>
          <w:szCs w:val="24"/>
        </w:rPr>
        <w:t>allopurinol</w:t>
      </w:r>
      <w:proofErr w:type="spellEnd"/>
      <w:r w:rsidRPr="004A662A">
        <w:rPr>
          <w:sz w:val="24"/>
          <w:szCs w:val="24"/>
        </w:rPr>
        <w:t xml:space="preserve">, men plasmahalveringstiden for </w:t>
      </w:r>
      <w:proofErr w:type="spellStart"/>
      <w:r w:rsidRPr="004A662A">
        <w:rPr>
          <w:sz w:val="24"/>
          <w:szCs w:val="24"/>
        </w:rPr>
        <w:t>oxipurinol</w:t>
      </w:r>
      <w:proofErr w:type="spellEnd"/>
      <w:r w:rsidRPr="004A662A">
        <w:rPr>
          <w:sz w:val="24"/>
          <w:szCs w:val="24"/>
        </w:rPr>
        <w:t xml:space="preserve"> er meget længere. Den vurderes at være fra 13 til 30 timer hos mennesker. Der opretholdes derfor effektiv hæmning af </w:t>
      </w:r>
      <w:proofErr w:type="spellStart"/>
      <w:r w:rsidRPr="004A662A">
        <w:rPr>
          <w:sz w:val="24"/>
          <w:szCs w:val="24"/>
        </w:rPr>
        <w:t>xanthinoxidase</w:t>
      </w:r>
      <w:proofErr w:type="spellEnd"/>
      <w:r w:rsidRPr="004A662A">
        <w:rPr>
          <w:sz w:val="24"/>
          <w:szCs w:val="24"/>
        </w:rPr>
        <w:t xml:space="preserve"> over en 24-timers periode med en enkelt daglig dosis </w:t>
      </w:r>
      <w:proofErr w:type="spellStart"/>
      <w:r w:rsidRPr="004A662A">
        <w:rPr>
          <w:sz w:val="24"/>
          <w:szCs w:val="24"/>
        </w:rPr>
        <w:t>allopurinol</w:t>
      </w:r>
      <w:proofErr w:type="spellEnd"/>
      <w:r w:rsidRPr="004A662A">
        <w:rPr>
          <w:sz w:val="24"/>
          <w:szCs w:val="24"/>
        </w:rPr>
        <w:t xml:space="preserve">. Hos patienter med normal nyrefunktion vil </w:t>
      </w:r>
      <w:proofErr w:type="spellStart"/>
      <w:r w:rsidRPr="004A662A">
        <w:rPr>
          <w:sz w:val="24"/>
          <w:szCs w:val="24"/>
        </w:rPr>
        <w:t>oxipurinol</w:t>
      </w:r>
      <w:proofErr w:type="spellEnd"/>
      <w:r w:rsidRPr="004A662A">
        <w:rPr>
          <w:sz w:val="24"/>
          <w:szCs w:val="24"/>
        </w:rPr>
        <w:t xml:space="preserve"> gradvist akkumuleres, indtil der opnås </w:t>
      </w:r>
      <w:proofErr w:type="spellStart"/>
      <w:r w:rsidRPr="004A662A">
        <w:rPr>
          <w:sz w:val="24"/>
          <w:szCs w:val="24"/>
        </w:rPr>
        <w:t>steady</w:t>
      </w:r>
      <w:proofErr w:type="spellEnd"/>
      <w:r w:rsidRPr="004A662A">
        <w:rPr>
          <w:sz w:val="24"/>
          <w:szCs w:val="24"/>
        </w:rPr>
        <w:t xml:space="preserve"> </w:t>
      </w:r>
      <w:proofErr w:type="spellStart"/>
      <w:r w:rsidRPr="004A662A">
        <w:rPr>
          <w:sz w:val="24"/>
          <w:szCs w:val="24"/>
        </w:rPr>
        <w:t>state</w:t>
      </w:r>
      <w:proofErr w:type="spellEnd"/>
      <w:r w:rsidRPr="004A662A">
        <w:rPr>
          <w:sz w:val="24"/>
          <w:szCs w:val="24"/>
        </w:rPr>
        <w:t xml:space="preserve"> af </w:t>
      </w:r>
      <w:proofErr w:type="spellStart"/>
      <w:r w:rsidRPr="004A662A">
        <w:rPr>
          <w:sz w:val="24"/>
          <w:szCs w:val="24"/>
        </w:rPr>
        <w:t>oxipurinol</w:t>
      </w:r>
      <w:proofErr w:type="spellEnd"/>
      <w:r w:rsidRPr="004A662A">
        <w:rPr>
          <w:sz w:val="24"/>
          <w:szCs w:val="24"/>
        </w:rPr>
        <w:t xml:space="preserve"> i plasma. Sådanne patienter, der tager 300 mg </w:t>
      </w:r>
      <w:proofErr w:type="spellStart"/>
      <w:r w:rsidRPr="004A662A">
        <w:rPr>
          <w:sz w:val="24"/>
          <w:szCs w:val="24"/>
        </w:rPr>
        <w:t>allopurinol</w:t>
      </w:r>
      <w:proofErr w:type="spellEnd"/>
      <w:r w:rsidRPr="004A662A">
        <w:rPr>
          <w:sz w:val="24"/>
          <w:szCs w:val="24"/>
        </w:rPr>
        <w:t xml:space="preserve"> om dagen, vil generelt have </w:t>
      </w:r>
      <w:proofErr w:type="spellStart"/>
      <w:r w:rsidRPr="004A662A">
        <w:rPr>
          <w:sz w:val="24"/>
          <w:szCs w:val="24"/>
        </w:rPr>
        <w:t>plasmaoxipurinolkoncentrationer</w:t>
      </w:r>
      <w:proofErr w:type="spellEnd"/>
      <w:r w:rsidRPr="004A662A">
        <w:rPr>
          <w:sz w:val="24"/>
          <w:szCs w:val="24"/>
        </w:rPr>
        <w:t xml:space="preserve"> på 5-10 mg/liter.</w:t>
      </w:r>
    </w:p>
    <w:p w:rsidR="008F0665" w:rsidRPr="004A662A" w:rsidRDefault="008F0665" w:rsidP="008F0665">
      <w:pPr>
        <w:ind w:left="851"/>
        <w:rPr>
          <w:sz w:val="24"/>
          <w:szCs w:val="24"/>
        </w:rPr>
      </w:pPr>
    </w:p>
    <w:p w:rsidR="008F0665" w:rsidRPr="004A662A" w:rsidRDefault="008F0665" w:rsidP="008F0665">
      <w:pPr>
        <w:ind w:left="851"/>
        <w:rPr>
          <w:sz w:val="24"/>
          <w:szCs w:val="24"/>
        </w:rPr>
      </w:pPr>
      <w:r w:rsidRPr="004A662A">
        <w:rPr>
          <w:sz w:val="24"/>
          <w:szCs w:val="24"/>
          <w:u w:val="single"/>
        </w:rPr>
        <w:t>Elimination</w:t>
      </w:r>
    </w:p>
    <w:p w:rsidR="008F0665" w:rsidRPr="004A662A" w:rsidRDefault="008F0665" w:rsidP="008F0665">
      <w:pPr>
        <w:ind w:left="851"/>
        <w:rPr>
          <w:sz w:val="24"/>
          <w:szCs w:val="24"/>
        </w:rPr>
      </w:pPr>
      <w:proofErr w:type="spellStart"/>
      <w:r w:rsidRPr="004A662A">
        <w:rPr>
          <w:sz w:val="24"/>
          <w:szCs w:val="24"/>
        </w:rPr>
        <w:t>Oxipurinol</w:t>
      </w:r>
      <w:proofErr w:type="spellEnd"/>
      <w:r w:rsidRPr="004A662A">
        <w:rPr>
          <w:sz w:val="24"/>
          <w:szCs w:val="24"/>
        </w:rPr>
        <w:t xml:space="preserve"> elimineres </w:t>
      </w:r>
      <w:proofErr w:type="spellStart"/>
      <w:r w:rsidRPr="004A662A">
        <w:rPr>
          <w:sz w:val="24"/>
          <w:szCs w:val="24"/>
        </w:rPr>
        <w:t>uomdannet</w:t>
      </w:r>
      <w:proofErr w:type="spellEnd"/>
      <w:r w:rsidRPr="004A662A">
        <w:rPr>
          <w:sz w:val="24"/>
          <w:szCs w:val="24"/>
        </w:rPr>
        <w:t xml:space="preserve"> i urinen, men har en lang eliminationshalveringstid, fordi det gennemgår </w:t>
      </w:r>
      <w:proofErr w:type="spellStart"/>
      <w:r w:rsidRPr="004A662A">
        <w:rPr>
          <w:sz w:val="24"/>
          <w:szCs w:val="24"/>
        </w:rPr>
        <w:t>tubulær</w:t>
      </w:r>
      <w:proofErr w:type="spellEnd"/>
      <w:r w:rsidRPr="004A662A">
        <w:rPr>
          <w:sz w:val="24"/>
          <w:szCs w:val="24"/>
        </w:rPr>
        <w:t xml:space="preserve"> </w:t>
      </w:r>
      <w:proofErr w:type="spellStart"/>
      <w:r w:rsidRPr="004A662A">
        <w:rPr>
          <w:sz w:val="24"/>
          <w:szCs w:val="24"/>
        </w:rPr>
        <w:t>reabsorption</w:t>
      </w:r>
      <w:proofErr w:type="spellEnd"/>
      <w:r w:rsidRPr="004A662A">
        <w:rPr>
          <w:sz w:val="24"/>
          <w:szCs w:val="24"/>
        </w:rPr>
        <w:t xml:space="preserve">. De indberettede eliminationshalveringstider varierer fra 13,6 timer til 26 timer. Den store forskel i disse tider kan skyldes variationer i studiernes design og/eller patienternes </w:t>
      </w:r>
      <w:proofErr w:type="spellStart"/>
      <w:r w:rsidRPr="004A662A">
        <w:rPr>
          <w:sz w:val="24"/>
          <w:szCs w:val="24"/>
        </w:rPr>
        <w:t>kreatininclearance</w:t>
      </w:r>
      <w:proofErr w:type="spellEnd"/>
      <w:r w:rsidRPr="004A662A">
        <w:rPr>
          <w:sz w:val="24"/>
          <w:szCs w:val="24"/>
        </w:rPr>
        <w:t>.</w:t>
      </w:r>
    </w:p>
    <w:p w:rsidR="008F0665" w:rsidRPr="004A662A" w:rsidRDefault="008F0665" w:rsidP="008F0665">
      <w:pPr>
        <w:ind w:left="851"/>
        <w:rPr>
          <w:sz w:val="24"/>
          <w:szCs w:val="24"/>
        </w:rPr>
      </w:pPr>
    </w:p>
    <w:p w:rsidR="008F0665" w:rsidRPr="00257A57" w:rsidRDefault="008F0665" w:rsidP="008F0665">
      <w:pPr>
        <w:ind w:left="851"/>
        <w:rPr>
          <w:sz w:val="24"/>
          <w:szCs w:val="24"/>
          <w:u w:val="single"/>
        </w:rPr>
      </w:pPr>
      <w:r w:rsidRPr="00257A57">
        <w:rPr>
          <w:sz w:val="24"/>
          <w:szCs w:val="24"/>
          <w:u w:val="single"/>
        </w:rPr>
        <w:t>Farmakokinetik ved nedsat nyrefunktion</w:t>
      </w:r>
    </w:p>
    <w:p w:rsidR="008F0665" w:rsidRPr="004A662A" w:rsidRDefault="008F0665" w:rsidP="008F0665">
      <w:pPr>
        <w:ind w:left="851"/>
        <w:rPr>
          <w:sz w:val="24"/>
          <w:szCs w:val="24"/>
        </w:rPr>
      </w:pPr>
      <w:r w:rsidRPr="004A662A">
        <w:rPr>
          <w:sz w:val="24"/>
          <w:szCs w:val="24"/>
        </w:rPr>
        <w:t xml:space="preserve">Udskillelsen af </w:t>
      </w:r>
      <w:proofErr w:type="spellStart"/>
      <w:r w:rsidRPr="004A662A">
        <w:rPr>
          <w:sz w:val="24"/>
          <w:szCs w:val="24"/>
        </w:rPr>
        <w:t>allopurinol</w:t>
      </w:r>
      <w:proofErr w:type="spellEnd"/>
      <w:r w:rsidRPr="004A662A">
        <w:rPr>
          <w:sz w:val="24"/>
          <w:szCs w:val="24"/>
        </w:rPr>
        <w:t xml:space="preserve"> og </w:t>
      </w:r>
      <w:proofErr w:type="spellStart"/>
      <w:r w:rsidRPr="004A662A">
        <w:rPr>
          <w:sz w:val="24"/>
          <w:szCs w:val="24"/>
        </w:rPr>
        <w:t>oxipurinol</w:t>
      </w:r>
      <w:proofErr w:type="spellEnd"/>
      <w:r w:rsidRPr="004A662A">
        <w:rPr>
          <w:sz w:val="24"/>
          <w:szCs w:val="24"/>
        </w:rPr>
        <w:t xml:space="preserve"> er kraftigt nedsat hos patienter med ringe nyrefunktion, hvilket resulterer i højere plasmaniveauer ved kronisk behandling. Patienter med nedsat nyrefunktion og </w:t>
      </w:r>
      <w:proofErr w:type="spellStart"/>
      <w:r w:rsidRPr="004A662A">
        <w:rPr>
          <w:sz w:val="24"/>
          <w:szCs w:val="24"/>
        </w:rPr>
        <w:t>kreatininclearance</w:t>
      </w:r>
      <w:proofErr w:type="spellEnd"/>
      <w:r w:rsidRPr="004A662A">
        <w:rPr>
          <w:sz w:val="24"/>
          <w:szCs w:val="24"/>
        </w:rPr>
        <w:t xml:space="preserve">-værdier mellem 10 og 20 ml/min. udviste </w:t>
      </w:r>
      <w:proofErr w:type="spellStart"/>
      <w:r w:rsidRPr="004A662A">
        <w:rPr>
          <w:sz w:val="24"/>
          <w:szCs w:val="24"/>
        </w:rPr>
        <w:t>oxipurinolkoncentrationer</w:t>
      </w:r>
      <w:proofErr w:type="spellEnd"/>
      <w:r w:rsidRPr="004A662A">
        <w:rPr>
          <w:sz w:val="24"/>
          <w:szCs w:val="24"/>
        </w:rPr>
        <w:t xml:space="preserve"> i plasma på cirka 30 mg/liter efter langvarig behandling med 300 mg </w:t>
      </w:r>
      <w:proofErr w:type="spellStart"/>
      <w:r w:rsidRPr="004A662A">
        <w:rPr>
          <w:sz w:val="24"/>
          <w:szCs w:val="24"/>
        </w:rPr>
        <w:t>allopurinol</w:t>
      </w:r>
      <w:proofErr w:type="spellEnd"/>
      <w:r w:rsidRPr="004A662A">
        <w:rPr>
          <w:sz w:val="24"/>
          <w:szCs w:val="24"/>
        </w:rPr>
        <w:t xml:space="preserve"> om dagen. Dette svarer cirka til den koncentration, der normalt ville blive opnået med doser på 600 mg/dag hos patienter med normal nyrefunktion. Derfor skal </w:t>
      </w:r>
      <w:proofErr w:type="spellStart"/>
      <w:r w:rsidRPr="004A662A">
        <w:rPr>
          <w:sz w:val="24"/>
          <w:szCs w:val="24"/>
        </w:rPr>
        <w:t>allopurinoldosen</w:t>
      </w:r>
      <w:proofErr w:type="spellEnd"/>
      <w:r w:rsidRPr="004A662A">
        <w:rPr>
          <w:sz w:val="24"/>
          <w:szCs w:val="24"/>
        </w:rPr>
        <w:t xml:space="preserve"> reduceres hos patienter med nedsat nyrefunktion.</w:t>
      </w:r>
    </w:p>
    <w:p w:rsidR="008F0665" w:rsidRPr="004A662A" w:rsidRDefault="008F0665" w:rsidP="008F0665">
      <w:pPr>
        <w:ind w:left="851"/>
        <w:rPr>
          <w:sz w:val="24"/>
          <w:szCs w:val="24"/>
        </w:rPr>
      </w:pPr>
    </w:p>
    <w:p w:rsidR="008F0665" w:rsidRPr="00257A57" w:rsidRDefault="008F0665" w:rsidP="008F0665">
      <w:pPr>
        <w:ind w:left="851"/>
        <w:rPr>
          <w:sz w:val="24"/>
          <w:szCs w:val="24"/>
          <w:u w:val="single"/>
        </w:rPr>
      </w:pPr>
      <w:r w:rsidRPr="00257A57">
        <w:rPr>
          <w:sz w:val="24"/>
          <w:szCs w:val="24"/>
          <w:u w:val="single"/>
        </w:rPr>
        <w:t>Farmakokinetik hos ældre</w:t>
      </w:r>
    </w:p>
    <w:p w:rsidR="008F0665" w:rsidRPr="00C84483" w:rsidRDefault="008F0665" w:rsidP="008F0665">
      <w:pPr>
        <w:ind w:left="851"/>
        <w:rPr>
          <w:sz w:val="24"/>
          <w:szCs w:val="24"/>
        </w:rPr>
      </w:pPr>
      <w:r w:rsidRPr="004A662A">
        <w:rPr>
          <w:sz w:val="24"/>
          <w:szCs w:val="24"/>
        </w:rPr>
        <w:t xml:space="preserve">Der forventes ingen anden indvirkning på lægemidlets kinetik end indvirkningen af nedsat nyrefunktion (se </w:t>
      </w:r>
      <w:r w:rsidRPr="004A662A">
        <w:rPr>
          <w:i/>
          <w:sz w:val="24"/>
          <w:szCs w:val="24"/>
        </w:rPr>
        <w:t>Farmakokinetik ved nedsat nyrefunktion</w:t>
      </w:r>
      <w:r w:rsidRPr="004A662A">
        <w:rPr>
          <w:sz w:val="24"/>
          <w:szCs w:val="24"/>
        </w:rPr>
        <w:t>).</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8F0665" w:rsidRDefault="008F0665" w:rsidP="008F0665">
      <w:pPr>
        <w:ind w:left="851"/>
        <w:rPr>
          <w:sz w:val="24"/>
          <w:szCs w:val="24"/>
          <w:u w:val="single"/>
        </w:rPr>
      </w:pPr>
    </w:p>
    <w:p w:rsidR="008F0665" w:rsidRPr="004A662A" w:rsidRDefault="008F0665" w:rsidP="008F0665">
      <w:pPr>
        <w:ind w:left="851"/>
        <w:rPr>
          <w:sz w:val="24"/>
          <w:szCs w:val="24"/>
          <w:u w:val="single"/>
        </w:rPr>
      </w:pPr>
      <w:proofErr w:type="spellStart"/>
      <w:r w:rsidRPr="004A662A">
        <w:rPr>
          <w:sz w:val="24"/>
          <w:szCs w:val="24"/>
          <w:u w:val="single"/>
        </w:rPr>
        <w:lastRenderedPageBreak/>
        <w:t>Teratogenicitet</w:t>
      </w:r>
      <w:proofErr w:type="spellEnd"/>
    </w:p>
    <w:p w:rsidR="008F0665" w:rsidRPr="004A662A" w:rsidRDefault="008F0665" w:rsidP="008F0665">
      <w:pPr>
        <w:ind w:left="851"/>
        <w:rPr>
          <w:sz w:val="24"/>
          <w:szCs w:val="24"/>
        </w:rPr>
      </w:pPr>
      <w:r w:rsidRPr="004A662A">
        <w:rPr>
          <w:sz w:val="24"/>
          <w:szCs w:val="24"/>
        </w:rPr>
        <w:t xml:space="preserve">I et studie med mus, der fik </w:t>
      </w:r>
      <w:proofErr w:type="spellStart"/>
      <w:r w:rsidRPr="004A662A">
        <w:rPr>
          <w:sz w:val="24"/>
          <w:szCs w:val="24"/>
        </w:rPr>
        <w:t>intraperitoneale</w:t>
      </w:r>
      <w:proofErr w:type="spellEnd"/>
      <w:r w:rsidRPr="004A662A">
        <w:rPr>
          <w:sz w:val="24"/>
          <w:szCs w:val="24"/>
        </w:rPr>
        <w:t xml:space="preserve"> doser på 50 eller 100 mg/kg på </w:t>
      </w:r>
      <w:proofErr w:type="spellStart"/>
      <w:r w:rsidRPr="004A662A">
        <w:rPr>
          <w:sz w:val="24"/>
          <w:szCs w:val="24"/>
        </w:rPr>
        <w:t>gestationsdag</w:t>
      </w:r>
      <w:proofErr w:type="spellEnd"/>
      <w:r w:rsidRPr="004A662A">
        <w:rPr>
          <w:sz w:val="24"/>
          <w:szCs w:val="24"/>
        </w:rPr>
        <w:t xml:space="preserve"> 10 eller 13, blev der set </w:t>
      </w:r>
      <w:proofErr w:type="spellStart"/>
      <w:r w:rsidRPr="004A662A">
        <w:rPr>
          <w:sz w:val="24"/>
          <w:szCs w:val="24"/>
        </w:rPr>
        <w:t>føtale</w:t>
      </w:r>
      <w:proofErr w:type="spellEnd"/>
      <w:r w:rsidRPr="004A662A">
        <w:rPr>
          <w:sz w:val="24"/>
          <w:szCs w:val="24"/>
        </w:rPr>
        <w:t xml:space="preserve"> abnormiteter, men i et lignende studie med rotter, der fik 120 mg/kg på </w:t>
      </w:r>
      <w:proofErr w:type="spellStart"/>
      <w:r w:rsidRPr="004A662A">
        <w:rPr>
          <w:sz w:val="24"/>
          <w:szCs w:val="24"/>
        </w:rPr>
        <w:t>gestationsdag</w:t>
      </w:r>
      <w:proofErr w:type="spellEnd"/>
      <w:r w:rsidRPr="004A662A">
        <w:rPr>
          <w:sz w:val="24"/>
          <w:szCs w:val="24"/>
        </w:rPr>
        <w:t xml:space="preserve"> 12, blev der ikke set nogen abnormiteter. I omfattende studier medførte høje orale </w:t>
      </w:r>
      <w:proofErr w:type="spellStart"/>
      <w:r w:rsidRPr="004A662A">
        <w:rPr>
          <w:sz w:val="24"/>
          <w:szCs w:val="24"/>
        </w:rPr>
        <w:t>allopurinoldoser</w:t>
      </w:r>
      <w:proofErr w:type="spellEnd"/>
      <w:r w:rsidRPr="004A662A">
        <w:rPr>
          <w:sz w:val="24"/>
          <w:szCs w:val="24"/>
        </w:rPr>
        <w:t xml:space="preserve"> på op til 100 mg/kg/dag hos mus, op til 200 mg/kg/dag hos rotter og op til 150 mg/kg/dag hos kaniner i løbet af </w:t>
      </w:r>
      <w:proofErr w:type="spellStart"/>
      <w:r w:rsidRPr="004A662A">
        <w:rPr>
          <w:sz w:val="24"/>
          <w:szCs w:val="24"/>
        </w:rPr>
        <w:t>gestationsdag</w:t>
      </w:r>
      <w:proofErr w:type="spellEnd"/>
      <w:r w:rsidRPr="004A662A">
        <w:rPr>
          <w:sz w:val="24"/>
          <w:szCs w:val="24"/>
        </w:rPr>
        <w:t xml:space="preserve"> 8 til 16 ingen </w:t>
      </w:r>
      <w:proofErr w:type="spellStart"/>
      <w:r w:rsidRPr="004A662A">
        <w:rPr>
          <w:sz w:val="24"/>
          <w:szCs w:val="24"/>
        </w:rPr>
        <w:t>teratogene</w:t>
      </w:r>
      <w:proofErr w:type="spellEnd"/>
      <w:r w:rsidRPr="004A662A">
        <w:rPr>
          <w:sz w:val="24"/>
          <w:szCs w:val="24"/>
        </w:rPr>
        <w:t xml:space="preserve"> virkninger.</w:t>
      </w:r>
    </w:p>
    <w:p w:rsidR="008F0665" w:rsidRPr="004A662A" w:rsidRDefault="008F0665" w:rsidP="008F0665">
      <w:pPr>
        <w:ind w:left="851"/>
        <w:rPr>
          <w:sz w:val="24"/>
          <w:szCs w:val="24"/>
        </w:rPr>
      </w:pPr>
    </w:p>
    <w:p w:rsidR="008F0665" w:rsidRPr="004A662A" w:rsidRDefault="008F0665" w:rsidP="008F0665">
      <w:pPr>
        <w:ind w:left="851"/>
        <w:rPr>
          <w:sz w:val="24"/>
          <w:szCs w:val="24"/>
        </w:rPr>
      </w:pPr>
      <w:r w:rsidRPr="004A662A">
        <w:rPr>
          <w:sz w:val="24"/>
          <w:szCs w:val="24"/>
        </w:rPr>
        <w:t xml:space="preserve">Et </w:t>
      </w:r>
      <w:r w:rsidRPr="004A662A">
        <w:rPr>
          <w:i/>
          <w:sz w:val="24"/>
          <w:szCs w:val="24"/>
        </w:rPr>
        <w:t xml:space="preserve">in </w:t>
      </w:r>
      <w:proofErr w:type="spellStart"/>
      <w:r w:rsidRPr="004A662A">
        <w:rPr>
          <w:i/>
          <w:sz w:val="24"/>
          <w:szCs w:val="24"/>
        </w:rPr>
        <w:t>vitro</w:t>
      </w:r>
      <w:proofErr w:type="spellEnd"/>
      <w:r w:rsidRPr="004A662A">
        <w:rPr>
          <w:sz w:val="24"/>
          <w:szCs w:val="24"/>
        </w:rPr>
        <w:t xml:space="preserve">-studie med brug af </w:t>
      </w:r>
      <w:proofErr w:type="spellStart"/>
      <w:r w:rsidRPr="004A662A">
        <w:rPr>
          <w:sz w:val="24"/>
          <w:szCs w:val="24"/>
        </w:rPr>
        <w:t>føtale</w:t>
      </w:r>
      <w:proofErr w:type="spellEnd"/>
      <w:r w:rsidRPr="004A662A">
        <w:rPr>
          <w:sz w:val="24"/>
          <w:szCs w:val="24"/>
        </w:rPr>
        <w:t xml:space="preserve"> spytkirtler fra mus i kultur med henblik på detektering af embryotoksicitet viste, at </w:t>
      </w:r>
      <w:proofErr w:type="spellStart"/>
      <w:r w:rsidRPr="004A662A">
        <w:rPr>
          <w:sz w:val="24"/>
          <w:szCs w:val="24"/>
        </w:rPr>
        <w:t>allopurinol</w:t>
      </w:r>
      <w:proofErr w:type="spellEnd"/>
      <w:r w:rsidRPr="004A662A">
        <w:rPr>
          <w:sz w:val="24"/>
          <w:szCs w:val="24"/>
        </w:rPr>
        <w:t xml:space="preserve"> ikke forventes at forårsage embryotoksicitet uden også at forårsage </w:t>
      </w:r>
      <w:proofErr w:type="spellStart"/>
      <w:r w:rsidRPr="004A662A">
        <w:rPr>
          <w:sz w:val="24"/>
          <w:szCs w:val="24"/>
        </w:rPr>
        <w:t>maternel</w:t>
      </w:r>
      <w:proofErr w:type="spellEnd"/>
      <w:r w:rsidRPr="004A662A">
        <w:rPr>
          <w:sz w:val="24"/>
          <w:szCs w:val="24"/>
        </w:rPr>
        <w:t xml:space="preserve"> toksicitet.</w:t>
      </w:r>
    </w:p>
    <w:p w:rsidR="008F0665" w:rsidRPr="004A662A" w:rsidRDefault="008F0665" w:rsidP="008F0665">
      <w:pPr>
        <w:ind w:left="851"/>
        <w:rPr>
          <w:sz w:val="24"/>
          <w:szCs w:val="24"/>
        </w:rPr>
      </w:pPr>
    </w:p>
    <w:p w:rsidR="008F0665" w:rsidRPr="004A662A" w:rsidRDefault="008F0665" w:rsidP="008F0665">
      <w:pPr>
        <w:ind w:left="851"/>
        <w:rPr>
          <w:sz w:val="24"/>
          <w:szCs w:val="24"/>
        </w:rPr>
      </w:pPr>
      <w:r w:rsidRPr="004A662A">
        <w:rPr>
          <w:sz w:val="24"/>
          <w:szCs w:val="24"/>
        </w:rPr>
        <w:t xml:space="preserve">I dyrestudier resulterede langvarig brug af høje doser </w:t>
      </w:r>
      <w:proofErr w:type="spellStart"/>
      <w:r w:rsidRPr="004A662A">
        <w:rPr>
          <w:sz w:val="24"/>
          <w:szCs w:val="24"/>
        </w:rPr>
        <w:t>allopurinol</w:t>
      </w:r>
      <w:proofErr w:type="spellEnd"/>
      <w:r w:rsidRPr="004A662A">
        <w:rPr>
          <w:sz w:val="24"/>
          <w:szCs w:val="24"/>
        </w:rPr>
        <w:t xml:space="preserve"> i udfældning af </w:t>
      </w:r>
      <w:proofErr w:type="spellStart"/>
      <w:r w:rsidRPr="004A662A">
        <w:rPr>
          <w:sz w:val="24"/>
          <w:szCs w:val="24"/>
        </w:rPr>
        <w:t>xanthin</w:t>
      </w:r>
      <w:proofErr w:type="spellEnd"/>
      <w:r w:rsidRPr="004A662A">
        <w:rPr>
          <w:sz w:val="24"/>
          <w:szCs w:val="24"/>
        </w:rPr>
        <w:t xml:space="preserve"> (</w:t>
      </w:r>
      <w:proofErr w:type="spellStart"/>
      <w:r w:rsidRPr="004A662A">
        <w:rPr>
          <w:sz w:val="24"/>
          <w:szCs w:val="24"/>
        </w:rPr>
        <w:t>urolithiasis</w:t>
      </w:r>
      <w:proofErr w:type="spellEnd"/>
      <w:r w:rsidRPr="004A662A">
        <w:rPr>
          <w:sz w:val="24"/>
          <w:szCs w:val="24"/>
        </w:rPr>
        <w:t>), hvilket resulterede i morfologiske forandringer i urinførende organer.</w:t>
      </w:r>
    </w:p>
    <w:p w:rsidR="008F0665" w:rsidRPr="004A662A" w:rsidRDefault="008F0665" w:rsidP="008F0665">
      <w:pPr>
        <w:ind w:left="851"/>
        <w:rPr>
          <w:sz w:val="24"/>
          <w:szCs w:val="24"/>
        </w:rPr>
      </w:pPr>
    </w:p>
    <w:p w:rsidR="008F0665" w:rsidRPr="00C84483" w:rsidRDefault="008F0665" w:rsidP="008F0665">
      <w:pPr>
        <w:ind w:left="851"/>
        <w:rPr>
          <w:sz w:val="24"/>
          <w:szCs w:val="24"/>
        </w:rPr>
      </w:pPr>
      <w:r w:rsidRPr="004A662A">
        <w:rPr>
          <w:sz w:val="24"/>
          <w:szCs w:val="24"/>
        </w:rPr>
        <w:t xml:space="preserve">Der findes ingen andre prækliniske data, der forventes at være relevante for den kliniske sikkerhed, end dem, der allerede er nævnt i andre punkter af dette </w:t>
      </w:r>
      <w:r>
        <w:rPr>
          <w:sz w:val="24"/>
          <w:szCs w:val="24"/>
        </w:rPr>
        <w:t>produktresumé</w:t>
      </w:r>
      <w:r w:rsidRPr="004A662A">
        <w:rPr>
          <w:sz w:val="24"/>
          <w:szCs w:val="24"/>
        </w:rPr>
        <w:t>.</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rPr>
          <w:sz w:val="24"/>
          <w:szCs w:val="24"/>
        </w:rPr>
      </w:pPr>
    </w:p>
    <w:p w:rsidR="008F0665" w:rsidRPr="00B23262" w:rsidRDefault="008F0665" w:rsidP="00B2326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8F0665" w:rsidRPr="00BA09F1"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6.1</w:t>
      </w:r>
      <w:r w:rsidRPr="00C84483">
        <w:rPr>
          <w:b/>
          <w:sz w:val="24"/>
          <w:szCs w:val="24"/>
        </w:rPr>
        <w:tab/>
        <w:t>Hjælpestoffer</w:t>
      </w:r>
    </w:p>
    <w:p w:rsidR="008F0665" w:rsidRPr="004A662A" w:rsidRDefault="008F0665" w:rsidP="008F0665">
      <w:pPr>
        <w:pStyle w:val="Default"/>
        <w:ind w:left="851"/>
        <w:rPr>
          <w:color w:val="auto"/>
        </w:rPr>
      </w:pPr>
      <w:proofErr w:type="spellStart"/>
      <w:r w:rsidRPr="004A662A">
        <w:rPr>
          <w:color w:val="auto"/>
        </w:rPr>
        <w:t>Lactosemonohydrat</w:t>
      </w:r>
      <w:proofErr w:type="spellEnd"/>
    </w:p>
    <w:p w:rsidR="008F0665" w:rsidRPr="004A662A" w:rsidRDefault="008F0665" w:rsidP="008F0665">
      <w:pPr>
        <w:pStyle w:val="Default"/>
        <w:ind w:left="851"/>
        <w:rPr>
          <w:color w:val="auto"/>
        </w:rPr>
      </w:pPr>
      <w:r w:rsidRPr="004A662A">
        <w:rPr>
          <w:color w:val="auto"/>
        </w:rPr>
        <w:t>Majsstivelse</w:t>
      </w:r>
    </w:p>
    <w:p w:rsidR="008F0665" w:rsidRPr="004A662A" w:rsidRDefault="008F0665" w:rsidP="008F0665">
      <w:pPr>
        <w:pStyle w:val="Default"/>
        <w:ind w:left="851"/>
        <w:rPr>
          <w:color w:val="auto"/>
        </w:rPr>
      </w:pPr>
      <w:proofErr w:type="spellStart"/>
      <w:r w:rsidRPr="004A662A">
        <w:rPr>
          <w:color w:val="auto"/>
        </w:rPr>
        <w:t>Povidon</w:t>
      </w:r>
      <w:proofErr w:type="spellEnd"/>
    </w:p>
    <w:p w:rsidR="008F0665" w:rsidRPr="007223EE" w:rsidRDefault="008F0665" w:rsidP="008F0665">
      <w:pPr>
        <w:pStyle w:val="Default"/>
        <w:ind w:left="851"/>
        <w:rPr>
          <w:color w:val="auto"/>
        </w:rPr>
      </w:pPr>
      <w:proofErr w:type="spellStart"/>
      <w:r w:rsidRPr="004A662A">
        <w:rPr>
          <w:color w:val="auto"/>
        </w:rPr>
        <w:t>Magnesiumstearat</w:t>
      </w:r>
      <w:proofErr w:type="spellEnd"/>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6.2</w:t>
      </w:r>
      <w:r w:rsidRPr="00C84483">
        <w:rPr>
          <w:b/>
          <w:sz w:val="24"/>
          <w:szCs w:val="24"/>
        </w:rPr>
        <w:tab/>
        <w:t>Uforligeligheder</w:t>
      </w:r>
    </w:p>
    <w:p w:rsidR="008F0665" w:rsidRPr="007223EE" w:rsidRDefault="008F0665" w:rsidP="008F0665">
      <w:pPr>
        <w:pStyle w:val="Default"/>
        <w:ind w:left="851"/>
        <w:rPr>
          <w:i/>
          <w:color w:val="auto"/>
        </w:rPr>
      </w:pPr>
      <w:r w:rsidRPr="004A662A">
        <w:rPr>
          <w:color w:val="auto"/>
        </w:rPr>
        <w:t>Ikke relevant.</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6.3</w:t>
      </w:r>
      <w:r w:rsidRPr="00C84483">
        <w:rPr>
          <w:b/>
          <w:sz w:val="24"/>
          <w:szCs w:val="24"/>
        </w:rPr>
        <w:tab/>
        <w:t>Opbevaringstid</w:t>
      </w:r>
    </w:p>
    <w:p w:rsidR="008F0665" w:rsidRPr="004A662A" w:rsidRDefault="000552E4" w:rsidP="008F0665">
      <w:pPr>
        <w:pStyle w:val="Default"/>
        <w:ind w:left="851"/>
        <w:rPr>
          <w:color w:val="auto"/>
        </w:rPr>
      </w:pPr>
      <w:r>
        <w:rPr>
          <w:color w:val="auto"/>
        </w:rPr>
        <w:t>3</w:t>
      </w:r>
      <w:r w:rsidR="008F0665" w:rsidRPr="004A662A">
        <w:rPr>
          <w:color w:val="auto"/>
        </w:rPr>
        <w:t xml:space="preserve"> år. </w:t>
      </w:r>
    </w:p>
    <w:p w:rsidR="008F0665" w:rsidRPr="004A662A" w:rsidRDefault="008F0665" w:rsidP="008F0665">
      <w:pPr>
        <w:pStyle w:val="Default"/>
        <w:ind w:left="851"/>
        <w:rPr>
          <w:color w:val="auto"/>
        </w:rPr>
      </w:pPr>
    </w:p>
    <w:p w:rsidR="008F0665" w:rsidRDefault="008F0665" w:rsidP="008F0665">
      <w:pPr>
        <w:pStyle w:val="Default"/>
        <w:ind w:left="851"/>
        <w:rPr>
          <w:color w:val="auto"/>
          <w:u w:val="single"/>
        </w:rPr>
      </w:pPr>
      <w:r w:rsidRPr="00B775D2">
        <w:rPr>
          <w:color w:val="auto"/>
          <w:u w:val="single"/>
        </w:rPr>
        <w:t>HDPE-beholder</w:t>
      </w:r>
    </w:p>
    <w:p w:rsidR="008F0665" w:rsidRPr="00B775D2" w:rsidRDefault="008F0665" w:rsidP="008F0665">
      <w:pPr>
        <w:pStyle w:val="Default"/>
        <w:ind w:left="851"/>
        <w:rPr>
          <w:color w:val="auto"/>
        </w:rPr>
      </w:pPr>
      <w:r>
        <w:rPr>
          <w:color w:val="auto"/>
        </w:rPr>
        <w:t>Ef</w:t>
      </w:r>
      <w:r w:rsidRPr="004A662A">
        <w:rPr>
          <w:color w:val="auto"/>
        </w:rPr>
        <w:t>ter første åbning: 6 måneder.</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F0665" w:rsidRPr="00B775D2" w:rsidRDefault="008F0665" w:rsidP="008F0665">
      <w:pPr>
        <w:pStyle w:val="Default"/>
        <w:ind w:left="851"/>
        <w:rPr>
          <w:i/>
          <w:color w:val="auto"/>
        </w:rPr>
      </w:pPr>
      <w:r w:rsidRPr="004A662A">
        <w:rPr>
          <w:color w:val="auto"/>
        </w:rPr>
        <w:t>Dette lægemiddel kræver ingen særlige forholdsregler vedrørende opbevaringen.</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6.5</w:t>
      </w:r>
      <w:r w:rsidRPr="00C84483">
        <w:rPr>
          <w:b/>
          <w:sz w:val="24"/>
          <w:szCs w:val="24"/>
        </w:rPr>
        <w:tab/>
      </w:r>
      <w:r>
        <w:rPr>
          <w:b/>
          <w:sz w:val="24"/>
          <w:szCs w:val="24"/>
        </w:rPr>
        <w:t>Emballagetype</w:t>
      </w:r>
      <w:r w:rsidR="003B6D17">
        <w:rPr>
          <w:b/>
          <w:sz w:val="24"/>
          <w:szCs w:val="24"/>
        </w:rPr>
        <w:t>r</w:t>
      </w:r>
      <w:r w:rsidRPr="00C84483">
        <w:rPr>
          <w:b/>
          <w:sz w:val="24"/>
          <w:szCs w:val="24"/>
        </w:rPr>
        <w:t xml:space="preserve"> og pakningsstørrelser</w:t>
      </w:r>
    </w:p>
    <w:p w:rsidR="008F0665" w:rsidRDefault="008F0665" w:rsidP="008F0665">
      <w:pPr>
        <w:pStyle w:val="Comment"/>
        <w:spacing w:before="0"/>
        <w:ind w:left="851"/>
        <w:jc w:val="left"/>
        <w:rPr>
          <w:i w:val="0"/>
          <w:color w:val="auto"/>
          <w:szCs w:val="24"/>
        </w:rPr>
      </w:pPr>
    </w:p>
    <w:p w:rsidR="008F0665" w:rsidRPr="00B20937" w:rsidRDefault="008F0665" w:rsidP="008F0665">
      <w:pPr>
        <w:pStyle w:val="Default"/>
        <w:ind w:left="851"/>
        <w:rPr>
          <w:color w:val="auto"/>
        </w:rPr>
      </w:pPr>
      <w:r w:rsidRPr="00B20937">
        <w:rPr>
          <w:color w:val="auto"/>
          <w:u w:val="single"/>
        </w:rPr>
        <w:t>PVC/</w:t>
      </w:r>
      <w:proofErr w:type="spellStart"/>
      <w:r w:rsidRPr="00B20937">
        <w:rPr>
          <w:color w:val="auto"/>
          <w:u w:val="single"/>
        </w:rPr>
        <w:t>Alu</w:t>
      </w:r>
      <w:proofErr w:type="spellEnd"/>
      <w:r w:rsidRPr="00B20937">
        <w:rPr>
          <w:color w:val="auto"/>
          <w:u w:val="single"/>
        </w:rPr>
        <w:t xml:space="preserve"> blisterpakning</w:t>
      </w:r>
    </w:p>
    <w:p w:rsidR="008F0665" w:rsidRPr="00B20937" w:rsidRDefault="008F0665" w:rsidP="008F0665">
      <w:pPr>
        <w:pStyle w:val="Comment"/>
        <w:spacing w:before="0"/>
        <w:ind w:left="851"/>
        <w:jc w:val="left"/>
        <w:rPr>
          <w:i w:val="0"/>
          <w:color w:val="auto"/>
          <w:szCs w:val="24"/>
        </w:rPr>
      </w:pPr>
    </w:p>
    <w:p w:rsidR="008F0665" w:rsidRPr="00B20937" w:rsidRDefault="008F0665" w:rsidP="008F0665">
      <w:pPr>
        <w:pStyle w:val="Comment"/>
        <w:spacing w:before="0"/>
        <w:ind w:left="851"/>
        <w:jc w:val="left"/>
        <w:rPr>
          <w:color w:val="auto"/>
          <w:szCs w:val="24"/>
        </w:rPr>
      </w:pPr>
      <w:r w:rsidRPr="00B20937">
        <w:rPr>
          <w:color w:val="auto"/>
          <w:szCs w:val="24"/>
        </w:rPr>
        <w:t>Pakningsstørrelser</w:t>
      </w:r>
    </w:p>
    <w:p w:rsidR="008F0665" w:rsidRPr="00B20937" w:rsidRDefault="008F0665" w:rsidP="008F0665">
      <w:pPr>
        <w:pStyle w:val="Comment"/>
        <w:spacing w:before="0"/>
        <w:ind w:left="851"/>
        <w:jc w:val="left"/>
        <w:rPr>
          <w:i w:val="0"/>
          <w:color w:val="auto"/>
        </w:rPr>
      </w:pPr>
      <w:r w:rsidRPr="00B20937">
        <w:rPr>
          <w:i w:val="0"/>
          <w:color w:val="auto"/>
          <w:szCs w:val="24"/>
        </w:rPr>
        <w:t xml:space="preserve">100 mg: </w:t>
      </w:r>
      <w:r w:rsidRPr="00B20937">
        <w:rPr>
          <w:i w:val="0"/>
          <w:color w:val="auto"/>
        </w:rPr>
        <w:t>20, 30, 50, 60 og 100 stk. samt 30×1 stk. som enkeltdosisblister</w:t>
      </w:r>
    </w:p>
    <w:p w:rsidR="008F0665" w:rsidRPr="00B20937" w:rsidRDefault="008F0665" w:rsidP="008F0665">
      <w:pPr>
        <w:pStyle w:val="Default"/>
        <w:ind w:left="851"/>
        <w:rPr>
          <w:color w:val="auto"/>
        </w:rPr>
      </w:pPr>
      <w:r w:rsidRPr="00B20937">
        <w:rPr>
          <w:color w:val="auto"/>
        </w:rPr>
        <w:t>300 mg: 30, 60 og 100 stk. samt 30×1 stk. som enkeltdosisblister.</w:t>
      </w:r>
    </w:p>
    <w:p w:rsidR="008F0665" w:rsidRPr="00B20937" w:rsidRDefault="008F0665" w:rsidP="008F0665">
      <w:pPr>
        <w:pStyle w:val="Default"/>
        <w:ind w:left="851"/>
        <w:rPr>
          <w:color w:val="auto"/>
        </w:rPr>
      </w:pPr>
    </w:p>
    <w:p w:rsidR="008F0665" w:rsidRPr="00B20937" w:rsidRDefault="008F0665" w:rsidP="008F0665">
      <w:pPr>
        <w:pStyle w:val="Default"/>
        <w:ind w:left="851"/>
        <w:rPr>
          <w:color w:val="auto"/>
          <w:u w:val="single"/>
        </w:rPr>
      </w:pPr>
      <w:r w:rsidRPr="00B20937">
        <w:rPr>
          <w:color w:val="auto"/>
          <w:u w:val="single"/>
        </w:rPr>
        <w:t>HDPE-beholder med børnesikret PP-låg eller PP-låg uden børnesikring med induktionsforsegling.</w:t>
      </w:r>
    </w:p>
    <w:p w:rsidR="008F0665" w:rsidRPr="004A662A" w:rsidRDefault="008F0665" w:rsidP="008F0665">
      <w:pPr>
        <w:pStyle w:val="Default"/>
        <w:ind w:left="851"/>
        <w:rPr>
          <w:color w:val="auto"/>
        </w:rPr>
      </w:pPr>
    </w:p>
    <w:p w:rsidR="008F0665" w:rsidRDefault="008F0665" w:rsidP="008F0665">
      <w:pPr>
        <w:pStyle w:val="EMEAEnBodyText"/>
        <w:tabs>
          <w:tab w:val="left" w:pos="1418"/>
        </w:tabs>
        <w:ind w:left="851"/>
      </w:pPr>
      <w:r w:rsidRPr="00B20937">
        <w:rPr>
          <w:i/>
        </w:rPr>
        <w:t>Pakningsstørrelser</w:t>
      </w:r>
    </w:p>
    <w:p w:rsidR="008F0665" w:rsidRDefault="008F0665" w:rsidP="008F0665">
      <w:pPr>
        <w:pStyle w:val="EMEAEnBodyText"/>
        <w:tabs>
          <w:tab w:val="left" w:pos="1418"/>
        </w:tabs>
        <w:ind w:left="851"/>
        <w:rPr>
          <w:color w:val="000000"/>
        </w:rPr>
      </w:pPr>
      <w:r>
        <w:lastRenderedPageBreak/>
        <w:t xml:space="preserve">100 mg: </w:t>
      </w:r>
      <w:r w:rsidRPr="004A662A">
        <w:t>50, 100, 105, 125, 250</w:t>
      </w:r>
      <w:r>
        <w:t xml:space="preserve"> og 500 stk.</w:t>
      </w:r>
    </w:p>
    <w:p w:rsidR="008F0665" w:rsidRDefault="008F0665" w:rsidP="008F0665">
      <w:pPr>
        <w:pStyle w:val="Default"/>
        <w:ind w:left="851"/>
      </w:pPr>
    </w:p>
    <w:p w:rsidR="008F0665" w:rsidRDefault="008F0665" w:rsidP="008F0665">
      <w:pPr>
        <w:pStyle w:val="Default"/>
        <w:ind w:left="851"/>
      </w:pPr>
      <w:r w:rsidRPr="00B20937">
        <w:rPr>
          <w:color w:val="auto"/>
          <w:u w:val="single"/>
        </w:rPr>
        <w:t>HDPE-beholder med børnesikret PP-låg</w:t>
      </w:r>
    </w:p>
    <w:p w:rsidR="008F0665" w:rsidRDefault="008F0665" w:rsidP="008F0665">
      <w:pPr>
        <w:pStyle w:val="EMEAEnBodyText"/>
        <w:tabs>
          <w:tab w:val="left" w:pos="1418"/>
        </w:tabs>
        <w:ind w:left="851"/>
      </w:pPr>
      <w:r w:rsidRPr="00B20937">
        <w:rPr>
          <w:i/>
        </w:rPr>
        <w:t>Pakningsstørrelser</w:t>
      </w:r>
    </w:p>
    <w:p w:rsidR="008F0665" w:rsidRPr="00A71A51" w:rsidRDefault="008F0665" w:rsidP="008F0665">
      <w:pPr>
        <w:pStyle w:val="Default"/>
        <w:ind w:left="851"/>
        <w:rPr>
          <w:color w:val="auto"/>
        </w:rPr>
      </w:pPr>
      <w:r>
        <w:t xml:space="preserve">300 mg: </w:t>
      </w:r>
      <w:r w:rsidRPr="004A662A">
        <w:t>100, 105</w:t>
      </w:r>
      <w:r>
        <w:t xml:space="preserve"> og 125 stk.</w:t>
      </w:r>
    </w:p>
    <w:p w:rsidR="008F0665" w:rsidRPr="004A662A" w:rsidRDefault="008F0665" w:rsidP="008F0665">
      <w:pPr>
        <w:pStyle w:val="Comment"/>
        <w:spacing w:before="0"/>
        <w:ind w:left="851"/>
        <w:jc w:val="left"/>
        <w:rPr>
          <w:i w:val="0"/>
          <w:color w:val="auto"/>
          <w:szCs w:val="24"/>
        </w:rPr>
      </w:pPr>
    </w:p>
    <w:p w:rsidR="008F0665" w:rsidRPr="007867EF" w:rsidRDefault="008F0665" w:rsidP="008F0665">
      <w:pPr>
        <w:pStyle w:val="Default"/>
        <w:ind w:left="851"/>
        <w:rPr>
          <w:color w:val="auto"/>
        </w:rPr>
      </w:pPr>
      <w:r w:rsidRPr="004A662A">
        <w:rPr>
          <w:color w:val="auto"/>
        </w:rPr>
        <w:t>Ikke alle pakningsstørrelser er nødvendigvis markedsført.</w:t>
      </w:r>
    </w:p>
    <w:p w:rsidR="008F0665" w:rsidRPr="00C84483" w:rsidRDefault="008F0665" w:rsidP="008F0665">
      <w:pPr>
        <w:tabs>
          <w:tab w:val="left" w:pos="851"/>
        </w:tabs>
        <w:ind w:left="851"/>
        <w:rPr>
          <w:sz w:val="24"/>
          <w:szCs w:val="24"/>
        </w:rPr>
      </w:pPr>
    </w:p>
    <w:p w:rsidR="00B23262" w:rsidRPr="00380E57" w:rsidRDefault="008F0665" w:rsidP="00B23262">
      <w:pPr>
        <w:tabs>
          <w:tab w:val="left" w:pos="851"/>
        </w:tabs>
        <w:ind w:left="851" w:hanging="851"/>
        <w:rPr>
          <w:b/>
          <w:sz w:val="24"/>
          <w:szCs w:val="24"/>
        </w:rPr>
      </w:pPr>
      <w:r w:rsidRPr="00C84483">
        <w:rPr>
          <w:b/>
          <w:sz w:val="24"/>
          <w:szCs w:val="24"/>
        </w:rPr>
        <w:t>6.6</w:t>
      </w:r>
      <w:r w:rsidRPr="00C84483">
        <w:rPr>
          <w:b/>
          <w:sz w:val="24"/>
          <w:szCs w:val="24"/>
        </w:rPr>
        <w:tab/>
      </w:r>
      <w:r w:rsidR="00B23262" w:rsidRPr="00C41A3E">
        <w:rPr>
          <w:b/>
          <w:sz w:val="24"/>
          <w:szCs w:val="24"/>
        </w:rPr>
        <w:t xml:space="preserve">Regler for </w:t>
      </w:r>
      <w:r w:rsidR="00B23262">
        <w:rPr>
          <w:b/>
          <w:sz w:val="24"/>
          <w:szCs w:val="24"/>
        </w:rPr>
        <w:t>bortskaffelse</w:t>
      </w:r>
      <w:r w:rsidR="00B23262" w:rsidRPr="00380E57">
        <w:rPr>
          <w:b/>
          <w:sz w:val="24"/>
          <w:szCs w:val="24"/>
        </w:rPr>
        <w:t xml:space="preserve"> og anden håndtering</w:t>
      </w:r>
    </w:p>
    <w:p w:rsidR="00B23262" w:rsidRPr="00783E65" w:rsidRDefault="00B23262" w:rsidP="00B23262">
      <w:pPr>
        <w:pStyle w:val="Default"/>
        <w:ind w:left="851"/>
        <w:rPr>
          <w:color w:val="auto"/>
        </w:rPr>
      </w:pPr>
      <w:r w:rsidRPr="00C669A8">
        <w:rPr>
          <w:color w:val="auto"/>
        </w:rPr>
        <w:t>Ikke anvendt lægemiddel samt affald heraf skal bortskaffes i henhold til lokale retningslinjer.</w:t>
      </w:r>
    </w:p>
    <w:p w:rsidR="008F0665" w:rsidRPr="00C84483" w:rsidRDefault="008F0665" w:rsidP="00B23262">
      <w:pPr>
        <w:tabs>
          <w:tab w:val="left" w:pos="851"/>
        </w:tabs>
        <w:ind w:left="851" w:hanging="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F0665" w:rsidRPr="004A662A" w:rsidRDefault="008F0665" w:rsidP="008F0665">
      <w:pPr>
        <w:ind w:left="851"/>
        <w:rPr>
          <w:sz w:val="24"/>
          <w:szCs w:val="24"/>
        </w:rPr>
      </w:pPr>
      <w:r w:rsidRPr="004A662A">
        <w:rPr>
          <w:sz w:val="24"/>
          <w:szCs w:val="24"/>
        </w:rPr>
        <w:t>Sandoz A/S</w:t>
      </w:r>
    </w:p>
    <w:p w:rsidR="008F0665" w:rsidRPr="004A662A" w:rsidRDefault="008F0665" w:rsidP="008F0665">
      <w:pPr>
        <w:ind w:left="851"/>
        <w:rPr>
          <w:sz w:val="24"/>
          <w:szCs w:val="24"/>
        </w:rPr>
      </w:pPr>
      <w:r w:rsidRPr="004A662A">
        <w:rPr>
          <w:sz w:val="24"/>
          <w:szCs w:val="24"/>
        </w:rPr>
        <w:t>Edvard Thomsens Vej 14</w:t>
      </w:r>
    </w:p>
    <w:p w:rsidR="008F0665" w:rsidRDefault="008F0665" w:rsidP="008F0665">
      <w:pPr>
        <w:ind w:left="851"/>
        <w:rPr>
          <w:sz w:val="24"/>
          <w:szCs w:val="24"/>
        </w:rPr>
      </w:pPr>
      <w:r w:rsidRPr="004A662A">
        <w:rPr>
          <w:sz w:val="24"/>
          <w:szCs w:val="24"/>
        </w:rPr>
        <w:t>2300 København S</w:t>
      </w:r>
    </w:p>
    <w:p w:rsidR="00B23262" w:rsidRPr="00C84483" w:rsidRDefault="00B23262" w:rsidP="000552E4">
      <w:pPr>
        <w:tabs>
          <w:tab w:val="left" w:pos="851"/>
        </w:tabs>
        <w:rPr>
          <w:sz w:val="24"/>
          <w:szCs w:val="24"/>
        </w:rPr>
      </w:pPr>
    </w:p>
    <w:p w:rsidR="008F0665" w:rsidRDefault="008F0665" w:rsidP="00100EF5">
      <w:pPr>
        <w:keepNext/>
        <w:tabs>
          <w:tab w:val="left" w:pos="851"/>
        </w:tabs>
        <w:ind w:left="851" w:hanging="851"/>
        <w:rPr>
          <w:b/>
          <w:sz w:val="24"/>
          <w:szCs w:val="24"/>
        </w:rPr>
      </w:pPr>
      <w:r w:rsidRPr="00C84483">
        <w:rPr>
          <w:b/>
          <w:sz w:val="24"/>
          <w:szCs w:val="24"/>
        </w:rPr>
        <w:t>8.</w:t>
      </w:r>
      <w:r w:rsidRPr="00C84483">
        <w:rPr>
          <w:b/>
          <w:sz w:val="24"/>
          <w:szCs w:val="24"/>
        </w:rPr>
        <w:tab/>
      </w:r>
      <w:r>
        <w:rPr>
          <w:b/>
          <w:sz w:val="24"/>
          <w:szCs w:val="24"/>
        </w:rPr>
        <w:t>MARKEDSFØRINGSTILLADELSESNUMMER/NUMRE</w:t>
      </w:r>
    </w:p>
    <w:p w:rsidR="008F0665" w:rsidRPr="004A662A" w:rsidRDefault="008F0665" w:rsidP="00100EF5">
      <w:pPr>
        <w:keepNext/>
        <w:ind w:left="851"/>
        <w:rPr>
          <w:sz w:val="24"/>
          <w:szCs w:val="24"/>
        </w:rPr>
      </w:pPr>
      <w:r w:rsidRPr="004A662A">
        <w:rPr>
          <w:sz w:val="24"/>
          <w:szCs w:val="24"/>
        </w:rPr>
        <w:t>100 mg: 56120</w:t>
      </w:r>
    </w:p>
    <w:p w:rsidR="008F0665" w:rsidRPr="00C84483" w:rsidRDefault="008F0665" w:rsidP="008F0665">
      <w:pPr>
        <w:ind w:left="851"/>
        <w:rPr>
          <w:sz w:val="24"/>
          <w:szCs w:val="24"/>
        </w:rPr>
      </w:pPr>
      <w:r w:rsidRPr="004A662A">
        <w:rPr>
          <w:sz w:val="24"/>
          <w:szCs w:val="24"/>
        </w:rPr>
        <w:t>300 mg: 56121</w:t>
      </w:r>
    </w:p>
    <w:p w:rsidR="008F0665" w:rsidRPr="00C84483" w:rsidRDefault="008F0665" w:rsidP="008F0665">
      <w:pPr>
        <w:tabs>
          <w:tab w:val="left" w:pos="851"/>
        </w:tabs>
        <w:ind w:left="851"/>
        <w:jc w:val="both"/>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F0665" w:rsidRPr="00C84483" w:rsidRDefault="008F0665" w:rsidP="008F0665">
      <w:pPr>
        <w:tabs>
          <w:tab w:val="left" w:pos="851"/>
        </w:tabs>
        <w:ind w:left="851"/>
        <w:rPr>
          <w:sz w:val="24"/>
          <w:szCs w:val="24"/>
        </w:rPr>
      </w:pPr>
      <w:r>
        <w:rPr>
          <w:sz w:val="24"/>
          <w:szCs w:val="24"/>
        </w:rPr>
        <w:t>29. juni 2016</w:t>
      </w:r>
    </w:p>
    <w:p w:rsidR="008F0665" w:rsidRPr="00C84483" w:rsidRDefault="008F0665" w:rsidP="008F0665">
      <w:pPr>
        <w:tabs>
          <w:tab w:val="left" w:pos="851"/>
        </w:tabs>
        <w:ind w:left="851"/>
        <w:rPr>
          <w:sz w:val="24"/>
          <w:szCs w:val="24"/>
        </w:rPr>
      </w:pPr>
    </w:p>
    <w:p w:rsidR="008F0665" w:rsidRPr="00C84483" w:rsidRDefault="008F0665" w:rsidP="008F066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8F0665" w:rsidRPr="00C84483" w:rsidRDefault="004D4F8B" w:rsidP="008F0665">
      <w:pPr>
        <w:tabs>
          <w:tab w:val="left" w:pos="851"/>
        </w:tabs>
        <w:ind w:left="851"/>
        <w:rPr>
          <w:sz w:val="24"/>
          <w:szCs w:val="24"/>
        </w:rPr>
      </w:pPr>
      <w:r>
        <w:rPr>
          <w:sz w:val="24"/>
          <w:szCs w:val="24"/>
        </w:rPr>
        <w:t xml:space="preserve">1. april </w:t>
      </w:r>
      <w:bookmarkStart w:id="1" w:name="_GoBack"/>
      <w:bookmarkEnd w:id="1"/>
      <w:r w:rsidR="003B6D17" w:rsidRPr="003B6D17">
        <w:rPr>
          <w:sz w:val="24"/>
          <w:szCs w:val="24"/>
        </w:rPr>
        <w:t>202</w:t>
      </w:r>
      <w:r w:rsidR="005A6BCA">
        <w:rPr>
          <w:sz w:val="24"/>
          <w:szCs w:val="24"/>
        </w:rPr>
        <w:t>5</w:t>
      </w:r>
    </w:p>
    <w:p w:rsidR="008F0665" w:rsidRPr="00993AAE" w:rsidRDefault="008F0665" w:rsidP="008F0665"/>
    <w:p w:rsidR="008F0665" w:rsidRPr="003B56BA" w:rsidRDefault="008F0665" w:rsidP="008F0665"/>
    <w:p w:rsidR="009260DE" w:rsidRPr="008F0665" w:rsidRDefault="009260DE" w:rsidP="008F0665"/>
    <w:sectPr w:rsidR="009260DE" w:rsidRPr="008F066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665" w:rsidRDefault="008F0665">
      <w:r>
        <w:separator/>
      </w:r>
    </w:p>
  </w:endnote>
  <w:endnote w:type="continuationSeparator" w:id="0">
    <w:p w:rsidR="008F0665" w:rsidRDefault="008F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552E4">
      <w:rPr>
        <w:i/>
        <w:noProof/>
        <w:sz w:val="18"/>
        <w:szCs w:val="18"/>
      </w:rPr>
      <w:t>Allopurinol Sandoz, tabletter 100 mg og 300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665" w:rsidRDefault="008F0665">
      <w:r>
        <w:separator/>
      </w:r>
    </w:p>
  </w:footnote>
  <w:footnote w:type="continuationSeparator" w:id="0">
    <w:p w:rsidR="008F0665" w:rsidRDefault="008F0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F12286"/>
    <w:multiLevelType w:val="hybridMultilevel"/>
    <w:tmpl w:val="11FEBFA0"/>
    <w:lvl w:ilvl="0" w:tplc="9E8A8CE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8B70114"/>
    <w:multiLevelType w:val="hybridMultilevel"/>
    <w:tmpl w:val="2C26208C"/>
    <w:lvl w:ilvl="0" w:tplc="514070A0">
      <w:start w:val="1"/>
      <w:numFmt w:val="decimal"/>
      <w:lvlText w:val="%1."/>
      <w:lvlJc w:val="left"/>
      <w:pPr>
        <w:ind w:left="8040" w:hanging="360"/>
      </w:pPr>
      <w:rPr>
        <w:rFonts w:hint="default"/>
      </w:rPr>
    </w:lvl>
    <w:lvl w:ilvl="1" w:tplc="04060019" w:tentative="1">
      <w:start w:val="1"/>
      <w:numFmt w:val="lowerLetter"/>
      <w:lvlText w:val="%2."/>
      <w:lvlJc w:val="left"/>
      <w:pPr>
        <w:ind w:left="8760" w:hanging="360"/>
      </w:pPr>
    </w:lvl>
    <w:lvl w:ilvl="2" w:tplc="0406001B" w:tentative="1">
      <w:start w:val="1"/>
      <w:numFmt w:val="lowerRoman"/>
      <w:lvlText w:val="%3."/>
      <w:lvlJc w:val="right"/>
      <w:pPr>
        <w:ind w:left="9480" w:hanging="180"/>
      </w:pPr>
    </w:lvl>
    <w:lvl w:ilvl="3" w:tplc="0406000F" w:tentative="1">
      <w:start w:val="1"/>
      <w:numFmt w:val="decimal"/>
      <w:lvlText w:val="%4."/>
      <w:lvlJc w:val="left"/>
      <w:pPr>
        <w:ind w:left="10200" w:hanging="360"/>
      </w:pPr>
    </w:lvl>
    <w:lvl w:ilvl="4" w:tplc="04060019" w:tentative="1">
      <w:start w:val="1"/>
      <w:numFmt w:val="lowerLetter"/>
      <w:lvlText w:val="%5."/>
      <w:lvlJc w:val="left"/>
      <w:pPr>
        <w:ind w:left="10920" w:hanging="360"/>
      </w:pPr>
    </w:lvl>
    <w:lvl w:ilvl="5" w:tplc="0406001B" w:tentative="1">
      <w:start w:val="1"/>
      <w:numFmt w:val="lowerRoman"/>
      <w:lvlText w:val="%6."/>
      <w:lvlJc w:val="right"/>
      <w:pPr>
        <w:ind w:left="11640" w:hanging="180"/>
      </w:pPr>
    </w:lvl>
    <w:lvl w:ilvl="6" w:tplc="0406000F" w:tentative="1">
      <w:start w:val="1"/>
      <w:numFmt w:val="decimal"/>
      <w:lvlText w:val="%7."/>
      <w:lvlJc w:val="left"/>
      <w:pPr>
        <w:ind w:left="12360" w:hanging="360"/>
      </w:pPr>
    </w:lvl>
    <w:lvl w:ilvl="7" w:tplc="04060019" w:tentative="1">
      <w:start w:val="1"/>
      <w:numFmt w:val="lowerLetter"/>
      <w:lvlText w:val="%8."/>
      <w:lvlJc w:val="left"/>
      <w:pPr>
        <w:ind w:left="13080" w:hanging="360"/>
      </w:pPr>
    </w:lvl>
    <w:lvl w:ilvl="8" w:tplc="0406001B" w:tentative="1">
      <w:start w:val="1"/>
      <w:numFmt w:val="lowerRoman"/>
      <w:lvlText w:val="%9."/>
      <w:lvlJc w:val="right"/>
      <w:pPr>
        <w:ind w:left="1380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5"/>
    <w:rsid w:val="000259B9"/>
    <w:rsid w:val="00041491"/>
    <w:rsid w:val="00050D16"/>
    <w:rsid w:val="000552E4"/>
    <w:rsid w:val="00074F2A"/>
    <w:rsid w:val="00081368"/>
    <w:rsid w:val="000A1CA8"/>
    <w:rsid w:val="000A466B"/>
    <w:rsid w:val="000B058C"/>
    <w:rsid w:val="000E2662"/>
    <w:rsid w:val="000E4EE6"/>
    <w:rsid w:val="00100EF5"/>
    <w:rsid w:val="001454E2"/>
    <w:rsid w:val="0017251B"/>
    <w:rsid w:val="00206CE8"/>
    <w:rsid w:val="00213B43"/>
    <w:rsid w:val="0021526C"/>
    <w:rsid w:val="00283A2B"/>
    <w:rsid w:val="002B30AD"/>
    <w:rsid w:val="002C2C01"/>
    <w:rsid w:val="003A29AE"/>
    <w:rsid w:val="003A32D7"/>
    <w:rsid w:val="003B4074"/>
    <w:rsid w:val="003B6D17"/>
    <w:rsid w:val="003C769A"/>
    <w:rsid w:val="003F1838"/>
    <w:rsid w:val="00425836"/>
    <w:rsid w:val="0045746C"/>
    <w:rsid w:val="0049104B"/>
    <w:rsid w:val="004D4F8B"/>
    <w:rsid w:val="004E3B12"/>
    <w:rsid w:val="00531631"/>
    <w:rsid w:val="00532310"/>
    <w:rsid w:val="00560ECC"/>
    <w:rsid w:val="00565F0F"/>
    <w:rsid w:val="00594A86"/>
    <w:rsid w:val="00596D86"/>
    <w:rsid w:val="005A6BCA"/>
    <w:rsid w:val="005F7CCB"/>
    <w:rsid w:val="00637F5A"/>
    <w:rsid w:val="006560B1"/>
    <w:rsid w:val="006756DD"/>
    <w:rsid w:val="00693BAE"/>
    <w:rsid w:val="00737275"/>
    <w:rsid w:val="00740EEC"/>
    <w:rsid w:val="0078011A"/>
    <w:rsid w:val="00782AF4"/>
    <w:rsid w:val="00790EE7"/>
    <w:rsid w:val="007B6649"/>
    <w:rsid w:val="0081546F"/>
    <w:rsid w:val="0082576E"/>
    <w:rsid w:val="008602BE"/>
    <w:rsid w:val="008632BB"/>
    <w:rsid w:val="008B4798"/>
    <w:rsid w:val="008F0665"/>
    <w:rsid w:val="00907F75"/>
    <w:rsid w:val="009260DE"/>
    <w:rsid w:val="0093258A"/>
    <w:rsid w:val="009C7BA3"/>
    <w:rsid w:val="009D1F5A"/>
    <w:rsid w:val="009D5683"/>
    <w:rsid w:val="009E619A"/>
    <w:rsid w:val="00AC5C80"/>
    <w:rsid w:val="00B003BF"/>
    <w:rsid w:val="00B23262"/>
    <w:rsid w:val="00B373D7"/>
    <w:rsid w:val="00B57354"/>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9D189"/>
  <w15:chartTrackingRefBased/>
  <w15:docId w15:val="{33637BE6-5E40-439D-99B3-91517D2E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F0665"/>
    <w:pPr>
      <w:autoSpaceDE w:val="0"/>
      <w:autoSpaceDN w:val="0"/>
      <w:adjustRightInd w:val="0"/>
    </w:pPr>
    <w:rPr>
      <w:color w:val="000000"/>
      <w:sz w:val="24"/>
      <w:szCs w:val="24"/>
      <w:lang w:eastAsia="en-US"/>
    </w:rPr>
  </w:style>
  <w:style w:type="paragraph" w:customStyle="1" w:styleId="knZulassung02">
    <w:name w:val="knZulassung02"/>
    <w:basedOn w:val="Normal"/>
    <w:rsid w:val="008F0665"/>
    <w:pPr>
      <w:autoSpaceDE w:val="0"/>
      <w:autoSpaceDN w:val="0"/>
      <w:ind w:left="1843" w:right="284"/>
    </w:pPr>
    <w:rPr>
      <w:rFonts w:ascii="Courier" w:hAnsi="Courier" w:cs="Courier"/>
      <w:sz w:val="24"/>
      <w:szCs w:val="24"/>
      <w:lang w:eastAsia="de-DE"/>
    </w:rPr>
  </w:style>
  <w:style w:type="character" w:styleId="Hyperlink">
    <w:name w:val="Hyperlink"/>
    <w:uiPriority w:val="99"/>
    <w:unhideWhenUsed/>
    <w:rsid w:val="008F0665"/>
    <w:rPr>
      <w:color w:val="0000FF"/>
      <w:u w:val="single"/>
    </w:rPr>
  </w:style>
  <w:style w:type="paragraph" w:customStyle="1" w:styleId="Comment">
    <w:name w:val="Comment"/>
    <w:basedOn w:val="Normal"/>
    <w:link w:val="CommentChar"/>
    <w:rsid w:val="008F0665"/>
    <w:pPr>
      <w:keepLines/>
      <w:spacing w:before="120"/>
      <w:jc w:val="both"/>
    </w:pPr>
    <w:rPr>
      <w:i/>
      <w:color w:val="0000FF"/>
      <w:sz w:val="24"/>
    </w:rPr>
  </w:style>
  <w:style w:type="character" w:customStyle="1" w:styleId="CommentChar">
    <w:name w:val="Comment Char"/>
    <w:link w:val="Comment"/>
    <w:rsid w:val="008F0665"/>
    <w:rPr>
      <w:i/>
      <w:color w:val="0000FF"/>
      <w:sz w:val="24"/>
      <w:lang w:eastAsia="en-US"/>
    </w:rPr>
  </w:style>
  <w:style w:type="paragraph" w:customStyle="1" w:styleId="EMEAEnBodyText">
    <w:name w:val="EMEA En Body Text"/>
    <w:basedOn w:val="Default"/>
    <w:next w:val="Default"/>
    <w:uiPriority w:val="99"/>
    <w:rsid w:val="008F066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141252">
      <w:bodyDiv w:val="1"/>
      <w:marLeft w:val="0"/>
      <w:marRight w:val="0"/>
      <w:marTop w:val="0"/>
      <w:marBottom w:val="0"/>
      <w:divBdr>
        <w:top w:val="none" w:sz="0" w:space="0" w:color="auto"/>
        <w:left w:val="none" w:sz="0" w:space="0" w:color="auto"/>
        <w:bottom w:val="none" w:sz="0" w:space="0" w:color="auto"/>
        <w:right w:val="none" w:sz="0" w:space="0" w:color="auto"/>
      </w:divBdr>
    </w:div>
    <w:div w:id="569120804">
      <w:bodyDiv w:val="1"/>
      <w:marLeft w:val="0"/>
      <w:marRight w:val="0"/>
      <w:marTop w:val="0"/>
      <w:marBottom w:val="0"/>
      <w:divBdr>
        <w:top w:val="none" w:sz="0" w:space="0" w:color="auto"/>
        <w:left w:val="none" w:sz="0" w:space="0" w:color="auto"/>
        <w:bottom w:val="none" w:sz="0" w:space="0" w:color="auto"/>
        <w:right w:val="none" w:sz="0" w:space="0" w:color="auto"/>
      </w:divBdr>
    </w:div>
    <w:div w:id="1013915766">
      <w:bodyDiv w:val="1"/>
      <w:marLeft w:val="0"/>
      <w:marRight w:val="0"/>
      <w:marTop w:val="0"/>
      <w:marBottom w:val="0"/>
      <w:divBdr>
        <w:top w:val="none" w:sz="0" w:space="0" w:color="auto"/>
        <w:left w:val="none" w:sz="0" w:space="0" w:color="auto"/>
        <w:bottom w:val="none" w:sz="0" w:space="0" w:color="auto"/>
        <w:right w:val="none" w:sz="0" w:space="0" w:color="auto"/>
      </w:divBdr>
    </w:div>
    <w:div w:id="1020158402">
      <w:bodyDiv w:val="1"/>
      <w:marLeft w:val="0"/>
      <w:marRight w:val="0"/>
      <w:marTop w:val="0"/>
      <w:marBottom w:val="0"/>
      <w:divBdr>
        <w:top w:val="none" w:sz="0" w:space="0" w:color="auto"/>
        <w:left w:val="none" w:sz="0" w:space="0" w:color="auto"/>
        <w:bottom w:val="none" w:sz="0" w:space="0" w:color="auto"/>
        <w:right w:val="none" w:sz="0" w:space="0" w:color="auto"/>
      </w:divBdr>
    </w:div>
    <w:div w:id="1056659418">
      <w:bodyDiv w:val="1"/>
      <w:marLeft w:val="0"/>
      <w:marRight w:val="0"/>
      <w:marTop w:val="0"/>
      <w:marBottom w:val="0"/>
      <w:divBdr>
        <w:top w:val="none" w:sz="0" w:space="0" w:color="auto"/>
        <w:left w:val="none" w:sz="0" w:space="0" w:color="auto"/>
        <w:bottom w:val="none" w:sz="0" w:space="0" w:color="auto"/>
        <w:right w:val="none" w:sz="0" w:space="0" w:color="auto"/>
      </w:divBdr>
    </w:div>
    <w:div w:id="1392847614">
      <w:bodyDiv w:val="1"/>
      <w:marLeft w:val="0"/>
      <w:marRight w:val="0"/>
      <w:marTop w:val="0"/>
      <w:marBottom w:val="0"/>
      <w:divBdr>
        <w:top w:val="none" w:sz="0" w:space="0" w:color="auto"/>
        <w:left w:val="none" w:sz="0" w:space="0" w:color="auto"/>
        <w:bottom w:val="none" w:sz="0" w:space="0" w:color="auto"/>
        <w:right w:val="none" w:sz="0" w:space="0" w:color="auto"/>
      </w:divBdr>
    </w:div>
    <w:div w:id="212718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4094</Words>
  <Characters>26834</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Anastacia Madsen</dc:creator>
  <cp:keywords/>
  <dc:description>2025010403 _x000d_
pkt. 4.4, 4.5, 4.8</dc:description>
  <cp:lastModifiedBy>Lea Daugaard Kristiansen</cp:lastModifiedBy>
  <cp:revision>4</cp:revision>
  <cp:lastPrinted>2012-08-22T08:53:00Z</cp:lastPrinted>
  <dcterms:created xsi:type="dcterms:W3CDTF">2025-03-24T10:13:00Z</dcterms:created>
  <dcterms:modified xsi:type="dcterms:W3CDTF">2025-04-01T12:46:00Z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