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14137" w14:textId="77777777" w:rsidR="009260DE" w:rsidRPr="000F6AF2" w:rsidRDefault="0021526C" w:rsidP="009260DE">
      <w:pPr>
        <w:rPr>
          <w:sz w:val="24"/>
          <w:szCs w:val="24"/>
        </w:rPr>
      </w:pPr>
      <w:bookmarkStart w:id="0" w:name="_GoBack"/>
      <w:bookmarkEnd w:id="0"/>
      <w:r w:rsidRPr="000F6AF2">
        <w:rPr>
          <w:noProof/>
          <w:sz w:val="24"/>
          <w:szCs w:val="24"/>
          <w:lang w:eastAsia="da-DK"/>
        </w:rPr>
        <w:drawing>
          <wp:anchor distT="0" distB="0" distL="114300" distR="114300" simplePos="0" relativeHeight="251658240" behindDoc="0" locked="0" layoutInCell="1" allowOverlap="1" wp14:anchorId="50474F7C" wp14:editId="5AC123A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0F6AF2">
        <w:rPr>
          <w:sz w:val="24"/>
          <w:szCs w:val="24"/>
        </w:rPr>
        <w:br w:type="textWrapping" w:clear="all"/>
      </w:r>
    </w:p>
    <w:p w14:paraId="6E7D2E7A" w14:textId="4D239D95" w:rsidR="009260DE" w:rsidRPr="000F6AF2" w:rsidRDefault="009260DE" w:rsidP="009260DE">
      <w:pPr>
        <w:pStyle w:val="Titel"/>
        <w:tabs>
          <w:tab w:val="right" w:pos="9356"/>
        </w:tabs>
        <w:jc w:val="left"/>
        <w:rPr>
          <w:b w:val="0"/>
          <w:szCs w:val="24"/>
          <w:lang w:eastAsia="en-US"/>
        </w:rPr>
      </w:pPr>
      <w:r w:rsidRPr="000F6AF2">
        <w:rPr>
          <w:b w:val="0"/>
          <w:szCs w:val="24"/>
          <w:lang w:eastAsia="en-US"/>
        </w:rPr>
        <w:tab/>
      </w:r>
      <w:r w:rsidR="001A57C3">
        <w:rPr>
          <w:szCs w:val="24"/>
        </w:rPr>
        <w:t>9. maj 2023</w:t>
      </w:r>
    </w:p>
    <w:p w14:paraId="536CE858" w14:textId="149E64F1" w:rsidR="009260DE" w:rsidRPr="000F6AF2" w:rsidRDefault="009260DE" w:rsidP="009260DE">
      <w:pPr>
        <w:pStyle w:val="Titel"/>
        <w:tabs>
          <w:tab w:val="left" w:pos="8222"/>
        </w:tabs>
        <w:jc w:val="left"/>
        <w:rPr>
          <w:b w:val="0"/>
          <w:szCs w:val="24"/>
        </w:rPr>
      </w:pPr>
    </w:p>
    <w:p w14:paraId="141A52B6" w14:textId="239F0D50" w:rsidR="009260DE" w:rsidRPr="000F6AF2" w:rsidRDefault="009260DE" w:rsidP="009260DE">
      <w:pPr>
        <w:pStyle w:val="Titel"/>
        <w:jc w:val="left"/>
        <w:rPr>
          <w:b w:val="0"/>
          <w:szCs w:val="24"/>
        </w:rPr>
      </w:pPr>
    </w:p>
    <w:p w14:paraId="50E3C252" w14:textId="77777777" w:rsidR="009260DE" w:rsidRPr="000F6AF2" w:rsidRDefault="009260DE" w:rsidP="009260DE">
      <w:pPr>
        <w:pStyle w:val="Titel"/>
        <w:jc w:val="left"/>
        <w:rPr>
          <w:b w:val="0"/>
          <w:szCs w:val="24"/>
        </w:rPr>
      </w:pPr>
    </w:p>
    <w:p w14:paraId="4CA29217" w14:textId="77777777" w:rsidR="009260DE" w:rsidRPr="000F6AF2" w:rsidRDefault="009260DE" w:rsidP="009260DE">
      <w:pPr>
        <w:jc w:val="center"/>
        <w:rPr>
          <w:b/>
          <w:sz w:val="24"/>
          <w:szCs w:val="24"/>
        </w:rPr>
      </w:pPr>
      <w:r w:rsidRPr="000F6AF2">
        <w:rPr>
          <w:b/>
          <w:sz w:val="24"/>
          <w:szCs w:val="24"/>
        </w:rPr>
        <w:t>PRODUKTRESUMÉ</w:t>
      </w:r>
    </w:p>
    <w:p w14:paraId="13CB4F14" w14:textId="77777777" w:rsidR="009260DE" w:rsidRPr="000F6AF2" w:rsidRDefault="009260DE" w:rsidP="009260DE">
      <w:pPr>
        <w:jc w:val="center"/>
        <w:rPr>
          <w:b/>
          <w:sz w:val="24"/>
          <w:szCs w:val="24"/>
        </w:rPr>
      </w:pPr>
    </w:p>
    <w:p w14:paraId="79A57A1E" w14:textId="77777777" w:rsidR="009260DE" w:rsidRPr="000F6AF2" w:rsidRDefault="009260DE" w:rsidP="009260DE">
      <w:pPr>
        <w:jc w:val="center"/>
        <w:rPr>
          <w:b/>
          <w:sz w:val="24"/>
          <w:szCs w:val="24"/>
        </w:rPr>
      </w:pPr>
      <w:r w:rsidRPr="000F6AF2">
        <w:rPr>
          <w:b/>
          <w:sz w:val="24"/>
          <w:szCs w:val="24"/>
        </w:rPr>
        <w:t>for</w:t>
      </w:r>
    </w:p>
    <w:p w14:paraId="5C4AD884" w14:textId="77777777" w:rsidR="000B058C" w:rsidRPr="000F6AF2" w:rsidRDefault="000B058C" w:rsidP="009260DE">
      <w:pPr>
        <w:jc w:val="center"/>
        <w:rPr>
          <w:b/>
          <w:sz w:val="24"/>
          <w:szCs w:val="24"/>
        </w:rPr>
      </w:pPr>
    </w:p>
    <w:p w14:paraId="3E613777" w14:textId="1D4C3435" w:rsidR="009260DE" w:rsidRPr="000F6AF2" w:rsidRDefault="00442377" w:rsidP="009260DE">
      <w:pPr>
        <w:jc w:val="center"/>
        <w:rPr>
          <w:b/>
          <w:sz w:val="24"/>
          <w:szCs w:val="24"/>
        </w:rPr>
      </w:pPr>
      <w:proofErr w:type="spellStart"/>
      <w:r w:rsidRPr="000F6AF2">
        <w:rPr>
          <w:b/>
          <w:sz w:val="24"/>
          <w:szCs w:val="24"/>
        </w:rPr>
        <w:t>Alluzience</w:t>
      </w:r>
      <w:proofErr w:type="spellEnd"/>
      <w:r w:rsidRPr="000F6AF2">
        <w:rPr>
          <w:b/>
          <w:sz w:val="24"/>
          <w:szCs w:val="24"/>
        </w:rPr>
        <w:t>, injektionsvæske, opløsning</w:t>
      </w:r>
    </w:p>
    <w:p w14:paraId="32999F35" w14:textId="77777777" w:rsidR="009260DE" w:rsidRPr="000F6AF2" w:rsidRDefault="009260DE" w:rsidP="009260DE">
      <w:pPr>
        <w:jc w:val="both"/>
        <w:rPr>
          <w:sz w:val="24"/>
          <w:szCs w:val="24"/>
        </w:rPr>
      </w:pPr>
    </w:p>
    <w:p w14:paraId="4A7D78F6" w14:textId="77777777" w:rsidR="009260DE" w:rsidRPr="000F6AF2" w:rsidRDefault="009260DE" w:rsidP="009260DE">
      <w:pPr>
        <w:jc w:val="both"/>
        <w:rPr>
          <w:sz w:val="24"/>
          <w:szCs w:val="24"/>
        </w:rPr>
      </w:pPr>
    </w:p>
    <w:p w14:paraId="4A9664DC" w14:textId="77777777" w:rsidR="009260DE" w:rsidRPr="000F6AF2" w:rsidRDefault="009260DE" w:rsidP="009260DE">
      <w:pPr>
        <w:tabs>
          <w:tab w:val="left" w:pos="851"/>
        </w:tabs>
        <w:ind w:left="851" w:hanging="851"/>
        <w:rPr>
          <w:b/>
          <w:sz w:val="24"/>
          <w:szCs w:val="24"/>
        </w:rPr>
      </w:pPr>
      <w:r w:rsidRPr="000F6AF2">
        <w:rPr>
          <w:b/>
          <w:sz w:val="24"/>
          <w:szCs w:val="24"/>
        </w:rPr>
        <w:t>0.</w:t>
      </w:r>
      <w:r w:rsidRPr="000F6AF2">
        <w:rPr>
          <w:b/>
          <w:sz w:val="24"/>
          <w:szCs w:val="24"/>
        </w:rPr>
        <w:tab/>
        <w:t>D.SP.NR.</w:t>
      </w:r>
    </w:p>
    <w:p w14:paraId="06A8308E" w14:textId="50A96A3C" w:rsidR="009260DE" w:rsidRPr="000F6AF2" w:rsidRDefault="00442377" w:rsidP="009260DE">
      <w:pPr>
        <w:tabs>
          <w:tab w:val="left" w:pos="851"/>
        </w:tabs>
        <w:ind w:left="851"/>
        <w:rPr>
          <w:sz w:val="24"/>
          <w:szCs w:val="24"/>
        </w:rPr>
      </w:pPr>
      <w:r w:rsidRPr="000F6AF2">
        <w:rPr>
          <w:sz w:val="24"/>
          <w:szCs w:val="24"/>
        </w:rPr>
        <w:t>31859</w:t>
      </w:r>
    </w:p>
    <w:p w14:paraId="7D5B68E3" w14:textId="77777777" w:rsidR="009260DE" w:rsidRPr="000F6AF2" w:rsidRDefault="009260DE" w:rsidP="009260DE">
      <w:pPr>
        <w:tabs>
          <w:tab w:val="left" w:pos="851"/>
        </w:tabs>
        <w:ind w:left="851"/>
        <w:rPr>
          <w:sz w:val="24"/>
          <w:szCs w:val="24"/>
        </w:rPr>
      </w:pPr>
    </w:p>
    <w:p w14:paraId="36D3BA3C" w14:textId="77777777" w:rsidR="009260DE" w:rsidRPr="000F6AF2" w:rsidRDefault="009260DE" w:rsidP="009260DE">
      <w:pPr>
        <w:tabs>
          <w:tab w:val="left" w:pos="851"/>
        </w:tabs>
        <w:ind w:left="851" w:hanging="851"/>
        <w:rPr>
          <w:b/>
          <w:sz w:val="24"/>
          <w:szCs w:val="24"/>
        </w:rPr>
      </w:pPr>
      <w:r w:rsidRPr="000F6AF2">
        <w:rPr>
          <w:b/>
          <w:sz w:val="24"/>
          <w:szCs w:val="24"/>
        </w:rPr>
        <w:t>1.</w:t>
      </w:r>
      <w:r w:rsidRPr="000F6AF2">
        <w:rPr>
          <w:b/>
          <w:sz w:val="24"/>
          <w:szCs w:val="24"/>
        </w:rPr>
        <w:tab/>
        <w:t>LÆGEMIDLETS NAVN</w:t>
      </w:r>
    </w:p>
    <w:p w14:paraId="739C6DAE" w14:textId="5E0F1B5A" w:rsidR="009260DE" w:rsidRPr="000F6AF2" w:rsidRDefault="00442377" w:rsidP="009260DE">
      <w:pPr>
        <w:tabs>
          <w:tab w:val="left" w:pos="851"/>
        </w:tabs>
        <w:ind w:left="851"/>
        <w:rPr>
          <w:sz w:val="24"/>
          <w:szCs w:val="24"/>
        </w:rPr>
      </w:pPr>
      <w:proofErr w:type="spellStart"/>
      <w:r w:rsidRPr="000F6AF2">
        <w:rPr>
          <w:sz w:val="24"/>
          <w:szCs w:val="24"/>
        </w:rPr>
        <w:t>Alluzience</w:t>
      </w:r>
      <w:proofErr w:type="spellEnd"/>
    </w:p>
    <w:p w14:paraId="53289CE7" w14:textId="77777777" w:rsidR="009260DE" w:rsidRPr="000F6AF2" w:rsidRDefault="009260DE" w:rsidP="009260DE">
      <w:pPr>
        <w:tabs>
          <w:tab w:val="left" w:pos="851"/>
        </w:tabs>
        <w:ind w:left="851"/>
        <w:rPr>
          <w:sz w:val="24"/>
          <w:szCs w:val="24"/>
        </w:rPr>
      </w:pPr>
    </w:p>
    <w:p w14:paraId="58182AF3" w14:textId="77777777" w:rsidR="009260DE" w:rsidRPr="000F6AF2" w:rsidRDefault="009260DE" w:rsidP="009260DE">
      <w:pPr>
        <w:tabs>
          <w:tab w:val="left" w:pos="851"/>
        </w:tabs>
        <w:ind w:left="851" w:hanging="851"/>
        <w:rPr>
          <w:b/>
          <w:sz w:val="24"/>
          <w:szCs w:val="24"/>
        </w:rPr>
      </w:pPr>
      <w:r w:rsidRPr="000F6AF2">
        <w:rPr>
          <w:b/>
          <w:sz w:val="24"/>
          <w:szCs w:val="24"/>
        </w:rPr>
        <w:t>2.</w:t>
      </w:r>
      <w:r w:rsidRPr="000F6AF2">
        <w:rPr>
          <w:b/>
          <w:sz w:val="24"/>
          <w:szCs w:val="24"/>
        </w:rPr>
        <w:tab/>
        <w:t>KVALITATIV OG KVANTITATIV SAMMENSÆTNING</w:t>
      </w:r>
    </w:p>
    <w:p w14:paraId="4CB078E3" w14:textId="77777777" w:rsidR="00FA7566" w:rsidRPr="000F6AF2" w:rsidRDefault="00FA7566" w:rsidP="00770F1E">
      <w:pPr>
        <w:ind w:left="851"/>
        <w:rPr>
          <w:sz w:val="24"/>
          <w:szCs w:val="24"/>
          <w:lang w:eastAsia="da-DK"/>
        </w:rPr>
      </w:pPr>
      <w:proofErr w:type="spellStart"/>
      <w:r w:rsidRPr="000F6AF2">
        <w:rPr>
          <w:i/>
          <w:iCs/>
          <w:sz w:val="24"/>
          <w:szCs w:val="24"/>
        </w:rPr>
        <w:t>Clostridium</w:t>
      </w:r>
      <w:proofErr w:type="spellEnd"/>
      <w:r w:rsidRPr="000F6AF2">
        <w:rPr>
          <w:i/>
          <w:iCs/>
          <w:sz w:val="24"/>
          <w:szCs w:val="24"/>
        </w:rPr>
        <w:t xml:space="preserve"> </w:t>
      </w:r>
      <w:proofErr w:type="spellStart"/>
      <w:r w:rsidRPr="000F6AF2">
        <w:rPr>
          <w:i/>
          <w:iCs/>
          <w:sz w:val="24"/>
          <w:szCs w:val="24"/>
        </w:rPr>
        <w:t>botulinum</w:t>
      </w:r>
      <w:proofErr w:type="spellEnd"/>
      <w:r w:rsidRPr="000F6AF2">
        <w:rPr>
          <w:i/>
          <w:iCs/>
          <w:sz w:val="24"/>
          <w:szCs w:val="24"/>
        </w:rPr>
        <w:t xml:space="preserve"> </w:t>
      </w:r>
      <w:proofErr w:type="spellStart"/>
      <w:r w:rsidRPr="000F6AF2">
        <w:rPr>
          <w:iCs/>
          <w:sz w:val="24"/>
          <w:szCs w:val="24"/>
        </w:rPr>
        <w:t>toxin</w:t>
      </w:r>
      <w:proofErr w:type="spellEnd"/>
      <w:r w:rsidRPr="000F6AF2">
        <w:rPr>
          <w:sz w:val="24"/>
          <w:szCs w:val="24"/>
        </w:rPr>
        <w:t xml:space="preserve"> type A </w:t>
      </w:r>
      <w:bookmarkStart w:id="1" w:name="_Hlk56373117"/>
      <w:proofErr w:type="spellStart"/>
      <w:r w:rsidRPr="000F6AF2">
        <w:rPr>
          <w:sz w:val="24"/>
          <w:szCs w:val="24"/>
        </w:rPr>
        <w:t>hæmagglutinin</w:t>
      </w:r>
      <w:bookmarkEnd w:id="1"/>
      <w:proofErr w:type="spellEnd"/>
      <w:r w:rsidRPr="000F6AF2">
        <w:rPr>
          <w:sz w:val="24"/>
          <w:szCs w:val="24"/>
        </w:rPr>
        <w:t xml:space="preserve">-kompleks </w:t>
      </w:r>
      <w:bookmarkStart w:id="2" w:name="_Hlk57138193"/>
      <w:r w:rsidRPr="000F6AF2">
        <w:rPr>
          <w:sz w:val="24"/>
          <w:szCs w:val="24"/>
        </w:rPr>
        <w:t>200 </w:t>
      </w:r>
      <w:proofErr w:type="spellStart"/>
      <w:r w:rsidRPr="000F6AF2">
        <w:rPr>
          <w:sz w:val="24"/>
          <w:szCs w:val="24"/>
        </w:rPr>
        <w:t>Speywood</w:t>
      </w:r>
      <w:proofErr w:type="spellEnd"/>
      <w:r w:rsidRPr="000F6AF2">
        <w:rPr>
          <w:sz w:val="24"/>
          <w:szCs w:val="24"/>
        </w:rPr>
        <w:t>-enheder/ml</w:t>
      </w:r>
      <w:bookmarkEnd w:id="2"/>
      <w:r w:rsidRPr="000F6AF2">
        <w:rPr>
          <w:sz w:val="24"/>
          <w:szCs w:val="24"/>
        </w:rPr>
        <w:t>.</w:t>
      </w:r>
    </w:p>
    <w:p w14:paraId="291A6D2A" w14:textId="77777777" w:rsidR="00FA7566" w:rsidRPr="000F6AF2" w:rsidRDefault="00FA7566" w:rsidP="00770F1E">
      <w:pPr>
        <w:ind w:left="851"/>
        <w:rPr>
          <w:sz w:val="24"/>
          <w:szCs w:val="24"/>
        </w:rPr>
      </w:pPr>
    </w:p>
    <w:p w14:paraId="75DAAFC8" w14:textId="77777777" w:rsidR="00FA7566" w:rsidRPr="000F6AF2" w:rsidRDefault="00FA7566" w:rsidP="00770F1E">
      <w:pPr>
        <w:ind w:left="851"/>
        <w:rPr>
          <w:sz w:val="24"/>
          <w:szCs w:val="24"/>
        </w:rPr>
      </w:pPr>
      <w:proofErr w:type="spellStart"/>
      <w:r w:rsidRPr="000F6AF2">
        <w:rPr>
          <w:sz w:val="24"/>
          <w:szCs w:val="24"/>
        </w:rPr>
        <w:t>Botulinumtoksin</w:t>
      </w:r>
      <w:proofErr w:type="spellEnd"/>
      <w:r w:rsidRPr="000F6AF2">
        <w:rPr>
          <w:sz w:val="24"/>
          <w:szCs w:val="24"/>
        </w:rPr>
        <w:t xml:space="preserve">-enheder kan ikke erstattes med enheder fra andre lægemidler med </w:t>
      </w:r>
      <w:proofErr w:type="spellStart"/>
      <w:r w:rsidRPr="000F6AF2">
        <w:rPr>
          <w:sz w:val="24"/>
          <w:szCs w:val="24"/>
        </w:rPr>
        <w:t>botulinumtoksin</w:t>
      </w:r>
      <w:proofErr w:type="spellEnd"/>
      <w:r w:rsidRPr="000F6AF2">
        <w:rPr>
          <w:sz w:val="24"/>
          <w:szCs w:val="24"/>
        </w:rPr>
        <w:t xml:space="preserve">. Doser, der anbefales i </w:t>
      </w:r>
      <w:proofErr w:type="spellStart"/>
      <w:r w:rsidRPr="000F6AF2">
        <w:rPr>
          <w:sz w:val="24"/>
          <w:szCs w:val="24"/>
        </w:rPr>
        <w:t>Speywood</w:t>
      </w:r>
      <w:proofErr w:type="spellEnd"/>
      <w:r w:rsidRPr="000F6AF2">
        <w:rPr>
          <w:sz w:val="24"/>
          <w:szCs w:val="24"/>
        </w:rPr>
        <w:t xml:space="preserve">-enheder, er forskellig i forhold til andre lægemiddelformer indeholdende </w:t>
      </w:r>
      <w:proofErr w:type="spellStart"/>
      <w:r w:rsidRPr="000F6AF2">
        <w:rPr>
          <w:sz w:val="24"/>
          <w:szCs w:val="24"/>
        </w:rPr>
        <w:t>botulinumtoksin</w:t>
      </w:r>
      <w:proofErr w:type="spellEnd"/>
      <w:r w:rsidRPr="000F6AF2">
        <w:rPr>
          <w:sz w:val="24"/>
          <w:szCs w:val="24"/>
        </w:rPr>
        <w:t xml:space="preserve">. </w:t>
      </w:r>
    </w:p>
    <w:p w14:paraId="61968F74" w14:textId="77777777" w:rsidR="00FA7566" w:rsidRPr="000F6AF2" w:rsidRDefault="00FA7566" w:rsidP="00770F1E">
      <w:pPr>
        <w:ind w:left="851"/>
        <w:rPr>
          <w:sz w:val="24"/>
          <w:szCs w:val="24"/>
        </w:rPr>
      </w:pPr>
    </w:p>
    <w:p w14:paraId="680A4275" w14:textId="77777777" w:rsidR="00FA7566" w:rsidRPr="000F6AF2" w:rsidRDefault="00FA7566" w:rsidP="00770F1E">
      <w:pPr>
        <w:ind w:left="851"/>
        <w:rPr>
          <w:sz w:val="24"/>
          <w:szCs w:val="24"/>
        </w:rPr>
      </w:pPr>
      <w:bookmarkStart w:id="3" w:name="_Hlk57138158"/>
      <w:r w:rsidRPr="000F6AF2">
        <w:rPr>
          <w:sz w:val="24"/>
          <w:szCs w:val="24"/>
        </w:rPr>
        <w:t>Hvert hætteglas indeholder 125 </w:t>
      </w:r>
      <w:proofErr w:type="spellStart"/>
      <w:r w:rsidRPr="000F6AF2">
        <w:rPr>
          <w:sz w:val="24"/>
          <w:szCs w:val="24"/>
        </w:rPr>
        <w:t>Speywood</w:t>
      </w:r>
      <w:proofErr w:type="spellEnd"/>
      <w:r w:rsidRPr="000F6AF2">
        <w:rPr>
          <w:sz w:val="24"/>
          <w:szCs w:val="24"/>
        </w:rPr>
        <w:t>-enheder i 0,625 ml opløsning.</w:t>
      </w:r>
    </w:p>
    <w:bookmarkEnd w:id="3"/>
    <w:p w14:paraId="6CA4833A" w14:textId="77777777" w:rsidR="00FA7566" w:rsidRPr="000F6AF2" w:rsidRDefault="00FA7566" w:rsidP="00770F1E">
      <w:pPr>
        <w:ind w:left="851"/>
        <w:rPr>
          <w:sz w:val="24"/>
          <w:szCs w:val="24"/>
        </w:rPr>
      </w:pPr>
    </w:p>
    <w:p w14:paraId="7E4B4A84" w14:textId="77777777" w:rsidR="00FA7566" w:rsidRPr="000F6AF2" w:rsidRDefault="00FA7566" w:rsidP="00770F1E">
      <w:pPr>
        <w:ind w:left="851"/>
        <w:rPr>
          <w:sz w:val="24"/>
          <w:szCs w:val="24"/>
        </w:rPr>
      </w:pPr>
      <w:r w:rsidRPr="000F6AF2">
        <w:rPr>
          <w:sz w:val="24"/>
          <w:szCs w:val="24"/>
        </w:rPr>
        <w:t>Alle hjælpestoffer er anført under pkt. 6.1.</w:t>
      </w:r>
    </w:p>
    <w:p w14:paraId="25548FB3" w14:textId="77777777" w:rsidR="009260DE" w:rsidRPr="000F6AF2" w:rsidRDefault="009260DE" w:rsidP="009260DE">
      <w:pPr>
        <w:tabs>
          <w:tab w:val="left" w:pos="851"/>
        </w:tabs>
        <w:ind w:left="851"/>
        <w:rPr>
          <w:sz w:val="24"/>
          <w:szCs w:val="24"/>
        </w:rPr>
      </w:pPr>
    </w:p>
    <w:p w14:paraId="381991DB" w14:textId="77777777" w:rsidR="009260DE" w:rsidRPr="000F6AF2" w:rsidRDefault="009260DE" w:rsidP="009260DE">
      <w:pPr>
        <w:tabs>
          <w:tab w:val="left" w:pos="851"/>
        </w:tabs>
        <w:ind w:left="851" w:hanging="851"/>
        <w:rPr>
          <w:b/>
          <w:sz w:val="24"/>
          <w:szCs w:val="24"/>
        </w:rPr>
      </w:pPr>
      <w:r w:rsidRPr="000F6AF2">
        <w:rPr>
          <w:b/>
          <w:sz w:val="24"/>
          <w:szCs w:val="24"/>
        </w:rPr>
        <w:t>3.</w:t>
      </w:r>
      <w:r w:rsidRPr="000F6AF2">
        <w:rPr>
          <w:b/>
          <w:sz w:val="24"/>
          <w:szCs w:val="24"/>
        </w:rPr>
        <w:tab/>
        <w:t>LÆGEMIDDELFORM</w:t>
      </w:r>
    </w:p>
    <w:p w14:paraId="784B571C" w14:textId="1E1FDE06" w:rsidR="00FA7566" w:rsidRDefault="00FA7566" w:rsidP="00770F1E">
      <w:pPr>
        <w:ind w:left="851"/>
        <w:rPr>
          <w:sz w:val="24"/>
          <w:szCs w:val="24"/>
        </w:rPr>
      </w:pPr>
      <w:r w:rsidRPr="000F6AF2">
        <w:rPr>
          <w:sz w:val="24"/>
          <w:szCs w:val="24"/>
        </w:rPr>
        <w:t>Injektionsvæske, opløsning</w:t>
      </w:r>
    </w:p>
    <w:p w14:paraId="7D59C222" w14:textId="77777777" w:rsidR="00FA7566" w:rsidRPr="000F6AF2" w:rsidRDefault="00FA7566" w:rsidP="00770F1E">
      <w:pPr>
        <w:ind w:left="851"/>
        <w:rPr>
          <w:sz w:val="24"/>
          <w:szCs w:val="24"/>
        </w:rPr>
      </w:pPr>
      <w:r w:rsidRPr="000F6AF2">
        <w:rPr>
          <w:sz w:val="24"/>
          <w:szCs w:val="24"/>
        </w:rPr>
        <w:t>Klar, farveløs opløsning.</w:t>
      </w:r>
    </w:p>
    <w:p w14:paraId="5C2C9EA0" w14:textId="77777777" w:rsidR="009260DE" w:rsidRPr="000F6AF2" w:rsidRDefault="009260DE" w:rsidP="009260DE">
      <w:pPr>
        <w:tabs>
          <w:tab w:val="left" w:pos="851"/>
        </w:tabs>
        <w:ind w:left="851"/>
        <w:rPr>
          <w:sz w:val="24"/>
          <w:szCs w:val="24"/>
        </w:rPr>
      </w:pPr>
    </w:p>
    <w:p w14:paraId="36CE3505" w14:textId="77777777" w:rsidR="009260DE" w:rsidRPr="000F6AF2" w:rsidRDefault="009260DE" w:rsidP="009260DE">
      <w:pPr>
        <w:tabs>
          <w:tab w:val="left" w:pos="851"/>
        </w:tabs>
        <w:ind w:left="851"/>
        <w:rPr>
          <w:sz w:val="24"/>
          <w:szCs w:val="24"/>
        </w:rPr>
      </w:pPr>
    </w:p>
    <w:p w14:paraId="1FD4D2F1" w14:textId="77777777" w:rsidR="009260DE" w:rsidRPr="000F6AF2" w:rsidRDefault="009260DE" w:rsidP="009260DE">
      <w:pPr>
        <w:tabs>
          <w:tab w:val="left" w:pos="851"/>
        </w:tabs>
        <w:ind w:left="851" w:hanging="851"/>
        <w:rPr>
          <w:b/>
          <w:sz w:val="24"/>
          <w:szCs w:val="24"/>
        </w:rPr>
      </w:pPr>
      <w:r w:rsidRPr="000F6AF2">
        <w:rPr>
          <w:b/>
          <w:sz w:val="24"/>
          <w:szCs w:val="24"/>
        </w:rPr>
        <w:t>4.</w:t>
      </w:r>
      <w:r w:rsidRPr="000F6AF2">
        <w:rPr>
          <w:b/>
          <w:sz w:val="24"/>
          <w:szCs w:val="24"/>
        </w:rPr>
        <w:tab/>
        <w:t>KLINISKE OPLYSNINGER</w:t>
      </w:r>
    </w:p>
    <w:p w14:paraId="42AD1E06" w14:textId="77777777" w:rsidR="009260DE" w:rsidRPr="000F6AF2" w:rsidRDefault="009260DE" w:rsidP="009260DE">
      <w:pPr>
        <w:tabs>
          <w:tab w:val="left" w:pos="851"/>
        </w:tabs>
        <w:ind w:left="851"/>
        <w:rPr>
          <w:b/>
          <w:sz w:val="24"/>
          <w:szCs w:val="24"/>
        </w:rPr>
      </w:pPr>
    </w:p>
    <w:p w14:paraId="0665A80C" w14:textId="77777777" w:rsidR="009260DE" w:rsidRPr="000F6AF2" w:rsidRDefault="009260DE" w:rsidP="009260DE">
      <w:pPr>
        <w:tabs>
          <w:tab w:val="left" w:pos="851"/>
        </w:tabs>
        <w:ind w:left="851" w:hanging="851"/>
        <w:rPr>
          <w:b/>
          <w:sz w:val="24"/>
          <w:szCs w:val="24"/>
          <w:u w:val="single"/>
        </w:rPr>
      </w:pPr>
      <w:r w:rsidRPr="000F6AF2">
        <w:rPr>
          <w:b/>
          <w:sz w:val="24"/>
          <w:szCs w:val="24"/>
        </w:rPr>
        <w:t>4.1</w:t>
      </w:r>
      <w:r w:rsidRPr="000F6AF2">
        <w:rPr>
          <w:b/>
          <w:sz w:val="24"/>
          <w:szCs w:val="24"/>
        </w:rPr>
        <w:tab/>
        <w:t>Terapeutiske indikationer</w:t>
      </w:r>
    </w:p>
    <w:p w14:paraId="07F9D571" w14:textId="77777777" w:rsidR="00F34830" w:rsidRPr="000F6AF2" w:rsidRDefault="00F34830" w:rsidP="00770F1E">
      <w:pPr>
        <w:ind w:left="851"/>
        <w:rPr>
          <w:sz w:val="24"/>
          <w:szCs w:val="24"/>
          <w:lang w:eastAsia="da-DK"/>
        </w:rPr>
      </w:pPr>
      <w:proofErr w:type="spellStart"/>
      <w:r w:rsidRPr="000F6AF2">
        <w:rPr>
          <w:sz w:val="24"/>
          <w:szCs w:val="24"/>
        </w:rPr>
        <w:t>Alluzience</w:t>
      </w:r>
      <w:proofErr w:type="spellEnd"/>
      <w:r w:rsidRPr="000F6AF2">
        <w:rPr>
          <w:sz w:val="24"/>
          <w:szCs w:val="24"/>
        </w:rPr>
        <w:t xml:space="preserve"> er indiceret til midlertidig forbedring af moderate til svære </w:t>
      </w:r>
      <w:proofErr w:type="spellStart"/>
      <w:r w:rsidRPr="000F6AF2">
        <w:rPr>
          <w:sz w:val="24"/>
          <w:szCs w:val="24"/>
        </w:rPr>
        <w:t>glabella</w:t>
      </w:r>
      <w:proofErr w:type="spellEnd"/>
      <w:r w:rsidRPr="000F6AF2">
        <w:rPr>
          <w:sz w:val="24"/>
          <w:szCs w:val="24"/>
        </w:rPr>
        <w:t>-linjer (lodrette rynker mellem øjenbrynene), der ses ved kraftig panderynken, hos voksne under 65 år, når sådanne rynker har en væsentlig psykologisk indvirkning på patienten.</w:t>
      </w:r>
    </w:p>
    <w:p w14:paraId="7F5DC2D8" w14:textId="77777777" w:rsidR="009260DE" w:rsidRPr="000F6AF2" w:rsidRDefault="009260DE" w:rsidP="009260DE">
      <w:pPr>
        <w:tabs>
          <w:tab w:val="left" w:pos="851"/>
        </w:tabs>
        <w:ind w:left="851"/>
        <w:rPr>
          <w:sz w:val="24"/>
          <w:szCs w:val="24"/>
        </w:rPr>
      </w:pPr>
    </w:p>
    <w:p w14:paraId="4B08D72C" w14:textId="280665B1" w:rsidR="009260DE" w:rsidRPr="000F6AF2" w:rsidRDefault="009260DE" w:rsidP="009260DE">
      <w:pPr>
        <w:tabs>
          <w:tab w:val="left" w:pos="851"/>
        </w:tabs>
        <w:ind w:left="851" w:hanging="851"/>
        <w:rPr>
          <w:b/>
          <w:sz w:val="24"/>
          <w:szCs w:val="24"/>
        </w:rPr>
      </w:pPr>
      <w:r w:rsidRPr="000F6AF2">
        <w:rPr>
          <w:b/>
          <w:sz w:val="24"/>
          <w:szCs w:val="24"/>
        </w:rPr>
        <w:t>4.2</w:t>
      </w:r>
      <w:r w:rsidRPr="000F6AF2">
        <w:rPr>
          <w:b/>
          <w:sz w:val="24"/>
          <w:szCs w:val="24"/>
        </w:rPr>
        <w:tab/>
        <w:t xml:space="preserve">Dosering og </w:t>
      </w:r>
      <w:r w:rsidR="008D13DE">
        <w:rPr>
          <w:b/>
          <w:sz w:val="24"/>
          <w:szCs w:val="24"/>
        </w:rPr>
        <w:t>administration</w:t>
      </w:r>
    </w:p>
    <w:p w14:paraId="3A3ACF03" w14:textId="77777777" w:rsidR="000F6AF2" w:rsidRDefault="000F6AF2" w:rsidP="00770F1E">
      <w:pPr>
        <w:ind w:left="851"/>
        <w:rPr>
          <w:sz w:val="24"/>
          <w:szCs w:val="24"/>
          <w:u w:val="single"/>
        </w:rPr>
      </w:pPr>
    </w:p>
    <w:p w14:paraId="421D2F8D" w14:textId="02C427E3" w:rsidR="00F34830" w:rsidRPr="000F6AF2" w:rsidRDefault="00F34830" w:rsidP="00770F1E">
      <w:pPr>
        <w:ind w:left="851"/>
        <w:rPr>
          <w:sz w:val="24"/>
          <w:szCs w:val="24"/>
          <w:u w:val="single"/>
        </w:rPr>
      </w:pPr>
      <w:r w:rsidRPr="000F6AF2">
        <w:rPr>
          <w:sz w:val="24"/>
          <w:szCs w:val="24"/>
          <w:u w:val="single"/>
        </w:rPr>
        <w:t>Dosering</w:t>
      </w:r>
    </w:p>
    <w:p w14:paraId="74B5FBB4" w14:textId="6E260B55" w:rsidR="00F34830" w:rsidRPr="000F6AF2" w:rsidRDefault="00F34830" w:rsidP="00770F1E">
      <w:pPr>
        <w:ind w:left="851"/>
        <w:rPr>
          <w:sz w:val="24"/>
          <w:szCs w:val="24"/>
        </w:rPr>
      </w:pPr>
      <w:bookmarkStart w:id="4" w:name="_Hlk86136267"/>
      <w:proofErr w:type="spellStart"/>
      <w:r w:rsidRPr="000F6AF2">
        <w:rPr>
          <w:iCs/>
          <w:sz w:val="24"/>
          <w:szCs w:val="24"/>
        </w:rPr>
        <w:t>Botulinumtoksin</w:t>
      </w:r>
      <w:proofErr w:type="spellEnd"/>
      <w:r w:rsidRPr="000F6AF2">
        <w:rPr>
          <w:iCs/>
          <w:sz w:val="24"/>
          <w:szCs w:val="24"/>
        </w:rPr>
        <w:t>-enhederne er forskellige afhængigt af lægemidlet.</w:t>
      </w:r>
      <w:r w:rsidRPr="000F6AF2">
        <w:rPr>
          <w:sz w:val="24"/>
          <w:szCs w:val="24"/>
        </w:rPr>
        <w:t xml:space="preserve"> </w:t>
      </w:r>
      <w:proofErr w:type="spellStart"/>
      <w:r w:rsidRPr="000F6AF2">
        <w:rPr>
          <w:sz w:val="24"/>
          <w:szCs w:val="24"/>
        </w:rPr>
        <w:t>Speywood</w:t>
      </w:r>
      <w:proofErr w:type="spellEnd"/>
      <w:r w:rsidRPr="000F6AF2">
        <w:rPr>
          <w:sz w:val="24"/>
          <w:szCs w:val="24"/>
        </w:rPr>
        <w:t xml:space="preserve">-enhederne i </w:t>
      </w:r>
      <w:bookmarkStart w:id="5" w:name="_Hlk56369002"/>
      <w:proofErr w:type="spellStart"/>
      <w:r w:rsidRPr="000F6AF2">
        <w:rPr>
          <w:sz w:val="24"/>
          <w:szCs w:val="24"/>
        </w:rPr>
        <w:t>Alluzience</w:t>
      </w:r>
      <w:bookmarkEnd w:id="5"/>
      <w:proofErr w:type="spellEnd"/>
      <w:r w:rsidRPr="000F6AF2">
        <w:rPr>
          <w:sz w:val="24"/>
          <w:szCs w:val="24"/>
        </w:rPr>
        <w:t xml:space="preserve"> gælder specielt til dette præparat og kan ikke erstattes med enheder fra andre lægemidler med </w:t>
      </w:r>
      <w:proofErr w:type="spellStart"/>
      <w:r w:rsidRPr="000F6AF2">
        <w:rPr>
          <w:sz w:val="24"/>
          <w:szCs w:val="24"/>
        </w:rPr>
        <w:t>botulinumtoksin</w:t>
      </w:r>
      <w:proofErr w:type="spellEnd"/>
      <w:r w:rsidRPr="000F6AF2">
        <w:rPr>
          <w:sz w:val="24"/>
          <w:szCs w:val="24"/>
        </w:rPr>
        <w:t>.</w:t>
      </w:r>
      <w:bookmarkEnd w:id="4"/>
    </w:p>
    <w:p w14:paraId="04860D2C" w14:textId="77777777" w:rsidR="00F34830" w:rsidRPr="000F6AF2" w:rsidRDefault="00F34830" w:rsidP="00770F1E">
      <w:pPr>
        <w:ind w:left="851"/>
        <w:rPr>
          <w:sz w:val="24"/>
          <w:szCs w:val="24"/>
        </w:rPr>
      </w:pPr>
    </w:p>
    <w:p w14:paraId="25B4104D" w14:textId="448D9E56" w:rsidR="00F34830" w:rsidRPr="000F6AF2" w:rsidRDefault="00F34830" w:rsidP="00770F1E">
      <w:pPr>
        <w:ind w:left="851"/>
        <w:rPr>
          <w:i/>
          <w:sz w:val="24"/>
          <w:szCs w:val="24"/>
        </w:rPr>
      </w:pPr>
      <w:r w:rsidRPr="000F6AF2">
        <w:rPr>
          <w:i/>
          <w:sz w:val="24"/>
          <w:szCs w:val="24"/>
        </w:rPr>
        <w:t>Pædiatrisk population</w:t>
      </w:r>
    </w:p>
    <w:p w14:paraId="07E2201C" w14:textId="080016CC" w:rsidR="00F34830" w:rsidRPr="000F6AF2" w:rsidRDefault="00F34830" w:rsidP="00770F1E">
      <w:pPr>
        <w:ind w:left="851"/>
        <w:rPr>
          <w:sz w:val="24"/>
          <w:szCs w:val="24"/>
        </w:rPr>
      </w:pPr>
      <w:proofErr w:type="spellStart"/>
      <w:r w:rsidRPr="000F6AF2">
        <w:rPr>
          <w:sz w:val="24"/>
          <w:szCs w:val="24"/>
        </w:rPr>
        <w:t>Alluzience</w:t>
      </w:r>
      <w:proofErr w:type="spellEnd"/>
      <w:r w:rsidRPr="000F6AF2">
        <w:rPr>
          <w:sz w:val="24"/>
          <w:szCs w:val="24"/>
        </w:rPr>
        <w:t xml:space="preserve"> sikkerhed og virkning hos børn under 18 år er ikke fastlagt. Brug af </w:t>
      </w:r>
      <w:proofErr w:type="spellStart"/>
      <w:r w:rsidRPr="000F6AF2">
        <w:rPr>
          <w:sz w:val="24"/>
          <w:szCs w:val="24"/>
        </w:rPr>
        <w:t>Alluzience</w:t>
      </w:r>
      <w:proofErr w:type="spellEnd"/>
      <w:r w:rsidRPr="000F6AF2">
        <w:rPr>
          <w:sz w:val="24"/>
          <w:szCs w:val="24"/>
        </w:rPr>
        <w:t xml:space="preserve"> frarådes hos patienter under 18 år.</w:t>
      </w:r>
    </w:p>
    <w:p w14:paraId="08F68640" w14:textId="77777777" w:rsidR="00F34830" w:rsidRPr="000F6AF2" w:rsidRDefault="00F34830" w:rsidP="00770F1E">
      <w:pPr>
        <w:ind w:left="851"/>
        <w:rPr>
          <w:iCs/>
          <w:sz w:val="24"/>
          <w:szCs w:val="24"/>
        </w:rPr>
      </w:pPr>
    </w:p>
    <w:p w14:paraId="748901F0" w14:textId="06774384" w:rsidR="00F34830" w:rsidRPr="000F6AF2" w:rsidRDefault="00F34830" w:rsidP="00770F1E">
      <w:pPr>
        <w:ind w:left="851"/>
        <w:rPr>
          <w:sz w:val="24"/>
          <w:szCs w:val="24"/>
          <w:u w:val="single"/>
        </w:rPr>
      </w:pPr>
      <w:r w:rsidRPr="000F6AF2">
        <w:rPr>
          <w:sz w:val="24"/>
          <w:szCs w:val="24"/>
          <w:u w:val="single"/>
        </w:rPr>
        <w:t>Administration</w:t>
      </w:r>
    </w:p>
    <w:p w14:paraId="471C5956" w14:textId="2865C34C" w:rsidR="00F34830" w:rsidRPr="000F6AF2" w:rsidRDefault="00F34830" w:rsidP="00770F1E">
      <w:pPr>
        <w:ind w:left="851"/>
        <w:rPr>
          <w:sz w:val="24"/>
          <w:szCs w:val="24"/>
        </w:rPr>
      </w:pPr>
      <w:bookmarkStart w:id="6" w:name="_Hlk56370967"/>
      <w:proofErr w:type="spellStart"/>
      <w:r w:rsidRPr="000F6AF2">
        <w:rPr>
          <w:sz w:val="24"/>
          <w:szCs w:val="24"/>
        </w:rPr>
        <w:t>Alluzience</w:t>
      </w:r>
      <w:bookmarkEnd w:id="6"/>
      <w:proofErr w:type="spellEnd"/>
      <w:r w:rsidRPr="000F6AF2">
        <w:rPr>
          <w:sz w:val="24"/>
          <w:szCs w:val="24"/>
        </w:rPr>
        <w:t xml:space="preserve"> bør kun gives af en læge med passende kvalifikationer og erfaring i denne behandling, og som råder over det nødvendige udstyr.</w:t>
      </w:r>
    </w:p>
    <w:p w14:paraId="259C098B" w14:textId="77777777" w:rsidR="00F34830" w:rsidRPr="000F6AF2" w:rsidRDefault="00F34830" w:rsidP="00770F1E">
      <w:pPr>
        <w:ind w:left="851"/>
        <w:rPr>
          <w:sz w:val="24"/>
          <w:szCs w:val="24"/>
        </w:rPr>
      </w:pPr>
    </w:p>
    <w:p w14:paraId="6E26D00B" w14:textId="6301F1C1" w:rsidR="00F34830" w:rsidRPr="000F6AF2" w:rsidRDefault="00F34830" w:rsidP="00770F1E">
      <w:pPr>
        <w:ind w:left="851"/>
        <w:rPr>
          <w:sz w:val="24"/>
          <w:szCs w:val="24"/>
        </w:rPr>
      </w:pPr>
      <w:r w:rsidRPr="000F6AF2">
        <w:rPr>
          <w:sz w:val="24"/>
          <w:szCs w:val="24"/>
        </w:rPr>
        <w:t xml:space="preserve">Et hætteglas </w:t>
      </w:r>
      <w:proofErr w:type="spellStart"/>
      <w:r w:rsidRPr="000F6AF2">
        <w:rPr>
          <w:sz w:val="24"/>
          <w:szCs w:val="24"/>
        </w:rPr>
        <w:t>Alluzience</w:t>
      </w:r>
      <w:proofErr w:type="spellEnd"/>
      <w:r w:rsidRPr="000F6AF2">
        <w:rPr>
          <w:sz w:val="24"/>
          <w:szCs w:val="24"/>
        </w:rPr>
        <w:t xml:space="preserve"> bør kun anvendes til behandling af én patient i en enkelt behandlingssession. Fjern alt make-up og desinficér huden med et lokalt </w:t>
      </w:r>
      <w:proofErr w:type="spellStart"/>
      <w:r w:rsidRPr="000F6AF2">
        <w:rPr>
          <w:sz w:val="24"/>
          <w:szCs w:val="24"/>
        </w:rPr>
        <w:t>antiseptikum</w:t>
      </w:r>
      <w:proofErr w:type="spellEnd"/>
      <w:r w:rsidRPr="000F6AF2">
        <w:rPr>
          <w:sz w:val="24"/>
          <w:szCs w:val="24"/>
        </w:rPr>
        <w:t xml:space="preserve"> inden administration.</w:t>
      </w:r>
    </w:p>
    <w:p w14:paraId="620818D3" w14:textId="77777777" w:rsidR="00F34830" w:rsidRPr="000F6AF2" w:rsidRDefault="00F34830" w:rsidP="00770F1E">
      <w:pPr>
        <w:ind w:left="851"/>
        <w:rPr>
          <w:sz w:val="24"/>
          <w:szCs w:val="24"/>
        </w:rPr>
      </w:pPr>
    </w:p>
    <w:p w14:paraId="6BAD46F8" w14:textId="5CA46D53" w:rsidR="00F34830" w:rsidRPr="000F6AF2" w:rsidRDefault="00F34830" w:rsidP="00770F1E">
      <w:pPr>
        <w:ind w:left="851"/>
        <w:rPr>
          <w:sz w:val="24"/>
          <w:szCs w:val="24"/>
        </w:rPr>
      </w:pPr>
      <w:r w:rsidRPr="000F6AF2">
        <w:rPr>
          <w:sz w:val="24"/>
          <w:szCs w:val="24"/>
        </w:rPr>
        <w:t>Intramuskulære injektioner bør udføres ved brug af en steril nål i en passende størrelse.</w:t>
      </w:r>
    </w:p>
    <w:p w14:paraId="71887CA5" w14:textId="77777777" w:rsidR="00F34830" w:rsidRPr="000F6AF2" w:rsidRDefault="00F34830" w:rsidP="00770F1E">
      <w:pPr>
        <w:ind w:left="851"/>
        <w:rPr>
          <w:sz w:val="24"/>
          <w:szCs w:val="24"/>
        </w:rPr>
      </w:pPr>
    </w:p>
    <w:p w14:paraId="1C22BD28" w14:textId="2B02FECB" w:rsidR="00F34830" w:rsidRPr="000F6AF2" w:rsidRDefault="00F34830" w:rsidP="00770F1E">
      <w:pPr>
        <w:ind w:left="851"/>
        <w:rPr>
          <w:sz w:val="24"/>
          <w:szCs w:val="24"/>
        </w:rPr>
      </w:pPr>
      <w:r w:rsidRPr="000F6AF2">
        <w:rPr>
          <w:sz w:val="24"/>
          <w:szCs w:val="24"/>
        </w:rPr>
        <w:t>Dosering og behandlingsintervallet afhænger af en vurdering af den enkelte patients respons på behandlingen.</w:t>
      </w:r>
    </w:p>
    <w:p w14:paraId="7BBF5AB4" w14:textId="77777777" w:rsidR="00F34830" w:rsidRPr="000F6AF2" w:rsidRDefault="00F34830" w:rsidP="00770F1E">
      <w:pPr>
        <w:ind w:left="851"/>
        <w:rPr>
          <w:sz w:val="24"/>
          <w:szCs w:val="24"/>
        </w:rPr>
      </w:pPr>
    </w:p>
    <w:p w14:paraId="7707ADEA" w14:textId="2CF56BF8" w:rsidR="00F34830" w:rsidRPr="000F6AF2" w:rsidRDefault="00F34830" w:rsidP="00770F1E">
      <w:pPr>
        <w:ind w:left="851"/>
        <w:rPr>
          <w:sz w:val="24"/>
          <w:szCs w:val="24"/>
        </w:rPr>
      </w:pPr>
      <w:r w:rsidRPr="000F6AF2">
        <w:rPr>
          <w:sz w:val="24"/>
          <w:szCs w:val="24"/>
        </w:rPr>
        <w:t>Mediantiden for indtrædende virkningen, efter subjektiv rapportering fra patienter, var 3 dage (størstedelen af patienterne rapporterede om en virkning inden for 2-3 dage, nogle patienter rapporterede om en virkning inden for 24 timer). Virkningen er påvist i optil 6 måneder efter injektionen.</w:t>
      </w:r>
    </w:p>
    <w:p w14:paraId="7CA7D407" w14:textId="77777777" w:rsidR="00F34830" w:rsidRPr="000F6AF2" w:rsidRDefault="00F34830" w:rsidP="00770F1E">
      <w:pPr>
        <w:ind w:left="851"/>
        <w:rPr>
          <w:sz w:val="24"/>
          <w:szCs w:val="24"/>
        </w:rPr>
      </w:pPr>
    </w:p>
    <w:p w14:paraId="4D7E11A5" w14:textId="5E3BC1BD" w:rsidR="00F34830" w:rsidRPr="000F6AF2" w:rsidRDefault="00F34830" w:rsidP="00770F1E">
      <w:pPr>
        <w:ind w:left="851"/>
        <w:rPr>
          <w:sz w:val="24"/>
          <w:szCs w:val="24"/>
        </w:rPr>
      </w:pPr>
      <w:r w:rsidRPr="000F6AF2">
        <w:rPr>
          <w:sz w:val="24"/>
          <w:szCs w:val="24"/>
        </w:rPr>
        <w:t>Behandlingsintervallet bør ikke være hyppigere end hver 3. måned.</w:t>
      </w:r>
    </w:p>
    <w:p w14:paraId="7877BF94" w14:textId="77777777" w:rsidR="00F34830" w:rsidRPr="000F6AF2" w:rsidRDefault="00F34830" w:rsidP="00770F1E">
      <w:pPr>
        <w:ind w:left="851"/>
        <w:rPr>
          <w:sz w:val="24"/>
          <w:szCs w:val="24"/>
        </w:rPr>
      </w:pPr>
    </w:p>
    <w:p w14:paraId="24FD8C66" w14:textId="358455CA" w:rsidR="00F34830" w:rsidRPr="000F6AF2" w:rsidRDefault="00F34830" w:rsidP="00770F1E">
      <w:pPr>
        <w:ind w:left="851"/>
        <w:rPr>
          <w:sz w:val="24"/>
          <w:szCs w:val="24"/>
        </w:rPr>
      </w:pPr>
      <w:r w:rsidRPr="000F6AF2">
        <w:rPr>
          <w:sz w:val="24"/>
          <w:szCs w:val="24"/>
        </w:rPr>
        <w:t xml:space="preserve">De anbefalede injektionssteder for </w:t>
      </w:r>
      <w:proofErr w:type="spellStart"/>
      <w:r w:rsidRPr="000F6AF2">
        <w:rPr>
          <w:sz w:val="24"/>
          <w:szCs w:val="24"/>
        </w:rPr>
        <w:t>glabella</w:t>
      </w:r>
      <w:proofErr w:type="spellEnd"/>
      <w:r w:rsidRPr="000F6AF2">
        <w:rPr>
          <w:sz w:val="24"/>
          <w:szCs w:val="24"/>
        </w:rPr>
        <w:t>-linjer er beskrevet nedenfor:</w:t>
      </w:r>
    </w:p>
    <w:p w14:paraId="2DFFF3CE" w14:textId="77777777" w:rsidR="00F34830" w:rsidRPr="000F6AF2" w:rsidRDefault="00F34830" w:rsidP="00CE6546">
      <w:pPr>
        <w:ind w:left="851"/>
        <w:jc w:val="right"/>
        <w:rPr>
          <w:iCs/>
          <w:sz w:val="24"/>
          <w:szCs w:val="24"/>
        </w:rPr>
      </w:pPr>
    </w:p>
    <w:p w14:paraId="4F38FC01" w14:textId="77EF82CA" w:rsidR="00F34830" w:rsidRPr="000F6AF2" w:rsidRDefault="00F34830" w:rsidP="00CE6546">
      <w:pPr>
        <w:pBdr>
          <w:bottom w:val="single" w:sz="6" w:space="1" w:color="auto"/>
        </w:pBdr>
        <w:tabs>
          <w:tab w:val="left" w:pos="851"/>
        </w:tabs>
        <w:ind w:left="851"/>
        <w:jc w:val="right"/>
        <w:rPr>
          <w:sz w:val="24"/>
          <w:szCs w:val="24"/>
          <w:lang w:eastAsia="da-DK"/>
        </w:rPr>
      </w:pPr>
      <w:r w:rsidRPr="000F6AF2">
        <w:rPr>
          <w:noProof/>
          <w:sz w:val="24"/>
          <w:szCs w:val="24"/>
          <w:lang w:eastAsia="da-DK"/>
        </w:rPr>
        <mc:AlternateContent>
          <mc:Choice Requires="wps">
            <w:drawing>
              <wp:inline distT="0" distB="0" distL="0" distR="0" wp14:anchorId="22619D5C" wp14:editId="6C920C5A">
                <wp:extent cx="1964690" cy="462280"/>
                <wp:effectExtent l="0" t="0" r="0" b="0"/>
                <wp:docPr id="3" name="Tekstfel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462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97F54" w14:textId="77777777" w:rsidR="00F34830" w:rsidRDefault="00F34830" w:rsidP="00CE6546">
                            <w:pPr>
                              <w:rPr>
                                <w:sz w:val="22"/>
                                <w:szCs w:val="22"/>
                              </w:rPr>
                            </w:pPr>
                            <w:r>
                              <w:rPr>
                                <w:sz w:val="22"/>
                                <w:szCs w:val="22"/>
                                <w:lang w:val="en-US"/>
                              </w:rPr>
                              <w:t>1.</w:t>
                            </w:r>
                            <w:r>
                              <w:rPr>
                                <w:i/>
                                <w:sz w:val="22"/>
                                <w:szCs w:val="22"/>
                              </w:rPr>
                              <w:t xml:space="preserve"> corrugator</w:t>
                            </w:r>
                            <w:r>
                              <w:rPr>
                                <w:sz w:val="22"/>
                                <w:szCs w:val="22"/>
                              </w:rPr>
                              <w:t>-muskler</w:t>
                            </w:r>
                          </w:p>
                          <w:p w14:paraId="483685B8" w14:textId="77777777" w:rsidR="00F34830" w:rsidRDefault="00F34830" w:rsidP="00CE6546">
                            <w:pPr>
                              <w:rPr>
                                <w:sz w:val="22"/>
                                <w:szCs w:val="22"/>
                                <w:lang w:val="en-US" w:eastAsia="da-DK"/>
                              </w:rPr>
                            </w:pPr>
                            <w:r>
                              <w:rPr>
                                <w:sz w:val="22"/>
                                <w:szCs w:val="22"/>
                              </w:rPr>
                              <w:t xml:space="preserve">2. </w:t>
                            </w:r>
                            <w:r>
                              <w:rPr>
                                <w:i/>
                                <w:sz w:val="22"/>
                                <w:szCs w:val="22"/>
                              </w:rPr>
                              <w:t>procerus</w:t>
                            </w:r>
                            <w:r>
                              <w:rPr>
                                <w:sz w:val="22"/>
                                <w:szCs w:val="22"/>
                              </w:rPr>
                              <w:t>-musklen</w:t>
                            </w:r>
                          </w:p>
                          <w:p w14:paraId="6EB4B344" w14:textId="77777777" w:rsidR="00F34830" w:rsidRDefault="00F34830" w:rsidP="00CE6546">
                            <w:pPr>
                              <w:rPr>
                                <w:sz w:val="22"/>
                                <w:szCs w:val="22"/>
                                <w:lang w:val="en-US"/>
                              </w:rPr>
                            </w:pPr>
                          </w:p>
                        </w:txbxContent>
                      </wps:txbx>
                      <wps:bodyPr rot="0" vert="horz" wrap="square" lIns="91440" tIns="45720" rIns="91440" bIns="45720" anchor="t" anchorCtr="0" upright="1">
                        <a:noAutofit/>
                      </wps:bodyPr>
                    </wps:wsp>
                  </a:graphicData>
                </a:graphic>
              </wp:inline>
            </w:drawing>
          </mc:Choice>
          <mc:Fallback>
            <w:pict>
              <v:shapetype w14:anchorId="22619D5C" id="_x0000_t202" coordsize="21600,21600" o:spt="202" path="m,l,21600r21600,l21600,xe">
                <v:stroke joinstyle="miter"/>
                <v:path gradientshapeok="t" o:connecttype="rect"/>
              </v:shapetype>
              <v:shape id="Tekstfelt 3" o:spid="_x0000_s1026" type="#_x0000_t202" style="width:154.7pt;height:3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" stroked="f">
                <v:textbox>
                  <w:txbxContent>
                    <w:p w14:paraId="17197F54" w14:textId="77777777" w:rsidR="00F34830" w:rsidRDefault="00F34830" w:rsidP="00CE6546">
                      <w:pPr>
                        <w:rPr>
                          <w:sz w:val="22"/>
                          <w:szCs w:val="22"/>
                        </w:rPr>
                      </w:pPr>
                      <w:r>
                        <w:rPr>
                          <w:sz w:val="22"/>
                          <w:szCs w:val="22"/>
                          <w:lang w:val="en-US"/>
                        </w:rPr>
                        <w:t>1.</w:t>
                      </w:r>
                      <w:r>
                        <w:rPr>
                          <w:i/>
                          <w:sz w:val="22"/>
                          <w:szCs w:val="22"/>
                        </w:rPr>
                        <w:t xml:space="preserve"> corrugator</w:t>
                      </w:r>
                      <w:r>
                        <w:rPr>
                          <w:sz w:val="22"/>
                          <w:szCs w:val="22"/>
                        </w:rPr>
                        <w:t>-muskler</w:t>
                      </w:r>
                    </w:p>
                    <w:p w14:paraId="483685B8" w14:textId="77777777" w:rsidR="00F34830" w:rsidRDefault="00F34830" w:rsidP="00CE6546">
                      <w:pPr>
                        <w:rPr>
                          <w:sz w:val="22"/>
                          <w:szCs w:val="22"/>
                          <w:lang w:val="en-US" w:eastAsia="da-DK"/>
                        </w:rPr>
                      </w:pPr>
                      <w:r>
                        <w:rPr>
                          <w:sz w:val="22"/>
                          <w:szCs w:val="22"/>
                        </w:rPr>
                        <w:t xml:space="preserve">2. </w:t>
                      </w:r>
                      <w:r>
                        <w:rPr>
                          <w:i/>
                          <w:sz w:val="22"/>
                          <w:szCs w:val="22"/>
                        </w:rPr>
                        <w:t>procerus</w:t>
                      </w:r>
                      <w:r>
                        <w:rPr>
                          <w:sz w:val="22"/>
                          <w:szCs w:val="22"/>
                        </w:rPr>
                        <w:t>-musklen</w:t>
                      </w:r>
                    </w:p>
                    <w:p w14:paraId="6EB4B344" w14:textId="77777777" w:rsidR="00F34830" w:rsidRDefault="00F34830" w:rsidP="00CE6546">
                      <w:pPr>
                        <w:rPr>
                          <w:sz w:val="22"/>
                          <w:szCs w:val="22"/>
                          <w:lang w:val="en-US"/>
                        </w:rPr>
                      </w:pPr>
                    </w:p>
                  </w:txbxContent>
                </v:textbox>
                <w10:anchorlock/>
              </v:shape>
            </w:pict>
          </mc:Fallback>
        </mc:AlternateContent>
      </w:r>
      <w:r w:rsidRPr="000F6AF2">
        <w:rPr>
          <w:noProof/>
          <w:sz w:val="24"/>
          <w:szCs w:val="24"/>
        </w:rPr>
        <w:drawing>
          <wp:inline distT="0" distB="0" distL="0" distR="0" wp14:anchorId="15DE957C" wp14:editId="61A8A917">
            <wp:extent cx="5764530" cy="3635375"/>
            <wp:effectExtent l="0" t="0" r="7620" b="317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4530" cy="3635375"/>
                    </a:xfrm>
                    <a:prstGeom prst="rect">
                      <a:avLst/>
                    </a:prstGeom>
                    <a:noFill/>
                    <a:ln>
                      <a:noFill/>
                    </a:ln>
                  </pic:spPr>
                </pic:pic>
              </a:graphicData>
            </a:graphic>
          </wp:inline>
        </w:drawing>
      </w:r>
    </w:p>
    <w:p w14:paraId="582887DB" w14:textId="77777777" w:rsidR="00F34830" w:rsidRPr="000F6AF2" w:rsidRDefault="00F34830" w:rsidP="00F34830">
      <w:pPr>
        <w:tabs>
          <w:tab w:val="left" w:pos="851"/>
        </w:tabs>
        <w:ind w:left="851"/>
        <w:rPr>
          <w:sz w:val="24"/>
          <w:szCs w:val="24"/>
        </w:rPr>
      </w:pPr>
    </w:p>
    <w:p w14:paraId="25F0C011" w14:textId="77777777" w:rsidR="00F34830" w:rsidRPr="000F6AF2" w:rsidRDefault="00F34830" w:rsidP="00276932">
      <w:pPr>
        <w:ind w:left="851"/>
        <w:rPr>
          <w:bCs/>
          <w:sz w:val="24"/>
          <w:szCs w:val="24"/>
          <w:u w:val="single"/>
        </w:rPr>
      </w:pPr>
      <w:r w:rsidRPr="000F6AF2">
        <w:rPr>
          <w:bCs/>
          <w:sz w:val="24"/>
          <w:szCs w:val="24"/>
          <w:u w:val="single"/>
        </w:rPr>
        <w:lastRenderedPageBreak/>
        <w:t>Vejledning vedrørende administration</w:t>
      </w:r>
    </w:p>
    <w:p w14:paraId="2005080C" w14:textId="77777777" w:rsidR="00F34830" w:rsidRPr="000F6AF2" w:rsidRDefault="00F34830" w:rsidP="00276932">
      <w:pPr>
        <w:tabs>
          <w:tab w:val="left" w:pos="851"/>
        </w:tabs>
        <w:ind w:left="851"/>
        <w:rPr>
          <w:sz w:val="24"/>
          <w:szCs w:val="24"/>
        </w:rPr>
      </w:pPr>
      <w:r w:rsidRPr="000F6AF2">
        <w:rPr>
          <w:sz w:val="24"/>
          <w:szCs w:val="24"/>
        </w:rPr>
        <w:t>Den anbefalede dosis er 0,25 ml opløsning (50 </w:t>
      </w:r>
      <w:proofErr w:type="spellStart"/>
      <w:r w:rsidRPr="000F6AF2">
        <w:rPr>
          <w:sz w:val="24"/>
          <w:szCs w:val="24"/>
        </w:rPr>
        <w:t>Speywood</w:t>
      </w:r>
      <w:proofErr w:type="spellEnd"/>
      <w:r w:rsidRPr="000F6AF2">
        <w:rPr>
          <w:sz w:val="24"/>
          <w:szCs w:val="24"/>
        </w:rPr>
        <w:t>-enheder), der skal deles mellem 5 injektionssteder dvs. 0,05 ml opløsning (10 </w:t>
      </w:r>
      <w:proofErr w:type="spellStart"/>
      <w:r w:rsidRPr="000F6AF2">
        <w:rPr>
          <w:sz w:val="24"/>
          <w:szCs w:val="24"/>
        </w:rPr>
        <w:t>Speywood</w:t>
      </w:r>
      <w:proofErr w:type="spellEnd"/>
      <w:r w:rsidRPr="000F6AF2">
        <w:rPr>
          <w:sz w:val="24"/>
          <w:szCs w:val="24"/>
        </w:rPr>
        <w:t xml:space="preserve">-enheder) administreres intramuskulært i hvert af de 5 injektionspunkter: 2 injektioner i hver </w:t>
      </w:r>
      <w:proofErr w:type="spellStart"/>
      <w:r w:rsidRPr="000F6AF2">
        <w:rPr>
          <w:i/>
          <w:sz w:val="24"/>
          <w:szCs w:val="24"/>
        </w:rPr>
        <w:t>corrugator</w:t>
      </w:r>
      <w:proofErr w:type="spellEnd"/>
      <w:r w:rsidRPr="000F6AF2">
        <w:rPr>
          <w:sz w:val="24"/>
          <w:szCs w:val="24"/>
        </w:rPr>
        <w:t xml:space="preserve">-muskel og én injektion i </w:t>
      </w:r>
      <w:proofErr w:type="spellStart"/>
      <w:r w:rsidRPr="000F6AF2">
        <w:rPr>
          <w:i/>
          <w:sz w:val="24"/>
          <w:szCs w:val="24"/>
        </w:rPr>
        <w:t>procerus</w:t>
      </w:r>
      <w:proofErr w:type="spellEnd"/>
      <w:r w:rsidRPr="000F6AF2">
        <w:rPr>
          <w:sz w:val="24"/>
          <w:szCs w:val="24"/>
        </w:rPr>
        <w:t xml:space="preserve">-musklen, tæt ved den </w:t>
      </w:r>
      <w:proofErr w:type="spellStart"/>
      <w:r w:rsidRPr="000F6AF2">
        <w:rPr>
          <w:sz w:val="24"/>
          <w:szCs w:val="24"/>
        </w:rPr>
        <w:t>nasofrontale</w:t>
      </w:r>
      <w:proofErr w:type="spellEnd"/>
      <w:r w:rsidRPr="000F6AF2">
        <w:rPr>
          <w:sz w:val="24"/>
          <w:szCs w:val="24"/>
        </w:rPr>
        <w:t xml:space="preserve"> vinkel. De anatomiske pejlemærker kan identificeres lettere, hvis de observeres og palperes ved maksimal panderynken. Inden injektionen presses tommel- eller pegefinger hårdt mod området under kanten af øjenhulen for at undgå </w:t>
      </w:r>
      <w:proofErr w:type="spellStart"/>
      <w:r w:rsidRPr="000F6AF2">
        <w:rPr>
          <w:sz w:val="24"/>
          <w:szCs w:val="24"/>
        </w:rPr>
        <w:t>ekstravasation</w:t>
      </w:r>
      <w:proofErr w:type="spellEnd"/>
      <w:r w:rsidRPr="000F6AF2">
        <w:rPr>
          <w:sz w:val="24"/>
          <w:szCs w:val="24"/>
        </w:rPr>
        <w:t xml:space="preserve"> under kanten. Nålen skal rettes opad og </w:t>
      </w:r>
      <w:proofErr w:type="spellStart"/>
      <w:r w:rsidRPr="000F6AF2">
        <w:rPr>
          <w:sz w:val="24"/>
          <w:szCs w:val="24"/>
        </w:rPr>
        <w:t>medialt</w:t>
      </w:r>
      <w:proofErr w:type="spellEnd"/>
      <w:r w:rsidRPr="000F6AF2">
        <w:rPr>
          <w:sz w:val="24"/>
          <w:szCs w:val="24"/>
        </w:rPr>
        <w:t xml:space="preserve"> under injektionen. For at undgå risikoen for </w:t>
      </w:r>
      <w:proofErr w:type="spellStart"/>
      <w:r w:rsidRPr="000F6AF2">
        <w:rPr>
          <w:sz w:val="24"/>
          <w:szCs w:val="24"/>
        </w:rPr>
        <w:t>ptose</w:t>
      </w:r>
      <w:proofErr w:type="spellEnd"/>
      <w:r w:rsidRPr="000F6AF2">
        <w:rPr>
          <w:sz w:val="24"/>
          <w:szCs w:val="24"/>
        </w:rPr>
        <w:t xml:space="preserve"> skal man undgå at injicere i nærheden af </w:t>
      </w:r>
      <w:proofErr w:type="spellStart"/>
      <w:r w:rsidRPr="000F6AF2">
        <w:rPr>
          <w:i/>
          <w:iCs/>
          <w:sz w:val="24"/>
          <w:szCs w:val="24"/>
        </w:rPr>
        <w:t>musculus</w:t>
      </w:r>
      <w:proofErr w:type="spellEnd"/>
      <w:r w:rsidRPr="000F6AF2">
        <w:rPr>
          <w:i/>
          <w:iCs/>
          <w:sz w:val="24"/>
          <w:szCs w:val="24"/>
        </w:rPr>
        <w:t xml:space="preserve"> </w:t>
      </w:r>
      <w:proofErr w:type="spellStart"/>
      <w:r w:rsidRPr="000F6AF2">
        <w:rPr>
          <w:i/>
          <w:sz w:val="24"/>
          <w:szCs w:val="24"/>
        </w:rPr>
        <w:t>levator</w:t>
      </w:r>
      <w:proofErr w:type="spellEnd"/>
      <w:r w:rsidRPr="000F6AF2">
        <w:rPr>
          <w:i/>
          <w:sz w:val="24"/>
          <w:szCs w:val="24"/>
        </w:rPr>
        <w:t xml:space="preserve"> </w:t>
      </w:r>
      <w:proofErr w:type="spellStart"/>
      <w:r w:rsidRPr="000F6AF2">
        <w:rPr>
          <w:i/>
          <w:sz w:val="24"/>
          <w:szCs w:val="24"/>
        </w:rPr>
        <w:t>palpebrae</w:t>
      </w:r>
      <w:proofErr w:type="spellEnd"/>
      <w:r w:rsidRPr="000F6AF2">
        <w:rPr>
          <w:i/>
          <w:sz w:val="24"/>
          <w:szCs w:val="24"/>
        </w:rPr>
        <w:t xml:space="preserve"> </w:t>
      </w:r>
      <w:proofErr w:type="spellStart"/>
      <w:r w:rsidRPr="000F6AF2">
        <w:rPr>
          <w:i/>
          <w:sz w:val="24"/>
          <w:szCs w:val="24"/>
        </w:rPr>
        <w:t>superioris</w:t>
      </w:r>
      <w:proofErr w:type="spellEnd"/>
      <w:r w:rsidRPr="000F6AF2">
        <w:rPr>
          <w:i/>
          <w:sz w:val="24"/>
          <w:szCs w:val="24"/>
        </w:rPr>
        <w:t xml:space="preserve">. </w:t>
      </w:r>
      <w:r w:rsidRPr="000F6AF2">
        <w:rPr>
          <w:iCs/>
          <w:sz w:val="24"/>
          <w:szCs w:val="24"/>
        </w:rPr>
        <w:t xml:space="preserve">Dette gælder især hos patienter med </w:t>
      </w:r>
      <w:r w:rsidRPr="000F6AF2">
        <w:rPr>
          <w:sz w:val="24"/>
          <w:szCs w:val="24"/>
        </w:rPr>
        <w:t xml:space="preserve">større </w:t>
      </w:r>
      <w:proofErr w:type="spellStart"/>
      <w:r w:rsidRPr="000F6AF2">
        <w:rPr>
          <w:sz w:val="24"/>
          <w:szCs w:val="24"/>
        </w:rPr>
        <w:t>depressor</w:t>
      </w:r>
      <w:proofErr w:type="spellEnd"/>
      <w:r w:rsidRPr="000F6AF2">
        <w:rPr>
          <w:sz w:val="24"/>
          <w:szCs w:val="24"/>
        </w:rPr>
        <w:t>-komplekser ved øjenbrynene (</w:t>
      </w:r>
      <w:proofErr w:type="spellStart"/>
      <w:r w:rsidRPr="000F6AF2">
        <w:rPr>
          <w:i/>
          <w:iCs/>
          <w:sz w:val="24"/>
          <w:szCs w:val="24"/>
        </w:rPr>
        <w:t>depressor</w:t>
      </w:r>
      <w:proofErr w:type="spellEnd"/>
      <w:r w:rsidRPr="000F6AF2">
        <w:rPr>
          <w:i/>
          <w:iCs/>
          <w:sz w:val="24"/>
          <w:szCs w:val="24"/>
        </w:rPr>
        <w:t xml:space="preserve"> </w:t>
      </w:r>
      <w:proofErr w:type="spellStart"/>
      <w:r w:rsidRPr="000F6AF2">
        <w:rPr>
          <w:i/>
          <w:iCs/>
          <w:sz w:val="24"/>
          <w:szCs w:val="24"/>
        </w:rPr>
        <w:t>supercilii</w:t>
      </w:r>
      <w:proofErr w:type="spellEnd"/>
      <w:r w:rsidRPr="000F6AF2">
        <w:rPr>
          <w:sz w:val="24"/>
          <w:szCs w:val="24"/>
        </w:rPr>
        <w:t>). Injektioner skal gives i den centrale del af</w:t>
      </w:r>
      <w:r w:rsidRPr="000F6AF2">
        <w:rPr>
          <w:i/>
          <w:iCs/>
          <w:sz w:val="24"/>
          <w:szCs w:val="24"/>
        </w:rPr>
        <w:t xml:space="preserve"> </w:t>
      </w:r>
      <w:proofErr w:type="spellStart"/>
      <w:r w:rsidRPr="000F6AF2">
        <w:rPr>
          <w:i/>
          <w:iCs/>
          <w:sz w:val="24"/>
          <w:szCs w:val="24"/>
        </w:rPr>
        <w:t>corrugator</w:t>
      </w:r>
      <w:proofErr w:type="spellEnd"/>
      <w:r w:rsidRPr="000F6AF2">
        <w:rPr>
          <w:sz w:val="24"/>
          <w:szCs w:val="24"/>
        </w:rPr>
        <w:t>-musklen og mindst 1 cm over kanten af øjenhulen.</w:t>
      </w:r>
    </w:p>
    <w:p w14:paraId="7C126CDA" w14:textId="77777777" w:rsidR="00F34830" w:rsidRPr="000F6AF2" w:rsidRDefault="00F34830" w:rsidP="00276932">
      <w:pPr>
        <w:tabs>
          <w:tab w:val="left" w:pos="851"/>
        </w:tabs>
        <w:ind w:left="851"/>
        <w:rPr>
          <w:sz w:val="24"/>
          <w:szCs w:val="24"/>
        </w:rPr>
      </w:pPr>
    </w:p>
    <w:p w14:paraId="69E6E5BF" w14:textId="633C64D6" w:rsidR="00F34830" w:rsidRPr="000F6AF2" w:rsidRDefault="00F34830" w:rsidP="00276932">
      <w:pPr>
        <w:tabs>
          <w:tab w:val="left" w:pos="851"/>
        </w:tabs>
        <w:ind w:left="851"/>
        <w:rPr>
          <w:sz w:val="24"/>
          <w:szCs w:val="24"/>
          <w:u w:val="single"/>
        </w:rPr>
      </w:pPr>
      <w:r w:rsidRPr="000F6AF2">
        <w:rPr>
          <w:sz w:val="24"/>
          <w:szCs w:val="24"/>
          <w:u w:val="single"/>
        </w:rPr>
        <w:t>Generel information</w:t>
      </w:r>
    </w:p>
    <w:p w14:paraId="5A08C8A5" w14:textId="1EF55B4F" w:rsidR="00F34830" w:rsidRPr="000F6AF2" w:rsidRDefault="00F34830" w:rsidP="00276932">
      <w:pPr>
        <w:tabs>
          <w:tab w:val="left" w:pos="851"/>
        </w:tabs>
        <w:ind w:left="851"/>
        <w:rPr>
          <w:sz w:val="24"/>
          <w:szCs w:val="24"/>
        </w:rPr>
      </w:pPr>
      <w:r w:rsidRPr="000F6AF2">
        <w:rPr>
          <w:sz w:val="24"/>
          <w:szCs w:val="24"/>
        </w:rPr>
        <w:t xml:space="preserve">I tilfælde af behandlingen mislykkes, eller der kun er opnået mindre effekt efter gentagne injektioner, skal der anvendes andre behandlingsmetoder. Hvis behandlingen mislykkes efter første behandlingsforløb, kan følgende overvejes: </w:t>
      </w:r>
    </w:p>
    <w:p w14:paraId="1E06503D" w14:textId="77777777" w:rsidR="00F34830" w:rsidRPr="000F6AF2" w:rsidRDefault="00F34830" w:rsidP="00276932">
      <w:pPr>
        <w:numPr>
          <w:ilvl w:val="0"/>
          <w:numId w:val="6"/>
        </w:numPr>
        <w:tabs>
          <w:tab w:val="clear" w:pos="1247"/>
        </w:tabs>
        <w:ind w:left="1276" w:hanging="425"/>
        <w:rPr>
          <w:sz w:val="24"/>
          <w:szCs w:val="24"/>
        </w:rPr>
      </w:pPr>
      <w:r w:rsidRPr="000F6AF2">
        <w:rPr>
          <w:sz w:val="24"/>
          <w:szCs w:val="24"/>
        </w:rPr>
        <w:t>Analyse af årsagerne til det mislykkede resultat f.eks. injektion i de forkerte muskler, uhensigtsmæssig injektionsteknik og dannelse af toksinneutraliserende antistoffer</w:t>
      </w:r>
    </w:p>
    <w:p w14:paraId="7340F605" w14:textId="77777777" w:rsidR="00F34830" w:rsidRPr="000F6AF2" w:rsidRDefault="00F34830" w:rsidP="00276932">
      <w:pPr>
        <w:numPr>
          <w:ilvl w:val="0"/>
          <w:numId w:val="6"/>
        </w:numPr>
        <w:tabs>
          <w:tab w:val="clear" w:pos="1247"/>
        </w:tabs>
        <w:ind w:left="1276" w:hanging="425"/>
        <w:rPr>
          <w:sz w:val="24"/>
          <w:szCs w:val="24"/>
        </w:rPr>
      </w:pPr>
      <w:r w:rsidRPr="000F6AF2">
        <w:rPr>
          <w:sz w:val="24"/>
          <w:szCs w:val="24"/>
        </w:rPr>
        <w:t xml:space="preserve">Reevaluering af hvorvidt behandling med </w:t>
      </w:r>
      <w:proofErr w:type="spellStart"/>
      <w:r w:rsidRPr="000F6AF2">
        <w:rPr>
          <w:sz w:val="24"/>
          <w:szCs w:val="24"/>
        </w:rPr>
        <w:t>botulinumtoksin</w:t>
      </w:r>
      <w:proofErr w:type="spellEnd"/>
      <w:r w:rsidRPr="000F6AF2">
        <w:rPr>
          <w:sz w:val="24"/>
          <w:szCs w:val="24"/>
        </w:rPr>
        <w:t xml:space="preserve"> A er relevant.</w:t>
      </w:r>
    </w:p>
    <w:p w14:paraId="2E9441FB" w14:textId="77777777" w:rsidR="009260DE" w:rsidRPr="000F6AF2" w:rsidRDefault="009260DE" w:rsidP="009260DE">
      <w:pPr>
        <w:tabs>
          <w:tab w:val="left" w:pos="851"/>
        </w:tabs>
        <w:ind w:left="851"/>
        <w:rPr>
          <w:sz w:val="24"/>
          <w:szCs w:val="24"/>
        </w:rPr>
      </w:pPr>
    </w:p>
    <w:p w14:paraId="08B3FCCC" w14:textId="77777777" w:rsidR="009260DE" w:rsidRPr="000F6AF2" w:rsidRDefault="009260DE" w:rsidP="009260DE">
      <w:pPr>
        <w:tabs>
          <w:tab w:val="left" w:pos="851"/>
        </w:tabs>
        <w:ind w:left="851" w:hanging="851"/>
        <w:rPr>
          <w:b/>
          <w:sz w:val="24"/>
          <w:szCs w:val="24"/>
        </w:rPr>
      </w:pPr>
      <w:r w:rsidRPr="000F6AF2">
        <w:rPr>
          <w:b/>
          <w:sz w:val="24"/>
          <w:szCs w:val="24"/>
        </w:rPr>
        <w:t>4.3</w:t>
      </w:r>
      <w:r w:rsidRPr="000F6AF2">
        <w:rPr>
          <w:b/>
          <w:sz w:val="24"/>
          <w:szCs w:val="24"/>
        </w:rPr>
        <w:tab/>
        <w:t>Kontraindikationer</w:t>
      </w:r>
    </w:p>
    <w:p w14:paraId="12685F4F" w14:textId="77777777" w:rsidR="00F34830" w:rsidRPr="000F6AF2" w:rsidRDefault="00F34830" w:rsidP="00276932">
      <w:pPr>
        <w:ind w:left="851"/>
        <w:rPr>
          <w:sz w:val="24"/>
          <w:szCs w:val="24"/>
        </w:rPr>
      </w:pPr>
      <w:r w:rsidRPr="000F6AF2">
        <w:rPr>
          <w:sz w:val="24"/>
          <w:szCs w:val="24"/>
        </w:rPr>
        <w:t>Overfølsomhed over for det aktive stof eller over for et eller flere af hjælpestofferne anført i pkt. 6.1.</w:t>
      </w:r>
    </w:p>
    <w:p w14:paraId="491D1DCF" w14:textId="77777777" w:rsidR="00F34830" w:rsidRPr="000F6AF2" w:rsidRDefault="00F34830" w:rsidP="00276932">
      <w:pPr>
        <w:ind w:left="851"/>
        <w:rPr>
          <w:sz w:val="24"/>
          <w:szCs w:val="24"/>
        </w:rPr>
      </w:pPr>
      <w:r w:rsidRPr="000F6AF2">
        <w:rPr>
          <w:sz w:val="24"/>
          <w:szCs w:val="24"/>
        </w:rPr>
        <w:t>I tilfælde af infektion ved de foreslåede injektionssteder.</w:t>
      </w:r>
    </w:p>
    <w:p w14:paraId="7D0D6C4E" w14:textId="77777777" w:rsidR="00F34830" w:rsidRPr="000F6AF2" w:rsidRDefault="00F34830" w:rsidP="00276932">
      <w:pPr>
        <w:ind w:left="851"/>
        <w:rPr>
          <w:sz w:val="24"/>
          <w:szCs w:val="24"/>
        </w:rPr>
      </w:pPr>
      <w:r w:rsidRPr="000F6AF2">
        <w:rPr>
          <w:iCs/>
          <w:sz w:val="24"/>
          <w:szCs w:val="24"/>
        </w:rPr>
        <w:t xml:space="preserve">I tilfælde af </w:t>
      </w:r>
      <w:proofErr w:type="spellStart"/>
      <w:r w:rsidRPr="000F6AF2">
        <w:rPr>
          <w:iCs/>
          <w:sz w:val="24"/>
          <w:szCs w:val="24"/>
        </w:rPr>
        <w:t>myasthenia</w:t>
      </w:r>
      <w:proofErr w:type="spellEnd"/>
      <w:r w:rsidRPr="000F6AF2">
        <w:rPr>
          <w:iCs/>
          <w:sz w:val="24"/>
          <w:szCs w:val="24"/>
        </w:rPr>
        <w:t xml:space="preserve"> </w:t>
      </w:r>
      <w:proofErr w:type="spellStart"/>
      <w:r w:rsidRPr="000F6AF2">
        <w:rPr>
          <w:iCs/>
          <w:sz w:val="24"/>
          <w:szCs w:val="24"/>
        </w:rPr>
        <w:t>gravis</w:t>
      </w:r>
      <w:proofErr w:type="spellEnd"/>
      <w:r w:rsidRPr="000F6AF2">
        <w:rPr>
          <w:iCs/>
          <w:sz w:val="24"/>
          <w:szCs w:val="24"/>
        </w:rPr>
        <w:t xml:space="preserve">, Eaton Lambert syndrom eller </w:t>
      </w:r>
      <w:proofErr w:type="spellStart"/>
      <w:r w:rsidRPr="000F6AF2">
        <w:rPr>
          <w:iCs/>
          <w:sz w:val="24"/>
          <w:szCs w:val="24"/>
        </w:rPr>
        <w:t>amyotrofisk</w:t>
      </w:r>
      <w:proofErr w:type="spellEnd"/>
      <w:r w:rsidRPr="000F6AF2">
        <w:rPr>
          <w:iCs/>
          <w:sz w:val="24"/>
          <w:szCs w:val="24"/>
        </w:rPr>
        <w:t xml:space="preserve"> lateral sklerose.</w:t>
      </w:r>
    </w:p>
    <w:p w14:paraId="2336797B" w14:textId="77777777" w:rsidR="009260DE" w:rsidRPr="000F6AF2" w:rsidRDefault="009260DE" w:rsidP="009260DE">
      <w:pPr>
        <w:tabs>
          <w:tab w:val="left" w:pos="851"/>
        </w:tabs>
        <w:ind w:left="851"/>
        <w:rPr>
          <w:sz w:val="24"/>
          <w:szCs w:val="24"/>
        </w:rPr>
      </w:pPr>
    </w:p>
    <w:p w14:paraId="7BDF30EE" w14:textId="77777777" w:rsidR="009260DE" w:rsidRPr="000F6AF2" w:rsidRDefault="009260DE" w:rsidP="009260DE">
      <w:pPr>
        <w:tabs>
          <w:tab w:val="left" w:pos="851"/>
        </w:tabs>
        <w:ind w:left="851" w:hanging="851"/>
        <w:rPr>
          <w:b/>
          <w:sz w:val="24"/>
          <w:szCs w:val="24"/>
        </w:rPr>
      </w:pPr>
      <w:r w:rsidRPr="000F6AF2">
        <w:rPr>
          <w:b/>
          <w:sz w:val="24"/>
          <w:szCs w:val="24"/>
        </w:rPr>
        <w:t>4.4</w:t>
      </w:r>
      <w:r w:rsidRPr="000F6AF2">
        <w:rPr>
          <w:b/>
          <w:sz w:val="24"/>
          <w:szCs w:val="24"/>
        </w:rPr>
        <w:tab/>
        <w:t>Særlige advarsler og forsigtighedsregler vedrørende brugen</w:t>
      </w:r>
    </w:p>
    <w:p w14:paraId="55C5EA19" w14:textId="77777777" w:rsidR="00F34830" w:rsidRPr="000F6AF2" w:rsidRDefault="00F34830" w:rsidP="00276932">
      <w:pPr>
        <w:ind w:left="851"/>
        <w:rPr>
          <w:sz w:val="24"/>
          <w:szCs w:val="24"/>
        </w:rPr>
      </w:pPr>
      <w:r w:rsidRPr="000F6AF2">
        <w:rPr>
          <w:sz w:val="24"/>
          <w:szCs w:val="24"/>
        </w:rPr>
        <w:t xml:space="preserve">Der bør udvises omhu for at sikre, at </w:t>
      </w:r>
      <w:proofErr w:type="spellStart"/>
      <w:r w:rsidRPr="000F6AF2">
        <w:rPr>
          <w:sz w:val="24"/>
          <w:szCs w:val="24"/>
        </w:rPr>
        <w:t>Alluzience</w:t>
      </w:r>
      <w:proofErr w:type="spellEnd"/>
      <w:r w:rsidRPr="000F6AF2">
        <w:rPr>
          <w:sz w:val="24"/>
          <w:szCs w:val="24"/>
        </w:rPr>
        <w:t xml:space="preserve"> ikke injiceres i et blodkar.</w:t>
      </w:r>
    </w:p>
    <w:p w14:paraId="24B2A291" w14:textId="77777777" w:rsidR="00F34830" w:rsidRPr="000F6AF2" w:rsidRDefault="00F34830" w:rsidP="00276932">
      <w:pPr>
        <w:ind w:left="851"/>
        <w:rPr>
          <w:sz w:val="24"/>
          <w:szCs w:val="24"/>
          <w:u w:val="single"/>
        </w:rPr>
      </w:pPr>
    </w:p>
    <w:p w14:paraId="74135436" w14:textId="77777777" w:rsidR="00F34830" w:rsidRPr="000F6AF2" w:rsidRDefault="00F34830" w:rsidP="00276932">
      <w:pPr>
        <w:ind w:left="851"/>
        <w:rPr>
          <w:sz w:val="24"/>
          <w:szCs w:val="24"/>
        </w:rPr>
      </w:pPr>
      <w:r w:rsidRPr="000F6AF2">
        <w:rPr>
          <w:sz w:val="24"/>
          <w:szCs w:val="24"/>
        </w:rPr>
        <w:t xml:space="preserve">Injektion af </w:t>
      </w:r>
      <w:proofErr w:type="spellStart"/>
      <w:r w:rsidRPr="000F6AF2">
        <w:rPr>
          <w:sz w:val="24"/>
          <w:szCs w:val="24"/>
        </w:rPr>
        <w:t>Alluzience</w:t>
      </w:r>
      <w:proofErr w:type="spellEnd"/>
      <w:r w:rsidRPr="000F6AF2">
        <w:rPr>
          <w:sz w:val="24"/>
          <w:szCs w:val="24"/>
        </w:rPr>
        <w:t xml:space="preserve"> frarådes til patienter med en anamnese med </w:t>
      </w:r>
      <w:proofErr w:type="spellStart"/>
      <w:r w:rsidRPr="000F6AF2">
        <w:rPr>
          <w:sz w:val="24"/>
          <w:szCs w:val="24"/>
        </w:rPr>
        <w:t>dysfagi</w:t>
      </w:r>
      <w:proofErr w:type="spellEnd"/>
      <w:r w:rsidRPr="000F6AF2">
        <w:rPr>
          <w:sz w:val="24"/>
          <w:szCs w:val="24"/>
        </w:rPr>
        <w:t xml:space="preserve"> og aspiration.</w:t>
      </w:r>
    </w:p>
    <w:p w14:paraId="24929D05" w14:textId="52F3957F" w:rsidR="00F34830" w:rsidRPr="000F6AF2" w:rsidRDefault="00F34830" w:rsidP="00276932">
      <w:pPr>
        <w:ind w:left="851"/>
        <w:rPr>
          <w:sz w:val="24"/>
          <w:szCs w:val="24"/>
        </w:rPr>
      </w:pPr>
      <w:r w:rsidRPr="000F6AF2">
        <w:rPr>
          <w:sz w:val="24"/>
          <w:szCs w:val="24"/>
        </w:rPr>
        <w:t xml:space="preserve">Der er i meget sjældne tilfælde i forbindelse med </w:t>
      </w:r>
      <w:proofErr w:type="spellStart"/>
      <w:r w:rsidRPr="000F6AF2">
        <w:rPr>
          <w:sz w:val="24"/>
          <w:szCs w:val="24"/>
        </w:rPr>
        <w:t>botulinumtoksin</w:t>
      </w:r>
      <w:proofErr w:type="spellEnd"/>
      <w:r w:rsidRPr="000F6AF2">
        <w:rPr>
          <w:sz w:val="24"/>
          <w:szCs w:val="24"/>
        </w:rPr>
        <w:t xml:space="preserve"> rapporteret bivirkninger, som muligvis var relateret til distribution af toksinets virkninger til steder fjernt fra administrationsstedet. Synke- og åndedrætsbesvær er alvorligt og kan resultere i dødsfald.</w:t>
      </w:r>
    </w:p>
    <w:p w14:paraId="279E96F8" w14:textId="77777777" w:rsidR="00F34830" w:rsidRPr="000F6AF2" w:rsidRDefault="00F34830" w:rsidP="00276932">
      <w:pPr>
        <w:ind w:left="851"/>
        <w:rPr>
          <w:sz w:val="24"/>
          <w:szCs w:val="24"/>
        </w:rPr>
      </w:pPr>
    </w:p>
    <w:p w14:paraId="0A126CE2" w14:textId="65BB19FA" w:rsidR="00F34830" w:rsidRPr="000F6AF2" w:rsidRDefault="00F34830" w:rsidP="00276932">
      <w:pPr>
        <w:ind w:left="851"/>
        <w:rPr>
          <w:sz w:val="24"/>
          <w:szCs w:val="24"/>
        </w:rPr>
      </w:pPr>
      <w:r w:rsidRPr="000F6AF2">
        <w:rPr>
          <w:sz w:val="24"/>
          <w:szCs w:val="24"/>
        </w:rPr>
        <w:t xml:space="preserve">Der er rapporteret om meget sjældne tilfælde af dødsfald, af og til i forbindelse med </w:t>
      </w:r>
      <w:proofErr w:type="spellStart"/>
      <w:r w:rsidRPr="000F6AF2">
        <w:rPr>
          <w:sz w:val="24"/>
          <w:szCs w:val="24"/>
        </w:rPr>
        <w:t>dysfagi</w:t>
      </w:r>
      <w:proofErr w:type="spellEnd"/>
      <w:r w:rsidRPr="000F6AF2">
        <w:rPr>
          <w:sz w:val="24"/>
          <w:szCs w:val="24"/>
        </w:rPr>
        <w:t xml:space="preserve">, </w:t>
      </w:r>
      <w:proofErr w:type="spellStart"/>
      <w:r w:rsidRPr="000F6AF2">
        <w:rPr>
          <w:sz w:val="24"/>
          <w:szCs w:val="24"/>
        </w:rPr>
        <w:t>pneumopati</w:t>
      </w:r>
      <w:proofErr w:type="spellEnd"/>
      <w:r w:rsidRPr="000F6AF2">
        <w:rPr>
          <w:sz w:val="24"/>
          <w:szCs w:val="24"/>
        </w:rPr>
        <w:t xml:space="preserve"> (herunder, men ikke begrænset til, dyspnø, respirationssvigt, respirationsophør) og/eller hos patienter med signifikant asteni, efter behandling med </w:t>
      </w:r>
      <w:proofErr w:type="spellStart"/>
      <w:r w:rsidRPr="000F6AF2">
        <w:rPr>
          <w:sz w:val="24"/>
          <w:szCs w:val="24"/>
        </w:rPr>
        <w:t>botulinumtoksin</w:t>
      </w:r>
      <w:proofErr w:type="spellEnd"/>
      <w:r w:rsidRPr="000F6AF2">
        <w:rPr>
          <w:sz w:val="24"/>
          <w:szCs w:val="24"/>
        </w:rPr>
        <w:t xml:space="preserve"> A eller B.</w:t>
      </w:r>
    </w:p>
    <w:p w14:paraId="7FE7C3D5" w14:textId="77777777" w:rsidR="00F34830" w:rsidRPr="000F6AF2" w:rsidRDefault="00F34830" w:rsidP="00276932">
      <w:pPr>
        <w:ind w:left="851"/>
        <w:rPr>
          <w:sz w:val="24"/>
          <w:szCs w:val="24"/>
        </w:rPr>
      </w:pPr>
    </w:p>
    <w:p w14:paraId="7950C93F" w14:textId="55E07ACA" w:rsidR="00F34830" w:rsidRPr="000F6AF2" w:rsidRDefault="00F34830" w:rsidP="00276932">
      <w:pPr>
        <w:ind w:left="851"/>
        <w:rPr>
          <w:sz w:val="24"/>
          <w:szCs w:val="24"/>
          <w:u w:val="single"/>
        </w:rPr>
      </w:pPr>
      <w:r w:rsidRPr="000F6AF2">
        <w:rPr>
          <w:sz w:val="24"/>
          <w:szCs w:val="24"/>
        </w:rPr>
        <w:t>Patienter bør rådes til at søge omgående lægehjælp, hvis der opstår synke-, tale- eller vejrtrækningsbesvær.</w:t>
      </w:r>
    </w:p>
    <w:p w14:paraId="2B45744B" w14:textId="77777777" w:rsidR="00F34830" w:rsidRPr="000F6AF2" w:rsidRDefault="00F34830" w:rsidP="00276932">
      <w:pPr>
        <w:ind w:left="851"/>
        <w:rPr>
          <w:sz w:val="24"/>
          <w:szCs w:val="24"/>
          <w:u w:val="single"/>
        </w:rPr>
      </w:pPr>
    </w:p>
    <w:p w14:paraId="228B2535" w14:textId="1FD37199" w:rsidR="00F34830" w:rsidRPr="000F6AF2" w:rsidRDefault="00F34830" w:rsidP="00276932">
      <w:pPr>
        <w:ind w:left="851"/>
        <w:rPr>
          <w:sz w:val="24"/>
          <w:szCs w:val="24"/>
        </w:rPr>
      </w:pPr>
      <w:bookmarkStart w:id="7" w:name="_Hlk56374580"/>
      <w:proofErr w:type="spellStart"/>
      <w:r w:rsidRPr="000F6AF2">
        <w:rPr>
          <w:sz w:val="24"/>
          <w:szCs w:val="24"/>
        </w:rPr>
        <w:t>Alluzience</w:t>
      </w:r>
      <w:bookmarkEnd w:id="7"/>
      <w:proofErr w:type="spellEnd"/>
      <w:r w:rsidRPr="000F6AF2">
        <w:rPr>
          <w:sz w:val="24"/>
          <w:szCs w:val="24"/>
        </w:rPr>
        <w:t xml:space="preserve"> bør anvendes med forsigtighed til patienter, hvor der er risiko for eller klinisk evidens af mærkbar defekt </w:t>
      </w:r>
      <w:proofErr w:type="spellStart"/>
      <w:r w:rsidRPr="000F6AF2">
        <w:rPr>
          <w:sz w:val="24"/>
          <w:szCs w:val="24"/>
        </w:rPr>
        <w:t>neuromuskulær</w:t>
      </w:r>
      <w:proofErr w:type="spellEnd"/>
      <w:r w:rsidRPr="000F6AF2">
        <w:rPr>
          <w:sz w:val="24"/>
          <w:szCs w:val="24"/>
        </w:rPr>
        <w:t xml:space="preserve"> transmission. Sådanne patienter kan have en øget sensitivitet over for lægemidler såsom </w:t>
      </w:r>
      <w:proofErr w:type="spellStart"/>
      <w:r w:rsidRPr="000F6AF2">
        <w:rPr>
          <w:sz w:val="24"/>
          <w:szCs w:val="24"/>
        </w:rPr>
        <w:t>botulinumtoksin</w:t>
      </w:r>
      <w:proofErr w:type="spellEnd"/>
      <w:r w:rsidRPr="000F6AF2">
        <w:rPr>
          <w:sz w:val="24"/>
          <w:szCs w:val="24"/>
        </w:rPr>
        <w:t xml:space="preserve">, hvilket kan resultere i markant muskelsvaghed. </w:t>
      </w:r>
    </w:p>
    <w:p w14:paraId="4F1F326D" w14:textId="77777777" w:rsidR="00F34830" w:rsidRPr="000F6AF2" w:rsidRDefault="00F34830" w:rsidP="00276932">
      <w:pPr>
        <w:ind w:left="851"/>
        <w:rPr>
          <w:sz w:val="24"/>
          <w:szCs w:val="24"/>
          <w:u w:val="single"/>
        </w:rPr>
      </w:pPr>
    </w:p>
    <w:p w14:paraId="3BF55E3F" w14:textId="77777777" w:rsidR="00765CE8" w:rsidRDefault="00765CE8" w:rsidP="00765CE8">
      <w:pPr>
        <w:ind w:left="851"/>
        <w:rPr>
          <w:sz w:val="24"/>
          <w:szCs w:val="24"/>
        </w:rPr>
      </w:pPr>
      <w:r w:rsidRPr="000F6AF2">
        <w:rPr>
          <w:sz w:val="24"/>
          <w:szCs w:val="24"/>
        </w:rPr>
        <w:t xml:space="preserve">Det er essentielt at studere patientens ansigtsanatomi inden administration af </w:t>
      </w:r>
      <w:proofErr w:type="spellStart"/>
      <w:r w:rsidRPr="000F6AF2">
        <w:rPr>
          <w:sz w:val="24"/>
          <w:szCs w:val="24"/>
        </w:rPr>
        <w:t>Alluzience</w:t>
      </w:r>
      <w:proofErr w:type="spellEnd"/>
      <w:r w:rsidRPr="000F6AF2">
        <w:rPr>
          <w:sz w:val="24"/>
          <w:szCs w:val="24"/>
        </w:rPr>
        <w:t xml:space="preserve">. Ansigtsasymmetri, </w:t>
      </w:r>
      <w:proofErr w:type="spellStart"/>
      <w:r w:rsidRPr="000F6AF2">
        <w:rPr>
          <w:sz w:val="24"/>
          <w:szCs w:val="24"/>
        </w:rPr>
        <w:t>ptose</w:t>
      </w:r>
      <w:proofErr w:type="spellEnd"/>
      <w:r w:rsidRPr="000F6AF2">
        <w:rPr>
          <w:sz w:val="24"/>
          <w:szCs w:val="24"/>
        </w:rPr>
        <w:t xml:space="preserve">, markant </w:t>
      </w:r>
      <w:proofErr w:type="spellStart"/>
      <w:r w:rsidRPr="000F6AF2">
        <w:rPr>
          <w:sz w:val="24"/>
          <w:szCs w:val="24"/>
        </w:rPr>
        <w:t>dermatochalasis</w:t>
      </w:r>
      <w:proofErr w:type="spellEnd"/>
      <w:r w:rsidRPr="000F6AF2">
        <w:rPr>
          <w:sz w:val="24"/>
          <w:szCs w:val="24"/>
        </w:rPr>
        <w:t xml:space="preserve">, </w:t>
      </w:r>
      <w:proofErr w:type="spellStart"/>
      <w:r w:rsidRPr="000F6AF2">
        <w:rPr>
          <w:sz w:val="24"/>
          <w:szCs w:val="24"/>
        </w:rPr>
        <w:t>ardannelse</w:t>
      </w:r>
      <w:proofErr w:type="spellEnd"/>
      <w:r w:rsidRPr="000F6AF2">
        <w:rPr>
          <w:sz w:val="24"/>
          <w:szCs w:val="24"/>
        </w:rPr>
        <w:t xml:space="preserve"> og enhver ændring i denne anatomi, som resultat af tidligere kirurgiske indgreb, bør tages i betragtning.</w:t>
      </w:r>
    </w:p>
    <w:p w14:paraId="4F2D6DE1" w14:textId="77777777" w:rsidR="00765CE8" w:rsidRDefault="00765CE8" w:rsidP="00765CE8">
      <w:pPr>
        <w:ind w:left="851"/>
        <w:rPr>
          <w:sz w:val="24"/>
          <w:szCs w:val="24"/>
        </w:rPr>
      </w:pPr>
    </w:p>
    <w:p w14:paraId="1CDD2629" w14:textId="77777777" w:rsidR="00765CE8" w:rsidRPr="000F6AF2" w:rsidRDefault="00765CE8" w:rsidP="00765CE8">
      <w:pPr>
        <w:ind w:left="851"/>
        <w:rPr>
          <w:sz w:val="24"/>
          <w:szCs w:val="24"/>
        </w:rPr>
      </w:pPr>
      <w:r w:rsidRPr="00AB0EE5">
        <w:rPr>
          <w:sz w:val="24"/>
          <w:szCs w:val="24"/>
          <w:lang w:eastAsia="de-DE"/>
        </w:rPr>
        <w:t xml:space="preserve">Tørre øjne er blevet rapporteret ved brug af </w:t>
      </w:r>
      <w:proofErr w:type="spellStart"/>
      <w:r>
        <w:rPr>
          <w:sz w:val="24"/>
          <w:szCs w:val="24"/>
          <w:lang w:eastAsia="de-DE"/>
        </w:rPr>
        <w:t>Alluzience</w:t>
      </w:r>
      <w:proofErr w:type="spellEnd"/>
      <w:r w:rsidRPr="00AB0EE5">
        <w:rPr>
          <w:sz w:val="24"/>
          <w:szCs w:val="24"/>
          <w:lang w:eastAsia="de-DE"/>
        </w:rPr>
        <w:t xml:space="preserve"> i </w:t>
      </w:r>
      <w:proofErr w:type="spellStart"/>
      <w:r w:rsidRPr="00AB0EE5">
        <w:rPr>
          <w:sz w:val="24"/>
          <w:szCs w:val="24"/>
          <w:lang w:eastAsia="de-DE"/>
        </w:rPr>
        <w:t>periokulære</w:t>
      </w:r>
      <w:proofErr w:type="spellEnd"/>
      <w:r w:rsidRPr="00AB0EE5">
        <w:rPr>
          <w:sz w:val="24"/>
          <w:szCs w:val="24"/>
          <w:lang w:eastAsia="de-DE"/>
        </w:rPr>
        <w:t xml:space="preserve"> områder (se pkt. 4.8). Opmærksomhed på denne bivirkning er vigtig, da tørre øjne kan disponere for hornhindelidelser. Beskyttende dråber, salve, lukning af øjet med klap eller andre midler kan være nødvendige for at forhindre hornhindelidelser.</w:t>
      </w:r>
    </w:p>
    <w:p w14:paraId="412517D3" w14:textId="77777777" w:rsidR="00F34830" w:rsidRPr="000F6AF2" w:rsidRDefault="00F34830" w:rsidP="00276932">
      <w:pPr>
        <w:ind w:left="851"/>
        <w:rPr>
          <w:sz w:val="24"/>
          <w:szCs w:val="24"/>
        </w:rPr>
      </w:pPr>
    </w:p>
    <w:p w14:paraId="470FBDE9" w14:textId="0DB9C8BC" w:rsidR="00F34830" w:rsidRPr="000F6AF2" w:rsidRDefault="00F34830" w:rsidP="00276932">
      <w:pPr>
        <w:ind w:left="851"/>
        <w:rPr>
          <w:sz w:val="24"/>
          <w:szCs w:val="24"/>
        </w:rPr>
      </w:pPr>
      <w:r w:rsidRPr="000F6AF2">
        <w:rPr>
          <w:sz w:val="24"/>
          <w:szCs w:val="24"/>
        </w:rPr>
        <w:t xml:space="preserve">Den anbefalede dosis og hyppighed af administration af </w:t>
      </w:r>
      <w:proofErr w:type="spellStart"/>
      <w:r w:rsidRPr="000F6AF2">
        <w:rPr>
          <w:sz w:val="24"/>
          <w:szCs w:val="24"/>
        </w:rPr>
        <w:t>Alluzience</w:t>
      </w:r>
      <w:proofErr w:type="spellEnd"/>
      <w:r w:rsidRPr="000F6AF2">
        <w:rPr>
          <w:sz w:val="24"/>
          <w:szCs w:val="24"/>
        </w:rPr>
        <w:t xml:space="preserve"> må ikke overskrides.</w:t>
      </w:r>
    </w:p>
    <w:p w14:paraId="41F57FB1" w14:textId="77777777" w:rsidR="00F34830" w:rsidRPr="000F6AF2" w:rsidRDefault="00F34830" w:rsidP="00276932">
      <w:pPr>
        <w:ind w:left="851"/>
        <w:rPr>
          <w:sz w:val="24"/>
          <w:szCs w:val="24"/>
        </w:rPr>
      </w:pPr>
    </w:p>
    <w:p w14:paraId="0230804C" w14:textId="2B569915" w:rsidR="00F34830" w:rsidRPr="000F6AF2" w:rsidRDefault="00F34830" w:rsidP="00276932">
      <w:pPr>
        <w:ind w:left="851"/>
        <w:rPr>
          <w:sz w:val="24"/>
          <w:szCs w:val="24"/>
        </w:rPr>
      </w:pPr>
      <w:r w:rsidRPr="000F6AF2">
        <w:rPr>
          <w:sz w:val="24"/>
          <w:szCs w:val="24"/>
        </w:rPr>
        <w:t>Patienter, der behandles med terapeutiske doser, kan opleve voldsom muskelsvaghed.</w:t>
      </w:r>
    </w:p>
    <w:p w14:paraId="19B692AB" w14:textId="77777777" w:rsidR="00F34830" w:rsidRPr="000F6AF2" w:rsidRDefault="00F34830" w:rsidP="00276932">
      <w:pPr>
        <w:ind w:left="851"/>
        <w:rPr>
          <w:sz w:val="24"/>
          <w:szCs w:val="24"/>
        </w:rPr>
      </w:pPr>
    </w:p>
    <w:p w14:paraId="3DD704D8" w14:textId="3E72F81D" w:rsidR="001A57C3" w:rsidRDefault="00F34830" w:rsidP="001A57C3">
      <w:pPr>
        <w:ind w:left="851"/>
        <w:rPr>
          <w:sz w:val="24"/>
          <w:szCs w:val="24"/>
        </w:rPr>
      </w:pPr>
      <w:r w:rsidRPr="000F6AF2">
        <w:rPr>
          <w:sz w:val="24"/>
          <w:szCs w:val="24"/>
        </w:rPr>
        <w:t xml:space="preserve">Der bør udvises forsigtighed, hvis </w:t>
      </w:r>
      <w:bookmarkStart w:id="8" w:name="_Hlk56377820"/>
      <w:proofErr w:type="spellStart"/>
      <w:r w:rsidRPr="000F6AF2">
        <w:rPr>
          <w:sz w:val="24"/>
          <w:szCs w:val="24"/>
        </w:rPr>
        <w:t>Alluzience</w:t>
      </w:r>
      <w:bookmarkEnd w:id="8"/>
      <w:proofErr w:type="spellEnd"/>
      <w:r w:rsidRPr="000F6AF2">
        <w:rPr>
          <w:sz w:val="24"/>
          <w:szCs w:val="24"/>
        </w:rPr>
        <w:t xml:space="preserve"> anvendes, når der er inflammation i de foreslåede injektionssteder, eller hvis den(de) pågældende muskel(-ler) viser markant svaghed eller atrofi.</w:t>
      </w:r>
      <w:r w:rsidR="001A57C3">
        <w:rPr>
          <w:sz w:val="24"/>
          <w:szCs w:val="24"/>
        </w:rPr>
        <w:t xml:space="preserve"> </w:t>
      </w:r>
      <w:r w:rsidR="001A57C3">
        <w:rPr>
          <w:sz w:val="24"/>
          <w:szCs w:val="24"/>
          <w:lang w:eastAsia="de-DE"/>
        </w:rPr>
        <w:t xml:space="preserve">Der er rapporteret om tilfælde af muskelatrofi efter brug af </w:t>
      </w:r>
      <w:proofErr w:type="spellStart"/>
      <w:r w:rsidR="001A57C3">
        <w:rPr>
          <w:sz w:val="24"/>
          <w:szCs w:val="24"/>
          <w:lang w:eastAsia="de-DE"/>
        </w:rPr>
        <w:t>botulinumtoksin</w:t>
      </w:r>
      <w:proofErr w:type="spellEnd"/>
      <w:r w:rsidR="001A57C3">
        <w:rPr>
          <w:sz w:val="24"/>
          <w:szCs w:val="24"/>
          <w:lang w:eastAsia="de-DE"/>
        </w:rPr>
        <w:t xml:space="preserve"> (se pkt. 4.8).</w:t>
      </w:r>
    </w:p>
    <w:p w14:paraId="10EC1A9B" w14:textId="77777777" w:rsidR="00F34830" w:rsidRPr="000F6AF2" w:rsidRDefault="00F34830" w:rsidP="00276932">
      <w:pPr>
        <w:ind w:left="851"/>
        <w:rPr>
          <w:sz w:val="24"/>
          <w:szCs w:val="24"/>
        </w:rPr>
      </w:pPr>
    </w:p>
    <w:p w14:paraId="4CC55B5D" w14:textId="6B45E213" w:rsidR="00F34830" w:rsidRPr="000F6AF2" w:rsidRDefault="00F34830" w:rsidP="00276932">
      <w:pPr>
        <w:ind w:left="851"/>
        <w:rPr>
          <w:sz w:val="24"/>
          <w:szCs w:val="24"/>
        </w:rPr>
      </w:pPr>
      <w:r w:rsidRPr="000F6AF2">
        <w:rPr>
          <w:sz w:val="24"/>
          <w:szCs w:val="24"/>
        </w:rPr>
        <w:t xml:space="preserve">Som med alle intramuskulære injektioner, frarådes behandling med </w:t>
      </w:r>
      <w:bookmarkStart w:id="9" w:name="_Hlk56376946"/>
      <w:proofErr w:type="spellStart"/>
      <w:r w:rsidRPr="000F6AF2">
        <w:rPr>
          <w:sz w:val="24"/>
          <w:szCs w:val="24"/>
        </w:rPr>
        <w:t>Alluzience</w:t>
      </w:r>
      <w:bookmarkEnd w:id="9"/>
      <w:proofErr w:type="spellEnd"/>
      <w:r w:rsidRPr="000F6AF2">
        <w:rPr>
          <w:sz w:val="24"/>
          <w:szCs w:val="24"/>
        </w:rPr>
        <w:t xml:space="preserve"> hos patienter, der har forlænget blødningstid.</w:t>
      </w:r>
    </w:p>
    <w:p w14:paraId="7941B92E" w14:textId="25AD808D" w:rsidR="000F6AF2" w:rsidRPr="000F6AF2" w:rsidRDefault="000F6AF2" w:rsidP="000F6AF2">
      <w:pPr>
        <w:ind w:left="851"/>
        <w:rPr>
          <w:sz w:val="24"/>
          <w:szCs w:val="24"/>
        </w:rPr>
      </w:pPr>
    </w:p>
    <w:p w14:paraId="4E40BF24" w14:textId="72FEF14E" w:rsidR="00F34830" w:rsidRPr="000F6AF2" w:rsidRDefault="00F34830" w:rsidP="00276932">
      <w:pPr>
        <w:ind w:left="851"/>
        <w:rPr>
          <w:sz w:val="24"/>
          <w:szCs w:val="24"/>
          <w:lang w:eastAsia="da-DK"/>
        </w:rPr>
      </w:pPr>
      <w:r w:rsidRPr="000F6AF2">
        <w:rPr>
          <w:sz w:val="24"/>
          <w:szCs w:val="24"/>
        </w:rPr>
        <w:t xml:space="preserve">Et hætteglas </w:t>
      </w:r>
      <w:proofErr w:type="spellStart"/>
      <w:r w:rsidRPr="000F6AF2">
        <w:rPr>
          <w:sz w:val="24"/>
          <w:szCs w:val="24"/>
        </w:rPr>
        <w:t>Alluzience</w:t>
      </w:r>
      <w:proofErr w:type="spellEnd"/>
      <w:r w:rsidRPr="000F6AF2">
        <w:rPr>
          <w:sz w:val="24"/>
          <w:szCs w:val="24"/>
        </w:rPr>
        <w:t xml:space="preserve"> bør kun anvendes til behandling af én patient i en enkelt behandlingssession.</w:t>
      </w:r>
    </w:p>
    <w:p w14:paraId="24F1A691" w14:textId="77777777" w:rsidR="00F34830" w:rsidRPr="000F6AF2" w:rsidRDefault="00F34830" w:rsidP="00276932">
      <w:pPr>
        <w:ind w:left="851"/>
        <w:rPr>
          <w:sz w:val="24"/>
          <w:szCs w:val="24"/>
        </w:rPr>
      </w:pPr>
    </w:p>
    <w:p w14:paraId="658FBE06" w14:textId="397C27A9" w:rsidR="00F34830" w:rsidRPr="000F6AF2" w:rsidRDefault="00F34830" w:rsidP="00276932">
      <w:pPr>
        <w:ind w:left="851"/>
        <w:rPr>
          <w:sz w:val="24"/>
          <w:szCs w:val="24"/>
        </w:rPr>
      </w:pPr>
      <w:r w:rsidRPr="000F6AF2">
        <w:rPr>
          <w:sz w:val="24"/>
          <w:szCs w:val="24"/>
        </w:rPr>
        <w:t>Ethvert overskud af ikke anvendt lægemiddel skal bortskaffes som angivet i pkt. 6.6. Der skal tages særlige forholdsregler i forbindelse med inaktivering og bortskaffelsen af ubrugt opløsning (se pkt. 6.6).</w:t>
      </w:r>
    </w:p>
    <w:p w14:paraId="4575A3C3" w14:textId="77777777" w:rsidR="00F34830" w:rsidRPr="000F6AF2" w:rsidRDefault="00F34830" w:rsidP="00276932">
      <w:pPr>
        <w:ind w:left="851"/>
        <w:rPr>
          <w:sz w:val="24"/>
          <w:szCs w:val="24"/>
        </w:rPr>
      </w:pPr>
    </w:p>
    <w:p w14:paraId="4D1851C5" w14:textId="77777777" w:rsidR="00F34830" w:rsidRPr="000F6AF2" w:rsidRDefault="00F34830" w:rsidP="00276932">
      <w:pPr>
        <w:ind w:left="851"/>
        <w:rPr>
          <w:sz w:val="24"/>
          <w:szCs w:val="24"/>
          <w:u w:val="single"/>
        </w:rPr>
      </w:pPr>
      <w:r w:rsidRPr="000F6AF2">
        <w:rPr>
          <w:sz w:val="24"/>
          <w:szCs w:val="24"/>
          <w:u w:val="single"/>
        </w:rPr>
        <w:t>Antistofdannelse</w:t>
      </w:r>
    </w:p>
    <w:p w14:paraId="3905DBEB" w14:textId="6B0A4EA4" w:rsidR="00F34830" w:rsidRPr="000F6AF2" w:rsidRDefault="00F34830" w:rsidP="00276932">
      <w:pPr>
        <w:ind w:left="851"/>
        <w:rPr>
          <w:sz w:val="24"/>
          <w:szCs w:val="24"/>
        </w:rPr>
      </w:pPr>
      <w:r w:rsidRPr="000F6AF2">
        <w:rPr>
          <w:sz w:val="24"/>
          <w:szCs w:val="24"/>
        </w:rPr>
        <w:t xml:space="preserve">Injektioner, der gives med kortere intervaller eller ved højere doser, kan øge risikoen for dannelse af antistoffer over for </w:t>
      </w:r>
      <w:proofErr w:type="spellStart"/>
      <w:r w:rsidRPr="000F6AF2">
        <w:rPr>
          <w:sz w:val="24"/>
          <w:szCs w:val="24"/>
        </w:rPr>
        <w:t>botulinumtoksin</w:t>
      </w:r>
      <w:proofErr w:type="spellEnd"/>
      <w:r w:rsidRPr="000F6AF2">
        <w:rPr>
          <w:sz w:val="24"/>
          <w:szCs w:val="24"/>
        </w:rPr>
        <w:t xml:space="preserve">. Klinisk kan dannelse af neutraliserende antistoffer reducere effekten af efterfølgende behandling. </w:t>
      </w:r>
    </w:p>
    <w:p w14:paraId="30D288AF" w14:textId="77777777" w:rsidR="00F34830" w:rsidRPr="000F6AF2" w:rsidRDefault="00F34830" w:rsidP="00276932">
      <w:pPr>
        <w:ind w:left="851"/>
        <w:rPr>
          <w:sz w:val="24"/>
          <w:szCs w:val="24"/>
        </w:rPr>
      </w:pPr>
    </w:p>
    <w:p w14:paraId="17D271E6" w14:textId="0577D807" w:rsidR="00F34830" w:rsidRPr="000F6AF2" w:rsidRDefault="00F34830" w:rsidP="00276932">
      <w:pPr>
        <w:ind w:left="851"/>
        <w:rPr>
          <w:sz w:val="24"/>
          <w:szCs w:val="24"/>
          <w:u w:val="single"/>
        </w:rPr>
      </w:pPr>
      <w:r w:rsidRPr="000F6AF2">
        <w:rPr>
          <w:sz w:val="24"/>
          <w:szCs w:val="24"/>
          <w:u w:val="single"/>
        </w:rPr>
        <w:t>Sporbarhed</w:t>
      </w:r>
    </w:p>
    <w:p w14:paraId="7F68539A" w14:textId="61A72E20" w:rsidR="00F34830" w:rsidRPr="000F6AF2" w:rsidRDefault="00F34830" w:rsidP="00276932">
      <w:pPr>
        <w:ind w:left="851"/>
        <w:rPr>
          <w:sz w:val="24"/>
          <w:szCs w:val="24"/>
        </w:rPr>
      </w:pPr>
      <w:r w:rsidRPr="000F6AF2">
        <w:rPr>
          <w:sz w:val="24"/>
          <w:szCs w:val="24"/>
        </w:rPr>
        <w:t>For at forbedre sporbarheden af biologiske lægemidler, skal navn og batchnummer dokumenteres for det administrerede produkt.</w:t>
      </w:r>
    </w:p>
    <w:p w14:paraId="605C2CFC" w14:textId="0C2966E9" w:rsidR="00F34830" w:rsidRPr="000F6AF2" w:rsidRDefault="00F34830" w:rsidP="00276932">
      <w:pPr>
        <w:ind w:left="851"/>
        <w:rPr>
          <w:sz w:val="24"/>
          <w:szCs w:val="24"/>
        </w:rPr>
      </w:pPr>
    </w:p>
    <w:p w14:paraId="4B36AB12" w14:textId="65A17A8F" w:rsidR="00F34830" w:rsidRPr="000F6AF2" w:rsidRDefault="00F34830" w:rsidP="00276932">
      <w:pPr>
        <w:ind w:left="851"/>
        <w:rPr>
          <w:sz w:val="24"/>
          <w:szCs w:val="24"/>
          <w:u w:val="single"/>
        </w:rPr>
      </w:pPr>
      <w:r w:rsidRPr="000F6AF2">
        <w:rPr>
          <w:sz w:val="24"/>
          <w:szCs w:val="24"/>
          <w:u w:val="single"/>
        </w:rPr>
        <w:t>Natriumindhold</w:t>
      </w:r>
    </w:p>
    <w:p w14:paraId="0B4D9E1F" w14:textId="7EE7A03B" w:rsidR="00F34830" w:rsidRPr="000F6AF2" w:rsidRDefault="00F34830" w:rsidP="00276932">
      <w:pPr>
        <w:ind w:left="851"/>
        <w:rPr>
          <w:sz w:val="24"/>
          <w:szCs w:val="24"/>
        </w:rPr>
      </w:pPr>
      <w:r w:rsidRPr="000F6AF2">
        <w:rPr>
          <w:sz w:val="24"/>
          <w:szCs w:val="24"/>
        </w:rPr>
        <w:t>Dette lægemiddel indeholder mindre end 1 mmol (23 mg) natrium pr. hætteglas (125 enheder), dvs. det er i det væsentlige natriumfrit.</w:t>
      </w:r>
    </w:p>
    <w:p w14:paraId="0F4C4B9B" w14:textId="77777777" w:rsidR="009260DE" w:rsidRPr="000F6AF2" w:rsidRDefault="009260DE" w:rsidP="009260DE">
      <w:pPr>
        <w:tabs>
          <w:tab w:val="left" w:pos="851"/>
        </w:tabs>
        <w:ind w:left="851"/>
        <w:rPr>
          <w:sz w:val="24"/>
          <w:szCs w:val="24"/>
        </w:rPr>
      </w:pPr>
    </w:p>
    <w:p w14:paraId="7CFD3CE4" w14:textId="77777777" w:rsidR="009260DE" w:rsidRPr="000F6AF2" w:rsidRDefault="009260DE" w:rsidP="009260DE">
      <w:pPr>
        <w:tabs>
          <w:tab w:val="left" w:pos="851"/>
        </w:tabs>
        <w:ind w:left="851" w:hanging="851"/>
        <w:rPr>
          <w:b/>
          <w:sz w:val="24"/>
          <w:szCs w:val="24"/>
        </w:rPr>
      </w:pPr>
      <w:r w:rsidRPr="000F6AF2">
        <w:rPr>
          <w:b/>
          <w:sz w:val="24"/>
          <w:szCs w:val="24"/>
        </w:rPr>
        <w:t>4.5</w:t>
      </w:r>
      <w:r w:rsidRPr="000F6AF2">
        <w:rPr>
          <w:b/>
          <w:sz w:val="24"/>
          <w:szCs w:val="24"/>
        </w:rPr>
        <w:tab/>
        <w:t>Interaktion med andre lægemidler og andre former for interaktion</w:t>
      </w:r>
    </w:p>
    <w:p w14:paraId="37431E89" w14:textId="77777777" w:rsidR="00F34830" w:rsidRPr="000F6AF2" w:rsidRDefault="00F34830" w:rsidP="00276932">
      <w:pPr>
        <w:ind w:left="851"/>
        <w:rPr>
          <w:sz w:val="24"/>
          <w:szCs w:val="24"/>
        </w:rPr>
      </w:pPr>
      <w:r w:rsidRPr="000F6AF2">
        <w:rPr>
          <w:sz w:val="24"/>
          <w:szCs w:val="24"/>
        </w:rPr>
        <w:t xml:space="preserve">Der skal udvises forsigtighed ved samtidig behandling med </w:t>
      </w:r>
      <w:proofErr w:type="spellStart"/>
      <w:r w:rsidRPr="000F6AF2">
        <w:rPr>
          <w:sz w:val="24"/>
          <w:szCs w:val="24"/>
        </w:rPr>
        <w:t>Alluzience</w:t>
      </w:r>
      <w:proofErr w:type="spellEnd"/>
      <w:r w:rsidRPr="000F6AF2">
        <w:rPr>
          <w:sz w:val="24"/>
          <w:szCs w:val="24"/>
        </w:rPr>
        <w:t xml:space="preserve"> og aminoglykosider eller andre lægemidler, der forstyrrer </w:t>
      </w:r>
      <w:proofErr w:type="spellStart"/>
      <w:r w:rsidRPr="000F6AF2">
        <w:rPr>
          <w:sz w:val="24"/>
          <w:szCs w:val="24"/>
        </w:rPr>
        <w:t>neuromuskulær</w:t>
      </w:r>
      <w:proofErr w:type="spellEnd"/>
      <w:r w:rsidRPr="000F6AF2">
        <w:rPr>
          <w:sz w:val="24"/>
          <w:szCs w:val="24"/>
        </w:rPr>
        <w:t xml:space="preserve"> transmission (f.eks. </w:t>
      </w:r>
      <w:proofErr w:type="spellStart"/>
      <w:r w:rsidRPr="000F6AF2">
        <w:rPr>
          <w:sz w:val="24"/>
          <w:szCs w:val="24"/>
        </w:rPr>
        <w:t>curarelignende</w:t>
      </w:r>
      <w:proofErr w:type="spellEnd"/>
      <w:r w:rsidRPr="000F6AF2">
        <w:rPr>
          <w:sz w:val="24"/>
          <w:szCs w:val="24"/>
        </w:rPr>
        <w:t xml:space="preserve"> stoffer), da virkningen af </w:t>
      </w:r>
      <w:proofErr w:type="spellStart"/>
      <w:r w:rsidRPr="000F6AF2">
        <w:rPr>
          <w:sz w:val="24"/>
          <w:szCs w:val="24"/>
        </w:rPr>
        <w:t>botulinumtoksin</w:t>
      </w:r>
      <w:proofErr w:type="spellEnd"/>
      <w:r w:rsidRPr="000F6AF2">
        <w:rPr>
          <w:sz w:val="24"/>
          <w:szCs w:val="24"/>
        </w:rPr>
        <w:t xml:space="preserve"> kan blive forstærket.</w:t>
      </w:r>
    </w:p>
    <w:p w14:paraId="24F74237" w14:textId="77777777" w:rsidR="00F34830" w:rsidRPr="000F6AF2" w:rsidRDefault="00F34830" w:rsidP="00276932">
      <w:pPr>
        <w:ind w:left="851"/>
        <w:rPr>
          <w:sz w:val="24"/>
          <w:szCs w:val="24"/>
        </w:rPr>
      </w:pPr>
    </w:p>
    <w:p w14:paraId="3CB406A8" w14:textId="0A0ABE2A" w:rsidR="00F34830" w:rsidRPr="000F6AF2" w:rsidRDefault="00F34830" w:rsidP="00276932">
      <w:pPr>
        <w:ind w:left="851"/>
        <w:rPr>
          <w:sz w:val="24"/>
          <w:szCs w:val="24"/>
        </w:rPr>
      </w:pPr>
      <w:r w:rsidRPr="000F6AF2">
        <w:rPr>
          <w:sz w:val="24"/>
          <w:szCs w:val="24"/>
        </w:rPr>
        <w:t xml:space="preserve">Der er ikke udført interaktionsstudier. </w:t>
      </w:r>
    </w:p>
    <w:p w14:paraId="56C70A42" w14:textId="77777777" w:rsidR="009260DE" w:rsidRPr="000F6AF2" w:rsidRDefault="009260DE" w:rsidP="009260DE">
      <w:pPr>
        <w:tabs>
          <w:tab w:val="left" w:pos="851"/>
        </w:tabs>
        <w:ind w:left="851"/>
        <w:rPr>
          <w:sz w:val="24"/>
          <w:szCs w:val="24"/>
        </w:rPr>
      </w:pPr>
    </w:p>
    <w:p w14:paraId="2CE15EFE" w14:textId="186C4E8E" w:rsidR="009260DE" w:rsidRPr="000F6AF2" w:rsidRDefault="009260DE" w:rsidP="009260DE">
      <w:pPr>
        <w:tabs>
          <w:tab w:val="left" w:pos="851"/>
        </w:tabs>
        <w:ind w:left="851" w:hanging="851"/>
        <w:rPr>
          <w:b/>
          <w:sz w:val="24"/>
          <w:szCs w:val="24"/>
        </w:rPr>
      </w:pPr>
      <w:r w:rsidRPr="000F6AF2">
        <w:rPr>
          <w:b/>
          <w:sz w:val="24"/>
          <w:szCs w:val="24"/>
        </w:rPr>
        <w:t>4.6</w:t>
      </w:r>
      <w:r w:rsidRPr="000F6AF2">
        <w:rPr>
          <w:b/>
          <w:sz w:val="24"/>
          <w:szCs w:val="24"/>
        </w:rPr>
        <w:tab/>
      </w:r>
      <w:r w:rsidR="008D13DE">
        <w:rPr>
          <w:b/>
          <w:sz w:val="24"/>
          <w:szCs w:val="24"/>
        </w:rPr>
        <w:t>Fertilitet, g</w:t>
      </w:r>
      <w:r w:rsidRPr="000F6AF2">
        <w:rPr>
          <w:b/>
          <w:sz w:val="24"/>
          <w:szCs w:val="24"/>
        </w:rPr>
        <w:t>raviditet og amning</w:t>
      </w:r>
    </w:p>
    <w:p w14:paraId="4333B7D9" w14:textId="77777777" w:rsidR="000F6AF2" w:rsidRDefault="000F6AF2" w:rsidP="00276932">
      <w:pPr>
        <w:ind w:left="851"/>
        <w:rPr>
          <w:bCs/>
          <w:sz w:val="24"/>
          <w:szCs w:val="24"/>
          <w:u w:val="single"/>
        </w:rPr>
      </w:pPr>
    </w:p>
    <w:p w14:paraId="3635EF95" w14:textId="2B5DA946" w:rsidR="00F34830" w:rsidRPr="000F6AF2" w:rsidRDefault="00F34830" w:rsidP="00276932">
      <w:pPr>
        <w:ind w:left="851"/>
        <w:rPr>
          <w:bCs/>
          <w:sz w:val="24"/>
          <w:szCs w:val="24"/>
          <w:u w:val="single"/>
        </w:rPr>
      </w:pPr>
      <w:r w:rsidRPr="000F6AF2">
        <w:rPr>
          <w:bCs/>
          <w:sz w:val="24"/>
          <w:szCs w:val="24"/>
          <w:u w:val="single"/>
        </w:rPr>
        <w:t>Graviditet</w:t>
      </w:r>
    </w:p>
    <w:p w14:paraId="4E34FFB2" w14:textId="3220DC5F" w:rsidR="00F34830" w:rsidRPr="000F6AF2" w:rsidRDefault="00F34830" w:rsidP="00276932">
      <w:pPr>
        <w:ind w:left="851"/>
        <w:rPr>
          <w:sz w:val="24"/>
          <w:szCs w:val="24"/>
        </w:rPr>
      </w:pPr>
      <w:r w:rsidRPr="000F6AF2">
        <w:rPr>
          <w:sz w:val="24"/>
          <w:szCs w:val="24"/>
        </w:rPr>
        <w:t xml:space="preserve">Der forefindes kun begrænset data for anvendelsen af </w:t>
      </w:r>
      <w:proofErr w:type="spellStart"/>
      <w:r w:rsidRPr="000F6AF2">
        <w:rPr>
          <w:sz w:val="24"/>
          <w:szCs w:val="24"/>
        </w:rPr>
        <w:t>botulinumtoksin</w:t>
      </w:r>
      <w:proofErr w:type="spellEnd"/>
      <w:r w:rsidRPr="000F6AF2">
        <w:rPr>
          <w:sz w:val="24"/>
          <w:szCs w:val="24"/>
        </w:rPr>
        <w:t xml:space="preserve"> type A hos gravide kvinder. Dyreforsøg indikerer hverken direkte eller indirekte skadelige virkninger, hvad </w:t>
      </w:r>
      <w:r w:rsidRPr="000F6AF2">
        <w:rPr>
          <w:sz w:val="24"/>
          <w:szCs w:val="24"/>
        </w:rPr>
        <w:lastRenderedPageBreak/>
        <w:t xml:space="preserve">angår reproduktionstoksicitet (se pkt. 5.3). Som en sikkerhedsforanstaltning bør </w:t>
      </w:r>
      <w:proofErr w:type="spellStart"/>
      <w:r w:rsidRPr="000F6AF2">
        <w:rPr>
          <w:sz w:val="24"/>
          <w:szCs w:val="24"/>
        </w:rPr>
        <w:t>Alluzience</w:t>
      </w:r>
      <w:proofErr w:type="spellEnd"/>
      <w:r w:rsidRPr="000F6AF2">
        <w:rPr>
          <w:sz w:val="24"/>
          <w:szCs w:val="24"/>
        </w:rPr>
        <w:t xml:space="preserve"> ikke anvendes under graviditet.</w:t>
      </w:r>
    </w:p>
    <w:p w14:paraId="62421DF6" w14:textId="77777777" w:rsidR="00F34830" w:rsidRPr="000F6AF2" w:rsidRDefault="00F34830" w:rsidP="00276932">
      <w:pPr>
        <w:ind w:left="851"/>
        <w:rPr>
          <w:sz w:val="24"/>
          <w:szCs w:val="24"/>
        </w:rPr>
      </w:pPr>
    </w:p>
    <w:p w14:paraId="1D845F74" w14:textId="77777777" w:rsidR="00F34830" w:rsidRPr="000F6AF2" w:rsidRDefault="00F34830" w:rsidP="00276932">
      <w:pPr>
        <w:tabs>
          <w:tab w:val="left" w:pos="1134"/>
        </w:tabs>
        <w:ind w:left="851"/>
        <w:rPr>
          <w:bCs/>
          <w:sz w:val="24"/>
          <w:szCs w:val="24"/>
          <w:u w:val="single"/>
        </w:rPr>
      </w:pPr>
      <w:r w:rsidRPr="000F6AF2">
        <w:rPr>
          <w:bCs/>
          <w:sz w:val="24"/>
          <w:szCs w:val="24"/>
          <w:u w:val="single"/>
        </w:rPr>
        <w:t>Amning</w:t>
      </w:r>
    </w:p>
    <w:p w14:paraId="7A4EACFE" w14:textId="77777777" w:rsidR="00F34830" w:rsidRPr="000F6AF2" w:rsidRDefault="00F34830" w:rsidP="00276932">
      <w:pPr>
        <w:ind w:left="851"/>
        <w:rPr>
          <w:b/>
          <w:sz w:val="24"/>
          <w:szCs w:val="24"/>
        </w:rPr>
      </w:pPr>
      <w:r w:rsidRPr="000F6AF2">
        <w:rPr>
          <w:sz w:val="24"/>
          <w:szCs w:val="24"/>
        </w:rPr>
        <w:t xml:space="preserve">Det er ukendt, om </w:t>
      </w:r>
      <w:proofErr w:type="spellStart"/>
      <w:r w:rsidRPr="000F6AF2">
        <w:rPr>
          <w:sz w:val="24"/>
          <w:szCs w:val="24"/>
        </w:rPr>
        <w:t>Alluzience</w:t>
      </w:r>
      <w:proofErr w:type="spellEnd"/>
      <w:r w:rsidRPr="000F6AF2">
        <w:rPr>
          <w:sz w:val="24"/>
          <w:szCs w:val="24"/>
        </w:rPr>
        <w:t xml:space="preserve"> udskilles i human mælk. </w:t>
      </w:r>
      <w:proofErr w:type="spellStart"/>
      <w:r w:rsidRPr="000F6AF2">
        <w:rPr>
          <w:sz w:val="24"/>
          <w:szCs w:val="24"/>
        </w:rPr>
        <w:t>Alluzience</w:t>
      </w:r>
      <w:proofErr w:type="spellEnd"/>
      <w:r w:rsidRPr="000F6AF2">
        <w:rPr>
          <w:sz w:val="24"/>
          <w:szCs w:val="24"/>
        </w:rPr>
        <w:t xml:space="preserve"> bør ikke anvendes under amning.</w:t>
      </w:r>
    </w:p>
    <w:p w14:paraId="374F93E5" w14:textId="77777777" w:rsidR="00F34830" w:rsidRPr="000F6AF2" w:rsidRDefault="00F34830" w:rsidP="00276932">
      <w:pPr>
        <w:ind w:left="851"/>
        <w:rPr>
          <w:bCs/>
          <w:sz w:val="24"/>
          <w:szCs w:val="24"/>
          <w:u w:val="single"/>
        </w:rPr>
      </w:pPr>
    </w:p>
    <w:p w14:paraId="02E98958" w14:textId="77777777" w:rsidR="00F34830" w:rsidRPr="000F6AF2" w:rsidRDefault="00F34830" w:rsidP="00276932">
      <w:pPr>
        <w:ind w:left="851"/>
        <w:rPr>
          <w:bCs/>
          <w:sz w:val="24"/>
          <w:szCs w:val="24"/>
          <w:u w:val="single"/>
        </w:rPr>
      </w:pPr>
      <w:r w:rsidRPr="000F6AF2">
        <w:rPr>
          <w:bCs/>
          <w:sz w:val="24"/>
          <w:szCs w:val="24"/>
          <w:u w:val="single"/>
        </w:rPr>
        <w:t>Fertilitet</w:t>
      </w:r>
    </w:p>
    <w:p w14:paraId="54469D94" w14:textId="77777777" w:rsidR="00F34830" w:rsidRPr="000F6AF2" w:rsidRDefault="00F34830" w:rsidP="00276932">
      <w:pPr>
        <w:ind w:left="851"/>
        <w:rPr>
          <w:sz w:val="24"/>
          <w:szCs w:val="24"/>
        </w:rPr>
      </w:pPr>
      <w:r w:rsidRPr="000F6AF2">
        <w:rPr>
          <w:sz w:val="24"/>
          <w:szCs w:val="24"/>
        </w:rPr>
        <w:t xml:space="preserve">Der er ingen kliniske data, som undersøger effekten af </w:t>
      </w:r>
      <w:proofErr w:type="spellStart"/>
      <w:r w:rsidRPr="000F6AF2">
        <w:rPr>
          <w:sz w:val="24"/>
          <w:szCs w:val="24"/>
        </w:rPr>
        <w:t>Alluzience</w:t>
      </w:r>
      <w:proofErr w:type="spellEnd"/>
      <w:r w:rsidRPr="000F6AF2">
        <w:rPr>
          <w:sz w:val="24"/>
          <w:szCs w:val="24"/>
        </w:rPr>
        <w:t xml:space="preserve"> på fertiliteten. Der er ingen tegn på direkte virkning af </w:t>
      </w:r>
      <w:proofErr w:type="spellStart"/>
      <w:r w:rsidRPr="000F6AF2">
        <w:rPr>
          <w:sz w:val="24"/>
          <w:szCs w:val="24"/>
        </w:rPr>
        <w:t>Alluzience</w:t>
      </w:r>
      <w:proofErr w:type="spellEnd"/>
      <w:r w:rsidRPr="000F6AF2">
        <w:rPr>
          <w:sz w:val="24"/>
          <w:szCs w:val="24"/>
        </w:rPr>
        <w:t xml:space="preserve"> på fertilitet i dyreforsøg (se afsnit 5.3).</w:t>
      </w:r>
    </w:p>
    <w:p w14:paraId="4B6E882C" w14:textId="77777777" w:rsidR="009260DE" w:rsidRPr="000F6AF2" w:rsidRDefault="009260DE" w:rsidP="009260DE">
      <w:pPr>
        <w:tabs>
          <w:tab w:val="left" w:pos="851"/>
        </w:tabs>
        <w:ind w:left="851"/>
        <w:rPr>
          <w:sz w:val="24"/>
          <w:szCs w:val="24"/>
        </w:rPr>
      </w:pPr>
    </w:p>
    <w:p w14:paraId="6A6AF073" w14:textId="371CEF6A" w:rsidR="009260DE" w:rsidRPr="000F6AF2" w:rsidRDefault="009260DE" w:rsidP="009260DE">
      <w:pPr>
        <w:tabs>
          <w:tab w:val="left" w:pos="851"/>
        </w:tabs>
        <w:ind w:left="851" w:hanging="851"/>
        <w:rPr>
          <w:b/>
          <w:sz w:val="24"/>
          <w:szCs w:val="24"/>
        </w:rPr>
      </w:pPr>
      <w:r w:rsidRPr="000F6AF2">
        <w:rPr>
          <w:b/>
          <w:sz w:val="24"/>
          <w:szCs w:val="24"/>
        </w:rPr>
        <w:t>4.7</w:t>
      </w:r>
      <w:r w:rsidRPr="000F6AF2">
        <w:rPr>
          <w:b/>
          <w:sz w:val="24"/>
          <w:szCs w:val="24"/>
        </w:rPr>
        <w:tab/>
        <w:t xml:space="preserve">Virkning på evnen til at føre motorkøretøj </w:t>
      </w:r>
      <w:r w:rsidR="008D13DE">
        <w:rPr>
          <w:b/>
          <w:sz w:val="24"/>
          <w:szCs w:val="24"/>
        </w:rPr>
        <w:t>og</w:t>
      </w:r>
      <w:r w:rsidRPr="000F6AF2">
        <w:rPr>
          <w:b/>
          <w:sz w:val="24"/>
          <w:szCs w:val="24"/>
        </w:rPr>
        <w:t xml:space="preserve"> betjene maskiner</w:t>
      </w:r>
    </w:p>
    <w:p w14:paraId="75F22749" w14:textId="77777777" w:rsidR="00F34830" w:rsidRPr="000F6AF2" w:rsidRDefault="00F34830" w:rsidP="00276932">
      <w:pPr>
        <w:ind w:left="851"/>
        <w:rPr>
          <w:sz w:val="24"/>
          <w:szCs w:val="24"/>
        </w:rPr>
      </w:pPr>
      <w:r w:rsidRPr="000F6AF2">
        <w:rPr>
          <w:sz w:val="24"/>
          <w:szCs w:val="24"/>
        </w:rPr>
        <w:t>Ikke mærkning.</w:t>
      </w:r>
    </w:p>
    <w:p w14:paraId="65DA010C" w14:textId="5D86EE57" w:rsidR="00F34830" w:rsidRPr="000F6AF2" w:rsidRDefault="00F34830" w:rsidP="00276932">
      <w:pPr>
        <w:ind w:left="851"/>
        <w:rPr>
          <w:sz w:val="24"/>
          <w:szCs w:val="24"/>
        </w:rPr>
      </w:pPr>
      <w:proofErr w:type="spellStart"/>
      <w:r w:rsidRPr="000F6AF2">
        <w:rPr>
          <w:sz w:val="24"/>
          <w:szCs w:val="24"/>
        </w:rPr>
        <w:t>Alluzience</w:t>
      </w:r>
      <w:proofErr w:type="spellEnd"/>
      <w:r w:rsidRPr="000F6AF2">
        <w:rPr>
          <w:sz w:val="24"/>
          <w:szCs w:val="24"/>
        </w:rPr>
        <w:t xml:space="preserve"> påvirker i mindre eller moderat grad evnen til at føre motorkøretøj eller betjene maskiner. Der er en potentiel risiko for lokal muskelsvaghed eller synsforstyrrelser i forbindelse med anvendelsen af dette lægemiddel, som midlertidigt kan nedsætte evnen til at føre motorkøretøj eller betjene maskiner. </w:t>
      </w:r>
    </w:p>
    <w:p w14:paraId="01084587" w14:textId="77777777" w:rsidR="009260DE" w:rsidRPr="000F6AF2" w:rsidRDefault="009260DE" w:rsidP="009260DE">
      <w:pPr>
        <w:tabs>
          <w:tab w:val="left" w:pos="851"/>
        </w:tabs>
        <w:ind w:left="851"/>
        <w:rPr>
          <w:sz w:val="24"/>
          <w:szCs w:val="24"/>
        </w:rPr>
      </w:pPr>
    </w:p>
    <w:p w14:paraId="355FF1F5" w14:textId="77777777" w:rsidR="009260DE" w:rsidRPr="000F6AF2" w:rsidRDefault="009260DE" w:rsidP="009260DE">
      <w:pPr>
        <w:tabs>
          <w:tab w:val="left" w:pos="851"/>
        </w:tabs>
        <w:ind w:left="851" w:hanging="851"/>
        <w:rPr>
          <w:b/>
          <w:sz w:val="24"/>
          <w:szCs w:val="24"/>
        </w:rPr>
      </w:pPr>
      <w:r w:rsidRPr="000F6AF2">
        <w:rPr>
          <w:b/>
          <w:sz w:val="24"/>
          <w:szCs w:val="24"/>
        </w:rPr>
        <w:t>4.8</w:t>
      </w:r>
      <w:r w:rsidRPr="000F6AF2">
        <w:rPr>
          <w:b/>
          <w:sz w:val="24"/>
          <w:szCs w:val="24"/>
        </w:rPr>
        <w:tab/>
        <w:t>Bivirkninger</w:t>
      </w:r>
    </w:p>
    <w:p w14:paraId="6ABE71FF" w14:textId="77777777" w:rsidR="00DB36AA" w:rsidRDefault="00DB36AA" w:rsidP="00276932">
      <w:pPr>
        <w:ind w:left="851"/>
        <w:rPr>
          <w:sz w:val="24"/>
          <w:szCs w:val="24"/>
          <w:u w:val="single"/>
        </w:rPr>
      </w:pPr>
    </w:p>
    <w:p w14:paraId="49D7A459" w14:textId="1C725F4B" w:rsidR="00F34830" w:rsidRPr="000F6AF2" w:rsidRDefault="00F34830" w:rsidP="00276932">
      <w:pPr>
        <w:ind w:left="851"/>
        <w:rPr>
          <w:sz w:val="24"/>
          <w:szCs w:val="24"/>
          <w:u w:val="single"/>
          <w:lang w:eastAsia="da-DK"/>
        </w:rPr>
      </w:pPr>
      <w:r w:rsidRPr="000F6AF2">
        <w:rPr>
          <w:sz w:val="24"/>
          <w:szCs w:val="24"/>
          <w:u w:val="single"/>
        </w:rPr>
        <w:t>Resumé af sikkerhedsprofilen</w:t>
      </w:r>
    </w:p>
    <w:p w14:paraId="70C8D5B4" w14:textId="77777777" w:rsidR="00F34830" w:rsidRPr="000F6AF2" w:rsidRDefault="00F34830" w:rsidP="00276932">
      <w:pPr>
        <w:pStyle w:val="Sidehoved"/>
        <w:ind w:left="851"/>
        <w:rPr>
          <w:szCs w:val="24"/>
        </w:rPr>
      </w:pPr>
      <w:r w:rsidRPr="000F6AF2">
        <w:rPr>
          <w:szCs w:val="24"/>
        </w:rPr>
        <w:t xml:space="preserve">De fleste bivirkninger rapporteret med </w:t>
      </w:r>
      <w:proofErr w:type="spellStart"/>
      <w:r w:rsidRPr="000F6AF2">
        <w:rPr>
          <w:szCs w:val="24"/>
        </w:rPr>
        <w:t>Alluzience</w:t>
      </w:r>
      <w:proofErr w:type="spellEnd"/>
      <w:r w:rsidRPr="000F6AF2">
        <w:rPr>
          <w:szCs w:val="24"/>
        </w:rPr>
        <w:t xml:space="preserve"> i kliniske forsøg var af mild til moderat intensitet og reversible. De hyppigst rapporterede bivirkninger var hovedpine og reaktioner på injektionsstedet. Forekomsten af bivirkninger faldt tendentielt ved gentagne behandlinger.</w:t>
      </w:r>
    </w:p>
    <w:p w14:paraId="63BB3F64" w14:textId="77777777" w:rsidR="00F34830" w:rsidRPr="000F6AF2" w:rsidRDefault="00F34830" w:rsidP="00276932">
      <w:pPr>
        <w:pStyle w:val="Sidehoved"/>
        <w:ind w:left="851"/>
        <w:rPr>
          <w:szCs w:val="24"/>
        </w:rPr>
      </w:pPr>
    </w:p>
    <w:p w14:paraId="217BD9D7" w14:textId="77777777" w:rsidR="00F34830" w:rsidRPr="000F6AF2" w:rsidRDefault="00F34830" w:rsidP="00276932">
      <w:pPr>
        <w:pStyle w:val="Sidehoved"/>
        <w:ind w:left="851"/>
        <w:rPr>
          <w:szCs w:val="24"/>
        </w:rPr>
      </w:pPr>
      <w:r w:rsidRPr="000F6AF2">
        <w:rPr>
          <w:szCs w:val="24"/>
        </w:rPr>
        <w:t xml:space="preserve">Bivirkninger, der skyldtes spredning af toksineffekten langt fra administrationsstedet, er meget sjældent rapporteret for </w:t>
      </w:r>
      <w:proofErr w:type="spellStart"/>
      <w:r w:rsidRPr="000F6AF2">
        <w:rPr>
          <w:szCs w:val="24"/>
        </w:rPr>
        <w:t>botulinumtoksin</w:t>
      </w:r>
      <w:proofErr w:type="spellEnd"/>
      <w:r w:rsidRPr="000F6AF2">
        <w:rPr>
          <w:szCs w:val="24"/>
        </w:rPr>
        <w:t xml:space="preserve"> (overdreven muskelsvaghed, </w:t>
      </w:r>
      <w:proofErr w:type="spellStart"/>
      <w:r w:rsidRPr="000F6AF2">
        <w:rPr>
          <w:szCs w:val="24"/>
        </w:rPr>
        <w:t>dysfagi</w:t>
      </w:r>
      <w:proofErr w:type="spellEnd"/>
      <w:r w:rsidRPr="000F6AF2">
        <w:rPr>
          <w:szCs w:val="24"/>
        </w:rPr>
        <w:t xml:space="preserve"> og aspirationspneumoni med dødeligt udfald i nogle tilfælde) (se pkt. 4.4).</w:t>
      </w:r>
    </w:p>
    <w:p w14:paraId="2760BFE9" w14:textId="77777777" w:rsidR="00F34830" w:rsidRPr="000F6AF2" w:rsidRDefault="00F34830" w:rsidP="00276932">
      <w:pPr>
        <w:pStyle w:val="Sidehoved"/>
        <w:ind w:left="851"/>
        <w:rPr>
          <w:szCs w:val="24"/>
        </w:rPr>
      </w:pPr>
    </w:p>
    <w:p w14:paraId="45AF06F7" w14:textId="77777777" w:rsidR="00F34830" w:rsidRPr="000F6AF2" w:rsidRDefault="00F34830" w:rsidP="00276932">
      <w:pPr>
        <w:pStyle w:val="Sidehoved"/>
        <w:ind w:left="851"/>
        <w:rPr>
          <w:szCs w:val="24"/>
        </w:rPr>
      </w:pPr>
      <w:r w:rsidRPr="000F6AF2">
        <w:rPr>
          <w:szCs w:val="24"/>
        </w:rPr>
        <w:t xml:space="preserve">Bivirkningerne stammer fra pivotale placebo-kontrollerede kliniske forsøg med </w:t>
      </w:r>
      <w:proofErr w:type="spellStart"/>
      <w:r w:rsidRPr="000F6AF2">
        <w:rPr>
          <w:szCs w:val="24"/>
        </w:rPr>
        <w:t>Alluzience</w:t>
      </w:r>
      <w:proofErr w:type="spellEnd"/>
      <w:r w:rsidRPr="000F6AF2">
        <w:rPr>
          <w:szCs w:val="24"/>
        </w:rPr>
        <w:t xml:space="preserve"> og ligeledes pivotale placebo-kontrollerede studier med pulver-formuleringen af samme aktive substans og er ordnet iht. primær systemorganklassen (SOC) for hver </w:t>
      </w:r>
      <w:proofErr w:type="spellStart"/>
      <w:r w:rsidRPr="000F6AF2">
        <w:rPr>
          <w:szCs w:val="24"/>
        </w:rPr>
        <w:t>MedDRA</w:t>
      </w:r>
      <w:proofErr w:type="spellEnd"/>
      <w:r w:rsidRPr="000F6AF2">
        <w:rPr>
          <w:szCs w:val="24"/>
        </w:rPr>
        <w:t xml:space="preserve"> fortrukken term (tabel 1).</w:t>
      </w:r>
    </w:p>
    <w:p w14:paraId="66AB09D8" w14:textId="77777777" w:rsidR="00F34830" w:rsidRPr="000F6AF2" w:rsidRDefault="00F34830" w:rsidP="00276932">
      <w:pPr>
        <w:pStyle w:val="Sidehoved"/>
        <w:ind w:left="851"/>
        <w:rPr>
          <w:szCs w:val="24"/>
        </w:rPr>
      </w:pPr>
    </w:p>
    <w:p w14:paraId="4AA594AF" w14:textId="77777777" w:rsidR="00F34830" w:rsidRPr="000F6AF2" w:rsidRDefault="00F34830" w:rsidP="00276932">
      <w:pPr>
        <w:pStyle w:val="Sidehoved"/>
        <w:ind w:left="851"/>
        <w:rPr>
          <w:szCs w:val="24"/>
          <w:u w:val="single"/>
        </w:rPr>
      </w:pPr>
      <w:r w:rsidRPr="000F6AF2">
        <w:rPr>
          <w:szCs w:val="24"/>
          <w:u w:val="single"/>
        </w:rPr>
        <w:t>Oversigt over bivirkninger i tabelform</w:t>
      </w:r>
    </w:p>
    <w:p w14:paraId="4D45E905" w14:textId="77777777" w:rsidR="00F34830" w:rsidRPr="000F6AF2" w:rsidRDefault="00F34830" w:rsidP="00276932">
      <w:pPr>
        <w:pStyle w:val="Sidehoved"/>
        <w:ind w:left="851"/>
        <w:rPr>
          <w:szCs w:val="24"/>
        </w:rPr>
      </w:pPr>
      <w:r w:rsidRPr="000F6AF2">
        <w:rPr>
          <w:szCs w:val="24"/>
        </w:rPr>
        <w:t>Hyppigheden af bivirkninger er klassificeret som følger:</w:t>
      </w:r>
    </w:p>
    <w:p w14:paraId="0E0950CB" w14:textId="77777777" w:rsidR="00F34830" w:rsidRPr="000F6AF2" w:rsidRDefault="00F34830" w:rsidP="00276932">
      <w:pPr>
        <w:pStyle w:val="Sidehoved"/>
        <w:ind w:left="851"/>
        <w:rPr>
          <w:szCs w:val="24"/>
        </w:rPr>
      </w:pPr>
      <w:r w:rsidRPr="000F6AF2">
        <w:rPr>
          <w:szCs w:val="24"/>
        </w:rPr>
        <w:t>Meget almindelige (≥1/10); almindelige (≥1/100 til &lt;1/10); ikke almindelige (≥1/1.000 til &lt;1/100); sjældne (≥1/10.000 til &lt;1/1.000); meget sjældne (&lt;1/10.000); ikke kendt (kan ikke estimeres ud fra forhåndenværende data).</w:t>
      </w:r>
    </w:p>
    <w:p w14:paraId="166D2569" w14:textId="77777777" w:rsidR="00F34830" w:rsidRPr="000F6AF2" w:rsidRDefault="00F34830" w:rsidP="00276932">
      <w:pPr>
        <w:pStyle w:val="Sidehoved"/>
        <w:ind w:left="851"/>
        <w:rPr>
          <w:szCs w:val="24"/>
        </w:rPr>
      </w:pPr>
    </w:p>
    <w:p w14:paraId="7440E051" w14:textId="77777777" w:rsidR="00F34830" w:rsidRPr="000F6AF2" w:rsidRDefault="00F34830" w:rsidP="00276932">
      <w:pPr>
        <w:pStyle w:val="Sidehoved"/>
        <w:ind w:left="851"/>
        <w:rPr>
          <w:szCs w:val="24"/>
        </w:rPr>
      </w:pPr>
      <w:r w:rsidRPr="000F6AF2">
        <w:rPr>
          <w:szCs w:val="24"/>
        </w:rPr>
        <w:t>Tabel 1: Bivirkninger set i kliniske studier</w:t>
      </w:r>
    </w:p>
    <w:p w14:paraId="77EA85F3" w14:textId="77777777" w:rsidR="00F34830" w:rsidRPr="000F6AF2" w:rsidRDefault="00F34830" w:rsidP="00F34830">
      <w:pPr>
        <w:pStyle w:val="Sidehoved"/>
        <w:tabs>
          <w:tab w:val="left" w:pos="851"/>
        </w:tabs>
        <w:ind w:left="851"/>
        <w:rPr>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5155"/>
      </w:tblGrid>
      <w:tr w:rsidR="00F34830" w:rsidRPr="000F6AF2" w14:paraId="48226188" w14:textId="77777777" w:rsidTr="00F34830">
        <w:trPr>
          <w:trHeight w:val="254"/>
        </w:trPr>
        <w:tc>
          <w:tcPr>
            <w:tcW w:w="3289" w:type="dxa"/>
            <w:tcBorders>
              <w:top w:val="single" w:sz="4" w:space="0" w:color="auto"/>
              <w:left w:val="single" w:sz="4" w:space="0" w:color="auto"/>
              <w:bottom w:val="single" w:sz="4" w:space="0" w:color="auto"/>
              <w:right w:val="single" w:sz="4" w:space="0" w:color="auto"/>
            </w:tcBorders>
            <w:hideMark/>
          </w:tcPr>
          <w:p w14:paraId="7B21A54C" w14:textId="77777777" w:rsidR="00F34830" w:rsidRPr="000F6AF2" w:rsidRDefault="00F34830">
            <w:pPr>
              <w:pStyle w:val="Sidehoved"/>
              <w:tabs>
                <w:tab w:val="left" w:pos="851"/>
              </w:tabs>
              <w:rPr>
                <w:szCs w:val="24"/>
              </w:rPr>
            </w:pPr>
            <w:r w:rsidRPr="000F6AF2">
              <w:rPr>
                <w:szCs w:val="24"/>
              </w:rPr>
              <w:t>Nervesystemet</w:t>
            </w:r>
          </w:p>
        </w:tc>
        <w:tc>
          <w:tcPr>
            <w:tcW w:w="5155" w:type="dxa"/>
            <w:tcBorders>
              <w:top w:val="single" w:sz="4" w:space="0" w:color="auto"/>
              <w:left w:val="single" w:sz="4" w:space="0" w:color="auto"/>
              <w:bottom w:val="single" w:sz="4" w:space="0" w:color="auto"/>
              <w:right w:val="single" w:sz="4" w:space="0" w:color="auto"/>
            </w:tcBorders>
            <w:hideMark/>
          </w:tcPr>
          <w:p w14:paraId="54CF55B6" w14:textId="77777777" w:rsidR="00F34830" w:rsidRPr="000F6AF2" w:rsidRDefault="00F34830">
            <w:pPr>
              <w:pStyle w:val="Sidehoved"/>
              <w:tabs>
                <w:tab w:val="left" w:pos="851"/>
              </w:tabs>
              <w:rPr>
                <w:szCs w:val="24"/>
                <w:u w:val="single"/>
              </w:rPr>
            </w:pPr>
            <w:r w:rsidRPr="000F6AF2">
              <w:rPr>
                <w:szCs w:val="24"/>
                <w:u w:val="single"/>
              </w:rPr>
              <w:t>Meget almindelige</w:t>
            </w:r>
          </w:p>
          <w:p w14:paraId="3117FFC2" w14:textId="77777777" w:rsidR="00F34830" w:rsidRPr="000F6AF2" w:rsidRDefault="00F34830">
            <w:pPr>
              <w:pStyle w:val="Sidehoved"/>
              <w:tabs>
                <w:tab w:val="left" w:pos="851"/>
              </w:tabs>
              <w:rPr>
                <w:szCs w:val="24"/>
              </w:rPr>
            </w:pPr>
            <w:r w:rsidRPr="000F6AF2">
              <w:rPr>
                <w:szCs w:val="24"/>
              </w:rPr>
              <w:t>Hovedpine</w:t>
            </w:r>
          </w:p>
          <w:p w14:paraId="00BB8AC0" w14:textId="42EFA471" w:rsidR="00F34830" w:rsidRPr="000F6AF2" w:rsidRDefault="00F34830">
            <w:pPr>
              <w:pStyle w:val="Sidehoved"/>
              <w:tabs>
                <w:tab w:val="left" w:pos="851"/>
              </w:tabs>
              <w:rPr>
                <w:szCs w:val="24"/>
              </w:rPr>
            </w:pPr>
            <w:r w:rsidRPr="000F6AF2">
              <w:rPr>
                <w:szCs w:val="24"/>
                <w:u w:val="single"/>
              </w:rPr>
              <w:t>Almindelige</w:t>
            </w:r>
          </w:p>
          <w:p w14:paraId="35C68FFD" w14:textId="77777777" w:rsidR="00F34830" w:rsidRPr="000F6AF2" w:rsidRDefault="00F34830">
            <w:pPr>
              <w:pStyle w:val="Sidehoved"/>
              <w:tabs>
                <w:tab w:val="left" w:pos="851"/>
              </w:tabs>
              <w:rPr>
                <w:szCs w:val="24"/>
              </w:rPr>
            </w:pPr>
            <w:proofErr w:type="spellStart"/>
            <w:r w:rsidRPr="000F6AF2">
              <w:rPr>
                <w:szCs w:val="24"/>
              </w:rPr>
              <w:t>Facialisparese</w:t>
            </w:r>
            <w:proofErr w:type="spellEnd"/>
            <w:r w:rsidRPr="000F6AF2">
              <w:rPr>
                <w:szCs w:val="24"/>
              </w:rPr>
              <w:t>*</w:t>
            </w:r>
          </w:p>
          <w:p w14:paraId="1D8EA525" w14:textId="3745847E" w:rsidR="00F34830" w:rsidRPr="000F6AF2" w:rsidRDefault="00F34830">
            <w:pPr>
              <w:pStyle w:val="Sidehoved"/>
              <w:tabs>
                <w:tab w:val="left" w:pos="851"/>
              </w:tabs>
              <w:rPr>
                <w:szCs w:val="24"/>
                <w:u w:val="single"/>
              </w:rPr>
            </w:pPr>
            <w:r w:rsidRPr="000F6AF2">
              <w:rPr>
                <w:szCs w:val="24"/>
                <w:u w:val="single"/>
              </w:rPr>
              <w:t>Ikke almindelige</w:t>
            </w:r>
          </w:p>
          <w:p w14:paraId="04623F48" w14:textId="77777777" w:rsidR="00F34830" w:rsidRPr="000F6AF2" w:rsidRDefault="00F34830">
            <w:pPr>
              <w:pStyle w:val="Sidehoved"/>
              <w:tabs>
                <w:tab w:val="left" w:pos="851"/>
              </w:tabs>
              <w:rPr>
                <w:szCs w:val="24"/>
                <w:u w:val="single"/>
              </w:rPr>
            </w:pPr>
            <w:r w:rsidRPr="000F6AF2">
              <w:rPr>
                <w:szCs w:val="24"/>
              </w:rPr>
              <w:t>Svimmelhed*</w:t>
            </w:r>
          </w:p>
        </w:tc>
      </w:tr>
      <w:tr w:rsidR="00F34830" w:rsidRPr="000F6AF2" w14:paraId="2B2B5016" w14:textId="77777777" w:rsidTr="00F34830">
        <w:trPr>
          <w:trHeight w:val="747"/>
        </w:trPr>
        <w:tc>
          <w:tcPr>
            <w:tcW w:w="3289" w:type="dxa"/>
            <w:tcBorders>
              <w:top w:val="single" w:sz="4" w:space="0" w:color="auto"/>
              <w:left w:val="single" w:sz="4" w:space="0" w:color="auto"/>
              <w:bottom w:val="single" w:sz="4" w:space="0" w:color="auto"/>
              <w:right w:val="single" w:sz="4" w:space="0" w:color="auto"/>
            </w:tcBorders>
            <w:hideMark/>
          </w:tcPr>
          <w:p w14:paraId="6A0476F8" w14:textId="77777777" w:rsidR="00F34830" w:rsidRPr="000F6AF2" w:rsidRDefault="00F34830">
            <w:pPr>
              <w:pStyle w:val="Sidehoved"/>
              <w:tabs>
                <w:tab w:val="left" w:pos="851"/>
              </w:tabs>
              <w:rPr>
                <w:szCs w:val="24"/>
              </w:rPr>
            </w:pPr>
            <w:r w:rsidRPr="000F6AF2">
              <w:rPr>
                <w:szCs w:val="24"/>
              </w:rPr>
              <w:lastRenderedPageBreak/>
              <w:t>Øjne</w:t>
            </w:r>
          </w:p>
        </w:tc>
        <w:tc>
          <w:tcPr>
            <w:tcW w:w="5155" w:type="dxa"/>
            <w:tcBorders>
              <w:top w:val="single" w:sz="4" w:space="0" w:color="auto"/>
              <w:left w:val="single" w:sz="4" w:space="0" w:color="auto"/>
              <w:bottom w:val="single" w:sz="4" w:space="0" w:color="auto"/>
              <w:right w:val="single" w:sz="4" w:space="0" w:color="auto"/>
            </w:tcBorders>
            <w:hideMark/>
          </w:tcPr>
          <w:p w14:paraId="4854FCC2" w14:textId="77777777" w:rsidR="00F34830" w:rsidRPr="000F6AF2" w:rsidRDefault="00F34830">
            <w:pPr>
              <w:pStyle w:val="Sidehoved"/>
              <w:tabs>
                <w:tab w:val="left" w:pos="851"/>
              </w:tabs>
              <w:rPr>
                <w:szCs w:val="24"/>
                <w:u w:val="single"/>
              </w:rPr>
            </w:pPr>
            <w:r w:rsidRPr="000F6AF2">
              <w:rPr>
                <w:szCs w:val="24"/>
                <w:u w:val="single"/>
              </w:rPr>
              <w:t>Almindelige</w:t>
            </w:r>
          </w:p>
          <w:p w14:paraId="7F717132" w14:textId="77777777" w:rsidR="00F34830" w:rsidRPr="000F6AF2" w:rsidRDefault="00F34830">
            <w:pPr>
              <w:pStyle w:val="Sidehoved"/>
              <w:tabs>
                <w:tab w:val="left" w:pos="851"/>
              </w:tabs>
              <w:rPr>
                <w:szCs w:val="24"/>
              </w:rPr>
            </w:pPr>
            <w:proofErr w:type="spellStart"/>
            <w:r w:rsidRPr="000F6AF2">
              <w:rPr>
                <w:szCs w:val="24"/>
              </w:rPr>
              <w:t>Øjenlågsptose</w:t>
            </w:r>
            <w:proofErr w:type="spellEnd"/>
            <w:r w:rsidRPr="000F6AF2">
              <w:rPr>
                <w:szCs w:val="24"/>
              </w:rPr>
              <w:t xml:space="preserve">, øjenlågsødem, </w:t>
            </w:r>
            <w:proofErr w:type="spellStart"/>
            <w:r w:rsidRPr="000F6AF2">
              <w:rPr>
                <w:szCs w:val="24"/>
              </w:rPr>
              <w:t>øjenbrynsptose</w:t>
            </w:r>
            <w:proofErr w:type="spellEnd"/>
            <w:r w:rsidRPr="000F6AF2">
              <w:rPr>
                <w:szCs w:val="24"/>
              </w:rPr>
              <w:t xml:space="preserve">, tørre øjne, øget </w:t>
            </w:r>
            <w:proofErr w:type="spellStart"/>
            <w:r w:rsidRPr="000F6AF2">
              <w:rPr>
                <w:szCs w:val="24"/>
              </w:rPr>
              <w:t>lakrimation</w:t>
            </w:r>
            <w:proofErr w:type="spellEnd"/>
            <w:r w:rsidRPr="000F6AF2">
              <w:rPr>
                <w:szCs w:val="24"/>
              </w:rPr>
              <w:t xml:space="preserve">, </w:t>
            </w:r>
            <w:proofErr w:type="spellStart"/>
            <w:r w:rsidRPr="000F6AF2">
              <w:rPr>
                <w:szCs w:val="24"/>
              </w:rPr>
              <w:t>astenopi</w:t>
            </w:r>
            <w:proofErr w:type="spellEnd"/>
            <w:r w:rsidRPr="000F6AF2">
              <w:rPr>
                <w:szCs w:val="24"/>
              </w:rPr>
              <w:t xml:space="preserve">*, muskelsammentrækninger (sammentrækninger af muskler omkring </w:t>
            </w:r>
            <w:proofErr w:type="gramStart"/>
            <w:r w:rsidRPr="000F6AF2">
              <w:rPr>
                <w:szCs w:val="24"/>
              </w:rPr>
              <w:t>øjet)*</w:t>
            </w:r>
            <w:proofErr w:type="gramEnd"/>
          </w:p>
          <w:p w14:paraId="3E107962" w14:textId="5D81C235" w:rsidR="00F34830" w:rsidRPr="000F6AF2" w:rsidRDefault="00F34830">
            <w:pPr>
              <w:pStyle w:val="Sidehoved"/>
              <w:tabs>
                <w:tab w:val="left" w:pos="851"/>
              </w:tabs>
              <w:rPr>
                <w:szCs w:val="24"/>
                <w:u w:val="single"/>
              </w:rPr>
            </w:pPr>
            <w:r w:rsidRPr="000F6AF2">
              <w:rPr>
                <w:szCs w:val="24"/>
                <w:u w:val="single"/>
              </w:rPr>
              <w:t>Ikke almindelige</w:t>
            </w:r>
          </w:p>
          <w:p w14:paraId="190D85F0" w14:textId="77777777" w:rsidR="00F34830" w:rsidRPr="000F6AF2" w:rsidRDefault="00F34830">
            <w:pPr>
              <w:pStyle w:val="Sidehoved"/>
              <w:tabs>
                <w:tab w:val="left" w:pos="851"/>
              </w:tabs>
              <w:rPr>
                <w:szCs w:val="24"/>
              </w:rPr>
            </w:pPr>
            <w:r w:rsidRPr="000F6AF2">
              <w:rPr>
                <w:szCs w:val="24"/>
              </w:rPr>
              <w:t xml:space="preserve">Muskelsammentrækninger i øjenlåget, synssvækkelse*, sløret syn*, </w:t>
            </w:r>
            <w:proofErr w:type="spellStart"/>
            <w:r w:rsidRPr="000F6AF2">
              <w:rPr>
                <w:szCs w:val="24"/>
              </w:rPr>
              <w:t>diplopi</w:t>
            </w:r>
            <w:proofErr w:type="spellEnd"/>
            <w:r w:rsidRPr="000F6AF2">
              <w:rPr>
                <w:szCs w:val="24"/>
              </w:rPr>
              <w:t>*</w:t>
            </w:r>
          </w:p>
          <w:p w14:paraId="36D7F9CA" w14:textId="77777777" w:rsidR="00F34830" w:rsidRPr="000F6AF2" w:rsidRDefault="00F34830">
            <w:pPr>
              <w:pStyle w:val="Sidehoved"/>
              <w:tabs>
                <w:tab w:val="left" w:pos="851"/>
              </w:tabs>
              <w:rPr>
                <w:szCs w:val="24"/>
                <w:u w:val="single"/>
              </w:rPr>
            </w:pPr>
            <w:r w:rsidRPr="000F6AF2">
              <w:rPr>
                <w:szCs w:val="24"/>
                <w:u w:val="single"/>
              </w:rPr>
              <w:t>Sjældne</w:t>
            </w:r>
          </w:p>
          <w:p w14:paraId="16969DAA" w14:textId="77777777" w:rsidR="00F34830" w:rsidRPr="000F6AF2" w:rsidRDefault="00F34830">
            <w:pPr>
              <w:pStyle w:val="Sidehoved"/>
              <w:tabs>
                <w:tab w:val="left" w:pos="851"/>
              </w:tabs>
              <w:rPr>
                <w:szCs w:val="24"/>
              </w:rPr>
            </w:pPr>
            <w:r w:rsidRPr="000F6AF2">
              <w:rPr>
                <w:szCs w:val="24"/>
              </w:rPr>
              <w:t>Forstyrrelse af øjenbevægelsen*</w:t>
            </w:r>
          </w:p>
        </w:tc>
      </w:tr>
      <w:tr w:rsidR="00F34830" w:rsidRPr="000F6AF2" w14:paraId="35AFF7FD" w14:textId="77777777" w:rsidTr="00F34830">
        <w:trPr>
          <w:trHeight w:val="1371"/>
        </w:trPr>
        <w:tc>
          <w:tcPr>
            <w:tcW w:w="3289" w:type="dxa"/>
            <w:tcBorders>
              <w:top w:val="single" w:sz="4" w:space="0" w:color="auto"/>
              <w:left w:val="single" w:sz="4" w:space="0" w:color="auto"/>
              <w:bottom w:val="single" w:sz="4" w:space="0" w:color="auto"/>
              <w:right w:val="single" w:sz="4" w:space="0" w:color="auto"/>
            </w:tcBorders>
            <w:hideMark/>
          </w:tcPr>
          <w:p w14:paraId="37AC20DA" w14:textId="77777777" w:rsidR="00F34830" w:rsidRPr="000F6AF2" w:rsidRDefault="00F34830">
            <w:pPr>
              <w:pStyle w:val="Sidehoved"/>
              <w:tabs>
                <w:tab w:val="left" w:pos="851"/>
              </w:tabs>
              <w:rPr>
                <w:szCs w:val="24"/>
              </w:rPr>
            </w:pPr>
            <w:r w:rsidRPr="000F6AF2">
              <w:rPr>
                <w:szCs w:val="24"/>
              </w:rPr>
              <w:t>Almene symptomer og reaktioner på administrationsstedet</w:t>
            </w:r>
          </w:p>
        </w:tc>
        <w:tc>
          <w:tcPr>
            <w:tcW w:w="5155" w:type="dxa"/>
            <w:tcBorders>
              <w:top w:val="single" w:sz="4" w:space="0" w:color="auto"/>
              <w:left w:val="single" w:sz="4" w:space="0" w:color="auto"/>
              <w:bottom w:val="single" w:sz="4" w:space="0" w:color="auto"/>
              <w:right w:val="single" w:sz="4" w:space="0" w:color="auto"/>
            </w:tcBorders>
            <w:hideMark/>
          </w:tcPr>
          <w:p w14:paraId="61752243" w14:textId="77777777" w:rsidR="00F34830" w:rsidRPr="000F6AF2" w:rsidRDefault="00F34830">
            <w:pPr>
              <w:pStyle w:val="Sidehoved"/>
              <w:tabs>
                <w:tab w:val="left" w:pos="851"/>
              </w:tabs>
              <w:rPr>
                <w:szCs w:val="24"/>
                <w:u w:val="single"/>
              </w:rPr>
            </w:pPr>
            <w:r w:rsidRPr="000F6AF2">
              <w:rPr>
                <w:szCs w:val="24"/>
                <w:u w:val="single"/>
              </w:rPr>
              <w:t>Meget almindelige</w:t>
            </w:r>
          </w:p>
          <w:p w14:paraId="65B040B9" w14:textId="77777777" w:rsidR="00F34830" w:rsidRPr="000F6AF2" w:rsidRDefault="00F34830">
            <w:pPr>
              <w:pStyle w:val="Sidehoved"/>
              <w:tabs>
                <w:tab w:val="left" w:pos="851"/>
              </w:tabs>
              <w:rPr>
                <w:szCs w:val="24"/>
              </w:rPr>
            </w:pPr>
            <w:r w:rsidRPr="000F6AF2">
              <w:rPr>
                <w:szCs w:val="24"/>
              </w:rPr>
              <w:t>Reaktioner på injektionsstedet (</w:t>
            </w:r>
            <w:proofErr w:type="spellStart"/>
            <w:r w:rsidRPr="000F6AF2">
              <w:rPr>
                <w:szCs w:val="24"/>
              </w:rPr>
              <w:t>periorbital</w:t>
            </w:r>
            <w:proofErr w:type="spellEnd"/>
            <w:r w:rsidRPr="000F6AF2">
              <w:rPr>
                <w:szCs w:val="24"/>
              </w:rPr>
              <w:t xml:space="preserve"> </w:t>
            </w:r>
            <w:proofErr w:type="spellStart"/>
            <w:r w:rsidRPr="000F6AF2">
              <w:rPr>
                <w:szCs w:val="24"/>
              </w:rPr>
              <w:t>hæmatom</w:t>
            </w:r>
            <w:proofErr w:type="spellEnd"/>
            <w:r w:rsidRPr="000F6AF2">
              <w:rPr>
                <w:szCs w:val="24"/>
              </w:rPr>
              <w:t xml:space="preserve">, </w:t>
            </w:r>
            <w:proofErr w:type="spellStart"/>
            <w:r w:rsidRPr="000F6AF2">
              <w:rPr>
                <w:szCs w:val="24"/>
              </w:rPr>
              <w:t>hæmatom</w:t>
            </w:r>
            <w:proofErr w:type="spellEnd"/>
            <w:r w:rsidRPr="000F6AF2">
              <w:rPr>
                <w:szCs w:val="24"/>
              </w:rPr>
              <w:t xml:space="preserve">, blå mærker, smerte, </w:t>
            </w:r>
            <w:proofErr w:type="spellStart"/>
            <w:r w:rsidRPr="000F6AF2">
              <w:rPr>
                <w:szCs w:val="24"/>
              </w:rPr>
              <w:t>paræstesi</w:t>
            </w:r>
            <w:proofErr w:type="spellEnd"/>
            <w:r w:rsidRPr="000F6AF2">
              <w:rPr>
                <w:szCs w:val="24"/>
              </w:rPr>
              <w:t xml:space="preserve"> </w:t>
            </w:r>
            <w:proofErr w:type="spellStart"/>
            <w:r w:rsidRPr="000F6AF2">
              <w:rPr>
                <w:szCs w:val="24"/>
              </w:rPr>
              <w:t>erytem</w:t>
            </w:r>
            <w:proofErr w:type="spellEnd"/>
            <w:r w:rsidRPr="000F6AF2">
              <w:rPr>
                <w:szCs w:val="24"/>
              </w:rPr>
              <w:t xml:space="preserve">, hævelse*, </w:t>
            </w:r>
            <w:proofErr w:type="spellStart"/>
            <w:r w:rsidRPr="000F6AF2">
              <w:rPr>
                <w:szCs w:val="24"/>
              </w:rPr>
              <w:t>pruritus</w:t>
            </w:r>
            <w:proofErr w:type="spellEnd"/>
            <w:r w:rsidRPr="000F6AF2">
              <w:rPr>
                <w:szCs w:val="24"/>
              </w:rPr>
              <w:t>, ødem*, udslæt*, irritation*, ubehag*, svie*), asteni*, træthed*, influenza-lignende sygdom*</w:t>
            </w:r>
          </w:p>
        </w:tc>
      </w:tr>
      <w:tr w:rsidR="00F34830" w:rsidRPr="000F6AF2" w14:paraId="7E083068" w14:textId="77777777" w:rsidTr="00F34830">
        <w:trPr>
          <w:trHeight w:val="493"/>
        </w:trPr>
        <w:tc>
          <w:tcPr>
            <w:tcW w:w="3289" w:type="dxa"/>
            <w:tcBorders>
              <w:top w:val="single" w:sz="4" w:space="0" w:color="auto"/>
              <w:left w:val="single" w:sz="4" w:space="0" w:color="auto"/>
              <w:bottom w:val="single" w:sz="4" w:space="0" w:color="auto"/>
              <w:right w:val="single" w:sz="4" w:space="0" w:color="auto"/>
            </w:tcBorders>
            <w:hideMark/>
          </w:tcPr>
          <w:p w14:paraId="3AC96546" w14:textId="77777777" w:rsidR="00F34830" w:rsidRPr="000F6AF2" w:rsidRDefault="00F34830">
            <w:pPr>
              <w:pStyle w:val="Sidehoved"/>
              <w:tabs>
                <w:tab w:val="left" w:pos="851"/>
              </w:tabs>
              <w:rPr>
                <w:szCs w:val="24"/>
              </w:rPr>
            </w:pPr>
            <w:r w:rsidRPr="000F6AF2">
              <w:rPr>
                <w:szCs w:val="24"/>
              </w:rPr>
              <w:t>Immunsystemet</w:t>
            </w:r>
          </w:p>
        </w:tc>
        <w:tc>
          <w:tcPr>
            <w:tcW w:w="5155" w:type="dxa"/>
            <w:tcBorders>
              <w:top w:val="single" w:sz="4" w:space="0" w:color="auto"/>
              <w:left w:val="single" w:sz="4" w:space="0" w:color="auto"/>
              <w:bottom w:val="single" w:sz="4" w:space="0" w:color="auto"/>
              <w:right w:val="single" w:sz="4" w:space="0" w:color="auto"/>
            </w:tcBorders>
            <w:hideMark/>
          </w:tcPr>
          <w:p w14:paraId="5B3F0964" w14:textId="77777777" w:rsidR="00F34830" w:rsidRPr="000F6AF2" w:rsidRDefault="00F34830">
            <w:pPr>
              <w:pStyle w:val="Sidehoved"/>
              <w:tabs>
                <w:tab w:val="left" w:pos="851"/>
              </w:tabs>
              <w:rPr>
                <w:szCs w:val="24"/>
                <w:u w:val="single"/>
              </w:rPr>
            </w:pPr>
            <w:r w:rsidRPr="000F6AF2">
              <w:rPr>
                <w:szCs w:val="24"/>
                <w:u w:val="single"/>
              </w:rPr>
              <w:t>Ikke almindelige</w:t>
            </w:r>
          </w:p>
          <w:p w14:paraId="1C582ECD" w14:textId="77777777" w:rsidR="00F34830" w:rsidRPr="000F6AF2" w:rsidRDefault="00F34830">
            <w:pPr>
              <w:pStyle w:val="Sidehoved"/>
              <w:tabs>
                <w:tab w:val="left" w:pos="851"/>
              </w:tabs>
              <w:rPr>
                <w:szCs w:val="24"/>
              </w:rPr>
            </w:pPr>
            <w:r w:rsidRPr="000F6AF2">
              <w:rPr>
                <w:szCs w:val="24"/>
              </w:rPr>
              <w:t>Overfølsomhed (øjenallergi, overfølsomhed, udslæt)</w:t>
            </w:r>
          </w:p>
        </w:tc>
      </w:tr>
      <w:tr w:rsidR="00F34830" w:rsidRPr="000F6AF2" w14:paraId="322AC873" w14:textId="77777777" w:rsidTr="00F34830">
        <w:trPr>
          <w:trHeight w:val="1017"/>
        </w:trPr>
        <w:tc>
          <w:tcPr>
            <w:tcW w:w="3289" w:type="dxa"/>
            <w:tcBorders>
              <w:top w:val="single" w:sz="4" w:space="0" w:color="auto"/>
              <w:left w:val="single" w:sz="4" w:space="0" w:color="auto"/>
              <w:bottom w:val="single" w:sz="4" w:space="0" w:color="auto"/>
              <w:right w:val="single" w:sz="4" w:space="0" w:color="auto"/>
            </w:tcBorders>
            <w:hideMark/>
          </w:tcPr>
          <w:p w14:paraId="1B35FFFE" w14:textId="77777777" w:rsidR="00F34830" w:rsidRPr="000F6AF2" w:rsidRDefault="00F34830">
            <w:pPr>
              <w:pStyle w:val="Sidehoved"/>
              <w:tabs>
                <w:tab w:val="left" w:pos="851"/>
              </w:tabs>
              <w:rPr>
                <w:szCs w:val="24"/>
              </w:rPr>
            </w:pPr>
            <w:r w:rsidRPr="000F6AF2">
              <w:rPr>
                <w:szCs w:val="24"/>
              </w:rPr>
              <w:t>Hud og subkutane væv</w:t>
            </w:r>
          </w:p>
        </w:tc>
        <w:tc>
          <w:tcPr>
            <w:tcW w:w="5155" w:type="dxa"/>
            <w:tcBorders>
              <w:top w:val="single" w:sz="4" w:space="0" w:color="auto"/>
              <w:left w:val="single" w:sz="4" w:space="0" w:color="auto"/>
              <w:bottom w:val="single" w:sz="4" w:space="0" w:color="auto"/>
              <w:right w:val="single" w:sz="4" w:space="0" w:color="auto"/>
            </w:tcBorders>
            <w:hideMark/>
          </w:tcPr>
          <w:p w14:paraId="01AA70A5" w14:textId="77777777" w:rsidR="00F34830" w:rsidRPr="000F6AF2" w:rsidRDefault="00F34830">
            <w:pPr>
              <w:pStyle w:val="Sidehoved"/>
              <w:tabs>
                <w:tab w:val="left" w:pos="851"/>
              </w:tabs>
              <w:rPr>
                <w:szCs w:val="24"/>
                <w:u w:val="single"/>
              </w:rPr>
            </w:pPr>
            <w:r w:rsidRPr="000F6AF2">
              <w:rPr>
                <w:szCs w:val="24"/>
                <w:u w:val="single"/>
              </w:rPr>
              <w:t>Ikke almindelige</w:t>
            </w:r>
          </w:p>
          <w:p w14:paraId="02B0145B" w14:textId="77777777" w:rsidR="00F34830" w:rsidRPr="000F6AF2" w:rsidRDefault="00F34830">
            <w:pPr>
              <w:pStyle w:val="Sidehoved"/>
              <w:tabs>
                <w:tab w:val="left" w:pos="851"/>
              </w:tabs>
              <w:rPr>
                <w:szCs w:val="24"/>
              </w:rPr>
            </w:pPr>
            <w:r w:rsidRPr="000F6AF2">
              <w:rPr>
                <w:szCs w:val="24"/>
              </w:rPr>
              <w:t xml:space="preserve">Udslæt*, </w:t>
            </w:r>
            <w:proofErr w:type="spellStart"/>
            <w:r w:rsidRPr="000F6AF2">
              <w:rPr>
                <w:szCs w:val="24"/>
              </w:rPr>
              <w:t>pruritus</w:t>
            </w:r>
            <w:proofErr w:type="spellEnd"/>
            <w:r w:rsidRPr="000F6AF2">
              <w:rPr>
                <w:szCs w:val="24"/>
              </w:rPr>
              <w:t>*</w:t>
            </w:r>
          </w:p>
          <w:p w14:paraId="38099332" w14:textId="77777777" w:rsidR="00F34830" w:rsidRPr="000F6AF2" w:rsidRDefault="00F34830">
            <w:pPr>
              <w:pStyle w:val="Sidehoved"/>
              <w:tabs>
                <w:tab w:val="left" w:pos="851"/>
              </w:tabs>
              <w:rPr>
                <w:szCs w:val="24"/>
                <w:u w:val="single"/>
              </w:rPr>
            </w:pPr>
            <w:r w:rsidRPr="000F6AF2">
              <w:rPr>
                <w:szCs w:val="24"/>
                <w:u w:val="single"/>
              </w:rPr>
              <w:t>Sjældne</w:t>
            </w:r>
          </w:p>
          <w:p w14:paraId="6260AF1D" w14:textId="77777777" w:rsidR="00F34830" w:rsidRPr="000F6AF2" w:rsidRDefault="00F34830">
            <w:pPr>
              <w:pStyle w:val="Sidehoved"/>
              <w:tabs>
                <w:tab w:val="left" w:pos="851"/>
              </w:tabs>
              <w:rPr>
                <w:szCs w:val="24"/>
              </w:rPr>
            </w:pPr>
            <w:r w:rsidRPr="000F6AF2">
              <w:rPr>
                <w:szCs w:val="24"/>
              </w:rPr>
              <w:t>Nældefeber*</w:t>
            </w:r>
          </w:p>
        </w:tc>
      </w:tr>
    </w:tbl>
    <w:p w14:paraId="2E58A03F" w14:textId="77777777" w:rsidR="00F34830" w:rsidRPr="000F6AF2" w:rsidRDefault="00F34830" w:rsidP="00276932">
      <w:pPr>
        <w:pStyle w:val="Sidehoved"/>
        <w:tabs>
          <w:tab w:val="clear" w:pos="4819"/>
          <w:tab w:val="clear" w:pos="9638"/>
        </w:tabs>
        <w:ind w:left="851"/>
        <w:rPr>
          <w:szCs w:val="24"/>
        </w:rPr>
      </w:pPr>
      <w:r w:rsidRPr="000F6AF2">
        <w:rPr>
          <w:szCs w:val="24"/>
        </w:rPr>
        <w:t>* Andre bivirkninger, som blev set i kliniske studier for pulver-formuleringen med samme aktiv substans</w:t>
      </w:r>
    </w:p>
    <w:p w14:paraId="19085AC5" w14:textId="5BA53E9C" w:rsidR="00F34830" w:rsidRDefault="00F34830" w:rsidP="00276932">
      <w:pPr>
        <w:pStyle w:val="Sidehoved"/>
        <w:tabs>
          <w:tab w:val="clear" w:pos="4819"/>
          <w:tab w:val="clear" w:pos="9638"/>
        </w:tabs>
        <w:ind w:left="851"/>
        <w:rPr>
          <w:szCs w:val="24"/>
        </w:rPr>
      </w:pPr>
    </w:p>
    <w:p w14:paraId="37D5EEC6" w14:textId="77777777" w:rsidR="001A57C3" w:rsidRDefault="001A57C3" w:rsidP="001A57C3">
      <w:pPr>
        <w:pStyle w:val="Sidehoved"/>
        <w:tabs>
          <w:tab w:val="left" w:pos="1304"/>
        </w:tabs>
        <w:ind w:left="851"/>
        <w:rPr>
          <w:szCs w:val="24"/>
          <w:u w:val="single"/>
        </w:rPr>
      </w:pPr>
      <w:r>
        <w:rPr>
          <w:szCs w:val="24"/>
          <w:u w:val="single"/>
        </w:rPr>
        <w:t>Erfaring efter markedsføring</w:t>
      </w:r>
    </w:p>
    <w:p w14:paraId="2535EDAF" w14:textId="77777777" w:rsidR="001A57C3" w:rsidRDefault="001A57C3" w:rsidP="001A57C3">
      <w:pPr>
        <w:pStyle w:val="Sidehoved"/>
        <w:tabs>
          <w:tab w:val="left" w:pos="1304"/>
        </w:tabs>
        <w:ind w:left="851"/>
        <w:rPr>
          <w:szCs w:val="24"/>
          <w:u w:val="single"/>
        </w:rPr>
      </w:pPr>
    </w:p>
    <w:tbl>
      <w:tblPr>
        <w:tblStyle w:val="Tabel-Gitter"/>
        <w:tblW w:w="0" w:type="auto"/>
        <w:tblInd w:w="851" w:type="dxa"/>
        <w:tblLook w:val="04A0" w:firstRow="1" w:lastRow="0" w:firstColumn="1" w:lastColumn="0" w:noHBand="0" w:noVBand="1"/>
      </w:tblPr>
      <w:tblGrid>
        <w:gridCol w:w="3255"/>
        <w:gridCol w:w="2596"/>
        <w:gridCol w:w="2649"/>
      </w:tblGrid>
      <w:tr w:rsidR="001A57C3" w14:paraId="2EB4F429" w14:textId="77777777" w:rsidTr="001A57C3">
        <w:tc>
          <w:tcPr>
            <w:tcW w:w="3255" w:type="dxa"/>
            <w:tcBorders>
              <w:top w:val="single" w:sz="4" w:space="0" w:color="auto"/>
              <w:left w:val="single" w:sz="4" w:space="0" w:color="auto"/>
              <w:bottom w:val="single" w:sz="4" w:space="0" w:color="auto"/>
              <w:right w:val="single" w:sz="4" w:space="0" w:color="auto"/>
            </w:tcBorders>
            <w:hideMark/>
          </w:tcPr>
          <w:p w14:paraId="20EC1E8E" w14:textId="77777777" w:rsidR="001A57C3" w:rsidRDefault="001A57C3">
            <w:pPr>
              <w:pStyle w:val="Sidehoved"/>
              <w:tabs>
                <w:tab w:val="left" w:pos="1304"/>
              </w:tabs>
              <w:rPr>
                <w:szCs w:val="24"/>
                <w:u w:val="single"/>
              </w:rPr>
            </w:pPr>
            <w:r>
              <w:rPr>
                <w:szCs w:val="24"/>
                <w:u w:val="single"/>
              </w:rPr>
              <w:t>Systemorganklasse</w:t>
            </w:r>
          </w:p>
        </w:tc>
        <w:tc>
          <w:tcPr>
            <w:tcW w:w="2596" w:type="dxa"/>
            <w:tcBorders>
              <w:top w:val="single" w:sz="4" w:space="0" w:color="auto"/>
              <w:left w:val="single" w:sz="4" w:space="0" w:color="auto"/>
              <w:bottom w:val="single" w:sz="4" w:space="0" w:color="auto"/>
              <w:right w:val="single" w:sz="4" w:space="0" w:color="auto"/>
            </w:tcBorders>
            <w:hideMark/>
          </w:tcPr>
          <w:p w14:paraId="1D5CE81B" w14:textId="77777777" w:rsidR="001A57C3" w:rsidRDefault="001A57C3">
            <w:pPr>
              <w:pStyle w:val="Sidehoved"/>
              <w:tabs>
                <w:tab w:val="left" w:pos="1304"/>
              </w:tabs>
              <w:rPr>
                <w:szCs w:val="24"/>
                <w:u w:val="single"/>
              </w:rPr>
            </w:pPr>
            <w:r>
              <w:rPr>
                <w:szCs w:val="24"/>
                <w:u w:val="single"/>
              </w:rPr>
              <w:t>Bivirkninger</w:t>
            </w:r>
          </w:p>
        </w:tc>
        <w:tc>
          <w:tcPr>
            <w:tcW w:w="2649" w:type="dxa"/>
            <w:tcBorders>
              <w:top w:val="single" w:sz="4" w:space="0" w:color="auto"/>
              <w:left w:val="single" w:sz="4" w:space="0" w:color="auto"/>
              <w:bottom w:val="single" w:sz="4" w:space="0" w:color="auto"/>
              <w:right w:val="single" w:sz="4" w:space="0" w:color="auto"/>
            </w:tcBorders>
            <w:hideMark/>
          </w:tcPr>
          <w:p w14:paraId="10412855" w14:textId="77777777" w:rsidR="001A57C3" w:rsidRDefault="001A57C3">
            <w:pPr>
              <w:pStyle w:val="Sidehoved"/>
              <w:tabs>
                <w:tab w:val="left" w:pos="1304"/>
              </w:tabs>
              <w:rPr>
                <w:szCs w:val="24"/>
                <w:u w:val="single"/>
              </w:rPr>
            </w:pPr>
            <w:r>
              <w:rPr>
                <w:szCs w:val="24"/>
                <w:u w:val="single"/>
              </w:rPr>
              <w:t>Hyppighed</w:t>
            </w:r>
          </w:p>
        </w:tc>
      </w:tr>
      <w:tr w:rsidR="001A57C3" w14:paraId="5FB37132" w14:textId="77777777" w:rsidTr="001A57C3">
        <w:tc>
          <w:tcPr>
            <w:tcW w:w="3255" w:type="dxa"/>
            <w:tcBorders>
              <w:top w:val="single" w:sz="4" w:space="0" w:color="auto"/>
              <w:left w:val="single" w:sz="4" w:space="0" w:color="auto"/>
              <w:bottom w:val="single" w:sz="4" w:space="0" w:color="auto"/>
              <w:right w:val="single" w:sz="4" w:space="0" w:color="auto"/>
            </w:tcBorders>
            <w:hideMark/>
          </w:tcPr>
          <w:p w14:paraId="6F0793F8" w14:textId="77777777" w:rsidR="001A57C3" w:rsidRDefault="001A57C3">
            <w:pPr>
              <w:pStyle w:val="Sidehoved"/>
              <w:tabs>
                <w:tab w:val="left" w:pos="1304"/>
              </w:tabs>
              <w:rPr>
                <w:szCs w:val="24"/>
              </w:rPr>
            </w:pPr>
            <w:r>
              <w:rPr>
                <w:szCs w:val="24"/>
              </w:rPr>
              <w:t>Nervesystemet</w:t>
            </w:r>
          </w:p>
        </w:tc>
        <w:tc>
          <w:tcPr>
            <w:tcW w:w="2596" w:type="dxa"/>
            <w:tcBorders>
              <w:top w:val="single" w:sz="4" w:space="0" w:color="auto"/>
              <w:left w:val="single" w:sz="4" w:space="0" w:color="auto"/>
              <w:bottom w:val="single" w:sz="4" w:space="0" w:color="auto"/>
              <w:right w:val="single" w:sz="4" w:space="0" w:color="auto"/>
            </w:tcBorders>
            <w:hideMark/>
          </w:tcPr>
          <w:p w14:paraId="10C49173" w14:textId="77777777" w:rsidR="001A57C3" w:rsidRDefault="001A57C3">
            <w:pPr>
              <w:pStyle w:val="Sidehoved"/>
              <w:tabs>
                <w:tab w:val="left" w:pos="1304"/>
              </w:tabs>
              <w:rPr>
                <w:szCs w:val="24"/>
              </w:rPr>
            </w:pPr>
            <w:proofErr w:type="spellStart"/>
            <w:r>
              <w:rPr>
                <w:szCs w:val="24"/>
                <w:lang w:eastAsia="sv-SE"/>
              </w:rPr>
              <w:t>Hypæstesi</w:t>
            </w:r>
            <w:proofErr w:type="spellEnd"/>
          </w:p>
        </w:tc>
        <w:tc>
          <w:tcPr>
            <w:tcW w:w="2649" w:type="dxa"/>
            <w:tcBorders>
              <w:top w:val="single" w:sz="4" w:space="0" w:color="auto"/>
              <w:left w:val="single" w:sz="4" w:space="0" w:color="auto"/>
              <w:bottom w:val="single" w:sz="4" w:space="0" w:color="auto"/>
              <w:right w:val="single" w:sz="4" w:space="0" w:color="auto"/>
            </w:tcBorders>
            <w:hideMark/>
          </w:tcPr>
          <w:p w14:paraId="600CA219" w14:textId="77777777" w:rsidR="001A57C3" w:rsidRDefault="001A57C3">
            <w:pPr>
              <w:pStyle w:val="Sidehoved"/>
              <w:tabs>
                <w:tab w:val="left" w:pos="1304"/>
              </w:tabs>
              <w:rPr>
                <w:szCs w:val="24"/>
              </w:rPr>
            </w:pPr>
            <w:r>
              <w:rPr>
                <w:szCs w:val="24"/>
              </w:rPr>
              <w:t>Ikke kendt</w:t>
            </w:r>
          </w:p>
        </w:tc>
      </w:tr>
      <w:tr w:rsidR="001A57C3" w14:paraId="501ED2E3" w14:textId="77777777" w:rsidTr="001A57C3">
        <w:tc>
          <w:tcPr>
            <w:tcW w:w="3255" w:type="dxa"/>
            <w:tcBorders>
              <w:top w:val="single" w:sz="4" w:space="0" w:color="auto"/>
              <w:left w:val="single" w:sz="4" w:space="0" w:color="auto"/>
              <w:bottom w:val="single" w:sz="4" w:space="0" w:color="auto"/>
              <w:right w:val="single" w:sz="4" w:space="0" w:color="auto"/>
            </w:tcBorders>
            <w:hideMark/>
          </w:tcPr>
          <w:p w14:paraId="020A7C63" w14:textId="77777777" w:rsidR="001A57C3" w:rsidRDefault="001A57C3">
            <w:pPr>
              <w:pStyle w:val="Sidehoved"/>
              <w:tabs>
                <w:tab w:val="left" w:pos="1304"/>
              </w:tabs>
              <w:rPr>
                <w:szCs w:val="24"/>
              </w:rPr>
            </w:pPr>
            <w:r>
              <w:rPr>
                <w:szCs w:val="24"/>
              </w:rPr>
              <w:t>Knogler, led, muskler og bindevæv</w:t>
            </w:r>
          </w:p>
        </w:tc>
        <w:tc>
          <w:tcPr>
            <w:tcW w:w="2596" w:type="dxa"/>
            <w:tcBorders>
              <w:top w:val="single" w:sz="4" w:space="0" w:color="auto"/>
              <w:left w:val="single" w:sz="4" w:space="0" w:color="auto"/>
              <w:bottom w:val="single" w:sz="4" w:space="0" w:color="auto"/>
              <w:right w:val="single" w:sz="4" w:space="0" w:color="auto"/>
            </w:tcBorders>
            <w:hideMark/>
          </w:tcPr>
          <w:p w14:paraId="675280AF" w14:textId="77777777" w:rsidR="001A57C3" w:rsidRDefault="001A57C3">
            <w:pPr>
              <w:pStyle w:val="Sidehoved"/>
              <w:tabs>
                <w:tab w:val="left" w:pos="1304"/>
              </w:tabs>
              <w:rPr>
                <w:szCs w:val="24"/>
              </w:rPr>
            </w:pPr>
            <w:r>
              <w:rPr>
                <w:szCs w:val="24"/>
              </w:rPr>
              <w:t>Muskelatrofi</w:t>
            </w:r>
          </w:p>
        </w:tc>
        <w:tc>
          <w:tcPr>
            <w:tcW w:w="2649" w:type="dxa"/>
            <w:tcBorders>
              <w:top w:val="single" w:sz="4" w:space="0" w:color="auto"/>
              <w:left w:val="single" w:sz="4" w:space="0" w:color="auto"/>
              <w:bottom w:val="single" w:sz="4" w:space="0" w:color="auto"/>
              <w:right w:val="single" w:sz="4" w:space="0" w:color="auto"/>
            </w:tcBorders>
            <w:hideMark/>
          </w:tcPr>
          <w:p w14:paraId="631FA58C" w14:textId="77777777" w:rsidR="001A57C3" w:rsidRDefault="001A57C3">
            <w:pPr>
              <w:pStyle w:val="Sidehoved"/>
              <w:tabs>
                <w:tab w:val="left" w:pos="1304"/>
              </w:tabs>
              <w:rPr>
                <w:szCs w:val="24"/>
              </w:rPr>
            </w:pPr>
            <w:r>
              <w:rPr>
                <w:szCs w:val="24"/>
              </w:rPr>
              <w:t>Ikke kendt</w:t>
            </w:r>
          </w:p>
        </w:tc>
      </w:tr>
    </w:tbl>
    <w:p w14:paraId="6D5FCAD9" w14:textId="77777777" w:rsidR="001A57C3" w:rsidRPr="000F6AF2" w:rsidRDefault="001A57C3" w:rsidP="00276932">
      <w:pPr>
        <w:pStyle w:val="Sidehoved"/>
        <w:tabs>
          <w:tab w:val="clear" w:pos="4819"/>
          <w:tab w:val="clear" w:pos="9638"/>
        </w:tabs>
        <w:ind w:left="851"/>
        <w:rPr>
          <w:szCs w:val="24"/>
        </w:rPr>
      </w:pPr>
    </w:p>
    <w:p w14:paraId="708EEEC9" w14:textId="77777777" w:rsidR="00F34830" w:rsidRPr="000F6AF2" w:rsidRDefault="00F34830" w:rsidP="00276932">
      <w:pPr>
        <w:pStyle w:val="Sidehoved"/>
        <w:tabs>
          <w:tab w:val="clear" w:pos="4819"/>
          <w:tab w:val="clear" w:pos="9638"/>
        </w:tabs>
        <w:ind w:left="851"/>
        <w:rPr>
          <w:szCs w:val="24"/>
          <w:u w:val="single"/>
        </w:rPr>
      </w:pPr>
      <w:r w:rsidRPr="000F6AF2">
        <w:rPr>
          <w:szCs w:val="24"/>
          <w:u w:val="single"/>
        </w:rPr>
        <w:t>Indberetning af formodede bivirkninger</w:t>
      </w:r>
    </w:p>
    <w:p w14:paraId="366B9034" w14:textId="77777777" w:rsidR="00F34830" w:rsidRPr="000F6AF2" w:rsidRDefault="00F34830" w:rsidP="00276932">
      <w:pPr>
        <w:pStyle w:val="Sidehoved"/>
        <w:tabs>
          <w:tab w:val="clear" w:pos="4819"/>
          <w:tab w:val="clear" w:pos="9638"/>
        </w:tabs>
        <w:ind w:left="851"/>
        <w:rPr>
          <w:szCs w:val="24"/>
        </w:rPr>
      </w:pPr>
      <w:r w:rsidRPr="000F6AF2">
        <w:rPr>
          <w:szCs w:val="24"/>
        </w:rPr>
        <w:t>Når lægemidlet er godkendt, er indberetning af formodede bivirkninger vigtig. Det muliggør løbende overvågning af benefit/</w:t>
      </w:r>
      <w:proofErr w:type="spellStart"/>
      <w:r w:rsidRPr="000F6AF2">
        <w:rPr>
          <w:szCs w:val="24"/>
        </w:rPr>
        <w:t>risk</w:t>
      </w:r>
      <w:proofErr w:type="spellEnd"/>
      <w:r w:rsidRPr="000F6AF2">
        <w:rPr>
          <w:szCs w:val="24"/>
        </w:rPr>
        <w:t>-forholdet for lægemidlet. Sundhedspersoner anmodes om at indberette alle formodede bivirkninger via:</w:t>
      </w:r>
    </w:p>
    <w:p w14:paraId="5787E60B" w14:textId="77777777" w:rsidR="00F34830" w:rsidRPr="000F6AF2" w:rsidRDefault="00F34830" w:rsidP="00276932">
      <w:pPr>
        <w:pStyle w:val="Sidehoved"/>
        <w:tabs>
          <w:tab w:val="clear" w:pos="4819"/>
          <w:tab w:val="clear" w:pos="9638"/>
        </w:tabs>
        <w:ind w:left="851"/>
        <w:rPr>
          <w:szCs w:val="24"/>
        </w:rPr>
      </w:pPr>
    </w:p>
    <w:p w14:paraId="139114F5" w14:textId="77777777" w:rsidR="00F34830" w:rsidRPr="000F6AF2" w:rsidRDefault="00F34830" w:rsidP="00276932">
      <w:pPr>
        <w:pStyle w:val="Sidehoved"/>
        <w:tabs>
          <w:tab w:val="clear" w:pos="4819"/>
          <w:tab w:val="clear" w:pos="9638"/>
        </w:tabs>
        <w:ind w:left="851"/>
        <w:rPr>
          <w:szCs w:val="24"/>
        </w:rPr>
      </w:pPr>
      <w:r w:rsidRPr="000F6AF2">
        <w:rPr>
          <w:szCs w:val="24"/>
        </w:rPr>
        <w:t>Lægemiddelstyrelsen</w:t>
      </w:r>
    </w:p>
    <w:p w14:paraId="3FDDB021" w14:textId="77777777" w:rsidR="00F34830" w:rsidRPr="000F6AF2" w:rsidRDefault="00F34830" w:rsidP="00276932">
      <w:pPr>
        <w:pStyle w:val="Sidehoved"/>
        <w:tabs>
          <w:tab w:val="clear" w:pos="4819"/>
          <w:tab w:val="clear" w:pos="9638"/>
        </w:tabs>
        <w:ind w:left="851"/>
        <w:rPr>
          <w:szCs w:val="24"/>
        </w:rPr>
      </w:pPr>
      <w:r w:rsidRPr="000F6AF2">
        <w:rPr>
          <w:szCs w:val="24"/>
        </w:rPr>
        <w:t>Axel Heides Gade 1</w:t>
      </w:r>
    </w:p>
    <w:p w14:paraId="36BAB383" w14:textId="77777777" w:rsidR="00F34830" w:rsidRPr="000F6AF2" w:rsidRDefault="00F34830" w:rsidP="00276932">
      <w:pPr>
        <w:pStyle w:val="Sidehoved"/>
        <w:tabs>
          <w:tab w:val="clear" w:pos="4819"/>
          <w:tab w:val="clear" w:pos="9638"/>
        </w:tabs>
        <w:ind w:left="851"/>
        <w:rPr>
          <w:szCs w:val="24"/>
        </w:rPr>
      </w:pPr>
      <w:r w:rsidRPr="000F6AF2">
        <w:rPr>
          <w:szCs w:val="24"/>
        </w:rPr>
        <w:t>DK-2300 København S</w:t>
      </w:r>
    </w:p>
    <w:p w14:paraId="3385740B" w14:textId="77777777" w:rsidR="00F34830" w:rsidRPr="000F6AF2" w:rsidRDefault="00F34830" w:rsidP="00276932">
      <w:pPr>
        <w:pStyle w:val="Sidehoved"/>
        <w:tabs>
          <w:tab w:val="clear" w:pos="4819"/>
          <w:tab w:val="clear" w:pos="9638"/>
        </w:tabs>
        <w:ind w:left="851"/>
        <w:rPr>
          <w:szCs w:val="24"/>
        </w:rPr>
      </w:pPr>
      <w:r w:rsidRPr="000F6AF2">
        <w:rPr>
          <w:szCs w:val="24"/>
        </w:rPr>
        <w:t xml:space="preserve">Websted: </w:t>
      </w:r>
      <w:hyperlink r:id="rId10" w:history="1">
        <w:r w:rsidRPr="000F6AF2">
          <w:rPr>
            <w:rStyle w:val="Hyperlink"/>
            <w:szCs w:val="24"/>
          </w:rPr>
          <w:t>www.meldenbivirkning.dk</w:t>
        </w:r>
      </w:hyperlink>
    </w:p>
    <w:p w14:paraId="634B8A97" w14:textId="77777777" w:rsidR="009260DE" w:rsidRPr="000F6AF2" w:rsidRDefault="009260DE" w:rsidP="00A10294">
      <w:pPr>
        <w:tabs>
          <w:tab w:val="left" w:pos="851"/>
        </w:tabs>
        <w:ind w:left="851"/>
        <w:rPr>
          <w:sz w:val="24"/>
          <w:szCs w:val="24"/>
        </w:rPr>
      </w:pPr>
    </w:p>
    <w:p w14:paraId="6410A89B" w14:textId="77777777" w:rsidR="009260DE" w:rsidRPr="000F6AF2" w:rsidRDefault="009260DE" w:rsidP="009260DE">
      <w:pPr>
        <w:tabs>
          <w:tab w:val="left" w:pos="851"/>
        </w:tabs>
        <w:ind w:left="851" w:hanging="851"/>
        <w:rPr>
          <w:b/>
          <w:sz w:val="24"/>
          <w:szCs w:val="24"/>
        </w:rPr>
      </w:pPr>
      <w:r w:rsidRPr="000F6AF2">
        <w:rPr>
          <w:b/>
          <w:sz w:val="24"/>
          <w:szCs w:val="24"/>
        </w:rPr>
        <w:t>4.9</w:t>
      </w:r>
      <w:r w:rsidRPr="000F6AF2">
        <w:rPr>
          <w:b/>
          <w:sz w:val="24"/>
          <w:szCs w:val="24"/>
        </w:rPr>
        <w:tab/>
        <w:t>Overdosering</w:t>
      </w:r>
    </w:p>
    <w:p w14:paraId="609CFA55" w14:textId="77777777" w:rsidR="00F34830" w:rsidRPr="000F6AF2" w:rsidRDefault="00F34830" w:rsidP="00276932">
      <w:pPr>
        <w:ind w:left="851"/>
        <w:rPr>
          <w:sz w:val="24"/>
          <w:szCs w:val="24"/>
        </w:rPr>
      </w:pPr>
      <w:r w:rsidRPr="000F6AF2">
        <w:rPr>
          <w:sz w:val="24"/>
          <w:szCs w:val="24"/>
        </w:rPr>
        <w:t xml:space="preserve">For høje doser </w:t>
      </w:r>
      <w:proofErr w:type="spellStart"/>
      <w:r w:rsidRPr="000F6AF2">
        <w:rPr>
          <w:sz w:val="24"/>
          <w:szCs w:val="24"/>
        </w:rPr>
        <w:t>botulinumtoksin</w:t>
      </w:r>
      <w:proofErr w:type="spellEnd"/>
      <w:r w:rsidRPr="000F6AF2">
        <w:rPr>
          <w:sz w:val="24"/>
          <w:szCs w:val="24"/>
        </w:rPr>
        <w:t xml:space="preserve"> kan forventes at medføre </w:t>
      </w:r>
      <w:proofErr w:type="spellStart"/>
      <w:r w:rsidRPr="000F6AF2">
        <w:rPr>
          <w:sz w:val="24"/>
          <w:szCs w:val="24"/>
        </w:rPr>
        <w:t>neuromuskulær</w:t>
      </w:r>
      <w:proofErr w:type="spellEnd"/>
      <w:r w:rsidRPr="000F6AF2">
        <w:rPr>
          <w:sz w:val="24"/>
          <w:szCs w:val="24"/>
        </w:rPr>
        <w:t xml:space="preserve"> svaghed med forskellige symptomer. Udstyr til respiratorisk støtte kan være nødvendigt, hvis for høje doser medfører lammelse af åndedrætsmusklerne. I tilfælde af overdosering bør patienten monitoreres for symptomer på markant muskelsvaghed eller muskelparalyse. Der bør om nødvendigt iværksættes symptomatisk behandling.</w:t>
      </w:r>
    </w:p>
    <w:p w14:paraId="013C7802" w14:textId="77777777" w:rsidR="00F34830" w:rsidRPr="000F6AF2" w:rsidRDefault="00F34830" w:rsidP="00276932">
      <w:pPr>
        <w:ind w:left="851"/>
        <w:rPr>
          <w:sz w:val="24"/>
          <w:szCs w:val="24"/>
        </w:rPr>
      </w:pPr>
    </w:p>
    <w:p w14:paraId="07D49223" w14:textId="3B448725" w:rsidR="00F34830" w:rsidRPr="000F6AF2" w:rsidRDefault="00F34830" w:rsidP="00276932">
      <w:pPr>
        <w:ind w:left="851"/>
        <w:rPr>
          <w:sz w:val="24"/>
          <w:szCs w:val="24"/>
        </w:rPr>
      </w:pPr>
      <w:r w:rsidRPr="000F6AF2">
        <w:rPr>
          <w:sz w:val="24"/>
          <w:szCs w:val="24"/>
        </w:rPr>
        <w:t>Symptomer på overdosering vil ikke nødvendigvis vise sig umiddelbart efter injektionen.</w:t>
      </w:r>
    </w:p>
    <w:p w14:paraId="00F6FF0B" w14:textId="77777777" w:rsidR="00F34830" w:rsidRPr="000F6AF2" w:rsidRDefault="00F34830" w:rsidP="00276932">
      <w:pPr>
        <w:ind w:left="851"/>
        <w:rPr>
          <w:sz w:val="24"/>
          <w:szCs w:val="24"/>
        </w:rPr>
      </w:pPr>
    </w:p>
    <w:p w14:paraId="1EA2FC10" w14:textId="4F017586" w:rsidR="00F34830" w:rsidRPr="000F6AF2" w:rsidRDefault="00F34830" w:rsidP="00276932">
      <w:pPr>
        <w:ind w:left="851"/>
        <w:rPr>
          <w:sz w:val="24"/>
          <w:szCs w:val="24"/>
        </w:rPr>
      </w:pPr>
      <w:r w:rsidRPr="000F6AF2">
        <w:rPr>
          <w:sz w:val="24"/>
          <w:szCs w:val="24"/>
        </w:rPr>
        <w:t xml:space="preserve">Det bør overvejes at hospitalsindlægge patienter, der viser symptomer på </w:t>
      </w:r>
      <w:proofErr w:type="spellStart"/>
      <w:r w:rsidRPr="000F6AF2">
        <w:rPr>
          <w:sz w:val="24"/>
          <w:szCs w:val="24"/>
        </w:rPr>
        <w:t>botulinumtoksin</w:t>
      </w:r>
      <w:proofErr w:type="spellEnd"/>
      <w:r w:rsidRPr="000F6AF2">
        <w:rPr>
          <w:sz w:val="24"/>
          <w:szCs w:val="24"/>
        </w:rPr>
        <w:t xml:space="preserve"> A-forgiftning (f.eks. en kombination af muskelsvaghed, </w:t>
      </w:r>
      <w:proofErr w:type="spellStart"/>
      <w:r w:rsidRPr="000F6AF2">
        <w:rPr>
          <w:sz w:val="24"/>
          <w:szCs w:val="24"/>
        </w:rPr>
        <w:t>ptose</w:t>
      </w:r>
      <w:proofErr w:type="spellEnd"/>
      <w:r w:rsidRPr="000F6AF2">
        <w:rPr>
          <w:sz w:val="24"/>
          <w:szCs w:val="24"/>
        </w:rPr>
        <w:t xml:space="preserve">, </w:t>
      </w:r>
      <w:proofErr w:type="spellStart"/>
      <w:r w:rsidRPr="000F6AF2">
        <w:rPr>
          <w:sz w:val="24"/>
          <w:szCs w:val="24"/>
        </w:rPr>
        <w:t>diplopi</w:t>
      </w:r>
      <w:proofErr w:type="spellEnd"/>
      <w:r w:rsidRPr="000F6AF2">
        <w:rPr>
          <w:sz w:val="24"/>
          <w:szCs w:val="24"/>
        </w:rPr>
        <w:t>, synke- og taleforstyrrelser eller lammelse af åndedrætsmusklerne).</w:t>
      </w:r>
    </w:p>
    <w:p w14:paraId="0B18C340" w14:textId="77777777" w:rsidR="009260DE" w:rsidRPr="000F6AF2" w:rsidRDefault="009260DE" w:rsidP="009260DE">
      <w:pPr>
        <w:tabs>
          <w:tab w:val="left" w:pos="851"/>
        </w:tabs>
        <w:ind w:left="851"/>
        <w:rPr>
          <w:sz w:val="24"/>
          <w:szCs w:val="24"/>
        </w:rPr>
      </w:pPr>
    </w:p>
    <w:p w14:paraId="50072B51" w14:textId="77777777" w:rsidR="009260DE" w:rsidRPr="000F6AF2" w:rsidRDefault="009260DE" w:rsidP="009260DE">
      <w:pPr>
        <w:tabs>
          <w:tab w:val="left" w:pos="851"/>
        </w:tabs>
        <w:ind w:left="851" w:hanging="851"/>
        <w:rPr>
          <w:b/>
          <w:sz w:val="24"/>
          <w:szCs w:val="24"/>
        </w:rPr>
      </w:pPr>
      <w:r w:rsidRPr="000F6AF2">
        <w:rPr>
          <w:b/>
          <w:sz w:val="24"/>
          <w:szCs w:val="24"/>
        </w:rPr>
        <w:t>4.10</w:t>
      </w:r>
      <w:r w:rsidRPr="000F6AF2">
        <w:rPr>
          <w:b/>
          <w:sz w:val="24"/>
          <w:szCs w:val="24"/>
        </w:rPr>
        <w:tab/>
        <w:t>Udlevering</w:t>
      </w:r>
    </w:p>
    <w:p w14:paraId="76062091" w14:textId="77777777" w:rsidR="007C0573" w:rsidRPr="00582B3E" w:rsidRDefault="007C0573" w:rsidP="00276932">
      <w:pPr>
        <w:ind w:left="851"/>
        <w:rPr>
          <w:sz w:val="24"/>
          <w:szCs w:val="24"/>
          <w:lang w:eastAsia="da-DK"/>
        </w:rPr>
      </w:pPr>
      <w:r w:rsidRPr="00582B3E">
        <w:rPr>
          <w:sz w:val="24"/>
          <w:szCs w:val="24"/>
        </w:rPr>
        <w:t>NBS</w:t>
      </w:r>
    </w:p>
    <w:p w14:paraId="3D2D29A2" w14:textId="0A617179" w:rsidR="00582B3E" w:rsidRPr="00582B3E" w:rsidRDefault="007C0573" w:rsidP="00582B3E">
      <w:pPr>
        <w:ind w:left="855"/>
        <w:rPr>
          <w:sz w:val="24"/>
          <w:szCs w:val="24"/>
        </w:rPr>
      </w:pPr>
      <w:r w:rsidRPr="00582B3E">
        <w:rPr>
          <w:sz w:val="24"/>
          <w:szCs w:val="24"/>
        </w:rPr>
        <w:t xml:space="preserve">Må kun udleveres til sygehuse eller efter ordination af speciallæger i </w:t>
      </w:r>
      <w:proofErr w:type="spellStart"/>
      <w:r w:rsidR="00227762" w:rsidRPr="00AD04BD">
        <w:rPr>
          <w:sz w:val="24"/>
          <w:szCs w:val="24"/>
        </w:rPr>
        <w:t>dermato</w:t>
      </w:r>
      <w:proofErr w:type="spellEnd"/>
      <w:r w:rsidR="00227762" w:rsidRPr="00AD04BD">
        <w:rPr>
          <w:sz w:val="24"/>
          <w:szCs w:val="24"/>
        </w:rPr>
        <w:t>-venerologi</w:t>
      </w:r>
      <w:r w:rsidR="00582B3E" w:rsidRPr="00582B3E">
        <w:rPr>
          <w:sz w:val="24"/>
          <w:szCs w:val="24"/>
        </w:rPr>
        <w:t xml:space="preserve">, </w:t>
      </w:r>
      <w:r w:rsidR="003C6131">
        <w:rPr>
          <w:sz w:val="24"/>
          <w:szCs w:val="24"/>
        </w:rPr>
        <w:t>neurologi</w:t>
      </w:r>
      <w:r w:rsidR="00227762">
        <w:rPr>
          <w:sz w:val="24"/>
          <w:szCs w:val="24"/>
        </w:rPr>
        <w:t xml:space="preserve">, oftalmologi og </w:t>
      </w:r>
      <w:r w:rsidR="00582B3E" w:rsidRPr="00582B3E">
        <w:rPr>
          <w:sz w:val="24"/>
          <w:szCs w:val="24"/>
        </w:rPr>
        <w:t>plastikkirurgi.</w:t>
      </w:r>
    </w:p>
    <w:p w14:paraId="23204E30" w14:textId="6B0DA911" w:rsidR="00582B3E" w:rsidRDefault="00582B3E">
      <w:pPr>
        <w:rPr>
          <w:sz w:val="24"/>
          <w:szCs w:val="24"/>
        </w:rPr>
      </w:pPr>
    </w:p>
    <w:p w14:paraId="7A4BE74E" w14:textId="77777777" w:rsidR="009260DE" w:rsidRPr="000F6AF2" w:rsidRDefault="009260DE" w:rsidP="009260DE">
      <w:pPr>
        <w:tabs>
          <w:tab w:val="left" w:pos="851"/>
        </w:tabs>
        <w:ind w:left="851"/>
        <w:rPr>
          <w:sz w:val="24"/>
          <w:szCs w:val="24"/>
        </w:rPr>
      </w:pPr>
    </w:p>
    <w:p w14:paraId="29645CC8" w14:textId="77777777" w:rsidR="009260DE" w:rsidRPr="000F6AF2" w:rsidRDefault="009260DE" w:rsidP="009260DE">
      <w:pPr>
        <w:tabs>
          <w:tab w:val="left" w:pos="851"/>
        </w:tabs>
        <w:ind w:left="851" w:hanging="851"/>
        <w:rPr>
          <w:b/>
          <w:sz w:val="24"/>
          <w:szCs w:val="24"/>
        </w:rPr>
      </w:pPr>
      <w:r w:rsidRPr="000F6AF2">
        <w:rPr>
          <w:b/>
          <w:sz w:val="24"/>
          <w:szCs w:val="24"/>
        </w:rPr>
        <w:t>5.</w:t>
      </w:r>
      <w:r w:rsidRPr="000F6AF2">
        <w:rPr>
          <w:b/>
          <w:sz w:val="24"/>
          <w:szCs w:val="24"/>
        </w:rPr>
        <w:tab/>
        <w:t>FARMAKOLOGISKE EGENSKABER</w:t>
      </w:r>
    </w:p>
    <w:p w14:paraId="340EEA7F" w14:textId="77777777" w:rsidR="008D13DE" w:rsidRPr="000F6AF2" w:rsidRDefault="008D13DE" w:rsidP="009260DE">
      <w:pPr>
        <w:tabs>
          <w:tab w:val="left" w:pos="851"/>
        </w:tabs>
        <w:ind w:left="851"/>
        <w:rPr>
          <w:sz w:val="24"/>
          <w:szCs w:val="24"/>
        </w:rPr>
      </w:pPr>
    </w:p>
    <w:p w14:paraId="1404795A" w14:textId="77777777" w:rsidR="009260DE" w:rsidRPr="000F6AF2" w:rsidRDefault="009260DE" w:rsidP="009260DE">
      <w:pPr>
        <w:tabs>
          <w:tab w:val="num" w:pos="851"/>
        </w:tabs>
        <w:ind w:left="851" w:hanging="851"/>
        <w:rPr>
          <w:b/>
          <w:sz w:val="24"/>
          <w:szCs w:val="24"/>
        </w:rPr>
      </w:pPr>
      <w:r w:rsidRPr="000F6AF2">
        <w:rPr>
          <w:b/>
          <w:sz w:val="24"/>
          <w:szCs w:val="24"/>
        </w:rPr>
        <w:t>5.1</w:t>
      </w:r>
      <w:r w:rsidRPr="000F6AF2">
        <w:rPr>
          <w:b/>
          <w:sz w:val="24"/>
          <w:szCs w:val="24"/>
        </w:rPr>
        <w:tab/>
      </w:r>
      <w:proofErr w:type="spellStart"/>
      <w:r w:rsidRPr="000F6AF2">
        <w:rPr>
          <w:b/>
          <w:sz w:val="24"/>
          <w:szCs w:val="24"/>
        </w:rPr>
        <w:t>Farmakodynamiske</w:t>
      </w:r>
      <w:proofErr w:type="spellEnd"/>
      <w:r w:rsidRPr="000F6AF2">
        <w:rPr>
          <w:b/>
          <w:sz w:val="24"/>
          <w:szCs w:val="24"/>
        </w:rPr>
        <w:t xml:space="preserve"> egenskaber</w:t>
      </w:r>
    </w:p>
    <w:p w14:paraId="4C807AA4" w14:textId="0274B8F0" w:rsidR="00DB36AA" w:rsidRDefault="00DB36AA" w:rsidP="00276932">
      <w:pPr>
        <w:ind w:left="851"/>
        <w:rPr>
          <w:sz w:val="24"/>
          <w:szCs w:val="24"/>
          <w:u w:val="single"/>
        </w:rPr>
      </w:pPr>
    </w:p>
    <w:p w14:paraId="53B12878" w14:textId="247268DE" w:rsidR="008D13DE" w:rsidRDefault="008D13DE" w:rsidP="008D13DE">
      <w:pPr>
        <w:tabs>
          <w:tab w:val="left" w:pos="851"/>
        </w:tabs>
        <w:ind w:left="851"/>
        <w:rPr>
          <w:sz w:val="24"/>
          <w:szCs w:val="24"/>
          <w:u w:val="single"/>
        </w:rPr>
      </w:pPr>
      <w:proofErr w:type="spellStart"/>
      <w:r w:rsidRPr="008D13DE">
        <w:rPr>
          <w:sz w:val="24"/>
          <w:szCs w:val="24"/>
        </w:rPr>
        <w:t>Farmakoterapeutisk</w:t>
      </w:r>
      <w:proofErr w:type="spellEnd"/>
      <w:r w:rsidRPr="008D13DE">
        <w:rPr>
          <w:sz w:val="24"/>
          <w:szCs w:val="24"/>
        </w:rPr>
        <w:t xml:space="preserve"> klassifikation</w:t>
      </w:r>
      <w:r>
        <w:rPr>
          <w:sz w:val="24"/>
          <w:szCs w:val="24"/>
        </w:rPr>
        <w:t xml:space="preserve">: </w:t>
      </w:r>
      <w:r w:rsidRPr="000F6AF2">
        <w:rPr>
          <w:sz w:val="24"/>
          <w:szCs w:val="24"/>
        </w:rPr>
        <w:t xml:space="preserve">Andre </w:t>
      </w:r>
      <w:proofErr w:type="spellStart"/>
      <w:r w:rsidRPr="000F6AF2">
        <w:rPr>
          <w:sz w:val="24"/>
          <w:szCs w:val="24"/>
        </w:rPr>
        <w:t>muskelrelaxantia</w:t>
      </w:r>
      <w:proofErr w:type="spellEnd"/>
      <w:r w:rsidRPr="000F6AF2">
        <w:rPr>
          <w:sz w:val="24"/>
          <w:szCs w:val="24"/>
        </w:rPr>
        <w:t>, perifert virkende</w:t>
      </w:r>
      <w:r>
        <w:rPr>
          <w:sz w:val="24"/>
          <w:szCs w:val="24"/>
        </w:rPr>
        <w:t>.</w:t>
      </w:r>
      <w:r w:rsidRPr="008D13DE">
        <w:rPr>
          <w:sz w:val="24"/>
          <w:szCs w:val="24"/>
        </w:rPr>
        <w:t xml:space="preserve"> </w:t>
      </w:r>
      <w:r w:rsidRPr="000F6AF2">
        <w:rPr>
          <w:sz w:val="24"/>
          <w:szCs w:val="24"/>
        </w:rPr>
        <w:t>ATC-kode: M 03 AX 01</w:t>
      </w:r>
      <w:r>
        <w:rPr>
          <w:sz w:val="24"/>
          <w:szCs w:val="24"/>
        </w:rPr>
        <w:t>.</w:t>
      </w:r>
    </w:p>
    <w:p w14:paraId="61C8BA68" w14:textId="77777777" w:rsidR="008D13DE" w:rsidRDefault="008D13DE" w:rsidP="00276932">
      <w:pPr>
        <w:ind w:left="851"/>
        <w:rPr>
          <w:sz w:val="24"/>
          <w:szCs w:val="24"/>
          <w:u w:val="single"/>
        </w:rPr>
      </w:pPr>
    </w:p>
    <w:p w14:paraId="1CB03FD7" w14:textId="272834DB" w:rsidR="00372C9E" w:rsidRPr="000F6AF2" w:rsidRDefault="00372C9E" w:rsidP="00276932">
      <w:pPr>
        <w:ind w:left="851"/>
        <w:rPr>
          <w:sz w:val="24"/>
          <w:szCs w:val="24"/>
          <w:u w:val="single"/>
        </w:rPr>
      </w:pPr>
      <w:r w:rsidRPr="000F6AF2">
        <w:rPr>
          <w:sz w:val="24"/>
          <w:szCs w:val="24"/>
          <w:u w:val="single"/>
        </w:rPr>
        <w:t>Virkningsmekanisme</w:t>
      </w:r>
    </w:p>
    <w:p w14:paraId="308DD5C7" w14:textId="03D6F028" w:rsidR="00372C9E" w:rsidRPr="000F6AF2" w:rsidRDefault="00372C9E" w:rsidP="00276932">
      <w:pPr>
        <w:ind w:left="851"/>
        <w:rPr>
          <w:sz w:val="24"/>
          <w:szCs w:val="24"/>
        </w:rPr>
      </w:pPr>
      <w:r w:rsidRPr="000F6AF2">
        <w:rPr>
          <w:sz w:val="24"/>
          <w:szCs w:val="24"/>
        </w:rPr>
        <w:t xml:space="preserve">Den primære </w:t>
      </w:r>
      <w:proofErr w:type="spellStart"/>
      <w:r w:rsidRPr="000F6AF2">
        <w:rPr>
          <w:sz w:val="24"/>
          <w:szCs w:val="24"/>
        </w:rPr>
        <w:t>farmakodynamiske</w:t>
      </w:r>
      <w:proofErr w:type="spellEnd"/>
      <w:r w:rsidRPr="000F6AF2">
        <w:rPr>
          <w:sz w:val="24"/>
          <w:szCs w:val="24"/>
        </w:rPr>
        <w:t xml:space="preserve"> virkning af </w:t>
      </w:r>
      <w:proofErr w:type="spellStart"/>
      <w:r w:rsidRPr="000F6AF2">
        <w:rPr>
          <w:iCs/>
          <w:sz w:val="24"/>
          <w:szCs w:val="24"/>
        </w:rPr>
        <w:t>botulinumtoksin</w:t>
      </w:r>
      <w:proofErr w:type="spellEnd"/>
      <w:r w:rsidRPr="000F6AF2">
        <w:rPr>
          <w:sz w:val="24"/>
          <w:szCs w:val="24"/>
        </w:rPr>
        <w:t xml:space="preserve"> type A skyldes den kemiske </w:t>
      </w:r>
      <w:proofErr w:type="spellStart"/>
      <w:r w:rsidRPr="000F6AF2">
        <w:rPr>
          <w:sz w:val="24"/>
          <w:szCs w:val="24"/>
        </w:rPr>
        <w:t>denervering</w:t>
      </w:r>
      <w:proofErr w:type="spellEnd"/>
      <w:r w:rsidRPr="000F6AF2">
        <w:rPr>
          <w:sz w:val="24"/>
          <w:szCs w:val="24"/>
        </w:rPr>
        <w:t xml:space="preserve"> af den behandlede muskel, hvilket resulterer i en målbar formindskelse af det sammensatte muskelaktionspotentiale. Dette medfører en lokaliseret reduktion i muskelaktiviteten.</w:t>
      </w:r>
    </w:p>
    <w:p w14:paraId="4C4EEF63" w14:textId="77777777" w:rsidR="00372C9E" w:rsidRPr="000F6AF2" w:rsidRDefault="00372C9E" w:rsidP="00276932">
      <w:pPr>
        <w:ind w:left="851"/>
        <w:rPr>
          <w:sz w:val="24"/>
          <w:szCs w:val="24"/>
        </w:rPr>
      </w:pPr>
    </w:p>
    <w:p w14:paraId="0B42765F" w14:textId="77777777" w:rsidR="00372C9E" w:rsidRPr="000F6AF2" w:rsidRDefault="00372C9E" w:rsidP="00276932">
      <w:pPr>
        <w:ind w:left="851"/>
        <w:rPr>
          <w:sz w:val="24"/>
          <w:szCs w:val="24"/>
        </w:rPr>
      </w:pPr>
      <w:proofErr w:type="spellStart"/>
      <w:r w:rsidRPr="000F6AF2">
        <w:rPr>
          <w:sz w:val="24"/>
          <w:szCs w:val="24"/>
        </w:rPr>
        <w:t>Botulinumtoxin</w:t>
      </w:r>
      <w:proofErr w:type="spellEnd"/>
      <w:r w:rsidRPr="000F6AF2">
        <w:rPr>
          <w:sz w:val="24"/>
          <w:szCs w:val="24"/>
        </w:rPr>
        <w:t xml:space="preserve"> type A er et muskelafslappende middel, som midlertidigt svækker musklernes aktivitet. Efter injektion virker </w:t>
      </w:r>
      <w:proofErr w:type="spellStart"/>
      <w:r w:rsidRPr="000F6AF2">
        <w:rPr>
          <w:sz w:val="24"/>
          <w:szCs w:val="24"/>
        </w:rPr>
        <w:t>botulinumtoksin</w:t>
      </w:r>
      <w:proofErr w:type="spellEnd"/>
      <w:r w:rsidRPr="000F6AF2">
        <w:rPr>
          <w:sz w:val="24"/>
          <w:szCs w:val="24"/>
        </w:rPr>
        <w:t xml:space="preserve"> type A ved at blokere transporten af neurotransmitteren </w:t>
      </w:r>
      <w:proofErr w:type="spellStart"/>
      <w:r w:rsidRPr="000F6AF2">
        <w:rPr>
          <w:sz w:val="24"/>
          <w:szCs w:val="24"/>
        </w:rPr>
        <w:t>acetylcholin</w:t>
      </w:r>
      <w:proofErr w:type="spellEnd"/>
      <w:r w:rsidRPr="000F6AF2">
        <w:rPr>
          <w:sz w:val="24"/>
          <w:szCs w:val="24"/>
        </w:rPr>
        <w:t xml:space="preserve"> på tværs af den </w:t>
      </w:r>
      <w:proofErr w:type="spellStart"/>
      <w:r w:rsidRPr="000F6AF2">
        <w:rPr>
          <w:sz w:val="24"/>
          <w:szCs w:val="24"/>
        </w:rPr>
        <w:t>neuromuskulære</w:t>
      </w:r>
      <w:proofErr w:type="spellEnd"/>
      <w:r w:rsidRPr="000F6AF2">
        <w:rPr>
          <w:sz w:val="24"/>
          <w:szCs w:val="24"/>
        </w:rPr>
        <w:t xml:space="preserve"> forbindelse, placeret mellem nerveenden og muskelfibrene. Virkningsmekanismen omfatter fire hovedtrin, som alle skal fungere korrekt for at der forekommer aktivitet. Handlingen resulterer i at stoppe den muskulære sammentrækning af de målrettede muskler. Effekten holder i en længere periode indtil forbindelsen har restitueret og muskelaktiviteten vender tilbage.</w:t>
      </w:r>
    </w:p>
    <w:p w14:paraId="0FC3BFFB" w14:textId="77777777" w:rsidR="00372C9E" w:rsidRPr="000F6AF2" w:rsidRDefault="00372C9E" w:rsidP="00276932">
      <w:pPr>
        <w:ind w:left="851"/>
        <w:rPr>
          <w:sz w:val="24"/>
          <w:szCs w:val="24"/>
        </w:rPr>
      </w:pPr>
    </w:p>
    <w:p w14:paraId="63A8ACC4" w14:textId="67C7EF31" w:rsidR="00372C9E" w:rsidRPr="000F6AF2" w:rsidRDefault="00372C9E" w:rsidP="00276932">
      <w:pPr>
        <w:ind w:left="851"/>
        <w:rPr>
          <w:bCs/>
          <w:sz w:val="24"/>
          <w:szCs w:val="24"/>
          <w:u w:val="single"/>
        </w:rPr>
      </w:pPr>
      <w:r w:rsidRPr="000F6AF2">
        <w:rPr>
          <w:bCs/>
          <w:sz w:val="24"/>
          <w:szCs w:val="24"/>
          <w:u w:val="single"/>
        </w:rPr>
        <w:t>Kliniske virkning og sikkerhed</w:t>
      </w:r>
    </w:p>
    <w:p w14:paraId="58F8B7F7" w14:textId="7C3021A2" w:rsidR="00372C9E" w:rsidRPr="000F6AF2" w:rsidRDefault="00372C9E" w:rsidP="00276932">
      <w:pPr>
        <w:ind w:left="851"/>
        <w:rPr>
          <w:sz w:val="24"/>
          <w:szCs w:val="24"/>
        </w:rPr>
      </w:pPr>
      <w:r w:rsidRPr="000F6AF2">
        <w:rPr>
          <w:sz w:val="24"/>
          <w:szCs w:val="24"/>
        </w:rPr>
        <w:t xml:space="preserve">I alt blev 372 patienter med moderat til svære </w:t>
      </w:r>
      <w:proofErr w:type="spellStart"/>
      <w:r w:rsidRPr="000F6AF2">
        <w:rPr>
          <w:sz w:val="24"/>
          <w:szCs w:val="24"/>
        </w:rPr>
        <w:t>glabella</w:t>
      </w:r>
      <w:proofErr w:type="spellEnd"/>
      <w:r w:rsidRPr="000F6AF2">
        <w:rPr>
          <w:sz w:val="24"/>
          <w:szCs w:val="24"/>
        </w:rPr>
        <w:t>-linjer behandlet i 2 pivotale forsøg, hvoraf 250 fik den anbefalede dosis på 50 </w:t>
      </w:r>
      <w:proofErr w:type="spellStart"/>
      <w:r w:rsidRPr="000F6AF2">
        <w:rPr>
          <w:sz w:val="24"/>
          <w:szCs w:val="24"/>
        </w:rPr>
        <w:t>Speywood</w:t>
      </w:r>
      <w:proofErr w:type="spellEnd"/>
      <w:r w:rsidRPr="000F6AF2">
        <w:rPr>
          <w:sz w:val="24"/>
          <w:szCs w:val="24"/>
        </w:rPr>
        <w:t>-enheder og 122 placebo.</w:t>
      </w:r>
    </w:p>
    <w:p w14:paraId="58B6539F" w14:textId="77777777" w:rsidR="00372C9E" w:rsidRPr="000F6AF2" w:rsidRDefault="00372C9E" w:rsidP="00276932">
      <w:pPr>
        <w:ind w:left="851"/>
        <w:rPr>
          <w:sz w:val="24"/>
          <w:szCs w:val="24"/>
        </w:rPr>
      </w:pPr>
    </w:p>
    <w:p w14:paraId="65B2F33F" w14:textId="5D874733" w:rsidR="00372C9E" w:rsidRPr="000F6AF2" w:rsidRDefault="00372C9E" w:rsidP="00276932">
      <w:pPr>
        <w:ind w:left="851"/>
        <w:rPr>
          <w:sz w:val="24"/>
          <w:szCs w:val="24"/>
        </w:rPr>
      </w:pPr>
      <w:r w:rsidRPr="000F6AF2">
        <w:rPr>
          <w:sz w:val="24"/>
          <w:szCs w:val="24"/>
        </w:rPr>
        <w:t xml:space="preserve">Størstedelen af patienter rapporterede om en effekt inden for 2 til 3 dage, inklusive 23 % af patienterne inden for 1 dag. </w:t>
      </w:r>
    </w:p>
    <w:p w14:paraId="1D2A94BA" w14:textId="29C35967" w:rsidR="00372C9E" w:rsidRPr="000F6AF2" w:rsidRDefault="00372C9E" w:rsidP="00276932">
      <w:pPr>
        <w:ind w:left="851"/>
        <w:rPr>
          <w:sz w:val="24"/>
          <w:szCs w:val="24"/>
        </w:rPr>
      </w:pPr>
      <w:r w:rsidRPr="000F6AF2">
        <w:rPr>
          <w:sz w:val="24"/>
          <w:szCs w:val="24"/>
        </w:rPr>
        <w:t xml:space="preserve">Ifølge </w:t>
      </w:r>
      <w:proofErr w:type="spellStart"/>
      <w:r w:rsidRPr="000F6AF2">
        <w:rPr>
          <w:sz w:val="24"/>
          <w:szCs w:val="24"/>
        </w:rPr>
        <w:t>investigators</w:t>
      </w:r>
      <w:proofErr w:type="spellEnd"/>
      <w:r w:rsidRPr="000F6AF2">
        <w:rPr>
          <w:sz w:val="24"/>
          <w:szCs w:val="24"/>
        </w:rPr>
        <w:t xml:space="preserve"> vurdering, var andelen af respondenter statistisk signifikant højere for patienter behandlet med </w:t>
      </w:r>
      <w:proofErr w:type="spellStart"/>
      <w:r w:rsidRPr="000F6AF2">
        <w:rPr>
          <w:sz w:val="24"/>
          <w:szCs w:val="24"/>
        </w:rPr>
        <w:t>Alluzience</w:t>
      </w:r>
      <w:proofErr w:type="spellEnd"/>
      <w:r w:rsidRPr="000F6AF2">
        <w:rPr>
          <w:sz w:val="24"/>
          <w:szCs w:val="24"/>
        </w:rPr>
        <w:t xml:space="preserve"> 1 måned efter injektion sammenlignet med placebo (det primære endepunkt) såvel som på alle andre tidspunkter fra 8 dage op til 6 måneder (tabel 2).</w:t>
      </w:r>
    </w:p>
    <w:p w14:paraId="05985913" w14:textId="77777777" w:rsidR="00372C9E" w:rsidRPr="000F6AF2" w:rsidRDefault="00372C9E" w:rsidP="00276932">
      <w:pPr>
        <w:ind w:left="851"/>
        <w:rPr>
          <w:sz w:val="24"/>
          <w:szCs w:val="24"/>
          <w:lang w:eastAsia="da-DK"/>
        </w:rPr>
      </w:pPr>
    </w:p>
    <w:p w14:paraId="409DD58A" w14:textId="77777777" w:rsidR="00372C9E" w:rsidRPr="000F6AF2" w:rsidRDefault="00372C9E" w:rsidP="00276932">
      <w:pPr>
        <w:ind w:left="851"/>
        <w:rPr>
          <w:sz w:val="24"/>
          <w:szCs w:val="24"/>
        </w:rPr>
      </w:pPr>
      <w:r w:rsidRPr="000F6AF2">
        <w:rPr>
          <w:sz w:val="24"/>
          <w:szCs w:val="24"/>
        </w:rPr>
        <w:t xml:space="preserve">Tabel 2: </w:t>
      </w:r>
      <w:proofErr w:type="spellStart"/>
      <w:r w:rsidRPr="000F6AF2">
        <w:rPr>
          <w:bCs/>
          <w:sz w:val="24"/>
          <w:szCs w:val="24"/>
          <w:lang w:val="sv-SE"/>
        </w:rPr>
        <w:t>Investigator</w:t>
      </w:r>
      <w:proofErr w:type="spellEnd"/>
      <w:r w:rsidRPr="000F6AF2">
        <w:rPr>
          <w:bCs/>
          <w:sz w:val="24"/>
          <w:szCs w:val="24"/>
          <w:lang w:val="sv-SE"/>
        </w:rPr>
        <w:t xml:space="preserve"> Live </w:t>
      </w:r>
      <w:proofErr w:type="spellStart"/>
      <w:r w:rsidRPr="000F6AF2">
        <w:rPr>
          <w:bCs/>
          <w:sz w:val="24"/>
          <w:szCs w:val="24"/>
          <w:lang w:val="sv-SE"/>
        </w:rPr>
        <w:t>Assessment</w:t>
      </w:r>
      <w:proofErr w:type="spellEnd"/>
      <w:r w:rsidRPr="000F6AF2">
        <w:rPr>
          <w:sz w:val="24"/>
          <w:szCs w:val="24"/>
          <w:lang w:val="sv-SE"/>
        </w:rPr>
        <w:t xml:space="preserve"> </w:t>
      </w:r>
      <w:r w:rsidRPr="000F6AF2">
        <w:rPr>
          <w:sz w:val="24"/>
          <w:szCs w:val="24"/>
        </w:rPr>
        <w:t>ved maksimal panderynken – responsrate (%) på forskellige tidspunkter</w:t>
      </w:r>
    </w:p>
    <w:tbl>
      <w:tblPr>
        <w:tblW w:w="0" w:type="auto"/>
        <w:tblInd w:w="870" w:type="dxa"/>
        <w:tblCellMar>
          <w:left w:w="0" w:type="dxa"/>
          <w:right w:w="0" w:type="dxa"/>
        </w:tblCellMar>
        <w:tblLook w:val="04A0" w:firstRow="1" w:lastRow="0" w:firstColumn="1" w:lastColumn="0" w:noHBand="0" w:noVBand="1"/>
      </w:tblPr>
      <w:tblGrid>
        <w:gridCol w:w="1785"/>
        <w:gridCol w:w="1958"/>
        <w:gridCol w:w="1721"/>
      </w:tblGrid>
      <w:tr w:rsidR="00372C9E" w:rsidRPr="00DB36AA" w14:paraId="6D643EBF" w14:textId="77777777" w:rsidTr="00372C9E">
        <w:trPr>
          <w:cantSplit/>
          <w:tblHeader/>
        </w:trPr>
        <w:tc>
          <w:tcPr>
            <w:tcW w:w="1785" w:type="dxa"/>
            <w:tcBorders>
              <w:top w:val="single" w:sz="4" w:space="0" w:color="000000"/>
              <w:left w:val="single" w:sz="4" w:space="0" w:color="000000"/>
              <w:bottom w:val="single" w:sz="4" w:space="0" w:color="000000"/>
              <w:right w:val="nil"/>
            </w:tcBorders>
            <w:shd w:val="clear" w:color="auto" w:fill="FFFFFF"/>
            <w:tcMar>
              <w:top w:w="0" w:type="dxa"/>
              <w:left w:w="20" w:type="dxa"/>
              <w:bottom w:w="0" w:type="dxa"/>
              <w:right w:w="20" w:type="dxa"/>
            </w:tcMar>
            <w:vAlign w:val="bottom"/>
            <w:hideMark/>
          </w:tcPr>
          <w:p w14:paraId="0215EC59" w14:textId="77777777" w:rsidR="00372C9E" w:rsidRPr="00DB36AA" w:rsidRDefault="00372C9E">
            <w:pPr>
              <w:tabs>
                <w:tab w:val="left" w:pos="117"/>
              </w:tabs>
              <w:ind w:left="117"/>
              <w:rPr>
                <w:b/>
                <w:bCs/>
                <w:sz w:val="24"/>
                <w:szCs w:val="24"/>
              </w:rPr>
            </w:pPr>
            <w:r w:rsidRPr="00DB36AA">
              <w:rPr>
                <w:b/>
                <w:bCs/>
                <w:sz w:val="24"/>
                <w:szCs w:val="24"/>
              </w:rPr>
              <w:t>Besøg efter injektion</w:t>
            </w:r>
          </w:p>
        </w:tc>
        <w:tc>
          <w:tcPr>
            <w:tcW w:w="1958" w:type="dxa"/>
            <w:tcBorders>
              <w:top w:val="single" w:sz="4" w:space="0" w:color="000000"/>
              <w:left w:val="single" w:sz="4" w:space="0" w:color="000000"/>
              <w:bottom w:val="single" w:sz="4" w:space="0" w:color="000000"/>
              <w:right w:val="nil"/>
            </w:tcBorders>
            <w:shd w:val="clear" w:color="auto" w:fill="FFFFFF"/>
            <w:tcMar>
              <w:top w:w="0" w:type="dxa"/>
              <w:left w:w="20" w:type="dxa"/>
              <w:bottom w:w="0" w:type="dxa"/>
              <w:right w:w="20" w:type="dxa"/>
            </w:tcMar>
            <w:vAlign w:val="bottom"/>
            <w:hideMark/>
          </w:tcPr>
          <w:p w14:paraId="1E18C450" w14:textId="77777777" w:rsidR="00372C9E" w:rsidRPr="00DB36AA" w:rsidRDefault="00372C9E">
            <w:pPr>
              <w:ind w:left="180"/>
              <w:jc w:val="both"/>
              <w:rPr>
                <w:b/>
                <w:bCs/>
                <w:sz w:val="24"/>
                <w:szCs w:val="24"/>
              </w:rPr>
            </w:pPr>
            <w:proofErr w:type="spellStart"/>
            <w:r w:rsidRPr="00DB36AA">
              <w:rPr>
                <w:b/>
                <w:bCs/>
                <w:sz w:val="24"/>
                <w:szCs w:val="24"/>
              </w:rPr>
              <w:t>Alluzience</w:t>
            </w:r>
            <w:proofErr w:type="spellEnd"/>
          </w:p>
          <w:p w14:paraId="372FEA76" w14:textId="77777777" w:rsidR="00372C9E" w:rsidRPr="00DB36AA" w:rsidRDefault="00372C9E">
            <w:pPr>
              <w:ind w:left="180"/>
              <w:jc w:val="both"/>
              <w:rPr>
                <w:b/>
                <w:bCs/>
                <w:sz w:val="24"/>
                <w:szCs w:val="24"/>
              </w:rPr>
            </w:pPr>
            <w:r w:rsidRPr="00DB36AA">
              <w:rPr>
                <w:b/>
                <w:bCs/>
                <w:sz w:val="24"/>
                <w:szCs w:val="24"/>
              </w:rPr>
              <w:t>(N=250)</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20" w:type="dxa"/>
            </w:tcMar>
            <w:vAlign w:val="bottom"/>
            <w:hideMark/>
          </w:tcPr>
          <w:p w14:paraId="44428097" w14:textId="77777777" w:rsidR="00372C9E" w:rsidRPr="00DB36AA" w:rsidRDefault="00372C9E">
            <w:pPr>
              <w:tabs>
                <w:tab w:val="left" w:pos="495"/>
              </w:tabs>
              <w:ind w:left="212"/>
              <w:jc w:val="both"/>
              <w:rPr>
                <w:b/>
                <w:bCs/>
                <w:sz w:val="24"/>
                <w:szCs w:val="24"/>
              </w:rPr>
            </w:pPr>
            <w:r w:rsidRPr="00DB36AA">
              <w:rPr>
                <w:b/>
                <w:bCs/>
                <w:sz w:val="24"/>
                <w:szCs w:val="24"/>
              </w:rPr>
              <w:t>Placebo</w:t>
            </w:r>
          </w:p>
          <w:p w14:paraId="464C04E2" w14:textId="77777777" w:rsidR="00372C9E" w:rsidRPr="00DB36AA" w:rsidRDefault="00372C9E">
            <w:pPr>
              <w:tabs>
                <w:tab w:val="left" w:pos="495"/>
              </w:tabs>
              <w:ind w:left="212"/>
              <w:jc w:val="both"/>
              <w:rPr>
                <w:b/>
                <w:bCs/>
                <w:sz w:val="24"/>
                <w:szCs w:val="24"/>
              </w:rPr>
            </w:pPr>
            <w:r w:rsidRPr="00DB36AA">
              <w:rPr>
                <w:b/>
                <w:bCs/>
                <w:sz w:val="24"/>
                <w:szCs w:val="24"/>
              </w:rPr>
              <w:t>(N=122)</w:t>
            </w:r>
          </w:p>
        </w:tc>
      </w:tr>
      <w:tr w:rsidR="00372C9E" w:rsidRPr="00DB36AA" w14:paraId="3963B8F6" w14:textId="77777777" w:rsidTr="00372C9E">
        <w:trPr>
          <w:cantSplit/>
        </w:trPr>
        <w:tc>
          <w:tcPr>
            <w:tcW w:w="1785" w:type="dxa"/>
            <w:tcBorders>
              <w:top w:val="nil"/>
              <w:left w:val="single" w:sz="4" w:space="0" w:color="000000"/>
              <w:bottom w:val="single" w:sz="4" w:space="0" w:color="000000"/>
              <w:right w:val="nil"/>
            </w:tcBorders>
            <w:shd w:val="clear" w:color="auto" w:fill="FFFFFF"/>
            <w:tcMar>
              <w:top w:w="0" w:type="dxa"/>
              <w:left w:w="20" w:type="dxa"/>
              <w:bottom w:w="0" w:type="dxa"/>
              <w:right w:w="20" w:type="dxa"/>
            </w:tcMar>
            <w:hideMark/>
          </w:tcPr>
          <w:p w14:paraId="39C80DC3" w14:textId="77777777" w:rsidR="00372C9E" w:rsidRPr="00DB36AA" w:rsidRDefault="00372C9E">
            <w:pPr>
              <w:tabs>
                <w:tab w:val="left" w:pos="117"/>
              </w:tabs>
              <w:ind w:left="117"/>
              <w:jc w:val="both"/>
              <w:rPr>
                <w:sz w:val="24"/>
                <w:szCs w:val="24"/>
              </w:rPr>
            </w:pPr>
            <w:r w:rsidRPr="00DB36AA">
              <w:rPr>
                <w:sz w:val="24"/>
                <w:szCs w:val="24"/>
              </w:rPr>
              <w:t>8 dage</w:t>
            </w:r>
          </w:p>
        </w:tc>
        <w:tc>
          <w:tcPr>
            <w:tcW w:w="1958" w:type="dxa"/>
            <w:tcBorders>
              <w:top w:val="nil"/>
              <w:left w:val="single" w:sz="4" w:space="0" w:color="000000"/>
              <w:bottom w:val="single" w:sz="4" w:space="0" w:color="000000"/>
              <w:right w:val="nil"/>
            </w:tcBorders>
            <w:shd w:val="clear" w:color="auto" w:fill="FFFFFF"/>
            <w:tcMar>
              <w:top w:w="0" w:type="dxa"/>
              <w:left w:w="20" w:type="dxa"/>
              <w:bottom w:w="0" w:type="dxa"/>
              <w:right w:w="20" w:type="dxa"/>
            </w:tcMar>
            <w:hideMark/>
          </w:tcPr>
          <w:p w14:paraId="4AC4CCBA" w14:textId="77777777" w:rsidR="00372C9E" w:rsidRPr="00DB36AA" w:rsidRDefault="00372C9E">
            <w:pPr>
              <w:ind w:left="180"/>
              <w:jc w:val="both"/>
              <w:rPr>
                <w:sz w:val="24"/>
                <w:szCs w:val="24"/>
              </w:rPr>
            </w:pPr>
            <w:r w:rsidRPr="00DB36AA">
              <w:rPr>
                <w:sz w:val="24"/>
                <w:szCs w:val="24"/>
              </w:rPr>
              <w:t>80,0 %</w:t>
            </w:r>
          </w:p>
        </w:tc>
        <w:tc>
          <w:tcPr>
            <w:tcW w:w="1721" w:type="dxa"/>
            <w:tcBorders>
              <w:top w:val="nil"/>
              <w:left w:val="single" w:sz="4" w:space="0" w:color="000000"/>
              <w:bottom w:val="single" w:sz="4" w:space="0" w:color="000000"/>
              <w:right w:val="single" w:sz="4" w:space="0" w:color="000000"/>
            </w:tcBorders>
            <w:shd w:val="clear" w:color="auto" w:fill="FFFFFF"/>
            <w:tcMar>
              <w:top w:w="0" w:type="dxa"/>
              <w:left w:w="20" w:type="dxa"/>
              <w:bottom w:w="0" w:type="dxa"/>
              <w:right w:w="20" w:type="dxa"/>
            </w:tcMar>
            <w:hideMark/>
          </w:tcPr>
          <w:p w14:paraId="7AEEE212" w14:textId="77777777" w:rsidR="00372C9E" w:rsidRPr="00DB36AA" w:rsidRDefault="00372C9E">
            <w:pPr>
              <w:tabs>
                <w:tab w:val="left" w:pos="495"/>
              </w:tabs>
              <w:ind w:left="212"/>
              <w:jc w:val="both"/>
              <w:rPr>
                <w:sz w:val="24"/>
                <w:szCs w:val="24"/>
              </w:rPr>
            </w:pPr>
            <w:r w:rsidRPr="00DB36AA">
              <w:rPr>
                <w:sz w:val="24"/>
                <w:szCs w:val="24"/>
              </w:rPr>
              <w:t>2,5 %</w:t>
            </w:r>
          </w:p>
        </w:tc>
      </w:tr>
      <w:tr w:rsidR="00372C9E" w:rsidRPr="00DB36AA" w14:paraId="165D1E9B" w14:textId="77777777" w:rsidTr="00372C9E">
        <w:trPr>
          <w:cantSplit/>
        </w:trPr>
        <w:tc>
          <w:tcPr>
            <w:tcW w:w="1785" w:type="dxa"/>
            <w:tcBorders>
              <w:top w:val="nil"/>
              <w:left w:val="single" w:sz="4" w:space="0" w:color="000000"/>
              <w:bottom w:val="single" w:sz="4" w:space="0" w:color="000000"/>
              <w:right w:val="nil"/>
            </w:tcBorders>
            <w:shd w:val="clear" w:color="auto" w:fill="FFFFFF"/>
            <w:tcMar>
              <w:top w:w="0" w:type="dxa"/>
              <w:left w:w="20" w:type="dxa"/>
              <w:bottom w:w="0" w:type="dxa"/>
              <w:right w:w="20" w:type="dxa"/>
            </w:tcMar>
            <w:hideMark/>
          </w:tcPr>
          <w:p w14:paraId="41BB88EA" w14:textId="77777777" w:rsidR="00372C9E" w:rsidRPr="00DB36AA" w:rsidRDefault="00372C9E">
            <w:pPr>
              <w:tabs>
                <w:tab w:val="left" w:pos="117"/>
              </w:tabs>
              <w:ind w:left="117"/>
              <w:jc w:val="both"/>
              <w:rPr>
                <w:sz w:val="24"/>
                <w:szCs w:val="24"/>
              </w:rPr>
            </w:pPr>
            <w:r w:rsidRPr="00DB36AA">
              <w:rPr>
                <w:sz w:val="24"/>
                <w:szCs w:val="24"/>
              </w:rPr>
              <w:t>1 måned</w:t>
            </w:r>
          </w:p>
        </w:tc>
        <w:tc>
          <w:tcPr>
            <w:tcW w:w="1958" w:type="dxa"/>
            <w:tcBorders>
              <w:top w:val="nil"/>
              <w:left w:val="single" w:sz="4" w:space="0" w:color="000000"/>
              <w:bottom w:val="single" w:sz="4" w:space="0" w:color="000000"/>
              <w:right w:val="nil"/>
            </w:tcBorders>
            <w:shd w:val="clear" w:color="auto" w:fill="FFFFFF"/>
            <w:tcMar>
              <w:top w:w="0" w:type="dxa"/>
              <w:left w:w="20" w:type="dxa"/>
              <w:bottom w:w="0" w:type="dxa"/>
              <w:right w:w="20" w:type="dxa"/>
            </w:tcMar>
            <w:hideMark/>
          </w:tcPr>
          <w:p w14:paraId="528040CA" w14:textId="77777777" w:rsidR="00372C9E" w:rsidRPr="00DB36AA" w:rsidRDefault="00372C9E">
            <w:pPr>
              <w:ind w:left="180"/>
              <w:jc w:val="both"/>
              <w:rPr>
                <w:sz w:val="24"/>
                <w:szCs w:val="24"/>
              </w:rPr>
            </w:pPr>
            <w:r w:rsidRPr="00DB36AA">
              <w:rPr>
                <w:sz w:val="24"/>
                <w:szCs w:val="24"/>
              </w:rPr>
              <w:t>87,6 %</w:t>
            </w:r>
          </w:p>
        </w:tc>
        <w:tc>
          <w:tcPr>
            <w:tcW w:w="1721" w:type="dxa"/>
            <w:tcBorders>
              <w:top w:val="nil"/>
              <w:left w:val="single" w:sz="4" w:space="0" w:color="000000"/>
              <w:bottom w:val="single" w:sz="4" w:space="0" w:color="000000"/>
              <w:right w:val="single" w:sz="4" w:space="0" w:color="000000"/>
            </w:tcBorders>
            <w:shd w:val="clear" w:color="auto" w:fill="FFFFFF"/>
            <w:tcMar>
              <w:top w:w="0" w:type="dxa"/>
              <w:left w:w="20" w:type="dxa"/>
              <w:bottom w:w="0" w:type="dxa"/>
              <w:right w:w="20" w:type="dxa"/>
            </w:tcMar>
            <w:hideMark/>
          </w:tcPr>
          <w:p w14:paraId="1D425FAD" w14:textId="77777777" w:rsidR="00372C9E" w:rsidRPr="00DB36AA" w:rsidRDefault="00372C9E">
            <w:pPr>
              <w:tabs>
                <w:tab w:val="left" w:pos="495"/>
              </w:tabs>
              <w:ind w:left="212"/>
              <w:jc w:val="both"/>
              <w:rPr>
                <w:sz w:val="24"/>
                <w:szCs w:val="24"/>
              </w:rPr>
            </w:pPr>
            <w:r w:rsidRPr="00DB36AA">
              <w:rPr>
                <w:sz w:val="24"/>
                <w:szCs w:val="24"/>
              </w:rPr>
              <w:t>2,5 %</w:t>
            </w:r>
          </w:p>
        </w:tc>
      </w:tr>
      <w:tr w:rsidR="00372C9E" w:rsidRPr="00DB36AA" w14:paraId="15DF8A4A" w14:textId="77777777" w:rsidTr="00372C9E">
        <w:trPr>
          <w:cantSplit/>
        </w:trPr>
        <w:tc>
          <w:tcPr>
            <w:tcW w:w="1785" w:type="dxa"/>
            <w:tcBorders>
              <w:top w:val="nil"/>
              <w:left w:val="single" w:sz="4" w:space="0" w:color="000000"/>
              <w:bottom w:val="single" w:sz="4" w:space="0" w:color="000000"/>
              <w:right w:val="nil"/>
            </w:tcBorders>
            <w:shd w:val="clear" w:color="auto" w:fill="FFFFFF"/>
            <w:tcMar>
              <w:top w:w="0" w:type="dxa"/>
              <w:left w:w="20" w:type="dxa"/>
              <w:bottom w:w="0" w:type="dxa"/>
              <w:right w:w="20" w:type="dxa"/>
            </w:tcMar>
            <w:hideMark/>
          </w:tcPr>
          <w:p w14:paraId="0D6BE0FA" w14:textId="77777777" w:rsidR="00372C9E" w:rsidRPr="00DB36AA" w:rsidRDefault="00372C9E">
            <w:pPr>
              <w:tabs>
                <w:tab w:val="left" w:pos="117"/>
              </w:tabs>
              <w:ind w:left="117"/>
              <w:jc w:val="both"/>
              <w:rPr>
                <w:sz w:val="24"/>
                <w:szCs w:val="24"/>
              </w:rPr>
            </w:pPr>
            <w:r w:rsidRPr="00DB36AA">
              <w:rPr>
                <w:sz w:val="24"/>
                <w:szCs w:val="24"/>
              </w:rPr>
              <w:t>2 måneder</w:t>
            </w:r>
          </w:p>
        </w:tc>
        <w:tc>
          <w:tcPr>
            <w:tcW w:w="1958" w:type="dxa"/>
            <w:tcBorders>
              <w:top w:val="nil"/>
              <w:left w:val="single" w:sz="4" w:space="0" w:color="000000"/>
              <w:bottom w:val="single" w:sz="4" w:space="0" w:color="000000"/>
              <w:right w:val="nil"/>
            </w:tcBorders>
            <w:shd w:val="clear" w:color="auto" w:fill="FFFFFF"/>
            <w:tcMar>
              <w:top w:w="0" w:type="dxa"/>
              <w:left w:w="20" w:type="dxa"/>
              <w:bottom w:w="0" w:type="dxa"/>
              <w:right w:w="20" w:type="dxa"/>
            </w:tcMar>
            <w:hideMark/>
          </w:tcPr>
          <w:p w14:paraId="7EA280ED" w14:textId="77777777" w:rsidR="00372C9E" w:rsidRPr="00DB36AA" w:rsidRDefault="00372C9E">
            <w:pPr>
              <w:ind w:left="180"/>
              <w:jc w:val="both"/>
              <w:rPr>
                <w:sz w:val="24"/>
                <w:szCs w:val="24"/>
              </w:rPr>
            </w:pPr>
            <w:r w:rsidRPr="00DB36AA">
              <w:rPr>
                <w:sz w:val="24"/>
                <w:szCs w:val="24"/>
              </w:rPr>
              <w:t>76,8 %</w:t>
            </w:r>
          </w:p>
        </w:tc>
        <w:tc>
          <w:tcPr>
            <w:tcW w:w="1721" w:type="dxa"/>
            <w:tcBorders>
              <w:top w:val="nil"/>
              <w:left w:val="single" w:sz="4" w:space="0" w:color="000000"/>
              <w:bottom w:val="single" w:sz="4" w:space="0" w:color="000000"/>
              <w:right w:val="single" w:sz="4" w:space="0" w:color="000000"/>
            </w:tcBorders>
            <w:shd w:val="clear" w:color="auto" w:fill="FFFFFF"/>
            <w:tcMar>
              <w:top w:w="0" w:type="dxa"/>
              <w:left w:w="20" w:type="dxa"/>
              <w:bottom w:w="0" w:type="dxa"/>
              <w:right w:w="20" w:type="dxa"/>
            </w:tcMar>
            <w:hideMark/>
          </w:tcPr>
          <w:p w14:paraId="3B390773" w14:textId="77777777" w:rsidR="00372C9E" w:rsidRPr="00DB36AA" w:rsidRDefault="00372C9E">
            <w:pPr>
              <w:tabs>
                <w:tab w:val="left" w:pos="495"/>
              </w:tabs>
              <w:ind w:left="212"/>
              <w:jc w:val="both"/>
              <w:rPr>
                <w:sz w:val="24"/>
                <w:szCs w:val="24"/>
              </w:rPr>
            </w:pPr>
            <w:r w:rsidRPr="00DB36AA">
              <w:rPr>
                <w:sz w:val="24"/>
                <w:szCs w:val="24"/>
              </w:rPr>
              <w:t>1,7 %</w:t>
            </w:r>
          </w:p>
        </w:tc>
      </w:tr>
      <w:tr w:rsidR="00372C9E" w:rsidRPr="00DB36AA" w14:paraId="710B4DBA" w14:textId="77777777" w:rsidTr="00372C9E">
        <w:trPr>
          <w:cantSplit/>
        </w:trPr>
        <w:tc>
          <w:tcPr>
            <w:tcW w:w="1785" w:type="dxa"/>
            <w:tcBorders>
              <w:top w:val="nil"/>
              <w:left w:val="single" w:sz="4" w:space="0" w:color="000000"/>
              <w:bottom w:val="single" w:sz="4" w:space="0" w:color="000000"/>
              <w:right w:val="nil"/>
            </w:tcBorders>
            <w:shd w:val="clear" w:color="auto" w:fill="FFFFFF"/>
            <w:tcMar>
              <w:top w:w="0" w:type="dxa"/>
              <w:left w:w="20" w:type="dxa"/>
              <w:bottom w:w="0" w:type="dxa"/>
              <w:right w:w="20" w:type="dxa"/>
            </w:tcMar>
            <w:hideMark/>
          </w:tcPr>
          <w:p w14:paraId="3BC9059C" w14:textId="77777777" w:rsidR="00372C9E" w:rsidRPr="00DB36AA" w:rsidRDefault="00372C9E">
            <w:pPr>
              <w:tabs>
                <w:tab w:val="left" w:pos="117"/>
              </w:tabs>
              <w:ind w:left="117"/>
              <w:jc w:val="both"/>
              <w:rPr>
                <w:sz w:val="24"/>
                <w:szCs w:val="24"/>
              </w:rPr>
            </w:pPr>
            <w:r w:rsidRPr="00DB36AA">
              <w:rPr>
                <w:sz w:val="24"/>
                <w:szCs w:val="24"/>
              </w:rPr>
              <w:lastRenderedPageBreak/>
              <w:t>3 måneder</w:t>
            </w:r>
          </w:p>
        </w:tc>
        <w:tc>
          <w:tcPr>
            <w:tcW w:w="1958" w:type="dxa"/>
            <w:tcBorders>
              <w:top w:val="nil"/>
              <w:left w:val="single" w:sz="4" w:space="0" w:color="000000"/>
              <w:bottom w:val="single" w:sz="4" w:space="0" w:color="000000"/>
              <w:right w:val="nil"/>
            </w:tcBorders>
            <w:shd w:val="clear" w:color="auto" w:fill="FFFFFF"/>
            <w:tcMar>
              <w:top w:w="0" w:type="dxa"/>
              <w:left w:w="20" w:type="dxa"/>
              <w:bottom w:w="0" w:type="dxa"/>
              <w:right w:w="20" w:type="dxa"/>
            </w:tcMar>
            <w:hideMark/>
          </w:tcPr>
          <w:p w14:paraId="29E90B83" w14:textId="77777777" w:rsidR="00372C9E" w:rsidRPr="00DB36AA" w:rsidRDefault="00372C9E">
            <w:pPr>
              <w:ind w:left="180"/>
              <w:jc w:val="both"/>
              <w:rPr>
                <w:sz w:val="24"/>
                <w:szCs w:val="24"/>
              </w:rPr>
            </w:pPr>
            <w:r w:rsidRPr="00DB36AA">
              <w:rPr>
                <w:sz w:val="24"/>
                <w:szCs w:val="24"/>
              </w:rPr>
              <w:t>57,6 %</w:t>
            </w:r>
          </w:p>
        </w:tc>
        <w:tc>
          <w:tcPr>
            <w:tcW w:w="1721" w:type="dxa"/>
            <w:tcBorders>
              <w:top w:val="nil"/>
              <w:left w:val="single" w:sz="4" w:space="0" w:color="000000"/>
              <w:bottom w:val="single" w:sz="4" w:space="0" w:color="000000"/>
              <w:right w:val="single" w:sz="4" w:space="0" w:color="000000"/>
            </w:tcBorders>
            <w:shd w:val="clear" w:color="auto" w:fill="FFFFFF"/>
            <w:tcMar>
              <w:top w:w="0" w:type="dxa"/>
              <w:left w:w="20" w:type="dxa"/>
              <w:bottom w:w="0" w:type="dxa"/>
              <w:right w:w="20" w:type="dxa"/>
            </w:tcMar>
            <w:hideMark/>
          </w:tcPr>
          <w:p w14:paraId="6C6B7242" w14:textId="77777777" w:rsidR="00372C9E" w:rsidRPr="00DB36AA" w:rsidRDefault="00372C9E">
            <w:pPr>
              <w:tabs>
                <w:tab w:val="left" w:pos="495"/>
              </w:tabs>
              <w:ind w:left="212"/>
              <w:jc w:val="both"/>
              <w:rPr>
                <w:sz w:val="24"/>
                <w:szCs w:val="24"/>
              </w:rPr>
            </w:pPr>
            <w:r w:rsidRPr="00DB36AA">
              <w:rPr>
                <w:sz w:val="24"/>
                <w:szCs w:val="24"/>
              </w:rPr>
              <w:t>1,7 %</w:t>
            </w:r>
          </w:p>
        </w:tc>
      </w:tr>
      <w:tr w:rsidR="00372C9E" w:rsidRPr="00DB36AA" w14:paraId="6D915221" w14:textId="77777777" w:rsidTr="00372C9E">
        <w:trPr>
          <w:cantSplit/>
        </w:trPr>
        <w:tc>
          <w:tcPr>
            <w:tcW w:w="1785" w:type="dxa"/>
            <w:tcBorders>
              <w:top w:val="nil"/>
              <w:left w:val="single" w:sz="4" w:space="0" w:color="000000"/>
              <w:bottom w:val="single" w:sz="4" w:space="0" w:color="000000"/>
              <w:right w:val="nil"/>
            </w:tcBorders>
            <w:shd w:val="clear" w:color="auto" w:fill="FFFFFF"/>
            <w:tcMar>
              <w:top w:w="0" w:type="dxa"/>
              <w:left w:w="20" w:type="dxa"/>
              <w:bottom w:w="0" w:type="dxa"/>
              <w:right w:w="20" w:type="dxa"/>
            </w:tcMar>
            <w:hideMark/>
          </w:tcPr>
          <w:p w14:paraId="59B1CD3C" w14:textId="77777777" w:rsidR="00372C9E" w:rsidRPr="00DB36AA" w:rsidRDefault="00372C9E">
            <w:pPr>
              <w:tabs>
                <w:tab w:val="left" w:pos="117"/>
              </w:tabs>
              <w:ind w:left="117"/>
              <w:jc w:val="both"/>
              <w:rPr>
                <w:sz w:val="24"/>
                <w:szCs w:val="24"/>
              </w:rPr>
            </w:pPr>
            <w:r w:rsidRPr="00DB36AA">
              <w:rPr>
                <w:sz w:val="24"/>
                <w:szCs w:val="24"/>
              </w:rPr>
              <w:t>4 måneder</w:t>
            </w:r>
          </w:p>
        </w:tc>
        <w:tc>
          <w:tcPr>
            <w:tcW w:w="1958" w:type="dxa"/>
            <w:tcBorders>
              <w:top w:val="nil"/>
              <w:left w:val="single" w:sz="4" w:space="0" w:color="000000"/>
              <w:bottom w:val="single" w:sz="4" w:space="0" w:color="000000"/>
              <w:right w:val="nil"/>
            </w:tcBorders>
            <w:shd w:val="clear" w:color="auto" w:fill="FFFFFF"/>
            <w:tcMar>
              <w:top w:w="0" w:type="dxa"/>
              <w:left w:w="20" w:type="dxa"/>
              <w:bottom w:w="0" w:type="dxa"/>
              <w:right w:w="20" w:type="dxa"/>
            </w:tcMar>
            <w:hideMark/>
          </w:tcPr>
          <w:p w14:paraId="151B4998" w14:textId="77777777" w:rsidR="00372C9E" w:rsidRPr="00DB36AA" w:rsidRDefault="00372C9E">
            <w:pPr>
              <w:ind w:left="180"/>
              <w:jc w:val="both"/>
              <w:rPr>
                <w:sz w:val="24"/>
                <w:szCs w:val="24"/>
              </w:rPr>
            </w:pPr>
            <w:r w:rsidRPr="00DB36AA">
              <w:rPr>
                <w:sz w:val="24"/>
                <w:szCs w:val="24"/>
              </w:rPr>
              <w:t>36,3 %</w:t>
            </w:r>
          </w:p>
        </w:tc>
        <w:tc>
          <w:tcPr>
            <w:tcW w:w="1721" w:type="dxa"/>
            <w:tcBorders>
              <w:top w:val="nil"/>
              <w:left w:val="single" w:sz="4" w:space="0" w:color="000000"/>
              <w:bottom w:val="single" w:sz="4" w:space="0" w:color="000000"/>
              <w:right w:val="single" w:sz="4" w:space="0" w:color="000000"/>
            </w:tcBorders>
            <w:shd w:val="clear" w:color="auto" w:fill="FFFFFF"/>
            <w:tcMar>
              <w:top w:w="0" w:type="dxa"/>
              <w:left w:w="20" w:type="dxa"/>
              <w:bottom w:w="0" w:type="dxa"/>
              <w:right w:w="20" w:type="dxa"/>
            </w:tcMar>
            <w:hideMark/>
          </w:tcPr>
          <w:p w14:paraId="52E31B0B" w14:textId="77777777" w:rsidR="00372C9E" w:rsidRPr="00DB36AA" w:rsidRDefault="00372C9E">
            <w:pPr>
              <w:tabs>
                <w:tab w:val="left" w:pos="495"/>
              </w:tabs>
              <w:ind w:left="212"/>
              <w:jc w:val="both"/>
              <w:rPr>
                <w:sz w:val="24"/>
                <w:szCs w:val="24"/>
              </w:rPr>
            </w:pPr>
            <w:r w:rsidRPr="00DB36AA">
              <w:rPr>
                <w:sz w:val="24"/>
                <w:szCs w:val="24"/>
              </w:rPr>
              <w:t>1,8 %</w:t>
            </w:r>
          </w:p>
        </w:tc>
      </w:tr>
      <w:tr w:rsidR="00372C9E" w:rsidRPr="00DB36AA" w14:paraId="60A27D4B" w14:textId="77777777" w:rsidTr="00372C9E">
        <w:trPr>
          <w:cantSplit/>
        </w:trPr>
        <w:tc>
          <w:tcPr>
            <w:tcW w:w="1785" w:type="dxa"/>
            <w:tcBorders>
              <w:top w:val="nil"/>
              <w:left w:val="single" w:sz="4" w:space="0" w:color="000000"/>
              <w:bottom w:val="single" w:sz="4" w:space="0" w:color="000000"/>
              <w:right w:val="nil"/>
            </w:tcBorders>
            <w:shd w:val="clear" w:color="auto" w:fill="FFFFFF"/>
            <w:tcMar>
              <w:top w:w="0" w:type="dxa"/>
              <w:left w:w="20" w:type="dxa"/>
              <w:bottom w:w="0" w:type="dxa"/>
              <w:right w:w="20" w:type="dxa"/>
            </w:tcMar>
            <w:hideMark/>
          </w:tcPr>
          <w:p w14:paraId="7B08B3B8" w14:textId="77777777" w:rsidR="00372C9E" w:rsidRPr="00DB36AA" w:rsidRDefault="00372C9E">
            <w:pPr>
              <w:tabs>
                <w:tab w:val="left" w:pos="117"/>
              </w:tabs>
              <w:ind w:left="117"/>
              <w:jc w:val="both"/>
              <w:rPr>
                <w:sz w:val="24"/>
                <w:szCs w:val="24"/>
              </w:rPr>
            </w:pPr>
            <w:r w:rsidRPr="00DB36AA">
              <w:rPr>
                <w:sz w:val="24"/>
                <w:szCs w:val="24"/>
              </w:rPr>
              <w:t>5 måneder</w:t>
            </w:r>
          </w:p>
        </w:tc>
        <w:tc>
          <w:tcPr>
            <w:tcW w:w="1958" w:type="dxa"/>
            <w:tcBorders>
              <w:top w:val="nil"/>
              <w:left w:val="single" w:sz="4" w:space="0" w:color="000000"/>
              <w:bottom w:val="single" w:sz="4" w:space="0" w:color="000000"/>
              <w:right w:val="nil"/>
            </w:tcBorders>
            <w:shd w:val="clear" w:color="auto" w:fill="FFFFFF"/>
            <w:tcMar>
              <w:top w:w="0" w:type="dxa"/>
              <w:left w:w="20" w:type="dxa"/>
              <w:bottom w:w="0" w:type="dxa"/>
              <w:right w:w="20" w:type="dxa"/>
            </w:tcMar>
            <w:hideMark/>
          </w:tcPr>
          <w:p w14:paraId="17E3A43D" w14:textId="77777777" w:rsidR="00372C9E" w:rsidRPr="00DB36AA" w:rsidRDefault="00372C9E">
            <w:pPr>
              <w:ind w:left="180"/>
              <w:jc w:val="both"/>
              <w:rPr>
                <w:sz w:val="24"/>
                <w:szCs w:val="24"/>
              </w:rPr>
            </w:pPr>
            <w:r w:rsidRPr="00DB36AA">
              <w:rPr>
                <w:sz w:val="24"/>
                <w:szCs w:val="24"/>
              </w:rPr>
              <w:t>17,5 %</w:t>
            </w:r>
          </w:p>
        </w:tc>
        <w:tc>
          <w:tcPr>
            <w:tcW w:w="1721" w:type="dxa"/>
            <w:tcBorders>
              <w:top w:val="nil"/>
              <w:left w:val="single" w:sz="4" w:space="0" w:color="000000"/>
              <w:bottom w:val="single" w:sz="4" w:space="0" w:color="000000"/>
              <w:right w:val="single" w:sz="4" w:space="0" w:color="000000"/>
            </w:tcBorders>
            <w:shd w:val="clear" w:color="auto" w:fill="FFFFFF"/>
            <w:tcMar>
              <w:top w:w="0" w:type="dxa"/>
              <w:left w:w="20" w:type="dxa"/>
              <w:bottom w:w="0" w:type="dxa"/>
              <w:right w:w="20" w:type="dxa"/>
            </w:tcMar>
            <w:hideMark/>
          </w:tcPr>
          <w:p w14:paraId="13207E85" w14:textId="77777777" w:rsidR="00372C9E" w:rsidRPr="00DB36AA" w:rsidRDefault="00372C9E">
            <w:pPr>
              <w:tabs>
                <w:tab w:val="left" w:pos="495"/>
              </w:tabs>
              <w:ind w:left="212"/>
              <w:jc w:val="both"/>
              <w:rPr>
                <w:sz w:val="24"/>
                <w:szCs w:val="24"/>
              </w:rPr>
            </w:pPr>
            <w:r w:rsidRPr="00DB36AA">
              <w:rPr>
                <w:sz w:val="24"/>
                <w:szCs w:val="24"/>
              </w:rPr>
              <w:t>0,9 %</w:t>
            </w:r>
          </w:p>
        </w:tc>
      </w:tr>
      <w:tr w:rsidR="00372C9E" w:rsidRPr="00DB36AA" w14:paraId="31DF2B55" w14:textId="77777777" w:rsidTr="00372C9E">
        <w:trPr>
          <w:cantSplit/>
        </w:trPr>
        <w:tc>
          <w:tcPr>
            <w:tcW w:w="1785" w:type="dxa"/>
            <w:tcBorders>
              <w:top w:val="nil"/>
              <w:left w:val="single" w:sz="4" w:space="0" w:color="000000"/>
              <w:bottom w:val="single" w:sz="4" w:space="0" w:color="000000"/>
              <w:right w:val="nil"/>
            </w:tcBorders>
            <w:shd w:val="clear" w:color="auto" w:fill="FFFFFF"/>
            <w:tcMar>
              <w:top w:w="0" w:type="dxa"/>
              <w:left w:w="20" w:type="dxa"/>
              <w:bottom w:w="0" w:type="dxa"/>
              <w:right w:w="20" w:type="dxa"/>
            </w:tcMar>
            <w:hideMark/>
          </w:tcPr>
          <w:p w14:paraId="54ADA34D" w14:textId="77777777" w:rsidR="00372C9E" w:rsidRPr="00DB36AA" w:rsidRDefault="00372C9E">
            <w:pPr>
              <w:tabs>
                <w:tab w:val="left" w:pos="117"/>
              </w:tabs>
              <w:ind w:left="117"/>
              <w:jc w:val="both"/>
              <w:rPr>
                <w:sz w:val="24"/>
                <w:szCs w:val="24"/>
              </w:rPr>
            </w:pPr>
            <w:r w:rsidRPr="00DB36AA">
              <w:rPr>
                <w:sz w:val="24"/>
                <w:szCs w:val="24"/>
              </w:rPr>
              <w:t>6 måneder</w:t>
            </w:r>
          </w:p>
        </w:tc>
        <w:tc>
          <w:tcPr>
            <w:tcW w:w="1958" w:type="dxa"/>
            <w:tcBorders>
              <w:top w:val="nil"/>
              <w:left w:val="single" w:sz="4" w:space="0" w:color="000000"/>
              <w:bottom w:val="single" w:sz="4" w:space="0" w:color="000000"/>
              <w:right w:val="nil"/>
            </w:tcBorders>
            <w:shd w:val="clear" w:color="auto" w:fill="FFFFFF"/>
            <w:tcMar>
              <w:top w:w="0" w:type="dxa"/>
              <w:left w:w="20" w:type="dxa"/>
              <w:bottom w:w="0" w:type="dxa"/>
              <w:right w:w="20" w:type="dxa"/>
            </w:tcMar>
            <w:hideMark/>
          </w:tcPr>
          <w:p w14:paraId="245EA0E2" w14:textId="77777777" w:rsidR="00372C9E" w:rsidRPr="00DB36AA" w:rsidRDefault="00372C9E">
            <w:pPr>
              <w:ind w:left="180"/>
              <w:jc w:val="both"/>
              <w:rPr>
                <w:sz w:val="24"/>
                <w:szCs w:val="24"/>
              </w:rPr>
            </w:pPr>
            <w:r w:rsidRPr="00DB36AA">
              <w:rPr>
                <w:sz w:val="24"/>
                <w:szCs w:val="24"/>
              </w:rPr>
              <w:t>10,0 %</w:t>
            </w:r>
          </w:p>
        </w:tc>
        <w:tc>
          <w:tcPr>
            <w:tcW w:w="1721" w:type="dxa"/>
            <w:tcBorders>
              <w:top w:val="nil"/>
              <w:left w:val="single" w:sz="4" w:space="0" w:color="000000"/>
              <w:bottom w:val="single" w:sz="4" w:space="0" w:color="000000"/>
              <w:right w:val="single" w:sz="4" w:space="0" w:color="000000"/>
            </w:tcBorders>
            <w:shd w:val="clear" w:color="auto" w:fill="FFFFFF"/>
            <w:tcMar>
              <w:top w:w="0" w:type="dxa"/>
              <w:left w:w="20" w:type="dxa"/>
              <w:bottom w:w="0" w:type="dxa"/>
              <w:right w:w="20" w:type="dxa"/>
            </w:tcMar>
            <w:hideMark/>
          </w:tcPr>
          <w:p w14:paraId="5D4EC4C2" w14:textId="77777777" w:rsidR="00372C9E" w:rsidRPr="00DB36AA" w:rsidRDefault="00372C9E">
            <w:pPr>
              <w:tabs>
                <w:tab w:val="left" w:pos="495"/>
              </w:tabs>
              <w:ind w:left="212"/>
              <w:jc w:val="both"/>
              <w:rPr>
                <w:sz w:val="24"/>
                <w:szCs w:val="24"/>
              </w:rPr>
            </w:pPr>
            <w:r w:rsidRPr="00DB36AA">
              <w:rPr>
                <w:sz w:val="24"/>
                <w:szCs w:val="24"/>
              </w:rPr>
              <w:t>0,9 %</w:t>
            </w:r>
          </w:p>
        </w:tc>
      </w:tr>
    </w:tbl>
    <w:p w14:paraId="598E2216" w14:textId="77777777" w:rsidR="00372C9E" w:rsidRPr="00952F3C" w:rsidRDefault="00372C9E" w:rsidP="00372C9E">
      <w:pPr>
        <w:tabs>
          <w:tab w:val="left" w:pos="851"/>
        </w:tabs>
        <w:ind w:left="851"/>
        <w:rPr>
          <w:sz w:val="24"/>
          <w:szCs w:val="24"/>
        </w:rPr>
      </w:pPr>
      <w:r w:rsidRPr="00952F3C">
        <w:rPr>
          <w:sz w:val="24"/>
          <w:szCs w:val="24"/>
        </w:rPr>
        <w:t xml:space="preserve">Bemærk: Responsraten defineres som at have en sværhedsgrad på moderat eller svær ved </w:t>
      </w:r>
      <w:r w:rsidRPr="00952F3C">
        <w:rPr>
          <w:i/>
          <w:iCs/>
          <w:sz w:val="24"/>
          <w:szCs w:val="24"/>
        </w:rPr>
        <w:t>baseline</w:t>
      </w:r>
      <w:r w:rsidRPr="00952F3C">
        <w:rPr>
          <w:sz w:val="24"/>
          <w:szCs w:val="24"/>
        </w:rPr>
        <w:t xml:space="preserve"> og en sværhedsgrad på ingen eller mild ved et givent besøg.</w:t>
      </w:r>
    </w:p>
    <w:p w14:paraId="3CBE8766" w14:textId="77777777" w:rsidR="00372C9E" w:rsidRPr="00952F3C" w:rsidRDefault="00372C9E" w:rsidP="00372C9E">
      <w:pPr>
        <w:tabs>
          <w:tab w:val="left" w:pos="851"/>
        </w:tabs>
        <w:ind w:left="851"/>
        <w:rPr>
          <w:sz w:val="24"/>
          <w:szCs w:val="24"/>
        </w:rPr>
      </w:pPr>
      <w:r w:rsidRPr="00952F3C">
        <w:rPr>
          <w:sz w:val="24"/>
          <w:szCs w:val="24"/>
        </w:rPr>
        <w:t>Responsraten, det primære effekt-endepunkt på dag 29, var statistisk signifikant forskellig fra placebo (p &lt;0,0001).</w:t>
      </w:r>
    </w:p>
    <w:p w14:paraId="745D32FC" w14:textId="77777777" w:rsidR="00372C9E" w:rsidRPr="00952F3C" w:rsidRDefault="00372C9E" w:rsidP="00372C9E">
      <w:pPr>
        <w:tabs>
          <w:tab w:val="left" w:pos="851"/>
        </w:tabs>
        <w:ind w:left="851"/>
        <w:rPr>
          <w:sz w:val="24"/>
          <w:szCs w:val="24"/>
        </w:rPr>
      </w:pPr>
      <w:proofErr w:type="spellStart"/>
      <w:r w:rsidRPr="00952F3C">
        <w:rPr>
          <w:sz w:val="24"/>
          <w:szCs w:val="24"/>
        </w:rPr>
        <w:t>Responderrater</w:t>
      </w:r>
      <w:proofErr w:type="spellEnd"/>
      <w:r w:rsidRPr="00952F3C">
        <w:rPr>
          <w:sz w:val="24"/>
          <w:szCs w:val="24"/>
        </w:rPr>
        <w:t xml:space="preserve"> på andre tidspunkter var nominelt forskellige fra placebo (</w:t>
      </w:r>
      <w:proofErr w:type="spellStart"/>
      <w:r w:rsidRPr="00952F3C">
        <w:rPr>
          <w:sz w:val="24"/>
          <w:szCs w:val="24"/>
        </w:rPr>
        <w:t>p-værdier</w:t>
      </w:r>
      <w:proofErr w:type="spellEnd"/>
      <w:r w:rsidRPr="00952F3C">
        <w:rPr>
          <w:sz w:val="24"/>
          <w:szCs w:val="24"/>
        </w:rPr>
        <w:t xml:space="preserve"> fra ≤0,0001 til 0,0008).</w:t>
      </w:r>
    </w:p>
    <w:p w14:paraId="3679F312" w14:textId="77777777" w:rsidR="00372C9E" w:rsidRPr="000F6AF2" w:rsidRDefault="00372C9E" w:rsidP="00372C9E">
      <w:pPr>
        <w:tabs>
          <w:tab w:val="left" w:pos="851"/>
        </w:tabs>
        <w:ind w:left="851"/>
        <w:rPr>
          <w:sz w:val="24"/>
          <w:szCs w:val="24"/>
        </w:rPr>
      </w:pPr>
    </w:p>
    <w:p w14:paraId="7F6EC763" w14:textId="77777777" w:rsidR="00372C9E" w:rsidRPr="000F6AF2" w:rsidRDefault="00372C9E" w:rsidP="00372C9E">
      <w:pPr>
        <w:tabs>
          <w:tab w:val="left" w:pos="851"/>
        </w:tabs>
        <w:ind w:left="851"/>
        <w:rPr>
          <w:sz w:val="24"/>
          <w:szCs w:val="24"/>
        </w:rPr>
      </w:pPr>
      <w:r w:rsidRPr="000F6AF2">
        <w:rPr>
          <w:sz w:val="24"/>
          <w:szCs w:val="24"/>
        </w:rPr>
        <w:t xml:space="preserve">Andelen af respondenter ifølge patientens egen vurdering var højere for patienter behandlet med </w:t>
      </w:r>
      <w:proofErr w:type="spellStart"/>
      <w:r w:rsidRPr="000F6AF2">
        <w:rPr>
          <w:sz w:val="24"/>
          <w:szCs w:val="24"/>
        </w:rPr>
        <w:t>Alluzience</w:t>
      </w:r>
      <w:proofErr w:type="spellEnd"/>
      <w:r w:rsidRPr="000F6AF2">
        <w:rPr>
          <w:sz w:val="24"/>
          <w:szCs w:val="24"/>
        </w:rPr>
        <w:t xml:space="preserve"> sammenlignet med placebo på alle tidspunkter fra 8 dage op til 6 måneder (tabel 4).</w:t>
      </w:r>
    </w:p>
    <w:p w14:paraId="57E4169A" w14:textId="77777777" w:rsidR="00372C9E" w:rsidRPr="000F6AF2" w:rsidRDefault="00372C9E" w:rsidP="00372C9E">
      <w:pPr>
        <w:tabs>
          <w:tab w:val="left" w:pos="851"/>
        </w:tabs>
        <w:rPr>
          <w:sz w:val="24"/>
          <w:szCs w:val="24"/>
        </w:rPr>
      </w:pPr>
    </w:p>
    <w:p w14:paraId="6443F2AD" w14:textId="52B261D5" w:rsidR="00372C9E" w:rsidRPr="000F6AF2" w:rsidRDefault="00372C9E" w:rsidP="00372C9E">
      <w:pPr>
        <w:tabs>
          <w:tab w:val="left" w:pos="851"/>
        </w:tabs>
        <w:ind w:left="851"/>
        <w:rPr>
          <w:sz w:val="24"/>
          <w:szCs w:val="24"/>
        </w:rPr>
      </w:pPr>
      <w:r w:rsidRPr="000F6AF2">
        <w:rPr>
          <w:sz w:val="24"/>
          <w:szCs w:val="24"/>
        </w:rPr>
        <w:t>Tab</w:t>
      </w:r>
      <w:r w:rsidR="00DB36AA">
        <w:rPr>
          <w:sz w:val="24"/>
          <w:szCs w:val="24"/>
        </w:rPr>
        <w:t>el</w:t>
      </w:r>
      <w:r w:rsidRPr="000F6AF2">
        <w:rPr>
          <w:sz w:val="24"/>
          <w:szCs w:val="24"/>
        </w:rPr>
        <w:t xml:space="preserve"> 3: Patientens egen vurdering – responsrate (%) på forskellige tidspunkter</w:t>
      </w:r>
    </w:p>
    <w:p w14:paraId="1DC1C3CC" w14:textId="77777777" w:rsidR="00372C9E" w:rsidRPr="000F6AF2" w:rsidRDefault="00372C9E" w:rsidP="00372C9E">
      <w:pPr>
        <w:tabs>
          <w:tab w:val="left" w:pos="851"/>
        </w:tabs>
        <w:ind w:left="851"/>
        <w:rPr>
          <w:sz w:val="24"/>
          <w:szCs w:val="24"/>
        </w:rPr>
      </w:pPr>
    </w:p>
    <w:tbl>
      <w:tblPr>
        <w:tblW w:w="0" w:type="auto"/>
        <w:tblInd w:w="857" w:type="dxa"/>
        <w:tblCellMar>
          <w:left w:w="0" w:type="dxa"/>
          <w:right w:w="0" w:type="dxa"/>
        </w:tblCellMar>
        <w:tblLook w:val="04A0" w:firstRow="1" w:lastRow="0" w:firstColumn="1" w:lastColumn="0" w:noHBand="0" w:noVBand="1"/>
      </w:tblPr>
      <w:tblGrid>
        <w:gridCol w:w="1665"/>
        <w:gridCol w:w="1776"/>
        <w:gridCol w:w="1393"/>
      </w:tblGrid>
      <w:tr w:rsidR="00372C9E" w:rsidRPr="00DB36AA" w14:paraId="61C2E57A" w14:textId="77777777" w:rsidTr="00372C9E">
        <w:trPr>
          <w:cantSplit/>
          <w:tblHeader/>
        </w:trPr>
        <w:tc>
          <w:tcPr>
            <w:tcW w:w="1665" w:type="dxa"/>
            <w:tcBorders>
              <w:top w:val="single" w:sz="4" w:space="0" w:color="000000"/>
              <w:left w:val="single" w:sz="4" w:space="0" w:color="000000"/>
              <w:bottom w:val="single" w:sz="4" w:space="0" w:color="000000"/>
              <w:right w:val="nil"/>
            </w:tcBorders>
            <w:shd w:val="clear" w:color="auto" w:fill="FFFFFF"/>
            <w:tcMar>
              <w:top w:w="0" w:type="dxa"/>
              <w:left w:w="20" w:type="dxa"/>
              <w:bottom w:w="0" w:type="dxa"/>
              <w:right w:w="20" w:type="dxa"/>
            </w:tcMar>
            <w:vAlign w:val="bottom"/>
            <w:hideMark/>
          </w:tcPr>
          <w:p w14:paraId="2D8120A2" w14:textId="77777777" w:rsidR="00372C9E" w:rsidRPr="00DB36AA" w:rsidRDefault="00372C9E">
            <w:pPr>
              <w:pStyle w:val="BodyTab"/>
              <w:rPr>
                <w:b/>
                <w:bCs/>
                <w:sz w:val="24"/>
                <w:szCs w:val="24"/>
                <w:lang w:val="da-DK"/>
              </w:rPr>
            </w:pPr>
            <w:r w:rsidRPr="00DB36AA">
              <w:rPr>
                <w:b/>
                <w:bCs/>
                <w:sz w:val="24"/>
                <w:szCs w:val="24"/>
                <w:lang w:val="da-DK"/>
              </w:rPr>
              <w:t>Besøg efter injektion</w:t>
            </w:r>
          </w:p>
        </w:tc>
        <w:tc>
          <w:tcPr>
            <w:tcW w:w="1776" w:type="dxa"/>
            <w:tcBorders>
              <w:top w:val="single" w:sz="4" w:space="0" w:color="000000"/>
              <w:left w:val="single" w:sz="4" w:space="0" w:color="000000"/>
              <w:bottom w:val="single" w:sz="4" w:space="0" w:color="000000"/>
              <w:right w:val="nil"/>
            </w:tcBorders>
            <w:shd w:val="clear" w:color="auto" w:fill="FFFFFF"/>
            <w:tcMar>
              <w:top w:w="0" w:type="dxa"/>
              <w:left w:w="20" w:type="dxa"/>
              <w:bottom w:w="0" w:type="dxa"/>
              <w:right w:w="20" w:type="dxa"/>
            </w:tcMar>
            <w:vAlign w:val="bottom"/>
            <w:hideMark/>
          </w:tcPr>
          <w:p w14:paraId="4DCDB12E" w14:textId="77777777" w:rsidR="00372C9E" w:rsidRPr="00DB36AA" w:rsidRDefault="00372C9E">
            <w:pPr>
              <w:pStyle w:val="BodyTab"/>
              <w:rPr>
                <w:b/>
                <w:bCs/>
                <w:sz w:val="24"/>
                <w:szCs w:val="24"/>
                <w:lang w:val="da-DK"/>
              </w:rPr>
            </w:pPr>
            <w:proofErr w:type="spellStart"/>
            <w:r w:rsidRPr="00DB36AA">
              <w:rPr>
                <w:b/>
                <w:bCs/>
                <w:sz w:val="24"/>
                <w:szCs w:val="24"/>
                <w:lang w:val="da-DK"/>
              </w:rPr>
              <w:t>Alluzience</w:t>
            </w:r>
            <w:proofErr w:type="spellEnd"/>
            <w:r w:rsidRPr="00DB36AA">
              <w:rPr>
                <w:b/>
                <w:bCs/>
                <w:sz w:val="24"/>
                <w:szCs w:val="24"/>
                <w:lang w:val="da-DK"/>
              </w:rPr>
              <w:t xml:space="preserve"> </w:t>
            </w:r>
            <w:r w:rsidRPr="00DB36AA">
              <w:rPr>
                <w:b/>
                <w:bCs/>
                <w:sz w:val="24"/>
                <w:szCs w:val="24"/>
                <w:lang w:val="da-DK"/>
              </w:rPr>
              <w:br/>
              <w:t>(N=250)</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20" w:type="dxa"/>
            </w:tcMar>
            <w:vAlign w:val="bottom"/>
            <w:hideMark/>
          </w:tcPr>
          <w:p w14:paraId="671312BE" w14:textId="77777777" w:rsidR="00372C9E" w:rsidRPr="00DB36AA" w:rsidRDefault="00372C9E">
            <w:pPr>
              <w:pStyle w:val="BodyTab"/>
              <w:rPr>
                <w:b/>
                <w:bCs/>
                <w:sz w:val="24"/>
                <w:szCs w:val="24"/>
                <w:lang w:val="da-DK"/>
              </w:rPr>
            </w:pPr>
            <w:r w:rsidRPr="00DB36AA">
              <w:rPr>
                <w:b/>
                <w:bCs/>
                <w:sz w:val="24"/>
                <w:szCs w:val="24"/>
                <w:lang w:val="da-DK"/>
              </w:rPr>
              <w:t>Placebo</w:t>
            </w:r>
            <w:r w:rsidRPr="00DB36AA">
              <w:rPr>
                <w:b/>
                <w:bCs/>
                <w:sz w:val="24"/>
                <w:szCs w:val="24"/>
                <w:lang w:val="da-DK"/>
              </w:rPr>
              <w:br/>
              <w:t>(N=122)</w:t>
            </w:r>
          </w:p>
        </w:tc>
      </w:tr>
      <w:tr w:rsidR="00372C9E" w:rsidRPr="00DB36AA" w14:paraId="13A84990" w14:textId="77777777" w:rsidTr="00372C9E">
        <w:trPr>
          <w:cantSplit/>
        </w:trPr>
        <w:tc>
          <w:tcPr>
            <w:tcW w:w="1665" w:type="dxa"/>
            <w:tcBorders>
              <w:top w:val="nil"/>
              <w:left w:val="single" w:sz="4" w:space="0" w:color="000000"/>
              <w:bottom w:val="single" w:sz="4" w:space="0" w:color="000000"/>
              <w:right w:val="nil"/>
            </w:tcBorders>
            <w:shd w:val="clear" w:color="auto" w:fill="FFFFFF"/>
            <w:tcMar>
              <w:top w:w="0" w:type="dxa"/>
              <w:left w:w="20" w:type="dxa"/>
              <w:bottom w:w="0" w:type="dxa"/>
              <w:right w:w="20" w:type="dxa"/>
            </w:tcMar>
            <w:hideMark/>
          </w:tcPr>
          <w:p w14:paraId="0CEA6D17" w14:textId="77777777" w:rsidR="00372C9E" w:rsidRPr="00DB36AA" w:rsidRDefault="00372C9E">
            <w:pPr>
              <w:pStyle w:val="BodyTab"/>
              <w:rPr>
                <w:sz w:val="24"/>
                <w:szCs w:val="24"/>
                <w:lang w:val="da-DK"/>
              </w:rPr>
            </w:pPr>
            <w:r w:rsidRPr="00DB36AA">
              <w:rPr>
                <w:sz w:val="24"/>
                <w:szCs w:val="24"/>
                <w:lang w:val="da-DK"/>
              </w:rPr>
              <w:t>8 dage</w:t>
            </w:r>
          </w:p>
        </w:tc>
        <w:tc>
          <w:tcPr>
            <w:tcW w:w="1776" w:type="dxa"/>
            <w:tcBorders>
              <w:top w:val="nil"/>
              <w:left w:val="single" w:sz="4" w:space="0" w:color="000000"/>
              <w:bottom w:val="single" w:sz="4" w:space="0" w:color="000000"/>
              <w:right w:val="nil"/>
            </w:tcBorders>
            <w:shd w:val="clear" w:color="auto" w:fill="FFFFFF"/>
            <w:tcMar>
              <w:top w:w="0" w:type="dxa"/>
              <w:left w:w="20" w:type="dxa"/>
              <w:bottom w:w="0" w:type="dxa"/>
              <w:right w:w="20" w:type="dxa"/>
            </w:tcMar>
            <w:hideMark/>
          </w:tcPr>
          <w:p w14:paraId="1867B0D3" w14:textId="77777777" w:rsidR="00372C9E" w:rsidRPr="00DB36AA" w:rsidRDefault="00372C9E">
            <w:pPr>
              <w:pStyle w:val="BodyTab"/>
              <w:rPr>
                <w:sz w:val="24"/>
                <w:szCs w:val="24"/>
                <w:lang w:val="da-DK"/>
              </w:rPr>
            </w:pPr>
            <w:r w:rsidRPr="00DB36AA">
              <w:rPr>
                <w:sz w:val="24"/>
                <w:szCs w:val="24"/>
                <w:lang w:val="da-DK"/>
              </w:rPr>
              <w:t>66,0 %</w:t>
            </w:r>
          </w:p>
        </w:tc>
        <w:tc>
          <w:tcPr>
            <w:tcW w:w="1393" w:type="dxa"/>
            <w:tcBorders>
              <w:top w:val="nil"/>
              <w:left w:val="single" w:sz="4" w:space="0" w:color="000000"/>
              <w:bottom w:val="single" w:sz="4" w:space="0" w:color="000000"/>
              <w:right w:val="single" w:sz="4" w:space="0" w:color="000000"/>
            </w:tcBorders>
            <w:shd w:val="clear" w:color="auto" w:fill="FFFFFF"/>
            <w:tcMar>
              <w:top w:w="0" w:type="dxa"/>
              <w:left w:w="20" w:type="dxa"/>
              <w:bottom w:w="0" w:type="dxa"/>
              <w:right w:w="20" w:type="dxa"/>
            </w:tcMar>
            <w:hideMark/>
          </w:tcPr>
          <w:p w14:paraId="5CF73B3C" w14:textId="77777777" w:rsidR="00372C9E" w:rsidRPr="00DB36AA" w:rsidRDefault="00372C9E">
            <w:pPr>
              <w:pStyle w:val="BodyTab"/>
              <w:rPr>
                <w:sz w:val="24"/>
                <w:szCs w:val="24"/>
                <w:lang w:val="da-DK"/>
              </w:rPr>
            </w:pPr>
            <w:r w:rsidRPr="00DB36AA">
              <w:rPr>
                <w:sz w:val="24"/>
                <w:szCs w:val="24"/>
                <w:lang w:val="da-DK"/>
              </w:rPr>
              <w:t>4,9 %</w:t>
            </w:r>
          </w:p>
        </w:tc>
      </w:tr>
      <w:tr w:rsidR="00372C9E" w:rsidRPr="00DB36AA" w14:paraId="51825E2A" w14:textId="77777777" w:rsidTr="00372C9E">
        <w:trPr>
          <w:cantSplit/>
        </w:trPr>
        <w:tc>
          <w:tcPr>
            <w:tcW w:w="1665" w:type="dxa"/>
            <w:tcBorders>
              <w:top w:val="nil"/>
              <w:left w:val="single" w:sz="4" w:space="0" w:color="000000"/>
              <w:bottom w:val="single" w:sz="4" w:space="0" w:color="000000"/>
              <w:right w:val="nil"/>
            </w:tcBorders>
            <w:shd w:val="clear" w:color="auto" w:fill="FFFFFF"/>
            <w:tcMar>
              <w:top w:w="0" w:type="dxa"/>
              <w:left w:w="20" w:type="dxa"/>
              <w:bottom w:w="0" w:type="dxa"/>
              <w:right w:w="20" w:type="dxa"/>
            </w:tcMar>
            <w:hideMark/>
          </w:tcPr>
          <w:p w14:paraId="3A1AC7D8" w14:textId="77777777" w:rsidR="00372C9E" w:rsidRPr="00DB36AA" w:rsidRDefault="00372C9E">
            <w:pPr>
              <w:pStyle w:val="BodyTab"/>
              <w:rPr>
                <w:sz w:val="24"/>
                <w:szCs w:val="24"/>
                <w:lang w:val="da-DK"/>
              </w:rPr>
            </w:pPr>
            <w:r w:rsidRPr="00DB36AA">
              <w:rPr>
                <w:sz w:val="24"/>
                <w:szCs w:val="24"/>
                <w:lang w:val="da-DK"/>
              </w:rPr>
              <w:t>1 måned</w:t>
            </w:r>
          </w:p>
        </w:tc>
        <w:tc>
          <w:tcPr>
            <w:tcW w:w="1776" w:type="dxa"/>
            <w:tcBorders>
              <w:top w:val="nil"/>
              <w:left w:val="single" w:sz="4" w:space="0" w:color="000000"/>
              <w:bottom w:val="single" w:sz="4" w:space="0" w:color="000000"/>
              <w:right w:val="nil"/>
            </w:tcBorders>
            <w:shd w:val="clear" w:color="auto" w:fill="FFFFFF"/>
            <w:tcMar>
              <w:top w:w="0" w:type="dxa"/>
              <w:left w:w="20" w:type="dxa"/>
              <w:bottom w:w="0" w:type="dxa"/>
              <w:right w:w="20" w:type="dxa"/>
            </w:tcMar>
            <w:hideMark/>
          </w:tcPr>
          <w:p w14:paraId="30717B97" w14:textId="77777777" w:rsidR="00372C9E" w:rsidRPr="00DB36AA" w:rsidRDefault="00372C9E">
            <w:pPr>
              <w:pStyle w:val="BodyTab"/>
              <w:rPr>
                <w:sz w:val="24"/>
                <w:szCs w:val="24"/>
                <w:lang w:val="da-DK"/>
              </w:rPr>
            </w:pPr>
            <w:r w:rsidRPr="00DB36AA">
              <w:rPr>
                <w:sz w:val="24"/>
                <w:szCs w:val="24"/>
                <w:lang w:val="da-DK"/>
              </w:rPr>
              <w:t>76,8 %</w:t>
            </w:r>
          </w:p>
        </w:tc>
        <w:tc>
          <w:tcPr>
            <w:tcW w:w="1393" w:type="dxa"/>
            <w:tcBorders>
              <w:top w:val="nil"/>
              <w:left w:val="single" w:sz="4" w:space="0" w:color="000000"/>
              <w:bottom w:val="single" w:sz="4" w:space="0" w:color="000000"/>
              <w:right w:val="single" w:sz="4" w:space="0" w:color="000000"/>
            </w:tcBorders>
            <w:shd w:val="clear" w:color="auto" w:fill="FFFFFF"/>
            <w:tcMar>
              <w:top w:w="0" w:type="dxa"/>
              <w:left w:w="20" w:type="dxa"/>
              <w:bottom w:w="0" w:type="dxa"/>
              <w:right w:w="20" w:type="dxa"/>
            </w:tcMar>
            <w:hideMark/>
          </w:tcPr>
          <w:p w14:paraId="0C9F2CB2" w14:textId="77777777" w:rsidR="00372C9E" w:rsidRPr="00DB36AA" w:rsidRDefault="00372C9E">
            <w:pPr>
              <w:pStyle w:val="BodyTab"/>
              <w:rPr>
                <w:sz w:val="24"/>
                <w:szCs w:val="24"/>
                <w:lang w:val="da-DK"/>
              </w:rPr>
            </w:pPr>
            <w:r w:rsidRPr="00DB36AA">
              <w:rPr>
                <w:sz w:val="24"/>
                <w:szCs w:val="24"/>
                <w:lang w:val="da-DK"/>
              </w:rPr>
              <w:t>5,7 %</w:t>
            </w:r>
          </w:p>
        </w:tc>
      </w:tr>
      <w:tr w:rsidR="00372C9E" w:rsidRPr="00DB36AA" w14:paraId="484ABB0D" w14:textId="77777777" w:rsidTr="00372C9E">
        <w:trPr>
          <w:cantSplit/>
        </w:trPr>
        <w:tc>
          <w:tcPr>
            <w:tcW w:w="1665" w:type="dxa"/>
            <w:tcBorders>
              <w:top w:val="nil"/>
              <w:left w:val="single" w:sz="4" w:space="0" w:color="000000"/>
              <w:bottom w:val="single" w:sz="4" w:space="0" w:color="000000"/>
              <w:right w:val="nil"/>
            </w:tcBorders>
            <w:shd w:val="clear" w:color="auto" w:fill="FFFFFF"/>
            <w:tcMar>
              <w:top w:w="0" w:type="dxa"/>
              <w:left w:w="20" w:type="dxa"/>
              <w:bottom w:w="0" w:type="dxa"/>
              <w:right w:w="20" w:type="dxa"/>
            </w:tcMar>
            <w:hideMark/>
          </w:tcPr>
          <w:p w14:paraId="11633F43" w14:textId="77777777" w:rsidR="00372C9E" w:rsidRPr="00DB36AA" w:rsidRDefault="00372C9E">
            <w:pPr>
              <w:pStyle w:val="BodyTab"/>
              <w:rPr>
                <w:sz w:val="24"/>
                <w:szCs w:val="24"/>
                <w:lang w:val="da-DK"/>
              </w:rPr>
            </w:pPr>
            <w:r w:rsidRPr="00DB36AA">
              <w:rPr>
                <w:sz w:val="24"/>
                <w:szCs w:val="24"/>
                <w:lang w:val="da-DK"/>
              </w:rPr>
              <w:t>2 måneder</w:t>
            </w:r>
          </w:p>
        </w:tc>
        <w:tc>
          <w:tcPr>
            <w:tcW w:w="1776" w:type="dxa"/>
            <w:tcBorders>
              <w:top w:val="nil"/>
              <w:left w:val="single" w:sz="4" w:space="0" w:color="000000"/>
              <w:bottom w:val="single" w:sz="4" w:space="0" w:color="000000"/>
              <w:right w:val="nil"/>
            </w:tcBorders>
            <w:shd w:val="clear" w:color="auto" w:fill="FFFFFF"/>
            <w:tcMar>
              <w:top w:w="0" w:type="dxa"/>
              <w:left w:w="20" w:type="dxa"/>
              <w:bottom w:w="0" w:type="dxa"/>
              <w:right w:w="20" w:type="dxa"/>
            </w:tcMar>
            <w:hideMark/>
          </w:tcPr>
          <w:p w14:paraId="277EA430" w14:textId="77777777" w:rsidR="00372C9E" w:rsidRPr="00DB36AA" w:rsidRDefault="00372C9E">
            <w:pPr>
              <w:pStyle w:val="BodyTab"/>
              <w:rPr>
                <w:sz w:val="24"/>
                <w:szCs w:val="24"/>
                <w:lang w:val="da-DK"/>
              </w:rPr>
            </w:pPr>
            <w:r w:rsidRPr="00DB36AA">
              <w:rPr>
                <w:sz w:val="24"/>
                <w:szCs w:val="24"/>
                <w:lang w:val="da-DK"/>
              </w:rPr>
              <w:t>72,4 %</w:t>
            </w:r>
          </w:p>
        </w:tc>
        <w:tc>
          <w:tcPr>
            <w:tcW w:w="1393" w:type="dxa"/>
            <w:tcBorders>
              <w:top w:val="nil"/>
              <w:left w:val="single" w:sz="4" w:space="0" w:color="000000"/>
              <w:bottom w:val="single" w:sz="4" w:space="0" w:color="000000"/>
              <w:right w:val="single" w:sz="4" w:space="0" w:color="000000"/>
            </w:tcBorders>
            <w:shd w:val="clear" w:color="auto" w:fill="FFFFFF"/>
            <w:tcMar>
              <w:top w:w="0" w:type="dxa"/>
              <w:left w:w="20" w:type="dxa"/>
              <w:bottom w:w="0" w:type="dxa"/>
              <w:right w:w="20" w:type="dxa"/>
            </w:tcMar>
            <w:hideMark/>
          </w:tcPr>
          <w:p w14:paraId="406D9DC7" w14:textId="77777777" w:rsidR="00372C9E" w:rsidRPr="00DB36AA" w:rsidRDefault="00372C9E">
            <w:pPr>
              <w:pStyle w:val="BodyTab"/>
              <w:rPr>
                <w:sz w:val="24"/>
                <w:szCs w:val="24"/>
                <w:lang w:val="da-DK"/>
              </w:rPr>
            </w:pPr>
            <w:r w:rsidRPr="00DB36AA">
              <w:rPr>
                <w:sz w:val="24"/>
                <w:szCs w:val="24"/>
                <w:lang w:val="da-DK"/>
              </w:rPr>
              <w:t>2,5 %</w:t>
            </w:r>
          </w:p>
        </w:tc>
      </w:tr>
      <w:tr w:rsidR="00372C9E" w:rsidRPr="00DB36AA" w14:paraId="2515539C" w14:textId="77777777" w:rsidTr="00372C9E">
        <w:trPr>
          <w:cantSplit/>
        </w:trPr>
        <w:tc>
          <w:tcPr>
            <w:tcW w:w="1665" w:type="dxa"/>
            <w:tcBorders>
              <w:top w:val="nil"/>
              <w:left w:val="single" w:sz="4" w:space="0" w:color="000000"/>
              <w:bottom w:val="single" w:sz="4" w:space="0" w:color="000000"/>
              <w:right w:val="nil"/>
            </w:tcBorders>
            <w:shd w:val="clear" w:color="auto" w:fill="FFFFFF"/>
            <w:tcMar>
              <w:top w:w="0" w:type="dxa"/>
              <w:left w:w="20" w:type="dxa"/>
              <w:bottom w:w="0" w:type="dxa"/>
              <w:right w:w="20" w:type="dxa"/>
            </w:tcMar>
            <w:hideMark/>
          </w:tcPr>
          <w:p w14:paraId="75F6C0CE" w14:textId="77777777" w:rsidR="00372C9E" w:rsidRPr="00DB36AA" w:rsidRDefault="00372C9E">
            <w:pPr>
              <w:pStyle w:val="BodyTab"/>
              <w:rPr>
                <w:sz w:val="24"/>
                <w:szCs w:val="24"/>
                <w:lang w:val="da-DK"/>
              </w:rPr>
            </w:pPr>
            <w:r w:rsidRPr="00DB36AA">
              <w:rPr>
                <w:sz w:val="24"/>
                <w:szCs w:val="24"/>
                <w:lang w:val="da-DK"/>
              </w:rPr>
              <w:t>3 måneder</w:t>
            </w:r>
          </w:p>
        </w:tc>
        <w:tc>
          <w:tcPr>
            <w:tcW w:w="1776" w:type="dxa"/>
            <w:tcBorders>
              <w:top w:val="nil"/>
              <w:left w:val="single" w:sz="4" w:space="0" w:color="000000"/>
              <w:bottom w:val="single" w:sz="4" w:space="0" w:color="000000"/>
              <w:right w:val="nil"/>
            </w:tcBorders>
            <w:shd w:val="clear" w:color="auto" w:fill="FFFFFF"/>
            <w:tcMar>
              <w:top w:w="0" w:type="dxa"/>
              <w:left w:w="20" w:type="dxa"/>
              <w:bottom w:w="0" w:type="dxa"/>
              <w:right w:w="20" w:type="dxa"/>
            </w:tcMar>
            <w:hideMark/>
          </w:tcPr>
          <w:p w14:paraId="164F8BEF" w14:textId="77777777" w:rsidR="00372C9E" w:rsidRPr="00DB36AA" w:rsidRDefault="00372C9E">
            <w:pPr>
              <w:pStyle w:val="BodyTab"/>
              <w:rPr>
                <w:sz w:val="24"/>
                <w:szCs w:val="24"/>
                <w:lang w:val="da-DK"/>
              </w:rPr>
            </w:pPr>
            <w:r w:rsidRPr="00DB36AA">
              <w:rPr>
                <w:sz w:val="24"/>
                <w:szCs w:val="24"/>
                <w:lang w:val="da-DK"/>
              </w:rPr>
              <w:t>48,8 %</w:t>
            </w:r>
          </w:p>
        </w:tc>
        <w:tc>
          <w:tcPr>
            <w:tcW w:w="1393" w:type="dxa"/>
            <w:tcBorders>
              <w:top w:val="nil"/>
              <w:left w:val="single" w:sz="4" w:space="0" w:color="000000"/>
              <w:bottom w:val="single" w:sz="4" w:space="0" w:color="000000"/>
              <w:right w:val="single" w:sz="4" w:space="0" w:color="000000"/>
            </w:tcBorders>
            <w:shd w:val="clear" w:color="auto" w:fill="FFFFFF"/>
            <w:tcMar>
              <w:top w:w="0" w:type="dxa"/>
              <w:left w:w="20" w:type="dxa"/>
              <w:bottom w:w="0" w:type="dxa"/>
              <w:right w:w="20" w:type="dxa"/>
            </w:tcMar>
            <w:hideMark/>
          </w:tcPr>
          <w:p w14:paraId="04B81549" w14:textId="77777777" w:rsidR="00372C9E" w:rsidRPr="00DB36AA" w:rsidRDefault="00372C9E">
            <w:pPr>
              <w:pStyle w:val="BodyTab"/>
              <w:rPr>
                <w:sz w:val="24"/>
                <w:szCs w:val="24"/>
                <w:lang w:val="da-DK"/>
              </w:rPr>
            </w:pPr>
            <w:r w:rsidRPr="00DB36AA">
              <w:rPr>
                <w:sz w:val="24"/>
                <w:szCs w:val="24"/>
                <w:lang w:val="da-DK"/>
              </w:rPr>
              <w:t>3,4 %</w:t>
            </w:r>
          </w:p>
        </w:tc>
      </w:tr>
      <w:tr w:rsidR="00372C9E" w:rsidRPr="00DB36AA" w14:paraId="095848D7" w14:textId="77777777" w:rsidTr="00372C9E">
        <w:trPr>
          <w:cantSplit/>
        </w:trPr>
        <w:tc>
          <w:tcPr>
            <w:tcW w:w="1665" w:type="dxa"/>
            <w:tcBorders>
              <w:top w:val="nil"/>
              <w:left w:val="single" w:sz="4" w:space="0" w:color="000000"/>
              <w:bottom w:val="single" w:sz="4" w:space="0" w:color="000000"/>
              <w:right w:val="nil"/>
            </w:tcBorders>
            <w:shd w:val="clear" w:color="auto" w:fill="FFFFFF"/>
            <w:tcMar>
              <w:top w:w="0" w:type="dxa"/>
              <w:left w:w="20" w:type="dxa"/>
              <w:bottom w:w="0" w:type="dxa"/>
              <w:right w:w="20" w:type="dxa"/>
            </w:tcMar>
            <w:hideMark/>
          </w:tcPr>
          <w:p w14:paraId="3E354317" w14:textId="77777777" w:rsidR="00372C9E" w:rsidRPr="00DB36AA" w:rsidRDefault="00372C9E">
            <w:pPr>
              <w:pStyle w:val="BodyTab"/>
              <w:rPr>
                <w:sz w:val="24"/>
                <w:szCs w:val="24"/>
                <w:lang w:val="da-DK"/>
              </w:rPr>
            </w:pPr>
            <w:r w:rsidRPr="00DB36AA">
              <w:rPr>
                <w:sz w:val="24"/>
                <w:szCs w:val="24"/>
                <w:lang w:val="da-DK"/>
              </w:rPr>
              <w:t>4 måneder</w:t>
            </w:r>
          </w:p>
        </w:tc>
        <w:tc>
          <w:tcPr>
            <w:tcW w:w="1776" w:type="dxa"/>
            <w:tcBorders>
              <w:top w:val="nil"/>
              <w:left w:val="single" w:sz="4" w:space="0" w:color="000000"/>
              <w:bottom w:val="single" w:sz="4" w:space="0" w:color="000000"/>
              <w:right w:val="nil"/>
            </w:tcBorders>
            <w:shd w:val="clear" w:color="auto" w:fill="FFFFFF"/>
            <w:tcMar>
              <w:top w:w="0" w:type="dxa"/>
              <w:left w:w="20" w:type="dxa"/>
              <w:bottom w:w="0" w:type="dxa"/>
              <w:right w:w="20" w:type="dxa"/>
            </w:tcMar>
            <w:hideMark/>
          </w:tcPr>
          <w:p w14:paraId="1C5BA4C5" w14:textId="77777777" w:rsidR="00372C9E" w:rsidRPr="00DB36AA" w:rsidRDefault="00372C9E">
            <w:pPr>
              <w:pStyle w:val="BodyTab"/>
              <w:rPr>
                <w:sz w:val="24"/>
                <w:szCs w:val="24"/>
                <w:lang w:val="da-DK"/>
              </w:rPr>
            </w:pPr>
            <w:r w:rsidRPr="00DB36AA">
              <w:rPr>
                <w:sz w:val="24"/>
                <w:szCs w:val="24"/>
                <w:lang w:val="da-DK"/>
              </w:rPr>
              <w:t>32,7 %</w:t>
            </w:r>
          </w:p>
        </w:tc>
        <w:tc>
          <w:tcPr>
            <w:tcW w:w="1393" w:type="dxa"/>
            <w:tcBorders>
              <w:top w:val="nil"/>
              <w:left w:val="single" w:sz="4" w:space="0" w:color="000000"/>
              <w:bottom w:val="single" w:sz="4" w:space="0" w:color="000000"/>
              <w:right w:val="single" w:sz="4" w:space="0" w:color="000000"/>
            </w:tcBorders>
            <w:shd w:val="clear" w:color="auto" w:fill="FFFFFF"/>
            <w:tcMar>
              <w:top w:w="0" w:type="dxa"/>
              <w:left w:w="20" w:type="dxa"/>
              <w:bottom w:w="0" w:type="dxa"/>
              <w:right w:w="20" w:type="dxa"/>
            </w:tcMar>
            <w:hideMark/>
          </w:tcPr>
          <w:p w14:paraId="02CCE420" w14:textId="77777777" w:rsidR="00372C9E" w:rsidRPr="00DB36AA" w:rsidRDefault="00372C9E">
            <w:pPr>
              <w:pStyle w:val="BodyTab"/>
              <w:rPr>
                <w:sz w:val="24"/>
                <w:szCs w:val="24"/>
                <w:lang w:val="da-DK"/>
              </w:rPr>
            </w:pPr>
            <w:r w:rsidRPr="00DB36AA">
              <w:rPr>
                <w:sz w:val="24"/>
                <w:szCs w:val="24"/>
                <w:lang w:val="da-DK"/>
              </w:rPr>
              <w:t>4,3 %</w:t>
            </w:r>
          </w:p>
        </w:tc>
      </w:tr>
      <w:tr w:rsidR="00372C9E" w:rsidRPr="00DB36AA" w14:paraId="4FB4E697" w14:textId="77777777" w:rsidTr="00372C9E">
        <w:trPr>
          <w:cantSplit/>
        </w:trPr>
        <w:tc>
          <w:tcPr>
            <w:tcW w:w="1665" w:type="dxa"/>
            <w:tcBorders>
              <w:top w:val="nil"/>
              <w:left w:val="single" w:sz="4" w:space="0" w:color="000000"/>
              <w:bottom w:val="single" w:sz="4" w:space="0" w:color="000000"/>
              <w:right w:val="nil"/>
            </w:tcBorders>
            <w:shd w:val="clear" w:color="auto" w:fill="FFFFFF"/>
            <w:tcMar>
              <w:top w:w="0" w:type="dxa"/>
              <w:left w:w="20" w:type="dxa"/>
              <w:bottom w:w="0" w:type="dxa"/>
              <w:right w:w="20" w:type="dxa"/>
            </w:tcMar>
            <w:hideMark/>
          </w:tcPr>
          <w:p w14:paraId="1AEF0FD7" w14:textId="77777777" w:rsidR="00372C9E" w:rsidRPr="00DB36AA" w:rsidRDefault="00372C9E">
            <w:pPr>
              <w:pStyle w:val="BodyTab"/>
              <w:rPr>
                <w:sz w:val="24"/>
                <w:szCs w:val="24"/>
                <w:lang w:val="da-DK"/>
              </w:rPr>
            </w:pPr>
            <w:r w:rsidRPr="00DB36AA">
              <w:rPr>
                <w:sz w:val="24"/>
                <w:szCs w:val="24"/>
                <w:lang w:val="da-DK"/>
              </w:rPr>
              <w:t>5 måneder</w:t>
            </w:r>
          </w:p>
        </w:tc>
        <w:tc>
          <w:tcPr>
            <w:tcW w:w="1776" w:type="dxa"/>
            <w:tcBorders>
              <w:top w:val="nil"/>
              <w:left w:val="single" w:sz="4" w:space="0" w:color="000000"/>
              <w:bottom w:val="single" w:sz="4" w:space="0" w:color="000000"/>
              <w:right w:val="nil"/>
            </w:tcBorders>
            <w:shd w:val="clear" w:color="auto" w:fill="FFFFFF"/>
            <w:tcMar>
              <w:top w:w="0" w:type="dxa"/>
              <w:left w:w="20" w:type="dxa"/>
              <w:bottom w:w="0" w:type="dxa"/>
              <w:right w:w="20" w:type="dxa"/>
            </w:tcMar>
            <w:hideMark/>
          </w:tcPr>
          <w:p w14:paraId="603F6A42" w14:textId="77777777" w:rsidR="00372C9E" w:rsidRPr="00DB36AA" w:rsidRDefault="00372C9E">
            <w:pPr>
              <w:pStyle w:val="BodyTab"/>
              <w:rPr>
                <w:sz w:val="24"/>
                <w:szCs w:val="24"/>
                <w:lang w:val="da-DK"/>
              </w:rPr>
            </w:pPr>
            <w:r w:rsidRPr="00DB36AA">
              <w:rPr>
                <w:sz w:val="24"/>
                <w:szCs w:val="24"/>
                <w:lang w:val="da-DK"/>
              </w:rPr>
              <w:t>23,1 %</w:t>
            </w:r>
          </w:p>
        </w:tc>
        <w:tc>
          <w:tcPr>
            <w:tcW w:w="1393" w:type="dxa"/>
            <w:tcBorders>
              <w:top w:val="nil"/>
              <w:left w:val="single" w:sz="4" w:space="0" w:color="000000"/>
              <w:bottom w:val="single" w:sz="4" w:space="0" w:color="000000"/>
              <w:right w:val="single" w:sz="4" w:space="0" w:color="000000"/>
            </w:tcBorders>
            <w:shd w:val="clear" w:color="auto" w:fill="FFFFFF"/>
            <w:tcMar>
              <w:top w:w="0" w:type="dxa"/>
              <w:left w:w="20" w:type="dxa"/>
              <w:bottom w:w="0" w:type="dxa"/>
              <w:right w:w="20" w:type="dxa"/>
            </w:tcMar>
            <w:hideMark/>
          </w:tcPr>
          <w:p w14:paraId="7BDC5BA6" w14:textId="77777777" w:rsidR="00372C9E" w:rsidRPr="00DB36AA" w:rsidRDefault="00372C9E">
            <w:pPr>
              <w:pStyle w:val="BodyTab"/>
              <w:rPr>
                <w:sz w:val="24"/>
                <w:szCs w:val="24"/>
                <w:lang w:val="da-DK"/>
              </w:rPr>
            </w:pPr>
            <w:r w:rsidRPr="00DB36AA">
              <w:rPr>
                <w:sz w:val="24"/>
                <w:szCs w:val="24"/>
                <w:lang w:val="da-DK"/>
              </w:rPr>
              <w:t>4,3 %</w:t>
            </w:r>
          </w:p>
        </w:tc>
      </w:tr>
      <w:tr w:rsidR="00372C9E" w:rsidRPr="00DB36AA" w14:paraId="4BE508FF" w14:textId="77777777" w:rsidTr="00372C9E">
        <w:trPr>
          <w:cantSplit/>
        </w:trPr>
        <w:tc>
          <w:tcPr>
            <w:tcW w:w="1665" w:type="dxa"/>
            <w:tcBorders>
              <w:top w:val="nil"/>
              <w:left w:val="single" w:sz="4" w:space="0" w:color="000000"/>
              <w:bottom w:val="single" w:sz="4" w:space="0" w:color="000000"/>
              <w:right w:val="nil"/>
            </w:tcBorders>
            <w:shd w:val="clear" w:color="auto" w:fill="FFFFFF"/>
            <w:tcMar>
              <w:top w:w="0" w:type="dxa"/>
              <w:left w:w="20" w:type="dxa"/>
              <w:bottom w:w="0" w:type="dxa"/>
              <w:right w:w="20" w:type="dxa"/>
            </w:tcMar>
            <w:hideMark/>
          </w:tcPr>
          <w:p w14:paraId="69FF0F49" w14:textId="77777777" w:rsidR="00372C9E" w:rsidRPr="00DB36AA" w:rsidRDefault="00372C9E">
            <w:pPr>
              <w:pStyle w:val="BodyTab"/>
              <w:rPr>
                <w:sz w:val="24"/>
                <w:szCs w:val="24"/>
                <w:lang w:val="da-DK"/>
              </w:rPr>
            </w:pPr>
            <w:r w:rsidRPr="00DB36AA">
              <w:rPr>
                <w:sz w:val="24"/>
                <w:szCs w:val="24"/>
                <w:lang w:val="da-DK"/>
              </w:rPr>
              <w:t>6 måneder</w:t>
            </w:r>
          </w:p>
        </w:tc>
        <w:tc>
          <w:tcPr>
            <w:tcW w:w="1776" w:type="dxa"/>
            <w:tcBorders>
              <w:top w:val="nil"/>
              <w:left w:val="single" w:sz="4" w:space="0" w:color="000000"/>
              <w:bottom w:val="single" w:sz="4" w:space="0" w:color="000000"/>
              <w:right w:val="nil"/>
            </w:tcBorders>
            <w:shd w:val="clear" w:color="auto" w:fill="FFFFFF"/>
            <w:tcMar>
              <w:top w:w="0" w:type="dxa"/>
              <w:left w:w="20" w:type="dxa"/>
              <w:bottom w:w="0" w:type="dxa"/>
              <w:right w:w="20" w:type="dxa"/>
            </w:tcMar>
            <w:hideMark/>
          </w:tcPr>
          <w:p w14:paraId="78FA5AF4" w14:textId="77777777" w:rsidR="00372C9E" w:rsidRPr="00DB36AA" w:rsidRDefault="00372C9E">
            <w:pPr>
              <w:pStyle w:val="BodyTab"/>
              <w:rPr>
                <w:sz w:val="24"/>
                <w:szCs w:val="24"/>
                <w:lang w:val="da-DK"/>
              </w:rPr>
            </w:pPr>
            <w:r w:rsidRPr="00DB36AA">
              <w:rPr>
                <w:sz w:val="24"/>
                <w:szCs w:val="24"/>
                <w:lang w:val="da-DK"/>
              </w:rPr>
              <w:t>15,1 %</w:t>
            </w:r>
          </w:p>
        </w:tc>
        <w:tc>
          <w:tcPr>
            <w:tcW w:w="1393" w:type="dxa"/>
            <w:tcBorders>
              <w:top w:val="nil"/>
              <w:left w:val="single" w:sz="4" w:space="0" w:color="000000"/>
              <w:bottom w:val="single" w:sz="4" w:space="0" w:color="000000"/>
              <w:right w:val="single" w:sz="4" w:space="0" w:color="000000"/>
            </w:tcBorders>
            <w:shd w:val="clear" w:color="auto" w:fill="FFFFFF"/>
            <w:tcMar>
              <w:top w:w="0" w:type="dxa"/>
              <w:left w:w="20" w:type="dxa"/>
              <w:bottom w:w="0" w:type="dxa"/>
              <w:right w:w="20" w:type="dxa"/>
            </w:tcMar>
            <w:hideMark/>
          </w:tcPr>
          <w:p w14:paraId="37803103" w14:textId="77777777" w:rsidR="00372C9E" w:rsidRPr="00DB36AA" w:rsidRDefault="00372C9E">
            <w:pPr>
              <w:pStyle w:val="BodyTab"/>
              <w:rPr>
                <w:sz w:val="24"/>
                <w:szCs w:val="24"/>
                <w:lang w:val="da-DK"/>
              </w:rPr>
            </w:pPr>
            <w:r w:rsidRPr="00DB36AA">
              <w:rPr>
                <w:sz w:val="24"/>
                <w:szCs w:val="24"/>
                <w:lang w:val="da-DK"/>
              </w:rPr>
              <w:t>2,6 %</w:t>
            </w:r>
          </w:p>
        </w:tc>
      </w:tr>
    </w:tbl>
    <w:p w14:paraId="2C96EE5D" w14:textId="77777777" w:rsidR="00372C9E" w:rsidRPr="000F6AF2" w:rsidRDefault="00372C9E" w:rsidP="00372C9E">
      <w:pPr>
        <w:tabs>
          <w:tab w:val="left" w:pos="851"/>
        </w:tabs>
        <w:ind w:left="851"/>
        <w:rPr>
          <w:sz w:val="24"/>
          <w:szCs w:val="24"/>
        </w:rPr>
      </w:pPr>
      <w:r w:rsidRPr="000F6AF2">
        <w:rPr>
          <w:sz w:val="24"/>
          <w:szCs w:val="24"/>
        </w:rPr>
        <w:t xml:space="preserve">Bemærk: Responsraten defineres som at have en sværhedsgrad på moderat eller svær ved </w:t>
      </w:r>
      <w:r w:rsidRPr="000F6AF2">
        <w:rPr>
          <w:i/>
          <w:iCs/>
          <w:sz w:val="24"/>
          <w:szCs w:val="24"/>
        </w:rPr>
        <w:t>baseline</w:t>
      </w:r>
      <w:r w:rsidRPr="000F6AF2">
        <w:rPr>
          <w:sz w:val="24"/>
          <w:szCs w:val="24"/>
        </w:rPr>
        <w:t xml:space="preserve"> og en sværhedsgrad på ingen eller mild ved et givent besøg. </w:t>
      </w:r>
    </w:p>
    <w:p w14:paraId="35432374" w14:textId="77777777" w:rsidR="00372C9E" w:rsidRPr="000F6AF2" w:rsidRDefault="00372C9E" w:rsidP="00372C9E">
      <w:pPr>
        <w:tabs>
          <w:tab w:val="left" w:pos="851"/>
        </w:tabs>
        <w:ind w:left="851"/>
        <w:rPr>
          <w:sz w:val="24"/>
          <w:szCs w:val="24"/>
        </w:rPr>
      </w:pPr>
      <w:r w:rsidRPr="000F6AF2">
        <w:rPr>
          <w:sz w:val="24"/>
          <w:szCs w:val="24"/>
        </w:rPr>
        <w:t>Responsraterne var nominelt forskellige fra placebo med p ≤0,0001 på alle tidspunkter.</w:t>
      </w:r>
    </w:p>
    <w:p w14:paraId="6BB3DF6C" w14:textId="77777777" w:rsidR="00372C9E" w:rsidRPr="000F6AF2" w:rsidRDefault="00372C9E" w:rsidP="00372C9E">
      <w:pPr>
        <w:tabs>
          <w:tab w:val="left" w:pos="851"/>
        </w:tabs>
        <w:ind w:left="851"/>
        <w:rPr>
          <w:sz w:val="24"/>
          <w:szCs w:val="24"/>
        </w:rPr>
      </w:pPr>
    </w:p>
    <w:p w14:paraId="6E8F1A9B" w14:textId="77777777" w:rsidR="00372C9E" w:rsidRPr="000F6AF2" w:rsidRDefault="00372C9E" w:rsidP="00372C9E">
      <w:pPr>
        <w:tabs>
          <w:tab w:val="left" w:pos="851"/>
        </w:tabs>
        <w:ind w:left="851"/>
        <w:rPr>
          <w:sz w:val="24"/>
          <w:szCs w:val="24"/>
        </w:rPr>
      </w:pPr>
      <w:r w:rsidRPr="000F6AF2">
        <w:rPr>
          <w:sz w:val="24"/>
          <w:szCs w:val="24"/>
        </w:rPr>
        <w:t xml:space="preserve">Patienternes tilfredshedsniveau 1 måned efter injektionen viste, at 85,2 % af de patienter, der fik </w:t>
      </w:r>
      <w:proofErr w:type="spellStart"/>
      <w:r w:rsidRPr="000F6AF2">
        <w:rPr>
          <w:sz w:val="24"/>
          <w:szCs w:val="24"/>
        </w:rPr>
        <w:t>Alluzience</w:t>
      </w:r>
      <w:proofErr w:type="spellEnd"/>
      <w:r w:rsidRPr="000F6AF2">
        <w:rPr>
          <w:sz w:val="24"/>
          <w:szCs w:val="24"/>
        </w:rPr>
        <w:t>, enten var tilfredse eller meget tilfredse sammenlignet med 9 % for placebopatienter.</w:t>
      </w:r>
    </w:p>
    <w:p w14:paraId="02FCAD90" w14:textId="77777777" w:rsidR="00372C9E" w:rsidRPr="000F6AF2" w:rsidRDefault="00372C9E" w:rsidP="00372C9E">
      <w:pPr>
        <w:tabs>
          <w:tab w:val="left" w:pos="851"/>
        </w:tabs>
        <w:ind w:left="851"/>
        <w:rPr>
          <w:sz w:val="24"/>
          <w:szCs w:val="24"/>
        </w:rPr>
      </w:pPr>
    </w:p>
    <w:p w14:paraId="329B2D87" w14:textId="77777777" w:rsidR="00372C9E" w:rsidRPr="000F6AF2" w:rsidRDefault="00372C9E" w:rsidP="00372C9E">
      <w:pPr>
        <w:tabs>
          <w:tab w:val="left" w:pos="851"/>
        </w:tabs>
        <w:ind w:left="851"/>
        <w:rPr>
          <w:sz w:val="24"/>
          <w:szCs w:val="24"/>
        </w:rPr>
      </w:pPr>
      <w:r w:rsidRPr="000F6AF2">
        <w:rPr>
          <w:sz w:val="24"/>
          <w:szCs w:val="24"/>
        </w:rPr>
        <w:t xml:space="preserve">Æstetisk og psykologisk forbedring blev observeret ved hjælp af Face-Q-skalaer. Den overordnede </w:t>
      </w:r>
      <w:proofErr w:type="spellStart"/>
      <w:r w:rsidRPr="000F6AF2">
        <w:rPr>
          <w:i/>
          <w:iCs/>
          <w:sz w:val="24"/>
          <w:szCs w:val="24"/>
        </w:rPr>
        <w:t>facial</w:t>
      </w:r>
      <w:proofErr w:type="spellEnd"/>
      <w:r w:rsidRPr="000F6AF2">
        <w:rPr>
          <w:i/>
          <w:iCs/>
          <w:sz w:val="24"/>
          <w:szCs w:val="24"/>
        </w:rPr>
        <w:t xml:space="preserve"> </w:t>
      </w:r>
      <w:proofErr w:type="spellStart"/>
      <w:r w:rsidRPr="000F6AF2">
        <w:rPr>
          <w:i/>
          <w:iCs/>
          <w:sz w:val="24"/>
          <w:szCs w:val="24"/>
        </w:rPr>
        <w:t>appearance</w:t>
      </w:r>
      <w:proofErr w:type="spellEnd"/>
      <w:r w:rsidRPr="000F6AF2">
        <w:rPr>
          <w:sz w:val="24"/>
          <w:szCs w:val="24"/>
        </w:rPr>
        <w:t xml:space="preserve"> skala (som indeholder patientvurderinger for ansigtsbalance, udseende på slutningen af dagen, ansigtsfriskhed, udhvilet udseende, udseende, når man vågner op og udseende under stærkt lys) og den psykologiske trivselsskala (som indeholder patientvurderinger, om man føler sig okay, selvaccept, komfortable med sig selv, føler sig godt, selvbehag, føler sig glad, føler sig attraktiv og føler sig selvsikker), en måned efter injektion viste patienter behandlet med </w:t>
      </w:r>
      <w:proofErr w:type="spellStart"/>
      <w:r w:rsidRPr="000F6AF2">
        <w:rPr>
          <w:sz w:val="24"/>
          <w:szCs w:val="24"/>
        </w:rPr>
        <w:t>Alluzience</w:t>
      </w:r>
      <w:proofErr w:type="spellEnd"/>
      <w:r w:rsidRPr="000F6AF2">
        <w:rPr>
          <w:sz w:val="24"/>
          <w:szCs w:val="24"/>
        </w:rPr>
        <w:t xml:space="preserve"> forbedring i scoren for hver af disse skalaer, sammenlignet med patienter som blev behandlet med placebo (nominel p &lt;0,0001).</w:t>
      </w:r>
    </w:p>
    <w:p w14:paraId="062E6113" w14:textId="77777777" w:rsidR="00372C9E" w:rsidRPr="000F6AF2" w:rsidRDefault="00372C9E" w:rsidP="00372C9E">
      <w:pPr>
        <w:tabs>
          <w:tab w:val="left" w:pos="851"/>
        </w:tabs>
        <w:ind w:left="851"/>
        <w:rPr>
          <w:sz w:val="24"/>
          <w:szCs w:val="24"/>
        </w:rPr>
      </w:pPr>
    </w:p>
    <w:p w14:paraId="3C4ED5E4" w14:textId="77777777" w:rsidR="00372C9E" w:rsidRPr="000F6AF2" w:rsidRDefault="00372C9E" w:rsidP="00372C9E">
      <w:pPr>
        <w:tabs>
          <w:tab w:val="left" w:pos="851"/>
        </w:tabs>
        <w:ind w:left="851"/>
        <w:rPr>
          <w:sz w:val="24"/>
          <w:szCs w:val="24"/>
        </w:rPr>
      </w:pPr>
      <w:r w:rsidRPr="000F6AF2">
        <w:rPr>
          <w:sz w:val="24"/>
          <w:szCs w:val="24"/>
        </w:rPr>
        <w:t xml:space="preserve">I alt modtog 595 patienter op til 5 behandlingscyklusser med </w:t>
      </w:r>
      <w:proofErr w:type="spellStart"/>
      <w:r w:rsidRPr="000F6AF2">
        <w:rPr>
          <w:sz w:val="24"/>
          <w:szCs w:val="24"/>
        </w:rPr>
        <w:t>Alluzience</w:t>
      </w:r>
      <w:proofErr w:type="spellEnd"/>
      <w:r w:rsidRPr="000F6AF2">
        <w:rPr>
          <w:sz w:val="24"/>
          <w:szCs w:val="24"/>
        </w:rPr>
        <w:t xml:space="preserve"> i et langvarigt, 12 måneders, åbent, fase III-studie. Effekten blev opretholdt i løbet af 12 måneders periode jævnført </w:t>
      </w:r>
      <w:proofErr w:type="spellStart"/>
      <w:r w:rsidRPr="000F6AF2">
        <w:rPr>
          <w:sz w:val="24"/>
          <w:szCs w:val="24"/>
        </w:rPr>
        <w:t>investigatorvurdering</w:t>
      </w:r>
      <w:proofErr w:type="spellEnd"/>
      <w:r w:rsidRPr="000F6AF2">
        <w:rPr>
          <w:sz w:val="24"/>
          <w:szCs w:val="24"/>
        </w:rPr>
        <w:t>, patientvurdering, patienttilfredshed og FACE-Q-spørgeskemaer.</w:t>
      </w:r>
    </w:p>
    <w:p w14:paraId="37706A50" w14:textId="77777777" w:rsidR="00372C9E" w:rsidRPr="000F6AF2" w:rsidRDefault="00372C9E" w:rsidP="00372C9E">
      <w:pPr>
        <w:tabs>
          <w:tab w:val="left" w:pos="851"/>
        </w:tabs>
        <w:ind w:left="851"/>
        <w:rPr>
          <w:sz w:val="24"/>
          <w:szCs w:val="24"/>
        </w:rPr>
      </w:pPr>
    </w:p>
    <w:p w14:paraId="6EAB5AC6" w14:textId="77777777" w:rsidR="00372C9E" w:rsidRPr="000F6AF2" w:rsidRDefault="00372C9E" w:rsidP="00372C9E">
      <w:pPr>
        <w:tabs>
          <w:tab w:val="left" w:pos="851"/>
        </w:tabs>
        <w:ind w:left="851"/>
        <w:rPr>
          <w:sz w:val="24"/>
          <w:szCs w:val="24"/>
        </w:rPr>
      </w:pPr>
      <w:r w:rsidRPr="000F6AF2">
        <w:rPr>
          <w:sz w:val="24"/>
          <w:szCs w:val="24"/>
        </w:rPr>
        <w:lastRenderedPageBreak/>
        <w:t xml:space="preserve">Andelen af respondenter ved maksimal panderynken, bestemt af </w:t>
      </w:r>
      <w:proofErr w:type="spellStart"/>
      <w:r w:rsidRPr="000F6AF2">
        <w:rPr>
          <w:sz w:val="24"/>
          <w:szCs w:val="24"/>
        </w:rPr>
        <w:t>investigator</w:t>
      </w:r>
      <w:proofErr w:type="spellEnd"/>
      <w:r w:rsidRPr="000F6AF2">
        <w:rPr>
          <w:sz w:val="24"/>
          <w:szCs w:val="24"/>
        </w:rPr>
        <w:t xml:space="preserve"> 1 måned efter injektionen, blev opretholdt over gentagne injektionscyklusser (mellem 82,2 % og 87,8 %). De tilsvarende proportioner 3 måneder efter injektionen varierede mellem 45,3 % og 56,8 % gennem de 5 behandlingscyklusser.</w:t>
      </w:r>
    </w:p>
    <w:p w14:paraId="3EC6445B" w14:textId="77777777" w:rsidR="00372C9E" w:rsidRPr="000F6AF2" w:rsidRDefault="00372C9E" w:rsidP="00372C9E">
      <w:pPr>
        <w:tabs>
          <w:tab w:val="left" w:pos="851"/>
        </w:tabs>
        <w:ind w:left="851"/>
        <w:rPr>
          <w:sz w:val="24"/>
          <w:szCs w:val="24"/>
        </w:rPr>
      </w:pPr>
    </w:p>
    <w:p w14:paraId="57393C96" w14:textId="77777777" w:rsidR="00372C9E" w:rsidRPr="000F6AF2" w:rsidRDefault="00372C9E" w:rsidP="00372C9E">
      <w:pPr>
        <w:tabs>
          <w:tab w:val="left" w:pos="851"/>
        </w:tabs>
        <w:ind w:left="851"/>
        <w:rPr>
          <w:sz w:val="24"/>
          <w:szCs w:val="24"/>
        </w:rPr>
      </w:pPr>
      <w:r w:rsidRPr="000F6AF2">
        <w:rPr>
          <w:sz w:val="24"/>
          <w:szCs w:val="24"/>
        </w:rPr>
        <w:t xml:space="preserve">Patienter (i alt 595), der fik </w:t>
      </w:r>
      <w:proofErr w:type="spellStart"/>
      <w:r w:rsidRPr="000F6AF2">
        <w:rPr>
          <w:sz w:val="24"/>
          <w:szCs w:val="24"/>
        </w:rPr>
        <w:t>Alluzience</w:t>
      </w:r>
      <w:proofErr w:type="spellEnd"/>
      <w:r w:rsidRPr="000F6AF2">
        <w:rPr>
          <w:sz w:val="24"/>
          <w:szCs w:val="24"/>
        </w:rPr>
        <w:t xml:space="preserve"> over en periode på 12 måneder, blev testet for antistofdannelse. Ingen patienter testede positive for toksin-neutraliserende antistoffer.</w:t>
      </w:r>
    </w:p>
    <w:p w14:paraId="240489D9" w14:textId="77777777" w:rsidR="009260DE" w:rsidRPr="000F6AF2" w:rsidRDefault="009260DE" w:rsidP="009260DE">
      <w:pPr>
        <w:tabs>
          <w:tab w:val="left" w:pos="851"/>
        </w:tabs>
        <w:ind w:left="851"/>
        <w:rPr>
          <w:sz w:val="24"/>
          <w:szCs w:val="24"/>
        </w:rPr>
      </w:pPr>
    </w:p>
    <w:p w14:paraId="5D28FE35" w14:textId="77777777" w:rsidR="009260DE" w:rsidRPr="000F6AF2" w:rsidRDefault="009260DE" w:rsidP="009260DE">
      <w:pPr>
        <w:tabs>
          <w:tab w:val="left" w:pos="851"/>
        </w:tabs>
        <w:ind w:left="851" w:hanging="851"/>
        <w:rPr>
          <w:b/>
          <w:sz w:val="24"/>
          <w:szCs w:val="24"/>
        </w:rPr>
      </w:pPr>
      <w:r w:rsidRPr="000F6AF2">
        <w:rPr>
          <w:b/>
          <w:sz w:val="24"/>
          <w:szCs w:val="24"/>
        </w:rPr>
        <w:t>5.2</w:t>
      </w:r>
      <w:r w:rsidRPr="000F6AF2">
        <w:rPr>
          <w:b/>
          <w:sz w:val="24"/>
          <w:szCs w:val="24"/>
        </w:rPr>
        <w:tab/>
      </w:r>
      <w:proofErr w:type="spellStart"/>
      <w:r w:rsidRPr="000F6AF2">
        <w:rPr>
          <w:b/>
          <w:sz w:val="24"/>
          <w:szCs w:val="24"/>
        </w:rPr>
        <w:t>Farmakokinetiske</w:t>
      </w:r>
      <w:proofErr w:type="spellEnd"/>
      <w:r w:rsidRPr="000F6AF2">
        <w:rPr>
          <w:b/>
          <w:sz w:val="24"/>
          <w:szCs w:val="24"/>
        </w:rPr>
        <w:t xml:space="preserve"> egenskaber</w:t>
      </w:r>
    </w:p>
    <w:p w14:paraId="404915D5" w14:textId="77777777" w:rsidR="00372C9E" w:rsidRPr="000F6AF2" w:rsidRDefault="00372C9E" w:rsidP="00276932">
      <w:pPr>
        <w:ind w:left="851"/>
        <w:rPr>
          <w:sz w:val="24"/>
          <w:szCs w:val="24"/>
        </w:rPr>
      </w:pPr>
      <w:proofErr w:type="spellStart"/>
      <w:r w:rsidRPr="000F6AF2">
        <w:rPr>
          <w:sz w:val="24"/>
          <w:szCs w:val="24"/>
        </w:rPr>
        <w:t>Alluzience</w:t>
      </w:r>
      <w:proofErr w:type="spellEnd"/>
      <w:r w:rsidRPr="000F6AF2">
        <w:rPr>
          <w:sz w:val="24"/>
          <w:szCs w:val="24"/>
        </w:rPr>
        <w:t xml:space="preserve"> forventes ikke at være til stede i det perifere blod i målbare mængder efter intramuskulær injektion ved den anbefalede dosis. </w:t>
      </w:r>
      <w:proofErr w:type="spellStart"/>
      <w:r w:rsidRPr="000F6AF2">
        <w:rPr>
          <w:sz w:val="24"/>
          <w:szCs w:val="24"/>
        </w:rPr>
        <w:t>Farmakokinetiske</w:t>
      </w:r>
      <w:proofErr w:type="spellEnd"/>
      <w:r w:rsidRPr="000F6AF2">
        <w:rPr>
          <w:sz w:val="24"/>
          <w:szCs w:val="24"/>
        </w:rPr>
        <w:t xml:space="preserve"> studier er derfor ikke blevet udført.</w:t>
      </w:r>
    </w:p>
    <w:p w14:paraId="7244B996" w14:textId="77777777" w:rsidR="009260DE" w:rsidRPr="000F6AF2" w:rsidRDefault="009260DE" w:rsidP="009260DE">
      <w:pPr>
        <w:tabs>
          <w:tab w:val="left" w:pos="851"/>
        </w:tabs>
        <w:ind w:left="851"/>
        <w:rPr>
          <w:sz w:val="24"/>
          <w:szCs w:val="24"/>
        </w:rPr>
      </w:pPr>
    </w:p>
    <w:p w14:paraId="5190A893" w14:textId="5A7A9BE2" w:rsidR="009260DE" w:rsidRPr="000F6AF2" w:rsidRDefault="009260DE" w:rsidP="009260DE">
      <w:pPr>
        <w:tabs>
          <w:tab w:val="left" w:pos="851"/>
        </w:tabs>
        <w:ind w:left="851" w:hanging="851"/>
        <w:rPr>
          <w:b/>
          <w:sz w:val="24"/>
          <w:szCs w:val="24"/>
        </w:rPr>
      </w:pPr>
      <w:r w:rsidRPr="000F6AF2">
        <w:rPr>
          <w:b/>
          <w:sz w:val="24"/>
          <w:szCs w:val="24"/>
        </w:rPr>
        <w:t>5.3</w:t>
      </w:r>
      <w:r w:rsidRPr="000F6AF2">
        <w:rPr>
          <w:b/>
          <w:sz w:val="24"/>
          <w:szCs w:val="24"/>
        </w:rPr>
        <w:tab/>
      </w:r>
      <w:r w:rsidR="008D13DE">
        <w:rPr>
          <w:b/>
          <w:sz w:val="24"/>
          <w:szCs w:val="24"/>
        </w:rPr>
        <w:t>Non-</w:t>
      </w:r>
      <w:r w:rsidRPr="000F6AF2">
        <w:rPr>
          <w:b/>
          <w:sz w:val="24"/>
          <w:szCs w:val="24"/>
        </w:rPr>
        <w:t>kliniske sikkerhedsdata</w:t>
      </w:r>
    </w:p>
    <w:p w14:paraId="46443760" w14:textId="77777777" w:rsidR="00372C9E" w:rsidRPr="000F6AF2" w:rsidRDefault="00372C9E" w:rsidP="000F6AF2">
      <w:pPr>
        <w:ind w:left="851"/>
        <w:rPr>
          <w:sz w:val="24"/>
          <w:szCs w:val="24"/>
          <w:lang w:eastAsia="da-DK"/>
        </w:rPr>
      </w:pPr>
      <w:r w:rsidRPr="000F6AF2">
        <w:rPr>
          <w:sz w:val="24"/>
          <w:szCs w:val="24"/>
        </w:rPr>
        <w:t xml:space="preserve">I reproduktionsstudier med rotter og kaniner blev der observeret svær </w:t>
      </w:r>
      <w:proofErr w:type="spellStart"/>
      <w:r w:rsidRPr="000F6AF2">
        <w:rPr>
          <w:sz w:val="24"/>
          <w:szCs w:val="24"/>
        </w:rPr>
        <w:t>maternal</w:t>
      </w:r>
      <w:proofErr w:type="spellEnd"/>
      <w:r w:rsidRPr="000F6AF2">
        <w:rPr>
          <w:sz w:val="24"/>
          <w:szCs w:val="24"/>
        </w:rPr>
        <w:t xml:space="preserve"> toksicitet associeret med implantationstab ved høje doser. Ved doser, der svarer til 60 til 100 gange den anbefalede humane dosis (50 </w:t>
      </w:r>
      <w:proofErr w:type="spellStart"/>
      <w:r w:rsidRPr="000F6AF2">
        <w:rPr>
          <w:sz w:val="24"/>
          <w:szCs w:val="24"/>
        </w:rPr>
        <w:t>Speywood</w:t>
      </w:r>
      <w:proofErr w:type="spellEnd"/>
      <w:r w:rsidRPr="000F6AF2">
        <w:rPr>
          <w:sz w:val="24"/>
          <w:szCs w:val="24"/>
        </w:rPr>
        <w:t xml:space="preserve">-enheder) i hhv. kaniner og rotter, blev der ikke observeret </w:t>
      </w:r>
      <w:proofErr w:type="spellStart"/>
      <w:r w:rsidRPr="000F6AF2">
        <w:rPr>
          <w:sz w:val="24"/>
          <w:szCs w:val="24"/>
        </w:rPr>
        <w:t>embryoføtal</w:t>
      </w:r>
      <w:proofErr w:type="spellEnd"/>
      <w:r w:rsidRPr="000F6AF2">
        <w:rPr>
          <w:sz w:val="24"/>
          <w:szCs w:val="24"/>
        </w:rPr>
        <w:t xml:space="preserve"> toksicitet. Der blev ikke observeret </w:t>
      </w:r>
      <w:proofErr w:type="spellStart"/>
      <w:r w:rsidRPr="000F6AF2">
        <w:rPr>
          <w:sz w:val="24"/>
          <w:szCs w:val="24"/>
        </w:rPr>
        <w:t>teratogene</w:t>
      </w:r>
      <w:proofErr w:type="spellEnd"/>
      <w:r w:rsidRPr="000F6AF2">
        <w:rPr>
          <w:sz w:val="24"/>
          <w:szCs w:val="24"/>
        </w:rPr>
        <w:t xml:space="preserve"> virkninger hos disse arter. Hos rotter blev hannernes og hunnernes fertilitet nedsat på grund af reduceret parring sekundært til muskelparalyse ved høje doser.</w:t>
      </w:r>
    </w:p>
    <w:p w14:paraId="420D382A" w14:textId="20601939" w:rsidR="00372C9E" w:rsidRPr="000F6AF2" w:rsidRDefault="00372C9E" w:rsidP="000F6AF2">
      <w:pPr>
        <w:ind w:left="851"/>
        <w:rPr>
          <w:sz w:val="24"/>
          <w:szCs w:val="24"/>
        </w:rPr>
      </w:pPr>
    </w:p>
    <w:p w14:paraId="10307861" w14:textId="21FB86C3" w:rsidR="00372C9E" w:rsidRPr="000F6AF2" w:rsidRDefault="00372C9E" w:rsidP="000F6AF2">
      <w:pPr>
        <w:ind w:left="851"/>
        <w:rPr>
          <w:sz w:val="24"/>
          <w:szCs w:val="24"/>
        </w:rPr>
      </w:pPr>
      <w:r w:rsidRPr="000F6AF2">
        <w:rPr>
          <w:sz w:val="24"/>
          <w:szCs w:val="24"/>
        </w:rPr>
        <w:t>I et kronisk toksicitetsstudie udført med rotter var der ingen indikation af systemisk toksicitet ved doser, der svarer til 75 gange den anbefalede humane dosis (50 </w:t>
      </w:r>
      <w:proofErr w:type="spellStart"/>
      <w:r w:rsidRPr="000F6AF2">
        <w:rPr>
          <w:sz w:val="24"/>
          <w:szCs w:val="24"/>
        </w:rPr>
        <w:t>Speywood</w:t>
      </w:r>
      <w:proofErr w:type="spellEnd"/>
      <w:r w:rsidRPr="000F6AF2">
        <w:rPr>
          <w:sz w:val="24"/>
          <w:szCs w:val="24"/>
        </w:rPr>
        <w:t>-enheder), delt ligeligt mellem den højre og venstre gluteus-muskel.</w:t>
      </w:r>
    </w:p>
    <w:p w14:paraId="2E86E1E7" w14:textId="77777777" w:rsidR="00372C9E" w:rsidRPr="000F6AF2" w:rsidRDefault="00372C9E" w:rsidP="000F6AF2">
      <w:pPr>
        <w:ind w:left="851"/>
        <w:rPr>
          <w:sz w:val="24"/>
          <w:szCs w:val="24"/>
        </w:rPr>
      </w:pPr>
    </w:p>
    <w:p w14:paraId="07952B65" w14:textId="496DBD15" w:rsidR="00372C9E" w:rsidRPr="000F6AF2" w:rsidRDefault="00372C9E" w:rsidP="000F6AF2">
      <w:pPr>
        <w:ind w:left="851"/>
        <w:rPr>
          <w:sz w:val="24"/>
          <w:szCs w:val="24"/>
        </w:rPr>
      </w:pPr>
      <w:r w:rsidRPr="000F6AF2">
        <w:rPr>
          <w:sz w:val="24"/>
          <w:szCs w:val="24"/>
        </w:rPr>
        <w:t>Studier af akut toksicitet, kronisk toksicitet og lokal tolerance ved injektionsstedet viste ingen usædvanlige lokale eller systemiske virkninger ved klinisk relevante dosisniveauer.</w:t>
      </w:r>
    </w:p>
    <w:p w14:paraId="00AE7851" w14:textId="77777777" w:rsidR="00372C9E" w:rsidRPr="000F6AF2" w:rsidRDefault="00372C9E" w:rsidP="000F6AF2">
      <w:pPr>
        <w:ind w:left="851"/>
        <w:rPr>
          <w:sz w:val="24"/>
          <w:szCs w:val="24"/>
        </w:rPr>
      </w:pPr>
    </w:p>
    <w:p w14:paraId="404A7EDD" w14:textId="77777777" w:rsidR="00372C9E" w:rsidRPr="000F6AF2" w:rsidRDefault="00372C9E" w:rsidP="000F6AF2">
      <w:pPr>
        <w:ind w:left="851"/>
        <w:rPr>
          <w:sz w:val="24"/>
          <w:szCs w:val="24"/>
          <w:u w:val="single"/>
        </w:rPr>
      </w:pPr>
      <w:r w:rsidRPr="000F6AF2">
        <w:rPr>
          <w:sz w:val="24"/>
          <w:szCs w:val="24"/>
          <w:u w:val="single"/>
        </w:rPr>
        <w:t>Miljørisikovurdering</w:t>
      </w:r>
    </w:p>
    <w:p w14:paraId="04F1AA0C" w14:textId="77777777" w:rsidR="00372C9E" w:rsidRPr="000F6AF2" w:rsidRDefault="00372C9E" w:rsidP="000F6AF2">
      <w:pPr>
        <w:ind w:left="851"/>
        <w:rPr>
          <w:sz w:val="24"/>
          <w:szCs w:val="24"/>
        </w:rPr>
      </w:pPr>
      <w:r w:rsidRPr="000F6AF2">
        <w:rPr>
          <w:sz w:val="24"/>
          <w:szCs w:val="24"/>
        </w:rPr>
        <w:t xml:space="preserve">Det er usandsynligt at </w:t>
      </w:r>
      <w:bookmarkStart w:id="10" w:name="_Hlk56461294"/>
      <w:proofErr w:type="spellStart"/>
      <w:r w:rsidRPr="000F6AF2">
        <w:rPr>
          <w:sz w:val="24"/>
          <w:szCs w:val="24"/>
        </w:rPr>
        <w:t>Alluzience</w:t>
      </w:r>
      <w:bookmarkEnd w:id="10"/>
      <w:proofErr w:type="spellEnd"/>
      <w:r w:rsidRPr="000F6AF2">
        <w:rPr>
          <w:sz w:val="24"/>
          <w:szCs w:val="24"/>
        </w:rPr>
        <w:t xml:space="preserve"> udgør en risiko for miljøet.</w:t>
      </w:r>
    </w:p>
    <w:p w14:paraId="55D19E05" w14:textId="77777777" w:rsidR="009260DE" w:rsidRPr="000F6AF2" w:rsidRDefault="009260DE" w:rsidP="009260DE">
      <w:pPr>
        <w:tabs>
          <w:tab w:val="left" w:pos="851"/>
        </w:tabs>
        <w:ind w:left="851"/>
        <w:rPr>
          <w:sz w:val="24"/>
          <w:szCs w:val="24"/>
        </w:rPr>
      </w:pPr>
    </w:p>
    <w:p w14:paraId="65A7F6D0" w14:textId="77777777" w:rsidR="009260DE" w:rsidRPr="000F6AF2" w:rsidRDefault="009260DE" w:rsidP="009260DE">
      <w:pPr>
        <w:tabs>
          <w:tab w:val="left" w:pos="851"/>
        </w:tabs>
        <w:ind w:left="851"/>
        <w:rPr>
          <w:sz w:val="24"/>
          <w:szCs w:val="24"/>
        </w:rPr>
      </w:pPr>
    </w:p>
    <w:p w14:paraId="77B470F6" w14:textId="77777777" w:rsidR="009260DE" w:rsidRPr="000F6AF2" w:rsidRDefault="009260DE" w:rsidP="009260DE">
      <w:pPr>
        <w:tabs>
          <w:tab w:val="left" w:pos="851"/>
        </w:tabs>
        <w:ind w:left="851" w:hanging="851"/>
        <w:rPr>
          <w:b/>
          <w:sz w:val="24"/>
          <w:szCs w:val="24"/>
        </w:rPr>
      </w:pPr>
      <w:r w:rsidRPr="000F6AF2">
        <w:rPr>
          <w:b/>
          <w:sz w:val="24"/>
          <w:szCs w:val="24"/>
        </w:rPr>
        <w:t>6.</w:t>
      </w:r>
      <w:r w:rsidRPr="000F6AF2">
        <w:rPr>
          <w:b/>
          <w:sz w:val="24"/>
          <w:szCs w:val="24"/>
        </w:rPr>
        <w:tab/>
        <w:t>FARMACEUTISKE OPLYSNINGER</w:t>
      </w:r>
    </w:p>
    <w:p w14:paraId="605E80AE" w14:textId="77777777" w:rsidR="009260DE" w:rsidRPr="000F6AF2" w:rsidRDefault="009260DE" w:rsidP="009260DE">
      <w:pPr>
        <w:tabs>
          <w:tab w:val="left" w:pos="851"/>
        </w:tabs>
        <w:ind w:left="851"/>
        <w:rPr>
          <w:sz w:val="24"/>
          <w:szCs w:val="24"/>
        </w:rPr>
      </w:pPr>
    </w:p>
    <w:p w14:paraId="247B8208" w14:textId="77777777" w:rsidR="009260DE" w:rsidRPr="000F6AF2" w:rsidRDefault="009260DE" w:rsidP="009260DE">
      <w:pPr>
        <w:tabs>
          <w:tab w:val="left" w:pos="851"/>
        </w:tabs>
        <w:ind w:left="851" w:hanging="851"/>
        <w:rPr>
          <w:b/>
          <w:sz w:val="24"/>
          <w:szCs w:val="24"/>
        </w:rPr>
      </w:pPr>
      <w:r w:rsidRPr="000F6AF2">
        <w:rPr>
          <w:b/>
          <w:sz w:val="24"/>
          <w:szCs w:val="24"/>
        </w:rPr>
        <w:t>6.1</w:t>
      </w:r>
      <w:r w:rsidRPr="000F6AF2">
        <w:rPr>
          <w:b/>
          <w:sz w:val="24"/>
          <w:szCs w:val="24"/>
        </w:rPr>
        <w:tab/>
        <w:t>Hjælpestoffer</w:t>
      </w:r>
    </w:p>
    <w:p w14:paraId="483F35DE" w14:textId="77777777" w:rsidR="00372C9E" w:rsidRPr="000F6AF2" w:rsidRDefault="00372C9E" w:rsidP="00372C9E">
      <w:pPr>
        <w:tabs>
          <w:tab w:val="left" w:pos="851"/>
        </w:tabs>
        <w:ind w:left="851"/>
        <w:rPr>
          <w:sz w:val="24"/>
          <w:szCs w:val="24"/>
          <w:lang w:eastAsia="da-DK"/>
        </w:rPr>
      </w:pPr>
      <w:bookmarkStart w:id="11" w:name="_Hlk56985074"/>
      <w:r w:rsidRPr="000F6AF2">
        <w:rPr>
          <w:sz w:val="24"/>
          <w:szCs w:val="24"/>
        </w:rPr>
        <w:t>L-</w:t>
      </w:r>
      <w:proofErr w:type="spellStart"/>
      <w:r w:rsidRPr="000F6AF2">
        <w:rPr>
          <w:sz w:val="24"/>
          <w:szCs w:val="24"/>
        </w:rPr>
        <w:t>histidin</w:t>
      </w:r>
      <w:proofErr w:type="spellEnd"/>
    </w:p>
    <w:p w14:paraId="3C026F73" w14:textId="77777777" w:rsidR="00372C9E" w:rsidRPr="000F6AF2" w:rsidRDefault="00372C9E" w:rsidP="00372C9E">
      <w:pPr>
        <w:tabs>
          <w:tab w:val="left" w:pos="851"/>
        </w:tabs>
        <w:ind w:left="851"/>
        <w:rPr>
          <w:sz w:val="24"/>
          <w:szCs w:val="24"/>
        </w:rPr>
      </w:pPr>
      <w:proofErr w:type="spellStart"/>
      <w:r w:rsidRPr="000F6AF2">
        <w:rPr>
          <w:sz w:val="24"/>
          <w:szCs w:val="24"/>
        </w:rPr>
        <w:t>Saccharose</w:t>
      </w:r>
      <w:proofErr w:type="spellEnd"/>
    </w:p>
    <w:p w14:paraId="447A5489" w14:textId="77777777" w:rsidR="00372C9E" w:rsidRPr="000F6AF2" w:rsidRDefault="00372C9E" w:rsidP="00372C9E">
      <w:pPr>
        <w:tabs>
          <w:tab w:val="left" w:pos="851"/>
        </w:tabs>
        <w:ind w:left="851"/>
        <w:rPr>
          <w:sz w:val="24"/>
          <w:szCs w:val="24"/>
        </w:rPr>
      </w:pPr>
      <w:proofErr w:type="spellStart"/>
      <w:r w:rsidRPr="000F6AF2">
        <w:rPr>
          <w:sz w:val="24"/>
          <w:szCs w:val="24"/>
        </w:rPr>
        <w:t>Natriumchlorid</w:t>
      </w:r>
      <w:proofErr w:type="spellEnd"/>
    </w:p>
    <w:p w14:paraId="2409E9BB" w14:textId="77777777" w:rsidR="00372C9E" w:rsidRPr="000F6AF2" w:rsidRDefault="00372C9E" w:rsidP="00372C9E">
      <w:pPr>
        <w:tabs>
          <w:tab w:val="left" w:pos="851"/>
        </w:tabs>
        <w:ind w:left="851"/>
        <w:rPr>
          <w:sz w:val="24"/>
          <w:szCs w:val="24"/>
        </w:rPr>
      </w:pPr>
      <w:proofErr w:type="spellStart"/>
      <w:r w:rsidRPr="000F6AF2">
        <w:rPr>
          <w:sz w:val="24"/>
          <w:szCs w:val="24"/>
        </w:rPr>
        <w:t>Polysorbat</w:t>
      </w:r>
      <w:proofErr w:type="spellEnd"/>
      <w:r w:rsidRPr="000F6AF2">
        <w:rPr>
          <w:sz w:val="24"/>
          <w:szCs w:val="24"/>
        </w:rPr>
        <w:t xml:space="preserve"> 80</w:t>
      </w:r>
    </w:p>
    <w:p w14:paraId="2B587C3B" w14:textId="77777777" w:rsidR="00372C9E" w:rsidRPr="000F6AF2" w:rsidRDefault="00372C9E" w:rsidP="00372C9E">
      <w:pPr>
        <w:tabs>
          <w:tab w:val="left" w:pos="851"/>
        </w:tabs>
        <w:ind w:left="851"/>
        <w:rPr>
          <w:sz w:val="24"/>
          <w:szCs w:val="24"/>
        </w:rPr>
      </w:pPr>
      <w:r w:rsidRPr="000F6AF2">
        <w:rPr>
          <w:sz w:val="24"/>
          <w:szCs w:val="24"/>
        </w:rPr>
        <w:t>Saltsyre til pH-justering</w:t>
      </w:r>
    </w:p>
    <w:p w14:paraId="7CA2C057" w14:textId="77777777" w:rsidR="00372C9E" w:rsidRPr="000F6AF2" w:rsidRDefault="00372C9E" w:rsidP="00372C9E">
      <w:pPr>
        <w:tabs>
          <w:tab w:val="left" w:pos="851"/>
        </w:tabs>
        <w:ind w:left="851"/>
        <w:rPr>
          <w:sz w:val="24"/>
          <w:szCs w:val="24"/>
        </w:rPr>
      </w:pPr>
      <w:r w:rsidRPr="000F6AF2">
        <w:rPr>
          <w:sz w:val="24"/>
          <w:szCs w:val="24"/>
        </w:rPr>
        <w:t>Vand til injektionsvæsker</w:t>
      </w:r>
    </w:p>
    <w:bookmarkEnd w:id="11"/>
    <w:p w14:paraId="54F69677" w14:textId="77777777" w:rsidR="009260DE" w:rsidRPr="000F6AF2" w:rsidRDefault="009260DE" w:rsidP="009260DE">
      <w:pPr>
        <w:tabs>
          <w:tab w:val="left" w:pos="851"/>
        </w:tabs>
        <w:ind w:left="851"/>
        <w:rPr>
          <w:sz w:val="24"/>
          <w:szCs w:val="24"/>
        </w:rPr>
      </w:pPr>
    </w:p>
    <w:p w14:paraId="12F73DA2" w14:textId="77777777" w:rsidR="009260DE" w:rsidRPr="000F6AF2" w:rsidRDefault="009260DE" w:rsidP="009260DE">
      <w:pPr>
        <w:tabs>
          <w:tab w:val="left" w:pos="851"/>
        </w:tabs>
        <w:ind w:left="851" w:hanging="851"/>
        <w:rPr>
          <w:b/>
          <w:sz w:val="24"/>
          <w:szCs w:val="24"/>
        </w:rPr>
      </w:pPr>
      <w:r w:rsidRPr="000F6AF2">
        <w:rPr>
          <w:b/>
          <w:sz w:val="24"/>
          <w:szCs w:val="24"/>
        </w:rPr>
        <w:t>6.2</w:t>
      </w:r>
      <w:r w:rsidRPr="000F6AF2">
        <w:rPr>
          <w:b/>
          <w:sz w:val="24"/>
          <w:szCs w:val="24"/>
        </w:rPr>
        <w:tab/>
        <w:t>Uforligeligheder</w:t>
      </w:r>
    </w:p>
    <w:p w14:paraId="49626B76" w14:textId="77777777" w:rsidR="00372C9E" w:rsidRPr="000F6AF2" w:rsidRDefault="00372C9E" w:rsidP="00372C9E">
      <w:pPr>
        <w:tabs>
          <w:tab w:val="left" w:pos="851"/>
        </w:tabs>
        <w:ind w:left="851"/>
        <w:rPr>
          <w:sz w:val="24"/>
          <w:szCs w:val="24"/>
          <w:lang w:eastAsia="da-DK"/>
        </w:rPr>
      </w:pPr>
      <w:r w:rsidRPr="000F6AF2">
        <w:rPr>
          <w:sz w:val="24"/>
          <w:szCs w:val="24"/>
        </w:rPr>
        <w:t>Dette lægemiddel må ikke blandes med andre lægemidler.</w:t>
      </w:r>
    </w:p>
    <w:p w14:paraId="6364A3D7" w14:textId="77777777" w:rsidR="009260DE" w:rsidRPr="000F6AF2" w:rsidRDefault="009260DE" w:rsidP="009260DE">
      <w:pPr>
        <w:tabs>
          <w:tab w:val="left" w:pos="851"/>
        </w:tabs>
        <w:ind w:left="851"/>
        <w:rPr>
          <w:sz w:val="24"/>
          <w:szCs w:val="24"/>
        </w:rPr>
      </w:pPr>
    </w:p>
    <w:p w14:paraId="26EE69C4" w14:textId="77777777" w:rsidR="009260DE" w:rsidRPr="000F6AF2" w:rsidRDefault="009260DE" w:rsidP="009260DE">
      <w:pPr>
        <w:tabs>
          <w:tab w:val="left" w:pos="851"/>
        </w:tabs>
        <w:ind w:left="851" w:hanging="851"/>
        <w:rPr>
          <w:b/>
          <w:sz w:val="24"/>
          <w:szCs w:val="24"/>
        </w:rPr>
      </w:pPr>
      <w:r w:rsidRPr="000F6AF2">
        <w:rPr>
          <w:b/>
          <w:sz w:val="24"/>
          <w:szCs w:val="24"/>
        </w:rPr>
        <w:t>6.3</w:t>
      </w:r>
      <w:r w:rsidRPr="000F6AF2">
        <w:rPr>
          <w:b/>
          <w:sz w:val="24"/>
          <w:szCs w:val="24"/>
        </w:rPr>
        <w:tab/>
        <w:t>Opbevaringstid</w:t>
      </w:r>
    </w:p>
    <w:p w14:paraId="0D0E6316" w14:textId="21B46851" w:rsidR="00372C9E" w:rsidRPr="000F6AF2" w:rsidRDefault="00372C9E" w:rsidP="00372C9E">
      <w:pPr>
        <w:tabs>
          <w:tab w:val="left" w:pos="851"/>
        </w:tabs>
        <w:ind w:left="851"/>
        <w:rPr>
          <w:sz w:val="24"/>
          <w:szCs w:val="24"/>
          <w:lang w:eastAsia="da-DK"/>
        </w:rPr>
      </w:pPr>
      <w:r w:rsidRPr="000F6AF2">
        <w:rPr>
          <w:sz w:val="24"/>
          <w:szCs w:val="24"/>
        </w:rPr>
        <w:t>12 måneder.</w:t>
      </w:r>
    </w:p>
    <w:p w14:paraId="25CDA8FE" w14:textId="77777777" w:rsidR="009260DE" w:rsidRPr="000F6AF2" w:rsidRDefault="009260DE" w:rsidP="009260DE">
      <w:pPr>
        <w:tabs>
          <w:tab w:val="left" w:pos="851"/>
        </w:tabs>
        <w:ind w:left="851"/>
        <w:rPr>
          <w:sz w:val="24"/>
          <w:szCs w:val="24"/>
        </w:rPr>
      </w:pPr>
    </w:p>
    <w:p w14:paraId="5DD8F123" w14:textId="77777777" w:rsidR="009260DE" w:rsidRPr="000F6AF2" w:rsidRDefault="009260DE" w:rsidP="009260DE">
      <w:pPr>
        <w:tabs>
          <w:tab w:val="left" w:pos="851"/>
        </w:tabs>
        <w:ind w:left="851" w:hanging="851"/>
        <w:rPr>
          <w:b/>
          <w:sz w:val="24"/>
          <w:szCs w:val="24"/>
        </w:rPr>
      </w:pPr>
      <w:r w:rsidRPr="000F6AF2">
        <w:rPr>
          <w:b/>
          <w:sz w:val="24"/>
          <w:szCs w:val="24"/>
        </w:rPr>
        <w:t>6.4</w:t>
      </w:r>
      <w:r w:rsidRPr="000F6AF2">
        <w:rPr>
          <w:b/>
          <w:sz w:val="24"/>
          <w:szCs w:val="24"/>
        </w:rPr>
        <w:tab/>
        <w:t>Særlige opbevaringsforhold</w:t>
      </w:r>
    </w:p>
    <w:p w14:paraId="0467E047" w14:textId="77777777" w:rsidR="000640F2" w:rsidRDefault="000640F2" w:rsidP="000640F2">
      <w:pPr>
        <w:tabs>
          <w:tab w:val="left" w:pos="851"/>
        </w:tabs>
        <w:ind w:left="851"/>
        <w:rPr>
          <w:sz w:val="24"/>
          <w:szCs w:val="24"/>
        </w:rPr>
      </w:pPr>
      <w:r>
        <w:rPr>
          <w:sz w:val="24"/>
          <w:szCs w:val="24"/>
        </w:rPr>
        <w:t>Opbevares i køleskab (2 °C – 8 °C). Må ikke nedfryses. Opbevar hætteglasset i den ydre karton for at beskytte mod lys.</w:t>
      </w:r>
    </w:p>
    <w:p w14:paraId="2013BB18" w14:textId="77777777" w:rsidR="000640F2" w:rsidRDefault="000640F2" w:rsidP="000640F2">
      <w:pPr>
        <w:tabs>
          <w:tab w:val="left" w:pos="851"/>
        </w:tabs>
        <w:ind w:left="851"/>
        <w:rPr>
          <w:sz w:val="24"/>
          <w:szCs w:val="24"/>
        </w:rPr>
      </w:pPr>
      <w:r>
        <w:rPr>
          <w:sz w:val="24"/>
          <w:szCs w:val="24"/>
        </w:rPr>
        <w:lastRenderedPageBreak/>
        <w:t>Når hætteglasset er taget ud af køleskabet, anbefales det at lade hætteglasset opnå stuetemperatur.</w:t>
      </w:r>
    </w:p>
    <w:p w14:paraId="2FFD3D25" w14:textId="77777777" w:rsidR="000640F2" w:rsidRDefault="000640F2" w:rsidP="000640F2">
      <w:pPr>
        <w:tabs>
          <w:tab w:val="left" w:pos="851"/>
        </w:tabs>
        <w:ind w:left="851"/>
        <w:rPr>
          <w:sz w:val="24"/>
          <w:szCs w:val="24"/>
        </w:rPr>
      </w:pPr>
      <w:proofErr w:type="spellStart"/>
      <w:r>
        <w:rPr>
          <w:sz w:val="24"/>
          <w:szCs w:val="24"/>
        </w:rPr>
        <w:t>Alluzience</w:t>
      </w:r>
      <w:proofErr w:type="spellEnd"/>
      <w:r>
        <w:rPr>
          <w:sz w:val="24"/>
          <w:szCs w:val="24"/>
        </w:rPr>
        <w:t xml:space="preserve"> kan opbevares ved temperaturer på op til maksimalt 25 </w:t>
      </w:r>
      <w:r>
        <w:t xml:space="preserve">°C i en enkelt periode på 12 timer, når det er uåbnet og beskyttet mod lys. </w:t>
      </w:r>
      <w:proofErr w:type="spellStart"/>
      <w:r>
        <w:t>Alluzience</w:t>
      </w:r>
      <w:proofErr w:type="spellEnd"/>
      <w:r>
        <w:t xml:space="preserve"> skal kasseres, hvis det ikke er brugt inden for 12 timer fra det er taget ud af køleskabet.</w:t>
      </w:r>
    </w:p>
    <w:p w14:paraId="211F7B7A" w14:textId="77777777" w:rsidR="000640F2" w:rsidRDefault="000640F2" w:rsidP="000640F2">
      <w:pPr>
        <w:tabs>
          <w:tab w:val="left" w:pos="851"/>
        </w:tabs>
        <w:ind w:left="851"/>
        <w:rPr>
          <w:sz w:val="24"/>
          <w:szCs w:val="24"/>
          <w:lang w:eastAsia="da-DK"/>
        </w:rPr>
      </w:pPr>
    </w:p>
    <w:p w14:paraId="4FD0B24A" w14:textId="77777777" w:rsidR="000640F2" w:rsidRDefault="000640F2" w:rsidP="000640F2">
      <w:pPr>
        <w:tabs>
          <w:tab w:val="left" w:pos="851"/>
        </w:tabs>
        <w:ind w:left="851"/>
        <w:rPr>
          <w:sz w:val="24"/>
          <w:szCs w:val="24"/>
        </w:rPr>
      </w:pPr>
      <w:r>
        <w:rPr>
          <w:sz w:val="24"/>
          <w:szCs w:val="24"/>
        </w:rPr>
        <w:t>Efter åbning af hætteglasset skal lægemidlet anvendes straks.</w:t>
      </w:r>
    </w:p>
    <w:p w14:paraId="4AF9AE10" w14:textId="145498DA" w:rsidR="000640F2" w:rsidRDefault="000640F2">
      <w:pPr>
        <w:rPr>
          <w:sz w:val="24"/>
          <w:szCs w:val="24"/>
        </w:rPr>
      </w:pPr>
      <w:r>
        <w:rPr>
          <w:sz w:val="24"/>
          <w:szCs w:val="24"/>
        </w:rPr>
        <w:br w:type="page"/>
      </w:r>
    </w:p>
    <w:p w14:paraId="0C78A01E" w14:textId="77777777" w:rsidR="009260DE" w:rsidRPr="000F6AF2" w:rsidRDefault="009260DE" w:rsidP="009260DE">
      <w:pPr>
        <w:tabs>
          <w:tab w:val="left" w:pos="851"/>
        </w:tabs>
        <w:ind w:left="851"/>
        <w:rPr>
          <w:sz w:val="24"/>
          <w:szCs w:val="24"/>
        </w:rPr>
      </w:pPr>
    </w:p>
    <w:p w14:paraId="67978B87" w14:textId="2CBB013F" w:rsidR="009260DE" w:rsidRPr="000F6AF2" w:rsidRDefault="009260DE" w:rsidP="009260DE">
      <w:pPr>
        <w:tabs>
          <w:tab w:val="left" w:pos="851"/>
        </w:tabs>
        <w:ind w:left="851" w:hanging="851"/>
        <w:rPr>
          <w:b/>
          <w:sz w:val="24"/>
          <w:szCs w:val="24"/>
        </w:rPr>
      </w:pPr>
      <w:r w:rsidRPr="000F6AF2">
        <w:rPr>
          <w:b/>
          <w:sz w:val="24"/>
          <w:szCs w:val="24"/>
        </w:rPr>
        <w:t>6.5</w:t>
      </w:r>
      <w:r w:rsidRPr="000F6AF2">
        <w:rPr>
          <w:b/>
          <w:sz w:val="24"/>
          <w:szCs w:val="24"/>
        </w:rPr>
        <w:tab/>
        <w:t>Emballagetype og pakningsstørrelser</w:t>
      </w:r>
    </w:p>
    <w:p w14:paraId="627534F1" w14:textId="77777777" w:rsidR="00DB36AA" w:rsidRDefault="00DB36AA" w:rsidP="00372C9E">
      <w:pPr>
        <w:tabs>
          <w:tab w:val="left" w:pos="851"/>
        </w:tabs>
        <w:ind w:left="851"/>
        <w:rPr>
          <w:sz w:val="24"/>
          <w:szCs w:val="24"/>
          <w:u w:val="single"/>
        </w:rPr>
      </w:pPr>
    </w:p>
    <w:p w14:paraId="51BD7DE2" w14:textId="21129F47" w:rsidR="00372C9E" w:rsidRPr="000F6AF2" w:rsidRDefault="00372C9E" w:rsidP="00372C9E">
      <w:pPr>
        <w:tabs>
          <w:tab w:val="left" w:pos="851"/>
        </w:tabs>
        <w:ind w:left="851"/>
        <w:rPr>
          <w:sz w:val="24"/>
          <w:szCs w:val="24"/>
          <w:u w:val="single"/>
          <w:lang w:eastAsia="da-DK"/>
        </w:rPr>
      </w:pPr>
      <w:r w:rsidRPr="000F6AF2">
        <w:rPr>
          <w:sz w:val="24"/>
          <w:szCs w:val="24"/>
          <w:u w:val="single"/>
        </w:rPr>
        <w:t>Emballagetype</w:t>
      </w:r>
    </w:p>
    <w:p w14:paraId="6D932DE7" w14:textId="77777777" w:rsidR="00372C9E" w:rsidRPr="000F6AF2" w:rsidRDefault="00372C9E" w:rsidP="00372C9E">
      <w:pPr>
        <w:tabs>
          <w:tab w:val="left" w:pos="851"/>
        </w:tabs>
        <w:ind w:left="851"/>
        <w:rPr>
          <w:sz w:val="24"/>
          <w:szCs w:val="24"/>
        </w:rPr>
      </w:pPr>
      <w:r w:rsidRPr="000F6AF2">
        <w:rPr>
          <w:sz w:val="24"/>
          <w:szCs w:val="24"/>
        </w:rPr>
        <w:t xml:space="preserve">Type I glas med en butyl gummiprop og aluminiumsforsegling med et </w:t>
      </w:r>
      <w:proofErr w:type="gramStart"/>
      <w:r w:rsidRPr="000F6AF2">
        <w:rPr>
          <w:sz w:val="24"/>
          <w:szCs w:val="24"/>
        </w:rPr>
        <w:t xml:space="preserve">polypropylen </w:t>
      </w:r>
      <w:r w:rsidRPr="000F6AF2">
        <w:rPr>
          <w:i/>
          <w:iCs/>
          <w:sz w:val="24"/>
          <w:szCs w:val="24"/>
        </w:rPr>
        <w:t>flip</w:t>
      </w:r>
      <w:proofErr w:type="gramEnd"/>
      <w:r w:rsidRPr="000F6AF2">
        <w:rPr>
          <w:i/>
          <w:iCs/>
          <w:sz w:val="24"/>
          <w:szCs w:val="24"/>
        </w:rPr>
        <w:t>-</w:t>
      </w:r>
      <w:proofErr w:type="spellStart"/>
      <w:r w:rsidRPr="000F6AF2">
        <w:rPr>
          <w:i/>
          <w:iCs/>
          <w:sz w:val="24"/>
          <w:szCs w:val="24"/>
        </w:rPr>
        <w:t>off</w:t>
      </w:r>
      <w:proofErr w:type="spellEnd"/>
      <w:r w:rsidRPr="000F6AF2">
        <w:rPr>
          <w:sz w:val="24"/>
          <w:szCs w:val="24"/>
        </w:rPr>
        <w:t xml:space="preserve"> låg.</w:t>
      </w:r>
    </w:p>
    <w:p w14:paraId="4254D8D9" w14:textId="77777777" w:rsidR="00372C9E" w:rsidRPr="000F6AF2" w:rsidRDefault="00372C9E" w:rsidP="00372C9E">
      <w:pPr>
        <w:tabs>
          <w:tab w:val="left" w:pos="851"/>
        </w:tabs>
        <w:ind w:left="851"/>
        <w:rPr>
          <w:sz w:val="24"/>
          <w:szCs w:val="24"/>
        </w:rPr>
      </w:pPr>
    </w:p>
    <w:p w14:paraId="4C0FE641" w14:textId="77777777" w:rsidR="00372C9E" w:rsidRPr="000F6AF2" w:rsidRDefault="00372C9E" w:rsidP="00372C9E">
      <w:pPr>
        <w:tabs>
          <w:tab w:val="left" w:pos="851"/>
        </w:tabs>
        <w:ind w:left="851"/>
        <w:rPr>
          <w:sz w:val="24"/>
          <w:szCs w:val="24"/>
          <w:u w:val="single"/>
        </w:rPr>
      </w:pPr>
      <w:r w:rsidRPr="000F6AF2">
        <w:rPr>
          <w:sz w:val="24"/>
          <w:szCs w:val="24"/>
          <w:u w:val="single"/>
        </w:rPr>
        <w:t>Indhold i hætteglasset</w:t>
      </w:r>
    </w:p>
    <w:p w14:paraId="19013B42" w14:textId="77777777" w:rsidR="00372C9E" w:rsidRPr="000F6AF2" w:rsidRDefault="00372C9E" w:rsidP="00372C9E">
      <w:pPr>
        <w:tabs>
          <w:tab w:val="left" w:pos="851"/>
        </w:tabs>
        <w:ind w:left="851"/>
        <w:rPr>
          <w:iCs/>
          <w:sz w:val="24"/>
          <w:szCs w:val="24"/>
        </w:rPr>
      </w:pPr>
      <w:r w:rsidRPr="000F6AF2">
        <w:rPr>
          <w:sz w:val="24"/>
          <w:szCs w:val="24"/>
        </w:rPr>
        <w:t>Hvert hætteglas indeholder 125 </w:t>
      </w:r>
      <w:proofErr w:type="spellStart"/>
      <w:r w:rsidRPr="000F6AF2">
        <w:rPr>
          <w:sz w:val="24"/>
          <w:szCs w:val="24"/>
        </w:rPr>
        <w:t>Speywood</w:t>
      </w:r>
      <w:proofErr w:type="spellEnd"/>
      <w:r w:rsidRPr="000F6AF2">
        <w:rPr>
          <w:sz w:val="24"/>
          <w:szCs w:val="24"/>
        </w:rPr>
        <w:t xml:space="preserve">-enheder af </w:t>
      </w:r>
      <w:proofErr w:type="spellStart"/>
      <w:r w:rsidRPr="000F6AF2">
        <w:rPr>
          <w:i/>
          <w:sz w:val="24"/>
          <w:szCs w:val="24"/>
        </w:rPr>
        <w:t>Clostridium</w:t>
      </w:r>
      <w:proofErr w:type="spellEnd"/>
      <w:r w:rsidRPr="000F6AF2">
        <w:rPr>
          <w:i/>
          <w:sz w:val="24"/>
          <w:szCs w:val="24"/>
        </w:rPr>
        <w:t xml:space="preserve"> </w:t>
      </w:r>
      <w:proofErr w:type="spellStart"/>
      <w:r w:rsidRPr="000F6AF2">
        <w:rPr>
          <w:i/>
          <w:sz w:val="24"/>
          <w:szCs w:val="24"/>
        </w:rPr>
        <w:t>botulinum</w:t>
      </w:r>
      <w:proofErr w:type="spellEnd"/>
      <w:r w:rsidRPr="000F6AF2">
        <w:rPr>
          <w:i/>
          <w:sz w:val="24"/>
          <w:szCs w:val="24"/>
        </w:rPr>
        <w:t xml:space="preserve"> </w:t>
      </w:r>
      <w:r w:rsidRPr="000F6AF2">
        <w:rPr>
          <w:iCs/>
          <w:sz w:val="24"/>
          <w:szCs w:val="24"/>
        </w:rPr>
        <w:t>type A toksin-</w:t>
      </w:r>
      <w:proofErr w:type="spellStart"/>
      <w:r w:rsidRPr="000F6AF2">
        <w:rPr>
          <w:iCs/>
          <w:sz w:val="24"/>
          <w:szCs w:val="24"/>
        </w:rPr>
        <w:t>hæmagglutinin</w:t>
      </w:r>
      <w:proofErr w:type="spellEnd"/>
      <w:r w:rsidRPr="000F6AF2">
        <w:rPr>
          <w:iCs/>
          <w:sz w:val="24"/>
          <w:szCs w:val="24"/>
        </w:rPr>
        <w:t>-kompleks for hver 0,625 ml opløsning.</w:t>
      </w:r>
    </w:p>
    <w:p w14:paraId="5F4B1F2D" w14:textId="77777777" w:rsidR="00372C9E" w:rsidRPr="000F6AF2" w:rsidRDefault="00372C9E" w:rsidP="00372C9E">
      <w:pPr>
        <w:tabs>
          <w:tab w:val="left" w:pos="851"/>
        </w:tabs>
        <w:ind w:left="851"/>
        <w:rPr>
          <w:iCs/>
          <w:sz w:val="24"/>
          <w:szCs w:val="24"/>
        </w:rPr>
      </w:pPr>
      <w:r w:rsidRPr="000F6AF2">
        <w:rPr>
          <w:iCs/>
          <w:sz w:val="24"/>
          <w:szCs w:val="24"/>
        </w:rPr>
        <w:t>Klar, farveløs opløsning.</w:t>
      </w:r>
    </w:p>
    <w:p w14:paraId="5FF7F722" w14:textId="77777777" w:rsidR="00372C9E" w:rsidRPr="000F6AF2" w:rsidRDefault="00372C9E" w:rsidP="00372C9E">
      <w:pPr>
        <w:tabs>
          <w:tab w:val="left" w:pos="851"/>
        </w:tabs>
        <w:ind w:left="851"/>
        <w:rPr>
          <w:iCs/>
          <w:sz w:val="24"/>
          <w:szCs w:val="24"/>
        </w:rPr>
      </w:pPr>
    </w:p>
    <w:p w14:paraId="46D0C1DF" w14:textId="77777777" w:rsidR="00372C9E" w:rsidRPr="000F6AF2" w:rsidRDefault="00372C9E" w:rsidP="00372C9E">
      <w:pPr>
        <w:tabs>
          <w:tab w:val="left" w:pos="851"/>
        </w:tabs>
        <w:ind w:left="851"/>
        <w:rPr>
          <w:iCs/>
          <w:sz w:val="24"/>
          <w:szCs w:val="24"/>
          <w:u w:val="single"/>
        </w:rPr>
      </w:pPr>
      <w:r w:rsidRPr="000F6AF2">
        <w:rPr>
          <w:iCs/>
          <w:sz w:val="24"/>
          <w:szCs w:val="24"/>
          <w:u w:val="single"/>
        </w:rPr>
        <w:t>Pakningsstørrelse</w:t>
      </w:r>
    </w:p>
    <w:p w14:paraId="648BD6ED" w14:textId="36B440E4" w:rsidR="00873CAE" w:rsidRDefault="00873CAE" w:rsidP="00372C9E">
      <w:pPr>
        <w:tabs>
          <w:tab w:val="left" w:pos="851"/>
        </w:tabs>
        <w:ind w:left="851"/>
        <w:rPr>
          <w:sz w:val="24"/>
          <w:szCs w:val="24"/>
        </w:rPr>
      </w:pPr>
    </w:p>
    <w:p w14:paraId="3C2A30BD" w14:textId="0ECEE6F7" w:rsidR="00873CAE" w:rsidRPr="00873CAE" w:rsidRDefault="00873CAE" w:rsidP="00873CAE">
      <w:pPr>
        <w:tabs>
          <w:tab w:val="left" w:pos="851"/>
        </w:tabs>
        <w:ind w:left="851"/>
        <w:rPr>
          <w:iCs/>
          <w:sz w:val="24"/>
          <w:szCs w:val="24"/>
        </w:rPr>
      </w:pPr>
      <w:r>
        <w:rPr>
          <w:iCs/>
          <w:sz w:val="24"/>
          <w:szCs w:val="24"/>
        </w:rPr>
        <w:t>Enkelt pakningsstørrelse:</w:t>
      </w:r>
    </w:p>
    <w:p w14:paraId="7CFC3AD0" w14:textId="77777777" w:rsidR="00873CAE" w:rsidRDefault="00873CAE" w:rsidP="00873CAE">
      <w:pPr>
        <w:tabs>
          <w:tab w:val="left" w:pos="851"/>
        </w:tabs>
        <w:ind w:left="851"/>
        <w:rPr>
          <w:sz w:val="24"/>
          <w:szCs w:val="24"/>
        </w:rPr>
      </w:pPr>
      <w:r>
        <w:rPr>
          <w:sz w:val="24"/>
          <w:szCs w:val="24"/>
        </w:rPr>
        <w:t xml:space="preserve">Pakning med 1 eller 2 hætteglas </w:t>
      </w:r>
      <w:proofErr w:type="spellStart"/>
      <w:r>
        <w:rPr>
          <w:sz w:val="24"/>
          <w:szCs w:val="24"/>
        </w:rPr>
        <w:t>Alluzience</w:t>
      </w:r>
      <w:proofErr w:type="spellEnd"/>
      <w:r>
        <w:rPr>
          <w:sz w:val="24"/>
          <w:szCs w:val="24"/>
        </w:rPr>
        <w:t xml:space="preserve"> 200 </w:t>
      </w:r>
      <w:proofErr w:type="spellStart"/>
      <w:r>
        <w:rPr>
          <w:sz w:val="24"/>
          <w:szCs w:val="24"/>
        </w:rPr>
        <w:t>Speywood</w:t>
      </w:r>
      <w:proofErr w:type="spellEnd"/>
      <w:r>
        <w:rPr>
          <w:sz w:val="24"/>
          <w:szCs w:val="24"/>
        </w:rPr>
        <w:t>-enheder/ml til injektion.</w:t>
      </w:r>
    </w:p>
    <w:p w14:paraId="7369331F" w14:textId="77777777" w:rsidR="00873CAE" w:rsidRDefault="00873CAE" w:rsidP="00873CAE">
      <w:pPr>
        <w:tabs>
          <w:tab w:val="left" w:pos="851"/>
        </w:tabs>
        <w:ind w:left="851"/>
        <w:rPr>
          <w:sz w:val="24"/>
          <w:szCs w:val="24"/>
        </w:rPr>
      </w:pPr>
    </w:p>
    <w:p w14:paraId="25DB2C51" w14:textId="77777777" w:rsidR="00873CAE" w:rsidRDefault="00873CAE" w:rsidP="00873CAE">
      <w:pPr>
        <w:tabs>
          <w:tab w:val="left" w:pos="851"/>
        </w:tabs>
        <w:ind w:left="851"/>
        <w:rPr>
          <w:sz w:val="24"/>
          <w:szCs w:val="24"/>
        </w:rPr>
      </w:pPr>
      <w:r>
        <w:rPr>
          <w:sz w:val="24"/>
          <w:szCs w:val="24"/>
        </w:rPr>
        <w:t>Multipakning:</w:t>
      </w:r>
    </w:p>
    <w:p w14:paraId="643FE33C" w14:textId="01FD5D67" w:rsidR="00873CAE" w:rsidRDefault="00873CAE" w:rsidP="00873CAE">
      <w:pPr>
        <w:tabs>
          <w:tab w:val="left" w:pos="851"/>
        </w:tabs>
        <w:ind w:left="851"/>
        <w:rPr>
          <w:sz w:val="24"/>
          <w:szCs w:val="24"/>
        </w:rPr>
      </w:pPr>
      <w:r>
        <w:rPr>
          <w:sz w:val="24"/>
          <w:szCs w:val="24"/>
        </w:rPr>
        <w:t xml:space="preserve">En multipakning indeholdende </w:t>
      </w:r>
      <w:bookmarkStart w:id="12" w:name="_Hlk94777503"/>
      <w:r>
        <w:rPr>
          <w:sz w:val="24"/>
          <w:szCs w:val="24"/>
        </w:rPr>
        <w:t xml:space="preserve">6 enkeltpakninger, som hver indeholder 2 hætteglas </w:t>
      </w:r>
      <w:proofErr w:type="spellStart"/>
      <w:r>
        <w:rPr>
          <w:sz w:val="24"/>
          <w:szCs w:val="24"/>
        </w:rPr>
        <w:t>Alluzience</w:t>
      </w:r>
      <w:proofErr w:type="spellEnd"/>
      <w:r>
        <w:rPr>
          <w:sz w:val="24"/>
          <w:szCs w:val="24"/>
        </w:rPr>
        <w:t xml:space="preserve"> 200 </w:t>
      </w:r>
      <w:proofErr w:type="spellStart"/>
      <w:r>
        <w:rPr>
          <w:sz w:val="24"/>
          <w:szCs w:val="24"/>
        </w:rPr>
        <w:t>Speywood</w:t>
      </w:r>
      <w:proofErr w:type="spellEnd"/>
      <w:r>
        <w:rPr>
          <w:sz w:val="24"/>
          <w:szCs w:val="24"/>
        </w:rPr>
        <w:t>-enheder/ml til injektion</w:t>
      </w:r>
      <w:bookmarkEnd w:id="12"/>
      <w:r>
        <w:rPr>
          <w:sz w:val="24"/>
          <w:szCs w:val="24"/>
        </w:rPr>
        <w:t>.</w:t>
      </w:r>
    </w:p>
    <w:p w14:paraId="6FF4DB68" w14:textId="1F921E52" w:rsidR="00873CAE" w:rsidRDefault="00873CAE" w:rsidP="00873CAE">
      <w:pPr>
        <w:tabs>
          <w:tab w:val="left" w:pos="851"/>
        </w:tabs>
        <w:ind w:left="851"/>
        <w:rPr>
          <w:sz w:val="24"/>
          <w:szCs w:val="24"/>
        </w:rPr>
      </w:pPr>
    </w:p>
    <w:p w14:paraId="43A1EBCF" w14:textId="54ED6F9F" w:rsidR="00873CAE" w:rsidRDefault="00873CAE" w:rsidP="00873CAE">
      <w:pPr>
        <w:tabs>
          <w:tab w:val="left" w:pos="851"/>
        </w:tabs>
        <w:ind w:left="851"/>
        <w:rPr>
          <w:sz w:val="24"/>
          <w:szCs w:val="24"/>
        </w:rPr>
      </w:pPr>
      <w:bookmarkStart w:id="13" w:name="_Hlk94777353"/>
      <w:r>
        <w:rPr>
          <w:sz w:val="24"/>
          <w:szCs w:val="24"/>
        </w:rPr>
        <w:t>Ikke alle pakningsstørrelser er nødvendigvis markedsført.</w:t>
      </w:r>
      <w:bookmarkEnd w:id="13"/>
    </w:p>
    <w:p w14:paraId="50860011" w14:textId="33E015E2" w:rsidR="009260DE" w:rsidRPr="000F6AF2" w:rsidRDefault="00873CAE" w:rsidP="00873CAE">
      <w:pPr>
        <w:tabs>
          <w:tab w:val="left" w:pos="851"/>
        </w:tabs>
        <w:rPr>
          <w:sz w:val="24"/>
          <w:szCs w:val="24"/>
        </w:rPr>
      </w:pPr>
      <w:r>
        <w:rPr>
          <w:sz w:val="24"/>
          <w:szCs w:val="24"/>
        </w:rPr>
        <w:tab/>
      </w:r>
    </w:p>
    <w:p w14:paraId="3FBD7B12" w14:textId="4D53D0E7" w:rsidR="009260DE" w:rsidRPr="000F6AF2" w:rsidRDefault="009260DE" w:rsidP="009260DE">
      <w:pPr>
        <w:tabs>
          <w:tab w:val="left" w:pos="851"/>
        </w:tabs>
        <w:ind w:left="851" w:hanging="851"/>
        <w:rPr>
          <w:b/>
          <w:sz w:val="24"/>
          <w:szCs w:val="24"/>
        </w:rPr>
      </w:pPr>
      <w:r w:rsidRPr="000F6AF2">
        <w:rPr>
          <w:b/>
          <w:sz w:val="24"/>
          <w:szCs w:val="24"/>
        </w:rPr>
        <w:t>6.6</w:t>
      </w:r>
      <w:r w:rsidRPr="000F6AF2">
        <w:rPr>
          <w:b/>
          <w:sz w:val="24"/>
          <w:szCs w:val="24"/>
        </w:rPr>
        <w:tab/>
        <w:t xml:space="preserve">Regler for </w:t>
      </w:r>
      <w:r w:rsidR="008D13DE">
        <w:rPr>
          <w:b/>
          <w:sz w:val="24"/>
          <w:szCs w:val="24"/>
        </w:rPr>
        <w:t>bortskaffelse</w:t>
      </w:r>
      <w:r w:rsidRPr="000F6AF2">
        <w:rPr>
          <w:b/>
          <w:sz w:val="24"/>
          <w:szCs w:val="24"/>
        </w:rPr>
        <w:t xml:space="preserve"> og anden håndtering</w:t>
      </w:r>
    </w:p>
    <w:p w14:paraId="1E8419F9" w14:textId="77777777" w:rsidR="00372C9E" w:rsidRPr="000F6AF2" w:rsidRDefault="00372C9E" w:rsidP="000F6AF2">
      <w:pPr>
        <w:ind w:left="851"/>
        <w:rPr>
          <w:sz w:val="24"/>
          <w:szCs w:val="24"/>
        </w:rPr>
      </w:pPr>
      <w:bookmarkStart w:id="14" w:name="_Hlk56986294"/>
      <w:r w:rsidRPr="000F6AF2">
        <w:rPr>
          <w:sz w:val="24"/>
          <w:szCs w:val="24"/>
        </w:rPr>
        <w:t xml:space="preserve">Umiddelbart efter brug og inden bortskaffelse skal ikke anvendt </w:t>
      </w:r>
      <w:proofErr w:type="spellStart"/>
      <w:r w:rsidRPr="000F6AF2">
        <w:rPr>
          <w:sz w:val="24"/>
          <w:szCs w:val="24"/>
        </w:rPr>
        <w:t>Alluzience</w:t>
      </w:r>
      <w:proofErr w:type="spellEnd"/>
      <w:r w:rsidRPr="000F6AF2">
        <w:rPr>
          <w:sz w:val="24"/>
          <w:szCs w:val="24"/>
        </w:rPr>
        <w:t xml:space="preserve">, som kan være tilstede i hætteglasset eller i sprøjten, inaktiveres med fortyndet </w:t>
      </w:r>
      <w:proofErr w:type="spellStart"/>
      <w:r w:rsidRPr="000F6AF2">
        <w:rPr>
          <w:sz w:val="24"/>
          <w:szCs w:val="24"/>
        </w:rPr>
        <w:t>hypokloritopløsning</w:t>
      </w:r>
      <w:proofErr w:type="spellEnd"/>
      <w:r w:rsidRPr="000F6AF2">
        <w:rPr>
          <w:sz w:val="24"/>
          <w:szCs w:val="24"/>
        </w:rPr>
        <w:t xml:space="preserve"> (1 % tilgængelig klorin). Spildt </w:t>
      </w:r>
      <w:proofErr w:type="spellStart"/>
      <w:r w:rsidRPr="000F6AF2">
        <w:rPr>
          <w:sz w:val="24"/>
          <w:szCs w:val="24"/>
        </w:rPr>
        <w:t>Alluzience</w:t>
      </w:r>
      <w:proofErr w:type="spellEnd"/>
      <w:r w:rsidRPr="000F6AF2">
        <w:rPr>
          <w:sz w:val="24"/>
          <w:szCs w:val="24"/>
        </w:rPr>
        <w:t xml:space="preserve"> skal tørres op med en absorberende klud som er gennemblødt i en fortyndet </w:t>
      </w:r>
      <w:proofErr w:type="spellStart"/>
      <w:r w:rsidRPr="000F6AF2">
        <w:rPr>
          <w:sz w:val="24"/>
          <w:szCs w:val="24"/>
        </w:rPr>
        <w:t>hypochloritopløsning</w:t>
      </w:r>
      <w:proofErr w:type="spellEnd"/>
      <w:r w:rsidRPr="000F6AF2">
        <w:rPr>
          <w:sz w:val="24"/>
          <w:szCs w:val="24"/>
        </w:rPr>
        <w:t>.</w:t>
      </w:r>
    </w:p>
    <w:p w14:paraId="4CE53122" w14:textId="77777777" w:rsidR="00372C9E" w:rsidRPr="000F6AF2" w:rsidRDefault="00372C9E" w:rsidP="000F6AF2">
      <w:pPr>
        <w:ind w:left="851"/>
        <w:rPr>
          <w:sz w:val="24"/>
          <w:szCs w:val="24"/>
          <w:lang w:eastAsia="da-DK"/>
        </w:rPr>
      </w:pPr>
    </w:p>
    <w:p w14:paraId="0F9AD0BA" w14:textId="77777777" w:rsidR="00372C9E" w:rsidRPr="000F6AF2" w:rsidRDefault="00372C9E" w:rsidP="000F6AF2">
      <w:pPr>
        <w:ind w:left="851"/>
        <w:rPr>
          <w:sz w:val="24"/>
          <w:szCs w:val="24"/>
        </w:rPr>
      </w:pPr>
      <w:r w:rsidRPr="000F6AF2">
        <w:rPr>
          <w:sz w:val="24"/>
          <w:szCs w:val="24"/>
        </w:rPr>
        <w:t>Ikke anvendt lægemiddel samt affald heraf skal bortskaffes i henhold til lokale retningslinjer.</w:t>
      </w:r>
    </w:p>
    <w:bookmarkEnd w:id="14"/>
    <w:p w14:paraId="41462E36" w14:textId="1D851179" w:rsidR="00372C9E" w:rsidRPr="000F6AF2" w:rsidRDefault="00372C9E" w:rsidP="000F6AF2">
      <w:pPr>
        <w:ind w:left="851"/>
        <w:rPr>
          <w:sz w:val="24"/>
          <w:szCs w:val="24"/>
        </w:rPr>
      </w:pPr>
    </w:p>
    <w:p w14:paraId="3C67A1C3" w14:textId="77777777" w:rsidR="00372C9E" w:rsidRPr="000F6AF2" w:rsidRDefault="00372C9E" w:rsidP="000F6AF2">
      <w:pPr>
        <w:ind w:left="851"/>
        <w:rPr>
          <w:sz w:val="24"/>
          <w:szCs w:val="24"/>
        </w:rPr>
      </w:pPr>
      <w:bookmarkStart w:id="15" w:name="_Hlk56986164"/>
      <w:r w:rsidRPr="000F6AF2">
        <w:rPr>
          <w:sz w:val="24"/>
          <w:szCs w:val="24"/>
        </w:rPr>
        <w:t>ANBEFALINGER I TILFÆLDE AF UHELD UNDER HÅNDTERING AF BOTULINUMTOKSIN</w:t>
      </w:r>
    </w:p>
    <w:p w14:paraId="6EB58F01" w14:textId="77777777" w:rsidR="00372C9E" w:rsidRPr="000F6AF2" w:rsidRDefault="00372C9E" w:rsidP="00372C9E">
      <w:pPr>
        <w:numPr>
          <w:ilvl w:val="0"/>
          <w:numId w:val="7"/>
        </w:numPr>
        <w:tabs>
          <w:tab w:val="left" w:pos="851"/>
        </w:tabs>
        <w:rPr>
          <w:sz w:val="24"/>
          <w:szCs w:val="24"/>
        </w:rPr>
      </w:pPr>
      <w:r w:rsidRPr="000F6AF2">
        <w:rPr>
          <w:sz w:val="24"/>
          <w:szCs w:val="24"/>
        </w:rPr>
        <w:t>Alt spildt produkt skal tørres op med et tørt absorberende materiale.</w:t>
      </w:r>
    </w:p>
    <w:p w14:paraId="463BF90C" w14:textId="77777777" w:rsidR="00372C9E" w:rsidRPr="000F6AF2" w:rsidRDefault="00372C9E" w:rsidP="00372C9E">
      <w:pPr>
        <w:numPr>
          <w:ilvl w:val="0"/>
          <w:numId w:val="7"/>
        </w:numPr>
        <w:tabs>
          <w:tab w:val="left" w:pos="851"/>
        </w:tabs>
        <w:rPr>
          <w:sz w:val="24"/>
          <w:szCs w:val="24"/>
        </w:rPr>
      </w:pPr>
      <w:r w:rsidRPr="000F6AF2">
        <w:rPr>
          <w:sz w:val="24"/>
          <w:szCs w:val="24"/>
        </w:rPr>
        <w:t xml:space="preserve">De kontaminerede overflader skal rengøres med et absorberende materiale imprægneret med </w:t>
      </w:r>
      <w:proofErr w:type="spellStart"/>
      <w:r w:rsidRPr="000F6AF2">
        <w:rPr>
          <w:sz w:val="24"/>
          <w:szCs w:val="24"/>
        </w:rPr>
        <w:t>natriumhypokloritopløsning</w:t>
      </w:r>
      <w:proofErr w:type="spellEnd"/>
      <w:r w:rsidRPr="000F6AF2">
        <w:rPr>
          <w:sz w:val="24"/>
          <w:szCs w:val="24"/>
        </w:rPr>
        <w:t xml:space="preserve"> (blegemiddel) og derefter aftørres.</w:t>
      </w:r>
    </w:p>
    <w:p w14:paraId="05CE198E" w14:textId="77777777" w:rsidR="00372C9E" w:rsidRPr="000F6AF2" w:rsidRDefault="00372C9E" w:rsidP="00372C9E">
      <w:pPr>
        <w:numPr>
          <w:ilvl w:val="0"/>
          <w:numId w:val="7"/>
        </w:numPr>
        <w:tabs>
          <w:tab w:val="left" w:pos="851"/>
        </w:tabs>
        <w:rPr>
          <w:sz w:val="24"/>
          <w:szCs w:val="24"/>
        </w:rPr>
      </w:pPr>
      <w:r w:rsidRPr="000F6AF2">
        <w:rPr>
          <w:sz w:val="24"/>
          <w:szCs w:val="24"/>
        </w:rPr>
        <w:t xml:space="preserve">Hvis et hætteglas går i stykker, skal man følge ovenstående anvisninger ved omhyggeligt at opsamle glasstykkerne og derefter tørre produktet op. Man skal undgå at skære sig i huden. </w:t>
      </w:r>
    </w:p>
    <w:p w14:paraId="4EB7080B" w14:textId="77777777" w:rsidR="00372C9E" w:rsidRPr="000F6AF2" w:rsidRDefault="00372C9E" w:rsidP="00372C9E">
      <w:pPr>
        <w:numPr>
          <w:ilvl w:val="0"/>
          <w:numId w:val="7"/>
        </w:numPr>
        <w:tabs>
          <w:tab w:val="left" w:pos="851"/>
        </w:tabs>
        <w:rPr>
          <w:sz w:val="24"/>
          <w:szCs w:val="24"/>
        </w:rPr>
      </w:pPr>
      <w:r w:rsidRPr="000F6AF2">
        <w:rPr>
          <w:sz w:val="24"/>
          <w:szCs w:val="24"/>
        </w:rPr>
        <w:t xml:space="preserve">Hvis produktet kommer i kontakt med huden, skal det pågældende område vaskes med </w:t>
      </w:r>
      <w:proofErr w:type="spellStart"/>
      <w:r w:rsidRPr="000F6AF2">
        <w:rPr>
          <w:sz w:val="24"/>
          <w:szCs w:val="24"/>
        </w:rPr>
        <w:t>natriumhypokloritopløsning</w:t>
      </w:r>
      <w:proofErr w:type="spellEnd"/>
      <w:r w:rsidRPr="000F6AF2">
        <w:rPr>
          <w:sz w:val="24"/>
          <w:szCs w:val="24"/>
        </w:rPr>
        <w:t xml:space="preserve"> (blegemiddel) og derefter skylles med rigelige mængder vand.</w:t>
      </w:r>
    </w:p>
    <w:p w14:paraId="5EBC7552" w14:textId="77777777" w:rsidR="00372C9E" w:rsidRPr="000F6AF2" w:rsidRDefault="00372C9E" w:rsidP="00372C9E">
      <w:pPr>
        <w:numPr>
          <w:ilvl w:val="0"/>
          <w:numId w:val="7"/>
        </w:numPr>
        <w:tabs>
          <w:tab w:val="left" w:pos="851"/>
        </w:tabs>
        <w:rPr>
          <w:sz w:val="24"/>
          <w:szCs w:val="24"/>
        </w:rPr>
      </w:pPr>
      <w:r w:rsidRPr="000F6AF2">
        <w:rPr>
          <w:sz w:val="24"/>
          <w:szCs w:val="24"/>
        </w:rPr>
        <w:t xml:space="preserve">Hvis produktet kommer i kontakt med øjnene, skal øjnene skylles grundigt med rigelige mængder vand eller med en </w:t>
      </w:r>
      <w:proofErr w:type="spellStart"/>
      <w:r w:rsidRPr="000F6AF2">
        <w:rPr>
          <w:sz w:val="24"/>
          <w:szCs w:val="24"/>
        </w:rPr>
        <w:t>oftalmisk</w:t>
      </w:r>
      <w:proofErr w:type="spellEnd"/>
      <w:r w:rsidRPr="000F6AF2">
        <w:rPr>
          <w:sz w:val="24"/>
          <w:szCs w:val="24"/>
        </w:rPr>
        <w:t xml:space="preserve"> øjenskylleopløsning.</w:t>
      </w:r>
    </w:p>
    <w:p w14:paraId="7EEDB722" w14:textId="77777777" w:rsidR="00372C9E" w:rsidRPr="000F6AF2" w:rsidRDefault="00372C9E" w:rsidP="00372C9E">
      <w:pPr>
        <w:numPr>
          <w:ilvl w:val="0"/>
          <w:numId w:val="7"/>
        </w:numPr>
        <w:tabs>
          <w:tab w:val="left" w:pos="851"/>
        </w:tabs>
        <w:rPr>
          <w:sz w:val="24"/>
          <w:szCs w:val="24"/>
        </w:rPr>
      </w:pPr>
      <w:r w:rsidRPr="000F6AF2">
        <w:rPr>
          <w:sz w:val="24"/>
          <w:szCs w:val="24"/>
        </w:rPr>
        <w:t>Hvis produktet kommer i kontakt med et sår, en rift eller ødelagt hud, skal der skylles grundigt med rigelige mængder vand, og der skal iværksættes passende lægelig behandling alt efter størrelsen af den injicerede dosis.</w:t>
      </w:r>
    </w:p>
    <w:bookmarkEnd w:id="15"/>
    <w:p w14:paraId="00978639" w14:textId="77777777" w:rsidR="00372C9E" w:rsidRPr="000F6AF2" w:rsidRDefault="00372C9E" w:rsidP="00372C9E">
      <w:pPr>
        <w:tabs>
          <w:tab w:val="left" w:pos="851"/>
        </w:tabs>
        <w:ind w:left="851" w:hanging="851"/>
        <w:rPr>
          <w:sz w:val="24"/>
          <w:szCs w:val="24"/>
        </w:rPr>
      </w:pPr>
    </w:p>
    <w:p w14:paraId="5004D75A" w14:textId="514308C3" w:rsidR="00372C9E" w:rsidRPr="000F6AF2" w:rsidRDefault="00372C9E" w:rsidP="000F6AF2">
      <w:pPr>
        <w:tabs>
          <w:tab w:val="left" w:pos="851"/>
        </w:tabs>
        <w:ind w:left="851"/>
        <w:rPr>
          <w:sz w:val="24"/>
          <w:szCs w:val="24"/>
        </w:rPr>
      </w:pPr>
      <w:bookmarkStart w:id="16" w:name="_Hlk56986451"/>
      <w:r w:rsidRPr="000F6AF2">
        <w:rPr>
          <w:sz w:val="24"/>
          <w:szCs w:val="24"/>
        </w:rPr>
        <w:t>Disse anvisninger vedrørende brug, håndtering og bortskaffelse skal følges nøje.</w:t>
      </w:r>
      <w:bookmarkEnd w:id="16"/>
    </w:p>
    <w:p w14:paraId="7220D54A" w14:textId="77777777" w:rsidR="009260DE" w:rsidRPr="000F6AF2" w:rsidRDefault="009260DE" w:rsidP="000730CA">
      <w:pPr>
        <w:tabs>
          <w:tab w:val="left" w:pos="851"/>
        </w:tabs>
        <w:ind w:left="851"/>
        <w:rPr>
          <w:sz w:val="24"/>
          <w:szCs w:val="24"/>
        </w:rPr>
      </w:pPr>
    </w:p>
    <w:p w14:paraId="70A362A7" w14:textId="77777777" w:rsidR="009260DE" w:rsidRPr="000F6AF2" w:rsidRDefault="009260DE" w:rsidP="009260DE">
      <w:pPr>
        <w:tabs>
          <w:tab w:val="left" w:pos="851"/>
        </w:tabs>
        <w:ind w:left="851" w:hanging="851"/>
        <w:rPr>
          <w:b/>
          <w:sz w:val="24"/>
          <w:szCs w:val="24"/>
        </w:rPr>
      </w:pPr>
      <w:r w:rsidRPr="000F6AF2">
        <w:rPr>
          <w:b/>
          <w:sz w:val="24"/>
          <w:szCs w:val="24"/>
        </w:rPr>
        <w:lastRenderedPageBreak/>
        <w:t>7.</w:t>
      </w:r>
      <w:r w:rsidRPr="000F6AF2">
        <w:rPr>
          <w:b/>
          <w:sz w:val="24"/>
          <w:szCs w:val="24"/>
        </w:rPr>
        <w:tab/>
        <w:t>INDEHAVER AF MARKEDSFØRINGSTILLADELSEN</w:t>
      </w:r>
    </w:p>
    <w:p w14:paraId="76FC0734" w14:textId="77777777" w:rsidR="00372C9E" w:rsidRPr="000F6AF2" w:rsidRDefault="00372C9E" w:rsidP="00372C9E">
      <w:pPr>
        <w:tabs>
          <w:tab w:val="left" w:pos="851"/>
        </w:tabs>
        <w:ind w:left="851"/>
        <w:rPr>
          <w:sz w:val="24"/>
          <w:szCs w:val="24"/>
          <w:lang w:eastAsia="da-DK"/>
        </w:rPr>
      </w:pPr>
      <w:r w:rsidRPr="000F6AF2">
        <w:rPr>
          <w:sz w:val="24"/>
          <w:szCs w:val="24"/>
        </w:rPr>
        <w:t>Ipsen Pharma</w:t>
      </w:r>
    </w:p>
    <w:p w14:paraId="3DAD3BF2" w14:textId="77777777" w:rsidR="00372C9E" w:rsidRPr="000F6AF2" w:rsidRDefault="00372C9E" w:rsidP="00372C9E">
      <w:pPr>
        <w:tabs>
          <w:tab w:val="left" w:pos="851"/>
        </w:tabs>
        <w:ind w:left="851"/>
        <w:rPr>
          <w:sz w:val="24"/>
          <w:szCs w:val="24"/>
        </w:rPr>
      </w:pPr>
      <w:r w:rsidRPr="000F6AF2">
        <w:rPr>
          <w:sz w:val="24"/>
          <w:szCs w:val="24"/>
        </w:rPr>
        <w:t xml:space="preserve">65 </w:t>
      </w:r>
      <w:proofErr w:type="spellStart"/>
      <w:r w:rsidRPr="000F6AF2">
        <w:rPr>
          <w:sz w:val="24"/>
          <w:szCs w:val="24"/>
        </w:rPr>
        <w:t>quai</w:t>
      </w:r>
      <w:proofErr w:type="spellEnd"/>
      <w:r w:rsidRPr="000F6AF2">
        <w:rPr>
          <w:sz w:val="24"/>
          <w:szCs w:val="24"/>
        </w:rPr>
        <w:t xml:space="preserve"> Georges </w:t>
      </w:r>
      <w:proofErr w:type="spellStart"/>
      <w:r w:rsidRPr="000F6AF2">
        <w:rPr>
          <w:sz w:val="24"/>
          <w:szCs w:val="24"/>
        </w:rPr>
        <w:t>Gorse</w:t>
      </w:r>
      <w:proofErr w:type="spellEnd"/>
    </w:p>
    <w:p w14:paraId="39E175AD" w14:textId="77777777" w:rsidR="00372C9E" w:rsidRPr="000F6AF2" w:rsidRDefault="00372C9E" w:rsidP="00372C9E">
      <w:pPr>
        <w:tabs>
          <w:tab w:val="left" w:pos="851"/>
        </w:tabs>
        <w:ind w:left="851"/>
        <w:rPr>
          <w:sz w:val="24"/>
          <w:szCs w:val="24"/>
        </w:rPr>
      </w:pPr>
      <w:r w:rsidRPr="000F6AF2">
        <w:rPr>
          <w:sz w:val="24"/>
          <w:szCs w:val="24"/>
        </w:rPr>
        <w:t>92100 Boulogne-</w:t>
      </w:r>
      <w:proofErr w:type="spellStart"/>
      <w:r w:rsidRPr="000F6AF2">
        <w:rPr>
          <w:sz w:val="24"/>
          <w:szCs w:val="24"/>
        </w:rPr>
        <w:t>Billancourt</w:t>
      </w:r>
      <w:proofErr w:type="spellEnd"/>
      <w:r w:rsidRPr="000F6AF2">
        <w:rPr>
          <w:sz w:val="24"/>
          <w:szCs w:val="24"/>
        </w:rPr>
        <w:t xml:space="preserve"> </w:t>
      </w:r>
    </w:p>
    <w:p w14:paraId="196C419F" w14:textId="77777777" w:rsidR="00372C9E" w:rsidRPr="000F6AF2" w:rsidRDefault="00372C9E" w:rsidP="00372C9E">
      <w:pPr>
        <w:tabs>
          <w:tab w:val="left" w:pos="851"/>
        </w:tabs>
        <w:ind w:left="851"/>
        <w:rPr>
          <w:sz w:val="24"/>
          <w:szCs w:val="24"/>
        </w:rPr>
      </w:pPr>
      <w:r w:rsidRPr="000F6AF2">
        <w:rPr>
          <w:sz w:val="24"/>
          <w:szCs w:val="24"/>
        </w:rPr>
        <w:t>Frankrig</w:t>
      </w:r>
    </w:p>
    <w:p w14:paraId="691E2715" w14:textId="77777777" w:rsidR="00372C9E" w:rsidRPr="000F6AF2" w:rsidRDefault="00372C9E" w:rsidP="00372C9E">
      <w:pPr>
        <w:tabs>
          <w:tab w:val="left" w:pos="851"/>
        </w:tabs>
        <w:ind w:left="851"/>
        <w:rPr>
          <w:b/>
          <w:sz w:val="24"/>
          <w:szCs w:val="24"/>
          <w:lang w:val="sv-SE"/>
        </w:rPr>
      </w:pPr>
    </w:p>
    <w:p w14:paraId="44CE44EB" w14:textId="00F8047E" w:rsidR="00372C9E" w:rsidRPr="000F6AF2" w:rsidRDefault="007C0573" w:rsidP="00372C9E">
      <w:pPr>
        <w:tabs>
          <w:tab w:val="left" w:pos="851"/>
        </w:tabs>
        <w:ind w:left="851"/>
        <w:rPr>
          <w:b/>
          <w:sz w:val="24"/>
          <w:szCs w:val="24"/>
          <w:lang w:val="sv-SE"/>
        </w:rPr>
      </w:pPr>
      <w:proofErr w:type="spellStart"/>
      <w:r w:rsidRPr="000F6AF2">
        <w:rPr>
          <w:b/>
          <w:sz w:val="24"/>
          <w:szCs w:val="24"/>
          <w:lang w:val="sv-SE"/>
        </w:rPr>
        <w:t>R</w:t>
      </w:r>
      <w:r w:rsidR="00372C9E" w:rsidRPr="000F6AF2">
        <w:rPr>
          <w:b/>
          <w:sz w:val="24"/>
          <w:szCs w:val="24"/>
          <w:lang w:val="sv-SE"/>
        </w:rPr>
        <w:t>epræsentant</w:t>
      </w:r>
      <w:proofErr w:type="spellEnd"/>
    </w:p>
    <w:p w14:paraId="3836C19D" w14:textId="77777777" w:rsidR="00372C9E" w:rsidRPr="000F6AF2" w:rsidRDefault="00372C9E" w:rsidP="00372C9E">
      <w:pPr>
        <w:tabs>
          <w:tab w:val="left" w:pos="851"/>
        </w:tabs>
        <w:ind w:left="851"/>
        <w:rPr>
          <w:sz w:val="24"/>
          <w:szCs w:val="24"/>
          <w:lang w:val="sv-SE"/>
        </w:rPr>
      </w:pPr>
      <w:proofErr w:type="spellStart"/>
      <w:r w:rsidRPr="000F6AF2">
        <w:rPr>
          <w:sz w:val="24"/>
          <w:szCs w:val="24"/>
          <w:lang w:val="sv-SE"/>
        </w:rPr>
        <w:t>Galderma</w:t>
      </w:r>
      <w:proofErr w:type="spellEnd"/>
      <w:r w:rsidRPr="000F6AF2">
        <w:rPr>
          <w:sz w:val="24"/>
          <w:szCs w:val="24"/>
          <w:lang w:val="sv-SE"/>
        </w:rPr>
        <w:t xml:space="preserve"> Nordic AB</w:t>
      </w:r>
    </w:p>
    <w:p w14:paraId="27AE8080" w14:textId="77777777" w:rsidR="00372C9E" w:rsidRPr="000F6AF2" w:rsidRDefault="00372C9E" w:rsidP="00372C9E">
      <w:pPr>
        <w:tabs>
          <w:tab w:val="left" w:pos="851"/>
        </w:tabs>
        <w:ind w:left="851"/>
        <w:rPr>
          <w:sz w:val="24"/>
          <w:szCs w:val="24"/>
          <w:lang w:val="sv-SE"/>
        </w:rPr>
      </w:pPr>
      <w:r w:rsidRPr="000F6AF2">
        <w:rPr>
          <w:sz w:val="24"/>
          <w:szCs w:val="24"/>
          <w:lang w:val="sv-SE"/>
        </w:rPr>
        <w:t>Seminariegatan 21</w:t>
      </w:r>
    </w:p>
    <w:p w14:paraId="6C846785" w14:textId="77777777" w:rsidR="00372C9E" w:rsidRPr="000F6AF2" w:rsidRDefault="00372C9E" w:rsidP="00372C9E">
      <w:pPr>
        <w:tabs>
          <w:tab w:val="left" w:pos="851"/>
        </w:tabs>
        <w:ind w:left="851"/>
        <w:rPr>
          <w:sz w:val="24"/>
          <w:szCs w:val="24"/>
          <w:lang w:val="sv-SE"/>
        </w:rPr>
      </w:pPr>
      <w:r w:rsidRPr="000F6AF2">
        <w:rPr>
          <w:sz w:val="24"/>
          <w:szCs w:val="24"/>
          <w:lang w:val="sv-SE"/>
        </w:rPr>
        <w:t>752 28 Uppsala</w:t>
      </w:r>
    </w:p>
    <w:p w14:paraId="2E843BEC" w14:textId="77777777" w:rsidR="00372C9E" w:rsidRPr="001A493F" w:rsidRDefault="00372C9E" w:rsidP="00372C9E">
      <w:pPr>
        <w:tabs>
          <w:tab w:val="left" w:pos="851"/>
        </w:tabs>
        <w:ind w:left="851"/>
        <w:rPr>
          <w:sz w:val="24"/>
          <w:szCs w:val="24"/>
        </w:rPr>
      </w:pPr>
      <w:r w:rsidRPr="001A493F">
        <w:rPr>
          <w:sz w:val="24"/>
          <w:szCs w:val="24"/>
        </w:rPr>
        <w:t>Sverige</w:t>
      </w:r>
    </w:p>
    <w:p w14:paraId="4998A75D" w14:textId="77777777" w:rsidR="009260DE" w:rsidRPr="000F6AF2" w:rsidRDefault="009260DE" w:rsidP="009260DE">
      <w:pPr>
        <w:tabs>
          <w:tab w:val="left" w:pos="851"/>
        </w:tabs>
        <w:ind w:left="851"/>
        <w:rPr>
          <w:sz w:val="24"/>
          <w:szCs w:val="24"/>
        </w:rPr>
      </w:pPr>
    </w:p>
    <w:p w14:paraId="005973CE" w14:textId="23821E63" w:rsidR="009260DE" w:rsidRPr="000F6AF2" w:rsidRDefault="009260DE" w:rsidP="009260DE">
      <w:pPr>
        <w:tabs>
          <w:tab w:val="left" w:pos="851"/>
        </w:tabs>
        <w:ind w:left="851" w:hanging="851"/>
        <w:rPr>
          <w:b/>
          <w:sz w:val="24"/>
          <w:szCs w:val="24"/>
        </w:rPr>
      </w:pPr>
      <w:r w:rsidRPr="000F6AF2">
        <w:rPr>
          <w:b/>
          <w:sz w:val="24"/>
          <w:szCs w:val="24"/>
        </w:rPr>
        <w:t>8.</w:t>
      </w:r>
      <w:r w:rsidRPr="000F6AF2">
        <w:rPr>
          <w:b/>
          <w:sz w:val="24"/>
          <w:szCs w:val="24"/>
        </w:rPr>
        <w:tab/>
        <w:t>MARKEDSFØRINGSTILLADELSESNUMMER (</w:t>
      </w:r>
      <w:r w:rsidR="008D13DE">
        <w:rPr>
          <w:b/>
          <w:sz w:val="24"/>
          <w:szCs w:val="24"/>
        </w:rPr>
        <w:t>-</w:t>
      </w:r>
      <w:r w:rsidRPr="000F6AF2">
        <w:rPr>
          <w:b/>
          <w:sz w:val="24"/>
          <w:szCs w:val="24"/>
        </w:rPr>
        <w:t>NUMRE)</w:t>
      </w:r>
    </w:p>
    <w:p w14:paraId="02BC5139" w14:textId="483D7E15" w:rsidR="009260DE" w:rsidRPr="000F6AF2" w:rsidRDefault="007C0573" w:rsidP="009260DE">
      <w:pPr>
        <w:tabs>
          <w:tab w:val="left" w:pos="851"/>
        </w:tabs>
        <w:ind w:left="851"/>
        <w:rPr>
          <w:sz w:val="24"/>
          <w:szCs w:val="24"/>
        </w:rPr>
      </w:pPr>
      <w:r w:rsidRPr="000F6AF2">
        <w:rPr>
          <w:sz w:val="24"/>
          <w:szCs w:val="24"/>
        </w:rPr>
        <w:t>63668</w:t>
      </w:r>
    </w:p>
    <w:p w14:paraId="0D84B1B5" w14:textId="77777777" w:rsidR="009260DE" w:rsidRPr="000F6AF2" w:rsidRDefault="009260DE" w:rsidP="009260DE">
      <w:pPr>
        <w:tabs>
          <w:tab w:val="left" w:pos="851"/>
        </w:tabs>
        <w:ind w:left="851"/>
        <w:jc w:val="both"/>
        <w:rPr>
          <w:sz w:val="24"/>
          <w:szCs w:val="24"/>
        </w:rPr>
      </w:pPr>
    </w:p>
    <w:p w14:paraId="36A21EDF" w14:textId="77777777" w:rsidR="009260DE" w:rsidRPr="000F6AF2" w:rsidRDefault="009260DE" w:rsidP="009260DE">
      <w:pPr>
        <w:tabs>
          <w:tab w:val="left" w:pos="851"/>
        </w:tabs>
        <w:ind w:left="851" w:hanging="851"/>
        <w:rPr>
          <w:b/>
          <w:sz w:val="24"/>
          <w:szCs w:val="24"/>
        </w:rPr>
      </w:pPr>
      <w:r w:rsidRPr="000F6AF2">
        <w:rPr>
          <w:b/>
          <w:sz w:val="24"/>
          <w:szCs w:val="24"/>
        </w:rPr>
        <w:t>9.</w:t>
      </w:r>
      <w:r w:rsidRPr="000F6AF2">
        <w:rPr>
          <w:b/>
          <w:sz w:val="24"/>
          <w:szCs w:val="24"/>
        </w:rPr>
        <w:tab/>
        <w:t>DATO FOR FØRSTE MARKEDSFØRINGSTILLADELSE</w:t>
      </w:r>
    </w:p>
    <w:p w14:paraId="04871876" w14:textId="3EB5AB19" w:rsidR="009260DE" w:rsidRPr="000F6AF2" w:rsidRDefault="00BB55F8" w:rsidP="009260DE">
      <w:pPr>
        <w:tabs>
          <w:tab w:val="left" w:pos="851"/>
        </w:tabs>
        <w:ind w:left="851"/>
        <w:rPr>
          <w:sz w:val="24"/>
          <w:szCs w:val="24"/>
        </w:rPr>
      </w:pPr>
      <w:r>
        <w:rPr>
          <w:sz w:val="24"/>
          <w:szCs w:val="24"/>
        </w:rPr>
        <w:t>2. november 2021</w:t>
      </w:r>
    </w:p>
    <w:p w14:paraId="4DC20E94" w14:textId="77777777" w:rsidR="009260DE" w:rsidRPr="000F6AF2" w:rsidRDefault="009260DE" w:rsidP="009260DE">
      <w:pPr>
        <w:tabs>
          <w:tab w:val="left" w:pos="851"/>
        </w:tabs>
        <w:ind w:left="851"/>
        <w:rPr>
          <w:sz w:val="24"/>
          <w:szCs w:val="24"/>
        </w:rPr>
      </w:pPr>
    </w:p>
    <w:p w14:paraId="28B627F2" w14:textId="77777777" w:rsidR="009260DE" w:rsidRPr="000F6AF2" w:rsidRDefault="009260DE" w:rsidP="009260DE">
      <w:pPr>
        <w:tabs>
          <w:tab w:val="left" w:pos="851"/>
        </w:tabs>
        <w:ind w:left="851" w:hanging="851"/>
        <w:rPr>
          <w:b/>
          <w:sz w:val="24"/>
          <w:szCs w:val="24"/>
        </w:rPr>
      </w:pPr>
      <w:r w:rsidRPr="000F6AF2">
        <w:rPr>
          <w:b/>
          <w:sz w:val="24"/>
          <w:szCs w:val="24"/>
        </w:rPr>
        <w:t>10.</w:t>
      </w:r>
      <w:r w:rsidRPr="000F6AF2">
        <w:rPr>
          <w:b/>
          <w:sz w:val="24"/>
          <w:szCs w:val="24"/>
        </w:rPr>
        <w:tab/>
        <w:t>DATO FOR ÆNDRING AF TEKSTEN</w:t>
      </w:r>
    </w:p>
    <w:p w14:paraId="6F274322" w14:textId="1A063E37" w:rsidR="009260DE" w:rsidRPr="000F6AF2" w:rsidRDefault="001A57C3" w:rsidP="009260DE">
      <w:pPr>
        <w:tabs>
          <w:tab w:val="left" w:pos="851"/>
        </w:tabs>
        <w:ind w:left="851"/>
        <w:rPr>
          <w:sz w:val="24"/>
          <w:szCs w:val="24"/>
        </w:rPr>
      </w:pPr>
      <w:r w:rsidRPr="001A57C3">
        <w:rPr>
          <w:sz w:val="24"/>
          <w:szCs w:val="24"/>
        </w:rPr>
        <w:t>9. maj 2023</w:t>
      </w:r>
    </w:p>
    <w:sectPr w:rsidR="009260DE" w:rsidRPr="000F6AF2"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24E28" w14:textId="77777777" w:rsidR="00DB759D" w:rsidRDefault="00DB759D">
      <w:r>
        <w:separator/>
      </w:r>
    </w:p>
  </w:endnote>
  <w:endnote w:type="continuationSeparator" w:id="0">
    <w:p w14:paraId="2C006F4A" w14:textId="77777777" w:rsidR="00DB759D" w:rsidRDefault="00DB7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27E63" w14:textId="77777777" w:rsidR="000259B9" w:rsidRDefault="000259B9">
    <w:pPr>
      <w:pStyle w:val="Sidefod"/>
      <w:pBdr>
        <w:bottom w:val="single" w:sz="6" w:space="1" w:color="auto"/>
      </w:pBdr>
    </w:pPr>
  </w:p>
  <w:p w14:paraId="5087792D" w14:textId="77777777" w:rsidR="000259B9" w:rsidRDefault="000259B9" w:rsidP="00C42586">
    <w:pPr>
      <w:pStyle w:val="Sidefod"/>
      <w:tabs>
        <w:tab w:val="clear" w:pos="4819"/>
        <w:tab w:val="left" w:pos="8505"/>
      </w:tabs>
      <w:rPr>
        <w:i/>
        <w:sz w:val="18"/>
        <w:szCs w:val="18"/>
      </w:rPr>
    </w:pPr>
  </w:p>
  <w:p w14:paraId="78408BAF" w14:textId="02F762A6"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4447C">
      <w:rPr>
        <w:i/>
        <w:noProof/>
        <w:sz w:val="18"/>
        <w:szCs w:val="18"/>
      </w:rPr>
      <w:t>Alluzience, injektionsvæske, opløsning 200 enheder-ml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8CB1E" w14:textId="77777777" w:rsidR="00DB759D" w:rsidRDefault="00DB759D">
      <w:r>
        <w:separator/>
      </w:r>
    </w:p>
  </w:footnote>
  <w:footnote w:type="continuationSeparator" w:id="0">
    <w:p w14:paraId="05726386" w14:textId="77777777" w:rsidR="00DB759D" w:rsidRDefault="00DB7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70E5E"/>
    <w:multiLevelType w:val="hybridMultilevel"/>
    <w:tmpl w:val="499C443A"/>
    <w:lvl w:ilvl="0" w:tplc="DAB2698A">
      <w:start w:val="1"/>
      <w:numFmt w:val="bullet"/>
      <w:lvlText w:val=""/>
      <w:lvlJc w:val="left"/>
      <w:pPr>
        <w:tabs>
          <w:tab w:val="num" w:pos="1247"/>
        </w:tabs>
        <w:ind w:left="1247" w:hanging="396"/>
      </w:pPr>
      <w:rPr>
        <w:rFonts w:ascii="Symbol" w:hAnsi="Symbol" w:hint="default"/>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CB02754"/>
    <w:multiLevelType w:val="hybridMultilevel"/>
    <w:tmpl w:val="BBE0194C"/>
    <w:lvl w:ilvl="0" w:tplc="D9D07E60">
      <w:start w:val="1"/>
      <w:numFmt w:val="bullet"/>
      <w:lvlText w:val=""/>
      <w:lvlJc w:val="left"/>
      <w:pPr>
        <w:tabs>
          <w:tab w:val="num" w:pos="1247"/>
        </w:tabs>
        <w:ind w:left="1247" w:hanging="396"/>
      </w:pPr>
      <w:rPr>
        <w:rFonts w:ascii="Symbol" w:hAnsi="Symbol" w:hint="default"/>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9D"/>
    <w:rsid w:val="00014EC3"/>
    <w:rsid w:val="000259B9"/>
    <w:rsid w:val="00041491"/>
    <w:rsid w:val="00043483"/>
    <w:rsid w:val="00043616"/>
    <w:rsid w:val="00050D16"/>
    <w:rsid w:val="000640F2"/>
    <w:rsid w:val="000730CA"/>
    <w:rsid w:val="00074F2A"/>
    <w:rsid w:val="000A1CA8"/>
    <w:rsid w:val="000A466B"/>
    <w:rsid w:val="000B058C"/>
    <w:rsid w:val="000E4EE6"/>
    <w:rsid w:val="000F6AF2"/>
    <w:rsid w:val="0011721D"/>
    <w:rsid w:val="001454E2"/>
    <w:rsid w:val="00197A39"/>
    <w:rsid w:val="001A493F"/>
    <w:rsid w:val="001A57C3"/>
    <w:rsid w:val="00206CE8"/>
    <w:rsid w:val="0021526C"/>
    <w:rsid w:val="00224654"/>
    <w:rsid w:val="00227762"/>
    <w:rsid w:val="00276932"/>
    <w:rsid w:val="00282B4C"/>
    <w:rsid w:val="00283A2B"/>
    <w:rsid w:val="002B30AD"/>
    <w:rsid w:val="002C2C01"/>
    <w:rsid w:val="002F50B2"/>
    <w:rsid w:val="00372C9E"/>
    <w:rsid w:val="003A29AE"/>
    <w:rsid w:val="003A32D7"/>
    <w:rsid w:val="003B4074"/>
    <w:rsid w:val="003C6131"/>
    <w:rsid w:val="003C769A"/>
    <w:rsid w:val="003F1838"/>
    <w:rsid w:val="00442377"/>
    <w:rsid w:val="0045746C"/>
    <w:rsid w:val="0049104B"/>
    <w:rsid w:val="004E3B12"/>
    <w:rsid w:val="00532310"/>
    <w:rsid w:val="00565F0F"/>
    <w:rsid w:val="00582B3E"/>
    <w:rsid w:val="00594A86"/>
    <w:rsid w:val="00596D86"/>
    <w:rsid w:val="00637F5A"/>
    <w:rsid w:val="006560B1"/>
    <w:rsid w:val="006756DD"/>
    <w:rsid w:val="006A0149"/>
    <w:rsid w:val="00737275"/>
    <w:rsid w:val="00740EEC"/>
    <w:rsid w:val="00765CE8"/>
    <w:rsid w:val="00770F1E"/>
    <w:rsid w:val="0078011A"/>
    <w:rsid w:val="00782AF4"/>
    <w:rsid w:val="00790EE7"/>
    <w:rsid w:val="007B6649"/>
    <w:rsid w:val="007C0573"/>
    <w:rsid w:val="008161CE"/>
    <w:rsid w:val="0082576E"/>
    <w:rsid w:val="00873CAE"/>
    <w:rsid w:val="008D13DE"/>
    <w:rsid w:val="00907F75"/>
    <w:rsid w:val="009260DE"/>
    <w:rsid w:val="0093258A"/>
    <w:rsid w:val="00952F3C"/>
    <w:rsid w:val="009C7BA3"/>
    <w:rsid w:val="009D1F5A"/>
    <w:rsid w:val="00A0101B"/>
    <w:rsid w:val="00A10294"/>
    <w:rsid w:val="00A62E1B"/>
    <w:rsid w:val="00B003BF"/>
    <w:rsid w:val="00B373D7"/>
    <w:rsid w:val="00B4447C"/>
    <w:rsid w:val="00BB55F8"/>
    <w:rsid w:val="00BC4AB3"/>
    <w:rsid w:val="00C17B17"/>
    <w:rsid w:val="00C36276"/>
    <w:rsid w:val="00C42586"/>
    <w:rsid w:val="00C60CCD"/>
    <w:rsid w:val="00C77D2E"/>
    <w:rsid w:val="00C84483"/>
    <w:rsid w:val="00C95551"/>
    <w:rsid w:val="00CB20D7"/>
    <w:rsid w:val="00CE6546"/>
    <w:rsid w:val="00D020B0"/>
    <w:rsid w:val="00D11748"/>
    <w:rsid w:val="00D366CF"/>
    <w:rsid w:val="00DB36AA"/>
    <w:rsid w:val="00DB759D"/>
    <w:rsid w:val="00E108AA"/>
    <w:rsid w:val="00E3749A"/>
    <w:rsid w:val="00E7437F"/>
    <w:rsid w:val="00E865B8"/>
    <w:rsid w:val="00EC0B9B"/>
    <w:rsid w:val="00ED5E9F"/>
    <w:rsid w:val="00F34830"/>
    <w:rsid w:val="00F66D4F"/>
    <w:rsid w:val="00FA7566"/>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D1E349"/>
  <w15:chartTrackingRefBased/>
  <w15:docId w15:val="{DC50594B-336E-4A29-B28B-429CC29D0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F34830"/>
    <w:rPr>
      <w:color w:val="0563C1"/>
      <w:u w:val="single"/>
    </w:rPr>
  </w:style>
  <w:style w:type="character" w:customStyle="1" w:styleId="BodyTabChar">
    <w:name w:val="BodyTab Char"/>
    <w:link w:val="BodyTab"/>
    <w:locked/>
    <w:rsid w:val="00372C9E"/>
    <w:rPr>
      <w:lang w:val="en-GB" w:eastAsia="en-US"/>
    </w:rPr>
  </w:style>
  <w:style w:type="paragraph" w:customStyle="1" w:styleId="BodyTab">
    <w:name w:val="BodyTab"/>
    <w:link w:val="BodyTabChar"/>
    <w:rsid w:val="00372C9E"/>
    <w:rPr>
      <w:lang w:val="en-GB" w:eastAsia="en-US"/>
    </w:rPr>
  </w:style>
  <w:style w:type="character" w:customStyle="1" w:styleId="Overskrift3Tegn">
    <w:name w:val="Overskrift 3 Tegn"/>
    <w:basedOn w:val="Standardskrifttypeiafsnit"/>
    <w:link w:val="Overskrift3"/>
    <w:rsid w:val="007C0573"/>
    <w:rPr>
      <w:rFonts w:ascii="Arial" w:hAnsi="Arial"/>
      <w:sz w:val="24"/>
      <w:lang w:eastAsia="en-US"/>
    </w:rPr>
  </w:style>
  <w:style w:type="table" w:styleId="Tabel-Gitter">
    <w:name w:val="Table Grid"/>
    <w:basedOn w:val="Tabel-Normal"/>
    <w:uiPriority w:val="59"/>
    <w:rsid w:val="001A57C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11105">
      <w:bodyDiv w:val="1"/>
      <w:marLeft w:val="0"/>
      <w:marRight w:val="0"/>
      <w:marTop w:val="0"/>
      <w:marBottom w:val="0"/>
      <w:divBdr>
        <w:top w:val="none" w:sz="0" w:space="0" w:color="auto"/>
        <w:left w:val="none" w:sz="0" w:space="0" w:color="auto"/>
        <w:bottom w:val="none" w:sz="0" w:space="0" w:color="auto"/>
        <w:right w:val="none" w:sz="0" w:space="0" w:color="auto"/>
      </w:divBdr>
    </w:div>
    <w:div w:id="41180636">
      <w:bodyDiv w:val="1"/>
      <w:marLeft w:val="0"/>
      <w:marRight w:val="0"/>
      <w:marTop w:val="0"/>
      <w:marBottom w:val="0"/>
      <w:divBdr>
        <w:top w:val="none" w:sz="0" w:space="0" w:color="auto"/>
        <w:left w:val="none" w:sz="0" w:space="0" w:color="auto"/>
        <w:bottom w:val="none" w:sz="0" w:space="0" w:color="auto"/>
        <w:right w:val="none" w:sz="0" w:space="0" w:color="auto"/>
      </w:divBdr>
    </w:div>
    <w:div w:id="15519019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1461897">
      <w:bodyDiv w:val="1"/>
      <w:marLeft w:val="0"/>
      <w:marRight w:val="0"/>
      <w:marTop w:val="0"/>
      <w:marBottom w:val="0"/>
      <w:divBdr>
        <w:top w:val="none" w:sz="0" w:space="0" w:color="auto"/>
        <w:left w:val="none" w:sz="0" w:space="0" w:color="auto"/>
        <w:bottom w:val="none" w:sz="0" w:space="0" w:color="auto"/>
        <w:right w:val="none" w:sz="0" w:space="0" w:color="auto"/>
      </w:divBdr>
    </w:div>
    <w:div w:id="373778546">
      <w:bodyDiv w:val="1"/>
      <w:marLeft w:val="0"/>
      <w:marRight w:val="0"/>
      <w:marTop w:val="0"/>
      <w:marBottom w:val="0"/>
      <w:divBdr>
        <w:top w:val="none" w:sz="0" w:space="0" w:color="auto"/>
        <w:left w:val="none" w:sz="0" w:space="0" w:color="auto"/>
        <w:bottom w:val="none" w:sz="0" w:space="0" w:color="auto"/>
        <w:right w:val="none" w:sz="0" w:space="0" w:color="auto"/>
      </w:divBdr>
    </w:div>
    <w:div w:id="420832286">
      <w:bodyDiv w:val="1"/>
      <w:marLeft w:val="0"/>
      <w:marRight w:val="0"/>
      <w:marTop w:val="0"/>
      <w:marBottom w:val="0"/>
      <w:divBdr>
        <w:top w:val="none" w:sz="0" w:space="0" w:color="auto"/>
        <w:left w:val="none" w:sz="0" w:space="0" w:color="auto"/>
        <w:bottom w:val="none" w:sz="0" w:space="0" w:color="auto"/>
        <w:right w:val="none" w:sz="0" w:space="0" w:color="auto"/>
      </w:divBdr>
    </w:div>
    <w:div w:id="451631119">
      <w:bodyDiv w:val="1"/>
      <w:marLeft w:val="0"/>
      <w:marRight w:val="0"/>
      <w:marTop w:val="0"/>
      <w:marBottom w:val="0"/>
      <w:divBdr>
        <w:top w:val="none" w:sz="0" w:space="0" w:color="auto"/>
        <w:left w:val="none" w:sz="0" w:space="0" w:color="auto"/>
        <w:bottom w:val="none" w:sz="0" w:space="0" w:color="auto"/>
        <w:right w:val="none" w:sz="0" w:space="0" w:color="auto"/>
      </w:divBdr>
    </w:div>
    <w:div w:id="466168497">
      <w:bodyDiv w:val="1"/>
      <w:marLeft w:val="0"/>
      <w:marRight w:val="0"/>
      <w:marTop w:val="0"/>
      <w:marBottom w:val="0"/>
      <w:divBdr>
        <w:top w:val="none" w:sz="0" w:space="0" w:color="auto"/>
        <w:left w:val="none" w:sz="0" w:space="0" w:color="auto"/>
        <w:bottom w:val="none" w:sz="0" w:space="0" w:color="auto"/>
        <w:right w:val="none" w:sz="0" w:space="0" w:color="auto"/>
      </w:divBdr>
    </w:div>
    <w:div w:id="650985268">
      <w:bodyDiv w:val="1"/>
      <w:marLeft w:val="0"/>
      <w:marRight w:val="0"/>
      <w:marTop w:val="0"/>
      <w:marBottom w:val="0"/>
      <w:divBdr>
        <w:top w:val="none" w:sz="0" w:space="0" w:color="auto"/>
        <w:left w:val="none" w:sz="0" w:space="0" w:color="auto"/>
        <w:bottom w:val="none" w:sz="0" w:space="0" w:color="auto"/>
        <w:right w:val="none" w:sz="0" w:space="0" w:color="auto"/>
      </w:divBdr>
    </w:div>
    <w:div w:id="807404014">
      <w:bodyDiv w:val="1"/>
      <w:marLeft w:val="0"/>
      <w:marRight w:val="0"/>
      <w:marTop w:val="0"/>
      <w:marBottom w:val="0"/>
      <w:divBdr>
        <w:top w:val="none" w:sz="0" w:space="0" w:color="auto"/>
        <w:left w:val="none" w:sz="0" w:space="0" w:color="auto"/>
        <w:bottom w:val="none" w:sz="0" w:space="0" w:color="auto"/>
        <w:right w:val="none" w:sz="0" w:space="0" w:color="auto"/>
      </w:divBdr>
    </w:div>
    <w:div w:id="822894843">
      <w:bodyDiv w:val="1"/>
      <w:marLeft w:val="0"/>
      <w:marRight w:val="0"/>
      <w:marTop w:val="0"/>
      <w:marBottom w:val="0"/>
      <w:divBdr>
        <w:top w:val="none" w:sz="0" w:space="0" w:color="auto"/>
        <w:left w:val="none" w:sz="0" w:space="0" w:color="auto"/>
        <w:bottom w:val="none" w:sz="0" w:space="0" w:color="auto"/>
        <w:right w:val="none" w:sz="0" w:space="0" w:color="auto"/>
      </w:divBdr>
    </w:div>
    <w:div w:id="888568696">
      <w:bodyDiv w:val="1"/>
      <w:marLeft w:val="0"/>
      <w:marRight w:val="0"/>
      <w:marTop w:val="0"/>
      <w:marBottom w:val="0"/>
      <w:divBdr>
        <w:top w:val="none" w:sz="0" w:space="0" w:color="auto"/>
        <w:left w:val="none" w:sz="0" w:space="0" w:color="auto"/>
        <w:bottom w:val="none" w:sz="0" w:space="0" w:color="auto"/>
        <w:right w:val="none" w:sz="0" w:space="0" w:color="auto"/>
      </w:divBdr>
    </w:div>
    <w:div w:id="891308614">
      <w:bodyDiv w:val="1"/>
      <w:marLeft w:val="0"/>
      <w:marRight w:val="0"/>
      <w:marTop w:val="0"/>
      <w:marBottom w:val="0"/>
      <w:divBdr>
        <w:top w:val="none" w:sz="0" w:space="0" w:color="auto"/>
        <w:left w:val="none" w:sz="0" w:space="0" w:color="auto"/>
        <w:bottom w:val="none" w:sz="0" w:space="0" w:color="auto"/>
        <w:right w:val="none" w:sz="0" w:space="0" w:color="auto"/>
      </w:divBdr>
    </w:div>
    <w:div w:id="938104160">
      <w:bodyDiv w:val="1"/>
      <w:marLeft w:val="0"/>
      <w:marRight w:val="0"/>
      <w:marTop w:val="0"/>
      <w:marBottom w:val="0"/>
      <w:divBdr>
        <w:top w:val="none" w:sz="0" w:space="0" w:color="auto"/>
        <w:left w:val="none" w:sz="0" w:space="0" w:color="auto"/>
        <w:bottom w:val="none" w:sz="0" w:space="0" w:color="auto"/>
        <w:right w:val="none" w:sz="0" w:space="0" w:color="auto"/>
      </w:divBdr>
    </w:div>
    <w:div w:id="944459831">
      <w:bodyDiv w:val="1"/>
      <w:marLeft w:val="0"/>
      <w:marRight w:val="0"/>
      <w:marTop w:val="0"/>
      <w:marBottom w:val="0"/>
      <w:divBdr>
        <w:top w:val="none" w:sz="0" w:space="0" w:color="auto"/>
        <w:left w:val="none" w:sz="0" w:space="0" w:color="auto"/>
        <w:bottom w:val="none" w:sz="0" w:space="0" w:color="auto"/>
        <w:right w:val="none" w:sz="0" w:space="0" w:color="auto"/>
      </w:divBdr>
    </w:div>
    <w:div w:id="974875736">
      <w:bodyDiv w:val="1"/>
      <w:marLeft w:val="0"/>
      <w:marRight w:val="0"/>
      <w:marTop w:val="0"/>
      <w:marBottom w:val="0"/>
      <w:divBdr>
        <w:top w:val="none" w:sz="0" w:space="0" w:color="auto"/>
        <w:left w:val="none" w:sz="0" w:space="0" w:color="auto"/>
        <w:bottom w:val="none" w:sz="0" w:space="0" w:color="auto"/>
        <w:right w:val="none" w:sz="0" w:space="0" w:color="auto"/>
      </w:divBdr>
    </w:div>
    <w:div w:id="1225292298">
      <w:bodyDiv w:val="1"/>
      <w:marLeft w:val="0"/>
      <w:marRight w:val="0"/>
      <w:marTop w:val="0"/>
      <w:marBottom w:val="0"/>
      <w:divBdr>
        <w:top w:val="none" w:sz="0" w:space="0" w:color="auto"/>
        <w:left w:val="none" w:sz="0" w:space="0" w:color="auto"/>
        <w:bottom w:val="none" w:sz="0" w:space="0" w:color="auto"/>
        <w:right w:val="none" w:sz="0" w:space="0" w:color="auto"/>
      </w:divBdr>
    </w:div>
    <w:div w:id="1231650203">
      <w:bodyDiv w:val="1"/>
      <w:marLeft w:val="0"/>
      <w:marRight w:val="0"/>
      <w:marTop w:val="0"/>
      <w:marBottom w:val="0"/>
      <w:divBdr>
        <w:top w:val="none" w:sz="0" w:space="0" w:color="auto"/>
        <w:left w:val="none" w:sz="0" w:space="0" w:color="auto"/>
        <w:bottom w:val="none" w:sz="0" w:space="0" w:color="auto"/>
        <w:right w:val="none" w:sz="0" w:space="0" w:color="auto"/>
      </w:divBdr>
    </w:div>
    <w:div w:id="1273592519">
      <w:bodyDiv w:val="1"/>
      <w:marLeft w:val="0"/>
      <w:marRight w:val="0"/>
      <w:marTop w:val="0"/>
      <w:marBottom w:val="0"/>
      <w:divBdr>
        <w:top w:val="none" w:sz="0" w:space="0" w:color="auto"/>
        <w:left w:val="none" w:sz="0" w:space="0" w:color="auto"/>
        <w:bottom w:val="none" w:sz="0" w:space="0" w:color="auto"/>
        <w:right w:val="none" w:sz="0" w:space="0" w:color="auto"/>
      </w:divBdr>
    </w:div>
    <w:div w:id="1346902565">
      <w:bodyDiv w:val="1"/>
      <w:marLeft w:val="0"/>
      <w:marRight w:val="0"/>
      <w:marTop w:val="0"/>
      <w:marBottom w:val="0"/>
      <w:divBdr>
        <w:top w:val="none" w:sz="0" w:space="0" w:color="auto"/>
        <w:left w:val="none" w:sz="0" w:space="0" w:color="auto"/>
        <w:bottom w:val="none" w:sz="0" w:space="0" w:color="auto"/>
        <w:right w:val="none" w:sz="0" w:space="0" w:color="auto"/>
      </w:divBdr>
    </w:div>
    <w:div w:id="1389576200">
      <w:bodyDiv w:val="1"/>
      <w:marLeft w:val="0"/>
      <w:marRight w:val="0"/>
      <w:marTop w:val="0"/>
      <w:marBottom w:val="0"/>
      <w:divBdr>
        <w:top w:val="none" w:sz="0" w:space="0" w:color="auto"/>
        <w:left w:val="none" w:sz="0" w:space="0" w:color="auto"/>
        <w:bottom w:val="none" w:sz="0" w:space="0" w:color="auto"/>
        <w:right w:val="none" w:sz="0" w:space="0" w:color="auto"/>
      </w:divBdr>
    </w:div>
    <w:div w:id="1427850220">
      <w:bodyDiv w:val="1"/>
      <w:marLeft w:val="0"/>
      <w:marRight w:val="0"/>
      <w:marTop w:val="0"/>
      <w:marBottom w:val="0"/>
      <w:divBdr>
        <w:top w:val="none" w:sz="0" w:space="0" w:color="auto"/>
        <w:left w:val="none" w:sz="0" w:space="0" w:color="auto"/>
        <w:bottom w:val="none" w:sz="0" w:space="0" w:color="auto"/>
        <w:right w:val="none" w:sz="0" w:space="0" w:color="auto"/>
      </w:divBdr>
    </w:div>
    <w:div w:id="1643074073">
      <w:bodyDiv w:val="1"/>
      <w:marLeft w:val="0"/>
      <w:marRight w:val="0"/>
      <w:marTop w:val="0"/>
      <w:marBottom w:val="0"/>
      <w:divBdr>
        <w:top w:val="none" w:sz="0" w:space="0" w:color="auto"/>
        <w:left w:val="none" w:sz="0" w:space="0" w:color="auto"/>
        <w:bottom w:val="none" w:sz="0" w:space="0" w:color="auto"/>
        <w:right w:val="none" w:sz="0" w:space="0" w:color="auto"/>
      </w:divBdr>
    </w:div>
    <w:div w:id="1645888830">
      <w:bodyDiv w:val="1"/>
      <w:marLeft w:val="0"/>
      <w:marRight w:val="0"/>
      <w:marTop w:val="0"/>
      <w:marBottom w:val="0"/>
      <w:divBdr>
        <w:top w:val="none" w:sz="0" w:space="0" w:color="auto"/>
        <w:left w:val="none" w:sz="0" w:space="0" w:color="auto"/>
        <w:bottom w:val="none" w:sz="0" w:space="0" w:color="auto"/>
        <w:right w:val="none" w:sz="0" w:space="0" w:color="auto"/>
      </w:divBdr>
    </w:div>
    <w:div w:id="1742017063">
      <w:bodyDiv w:val="1"/>
      <w:marLeft w:val="0"/>
      <w:marRight w:val="0"/>
      <w:marTop w:val="0"/>
      <w:marBottom w:val="0"/>
      <w:divBdr>
        <w:top w:val="none" w:sz="0" w:space="0" w:color="auto"/>
        <w:left w:val="none" w:sz="0" w:space="0" w:color="auto"/>
        <w:bottom w:val="none" w:sz="0" w:space="0" w:color="auto"/>
        <w:right w:val="none" w:sz="0" w:space="0" w:color="auto"/>
      </w:divBdr>
    </w:div>
    <w:div w:id="1763065773">
      <w:bodyDiv w:val="1"/>
      <w:marLeft w:val="0"/>
      <w:marRight w:val="0"/>
      <w:marTop w:val="0"/>
      <w:marBottom w:val="0"/>
      <w:divBdr>
        <w:top w:val="none" w:sz="0" w:space="0" w:color="auto"/>
        <w:left w:val="none" w:sz="0" w:space="0" w:color="auto"/>
        <w:bottom w:val="none" w:sz="0" w:space="0" w:color="auto"/>
        <w:right w:val="none" w:sz="0" w:space="0" w:color="auto"/>
      </w:divBdr>
    </w:div>
    <w:div w:id="1858691762">
      <w:bodyDiv w:val="1"/>
      <w:marLeft w:val="0"/>
      <w:marRight w:val="0"/>
      <w:marTop w:val="0"/>
      <w:marBottom w:val="0"/>
      <w:divBdr>
        <w:top w:val="none" w:sz="0" w:space="0" w:color="auto"/>
        <w:left w:val="none" w:sz="0" w:space="0" w:color="auto"/>
        <w:bottom w:val="none" w:sz="0" w:space="0" w:color="auto"/>
        <w:right w:val="none" w:sz="0" w:space="0" w:color="auto"/>
      </w:divBdr>
    </w:div>
    <w:div w:id="1948464146">
      <w:bodyDiv w:val="1"/>
      <w:marLeft w:val="0"/>
      <w:marRight w:val="0"/>
      <w:marTop w:val="0"/>
      <w:marBottom w:val="0"/>
      <w:divBdr>
        <w:top w:val="none" w:sz="0" w:space="0" w:color="auto"/>
        <w:left w:val="none" w:sz="0" w:space="0" w:color="auto"/>
        <w:bottom w:val="none" w:sz="0" w:space="0" w:color="auto"/>
        <w:right w:val="none" w:sz="0" w:space="0" w:color="auto"/>
      </w:divBdr>
    </w:div>
    <w:div w:id="199421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eldenbivirkning.d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DFEBE-54A0-4EBC-9A4E-E95E2B983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2894</Words>
  <Characters>18927</Characters>
  <Application>Microsoft Office Word</Application>
  <DocSecurity>0</DocSecurity>
  <Lines>157</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2022073326_x000d_
SPC pkt. 4.4, 4.8</dc:description>
  <cp:lastModifiedBy>Betty Winther Andersen</cp:lastModifiedBy>
  <cp:revision>4</cp:revision>
  <cp:lastPrinted>2012-08-22T08:53:00Z</cp:lastPrinted>
  <dcterms:created xsi:type="dcterms:W3CDTF">2023-05-04T12:59:00Z</dcterms:created>
  <dcterms:modified xsi:type="dcterms:W3CDTF">2023-05-04T13:02:00Z</dcterms:modified>
</cp:coreProperties>
</file>