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6351F8D0" wp14:editId="5AC321A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2E19F6">
        <w:rPr>
          <w:szCs w:val="24"/>
        </w:rPr>
        <w:t>17. september 2024</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5B54F3" w:rsidP="009260DE">
      <w:pPr>
        <w:jc w:val="center"/>
        <w:rPr>
          <w:b/>
          <w:sz w:val="24"/>
          <w:szCs w:val="24"/>
        </w:rPr>
      </w:pPr>
      <w:r>
        <w:rPr>
          <w:b/>
          <w:sz w:val="24"/>
          <w:szCs w:val="24"/>
        </w:rPr>
        <w:t>Alprazolam "Grindeks", tabletter</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5B54F3" w:rsidP="009260DE">
      <w:pPr>
        <w:tabs>
          <w:tab w:val="left" w:pos="851"/>
        </w:tabs>
        <w:ind w:left="851"/>
        <w:rPr>
          <w:sz w:val="24"/>
          <w:szCs w:val="24"/>
        </w:rPr>
      </w:pPr>
      <w:r>
        <w:rPr>
          <w:sz w:val="24"/>
          <w:szCs w:val="24"/>
        </w:rPr>
        <w:t>32730</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5B54F3" w:rsidP="009260DE">
      <w:pPr>
        <w:tabs>
          <w:tab w:val="left" w:pos="851"/>
        </w:tabs>
        <w:ind w:left="851"/>
        <w:rPr>
          <w:sz w:val="24"/>
          <w:szCs w:val="24"/>
        </w:rPr>
      </w:pPr>
      <w:r>
        <w:rPr>
          <w:sz w:val="24"/>
          <w:szCs w:val="24"/>
        </w:rPr>
        <w:t>Alprazolam "Grindeks"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5B54F3" w:rsidRDefault="005B54F3" w:rsidP="005B54F3">
      <w:pPr>
        <w:tabs>
          <w:tab w:val="left" w:pos="851"/>
        </w:tabs>
        <w:ind w:left="851"/>
        <w:rPr>
          <w:sz w:val="24"/>
          <w:szCs w:val="24"/>
          <w:u w:val="single"/>
        </w:rPr>
      </w:pPr>
    </w:p>
    <w:p w:rsidR="005B54F3" w:rsidRPr="005B54F3" w:rsidRDefault="005B54F3" w:rsidP="005B54F3">
      <w:pPr>
        <w:tabs>
          <w:tab w:val="left" w:pos="851"/>
        </w:tabs>
        <w:ind w:left="851"/>
        <w:rPr>
          <w:sz w:val="24"/>
          <w:szCs w:val="24"/>
          <w:u w:val="single"/>
        </w:rPr>
      </w:pPr>
      <w:r w:rsidRPr="005B54F3">
        <w:rPr>
          <w:sz w:val="24"/>
          <w:szCs w:val="24"/>
          <w:u w:val="single"/>
        </w:rPr>
        <w:t>Alprazolam "Grindeks" 0,25 mg tabletter</w:t>
      </w:r>
    </w:p>
    <w:p w:rsidR="005B54F3" w:rsidRPr="005B54F3" w:rsidRDefault="005B54F3" w:rsidP="005B54F3">
      <w:pPr>
        <w:tabs>
          <w:tab w:val="left" w:pos="851"/>
        </w:tabs>
        <w:ind w:left="851"/>
        <w:rPr>
          <w:sz w:val="24"/>
          <w:szCs w:val="24"/>
        </w:rPr>
      </w:pPr>
      <w:r w:rsidRPr="005B54F3">
        <w:rPr>
          <w:sz w:val="24"/>
          <w:szCs w:val="24"/>
        </w:rPr>
        <w:t>Hver tablet indeholder 0,25 mg alprazolam.</w:t>
      </w:r>
    </w:p>
    <w:p w:rsidR="005B54F3" w:rsidRDefault="005B54F3" w:rsidP="005B54F3">
      <w:pPr>
        <w:tabs>
          <w:tab w:val="left" w:pos="851"/>
        </w:tabs>
        <w:ind w:left="851"/>
        <w:rPr>
          <w:sz w:val="24"/>
          <w:szCs w:val="24"/>
          <w:u w:val="single"/>
        </w:rPr>
      </w:pPr>
    </w:p>
    <w:p w:rsidR="005B54F3" w:rsidRPr="005B54F3" w:rsidRDefault="005B54F3" w:rsidP="005B54F3">
      <w:pPr>
        <w:tabs>
          <w:tab w:val="left" w:pos="851"/>
        </w:tabs>
        <w:ind w:left="851"/>
        <w:rPr>
          <w:sz w:val="24"/>
          <w:szCs w:val="24"/>
          <w:u w:val="single"/>
        </w:rPr>
      </w:pPr>
      <w:r w:rsidRPr="005B54F3">
        <w:rPr>
          <w:sz w:val="24"/>
          <w:szCs w:val="24"/>
          <w:u w:val="single"/>
        </w:rPr>
        <w:t>Alprazolam "Grindeks" 0,5 mg tabletter</w:t>
      </w:r>
    </w:p>
    <w:p w:rsidR="005B54F3" w:rsidRPr="005B54F3" w:rsidRDefault="005B54F3" w:rsidP="005B54F3">
      <w:pPr>
        <w:tabs>
          <w:tab w:val="left" w:pos="851"/>
        </w:tabs>
        <w:ind w:left="851"/>
        <w:rPr>
          <w:sz w:val="24"/>
          <w:szCs w:val="24"/>
        </w:rPr>
      </w:pPr>
      <w:r w:rsidRPr="005B54F3">
        <w:rPr>
          <w:sz w:val="24"/>
          <w:szCs w:val="24"/>
        </w:rPr>
        <w:t>Hver tablet indeholder 0,5 mg alprazolam.</w:t>
      </w:r>
    </w:p>
    <w:p w:rsidR="005B54F3" w:rsidRDefault="005B54F3" w:rsidP="005B54F3">
      <w:pPr>
        <w:tabs>
          <w:tab w:val="left" w:pos="851"/>
        </w:tabs>
        <w:ind w:left="851"/>
        <w:rPr>
          <w:sz w:val="24"/>
          <w:szCs w:val="24"/>
          <w:u w:val="single"/>
        </w:rPr>
      </w:pPr>
    </w:p>
    <w:p w:rsidR="005B54F3" w:rsidRPr="005B54F3" w:rsidRDefault="005B54F3" w:rsidP="005B54F3">
      <w:pPr>
        <w:tabs>
          <w:tab w:val="left" w:pos="851"/>
        </w:tabs>
        <w:ind w:left="851"/>
        <w:rPr>
          <w:sz w:val="24"/>
          <w:szCs w:val="24"/>
          <w:u w:val="single"/>
        </w:rPr>
      </w:pPr>
      <w:r w:rsidRPr="005B54F3">
        <w:rPr>
          <w:sz w:val="24"/>
          <w:szCs w:val="24"/>
          <w:u w:val="single"/>
        </w:rPr>
        <w:t>Alprazolam "Grindeks" 1 mg tabletter</w:t>
      </w:r>
    </w:p>
    <w:p w:rsidR="005B54F3" w:rsidRPr="005B54F3" w:rsidRDefault="005B54F3" w:rsidP="005B54F3">
      <w:pPr>
        <w:tabs>
          <w:tab w:val="left" w:pos="851"/>
        </w:tabs>
        <w:ind w:left="851"/>
        <w:rPr>
          <w:sz w:val="24"/>
          <w:szCs w:val="24"/>
        </w:rPr>
      </w:pPr>
      <w:r w:rsidRPr="005B54F3">
        <w:rPr>
          <w:sz w:val="24"/>
          <w:szCs w:val="24"/>
        </w:rPr>
        <w:t>Hver tablet indeholder 1 mg alprazolam.</w:t>
      </w:r>
    </w:p>
    <w:p w:rsidR="005B54F3" w:rsidRPr="005B54F3" w:rsidRDefault="005B54F3" w:rsidP="005B54F3">
      <w:pPr>
        <w:tabs>
          <w:tab w:val="left" w:pos="851"/>
        </w:tabs>
        <w:ind w:left="851"/>
        <w:rPr>
          <w:sz w:val="24"/>
          <w:szCs w:val="24"/>
        </w:rPr>
      </w:pPr>
    </w:p>
    <w:p w:rsidR="005B54F3" w:rsidRDefault="005B54F3" w:rsidP="005B54F3">
      <w:pPr>
        <w:tabs>
          <w:tab w:val="left" w:pos="851"/>
        </w:tabs>
        <w:ind w:left="851"/>
        <w:rPr>
          <w:sz w:val="24"/>
          <w:szCs w:val="24"/>
          <w:u w:val="single"/>
        </w:rPr>
      </w:pPr>
      <w:r w:rsidRPr="005B54F3">
        <w:rPr>
          <w:sz w:val="24"/>
          <w:szCs w:val="24"/>
          <w:u w:val="single"/>
        </w:rPr>
        <w:t>Hjælpestoffer, som behandleren skal være opmærksom på</w:t>
      </w:r>
    </w:p>
    <w:p w:rsidR="005B54F3" w:rsidRPr="005B54F3" w:rsidRDefault="005B54F3" w:rsidP="005B54F3">
      <w:pPr>
        <w:tabs>
          <w:tab w:val="left" w:pos="851"/>
        </w:tabs>
        <w:ind w:left="851"/>
        <w:rPr>
          <w:sz w:val="24"/>
          <w:szCs w:val="24"/>
        </w:rPr>
      </w:pPr>
    </w:p>
    <w:p w:rsidR="005B54F3" w:rsidRPr="005B54F3" w:rsidRDefault="005B54F3" w:rsidP="005B54F3">
      <w:pPr>
        <w:tabs>
          <w:tab w:val="left" w:pos="851"/>
        </w:tabs>
        <w:ind w:left="851"/>
        <w:rPr>
          <w:i/>
          <w:sz w:val="24"/>
          <w:szCs w:val="24"/>
        </w:rPr>
      </w:pPr>
      <w:r w:rsidRPr="005B54F3">
        <w:rPr>
          <w:i/>
          <w:sz w:val="24"/>
          <w:szCs w:val="24"/>
        </w:rPr>
        <w:t>Alprazolam "Grindeks" 0,25 mg tabletter</w:t>
      </w:r>
    </w:p>
    <w:p w:rsidR="005B54F3" w:rsidRDefault="005B54F3" w:rsidP="005B54F3">
      <w:pPr>
        <w:tabs>
          <w:tab w:val="left" w:pos="851"/>
        </w:tabs>
        <w:ind w:left="851"/>
        <w:rPr>
          <w:sz w:val="24"/>
          <w:szCs w:val="24"/>
        </w:rPr>
      </w:pPr>
      <w:r w:rsidRPr="005B54F3">
        <w:rPr>
          <w:sz w:val="24"/>
          <w:szCs w:val="24"/>
        </w:rPr>
        <w:t>Hver tablet indeholder 92,5 mg la</w:t>
      </w:r>
      <w:r w:rsidR="001D4ED8">
        <w:rPr>
          <w:sz w:val="24"/>
          <w:szCs w:val="24"/>
        </w:rPr>
        <w:t>c</w:t>
      </w:r>
      <w:r w:rsidRPr="005B54F3">
        <w:rPr>
          <w:sz w:val="24"/>
          <w:szCs w:val="24"/>
        </w:rPr>
        <w:t>tose (som monohydrat) og 0,12 mg natriumbenzoat (E211).</w:t>
      </w:r>
    </w:p>
    <w:p w:rsidR="005B54F3" w:rsidRPr="005B54F3" w:rsidRDefault="005B54F3" w:rsidP="005B54F3">
      <w:pPr>
        <w:tabs>
          <w:tab w:val="left" w:pos="851"/>
        </w:tabs>
        <w:ind w:left="851"/>
        <w:rPr>
          <w:sz w:val="24"/>
          <w:szCs w:val="24"/>
        </w:rPr>
      </w:pPr>
    </w:p>
    <w:p w:rsidR="005B54F3" w:rsidRPr="005B54F3" w:rsidRDefault="005B54F3" w:rsidP="005B54F3">
      <w:pPr>
        <w:tabs>
          <w:tab w:val="left" w:pos="851"/>
        </w:tabs>
        <w:ind w:left="851"/>
        <w:rPr>
          <w:i/>
          <w:sz w:val="24"/>
          <w:szCs w:val="24"/>
        </w:rPr>
      </w:pPr>
      <w:r w:rsidRPr="005B54F3">
        <w:rPr>
          <w:i/>
          <w:sz w:val="24"/>
          <w:szCs w:val="24"/>
        </w:rPr>
        <w:t>Alprazolam "Grindeks" 0,5 mg tabletter</w:t>
      </w:r>
    </w:p>
    <w:p w:rsidR="005B54F3" w:rsidRDefault="005B54F3" w:rsidP="005B54F3">
      <w:pPr>
        <w:tabs>
          <w:tab w:val="left" w:pos="851"/>
        </w:tabs>
        <w:ind w:left="851"/>
        <w:rPr>
          <w:sz w:val="24"/>
          <w:szCs w:val="24"/>
        </w:rPr>
      </w:pPr>
      <w:r w:rsidRPr="005B54F3">
        <w:rPr>
          <w:sz w:val="24"/>
          <w:szCs w:val="24"/>
        </w:rPr>
        <w:t>Hver tablet indeholder 92,2 mg la</w:t>
      </w:r>
      <w:r w:rsidR="001D4ED8">
        <w:rPr>
          <w:sz w:val="24"/>
          <w:szCs w:val="24"/>
        </w:rPr>
        <w:t>c</w:t>
      </w:r>
      <w:r w:rsidRPr="005B54F3">
        <w:rPr>
          <w:sz w:val="24"/>
          <w:szCs w:val="24"/>
        </w:rPr>
        <w:t>tose (som monohydrat) og 0,12 mg natriumbenzoat (E211).</w:t>
      </w:r>
    </w:p>
    <w:p w:rsidR="005B54F3" w:rsidRPr="005B54F3" w:rsidRDefault="005B54F3" w:rsidP="005B54F3">
      <w:pPr>
        <w:tabs>
          <w:tab w:val="left" w:pos="851"/>
        </w:tabs>
        <w:ind w:left="851"/>
        <w:rPr>
          <w:sz w:val="24"/>
          <w:szCs w:val="24"/>
        </w:rPr>
      </w:pPr>
    </w:p>
    <w:p w:rsidR="005B54F3" w:rsidRPr="005B54F3" w:rsidRDefault="005B54F3" w:rsidP="005B54F3">
      <w:pPr>
        <w:tabs>
          <w:tab w:val="left" w:pos="851"/>
        </w:tabs>
        <w:ind w:left="851"/>
        <w:rPr>
          <w:i/>
          <w:sz w:val="24"/>
          <w:szCs w:val="24"/>
        </w:rPr>
      </w:pPr>
      <w:r w:rsidRPr="005B54F3">
        <w:rPr>
          <w:i/>
          <w:sz w:val="24"/>
          <w:szCs w:val="24"/>
        </w:rPr>
        <w:t>Alprazolam "Grindeks" 1 mg tabletter</w:t>
      </w:r>
    </w:p>
    <w:p w:rsidR="005B54F3" w:rsidRPr="005B54F3" w:rsidRDefault="005B54F3" w:rsidP="005B54F3">
      <w:pPr>
        <w:tabs>
          <w:tab w:val="left" w:pos="851"/>
        </w:tabs>
        <w:ind w:left="851"/>
        <w:rPr>
          <w:sz w:val="24"/>
          <w:szCs w:val="24"/>
        </w:rPr>
      </w:pPr>
      <w:r w:rsidRPr="005B54F3">
        <w:rPr>
          <w:sz w:val="24"/>
          <w:szCs w:val="24"/>
        </w:rPr>
        <w:t>Hver tablet indeholder 91,7 mg la</w:t>
      </w:r>
      <w:r w:rsidR="001D4ED8">
        <w:rPr>
          <w:sz w:val="24"/>
          <w:szCs w:val="24"/>
        </w:rPr>
        <w:t>c</w:t>
      </w:r>
      <w:r w:rsidRPr="005B54F3">
        <w:rPr>
          <w:sz w:val="24"/>
          <w:szCs w:val="24"/>
        </w:rPr>
        <w:t>tose (som monohydrat) og 0,12 mg natriumbenzoat (E211).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E94BED" w:rsidRDefault="00E94BED" w:rsidP="00E94BED">
      <w:pPr>
        <w:tabs>
          <w:tab w:val="left" w:pos="851"/>
        </w:tabs>
        <w:ind w:left="851"/>
        <w:rPr>
          <w:sz w:val="24"/>
          <w:szCs w:val="24"/>
        </w:rPr>
      </w:pPr>
      <w:r w:rsidRPr="00E94BED">
        <w:rPr>
          <w:sz w:val="24"/>
          <w:szCs w:val="24"/>
        </w:rPr>
        <w:t>Tablet</w:t>
      </w:r>
      <w:r>
        <w:rPr>
          <w:sz w:val="24"/>
          <w:szCs w:val="24"/>
        </w:rPr>
        <w:t>ter</w:t>
      </w:r>
    </w:p>
    <w:p w:rsidR="00E94BED" w:rsidRPr="00E94BED" w:rsidRDefault="00E94BED" w:rsidP="00E94BED">
      <w:pPr>
        <w:tabs>
          <w:tab w:val="left" w:pos="851"/>
        </w:tabs>
        <w:ind w:left="851"/>
        <w:rPr>
          <w:sz w:val="24"/>
          <w:szCs w:val="24"/>
        </w:rPr>
      </w:pPr>
    </w:p>
    <w:p w:rsidR="00E94BED" w:rsidRPr="00E94BED" w:rsidRDefault="00E94BED" w:rsidP="00E94BED">
      <w:pPr>
        <w:tabs>
          <w:tab w:val="left" w:pos="851"/>
        </w:tabs>
        <w:ind w:left="851"/>
        <w:rPr>
          <w:sz w:val="24"/>
          <w:szCs w:val="24"/>
        </w:rPr>
      </w:pPr>
      <w:r w:rsidRPr="00E94BED">
        <w:rPr>
          <w:sz w:val="24"/>
          <w:szCs w:val="24"/>
          <w:u w:val="single"/>
        </w:rPr>
        <w:lastRenderedPageBreak/>
        <w:t>Alprazolam "Grindeks" 0,25 mg tablet</w:t>
      </w:r>
      <w:r w:rsidRPr="00E94BED">
        <w:rPr>
          <w:sz w:val="24"/>
          <w:szCs w:val="24"/>
        </w:rPr>
        <w:t xml:space="preserve"> </w:t>
      </w:r>
    </w:p>
    <w:p w:rsidR="00E94BED" w:rsidRPr="00E94BED" w:rsidRDefault="00E94BED" w:rsidP="00E94BED">
      <w:pPr>
        <w:tabs>
          <w:tab w:val="left" w:pos="851"/>
        </w:tabs>
        <w:ind w:left="851"/>
        <w:rPr>
          <w:sz w:val="24"/>
          <w:szCs w:val="24"/>
        </w:rPr>
      </w:pPr>
      <w:r w:rsidRPr="00E94BED">
        <w:rPr>
          <w:sz w:val="24"/>
          <w:szCs w:val="24"/>
        </w:rPr>
        <w:t>En hvid, eller råhvid, oval</w:t>
      </w:r>
      <w:bookmarkStart w:id="1" w:name="_Hlk161827574"/>
      <w:r w:rsidRPr="00E94BED">
        <w:rPr>
          <w:sz w:val="24"/>
          <w:szCs w:val="24"/>
        </w:rPr>
        <w:t xml:space="preserve"> (10 mm x 5 mm) </w:t>
      </w:r>
      <w:bookmarkEnd w:id="1"/>
      <w:r w:rsidRPr="00E94BED">
        <w:rPr>
          <w:sz w:val="24"/>
          <w:szCs w:val="24"/>
        </w:rPr>
        <w:t xml:space="preserve">tablet med delekærv på den ene side </w:t>
      </w:r>
      <w:bookmarkStart w:id="2" w:name="_Hlk161742102"/>
      <w:r w:rsidRPr="00E94BED">
        <w:rPr>
          <w:sz w:val="24"/>
          <w:szCs w:val="24"/>
        </w:rPr>
        <w:t xml:space="preserve">og præget med </w:t>
      </w:r>
      <w:r w:rsidR="003C1335">
        <w:rPr>
          <w:sz w:val="24"/>
          <w:szCs w:val="24"/>
        </w:rPr>
        <w:t>"</w:t>
      </w:r>
      <w:r w:rsidRPr="00E94BED">
        <w:rPr>
          <w:sz w:val="24"/>
          <w:szCs w:val="24"/>
        </w:rPr>
        <w:t>0,25</w:t>
      </w:r>
      <w:r w:rsidR="003C1335">
        <w:rPr>
          <w:sz w:val="24"/>
          <w:szCs w:val="24"/>
        </w:rPr>
        <w:t>"</w:t>
      </w:r>
      <w:r w:rsidRPr="00E94BED">
        <w:rPr>
          <w:sz w:val="24"/>
          <w:szCs w:val="24"/>
        </w:rPr>
        <w:t xml:space="preserve"> på den anden side</w:t>
      </w:r>
      <w:bookmarkEnd w:id="2"/>
      <w:r w:rsidRPr="00E94BED">
        <w:rPr>
          <w:sz w:val="24"/>
          <w:szCs w:val="24"/>
        </w:rPr>
        <w:t>. Tabletten kan deles i to lige store doser.</w:t>
      </w:r>
    </w:p>
    <w:p w:rsidR="00E94BED" w:rsidRDefault="00E94BED" w:rsidP="00E94BED">
      <w:pPr>
        <w:tabs>
          <w:tab w:val="left" w:pos="851"/>
        </w:tabs>
        <w:ind w:left="851"/>
        <w:rPr>
          <w:sz w:val="24"/>
          <w:szCs w:val="24"/>
          <w:u w:val="single"/>
        </w:rPr>
      </w:pPr>
    </w:p>
    <w:p w:rsidR="00E94BED" w:rsidRPr="00E94BED" w:rsidRDefault="00E94BED" w:rsidP="00E94BED">
      <w:pPr>
        <w:tabs>
          <w:tab w:val="left" w:pos="851"/>
        </w:tabs>
        <w:ind w:left="851"/>
        <w:rPr>
          <w:sz w:val="24"/>
          <w:szCs w:val="24"/>
        </w:rPr>
      </w:pPr>
      <w:r w:rsidRPr="00E94BED">
        <w:rPr>
          <w:sz w:val="24"/>
          <w:szCs w:val="24"/>
          <w:u w:val="single"/>
        </w:rPr>
        <w:t>Alprazolam "Grindeks" 0,5 mg tablet</w:t>
      </w:r>
      <w:r w:rsidRPr="00E94BED">
        <w:rPr>
          <w:sz w:val="24"/>
          <w:szCs w:val="24"/>
        </w:rPr>
        <w:t xml:space="preserve"> </w:t>
      </w:r>
    </w:p>
    <w:p w:rsidR="00E94BED" w:rsidRPr="00E94BED" w:rsidRDefault="00E94BED" w:rsidP="00E94BED">
      <w:pPr>
        <w:tabs>
          <w:tab w:val="left" w:pos="851"/>
        </w:tabs>
        <w:ind w:left="851"/>
        <w:rPr>
          <w:sz w:val="24"/>
          <w:szCs w:val="24"/>
        </w:rPr>
      </w:pPr>
      <w:r w:rsidRPr="00E94BED">
        <w:rPr>
          <w:sz w:val="24"/>
          <w:szCs w:val="24"/>
        </w:rPr>
        <w:t xml:space="preserve">En svagt lyserød til lyserød, oval (10 mm x 5 mm) tablet med delekærv på den ene side og præget med </w:t>
      </w:r>
      <w:r w:rsidR="003C1335">
        <w:rPr>
          <w:sz w:val="24"/>
          <w:szCs w:val="24"/>
        </w:rPr>
        <w:t>"</w:t>
      </w:r>
      <w:r w:rsidRPr="00E94BED">
        <w:rPr>
          <w:sz w:val="24"/>
          <w:szCs w:val="24"/>
        </w:rPr>
        <w:t>0,5</w:t>
      </w:r>
      <w:r w:rsidR="003C1335">
        <w:rPr>
          <w:sz w:val="24"/>
          <w:szCs w:val="24"/>
        </w:rPr>
        <w:t>"</w:t>
      </w:r>
      <w:r w:rsidRPr="00E94BED">
        <w:rPr>
          <w:sz w:val="24"/>
          <w:szCs w:val="24"/>
        </w:rPr>
        <w:t xml:space="preserve"> på den anden side. Tabletten kan deles i to lige store doser.</w:t>
      </w:r>
    </w:p>
    <w:p w:rsidR="00E94BED" w:rsidRDefault="00E94BED" w:rsidP="00E94BED">
      <w:pPr>
        <w:tabs>
          <w:tab w:val="left" w:pos="851"/>
        </w:tabs>
        <w:ind w:left="851"/>
        <w:rPr>
          <w:sz w:val="24"/>
          <w:szCs w:val="24"/>
          <w:u w:val="single"/>
        </w:rPr>
      </w:pPr>
    </w:p>
    <w:p w:rsidR="00E94BED" w:rsidRPr="00E94BED" w:rsidRDefault="00E94BED" w:rsidP="00E94BED">
      <w:pPr>
        <w:tabs>
          <w:tab w:val="left" w:pos="851"/>
        </w:tabs>
        <w:ind w:left="851"/>
        <w:rPr>
          <w:sz w:val="24"/>
          <w:szCs w:val="24"/>
        </w:rPr>
      </w:pPr>
      <w:r w:rsidRPr="00E94BED">
        <w:rPr>
          <w:sz w:val="24"/>
          <w:szCs w:val="24"/>
          <w:u w:val="single"/>
        </w:rPr>
        <w:t>Alprazolam "Grindeks" 1 mg tablet</w:t>
      </w:r>
      <w:r w:rsidRPr="00E94BED">
        <w:rPr>
          <w:sz w:val="24"/>
          <w:szCs w:val="24"/>
        </w:rPr>
        <w:t xml:space="preserve"> </w:t>
      </w:r>
    </w:p>
    <w:p w:rsidR="00E94BED" w:rsidRPr="00E94BED" w:rsidRDefault="00E94BED" w:rsidP="00E94BED">
      <w:pPr>
        <w:tabs>
          <w:tab w:val="left" w:pos="851"/>
        </w:tabs>
        <w:ind w:left="851"/>
        <w:rPr>
          <w:sz w:val="24"/>
          <w:szCs w:val="24"/>
        </w:rPr>
      </w:pPr>
      <w:r w:rsidRPr="00E94BED">
        <w:rPr>
          <w:sz w:val="24"/>
          <w:szCs w:val="24"/>
        </w:rPr>
        <w:t xml:space="preserve">En lyseblå til blå, oval (10 mm x 5 mm) tablet med delekærv på den ene side og præget med </w:t>
      </w:r>
      <w:r w:rsidR="003C1335">
        <w:rPr>
          <w:sz w:val="24"/>
          <w:szCs w:val="24"/>
        </w:rPr>
        <w:t>"</w:t>
      </w:r>
      <w:r w:rsidRPr="00E94BED">
        <w:rPr>
          <w:sz w:val="24"/>
          <w:szCs w:val="24"/>
        </w:rPr>
        <w:t>1</w:t>
      </w:r>
      <w:r w:rsidR="003C1335">
        <w:rPr>
          <w:sz w:val="24"/>
          <w:szCs w:val="24"/>
        </w:rPr>
        <w:t>"</w:t>
      </w:r>
      <w:r w:rsidRPr="00E94BED">
        <w:rPr>
          <w:sz w:val="24"/>
          <w:szCs w:val="24"/>
        </w:rPr>
        <w:t xml:space="preserve"> på den anden side. Tabletten kan deles i to lige store doser.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3D3760" w:rsidRDefault="003D3760" w:rsidP="003D3760">
      <w:pPr>
        <w:tabs>
          <w:tab w:val="left" w:pos="851"/>
        </w:tabs>
        <w:ind w:left="851"/>
        <w:rPr>
          <w:sz w:val="24"/>
          <w:szCs w:val="24"/>
        </w:rPr>
      </w:pPr>
      <w:r w:rsidRPr="003D3760">
        <w:rPr>
          <w:sz w:val="24"/>
          <w:szCs w:val="24"/>
        </w:rPr>
        <w:t>Alprazolam "Grindeks" er indiceret til symptomatisk korttidsbehandling af angst hos voksne.</w:t>
      </w:r>
    </w:p>
    <w:p w:rsidR="003D3760" w:rsidRPr="003D3760" w:rsidRDefault="003D3760" w:rsidP="003D3760">
      <w:pPr>
        <w:tabs>
          <w:tab w:val="left" w:pos="851"/>
        </w:tabs>
        <w:ind w:left="851"/>
        <w:rPr>
          <w:sz w:val="24"/>
          <w:szCs w:val="24"/>
        </w:rPr>
      </w:pPr>
      <w:r w:rsidRPr="003D3760">
        <w:rPr>
          <w:sz w:val="24"/>
          <w:szCs w:val="24"/>
        </w:rPr>
        <w:t>Alprazolam "Grindeks" er kun indiceret, når tilstanden er alvorlig, invaliderende eller belaster patienten i udtalt grad.</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rsidR="00D704D4" w:rsidRPr="00D704D4" w:rsidRDefault="00D704D4" w:rsidP="00D704D4">
      <w:pPr>
        <w:tabs>
          <w:tab w:val="left" w:pos="851"/>
        </w:tabs>
        <w:ind w:left="851"/>
        <w:rPr>
          <w:sz w:val="24"/>
          <w:szCs w:val="24"/>
        </w:rPr>
      </w:pPr>
    </w:p>
    <w:p w:rsidR="00D704D4" w:rsidRPr="00D704D4" w:rsidRDefault="00D704D4" w:rsidP="00D704D4">
      <w:pPr>
        <w:tabs>
          <w:tab w:val="left" w:pos="851"/>
        </w:tabs>
        <w:ind w:left="851"/>
        <w:rPr>
          <w:sz w:val="24"/>
          <w:szCs w:val="24"/>
          <w:u w:val="single"/>
        </w:rPr>
      </w:pPr>
      <w:r w:rsidRPr="00D704D4">
        <w:rPr>
          <w:sz w:val="24"/>
          <w:szCs w:val="24"/>
          <w:u w:val="single"/>
        </w:rPr>
        <w:t>Dosering</w:t>
      </w:r>
    </w:p>
    <w:p w:rsidR="00D704D4" w:rsidRPr="00D704D4" w:rsidRDefault="00D704D4" w:rsidP="00D704D4">
      <w:pPr>
        <w:tabs>
          <w:tab w:val="left" w:pos="851"/>
        </w:tabs>
        <w:ind w:left="851"/>
        <w:rPr>
          <w:sz w:val="24"/>
          <w:szCs w:val="24"/>
        </w:rPr>
      </w:pPr>
      <w:r w:rsidRPr="00D704D4">
        <w:rPr>
          <w:sz w:val="24"/>
          <w:szCs w:val="24"/>
        </w:rPr>
        <w:t>Dosis og varighed af behandlingen skal tilpasses individuel respons, indikationen og sygdommens sværhedsgrad.</w:t>
      </w:r>
    </w:p>
    <w:p w:rsidR="00D704D4" w:rsidRDefault="00D704D4" w:rsidP="00D704D4">
      <w:pPr>
        <w:tabs>
          <w:tab w:val="left" w:pos="851"/>
        </w:tabs>
        <w:ind w:left="851"/>
        <w:rPr>
          <w:i/>
          <w:sz w:val="24"/>
          <w:szCs w:val="24"/>
        </w:rPr>
      </w:pPr>
    </w:p>
    <w:p w:rsidR="00D704D4" w:rsidRPr="00D704D4" w:rsidRDefault="00D704D4" w:rsidP="00D704D4">
      <w:pPr>
        <w:tabs>
          <w:tab w:val="left" w:pos="851"/>
        </w:tabs>
        <w:ind w:left="851"/>
        <w:rPr>
          <w:i/>
          <w:iCs/>
          <w:sz w:val="24"/>
          <w:szCs w:val="24"/>
        </w:rPr>
      </w:pPr>
      <w:r w:rsidRPr="00D704D4">
        <w:rPr>
          <w:i/>
          <w:sz w:val="24"/>
          <w:szCs w:val="24"/>
        </w:rPr>
        <w:t>Indledende behandling</w:t>
      </w:r>
    </w:p>
    <w:p w:rsidR="00D704D4" w:rsidRPr="00D704D4" w:rsidRDefault="00D704D4" w:rsidP="00D704D4">
      <w:pPr>
        <w:tabs>
          <w:tab w:val="left" w:pos="851"/>
        </w:tabs>
        <w:ind w:left="851"/>
        <w:rPr>
          <w:sz w:val="24"/>
          <w:szCs w:val="24"/>
        </w:rPr>
      </w:pPr>
      <w:r w:rsidRPr="00D704D4">
        <w:rPr>
          <w:sz w:val="24"/>
          <w:szCs w:val="24"/>
        </w:rPr>
        <w:t>Ved behandlingsstart er dosis 0,25 til 0,5 mg alprazolam tre gange dagligt.</w:t>
      </w:r>
    </w:p>
    <w:p w:rsidR="00D704D4" w:rsidRPr="00D704D4" w:rsidRDefault="00D704D4" w:rsidP="00D704D4">
      <w:pPr>
        <w:tabs>
          <w:tab w:val="left" w:pos="851"/>
        </w:tabs>
        <w:ind w:left="851"/>
        <w:rPr>
          <w:sz w:val="24"/>
          <w:szCs w:val="24"/>
          <w:u w:val="single"/>
        </w:rPr>
      </w:pPr>
    </w:p>
    <w:p w:rsidR="00D704D4" w:rsidRPr="00D704D4" w:rsidRDefault="00D704D4" w:rsidP="00D704D4">
      <w:pPr>
        <w:tabs>
          <w:tab w:val="left" w:pos="851"/>
        </w:tabs>
        <w:ind w:left="851"/>
        <w:rPr>
          <w:i/>
          <w:iCs/>
          <w:sz w:val="24"/>
          <w:szCs w:val="24"/>
        </w:rPr>
      </w:pPr>
      <w:r w:rsidRPr="00D704D4">
        <w:rPr>
          <w:i/>
          <w:sz w:val="24"/>
          <w:szCs w:val="24"/>
        </w:rPr>
        <w:t>Vedligeholdelsesbehandling</w:t>
      </w:r>
    </w:p>
    <w:p w:rsidR="00D704D4" w:rsidRPr="00D704D4" w:rsidRDefault="00D704D4" w:rsidP="00D704D4">
      <w:pPr>
        <w:tabs>
          <w:tab w:val="left" w:pos="851"/>
        </w:tabs>
        <w:ind w:left="851"/>
        <w:rPr>
          <w:sz w:val="24"/>
          <w:szCs w:val="24"/>
        </w:rPr>
      </w:pPr>
      <w:r w:rsidRPr="00D704D4">
        <w:rPr>
          <w:sz w:val="24"/>
          <w:szCs w:val="24"/>
        </w:rPr>
        <w:t>Hvis det er nødvendigt, kan den samlede daglige dosis gradvist øges til maksimalt 3 mg til 4 mg alprazolam, fordelt på individuelle doser i løbet af dagen.</w:t>
      </w:r>
    </w:p>
    <w:p w:rsidR="00D704D4" w:rsidRPr="00D704D4" w:rsidRDefault="00D704D4" w:rsidP="00D704D4">
      <w:pPr>
        <w:tabs>
          <w:tab w:val="left" w:pos="851"/>
        </w:tabs>
        <w:ind w:left="851"/>
        <w:rPr>
          <w:sz w:val="24"/>
          <w:szCs w:val="24"/>
        </w:rPr>
      </w:pPr>
    </w:p>
    <w:p w:rsidR="00D704D4" w:rsidRPr="00D704D4" w:rsidRDefault="00D704D4" w:rsidP="00D704D4">
      <w:pPr>
        <w:tabs>
          <w:tab w:val="left" w:pos="851"/>
        </w:tabs>
        <w:ind w:left="851"/>
        <w:rPr>
          <w:i/>
          <w:iCs/>
          <w:sz w:val="24"/>
          <w:szCs w:val="24"/>
        </w:rPr>
      </w:pPr>
      <w:r w:rsidRPr="00D704D4">
        <w:rPr>
          <w:i/>
          <w:sz w:val="24"/>
          <w:szCs w:val="24"/>
        </w:rPr>
        <w:t xml:space="preserve">Behandlingsvarighed </w:t>
      </w:r>
    </w:p>
    <w:p w:rsidR="00D704D4" w:rsidRPr="00D704D4" w:rsidRDefault="00D704D4" w:rsidP="00D704D4">
      <w:pPr>
        <w:tabs>
          <w:tab w:val="left" w:pos="851"/>
        </w:tabs>
        <w:ind w:left="851"/>
        <w:rPr>
          <w:sz w:val="24"/>
          <w:szCs w:val="24"/>
        </w:rPr>
      </w:pPr>
      <w:r w:rsidRPr="00D704D4">
        <w:rPr>
          <w:sz w:val="24"/>
          <w:szCs w:val="24"/>
        </w:rPr>
        <w:t>Alprazolam "Grindeks" skal anvendes ved den lavest mulige effektive dosis, i kortest mulig tid og i højst 2 til 4 uger, inklusive nedtrapningsprocessen. Behovet for fortsat behandling bør regelmæssigt revurderes. Langtidsbehandling frarådes. Risikoen for afhængighed kan stige med dosis og behandlingsvarighed (se pkt. 4.4).</w:t>
      </w:r>
    </w:p>
    <w:p w:rsidR="00D704D4" w:rsidRPr="00D704D4" w:rsidRDefault="00D704D4" w:rsidP="00D704D4">
      <w:pPr>
        <w:tabs>
          <w:tab w:val="left" w:pos="851"/>
        </w:tabs>
        <w:ind w:left="851"/>
        <w:rPr>
          <w:i/>
          <w:iCs/>
          <w:sz w:val="24"/>
          <w:szCs w:val="24"/>
        </w:rPr>
      </w:pPr>
    </w:p>
    <w:p w:rsidR="00D704D4" w:rsidRPr="00D704D4" w:rsidRDefault="00D704D4" w:rsidP="00D704D4">
      <w:pPr>
        <w:tabs>
          <w:tab w:val="left" w:pos="851"/>
        </w:tabs>
        <w:ind w:left="851"/>
        <w:rPr>
          <w:i/>
          <w:iCs/>
          <w:sz w:val="24"/>
          <w:szCs w:val="24"/>
        </w:rPr>
      </w:pPr>
      <w:r w:rsidRPr="00D704D4">
        <w:rPr>
          <w:i/>
          <w:sz w:val="24"/>
          <w:szCs w:val="24"/>
        </w:rPr>
        <w:t>Seponering af behandling</w:t>
      </w:r>
    </w:p>
    <w:p w:rsidR="00D704D4" w:rsidRPr="00D704D4" w:rsidRDefault="00D704D4" w:rsidP="00D704D4">
      <w:pPr>
        <w:tabs>
          <w:tab w:val="left" w:pos="851"/>
        </w:tabs>
        <w:ind w:left="851"/>
        <w:rPr>
          <w:sz w:val="24"/>
          <w:szCs w:val="24"/>
        </w:rPr>
      </w:pPr>
      <w:r w:rsidRPr="00D704D4">
        <w:rPr>
          <w:sz w:val="24"/>
          <w:szCs w:val="24"/>
        </w:rPr>
        <w:t>Dosis skal nedtrappes gradvist og ikke med mere end 0,5 mg hver 3. dag for at undgå abstinenssymptomer. Hos nogle patienter kan det være nødvendigt med endnu langsommere nedtrapning.</w:t>
      </w:r>
    </w:p>
    <w:p w:rsidR="00D704D4" w:rsidRPr="00D704D4" w:rsidRDefault="00D704D4" w:rsidP="00D704D4">
      <w:pPr>
        <w:tabs>
          <w:tab w:val="left" w:pos="851"/>
        </w:tabs>
        <w:ind w:left="851"/>
        <w:rPr>
          <w:sz w:val="24"/>
          <w:szCs w:val="24"/>
        </w:rPr>
      </w:pPr>
    </w:p>
    <w:p w:rsidR="00D704D4" w:rsidRPr="00D704D4" w:rsidRDefault="00D704D4" w:rsidP="00D704D4">
      <w:pPr>
        <w:tabs>
          <w:tab w:val="left" w:pos="851"/>
        </w:tabs>
        <w:ind w:left="851"/>
        <w:rPr>
          <w:iCs/>
          <w:sz w:val="24"/>
          <w:szCs w:val="24"/>
          <w:u w:val="single"/>
        </w:rPr>
      </w:pPr>
      <w:r w:rsidRPr="00D704D4">
        <w:rPr>
          <w:sz w:val="24"/>
          <w:szCs w:val="24"/>
          <w:u w:val="single"/>
        </w:rPr>
        <w:t>Særlige populationer</w:t>
      </w:r>
    </w:p>
    <w:p w:rsidR="00D704D4" w:rsidRDefault="00D704D4" w:rsidP="00D704D4">
      <w:pPr>
        <w:tabs>
          <w:tab w:val="left" w:pos="851"/>
        </w:tabs>
        <w:ind w:left="851"/>
        <w:rPr>
          <w:i/>
          <w:sz w:val="24"/>
          <w:szCs w:val="24"/>
        </w:rPr>
      </w:pPr>
    </w:p>
    <w:p w:rsidR="00D704D4" w:rsidRPr="00D704D4" w:rsidRDefault="00D704D4" w:rsidP="00D704D4">
      <w:pPr>
        <w:tabs>
          <w:tab w:val="left" w:pos="851"/>
        </w:tabs>
        <w:ind w:left="851"/>
        <w:rPr>
          <w:i/>
          <w:iCs/>
          <w:sz w:val="24"/>
          <w:szCs w:val="24"/>
        </w:rPr>
      </w:pPr>
      <w:r w:rsidRPr="00D704D4">
        <w:rPr>
          <w:i/>
          <w:sz w:val="24"/>
          <w:szCs w:val="24"/>
        </w:rPr>
        <w:t>Ældre og følsomme patienter eller svækkede patienter</w:t>
      </w:r>
    </w:p>
    <w:p w:rsidR="00D704D4" w:rsidRPr="00D704D4" w:rsidRDefault="00D704D4" w:rsidP="00D704D4">
      <w:pPr>
        <w:tabs>
          <w:tab w:val="left" w:pos="851"/>
        </w:tabs>
        <w:ind w:left="851"/>
        <w:rPr>
          <w:i/>
          <w:iCs/>
          <w:sz w:val="24"/>
          <w:szCs w:val="24"/>
        </w:rPr>
      </w:pPr>
      <w:r w:rsidRPr="00D704D4">
        <w:rPr>
          <w:sz w:val="24"/>
          <w:szCs w:val="24"/>
        </w:rPr>
        <w:t>Ældre og følsomme patienter eller svækkede patienter skal behandles med reducerede doser.</w:t>
      </w:r>
      <w:r w:rsidRPr="00D704D4">
        <w:rPr>
          <w:i/>
          <w:sz w:val="24"/>
          <w:szCs w:val="24"/>
        </w:rPr>
        <w:t xml:space="preserve"> </w:t>
      </w:r>
      <w:r w:rsidRPr="00D704D4">
        <w:rPr>
          <w:sz w:val="24"/>
          <w:szCs w:val="24"/>
        </w:rPr>
        <w:t>Den anbefalede dosis er 0,25 mg to </w:t>
      </w:r>
      <w:bookmarkStart w:id="3" w:name="_Hlk121410002"/>
      <w:r w:rsidRPr="00D704D4">
        <w:rPr>
          <w:sz w:val="24"/>
          <w:szCs w:val="24"/>
        </w:rPr>
        <w:t xml:space="preserve">til tre gange </w:t>
      </w:r>
      <w:bookmarkEnd w:id="3"/>
      <w:r w:rsidRPr="00D704D4">
        <w:rPr>
          <w:sz w:val="24"/>
          <w:szCs w:val="24"/>
        </w:rPr>
        <w:t>dagligt. Hvis dosen tolereres, kan den, om nødvendigt, øges gradvist.</w:t>
      </w:r>
    </w:p>
    <w:p w:rsidR="00D704D4" w:rsidRPr="00D704D4" w:rsidRDefault="00D704D4" w:rsidP="00D704D4">
      <w:pPr>
        <w:tabs>
          <w:tab w:val="left" w:pos="851"/>
        </w:tabs>
        <w:ind w:left="851"/>
        <w:rPr>
          <w:i/>
          <w:sz w:val="24"/>
          <w:szCs w:val="24"/>
        </w:rPr>
      </w:pPr>
    </w:p>
    <w:p w:rsidR="00D704D4" w:rsidRPr="00D704D4" w:rsidRDefault="00D704D4" w:rsidP="00D704D4">
      <w:pPr>
        <w:tabs>
          <w:tab w:val="left" w:pos="851"/>
        </w:tabs>
        <w:ind w:left="851"/>
        <w:rPr>
          <w:i/>
          <w:iCs/>
          <w:sz w:val="24"/>
          <w:szCs w:val="24"/>
        </w:rPr>
      </w:pPr>
      <w:r w:rsidRPr="00D704D4">
        <w:rPr>
          <w:i/>
          <w:sz w:val="24"/>
          <w:szCs w:val="24"/>
        </w:rPr>
        <w:t>Patienter med nedsat nyre- og/eller leverfunktion</w:t>
      </w:r>
    </w:p>
    <w:p w:rsidR="00D704D4" w:rsidRPr="00D704D4" w:rsidRDefault="00D704D4" w:rsidP="00D704D4">
      <w:pPr>
        <w:tabs>
          <w:tab w:val="left" w:pos="851"/>
        </w:tabs>
        <w:ind w:left="851"/>
        <w:rPr>
          <w:sz w:val="24"/>
          <w:szCs w:val="24"/>
        </w:rPr>
      </w:pPr>
      <w:r w:rsidRPr="00D704D4">
        <w:rPr>
          <w:sz w:val="24"/>
          <w:szCs w:val="24"/>
        </w:rPr>
        <w:t>Der bør udvises forsigtighed ved behandling af patienter med nedsat nyrefunktion og mild eller moderat nedsat leverfunktion, og dosis skal om nødvendigt reduceres. Alprazolam er kontraindiceret til patienter med svært nedsat leverfunktion (se pkt. 4.3).</w:t>
      </w:r>
    </w:p>
    <w:p w:rsidR="00D704D4" w:rsidRPr="00D704D4" w:rsidRDefault="00D704D4" w:rsidP="00D704D4">
      <w:pPr>
        <w:tabs>
          <w:tab w:val="left" w:pos="851"/>
        </w:tabs>
        <w:ind w:left="851"/>
        <w:rPr>
          <w:i/>
          <w:sz w:val="24"/>
          <w:szCs w:val="24"/>
        </w:rPr>
      </w:pPr>
    </w:p>
    <w:p w:rsidR="00D704D4" w:rsidRPr="00D704D4" w:rsidRDefault="00D704D4" w:rsidP="00D704D4">
      <w:pPr>
        <w:tabs>
          <w:tab w:val="left" w:pos="851"/>
        </w:tabs>
        <w:ind w:left="851"/>
        <w:rPr>
          <w:i/>
          <w:sz w:val="24"/>
          <w:szCs w:val="24"/>
        </w:rPr>
      </w:pPr>
      <w:r w:rsidRPr="00D704D4">
        <w:rPr>
          <w:i/>
          <w:sz w:val="24"/>
          <w:szCs w:val="24"/>
        </w:rPr>
        <w:t>Respirationsinsufficiens</w:t>
      </w:r>
    </w:p>
    <w:p w:rsidR="00D704D4" w:rsidRPr="00D704D4" w:rsidRDefault="00D704D4" w:rsidP="00D704D4">
      <w:pPr>
        <w:tabs>
          <w:tab w:val="left" w:pos="851"/>
        </w:tabs>
        <w:ind w:left="851"/>
        <w:rPr>
          <w:sz w:val="24"/>
          <w:szCs w:val="24"/>
        </w:rPr>
      </w:pPr>
      <w:r w:rsidRPr="00D704D4">
        <w:rPr>
          <w:sz w:val="24"/>
          <w:szCs w:val="24"/>
        </w:rPr>
        <w:t>Det anbefales desuden at anvende en lavere dosis til patienter med kronisk respirationsinsufficiens på grund af risikoen for respirationsdepression.</w:t>
      </w:r>
    </w:p>
    <w:p w:rsidR="00D704D4" w:rsidRPr="00D704D4" w:rsidRDefault="00D704D4" w:rsidP="00D704D4">
      <w:pPr>
        <w:tabs>
          <w:tab w:val="left" w:pos="851"/>
        </w:tabs>
        <w:ind w:left="851"/>
        <w:rPr>
          <w:sz w:val="24"/>
          <w:szCs w:val="24"/>
        </w:rPr>
      </w:pPr>
    </w:p>
    <w:p w:rsidR="00D704D4" w:rsidRPr="00D704D4" w:rsidRDefault="00D704D4" w:rsidP="00D704D4">
      <w:pPr>
        <w:tabs>
          <w:tab w:val="left" w:pos="851"/>
        </w:tabs>
        <w:ind w:left="851"/>
        <w:rPr>
          <w:sz w:val="24"/>
          <w:szCs w:val="24"/>
          <w:u w:val="single"/>
        </w:rPr>
      </w:pPr>
      <w:r w:rsidRPr="00D704D4">
        <w:rPr>
          <w:sz w:val="24"/>
          <w:szCs w:val="24"/>
          <w:u w:val="single"/>
        </w:rPr>
        <w:t>Pædiatrisk population</w:t>
      </w:r>
    </w:p>
    <w:p w:rsidR="00D704D4" w:rsidRPr="00D704D4" w:rsidRDefault="00D704D4" w:rsidP="00D704D4">
      <w:pPr>
        <w:tabs>
          <w:tab w:val="left" w:pos="851"/>
        </w:tabs>
        <w:ind w:left="851"/>
        <w:rPr>
          <w:sz w:val="24"/>
          <w:szCs w:val="24"/>
        </w:rPr>
      </w:pPr>
      <w:r w:rsidRPr="00D704D4">
        <w:rPr>
          <w:sz w:val="24"/>
          <w:szCs w:val="24"/>
        </w:rPr>
        <w:t>Alprazolams sikkerhed og virkning hos børn og unge under 18 år er ikke klarlagt. Det frarådes derfor at anvende alprazolam til børn og unge under 18 år.</w:t>
      </w:r>
    </w:p>
    <w:p w:rsidR="00D704D4" w:rsidRPr="00D704D4" w:rsidRDefault="00D704D4" w:rsidP="00D704D4">
      <w:pPr>
        <w:tabs>
          <w:tab w:val="left" w:pos="851"/>
        </w:tabs>
        <w:ind w:left="851"/>
        <w:rPr>
          <w:b/>
          <w:i/>
          <w:sz w:val="24"/>
          <w:szCs w:val="24"/>
        </w:rPr>
      </w:pPr>
    </w:p>
    <w:p w:rsidR="00D704D4" w:rsidRPr="00D704D4" w:rsidRDefault="00D704D4" w:rsidP="00D704D4">
      <w:pPr>
        <w:tabs>
          <w:tab w:val="left" w:pos="851"/>
        </w:tabs>
        <w:ind w:left="851"/>
        <w:rPr>
          <w:bCs/>
          <w:iCs/>
          <w:sz w:val="24"/>
          <w:szCs w:val="24"/>
          <w:u w:val="single"/>
        </w:rPr>
      </w:pPr>
      <w:r w:rsidRPr="00D704D4">
        <w:rPr>
          <w:sz w:val="24"/>
          <w:szCs w:val="24"/>
          <w:u w:val="single"/>
        </w:rPr>
        <w:t>Administration</w:t>
      </w:r>
    </w:p>
    <w:p w:rsidR="00D704D4" w:rsidRPr="00D704D4" w:rsidRDefault="00D704D4" w:rsidP="00D704D4">
      <w:pPr>
        <w:tabs>
          <w:tab w:val="left" w:pos="851"/>
        </w:tabs>
        <w:ind w:left="851"/>
        <w:rPr>
          <w:sz w:val="24"/>
          <w:szCs w:val="24"/>
        </w:rPr>
      </w:pPr>
      <w:r w:rsidRPr="00D704D4">
        <w:rPr>
          <w:sz w:val="24"/>
          <w:szCs w:val="24"/>
        </w:rPr>
        <w:t>Alprazolam "Grindeks" er til oral anvendelse.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6F5C70" w:rsidRPr="006F5C70" w:rsidRDefault="006F5C70" w:rsidP="006F5C70">
      <w:pPr>
        <w:numPr>
          <w:ilvl w:val="0"/>
          <w:numId w:val="6"/>
        </w:numPr>
        <w:tabs>
          <w:tab w:val="left" w:pos="1134"/>
        </w:tabs>
        <w:ind w:left="1134" w:hanging="283"/>
        <w:rPr>
          <w:sz w:val="24"/>
          <w:szCs w:val="24"/>
        </w:rPr>
      </w:pPr>
      <w:r w:rsidRPr="006F5C70">
        <w:rPr>
          <w:sz w:val="24"/>
          <w:szCs w:val="24"/>
        </w:rPr>
        <w:t>Overfølsomhed over for det aktive stof, andre benzodiazepiner eller over for et eller flere af hjælpestofferne anført i pkt. 6.1.</w:t>
      </w:r>
    </w:p>
    <w:p w:rsidR="006F5C70" w:rsidRPr="006F5C70" w:rsidRDefault="006F5C70" w:rsidP="006F5C70">
      <w:pPr>
        <w:numPr>
          <w:ilvl w:val="0"/>
          <w:numId w:val="6"/>
        </w:numPr>
        <w:tabs>
          <w:tab w:val="left" w:pos="1134"/>
        </w:tabs>
        <w:ind w:left="1134" w:hanging="283"/>
        <w:rPr>
          <w:sz w:val="24"/>
          <w:szCs w:val="24"/>
        </w:rPr>
      </w:pPr>
      <w:r w:rsidRPr="006F5C70">
        <w:rPr>
          <w:sz w:val="24"/>
          <w:szCs w:val="24"/>
        </w:rPr>
        <w:t>Myasthenia gravis.</w:t>
      </w:r>
    </w:p>
    <w:p w:rsidR="006F5C70" w:rsidRPr="006F5C70" w:rsidRDefault="006F5C70" w:rsidP="006F5C70">
      <w:pPr>
        <w:numPr>
          <w:ilvl w:val="0"/>
          <w:numId w:val="6"/>
        </w:numPr>
        <w:tabs>
          <w:tab w:val="left" w:pos="1134"/>
        </w:tabs>
        <w:ind w:left="1134" w:hanging="283"/>
        <w:rPr>
          <w:sz w:val="24"/>
          <w:szCs w:val="24"/>
        </w:rPr>
      </w:pPr>
      <w:r w:rsidRPr="006F5C70">
        <w:rPr>
          <w:sz w:val="24"/>
          <w:szCs w:val="24"/>
        </w:rPr>
        <w:t>Alvorlig respirationsinsufficiens.</w:t>
      </w:r>
    </w:p>
    <w:p w:rsidR="006F5C70" w:rsidRPr="006F5C70" w:rsidRDefault="006F5C70" w:rsidP="006F5C70">
      <w:pPr>
        <w:numPr>
          <w:ilvl w:val="0"/>
          <w:numId w:val="6"/>
        </w:numPr>
        <w:tabs>
          <w:tab w:val="left" w:pos="1134"/>
        </w:tabs>
        <w:ind w:left="1134" w:hanging="283"/>
        <w:rPr>
          <w:sz w:val="24"/>
          <w:szCs w:val="24"/>
        </w:rPr>
      </w:pPr>
      <w:r w:rsidRPr="006F5C70">
        <w:rPr>
          <w:sz w:val="24"/>
          <w:szCs w:val="24"/>
        </w:rPr>
        <w:t>Søvnapnøsyndrom.</w:t>
      </w:r>
    </w:p>
    <w:p w:rsidR="006F5C70" w:rsidRPr="006F5C70" w:rsidRDefault="006F5C70" w:rsidP="006F5C70">
      <w:pPr>
        <w:numPr>
          <w:ilvl w:val="0"/>
          <w:numId w:val="6"/>
        </w:numPr>
        <w:tabs>
          <w:tab w:val="left" w:pos="1134"/>
        </w:tabs>
        <w:ind w:left="1134" w:hanging="283"/>
        <w:rPr>
          <w:sz w:val="24"/>
          <w:szCs w:val="24"/>
        </w:rPr>
      </w:pPr>
      <w:r w:rsidRPr="006F5C70">
        <w:rPr>
          <w:sz w:val="24"/>
          <w:szCs w:val="24"/>
        </w:rPr>
        <w:t>Alvorlig leverinsufficiens.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Bemærk</w:t>
      </w:r>
    </w:p>
    <w:p w:rsidR="00C21BD0" w:rsidRPr="00C21BD0" w:rsidRDefault="00C21BD0" w:rsidP="00C21BD0">
      <w:pPr>
        <w:tabs>
          <w:tab w:val="left" w:pos="851"/>
        </w:tabs>
        <w:ind w:left="851"/>
        <w:rPr>
          <w:sz w:val="24"/>
          <w:szCs w:val="24"/>
        </w:rPr>
      </w:pPr>
      <w:r w:rsidRPr="00C21BD0">
        <w:rPr>
          <w:sz w:val="24"/>
          <w:szCs w:val="24"/>
        </w:rPr>
        <w:t>Ikke alle tilstande af anspændthed, agitation og angst kræver medicinsk behandling. Disse er ofte tegn på fysiske eller psykiske sygdomme og kan håndteres med andre midler eller behandling af den underliggende tilstand.</w:t>
      </w:r>
    </w:p>
    <w:p w:rsidR="00C21BD0" w:rsidRPr="00C21BD0" w:rsidRDefault="00C21BD0" w:rsidP="00C21BD0">
      <w:pPr>
        <w:tabs>
          <w:tab w:val="left" w:pos="851"/>
        </w:tabs>
        <w:ind w:left="851"/>
        <w:rPr>
          <w:sz w:val="24"/>
          <w:szCs w:val="24"/>
          <w:u w:val="single"/>
        </w:rPr>
      </w:pPr>
    </w:p>
    <w:p w:rsidR="00C21BD0" w:rsidRPr="00C21BD0" w:rsidRDefault="00C21BD0" w:rsidP="00C21BD0">
      <w:pPr>
        <w:tabs>
          <w:tab w:val="left" w:pos="851"/>
        </w:tabs>
        <w:ind w:left="851"/>
        <w:rPr>
          <w:sz w:val="24"/>
          <w:szCs w:val="24"/>
          <w:u w:val="single"/>
        </w:rPr>
      </w:pPr>
      <w:r w:rsidRPr="00C21BD0">
        <w:rPr>
          <w:sz w:val="24"/>
          <w:szCs w:val="24"/>
          <w:u w:val="single"/>
        </w:rPr>
        <w:t>Risici ved samtidig anvendelse af opioider</w:t>
      </w:r>
    </w:p>
    <w:p w:rsidR="00C21BD0" w:rsidRPr="00C21BD0" w:rsidRDefault="00C21BD0" w:rsidP="00C21BD0">
      <w:pPr>
        <w:tabs>
          <w:tab w:val="left" w:pos="851"/>
        </w:tabs>
        <w:ind w:left="851"/>
        <w:rPr>
          <w:sz w:val="24"/>
          <w:szCs w:val="24"/>
        </w:rPr>
      </w:pPr>
      <w:r w:rsidRPr="00C21BD0">
        <w:rPr>
          <w:sz w:val="24"/>
          <w:szCs w:val="24"/>
        </w:rPr>
        <w:t>Samtidig anvendelse af alprazolam og opioider øger risikoen for sedation, respirationsdepression, koma og død. På grund af disse risici skal samtidig ordination af sedativa som benzodiazepiner eller beslægtede lægemidler som alprazolam sammen med opioider forbeholdes patienter, for hvem alternative behandlingsmuligheder ikke er hensigtsmæssige.</w:t>
      </w:r>
    </w:p>
    <w:p w:rsidR="00C21BD0" w:rsidRPr="00C21BD0" w:rsidRDefault="00C21BD0" w:rsidP="00C21BD0">
      <w:pPr>
        <w:tabs>
          <w:tab w:val="left" w:pos="851"/>
        </w:tabs>
        <w:ind w:left="851"/>
        <w:rPr>
          <w:sz w:val="24"/>
          <w:szCs w:val="24"/>
        </w:rPr>
      </w:pPr>
      <w:r w:rsidRPr="00C21BD0">
        <w:rPr>
          <w:sz w:val="24"/>
          <w:szCs w:val="24"/>
        </w:rPr>
        <w:t>Besluttes det at ordinere Alprazolam "Grindeks" samtidig med opioider, skal den laveste effektive dosis anvendes, og behandlingens varighed skal være så kort som mulig (se også den generelle dosisanbefaling i pkt. 4.2).</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rPr>
      </w:pPr>
      <w:r w:rsidRPr="00C21BD0">
        <w:rPr>
          <w:sz w:val="24"/>
          <w:szCs w:val="24"/>
        </w:rPr>
        <w:t>Patienterne skal overvåges nøje for tegn og symptomer på respirationsdepression og sedation. Som led i dette anbefales det på det kraftigste, at patienter og deres omsorgspersoner (hvis det er relevant) informeres om disse symptomer (se pkt. 4.5).</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Afhængighed/misbrug</w:t>
      </w:r>
    </w:p>
    <w:p w:rsidR="00C21BD0" w:rsidRPr="00C21BD0" w:rsidRDefault="00C21BD0" w:rsidP="00C21BD0">
      <w:pPr>
        <w:tabs>
          <w:tab w:val="left" w:pos="851"/>
        </w:tabs>
        <w:ind w:left="851"/>
        <w:rPr>
          <w:sz w:val="24"/>
          <w:szCs w:val="24"/>
        </w:rPr>
      </w:pPr>
      <w:r w:rsidRPr="00C21BD0">
        <w:rPr>
          <w:sz w:val="24"/>
          <w:szCs w:val="24"/>
        </w:rPr>
        <w:t>Anvendelse af benzodiazepiner kan føre til udvikling af fysisk og psykisk afhængighed. Risikoen for afhængighed stiger med dosis og behandlingsvarighed. Denne risiko er særligt høj hos patienter, der tidligere har været afhængige af alkohol eller stoffer. Det gælder også i det terapeutiske dosisområde, og uafhængigt af om der er en risikofaktor til stede.</w:t>
      </w:r>
    </w:p>
    <w:p w:rsidR="00C21BD0" w:rsidRPr="00C21BD0" w:rsidRDefault="00C21BD0" w:rsidP="00C21BD0">
      <w:pPr>
        <w:tabs>
          <w:tab w:val="left" w:pos="851"/>
        </w:tabs>
        <w:ind w:left="851"/>
        <w:rPr>
          <w:sz w:val="24"/>
          <w:szCs w:val="24"/>
        </w:rPr>
      </w:pPr>
      <w:r w:rsidRPr="00C21BD0">
        <w:rPr>
          <w:sz w:val="24"/>
          <w:szCs w:val="24"/>
        </w:rPr>
        <w:lastRenderedPageBreak/>
        <w:t>Risikoen for afhængighed øges ved samtidig anvendelse af forskellige benzodiazepiner, uanset om disse benzodiazepiner har en anxiolytisk eller hypnotisk virkning.</w:t>
      </w:r>
    </w:p>
    <w:p w:rsidR="00C21BD0" w:rsidRPr="00C21BD0" w:rsidRDefault="00C21BD0" w:rsidP="00C21BD0">
      <w:pPr>
        <w:tabs>
          <w:tab w:val="left" w:pos="851"/>
        </w:tabs>
        <w:ind w:left="851"/>
        <w:rPr>
          <w:sz w:val="24"/>
          <w:szCs w:val="24"/>
        </w:rPr>
      </w:pPr>
      <w:r w:rsidRPr="00C21BD0">
        <w:rPr>
          <w:sz w:val="24"/>
          <w:szCs w:val="24"/>
        </w:rPr>
        <w:t>Misbrug af lægemidler er en kendt risiko ved alprazolam og andre benzodiazepiner. Patienter, der får alprazolam, skal overvåges tilsvarende. Der er mulighed for ulovlig distribution af alprazolam. Der er rapporteret om dødsfald som følge af overdosering i forbindelse med indtagelse af alprazolam sammen med andre CNS</w:t>
      </w:r>
      <w:r w:rsidRPr="00C21BD0">
        <w:rPr>
          <w:sz w:val="24"/>
          <w:szCs w:val="24"/>
        </w:rPr>
        <w:noBreakHyphen/>
        <w:t>depressiva, såsom opioider, andre benzodiazepiner og alkohol. Disse risici skal tages i betragtning ved ordination eller udlevering. For at minimere risikoen, bør det altid være den mindste, nødvendige mængde, der ordineres (se pkt. 4.2, 4.8 og 4.9).</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i/>
          <w:sz w:val="24"/>
          <w:szCs w:val="24"/>
        </w:rPr>
      </w:pPr>
      <w:r w:rsidRPr="00C21BD0">
        <w:rPr>
          <w:i/>
          <w:sz w:val="24"/>
          <w:szCs w:val="24"/>
        </w:rPr>
        <w:t>Abstinenssymptomer</w:t>
      </w:r>
    </w:p>
    <w:p w:rsidR="00C21BD0" w:rsidRPr="00C21BD0" w:rsidRDefault="00C21BD0" w:rsidP="00C21BD0">
      <w:pPr>
        <w:tabs>
          <w:tab w:val="left" w:pos="851"/>
        </w:tabs>
        <w:ind w:left="851"/>
        <w:rPr>
          <w:sz w:val="24"/>
          <w:szCs w:val="24"/>
        </w:rPr>
      </w:pPr>
      <w:r w:rsidRPr="00C21BD0">
        <w:rPr>
          <w:sz w:val="24"/>
          <w:szCs w:val="24"/>
        </w:rPr>
        <w:t>I tilfælde af afhængighed, vil pludselig seponering af behandlingen være ledsaget af abstinenssymptomer. Disse kan manifestere sig som hovedpine, muskelsmerter, voldsom angst, spændinger, indre rastløshed, forvirring og irritabilitet. I alvorlige tilfælde kan følgende symptomer desuden optræde: derealisation, depersonalisation, hyperacusis, følelsesløshed og paræstesi i ekstremiteterne, overfølsomhed over for lys, støj og fysisk kontakt, hallucinationer eller epileptiske anfald (se pkt. 4.2 og 4.8).</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i/>
          <w:sz w:val="24"/>
          <w:szCs w:val="24"/>
        </w:rPr>
      </w:pPr>
      <w:r w:rsidRPr="00C21BD0">
        <w:rPr>
          <w:i/>
          <w:sz w:val="24"/>
          <w:szCs w:val="24"/>
        </w:rPr>
        <w:t>Rebound-fænomen</w:t>
      </w:r>
    </w:p>
    <w:p w:rsidR="00C21BD0" w:rsidRPr="00C21BD0" w:rsidRDefault="00C21BD0" w:rsidP="00C21BD0">
      <w:pPr>
        <w:tabs>
          <w:tab w:val="left" w:pos="851"/>
        </w:tabs>
        <w:ind w:left="851"/>
        <w:rPr>
          <w:sz w:val="24"/>
          <w:szCs w:val="24"/>
        </w:rPr>
      </w:pPr>
      <w:r w:rsidRPr="00C21BD0">
        <w:rPr>
          <w:sz w:val="24"/>
          <w:szCs w:val="24"/>
        </w:rPr>
        <w:t>Hvis kortvarig behandling pludseligt seponeres, kan der ligeledes opstå forbigående rebound-fænomener, hvor de symptomer, der oprindeligt førte til behandling med benzodiazepiner, kan vende tilbage i forstærket form. Syndromet kan være ledsaget af andre reaktioner, herunder humørsvingninger, angst eller søvnforstyrrelser og rastløshed. Rebound-fænomener kan også optræde som alvorlige fysiske og psykiske reaktioner, f.eks. anfald og symptomatisk psykose (f.eks. abstinensdelirium).</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rPr>
      </w:pPr>
      <w:r w:rsidRPr="00C21BD0">
        <w:rPr>
          <w:sz w:val="24"/>
          <w:szCs w:val="24"/>
        </w:rPr>
        <w:t xml:space="preserve">Da risikoen for abstinenssymptomer eller rebound-fænomener er højere efter brat behandlingsophør, anbefales det, at behandlingen seponeres med en gradvis dosisreduktion. </w:t>
      </w:r>
    </w:p>
    <w:p w:rsidR="00C21BD0" w:rsidRPr="00C21BD0" w:rsidRDefault="00C21BD0" w:rsidP="00C21BD0">
      <w:pPr>
        <w:tabs>
          <w:tab w:val="left" w:pos="851"/>
        </w:tabs>
        <w:ind w:left="851"/>
        <w:rPr>
          <w:sz w:val="24"/>
          <w:szCs w:val="24"/>
          <w:u w:val="single"/>
        </w:rPr>
      </w:pPr>
    </w:p>
    <w:p w:rsidR="00C21BD0" w:rsidRPr="00C21BD0" w:rsidRDefault="00C21BD0" w:rsidP="00C21BD0">
      <w:pPr>
        <w:tabs>
          <w:tab w:val="left" w:pos="851"/>
        </w:tabs>
        <w:ind w:left="851"/>
        <w:rPr>
          <w:sz w:val="24"/>
          <w:szCs w:val="24"/>
          <w:u w:val="single"/>
        </w:rPr>
      </w:pPr>
      <w:r w:rsidRPr="00C21BD0">
        <w:rPr>
          <w:sz w:val="24"/>
          <w:szCs w:val="24"/>
          <w:u w:val="single"/>
        </w:rPr>
        <w:t>Behandlingsvarighed</w:t>
      </w:r>
    </w:p>
    <w:p w:rsidR="00C21BD0" w:rsidRPr="00C21BD0" w:rsidRDefault="00C21BD0" w:rsidP="00C21BD0">
      <w:pPr>
        <w:tabs>
          <w:tab w:val="left" w:pos="851"/>
        </w:tabs>
        <w:ind w:left="851"/>
        <w:rPr>
          <w:sz w:val="24"/>
          <w:szCs w:val="24"/>
        </w:rPr>
      </w:pPr>
      <w:r w:rsidRPr="00C21BD0">
        <w:rPr>
          <w:sz w:val="24"/>
          <w:szCs w:val="24"/>
        </w:rPr>
        <w:t>Behandlingstiden bør være så kort som muligt og ikke længere end 2-4 uger (se pkt. 4.2). En forlængelse af behandlingstiden ud over dette må ikke foretages uden en revurdering af situationen.</w:t>
      </w:r>
    </w:p>
    <w:p w:rsidR="00C21BD0" w:rsidRPr="00C21BD0" w:rsidRDefault="00C21BD0" w:rsidP="00C21BD0">
      <w:pPr>
        <w:tabs>
          <w:tab w:val="left" w:pos="851"/>
        </w:tabs>
        <w:ind w:left="851"/>
        <w:rPr>
          <w:sz w:val="24"/>
          <w:szCs w:val="24"/>
          <w:u w:val="single"/>
        </w:rPr>
      </w:pPr>
    </w:p>
    <w:p w:rsidR="00C21BD0" w:rsidRPr="00C21BD0" w:rsidRDefault="00C21BD0" w:rsidP="00C21BD0">
      <w:pPr>
        <w:tabs>
          <w:tab w:val="left" w:pos="851"/>
        </w:tabs>
        <w:ind w:left="851"/>
        <w:rPr>
          <w:sz w:val="24"/>
          <w:szCs w:val="24"/>
        </w:rPr>
      </w:pPr>
      <w:r w:rsidRPr="00C21BD0">
        <w:rPr>
          <w:sz w:val="24"/>
          <w:szCs w:val="24"/>
        </w:rPr>
        <w:t>Ved behandlingsstart er det vigtigt at informere patienten om, at behandlingen er tidsbegrænset, og at forklare i detaljer, hvordan dosis gradvist vil blive reduceret. Der er evidens, der peger på, at der kan opstå abstinenssymptomer inden for dosisintervallet ved brug af korttidsvirkende benzodiazepiner, især ved høje doser. Når der anvendes langtidsvirkende benzodiazepiner, er det vigtigt at informere patienten om, at han/hun ikke må skifte til et korttidsvirkende benzodiazepin, da der i så fald kan opstå abstinenssymptomer.</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Amnesi</w:t>
      </w:r>
    </w:p>
    <w:p w:rsidR="00C21BD0" w:rsidRPr="00C21BD0" w:rsidRDefault="00C21BD0" w:rsidP="00C21BD0">
      <w:pPr>
        <w:tabs>
          <w:tab w:val="left" w:pos="851"/>
        </w:tabs>
        <w:ind w:left="851"/>
        <w:rPr>
          <w:sz w:val="24"/>
          <w:szCs w:val="24"/>
        </w:rPr>
      </w:pPr>
      <w:r w:rsidRPr="00C21BD0">
        <w:rPr>
          <w:sz w:val="24"/>
          <w:szCs w:val="24"/>
        </w:rPr>
        <w:t>Benzodiazepiner kan fremkalde anterograd amnesi. I de fleste tilfælde opstår tilstanden adskillige timer efter indtagelse af lægemidlet. Det betyder, at efter administration af lægemidlet vil patienterne måske udføre handlinger, som de efterfølgende ikke kan huske.</w:t>
      </w:r>
    </w:p>
    <w:p w:rsidR="00C21BD0" w:rsidRPr="00C21BD0" w:rsidRDefault="00C21BD0" w:rsidP="00C21BD0">
      <w:pPr>
        <w:tabs>
          <w:tab w:val="left" w:pos="851"/>
        </w:tabs>
        <w:ind w:left="851"/>
        <w:rPr>
          <w:sz w:val="24"/>
          <w:szCs w:val="24"/>
        </w:rPr>
      </w:pPr>
      <w:r w:rsidRPr="00C21BD0">
        <w:rPr>
          <w:sz w:val="24"/>
          <w:szCs w:val="24"/>
        </w:rPr>
        <w:t>Denne risiko stiger med dosisniveauet og kan reduceres ved en tilstrækkelig lang uafbrudt søvnperiode (7 til 8 timer).</w:t>
      </w:r>
    </w:p>
    <w:p w:rsidR="00703CA6" w:rsidRDefault="00703CA6">
      <w:pPr>
        <w:rPr>
          <w:sz w:val="24"/>
          <w:szCs w:val="24"/>
        </w:rPr>
      </w:pPr>
      <w:r>
        <w:rPr>
          <w:sz w:val="24"/>
          <w:szCs w:val="24"/>
        </w:rPr>
        <w:br w:type="page"/>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 xml:space="preserve">Psykiatriske og </w:t>
      </w:r>
      <w:r w:rsidR="003C1335">
        <w:rPr>
          <w:sz w:val="24"/>
          <w:szCs w:val="24"/>
          <w:u w:val="single"/>
        </w:rPr>
        <w:t>"</w:t>
      </w:r>
      <w:r w:rsidRPr="00C21BD0">
        <w:rPr>
          <w:sz w:val="24"/>
          <w:szCs w:val="24"/>
          <w:u w:val="single"/>
        </w:rPr>
        <w:t>paradoksale</w:t>
      </w:r>
      <w:r w:rsidR="003C1335">
        <w:rPr>
          <w:sz w:val="24"/>
          <w:szCs w:val="24"/>
          <w:u w:val="single"/>
        </w:rPr>
        <w:t>"</w:t>
      </w:r>
      <w:r w:rsidRPr="00C21BD0">
        <w:rPr>
          <w:sz w:val="24"/>
          <w:szCs w:val="24"/>
          <w:u w:val="single"/>
        </w:rPr>
        <w:t xml:space="preserve"> reaktioner</w:t>
      </w:r>
    </w:p>
    <w:p w:rsidR="00C21BD0" w:rsidRPr="00C21BD0" w:rsidRDefault="00C21BD0" w:rsidP="00C21BD0">
      <w:pPr>
        <w:tabs>
          <w:tab w:val="left" w:pos="851"/>
        </w:tabs>
        <w:ind w:left="851"/>
        <w:rPr>
          <w:sz w:val="24"/>
          <w:szCs w:val="24"/>
        </w:rPr>
      </w:pPr>
      <w:r w:rsidRPr="00C21BD0">
        <w:rPr>
          <w:sz w:val="24"/>
          <w:szCs w:val="24"/>
        </w:rPr>
        <w:t xml:space="preserve">Særligt hos ældre patienter og hos børn, kan der opstå psykiatriske og </w:t>
      </w:r>
      <w:r w:rsidR="003C1335">
        <w:rPr>
          <w:sz w:val="24"/>
          <w:szCs w:val="24"/>
        </w:rPr>
        <w:t>"</w:t>
      </w:r>
      <w:r w:rsidRPr="00C21BD0">
        <w:rPr>
          <w:sz w:val="24"/>
          <w:szCs w:val="24"/>
        </w:rPr>
        <w:t>paradoksale</w:t>
      </w:r>
      <w:r w:rsidR="003C1335">
        <w:rPr>
          <w:sz w:val="24"/>
          <w:szCs w:val="24"/>
        </w:rPr>
        <w:t>"</w:t>
      </w:r>
      <w:r w:rsidRPr="00C21BD0">
        <w:rPr>
          <w:sz w:val="24"/>
          <w:szCs w:val="24"/>
        </w:rPr>
        <w:t xml:space="preserve"> reaktioner ved anvendelsen af benzodiazepiner, såsom rastløshed, opstemthed, irritabilitet, aggression, vrangforestillinger, vrede, mareridt, hallucinationer, psykoser, uhensigtsmæssig adfærd og andre adfærdsforstyrrelser. I disse tilfælde skal behandlingen med dette lægemiddel seponeres.</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 xml:space="preserve">Tolerance </w:t>
      </w:r>
    </w:p>
    <w:p w:rsidR="00C21BD0" w:rsidRPr="00C21BD0" w:rsidRDefault="00C21BD0" w:rsidP="00C21BD0">
      <w:pPr>
        <w:tabs>
          <w:tab w:val="left" w:pos="851"/>
        </w:tabs>
        <w:ind w:left="851"/>
        <w:rPr>
          <w:sz w:val="24"/>
          <w:szCs w:val="24"/>
        </w:rPr>
      </w:pPr>
      <w:r w:rsidRPr="00C21BD0">
        <w:rPr>
          <w:sz w:val="24"/>
          <w:szCs w:val="24"/>
        </w:rPr>
        <w:t>Efter gentagen oral administration af benzodiazepiner over nogle uger kan der opstå et tab af virkning (tolerance).</w:t>
      </w:r>
    </w:p>
    <w:p w:rsidR="00C21BD0" w:rsidRPr="00C21BD0" w:rsidRDefault="00C21BD0" w:rsidP="00C21BD0">
      <w:pPr>
        <w:tabs>
          <w:tab w:val="left" w:pos="851"/>
        </w:tabs>
        <w:ind w:left="851"/>
        <w:rPr>
          <w:i/>
          <w:iCs/>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Depression og selvmordstanker</w:t>
      </w:r>
    </w:p>
    <w:p w:rsidR="00C21BD0" w:rsidRPr="00C21BD0" w:rsidRDefault="00C21BD0" w:rsidP="00C21BD0">
      <w:pPr>
        <w:tabs>
          <w:tab w:val="left" w:pos="851"/>
        </w:tabs>
        <w:ind w:left="851"/>
        <w:rPr>
          <w:sz w:val="24"/>
          <w:szCs w:val="24"/>
        </w:rPr>
      </w:pPr>
      <w:r w:rsidRPr="00C21BD0">
        <w:rPr>
          <w:sz w:val="24"/>
          <w:szCs w:val="24"/>
        </w:rPr>
        <w:t xml:space="preserve">Benzodiazepiner og benzodiazepin-lignende stoffer må ikke ordineres alene til behandling af depression, da de kan udløse eller øge risikoen for selvmord. Alprazolam bør anvendes med forsigtighed, og mængden af ordineret lægemiddel skal begrænses hos patienter med tegn og symptomer på en depressiv lidelse eller selvmordstendenser. </w:t>
      </w:r>
    </w:p>
    <w:p w:rsidR="00C21BD0" w:rsidRPr="00C21BD0" w:rsidRDefault="00C21BD0" w:rsidP="00C21BD0">
      <w:pPr>
        <w:tabs>
          <w:tab w:val="left" w:pos="851"/>
        </w:tabs>
        <w:ind w:left="851"/>
        <w:rPr>
          <w:sz w:val="24"/>
          <w:szCs w:val="24"/>
        </w:rPr>
      </w:pPr>
      <w:r w:rsidRPr="00C21BD0">
        <w:rPr>
          <w:sz w:val="24"/>
          <w:szCs w:val="24"/>
        </w:rPr>
        <w:t>Der er rapporteret om episoder med hypomani og mani i forbindelse med anvendelsen af alprazolam hos patienter med depression.</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Psykoser</w:t>
      </w:r>
    </w:p>
    <w:p w:rsidR="00C21BD0" w:rsidRPr="00C21BD0" w:rsidRDefault="00C21BD0" w:rsidP="00C21BD0">
      <w:pPr>
        <w:tabs>
          <w:tab w:val="left" w:pos="851"/>
        </w:tabs>
        <w:ind w:left="851"/>
        <w:rPr>
          <w:sz w:val="24"/>
          <w:szCs w:val="24"/>
        </w:rPr>
      </w:pPr>
      <w:r w:rsidRPr="00C21BD0">
        <w:rPr>
          <w:sz w:val="24"/>
          <w:szCs w:val="24"/>
        </w:rPr>
        <w:t>Benzodiazepiner anbefales ikke som primær behandling af psykoser.</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sz w:val="24"/>
          <w:szCs w:val="24"/>
          <w:u w:val="single"/>
        </w:rPr>
      </w:pPr>
      <w:r w:rsidRPr="00C21BD0">
        <w:rPr>
          <w:sz w:val="24"/>
          <w:szCs w:val="24"/>
          <w:u w:val="single"/>
        </w:rPr>
        <w:t>Særlige populationer</w:t>
      </w:r>
    </w:p>
    <w:p w:rsidR="00703CA6" w:rsidRDefault="00703CA6" w:rsidP="00C21BD0">
      <w:pPr>
        <w:tabs>
          <w:tab w:val="left" w:pos="851"/>
        </w:tabs>
        <w:ind w:left="851"/>
        <w:rPr>
          <w:i/>
          <w:sz w:val="24"/>
          <w:szCs w:val="24"/>
        </w:rPr>
      </w:pPr>
    </w:p>
    <w:p w:rsidR="00C21BD0" w:rsidRPr="00C21BD0" w:rsidRDefault="00C21BD0" w:rsidP="00C21BD0">
      <w:pPr>
        <w:tabs>
          <w:tab w:val="left" w:pos="851"/>
        </w:tabs>
        <w:ind w:left="851"/>
        <w:rPr>
          <w:i/>
          <w:sz w:val="24"/>
          <w:szCs w:val="24"/>
        </w:rPr>
      </w:pPr>
      <w:r w:rsidRPr="00C21BD0">
        <w:rPr>
          <w:i/>
          <w:sz w:val="24"/>
          <w:szCs w:val="24"/>
        </w:rPr>
        <w:t>Ældre og svækkede patienter</w:t>
      </w:r>
    </w:p>
    <w:p w:rsidR="00C21BD0" w:rsidRPr="00C21BD0" w:rsidRDefault="00C21BD0" w:rsidP="00C21BD0">
      <w:pPr>
        <w:tabs>
          <w:tab w:val="left" w:pos="851"/>
        </w:tabs>
        <w:ind w:left="851"/>
        <w:rPr>
          <w:iCs/>
          <w:sz w:val="24"/>
          <w:szCs w:val="24"/>
        </w:rPr>
      </w:pPr>
      <w:r w:rsidRPr="00C21BD0">
        <w:rPr>
          <w:sz w:val="24"/>
          <w:szCs w:val="24"/>
        </w:rPr>
        <w:t>Benzodiazepiner og andre tilsvarende lægemidler bør anvendes med forsigtighed til ældre, da sedation og/eller muskelsvaghed kan øge risikoen for faldulykker, ofte med alvorlige konsekvenser hos denne population. Det anbefales, at ældre og/eller svækkede patienter generelt behandles med den laveste effektive dosis for at undgå udvikling af ataksi eller oversedation.</w:t>
      </w:r>
    </w:p>
    <w:p w:rsidR="00C21BD0" w:rsidRPr="00C21BD0" w:rsidRDefault="00C21BD0" w:rsidP="00C21BD0">
      <w:pPr>
        <w:tabs>
          <w:tab w:val="left" w:pos="851"/>
        </w:tabs>
        <w:ind w:left="851"/>
        <w:rPr>
          <w:i/>
          <w:sz w:val="24"/>
          <w:szCs w:val="24"/>
        </w:rPr>
      </w:pPr>
    </w:p>
    <w:p w:rsidR="00C21BD0" w:rsidRPr="00C21BD0" w:rsidRDefault="00C21BD0" w:rsidP="00C21BD0">
      <w:pPr>
        <w:tabs>
          <w:tab w:val="left" w:pos="851"/>
        </w:tabs>
        <w:ind w:left="851"/>
        <w:rPr>
          <w:i/>
          <w:sz w:val="24"/>
          <w:szCs w:val="24"/>
        </w:rPr>
      </w:pPr>
      <w:r w:rsidRPr="00C21BD0">
        <w:rPr>
          <w:i/>
          <w:sz w:val="24"/>
          <w:szCs w:val="24"/>
        </w:rPr>
        <w:t>Nedsat nyre- eller leverfunktion</w:t>
      </w:r>
    </w:p>
    <w:p w:rsidR="00C21BD0" w:rsidRPr="00C21BD0" w:rsidRDefault="00C21BD0" w:rsidP="00C21BD0">
      <w:pPr>
        <w:tabs>
          <w:tab w:val="left" w:pos="851"/>
        </w:tabs>
        <w:ind w:left="851"/>
        <w:rPr>
          <w:sz w:val="24"/>
          <w:szCs w:val="24"/>
        </w:rPr>
      </w:pPr>
      <w:r w:rsidRPr="00C21BD0">
        <w:rPr>
          <w:sz w:val="24"/>
          <w:szCs w:val="24"/>
        </w:rPr>
        <w:t>Forsigtighed tilrådes ved behandling af patienter med nedsat nyrefunktion eller mild til moderat nedsat leverfunktion og dosis skal reduceres i nødvendigt omfang. Behandling med benzodiazepiner er kontraindiceret til behandling af patienter med svær leverinsufficiens, idet dette øger risikoen for encephalopati.</w:t>
      </w:r>
    </w:p>
    <w:p w:rsidR="00C21BD0" w:rsidRPr="00C21BD0" w:rsidRDefault="00C21BD0" w:rsidP="00C21BD0">
      <w:pPr>
        <w:tabs>
          <w:tab w:val="left" w:pos="851"/>
        </w:tabs>
        <w:ind w:left="851"/>
        <w:rPr>
          <w:i/>
          <w:sz w:val="24"/>
          <w:szCs w:val="24"/>
        </w:rPr>
      </w:pPr>
    </w:p>
    <w:p w:rsidR="00C21BD0" w:rsidRPr="00C21BD0" w:rsidRDefault="00C21BD0" w:rsidP="00C21BD0">
      <w:pPr>
        <w:tabs>
          <w:tab w:val="left" w:pos="851"/>
        </w:tabs>
        <w:ind w:left="851"/>
        <w:rPr>
          <w:i/>
          <w:sz w:val="24"/>
          <w:szCs w:val="24"/>
        </w:rPr>
      </w:pPr>
      <w:r w:rsidRPr="00C21BD0">
        <w:rPr>
          <w:i/>
          <w:sz w:val="24"/>
          <w:szCs w:val="24"/>
        </w:rPr>
        <w:t>Respirationsinsufficiens</w:t>
      </w:r>
    </w:p>
    <w:p w:rsidR="00C21BD0" w:rsidRPr="00C21BD0" w:rsidRDefault="00C21BD0" w:rsidP="00C21BD0">
      <w:pPr>
        <w:tabs>
          <w:tab w:val="left" w:pos="851"/>
        </w:tabs>
        <w:ind w:left="851"/>
        <w:rPr>
          <w:sz w:val="24"/>
          <w:szCs w:val="24"/>
        </w:rPr>
      </w:pPr>
      <w:r w:rsidRPr="00C21BD0">
        <w:rPr>
          <w:sz w:val="24"/>
          <w:szCs w:val="24"/>
        </w:rPr>
        <w:t>Det anbefales desuden at anvende en lavere dosis til patienter med kronisk respirationsinsufficiens på grund af risikoen for respirationsdepression.</w:t>
      </w:r>
    </w:p>
    <w:p w:rsidR="00C21BD0" w:rsidRPr="00C21BD0" w:rsidRDefault="00C21BD0" w:rsidP="00C21BD0">
      <w:pPr>
        <w:tabs>
          <w:tab w:val="left" w:pos="851"/>
        </w:tabs>
        <w:ind w:left="851"/>
        <w:rPr>
          <w:i/>
          <w:sz w:val="24"/>
          <w:szCs w:val="24"/>
        </w:rPr>
      </w:pPr>
    </w:p>
    <w:p w:rsidR="00C21BD0" w:rsidRPr="00C21BD0" w:rsidRDefault="00C21BD0" w:rsidP="00C21BD0">
      <w:pPr>
        <w:tabs>
          <w:tab w:val="left" w:pos="851"/>
        </w:tabs>
        <w:ind w:left="851"/>
        <w:rPr>
          <w:i/>
          <w:sz w:val="24"/>
          <w:szCs w:val="24"/>
        </w:rPr>
      </w:pPr>
      <w:r w:rsidRPr="00C21BD0">
        <w:rPr>
          <w:i/>
          <w:sz w:val="24"/>
          <w:szCs w:val="24"/>
        </w:rPr>
        <w:t>Alkohol- eller medicinmisbrug i anamnesen</w:t>
      </w:r>
    </w:p>
    <w:p w:rsidR="00C21BD0" w:rsidRPr="00C21BD0" w:rsidRDefault="00C21BD0" w:rsidP="00C21BD0">
      <w:pPr>
        <w:tabs>
          <w:tab w:val="left" w:pos="851"/>
        </w:tabs>
        <w:ind w:left="851"/>
        <w:rPr>
          <w:sz w:val="24"/>
          <w:szCs w:val="24"/>
        </w:rPr>
      </w:pPr>
      <w:r w:rsidRPr="00C21BD0">
        <w:rPr>
          <w:sz w:val="24"/>
          <w:szCs w:val="24"/>
        </w:rPr>
        <w:t>Benzodiazepiner skal anvendes med yderste forsigtighed hos patienter med alkohol- eller medicinmisbrug i anamnesen (se pkt. 4.5).</w:t>
      </w:r>
    </w:p>
    <w:p w:rsidR="00C21BD0" w:rsidRPr="00C21BD0" w:rsidRDefault="00C21BD0" w:rsidP="00C21BD0">
      <w:pPr>
        <w:tabs>
          <w:tab w:val="left" w:pos="851"/>
        </w:tabs>
        <w:ind w:left="851"/>
        <w:rPr>
          <w:sz w:val="24"/>
          <w:szCs w:val="24"/>
          <w:u w:val="single"/>
        </w:rPr>
      </w:pPr>
    </w:p>
    <w:p w:rsidR="00C21BD0" w:rsidRPr="00C21BD0" w:rsidRDefault="00C21BD0" w:rsidP="00C21BD0">
      <w:pPr>
        <w:tabs>
          <w:tab w:val="left" w:pos="851"/>
        </w:tabs>
        <w:ind w:left="851"/>
        <w:rPr>
          <w:sz w:val="24"/>
          <w:szCs w:val="24"/>
          <w:u w:val="single"/>
        </w:rPr>
      </w:pPr>
      <w:r w:rsidRPr="00C21BD0">
        <w:rPr>
          <w:sz w:val="24"/>
          <w:szCs w:val="24"/>
          <w:u w:val="single"/>
        </w:rPr>
        <w:t>Hjælpestoffer</w:t>
      </w:r>
    </w:p>
    <w:p w:rsidR="00703CA6" w:rsidRDefault="00703CA6" w:rsidP="00C21BD0">
      <w:pPr>
        <w:tabs>
          <w:tab w:val="left" w:pos="851"/>
        </w:tabs>
        <w:ind w:left="851"/>
        <w:rPr>
          <w:i/>
          <w:sz w:val="24"/>
          <w:szCs w:val="24"/>
        </w:rPr>
      </w:pPr>
    </w:p>
    <w:p w:rsidR="00C21BD0" w:rsidRPr="00C21BD0" w:rsidRDefault="00C21BD0" w:rsidP="00C21BD0">
      <w:pPr>
        <w:tabs>
          <w:tab w:val="left" w:pos="851"/>
        </w:tabs>
        <w:ind w:left="851"/>
        <w:rPr>
          <w:i/>
          <w:sz w:val="24"/>
          <w:szCs w:val="24"/>
        </w:rPr>
      </w:pPr>
      <w:r w:rsidRPr="00C21BD0">
        <w:rPr>
          <w:i/>
          <w:sz w:val="24"/>
          <w:szCs w:val="24"/>
        </w:rPr>
        <w:t>Lactose</w:t>
      </w:r>
    </w:p>
    <w:p w:rsidR="00C21BD0" w:rsidRPr="00C21BD0" w:rsidRDefault="00C21BD0" w:rsidP="00C21BD0">
      <w:pPr>
        <w:tabs>
          <w:tab w:val="left" w:pos="851"/>
        </w:tabs>
        <w:ind w:left="851"/>
        <w:rPr>
          <w:sz w:val="24"/>
          <w:szCs w:val="24"/>
        </w:rPr>
      </w:pPr>
      <w:r w:rsidRPr="00C21BD0">
        <w:rPr>
          <w:sz w:val="24"/>
          <w:szCs w:val="24"/>
        </w:rPr>
        <w:t xml:space="preserve">Dette lægemiddel bør ikke anvendes til patienter med hereditær galactoseintolerans, total lactasemangel eller glucose/galactosemalabsorption. </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i/>
          <w:sz w:val="24"/>
          <w:szCs w:val="24"/>
        </w:rPr>
      </w:pPr>
      <w:r w:rsidRPr="00C21BD0">
        <w:rPr>
          <w:i/>
          <w:sz w:val="24"/>
          <w:szCs w:val="24"/>
        </w:rPr>
        <w:t>Natrium</w:t>
      </w:r>
    </w:p>
    <w:p w:rsidR="00C21BD0" w:rsidRPr="00C21BD0" w:rsidRDefault="00C21BD0" w:rsidP="00C21BD0">
      <w:pPr>
        <w:tabs>
          <w:tab w:val="left" w:pos="851"/>
        </w:tabs>
        <w:ind w:left="851"/>
        <w:rPr>
          <w:sz w:val="24"/>
          <w:szCs w:val="24"/>
        </w:rPr>
      </w:pPr>
      <w:r w:rsidRPr="00C21BD0">
        <w:rPr>
          <w:sz w:val="24"/>
          <w:szCs w:val="24"/>
        </w:rPr>
        <w:t>Dette lægemiddel indeholder mindre end 1 mmol (23 mg) natrium pr. dosis, dvs. det er i det væsentlige natriumfrit.</w:t>
      </w:r>
    </w:p>
    <w:p w:rsidR="00C21BD0" w:rsidRPr="00C21BD0" w:rsidRDefault="00C21BD0" w:rsidP="00C21BD0">
      <w:pPr>
        <w:tabs>
          <w:tab w:val="left" w:pos="851"/>
        </w:tabs>
        <w:ind w:left="851"/>
        <w:rPr>
          <w:sz w:val="24"/>
          <w:szCs w:val="24"/>
        </w:rPr>
      </w:pPr>
    </w:p>
    <w:p w:rsidR="00C21BD0" w:rsidRPr="00C21BD0" w:rsidRDefault="00C21BD0" w:rsidP="00C21BD0">
      <w:pPr>
        <w:tabs>
          <w:tab w:val="left" w:pos="851"/>
        </w:tabs>
        <w:ind w:left="851"/>
        <w:rPr>
          <w:i/>
          <w:sz w:val="24"/>
          <w:szCs w:val="24"/>
        </w:rPr>
      </w:pPr>
      <w:r w:rsidRPr="00C21BD0">
        <w:rPr>
          <w:i/>
          <w:sz w:val="24"/>
          <w:szCs w:val="24"/>
        </w:rPr>
        <w:t>Natriumbenzoat</w:t>
      </w:r>
    </w:p>
    <w:p w:rsidR="00C21BD0" w:rsidRPr="00C21BD0" w:rsidRDefault="00C21BD0" w:rsidP="00C21BD0">
      <w:pPr>
        <w:tabs>
          <w:tab w:val="left" w:pos="851"/>
        </w:tabs>
        <w:ind w:left="851"/>
        <w:rPr>
          <w:sz w:val="24"/>
          <w:szCs w:val="24"/>
        </w:rPr>
      </w:pPr>
      <w:r w:rsidRPr="00C21BD0">
        <w:rPr>
          <w:sz w:val="24"/>
          <w:szCs w:val="24"/>
        </w:rPr>
        <w:t>Dette lægemiddel indeholder 0,12 mg natriumbenzoat pr. tablet.</w:t>
      </w:r>
    </w:p>
    <w:p w:rsidR="00C21BD0" w:rsidRDefault="00C21BD0" w:rsidP="00C21BD0">
      <w:pPr>
        <w:tabs>
          <w:tab w:val="left" w:pos="851"/>
        </w:tabs>
        <w:ind w:left="851"/>
        <w:rPr>
          <w:b/>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u w:val="single"/>
        </w:rPr>
      </w:pPr>
      <w:r w:rsidRPr="003C1335">
        <w:rPr>
          <w:sz w:val="24"/>
          <w:szCs w:val="24"/>
          <w:u w:val="single"/>
        </w:rPr>
        <w:t>Farmakodynamiske interaktioner</w:t>
      </w:r>
    </w:p>
    <w:p w:rsidR="003C1335" w:rsidRDefault="003C1335" w:rsidP="003C1335">
      <w:pPr>
        <w:tabs>
          <w:tab w:val="left" w:pos="851"/>
        </w:tabs>
        <w:ind w:left="851"/>
        <w:rPr>
          <w:i/>
          <w:sz w:val="24"/>
          <w:szCs w:val="24"/>
        </w:rPr>
      </w:pPr>
    </w:p>
    <w:p w:rsidR="003C1335" w:rsidRPr="003C1335" w:rsidRDefault="003C1335" w:rsidP="003C1335">
      <w:pPr>
        <w:tabs>
          <w:tab w:val="left" w:pos="851"/>
        </w:tabs>
        <w:ind w:left="851"/>
        <w:rPr>
          <w:i/>
          <w:iCs/>
          <w:sz w:val="24"/>
          <w:szCs w:val="24"/>
        </w:rPr>
      </w:pPr>
      <w:r w:rsidRPr="003C1335">
        <w:rPr>
          <w:i/>
          <w:sz w:val="24"/>
          <w:szCs w:val="24"/>
        </w:rPr>
        <w:t>Alkohol</w:t>
      </w:r>
    </w:p>
    <w:p w:rsidR="003C1335" w:rsidRPr="003C1335" w:rsidRDefault="003C1335" w:rsidP="003C1335">
      <w:pPr>
        <w:tabs>
          <w:tab w:val="left" w:pos="851"/>
        </w:tabs>
        <w:ind w:left="851"/>
        <w:rPr>
          <w:sz w:val="24"/>
          <w:szCs w:val="24"/>
        </w:rPr>
      </w:pPr>
      <w:r w:rsidRPr="003C1335">
        <w:rPr>
          <w:sz w:val="24"/>
          <w:szCs w:val="24"/>
        </w:rPr>
        <w:t>Benzodiazepiner har en additiv virkning, når de indtages sammen med alkohol. Samtidig indtagelse af alkohol frarådes derfor. Kombination med alkohol forstærker alprazolams sederende virkning.</w:t>
      </w:r>
    </w:p>
    <w:p w:rsidR="003C1335" w:rsidRPr="003C1335" w:rsidRDefault="003C1335" w:rsidP="003C1335">
      <w:pPr>
        <w:tabs>
          <w:tab w:val="left" w:pos="851"/>
        </w:tabs>
        <w:ind w:left="851"/>
        <w:rPr>
          <w:i/>
          <w:iCs/>
          <w:sz w:val="24"/>
          <w:szCs w:val="24"/>
        </w:rPr>
      </w:pPr>
    </w:p>
    <w:p w:rsidR="003C1335" w:rsidRPr="003C1335" w:rsidRDefault="003C1335" w:rsidP="003C1335">
      <w:pPr>
        <w:tabs>
          <w:tab w:val="left" w:pos="851"/>
        </w:tabs>
        <w:ind w:left="851"/>
        <w:rPr>
          <w:i/>
          <w:iCs/>
          <w:sz w:val="24"/>
          <w:szCs w:val="24"/>
        </w:rPr>
      </w:pPr>
      <w:r w:rsidRPr="003C1335">
        <w:rPr>
          <w:i/>
          <w:sz w:val="24"/>
          <w:szCs w:val="24"/>
        </w:rPr>
        <w:t>Psykotrope lægemidler</w:t>
      </w:r>
    </w:p>
    <w:p w:rsidR="003C1335" w:rsidRPr="003C1335" w:rsidRDefault="003C1335" w:rsidP="003C1335">
      <w:pPr>
        <w:tabs>
          <w:tab w:val="left" w:pos="851"/>
        </w:tabs>
        <w:ind w:left="851"/>
        <w:rPr>
          <w:sz w:val="24"/>
          <w:szCs w:val="24"/>
        </w:rPr>
      </w:pPr>
      <w:r w:rsidRPr="003C1335">
        <w:rPr>
          <w:sz w:val="24"/>
          <w:szCs w:val="24"/>
        </w:rPr>
        <w:t>Alprazolam skal anvendes med forsigtighed, når det kombineres med andre CNS</w:t>
      </w:r>
      <w:r w:rsidRPr="003C1335">
        <w:rPr>
          <w:sz w:val="24"/>
          <w:szCs w:val="24"/>
        </w:rPr>
        <w:noBreakHyphen/>
        <w:t>depressiva. Den CNS</w:t>
      </w:r>
      <w:r w:rsidRPr="003C1335">
        <w:rPr>
          <w:sz w:val="24"/>
          <w:szCs w:val="24"/>
        </w:rPr>
        <w:noBreakHyphen/>
        <w:t>deprimerende virkning kan blive forstærket, og benzodiazepiner har en additiv virkning, når de administreres sammen med andre CNS</w:t>
      </w:r>
      <w:r w:rsidRPr="003C1335">
        <w:rPr>
          <w:sz w:val="24"/>
          <w:szCs w:val="24"/>
        </w:rPr>
        <w:noBreakHyphen/>
        <w:t>depressiva eller psykotrope lægemidler, såsom antipsykotika (neuroleptika), hypnotika, anxiolytika/sedativa, antidepressiva, narkotiske analgetika (f.eks. opioider), antiepileptika, anæstetika og sederende antihistaminer.</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Samtidig anvendelse med narkotiske analgetika, kan forstærke eufori, hvilket kan medføre øget psykisk afhængighed</w:t>
      </w:r>
    </w:p>
    <w:p w:rsidR="003C1335" w:rsidRPr="003C1335" w:rsidRDefault="003C1335" w:rsidP="003C1335">
      <w:pPr>
        <w:tabs>
          <w:tab w:val="left" w:pos="851"/>
        </w:tabs>
        <w:ind w:left="851"/>
        <w:rPr>
          <w:i/>
          <w:iCs/>
          <w:sz w:val="24"/>
          <w:szCs w:val="24"/>
        </w:rPr>
      </w:pPr>
    </w:p>
    <w:p w:rsidR="003C1335" w:rsidRPr="003C1335" w:rsidRDefault="003C1335" w:rsidP="003C1335">
      <w:pPr>
        <w:tabs>
          <w:tab w:val="left" w:pos="851"/>
        </w:tabs>
        <w:ind w:left="851"/>
        <w:rPr>
          <w:i/>
          <w:iCs/>
          <w:sz w:val="24"/>
          <w:szCs w:val="24"/>
        </w:rPr>
      </w:pPr>
      <w:r w:rsidRPr="003C1335">
        <w:rPr>
          <w:i/>
          <w:sz w:val="24"/>
          <w:szCs w:val="24"/>
        </w:rPr>
        <w:t>Clozapin</w:t>
      </w:r>
    </w:p>
    <w:p w:rsidR="003C1335" w:rsidRPr="003C1335" w:rsidRDefault="003C1335" w:rsidP="003C1335">
      <w:pPr>
        <w:tabs>
          <w:tab w:val="left" w:pos="851"/>
        </w:tabs>
        <w:ind w:left="851"/>
        <w:rPr>
          <w:sz w:val="24"/>
          <w:szCs w:val="24"/>
        </w:rPr>
      </w:pPr>
      <w:r w:rsidRPr="003C1335">
        <w:rPr>
          <w:sz w:val="24"/>
          <w:szCs w:val="24"/>
        </w:rPr>
        <w:t>Samtidig anvendelse af clozapin kan øge risikoen for respirations- og/eller hjertestop.</w:t>
      </w:r>
    </w:p>
    <w:p w:rsidR="003C1335" w:rsidRPr="003C1335" w:rsidRDefault="003C1335" w:rsidP="003C1335">
      <w:pPr>
        <w:tabs>
          <w:tab w:val="left" w:pos="851"/>
        </w:tabs>
        <w:ind w:left="851"/>
        <w:rPr>
          <w:i/>
          <w:iCs/>
          <w:sz w:val="24"/>
          <w:szCs w:val="24"/>
        </w:rPr>
      </w:pPr>
    </w:p>
    <w:p w:rsidR="003C1335" w:rsidRPr="003C1335" w:rsidRDefault="003C1335" w:rsidP="003C1335">
      <w:pPr>
        <w:tabs>
          <w:tab w:val="left" w:pos="851"/>
        </w:tabs>
        <w:ind w:left="851"/>
        <w:rPr>
          <w:i/>
          <w:iCs/>
          <w:sz w:val="24"/>
          <w:szCs w:val="24"/>
        </w:rPr>
      </w:pPr>
      <w:r w:rsidRPr="003C1335">
        <w:rPr>
          <w:i/>
          <w:sz w:val="24"/>
          <w:szCs w:val="24"/>
        </w:rPr>
        <w:t>Opioider</w:t>
      </w:r>
    </w:p>
    <w:p w:rsidR="003C1335" w:rsidRPr="003C1335" w:rsidRDefault="003C1335" w:rsidP="003C1335">
      <w:pPr>
        <w:tabs>
          <w:tab w:val="left" w:pos="851"/>
        </w:tabs>
        <w:ind w:left="851"/>
        <w:rPr>
          <w:sz w:val="24"/>
          <w:szCs w:val="24"/>
        </w:rPr>
      </w:pPr>
      <w:r w:rsidRPr="003C1335">
        <w:rPr>
          <w:sz w:val="24"/>
          <w:szCs w:val="24"/>
        </w:rPr>
        <w:t>Samtidig anvendelse af sederende lægemidler, såsom benzodiazepiner eller lignende lægemidler som f.eks. alprazolam, og opioider, øger risikoen for sedation, respirationsdepression, koma og død på grund af den additive CNS</w:t>
      </w:r>
      <w:r w:rsidRPr="003C1335">
        <w:rPr>
          <w:sz w:val="24"/>
          <w:szCs w:val="24"/>
        </w:rPr>
        <w:noBreakHyphen/>
        <w:t>deprimerende virkning. Dosis og varighed af samtidig brug skal begrænses (se pkt 4.4).</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Der skal udvises særlig forsigtighed med lægemidler, der udløser respirationsdepression, såsom opioider (analgetika, hostestillende midler eller substitutionsbehandling). Dette er særligt vigtigt at være opmærksom på hos ældre.</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u w:val="single"/>
        </w:rPr>
      </w:pPr>
      <w:r w:rsidRPr="003C1335">
        <w:rPr>
          <w:sz w:val="24"/>
          <w:szCs w:val="24"/>
          <w:u w:val="single"/>
        </w:rPr>
        <w:t>Farmakokinetiske interaktioner</w:t>
      </w:r>
    </w:p>
    <w:p w:rsidR="003C1335" w:rsidRDefault="003C1335" w:rsidP="003C1335">
      <w:pPr>
        <w:tabs>
          <w:tab w:val="left" w:pos="851"/>
        </w:tabs>
        <w:ind w:left="851"/>
        <w:rPr>
          <w:i/>
          <w:sz w:val="24"/>
          <w:szCs w:val="24"/>
        </w:rPr>
      </w:pPr>
    </w:p>
    <w:p w:rsidR="003C1335" w:rsidRPr="003C1335" w:rsidRDefault="003C1335" w:rsidP="003C1335">
      <w:pPr>
        <w:tabs>
          <w:tab w:val="left" w:pos="851"/>
        </w:tabs>
        <w:ind w:left="851"/>
        <w:rPr>
          <w:i/>
          <w:iCs/>
          <w:sz w:val="24"/>
          <w:szCs w:val="24"/>
        </w:rPr>
      </w:pPr>
      <w:r w:rsidRPr="003C1335">
        <w:rPr>
          <w:i/>
          <w:sz w:val="24"/>
          <w:szCs w:val="24"/>
        </w:rPr>
        <w:t>CYP3A4</w:t>
      </w:r>
      <w:r w:rsidRPr="003C1335">
        <w:rPr>
          <w:i/>
          <w:sz w:val="24"/>
          <w:szCs w:val="24"/>
        </w:rPr>
        <w:noBreakHyphen/>
        <w:t>hæmmere</w:t>
      </w:r>
    </w:p>
    <w:p w:rsidR="003C1335" w:rsidRPr="003C1335" w:rsidRDefault="003C1335" w:rsidP="003C1335">
      <w:pPr>
        <w:tabs>
          <w:tab w:val="left" w:pos="851"/>
        </w:tabs>
        <w:ind w:left="851"/>
        <w:rPr>
          <w:sz w:val="24"/>
          <w:szCs w:val="24"/>
        </w:rPr>
      </w:pPr>
      <w:r w:rsidRPr="003C1335">
        <w:rPr>
          <w:sz w:val="24"/>
          <w:szCs w:val="24"/>
        </w:rPr>
        <w:t>Der kan forekomme farmakokinetiske interaktioner, når alprazolam administreres sammen med lægemidler, der hæmmer leverenzymet CYP3A4 ved at øge plasmakoncentrationen af alprazolam.</w:t>
      </w:r>
    </w:p>
    <w:p w:rsidR="003C1335" w:rsidRPr="003C1335" w:rsidRDefault="003C1335" w:rsidP="003C1335">
      <w:pPr>
        <w:tabs>
          <w:tab w:val="left" w:pos="851"/>
        </w:tabs>
        <w:ind w:left="851"/>
        <w:rPr>
          <w:sz w:val="24"/>
          <w:szCs w:val="24"/>
        </w:rPr>
      </w:pPr>
      <w:r w:rsidRPr="003C1335">
        <w:rPr>
          <w:sz w:val="24"/>
          <w:szCs w:val="24"/>
        </w:rPr>
        <w:t>Alprazolam skal derfor anvendes med forsigtighed hos patienter, der tager disse lægemidler, og det kan være nødvendigt at reducere dosis, når disse lægemidler anvendes samtidig.</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lastRenderedPageBreak/>
        <w:t>Itraconazol, en potent CYP3A4</w:t>
      </w:r>
      <w:r w:rsidRPr="003C1335">
        <w:rPr>
          <w:sz w:val="24"/>
          <w:szCs w:val="24"/>
        </w:rPr>
        <w:noBreakHyphen/>
        <w:t>hæmmer, øger AUC og forlænger eliminationshalveringstiden for alprazolam. Data fra et studie, hvor raske frivillige forsøgspersoner fik itraconazol 200 mg/dag og 0,8 mg alprazolam, viste at AUC blev forøget to</w:t>
      </w:r>
      <w:r w:rsidRPr="003C1335">
        <w:rPr>
          <w:sz w:val="24"/>
          <w:szCs w:val="24"/>
        </w:rPr>
        <w:noBreakHyphen/>
        <w:t>tre gange, og eliminationshalveringstiden blev forlænget til ca. 40 timer. Der er også set ændringer af den psykomotoriske funktion under påvirkning af alprazolam. Itraconazol kan forstærke den CNS</w:t>
      </w:r>
      <w:r w:rsidRPr="003C1335">
        <w:rPr>
          <w:sz w:val="24"/>
          <w:szCs w:val="24"/>
        </w:rPr>
        <w:noBreakHyphen/>
        <w:t>deprimerende virkning af alprazolam, og seponering af behandlingen med itraconazol kan svække den terapeutiske virkning af alprazolam.</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Samtidig behandling med potente CYP3A4</w:t>
      </w:r>
      <w:r w:rsidRPr="003C1335">
        <w:rPr>
          <w:sz w:val="24"/>
          <w:szCs w:val="24"/>
        </w:rPr>
        <w:noBreakHyphen/>
        <w:t>hæmmere som itraconazol, ketoconazol, posaconazol, voriconazol og HIV-proteasehæmmere frarådes. Hvis samtidig anvendelse af alprazolam og en potent CYP3A4</w:t>
      </w:r>
      <w:r w:rsidRPr="003C1335">
        <w:rPr>
          <w:sz w:val="24"/>
          <w:szCs w:val="24"/>
        </w:rPr>
        <w:noBreakHyphen/>
        <w:t>hæmmer imidlertid vurderes nødvendigt, skal alprazolam-dosen nedsættes til det halve eller til en tredjedel.</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Behandling med fluvoxamin forlænger halveringstiden for alprazolam fra 20 timer til 34 timer og fordobler koncentrationen af alprazolam i plasma. Ved samtidig administration anbefales det at halvere alprazolam-dosen</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Fluoxetin har en moderat hæmmende virkning på metaboliseringen af alprazolam, hvilket resulterer i en øget plasmakoncentration. De psykomotoriske virkninger af alprazolam forstærkes derfor ved samtidig anvendelse. Justering af dosis kan være nødvendig.</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Erythromycin hæmmer metaboliseringen af alprazolam. Koncentrationen af alprazolam i plasma stiger med ca. 50 %. Denne kombination kan nødvendiggøre justering af dosis.</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Andre CYP3A4</w:t>
      </w:r>
      <w:r w:rsidRPr="003C1335">
        <w:rPr>
          <w:sz w:val="24"/>
          <w:szCs w:val="24"/>
        </w:rPr>
        <w:noBreakHyphen/>
        <w:t>hæmmere, der kan øge koncentrationen af alprazolam i plasma, er clarithromycin, telithromycin, diltiazem og fluconazol. Justering af dosis kan være nødvendig.</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Cimetidin reducerer clearance af alprazolam, hvilket formentlig forstærker virkningen. Den kliniske signifikans af denne interaktion er endnu ikke klarlagt.</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i/>
          <w:iCs/>
          <w:sz w:val="24"/>
          <w:szCs w:val="24"/>
        </w:rPr>
      </w:pPr>
      <w:r w:rsidRPr="003C1335">
        <w:rPr>
          <w:i/>
          <w:sz w:val="24"/>
          <w:szCs w:val="24"/>
        </w:rPr>
        <w:t>CYP3A4</w:t>
      </w:r>
      <w:r w:rsidRPr="003C1335">
        <w:rPr>
          <w:i/>
          <w:sz w:val="24"/>
          <w:szCs w:val="24"/>
        </w:rPr>
        <w:noBreakHyphen/>
        <w:t>induktorer</w:t>
      </w:r>
    </w:p>
    <w:p w:rsidR="003C1335" w:rsidRPr="003C1335" w:rsidRDefault="003C1335" w:rsidP="003C1335">
      <w:pPr>
        <w:tabs>
          <w:tab w:val="left" w:pos="851"/>
        </w:tabs>
        <w:ind w:left="851"/>
        <w:rPr>
          <w:sz w:val="24"/>
          <w:szCs w:val="24"/>
        </w:rPr>
      </w:pPr>
      <w:r w:rsidRPr="003C1335">
        <w:rPr>
          <w:sz w:val="24"/>
          <w:szCs w:val="24"/>
        </w:rPr>
        <w:t xml:space="preserve">Da alprazolam metaboliseres af CYP3A4, kan induktorer af dette enzym øge metaboliseringen af alprazolam. </w:t>
      </w:r>
    </w:p>
    <w:p w:rsidR="003C1335" w:rsidRPr="003C1335" w:rsidRDefault="003C1335" w:rsidP="003C1335">
      <w:pPr>
        <w:tabs>
          <w:tab w:val="left" w:pos="851"/>
        </w:tabs>
        <w:ind w:left="851"/>
        <w:rPr>
          <w:sz w:val="24"/>
          <w:szCs w:val="24"/>
        </w:rPr>
      </w:pPr>
      <w:r w:rsidRPr="003C1335">
        <w:rPr>
          <w:sz w:val="24"/>
          <w:szCs w:val="24"/>
        </w:rPr>
        <w:t>Interaktioner, der involverer HIV</w:t>
      </w:r>
      <w:r w:rsidRPr="003C1335">
        <w:rPr>
          <w:sz w:val="24"/>
          <w:szCs w:val="24"/>
        </w:rPr>
        <w:noBreakHyphen/>
        <w:t>proteasehæmmere (f.eks. ritonavir) og alprazolam, er komplekse og tidsafhængige. Kortvarig behandling med lave doser af ritonavir resulterede i et betydeligt fald i clearance af alprazolam, forlænget eliminationshalveringstid og forbedrede kliniske virkninger. CYP3A</w:t>
      </w:r>
      <w:r w:rsidRPr="003C1335">
        <w:rPr>
          <w:sz w:val="24"/>
          <w:szCs w:val="24"/>
        </w:rPr>
        <w:noBreakHyphen/>
        <w:t>induktionen udligner imidlertid denne hæmning ved længere tids eksponering for ritonavir. Denne interaktion kræver dosisjustering eller seponering af alprazolam.</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Patienter i samtidig behandling med alprazolam og theophyllin har en signifikant lavere koncentration af alprazolam i plasma end patienter, der kun behandles med alprazolam. Dette skyldes formentlig en øget metabolisme. Den kliniske signifikans af denne interaktion er endnu ikke klarlagt.</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Carbamazepin lader til at inducere metaboliseringen af alprazolam, hvilket resulterer i en reduceret virkning. Den kliniske signifikans af denne interaktion er endnu ikke klarlagt. Lignende virkninger kan forekomme ved samtidig administration af rifampicin eller prikbladet perikon.</w:t>
      </w:r>
    </w:p>
    <w:p w:rsidR="003C1335" w:rsidRPr="003C1335" w:rsidRDefault="003C1335" w:rsidP="003C1335">
      <w:pPr>
        <w:tabs>
          <w:tab w:val="left" w:pos="851"/>
        </w:tabs>
        <w:ind w:left="851"/>
        <w:rPr>
          <w:i/>
          <w:iCs/>
          <w:sz w:val="24"/>
          <w:szCs w:val="24"/>
        </w:rPr>
      </w:pPr>
    </w:p>
    <w:p w:rsidR="003C1335" w:rsidRPr="003C1335" w:rsidRDefault="003C1335" w:rsidP="003C1335">
      <w:pPr>
        <w:tabs>
          <w:tab w:val="left" w:pos="851"/>
        </w:tabs>
        <w:ind w:left="851"/>
        <w:rPr>
          <w:i/>
          <w:iCs/>
          <w:sz w:val="24"/>
          <w:szCs w:val="24"/>
        </w:rPr>
      </w:pPr>
      <w:r w:rsidRPr="003C1335">
        <w:rPr>
          <w:i/>
          <w:sz w:val="24"/>
          <w:szCs w:val="24"/>
        </w:rPr>
        <w:lastRenderedPageBreak/>
        <w:t>Alprazolams virkning på andre lægemidlers farmakokinetik</w:t>
      </w:r>
    </w:p>
    <w:p w:rsidR="003C1335" w:rsidRPr="003C1335" w:rsidRDefault="003C1335" w:rsidP="003C1335">
      <w:pPr>
        <w:tabs>
          <w:tab w:val="left" w:pos="851"/>
        </w:tabs>
        <w:ind w:left="851"/>
        <w:rPr>
          <w:sz w:val="24"/>
          <w:szCs w:val="24"/>
        </w:rPr>
      </w:pPr>
      <w:r w:rsidRPr="003C1335">
        <w:rPr>
          <w:sz w:val="24"/>
          <w:szCs w:val="24"/>
        </w:rPr>
        <w:t>Der er rapporteret om en stigning i koncentrationen af digoxin i plasma ved samtidig administration af 1 mg alprazolam dagligt, især hos ældre patienter (&gt; 65 år). Patienter, der får alprazolam og digoxin samtidigt, skal derfor overvåges nøje for tegn og symptomer på digoxintoksicitet.</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Patienten skal oplyses om en forstærket muskelafslappende virkning (risiko for faldulykker), når alprazolam anvendes under behandling med muskelrelaksantia, især i begyndelsen af behandlingen.</w:t>
      </w:r>
    </w:p>
    <w:p w:rsidR="003C1335" w:rsidRPr="003C1335" w:rsidRDefault="003C1335" w:rsidP="003C1335">
      <w:pPr>
        <w:tabs>
          <w:tab w:val="left" w:pos="851"/>
        </w:tabs>
        <w:ind w:left="851"/>
        <w:rPr>
          <w:sz w:val="24"/>
          <w:szCs w:val="24"/>
        </w:rPr>
      </w:pPr>
      <w:r w:rsidRPr="003C1335">
        <w:rPr>
          <w:sz w:val="24"/>
          <w:szCs w:val="24"/>
        </w:rPr>
        <w:t>Plasmakoncentrationen af imipramin og dets metabolit, desmethylimipramin, kan stige med 30 %, når det administreres samtidig med alprazolam på grund af hæmmet metabolisme.</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i/>
          <w:iCs/>
          <w:sz w:val="24"/>
          <w:szCs w:val="24"/>
        </w:rPr>
      </w:pPr>
      <w:r w:rsidRPr="003C1335">
        <w:rPr>
          <w:i/>
          <w:sz w:val="24"/>
          <w:szCs w:val="24"/>
        </w:rPr>
        <w:t>Andre lægemidlers virkning på alprazolams farmakokinetik</w:t>
      </w:r>
    </w:p>
    <w:p w:rsidR="003C1335" w:rsidRPr="003C1335" w:rsidRDefault="003C1335" w:rsidP="003C1335">
      <w:pPr>
        <w:tabs>
          <w:tab w:val="left" w:pos="851"/>
        </w:tabs>
        <w:ind w:left="851"/>
        <w:rPr>
          <w:sz w:val="24"/>
          <w:szCs w:val="24"/>
          <w:u w:val="single"/>
        </w:rPr>
      </w:pPr>
      <w:r w:rsidRPr="003C1335">
        <w:rPr>
          <w:sz w:val="24"/>
          <w:szCs w:val="24"/>
          <w:u w:val="single"/>
        </w:rPr>
        <w:t>De følgende kombinationer skal undgås:</w:t>
      </w:r>
    </w:p>
    <w:p w:rsidR="003C1335" w:rsidRPr="003C1335" w:rsidRDefault="003C1335" w:rsidP="003C1335">
      <w:pPr>
        <w:tabs>
          <w:tab w:val="left" w:pos="851"/>
        </w:tabs>
        <w:ind w:left="851"/>
        <w:rPr>
          <w:sz w:val="24"/>
          <w:szCs w:val="24"/>
        </w:rPr>
      </w:pPr>
      <w:r w:rsidRPr="003C1335">
        <w:rPr>
          <w:sz w:val="24"/>
          <w:szCs w:val="24"/>
        </w:rPr>
        <w:t>Dextropropoxyfen kan hæmme metaboliseringen/reducere clearance af alprazolam, hvilket resulterer i en øget koncentration af alprazolam i plasma og dermed en forstærket virkning af alprazolam. Samtidig behandling med dextropropoxyfen skal undgås.</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Nefazodon hæmmer CYP3A4</w:t>
      </w:r>
      <w:r w:rsidRPr="003C1335">
        <w:rPr>
          <w:sz w:val="24"/>
          <w:szCs w:val="24"/>
        </w:rPr>
        <w:noBreakHyphen/>
        <w:t>medieret oxidation af alprazolam, hvilket resulterer i en fordobling af plasmakoncentrationen af alprazolam og en risiko for forstærkede CNS-virkninger. Det anbefales derfor at reducere alprazolam-dosen til det halve ved denne kombination.</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u w:val="single"/>
        </w:rPr>
      </w:pPr>
      <w:r w:rsidRPr="003C1335">
        <w:rPr>
          <w:sz w:val="24"/>
          <w:szCs w:val="24"/>
          <w:u w:val="single"/>
        </w:rPr>
        <w:t>Interaktioner, der skal tages i betragtning, og hvor dosisjustering kan være nødvendig:</w:t>
      </w:r>
    </w:p>
    <w:p w:rsidR="003C1335" w:rsidRPr="003C1335" w:rsidRDefault="003C1335" w:rsidP="003C1335">
      <w:pPr>
        <w:tabs>
          <w:tab w:val="left" w:pos="851"/>
        </w:tabs>
        <w:ind w:left="851"/>
        <w:rPr>
          <w:sz w:val="24"/>
          <w:szCs w:val="24"/>
        </w:rPr>
      </w:pPr>
      <w:r w:rsidRPr="003C1335">
        <w:rPr>
          <w:sz w:val="24"/>
          <w:szCs w:val="24"/>
        </w:rPr>
        <w:t>Kontraceptiva: P-piller kan hæmme metaboliseringen af benzodiazepiner, herunder oxidationen af alprazolam, hvilket kan resultere i højere plasmakoncentrationer og en forstærkning af alprazolams virkning.</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Omeprazol: Dette lægemiddel kan hæmme metaboliseringen af alprazolam, hvilket resulterer i højere plasmakoncentrationer og en forstærkning af alprazolams virkning.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rsidR="003C1335" w:rsidRDefault="003C1335" w:rsidP="003C1335">
      <w:pPr>
        <w:tabs>
          <w:tab w:val="left" w:pos="851"/>
        </w:tabs>
        <w:ind w:left="851"/>
        <w:rPr>
          <w:sz w:val="24"/>
          <w:szCs w:val="24"/>
          <w:u w:val="single"/>
        </w:rPr>
      </w:pPr>
    </w:p>
    <w:p w:rsidR="003C1335" w:rsidRPr="003C1335" w:rsidRDefault="003C1335" w:rsidP="003C1335">
      <w:pPr>
        <w:tabs>
          <w:tab w:val="left" w:pos="851"/>
        </w:tabs>
        <w:ind w:left="851"/>
        <w:rPr>
          <w:sz w:val="24"/>
          <w:szCs w:val="24"/>
          <w:u w:val="single"/>
        </w:rPr>
      </w:pPr>
      <w:r w:rsidRPr="003C1335">
        <w:rPr>
          <w:sz w:val="24"/>
          <w:szCs w:val="24"/>
          <w:u w:val="single"/>
        </w:rPr>
        <w:t>Graviditet</w:t>
      </w:r>
    </w:p>
    <w:p w:rsidR="003C1335" w:rsidRPr="003C1335" w:rsidRDefault="003C1335" w:rsidP="003C1335">
      <w:pPr>
        <w:tabs>
          <w:tab w:val="left" w:pos="851"/>
        </w:tabs>
        <w:ind w:left="851"/>
        <w:rPr>
          <w:sz w:val="24"/>
          <w:szCs w:val="24"/>
        </w:rPr>
      </w:pPr>
      <w:r w:rsidRPr="003C1335">
        <w:rPr>
          <w:sz w:val="24"/>
          <w:szCs w:val="24"/>
        </w:rPr>
        <w:t>Det er ikke muligt at vurdere risikoen for misdannelser og virkningerne på udvikling og adfærd i den tidlige barndom hos mennesker på grund af det lave antal tilfælde til dato samt utilstrækkelig dokumentation.</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En større mængde data baseret på cohorte-studier indikerer, at eksponering for benzodiazepin tidligt i graviditeten (første trimester) ikke er forbundet med en øget risiko for alvorlige misdannelser. Dog blev der i visse epidemiologiske studier med en tidlig case-kontrol påvist en øget risiko for ganespalte.</w:t>
      </w:r>
    </w:p>
    <w:p w:rsidR="003C1335" w:rsidRPr="003C1335" w:rsidRDefault="003C1335" w:rsidP="003C1335">
      <w:pPr>
        <w:tabs>
          <w:tab w:val="left" w:pos="851"/>
        </w:tabs>
        <w:ind w:left="851"/>
        <w:rPr>
          <w:sz w:val="24"/>
          <w:szCs w:val="24"/>
        </w:rPr>
      </w:pPr>
      <w:r w:rsidRPr="003C1335">
        <w:rPr>
          <w:sz w:val="24"/>
          <w:szCs w:val="24"/>
        </w:rPr>
        <w:t>Data viste, at risikoen for at få et barn med ganespalte efter maternel eksponering for benzodiazepiner er mindre end 2 ud af 1 000. Dette skal sammenlignes med den naturlige forekomst af denne type defekter på ca. 1 ud af 1 000 hos befolkningen som helhed.</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Behandling med høje doser benzodiazepiner i 2. og/eller 3. trimester fører til reducerede fosterbevægelser og uregelmæssigheder i fosterets hjerterytme.</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lastRenderedPageBreak/>
        <w:t>Der er case-rapporter om misdannelser og mental retardering hos prænatalt eksponerede børn efter overdosering og forgiftning med benzodiazepiner.</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Hvis det af væsentlige medicinske årsager er nødvendigt at administrere alprazolam i den sidste del af graviditeten eller under fødslen, er der – selv i små doser – risiko for virkninger hos det nyfødte barn, såsom aksial hypotoni, nedsat muskeltonus og manglende sutterefleks, der fører til lavere vægtøgning (floppy infant-syndrom). Disse virkninger er reversible og kan vare i 1 til 3 uger svarede til eliminationshalveringstiden.</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Ved høje doser kan der opstå respirationssvigt eller respirationsstop samt hypotermi hos nyfødte børn. Der kan der endvidere forekomme abstinenssymptomer som hyperexcitabilitet, uro og tremor et par dage efter fødslen, også selvom der ikke er observeret floppy infant-syndrom. Forekomsten af abstinenssymptomer efter fødslen afhænger af stoffets halveringstid.</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Alprazolam må ikke anvendes under graviditeten, medmindre kvindens kliniske tilstand nødvendiggør behandling med alprazolam. Hvis alprazolam anvendes under graviditeten, eller hvis patienten bliver gravid, mens hun tager alprazolam, skal patienten oplyses om den potentielle risiko, det indebærer for fosteret. Hvis behandling med Alprazolam "Grindeks" er nødvendig i den sidste del af graviditeten eller under fødslen, skal høje doser undgås, og mulige abstinenssymptomer og/eller floppy infant-syndrom skal overvåges hos det nyfødte barn.</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u w:val="single"/>
        </w:rPr>
      </w:pPr>
      <w:r w:rsidRPr="003C1335">
        <w:rPr>
          <w:sz w:val="24"/>
          <w:szCs w:val="24"/>
          <w:u w:val="single"/>
        </w:rPr>
        <w:t>Amning</w:t>
      </w:r>
    </w:p>
    <w:p w:rsidR="003C1335" w:rsidRPr="003C1335" w:rsidRDefault="003C1335" w:rsidP="003C1335">
      <w:pPr>
        <w:tabs>
          <w:tab w:val="left" w:pos="851"/>
        </w:tabs>
        <w:ind w:left="851"/>
        <w:rPr>
          <w:sz w:val="24"/>
          <w:szCs w:val="24"/>
        </w:rPr>
      </w:pPr>
      <w:r w:rsidRPr="003C1335">
        <w:rPr>
          <w:sz w:val="24"/>
          <w:szCs w:val="24"/>
        </w:rPr>
        <w:t>Alprazolam udskilles i små mængder i human mælk, hvor det akkumulerer. Amning skal derfor ophøre under behandling med Alprazolam "Grindeks". Hvis gentagne eller høje doser af Alprazolam "Grindeks" vurderes nødvendigt under amning, er fravænning af barnet påkrævet.</w:t>
      </w:r>
    </w:p>
    <w:p w:rsidR="003C1335" w:rsidRPr="003C1335" w:rsidRDefault="003C1335" w:rsidP="003C1335">
      <w:pPr>
        <w:tabs>
          <w:tab w:val="left" w:pos="851"/>
        </w:tabs>
        <w:ind w:left="851"/>
        <w:rPr>
          <w:sz w:val="24"/>
          <w:szCs w:val="24"/>
        </w:rPr>
      </w:pPr>
    </w:p>
    <w:p w:rsidR="003C1335" w:rsidRPr="003C1335" w:rsidRDefault="003C1335" w:rsidP="003C1335">
      <w:pPr>
        <w:tabs>
          <w:tab w:val="left" w:pos="851"/>
        </w:tabs>
        <w:ind w:left="851"/>
        <w:rPr>
          <w:sz w:val="24"/>
          <w:szCs w:val="24"/>
        </w:rPr>
      </w:pPr>
      <w:r w:rsidRPr="003C1335">
        <w:rPr>
          <w:sz w:val="24"/>
          <w:szCs w:val="24"/>
        </w:rPr>
        <w:t>Nyfødte børn metaboliserer benzodiazepiner meget langsommere end voksne.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rsidR="003C1335" w:rsidRDefault="003C1335" w:rsidP="003C1335">
      <w:pPr>
        <w:tabs>
          <w:tab w:val="left" w:pos="851"/>
        </w:tabs>
        <w:ind w:left="851"/>
        <w:rPr>
          <w:sz w:val="24"/>
          <w:szCs w:val="24"/>
        </w:rPr>
      </w:pPr>
      <w:r>
        <w:rPr>
          <w:sz w:val="24"/>
          <w:szCs w:val="24"/>
        </w:rPr>
        <w:t>Mærkning.</w:t>
      </w:r>
    </w:p>
    <w:p w:rsidR="003C1335" w:rsidRPr="003C1335" w:rsidRDefault="003C1335" w:rsidP="003C1335">
      <w:pPr>
        <w:tabs>
          <w:tab w:val="left" w:pos="851"/>
        </w:tabs>
        <w:ind w:left="851"/>
        <w:rPr>
          <w:sz w:val="24"/>
          <w:szCs w:val="24"/>
        </w:rPr>
      </w:pPr>
      <w:r w:rsidRPr="003C1335">
        <w:rPr>
          <w:sz w:val="24"/>
          <w:szCs w:val="24"/>
        </w:rPr>
        <w:t>Alprazolam påvirker i væsentlig grad evnen til at føre motorkøretøj og betjene maskiner.</w:t>
      </w:r>
    </w:p>
    <w:p w:rsidR="003C1335" w:rsidRPr="003C1335" w:rsidRDefault="003C1335" w:rsidP="003C1335">
      <w:pPr>
        <w:tabs>
          <w:tab w:val="left" w:pos="851"/>
        </w:tabs>
        <w:ind w:left="851"/>
        <w:rPr>
          <w:sz w:val="24"/>
          <w:szCs w:val="24"/>
        </w:rPr>
      </w:pPr>
      <w:r w:rsidRPr="003C1335">
        <w:rPr>
          <w:sz w:val="24"/>
          <w:szCs w:val="24"/>
        </w:rPr>
        <w:t>Sedation, amnesi, nedsat koncentrationsevne og nedsat muskelfunktion kan have en negativ virkning på evnen til at føre motorkøretøj eller betjene maskiner. Dette gør sig især gældende ved behandlingsstart, efter dosisoptrapning, efter utilstrækkelig søvn og i kombination med alkohol eller andre CNS</w:t>
      </w:r>
      <w:r w:rsidRPr="003C1335">
        <w:rPr>
          <w:sz w:val="24"/>
          <w:szCs w:val="24"/>
        </w:rPr>
        <w:noBreakHyphen/>
        <w:t>depressiva (se pkt. 4.5).</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3C1335" w:rsidRPr="003C1335" w:rsidRDefault="003C1335" w:rsidP="003C1335">
      <w:pPr>
        <w:ind w:left="851" w:right="7"/>
        <w:rPr>
          <w:sz w:val="24"/>
          <w:szCs w:val="24"/>
        </w:rPr>
      </w:pPr>
      <w:r w:rsidRPr="003C1335">
        <w:rPr>
          <w:sz w:val="24"/>
          <w:szCs w:val="24"/>
        </w:rPr>
        <w:t>Afhængigt af patientens individuelle følsomhed og den administrerede dosis, kan følgende bivirkninger forekomme, især i starten af behandlingen:</w:t>
      </w:r>
      <w:r w:rsidR="00046E4E">
        <w:rPr>
          <w:sz w:val="24"/>
          <w:szCs w:val="24"/>
        </w:rPr>
        <w:t xml:space="preserve"> F</w:t>
      </w:r>
      <w:r w:rsidRPr="003C1335">
        <w:rPr>
          <w:sz w:val="24"/>
          <w:szCs w:val="24"/>
        </w:rPr>
        <w:t>ølelsesmæssig afstumpning, ustabil bevægelse og gang (risiko for faldulykker, især hos ældre patienter), synsforstyrrelser, eftervirkninger den følgende dag (svimmelhed, nedsat reaktionsevne osv.), forstyrrelser i det autonome nervesystem (blæredysfunktion).</w:t>
      </w:r>
    </w:p>
    <w:p w:rsidR="003C1335" w:rsidRPr="003C1335" w:rsidRDefault="003C1335" w:rsidP="003C1335">
      <w:pPr>
        <w:spacing w:line="256" w:lineRule="auto"/>
        <w:ind w:left="851"/>
        <w:rPr>
          <w:sz w:val="24"/>
          <w:szCs w:val="24"/>
        </w:rPr>
      </w:pPr>
    </w:p>
    <w:p w:rsidR="003C1335" w:rsidRPr="003C1335" w:rsidRDefault="003C1335" w:rsidP="003C1335">
      <w:pPr>
        <w:ind w:left="851" w:right="7"/>
        <w:rPr>
          <w:sz w:val="24"/>
          <w:szCs w:val="24"/>
        </w:rPr>
      </w:pPr>
      <w:r w:rsidRPr="003C1335">
        <w:rPr>
          <w:sz w:val="24"/>
          <w:szCs w:val="24"/>
        </w:rPr>
        <w:t>Som regel aftager disse symptomer efter gentagen anvendelse.</w:t>
      </w:r>
    </w:p>
    <w:p w:rsidR="003C1335" w:rsidRPr="003C1335" w:rsidRDefault="003C1335" w:rsidP="003C1335">
      <w:pPr>
        <w:spacing w:line="256" w:lineRule="auto"/>
        <w:ind w:left="851"/>
        <w:rPr>
          <w:sz w:val="24"/>
          <w:szCs w:val="24"/>
        </w:rPr>
      </w:pPr>
    </w:p>
    <w:p w:rsidR="003C1335" w:rsidRPr="003C1335" w:rsidRDefault="003C1335" w:rsidP="003C1335">
      <w:pPr>
        <w:ind w:left="851" w:right="7"/>
        <w:rPr>
          <w:sz w:val="24"/>
          <w:szCs w:val="24"/>
        </w:rPr>
      </w:pPr>
      <w:r w:rsidRPr="003C1335">
        <w:rPr>
          <w:sz w:val="24"/>
          <w:szCs w:val="24"/>
        </w:rPr>
        <w:t>I sjældne tilfælde kan der opstå respirationsdepression, især om natten.</w:t>
      </w:r>
    </w:p>
    <w:p w:rsidR="00046E4E" w:rsidRDefault="00046E4E">
      <w:pPr>
        <w:rPr>
          <w:sz w:val="24"/>
          <w:szCs w:val="24"/>
        </w:rPr>
      </w:pPr>
      <w:r>
        <w:rPr>
          <w:sz w:val="24"/>
          <w:szCs w:val="24"/>
        </w:rPr>
        <w:br w:type="page"/>
      </w:r>
    </w:p>
    <w:p w:rsidR="003C1335" w:rsidRPr="003C1335" w:rsidRDefault="003C1335" w:rsidP="003C1335">
      <w:pPr>
        <w:spacing w:line="256" w:lineRule="auto"/>
        <w:ind w:left="851"/>
        <w:rPr>
          <w:sz w:val="24"/>
          <w:szCs w:val="24"/>
        </w:rPr>
      </w:pPr>
    </w:p>
    <w:p w:rsidR="003C1335" w:rsidRPr="003C1335" w:rsidRDefault="003C1335" w:rsidP="003C1335">
      <w:pPr>
        <w:ind w:left="851" w:right="7"/>
        <w:rPr>
          <w:sz w:val="24"/>
          <w:szCs w:val="24"/>
        </w:rPr>
      </w:pPr>
      <w:r w:rsidRPr="003C1335">
        <w:rPr>
          <w:sz w:val="24"/>
          <w:szCs w:val="24"/>
        </w:rPr>
        <w:t>Følgende kategorier anvendes til at udtrykke hyppigheden af bivirkninger:</w:t>
      </w:r>
    </w:p>
    <w:p w:rsidR="003C1335" w:rsidRDefault="003C1335" w:rsidP="003C1335">
      <w:pPr>
        <w:spacing w:line="256" w:lineRule="auto"/>
        <w:ind w:left="-1418" w:right="10467"/>
      </w:pPr>
    </w:p>
    <w:tbl>
      <w:tblPr>
        <w:tblStyle w:val="TableGrid"/>
        <w:tblW w:w="1033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1" w:type="dxa"/>
          <w:left w:w="106" w:type="dxa"/>
          <w:right w:w="38" w:type="dxa"/>
        </w:tblCellMar>
        <w:tblLook w:val="04A0" w:firstRow="1" w:lastRow="0" w:firstColumn="1" w:lastColumn="0" w:noHBand="0" w:noVBand="1"/>
      </w:tblPr>
      <w:tblGrid>
        <w:gridCol w:w="1685"/>
        <w:gridCol w:w="2001"/>
        <w:gridCol w:w="2368"/>
        <w:gridCol w:w="1317"/>
        <w:gridCol w:w="1148"/>
        <w:gridCol w:w="1811"/>
      </w:tblGrid>
      <w:tr w:rsidR="003C1335" w:rsidRPr="00046E4E" w:rsidTr="00046E4E">
        <w:trPr>
          <w:trHeight w:val="860"/>
          <w:tblHeader/>
        </w:trPr>
        <w:tc>
          <w:tcPr>
            <w:tcW w:w="1685"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b/>
                <w:sz w:val="20"/>
                <w:szCs w:val="20"/>
              </w:rPr>
              <w:t>Meget almindelig</w:t>
            </w:r>
          </w:p>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 1/10)</w:t>
            </w: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b/>
                <w:sz w:val="20"/>
                <w:szCs w:val="20"/>
              </w:rPr>
              <w:t>Almindelig</w:t>
            </w:r>
          </w:p>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 1/100 til &lt; 1/10)</w:t>
            </w:r>
          </w:p>
          <w:p w:rsidR="003C1335" w:rsidRPr="00046E4E" w:rsidRDefault="003C1335">
            <w:pPr>
              <w:spacing w:line="256"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after="10" w:line="237" w:lineRule="auto"/>
              <w:ind w:left="2" w:right="48"/>
              <w:rPr>
                <w:rFonts w:ascii="Times New Roman" w:hAnsi="Times New Roman" w:cs="Times New Roman"/>
                <w:sz w:val="20"/>
                <w:szCs w:val="20"/>
              </w:rPr>
            </w:pPr>
            <w:r w:rsidRPr="00046E4E">
              <w:rPr>
                <w:rFonts w:ascii="Times New Roman" w:hAnsi="Times New Roman" w:cs="Times New Roman"/>
                <w:b/>
                <w:sz w:val="20"/>
                <w:szCs w:val="20"/>
              </w:rPr>
              <w:t>Ikke almindelig</w:t>
            </w:r>
          </w:p>
          <w:p w:rsidR="003C1335" w:rsidRPr="00046E4E" w:rsidRDefault="003C1335">
            <w:pPr>
              <w:spacing w:line="256" w:lineRule="auto"/>
              <w:ind w:left="2" w:right="38"/>
              <w:rPr>
                <w:rFonts w:ascii="Times New Roman" w:hAnsi="Times New Roman" w:cs="Times New Roman"/>
                <w:sz w:val="20"/>
                <w:szCs w:val="20"/>
              </w:rPr>
            </w:pPr>
            <w:r w:rsidRPr="00046E4E">
              <w:rPr>
                <w:rFonts w:ascii="Times New Roman" w:hAnsi="Times New Roman" w:cs="Times New Roman"/>
                <w:sz w:val="20"/>
                <w:szCs w:val="20"/>
              </w:rPr>
              <w:t>(≥ 1/1 000 til &lt; 1/100)</w:t>
            </w:r>
          </w:p>
        </w:tc>
        <w:tc>
          <w:tcPr>
            <w:tcW w:w="1317"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b/>
                <w:sz w:val="20"/>
                <w:szCs w:val="20"/>
              </w:rPr>
              <w:t>Sjælden</w:t>
            </w:r>
          </w:p>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 1/10 000 til &lt; 1/1 000)</w:t>
            </w:r>
          </w:p>
        </w:tc>
        <w:tc>
          <w:tcPr>
            <w:tcW w:w="114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b/>
                <w:sz w:val="20"/>
                <w:szCs w:val="20"/>
              </w:rPr>
              <w:t>Meget sjælden</w:t>
            </w:r>
          </w:p>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(&lt; 1/10 000)</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3" w:line="237" w:lineRule="auto"/>
              <w:rPr>
                <w:rFonts w:ascii="Times New Roman" w:hAnsi="Times New Roman" w:cs="Times New Roman"/>
                <w:sz w:val="20"/>
                <w:szCs w:val="20"/>
              </w:rPr>
            </w:pPr>
            <w:r w:rsidRPr="00046E4E">
              <w:rPr>
                <w:rFonts w:ascii="Times New Roman" w:hAnsi="Times New Roman" w:cs="Times New Roman"/>
                <w:b/>
                <w:sz w:val="20"/>
                <w:szCs w:val="20"/>
              </w:rPr>
              <w:t>Ikke kendt</w:t>
            </w:r>
          </w:p>
          <w:p w:rsidR="003C1335" w:rsidRPr="00046E4E" w:rsidRDefault="003C1335">
            <w:pPr>
              <w:spacing w:line="237" w:lineRule="auto"/>
              <w:rPr>
                <w:rFonts w:ascii="Times New Roman" w:hAnsi="Times New Roman" w:cs="Times New Roman"/>
                <w:sz w:val="20"/>
                <w:szCs w:val="20"/>
              </w:rPr>
            </w:pPr>
            <w:r w:rsidRPr="00046E4E">
              <w:rPr>
                <w:rFonts w:ascii="Times New Roman" w:hAnsi="Times New Roman" w:cs="Times New Roman"/>
                <w:sz w:val="20"/>
                <w:szCs w:val="20"/>
              </w:rPr>
              <w:t>(kan ikke estimeres ud fra forhåndenværende data)</w:t>
            </w:r>
          </w:p>
          <w:p w:rsidR="003C1335" w:rsidRPr="00046E4E" w:rsidRDefault="003C1335">
            <w:pPr>
              <w:spacing w:line="256" w:lineRule="auto"/>
              <w:rPr>
                <w:rFonts w:ascii="Times New Roman" w:hAnsi="Times New Roman" w:cs="Times New Roman"/>
                <w:sz w:val="20"/>
                <w:szCs w:val="20"/>
              </w:rPr>
            </w:pPr>
          </w:p>
        </w:tc>
      </w:tr>
      <w:tr w:rsidR="003C1335" w:rsidRPr="00046E4E" w:rsidTr="00046E4E">
        <w:trPr>
          <w:trHeight w:val="295"/>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Det endokrine system</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373"/>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Hyperprolaktinæmi*</w:t>
            </w:r>
          </w:p>
        </w:tc>
      </w:tr>
      <w:tr w:rsidR="003C1335" w:rsidRPr="00046E4E" w:rsidTr="00046E4E">
        <w:trPr>
          <w:trHeight w:val="314"/>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Metabolisme og ernæring</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536"/>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Nedsat appetit</w:t>
            </w: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rPr>
                <w:rFonts w:ascii="Times New Roman" w:hAnsi="Times New Roman" w:cs="Times New Roman"/>
                <w:sz w:val="20"/>
                <w:szCs w:val="20"/>
              </w:rPr>
            </w:pPr>
          </w:p>
        </w:tc>
      </w:tr>
      <w:tr w:rsidR="003C1335" w:rsidRPr="00046E4E" w:rsidTr="00046E4E">
        <w:trPr>
          <w:trHeight w:val="403"/>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Psykiske forstyrrelser</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1077"/>
        </w:trPr>
        <w:tc>
          <w:tcPr>
            <w:tcW w:w="1685"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Depression</w:t>
            </w: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 w:line="237" w:lineRule="auto"/>
              <w:ind w:left="2"/>
              <w:rPr>
                <w:rFonts w:ascii="Times New Roman" w:hAnsi="Times New Roman" w:cs="Times New Roman"/>
                <w:sz w:val="20"/>
                <w:szCs w:val="20"/>
              </w:rPr>
            </w:pPr>
            <w:r w:rsidRPr="00046E4E">
              <w:rPr>
                <w:rFonts w:ascii="Times New Roman" w:hAnsi="Times New Roman" w:cs="Times New Roman"/>
                <w:sz w:val="20"/>
                <w:szCs w:val="20"/>
              </w:rPr>
              <w:t>Forvirring, desorientering, nedsat libido, angst, insomni, nervøsitet, øget libido*</w:t>
            </w:r>
          </w:p>
          <w:p w:rsidR="003C1335" w:rsidRPr="00046E4E" w:rsidRDefault="003C1335">
            <w:pPr>
              <w:spacing w:line="256" w:lineRule="auto"/>
              <w:ind w:left="2"/>
              <w:rPr>
                <w:rFonts w:ascii="Times New Roman" w:hAnsi="Times New Roman" w:cs="Times New Roman"/>
                <w:sz w:val="20"/>
                <w:szCs w:val="20"/>
              </w:rPr>
            </w:pPr>
          </w:p>
          <w:p w:rsidR="003C1335" w:rsidRPr="00046E4E" w:rsidRDefault="003C1335">
            <w:pPr>
              <w:spacing w:line="256" w:lineRule="auto"/>
              <w:ind w:left="2"/>
              <w:rPr>
                <w:rFonts w:ascii="Times New Roman" w:hAnsi="Times New Roman" w:cs="Times New Roman"/>
                <w:sz w:val="20"/>
                <w:szCs w:val="20"/>
              </w:rPr>
            </w:pPr>
          </w:p>
          <w:p w:rsidR="003C1335" w:rsidRPr="00046E4E" w:rsidRDefault="003C1335">
            <w:pPr>
              <w:spacing w:line="237"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Mani* (se pkt. 4.4), hallucinationer*, vrede*, agitation*, lægemiddelafhængighed</w:t>
            </w:r>
          </w:p>
          <w:p w:rsidR="003C1335" w:rsidRPr="00046E4E" w:rsidRDefault="003C1335">
            <w:pPr>
              <w:spacing w:line="256" w:lineRule="auto"/>
              <w:ind w:left="2"/>
              <w:rPr>
                <w:rFonts w:ascii="Times New Roman" w:hAnsi="Times New Roman" w:cs="Times New Roman"/>
                <w:sz w:val="20"/>
                <w:szCs w:val="20"/>
              </w:rPr>
            </w:pPr>
          </w:p>
          <w:p w:rsidR="003C1335" w:rsidRPr="00046E4E" w:rsidRDefault="003C1335">
            <w:pPr>
              <w:spacing w:after="2" w:line="237" w:lineRule="auto"/>
              <w:ind w:left="2"/>
              <w:rPr>
                <w:rFonts w:ascii="Times New Roman" w:hAnsi="Times New Roman" w:cs="Times New Roman"/>
                <w:sz w:val="20"/>
                <w:szCs w:val="20"/>
              </w:rPr>
            </w:pPr>
          </w:p>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Hypomani*, aggression*, fjendtlighed*, vrangforestillinger*, psykomotorisk hyperaktivitet*, medicinmisbrug</w:t>
            </w:r>
          </w:p>
          <w:p w:rsidR="003C1335" w:rsidRPr="00046E4E" w:rsidRDefault="003C1335">
            <w:pPr>
              <w:spacing w:line="256" w:lineRule="auto"/>
              <w:rPr>
                <w:rFonts w:ascii="Times New Roman" w:hAnsi="Times New Roman" w:cs="Times New Roman"/>
                <w:sz w:val="20"/>
                <w:szCs w:val="20"/>
              </w:rPr>
            </w:pPr>
          </w:p>
          <w:p w:rsidR="003C1335" w:rsidRPr="00046E4E" w:rsidRDefault="003C1335">
            <w:pPr>
              <w:spacing w:line="256" w:lineRule="auto"/>
              <w:rPr>
                <w:rFonts w:ascii="Times New Roman" w:hAnsi="Times New Roman" w:cs="Times New Roman"/>
                <w:sz w:val="20"/>
                <w:szCs w:val="20"/>
              </w:rPr>
            </w:pPr>
          </w:p>
          <w:p w:rsidR="003C1335" w:rsidRPr="00046E4E" w:rsidRDefault="003C1335">
            <w:pPr>
              <w:spacing w:line="256" w:lineRule="auto"/>
              <w:rPr>
                <w:rFonts w:ascii="Times New Roman" w:hAnsi="Times New Roman" w:cs="Times New Roman"/>
                <w:sz w:val="20"/>
                <w:szCs w:val="20"/>
              </w:rPr>
            </w:pPr>
          </w:p>
          <w:p w:rsidR="003C1335" w:rsidRPr="00046E4E" w:rsidRDefault="003C1335">
            <w:pPr>
              <w:spacing w:line="256" w:lineRule="auto"/>
              <w:rPr>
                <w:rFonts w:ascii="Times New Roman" w:hAnsi="Times New Roman" w:cs="Times New Roman"/>
                <w:sz w:val="20"/>
                <w:szCs w:val="20"/>
              </w:rPr>
            </w:pPr>
          </w:p>
        </w:tc>
      </w:tr>
      <w:tr w:rsidR="003C1335" w:rsidRPr="00046E4E" w:rsidTr="00046E4E">
        <w:trPr>
          <w:trHeight w:val="403"/>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Nervesystemet</w:t>
            </w:r>
          </w:p>
        </w:tc>
        <w:tc>
          <w:tcPr>
            <w:tcW w:w="1317" w:type="dxa"/>
            <w:tcBorders>
              <w:top w:val="single" w:sz="4" w:space="0" w:color="000000"/>
              <w:left w:val="single" w:sz="4" w:space="0" w:color="000000"/>
              <w:bottom w:val="single" w:sz="4" w:space="0" w:color="000000"/>
              <w:right w:val="single" w:sz="4" w:space="0" w:color="000000"/>
            </w:tcBorders>
            <w:vAlign w:val="bottom"/>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2402"/>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Sedation, døsighed, ataksi, hukommelsessvigt, dysartri, svimmelhed, hovedpine</w:t>
            </w:r>
          </w:p>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2" w:line="237" w:lineRule="auto"/>
              <w:ind w:left="2"/>
              <w:rPr>
                <w:rFonts w:ascii="Times New Roman" w:hAnsi="Times New Roman" w:cs="Times New Roman"/>
                <w:sz w:val="20"/>
                <w:szCs w:val="20"/>
              </w:rPr>
            </w:pPr>
            <w:r w:rsidRPr="00046E4E">
              <w:rPr>
                <w:rFonts w:ascii="Times New Roman" w:hAnsi="Times New Roman" w:cs="Times New Roman"/>
                <w:sz w:val="20"/>
                <w:szCs w:val="20"/>
              </w:rPr>
              <w:t>Koordinationsforstyrrelser, balanceforstyrrelser, koncentrationsbesvær, hypersomni, letargi, tremor</w:t>
            </w:r>
          </w:p>
          <w:p w:rsidR="003C1335" w:rsidRPr="00046E4E" w:rsidRDefault="003C1335">
            <w:pPr>
              <w:spacing w:line="237"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Amnesi</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Forstyrrelser i det autonome nervesystem*, dystoni*</w:t>
            </w:r>
          </w:p>
        </w:tc>
      </w:tr>
      <w:tr w:rsidR="003C1335" w:rsidRPr="00046E4E" w:rsidTr="00046E4E">
        <w:trPr>
          <w:trHeight w:val="363"/>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Øjne</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358"/>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Sløret syn</w:t>
            </w: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rPr>
                <w:rFonts w:ascii="Times New Roman" w:hAnsi="Times New Roman" w:cs="Times New Roman"/>
                <w:sz w:val="20"/>
                <w:szCs w:val="20"/>
              </w:rPr>
            </w:pPr>
          </w:p>
        </w:tc>
      </w:tr>
      <w:tr w:rsidR="003C1335" w:rsidRPr="00046E4E" w:rsidTr="00046E4E">
        <w:trPr>
          <w:trHeight w:val="403"/>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Mave-tarm-kanalen</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562"/>
        </w:trPr>
        <w:tc>
          <w:tcPr>
            <w:tcW w:w="1685"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after="2" w:line="237" w:lineRule="auto"/>
              <w:ind w:left="2"/>
              <w:rPr>
                <w:rFonts w:ascii="Times New Roman" w:hAnsi="Times New Roman" w:cs="Times New Roman"/>
                <w:sz w:val="20"/>
                <w:szCs w:val="20"/>
              </w:rPr>
            </w:pPr>
            <w:r w:rsidRPr="00046E4E">
              <w:rPr>
                <w:rFonts w:ascii="Times New Roman" w:hAnsi="Times New Roman" w:cs="Times New Roman"/>
                <w:sz w:val="20"/>
                <w:szCs w:val="20"/>
              </w:rPr>
              <w:t>Obstipation, mundtørhed</w:t>
            </w:r>
          </w:p>
        </w:tc>
        <w:tc>
          <w:tcPr>
            <w:tcW w:w="200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Kvalme</w:t>
            </w: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highlight w:val="yellow"/>
              </w:rPr>
            </w:pPr>
            <w:r w:rsidRPr="00046E4E">
              <w:rPr>
                <w:rFonts w:ascii="Times New Roman" w:hAnsi="Times New Roman" w:cs="Times New Roman"/>
                <w:sz w:val="20"/>
                <w:szCs w:val="20"/>
              </w:rPr>
              <w:t>Opkastning</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Forstyrrelser i mave-tarm-kanalen</w:t>
            </w:r>
          </w:p>
        </w:tc>
      </w:tr>
      <w:tr w:rsidR="003C1335" w:rsidRPr="00046E4E" w:rsidTr="00046E4E">
        <w:trPr>
          <w:trHeight w:val="403"/>
        </w:trPr>
        <w:tc>
          <w:tcPr>
            <w:tcW w:w="6054" w:type="dxa"/>
            <w:gridSpan w:val="3"/>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Lever og galdeveje</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746"/>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after="1"/>
              <w:rPr>
                <w:rFonts w:ascii="Times New Roman" w:hAnsi="Times New Roman" w:cs="Times New Roman"/>
                <w:sz w:val="20"/>
                <w:szCs w:val="20"/>
              </w:rPr>
            </w:pPr>
            <w:r w:rsidRPr="00046E4E">
              <w:rPr>
                <w:rFonts w:ascii="Times New Roman" w:hAnsi="Times New Roman" w:cs="Times New Roman"/>
                <w:sz w:val="20"/>
                <w:szCs w:val="20"/>
              </w:rPr>
              <w:t>Hepatitis*, nedsat leverfunktion*</w:t>
            </w:r>
          </w:p>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Gulsot*</w:t>
            </w:r>
          </w:p>
        </w:tc>
      </w:tr>
      <w:tr w:rsidR="003C1335" w:rsidRPr="00046E4E" w:rsidTr="00046E4E">
        <w:trPr>
          <w:trHeight w:val="302"/>
        </w:trPr>
        <w:tc>
          <w:tcPr>
            <w:tcW w:w="8519" w:type="dxa"/>
            <w:gridSpan w:val="5"/>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Hud og subkutane væv</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819"/>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Dermatitis*</w:t>
            </w: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Angioødem*, fotosensitivitet*</w:t>
            </w:r>
          </w:p>
        </w:tc>
      </w:tr>
      <w:tr w:rsidR="003C1335" w:rsidRPr="00046E4E" w:rsidTr="00046E4E">
        <w:trPr>
          <w:trHeight w:val="403"/>
        </w:trPr>
        <w:tc>
          <w:tcPr>
            <w:tcW w:w="8519" w:type="dxa"/>
            <w:gridSpan w:val="5"/>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Knogler, led, muskler og bindevæv</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535"/>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Muskelsvaghed</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rPr>
                <w:rFonts w:ascii="Times New Roman" w:hAnsi="Times New Roman" w:cs="Times New Roman"/>
                <w:sz w:val="20"/>
                <w:szCs w:val="20"/>
              </w:rPr>
            </w:pPr>
          </w:p>
        </w:tc>
      </w:tr>
      <w:tr w:rsidR="003C1335" w:rsidRPr="00046E4E" w:rsidTr="00046E4E">
        <w:trPr>
          <w:trHeight w:val="281"/>
        </w:trPr>
        <w:tc>
          <w:tcPr>
            <w:tcW w:w="8519" w:type="dxa"/>
            <w:gridSpan w:val="5"/>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Nyrer og urinveje</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535"/>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Urininkontinens</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Urinretention*</w:t>
            </w:r>
          </w:p>
        </w:tc>
      </w:tr>
      <w:tr w:rsidR="003C1335" w:rsidRPr="00046E4E" w:rsidTr="00046E4E">
        <w:trPr>
          <w:trHeight w:val="403"/>
        </w:trPr>
        <w:tc>
          <w:tcPr>
            <w:tcW w:w="8519" w:type="dxa"/>
            <w:gridSpan w:val="5"/>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Det reproduktive system og mammae</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622"/>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Seksuel dysfunktion</w:t>
            </w: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Menstruationsforstyrrelser*</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rPr>
                <w:rFonts w:ascii="Times New Roman" w:hAnsi="Times New Roman" w:cs="Times New Roman"/>
                <w:sz w:val="20"/>
                <w:szCs w:val="20"/>
              </w:rPr>
            </w:pPr>
          </w:p>
        </w:tc>
      </w:tr>
      <w:tr w:rsidR="003C1335" w:rsidRPr="00046E4E" w:rsidTr="00046E4E">
        <w:trPr>
          <w:trHeight w:val="401"/>
        </w:trPr>
        <w:tc>
          <w:tcPr>
            <w:tcW w:w="8519" w:type="dxa"/>
            <w:gridSpan w:val="5"/>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Almene symptomer og reaktioner på administrationsstedet</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790"/>
        </w:trPr>
        <w:tc>
          <w:tcPr>
            <w:tcW w:w="1685"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Udmattelse, irritabilitet</w:t>
            </w:r>
          </w:p>
        </w:tc>
        <w:tc>
          <w:tcPr>
            <w:tcW w:w="200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368"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Abstinenssyndrom*</w:t>
            </w: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Perifert ødem*</w:t>
            </w:r>
          </w:p>
        </w:tc>
      </w:tr>
      <w:tr w:rsidR="003C1335" w:rsidRPr="00046E4E" w:rsidTr="00046E4E">
        <w:trPr>
          <w:trHeight w:val="403"/>
        </w:trPr>
        <w:tc>
          <w:tcPr>
            <w:tcW w:w="8519" w:type="dxa"/>
            <w:gridSpan w:val="5"/>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i/>
                <w:sz w:val="20"/>
                <w:szCs w:val="20"/>
              </w:rPr>
              <w:t>Undersøgelser</w:t>
            </w:r>
          </w:p>
        </w:tc>
        <w:tc>
          <w:tcPr>
            <w:tcW w:w="1811"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after="160" w:line="256" w:lineRule="auto"/>
              <w:rPr>
                <w:rFonts w:ascii="Times New Roman" w:hAnsi="Times New Roman" w:cs="Times New Roman"/>
                <w:sz w:val="20"/>
                <w:szCs w:val="20"/>
              </w:rPr>
            </w:pPr>
          </w:p>
        </w:tc>
      </w:tr>
      <w:tr w:rsidR="003C1335" w:rsidRPr="00046E4E" w:rsidTr="00046E4E">
        <w:trPr>
          <w:trHeight w:val="654"/>
        </w:trPr>
        <w:tc>
          <w:tcPr>
            <w:tcW w:w="1685"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200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ind w:left="2"/>
              <w:rPr>
                <w:rFonts w:ascii="Times New Roman" w:hAnsi="Times New Roman" w:cs="Times New Roman"/>
                <w:sz w:val="20"/>
                <w:szCs w:val="20"/>
              </w:rPr>
            </w:pPr>
            <w:r w:rsidRPr="00046E4E">
              <w:rPr>
                <w:rFonts w:ascii="Times New Roman" w:hAnsi="Times New Roman" w:cs="Times New Roman"/>
                <w:sz w:val="20"/>
                <w:szCs w:val="20"/>
              </w:rPr>
              <w:t>Vægtændringer</w:t>
            </w:r>
          </w:p>
        </w:tc>
        <w:tc>
          <w:tcPr>
            <w:tcW w:w="236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317"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148" w:type="dxa"/>
            <w:tcBorders>
              <w:top w:val="single" w:sz="4" w:space="0" w:color="000000"/>
              <w:left w:val="single" w:sz="4" w:space="0" w:color="000000"/>
              <w:bottom w:val="single" w:sz="4" w:space="0" w:color="000000"/>
              <w:right w:val="single" w:sz="4" w:space="0" w:color="000000"/>
            </w:tcBorders>
          </w:tcPr>
          <w:p w:rsidR="003C1335" w:rsidRPr="00046E4E" w:rsidRDefault="003C1335">
            <w:pPr>
              <w:spacing w:line="256" w:lineRule="auto"/>
              <w:ind w:left="2"/>
              <w:rPr>
                <w:rFonts w:ascii="Times New Roman" w:hAnsi="Times New Roman" w:cs="Times New Roman"/>
                <w:sz w:val="20"/>
                <w:szCs w:val="20"/>
              </w:rPr>
            </w:pPr>
          </w:p>
        </w:tc>
        <w:tc>
          <w:tcPr>
            <w:tcW w:w="1811" w:type="dxa"/>
            <w:tcBorders>
              <w:top w:val="single" w:sz="4" w:space="0" w:color="000000"/>
              <w:left w:val="single" w:sz="4" w:space="0" w:color="000000"/>
              <w:bottom w:val="single" w:sz="4" w:space="0" w:color="000000"/>
              <w:right w:val="single" w:sz="4" w:space="0" w:color="000000"/>
            </w:tcBorders>
            <w:hideMark/>
          </w:tcPr>
          <w:p w:rsidR="003C1335" w:rsidRPr="00046E4E" w:rsidRDefault="003C1335">
            <w:pPr>
              <w:spacing w:line="256" w:lineRule="auto"/>
              <w:rPr>
                <w:rFonts w:ascii="Times New Roman" w:hAnsi="Times New Roman" w:cs="Times New Roman"/>
                <w:sz w:val="20"/>
                <w:szCs w:val="20"/>
              </w:rPr>
            </w:pPr>
            <w:r w:rsidRPr="00046E4E">
              <w:rPr>
                <w:rFonts w:ascii="Times New Roman" w:hAnsi="Times New Roman" w:cs="Times New Roman"/>
                <w:sz w:val="20"/>
                <w:szCs w:val="20"/>
              </w:rPr>
              <w:t>Øget intraokulært tryk*</w:t>
            </w:r>
          </w:p>
        </w:tc>
      </w:tr>
    </w:tbl>
    <w:p w:rsidR="003C1335" w:rsidRDefault="003C1335" w:rsidP="003C1335">
      <w:pPr>
        <w:ind w:left="-5" w:right="7"/>
        <w:rPr>
          <w:rFonts w:eastAsia="Arial"/>
          <w:color w:val="000000"/>
          <w:sz w:val="22"/>
          <w:szCs w:val="22"/>
          <w:lang w:eastAsia="lv-LV"/>
        </w:rPr>
      </w:pPr>
      <w:r>
        <w:t xml:space="preserve">* </w:t>
      </w:r>
      <w:r>
        <w:rPr>
          <w:sz w:val="20"/>
        </w:rPr>
        <w:t>Bivirkninger identificeret efter markedsføring</w:t>
      </w:r>
    </w:p>
    <w:p w:rsidR="003C1335" w:rsidRPr="003C1335" w:rsidRDefault="003C1335" w:rsidP="003C1335">
      <w:pPr>
        <w:spacing w:line="256" w:lineRule="auto"/>
        <w:ind w:left="851"/>
        <w:rPr>
          <w:sz w:val="24"/>
          <w:szCs w:val="24"/>
        </w:rPr>
      </w:pPr>
    </w:p>
    <w:p w:rsidR="003C1335" w:rsidRPr="003C1335" w:rsidRDefault="003C1335" w:rsidP="003C1335">
      <w:pPr>
        <w:autoSpaceDE w:val="0"/>
        <w:autoSpaceDN w:val="0"/>
        <w:adjustRightInd w:val="0"/>
        <w:ind w:left="851"/>
        <w:rPr>
          <w:rFonts w:cs="Arial"/>
          <w:sz w:val="24"/>
          <w:szCs w:val="24"/>
          <w:u w:val="single"/>
        </w:rPr>
      </w:pPr>
      <w:r w:rsidRPr="003C1335">
        <w:rPr>
          <w:sz w:val="24"/>
          <w:szCs w:val="24"/>
          <w:u w:val="single"/>
        </w:rPr>
        <w:t>Afhængigheds- og abstinenssymptomer</w:t>
      </w:r>
    </w:p>
    <w:p w:rsidR="003C1335" w:rsidRPr="003C1335" w:rsidRDefault="003C1335" w:rsidP="003C1335">
      <w:pPr>
        <w:autoSpaceDE w:val="0"/>
        <w:autoSpaceDN w:val="0"/>
        <w:adjustRightInd w:val="0"/>
        <w:ind w:left="851"/>
        <w:rPr>
          <w:sz w:val="24"/>
          <w:szCs w:val="24"/>
        </w:rPr>
      </w:pPr>
      <w:r w:rsidRPr="003C1335">
        <w:rPr>
          <w:sz w:val="24"/>
          <w:szCs w:val="24"/>
        </w:rPr>
        <w:t>Anvendelsen af benzodiazepiner (selv ved terapeutiske doser) kan føre til udvikling af fysisk og psykisk afhængighed. Abstinenser og/eller rebound-fænomener kan indtræffe, når behandlingen seponeres (se pkt. 4.4). Abstinenssymptomerne kan variere fra mild dysfori og søvnløshed til et alvorligt syndrom, som kan omfatte mave- og muskelkramper, opkastning, svedtendens, rystelser og kramper.</w:t>
      </w:r>
    </w:p>
    <w:p w:rsidR="003C1335" w:rsidRPr="003C1335" w:rsidRDefault="003C1335" w:rsidP="003C1335">
      <w:pPr>
        <w:spacing w:line="256" w:lineRule="auto"/>
        <w:ind w:left="851"/>
        <w:rPr>
          <w:sz w:val="24"/>
          <w:szCs w:val="24"/>
        </w:rPr>
      </w:pPr>
    </w:p>
    <w:p w:rsidR="003C1335" w:rsidRPr="003C1335" w:rsidRDefault="003C1335" w:rsidP="003C1335">
      <w:pPr>
        <w:ind w:left="851" w:right="7"/>
        <w:rPr>
          <w:sz w:val="24"/>
          <w:szCs w:val="24"/>
        </w:rPr>
      </w:pPr>
      <w:r w:rsidRPr="003C1335">
        <w:rPr>
          <w:sz w:val="24"/>
          <w:szCs w:val="24"/>
        </w:rPr>
        <w:t>Der er rapporteret om misbrug af benzodiazepiner (se pkt. 4.4)</w:t>
      </w:r>
      <w:r w:rsidR="00046E4E">
        <w:rPr>
          <w:sz w:val="24"/>
          <w:szCs w:val="24"/>
        </w:rPr>
        <w:t>.</w:t>
      </w:r>
    </w:p>
    <w:p w:rsidR="003C1335" w:rsidRPr="003C1335" w:rsidRDefault="003C1335" w:rsidP="003C1335">
      <w:pPr>
        <w:spacing w:line="256" w:lineRule="auto"/>
        <w:ind w:left="851"/>
        <w:rPr>
          <w:rFonts w:cs="Arial"/>
          <w:sz w:val="24"/>
          <w:szCs w:val="24"/>
          <w:u w:val="single"/>
        </w:rPr>
      </w:pPr>
    </w:p>
    <w:p w:rsidR="003C1335" w:rsidRPr="003C1335" w:rsidRDefault="003C1335" w:rsidP="003C1335">
      <w:pPr>
        <w:ind w:left="851"/>
        <w:rPr>
          <w:sz w:val="24"/>
          <w:szCs w:val="24"/>
          <w:u w:val="single"/>
        </w:rPr>
      </w:pPr>
      <w:r w:rsidRPr="003C1335">
        <w:rPr>
          <w:sz w:val="24"/>
          <w:szCs w:val="24"/>
          <w:u w:val="single"/>
        </w:rPr>
        <w:t>Amnesi</w:t>
      </w:r>
    </w:p>
    <w:p w:rsidR="003C1335" w:rsidRPr="003C1335" w:rsidRDefault="003C1335" w:rsidP="003C1335">
      <w:pPr>
        <w:ind w:left="851" w:right="7"/>
        <w:rPr>
          <w:sz w:val="24"/>
          <w:szCs w:val="24"/>
        </w:rPr>
      </w:pPr>
      <w:r w:rsidRPr="003C1335">
        <w:rPr>
          <w:sz w:val="24"/>
          <w:szCs w:val="24"/>
        </w:rPr>
        <w:t>Benzodiazepiner kan forårsage anterograd amnesi (huller i hukommelsen i en periode efter indtagelse) (se pkt. 4.4).</w:t>
      </w:r>
    </w:p>
    <w:p w:rsidR="003C1335" w:rsidRPr="003C1335" w:rsidRDefault="003C1335" w:rsidP="003C1335">
      <w:pPr>
        <w:spacing w:after="19" w:line="256" w:lineRule="auto"/>
        <w:ind w:left="851"/>
        <w:rPr>
          <w:sz w:val="24"/>
          <w:szCs w:val="24"/>
        </w:rPr>
      </w:pPr>
    </w:p>
    <w:p w:rsidR="003C1335" w:rsidRPr="003C1335" w:rsidRDefault="003C1335" w:rsidP="003C1335">
      <w:pPr>
        <w:ind w:left="851"/>
        <w:rPr>
          <w:rFonts w:cs="Arial"/>
          <w:sz w:val="24"/>
          <w:szCs w:val="24"/>
          <w:u w:val="single"/>
        </w:rPr>
      </w:pPr>
      <w:r w:rsidRPr="003C1335">
        <w:rPr>
          <w:sz w:val="24"/>
          <w:szCs w:val="24"/>
          <w:u w:val="single"/>
        </w:rPr>
        <w:t>Psykiatriske og "paradoksale" reaktioner</w:t>
      </w:r>
    </w:p>
    <w:p w:rsidR="003C1335" w:rsidRPr="003C1335" w:rsidRDefault="003C1335" w:rsidP="003C1335">
      <w:pPr>
        <w:ind w:left="851" w:right="7"/>
        <w:rPr>
          <w:sz w:val="24"/>
          <w:szCs w:val="24"/>
        </w:rPr>
      </w:pPr>
      <w:r w:rsidRPr="003C1335">
        <w:rPr>
          <w:sz w:val="24"/>
          <w:szCs w:val="24"/>
        </w:rPr>
        <w:t>Særligt hos ældre patienter og hos børn, kan der opstå psykiatriske og "paradoksale" reaktioner ved anvendelsen af benzodiazepiner, såsom rastløshed, opstemthed, irritabilitet, aggression, vrangforestillinger, vrede, mareridt, hallucinationer, psykoser, uhensigtsmæssig adfærd og andre adfærdsforstyrrelser. I disse tilfælde skal behandlingen med dette lægemiddel seponeres.</w:t>
      </w:r>
    </w:p>
    <w:p w:rsidR="00046E4E" w:rsidRDefault="00046E4E">
      <w:pPr>
        <w:rPr>
          <w:sz w:val="24"/>
          <w:szCs w:val="24"/>
        </w:rPr>
      </w:pPr>
      <w:r>
        <w:rPr>
          <w:sz w:val="24"/>
          <w:szCs w:val="24"/>
        </w:rPr>
        <w:br w:type="page"/>
      </w:r>
    </w:p>
    <w:p w:rsidR="003C1335" w:rsidRPr="003C1335" w:rsidRDefault="003C1335" w:rsidP="003C1335">
      <w:pPr>
        <w:spacing w:line="256" w:lineRule="auto"/>
        <w:ind w:left="851"/>
        <w:rPr>
          <w:sz w:val="24"/>
          <w:szCs w:val="24"/>
        </w:rPr>
      </w:pPr>
    </w:p>
    <w:p w:rsidR="003C1335" w:rsidRPr="003C1335" w:rsidRDefault="003C1335" w:rsidP="003C1335">
      <w:pPr>
        <w:ind w:left="851"/>
        <w:rPr>
          <w:rFonts w:cs="Arial"/>
          <w:sz w:val="24"/>
          <w:szCs w:val="24"/>
          <w:u w:val="single"/>
        </w:rPr>
      </w:pPr>
      <w:r w:rsidRPr="003C1335">
        <w:rPr>
          <w:sz w:val="24"/>
          <w:szCs w:val="24"/>
          <w:u w:val="single"/>
        </w:rPr>
        <w:t>Depression</w:t>
      </w:r>
    </w:p>
    <w:p w:rsidR="003C1335" w:rsidRPr="003C1335" w:rsidRDefault="003C1335" w:rsidP="003C1335">
      <w:pPr>
        <w:ind w:left="851" w:right="7"/>
        <w:rPr>
          <w:sz w:val="24"/>
          <w:szCs w:val="24"/>
        </w:rPr>
      </w:pPr>
      <w:r w:rsidRPr="003C1335">
        <w:rPr>
          <w:sz w:val="24"/>
          <w:szCs w:val="24"/>
        </w:rPr>
        <w:t>Eksisterende depression kan blive demaskeret under brugen af benzodiazepiner (se pkt. 4.4).</w:t>
      </w:r>
    </w:p>
    <w:p w:rsidR="003C1335" w:rsidRPr="003C1335" w:rsidRDefault="003C1335" w:rsidP="003C1335">
      <w:pPr>
        <w:spacing w:line="256" w:lineRule="auto"/>
        <w:ind w:left="851"/>
        <w:rPr>
          <w:sz w:val="24"/>
          <w:szCs w:val="24"/>
        </w:rPr>
      </w:pPr>
    </w:p>
    <w:p w:rsidR="003C1335" w:rsidRPr="00046E4E" w:rsidRDefault="003C1335" w:rsidP="003C1335">
      <w:pPr>
        <w:ind w:left="851"/>
        <w:rPr>
          <w:rFonts w:cs="Arial"/>
          <w:sz w:val="24"/>
          <w:szCs w:val="24"/>
          <w:u w:val="single"/>
        </w:rPr>
      </w:pPr>
      <w:r w:rsidRPr="00046E4E">
        <w:rPr>
          <w:sz w:val="24"/>
          <w:szCs w:val="24"/>
          <w:u w:val="single"/>
        </w:rPr>
        <w:t>Indberetning af formodede bivirkninger</w:t>
      </w:r>
    </w:p>
    <w:p w:rsidR="003C1335" w:rsidRPr="003C1335" w:rsidRDefault="003C1335" w:rsidP="003C1335">
      <w:pPr>
        <w:ind w:left="851" w:right="7"/>
        <w:rPr>
          <w:sz w:val="24"/>
          <w:szCs w:val="24"/>
        </w:rPr>
      </w:pPr>
      <w:r w:rsidRPr="003C1335">
        <w:rPr>
          <w:sz w:val="24"/>
          <w:szCs w:val="24"/>
        </w:rPr>
        <w:t>Når lægemidlet er godkendt, er indberetning af formodede bivirkninger vigtig.</w:t>
      </w:r>
    </w:p>
    <w:p w:rsidR="00046E4E" w:rsidRDefault="003C1335" w:rsidP="003C1335">
      <w:pPr>
        <w:autoSpaceDE w:val="0"/>
        <w:autoSpaceDN w:val="0"/>
        <w:adjustRightInd w:val="0"/>
        <w:ind w:left="851"/>
        <w:rPr>
          <w:sz w:val="24"/>
          <w:szCs w:val="24"/>
        </w:rPr>
      </w:pPr>
      <w:r w:rsidRPr="003C1335">
        <w:rPr>
          <w:sz w:val="24"/>
          <w:szCs w:val="24"/>
        </w:rPr>
        <w:t>Det muliggør løbende overvågning af benefit/risk-forholdet for lægemidlet. Sundhedspersoner anmodes om at indberette alle formodede bivirkninger via</w:t>
      </w:r>
      <w:r w:rsidR="00046E4E">
        <w:rPr>
          <w:sz w:val="24"/>
          <w:szCs w:val="24"/>
        </w:rPr>
        <w:t>:</w:t>
      </w:r>
    </w:p>
    <w:p w:rsidR="00046E4E" w:rsidRDefault="00046E4E" w:rsidP="003C1335">
      <w:pPr>
        <w:autoSpaceDE w:val="0"/>
        <w:autoSpaceDN w:val="0"/>
        <w:adjustRightInd w:val="0"/>
        <w:ind w:left="851"/>
        <w:rPr>
          <w:sz w:val="24"/>
          <w:szCs w:val="24"/>
        </w:rPr>
      </w:pPr>
    </w:p>
    <w:p w:rsidR="003C1335" w:rsidRPr="003C1335" w:rsidRDefault="003C1335" w:rsidP="003C1335">
      <w:pPr>
        <w:ind w:left="851"/>
        <w:rPr>
          <w:rFonts w:eastAsia="Calibri"/>
          <w:color w:val="000000"/>
          <w:sz w:val="24"/>
          <w:szCs w:val="24"/>
          <w:lang w:eastAsia="zh-CN"/>
        </w:rPr>
      </w:pPr>
      <w:r w:rsidRPr="003C1335">
        <w:rPr>
          <w:sz w:val="24"/>
          <w:szCs w:val="24"/>
        </w:rPr>
        <w:t>Lægemiddelstyrelsen</w:t>
      </w:r>
    </w:p>
    <w:p w:rsidR="003C1335" w:rsidRPr="003C1335" w:rsidRDefault="003C1335" w:rsidP="003C1335">
      <w:pPr>
        <w:ind w:left="851"/>
        <w:rPr>
          <w:rFonts w:eastAsia="Calibri"/>
          <w:noProof/>
          <w:sz w:val="24"/>
          <w:szCs w:val="24"/>
          <w:lang w:eastAsia="zh-CN"/>
        </w:rPr>
      </w:pPr>
      <w:r w:rsidRPr="003C1335">
        <w:rPr>
          <w:rFonts w:eastAsia="Calibri"/>
          <w:sz w:val="24"/>
          <w:szCs w:val="24"/>
          <w:lang w:eastAsia="zh-CN"/>
        </w:rPr>
        <w:t>Axel Heides Gade 1</w:t>
      </w:r>
    </w:p>
    <w:p w:rsidR="003C1335" w:rsidRPr="003C1335" w:rsidRDefault="003C1335" w:rsidP="003C1335">
      <w:pPr>
        <w:ind w:left="851"/>
        <w:rPr>
          <w:rFonts w:eastAsia="Calibri"/>
          <w:noProof/>
          <w:sz w:val="24"/>
          <w:szCs w:val="24"/>
          <w:lang w:eastAsia="zh-CN"/>
        </w:rPr>
      </w:pPr>
      <w:r w:rsidRPr="003C1335">
        <w:rPr>
          <w:rFonts w:eastAsia="Calibri"/>
          <w:noProof/>
          <w:sz w:val="24"/>
          <w:szCs w:val="24"/>
          <w:lang w:eastAsia="zh-CN"/>
        </w:rPr>
        <w:t xml:space="preserve">DK-2300 </w:t>
      </w:r>
      <w:r w:rsidRPr="003C1335">
        <w:rPr>
          <w:rFonts w:eastAsia="Calibri"/>
          <w:sz w:val="24"/>
          <w:szCs w:val="24"/>
          <w:lang w:eastAsia="zh-CN"/>
        </w:rPr>
        <w:t>København S</w:t>
      </w:r>
    </w:p>
    <w:p w:rsidR="003C1335" w:rsidRPr="001D4ED8" w:rsidRDefault="003C1335" w:rsidP="003C1335">
      <w:pPr>
        <w:tabs>
          <w:tab w:val="left" w:pos="-720"/>
        </w:tabs>
        <w:suppressAutoHyphens/>
        <w:ind w:left="851"/>
        <w:rPr>
          <w:rFonts w:eastAsia="Calibri"/>
          <w:noProof/>
          <w:sz w:val="24"/>
          <w:szCs w:val="24"/>
          <w:lang w:eastAsia="zh-CN"/>
        </w:rPr>
      </w:pPr>
      <w:r w:rsidRPr="001D4ED8">
        <w:rPr>
          <w:rFonts w:eastAsia="Calibri"/>
          <w:sz w:val="24"/>
          <w:szCs w:val="24"/>
          <w:lang w:eastAsia="zh-CN"/>
        </w:rPr>
        <w:t>Websted</w:t>
      </w:r>
      <w:r w:rsidRPr="001D4ED8">
        <w:rPr>
          <w:rFonts w:eastAsia="Calibri"/>
          <w:noProof/>
          <w:sz w:val="24"/>
          <w:szCs w:val="24"/>
          <w:lang w:eastAsia="zh-CN"/>
        </w:rPr>
        <w:t>: www.meldenbivirkning.dk</w:t>
      </w:r>
    </w:p>
    <w:p w:rsidR="009260DE" w:rsidRPr="001D4ED8" w:rsidRDefault="009260DE" w:rsidP="003C1335">
      <w:pPr>
        <w:tabs>
          <w:tab w:val="left" w:pos="851"/>
        </w:tabs>
        <w:ind w:left="851"/>
        <w:rPr>
          <w:sz w:val="24"/>
          <w:szCs w:val="24"/>
        </w:rPr>
      </w:pPr>
    </w:p>
    <w:p w:rsidR="009260DE" w:rsidRPr="001D4ED8" w:rsidRDefault="009260DE" w:rsidP="009260DE">
      <w:pPr>
        <w:tabs>
          <w:tab w:val="left" w:pos="851"/>
        </w:tabs>
        <w:ind w:left="851" w:hanging="851"/>
        <w:rPr>
          <w:b/>
          <w:sz w:val="24"/>
          <w:szCs w:val="24"/>
        </w:rPr>
      </w:pPr>
      <w:r w:rsidRPr="001D4ED8">
        <w:rPr>
          <w:b/>
          <w:sz w:val="24"/>
          <w:szCs w:val="24"/>
        </w:rPr>
        <w:t>4.9</w:t>
      </w:r>
      <w:r w:rsidRPr="001D4ED8">
        <w:rPr>
          <w:b/>
          <w:sz w:val="24"/>
          <w:szCs w:val="24"/>
        </w:rPr>
        <w:tab/>
        <w:t>Overdosering</w:t>
      </w:r>
    </w:p>
    <w:p w:rsidR="00C37A47" w:rsidRPr="001D4ED8"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u w:val="single"/>
        </w:rPr>
      </w:pPr>
      <w:r w:rsidRPr="00C37A47">
        <w:rPr>
          <w:sz w:val="24"/>
          <w:szCs w:val="24"/>
          <w:u w:val="single"/>
        </w:rPr>
        <w:t>Symptomer</w:t>
      </w:r>
    </w:p>
    <w:p w:rsidR="00C37A47" w:rsidRPr="00C37A47" w:rsidRDefault="00C37A47" w:rsidP="00C37A47">
      <w:pPr>
        <w:tabs>
          <w:tab w:val="left" w:pos="851"/>
        </w:tabs>
        <w:ind w:left="851"/>
        <w:rPr>
          <w:sz w:val="24"/>
          <w:szCs w:val="24"/>
        </w:rPr>
      </w:pPr>
      <w:r w:rsidRPr="00C37A47">
        <w:rPr>
          <w:sz w:val="24"/>
          <w:szCs w:val="24"/>
        </w:rPr>
        <w:t>Overdosering af alprazolam burde ikke være livstruende, medmindre det kombineres med andre CNS</w:t>
      </w:r>
      <w:r w:rsidRPr="00C37A47">
        <w:rPr>
          <w:sz w:val="24"/>
          <w:szCs w:val="24"/>
        </w:rPr>
        <w:noBreakHyphen/>
        <w:t>depressiva, såsom opioider, andre benzodiazepiner og alkohol.</w:t>
      </w:r>
    </w:p>
    <w:p w:rsidR="00C37A47" w:rsidRPr="00C37A47" w:rsidRDefault="00C37A47" w:rsidP="00C37A47">
      <w:pPr>
        <w:tabs>
          <w:tab w:val="left" w:pos="851"/>
        </w:tabs>
        <w:ind w:left="851"/>
        <w:rPr>
          <w:sz w:val="24"/>
          <w:szCs w:val="24"/>
        </w:rPr>
      </w:pPr>
      <w:r w:rsidRPr="00C37A47">
        <w:rPr>
          <w:sz w:val="24"/>
          <w:szCs w:val="24"/>
        </w:rPr>
        <w:t>Ved behandling af overdosering skal der altid tages højde for, at flere stoffer kan være blevet indtaget på samme tid (kombineret lægemiddelforgiftning). Overdosering af benzodiazepiner, herunder alprazolam, viser sig som regel i form af forskellige grader af depression af centralnervesystemet, der spænder fra døsighed til koma. I lettere tilfælde omfatter symptomerne sløvhed, utydelig tale, mental forvirring og letargi. I alvorligere tilfælde kan symptomerne omfatte ataksi, hypotoni, hypotension, respirationsdepression, sjældent koma og i meget sjældne tilfælde død.</w:t>
      </w:r>
    </w:p>
    <w:p w:rsidR="00C37A47" w:rsidRPr="00C37A47" w:rsidRDefault="00C37A47" w:rsidP="00C37A47">
      <w:pPr>
        <w:tabs>
          <w:tab w:val="left" w:pos="851"/>
        </w:tabs>
        <w:ind w:left="851"/>
        <w:rPr>
          <w:sz w:val="24"/>
          <w:szCs w:val="24"/>
          <w:u w:val="single"/>
        </w:rPr>
      </w:pPr>
    </w:p>
    <w:p w:rsidR="00C37A47" w:rsidRPr="00C37A47" w:rsidRDefault="00C37A47" w:rsidP="00C37A47">
      <w:pPr>
        <w:tabs>
          <w:tab w:val="left" w:pos="851"/>
        </w:tabs>
        <w:ind w:left="851"/>
        <w:rPr>
          <w:sz w:val="24"/>
          <w:szCs w:val="24"/>
          <w:u w:val="single"/>
        </w:rPr>
      </w:pPr>
      <w:r w:rsidRPr="00C37A47">
        <w:rPr>
          <w:sz w:val="24"/>
          <w:szCs w:val="24"/>
          <w:u w:val="single"/>
        </w:rPr>
        <w:t>Toksi</w:t>
      </w:r>
      <w:r w:rsidR="00FB20D7">
        <w:rPr>
          <w:sz w:val="24"/>
          <w:szCs w:val="24"/>
          <w:u w:val="single"/>
        </w:rPr>
        <w:t>c</w:t>
      </w:r>
      <w:r w:rsidRPr="00C37A47">
        <w:rPr>
          <w:sz w:val="24"/>
          <w:szCs w:val="24"/>
          <w:u w:val="single"/>
        </w:rPr>
        <w:t>itet</w:t>
      </w:r>
    </w:p>
    <w:p w:rsidR="00C37A47" w:rsidRPr="00C37A47" w:rsidRDefault="00C37A47" w:rsidP="00C37A47">
      <w:pPr>
        <w:tabs>
          <w:tab w:val="left" w:pos="851"/>
        </w:tabs>
        <w:ind w:left="851"/>
        <w:rPr>
          <w:sz w:val="24"/>
          <w:szCs w:val="24"/>
        </w:rPr>
      </w:pPr>
      <w:r w:rsidRPr="00C37A47">
        <w:rPr>
          <w:sz w:val="24"/>
          <w:szCs w:val="24"/>
        </w:rPr>
        <w:t xml:space="preserve">De rapporterede koncentrationer af alprazolam i blodet ved fatale forgiftninger hos mennesker varierer meget. De toksiske plasmakoncentrationer af alprazolam ligger på mellem 0,1 og 0,4 μg/ml, mens nogle rapporter nævner, at koncentrationen af alprazolam i blodet varierede mellem 2,1 og 2,3 μg/ml </w:t>
      </w:r>
      <w:r w:rsidRPr="00C37A47">
        <w:rPr>
          <w:i/>
          <w:iCs/>
          <w:sz w:val="24"/>
          <w:szCs w:val="24"/>
        </w:rPr>
        <w:t>post mortem</w:t>
      </w:r>
      <w:r w:rsidRPr="00C37A47">
        <w:rPr>
          <w:sz w:val="24"/>
          <w:szCs w:val="24"/>
        </w:rPr>
        <w:t>.</w:t>
      </w:r>
    </w:p>
    <w:p w:rsidR="00C37A47" w:rsidRPr="00C37A47" w:rsidRDefault="00C37A47" w:rsidP="00C37A47">
      <w:pPr>
        <w:tabs>
          <w:tab w:val="left" w:pos="851"/>
        </w:tabs>
        <w:ind w:left="851"/>
        <w:rPr>
          <w:sz w:val="24"/>
          <w:szCs w:val="24"/>
          <w:u w:val="single"/>
        </w:rPr>
      </w:pPr>
    </w:p>
    <w:p w:rsidR="00C37A47" w:rsidRPr="00C37A47" w:rsidRDefault="00C37A47" w:rsidP="00C37A47">
      <w:pPr>
        <w:tabs>
          <w:tab w:val="left" w:pos="851"/>
        </w:tabs>
        <w:ind w:left="851"/>
        <w:rPr>
          <w:sz w:val="24"/>
          <w:szCs w:val="24"/>
          <w:u w:val="single"/>
        </w:rPr>
      </w:pPr>
      <w:r w:rsidRPr="00C37A47">
        <w:rPr>
          <w:sz w:val="24"/>
          <w:szCs w:val="24"/>
          <w:u w:val="single"/>
        </w:rPr>
        <w:t>Behandling</w:t>
      </w:r>
    </w:p>
    <w:p w:rsidR="00C37A47" w:rsidRPr="00C37A47" w:rsidRDefault="00C37A47" w:rsidP="00C37A47">
      <w:pPr>
        <w:tabs>
          <w:tab w:val="left" w:pos="851"/>
        </w:tabs>
        <w:ind w:left="851"/>
        <w:rPr>
          <w:sz w:val="24"/>
          <w:szCs w:val="24"/>
        </w:rPr>
      </w:pPr>
      <w:r w:rsidRPr="00C37A47">
        <w:rPr>
          <w:sz w:val="24"/>
          <w:szCs w:val="24"/>
        </w:rPr>
        <w:t xml:space="preserve">Den primære behandling af akut overdosering med alprazolam er understøttende behandling, som kan omfatte sikring af tilstrækkelige luftveje samt overvågning af respirations- og kredsløbsfunktionerne. Der skal etableres intravenøs (i.v.) adgang for tilførsel af væske. </w:t>
      </w:r>
    </w:p>
    <w:p w:rsidR="00C37A47" w:rsidRPr="00C37A47" w:rsidRDefault="00C37A47" w:rsidP="00C37A47">
      <w:pPr>
        <w:tabs>
          <w:tab w:val="left" w:pos="851"/>
        </w:tabs>
        <w:ind w:left="851"/>
        <w:rPr>
          <w:sz w:val="24"/>
          <w:szCs w:val="24"/>
        </w:rPr>
      </w:pPr>
      <w:r w:rsidRPr="00C37A47">
        <w:rPr>
          <w:sz w:val="24"/>
          <w:szCs w:val="24"/>
        </w:rPr>
        <w:t>Patienter med mildere tegn på forgiftning, som stadig er ved bevidsthed, bør sove ud under lægelig observation. Hvis patienten er ved bevidsthed, kan der gives aktivt kul inden for en time efter indtagelse af lægemidlet for at reducere absorption. Dog skal forholdet mellem fordele og risici overvejes (på grund af risikoen for aspiration).</w:t>
      </w:r>
    </w:p>
    <w:p w:rsidR="00C37A47" w:rsidRPr="00C37A47" w:rsidRDefault="00C37A47" w:rsidP="00C37A47">
      <w:pPr>
        <w:tabs>
          <w:tab w:val="left" w:pos="851"/>
        </w:tabs>
        <w:ind w:left="851"/>
        <w:rPr>
          <w:sz w:val="24"/>
          <w:szCs w:val="24"/>
        </w:rPr>
      </w:pPr>
      <w:r w:rsidRPr="00C37A47">
        <w:rPr>
          <w:sz w:val="24"/>
          <w:szCs w:val="24"/>
        </w:rPr>
        <w:t>Forceret diurese eller hæmodialyse har ingen værdi.</w:t>
      </w:r>
    </w:p>
    <w:p w:rsidR="00C37A47" w:rsidRPr="00C37A47"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rPr>
      </w:pPr>
      <w:r w:rsidRPr="00C37A47">
        <w:rPr>
          <w:sz w:val="24"/>
          <w:szCs w:val="24"/>
        </w:rPr>
        <w:t>I alvorlige tilfælde kan flumazenil (en specifik benzodiazepinantagonist) anvendes som supplement til regulering af respirationsfunktionerne i forbindelse med overdosering. Flumazenil kan øge risikoen for konvulsioner.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C37A47" w:rsidP="009260DE">
      <w:pPr>
        <w:tabs>
          <w:tab w:val="left" w:pos="851"/>
        </w:tabs>
        <w:ind w:left="851"/>
        <w:rPr>
          <w:sz w:val="24"/>
          <w:szCs w:val="24"/>
        </w:rPr>
      </w:pPr>
      <w:r>
        <w:rPr>
          <w:sz w:val="24"/>
          <w:szCs w:val="24"/>
        </w:rPr>
        <w:t>A</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C37A47" w:rsidRPr="00C37A47" w:rsidRDefault="00C37A47" w:rsidP="00C37A47">
      <w:pPr>
        <w:tabs>
          <w:tab w:val="left" w:pos="851"/>
        </w:tabs>
        <w:ind w:left="851"/>
        <w:rPr>
          <w:sz w:val="24"/>
          <w:szCs w:val="24"/>
        </w:rPr>
      </w:pPr>
      <w:r w:rsidRPr="00C37A47">
        <w:rPr>
          <w:sz w:val="24"/>
          <w:szCs w:val="24"/>
        </w:rPr>
        <w:t>Farmakoterapeutisk klassifikation: Benzodiazepinderivat, ATC-kode: N05BA12</w:t>
      </w:r>
      <w:r>
        <w:rPr>
          <w:sz w:val="24"/>
          <w:szCs w:val="24"/>
        </w:rPr>
        <w:t>.</w:t>
      </w:r>
    </w:p>
    <w:p w:rsidR="00C37A47" w:rsidRPr="00C37A47"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rPr>
      </w:pPr>
      <w:r w:rsidRPr="00C37A47">
        <w:rPr>
          <w:sz w:val="24"/>
          <w:szCs w:val="24"/>
        </w:rPr>
        <w:t>Alprazolam er et psykotropt stof i klassen af 1,4-triazolobenzodiazepiner og binder med høj affinitet til specifikke benzodiazepinreceptorer i centralnervesystemet. Alprazolam potenserer den inhiberende effekt af den GABAerge transmission på forskellige neurale forbindelser. Det resulterer i egenskaber, der dæmper spændinger, agitation og angst, samt har sederende og hypnotisk virkning. Derudover har alprazolam muskelafslappende og antikonvulsive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C37A47" w:rsidRDefault="00C37A47" w:rsidP="00C37A47">
      <w:pPr>
        <w:tabs>
          <w:tab w:val="left" w:pos="851"/>
        </w:tabs>
        <w:ind w:left="851"/>
        <w:rPr>
          <w:sz w:val="24"/>
          <w:szCs w:val="24"/>
          <w:u w:val="single"/>
        </w:rPr>
      </w:pPr>
    </w:p>
    <w:p w:rsidR="00C37A47" w:rsidRPr="00C37A47" w:rsidRDefault="00C37A47" w:rsidP="00C37A47">
      <w:pPr>
        <w:tabs>
          <w:tab w:val="left" w:pos="851"/>
        </w:tabs>
        <w:ind w:left="851"/>
        <w:rPr>
          <w:sz w:val="24"/>
          <w:szCs w:val="24"/>
          <w:u w:val="single"/>
        </w:rPr>
      </w:pPr>
      <w:r w:rsidRPr="00C37A47">
        <w:rPr>
          <w:sz w:val="24"/>
          <w:szCs w:val="24"/>
          <w:u w:val="single"/>
        </w:rPr>
        <w:t>Absorption</w:t>
      </w:r>
    </w:p>
    <w:p w:rsidR="00C37A47" w:rsidRPr="00C37A47" w:rsidRDefault="00C37A47" w:rsidP="00C37A47">
      <w:pPr>
        <w:tabs>
          <w:tab w:val="left" w:pos="851"/>
        </w:tabs>
        <w:ind w:left="851"/>
        <w:rPr>
          <w:sz w:val="24"/>
          <w:szCs w:val="24"/>
        </w:rPr>
      </w:pPr>
      <w:r w:rsidRPr="00C37A47">
        <w:rPr>
          <w:sz w:val="24"/>
          <w:szCs w:val="24"/>
        </w:rPr>
        <w:t>Alprazolam absorberes hurtigt og godt efter oral administration. Maksimal plasmakoncentration opnås 1</w:t>
      </w:r>
      <w:r w:rsidRPr="00C37A47">
        <w:rPr>
          <w:sz w:val="24"/>
          <w:szCs w:val="24"/>
        </w:rPr>
        <w:noBreakHyphen/>
        <w:t>2 timer efter én oral administration. Biotilgængeligheden for alprazolam er 80 %.</w:t>
      </w:r>
    </w:p>
    <w:p w:rsidR="00C37A47" w:rsidRPr="00C37A47"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u w:val="single"/>
        </w:rPr>
      </w:pPr>
      <w:r w:rsidRPr="00C37A47">
        <w:rPr>
          <w:sz w:val="24"/>
          <w:szCs w:val="24"/>
          <w:u w:val="single"/>
        </w:rPr>
        <w:t>Fordeling</w:t>
      </w:r>
    </w:p>
    <w:p w:rsidR="00C37A47" w:rsidRPr="00C37A47" w:rsidRDefault="00C37A47" w:rsidP="00C37A47">
      <w:pPr>
        <w:tabs>
          <w:tab w:val="left" w:pos="851"/>
        </w:tabs>
        <w:ind w:left="851"/>
        <w:rPr>
          <w:sz w:val="24"/>
          <w:szCs w:val="24"/>
        </w:rPr>
      </w:pPr>
      <w:r w:rsidRPr="00C37A47">
        <w:rPr>
          <w:sz w:val="24"/>
          <w:szCs w:val="24"/>
        </w:rPr>
        <w:t>Plasmaproteinbindingen er 70 til 80 %.</w:t>
      </w:r>
    </w:p>
    <w:p w:rsidR="00C37A47" w:rsidRPr="00C37A47" w:rsidRDefault="00C37A47" w:rsidP="00C37A47">
      <w:pPr>
        <w:tabs>
          <w:tab w:val="left" w:pos="851"/>
        </w:tabs>
        <w:ind w:left="851"/>
        <w:rPr>
          <w:sz w:val="24"/>
          <w:szCs w:val="24"/>
        </w:rPr>
      </w:pPr>
      <w:r w:rsidRPr="00C37A47">
        <w:rPr>
          <w:sz w:val="24"/>
          <w:szCs w:val="24"/>
        </w:rPr>
        <w:t>Det gennemsnitlige fordelingsvolumen er 1,0 til 1,2 l/kg og er betydeligt større hos overvægtige patienter.</w:t>
      </w:r>
    </w:p>
    <w:p w:rsidR="00C37A47" w:rsidRPr="00C37A47"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u w:val="single"/>
        </w:rPr>
      </w:pPr>
      <w:r w:rsidRPr="00C37A47">
        <w:rPr>
          <w:sz w:val="24"/>
          <w:szCs w:val="24"/>
          <w:u w:val="single"/>
        </w:rPr>
        <w:t>Biotransformation</w:t>
      </w:r>
    </w:p>
    <w:p w:rsidR="00C37A47" w:rsidRPr="00C37A47" w:rsidRDefault="00C37A47" w:rsidP="00C37A47">
      <w:pPr>
        <w:tabs>
          <w:tab w:val="left" w:pos="851"/>
        </w:tabs>
        <w:ind w:left="851"/>
        <w:rPr>
          <w:sz w:val="24"/>
          <w:szCs w:val="24"/>
        </w:rPr>
      </w:pPr>
      <w:r w:rsidRPr="00C37A47">
        <w:rPr>
          <w:sz w:val="24"/>
          <w:szCs w:val="24"/>
        </w:rPr>
        <w:t>Ud over uomdannet alprazolam (ca. 20 %) udskilles alfa-hydroxyalprazolam (ca. 17 %) og et benzophenon-derivat som de vigtigste metabolitter. Derudover er der identificeret mange andre metabolitter. Den farmakologiske aktivitet af alfa-hydroxyalprazolam er ca. 50 % sammenlignet med alprazolam. Benzophenon-derivatet udviser ingen farmakologisk aktivitet. På grund af deres lave koncentration bidrager metabolitterne sandsynligvis kun i meget ringe grad til den terapeutiske virkning.</w:t>
      </w:r>
    </w:p>
    <w:p w:rsidR="00C37A47" w:rsidRPr="00C37A47"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rPr>
      </w:pPr>
      <w:r w:rsidRPr="00C37A47">
        <w:rPr>
          <w:sz w:val="24"/>
          <w:szCs w:val="24"/>
        </w:rPr>
        <w:t>Alprazolam krydser placentabarrieren og udskilles med modermælken.</w:t>
      </w:r>
    </w:p>
    <w:p w:rsidR="00C37A47" w:rsidRPr="00C37A47" w:rsidRDefault="00C37A47" w:rsidP="00C37A47">
      <w:pPr>
        <w:tabs>
          <w:tab w:val="left" w:pos="851"/>
        </w:tabs>
        <w:ind w:left="851"/>
        <w:rPr>
          <w:sz w:val="24"/>
          <w:szCs w:val="24"/>
        </w:rPr>
      </w:pPr>
    </w:p>
    <w:p w:rsidR="00C37A47" w:rsidRPr="00C37A47" w:rsidRDefault="00C37A47" w:rsidP="00C37A47">
      <w:pPr>
        <w:tabs>
          <w:tab w:val="left" w:pos="851"/>
        </w:tabs>
        <w:ind w:left="851"/>
        <w:rPr>
          <w:sz w:val="24"/>
          <w:szCs w:val="24"/>
          <w:u w:val="single"/>
        </w:rPr>
      </w:pPr>
      <w:r w:rsidRPr="00C37A47">
        <w:rPr>
          <w:sz w:val="24"/>
          <w:szCs w:val="24"/>
          <w:u w:val="single"/>
        </w:rPr>
        <w:t>Elimination</w:t>
      </w:r>
    </w:p>
    <w:p w:rsidR="00C37A47" w:rsidRPr="00C37A47" w:rsidRDefault="00C37A47" w:rsidP="00C37A47">
      <w:pPr>
        <w:tabs>
          <w:tab w:val="left" w:pos="851"/>
        </w:tabs>
        <w:ind w:left="851"/>
        <w:rPr>
          <w:sz w:val="24"/>
          <w:szCs w:val="24"/>
        </w:rPr>
      </w:pPr>
      <w:r w:rsidRPr="00C37A47">
        <w:rPr>
          <w:sz w:val="24"/>
          <w:szCs w:val="24"/>
        </w:rPr>
        <w:t>Eliminationshalveringstiden efter én administration er mellem 12 og 15 timer. Halveringstiden for de to hovedmetabolitter er omtrent den samme som for alprazolam. Ca. 20 % af dosis udskilles uændret via nyrerne.</w:t>
      </w:r>
    </w:p>
    <w:p w:rsidR="00C37A47" w:rsidRPr="00C37A47" w:rsidRDefault="00C37A47" w:rsidP="00C37A47">
      <w:pPr>
        <w:tabs>
          <w:tab w:val="left" w:pos="851"/>
        </w:tabs>
        <w:ind w:left="851"/>
        <w:rPr>
          <w:sz w:val="24"/>
          <w:szCs w:val="24"/>
        </w:rPr>
      </w:pPr>
    </w:p>
    <w:p w:rsidR="00C37A47" w:rsidRPr="00D26383" w:rsidRDefault="00C37A47" w:rsidP="00C37A47">
      <w:pPr>
        <w:tabs>
          <w:tab w:val="left" w:pos="851"/>
        </w:tabs>
        <w:ind w:left="851"/>
        <w:rPr>
          <w:iCs/>
          <w:sz w:val="24"/>
          <w:szCs w:val="24"/>
          <w:u w:val="single"/>
        </w:rPr>
      </w:pPr>
      <w:r w:rsidRPr="00D26383">
        <w:rPr>
          <w:sz w:val="24"/>
          <w:szCs w:val="24"/>
          <w:u w:val="single"/>
        </w:rPr>
        <w:t>Farmakokinetik hos særlige populationer</w:t>
      </w:r>
    </w:p>
    <w:p w:rsidR="00D26383" w:rsidRDefault="00D26383" w:rsidP="00C37A47">
      <w:pPr>
        <w:tabs>
          <w:tab w:val="left" w:pos="851"/>
        </w:tabs>
        <w:ind w:left="851"/>
        <w:rPr>
          <w:sz w:val="24"/>
          <w:szCs w:val="24"/>
          <w:u w:val="single"/>
        </w:rPr>
      </w:pPr>
    </w:p>
    <w:p w:rsidR="00C37A47" w:rsidRPr="00D26383" w:rsidRDefault="00C37A47" w:rsidP="00C37A47">
      <w:pPr>
        <w:tabs>
          <w:tab w:val="left" w:pos="851"/>
        </w:tabs>
        <w:ind w:left="851"/>
        <w:rPr>
          <w:i/>
          <w:sz w:val="24"/>
          <w:szCs w:val="24"/>
        </w:rPr>
      </w:pPr>
      <w:r w:rsidRPr="00D26383">
        <w:rPr>
          <w:i/>
          <w:sz w:val="24"/>
          <w:szCs w:val="24"/>
        </w:rPr>
        <w:t>Ældre</w:t>
      </w:r>
    </w:p>
    <w:p w:rsidR="00C37A47" w:rsidRPr="00C37A47" w:rsidRDefault="00C37A47" w:rsidP="00C37A47">
      <w:pPr>
        <w:tabs>
          <w:tab w:val="left" w:pos="851"/>
        </w:tabs>
        <w:ind w:left="851"/>
        <w:rPr>
          <w:sz w:val="24"/>
          <w:szCs w:val="24"/>
        </w:rPr>
      </w:pPr>
      <w:r w:rsidRPr="00C37A47">
        <w:rPr>
          <w:sz w:val="24"/>
          <w:szCs w:val="24"/>
        </w:rPr>
        <w:t>Eliminationshalveringstiden kan være forlænget hos ældre, mandlige patienter.</w:t>
      </w:r>
    </w:p>
    <w:p w:rsidR="00C37A47" w:rsidRPr="00C37A47" w:rsidRDefault="00C37A47" w:rsidP="00C37A47">
      <w:pPr>
        <w:tabs>
          <w:tab w:val="left" w:pos="851"/>
        </w:tabs>
        <w:ind w:left="851"/>
        <w:rPr>
          <w:sz w:val="24"/>
          <w:szCs w:val="24"/>
          <w:u w:val="single"/>
        </w:rPr>
      </w:pPr>
    </w:p>
    <w:p w:rsidR="00C37A47" w:rsidRPr="00D26383" w:rsidRDefault="00C37A47" w:rsidP="00C37A47">
      <w:pPr>
        <w:tabs>
          <w:tab w:val="left" w:pos="851"/>
        </w:tabs>
        <w:ind w:left="851"/>
        <w:rPr>
          <w:i/>
          <w:sz w:val="24"/>
          <w:szCs w:val="24"/>
        </w:rPr>
      </w:pPr>
      <w:r w:rsidRPr="00D26383">
        <w:rPr>
          <w:i/>
          <w:sz w:val="24"/>
          <w:szCs w:val="24"/>
        </w:rPr>
        <w:t>Nedsat nyrefunktion</w:t>
      </w:r>
    </w:p>
    <w:p w:rsidR="00C37A47" w:rsidRPr="00C37A47" w:rsidRDefault="00C37A47" w:rsidP="00C37A47">
      <w:pPr>
        <w:tabs>
          <w:tab w:val="left" w:pos="851"/>
        </w:tabs>
        <w:ind w:left="851"/>
        <w:rPr>
          <w:sz w:val="24"/>
          <w:szCs w:val="24"/>
        </w:rPr>
      </w:pPr>
      <w:r w:rsidRPr="00C37A47">
        <w:rPr>
          <w:sz w:val="24"/>
          <w:szCs w:val="24"/>
        </w:rPr>
        <w:t>Da nyrerne er det vigtigste udskillelsesorgan, er det forventeligt, at halveringstiden forlænges, hvis nyrefunktionen er nedsat.</w:t>
      </w:r>
    </w:p>
    <w:p w:rsidR="00D26383" w:rsidRDefault="00D26383">
      <w:pPr>
        <w:rPr>
          <w:sz w:val="24"/>
          <w:szCs w:val="24"/>
        </w:rPr>
      </w:pPr>
      <w:r>
        <w:rPr>
          <w:sz w:val="24"/>
          <w:szCs w:val="24"/>
        </w:rPr>
        <w:br w:type="page"/>
      </w:r>
    </w:p>
    <w:p w:rsidR="00C37A47" w:rsidRPr="00C37A47" w:rsidRDefault="00C37A47" w:rsidP="00C37A47">
      <w:pPr>
        <w:tabs>
          <w:tab w:val="left" w:pos="851"/>
        </w:tabs>
        <w:ind w:left="851"/>
        <w:rPr>
          <w:sz w:val="24"/>
          <w:szCs w:val="24"/>
        </w:rPr>
      </w:pPr>
    </w:p>
    <w:p w:rsidR="00C37A47" w:rsidRPr="00D26383" w:rsidRDefault="00C37A47" w:rsidP="00C37A47">
      <w:pPr>
        <w:tabs>
          <w:tab w:val="left" w:pos="851"/>
        </w:tabs>
        <w:ind w:left="851"/>
        <w:rPr>
          <w:i/>
          <w:sz w:val="24"/>
          <w:szCs w:val="24"/>
        </w:rPr>
      </w:pPr>
      <w:r w:rsidRPr="00D26383">
        <w:rPr>
          <w:i/>
          <w:sz w:val="24"/>
          <w:szCs w:val="24"/>
        </w:rPr>
        <w:t>Nedsat leverfunktion</w:t>
      </w:r>
    </w:p>
    <w:p w:rsidR="00C37A47" w:rsidRPr="00C37A47" w:rsidRDefault="00C37A47" w:rsidP="00C37A47">
      <w:pPr>
        <w:tabs>
          <w:tab w:val="left" w:pos="851"/>
        </w:tabs>
        <w:ind w:left="851"/>
        <w:rPr>
          <w:sz w:val="24"/>
          <w:szCs w:val="24"/>
        </w:rPr>
      </w:pPr>
      <w:r w:rsidRPr="00C37A47">
        <w:rPr>
          <w:sz w:val="24"/>
          <w:szCs w:val="24"/>
        </w:rPr>
        <w:t>I tilfælde af nedsat leverfunktion er det forventeligt, at metaboliseringen af det aktive stof forsinkes, og at eliminationshalveringstiden forlænges.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rsidR="00D26383" w:rsidRPr="00D26383" w:rsidRDefault="00D26383" w:rsidP="00D26383">
      <w:pPr>
        <w:tabs>
          <w:tab w:val="left" w:pos="851"/>
        </w:tabs>
        <w:ind w:left="851"/>
        <w:rPr>
          <w:sz w:val="24"/>
          <w:szCs w:val="24"/>
        </w:rPr>
      </w:pPr>
      <w:r w:rsidRPr="00D26383">
        <w:rPr>
          <w:sz w:val="24"/>
          <w:szCs w:val="24"/>
        </w:rPr>
        <w:t>Efter administration af alprazolam i 24 måneder blev der iagttaget en tendens til en dosisafhængig stigning i grå stær hos hunrotter og vaskularisering af cornea hos hanrotter. I et kronisk toksicitetsstudie med hunde (12 måneder) blev der observeret kramper</w:t>
      </w:r>
      <w:r w:rsidRPr="00D26383">
        <w:rPr>
          <w:i/>
          <w:sz w:val="24"/>
          <w:szCs w:val="24"/>
        </w:rPr>
        <w:t xml:space="preserve">, </w:t>
      </w:r>
      <w:r w:rsidRPr="00D26383">
        <w:rPr>
          <w:sz w:val="24"/>
          <w:szCs w:val="24"/>
        </w:rPr>
        <w:t>som hos nogle dyr var med dødelig udgang. Relevansen af dette for mennesker er uklar.</w:t>
      </w:r>
    </w:p>
    <w:p w:rsidR="00D26383" w:rsidRPr="00D26383" w:rsidRDefault="00D26383" w:rsidP="00D26383">
      <w:pPr>
        <w:tabs>
          <w:tab w:val="left" w:pos="851"/>
        </w:tabs>
        <w:ind w:left="851"/>
        <w:rPr>
          <w:sz w:val="24"/>
          <w:szCs w:val="24"/>
        </w:rPr>
      </w:pPr>
    </w:p>
    <w:p w:rsidR="00D26383" w:rsidRPr="00D26383" w:rsidRDefault="00D26383" w:rsidP="00D26383">
      <w:pPr>
        <w:tabs>
          <w:tab w:val="left" w:pos="851"/>
        </w:tabs>
        <w:ind w:left="851"/>
        <w:rPr>
          <w:sz w:val="24"/>
          <w:szCs w:val="24"/>
        </w:rPr>
      </w:pPr>
      <w:r w:rsidRPr="00D26383">
        <w:rPr>
          <w:sz w:val="24"/>
          <w:szCs w:val="24"/>
        </w:rPr>
        <w:t>Studier af alprazolams mutagenicitet var negative. Langtidsstudier med rotter og mus viste ingen tegn på et tumorogent potentiale for alprazolam.</w:t>
      </w:r>
    </w:p>
    <w:p w:rsidR="00D26383" w:rsidRPr="00D26383" w:rsidRDefault="00D26383" w:rsidP="00D26383">
      <w:pPr>
        <w:tabs>
          <w:tab w:val="left" w:pos="851"/>
        </w:tabs>
        <w:ind w:left="851"/>
        <w:rPr>
          <w:sz w:val="24"/>
          <w:szCs w:val="24"/>
        </w:rPr>
      </w:pPr>
    </w:p>
    <w:p w:rsidR="00D26383" w:rsidRPr="00D26383" w:rsidRDefault="00D26383" w:rsidP="00D26383">
      <w:pPr>
        <w:tabs>
          <w:tab w:val="left" w:pos="851"/>
        </w:tabs>
        <w:ind w:left="851"/>
        <w:rPr>
          <w:sz w:val="24"/>
          <w:szCs w:val="24"/>
        </w:rPr>
      </w:pPr>
      <w:r w:rsidRPr="00D26383">
        <w:rPr>
          <w:sz w:val="24"/>
          <w:szCs w:val="24"/>
        </w:rPr>
        <w:t>Der blev ikke fundet nogen forringelse af mandlig og kvindelig fertilitet hos forsøgsdyrene, selvom placentapassage af alprazolam blev påvist i dyreforsøg. I studier med rotter og kaniner er der observeret embryoletale virkninger og skeletale misdannelser efter meget høje doser. Der foreligger ingen data om peri- og postnatal udvikling efter administration af alprazolam. Der er dog tegn på adfærdsforstyrrelser hos afkommet af gnavere, der udsættes for alprazolam.</w:t>
      </w:r>
    </w:p>
    <w:p w:rsidR="00D26383" w:rsidRPr="00D26383" w:rsidRDefault="00D26383" w:rsidP="00D26383">
      <w:pPr>
        <w:tabs>
          <w:tab w:val="left" w:pos="851"/>
        </w:tabs>
        <w:ind w:left="851"/>
        <w:rPr>
          <w:sz w:val="24"/>
          <w:szCs w:val="24"/>
        </w:rPr>
      </w:pPr>
    </w:p>
    <w:p w:rsidR="00D26383" w:rsidRPr="00D26383" w:rsidRDefault="00D26383" w:rsidP="00D26383">
      <w:pPr>
        <w:tabs>
          <w:tab w:val="left" w:pos="851"/>
        </w:tabs>
        <w:ind w:left="851"/>
        <w:rPr>
          <w:sz w:val="24"/>
          <w:szCs w:val="24"/>
        </w:rPr>
      </w:pPr>
      <w:r w:rsidRPr="00D26383">
        <w:rPr>
          <w:sz w:val="24"/>
          <w:szCs w:val="24"/>
        </w:rPr>
        <w:t>Dyreforsøg med alprazolam har vist reproduktionstoksicitet.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D26383" w:rsidRPr="00D26383" w:rsidRDefault="00D26383" w:rsidP="00D26383">
      <w:pPr>
        <w:tabs>
          <w:tab w:val="left" w:pos="851"/>
        </w:tabs>
        <w:ind w:left="851"/>
        <w:rPr>
          <w:sz w:val="24"/>
          <w:szCs w:val="24"/>
        </w:rPr>
      </w:pPr>
      <w:r w:rsidRPr="00D26383">
        <w:rPr>
          <w:sz w:val="24"/>
          <w:szCs w:val="24"/>
        </w:rPr>
        <w:t xml:space="preserve">Lactosemonohydrat </w:t>
      </w:r>
    </w:p>
    <w:p w:rsidR="00D26383" w:rsidRPr="00D26383" w:rsidRDefault="00D26383" w:rsidP="00D26383">
      <w:pPr>
        <w:tabs>
          <w:tab w:val="left" w:pos="851"/>
        </w:tabs>
        <w:ind w:left="851"/>
        <w:rPr>
          <w:sz w:val="24"/>
          <w:szCs w:val="24"/>
        </w:rPr>
      </w:pPr>
      <w:r w:rsidRPr="00D26383">
        <w:rPr>
          <w:sz w:val="24"/>
          <w:szCs w:val="24"/>
        </w:rPr>
        <w:t>Mikrokrystallinsk cellulose (E460)</w:t>
      </w:r>
    </w:p>
    <w:p w:rsidR="00D26383" w:rsidRPr="00D26383" w:rsidRDefault="00D26383" w:rsidP="00D26383">
      <w:pPr>
        <w:tabs>
          <w:tab w:val="left" w:pos="851"/>
        </w:tabs>
        <w:ind w:left="851"/>
        <w:rPr>
          <w:sz w:val="24"/>
          <w:szCs w:val="24"/>
        </w:rPr>
      </w:pPr>
      <w:bookmarkStart w:id="4" w:name="_Hlk161821144"/>
      <w:r w:rsidRPr="00D26383">
        <w:rPr>
          <w:sz w:val="24"/>
          <w:szCs w:val="24"/>
        </w:rPr>
        <w:t xml:space="preserve">Prægelatineret majsstivelse </w:t>
      </w:r>
    </w:p>
    <w:bookmarkEnd w:id="4"/>
    <w:p w:rsidR="00D26383" w:rsidRPr="001D4ED8" w:rsidRDefault="00D26383" w:rsidP="00D26383">
      <w:pPr>
        <w:tabs>
          <w:tab w:val="left" w:pos="851"/>
        </w:tabs>
        <w:ind w:left="851"/>
        <w:rPr>
          <w:sz w:val="24"/>
          <w:szCs w:val="24"/>
        </w:rPr>
      </w:pPr>
      <w:r w:rsidRPr="001D4ED8">
        <w:rPr>
          <w:sz w:val="24"/>
          <w:szCs w:val="24"/>
        </w:rPr>
        <w:t xml:space="preserve">Docusatnatrium </w:t>
      </w:r>
    </w:p>
    <w:p w:rsidR="00D26383" w:rsidRPr="001D4ED8" w:rsidRDefault="00D26383" w:rsidP="00D26383">
      <w:pPr>
        <w:tabs>
          <w:tab w:val="left" w:pos="851"/>
        </w:tabs>
        <w:ind w:left="851"/>
        <w:rPr>
          <w:sz w:val="24"/>
          <w:szCs w:val="24"/>
        </w:rPr>
      </w:pPr>
      <w:r w:rsidRPr="001D4ED8">
        <w:rPr>
          <w:sz w:val="24"/>
          <w:szCs w:val="24"/>
        </w:rPr>
        <w:t>Natriumbenzoat (E211)</w:t>
      </w:r>
    </w:p>
    <w:p w:rsidR="00D26383" w:rsidRPr="001D4ED8" w:rsidRDefault="00D26383" w:rsidP="00D26383">
      <w:pPr>
        <w:tabs>
          <w:tab w:val="left" w:pos="851"/>
        </w:tabs>
        <w:ind w:left="851"/>
        <w:rPr>
          <w:sz w:val="24"/>
          <w:szCs w:val="24"/>
        </w:rPr>
      </w:pPr>
      <w:r w:rsidRPr="001D4ED8">
        <w:rPr>
          <w:sz w:val="24"/>
          <w:szCs w:val="24"/>
        </w:rPr>
        <w:t>Magnesiumstearat (E572)</w:t>
      </w:r>
    </w:p>
    <w:p w:rsidR="00D26383" w:rsidRPr="00D26383" w:rsidRDefault="00D26383" w:rsidP="00D26383">
      <w:pPr>
        <w:tabs>
          <w:tab w:val="left" w:pos="851"/>
        </w:tabs>
        <w:ind w:left="851"/>
        <w:rPr>
          <w:sz w:val="24"/>
          <w:szCs w:val="24"/>
        </w:rPr>
      </w:pPr>
      <w:r w:rsidRPr="00D26383">
        <w:rPr>
          <w:sz w:val="24"/>
          <w:szCs w:val="24"/>
        </w:rPr>
        <w:t>Silica, kolloid vandfri (E551)</w:t>
      </w:r>
    </w:p>
    <w:p w:rsidR="00D26383" w:rsidRPr="00D26383" w:rsidRDefault="00D26383" w:rsidP="00D26383">
      <w:pPr>
        <w:tabs>
          <w:tab w:val="left" w:pos="851"/>
        </w:tabs>
        <w:ind w:left="851"/>
        <w:rPr>
          <w:sz w:val="24"/>
          <w:szCs w:val="24"/>
        </w:rPr>
      </w:pPr>
      <w:r w:rsidRPr="00D26383">
        <w:rPr>
          <w:sz w:val="24"/>
          <w:szCs w:val="24"/>
        </w:rPr>
        <w:t>Jernoxid, rød (E172) (kun 0,5 mg tabletter)</w:t>
      </w:r>
    </w:p>
    <w:p w:rsidR="00D26383" w:rsidRPr="00D26383" w:rsidRDefault="00D26383" w:rsidP="00D26383">
      <w:pPr>
        <w:tabs>
          <w:tab w:val="left" w:pos="851"/>
        </w:tabs>
        <w:ind w:left="851"/>
        <w:rPr>
          <w:sz w:val="24"/>
          <w:szCs w:val="24"/>
        </w:rPr>
      </w:pPr>
      <w:r w:rsidRPr="00D26383">
        <w:rPr>
          <w:sz w:val="24"/>
          <w:szCs w:val="24"/>
        </w:rPr>
        <w:t>Indigocarmin (E132) (kun 1 mg tabletter)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D26383" w:rsidRPr="00D26383" w:rsidRDefault="00D26383" w:rsidP="00D26383">
      <w:pPr>
        <w:tabs>
          <w:tab w:val="left" w:pos="851"/>
        </w:tabs>
        <w:ind w:left="851"/>
        <w:rPr>
          <w:sz w:val="24"/>
          <w:szCs w:val="24"/>
        </w:rPr>
      </w:pPr>
      <w:r w:rsidRPr="00D26383">
        <w:rPr>
          <w:sz w:val="24"/>
          <w:szCs w:val="24"/>
        </w:rPr>
        <w:t>Ikke relevant.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D26383" w:rsidRPr="00D26383" w:rsidRDefault="00D26383" w:rsidP="00216E4C">
      <w:pPr>
        <w:tabs>
          <w:tab w:val="left" w:pos="851"/>
          <w:tab w:val="left" w:pos="1843"/>
        </w:tabs>
        <w:ind w:left="851"/>
        <w:rPr>
          <w:sz w:val="24"/>
          <w:szCs w:val="24"/>
        </w:rPr>
      </w:pPr>
      <w:r w:rsidRPr="00D26383">
        <w:rPr>
          <w:sz w:val="24"/>
          <w:szCs w:val="24"/>
        </w:rPr>
        <w:t>0,25 mg:</w:t>
      </w:r>
      <w:r w:rsidR="00216E4C">
        <w:rPr>
          <w:sz w:val="24"/>
          <w:szCs w:val="24"/>
        </w:rPr>
        <w:tab/>
      </w:r>
      <w:r w:rsidRPr="00D26383">
        <w:rPr>
          <w:sz w:val="24"/>
          <w:szCs w:val="24"/>
        </w:rPr>
        <w:t>18 måneder</w:t>
      </w:r>
      <w:r>
        <w:rPr>
          <w:sz w:val="24"/>
          <w:szCs w:val="24"/>
        </w:rPr>
        <w:t>.</w:t>
      </w:r>
    </w:p>
    <w:p w:rsidR="00D26383" w:rsidRPr="00D26383" w:rsidRDefault="00D26383" w:rsidP="00216E4C">
      <w:pPr>
        <w:tabs>
          <w:tab w:val="left" w:pos="851"/>
          <w:tab w:val="left" w:pos="1843"/>
        </w:tabs>
        <w:ind w:left="851"/>
        <w:rPr>
          <w:sz w:val="24"/>
          <w:szCs w:val="24"/>
        </w:rPr>
      </w:pPr>
      <w:r w:rsidRPr="00D26383">
        <w:rPr>
          <w:sz w:val="24"/>
          <w:szCs w:val="24"/>
        </w:rPr>
        <w:t>0,5 mg:</w:t>
      </w:r>
      <w:r w:rsidRPr="00D26383">
        <w:rPr>
          <w:sz w:val="24"/>
          <w:szCs w:val="24"/>
        </w:rPr>
        <w:tab/>
        <w:t>2 år</w:t>
      </w:r>
      <w:r>
        <w:rPr>
          <w:sz w:val="24"/>
          <w:szCs w:val="24"/>
        </w:rPr>
        <w:t>.</w:t>
      </w:r>
    </w:p>
    <w:p w:rsidR="00D26383" w:rsidRPr="00D26383" w:rsidRDefault="00D26383" w:rsidP="00216E4C">
      <w:pPr>
        <w:tabs>
          <w:tab w:val="left" w:pos="851"/>
          <w:tab w:val="left" w:pos="1843"/>
        </w:tabs>
        <w:ind w:left="851"/>
        <w:rPr>
          <w:sz w:val="24"/>
          <w:szCs w:val="24"/>
        </w:rPr>
      </w:pPr>
      <w:r w:rsidRPr="00D26383">
        <w:rPr>
          <w:sz w:val="24"/>
          <w:szCs w:val="24"/>
        </w:rPr>
        <w:t>1 mg:</w:t>
      </w:r>
      <w:r w:rsidRPr="00D26383">
        <w:rPr>
          <w:sz w:val="24"/>
          <w:szCs w:val="24"/>
        </w:rPr>
        <w:tab/>
        <w:t>2 år</w:t>
      </w:r>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D26383" w:rsidRPr="00D26383" w:rsidRDefault="00D26383" w:rsidP="00D26383">
      <w:pPr>
        <w:tabs>
          <w:tab w:val="left" w:pos="851"/>
        </w:tabs>
        <w:ind w:left="851"/>
        <w:rPr>
          <w:sz w:val="24"/>
          <w:szCs w:val="24"/>
        </w:rPr>
      </w:pPr>
      <w:r w:rsidRPr="00D26383">
        <w:rPr>
          <w:sz w:val="24"/>
          <w:szCs w:val="24"/>
        </w:rPr>
        <w:t>Må ikke opbevares ved temperaturer over 25 °C.</w:t>
      </w:r>
    </w:p>
    <w:p w:rsidR="00D26383" w:rsidRDefault="00D26383">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D26383" w:rsidRDefault="00D26383" w:rsidP="00D26383">
      <w:pPr>
        <w:tabs>
          <w:tab w:val="left" w:pos="851"/>
        </w:tabs>
        <w:ind w:left="851"/>
        <w:rPr>
          <w:sz w:val="24"/>
          <w:szCs w:val="24"/>
        </w:rPr>
      </w:pPr>
      <w:r w:rsidRPr="00D26383">
        <w:rPr>
          <w:sz w:val="24"/>
          <w:szCs w:val="24"/>
        </w:rPr>
        <w:t>OPA/Alu/PVC/aluminium-blisterpakning</w:t>
      </w:r>
      <w:r>
        <w:rPr>
          <w:sz w:val="24"/>
          <w:szCs w:val="24"/>
        </w:rPr>
        <w:t>.</w:t>
      </w:r>
    </w:p>
    <w:p w:rsidR="00D26383" w:rsidRDefault="00D26383" w:rsidP="00D26383">
      <w:pPr>
        <w:tabs>
          <w:tab w:val="left" w:pos="851"/>
        </w:tabs>
        <w:ind w:left="851"/>
        <w:rPr>
          <w:sz w:val="24"/>
          <w:szCs w:val="24"/>
        </w:rPr>
      </w:pPr>
    </w:p>
    <w:p w:rsidR="00D26383" w:rsidRPr="00D26383" w:rsidRDefault="00D26383" w:rsidP="00D26383">
      <w:pPr>
        <w:tabs>
          <w:tab w:val="left" w:pos="851"/>
        </w:tabs>
        <w:ind w:left="851"/>
        <w:rPr>
          <w:sz w:val="24"/>
          <w:szCs w:val="24"/>
        </w:rPr>
      </w:pPr>
      <w:r>
        <w:rPr>
          <w:sz w:val="24"/>
          <w:szCs w:val="24"/>
        </w:rPr>
        <w:t xml:space="preserve">Pakningsstørrelser: </w:t>
      </w:r>
      <w:r w:rsidRPr="00D26383">
        <w:rPr>
          <w:sz w:val="24"/>
          <w:szCs w:val="24"/>
        </w:rPr>
        <w:t xml:space="preserve">10, 20, 30, 50, 60 </w:t>
      </w:r>
      <w:r>
        <w:rPr>
          <w:sz w:val="24"/>
          <w:szCs w:val="24"/>
        </w:rPr>
        <w:t>og</w:t>
      </w:r>
      <w:r w:rsidRPr="00D26383">
        <w:rPr>
          <w:sz w:val="24"/>
          <w:szCs w:val="24"/>
        </w:rPr>
        <w:t xml:space="preserve"> 100 tabletter.</w:t>
      </w:r>
    </w:p>
    <w:p w:rsidR="00D26383" w:rsidRPr="00D26383" w:rsidRDefault="00D26383" w:rsidP="00D26383">
      <w:pPr>
        <w:tabs>
          <w:tab w:val="left" w:pos="851"/>
        </w:tabs>
        <w:ind w:left="851"/>
        <w:rPr>
          <w:sz w:val="24"/>
          <w:szCs w:val="24"/>
        </w:rPr>
      </w:pPr>
      <w:r w:rsidRPr="00D26383">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rsidR="00D26383" w:rsidRPr="00D26383" w:rsidRDefault="00D26383" w:rsidP="00D26383">
      <w:pPr>
        <w:tabs>
          <w:tab w:val="left" w:pos="851"/>
        </w:tabs>
        <w:ind w:left="851"/>
        <w:rPr>
          <w:sz w:val="24"/>
          <w:szCs w:val="24"/>
        </w:rPr>
      </w:pPr>
      <w:r w:rsidRPr="00D26383">
        <w:rPr>
          <w:sz w:val="24"/>
          <w:szCs w:val="24"/>
        </w:rPr>
        <w:t>Ingen særlige forholdsregler.</w:t>
      </w:r>
    </w:p>
    <w:p w:rsidR="009260DE" w:rsidRPr="00C84483" w:rsidRDefault="009260DE"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864522" w:rsidRPr="00864522" w:rsidRDefault="00864522" w:rsidP="00864522">
      <w:pPr>
        <w:tabs>
          <w:tab w:val="left" w:pos="851"/>
        </w:tabs>
        <w:ind w:left="851"/>
        <w:rPr>
          <w:sz w:val="24"/>
          <w:szCs w:val="24"/>
          <w:lang w:val="en-US"/>
        </w:rPr>
      </w:pPr>
      <w:r>
        <w:rPr>
          <w:sz w:val="24"/>
          <w:szCs w:val="24"/>
          <w:lang w:val="en-US"/>
        </w:rPr>
        <w:t>Grindeks AS</w:t>
      </w:r>
    </w:p>
    <w:p w:rsidR="00864522" w:rsidRPr="00864522" w:rsidRDefault="00864522" w:rsidP="00864522">
      <w:pPr>
        <w:tabs>
          <w:tab w:val="left" w:pos="851"/>
        </w:tabs>
        <w:ind w:left="851"/>
        <w:rPr>
          <w:sz w:val="24"/>
          <w:szCs w:val="24"/>
          <w:lang w:val="en-US"/>
        </w:rPr>
      </w:pPr>
      <w:r w:rsidRPr="00864522">
        <w:rPr>
          <w:sz w:val="24"/>
          <w:szCs w:val="24"/>
          <w:lang w:val="en-US"/>
        </w:rPr>
        <w:t>Krustpils iela 53</w:t>
      </w:r>
    </w:p>
    <w:p w:rsidR="00864522" w:rsidRPr="00864522" w:rsidRDefault="00864522" w:rsidP="00864522">
      <w:pPr>
        <w:tabs>
          <w:tab w:val="left" w:pos="851"/>
        </w:tabs>
        <w:ind w:left="851"/>
        <w:rPr>
          <w:sz w:val="24"/>
          <w:szCs w:val="24"/>
          <w:lang w:val="en-US"/>
        </w:rPr>
      </w:pPr>
      <w:r>
        <w:rPr>
          <w:sz w:val="24"/>
          <w:szCs w:val="24"/>
          <w:lang w:val="en-US"/>
        </w:rPr>
        <w:t xml:space="preserve">1057 </w:t>
      </w:r>
      <w:r w:rsidRPr="00864522">
        <w:rPr>
          <w:sz w:val="24"/>
          <w:szCs w:val="24"/>
          <w:lang w:val="en-US"/>
        </w:rPr>
        <w:t>Rīga</w:t>
      </w:r>
    </w:p>
    <w:p w:rsidR="00864522" w:rsidRPr="00864522" w:rsidRDefault="00864522" w:rsidP="00864522">
      <w:pPr>
        <w:tabs>
          <w:tab w:val="left" w:pos="851"/>
        </w:tabs>
        <w:ind w:left="851"/>
        <w:rPr>
          <w:sz w:val="24"/>
          <w:szCs w:val="24"/>
          <w:lang w:val="en-US"/>
        </w:rPr>
      </w:pPr>
      <w:r w:rsidRPr="00864522">
        <w:rPr>
          <w:sz w:val="24"/>
          <w:szCs w:val="24"/>
          <w:lang w:val="en-US"/>
        </w:rPr>
        <w:t>Letland</w:t>
      </w:r>
    </w:p>
    <w:p w:rsidR="00864522" w:rsidRPr="001D4ED8" w:rsidRDefault="00864522" w:rsidP="00864522">
      <w:pPr>
        <w:tabs>
          <w:tab w:val="left" w:pos="851"/>
        </w:tabs>
        <w:ind w:left="851"/>
        <w:rPr>
          <w:sz w:val="24"/>
          <w:szCs w:val="24"/>
          <w:lang w:val="en-US"/>
        </w:rPr>
      </w:pPr>
    </w:p>
    <w:p w:rsidR="00864522" w:rsidRPr="00864522" w:rsidRDefault="00864522" w:rsidP="00864522">
      <w:pPr>
        <w:tabs>
          <w:tab w:val="left" w:pos="851"/>
        </w:tabs>
        <w:ind w:left="851"/>
        <w:rPr>
          <w:b/>
          <w:sz w:val="24"/>
          <w:szCs w:val="24"/>
        </w:rPr>
      </w:pPr>
      <w:r>
        <w:rPr>
          <w:b/>
          <w:sz w:val="24"/>
          <w:szCs w:val="24"/>
        </w:rPr>
        <w:t>R</w:t>
      </w:r>
      <w:r w:rsidRPr="00864522">
        <w:rPr>
          <w:b/>
          <w:sz w:val="24"/>
          <w:szCs w:val="24"/>
        </w:rPr>
        <w:t>epræsentant</w:t>
      </w:r>
    </w:p>
    <w:p w:rsidR="00864522" w:rsidRPr="00864522" w:rsidRDefault="00864522" w:rsidP="00864522">
      <w:pPr>
        <w:tabs>
          <w:tab w:val="left" w:pos="851"/>
        </w:tabs>
        <w:ind w:left="851"/>
        <w:rPr>
          <w:sz w:val="24"/>
          <w:szCs w:val="24"/>
        </w:rPr>
      </w:pPr>
      <w:r w:rsidRPr="00864522">
        <w:rPr>
          <w:sz w:val="24"/>
          <w:szCs w:val="24"/>
        </w:rPr>
        <w:t>Grindeks Kalceks Danmark ApS</w:t>
      </w:r>
    </w:p>
    <w:p w:rsidR="00864522" w:rsidRPr="00864522" w:rsidRDefault="00864522" w:rsidP="00864522">
      <w:pPr>
        <w:tabs>
          <w:tab w:val="left" w:pos="851"/>
        </w:tabs>
        <w:ind w:left="851"/>
        <w:rPr>
          <w:sz w:val="24"/>
          <w:szCs w:val="24"/>
        </w:rPr>
      </w:pPr>
      <w:r w:rsidRPr="00864522">
        <w:rPr>
          <w:sz w:val="24"/>
          <w:szCs w:val="24"/>
        </w:rPr>
        <w:t>Klosterstræde 9</w:t>
      </w:r>
    </w:p>
    <w:p w:rsidR="00864522" w:rsidRPr="00864522" w:rsidRDefault="00864522" w:rsidP="00864522">
      <w:pPr>
        <w:tabs>
          <w:tab w:val="left" w:pos="851"/>
        </w:tabs>
        <w:ind w:left="851"/>
        <w:rPr>
          <w:sz w:val="24"/>
          <w:szCs w:val="24"/>
        </w:rPr>
      </w:pPr>
      <w:r w:rsidRPr="00864522">
        <w:rPr>
          <w:sz w:val="24"/>
          <w:szCs w:val="24"/>
        </w:rPr>
        <w:t>1157 København K</w:t>
      </w:r>
    </w:p>
    <w:p w:rsidR="00641C65" w:rsidRPr="00641C65" w:rsidRDefault="00641C65"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rsidR="00216E4C" w:rsidRPr="00D26383" w:rsidRDefault="00216E4C" w:rsidP="00216E4C">
      <w:pPr>
        <w:tabs>
          <w:tab w:val="left" w:pos="851"/>
          <w:tab w:val="left" w:pos="1843"/>
        </w:tabs>
        <w:ind w:left="851"/>
        <w:rPr>
          <w:sz w:val="24"/>
          <w:szCs w:val="24"/>
        </w:rPr>
      </w:pPr>
      <w:r w:rsidRPr="00D26383">
        <w:rPr>
          <w:sz w:val="24"/>
          <w:szCs w:val="24"/>
        </w:rPr>
        <w:t>0,25 mg:</w:t>
      </w:r>
      <w:r>
        <w:rPr>
          <w:sz w:val="24"/>
          <w:szCs w:val="24"/>
        </w:rPr>
        <w:tab/>
        <w:t>66945</w:t>
      </w:r>
    </w:p>
    <w:p w:rsidR="00216E4C" w:rsidRPr="00D26383" w:rsidRDefault="00216E4C" w:rsidP="00216E4C">
      <w:pPr>
        <w:tabs>
          <w:tab w:val="left" w:pos="851"/>
          <w:tab w:val="left" w:pos="1843"/>
        </w:tabs>
        <w:ind w:left="851"/>
        <w:rPr>
          <w:sz w:val="24"/>
          <w:szCs w:val="24"/>
        </w:rPr>
      </w:pPr>
      <w:r w:rsidRPr="00D26383">
        <w:rPr>
          <w:sz w:val="24"/>
          <w:szCs w:val="24"/>
        </w:rPr>
        <w:t>0,5 mg:</w:t>
      </w:r>
      <w:r w:rsidRPr="00D26383">
        <w:rPr>
          <w:sz w:val="24"/>
          <w:szCs w:val="24"/>
        </w:rPr>
        <w:tab/>
      </w:r>
      <w:r>
        <w:rPr>
          <w:sz w:val="24"/>
          <w:szCs w:val="24"/>
        </w:rPr>
        <w:t>66952</w:t>
      </w:r>
    </w:p>
    <w:p w:rsidR="00216E4C" w:rsidRPr="00D26383" w:rsidRDefault="00216E4C" w:rsidP="00216E4C">
      <w:pPr>
        <w:tabs>
          <w:tab w:val="left" w:pos="851"/>
          <w:tab w:val="left" w:pos="1843"/>
        </w:tabs>
        <w:ind w:left="851"/>
        <w:rPr>
          <w:sz w:val="24"/>
          <w:szCs w:val="24"/>
        </w:rPr>
      </w:pPr>
      <w:r w:rsidRPr="00D26383">
        <w:rPr>
          <w:sz w:val="24"/>
          <w:szCs w:val="24"/>
        </w:rPr>
        <w:t>1 mg:</w:t>
      </w:r>
      <w:r w:rsidRPr="00D26383">
        <w:rPr>
          <w:sz w:val="24"/>
          <w:szCs w:val="24"/>
        </w:rPr>
        <w:tab/>
      </w:r>
      <w:r>
        <w:rPr>
          <w:sz w:val="24"/>
          <w:szCs w:val="24"/>
        </w:rPr>
        <w:t>66953</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2E19F6" w:rsidP="009260DE">
      <w:pPr>
        <w:tabs>
          <w:tab w:val="left" w:pos="851"/>
        </w:tabs>
        <w:ind w:left="851"/>
        <w:rPr>
          <w:sz w:val="24"/>
          <w:szCs w:val="24"/>
        </w:rPr>
      </w:pPr>
      <w:r>
        <w:rPr>
          <w:sz w:val="24"/>
          <w:szCs w:val="24"/>
        </w:rPr>
        <w:t>17. september 2024</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216E4C"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54F3" w:rsidRDefault="005B54F3">
      <w:r>
        <w:separator/>
      </w:r>
    </w:p>
  </w:endnote>
  <w:endnote w:type="continuationSeparator" w:id="0">
    <w:p w:rsidR="005B54F3" w:rsidRDefault="005B54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E94BED">
      <w:rPr>
        <w:i/>
        <w:noProof/>
        <w:sz w:val="18"/>
        <w:szCs w:val="18"/>
      </w:rPr>
      <w:t>Alprazolam Grindeks, tabletter 0,25 mg, 0,5 mg og 1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54F3" w:rsidRDefault="005B54F3">
      <w:r>
        <w:separator/>
      </w:r>
    </w:p>
  </w:footnote>
  <w:footnote w:type="continuationSeparator" w:id="0">
    <w:p w:rsidR="005B54F3" w:rsidRDefault="005B54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39BD533F"/>
    <w:multiLevelType w:val="hybridMultilevel"/>
    <w:tmpl w:val="D2CA28E6"/>
    <w:lvl w:ilvl="0" w:tplc="8458A134">
      <w:start w:val="1"/>
      <w:numFmt w:val="bullet"/>
      <w:lvlText w:val="-"/>
      <w:lvlJc w:val="left"/>
      <w:pPr>
        <w:ind w:left="566"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E0C8F4A4">
      <w:start w:val="1"/>
      <w:numFmt w:val="bullet"/>
      <w:lvlText w:val="o"/>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604FBB2">
      <w:start w:val="1"/>
      <w:numFmt w:val="bullet"/>
      <w:lvlText w:val="▪"/>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826045E4">
      <w:start w:val="1"/>
      <w:numFmt w:val="bullet"/>
      <w:lvlText w:val="•"/>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9AB496E6">
      <w:start w:val="1"/>
      <w:numFmt w:val="bullet"/>
      <w:lvlText w:val="o"/>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82206E5C">
      <w:start w:val="1"/>
      <w:numFmt w:val="bullet"/>
      <w:lvlText w:val="▪"/>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44BE9560">
      <w:start w:val="1"/>
      <w:numFmt w:val="bullet"/>
      <w:lvlText w:val="•"/>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2E307582">
      <w:start w:val="1"/>
      <w:numFmt w:val="bullet"/>
      <w:lvlText w:val="o"/>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1E4B8C6">
      <w:start w:val="1"/>
      <w:numFmt w:val="bullet"/>
      <w:lvlText w:val="▪"/>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54F3"/>
    <w:rsid w:val="000259B9"/>
    <w:rsid w:val="00041491"/>
    <w:rsid w:val="00046E4E"/>
    <w:rsid w:val="00050D16"/>
    <w:rsid w:val="000730CA"/>
    <w:rsid w:val="00074F2A"/>
    <w:rsid w:val="000A1CA8"/>
    <w:rsid w:val="000A466B"/>
    <w:rsid w:val="000B058C"/>
    <w:rsid w:val="000D68B0"/>
    <w:rsid w:val="000E4EE6"/>
    <w:rsid w:val="001454E2"/>
    <w:rsid w:val="001D4ED8"/>
    <w:rsid w:val="00206CE8"/>
    <w:rsid w:val="0021526C"/>
    <w:rsid w:val="00216E4C"/>
    <w:rsid w:val="00283A2B"/>
    <w:rsid w:val="002B30AD"/>
    <w:rsid w:val="002C1EC0"/>
    <w:rsid w:val="002C2C01"/>
    <w:rsid w:val="002E19F6"/>
    <w:rsid w:val="003A29AE"/>
    <w:rsid w:val="003A32D7"/>
    <w:rsid w:val="003B4074"/>
    <w:rsid w:val="003C1335"/>
    <w:rsid w:val="003C769A"/>
    <w:rsid w:val="003D3760"/>
    <w:rsid w:val="003D3A90"/>
    <w:rsid w:val="003F1838"/>
    <w:rsid w:val="004251C1"/>
    <w:rsid w:val="0045746C"/>
    <w:rsid w:val="0049104B"/>
    <w:rsid w:val="004E3B12"/>
    <w:rsid w:val="00532310"/>
    <w:rsid w:val="00565F0F"/>
    <w:rsid w:val="00594A86"/>
    <w:rsid w:val="00596D86"/>
    <w:rsid w:val="005B54F3"/>
    <w:rsid w:val="00637F5A"/>
    <w:rsid w:val="00641C65"/>
    <w:rsid w:val="006560B1"/>
    <w:rsid w:val="006756DD"/>
    <w:rsid w:val="006F5C70"/>
    <w:rsid w:val="00703CA6"/>
    <w:rsid w:val="0071241E"/>
    <w:rsid w:val="00737275"/>
    <w:rsid w:val="00740EEC"/>
    <w:rsid w:val="0078011A"/>
    <w:rsid w:val="00782AF4"/>
    <w:rsid w:val="00790EE7"/>
    <w:rsid w:val="007B6649"/>
    <w:rsid w:val="0082576E"/>
    <w:rsid w:val="00864522"/>
    <w:rsid w:val="0089346F"/>
    <w:rsid w:val="00907F75"/>
    <w:rsid w:val="009260DE"/>
    <w:rsid w:val="0093258A"/>
    <w:rsid w:val="009C7BA3"/>
    <w:rsid w:val="009D1F5A"/>
    <w:rsid w:val="00A10294"/>
    <w:rsid w:val="00B003BF"/>
    <w:rsid w:val="00B373D7"/>
    <w:rsid w:val="00B55271"/>
    <w:rsid w:val="00BD7931"/>
    <w:rsid w:val="00BF6243"/>
    <w:rsid w:val="00C21BD0"/>
    <w:rsid w:val="00C36276"/>
    <w:rsid w:val="00C37A47"/>
    <w:rsid w:val="00C42586"/>
    <w:rsid w:val="00C45F6B"/>
    <w:rsid w:val="00C60CCD"/>
    <w:rsid w:val="00C84483"/>
    <w:rsid w:val="00C95551"/>
    <w:rsid w:val="00CB20D7"/>
    <w:rsid w:val="00D020B0"/>
    <w:rsid w:val="00D11748"/>
    <w:rsid w:val="00D237F6"/>
    <w:rsid w:val="00D26383"/>
    <w:rsid w:val="00D34D98"/>
    <w:rsid w:val="00D366CF"/>
    <w:rsid w:val="00D704D4"/>
    <w:rsid w:val="00D93992"/>
    <w:rsid w:val="00E108AA"/>
    <w:rsid w:val="00E3749A"/>
    <w:rsid w:val="00E7437F"/>
    <w:rsid w:val="00E865B8"/>
    <w:rsid w:val="00E94BED"/>
    <w:rsid w:val="00EC0B9B"/>
    <w:rsid w:val="00ED5E9F"/>
    <w:rsid w:val="00F66D4F"/>
    <w:rsid w:val="00FB20D7"/>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9CD3E3"/>
  <w15:chartTrackingRefBased/>
  <w15:docId w15:val="{9CFEBCBA-0891-4DD9-AD48-807FA2D3A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customStyle="1" w:styleId="TableGrid">
    <w:name w:val="TableGrid"/>
    <w:rsid w:val="003C1335"/>
    <w:rPr>
      <w:rFonts w:asciiTheme="minorHAnsi" w:eastAsiaTheme="minorEastAsia" w:hAnsiTheme="minorHAnsi" w:cstheme="minorBidi"/>
      <w:sz w:val="22"/>
      <w:szCs w:val="22"/>
      <w:lang w:eastAsia="lv-LV"/>
    </w:rPr>
    <w:tblPr>
      <w:tblCellMar>
        <w:top w:w="0" w:type="dxa"/>
        <w:left w:w="0" w:type="dxa"/>
        <w:bottom w:w="0" w:type="dxa"/>
        <w:right w:w="0" w:type="dxa"/>
      </w:tblCellMar>
    </w:tblPr>
  </w:style>
  <w:style w:type="character" w:styleId="Hyperlink">
    <w:name w:val="Hyperlink"/>
    <w:basedOn w:val="Standardskrifttypeiafsnit"/>
    <w:uiPriority w:val="99"/>
    <w:semiHidden/>
    <w:unhideWhenUsed/>
    <w:rsid w:val="003C133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05419847">
      <w:bodyDiv w:val="1"/>
      <w:marLeft w:val="0"/>
      <w:marRight w:val="0"/>
      <w:marTop w:val="0"/>
      <w:marBottom w:val="0"/>
      <w:divBdr>
        <w:top w:val="none" w:sz="0" w:space="0" w:color="auto"/>
        <w:left w:val="none" w:sz="0" w:space="0" w:color="auto"/>
        <w:bottom w:val="none" w:sz="0" w:space="0" w:color="auto"/>
        <w:right w:val="none" w:sz="0" w:space="0" w:color="auto"/>
      </w:divBdr>
    </w:div>
    <w:div w:id="421032309">
      <w:bodyDiv w:val="1"/>
      <w:marLeft w:val="0"/>
      <w:marRight w:val="0"/>
      <w:marTop w:val="0"/>
      <w:marBottom w:val="0"/>
      <w:divBdr>
        <w:top w:val="none" w:sz="0" w:space="0" w:color="auto"/>
        <w:left w:val="none" w:sz="0" w:space="0" w:color="auto"/>
        <w:bottom w:val="none" w:sz="0" w:space="0" w:color="auto"/>
        <w:right w:val="none" w:sz="0" w:space="0" w:color="auto"/>
      </w:divBdr>
    </w:div>
    <w:div w:id="450395598">
      <w:bodyDiv w:val="1"/>
      <w:marLeft w:val="0"/>
      <w:marRight w:val="0"/>
      <w:marTop w:val="0"/>
      <w:marBottom w:val="0"/>
      <w:divBdr>
        <w:top w:val="none" w:sz="0" w:space="0" w:color="auto"/>
        <w:left w:val="none" w:sz="0" w:space="0" w:color="auto"/>
        <w:bottom w:val="none" w:sz="0" w:space="0" w:color="auto"/>
        <w:right w:val="none" w:sz="0" w:space="0" w:color="auto"/>
      </w:divBdr>
    </w:div>
    <w:div w:id="453907972">
      <w:bodyDiv w:val="1"/>
      <w:marLeft w:val="0"/>
      <w:marRight w:val="0"/>
      <w:marTop w:val="0"/>
      <w:marBottom w:val="0"/>
      <w:divBdr>
        <w:top w:val="none" w:sz="0" w:space="0" w:color="auto"/>
        <w:left w:val="none" w:sz="0" w:space="0" w:color="auto"/>
        <w:bottom w:val="none" w:sz="0" w:space="0" w:color="auto"/>
        <w:right w:val="none" w:sz="0" w:space="0" w:color="auto"/>
      </w:divBdr>
    </w:div>
    <w:div w:id="460153912">
      <w:bodyDiv w:val="1"/>
      <w:marLeft w:val="0"/>
      <w:marRight w:val="0"/>
      <w:marTop w:val="0"/>
      <w:marBottom w:val="0"/>
      <w:divBdr>
        <w:top w:val="none" w:sz="0" w:space="0" w:color="auto"/>
        <w:left w:val="none" w:sz="0" w:space="0" w:color="auto"/>
        <w:bottom w:val="none" w:sz="0" w:space="0" w:color="auto"/>
        <w:right w:val="none" w:sz="0" w:space="0" w:color="auto"/>
      </w:divBdr>
    </w:div>
    <w:div w:id="461047196">
      <w:bodyDiv w:val="1"/>
      <w:marLeft w:val="0"/>
      <w:marRight w:val="0"/>
      <w:marTop w:val="0"/>
      <w:marBottom w:val="0"/>
      <w:divBdr>
        <w:top w:val="none" w:sz="0" w:space="0" w:color="auto"/>
        <w:left w:val="none" w:sz="0" w:space="0" w:color="auto"/>
        <w:bottom w:val="none" w:sz="0" w:space="0" w:color="auto"/>
        <w:right w:val="none" w:sz="0" w:space="0" w:color="auto"/>
      </w:divBdr>
    </w:div>
    <w:div w:id="499081266">
      <w:bodyDiv w:val="1"/>
      <w:marLeft w:val="0"/>
      <w:marRight w:val="0"/>
      <w:marTop w:val="0"/>
      <w:marBottom w:val="0"/>
      <w:divBdr>
        <w:top w:val="none" w:sz="0" w:space="0" w:color="auto"/>
        <w:left w:val="none" w:sz="0" w:space="0" w:color="auto"/>
        <w:bottom w:val="none" w:sz="0" w:space="0" w:color="auto"/>
        <w:right w:val="none" w:sz="0" w:space="0" w:color="auto"/>
      </w:divBdr>
    </w:div>
    <w:div w:id="595988248">
      <w:bodyDiv w:val="1"/>
      <w:marLeft w:val="0"/>
      <w:marRight w:val="0"/>
      <w:marTop w:val="0"/>
      <w:marBottom w:val="0"/>
      <w:divBdr>
        <w:top w:val="none" w:sz="0" w:space="0" w:color="auto"/>
        <w:left w:val="none" w:sz="0" w:space="0" w:color="auto"/>
        <w:bottom w:val="none" w:sz="0" w:space="0" w:color="auto"/>
        <w:right w:val="none" w:sz="0" w:space="0" w:color="auto"/>
      </w:divBdr>
    </w:div>
    <w:div w:id="638340947">
      <w:bodyDiv w:val="1"/>
      <w:marLeft w:val="0"/>
      <w:marRight w:val="0"/>
      <w:marTop w:val="0"/>
      <w:marBottom w:val="0"/>
      <w:divBdr>
        <w:top w:val="none" w:sz="0" w:space="0" w:color="auto"/>
        <w:left w:val="none" w:sz="0" w:space="0" w:color="auto"/>
        <w:bottom w:val="none" w:sz="0" w:space="0" w:color="auto"/>
        <w:right w:val="none" w:sz="0" w:space="0" w:color="auto"/>
      </w:divBdr>
    </w:div>
    <w:div w:id="642387045">
      <w:bodyDiv w:val="1"/>
      <w:marLeft w:val="0"/>
      <w:marRight w:val="0"/>
      <w:marTop w:val="0"/>
      <w:marBottom w:val="0"/>
      <w:divBdr>
        <w:top w:val="none" w:sz="0" w:space="0" w:color="auto"/>
        <w:left w:val="none" w:sz="0" w:space="0" w:color="auto"/>
        <w:bottom w:val="none" w:sz="0" w:space="0" w:color="auto"/>
        <w:right w:val="none" w:sz="0" w:space="0" w:color="auto"/>
      </w:divBdr>
    </w:div>
    <w:div w:id="715279836">
      <w:bodyDiv w:val="1"/>
      <w:marLeft w:val="0"/>
      <w:marRight w:val="0"/>
      <w:marTop w:val="0"/>
      <w:marBottom w:val="0"/>
      <w:divBdr>
        <w:top w:val="none" w:sz="0" w:space="0" w:color="auto"/>
        <w:left w:val="none" w:sz="0" w:space="0" w:color="auto"/>
        <w:bottom w:val="none" w:sz="0" w:space="0" w:color="auto"/>
        <w:right w:val="none" w:sz="0" w:space="0" w:color="auto"/>
      </w:divBdr>
    </w:div>
    <w:div w:id="786385558">
      <w:bodyDiv w:val="1"/>
      <w:marLeft w:val="0"/>
      <w:marRight w:val="0"/>
      <w:marTop w:val="0"/>
      <w:marBottom w:val="0"/>
      <w:divBdr>
        <w:top w:val="none" w:sz="0" w:space="0" w:color="auto"/>
        <w:left w:val="none" w:sz="0" w:space="0" w:color="auto"/>
        <w:bottom w:val="none" w:sz="0" w:space="0" w:color="auto"/>
        <w:right w:val="none" w:sz="0" w:space="0" w:color="auto"/>
      </w:divBdr>
    </w:div>
    <w:div w:id="812410827">
      <w:bodyDiv w:val="1"/>
      <w:marLeft w:val="0"/>
      <w:marRight w:val="0"/>
      <w:marTop w:val="0"/>
      <w:marBottom w:val="0"/>
      <w:divBdr>
        <w:top w:val="none" w:sz="0" w:space="0" w:color="auto"/>
        <w:left w:val="none" w:sz="0" w:space="0" w:color="auto"/>
        <w:bottom w:val="none" w:sz="0" w:space="0" w:color="auto"/>
        <w:right w:val="none" w:sz="0" w:space="0" w:color="auto"/>
      </w:divBdr>
    </w:div>
    <w:div w:id="845830736">
      <w:bodyDiv w:val="1"/>
      <w:marLeft w:val="0"/>
      <w:marRight w:val="0"/>
      <w:marTop w:val="0"/>
      <w:marBottom w:val="0"/>
      <w:divBdr>
        <w:top w:val="none" w:sz="0" w:space="0" w:color="auto"/>
        <w:left w:val="none" w:sz="0" w:space="0" w:color="auto"/>
        <w:bottom w:val="none" w:sz="0" w:space="0" w:color="auto"/>
        <w:right w:val="none" w:sz="0" w:space="0" w:color="auto"/>
      </w:divBdr>
    </w:div>
    <w:div w:id="851383454">
      <w:bodyDiv w:val="1"/>
      <w:marLeft w:val="0"/>
      <w:marRight w:val="0"/>
      <w:marTop w:val="0"/>
      <w:marBottom w:val="0"/>
      <w:divBdr>
        <w:top w:val="none" w:sz="0" w:space="0" w:color="auto"/>
        <w:left w:val="none" w:sz="0" w:space="0" w:color="auto"/>
        <w:bottom w:val="none" w:sz="0" w:space="0" w:color="auto"/>
        <w:right w:val="none" w:sz="0" w:space="0" w:color="auto"/>
      </w:divBdr>
    </w:div>
    <w:div w:id="859205304">
      <w:bodyDiv w:val="1"/>
      <w:marLeft w:val="0"/>
      <w:marRight w:val="0"/>
      <w:marTop w:val="0"/>
      <w:marBottom w:val="0"/>
      <w:divBdr>
        <w:top w:val="none" w:sz="0" w:space="0" w:color="auto"/>
        <w:left w:val="none" w:sz="0" w:space="0" w:color="auto"/>
        <w:bottom w:val="none" w:sz="0" w:space="0" w:color="auto"/>
        <w:right w:val="none" w:sz="0" w:space="0" w:color="auto"/>
      </w:divBdr>
    </w:div>
    <w:div w:id="955790475">
      <w:bodyDiv w:val="1"/>
      <w:marLeft w:val="0"/>
      <w:marRight w:val="0"/>
      <w:marTop w:val="0"/>
      <w:marBottom w:val="0"/>
      <w:divBdr>
        <w:top w:val="none" w:sz="0" w:space="0" w:color="auto"/>
        <w:left w:val="none" w:sz="0" w:space="0" w:color="auto"/>
        <w:bottom w:val="none" w:sz="0" w:space="0" w:color="auto"/>
        <w:right w:val="none" w:sz="0" w:space="0" w:color="auto"/>
      </w:divBdr>
    </w:div>
    <w:div w:id="1005204986">
      <w:bodyDiv w:val="1"/>
      <w:marLeft w:val="0"/>
      <w:marRight w:val="0"/>
      <w:marTop w:val="0"/>
      <w:marBottom w:val="0"/>
      <w:divBdr>
        <w:top w:val="none" w:sz="0" w:space="0" w:color="auto"/>
        <w:left w:val="none" w:sz="0" w:space="0" w:color="auto"/>
        <w:bottom w:val="none" w:sz="0" w:space="0" w:color="auto"/>
        <w:right w:val="none" w:sz="0" w:space="0" w:color="auto"/>
      </w:divBdr>
    </w:div>
    <w:div w:id="1054888198">
      <w:bodyDiv w:val="1"/>
      <w:marLeft w:val="0"/>
      <w:marRight w:val="0"/>
      <w:marTop w:val="0"/>
      <w:marBottom w:val="0"/>
      <w:divBdr>
        <w:top w:val="none" w:sz="0" w:space="0" w:color="auto"/>
        <w:left w:val="none" w:sz="0" w:space="0" w:color="auto"/>
        <w:bottom w:val="none" w:sz="0" w:space="0" w:color="auto"/>
        <w:right w:val="none" w:sz="0" w:space="0" w:color="auto"/>
      </w:divBdr>
    </w:div>
    <w:div w:id="1065764915">
      <w:bodyDiv w:val="1"/>
      <w:marLeft w:val="0"/>
      <w:marRight w:val="0"/>
      <w:marTop w:val="0"/>
      <w:marBottom w:val="0"/>
      <w:divBdr>
        <w:top w:val="none" w:sz="0" w:space="0" w:color="auto"/>
        <w:left w:val="none" w:sz="0" w:space="0" w:color="auto"/>
        <w:bottom w:val="none" w:sz="0" w:space="0" w:color="auto"/>
        <w:right w:val="none" w:sz="0" w:space="0" w:color="auto"/>
      </w:divBdr>
    </w:div>
    <w:div w:id="1088162695">
      <w:bodyDiv w:val="1"/>
      <w:marLeft w:val="0"/>
      <w:marRight w:val="0"/>
      <w:marTop w:val="0"/>
      <w:marBottom w:val="0"/>
      <w:divBdr>
        <w:top w:val="none" w:sz="0" w:space="0" w:color="auto"/>
        <w:left w:val="none" w:sz="0" w:space="0" w:color="auto"/>
        <w:bottom w:val="none" w:sz="0" w:space="0" w:color="auto"/>
        <w:right w:val="none" w:sz="0" w:space="0" w:color="auto"/>
      </w:divBdr>
    </w:div>
    <w:div w:id="1102605782">
      <w:bodyDiv w:val="1"/>
      <w:marLeft w:val="0"/>
      <w:marRight w:val="0"/>
      <w:marTop w:val="0"/>
      <w:marBottom w:val="0"/>
      <w:divBdr>
        <w:top w:val="none" w:sz="0" w:space="0" w:color="auto"/>
        <w:left w:val="none" w:sz="0" w:space="0" w:color="auto"/>
        <w:bottom w:val="none" w:sz="0" w:space="0" w:color="auto"/>
        <w:right w:val="none" w:sz="0" w:space="0" w:color="auto"/>
      </w:divBdr>
    </w:div>
    <w:div w:id="1157460424">
      <w:bodyDiv w:val="1"/>
      <w:marLeft w:val="0"/>
      <w:marRight w:val="0"/>
      <w:marTop w:val="0"/>
      <w:marBottom w:val="0"/>
      <w:divBdr>
        <w:top w:val="none" w:sz="0" w:space="0" w:color="auto"/>
        <w:left w:val="none" w:sz="0" w:space="0" w:color="auto"/>
        <w:bottom w:val="none" w:sz="0" w:space="0" w:color="auto"/>
        <w:right w:val="none" w:sz="0" w:space="0" w:color="auto"/>
      </w:divBdr>
    </w:div>
    <w:div w:id="1196380888">
      <w:bodyDiv w:val="1"/>
      <w:marLeft w:val="0"/>
      <w:marRight w:val="0"/>
      <w:marTop w:val="0"/>
      <w:marBottom w:val="0"/>
      <w:divBdr>
        <w:top w:val="none" w:sz="0" w:space="0" w:color="auto"/>
        <w:left w:val="none" w:sz="0" w:space="0" w:color="auto"/>
        <w:bottom w:val="none" w:sz="0" w:space="0" w:color="auto"/>
        <w:right w:val="none" w:sz="0" w:space="0" w:color="auto"/>
      </w:divBdr>
    </w:div>
    <w:div w:id="1364789309">
      <w:bodyDiv w:val="1"/>
      <w:marLeft w:val="0"/>
      <w:marRight w:val="0"/>
      <w:marTop w:val="0"/>
      <w:marBottom w:val="0"/>
      <w:divBdr>
        <w:top w:val="none" w:sz="0" w:space="0" w:color="auto"/>
        <w:left w:val="none" w:sz="0" w:space="0" w:color="auto"/>
        <w:bottom w:val="none" w:sz="0" w:space="0" w:color="auto"/>
        <w:right w:val="none" w:sz="0" w:space="0" w:color="auto"/>
      </w:divBdr>
    </w:div>
    <w:div w:id="1370179421">
      <w:bodyDiv w:val="1"/>
      <w:marLeft w:val="0"/>
      <w:marRight w:val="0"/>
      <w:marTop w:val="0"/>
      <w:marBottom w:val="0"/>
      <w:divBdr>
        <w:top w:val="none" w:sz="0" w:space="0" w:color="auto"/>
        <w:left w:val="none" w:sz="0" w:space="0" w:color="auto"/>
        <w:bottom w:val="none" w:sz="0" w:space="0" w:color="auto"/>
        <w:right w:val="none" w:sz="0" w:space="0" w:color="auto"/>
      </w:divBdr>
    </w:div>
    <w:div w:id="1386879132">
      <w:bodyDiv w:val="1"/>
      <w:marLeft w:val="0"/>
      <w:marRight w:val="0"/>
      <w:marTop w:val="0"/>
      <w:marBottom w:val="0"/>
      <w:divBdr>
        <w:top w:val="none" w:sz="0" w:space="0" w:color="auto"/>
        <w:left w:val="none" w:sz="0" w:space="0" w:color="auto"/>
        <w:bottom w:val="none" w:sz="0" w:space="0" w:color="auto"/>
        <w:right w:val="none" w:sz="0" w:space="0" w:color="auto"/>
      </w:divBdr>
    </w:div>
    <w:div w:id="1484661991">
      <w:bodyDiv w:val="1"/>
      <w:marLeft w:val="0"/>
      <w:marRight w:val="0"/>
      <w:marTop w:val="0"/>
      <w:marBottom w:val="0"/>
      <w:divBdr>
        <w:top w:val="none" w:sz="0" w:space="0" w:color="auto"/>
        <w:left w:val="none" w:sz="0" w:space="0" w:color="auto"/>
        <w:bottom w:val="none" w:sz="0" w:space="0" w:color="auto"/>
        <w:right w:val="none" w:sz="0" w:space="0" w:color="auto"/>
      </w:divBdr>
    </w:div>
    <w:div w:id="1581210697">
      <w:bodyDiv w:val="1"/>
      <w:marLeft w:val="0"/>
      <w:marRight w:val="0"/>
      <w:marTop w:val="0"/>
      <w:marBottom w:val="0"/>
      <w:divBdr>
        <w:top w:val="none" w:sz="0" w:space="0" w:color="auto"/>
        <w:left w:val="none" w:sz="0" w:space="0" w:color="auto"/>
        <w:bottom w:val="none" w:sz="0" w:space="0" w:color="auto"/>
        <w:right w:val="none" w:sz="0" w:space="0" w:color="auto"/>
      </w:divBdr>
    </w:div>
    <w:div w:id="1604680522">
      <w:bodyDiv w:val="1"/>
      <w:marLeft w:val="0"/>
      <w:marRight w:val="0"/>
      <w:marTop w:val="0"/>
      <w:marBottom w:val="0"/>
      <w:divBdr>
        <w:top w:val="none" w:sz="0" w:space="0" w:color="auto"/>
        <w:left w:val="none" w:sz="0" w:space="0" w:color="auto"/>
        <w:bottom w:val="none" w:sz="0" w:space="0" w:color="auto"/>
        <w:right w:val="none" w:sz="0" w:space="0" w:color="auto"/>
      </w:divBdr>
    </w:div>
    <w:div w:id="1625766502">
      <w:bodyDiv w:val="1"/>
      <w:marLeft w:val="0"/>
      <w:marRight w:val="0"/>
      <w:marTop w:val="0"/>
      <w:marBottom w:val="0"/>
      <w:divBdr>
        <w:top w:val="none" w:sz="0" w:space="0" w:color="auto"/>
        <w:left w:val="none" w:sz="0" w:space="0" w:color="auto"/>
        <w:bottom w:val="none" w:sz="0" w:space="0" w:color="auto"/>
        <w:right w:val="none" w:sz="0" w:space="0" w:color="auto"/>
      </w:divBdr>
    </w:div>
    <w:div w:id="1693141835">
      <w:bodyDiv w:val="1"/>
      <w:marLeft w:val="0"/>
      <w:marRight w:val="0"/>
      <w:marTop w:val="0"/>
      <w:marBottom w:val="0"/>
      <w:divBdr>
        <w:top w:val="none" w:sz="0" w:space="0" w:color="auto"/>
        <w:left w:val="none" w:sz="0" w:space="0" w:color="auto"/>
        <w:bottom w:val="none" w:sz="0" w:space="0" w:color="auto"/>
        <w:right w:val="none" w:sz="0" w:space="0" w:color="auto"/>
      </w:divBdr>
    </w:div>
    <w:div w:id="1843280280">
      <w:bodyDiv w:val="1"/>
      <w:marLeft w:val="0"/>
      <w:marRight w:val="0"/>
      <w:marTop w:val="0"/>
      <w:marBottom w:val="0"/>
      <w:divBdr>
        <w:top w:val="none" w:sz="0" w:space="0" w:color="auto"/>
        <w:left w:val="none" w:sz="0" w:space="0" w:color="auto"/>
        <w:bottom w:val="none" w:sz="0" w:space="0" w:color="auto"/>
        <w:right w:val="none" w:sz="0" w:space="0" w:color="auto"/>
      </w:divBdr>
    </w:div>
    <w:div w:id="1857571362">
      <w:bodyDiv w:val="1"/>
      <w:marLeft w:val="0"/>
      <w:marRight w:val="0"/>
      <w:marTop w:val="0"/>
      <w:marBottom w:val="0"/>
      <w:divBdr>
        <w:top w:val="none" w:sz="0" w:space="0" w:color="auto"/>
        <w:left w:val="none" w:sz="0" w:space="0" w:color="auto"/>
        <w:bottom w:val="none" w:sz="0" w:space="0" w:color="auto"/>
        <w:right w:val="none" w:sz="0" w:space="0" w:color="auto"/>
      </w:divBdr>
    </w:div>
    <w:div w:id="1883010875">
      <w:bodyDiv w:val="1"/>
      <w:marLeft w:val="0"/>
      <w:marRight w:val="0"/>
      <w:marTop w:val="0"/>
      <w:marBottom w:val="0"/>
      <w:divBdr>
        <w:top w:val="none" w:sz="0" w:space="0" w:color="auto"/>
        <w:left w:val="none" w:sz="0" w:space="0" w:color="auto"/>
        <w:bottom w:val="none" w:sz="0" w:space="0" w:color="auto"/>
        <w:right w:val="none" w:sz="0" w:space="0" w:color="auto"/>
      </w:divBdr>
    </w:div>
    <w:div w:id="1924294293">
      <w:bodyDiv w:val="1"/>
      <w:marLeft w:val="0"/>
      <w:marRight w:val="0"/>
      <w:marTop w:val="0"/>
      <w:marBottom w:val="0"/>
      <w:divBdr>
        <w:top w:val="none" w:sz="0" w:space="0" w:color="auto"/>
        <w:left w:val="none" w:sz="0" w:space="0" w:color="auto"/>
        <w:bottom w:val="none" w:sz="0" w:space="0" w:color="auto"/>
        <w:right w:val="none" w:sz="0" w:space="0" w:color="auto"/>
      </w:divBdr>
    </w:div>
    <w:div w:id="1976982341">
      <w:bodyDiv w:val="1"/>
      <w:marLeft w:val="0"/>
      <w:marRight w:val="0"/>
      <w:marTop w:val="0"/>
      <w:marBottom w:val="0"/>
      <w:divBdr>
        <w:top w:val="none" w:sz="0" w:space="0" w:color="auto"/>
        <w:left w:val="none" w:sz="0" w:space="0" w:color="auto"/>
        <w:bottom w:val="none" w:sz="0" w:space="0" w:color="auto"/>
        <w:right w:val="none" w:sz="0" w:space="0" w:color="auto"/>
      </w:divBdr>
    </w:div>
    <w:div w:id="1989165859">
      <w:bodyDiv w:val="1"/>
      <w:marLeft w:val="0"/>
      <w:marRight w:val="0"/>
      <w:marTop w:val="0"/>
      <w:marBottom w:val="0"/>
      <w:divBdr>
        <w:top w:val="none" w:sz="0" w:space="0" w:color="auto"/>
        <w:left w:val="none" w:sz="0" w:space="0" w:color="auto"/>
        <w:bottom w:val="none" w:sz="0" w:space="0" w:color="auto"/>
        <w:right w:val="none" w:sz="0" w:space="0" w:color="auto"/>
      </w:divBdr>
    </w:div>
    <w:div w:id="2054766267">
      <w:bodyDiv w:val="1"/>
      <w:marLeft w:val="0"/>
      <w:marRight w:val="0"/>
      <w:marTop w:val="0"/>
      <w:marBottom w:val="0"/>
      <w:divBdr>
        <w:top w:val="none" w:sz="0" w:space="0" w:color="auto"/>
        <w:left w:val="none" w:sz="0" w:space="0" w:color="auto"/>
        <w:bottom w:val="none" w:sz="0" w:space="0" w:color="auto"/>
        <w:right w:val="none" w:sz="0" w:space="0" w:color="auto"/>
      </w:divBdr>
    </w:div>
    <w:div w:id="2097356287">
      <w:bodyDiv w:val="1"/>
      <w:marLeft w:val="0"/>
      <w:marRight w:val="0"/>
      <w:marTop w:val="0"/>
      <w:marBottom w:val="0"/>
      <w:divBdr>
        <w:top w:val="none" w:sz="0" w:space="0" w:color="auto"/>
        <w:left w:val="none" w:sz="0" w:space="0" w:color="auto"/>
        <w:bottom w:val="none" w:sz="0" w:space="0" w:color="auto"/>
        <w:right w:val="none" w:sz="0" w:space="0" w:color="auto"/>
      </w:divBdr>
    </w:div>
    <w:div w:id="2117676533">
      <w:bodyDiv w:val="1"/>
      <w:marLeft w:val="0"/>
      <w:marRight w:val="0"/>
      <w:marTop w:val="0"/>
      <w:marBottom w:val="0"/>
      <w:divBdr>
        <w:top w:val="none" w:sz="0" w:space="0" w:color="auto"/>
        <w:left w:val="none" w:sz="0" w:space="0" w:color="auto"/>
        <w:bottom w:val="none" w:sz="0" w:space="0" w:color="auto"/>
        <w:right w:val="none" w:sz="0" w:space="0" w:color="auto"/>
      </w:divBdr>
    </w:div>
    <w:div w:id="2131052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41</TotalTime>
  <Pages>15</Pages>
  <Words>4054</Words>
  <Characters>27362</Characters>
  <Application>Microsoft Office Word</Application>
  <DocSecurity>0</DocSecurity>
  <Lines>228</Lines>
  <Paragraphs>62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2021110364 mt</dc:description>
  <cp:lastModifiedBy>Hanne Thy Iversen</cp:lastModifiedBy>
  <cp:revision>13</cp:revision>
  <cp:lastPrinted>2012-08-22T08:53:00Z</cp:lastPrinted>
  <dcterms:created xsi:type="dcterms:W3CDTF">2024-09-16T13:37:00Z</dcterms:created>
  <dcterms:modified xsi:type="dcterms:W3CDTF">2024-09-17T11:52:00Z</dcterms:modified>
</cp:coreProperties>
</file>