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5A9" w:rsidRPr="008F49E1" w:rsidRDefault="000F25A9" w:rsidP="000F25A9">
      <w:pPr>
        <w:rPr>
          <w:sz w:val="24"/>
          <w:szCs w:val="24"/>
        </w:rPr>
      </w:pPr>
      <w:r w:rsidRPr="009260DE">
        <w:rPr>
          <w:noProof/>
          <w:sz w:val="24"/>
          <w:szCs w:val="24"/>
          <w:lang w:eastAsia="da-DK"/>
        </w:rPr>
        <w:drawing>
          <wp:anchor distT="0" distB="0" distL="114300" distR="114300" simplePos="0" relativeHeight="251659264" behindDoc="0" locked="0" layoutInCell="1" allowOverlap="1" wp14:anchorId="09E5542B" wp14:editId="3DDA9CA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0F25A9" w:rsidRPr="00FE3A83" w:rsidRDefault="000F25A9" w:rsidP="000F25A9">
      <w:pPr>
        <w:pStyle w:val="Titel"/>
        <w:tabs>
          <w:tab w:val="right" w:pos="9356"/>
        </w:tabs>
        <w:jc w:val="left"/>
        <w:rPr>
          <w:szCs w:val="24"/>
          <w:lang w:eastAsia="en-US"/>
        </w:rPr>
      </w:pPr>
      <w:r w:rsidRPr="00C84483">
        <w:rPr>
          <w:b w:val="0"/>
          <w:szCs w:val="24"/>
          <w:lang w:eastAsia="en-US"/>
        </w:rPr>
        <w:tab/>
      </w:r>
      <w:r w:rsidR="00FE3A83" w:rsidRPr="00FE3A83">
        <w:rPr>
          <w:szCs w:val="24"/>
          <w:lang w:eastAsia="en-US"/>
        </w:rPr>
        <w:t>1</w:t>
      </w:r>
      <w:r w:rsidR="00F57E04">
        <w:rPr>
          <w:szCs w:val="24"/>
          <w:lang w:eastAsia="en-US"/>
        </w:rPr>
        <w:t>4. januar 2026</w:t>
      </w:r>
    </w:p>
    <w:p w:rsidR="000F25A9" w:rsidRDefault="000F25A9" w:rsidP="000F25A9">
      <w:pPr>
        <w:pStyle w:val="Titel"/>
        <w:jc w:val="left"/>
        <w:rPr>
          <w:b w:val="0"/>
          <w:szCs w:val="24"/>
        </w:rPr>
      </w:pPr>
    </w:p>
    <w:p w:rsidR="000F25A9" w:rsidRPr="00C84483" w:rsidRDefault="000F25A9" w:rsidP="000F25A9">
      <w:pPr>
        <w:pStyle w:val="Titel"/>
        <w:jc w:val="left"/>
        <w:rPr>
          <w:b w:val="0"/>
          <w:szCs w:val="24"/>
        </w:rPr>
      </w:pPr>
    </w:p>
    <w:p w:rsidR="000F25A9" w:rsidRPr="00C84483" w:rsidRDefault="000F25A9" w:rsidP="000F25A9">
      <w:pPr>
        <w:jc w:val="center"/>
        <w:rPr>
          <w:b/>
          <w:sz w:val="24"/>
          <w:szCs w:val="24"/>
        </w:rPr>
      </w:pPr>
      <w:r w:rsidRPr="00C84483">
        <w:rPr>
          <w:b/>
          <w:sz w:val="24"/>
          <w:szCs w:val="24"/>
        </w:rPr>
        <w:t>PRODUKTRESUMÉ</w:t>
      </w:r>
    </w:p>
    <w:p w:rsidR="000F25A9" w:rsidRPr="00C84483" w:rsidRDefault="000F25A9" w:rsidP="000F25A9">
      <w:pPr>
        <w:jc w:val="center"/>
        <w:rPr>
          <w:b/>
          <w:sz w:val="24"/>
          <w:szCs w:val="24"/>
        </w:rPr>
      </w:pPr>
    </w:p>
    <w:p w:rsidR="000F25A9" w:rsidRDefault="000F25A9" w:rsidP="000F25A9">
      <w:pPr>
        <w:jc w:val="center"/>
        <w:rPr>
          <w:b/>
          <w:sz w:val="24"/>
          <w:szCs w:val="24"/>
        </w:rPr>
      </w:pPr>
      <w:r w:rsidRPr="00C84483">
        <w:rPr>
          <w:b/>
          <w:sz w:val="24"/>
          <w:szCs w:val="24"/>
        </w:rPr>
        <w:t>for</w:t>
      </w:r>
    </w:p>
    <w:p w:rsidR="000F25A9" w:rsidRPr="00C84483" w:rsidRDefault="000F25A9" w:rsidP="000F25A9">
      <w:pPr>
        <w:jc w:val="center"/>
        <w:rPr>
          <w:b/>
          <w:sz w:val="24"/>
          <w:szCs w:val="24"/>
        </w:rPr>
      </w:pPr>
    </w:p>
    <w:p w:rsidR="000F25A9" w:rsidRPr="00C84483" w:rsidRDefault="00CE180E" w:rsidP="000F25A9">
      <w:pPr>
        <w:jc w:val="center"/>
        <w:rPr>
          <w:b/>
          <w:sz w:val="24"/>
          <w:szCs w:val="24"/>
        </w:rPr>
      </w:pPr>
      <w:proofErr w:type="spellStart"/>
      <w:r>
        <w:rPr>
          <w:b/>
          <w:sz w:val="24"/>
          <w:szCs w:val="24"/>
        </w:rPr>
        <w:t>Alprimox</w:t>
      </w:r>
      <w:proofErr w:type="spellEnd"/>
      <w:r w:rsidR="000F25A9">
        <w:rPr>
          <w:b/>
          <w:sz w:val="24"/>
          <w:szCs w:val="24"/>
        </w:rPr>
        <w:t>, filmovertrukne tabletter</w:t>
      </w:r>
      <w:r>
        <w:rPr>
          <w:b/>
          <w:sz w:val="24"/>
          <w:szCs w:val="24"/>
        </w:rPr>
        <w:t xml:space="preserve"> (Nordic Prime)</w:t>
      </w:r>
    </w:p>
    <w:p w:rsidR="000F25A9" w:rsidRPr="00C84483" w:rsidRDefault="000F25A9" w:rsidP="000F25A9">
      <w:pPr>
        <w:jc w:val="both"/>
        <w:rPr>
          <w:sz w:val="24"/>
          <w:szCs w:val="24"/>
        </w:rPr>
      </w:pPr>
    </w:p>
    <w:p w:rsidR="000F25A9" w:rsidRPr="00C84483" w:rsidRDefault="000F25A9" w:rsidP="000F25A9">
      <w:pPr>
        <w:jc w:val="both"/>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0.</w:t>
      </w:r>
      <w:r w:rsidRPr="00C84483">
        <w:rPr>
          <w:b/>
          <w:sz w:val="24"/>
          <w:szCs w:val="24"/>
        </w:rPr>
        <w:tab/>
        <w:t>D.SP.NR.</w:t>
      </w:r>
    </w:p>
    <w:p w:rsidR="000F25A9" w:rsidRPr="00C84483" w:rsidRDefault="000F25A9" w:rsidP="000F25A9">
      <w:pPr>
        <w:tabs>
          <w:tab w:val="left" w:pos="851"/>
        </w:tabs>
        <w:ind w:left="851"/>
        <w:rPr>
          <w:sz w:val="24"/>
          <w:szCs w:val="24"/>
        </w:rPr>
      </w:pPr>
      <w:r>
        <w:rPr>
          <w:sz w:val="24"/>
          <w:szCs w:val="24"/>
        </w:rPr>
        <w:t>30012</w:t>
      </w:r>
    </w:p>
    <w:p w:rsidR="000F25A9" w:rsidRDefault="000F25A9" w:rsidP="000F25A9">
      <w:pPr>
        <w:tabs>
          <w:tab w:val="left" w:pos="851"/>
        </w:tabs>
        <w:ind w:left="851"/>
        <w:rPr>
          <w:sz w:val="24"/>
          <w:szCs w:val="24"/>
        </w:rPr>
      </w:pPr>
    </w:p>
    <w:p w:rsidR="006E7ED6" w:rsidRPr="00C84483" w:rsidRDefault="006E7ED6"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1.</w:t>
      </w:r>
      <w:r w:rsidRPr="00C84483">
        <w:rPr>
          <w:b/>
          <w:sz w:val="24"/>
          <w:szCs w:val="24"/>
        </w:rPr>
        <w:tab/>
        <w:t>LÆGEMIDLETS NAVN</w:t>
      </w:r>
    </w:p>
    <w:p w:rsidR="000F25A9" w:rsidRPr="00C84483" w:rsidRDefault="00CE180E" w:rsidP="000F25A9">
      <w:pPr>
        <w:tabs>
          <w:tab w:val="left" w:pos="851"/>
        </w:tabs>
        <w:ind w:left="851"/>
        <w:rPr>
          <w:sz w:val="24"/>
          <w:szCs w:val="24"/>
        </w:rPr>
      </w:pPr>
      <w:proofErr w:type="spellStart"/>
      <w:r>
        <w:rPr>
          <w:sz w:val="24"/>
          <w:szCs w:val="24"/>
        </w:rPr>
        <w:t>Alprimox</w:t>
      </w:r>
      <w:proofErr w:type="spellEnd"/>
    </w:p>
    <w:p w:rsidR="000F25A9" w:rsidRDefault="000F25A9" w:rsidP="000F25A9">
      <w:pPr>
        <w:tabs>
          <w:tab w:val="left" w:pos="851"/>
        </w:tabs>
        <w:ind w:left="851"/>
        <w:rPr>
          <w:sz w:val="24"/>
          <w:szCs w:val="24"/>
        </w:rPr>
      </w:pPr>
    </w:p>
    <w:p w:rsidR="006E7ED6" w:rsidRPr="00C84483" w:rsidRDefault="006E7ED6"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6E7ED6" w:rsidRDefault="006E7ED6" w:rsidP="006E7ED6">
      <w:pPr>
        <w:ind w:left="851"/>
        <w:rPr>
          <w:noProof/>
          <w:sz w:val="24"/>
          <w:szCs w:val="24"/>
          <w:lang w:eastAsia="da-DK"/>
        </w:rPr>
      </w:pPr>
      <w:r>
        <w:rPr>
          <w:noProof/>
          <w:sz w:val="24"/>
          <w:szCs w:val="24"/>
          <w:lang w:eastAsia="da-DK"/>
        </w:rPr>
        <w:t>Hver tablet indeholder 2,5 mg alfuzosinhydrochlorid.</w:t>
      </w:r>
    </w:p>
    <w:p w:rsidR="006E7ED6" w:rsidRDefault="006E7ED6" w:rsidP="006E7ED6">
      <w:pPr>
        <w:ind w:left="851"/>
        <w:rPr>
          <w:noProof/>
          <w:sz w:val="24"/>
          <w:szCs w:val="24"/>
          <w:lang w:eastAsia="da-DK"/>
        </w:rPr>
      </w:pPr>
    </w:p>
    <w:p w:rsidR="006E7ED6" w:rsidRDefault="006E7ED6" w:rsidP="006E7ED6">
      <w:pPr>
        <w:ind w:left="851"/>
        <w:rPr>
          <w:noProof/>
          <w:sz w:val="24"/>
          <w:szCs w:val="24"/>
          <w:u w:val="single"/>
          <w:lang w:eastAsia="da-DK"/>
        </w:rPr>
      </w:pPr>
      <w:r>
        <w:rPr>
          <w:noProof/>
          <w:sz w:val="24"/>
          <w:szCs w:val="24"/>
          <w:u w:val="single"/>
          <w:lang w:eastAsia="da-DK"/>
        </w:rPr>
        <w:t>Hjælpestoffer, som behandleren skal være opmærksom på</w:t>
      </w:r>
    </w:p>
    <w:p w:rsidR="006E7ED6" w:rsidRDefault="006E7ED6" w:rsidP="006E7ED6">
      <w:pPr>
        <w:ind w:left="851"/>
        <w:rPr>
          <w:noProof/>
          <w:sz w:val="24"/>
          <w:szCs w:val="24"/>
          <w:lang w:eastAsia="da-DK"/>
        </w:rPr>
      </w:pPr>
      <w:r>
        <w:rPr>
          <w:noProof/>
          <w:sz w:val="24"/>
          <w:szCs w:val="24"/>
          <w:lang w:eastAsia="da-DK"/>
        </w:rPr>
        <w:t>58 mg lactose (som lactosemonohydrat).</w:t>
      </w:r>
    </w:p>
    <w:p w:rsidR="006E7ED6" w:rsidRDefault="006E7ED6" w:rsidP="006E7ED6">
      <w:pPr>
        <w:ind w:left="851"/>
        <w:rPr>
          <w:noProof/>
          <w:sz w:val="24"/>
          <w:szCs w:val="24"/>
          <w:lang w:eastAsia="da-DK"/>
        </w:rPr>
      </w:pPr>
    </w:p>
    <w:p w:rsidR="006E7ED6" w:rsidRDefault="006E7ED6" w:rsidP="006E7ED6">
      <w:pPr>
        <w:ind w:left="851"/>
        <w:rPr>
          <w:noProof/>
          <w:sz w:val="24"/>
          <w:szCs w:val="24"/>
          <w:lang w:eastAsia="da-DK"/>
        </w:rPr>
      </w:pPr>
      <w:r>
        <w:rPr>
          <w:noProof/>
          <w:sz w:val="24"/>
          <w:szCs w:val="24"/>
          <w:lang w:eastAsia="da-DK"/>
        </w:rPr>
        <w:t>Alle hjælpestoffer er anført under pkt. 6.1.</w:t>
      </w:r>
    </w:p>
    <w:p w:rsidR="000F25A9" w:rsidRDefault="000F25A9" w:rsidP="000F25A9">
      <w:pPr>
        <w:tabs>
          <w:tab w:val="left" w:pos="851"/>
        </w:tabs>
        <w:ind w:left="851"/>
        <w:rPr>
          <w:sz w:val="24"/>
          <w:szCs w:val="24"/>
        </w:rPr>
      </w:pPr>
    </w:p>
    <w:p w:rsidR="006E7ED6" w:rsidRPr="00C84483" w:rsidRDefault="006E7ED6"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3.</w:t>
      </w:r>
      <w:r w:rsidRPr="00C84483">
        <w:rPr>
          <w:b/>
          <w:sz w:val="24"/>
          <w:szCs w:val="24"/>
        </w:rPr>
        <w:tab/>
        <w:t>LÆGEMIDDELFORM</w:t>
      </w:r>
    </w:p>
    <w:p w:rsidR="006E7ED6" w:rsidRDefault="006E7ED6" w:rsidP="006E7ED6">
      <w:pPr>
        <w:ind w:left="851"/>
        <w:rPr>
          <w:sz w:val="24"/>
          <w:szCs w:val="24"/>
          <w:lang w:eastAsia="da-DK"/>
        </w:rPr>
      </w:pPr>
      <w:r>
        <w:rPr>
          <w:sz w:val="24"/>
          <w:szCs w:val="24"/>
          <w:lang w:eastAsia="da-DK"/>
        </w:rPr>
        <w:t>Filmovertrukne tabletter</w:t>
      </w:r>
      <w:r w:rsidR="00CE180E">
        <w:rPr>
          <w:sz w:val="24"/>
          <w:szCs w:val="24"/>
          <w:lang w:eastAsia="da-DK"/>
        </w:rPr>
        <w:t xml:space="preserve"> (Nordic Prime)</w:t>
      </w:r>
    </w:p>
    <w:p w:rsidR="006E7ED6" w:rsidRDefault="006E7ED6" w:rsidP="006E7ED6">
      <w:pPr>
        <w:tabs>
          <w:tab w:val="left" w:pos="851"/>
        </w:tabs>
        <w:ind w:left="851"/>
        <w:rPr>
          <w:sz w:val="24"/>
          <w:szCs w:val="24"/>
        </w:rPr>
      </w:pPr>
    </w:p>
    <w:p w:rsidR="006E7ED6" w:rsidRDefault="006E7ED6" w:rsidP="006E7ED6">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w:t>
      </w:r>
      <w:r w:rsidRPr="00C84483">
        <w:rPr>
          <w:b/>
          <w:sz w:val="24"/>
          <w:szCs w:val="24"/>
        </w:rPr>
        <w:tab/>
        <w:t>KLINISKE OPLYSNINGER</w:t>
      </w:r>
    </w:p>
    <w:p w:rsidR="000F25A9" w:rsidRPr="00C84483" w:rsidRDefault="000F25A9" w:rsidP="000F25A9">
      <w:pPr>
        <w:tabs>
          <w:tab w:val="left" w:pos="851"/>
        </w:tabs>
        <w:ind w:left="851"/>
        <w:rPr>
          <w:b/>
          <w:sz w:val="24"/>
          <w:szCs w:val="24"/>
        </w:rPr>
      </w:pPr>
    </w:p>
    <w:p w:rsidR="000F25A9" w:rsidRPr="00C84483" w:rsidRDefault="000F25A9" w:rsidP="000F25A9">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0F25A9" w:rsidRPr="00C84483" w:rsidRDefault="000F25A9" w:rsidP="000F25A9">
      <w:pPr>
        <w:ind w:left="851"/>
        <w:rPr>
          <w:noProof/>
          <w:sz w:val="24"/>
          <w:szCs w:val="24"/>
          <w:lang w:eastAsia="da-DK"/>
        </w:rPr>
      </w:pPr>
      <w:r w:rsidRPr="00B63790">
        <w:rPr>
          <w:sz w:val="24"/>
          <w:szCs w:val="24"/>
          <w:lang w:eastAsia="da-DK"/>
        </w:rPr>
        <w:t>Behandling af moderate til svære funktionelle symptomer på benign prostatahypertrofi (BPH).</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BD058C">
        <w:rPr>
          <w:b/>
          <w:sz w:val="24"/>
          <w:szCs w:val="24"/>
        </w:rPr>
        <w:t>administration</w:t>
      </w:r>
    </w:p>
    <w:p w:rsidR="006E7ED6" w:rsidRDefault="006E7ED6" w:rsidP="006E7ED6">
      <w:pPr>
        <w:ind w:left="851"/>
        <w:rPr>
          <w:bCs/>
          <w:iCs/>
          <w:sz w:val="24"/>
          <w:szCs w:val="24"/>
          <w:lang w:eastAsia="da-DK"/>
        </w:rPr>
      </w:pPr>
      <w:r>
        <w:rPr>
          <w:bCs/>
          <w:iCs/>
          <w:sz w:val="24"/>
          <w:szCs w:val="24"/>
          <w:lang w:eastAsia="da-DK"/>
        </w:rPr>
        <w:t>Den første dosis skal tages lige inden sengetid.</w:t>
      </w:r>
    </w:p>
    <w:p w:rsidR="006E7ED6" w:rsidRDefault="006E7ED6" w:rsidP="006E7ED6">
      <w:pPr>
        <w:ind w:left="851"/>
        <w:rPr>
          <w:bCs/>
          <w:iCs/>
          <w:sz w:val="24"/>
          <w:szCs w:val="24"/>
          <w:lang w:eastAsia="da-DK"/>
        </w:rPr>
      </w:pPr>
    </w:p>
    <w:p w:rsidR="006E7ED6" w:rsidRDefault="006E7ED6" w:rsidP="006E7ED6">
      <w:pPr>
        <w:ind w:left="851"/>
        <w:rPr>
          <w:bCs/>
          <w:iCs/>
          <w:sz w:val="24"/>
          <w:szCs w:val="24"/>
          <w:u w:val="single"/>
          <w:lang w:eastAsia="da-DK"/>
        </w:rPr>
      </w:pPr>
      <w:r>
        <w:rPr>
          <w:bCs/>
          <w:iCs/>
          <w:sz w:val="24"/>
          <w:szCs w:val="24"/>
          <w:u w:val="single"/>
          <w:lang w:eastAsia="da-DK"/>
        </w:rPr>
        <w:t>Dosering</w:t>
      </w:r>
    </w:p>
    <w:p w:rsidR="006E7ED6" w:rsidRDefault="006E7ED6" w:rsidP="006E7ED6">
      <w:pPr>
        <w:ind w:left="851"/>
        <w:rPr>
          <w:bCs/>
          <w:iCs/>
          <w:sz w:val="24"/>
          <w:szCs w:val="24"/>
          <w:lang w:eastAsia="da-DK"/>
        </w:rPr>
      </w:pPr>
    </w:p>
    <w:p w:rsidR="006E7ED6" w:rsidRDefault="006E7ED6" w:rsidP="006E7ED6">
      <w:pPr>
        <w:ind w:left="851"/>
        <w:rPr>
          <w:bCs/>
          <w:i/>
          <w:iCs/>
          <w:strike/>
          <w:sz w:val="24"/>
          <w:szCs w:val="24"/>
          <w:lang w:eastAsia="da-DK"/>
        </w:rPr>
      </w:pPr>
      <w:r>
        <w:rPr>
          <w:bCs/>
          <w:i/>
          <w:iCs/>
          <w:sz w:val="24"/>
          <w:szCs w:val="24"/>
          <w:lang w:eastAsia="da-DK"/>
        </w:rPr>
        <w:t>Voksne</w:t>
      </w:r>
    </w:p>
    <w:p w:rsidR="006E7ED6" w:rsidRDefault="006E7ED6" w:rsidP="006E7ED6">
      <w:pPr>
        <w:ind w:left="851"/>
        <w:rPr>
          <w:sz w:val="24"/>
          <w:szCs w:val="24"/>
          <w:lang w:eastAsia="da-DK"/>
        </w:rPr>
      </w:pPr>
      <w:r>
        <w:rPr>
          <w:bCs/>
          <w:iCs/>
          <w:sz w:val="24"/>
          <w:szCs w:val="24"/>
          <w:lang w:eastAsia="da-DK"/>
        </w:rPr>
        <w:t xml:space="preserve">Den sædvanlige dosis er 1 tablet tre gange daglig. Dosis kan øges til højst 1 tablet fire gange daglig (10 mg) afhængigt af det kliniske respons. </w:t>
      </w:r>
    </w:p>
    <w:p w:rsidR="006E7ED6" w:rsidRDefault="006E7ED6" w:rsidP="006E7ED6">
      <w:pPr>
        <w:ind w:left="851"/>
        <w:rPr>
          <w:i/>
          <w:sz w:val="24"/>
          <w:szCs w:val="24"/>
          <w:lang w:eastAsia="da-DK"/>
        </w:rPr>
      </w:pPr>
    </w:p>
    <w:p w:rsidR="006E7ED6" w:rsidRDefault="006E7ED6" w:rsidP="006E7ED6">
      <w:pPr>
        <w:ind w:left="851"/>
        <w:rPr>
          <w:b/>
          <w:bCs/>
          <w:i/>
          <w:iCs/>
          <w:sz w:val="24"/>
          <w:szCs w:val="24"/>
          <w:lang w:eastAsia="da-DK"/>
        </w:rPr>
      </w:pPr>
      <w:r>
        <w:rPr>
          <w:i/>
          <w:sz w:val="24"/>
          <w:szCs w:val="24"/>
          <w:lang w:eastAsia="da-DK"/>
        </w:rPr>
        <w:lastRenderedPageBreak/>
        <w:t xml:space="preserve">Ældre og patienter i behandling for hypertension </w:t>
      </w:r>
    </w:p>
    <w:p w:rsidR="006E7ED6" w:rsidRDefault="006E7ED6" w:rsidP="006E7ED6">
      <w:pPr>
        <w:ind w:left="851"/>
        <w:rPr>
          <w:sz w:val="24"/>
          <w:szCs w:val="24"/>
          <w:lang w:eastAsia="da-DK"/>
        </w:rPr>
      </w:pPr>
      <w:r>
        <w:rPr>
          <w:sz w:val="24"/>
          <w:szCs w:val="24"/>
          <w:lang w:eastAsia="da-DK"/>
        </w:rPr>
        <w:t>Som rutinemæssig forholdsregel, skal den initiale dosis være 1</w:t>
      </w:r>
      <w:r w:rsidR="000720E9">
        <w:rPr>
          <w:sz w:val="24"/>
          <w:szCs w:val="24"/>
          <w:lang w:eastAsia="da-DK"/>
        </w:rPr>
        <w:t xml:space="preserve"> </w:t>
      </w:r>
      <w:r>
        <w:rPr>
          <w:sz w:val="24"/>
          <w:szCs w:val="24"/>
          <w:lang w:eastAsia="da-DK"/>
        </w:rPr>
        <w:t xml:space="preserve">tablet om morgenen og 1 tablet om aftenen, når </w:t>
      </w:r>
      <w:proofErr w:type="spellStart"/>
      <w:r>
        <w:rPr>
          <w:sz w:val="24"/>
          <w:szCs w:val="24"/>
          <w:lang w:eastAsia="da-DK"/>
        </w:rPr>
        <w:t>alfuzosin</w:t>
      </w:r>
      <w:proofErr w:type="spellEnd"/>
      <w:r>
        <w:rPr>
          <w:sz w:val="24"/>
          <w:szCs w:val="24"/>
          <w:lang w:eastAsia="da-DK"/>
        </w:rPr>
        <w:t xml:space="preserve"> ordineres til ældre patienter (i alderen over 65 år) og til patienter i behandling for hypertension.</w:t>
      </w:r>
    </w:p>
    <w:p w:rsidR="006E7ED6" w:rsidRDefault="006E7ED6" w:rsidP="006E7ED6">
      <w:pPr>
        <w:ind w:left="851"/>
        <w:rPr>
          <w:sz w:val="24"/>
          <w:szCs w:val="24"/>
          <w:lang w:eastAsia="da-DK"/>
        </w:rPr>
      </w:pPr>
    </w:p>
    <w:p w:rsidR="006E7ED6" w:rsidRDefault="006E7ED6" w:rsidP="006E7ED6">
      <w:pPr>
        <w:ind w:left="851"/>
        <w:rPr>
          <w:i/>
          <w:sz w:val="24"/>
          <w:szCs w:val="24"/>
          <w:lang w:eastAsia="da-DK"/>
        </w:rPr>
      </w:pPr>
      <w:r>
        <w:rPr>
          <w:i/>
          <w:sz w:val="24"/>
          <w:szCs w:val="24"/>
          <w:lang w:eastAsia="da-DK"/>
        </w:rPr>
        <w:t>Nyreinsufficiens</w:t>
      </w:r>
    </w:p>
    <w:p w:rsidR="006E7ED6" w:rsidRDefault="006E7ED6" w:rsidP="006E7ED6">
      <w:pPr>
        <w:ind w:left="851"/>
        <w:rPr>
          <w:sz w:val="24"/>
          <w:szCs w:val="24"/>
          <w:lang w:eastAsia="da-DK"/>
        </w:rPr>
      </w:pPr>
      <w:r>
        <w:rPr>
          <w:sz w:val="24"/>
          <w:szCs w:val="24"/>
          <w:lang w:eastAsia="da-DK"/>
        </w:rPr>
        <w:t>Hos patienter med nyreinsufficiens anbefales det, som en forholdsregel, at startdosis er 1 tablet med 2,5 mg to gange daglig, som tilpasses efter klinisk respons.</w:t>
      </w:r>
    </w:p>
    <w:p w:rsidR="006E7ED6" w:rsidRDefault="006E7ED6" w:rsidP="006E7ED6">
      <w:pPr>
        <w:ind w:left="851"/>
        <w:rPr>
          <w:sz w:val="24"/>
          <w:szCs w:val="24"/>
          <w:lang w:eastAsia="da-DK"/>
        </w:rPr>
      </w:pPr>
    </w:p>
    <w:p w:rsidR="006E7ED6" w:rsidRDefault="006E7ED6" w:rsidP="006E7ED6">
      <w:pPr>
        <w:widowControl w:val="0"/>
        <w:tabs>
          <w:tab w:val="left" w:pos="851"/>
        </w:tabs>
        <w:ind w:left="851"/>
        <w:jc w:val="both"/>
        <w:rPr>
          <w:i/>
          <w:noProof/>
          <w:sz w:val="24"/>
          <w:szCs w:val="24"/>
          <w:lang w:eastAsia="da-DK"/>
        </w:rPr>
      </w:pPr>
      <w:r>
        <w:rPr>
          <w:i/>
          <w:iCs/>
          <w:sz w:val="24"/>
          <w:szCs w:val="24"/>
          <w:lang w:eastAsia="da-DK"/>
        </w:rPr>
        <w:t>Leverinsufficiens</w:t>
      </w:r>
      <w:r>
        <w:rPr>
          <w:i/>
          <w:noProof/>
          <w:sz w:val="24"/>
          <w:szCs w:val="24"/>
          <w:lang w:eastAsia="da-DK"/>
        </w:rPr>
        <w:t xml:space="preserve"> </w:t>
      </w:r>
    </w:p>
    <w:p w:rsidR="006E7ED6" w:rsidRDefault="006E7ED6" w:rsidP="006E7ED6">
      <w:pPr>
        <w:widowControl w:val="0"/>
        <w:tabs>
          <w:tab w:val="left" w:pos="851"/>
        </w:tabs>
        <w:ind w:left="851"/>
        <w:rPr>
          <w:sz w:val="24"/>
          <w:szCs w:val="24"/>
          <w:lang w:eastAsia="da-DK"/>
        </w:rPr>
      </w:pPr>
      <w:r>
        <w:rPr>
          <w:sz w:val="24"/>
          <w:szCs w:val="24"/>
          <w:lang w:eastAsia="da-DK"/>
        </w:rPr>
        <w:t>Hos patienter med let til moderat leverinsufficiens anbefales det at behandlingen startes med en enkeltdosis på 2,5 mg daglig, der øges til 2,5 mg to gange daglig, som tilpasses efter klinisk respons.</w:t>
      </w:r>
    </w:p>
    <w:p w:rsidR="006E7ED6" w:rsidRDefault="006E7ED6" w:rsidP="006E7ED6">
      <w:pPr>
        <w:widowControl w:val="0"/>
        <w:tabs>
          <w:tab w:val="left" w:pos="851"/>
        </w:tabs>
        <w:ind w:left="851"/>
        <w:jc w:val="both"/>
        <w:rPr>
          <w:sz w:val="24"/>
          <w:szCs w:val="24"/>
          <w:lang w:eastAsia="da-DK"/>
        </w:rPr>
      </w:pPr>
      <w:r>
        <w:rPr>
          <w:sz w:val="24"/>
          <w:szCs w:val="24"/>
          <w:lang w:eastAsia="da-DK"/>
        </w:rPr>
        <w:t>Alvorlig leverinsufficiens, se pkt. 4.3.</w:t>
      </w:r>
    </w:p>
    <w:p w:rsidR="006E7ED6" w:rsidRDefault="006E7ED6" w:rsidP="006E7ED6">
      <w:pPr>
        <w:widowControl w:val="0"/>
        <w:tabs>
          <w:tab w:val="left" w:pos="851"/>
        </w:tabs>
        <w:ind w:left="851"/>
        <w:jc w:val="both"/>
        <w:rPr>
          <w:sz w:val="24"/>
          <w:szCs w:val="24"/>
          <w:lang w:eastAsia="da-DK"/>
        </w:rPr>
      </w:pPr>
    </w:p>
    <w:p w:rsidR="006E7ED6" w:rsidRDefault="006E7ED6" w:rsidP="006E7ED6">
      <w:pPr>
        <w:widowControl w:val="0"/>
        <w:tabs>
          <w:tab w:val="left" w:pos="851"/>
        </w:tabs>
        <w:ind w:left="851"/>
        <w:rPr>
          <w:sz w:val="24"/>
          <w:szCs w:val="24"/>
          <w:lang w:eastAsia="da-DK"/>
        </w:rPr>
      </w:pPr>
      <w:r>
        <w:rPr>
          <w:i/>
          <w:sz w:val="24"/>
          <w:szCs w:val="24"/>
          <w:lang w:eastAsia="da-DK"/>
        </w:rPr>
        <w:t>Pædiatrisk population</w:t>
      </w:r>
      <w:r>
        <w:rPr>
          <w:i/>
          <w:sz w:val="24"/>
          <w:szCs w:val="24"/>
          <w:lang w:eastAsia="da-DK"/>
        </w:rPr>
        <w:br/>
      </w:r>
      <w:proofErr w:type="spellStart"/>
      <w:r>
        <w:rPr>
          <w:sz w:val="24"/>
          <w:szCs w:val="24"/>
          <w:lang w:eastAsia="da-DK"/>
        </w:rPr>
        <w:t>Alfuzosins</w:t>
      </w:r>
      <w:proofErr w:type="spellEnd"/>
      <w:r>
        <w:rPr>
          <w:sz w:val="24"/>
          <w:szCs w:val="24"/>
          <w:lang w:eastAsia="da-DK"/>
        </w:rPr>
        <w:t xml:space="preserve"> virkning er ikke blevet påvist hos børn i alderen 2 til 16 år (se pkt. 5.1). Derfor er </w:t>
      </w:r>
      <w:proofErr w:type="spellStart"/>
      <w:r>
        <w:rPr>
          <w:sz w:val="24"/>
          <w:szCs w:val="24"/>
          <w:lang w:eastAsia="da-DK"/>
        </w:rPr>
        <w:t>alfuzosin</w:t>
      </w:r>
      <w:proofErr w:type="spellEnd"/>
      <w:r>
        <w:rPr>
          <w:sz w:val="24"/>
          <w:szCs w:val="24"/>
          <w:lang w:eastAsia="da-DK"/>
        </w:rPr>
        <w:t xml:space="preserve"> ikke indiceret til brug i den pædiatriske population.</w:t>
      </w:r>
    </w:p>
    <w:p w:rsidR="000F25A9" w:rsidRPr="00C84483" w:rsidRDefault="000F25A9" w:rsidP="00C91A25">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4.3</w:t>
      </w:r>
      <w:r w:rsidRPr="00C84483">
        <w:rPr>
          <w:b/>
          <w:sz w:val="24"/>
          <w:szCs w:val="24"/>
        </w:rPr>
        <w:tab/>
        <w:t>Kontraindikationer</w:t>
      </w:r>
    </w:p>
    <w:p w:rsidR="006E7ED6" w:rsidRDefault="006E7ED6" w:rsidP="006E7ED6">
      <w:pPr>
        <w:numPr>
          <w:ilvl w:val="0"/>
          <w:numId w:val="11"/>
        </w:numPr>
        <w:ind w:left="1134" w:hanging="283"/>
        <w:rPr>
          <w:sz w:val="24"/>
          <w:szCs w:val="24"/>
          <w:lang w:eastAsia="da-DK"/>
        </w:rPr>
      </w:pPr>
      <w:r>
        <w:rPr>
          <w:sz w:val="24"/>
          <w:szCs w:val="24"/>
          <w:lang w:eastAsia="da-DK"/>
        </w:rPr>
        <w:t>Overfølsomhed over for det aktive stof eller over for et eller flere af hjælpestofferne anført i pkt. 6.1.</w:t>
      </w:r>
    </w:p>
    <w:p w:rsidR="006E7ED6" w:rsidRDefault="006E7ED6" w:rsidP="006E7ED6">
      <w:pPr>
        <w:numPr>
          <w:ilvl w:val="0"/>
          <w:numId w:val="11"/>
        </w:numPr>
        <w:ind w:left="1134" w:hanging="283"/>
        <w:rPr>
          <w:sz w:val="24"/>
          <w:szCs w:val="24"/>
          <w:lang w:eastAsia="da-DK"/>
        </w:rPr>
      </w:pPr>
      <w:r>
        <w:rPr>
          <w:sz w:val="24"/>
          <w:szCs w:val="24"/>
          <w:lang w:eastAsia="da-DK"/>
        </w:rPr>
        <w:t xml:space="preserve">Tilstande </w:t>
      </w:r>
      <w:r>
        <w:rPr>
          <w:noProof/>
          <w:sz w:val="24"/>
          <w:szCs w:val="24"/>
          <w:lang w:eastAsia="da-DK"/>
        </w:rPr>
        <w:t>med ortostatisk hypotension.</w:t>
      </w:r>
    </w:p>
    <w:p w:rsidR="006E7ED6" w:rsidRDefault="006E7ED6" w:rsidP="006E7ED6">
      <w:pPr>
        <w:numPr>
          <w:ilvl w:val="0"/>
          <w:numId w:val="11"/>
        </w:numPr>
        <w:ind w:left="1134" w:hanging="283"/>
        <w:rPr>
          <w:sz w:val="24"/>
          <w:szCs w:val="24"/>
          <w:lang w:eastAsia="da-DK"/>
        </w:rPr>
      </w:pPr>
      <w:r>
        <w:rPr>
          <w:sz w:val="24"/>
          <w:szCs w:val="24"/>
          <w:lang w:eastAsia="da-DK"/>
        </w:rPr>
        <w:t>Alvorlig leverinsufficiens.</w:t>
      </w:r>
    </w:p>
    <w:p w:rsidR="006E7ED6" w:rsidRDefault="006E7ED6" w:rsidP="006E7ED6">
      <w:pPr>
        <w:numPr>
          <w:ilvl w:val="0"/>
          <w:numId w:val="11"/>
        </w:numPr>
        <w:ind w:left="1134" w:hanging="283"/>
        <w:rPr>
          <w:sz w:val="24"/>
          <w:szCs w:val="24"/>
          <w:lang w:eastAsia="da-DK"/>
        </w:rPr>
      </w:pPr>
      <w:r>
        <w:rPr>
          <w:sz w:val="24"/>
          <w:szCs w:val="24"/>
          <w:lang w:eastAsia="da-DK"/>
        </w:rPr>
        <w:t>Kombinationer med andre alpha-1-receptorblokkere.</w:t>
      </w:r>
    </w:p>
    <w:p w:rsidR="006E7ED6" w:rsidRDefault="006E7ED6" w:rsidP="006E7ED6">
      <w:pPr>
        <w:numPr>
          <w:ilvl w:val="0"/>
          <w:numId w:val="11"/>
        </w:numPr>
        <w:ind w:left="1134" w:hanging="283"/>
        <w:rPr>
          <w:sz w:val="24"/>
          <w:szCs w:val="24"/>
          <w:lang w:eastAsia="da-DK"/>
        </w:rPr>
      </w:pPr>
      <w:r>
        <w:rPr>
          <w:sz w:val="24"/>
          <w:szCs w:val="24"/>
          <w:lang w:eastAsia="da-DK"/>
        </w:rPr>
        <w:t xml:space="preserve">Samtidig administration af </w:t>
      </w:r>
      <w:proofErr w:type="spellStart"/>
      <w:r>
        <w:rPr>
          <w:sz w:val="24"/>
          <w:szCs w:val="24"/>
          <w:lang w:eastAsia="da-DK"/>
        </w:rPr>
        <w:t>ritonavir</w:t>
      </w:r>
      <w:proofErr w:type="spellEnd"/>
      <w:r>
        <w:rPr>
          <w:sz w:val="24"/>
          <w:szCs w:val="24"/>
          <w:lang w:eastAsia="da-DK"/>
        </w:rPr>
        <w:t xml:space="preserve"> alene eller i kombination med </w:t>
      </w:r>
      <w:proofErr w:type="spellStart"/>
      <w:r>
        <w:rPr>
          <w:sz w:val="24"/>
          <w:szCs w:val="24"/>
          <w:lang w:eastAsia="da-DK"/>
        </w:rPr>
        <w:t>ombitasvir</w:t>
      </w:r>
      <w:proofErr w:type="spellEnd"/>
      <w:r>
        <w:rPr>
          <w:sz w:val="24"/>
          <w:szCs w:val="24"/>
          <w:lang w:eastAsia="da-DK"/>
        </w:rPr>
        <w:t>/</w:t>
      </w:r>
      <w:proofErr w:type="spellStart"/>
      <w:r>
        <w:rPr>
          <w:sz w:val="24"/>
          <w:szCs w:val="24"/>
          <w:lang w:eastAsia="da-DK"/>
        </w:rPr>
        <w:t>paritaprevir</w:t>
      </w:r>
      <w:proofErr w:type="spellEnd"/>
      <w:r>
        <w:rPr>
          <w:sz w:val="24"/>
          <w:szCs w:val="24"/>
          <w:lang w:eastAsia="da-DK"/>
        </w:rPr>
        <w:t xml:space="preserve">, </w:t>
      </w:r>
      <w:proofErr w:type="spellStart"/>
      <w:r>
        <w:rPr>
          <w:sz w:val="24"/>
          <w:szCs w:val="24"/>
          <w:lang w:eastAsia="da-DK"/>
        </w:rPr>
        <w:t>lopinavir</w:t>
      </w:r>
      <w:proofErr w:type="spellEnd"/>
      <w:r>
        <w:rPr>
          <w:sz w:val="24"/>
          <w:szCs w:val="24"/>
          <w:lang w:eastAsia="da-DK"/>
        </w:rPr>
        <w:t xml:space="preserve">, </w:t>
      </w:r>
      <w:proofErr w:type="spellStart"/>
      <w:r>
        <w:rPr>
          <w:sz w:val="24"/>
          <w:szCs w:val="24"/>
          <w:lang w:eastAsia="da-DK"/>
        </w:rPr>
        <w:t>nirmatrelvir</w:t>
      </w:r>
      <w:proofErr w:type="spellEnd"/>
      <w:r>
        <w:rPr>
          <w:sz w:val="24"/>
          <w:szCs w:val="24"/>
          <w:lang w:eastAsia="da-DK"/>
        </w:rPr>
        <w:t>.</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6E7ED6" w:rsidRDefault="00CE180E" w:rsidP="006E7ED6">
      <w:pPr>
        <w:ind w:left="851"/>
        <w:rPr>
          <w:bCs/>
          <w:iCs/>
          <w:sz w:val="24"/>
          <w:szCs w:val="24"/>
          <w:lang w:eastAsia="da-DK"/>
        </w:rPr>
      </w:pPr>
      <w:proofErr w:type="spellStart"/>
      <w:r>
        <w:rPr>
          <w:bCs/>
          <w:iCs/>
          <w:sz w:val="24"/>
          <w:szCs w:val="24"/>
          <w:lang w:eastAsia="da-DK"/>
        </w:rPr>
        <w:t>Alprimox</w:t>
      </w:r>
      <w:proofErr w:type="spellEnd"/>
      <w:r w:rsidR="006E7ED6">
        <w:rPr>
          <w:bCs/>
          <w:iCs/>
          <w:sz w:val="24"/>
          <w:szCs w:val="24"/>
          <w:lang w:eastAsia="da-DK"/>
        </w:rPr>
        <w:t xml:space="preserve"> bør gives med forsigtighed til patienter, der behandles med </w:t>
      </w:r>
      <w:proofErr w:type="spellStart"/>
      <w:r w:rsidR="006E7ED6">
        <w:rPr>
          <w:bCs/>
          <w:iCs/>
          <w:sz w:val="24"/>
          <w:szCs w:val="24"/>
          <w:lang w:eastAsia="da-DK"/>
        </w:rPr>
        <w:t>antihypertensive</w:t>
      </w:r>
      <w:proofErr w:type="spellEnd"/>
      <w:r w:rsidR="006E7ED6">
        <w:rPr>
          <w:bCs/>
          <w:iCs/>
          <w:sz w:val="24"/>
          <w:szCs w:val="24"/>
          <w:lang w:eastAsia="da-DK"/>
        </w:rPr>
        <w:t xml:space="preserve"> lægemidler eller nitrater.</w:t>
      </w:r>
    </w:p>
    <w:p w:rsidR="006E7ED6" w:rsidRDefault="006E7ED6" w:rsidP="006E7ED6">
      <w:pPr>
        <w:ind w:left="851"/>
        <w:rPr>
          <w:bCs/>
          <w:iCs/>
          <w:sz w:val="24"/>
          <w:szCs w:val="24"/>
          <w:lang w:eastAsia="da-DK"/>
        </w:rPr>
      </w:pPr>
      <w:r>
        <w:rPr>
          <w:bCs/>
          <w:iCs/>
          <w:sz w:val="24"/>
          <w:szCs w:val="24"/>
          <w:lang w:eastAsia="da-DK"/>
        </w:rPr>
        <w:t xml:space="preserve">Nogle patienter kan udvikle </w:t>
      </w:r>
      <w:proofErr w:type="spellStart"/>
      <w:r>
        <w:rPr>
          <w:bCs/>
          <w:iCs/>
          <w:sz w:val="24"/>
          <w:szCs w:val="24"/>
          <w:lang w:eastAsia="da-DK"/>
        </w:rPr>
        <w:t>postural</w:t>
      </w:r>
      <w:proofErr w:type="spellEnd"/>
      <w:r>
        <w:rPr>
          <w:bCs/>
          <w:iCs/>
          <w:sz w:val="24"/>
          <w:szCs w:val="24"/>
          <w:lang w:eastAsia="da-DK"/>
        </w:rPr>
        <w:t xml:space="preserve"> hypotension, med eller uden symptom (svimmelhed, træthed, svedeture) i løbet af få timer efter indgivelsen. Disse bivirkninger er normalt forbigående, opstår i begyndelsen af behandlingen og vil normalt ikke forhindre en fortsættelse af behandlingen.</w:t>
      </w:r>
    </w:p>
    <w:p w:rsidR="006E7ED6" w:rsidRDefault="006E7ED6" w:rsidP="006E7ED6">
      <w:pPr>
        <w:ind w:left="851"/>
        <w:rPr>
          <w:bCs/>
          <w:iCs/>
          <w:sz w:val="24"/>
          <w:szCs w:val="24"/>
          <w:lang w:eastAsia="da-DK"/>
        </w:rPr>
      </w:pPr>
    </w:p>
    <w:p w:rsidR="006E7ED6" w:rsidRDefault="006E7ED6" w:rsidP="006E7ED6">
      <w:pPr>
        <w:ind w:left="851"/>
        <w:rPr>
          <w:bCs/>
          <w:iCs/>
          <w:sz w:val="24"/>
          <w:szCs w:val="24"/>
          <w:lang w:eastAsia="da-DK"/>
        </w:rPr>
      </w:pPr>
      <w:r>
        <w:rPr>
          <w:bCs/>
          <w:iCs/>
          <w:sz w:val="24"/>
          <w:szCs w:val="24"/>
          <w:lang w:eastAsia="da-DK"/>
        </w:rPr>
        <w:t xml:space="preserve">Et udtalt blodtryksfald er rapporteret i forbindelse med overvågning efter markedsføring hos patienter med præ-eksisterende risikofaktorer (såsom underliggende hjertesygdomme og/eller samtidig behandling med </w:t>
      </w:r>
      <w:proofErr w:type="spellStart"/>
      <w:r>
        <w:rPr>
          <w:bCs/>
          <w:iCs/>
          <w:sz w:val="24"/>
          <w:szCs w:val="24"/>
          <w:lang w:eastAsia="da-DK"/>
        </w:rPr>
        <w:t>antihypertensive</w:t>
      </w:r>
      <w:proofErr w:type="spellEnd"/>
      <w:r>
        <w:rPr>
          <w:bCs/>
          <w:iCs/>
          <w:sz w:val="24"/>
          <w:szCs w:val="24"/>
          <w:lang w:eastAsia="da-DK"/>
        </w:rPr>
        <w:t xml:space="preserve"> lægemidler). Risikoen for at udvikle hypotension og relaterede bivirkninger kan være større hos ældre personer.</w:t>
      </w:r>
    </w:p>
    <w:p w:rsidR="006E7ED6" w:rsidRDefault="006E7ED6" w:rsidP="006E7ED6">
      <w:pPr>
        <w:ind w:left="851"/>
        <w:rPr>
          <w:bCs/>
          <w:iCs/>
          <w:sz w:val="24"/>
          <w:szCs w:val="24"/>
          <w:lang w:eastAsia="da-DK"/>
        </w:rPr>
      </w:pPr>
    </w:p>
    <w:p w:rsidR="006E7ED6" w:rsidRDefault="006E7ED6" w:rsidP="006E7ED6">
      <w:pPr>
        <w:ind w:left="851"/>
        <w:rPr>
          <w:bCs/>
          <w:iCs/>
          <w:sz w:val="24"/>
          <w:szCs w:val="24"/>
          <w:lang w:eastAsia="da-DK"/>
        </w:rPr>
      </w:pPr>
      <w:r>
        <w:rPr>
          <w:bCs/>
          <w:iCs/>
          <w:sz w:val="24"/>
          <w:szCs w:val="24"/>
          <w:lang w:eastAsia="da-DK"/>
        </w:rPr>
        <w:t xml:space="preserve">Da der kan opstå hypotension efter administration med </w:t>
      </w:r>
      <w:proofErr w:type="spellStart"/>
      <w:r>
        <w:rPr>
          <w:bCs/>
          <w:iCs/>
          <w:sz w:val="24"/>
          <w:szCs w:val="24"/>
          <w:lang w:eastAsia="da-DK"/>
        </w:rPr>
        <w:t>alfuzosin</w:t>
      </w:r>
      <w:proofErr w:type="spellEnd"/>
      <w:r>
        <w:rPr>
          <w:bCs/>
          <w:iCs/>
          <w:sz w:val="24"/>
          <w:szCs w:val="24"/>
          <w:lang w:eastAsia="da-DK"/>
        </w:rPr>
        <w:t>, er der risiko for cerebrale iskæmiske forstyrrelser hos patienter med forudgående symptomatiske eller asymptomatiske cerebrale kredsløbsforstyrrelser (se pkt. 4.8).</w:t>
      </w:r>
    </w:p>
    <w:p w:rsidR="006E7ED6" w:rsidRDefault="006E7ED6" w:rsidP="006E7ED6">
      <w:pPr>
        <w:ind w:left="851"/>
        <w:rPr>
          <w:bCs/>
          <w:iCs/>
          <w:sz w:val="24"/>
          <w:szCs w:val="24"/>
          <w:lang w:eastAsia="da-DK"/>
        </w:rPr>
      </w:pPr>
    </w:p>
    <w:p w:rsidR="006E7ED6" w:rsidRDefault="006E7ED6" w:rsidP="006E7ED6">
      <w:pPr>
        <w:ind w:left="851"/>
        <w:rPr>
          <w:bCs/>
          <w:iCs/>
          <w:sz w:val="24"/>
          <w:szCs w:val="24"/>
          <w:lang w:eastAsia="da-DK"/>
        </w:rPr>
      </w:pPr>
      <w:r>
        <w:rPr>
          <w:bCs/>
          <w:iCs/>
          <w:sz w:val="24"/>
          <w:szCs w:val="24"/>
          <w:lang w:eastAsia="da-DK"/>
        </w:rPr>
        <w:t xml:space="preserve">Der bør udvises forsigtighed, når </w:t>
      </w:r>
      <w:proofErr w:type="spellStart"/>
      <w:r>
        <w:rPr>
          <w:bCs/>
          <w:iCs/>
          <w:sz w:val="24"/>
          <w:szCs w:val="24"/>
          <w:lang w:eastAsia="da-DK"/>
        </w:rPr>
        <w:t>alfuzosin</w:t>
      </w:r>
      <w:proofErr w:type="spellEnd"/>
      <w:r>
        <w:rPr>
          <w:bCs/>
          <w:iCs/>
          <w:sz w:val="24"/>
          <w:szCs w:val="24"/>
          <w:lang w:eastAsia="da-DK"/>
        </w:rPr>
        <w:t xml:space="preserve"> administreres til patienter, der har responderet med udtalt hypotension på andre alpha-1-blokker.</w:t>
      </w:r>
    </w:p>
    <w:p w:rsidR="006E7ED6" w:rsidRDefault="006E7ED6" w:rsidP="006E7ED6">
      <w:pPr>
        <w:ind w:left="851"/>
        <w:rPr>
          <w:bCs/>
          <w:iCs/>
          <w:sz w:val="24"/>
          <w:szCs w:val="24"/>
          <w:lang w:eastAsia="da-DK"/>
        </w:rPr>
      </w:pPr>
    </w:p>
    <w:p w:rsidR="006E7ED6" w:rsidRDefault="006E7ED6" w:rsidP="006E7ED6">
      <w:pPr>
        <w:ind w:left="851"/>
        <w:rPr>
          <w:bCs/>
          <w:iCs/>
          <w:sz w:val="24"/>
          <w:szCs w:val="24"/>
          <w:lang w:eastAsia="da-DK"/>
        </w:rPr>
      </w:pPr>
      <w:r>
        <w:rPr>
          <w:bCs/>
          <w:iCs/>
          <w:sz w:val="24"/>
          <w:szCs w:val="24"/>
          <w:lang w:eastAsia="da-DK"/>
        </w:rPr>
        <w:t xml:space="preserve">Hos hjertepatienter bør den specifikke behandling af </w:t>
      </w:r>
      <w:proofErr w:type="spellStart"/>
      <w:r>
        <w:rPr>
          <w:bCs/>
          <w:iCs/>
          <w:sz w:val="24"/>
          <w:szCs w:val="24"/>
          <w:lang w:eastAsia="da-DK"/>
        </w:rPr>
        <w:t>koronarinsufficiens</w:t>
      </w:r>
      <w:proofErr w:type="spellEnd"/>
      <w:r>
        <w:rPr>
          <w:bCs/>
          <w:iCs/>
          <w:sz w:val="24"/>
          <w:szCs w:val="24"/>
          <w:lang w:eastAsia="da-DK"/>
        </w:rPr>
        <w:t xml:space="preserve"> fortsættes. Ved tilbagevenden eller forværring af angina pectoris, bør behandlingen med </w:t>
      </w:r>
      <w:proofErr w:type="spellStart"/>
      <w:r>
        <w:rPr>
          <w:bCs/>
          <w:iCs/>
          <w:sz w:val="24"/>
          <w:szCs w:val="24"/>
          <w:lang w:eastAsia="da-DK"/>
        </w:rPr>
        <w:t>alfuzosin</w:t>
      </w:r>
      <w:proofErr w:type="spellEnd"/>
      <w:r>
        <w:rPr>
          <w:bCs/>
          <w:iCs/>
          <w:sz w:val="24"/>
          <w:szCs w:val="24"/>
          <w:lang w:eastAsia="da-DK"/>
        </w:rPr>
        <w:t xml:space="preserve"> afbrydes.</w:t>
      </w:r>
    </w:p>
    <w:p w:rsidR="006E7ED6" w:rsidRDefault="006E7ED6" w:rsidP="006E7ED6">
      <w:pPr>
        <w:ind w:left="851"/>
        <w:rPr>
          <w:bCs/>
          <w:iCs/>
          <w:sz w:val="24"/>
          <w:szCs w:val="24"/>
          <w:lang w:eastAsia="da-DK"/>
        </w:rPr>
      </w:pPr>
    </w:p>
    <w:p w:rsidR="006E7ED6" w:rsidRDefault="006E7ED6" w:rsidP="006E7ED6">
      <w:pPr>
        <w:tabs>
          <w:tab w:val="left" w:pos="851"/>
        </w:tabs>
        <w:ind w:left="851"/>
        <w:rPr>
          <w:bCs/>
          <w:iCs/>
          <w:sz w:val="24"/>
          <w:szCs w:val="24"/>
          <w:lang w:eastAsia="da-DK"/>
        </w:rPr>
      </w:pPr>
      <w:r>
        <w:rPr>
          <w:bCs/>
          <w:iCs/>
          <w:sz w:val="24"/>
          <w:szCs w:val="24"/>
          <w:lang w:eastAsia="da-DK"/>
        </w:rPr>
        <w:t xml:space="preserve">Som med alle alpha-1-blokkere, bør </w:t>
      </w:r>
      <w:proofErr w:type="spellStart"/>
      <w:r>
        <w:rPr>
          <w:bCs/>
          <w:iCs/>
          <w:sz w:val="24"/>
          <w:szCs w:val="24"/>
          <w:lang w:eastAsia="da-DK"/>
        </w:rPr>
        <w:t>alfuzosin</w:t>
      </w:r>
      <w:proofErr w:type="spellEnd"/>
      <w:r>
        <w:rPr>
          <w:bCs/>
          <w:iCs/>
          <w:sz w:val="24"/>
          <w:szCs w:val="24"/>
          <w:lang w:eastAsia="da-DK"/>
        </w:rPr>
        <w:t xml:space="preserve"> administreres med forsigtighed hos patienter med akut hjertesvigt.</w:t>
      </w:r>
    </w:p>
    <w:p w:rsidR="006E7ED6" w:rsidRDefault="006E7ED6" w:rsidP="006E7ED6">
      <w:pPr>
        <w:tabs>
          <w:tab w:val="left" w:pos="851"/>
        </w:tabs>
        <w:ind w:left="851"/>
        <w:rPr>
          <w:bCs/>
          <w:iCs/>
          <w:sz w:val="24"/>
          <w:szCs w:val="24"/>
          <w:lang w:eastAsia="da-DK"/>
        </w:rPr>
      </w:pPr>
      <w:r>
        <w:rPr>
          <w:bCs/>
          <w:iCs/>
          <w:sz w:val="24"/>
          <w:szCs w:val="24"/>
          <w:lang w:eastAsia="da-DK"/>
        </w:rPr>
        <w:t xml:space="preserve">Patienter med medfødt </w:t>
      </w:r>
      <w:proofErr w:type="spellStart"/>
      <w:r>
        <w:rPr>
          <w:bCs/>
          <w:iCs/>
          <w:sz w:val="24"/>
          <w:szCs w:val="24"/>
          <w:lang w:eastAsia="da-DK"/>
        </w:rPr>
        <w:t>QTc</w:t>
      </w:r>
      <w:proofErr w:type="spellEnd"/>
      <w:r>
        <w:rPr>
          <w:bCs/>
          <w:iCs/>
          <w:sz w:val="24"/>
          <w:szCs w:val="24"/>
          <w:lang w:eastAsia="da-DK"/>
        </w:rPr>
        <w:t xml:space="preserve">-forlængelse, med erhvervet </w:t>
      </w:r>
      <w:proofErr w:type="spellStart"/>
      <w:r>
        <w:rPr>
          <w:bCs/>
          <w:iCs/>
          <w:sz w:val="24"/>
          <w:szCs w:val="24"/>
          <w:lang w:eastAsia="da-DK"/>
        </w:rPr>
        <w:t>QTc</w:t>
      </w:r>
      <w:proofErr w:type="spellEnd"/>
      <w:r>
        <w:rPr>
          <w:bCs/>
          <w:iCs/>
          <w:sz w:val="24"/>
          <w:szCs w:val="24"/>
          <w:lang w:eastAsia="da-DK"/>
        </w:rPr>
        <w:t xml:space="preserve">-forlængelse i anamnesen eller patienter, som tager lægemidler, der vides at forlænge </w:t>
      </w:r>
      <w:proofErr w:type="spellStart"/>
      <w:r>
        <w:rPr>
          <w:bCs/>
          <w:iCs/>
          <w:sz w:val="24"/>
          <w:szCs w:val="24"/>
          <w:lang w:eastAsia="da-DK"/>
        </w:rPr>
        <w:t>QTc</w:t>
      </w:r>
      <w:proofErr w:type="spellEnd"/>
      <w:r>
        <w:rPr>
          <w:bCs/>
          <w:iCs/>
          <w:sz w:val="24"/>
          <w:szCs w:val="24"/>
          <w:lang w:eastAsia="da-DK"/>
        </w:rPr>
        <w:t xml:space="preserve">-intervallet, skal evalueres inden og under administration af </w:t>
      </w:r>
      <w:proofErr w:type="spellStart"/>
      <w:r>
        <w:rPr>
          <w:bCs/>
          <w:iCs/>
          <w:sz w:val="24"/>
          <w:szCs w:val="24"/>
          <w:lang w:eastAsia="da-DK"/>
        </w:rPr>
        <w:t>alfuzosin</w:t>
      </w:r>
      <w:proofErr w:type="spellEnd"/>
      <w:r>
        <w:rPr>
          <w:bCs/>
          <w:iCs/>
          <w:sz w:val="24"/>
          <w:szCs w:val="24"/>
          <w:lang w:eastAsia="da-DK"/>
        </w:rPr>
        <w:t>.</w:t>
      </w:r>
    </w:p>
    <w:p w:rsidR="006E7ED6" w:rsidRDefault="006E7ED6" w:rsidP="006E7ED6">
      <w:pPr>
        <w:tabs>
          <w:tab w:val="left" w:pos="851"/>
        </w:tabs>
        <w:ind w:left="851"/>
        <w:rPr>
          <w:bCs/>
          <w:iCs/>
          <w:sz w:val="24"/>
          <w:szCs w:val="24"/>
          <w:lang w:eastAsia="da-DK"/>
        </w:rPr>
      </w:pPr>
    </w:p>
    <w:p w:rsidR="006E7ED6" w:rsidRDefault="006E7ED6" w:rsidP="006E7ED6">
      <w:pPr>
        <w:tabs>
          <w:tab w:val="left" w:pos="851"/>
        </w:tabs>
        <w:spacing w:line="240" w:lineRule="atLeast"/>
        <w:ind w:left="851"/>
        <w:rPr>
          <w:spacing w:val="-3"/>
          <w:sz w:val="24"/>
          <w:szCs w:val="24"/>
        </w:rPr>
      </w:pPr>
      <w:r>
        <w:rPr>
          <w:spacing w:val="-3"/>
          <w:sz w:val="24"/>
          <w:szCs w:val="24"/>
        </w:rPr>
        <w:t xml:space="preserve">Samtidig brug af </w:t>
      </w:r>
      <w:proofErr w:type="spellStart"/>
      <w:r>
        <w:rPr>
          <w:spacing w:val="-3"/>
          <w:sz w:val="24"/>
          <w:szCs w:val="24"/>
        </w:rPr>
        <w:t>alfuzosin</w:t>
      </w:r>
      <w:proofErr w:type="spellEnd"/>
      <w:r>
        <w:rPr>
          <w:spacing w:val="-3"/>
          <w:sz w:val="24"/>
          <w:szCs w:val="24"/>
        </w:rPr>
        <w:t xml:space="preserve"> og potente CYP3A4-hæmmere (såsom </w:t>
      </w:r>
      <w:proofErr w:type="spellStart"/>
      <w:r>
        <w:rPr>
          <w:spacing w:val="-3"/>
          <w:sz w:val="24"/>
          <w:szCs w:val="24"/>
        </w:rPr>
        <w:t>itraconazol</w:t>
      </w:r>
      <w:proofErr w:type="spellEnd"/>
      <w:r>
        <w:rPr>
          <w:spacing w:val="-3"/>
          <w:sz w:val="24"/>
          <w:szCs w:val="24"/>
        </w:rPr>
        <w:t xml:space="preserve">, </w:t>
      </w:r>
      <w:proofErr w:type="spellStart"/>
      <w:r>
        <w:rPr>
          <w:spacing w:val="-3"/>
          <w:sz w:val="24"/>
          <w:szCs w:val="24"/>
        </w:rPr>
        <w:t>ketoconazol</w:t>
      </w:r>
      <w:proofErr w:type="spellEnd"/>
      <w:r>
        <w:rPr>
          <w:spacing w:val="-3"/>
          <w:sz w:val="24"/>
          <w:szCs w:val="24"/>
        </w:rPr>
        <w:t xml:space="preserve">, </w:t>
      </w:r>
      <w:proofErr w:type="spellStart"/>
      <w:r>
        <w:rPr>
          <w:spacing w:val="-3"/>
          <w:sz w:val="24"/>
          <w:szCs w:val="24"/>
        </w:rPr>
        <w:t>proteasehæmmere</w:t>
      </w:r>
      <w:proofErr w:type="spellEnd"/>
      <w:r>
        <w:rPr>
          <w:spacing w:val="-3"/>
          <w:sz w:val="24"/>
          <w:szCs w:val="24"/>
        </w:rPr>
        <w:t xml:space="preserve">, </w:t>
      </w:r>
      <w:proofErr w:type="spellStart"/>
      <w:r>
        <w:rPr>
          <w:spacing w:val="-3"/>
          <w:sz w:val="24"/>
          <w:szCs w:val="24"/>
        </w:rPr>
        <w:t>clarithromycin</w:t>
      </w:r>
      <w:proofErr w:type="spellEnd"/>
      <w:r>
        <w:rPr>
          <w:spacing w:val="-3"/>
          <w:sz w:val="24"/>
          <w:szCs w:val="24"/>
        </w:rPr>
        <w:t xml:space="preserve">, </w:t>
      </w:r>
      <w:proofErr w:type="spellStart"/>
      <w:r>
        <w:rPr>
          <w:spacing w:val="-3"/>
          <w:sz w:val="24"/>
          <w:szCs w:val="24"/>
        </w:rPr>
        <w:t>telithromycin</w:t>
      </w:r>
      <w:proofErr w:type="spellEnd"/>
      <w:r>
        <w:rPr>
          <w:spacing w:val="-3"/>
          <w:sz w:val="24"/>
          <w:szCs w:val="24"/>
        </w:rPr>
        <w:t xml:space="preserve"> og </w:t>
      </w:r>
      <w:proofErr w:type="spellStart"/>
      <w:r>
        <w:rPr>
          <w:spacing w:val="-3"/>
          <w:sz w:val="24"/>
          <w:szCs w:val="24"/>
        </w:rPr>
        <w:t>nefazodon</w:t>
      </w:r>
      <w:proofErr w:type="spellEnd"/>
      <w:r>
        <w:rPr>
          <w:spacing w:val="-3"/>
          <w:sz w:val="24"/>
          <w:szCs w:val="24"/>
        </w:rPr>
        <w:t xml:space="preserve">) bør undgås (se pkt. 4.5). </w:t>
      </w:r>
      <w:proofErr w:type="spellStart"/>
      <w:r>
        <w:rPr>
          <w:spacing w:val="-3"/>
          <w:sz w:val="24"/>
          <w:szCs w:val="24"/>
        </w:rPr>
        <w:t>Alfuzosin</w:t>
      </w:r>
      <w:proofErr w:type="spellEnd"/>
      <w:r>
        <w:rPr>
          <w:spacing w:val="-3"/>
          <w:sz w:val="24"/>
          <w:szCs w:val="24"/>
        </w:rPr>
        <w:t xml:space="preserve"> bør ikke indtages samtidig med CYP3A4-hæmmere, der er kendt for at forlænge </w:t>
      </w:r>
      <w:proofErr w:type="spellStart"/>
      <w:r>
        <w:rPr>
          <w:spacing w:val="-3"/>
          <w:sz w:val="24"/>
          <w:szCs w:val="24"/>
        </w:rPr>
        <w:t>QTc</w:t>
      </w:r>
      <w:proofErr w:type="spellEnd"/>
      <w:r>
        <w:rPr>
          <w:spacing w:val="-3"/>
          <w:sz w:val="24"/>
          <w:szCs w:val="24"/>
        </w:rPr>
        <w:t xml:space="preserve">-intervallet (f.eks. </w:t>
      </w:r>
      <w:proofErr w:type="spellStart"/>
      <w:r>
        <w:rPr>
          <w:spacing w:val="-3"/>
          <w:sz w:val="24"/>
          <w:szCs w:val="24"/>
        </w:rPr>
        <w:t>itraconazol</w:t>
      </w:r>
      <w:proofErr w:type="spellEnd"/>
      <w:r>
        <w:rPr>
          <w:spacing w:val="-3"/>
          <w:sz w:val="24"/>
          <w:szCs w:val="24"/>
        </w:rPr>
        <w:t xml:space="preserve"> og </w:t>
      </w:r>
      <w:proofErr w:type="spellStart"/>
      <w:r>
        <w:rPr>
          <w:spacing w:val="-3"/>
          <w:sz w:val="24"/>
          <w:szCs w:val="24"/>
        </w:rPr>
        <w:t>clarithromycin</w:t>
      </w:r>
      <w:proofErr w:type="spellEnd"/>
      <w:r>
        <w:rPr>
          <w:spacing w:val="-3"/>
          <w:sz w:val="24"/>
          <w:szCs w:val="24"/>
        </w:rPr>
        <w:t xml:space="preserve">) og det anbefales at pausere behandlingen med </w:t>
      </w:r>
      <w:proofErr w:type="spellStart"/>
      <w:r>
        <w:rPr>
          <w:spacing w:val="-3"/>
          <w:sz w:val="24"/>
          <w:szCs w:val="24"/>
        </w:rPr>
        <w:t>alfuzosin</w:t>
      </w:r>
      <w:proofErr w:type="spellEnd"/>
      <w:r>
        <w:rPr>
          <w:spacing w:val="-3"/>
          <w:sz w:val="24"/>
          <w:szCs w:val="24"/>
        </w:rPr>
        <w:t>, hvis disse præparater opstartes.</w:t>
      </w:r>
    </w:p>
    <w:p w:rsidR="006E7ED6" w:rsidRDefault="006E7ED6" w:rsidP="006E7ED6">
      <w:pPr>
        <w:tabs>
          <w:tab w:val="left" w:pos="851"/>
        </w:tabs>
        <w:ind w:left="851"/>
        <w:rPr>
          <w:bCs/>
          <w:iCs/>
          <w:sz w:val="24"/>
          <w:szCs w:val="24"/>
          <w:lang w:eastAsia="da-DK"/>
        </w:rPr>
      </w:pPr>
    </w:p>
    <w:p w:rsidR="006E7ED6" w:rsidRDefault="006E7ED6" w:rsidP="006E7ED6">
      <w:pPr>
        <w:tabs>
          <w:tab w:val="left" w:pos="851"/>
        </w:tabs>
        <w:ind w:left="851"/>
        <w:rPr>
          <w:sz w:val="24"/>
          <w:szCs w:val="24"/>
          <w:lang w:eastAsia="da-DK"/>
        </w:rPr>
      </w:pPr>
      <w:r>
        <w:rPr>
          <w:bCs/>
          <w:i/>
          <w:iCs/>
          <w:sz w:val="24"/>
          <w:szCs w:val="24"/>
          <w:lang w:eastAsia="da-DK"/>
        </w:rPr>
        <w:t xml:space="preserve">Intraoperative </w:t>
      </w:r>
      <w:proofErr w:type="spellStart"/>
      <w:r>
        <w:rPr>
          <w:bCs/>
          <w:i/>
          <w:iCs/>
          <w:sz w:val="24"/>
          <w:szCs w:val="24"/>
          <w:lang w:eastAsia="da-DK"/>
        </w:rPr>
        <w:t>Floppy</w:t>
      </w:r>
      <w:proofErr w:type="spellEnd"/>
      <w:r>
        <w:rPr>
          <w:bCs/>
          <w:i/>
          <w:iCs/>
          <w:sz w:val="24"/>
          <w:szCs w:val="24"/>
          <w:lang w:eastAsia="da-DK"/>
        </w:rPr>
        <w:t xml:space="preserve"> Iris </w:t>
      </w:r>
      <w:proofErr w:type="spellStart"/>
      <w:r>
        <w:rPr>
          <w:bCs/>
          <w:i/>
          <w:iCs/>
          <w:sz w:val="24"/>
          <w:szCs w:val="24"/>
          <w:lang w:eastAsia="da-DK"/>
        </w:rPr>
        <w:t>Syndrome</w:t>
      </w:r>
      <w:proofErr w:type="spellEnd"/>
      <w:r>
        <w:rPr>
          <w:bCs/>
          <w:i/>
          <w:iCs/>
          <w:sz w:val="24"/>
          <w:szCs w:val="24"/>
          <w:lang w:eastAsia="da-DK"/>
        </w:rPr>
        <w:t xml:space="preserve">, </w:t>
      </w:r>
      <w:r>
        <w:rPr>
          <w:bCs/>
          <w:iCs/>
          <w:sz w:val="24"/>
          <w:szCs w:val="24"/>
          <w:lang w:eastAsia="da-DK"/>
        </w:rPr>
        <w:t xml:space="preserve">peroperativt </w:t>
      </w:r>
      <w:proofErr w:type="spellStart"/>
      <w:r>
        <w:rPr>
          <w:bCs/>
          <w:iCs/>
          <w:sz w:val="24"/>
          <w:szCs w:val="24"/>
          <w:lang w:eastAsia="da-DK"/>
        </w:rPr>
        <w:t>atonisk</w:t>
      </w:r>
      <w:proofErr w:type="spellEnd"/>
      <w:r>
        <w:rPr>
          <w:bCs/>
          <w:iCs/>
          <w:sz w:val="24"/>
          <w:szCs w:val="24"/>
          <w:lang w:eastAsia="da-DK"/>
        </w:rPr>
        <w:t xml:space="preserve"> iris syndrom (IFIS, en variant af lille pupil syndrom) er observeret hos visse patienter ved operation for grå stær, hvis de behandles eller tidligere er blevet behandlet med </w:t>
      </w:r>
      <w:proofErr w:type="spellStart"/>
      <w:r>
        <w:rPr>
          <w:bCs/>
          <w:iCs/>
          <w:sz w:val="24"/>
          <w:szCs w:val="24"/>
          <w:lang w:eastAsia="da-DK"/>
        </w:rPr>
        <w:t>tamsulosin</w:t>
      </w:r>
      <w:proofErr w:type="spellEnd"/>
      <w:r>
        <w:rPr>
          <w:bCs/>
          <w:iCs/>
          <w:sz w:val="24"/>
          <w:szCs w:val="24"/>
          <w:lang w:eastAsia="da-DK"/>
        </w:rPr>
        <w:t>. Der er set enkelte tilfælde af IFIS med andre alpha1-blokkere og en klasseeffekt kan ikke udelukkes. Øjenlægen skal informeres om nuværende eller tidligere anvendelse af alpha-1-blokkere inden påbegyndelse af kataraktoperation, da IFIS kan medføre øget risiko for komplikationer</w:t>
      </w:r>
      <w:r>
        <w:rPr>
          <w:sz w:val="24"/>
          <w:szCs w:val="24"/>
          <w:lang w:eastAsia="da-DK"/>
        </w:rPr>
        <w:t>.</w:t>
      </w:r>
    </w:p>
    <w:p w:rsidR="006E7ED6" w:rsidRDefault="006E7ED6" w:rsidP="006E7ED6">
      <w:pPr>
        <w:tabs>
          <w:tab w:val="left" w:pos="851"/>
        </w:tabs>
        <w:ind w:left="851"/>
        <w:rPr>
          <w:bCs/>
          <w:iCs/>
          <w:sz w:val="24"/>
          <w:szCs w:val="24"/>
          <w:lang w:eastAsia="da-DK"/>
        </w:rPr>
      </w:pPr>
    </w:p>
    <w:p w:rsidR="006E7ED6" w:rsidRDefault="006E7ED6" w:rsidP="006E7ED6">
      <w:pPr>
        <w:ind w:left="851"/>
        <w:rPr>
          <w:spacing w:val="-3"/>
          <w:sz w:val="24"/>
          <w:szCs w:val="24"/>
        </w:rPr>
      </w:pPr>
      <w:proofErr w:type="spellStart"/>
      <w:r>
        <w:rPr>
          <w:spacing w:val="-3"/>
          <w:sz w:val="24"/>
          <w:szCs w:val="24"/>
        </w:rPr>
        <w:t>Alfuzosin</w:t>
      </w:r>
      <w:proofErr w:type="spellEnd"/>
      <w:r>
        <w:rPr>
          <w:spacing w:val="-3"/>
          <w:sz w:val="24"/>
          <w:szCs w:val="24"/>
        </w:rPr>
        <w:t xml:space="preserve"> er, som andre alfa-</w:t>
      </w:r>
      <w:proofErr w:type="spellStart"/>
      <w:r>
        <w:rPr>
          <w:spacing w:val="-3"/>
          <w:sz w:val="24"/>
          <w:szCs w:val="24"/>
        </w:rPr>
        <w:t>adrenerge</w:t>
      </w:r>
      <w:proofErr w:type="spellEnd"/>
      <w:r>
        <w:rPr>
          <w:spacing w:val="-3"/>
          <w:sz w:val="24"/>
          <w:szCs w:val="24"/>
        </w:rPr>
        <w:t xml:space="preserve"> antagonister, blevet associeret med </w:t>
      </w:r>
      <w:proofErr w:type="spellStart"/>
      <w:r>
        <w:rPr>
          <w:spacing w:val="-3"/>
          <w:sz w:val="24"/>
          <w:szCs w:val="24"/>
        </w:rPr>
        <w:t>priapisme</w:t>
      </w:r>
      <w:proofErr w:type="spellEnd"/>
      <w:r>
        <w:rPr>
          <w:spacing w:val="-3"/>
          <w:sz w:val="24"/>
          <w:szCs w:val="24"/>
        </w:rPr>
        <w:t xml:space="preserve"> (varig, smertefuld peniserektion, som ikke er relateret til seksuel aktivitet, se pkt. 4.8). Da denne tilstand kan føre til permanent impotens, hvis den ikke behandles korrekt, bør patienten rådes til at søge øjeblikkeligt hjælp, hvis en erektion varer længere end 4 timer.</w:t>
      </w:r>
    </w:p>
    <w:p w:rsidR="006E7ED6" w:rsidRDefault="006E7ED6" w:rsidP="006E7ED6">
      <w:pPr>
        <w:ind w:left="851"/>
        <w:rPr>
          <w:sz w:val="24"/>
          <w:szCs w:val="24"/>
          <w:lang w:eastAsia="da-DK"/>
        </w:rPr>
      </w:pPr>
    </w:p>
    <w:p w:rsidR="006E7ED6" w:rsidRDefault="006E7ED6" w:rsidP="006E7ED6">
      <w:pPr>
        <w:ind w:left="851"/>
        <w:rPr>
          <w:sz w:val="24"/>
          <w:szCs w:val="24"/>
          <w:u w:val="single"/>
          <w:lang w:eastAsia="da-DK"/>
        </w:rPr>
      </w:pPr>
      <w:r>
        <w:rPr>
          <w:sz w:val="24"/>
          <w:szCs w:val="24"/>
          <w:u w:val="single"/>
          <w:lang w:eastAsia="da-DK"/>
        </w:rPr>
        <w:t>Hjælpestoffer</w:t>
      </w:r>
    </w:p>
    <w:p w:rsidR="006E7ED6" w:rsidRDefault="00CE180E" w:rsidP="006E7ED6">
      <w:pPr>
        <w:ind w:left="851"/>
        <w:rPr>
          <w:sz w:val="24"/>
          <w:szCs w:val="24"/>
          <w:lang w:eastAsia="da-DK"/>
        </w:rPr>
      </w:pPr>
      <w:proofErr w:type="spellStart"/>
      <w:r>
        <w:rPr>
          <w:sz w:val="24"/>
          <w:szCs w:val="24"/>
          <w:lang w:eastAsia="da-DK"/>
        </w:rPr>
        <w:t>Alprimox</w:t>
      </w:r>
      <w:proofErr w:type="spellEnd"/>
      <w:r w:rsidR="006E7ED6">
        <w:rPr>
          <w:sz w:val="24"/>
          <w:szCs w:val="24"/>
          <w:lang w:eastAsia="da-DK"/>
        </w:rPr>
        <w:t xml:space="preserve"> filmovertrukne tabletter indeholder </w:t>
      </w:r>
      <w:proofErr w:type="spellStart"/>
      <w:r w:rsidR="006E7ED6">
        <w:rPr>
          <w:sz w:val="24"/>
          <w:szCs w:val="24"/>
          <w:lang w:eastAsia="da-DK"/>
        </w:rPr>
        <w:t>lactose</w:t>
      </w:r>
      <w:proofErr w:type="spellEnd"/>
      <w:r w:rsidR="006E7ED6">
        <w:rPr>
          <w:sz w:val="24"/>
          <w:szCs w:val="24"/>
          <w:lang w:eastAsia="da-DK"/>
        </w:rPr>
        <w:t xml:space="preserve">. Bør ikke anvendes til patienter med hereditær </w:t>
      </w:r>
      <w:proofErr w:type="spellStart"/>
      <w:r w:rsidR="006E7ED6">
        <w:rPr>
          <w:sz w:val="24"/>
          <w:szCs w:val="24"/>
          <w:lang w:eastAsia="da-DK"/>
        </w:rPr>
        <w:t>galactoseintolerans</w:t>
      </w:r>
      <w:proofErr w:type="spellEnd"/>
      <w:r w:rsidR="006E7ED6">
        <w:rPr>
          <w:sz w:val="24"/>
          <w:szCs w:val="24"/>
          <w:lang w:eastAsia="da-DK"/>
        </w:rPr>
        <w:t xml:space="preserve">, total </w:t>
      </w:r>
      <w:proofErr w:type="spellStart"/>
      <w:r w:rsidR="006E7ED6">
        <w:rPr>
          <w:sz w:val="24"/>
          <w:szCs w:val="24"/>
          <w:lang w:eastAsia="da-DK"/>
        </w:rPr>
        <w:t>lactasemangel</w:t>
      </w:r>
      <w:proofErr w:type="spellEnd"/>
      <w:r w:rsidR="006E7ED6">
        <w:rPr>
          <w:sz w:val="24"/>
          <w:szCs w:val="24"/>
          <w:lang w:eastAsia="da-DK"/>
        </w:rPr>
        <w:t xml:space="preserve"> eller </w:t>
      </w:r>
      <w:proofErr w:type="spellStart"/>
      <w:r w:rsidR="006E7ED6">
        <w:rPr>
          <w:sz w:val="24"/>
          <w:szCs w:val="24"/>
          <w:lang w:eastAsia="da-DK"/>
        </w:rPr>
        <w:t>glucose</w:t>
      </w:r>
      <w:proofErr w:type="spellEnd"/>
      <w:r w:rsidR="006E7ED6">
        <w:rPr>
          <w:sz w:val="24"/>
          <w:szCs w:val="24"/>
          <w:lang w:eastAsia="da-DK"/>
        </w:rPr>
        <w:t>/</w:t>
      </w:r>
      <w:proofErr w:type="spellStart"/>
      <w:r w:rsidR="006E7ED6">
        <w:rPr>
          <w:sz w:val="24"/>
          <w:szCs w:val="24"/>
          <w:lang w:eastAsia="da-DK"/>
        </w:rPr>
        <w:t>galactosemalabsorption</w:t>
      </w:r>
      <w:proofErr w:type="spellEnd"/>
      <w:r w:rsidR="006E7ED6">
        <w:rPr>
          <w:sz w:val="24"/>
          <w:szCs w:val="24"/>
          <w:lang w:eastAsia="da-DK"/>
        </w:rPr>
        <w:t>.</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Dette lægemiddel indeholder mindre end 1 mmol (23 mg) natrium pr. tablet, dvs. det er i det væsentlige natriumfrit.</w:t>
      </w:r>
    </w:p>
    <w:p w:rsidR="000F25A9" w:rsidRPr="00C84483" w:rsidRDefault="000F25A9" w:rsidP="00420D9F">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6E7ED6" w:rsidRDefault="006E7ED6" w:rsidP="006E7ED6">
      <w:pPr>
        <w:ind w:left="851"/>
        <w:rPr>
          <w:sz w:val="24"/>
          <w:szCs w:val="24"/>
          <w:lang w:eastAsia="da-DK"/>
        </w:rPr>
      </w:pPr>
      <w:r>
        <w:rPr>
          <w:sz w:val="24"/>
          <w:szCs w:val="24"/>
          <w:lang w:eastAsia="da-DK"/>
        </w:rPr>
        <w:t xml:space="preserve">Der er i studier med raske frivillige forsøgspersoner ikke observeret nogen </w:t>
      </w:r>
      <w:proofErr w:type="spellStart"/>
      <w:r>
        <w:rPr>
          <w:sz w:val="24"/>
          <w:szCs w:val="24"/>
          <w:lang w:eastAsia="da-DK"/>
        </w:rPr>
        <w:t>farmakodynamiske</w:t>
      </w:r>
      <w:proofErr w:type="spellEnd"/>
      <w:r>
        <w:rPr>
          <w:sz w:val="24"/>
          <w:szCs w:val="24"/>
          <w:lang w:eastAsia="da-DK"/>
        </w:rPr>
        <w:t xml:space="preserve"> eller </w:t>
      </w:r>
      <w:proofErr w:type="spellStart"/>
      <w:r>
        <w:rPr>
          <w:sz w:val="24"/>
          <w:szCs w:val="24"/>
          <w:lang w:eastAsia="da-DK"/>
        </w:rPr>
        <w:t>farmakokinetiske</w:t>
      </w:r>
      <w:proofErr w:type="spellEnd"/>
      <w:r>
        <w:rPr>
          <w:sz w:val="24"/>
          <w:szCs w:val="24"/>
          <w:lang w:eastAsia="da-DK"/>
        </w:rPr>
        <w:t xml:space="preserve"> interaktioner mellem </w:t>
      </w:r>
      <w:proofErr w:type="spellStart"/>
      <w:r>
        <w:rPr>
          <w:sz w:val="24"/>
          <w:szCs w:val="24"/>
          <w:lang w:eastAsia="da-DK"/>
        </w:rPr>
        <w:t>alfuzosin</w:t>
      </w:r>
      <w:proofErr w:type="spellEnd"/>
      <w:r>
        <w:rPr>
          <w:sz w:val="24"/>
          <w:szCs w:val="24"/>
          <w:lang w:eastAsia="da-DK"/>
        </w:rPr>
        <w:t xml:space="preserve"> og følgende lægemidler: </w:t>
      </w:r>
      <w:proofErr w:type="spellStart"/>
      <w:r>
        <w:rPr>
          <w:sz w:val="24"/>
          <w:szCs w:val="24"/>
          <w:lang w:eastAsia="da-DK"/>
        </w:rPr>
        <w:t>Warfarin</w:t>
      </w:r>
      <w:proofErr w:type="spellEnd"/>
      <w:r>
        <w:rPr>
          <w:sz w:val="24"/>
          <w:szCs w:val="24"/>
          <w:lang w:eastAsia="da-DK"/>
        </w:rPr>
        <w:t xml:space="preserve">, </w:t>
      </w:r>
      <w:proofErr w:type="spellStart"/>
      <w:r>
        <w:rPr>
          <w:sz w:val="24"/>
          <w:szCs w:val="24"/>
          <w:lang w:eastAsia="da-DK"/>
        </w:rPr>
        <w:t>digoxin</w:t>
      </w:r>
      <w:proofErr w:type="spellEnd"/>
      <w:r>
        <w:rPr>
          <w:sz w:val="24"/>
          <w:szCs w:val="24"/>
          <w:lang w:eastAsia="da-DK"/>
        </w:rPr>
        <w:t xml:space="preserve">, </w:t>
      </w:r>
      <w:proofErr w:type="spellStart"/>
      <w:r>
        <w:rPr>
          <w:sz w:val="24"/>
          <w:szCs w:val="24"/>
          <w:lang w:eastAsia="da-DK"/>
        </w:rPr>
        <w:t>hydrochlorthiazid</w:t>
      </w:r>
      <w:proofErr w:type="spellEnd"/>
      <w:r>
        <w:rPr>
          <w:sz w:val="24"/>
          <w:szCs w:val="24"/>
          <w:lang w:eastAsia="da-DK"/>
        </w:rPr>
        <w:t xml:space="preserve"> og </w:t>
      </w:r>
      <w:proofErr w:type="spellStart"/>
      <w:r>
        <w:rPr>
          <w:sz w:val="24"/>
          <w:szCs w:val="24"/>
          <w:lang w:eastAsia="da-DK"/>
        </w:rPr>
        <w:t>atenolol</w:t>
      </w:r>
      <w:proofErr w:type="spellEnd"/>
      <w:r>
        <w:rPr>
          <w:sz w:val="24"/>
          <w:szCs w:val="24"/>
          <w:lang w:eastAsia="da-DK"/>
        </w:rPr>
        <w:t>.</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 xml:space="preserve">Administration af almene anæstesimidler til en patient, der behandles med </w:t>
      </w:r>
      <w:proofErr w:type="spellStart"/>
      <w:r>
        <w:rPr>
          <w:sz w:val="24"/>
          <w:szCs w:val="24"/>
          <w:lang w:eastAsia="da-DK"/>
        </w:rPr>
        <w:t>alfuzosin</w:t>
      </w:r>
      <w:proofErr w:type="spellEnd"/>
      <w:r>
        <w:rPr>
          <w:sz w:val="24"/>
          <w:szCs w:val="24"/>
          <w:lang w:eastAsia="da-DK"/>
        </w:rPr>
        <w:t>, kan medføre ustabilt blodtryk.</w:t>
      </w:r>
    </w:p>
    <w:p w:rsidR="006E7ED6" w:rsidRDefault="006E7ED6" w:rsidP="006E7ED6">
      <w:pPr>
        <w:ind w:left="851"/>
        <w:rPr>
          <w:sz w:val="24"/>
          <w:szCs w:val="24"/>
          <w:u w:val="single"/>
          <w:lang w:eastAsia="da-DK"/>
        </w:rPr>
      </w:pPr>
    </w:p>
    <w:p w:rsidR="006E7ED6" w:rsidRDefault="006E7ED6" w:rsidP="006E7ED6">
      <w:pPr>
        <w:ind w:left="851"/>
        <w:rPr>
          <w:sz w:val="24"/>
          <w:szCs w:val="24"/>
          <w:lang w:eastAsia="da-DK"/>
        </w:rPr>
      </w:pPr>
      <w:r>
        <w:rPr>
          <w:sz w:val="24"/>
          <w:szCs w:val="24"/>
          <w:lang w:eastAsia="da-DK"/>
        </w:rPr>
        <w:t>Kontraindicerede kombinationer:</w:t>
      </w:r>
    </w:p>
    <w:p w:rsidR="006E7ED6" w:rsidRDefault="006E7ED6" w:rsidP="006E7ED6">
      <w:pPr>
        <w:pStyle w:val="Listeafsnit"/>
        <w:numPr>
          <w:ilvl w:val="0"/>
          <w:numId w:val="12"/>
        </w:numPr>
        <w:ind w:left="1418" w:hanging="567"/>
        <w:rPr>
          <w:sz w:val="24"/>
          <w:szCs w:val="24"/>
          <w:lang w:eastAsia="da-DK"/>
        </w:rPr>
      </w:pPr>
      <w:r>
        <w:rPr>
          <w:sz w:val="24"/>
          <w:szCs w:val="24"/>
          <w:lang w:eastAsia="da-DK"/>
        </w:rPr>
        <w:t>Alfa-1-receptorblokkere (se pkt. 4.3)</w:t>
      </w:r>
    </w:p>
    <w:p w:rsidR="006E7ED6" w:rsidRDefault="006E7ED6" w:rsidP="006E7ED6">
      <w:pPr>
        <w:pStyle w:val="Listeafsnit"/>
        <w:numPr>
          <w:ilvl w:val="0"/>
          <w:numId w:val="12"/>
        </w:numPr>
        <w:ind w:left="1418" w:hanging="567"/>
        <w:rPr>
          <w:sz w:val="24"/>
          <w:szCs w:val="24"/>
          <w:lang w:eastAsia="da-DK"/>
        </w:rPr>
      </w:pPr>
      <w:proofErr w:type="spellStart"/>
      <w:r>
        <w:rPr>
          <w:sz w:val="24"/>
          <w:szCs w:val="24"/>
          <w:lang w:eastAsia="da-DK"/>
        </w:rPr>
        <w:t>Ritonavir</w:t>
      </w:r>
      <w:proofErr w:type="spellEnd"/>
      <w:r>
        <w:rPr>
          <w:sz w:val="24"/>
          <w:szCs w:val="24"/>
          <w:lang w:eastAsia="da-DK"/>
        </w:rPr>
        <w:t xml:space="preserve"> alene eller i kombination med ”</w:t>
      </w:r>
      <w:proofErr w:type="spellStart"/>
      <w:r>
        <w:rPr>
          <w:sz w:val="24"/>
          <w:szCs w:val="24"/>
          <w:lang w:eastAsia="da-DK"/>
        </w:rPr>
        <w:t>ombitasvir</w:t>
      </w:r>
      <w:proofErr w:type="spellEnd"/>
      <w:r>
        <w:rPr>
          <w:sz w:val="24"/>
          <w:szCs w:val="24"/>
          <w:lang w:eastAsia="da-DK"/>
        </w:rPr>
        <w:t>/</w:t>
      </w:r>
      <w:proofErr w:type="spellStart"/>
      <w:r>
        <w:rPr>
          <w:sz w:val="24"/>
          <w:szCs w:val="24"/>
          <w:lang w:eastAsia="da-DK"/>
        </w:rPr>
        <w:t>paritaprevir</w:t>
      </w:r>
      <w:proofErr w:type="spellEnd"/>
      <w:r>
        <w:rPr>
          <w:sz w:val="24"/>
          <w:szCs w:val="24"/>
          <w:lang w:eastAsia="da-DK"/>
        </w:rPr>
        <w:t xml:space="preserve">, </w:t>
      </w:r>
      <w:proofErr w:type="spellStart"/>
      <w:r>
        <w:rPr>
          <w:sz w:val="24"/>
          <w:szCs w:val="24"/>
          <w:lang w:eastAsia="da-DK"/>
        </w:rPr>
        <w:t>lopinavir</w:t>
      </w:r>
      <w:proofErr w:type="spellEnd"/>
      <w:r>
        <w:rPr>
          <w:sz w:val="24"/>
          <w:szCs w:val="24"/>
          <w:lang w:eastAsia="da-DK"/>
        </w:rPr>
        <w:t xml:space="preserve"> og </w:t>
      </w:r>
      <w:proofErr w:type="spellStart"/>
      <w:r>
        <w:rPr>
          <w:sz w:val="24"/>
          <w:szCs w:val="24"/>
          <w:lang w:eastAsia="da-DK"/>
        </w:rPr>
        <w:t>nirmatrelvir</w:t>
      </w:r>
      <w:proofErr w:type="spellEnd"/>
      <w:r>
        <w:rPr>
          <w:sz w:val="24"/>
          <w:szCs w:val="24"/>
          <w:lang w:eastAsia="da-DK"/>
        </w:rPr>
        <w:t>” (se pkt. 4.3)</w:t>
      </w:r>
    </w:p>
    <w:p w:rsidR="006E7ED6" w:rsidRDefault="006E7ED6" w:rsidP="006E7ED6">
      <w:pPr>
        <w:ind w:left="851"/>
        <w:rPr>
          <w:sz w:val="24"/>
          <w:szCs w:val="24"/>
          <w:u w:val="single"/>
          <w:lang w:eastAsia="da-DK"/>
        </w:rPr>
      </w:pPr>
    </w:p>
    <w:p w:rsidR="006E7ED6" w:rsidRDefault="006E7ED6" w:rsidP="006E7ED6">
      <w:pPr>
        <w:ind w:left="851"/>
        <w:rPr>
          <w:sz w:val="24"/>
          <w:szCs w:val="24"/>
          <w:lang w:eastAsia="da-DK"/>
        </w:rPr>
      </w:pPr>
      <w:r>
        <w:rPr>
          <w:sz w:val="24"/>
          <w:szCs w:val="24"/>
          <w:lang w:eastAsia="da-DK"/>
        </w:rPr>
        <w:t>Kombinationer, der frarådes:</w:t>
      </w:r>
    </w:p>
    <w:p w:rsidR="006E7ED6" w:rsidRDefault="006E7ED6" w:rsidP="006E7ED6">
      <w:pPr>
        <w:numPr>
          <w:ilvl w:val="0"/>
          <w:numId w:val="13"/>
        </w:numPr>
        <w:tabs>
          <w:tab w:val="clear" w:pos="720"/>
          <w:tab w:val="left" w:pos="1418"/>
        </w:tabs>
        <w:ind w:left="1418" w:hanging="567"/>
        <w:rPr>
          <w:sz w:val="24"/>
          <w:szCs w:val="24"/>
          <w:lang w:eastAsia="da-DK"/>
        </w:rPr>
      </w:pPr>
      <w:r>
        <w:rPr>
          <w:sz w:val="24"/>
          <w:szCs w:val="24"/>
          <w:lang w:eastAsia="da-DK"/>
        </w:rPr>
        <w:t xml:space="preserve">Stærke CYP3A4-hæmmere såsom </w:t>
      </w:r>
      <w:proofErr w:type="spellStart"/>
      <w:r>
        <w:rPr>
          <w:sz w:val="24"/>
          <w:szCs w:val="24"/>
          <w:lang w:eastAsia="da-DK"/>
        </w:rPr>
        <w:t>itraconazol</w:t>
      </w:r>
      <w:proofErr w:type="spellEnd"/>
      <w:r>
        <w:rPr>
          <w:sz w:val="24"/>
          <w:szCs w:val="24"/>
          <w:lang w:eastAsia="da-DK"/>
        </w:rPr>
        <w:t xml:space="preserve">, </w:t>
      </w:r>
      <w:proofErr w:type="spellStart"/>
      <w:r>
        <w:rPr>
          <w:sz w:val="24"/>
          <w:szCs w:val="24"/>
          <w:lang w:eastAsia="da-DK"/>
        </w:rPr>
        <w:t>ketoconazol</w:t>
      </w:r>
      <w:proofErr w:type="spellEnd"/>
      <w:r>
        <w:rPr>
          <w:sz w:val="24"/>
          <w:szCs w:val="24"/>
          <w:lang w:eastAsia="da-DK"/>
        </w:rPr>
        <w:t xml:space="preserve">, </w:t>
      </w:r>
      <w:proofErr w:type="spellStart"/>
      <w:r>
        <w:rPr>
          <w:sz w:val="24"/>
          <w:szCs w:val="24"/>
          <w:lang w:eastAsia="da-DK"/>
        </w:rPr>
        <w:t>proteasehæmmere</w:t>
      </w:r>
      <w:proofErr w:type="spellEnd"/>
      <w:r>
        <w:rPr>
          <w:sz w:val="24"/>
          <w:szCs w:val="24"/>
          <w:lang w:eastAsia="da-DK"/>
        </w:rPr>
        <w:t xml:space="preserve">, </w:t>
      </w:r>
      <w:proofErr w:type="spellStart"/>
      <w:r>
        <w:rPr>
          <w:sz w:val="24"/>
          <w:szCs w:val="24"/>
          <w:lang w:eastAsia="da-DK"/>
        </w:rPr>
        <w:t>clarithromycin</w:t>
      </w:r>
      <w:proofErr w:type="spellEnd"/>
      <w:r>
        <w:rPr>
          <w:sz w:val="24"/>
          <w:szCs w:val="24"/>
          <w:lang w:eastAsia="da-DK"/>
        </w:rPr>
        <w:t xml:space="preserve">, </w:t>
      </w:r>
      <w:proofErr w:type="spellStart"/>
      <w:r>
        <w:rPr>
          <w:sz w:val="24"/>
          <w:szCs w:val="24"/>
          <w:lang w:eastAsia="da-DK"/>
        </w:rPr>
        <w:t>telithromycin</w:t>
      </w:r>
      <w:proofErr w:type="spellEnd"/>
      <w:r>
        <w:rPr>
          <w:sz w:val="24"/>
          <w:szCs w:val="24"/>
          <w:lang w:eastAsia="da-DK"/>
        </w:rPr>
        <w:t xml:space="preserve"> og </w:t>
      </w:r>
      <w:proofErr w:type="spellStart"/>
      <w:r>
        <w:rPr>
          <w:sz w:val="24"/>
          <w:szCs w:val="24"/>
          <w:lang w:eastAsia="da-DK"/>
        </w:rPr>
        <w:t>nefazodon</w:t>
      </w:r>
      <w:proofErr w:type="spellEnd"/>
      <w:r>
        <w:rPr>
          <w:sz w:val="24"/>
          <w:szCs w:val="24"/>
          <w:lang w:eastAsia="da-DK"/>
        </w:rPr>
        <w:t xml:space="preserve">, da de kan øge </w:t>
      </w:r>
      <w:proofErr w:type="spellStart"/>
      <w:r>
        <w:rPr>
          <w:sz w:val="24"/>
          <w:szCs w:val="24"/>
          <w:lang w:eastAsia="da-DK"/>
        </w:rPr>
        <w:t>alfuzosinkoncentrationen</w:t>
      </w:r>
      <w:proofErr w:type="spellEnd"/>
      <w:r>
        <w:rPr>
          <w:sz w:val="24"/>
          <w:szCs w:val="24"/>
          <w:lang w:eastAsia="da-DK"/>
        </w:rPr>
        <w:t xml:space="preserve"> i </w:t>
      </w:r>
      <w:r>
        <w:rPr>
          <w:sz w:val="24"/>
          <w:lang w:eastAsia="da-DK"/>
        </w:rPr>
        <w:t>blodet (se pkt. 4.4).</w:t>
      </w:r>
    </w:p>
    <w:p w:rsidR="006E7ED6" w:rsidRDefault="006E7ED6" w:rsidP="006E7ED6">
      <w:pPr>
        <w:tabs>
          <w:tab w:val="left" w:pos="1134"/>
        </w:tabs>
        <w:ind w:left="1134"/>
        <w:rPr>
          <w:sz w:val="24"/>
          <w:szCs w:val="24"/>
          <w:lang w:eastAsia="da-DK"/>
        </w:rPr>
      </w:pPr>
    </w:p>
    <w:p w:rsidR="006E7ED6" w:rsidRDefault="006E7ED6" w:rsidP="006E7ED6">
      <w:pPr>
        <w:ind w:left="851"/>
        <w:rPr>
          <w:sz w:val="24"/>
          <w:szCs w:val="24"/>
          <w:lang w:eastAsia="da-DK"/>
        </w:rPr>
      </w:pPr>
      <w:r>
        <w:rPr>
          <w:sz w:val="24"/>
          <w:szCs w:val="24"/>
          <w:lang w:eastAsia="da-DK"/>
        </w:rPr>
        <w:t>Kombinationer, der bør administreres med forsigtighed:</w:t>
      </w:r>
    </w:p>
    <w:p w:rsidR="006E7ED6" w:rsidRDefault="006E7ED6" w:rsidP="006E7ED6">
      <w:pPr>
        <w:numPr>
          <w:ilvl w:val="0"/>
          <w:numId w:val="13"/>
        </w:numPr>
        <w:tabs>
          <w:tab w:val="clear" w:pos="720"/>
          <w:tab w:val="left" w:pos="1418"/>
        </w:tabs>
        <w:ind w:left="1418" w:hanging="567"/>
        <w:rPr>
          <w:sz w:val="24"/>
          <w:szCs w:val="24"/>
          <w:lang w:eastAsia="da-DK"/>
        </w:rPr>
      </w:pPr>
      <w:proofErr w:type="spellStart"/>
      <w:r>
        <w:rPr>
          <w:sz w:val="24"/>
          <w:szCs w:val="24"/>
          <w:lang w:eastAsia="da-DK"/>
        </w:rPr>
        <w:t>Antihypertensiva</w:t>
      </w:r>
      <w:proofErr w:type="spellEnd"/>
      <w:r>
        <w:rPr>
          <w:sz w:val="24"/>
          <w:szCs w:val="24"/>
          <w:lang w:eastAsia="da-DK"/>
        </w:rPr>
        <w:t xml:space="preserve"> (se pkt. 4.4).</w:t>
      </w:r>
    </w:p>
    <w:p w:rsidR="006E7ED6" w:rsidRDefault="006E7ED6" w:rsidP="006E7ED6">
      <w:pPr>
        <w:numPr>
          <w:ilvl w:val="0"/>
          <w:numId w:val="13"/>
        </w:numPr>
        <w:tabs>
          <w:tab w:val="clear" w:pos="720"/>
          <w:tab w:val="left" w:pos="1418"/>
        </w:tabs>
        <w:ind w:left="1418" w:hanging="567"/>
        <w:rPr>
          <w:sz w:val="24"/>
          <w:szCs w:val="24"/>
          <w:lang w:eastAsia="da-DK"/>
        </w:rPr>
      </w:pPr>
      <w:r>
        <w:rPr>
          <w:sz w:val="24"/>
          <w:szCs w:val="24"/>
          <w:lang w:eastAsia="da-DK"/>
        </w:rPr>
        <w:t>Nitrater (se pkt. 4.4).</w:t>
      </w:r>
    </w:p>
    <w:p w:rsidR="006E7ED6" w:rsidRDefault="006E7ED6" w:rsidP="006E7ED6">
      <w:pPr>
        <w:ind w:left="851"/>
        <w:rPr>
          <w:sz w:val="24"/>
          <w:szCs w:val="24"/>
          <w:lang w:eastAsia="da-DK"/>
        </w:rPr>
      </w:pPr>
    </w:p>
    <w:p w:rsidR="006E7ED6" w:rsidRDefault="006E7ED6" w:rsidP="006E7ED6">
      <w:pPr>
        <w:ind w:left="851"/>
        <w:rPr>
          <w:sz w:val="24"/>
          <w:szCs w:val="24"/>
          <w:lang w:eastAsia="da-DK"/>
        </w:rPr>
      </w:pPr>
      <w:proofErr w:type="spellStart"/>
      <w:r>
        <w:rPr>
          <w:sz w:val="24"/>
          <w:szCs w:val="24"/>
          <w:lang w:eastAsia="da-DK"/>
        </w:rPr>
        <w:t>Ketoconazol</w:t>
      </w:r>
      <w:proofErr w:type="spellEnd"/>
      <w:r>
        <w:rPr>
          <w:sz w:val="24"/>
          <w:szCs w:val="24"/>
          <w:lang w:eastAsia="da-DK"/>
        </w:rPr>
        <w:t xml:space="preserve">: Gentagen daglig dosis på 200 mg </w:t>
      </w:r>
      <w:proofErr w:type="spellStart"/>
      <w:r>
        <w:rPr>
          <w:sz w:val="24"/>
          <w:szCs w:val="24"/>
          <w:lang w:eastAsia="da-DK"/>
        </w:rPr>
        <w:t>ketoconazol</w:t>
      </w:r>
      <w:proofErr w:type="spellEnd"/>
      <w:r>
        <w:rPr>
          <w:sz w:val="24"/>
          <w:szCs w:val="24"/>
          <w:lang w:eastAsia="da-DK"/>
        </w:rPr>
        <w:t xml:space="preserve"> i syv dage resulterede i en 2,1 gange stigning i </w:t>
      </w:r>
      <w:proofErr w:type="spellStart"/>
      <w:r>
        <w:rPr>
          <w:sz w:val="24"/>
          <w:szCs w:val="24"/>
          <w:lang w:eastAsia="da-DK"/>
        </w:rPr>
        <w:t>C</w:t>
      </w:r>
      <w:r>
        <w:rPr>
          <w:sz w:val="24"/>
          <w:szCs w:val="24"/>
          <w:vertAlign w:val="subscript"/>
          <w:lang w:eastAsia="da-DK"/>
        </w:rPr>
        <w:t>max</w:t>
      </w:r>
      <w:proofErr w:type="spellEnd"/>
      <w:r>
        <w:rPr>
          <w:sz w:val="24"/>
          <w:szCs w:val="24"/>
          <w:lang w:eastAsia="da-DK"/>
        </w:rPr>
        <w:t xml:space="preserve"> og en 2,5 gange stigning i eksponering af </w:t>
      </w:r>
      <w:proofErr w:type="spellStart"/>
      <w:r>
        <w:rPr>
          <w:sz w:val="24"/>
          <w:szCs w:val="24"/>
          <w:lang w:eastAsia="da-DK"/>
        </w:rPr>
        <w:t>alfuzosin</w:t>
      </w:r>
      <w:proofErr w:type="spellEnd"/>
      <w:r>
        <w:rPr>
          <w:sz w:val="24"/>
          <w:szCs w:val="24"/>
          <w:lang w:eastAsia="da-DK"/>
        </w:rPr>
        <w:t xml:space="preserve"> 10 mg en gang daglig, ved administration under et måltid. Andre parametre såsom </w:t>
      </w:r>
      <w:proofErr w:type="spellStart"/>
      <w:r>
        <w:rPr>
          <w:sz w:val="24"/>
          <w:szCs w:val="24"/>
          <w:lang w:eastAsia="da-DK"/>
        </w:rPr>
        <w:t>t</w:t>
      </w:r>
      <w:r>
        <w:rPr>
          <w:sz w:val="24"/>
          <w:szCs w:val="24"/>
          <w:vertAlign w:val="subscript"/>
          <w:lang w:eastAsia="da-DK"/>
        </w:rPr>
        <w:t>max</w:t>
      </w:r>
      <w:proofErr w:type="spellEnd"/>
      <w:r>
        <w:rPr>
          <w:sz w:val="24"/>
          <w:szCs w:val="24"/>
          <w:lang w:eastAsia="da-DK"/>
        </w:rPr>
        <w:t xml:space="preserve"> og t</w:t>
      </w:r>
      <w:r>
        <w:rPr>
          <w:sz w:val="24"/>
          <w:szCs w:val="24"/>
          <w:vertAlign w:val="subscript"/>
          <w:lang w:eastAsia="da-DK"/>
        </w:rPr>
        <w:t xml:space="preserve">½ </w:t>
      </w:r>
      <w:r>
        <w:rPr>
          <w:sz w:val="24"/>
          <w:szCs w:val="24"/>
          <w:lang w:eastAsia="da-DK"/>
        </w:rPr>
        <w:t>blev ikke modificeret.</w:t>
      </w:r>
    </w:p>
    <w:p w:rsidR="006E7ED6" w:rsidRDefault="006E7ED6" w:rsidP="006E7ED6">
      <w:pPr>
        <w:ind w:left="851"/>
        <w:rPr>
          <w:sz w:val="24"/>
          <w:szCs w:val="24"/>
          <w:lang w:eastAsia="da-DK"/>
        </w:rPr>
      </w:pPr>
      <w:r>
        <w:rPr>
          <w:sz w:val="24"/>
          <w:szCs w:val="24"/>
          <w:lang w:eastAsia="da-DK"/>
        </w:rPr>
        <w:t xml:space="preserve">Stigning i </w:t>
      </w:r>
      <w:proofErr w:type="spellStart"/>
      <w:r>
        <w:rPr>
          <w:sz w:val="24"/>
          <w:szCs w:val="24"/>
          <w:lang w:eastAsia="da-DK"/>
        </w:rPr>
        <w:t>alfuzosin</w:t>
      </w:r>
      <w:proofErr w:type="spellEnd"/>
      <w:r>
        <w:rPr>
          <w:sz w:val="24"/>
          <w:szCs w:val="24"/>
          <w:lang w:eastAsia="da-DK"/>
        </w:rPr>
        <w:t xml:space="preserve"> </w:t>
      </w:r>
      <w:proofErr w:type="spellStart"/>
      <w:r>
        <w:rPr>
          <w:sz w:val="24"/>
          <w:szCs w:val="24"/>
          <w:lang w:eastAsia="da-DK"/>
        </w:rPr>
        <w:t>C</w:t>
      </w:r>
      <w:r>
        <w:rPr>
          <w:sz w:val="24"/>
          <w:szCs w:val="24"/>
          <w:vertAlign w:val="subscript"/>
          <w:lang w:eastAsia="da-DK"/>
        </w:rPr>
        <w:t>max</w:t>
      </w:r>
      <w:proofErr w:type="spellEnd"/>
      <w:r>
        <w:rPr>
          <w:sz w:val="24"/>
          <w:szCs w:val="24"/>
          <w:lang w:eastAsia="da-DK"/>
        </w:rPr>
        <w:t xml:space="preserve"> og </w:t>
      </w:r>
      <w:proofErr w:type="gramStart"/>
      <w:r>
        <w:rPr>
          <w:sz w:val="24"/>
          <w:szCs w:val="24"/>
          <w:lang w:eastAsia="da-DK"/>
        </w:rPr>
        <w:t>AUC</w:t>
      </w:r>
      <w:r>
        <w:rPr>
          <w:sz w:val="24"/>
          <w:szCs w:val="24"/>
          <w:vertAlign w:val="subscript"/>
          <w:lang w:eastAsia="da-DK"/>
        </w:rPr>
        <w:t>(</w:t>
      </w:r>
      <w:proofErr w:type="gramEnd"/>
      <w:r>
        <w:rPr>
          <w:sz w:val="24"/>
          <w:szCs w:val="24"/>
          <w:vertAlign w:val="subscript"/>
          <w:lang w:eastAsia="da-DK"/>
        </w:rPr>
        <w:t>last)</w:t>
      </w:r>
      <w:r>
        <w:rPr>
          <w:sz w:val="24"/>
          <w:szCs w:val="24"/>
          <w:lang w:eastAsia="da-DK"/>
        </w:rPr>
        <w:t xml:space="preserve"> efter gentagen daglig dosis på 400 mg </w:t>
      </w:r>
      <w:proofErr w:type="spellStart"/>
      <w:r>
        <w:rPr>
          <w:sz w:val="24"/>
          <w:szCs w:val="24"/>
          <w:lang w:eastAsia="da-DK"/>
        </w:rPr>
        <w:t>ketoconazol</w:t>
      </w:r>
      <w:proofErr w:type="spellEnd"/>
      <w:r>
        <w:rPr>
          <w:sz w:val="24"/>
          <w:szCs w:val="24"/>
          <w:lang w:eastAsia="da-DK"/>
        </w:rPr>
        <w:t xml:space="preserve"> var henholdsvis 2,3 gange og 3,2 gange (se pkt. 5.2).</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Se også pkt. 4.4.</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4.6</w:t>
      </w:r>
      <w:r w:rsidRPr="00C84483">
        <w:rPr>
          <w:b/>
          <w:sz w:val="24"/>
          <w:szCs w:val="24"/>
        </w:rPr>
        <w:tab/>
      </w:r>
      <w:r w:rsidR="00BD058C">
        <w:rPr>
          <w:b/>
          <w:sz w:val="24"/>
          <w:szCs w:val="24"/>
        </w:rPr>
        <w:t>Fertilitet, g</w:t>
      </w:r>
      <w:r w:rsidRPr="00C84483">
        <w:rPr>
          <w:b/>
          <w:sz w:val="24"/>
          <w:szCs w:val="24"/>
        </w:rPr>
        <w:t>raviditet og amning</w:t>
      </w:r>
    </w:p>
    <w:p w:rsidR="000F25A9" w:rsidRPr="002652AA" w:rsidRDefault="00BD058C" w:rsidP="000F25A9">
      <w:pPr>
        <w:ind w:left="851"/>
        <w:rPr>
          <w:b/>
          <w:bCs/>
          <w:iCs/>
          <w:sz w:val="24"/>
          <w:szCs w:val="24"/>
          <w:lang w:eastAsia="da-DK"/>
        </w:rPr>
      </w:pPr>
      <w:r>
        <w:rPr>
          <w:sz w:val="24"/>
          <w:szCs w:val="24"/>
          <w:lang w:eastAsia="da-DK"/>
        </w:rPr>
        <w:t>I</w:t>
      </w:r>
      <w:r w:rsidR="000F25A9" w:rsidRPr="00B63790">
        <w:rPr>
          <w:sz w:val="24"/>
          <w:szCs w:val="24"/>
          <w:lang w:eastAsia="da-DK"/>
        </w:rPr>
        <w:t>kke relevant.</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BD058C">
        <w:rPr>
          <w:b/>
          <w:sz w:val="24"/>
          <w:szCs w:val="24"/>
        </w:rPr>
        <w:t xml:space="preserve">og </w:t>
      </w:r>
      <w:r w:rsidRPr="00C84483">
        <w:rPr>
          <w:b/>
          <w:sz w:val="24"/>
          <w:szCs w:val="24"/>
        </w:rPr>
        <w:t>betjene maskiner</w:t>
      </w:r>
    </w:p>
    <w:p w:rsidR="006E7ED6" w:rsidRDefault="006E7ED6" w:rsidP="006E7ED6">
      <w:pPr>
        <w:ind w:left="851"/>
        <w:rPr>
          <w:sz w:val="24"/>
          <w:lang w:eastAsia="da-DK"/>
        </w:rPr>
      </w:pPr>
      <w:r>
        <w:rPr>
          <w:sz w:val="24"/>
          <w:lang w:eastAsia="da-DK"/>
        </w:rPr>
        <w:t>Ikke mærkning.</w:t>
      </w:r>
    </w:p>
    <w:p w:rsidR="006E7ED6" w:rsidRDefault="006E7ED6" w:rsidP="006E7ED6">
      <w:pPr>
        <w:ind w:left="851"/>
        <w:rPr>
          <w:sz w:val="24"/>
          <w:lang w:eastAsia="da-DK"/>
        </w:rPr>
      </w:pPr>
      <w:r>
        <w:rPr>
          <w:sz w:val="24"/>
          <w:lang w:eastAsia="da-DK"/>
        </w:rPr>
        <w:t>Der foreligger ingen tilgængelige data om nedsat evne til at føre motorkøretøj.</w:t>
      </w:r>
    </w:p>
    <w:p w:rsidR="006E7ED6" w:rsidRDefault="006E7ED6" w:rsidP="006E7ED6">
      <w:pPr>
        <w:ind w:left="851"/>
        <w:rPr>
          <w:b/>
          <w:sz w:val="24"/>
          <w:szCs w:val="24"/>
          <w:lang w:eastAsia="da-DK"/>
        </w:rPr>
      </w:pPr>
      <w:r>
        <w:rPr>
          <w:sz w:val="24"/>
          <w:szCs w:val="24"/>
          <w:lang w:eastAsia="da-DK"/>
        </w:rPr>
        <w:t xml:space="preserve">Bivirkninger i form af svimmelhed og asteni kan forekomme, især i begyndelsen af behandlingen. Der bør tages højde for dette ved </w:t>
      </w:r>
      <w:proofErr w:type="spellStart"/>
      <w:r>
        <w:rPr>
          <w:sz w:val="24"/>
          <w:szCs w:val="24"/>
          <w:lang w:eastAsia="da-DK"/>
        </w:rPr>
        <w:t>førsel</w:t>
      </w:r>
      <w:proofErr w:type="spellEnd"/>
      <w:r>
        <w:rPr>
          <w:sz w:val="24"/>
          <w:szCs w:val="24"/>
          <w:lang w:eastAsia="da-DK"/>
        </w:rPr>
        <w:t xml:space="preserve"> af motorkøretøj eller betjening af maskiner.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4.8</w:t>
      </w:r>
      <w:r w:rsidRPr="00C84483">
        <w:rPr>
          <w:b/>
          <w:sz w:val="24"/>
          <w:szCs w:val="24"/>
        </w:rPr>
        <w:tab/>
        <w:t>Bivirkninger</w:t>
      </w:r>
    </w:p>
    <w:p w:rsidR="000F25A9" w:rsidRPr="00081F7D" w:rsidRDefault="000F25A9" w:rsidP="000F25A9">
      <w:pPr>
        <w:ind w:left="851"/>
        <w:rPr>
          <w:b/>
          <w:bCs/>
          <w:i/>
          <w:iCs/>
          <w:sz w:val="24"/>
          <w:szCs w:val="24"/>
          <w:lang w:eastAsia="da-DK"/>
        </w:rPr>
      </w:pPr>
      <w:r w:rsidRPr="00081F7D">
        <w:rPr>
          <w:sz w:val="24"/>
          <w:szCs w:val="24"/>
          <w:lang w:eastAsia="da-DK"/>
        </w:rPr>
        <w:t>Den hyppigst indberettede bivirkning er svimmelhed, som forekommer hos ca. 5 % af de behandlede patienter.</w:t>
      </w:r>
    </w:p>
    <w:p w:rsidR="000F25A9" w:rsidRPr="00081F7D" w:rsidRDefault="000F25A9" w:rsidP="00420D9F">
      <w:pPr>
        <w:ind w:left="851"/>
        <w:jc w:val="both"/>
        <w:rPr>
          <w:b/>
          <w:bCs/>
          <w:iCs/>
          <w:sz w:val="24"/>
          <w:szCs w:val="24"/>
          <w:lang w:eastAsia="da-DK"/>
        </w:rPr>
      </w:pPr>
    </w:p>
    <w:p w:rsidR="006E7ED6" w:rsidRDefault="006E7ED6" w:rsidP="006E7ED6">
      <w:pPr>
        <w:ind w:left="851"/>
        <w:rPr>
          <w:b/>
          <w:bCs/>
          <w:iCs/>
          <w:sz w:val="24"/>
          <w:szCs w:val="24"/>
          <w:lang w:eastAsia="da-DK"/>
        </w:rPr>
      </w:pPr>
      <w:r>
        <w:rPr>
          <w:bCs/>
          <w:iCs/>
          <w:sz w:val="24"/>
          <w:szCs w:val="24"/>
          <w:u w:val="single"/>
          <w:lang w:eastAsia="da-DK"/>
        </w:rPr>
        <w:t>Klassifikation af forventede hyppigheder</w:t>
      </w:r>
    </w:p>
    <w:p w:rsidR="006E7ED6" w:rsidRDefault="006E7ED6" w:rsidP="006E7ED6">
      <w:pPr>
        <w:ind w:left="851"/>
        <w:rPr>
          <w:b/>
          <w:bCs/>
          <w:iCs/>
          <w:sz w:val="24"/>
          <w:szCs w:val="24"/>
          <w:lang w:eastAsia="da-DK"/>
        </w:rPr>
      </w:pPr>
      <w:r>
        <w:rPr>
          <w:bCs/>
          <w:iCs/>
          <w:sz w:val="24"/>
          <w:szCs w:val="24"/>
          <w:lang w:eastAsia="da-DK"/>
        </w:rPr>
        <w:t>M</w:t>
      </w:r>
      <w:r>
        <w:rPr>
          <w:sz w:val="24"/>
          <w:lang w:eastAsia="da-DK"/>
        </w:rPr>
        <w:t>eget almindelig (≥ 1/10); almindelig (&gt; 1/100 til &lt; 1/10); ikke almindelig (&gt; 1/1.000 til ≤ 1/100); sjælden (&gt; 1/10.000 til ≤ 1/1.000); meget sjælden (≤ 1/10.000), ikke kendt (kan ikke estimeres ud fra forhåndenværende data).</w:t>
      </w:r>
    </w:p>
    <w:p w:rsidR="006E7ED6" w:rsidRDefault="006E7ED6" w:rsidP="006E7ED6">
      <w:pPr>
        <w:tabs>
          <w:tab w:val="left" w:pos="851"/>
        </w:tabs>
        <w:ind w:left="851"/>
        <w:rPr>
          <w:sz w:val="24"/>
          <w:szCs w:val="24"/>
          <w:lang w:eastAsia="da-DK"/>
        </w:rPr>
      </w:pPr>
    </w:p>
    <w:p w:rsidR="006E7ED6" w:rsidRDefault="006E7ED6" w:rsidP="006E7ED6">
      <w:pPr>
        <w:ind w:left="851"/>
        <w:rPr>
          <w:bCs/>
          <w:iCs/>
          <w:sz w:val="24"/>
          <w:szCs w:val="24"/>
          <w:u w:val="single"/>
          <w:lang w:eastAsia="da-DK"/>
        </w:rPr>
      </w:pPr>
      <w:r>
        <w:rPr>
          <w:bCs/>
          <w:iCs/>
          <w:sz w:val="24"/>
          <w:szCs w:val="24"/>
          <w:u w:val="single"/>
          <w:lang w:eastAsia="da-DK"/>
        </w:rPr>
        <w:t>Tabel over bivirkninger</w:t>
      </w:r>
    </w:p>
    <w:p w:rsidR="006E7ED6" w:rsidRDefault="006E7ED6" w:rsidP="006E7ED6">
      <w:pPr>
        <w:autoSpaceDE w:val="0"/>
        <w:autoSpaceDN w:val="0"/>
        <w:ind w:left="851"/>
        <w:rPr>
          <w:sz w:val="24"/>
          <w:szCs w:val="24"/>
          <w:u w:val="single"/>
          <w:lang w:eastAsia="da-DK"/>
        </w:rPr>
      </w:pPr>
    </w:p>
    <w:tbl>
      <w:tblPr>
        <w:tblW w:w="47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1768"/>
        <w:gridCol w:w="1544"/>
        <w:gridCol w:w="2188"/>
        <w:gridCol w:w="1508"/>
      </w:tblGrid>
      <w:tr w:rsidR="006E7ED6" w:rsidTr="006E7ED6">
        <w:trPr>
          <w:cantSplit/>
          <w:tblHeader/>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proofErr w:type="spellStart"/>
            <w:r>
              <w:rPr>
                <w:b/>
                <w:spacing w:val="-3"/>
                <w:sz w:val="22"/>
                <w:szCs w:val="22"/>
                <w:lang w:eastAsia="da-DK"/>
              </w:rPr>
              <w:t>MedDRA</w:t>
            </w:r>
            <w:proofErr w:type="spellEnd"/>
            <w:r>
              <w:rPr>
                <w:b/>
                <w:spacing w:val="-3"/>
                <w:sz w:val="22"/>
                <w:szCs w:val="22"/>
                <w:lang w:eastAsia="da-DK"/>
              </w:rPr>
              <w:t>-systemorganklasse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spacing w:val="-3"/>
                <w:sz w:val="22"/>
                <w:szCs w:val="22"/>
                <w:lang w:eastAsia="da-DK"/>
              </w:rPr>
              <w:t>Almindelig</w:t>
            </w:r>
          </w:p>
          <w:p w:rsidR="006E7ED6" w:rsidRDefault="006E7ED6">
            <w:pPr>
              <w:tabs>
                <w:tab w:val="left" w:pos="0"/>
              </w:tabs>
              <w:rPr>
                <w:b/>
                <w:spacing w:val="-3"/>
                <w:sz w:val="22"/>
                <w:szCs w:val="22"/>
                <w:lang w:eastAsia="da-DK"/>
              </w:rPr>
            </w:pPr>
            <w:r>
              <w:rPr>
                <w:b/>
                <w:spacing w:val="-3"/>
                <w:sz w:val="22"/>
                <w:szCs w:val="22"/>
                <w:lang w:eastAsia="da-DK"/>
              </w:rPr>
              <w:t>(≥ 1/100 til &lt;1/10)</w:t>
            </w: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spacing w:val="-3"/>
                <w:sz w:val="22"/>
                <w:szCs w:val="22"/>
                <w:lang w:eastAsia="da-DK"/>
              </w:rPr>
              <w:t>Ikke almindelig</w:t>
            </w:r>
          </w:p>
          <w:p w:rsidR="006E7ED6" w:rsidRDefault="006E7ED6">
            <w:pPr>
              <w:tabs>
                <w:tab w:val="left" w:pos="0"/>
                <w:tab w:val="left" w:pos="851"/>
              </w:tabs>
              <w:rPr>
                <w:b/>
                <w:spacing w:val="-3"/>
                <w:sz w:val="22"/>
                <w:szCs w:val="22"/>
                <w:lang w:eastAsia="da-DK"/>
              </w:rPr>
            </w:pPr>
            <w:r>
              <w:rPr>
                <w:b/>
                <w:spacing w:val="-3"/>
                <w:sz w:val="22"/>
                <w:szCs w:val="22"/>
                <w:lang w:eastAsia="da-DK"/>
              </w:rPr>
              <w:t>(≥1 /1.000 til &lt; 1/100)</w:t>
            </w: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sz w:val="22"/>
                <w:szCs w:val="22"/>
                <w:lang w:eastAsia="da-DK"/>
              </w:rPr>
              <w:t>Meget sjælden (&lt; 1/10.000)</w:t>
            </w: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sz w:val="22"/>
                <w:szCs w:val="22"/>
                <w:lang w:eastAsia="da-DK"/>
              </w:rPr>
              <w:t>Ikke kendt (kan ikke estimeres ud fra forhånden</w:t>
            </w:r>
            <w:r>
              <w:rPr>
                <w:b/>
                <w:sz w:val="22"/>
                <w:szCs w:val="22"/>
                <w:lang w:eastAsia="da-DK"/>
              </w:rPr>
              <w:softHyphen/>
              <w:t>værende data)</w:t>
            </w: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spacing w:val="-3"/>
                <w:sz w:val="22"/>
                <w:szCs w:val="22"/>
                <w:lang w:eastAsia="da-DK"/>
              </w:rPr>
              <w:t>Blod og lymfesystem</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709"/>
              </w:tabs>
              <w:rPr>
                <w:sz w:val="22"/>
                <w:szCs w:val="22"/>
                <w:lang w:eastAsia="da-DK"/>
              </w:rPr>
            </w:pP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z w:val="22"/>
                <w:szCs w:val="22"/>
                <w:lang w:eastAsia="da-DK"/>
              </w:rPr>
            </w:pPr>
            <w:proofErr w:type="spellStart"/>
            <w:r>
              <w:rPr>
                <w:sz w:val="22"/>
                <w:szCs w:val="22"/>
                <w:lang w:eastAsia="da-DK"/>
              </w:rPr>
              <w:t>Neutropeni</w:t>
            </w:r>
            <w:proofErr w:type="spellEnd"/>
            <w:r>
              <w:rPr>
                <w:sz w:val="22"/>
                <w:szCs w:val="22"/>
                <w:lang w:eastAsia="da-DK"/>
              </w:rPr>
              <w:t xml:space="preserve">, </w:t>
            </w:r>
            <w:proofErr w:type="spellStart"/>
            <w:r>
              <w:rPr>
                <w:sz w:val="22"/>
                <w:szCs w:val="22"/>
                <w:lang w:eastAsia="da-DK"/>
              </w:rPr>
              <w:t>trombocytopeni</w:t>
            </w:r>
            <w:proofErr w:type="spellEnd"/>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noProof/>
                <w:sz w:val="22"/>
                <w:szCs w:val="22"/>
                <w:lang w:eastAsia="da-DK"/>
              </w:rPr>
            </w:pPr>
            <w:r>
              <w:rPr>
                <w:b/>
                <w:spacing w:val="-3"/>
                <w:sz w:val="22"/>
                <w:szCs w:val="22"/>
                <w:lang w:eastAsia="da-DK"/>
              </w:rPr>
              <w:t>Nervesystemet</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r>
              <w:rPr>
                <w:sz w:val="22"/>
                <w:szCs w:val="22"/>
                <w:lang w:val="en-GB"/>
              </w:rPr>
              <w:t xml:space="preserve">Vertigo, </w:t>
            </w:r>
            <w:proofErr w:type="spellStart"/>
            <w:r>
              <w:rPr>
                <w:sz w:val="22"/>
                <w:szCs w:val="22"/>
                <w:lang w:val="en-GB"/>
              </w:rPr>
              <w:t>svimmelhed</w:t>
            </w:r>
            <w:proofErr w:type="spellEnd"/>
            <w:r>
              <w:rPr>
                <w:sz w:val="22"/>
                <w:szCs w:val="22"/>
                <w:lang w:val="en-GB"/>
              </w:rPr>
              <w:t xml:space="preserve">, </w:t>
            </w:r>
            <w:proofErr w:type="spellStart"/>
            <w:r>
              <w:rPr>
                <w:sz w:val="22"/>
                <w:szCs w:val="22"/>
                <w:lang w:val="en-GB"/>
              </w:rPr>
              <w:t>utilpashed</w:t>
            </w:r>
            <w:proofErr w:type="spellEnd"/>
            <w:r>
              <w:rPr>
                <w:sz w:val="22"/>
                <w:szCs w:val="22"/>
                <w:lang w:val="en-GB"/>
              </w:rPr>
              <w:t xml:space="preserve">, </w:t>
            </w:r>
            <w:proofErr w:type="spellStart"/>
            <w:r>
              <w:rPr>
                <w:sz w:val="22"/>
                <w:szCs w:val="22"/>
                <w:lang w:val="en-GB"/>
              </w:rPr>
              <w:t>hovedpine</w:t>
            </w:r>
            <w:proofErr w:type="spellEnd"/>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709"/>
              </w:tabs>
              <w:rPr>
                <w:sz w:val="22"/>
                <w:szCs w:val="22"/>
                <w:lang w:eastAsia="da-DK"/>
              </w:rPr>
            </w:pPr>
            <w:proofErr w:type="spellStart"/>
            <w:r>
              <w:rPr>
                <w:sz w:val="22"/>
                <w:szCs w:val="22"/>
                <w:lang w:val="en-GB"/>
              </w:rPr>
              <w:t>Døsighed</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z w:val="22"/>
                <w:szCs w:val="22"/>
                <w:lang w:eastAsia="da-DK"/>
              </w:rPr>
            </w:pPr>
            <w:r>
              <w:rPr>
                <w:sz w:val="22"/>
                <w:szCs w:val="22"/>
              </w:rPr>
              <w:t>Cerebrale iskæmiske lidelser hos patienter med underliggende cerebrale forstyrrelser*</w:t>
            </w: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noProof/>
                <w:sz w:val="22"/>
                <w:szCs w:val="22"/>
                <w:lang w:eastAsia="da-DK"/>
              </w:rPr>
              <w:t>Øjne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567"/>
                <w:tab w:val="left" w:pos="851"/>
                <w:tab w:val="left" w:pos="910"/>
                <w:tab w:val="num" w:pos="1134"/>
                <w:tab w:val="left" w:pos="1418"/>
                <w:tab w:val="left" w:pos="5000"/>
                <w:tab w:val="left" w:pos="6680"/>
              </w:tabs>
              <w:rPr>
                <w:sz w:val="22"/>
                <w:szCs w:val="22"/>
                <w:lang w:eastAsia="da-DK"/>
              </w:rPr>
            </w:pPr>
            <w:proofErr w:type="spellStart"/>
            <w:r>
              <w:rPr>
                <w:sz w:val="22"/>
                <w:szCs w:val="22"/>
                <w:lang w:val="en-GB"/>
              </w:rPr>
              <w:t>Unormalt</w:t>
            </w:r>
            <w:proofErr w:type="spellEnd"/>
            <w:r>
              <w:rPr>
                <w:sz w:val="22"/>
                <w:szCs w:val="22"/>
                <w:lang w:val="en-GB"/>
              </w:rPr>
              <w:t xml:space="preserve"> </w:t>
            </w:r>
            <w:proofErr w:type="spellStart"/>
            <w:r>
              <w:rPr>
                <w:sz w:val="22"/>
                <w:szCs w:val="22"/>
                <w:lang w:val="en-GB"/>
              </w:rPr>
              <w:t>syn</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z w:val="22"/>
                <w:szCs w:val="22"/>
                <w:lang w:eastAsia="da-DK"/>
              </w:rPr>
            </w:pPr>
            <w:r>
              <w:rPr>
                <w:spacing w:val="-3"/>
                <w:sz w:val="22"/>
                <w:szCs w:val="22"/>
                <w:lang w:eastAsia="da-DK"/>
              </w:rPr>
              <w:t xml:space="preserve">Intraoperative </w:t>
            </w:r>
            <w:proofErr w:type="spellStart"/>
            <w:r>
              <w:rPr>
                <w:spacing w:val="-3"/>
                <w:sz w:val="22"/>
                <w:szCs w:val="22"/>
                <w:lang w:eastAsia="da-DK"/>
              </w:rPr>
              <w:t>Floppy</w:t>
            </w:r>
            <w:proofErr w:type="spellEnd"/>
            <w:r>
              <w:rPr>
                <w:spacing w:val="-3"/>
                <w:sz w:val="22"/>
                <w:szCs w:val="22"/>
                <w:lang w:eastAsia="da-DK"/>
              </w:rPr>
              <w:t xml:space="preserve"> Iris </w:t>
            </w:r>
            <w:proofErr w:type="spellStart"/>
            <w:r>
              <w:rPr>
                <w:spacing w:val="-3"/>
                <w:sz w:val="22"/>
                <w:szCs w:val="22"/>
                <w:lang w:eastAsia="da-DK"/>
              </w:rPr>
              <w:t>Syndrome</w:t>
            </w:r>
            <w:proofErr w:type="spellEnd"/>
            <w:r>
              <w:rPr>
                <w:spacing w:val="-3"/>
                <w:sz w:val="22"/>
                <w:szCs w:val="22"/>
                <w:lang w:eastAsia="da-DK"/>
              </w:rPr>
              <w:t>*</w:t>
            </w:r>
          </w:p>
        </w:tc>
      </w:tr>
      <w:tr w:rsidR="006E7ED6" w:rsidTr="006E7ED6">
        <w:trPr>
          <w:cantSplit/>
          <w:trHeight w:val="1871"/>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noProof/>
                <w:sz w:val="22"/>
                <w:szCs w:val="22"/>
                <w:lang w:eastAsia="da-DK"/>
              </w:rPr>
            </w:pPr>
            <w:r>
              <w:rPr>
                <w:b/>
                <w:noProof/>
                <w:sz w:val="22"/>
                <w:szCs w:val="22"/>
                <w:lang w:eastAsia="da-DK"/>
              </w:rPr>
              <w:t>Hjerte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910"/>
                <w:tab w:val="left" w:pos="5000"/>
                <w:tab w:val="left" w:pos="6680"/>
              </w:tabs>
              <w:rPr>
                <w:spacing w:val="-3"/>
                <w:sz w:val="22"/>
                <w:szCs w:val="22"/>
                <w:lang w:eastAsia="da-DK"/>
              </w:rPr>
            </w:pPr>
            <w:proofErr w:type="spellStart"/>
            <w:r>
              <w:rPr>
                <w:sz w:val="22"/>
                <w:szCs w:val="22"/>
                <w:lang w:eastAsia="da-DK"/>
              </w:rPr>
              <w:t>Or</w:t>
            </w:r>
            <w:r>
              <w:rPr>
                <w:spacing w:val="-3"/>
                <w:sz w:val="22"/>
                <w:szCs w:val="22"/>
                <w:lang w:eastAsia="da-DK"/>
              </w:rPr>
              <w:t>tostatisk</w:t>
            </w:r>
            <w:proofErr w:type="spellEnd"/>
            <w:r>
              <w:rPr>
                <w:spacing w:val="-3"/>
                <w:sz w:val="22"/>
                <w:szCs w:val="22"/>
                <w:lang w:eastAsia="da-DK"/>
              </w:rPr>
              <w:t xml:space="preserve"> hypotension (initialt, især ved for høj dosis eller hvis behandling startes igen efter en kort </w:t>
            </w:r>
            <w:proofErr w:type="gramStart"/>
            <w:r>
              <w:rPr>
                <w:spacing w:val="-3"/>
                <w:sz w:val="22"/>
                <w:szCs w:val="22"/>
                <w:lang w:eastAsia="da-DK"/>
              </w:rPr>
              <w:t>afbrydelse)*</w:t>
            </w:r>
            <w:proofErr w:type="gramEnd"/>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910"/>
                <w:tab w:val="left" w:pos="5000"/>
                <w:tab w:val="left" w:pos="6680"/>
              </w:tabs>
              <w:rPr>
                <w:sz w:val="22"/>
                <w:szCs w:val="22"/>
                <w:lang w:eastAsia="da-DK"/>
              </w:rPr>
            </w:pPr>
            <w:r>
              <w:rPr>
                <w:sz w:val="22"/>
                <w:szCs w:val="22"/>
                <w:lang w:eastAsia="da-DK"/>
              </w:rPr>
              <w:t>Synkope (initialt, især ved for høj dosis eller hvis behandling genoptages efter en kort afbrydelse i behandlingen),</w:t>
            </w:r>
            <w:r>
              <w:rPr>
                <w:sz w:val="22"/>
                <w:szCs w:val="22"/>
              </w:rPr>
              <w:t xml:space="preserve"> </w:t>
            </w:r>
            <w:proofErr w:type="spellStart"/>
            <w:r>
              <w:rPr>
                <w:sz w:val="22"/>
                <w:szCs w:val="22"/>
              </w:rPr>
              <w:t>takykardi</w:t>
            </w:r>
            <w:proofErr w:type="spellEnd"/>
            <w:r>
              <w:rPr>
                <w:sz w:val="22"/>
                <w:szCs w:val="22"/>
              </w:rPr>
              <w:t xml:space="preserve">, </w:t>
            </w:r>
            <w:proofErr w:type="spellStart"/>
            <w:r>
              <w:rPr>
                <w:sz w:val="22"/>
                <w:szCs w:val="22"/>
              </w:rPr>
              <w:t>palpitationer</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5000"/>
                <w:tab w:val="left" w:pos="6680"/>
              </w:tabs>
              <w:rPr>
                <w:iCs/>
                <w:spacing w:val="-3"/>
                <w:sz w:val="22"/>
                <w:szCs w:val="22"/>
                <w:lang w:eastAsia="da-DK"/>
              </w:rPr>
            </w:pPr>
            <w:r>
              <w:rPr>
                <w:sz w:val="22"/>
                <w:szCs w:val="22"/>
                <w:lang w:eastAsia="da-DK"/>
              </w:rPr>
              <w:t xml:space="preserve">Angina pectoris primært hos patienter med præeksisterende </w:t>
            </w:r>
            <w:proofErr w:type="spellStart"/>
            <w:r>
              <w:rPr>
                <w:sz w:val="22"/>
                <w:szCs w:val="22"/>
                <w:lang w:eastAsia="da-DK"/>
              </w:rPr>
              <w:t>koronar</w:t>
            </w:r>
            <w:proofErr w:type="spellEnd"/>
            <w:r>
              <w:rPr>
                <w:sz w:val="22"/>
                <w:szCs w:val="22"/>
                <w:lang w:eastAsia="da-DK"/>
              </w:rPr>
              <w:t xml:space="preserve"> hjertesygdom</w:t>
            </w:r>
            <w:r>
              <w:rPr>
                <w:sz w:val="22"/>
                <w:szCs w:val="22"/>
              </w:rPr>
              <w:t>*</w:t>
            </w: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z w:val="22"/>
                <w:szCs w:val="22"/>
                <w:lang w:eastAsia="da-DK"/>
              </w:rPr>
            </w:pPr>
            <w:r>
              <w:rPr>
                <w:sz w:val="22"/>
                <w:szCs w:val="22"/>
                <w:lang w:eastAsia="da-DK"/>
              </w:rPr>
              <w:t>Atrieflimren</w:t>
            </w: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val="sv-SE" w:eastAsia="da-DK"/>
              </w:rPr>
            </w:pPr>
            <w:r>
              <w:rPr>
                <w:b/>
                <w:noProof/>
                <w:sz w:val="22"/>
                <w:szCs w:val="22"/>
                <w:lang w:val="sv-SE" w:eastAsia="da-DK"/>
              </w:rPr>
              <w:t>Luftveje, thorax og mediastinum</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val="sv-SE"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proofErr w:type="spellStart"/>
            <w:r>
              <w:rPr>
                <w:sz w:val="22"/>
                <w:szCs w:val="22"/>
                <w:lang w:eastAsia="da-DK"/>
              </w:rPr>
              <w:t>Rhinitis</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b/>
                <w:spacing w:val="-3"/>
                <w:sz w:val="22"/>
                <w:szCs w:val="22"/>
                <w:lang w:eastAsia="da-DK"/>
              </w:rPr>
            </w:pPr>
            <w:r>
              <w:rPr>
                <w:b/>
                <w:noProof/>
                <w:sz w:val="22"/>
                <w:szCs w:val="22"/>
                <w:lang w:eastAsia="da-DK"/>
              </w:rPr>
              <w:t>Mave-tarm-kanalen</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proofErr w:type="spellStart"/>
            <w:r>
              <w:rPr>
                <w:spacing w:val="-3"/>
                <w:sz w:val="22"/>
                <w:szCs w:val="22"/>
                <w:lang w:eastAsia="da-DK"/>
              </w:rPr>
              <w:t>Abdominalsmerter</w:t>
            </w:r>
            <w:proofErr w:type="spellEnd"/>
            <w:r>
              <w:rPr>
                <w:spacing w:val="-3"/>
                <w:sz w:val="22"/>
                <w:szCs w:val="22"/>
                <w:lang w:eastAsia="da-DK"/>
              </w:rPr>
              <w:t>, diarré, k</w:t>
            </w:r>
            <w:r>
              <w:rPr>
                <w:sz w:val="22"/>
                <w:szCs w:val="22"/>
                <w:lang w:eastAsia="da-DK"/>
              </w:rPr>
              <w:t xml:space="preserve">valme, </w:t>
            </w:r>
            <w:r>
              <w:rPr>
                <w:spacing w:val="-3"/>
                <w:sz w:val="22"/>
                <w:szCs w:val="22"/>
                <w:lang w:eastAsia="da-DK"/>
              </w:rPr>
              <w:t xml:space="preserve">mundtørhed </w:t>
            </w: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709"/>
              </w:tabs>
              <w:rPr>
                <w:spacing w:val="-3"/>
                <w:sz w:val="22"/>
                <w:szCs w:val="22"/>
                <w:lang w:eastAsia="da-DK"/>
              </w:rPr>
            </w:pPr>
            <w:proofErr w:type="spellStart"/>
            <w:r>
              <w:rPr>
                <w:sz w:val="22"/>
                <w:szCs w:val="22"/>
                <w:lang w:val="en-GB"/>
              </w:rPr>
              <w:t>Opkastning</w:t>
            </w:r>
            <w:proofErr w:type="spellEnd"/>
            <w:r>
              <w:rPr>
                <w:sz w:val="22"/>
                <w:szCs w:val="22"/>
                <w:lang w:val="en-GB"/>
              </w:rPr>
              <w:t xml:space="preserve">, </w:t>
            </w:r>
            <w:proofErr w:type="spellStart"/>
            <w:r>
              <w:rPr>
                <w:sz w:val="22"/>
                <w:szCs w:val="22"/>
                <w:lang w:val="en-GB"/>
              </w:rPr>
              <w:t>dyspepsi</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rPr>
                <w:b/>
                <w:sz w:val="22"/>
                <w:szCs w:val="22"/>
                <w:lang w:eastAsia="da-DK"/>
              </w:rPr>
            </w:pPr>
            <w:r>
              <w:rPr>
                <w:b/>
                <w:sz w:val="22"/>
                <w:szCs w:val="22"/>
                <w:lang w:eastAsia="da-DK"/>
              </w:rPr>
              <w:t>Lever og galdeveje</w:t>
            </w:r>
          </w:p>
          <w:p w:rsidR="006E7ED6" w:rsidRDefault="006E7ED6">
            <w:pPr>
              <w:tabs>
                <w:tab w:val="left" w:pos="0"/>
                <w:tab w:val="left" w:pos="851"/>
              </w:tabs>
              <w:rPr>
                <w:b/>
                <w:spacing w:val="-3"/>
                <w:sz w:val="22"/>
                <w:szCs w:val="22"/>
                <w:lang w:eastAsia="da-DK"/>
              </w:rPr>
            </w:pP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5000"/>
                <w:tab w:val="left" w:pos="6680"/>
                <w:tab w:val="left" w:pos="8180"/>
              </w:tabs>
              <w:rPr>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z w:val="22"/>
                <w:szCs w:val="22"/>
                <w:lang w:val="en-GB" w:eastAsia="da-DK"/>
              </w:rPr>
            </w:pPr>
            <w:proofErr w:type="spellStart"/>
            <w:r>
              <w:rPr>
                <w:sz w:val="22"/>
                <w:szCs w:val="22"/>
                <w:lang w:eastAsia="da-DK"/>
              </w:rPr>
              <w:t>Hepatocellulær</w:t>
            </w:r>
            <w:proofErr w:type="spellEnd"/>
            <w:r>
              <w:rPr>
                <w:sz w:val="22"/>
                <w:szCs w:val="22"/>
                <w:lang w:eastAsia="da-DK"/>
              </w:rPr>
              <w:t xml:space="preserve"> skade, </w:t>
            </w:r>
            <w:proofErr w:type="spellStart"/>
            <w:r>
              <w:rPr>
                <w:sz w:val="22"/>
                <w:szCs w:val="22"/>
                <w:lang w:eastAsia="da-DK"/>
              </w:rPr>
              <w:t>kolestatisk</w:t>
            </w:r>
            <w:proofErr w:type="spellEnd"/>
            <w:r>
              <w:rPr>
                <w:sz w:val="22"/>
                <w:szCs w:val="22"/>
                <w:lang w:eastAsia="da-DK"/>
              </w:rPr>
              <w:t xml:space="preserve"> leversygdom</w:t>
            </w: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rPr>
                <w:b/>
                <w:sz w:val="22"/>
                <w:szCs w:val="22"/>
                <w:lang w:eastAsia="da-DK"/>
              </w:rPr>
            </w:pPr>
            <w:r>
              <w:rPr>
                <w:b/>
                <w:sz w:val="22"/>
                <w:szCs w:val="22"/>
                <w:lang w:eastAsia="da-DK"/>
              </w:rPr>
              <w:t>Hud og subkutane væv</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val="en-GB"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 w:val="left" w:pos="910"/>
              </w:tabs>
              <w:rPr>
                <w:spacing w:val="-3"/>
                <w:sz w:val="22"/>
                <w:szCs w:val="22"/>
                <w:lang w:eastAsia="da-DK"/>
              </w:rPr>
            </w:pPr>
            <w:r>
              <w:rPr>
                <w:spacing w:val="-3"/>
                <w:sz w:val="22"/>
                <w:szCs w:val="22"/>
                <w:lang w:eastAsia="da-DK"/>
              </w:rPr>
              <w:t>Udslæt (</w:t>
            </w:r>
            <w:proofErr w:type="spellStart"/>
            <w:r>
              <w:rPr>
                <w:spacing w:val="-3"/>
                <w:sz w:val="22"/>
                <w:szCs w:val="22"/>
                <w:lang w:eastAsia="da-DK"/>
              </w:rPr>
              <w:t>urticaria</w:t>
            </w:r>
            <w:proofErr w:type="spellEnd"/>
            <w:r>
              <w:rPr>
                <w:spacing w:val="-3"/>
                <w:sz w:val="22"/>
                <w:szCs w:val="22"/>
                <w:lang w:eastAsia="da-DK"/>
              </w:rPr>
              <w:t xml:space="preserve">, </w:t>
            </w:r>
            <w:proofErr w:type="spellStart"/>
            <w:r>
              <w:rPr>
                <w:spacing w:val="-3"/>
                <w:sz w:val="22"/>
                <w:szCs w:val="22"/>
                <w:lang w:eastAsia="da-DK"/>
              </w:rPr>
              <w:t>eksantem</w:t>
            </w:r>
            <w:proofErr w:type="spellEnd"/>
            <w:r>
              <w:rPr>
                <w:spacing w:val="-3"/>
                <w:sz w:val="22"/>
                <w:szCs w:val="22"/>
                <w:lang w:eastAsia="da-DK"/>
              </w:rPr>
              <w:t xml:space="preserve">), </w:t>
            </w:r>
            <w:proofErr w:type="spellStart"/>
            <w:r>
              <w:rPr>
                <w:spacing w:val="-3"/>
                <w:sz w:val="22"/>
                <w:szCs w:val="22"/>
                <w:lang w:eastAsia="da-DK"/>
              </w:rPr>
              <w:t>pruritus</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910"/>
                <w:tab w:val="left" w:pos="5000"/>
                <w:tab w:val="left" w:pos="6680"/>
                <w:tab w:val="left" w:pos="8180"/>
              </w:tabs>
              <w:rPr>
                <w:spacing w:val="-3"/>
                <w:sz w:val="22"/>
                <w:szCs w:val="22"/>
                <w:lang w:eastAsia="da-DK"/>
              </w:rPr>
            </w:pPr>
            <w:proofErr w:type="spellStart"/>
            <w:r>
              <w:rPr>
                <w:iCs/>
                <w:spacing w:val="-3"/>
                <w:sz w:val="22"/>
                <w:szCs w:val="22"/>
                <w:lang w:eastAsia="da-DK"/>
              </w:rPr>
              <w:t>Angioødem</w:t>
            </w:r>
            <w:proofErr w:type="spellEnd"/>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z w:val="22"/>
                <w:szCs w:val="22"/>
                <w:lang w:eastAsia="da-DK"/>
              </w:rPr>
            </w:pP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rPr>
                <w:b/>
                <w:sz w:val="22"/>
                <w:szCs w:val="22"/>
                <w:lang w:eastAsia="da-DK"/>
              </w:rPr>
            </w:pPr>
            <w:r>
              <w:rPr>
                <w:b/>
                <w:bCs/>
                <w:sz w:val="22"/>
                <w:szCs w:val="22"/>
              </w:rPr>
              <w:t>Nyrer og urinveje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proofErr w:type="spellStart"/>
            <w:r>
              <w:rPr>
                <w:sz w:val="22"/>
                <w:szCs w:val="22"/>
                <w:lang w:val="en-GB"/>
              </w:rPr>
              <w:t>Urininkontinens</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rPr>
                <w:b/>
                <w:sz w:val="22"/>
                <w:szCs w:val="22"/>
                <w:lang w:eastAsia="da-DK"/>
              </w:rPr>
            </w:pPr>
            <w:r>
              <w:rPr>
                <w:b/>
                <w:sz w:val="22"/>
                <w:szCs w:val="22"/>
                <w:lang w:eastAsia="da-DK"/>
              </w:rPr>
              <w:t>Det reproduktive system og mammae</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z w:val="22"/>
                <w:szCs w:val="22"/>
                <w:lang w:eastAsia="da-DK"/>
              </w:rPr>
            </w:pP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proofErr w:type="spellStart"/>
            <w:r>
              <w:rPr>
                <w:spacing w:val="-3"/>
                <w:sz w:val="22"/>
                <w:szCs w:val="22"/>
                <w:lang w:eastAsia="da-DK"/>
              </w:rPr>
              <w:t>Priapisme</w:t>
            </w:r>
            <w:proofErr w:type="spellEnd"/>
          </w:p>
        </w:tc>
      </w:tr>
      <w:tr w:rsidR="006E7ED6" w:rsidTr="006E7ED6">
        <w:trPr>
          <w:cantSplit/>
        </w:trPr>
        <w:tc>
          <w:tcPr>
            <w:tcW w:w="1201"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rPr>
                <w:b/>
                <w:sz w:val="22"/>
                <w:szCs w:val="22"/>
                <w:lang w:eastAsia="da-DK"/>
              </w:rPr>
            </w:pPr>
            <w:r>
              <w:rPr>
                <w:b/>
                <w:sz w:val="22"/>
                <w:szCs w:val="22"/>
                <w:lang w:eastAsia="da-DK"/>
              </w:rPr>
              <w:t>Almene symptomer og reaktioner på administrations-stedet</w:t>
            </w:r>
          </w:p>
        </w:tc>
        <w:tc>
          <w:tcPr>
            <w:tcW w:w="7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r>
              <w:rPr>
                <w:sz w:val="22"/>
                <w:szCs w:val="22"/>
                <w:lang w:eastAsia="da-DK"/>
              </w:rPr>
              <w:t>Asteni</w:t>
            </w:r>
          </w:p>
        </w:tc>
        <w:tc>
          <w:tcPr>
            <w:tcW w:w="88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6E7ED6" w:rsidRDefault="006E7ED6">
            <w:pPr>
              <w:tabs>
                <w:tab w:val="left" w:pos="0"/>
                <w:tab w:val="left" w:pos="851"/>
              </w:tabs>
              <w:rPr>
                <w:spacing w:val="-3"/>
                <w:sz w:val="22"/>
                <w:szCs w:val="22"/>
                <w:lang w:eastAsia="da-DK"/>
              </w:rPr>
            </w:pPr>
            <w:proofErr w:type="spellStart"/>
            <w:r>
              <w:rPr>
                <w:sz w:val="22"/>
                <w:szCs w:val="22"/>
                <w:lang w:val="en-GB"/>
              </w:rPr>
              <w:t>Svedudbrud</w:t>
            </w:r>
            <w:proofErr w:type="spellEnd"/>
            <w:r>
              <w:rPr>
                <w:sz w:val="22"/>
                <w:szCs w:val="22"/>
                <w:lang w:val="en-GB"/>
              </w:rPr>
              <w:t xml:space="preserve">, </w:t>
            </w:r>
            <w:proofErr w:type="spellStart"/>
            <w:r>
              <w:rPr>
                <w:sz w:val="22"/>
                <w:szCs w:val="22"/>
                <w:lang w:val="en-GB"/>
              </w:rPr>
              <w:t>ødem</w:t>
            </w:r>
            <w:proofErr w:type="spellEnd"/>
            <w:r>
              <w:rPr>
                <w:sz w:val="22"/>
                <w:szCs w:val="22"/>
                <w:lang w:val="en-GB"/>
              </w:rPr>
              <w:t xml:space="preserve">, </w:t>
            </w:r>
            <w:proofErr w:type="spellStart"/>
            <w:r>
              <w:rPr>
                <w:sz w:val="22"/>
                <w:szCs w:val="22"/>
                <w:lang w:val="en-GB"/>
              </w:rPr>
              <w:t>brystsmerter</w:t>
            </w:r>
            <w:proofErr w:type="spellEnd"/>
          </w:p>
        </w:tc>
        <w:tc>
          <w:tcPr>
            <w:tcW w:w="12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c>
          <w:tcPr>
            <w:tcW w:w="87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6E7ED6" w:rsidRDefault="006E7ED6">
            <w:pPr>
              <w:tabs>
                <w:tab w:val="left" w:pos="0"/>
                <w:tab w:val="left" w:pos="851"/>
              </w:tabs>
              <w:rPr>
                <w:spacing w:val="-3"/>
                <w:sz w:val="22"/>
                <w:szCs w:val="22"/>
                <w:lang w:eastAsia="da-DK"/>
              </w:rPr>
            </w:pPr>
          </w:p>
        </w:tc>
      </w:tr>
    </w:tbl>
    <w:p w:rsidR="006E7ED6" w:rsidRDefault="006E7ED6" w:rsidP="006E7ED6">
      <w:pPr>
        <w:tabs>
          <w:tab w:val="left" w:pos="851"/>
        </w:tabs>
        <w:ind w:left="851"/>
        <w:rPr>
          <w:sz w:val="24"/>
          <w:szCs w:val="24"/>
          <w:lang w:eastAsia="da-DK"/>
        </w:rPr>
      </w:pPr>
      <w:r>
        <w:rPr>
          <w:sz w:val="24"/>
          <w:szCs w:val="24"/>
          <w:lang w:eastAsia="da-DK"/>
        </w:rPr>
        <w:t>*For yderligere information, se pkt. 4.4</w:t>
      </w:r>
    </w:p>
    <w:p w:rsidR="006E7ED6" w:rsidRDefault="006E7ED6" w:rsidP="006E7ED6">
      <w:pPr>
        <w:autoSpaceDE w:val="0"/>
        <w:autoSpaceDN w:val="0"/>
        <w:ind w:left="851"/>
        <w:rPr>
          <w:sz w:val="24"/>
          <w:szCs w:val="24"/>
          <w:u w:val="single"/>
          <w:lang w:eastAsia="da-DK"/>
        </w:rPr>
      </w:pPr>
    </w:p>
    <w:p w:rsidR="006E7ED6" w:rsidRDefault="006E7ED6" w:rsidP="006E7ED6">
      <w:pPr>
        <w:autoSpaceDE w:val="0"/>
        <w:autoSpaceDN w:val="0"/>
        <w:ind w:left="851"/>
        <w:rPr>
          <w:sz w:val="24"/>
          <w:szCs w:val="24"/>
          <w:u w:val="single"/>
          <w:lang w:eastAsia="da-DK"/>
        </w:rPr>
      </w:pPr>
      <w:r>
        <w:rPr>
          <w:sz w:val="24"/>
          <w:szCs w:val="24"/>
          <w:u w:val="single"/>
          <w:lang w:eastAsia="da-DK"/>
        </w:rPr>
        <w:t>Indberetning af formodede bivirkninger</w:t>
      </w:r>
    </w:p>
    <w:p w:rsidR="006E7ED6" w:rsidRDefault="006E7ED6" w:rsidP="006E7ED6">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-forholdet for lægemidlet. Sundhedspersoner anmodes om at indberette alle formodede bivirkninger via:</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Lægemiddelstyrelsen</w:t>
      </w:r>
    </w:p>
    <w:p w:rsidR="006E7ED6" w:rsidRDefault="006E7ED6" w:rsidP="006E7ED6">
      <w:pPr>
        <w:ind w:left="851"/>
        <w:rPr>
          <w:sz w:val="24"/>
          <w:szCs w:val="24"/>
          <w:lang w:eastAsia="da-DK"/>
        </w:rPr>
      </w:pPr>
      <w:r>
        <w:rPr>
          <w:sz w:val="24"/>
          <w:szCs w:val="24"/>
          <w:lang w:eastAsia="da-DK"/>
        </w:rPr>
        <w:t>Axel Heides Gade 1</w:t>
      </w:r>
    </w:p>
    <w:p w:rsidR="006E7ED6" w:rsidRDefault="006E7ED6" w:rsidP="006E7ED6">
      <w:pPr>
        <w:ind w:left="851"/>
        <w:rPr>
          <w:sz w:val="24"/>
          <w:szCs w:val="24"/>
          <w:lang w:eastAsia="da-DK"/>
        </w:rPr>
      </w:pPr>
      <w:r>
        <w:rPr>
          <w:sz w:val="24"/>
          <w:szCs w:val="24"/>
          <w:lang w:eastAsia="da-DK"/>
        </w:rPr>
        <w:t>DK-2300 København S</w:t>
      </w:r>
    </w:p>
    <w:p w:rsidR="006E7ED6" w:rsidRDefault="006E7ED6" w:rsidP="006E7ED6">
      <w:pPr>
        <w:ind w:left="851"/>
        <w:rPr>
          <w:sz w:val="24"/>
          <w:szCs w:val="24"/>
          <w:lang w:eastAsia="da-DK"/>
        </w:rPr>
      </w:pPr>
      <w:r>
        <w:rPr>
          <w:sz w:val="24"/>
          <w:szCs w:val="24"/>
          <w:lang w:eastAsia="da-DK"/>
        </w:rPr>
        <w:t xml:space="preserve">Websted: </w:t>
      </w:r>
      <w:r>
        <w:rPr>
          <w:sz w:val="24"/>
          <w:lang w:eastAsia="da-DK"/>
        </w:rPr>
        <w:t>www.meldenbivirkning.dk</w:t>
      </w:r>
    </w:p>
    <w:p w:rsidR="000F25A9" w:rsidRPr="00C91A25" w:rsidRDefault="000F25A9" w:rsidP="000F25A9">
      <w:pPr>
        <w:pStyle w:val="Sidehoved"/>
        <w:tabs>
          <w:tab w:val="left" w:pos="851"/>
        </w:tabs>
        <w:ind w:left="851"/>
        <w:rPr>
          <w:szCs w:val="24"/>
        </w:rPr>
      </w:pPr>
    </w:p>
    <w:p w:rsidR="000F25A9" w:rsidRPr="00C84483" w:rsidRDefault="000F25A9" w:rsidP="000F25A9">
      <w:pPr>
        <w:tabs>
          <w:tab w:val="left" w:pos="851"/>
        </w:tabs>
        <w:ind w:left="851" w:hanging="851"/>
        <w:rPr>
          <w:b/>
          <w:sz w:val="24"/>
          <w:szCs w:val="24"/>
        </w:rPr>
      </w:pPr>
      <w:r w:rsidRPr="00C84483">
        <w:rPr>
          <w:b/>
          <w:sz w:val="24"/>
          <w:szCs w:val="24"/>
        </w:rPr>
        <w:t>4.9</w:t>
      </w:r>
      <w:r w:rsidRPr="00C84483">
        <w:rPr>
          <w:b/>
          <w:sz w:val="24"/>
          <w:szCs w:val="24"/>
        </w:rPr>
        <w:tab/>
        <w:t>Overdosering</w:t>
      </w:r>
    </w:p>
    <w:p w:rsidR="000F25A9" w:rsidRPr="00081F7D" w:rsidRDefault="000F25A9" w:rsidP="000F25A9">
      <w:pPr>
        <w:ind w:left="851"/>
        <w:rPr>
          <w:sz w:val="24"/>
          <w:szCs w:val="24"/>
          <w:lang w:eastAsia="da-DK"/>
        </w:rPr>
      </w:pPr>
      <w:r w:rsidRPr="00081F7D">
        <w:rPr>
          <w:sz w:val="24"/>
          <w:szCs w:val="24"/>
          <w:lang w:eastAsia="da-DK"/>
        </w:rPr>
        <w:t xml:space="preserve">I tilfælde af en overdosis skal der iværksættes konventionel behandling på et sygehus i form af væsketilførsel og administration af karkontraherende lægemidler. Patienten skal holdes i liggende stilling. </w:t>
      </w:r>
    </w:p>
    <w:p w:rsidR="000F25A9" w:rsidRPr="00081F7D" w:rsidRDefault="000F25A9" w:rsidP="000F25A9">
      <w:pPr>
        <w:ind w:left="851"/>
        <w:rPr>
          <w:noProof/>
          <w:sz w:val="24"/>
          <w:szCs w:val="24"/>
          <w:lang w:eastAsia="da-DK"/>
        </w:rPr>
      </w:pPr>
      <w:r w:rsidRPr="00081F7D">
        <w:rPr>
          <w:spacing w:val="-3"/>
          <w:sz w:val="24"/>
          <w:szCs w:val="24"/>
          <w:lang w:eastAsia="da-DK"/>
        </w:rPr>
        <w:t>I tilfælde af signifikant hypotension kan e</w:t>
      </w:r>
      <w:r w:rsidRPr="00081F7D">
        <w:rPr>
          <w:sz w:val="24"/>
          <w:szCs w:val="24"/>
          <w:lang w:eastAsia="da-DK"/>
        </w:rPr>
        <w:t xml:space="preserve">n passende </w:t>
      </w:r>
      <w:r w:rsidRPr="00081F7D">
        <w:rPr>
          <w:spacing w:val="-3"/>
          <w:sz w:val="24"/>
          <w:szCs w:val="24"/>
          <w:lang w:eastAsia="da-DK"/>
        </w:rPr>
        <w:t>korrigerende behandling være</w:t>
      </w:r>
      <w:r w:rsidRPr="00081F7D">
        <w:rPr>
          <w:sz w:val="24"/>
          <w:szCs w:val="24"/>
          <w:lang w:eastAsia="da-DK"/>
        </w:rPr>
        <w:t xml:space="preserve"> en </w:t>
      </w:r>
      <w:proofErr w:type="spellStart"/>
      <w:r w:rsidRPr="00081F7D">
        <w:rPr>
          <w:sz w:val="24"/>
          <w:szCs w:val="24"/>
          <w:lang w:eastAsia="da-DK"/>
        </w:rPr>
        <w:t>vasokonstriktor</w:t>
      </w:r>
      <w:proofErr w:type="spellEnd"/>
      <w:r w:rsidRPr="00081F7D">
        <w:rPr>
          <w:sz w:val="24"/>
          <w:szCs w:val="24"/>
          <w:lang w:eastAsia="da-DK"/>
        </w:rPr>
        <w:t>, som virker direkte på glat muskulatur i blodkarrene.</w:t>
      </w:r>
    </w:p>
    <w:p w:rsidR="000F25A9" w:rsidRPr="00081F7D" w:rsidRDefault="000F25A9" w:rsidP="000F25A9">
      <w:pPr>
        <w:ind w:left="851"/>
        <w:rPr>
          <w:i/>
          <w:iCs/>
          <w:sz w:val="24"/>
          <w:szCs w:val="24"/>
          <w:lang w:eastAsia="da-DK"/>
        </w:rPr>
      </w:pPr>
    </w:p>
    <w:p w:rsidR="000F25A9" w:rsidRPr="00081F7D" w:rsidRDefault="000F25A9" w:rsidP="000F25A9">
      <w:pPr>
        <w:ind w:left="851"/>
        <w:rPr>
          <w:sz w:val="24"/>
          <w:szCs w:val="24"/>
          <w:lang w:eastAsia="da-DK"/>
        </w:rPr>
      </w:pPr>
      <w:r w:rsidRPr="00081F7D">
        <w:rPr>
          <w:sz w:val="24"/>
          <w:szCs w:val="24"/>
          <w:lang w:eastAsia="da-DK"/>
        </w:rPr>
        <w:t xml:space="preserve">Det er svært at fjerne </w:t>
      </w:r>
      <w:proofErr w:type="spellStart"/>
      <w:r w:rsidRPr="00081F7D">
        <w:rPr>
          <w:sz w:val="24"/>
          <w:szCs w:val="24"/>
          <w:lang w:eastAsia="da-DK"/>
        </w:rPr>
        <w:t>alfuzosin</w:t>
      </w:r>
      <w:proofErr w:type="spellEnd"/>
      <w:r w:rsidRPr="00081F7D">
        <w:rPr>
          <w:sz w:val="24"/>
          <w:szCs w:val="24"/>
          <w:lang w:eastAsia="da-DK"/>
        </w:rPr>
        <w:t xml:space="preserve"> med dialyse på grund af stoffets høje proteinbinding.</w:t>
      </w:r>
    </w:p>
    <w:p w:rsidR="000F25A9" w:rsidRPr="00081F7D" w:rsidRDefault="000F25A9" w:rsidP="000F25A9">
      <w:pPr>
        <w:ind w:left="851"/>
        <w:rPr>
          <w:sz w:val="24"/>
          <w:szCs w:val="24"/>
          <w:lang w:eastAsia="da-DK"/>
        </w:rPr>
      </w:pPr>
      <w:r w:rsidRPr="00081F7D">
        <w:rPr>
          <w:sz w:val="24"/>
          <w:szCs w:val="24"/>
          <w:lang w:eastAsia="da-DK"/>
        </w:rPr>
        <w:t>Administration af medicinsk kul efter mulig ventrikelskylning.</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4.10</w:t>
      </w:r>
      <w:r w:rsidRPr="00C84483">
        <w:rPr>
          <w:b/>
          <w:sz w:val="24"/>
          <w:szCs w:val="24"/>
        </w:rPr>
        <w:tab/>
        <w:t>Udlevering</w:t>
      </w:r>
    </w:p>
    <w:p w:rsidR="000F25A9" w:rsidRPr="00C84483" w:rsidRDefault="000F25A9" w:rsidP="000F25A9">
      <w:pPr>
        <w:tabs>
          <w:tab w:val="left" w:pos="851"/>
        </w:tabs>
        <w:ind w:left="851"/>
        <w:rPr>
          <w:sz w:val="24"/>
          <w:szCs w:val="24"/>
        </w:rPr>
      </w:pPr>
      <w:r>
        <w:rPr>
          <w:sz w:val="24"/>
          <w:szCs w:val="24"/>
        </w:rPr>
        <w:t>B</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0F25A9" w:rsidRPr="00C84483" w:rsidRDefault="000F25A9" w:rsidP="000F25A9">
      <w:pPr>
        <w:tabs>
          <w:tab w:val="left" w:pos="851"/>
        </w:tabs>
        <w:ind w:left="851"/>
        <w:rPr>
          <w:sz w:val="24"/>
          <w:szCs w:val="24"/>
        </w:rPr>
      </w:pPr>
    </w:p>
    <w:p w:rsidR="000F25A9" w:rsidRPr="00C84483" w:rsidRDefault="000F25A9" w:rsidP="000F25A9">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BD058C" w:rsidRDefault="00BD058C" w:rsidP="000F25A9">
      <w:pPr>
        <w:ind w:left="851"/>
        <w:rPr>
          <w:sz w:val="24"/>
          <w:szCs w:val="24"/>
          <w:lang w:eastAsia="da-DK"/>
        </w:rPr>
      </w:pPr>
    </w:p>
    <w:p w:rsidR="006E7ED6" w:rsidRDefault="006E7ED6" w:rsidP="006E7ED6">
      <w:pPr>
        <w:ind w:left="851"/>
        <w:rPr>
          <w:sz w:val="24"/>
          <w:szCs w:val="24"/>
          <w:lang w:eastAsia="da-DK"/>
        </w:rPr>
      </w:pPr>
      <w:bookmarkStart w:id="0" w:name="_Hlk95828550"/>
      <w:proofErr w:type="spellStart"/>
      <w:r>
        <w:rPr>
          <w:sz w:val="24"/>
          <w:szCs w:val="24"/>
        </w:rPr>
        <w:t>Farmakoterapeutisk</w:t>
      </w:r>
      <w:proofErr w:type="spellEnd"/>
      <w:r>
        <w:rPr>
          <w:sz w:val="24"/>
          <w:szCs w:val="24"/>
        </w:rPr>
        <w:t xml:space="preserve"> klassifikation: </w:t>
      </w:r>
      <w:r>
        <w:rPr>
          <w:sz w:val="24"/>
          <w:lang w:eastAsia="da-DK"/>
        </w:rPr>
        <w:t xml:space="preserve">Midler anvendt ved benign prostatahypertrofi, </w:t>
      </w:r>
      <w:r>
        <w:rPr>
          <w:sz w:val="24"/>
          <w:szCs w:val="24"/>
          <w:lang w:eastAsia="da-DK"/>
        </w:rPr>
        <w:t>ATC</w:t>
      </w:r>
      <w:r>
        <w:rPr>
          <w:sz w:val="24"/>
          <w:szCs w:val="24"/>
          <w:lang w:eastAsia="da-DK"/>
        </w:rPr>
        <w:noBreakHyphen/>
        <w:t>kode: G 04 CA 01.</w:t>
      </w:r>
      <w:bookmarkEnd w:id="0"/>
    </w:p>
    <w:p w:rsidR="006E7ED6" w:rsidRDefault="006E7ED6" w:rsidP="006E7ED6">
      <w:pPr>
        <w:ind w:left="851"/>
        <w:rPr>
          <w:sz w:val="24"/>
          <w:szCs w:val="24"/>
          <w:lang w:eastAsia="da-DK"/>
        </w:rPr>
      </w:pPr>
    </w:p>
    <w:p w:rsidR="006E7ED6" w:rsidRDefault="006E7ED6" w:rsidP="006E7ED6">
      <w:pPr>
        <w:ind w:left="851"/>
        <w:rPr>
          <w:sz w:val="24"/>
          <w:szCs w:val="24"/>
          <w:lang w:eastAsia="da-DK"/>
        </w:rPr>
      </w:pPr>
      <w:proofErr w:type="spellStart"/>
      <w:r>
        <w:rPr>
          <w:sz w:val="24"/>
          <w:szCs w:val="24"/>
          <w:lang w:eastAsia="da-DK"/>
        </w:rPr>
        <w:t>Alfuzosin</w:t>
      </w:r>
      <w:proofErr w:type="spellEnd"/>
      <w:r>
        <w:rPr>
          <w:sz w:val="24"/>
          <w:szCs w:val="24"/>
          <w:lang w:eastAsia="da-DK"/>
        </w:rPr>
        <w:t xml:space="preserve">, som er et </w:t>
      </w:r>
      <w:proofErr w:type="spellStart"/>
      <w:r>
        <w:rPr>
          <w:sz w:val="24"/>
          <w:szCs w:val="24"/>
          <w:lang w:eastAsia="da-DK"/>
        </w:rPr>
        <w:t>racemat</w:t>
      </w:r>
      <w:proofErr w:type="spellEnd"/>
      <w:r>
        <w:rPr>
          <w:sz w:val="24"/>
          <w:szCs w:val="24"/>
          <w:lang w:eastAsia="da-DK"/>
        </w:rPr>
        <w:t xml:space="preserve">, er et oralt virkende </w:t>
      </w:r>
      <w:proofErr w:type="spellStart"/>
      <w:r>
        <w:rPr>
          <w:sz w:val="24"/>
          <w:szCs w:val="24"/>
          <w:lang w:eastAsia="da-DK"/>
        </w:rPr>
        <w:t>quinazolinderivat</w:t>
      </w:r>
      <w:proofErr w:type="spellEnd"/>
      <w:r>
        <w:rPr>
          <w:sz w:val="24"/>
          <w:szCs w:val="24"/>
          <w:lang w:eastAsia="da-DK"/>
        </w:rPr>
        <w:t xml:space="preserve">, som selektivt blokerer </w:t>
      </w:r>
      <w:proofErr w:type="spellStart"/>
      <w:r>
        <w:rPr>
          <w:sz w:val="24"/>
          <w:szCs w:val="24"/>
          <w:lang w:eastAsia="da-DK"/>
        </w:rPr>
        <w:t>postsynaptiske</w:t>
      </w:r>
      <w:proofErr w:type="spellEnd"/>
      <w:r>
        <w:rPr>
          <w:sz w:val="24"/>
          <w:szCs w:val="24"/>
          <w:lang w:eastAsia="da-DK"/>
        </w:rPr>
        <w:t xml:space="preserve"> alpha-1-receptorer. </w:t>
      </w:r>
      <w:r>
        <w:rPr>
          <w:i/>
          <w:sz w:val="24"/>
          <w:szCs w:val="24"/>
          <w:lang w:eastAsia="da-DK"/>
        </w:rPr>
        <w:t xml:space="preserve">In </w:t>
      </w:r>
      <w:proofErr w:type="spellStart"/>
      <w:r>
        <w:rPr>
          <w:i/>
          <w:sz w:val="24"/>
          <w:szCs w:val="24"/>
          <w:lang w:eastAsia="da-DK"/>
        </w:rPr>
        <w:t>vitro</w:t>
      </w:r>
      <w:proofErr w:type="spellEnd"/>
      <w:r>
        <w:rPr>
          <w:sz w:val="24"/>
          <w:szCs w:val="24"/>
          <w:lang w:eastAsia="da-DK"/>
        </w:rPr>
        <w:t xml:space="preserve">-studier har bekræftet stoffets selektivitet på alpha-1-receptorer lokaliseret i blærebunden, </w:t>
      </w:r>
      <w:proofErr w:type="spellStart"/>
      <w:r>
        <w:rPr>
          <w:sz w:val="24"/>
          <w:szCs w:val="24"/>
          <w:lang w:eastAsia="da-DK"/>
        </w:rPr>
        <w:t>urethra</w:t>
      </w:r>
      <w:proofErr w:type="spellEnd"/>
      <w:r>
        <w:rPr>
          <w:sz w:val="24"/>
          <w:szCs w:val="24"/>
          <w:lang w:eastAsia="da-DK"/>
        </w:rPr>
        <w:t xml:space="preserve"> og prostata. De kliniske symptomer på benign prostatahypertrofi (BPH) er ikke kun relateret til størrelsen på prostata, men også til </w:t>
      </w:r>
      <w:proofErr w:type="spellStart"/>
      <w:r>
        <w:rPr>
          <w:sz w:val="24"/>
          <w:szCs w:val="24"/>
          <w:lang w:eastAsia="da-DK"/>
        </w:rPr>
        <w:t>sympatomimetiske</w:t>
      </w:r>
      <w:proofErr w:type="spellEnd"/>
      <w:r>
        <w:rPr>
          <w:sz w:val="24"/>
          <w:szCs w:val="24"/>
          <w:lang w:eastAsia="da-DK"/>
        </w:rPr>
        <w:t xml:space="preserve"> nerveimpulser, som øger spændingen i glat muskulatur i de nedre urinveje ved at stimulere de </w:t>
      </w:r>
      <w:proofErr w:type="spellStart"/>
      <w:r>
        <w:rPr>
          <w:sz w:val="24"/>
          <w:szCs w:val="24"/>
          <w:lang w:eastAsia="da-DK"/>
        </w:rPr>
        <w:t>postsynaptiske</w:t>
      </w:r>
      <w:proofErr w:type="spellEnd"/>
      <w:r>
        <w:rPr>
          <w:sz w:val="24"/>
          <w:szCs w:val="24"/>
          <w:lang w:eastAsia="da-DK"/>
        </w:rPr>
        <w:t xml:space="preserve"> alfa-receptorer. Behandling med </w:t>
      </w:r>
      <w:proofErr w:type="spellStart"/>
      <w:r>
        <w:rPr>
          <w:sz w:val="24"/>
          <w:szCs w:val="24"/>
          <w:lang w:eastAsia="da-DK"/>
        </w:rPr>
        <w:t>alfuzosin</w:t>
      </w:r>
      <w:proofErr w:type="spellEnd"/>
      <w:r>
        <w:rPr>
          <w:sz w:val="24"/>
          <w:szCs w:val="24"/>
          <w:lang w:eastAsia="da-DK"/>
        </w:rPr>
        <w:t xml:space="preserve"> afslapper den glatte muskulatur, hvorved </w:t>
      </w:r>
      <w:proofErr w:type="spellStart"/>
      <w:r>
        <w:rPr>
          <w:sz w:val="24"/>
          <w:szCs w:val="24"/>
          <w:lang w:eastAsia="da-DK"/>
        </w:rPr>
        <w:t>urinflowet</w:t>
      </w:r>
      <w:proofErr w:type="spellEnd"/>
      <w:r>
        <w:rPr>
          <w:sz w:val="24"/>
          <w:szCs w:val="24"/>
          <w:lang w:eastAsia="da-DK"/>
        </w:rPr>
        <w:t xml:space="preserve"> forbedres.</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 xml:space="preserve">Der foreligger kliniske tegn på uroselektivitet i form af klinisk virkning og en god sikkerhedsprofil hos mænd, der blev behandlet med </w:t>
      </w:r>
      <w:proofErr w:type="spellStart"/>
      <w:r>
        <w:rPr>
          <w:sz w:val="24"/>
          <w:szCs w:val="24"/>
          <w:lang w:eastAsia="da-DK"/>
        </w:rPr>
        <w:t>alfuzosin</w:t>
      </w:r>
      <w:proofErr w:type="spellEnd"/>
      <w:r>
        <w:rPr>
          <w:sz w:val="24"/>
          <w:szCs w:val="24"/>
          <w:lang w:eastAsia="da-DK"/>
        </w:rPr>
        <w:t>, inklusive ældre mænd og patienter med hypertension.</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 xml:space="preserve">Hos mennesker forbedrer </w:t>
      </w:r>
      <w:proofErr w:type="spellStart"/>
      <w:r>
        <w:rPr>
          <w:sz w:val="24"/>
          <w:szCs w:val="24"/>
          <w:lang w:eastAsia="da-DK"/>
        </w:rPr>
        <w:t>alfuzosin</w:t>
      </w:r>
      <w:proofErr w:type="spellEnd"/>
      <w:r>
        <w:rPr>
          <w:sz w:val="24"/>
          <w:szCs w:val="24"/>
          <w:lang w:eastAsia="da-DK"/>
        </w:rPr>
        <w:t xml:space="preserve"> parametre for blæretømningen ved at nedsætte </w:t>
      </w:r>
      <w:proofErr w:type="spellStart"/>
      <w:r>
        <w:rPr>
          <w:sz w:val="24"/>
          <w:szCs w:val="24"/>
          <w:lang w:eastAsia="da-DK"/>
        </w:rPr>
        <w:t>muskeltonus</w:t>
      </w:r>
      <w:proofErr w:type="spellEnd"/>
      <w:r>
        <w:rPr>
          <w:sz w:val="24"/>
          <w:szCs w:val="24"/>
          <w:lang w:eastAsia="da-DK"/>
        </w:rPr>
        <w:t xml:space="preserve"> i </w:t>
      </w:r>
      <w:proofErr w:type="spellStart"/>
      <w:r>
        <w:rPr>
          <w:sz w:val="24"/>
          <w:szCs w:val="24"/>
          <w:lang w:eastAsia="da-DK"/>
        </w:rPr>
        <w:t>urethra</w:t>
      </w:r>
      <w:proofErr w:type="spellEnd"/>
      <w:r>
        <w:rPr>
          <w:sz w:val="24"/>
          <w:szCs w:val="24"/>
          <w:lang w:eastAsia="da-DK"/>
        </w:rPr>
        <w:t xml:space="preserve"> samt reducere modstand mod afløb fra blæren, hvilket gør det lettere at tømme blæren.</w:t>
      </w:r>
    </w:p>
    <w:p w:rsidR="006E7ED6" w:rsidRDefault="006E7ED6" w:rsidP="006E7ED6">
      <w:pPr>
        <w:ind w:left="851"/>
        <w:rPr>
          <w:sz w:val="24"/>
          <w:szCs w:val="24"/>
          <w:lang w:eastAsia="da-DK"/>
        </w:rPr>
      </w:pPr>
    </w:p>
    <w:p w:rsidR="006E7ED6" w:rsidRDefault="006E7ED6" w:rsidP="006E7ED6">
      <w:pPr>
        <w:ind w:firstLine="851"/>
        <w:rPr>
          <w:sz w:val="24"/>
          <w:szCs w:val="24"/>
          <w:lang w:eastAsia="da-DK"/>
        </w:rPr>
      </w:pPr>
      <w:r>
        <w:rPr>
          <w:sz w:val="24"/>
          <w:szCs w:val="24"/>
          <w:lang w:eastAsia="da-DK"/>
        </w:rPr>
        <w:t xml:space="preserve">I placebokontrollerede studier af patienter med BPH har </w:t>
      </w:r>
      <w:proofErr w:type="spellStart"/>
      <w:r>
        <w:rPr>
          <w:sz w:val="24"/>
          <w:szCs w:val="24"/>
          <w:lang w:eastAsia="da-DK"/>
        </w:rPr>
        <w:t>alfuzosin</w:t>
      </w:r>
      <w:proofErr w:type="spellEnd"/>
      <w:r>
        <w:rPr>
          <w:sz w:val="24"/>
          <w:szCs w:val="24"/>
          <w:lang w:eastAsia="da-DK"/>
        </w:rPr>
        <w:t>:</w:t>
      </w:r>
    </w:p>
    <w:p w:rsidR="006E7ED6" w:rsidRDefault="006E7ED6" w:rsidP="006E7ED6">
      <w:pPr>
        <w:numPr>
          <w:ilvl w:val="0"/>
          <w:numId w:val="14"/>
        </w:numPr>
        <w:tabs>
          <w:tab w:val="clear" w:pos="1080"/>
          <w:tab w:val="num" w:pos="1701"/>
        </w:tabs>
        <w:ind w:left="1418" w:hanging="567"/>
        <w:rPr>
          <w:sz w:val="24"/>
          <w:szCs w:val="24"/>
          <w:lang w:eastAsia="da-DK"/>
        </w:rPr>
      </w:pPr>
      <w:r>
        <w:rPr>
          <w:sz w:val="24"/>
          <w:szCs w:val="24"/>
          <w:lang w:eastAsia="da-DK"/>
        </w:rPr>
        <w:t xml:space="preserve">signifikant øget det maksimale </w:t>
      </w:r>
      <w:proofErr w:type="spellStart"/>
      <w:r>
        <w:rPr>
          <w:sz w:val="24"/>
          <w:szCs w:val="24"/>
          <w:lang w:eastAsia="da-DK"/>
        </w:rPr>
        <w:t>urinflow</w:t>
      </w:r>
      <w:proofErr w:type="spellEnd"/>
      <w:r>
        <w:rPr>
          <w:sz w:val="24"/>
          <w:szCs w:val="24"/>
          <w:lang w:eastAsia="da-DK"/>
        </w:rPr>
        <w:t xml:space="preserve"> (</w:t>
      </w:r>
      <w:proofErr w:type="spellStart"/>
      <w:r>
        <w:rPr>
          <w:sz w:val="24"/>
          <w:szCs w:val="24"/>
          <w:lang w:eastAsia="da-DK"/>
        </w:rPr>
        <w:t>Q</w:t>
      </w:r>
      <w:r>
        <w:rPr>
          <w:sz w:val="24"/>
          <w:szCs w:val="24"/>
          <w:vertAlign w:val="subscript"/>
          <w:lang w:eastAsia="da-DK"/>
        </w:rPr>
        <w:t>max</w:t>
      </w:r>
      <w:proofErr w:type="spellEnd"/>
      <w:r>
        <w:rPr>
          <w:sz w:val="24"/>
          <w:szCs w:val="24"/>
          <w:lang w:eastAsia="da-DK"/>
        </w:rPr>
        <w:t xml:space="preserve">) hos patienter med </w:t>
      </w:r>
      <w:proofErr w:type="spellStart"/>
      <w:r>
        <w:rPr>
          <w:sz w:val="24"/>
          <w:szCs w:val="24"/>
          <w:lang w:eastAsia="da-DK"/>
        </w:rPr>
        <w:t>Q</w:t>
      </w:r>
      <w:r>
        <w:rPr>
          <w:sz w:val="24"/>
          <w:szCs w:val="24"/>
          <w:vertAlign w:val="subscript"/>
          <w:lang w:eastAsia="da-DK"/>
        </w:rPr>
        <w:t>max</w:t>
      </w:r>
      <w:proofErr w:type="spellEnd"/>
      <w:r>
        <w:rPr>
          <w:sz w:val="24"/>
          <w:szCs w:val="24"/>
          <w:lang w:eastAsia="da-DK"/>
        </w:rPr>
        <w:t xml:space="preserve"> &lt; 15 ml/s med 30 % i gennemsnit. Denne forbedring optrådte fra og med første dosis.</w:t>
      </w:r>
    </w:p>
    <w:p w:rsidR="006E7ED6" w:rsidRDefault="006E7ED6" w:rsidP="006E7ED6">
      <w:pPr>
        <w:numPr>
          <w:ilvl w:val="0"/>
          <w:numId w:val="14"/>
        </w:numPr>
        <w:tabs>
          <w:tab w:val="clear" w:pos="1080"/>
          <w:tab w:val="num" w:pos="1701"/>
        </w:tabs>
        <w:ind w:left="1418" w:hanging="567"/>
        <w:rPr>
          <w:sz w:val="24"/>
          <w:szCs w:val="24"/>
          <w:lang w:eastAsia="da-DK"/>
        </w:rPr>
      </w:pPr>
      <w:r>
        <w:rPr>
          <w:sz w:val="24"/>
          <w:szCs w:val="24"/>
          <w:lang w:eastAsia="da-DK"/>
        </w:rPr>
        <w:t xml:space="preserve">signifikant nedsat </w:t>
      </w:r>
      <w:proofErr w:type="spellStart"/>
      <w:r>
        <w:rPr>
          <w:sz w:val="24"/>
          <w:szCs w:val="24"/>
          <w:lang w:eastAsia="da-DK"/>
        </w:rPr>
        <w:t>detrusortrykket</w:t>
      </w:r>
      <w:proofErr w:type="spellEnd"/>
      <w:r>
        <w:rPr>
          <w:sz w:val="24"/>
          <w:szCs w:val="24"/>
          <w:lang w:eastAsia="da-DK"/>
        </w:rPr>
        <w:t xml:space="preserve"> og øget urinmængden, hvilket giver en stærk vandladningstrang.</w:t>
      </w:r>
    </w:p>
    <w:p w:rsidR="006E7ED6" w:rsidRDefault="006E7ED6" w:rsidP="006E7ED6">
      <w:pPr>
        <w:numPr>
          <w:ilvl w:val="0"/>
          <w:numId w:val="14"/>
        </w:numPr>
        <w:tabs>
          <w:tab w:val="clear" w:pos="1080"/>
          <w:tab w:val="num" w:pos="1701"/>
        </w:tabs>
        <w:ind w:left="1418" w:hanging="567"/>
        <w:rPr>
          <w:sz w:val="24"/>
          <w:szCs w:val="24"/>
          <w:lang w:eastAsia="da-DK"/>
        </w:rPr>
      </w:pPr>
      <w:r>
        <w:rPr>
          <w:sz w:val="24"/>
          <w:szCs w:val="24"/>
          <w:lang w:eastAsia="da-DK"/>
        </w:rPr>
        <w:t>signifikant nedsat residualurinvolumen.</w:t>
      </w:r>
    </w:p>
    <w:p w:rsidR="006E7ED6" w:rsidRDefault="006E7ED6" w:rsidP="006E7ED6">
      <w:pPr>
        <w:ind w:left="851"/>
        <w:rPr>
          <w:sz w:val="24"/>
          <w:szCs w:val="24"/>
          <w:lang w:eastAsia="da-DK"/>
        </w:rPr>
      </w:pPr>
    </w:p>
    <w:p w:rsidR="006E7ED6" w:rsidRDefault="006E7ED6" w:rsidP="006E7ED6">
      <w:pPr>
        <w:ind w:left="851"/>
        <w:rPr>
          <w:sz w:val="24"/>
          <w:szCs w:val="24"/>
          <w:lang w:eastAsia="da-DK"/>
        </w:rPr>
      </w:pPr>
      <w:r>
        <w:rPr>
          <w:sz w:val="24"/>
          <w:szCs w:val="24"/>
          <w:lang w:eastAsia="da-DK"/>
        </w:rPr>
        <w:t>Disse urodynamiske virkninger fører til en forbedring af symptomerne i de nedre urinveje, (LUTS) dvs. både symptomer ved opfyldning (</w:t>
      </w:r>
      <w:proofErr w:type="spellStart"/>
      <w:r>
        <w:rPr>
          <w:sz w:val="24"/>
          <w:szCs w:val="24"/>
          <w:lang w:eastAsia="da-DK"/>
        </w:rPr>
        <w:t>irritative</w:t>
      </w:r>
      <w:proofErr w:type="spellEnd"/>
      <w:r>
        <w:rPr>
          <w:sz w:val="24"/>
          <w:szCs w:val="24"/>
          <w:lang w:eastAsia="da-DK"/>
        </w:rPr>
        <w:t>) og udtømning (obstruktive), hvilket er blevet tydeligt dokumenteret.</w:t>
      </w:r>
    </w:p>
    <w:p w:rsidR="006E7ED6" w:rsidRDefault="006E7ED6" w:rsidP="006E7ED6">
      <w:pPr>
        <w:ind w:left="851"/>
        <w:rPr>
          <w:sz w:val="24"/>
          <w:szCs w:val="24"/>
          <w:lang w:eastAsia="da-DK"/>
        </w:rPr>
      </w:pPr>
      <w:r>
        <w:rPr>
          <w:sz w:val="24"/>
          <w:szCs w:val="24"/>
          <w:lang w:eastAsia="da-DK"/>
        </w:rPr>
        <w:t xml:space="preserve">Der blev observeret en lavere hyppighed af akut urinretention (AUR) hos </w:t>
      </w:r>
      <w:proofErr w:type="spellStart"/>
      <w:r>
        <w:rPr>
          <w:sz w:val="24"/>
          <w:szCs w:val="24"/>
          <w:lang w:eastAsia="da-DK"/>
        </w:rPr>
        <w:t>alfuzosinbehandlede</w:t>
      </w:r>
      <w:proofErr w:type="spellEnd"/>
      <w:r>
        <w:rPr>
          <w:sz w:val="24"/>
          <w:szCs w:val="24"/>
          <w:lang w:eastAsia="da-DK"/>
        </w:rPr>
        <w:t xml:space="preserve"> patienter end hos ikke-behandlede patienter. Derudover øgede </w:t>
      </w:r>
      <w:proofErr w:type="spellStart"/>
      <w:r>
        <w:rPr>
          <w:sz w:val="24"/>
          <w:szCs w:val="24"/>
          <w:lang w:eastAsia="da-DK"/>
        </w:rPr>
        <w:t>alfuzosin</w:t>
      </w:r>
      <w:proofErr w:type="spellEnd"/>
      <w:r>
        <w:rPr>
          <w:sz w:val="24"/>
          <w:szCs w:val="24"/>
          <w:lang w:eastAsia="da-DK"/>
        </w:rPr>
        <w:t xml:space="preserve"> signifikant </w:t>
      </w:r>
      <w:proofErr w:type="spellStart"/>
      <w:r>
        <w:rPr>
          <w:sz w:val="24"/>
          <w:szCs w:val="24"/>
          <w:lang w:eastAsia="da-DK"/>
        </w:rPr>
        <w:t>successraten</w:t>
      </w:r>
      <w:proofErr w:type="spellEnd"/>
      <w:r>
        <w:rPr>
          <w:sz w:val="24"/>
          <w:szCs w:val="24"/>
          <w:lang w:eastAsia="da-DK"/>
        </w:rPr>
        <w:t xml:space="preserve"> for spontan vandladning efter fjernelse af kateter hos mænd, der havde første forekomst af AUR i forbindelse med BPH og, sammenlignet med placebo, et reduceret behov for operation efter tilbagefald af AUR i op til 3</w:t>
      </w:r>
      <w:r>
        <w:rPr>
          <w:sz w:val="24"/>
          <w:szCs w:val="24"/>
          <w:lang w:eastAsia="da-DK"/>
        </w:rPr>
        <w:noBreakHyphen/>
        <w:t>6 måneder.</w:t>
      </w:r>
    </w:p>
    <w:p w:rsidR="006E7ED6" w:rsidRDefault="006E7ED6" w:rsidP="006E7ED6">
      <w:pPr>
        <w:ind w:left="851"/>
        <w:rPr>
          <w:sz w:val="24"/>
          <w:szCs w:val="24"/>
          <w:lang w:eastAsia="da-DK"/>
        </w:rPr>
      </w:pPr>
    </w:p>
    <w:p w:rsidR="006E7ED6" w:rsidRDefault="006E7ED6" w:rsidP="006E7ED6">
      <w:pPr>
        <w:ind w:left="851"/>
        <w:rPr>
          <w:sz w:val="24"/>
          <w:szCs w:val="24"/>
          <w:u w:val="single"/>
          <w:lang w:eastAsia="da-DK"/>
        </w:rPr>
      </w:pPr>
      <w:r>
        <w:rPr>
          <w:sz w:val="24"/>
          <w:szCs w:val="24"/>
          <w:u w:val="single"/>
          <w:lang w:eastAsia="da-DK"/>
        </w:rPr>
        <w:t>Pædiatrisk population</w:t>
      </w:r>
    </w:p>
    <w:p w:rsidR="006E7ED6" w:rsidRDefault="00CE180E" w:rsidP="006E7ED6">
      <w:pPr>
        <w:ind w:left="851"/>
        <w:rPr>
          <w:sz w:val="24"/>
          <w:szCs w:val="24"/>
          <w:lang w:eastAsia="da-DK"/>
        </w:rPr>
      </w:pPr>
      <w:proofErr w:type="spellStart"/>
      <w:r>
        <w:rPr>
          <w:sz w:val="24"/>
          <w:szCs w:val="24"/>
          <w:lang w:eastAsia="da-DK"/>
        </w:rPr>
        <w:t>Alprimox</w:t>
      </w:r>
      <w:proofErr w:type="spellEnd"/>
      <w:r w:rsidR="006E7ED6">
        <w:rPr>
          <w:sz w:val="24"/>
          <w:szCs w:val="24"/>
          <w:lang w:eastAsia="da-DK"/>
        </w:rPr>
        <w:t xml:space="preserve"> er ikke indiceret til brug i den pædiatriske population (se pkt. 4.2).</w:t>
      </w:r>
    </w:p>
    <w:p w:rsidR="006E7ED6" w:rsidRDefault="006E7ED6" w:rsidP="006E7ED6">
      <w:pPr>
        <w:ind w:left="851"/>
        <w:rPr>
          <w:sz w:val="24"/>
          <w:szCs w:val="24"/>
          <w:lang w:eastAsia="da-DK"/>
        </w:rPr>
      </w:pPr>
      <w:proofErr w:type="spellStart"/>
      <w:r>
        <w:rPr>
          <w:sz w:val="24"/>
          <w:szCs w:val="24"/>
          <w:lang w:eastAsia="da-DK"/>
        </w:rPr>
        <w:t>Alfuzosinhydrochlorids</w:t>
      </w:r>
      <w:proofErr w:type="spellEnd"/>
      <w:r>
        <w:rPr>
          <w:sz w:val="24"/>
          <w:szCs w:val="24"/>
          <w:lang w:eastAsia="da-DK"/>
        </w:rPr>
        <w:t xml:space="preserve"> virkning blev ikke påvist i de to studier gennemført med 197 patienter fra 2 til 16 år med forhøjet </w:t>
      </w:r>
      <w:proofErr w:type="spellStart"/>
      <w:r>
        <w:rPr>
          <w:i/>
          <w:sz w:val="24"/>
          <w:szCs w:val="24"/>
          <w:lang w:eastAsia="da-DK"/>
        </w:rPr>
        <w:t>detrusor</w:t>
      </w:r>
      <w:proofErr w:type="spellEnd"/>
      <w:r>
        <w:rPr>
          <w:i/>
          <w:sz w:val="24"/>
          <w:szCs w:val="24"/>
          <w:lang w:eastAsia="da-DK"/>
        </w:rPr>
        <w:t xml:space="preserve"> </w:t>
      </w:r>
      <w:proofErr w:type="spellStart"/>
      <w:r>
        <w:rPr>
          <w:i/>
          <w:sz w:val="24"/>
          <w:szCs w:val="24"/>
          <w:lang w:eastAsia="da-DK"/>
        </w:rPr>
        <w:t>leak</w:t>
      </w:r>
      <w:proofErr w:type="spellEnd"/>
      <w:r>
        <w:rPr>
          <w:i/>
          <w:sz w:val="24"/>
          <w:szCs w:val="24"/>
          <w:lang w:eastAsia="da-DK"/>
        </w:rPr>
        <w:t>-point-</w:t>
      </w:r>
      <w:proofErr w:type="spellStart"/>
      <w:r>
        <w:rPr>
          <w:i/>
          <w:sz w:val="24"/>
          <w:szCs w:val="24"/>
          <w:lang w:eastAsia="da-DK"/>
        </w:rPr>
        <w:t>pressure</w:t>
      </w:r>
      <w:proofErr w:type="spellEnd"/>
      <w:r>
        <w:rPr>
          <w:sz w:val="24"/>
          <w:szCs w:val="24"/>
          <w:lang w:eastAsia="da-DK"/>
        </w:rPr>
        <w:t xml:space="preserve"> (LPP ≥ 40 cm H</w:t>
      </w:r>
      <w:r>
        <w:rPr>
          <w:sz w:val="24"/>
          <w:szCs w:val="24"/>
          <w:vertAlign w:val="subscript"/>
          <w:lang w:eastAsia="da-DK"/>
        </w:rPr>
        <w:t>2</w:t>
      </w:r>
      <w:r>
        <w:rPr>
          <w:sz w:val="24"/>
          <w:szCs w:val="24"/>
          <w:lang w:eastAsia="da-DK"/>
        </w:rPr>
        <w:t xml:space="preserve">O) af neurologisk oprindelse. Patienterne blev behandlet med </w:t>
      </w:r>
      <w:proofErr w:type="spellStart"/>
      <w:r>
        <w:rPr>
          <w:sz w:val="24"/>
          <w:szCs w:val="24"/>
          <w:lang w:eastAsia="da-DK"/>
        </w:rPr>
        <w:t>alfuzosinhydrochlorid</w:t>
      </w:r>
      <w:proofErr w:type="spellEnd"/>
      <w:r>
        <w:rPr>
          <w:sz w:val="24"/>
          <w:szCs w:val="24"/>
          <w:lang w:eastAsia="da-DK"/>
        </w:rPr>
        <w:t xml:space="preserve"> 0,1 mg/kg/dag eller 0,2 mg/kg/dag med tilpassede pædiatriske formuleringer.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6E7ED6" w:rsidRDefault="006E7ED6" w:rsidP="006E7ED6">
      <w:pPr>
        <w:ind w:left="851"/>
        <w:rPr>
          <w:sz w:val="24"/>
          <w:szCs w:val="24"/>
          <w:lang w:eastAsia="da-DK"/>
        </w:rPr>
      </w:pPr>
      <w:proofErr w:type="spellStart"/>
      <w:r>
        <w:rPr>
          <w:sz w:val="24"/>
          <w:szCs w:val="24"/>
          <w:lang w:eastAsia="da-DK"/>
        </w:rPr>
        <w:t>Alfuzosin</w:t>
      </w:r>
      <w:proofErr w:type="spellEnd"/>
      <w:r>
        <w:rPr>
          <w:sz w:val="24"/>
          <w:szCs w:val="24"/>
          <w:lang w:eastAsia="da-DK"/>
        </w:rPr>
        <w:t xml:space="preserve"> udviser lineær farmakokinetik inden for det terapeutiske dosisinterval. Biotilgængeligheden er 64 % efter administration med formulering med umiddelbar frigivelse (2,5 mg). Maksimal plasmakoncentration nås i løbet af ca. 0,5</w:t>
      </w:r>
      <w:r>
        <w:rPr>
          <w:sz w:val="24"/>
          <w:szCs w:val="24"/>
          <w:lang w:eastAsia="da-DK"/>
        </w:rPr>
        <w:noBreakHyphen/>
        <w:t>6 timer efter administration af dosis. Den kinetiske profil er kendetegnet ved store inter-individuelle fluktuationer (</w:t>
      </w:r>
      <w:proofErr w:type="spellStart"/>
      <w:r>
        <w:rPr>
          <w:sz w:val="24"/>
          <w:szCs w:val="24"/>
          <w:lang w:eastAsia="da-DK"/>
        </w:rPr>
        <w:t>syvfoldige</w:t>
      </w:r>
      <w:proofErr w:type="spellEnd"/>
      <w:r>
        <w:rPr>
          <w:sz w:val="24"/>
          <w:szCs w:val="24"/>
          <w:lang w:eastAsia="da-DK"/>
        </w:rPr>
        <w:t>) i plasmakoncentration. P</w:t>
      </w:r>
      <w:r>
        <w:rPr>
          <w:sz w:val="24"/>
          <w:lang w:eastAsia="da-DK"/>
        </w:rPr>
        <w:t>lasmahalveringstiden er ca. 5 timer (1</w:t>
      </w:r>
      <w:r>
        <w:rPr>
          <w:sz w:val="24"/>
          <w:szCs w:val="24"/>
          <w:lang w:eastAsia="da-DK"/>
        </w:rPr>
        <w:noBreakHyphen/>
      </w:r>
      <w:r>
        <w:rPr>
          <w:sz w:val="24"/>
          <w:lang w:eastAsia="da-DK"/>
        </w:rPr>
        <w:t>10 timer).</w:t>
      </w:r>
      <w:r>
        <w:rPr>
          <w:sz w:val="24"/>
          <w:szCs w:val="24"/>
          <w:lang w:eastAsia="da-DK"/>
        </w:rPr>
        <w:t xml:space="preserve"> Den </w:t>
      </w:r>
      <w:proofErr w:type="spellStart"/>
      <w:r>
        <w:rPr>
          <w:sz w:val="24"/>
          <w:szCs w:val="24"/>
          <w:lang w:eastAsia="da-DK"/>
        </w:rPr>
        <w:t>farmakokinetiske</w:t>
      </w:r>
      <w:proofErr w:type="spellEnd"/>
      <w:r>
        <w:rPr>
          <w:sz w:val="24"/>
          <w:szCs w:val="24"/>
          <w:lang w:eastAsia="da-DK"/>
        </w:rPr>
        <w:t xml:space="preserve"> profil ændres ikke, når </w:t>
      </w:r>
      <w:proofErr w:type="spellStart"/>
      <w:r>
        <w:rPr>
          <w:sz w:val="24"/>
          <w:szCs w:val="24"/>
          <w:lang w:eastAsia="da-DK"/>
        </w:rPr>
        <w:t>alfuzosin</w:t>
      </w:r>
      <w:proofErr w:type="spellEnd"/>
      <w:r>
        <w:rPr>
          <w:sz w:val="24"/>
          <w:szCs w:val="24"/>
          <w:lang w:eastAsia="da-DK"/>
        </w:rPr>
        <w:t xml:space="preserve"> administreres med mad.</w:t>
      </w:r>
    </w:p>
    <w:p w:rsidR="006E7ED6" w:rsidRDefault="006E7ED6" w:rsidP="006E7ED6">
      <w:pPr>
        <w:ind w:left="851"/>
        <w:rPr>
          <w:sz w:val="24"/>
          <w:szCs w:val="24"/>
          <w:lang w:eastAsia="da-DK"/>
        </w:rPr>
      </w:pPr>
    </w:p>
    <w:p w:rsidR="006E7ED6" w:rsidRDefault="006E7ED6" w:rsidP="006E7ED6">
      <w:pPr>
        <w:tabs>
          <w:tab w:val="left" w:pos="-567"/>
        </w:tabs>
        <w:spacing w:line="240" w:lineRule="atLeast"/>
        <w:ind w:left="851"/>
        <w:rPr>
          <w:spacing w:val="-3"/>
          <w:sz w:val="24"/>
          <w:szCs w:val="24"/>
          <w:lang w:eastAsia="da-DK"/>
        </w:rPr>
      </w:pPr>
      <w:r>
        <w:rPr>
          <w:sz w:val="24"/>
          <w:szCs w:val="24"/>
          <w:lang w:eastAsia="da-DK"/>
        </w:rPr>
        <w:t xml:space="preserve">Plasmaproteinbindingen er ca. 90 %. </w:t>
      </w:r>
      <w:proofErr w:type="spellStart"/>
      <w:r>
        <w:rPr>
          <w:sz w:val="24"/>
          <w:szCs w:val="24"/>
          <w:lang w:eastAsia="da-DK"/>
        </w:rPr>
        <w:t>Alfuzosin</w:t>
      </w:r>
      <w:proofErr w:type="spellEnd"/>
      <w:r>
        <w:rPr>
          <w:sz w:val="24"/>
          <w:szCs w:val="24"/>
          <w:lang w:eastAsia="da-DK"/>
        </w:rPr>
        <w:t xml:space="preserve"> elimineres i stor grad ved </w:t>
      </w:r>
      <w:proofErr w:type="spellStart"/>
      <w:r>
        <w:rPr>
          <w:sz w:val="24"/>
          <w:szCs w:val="24"/>
          <w:lang w:eastAsia="da-DK"/>
        </w:rPr>
        <w:t>metabolime</w:t>
      </w:r>
      <w:proofErr w:type="spellEnd"/>
      <w:r>
        <w:rPr>
          <w:sz w:val="24"/>
          <w:szCs w:val="24"/>
          <w:lang w:eastAsia="da-DK"/>
        </w:rPr>
        <w:t xml:space="preserve">, via nyrerne og sandsynligvis også via galden. Efter ekstensiv </w:t>
      </w:r>
      <w:proofErr w:type="spellStart"/>
      <w:r>
        <w:rPr>
          <w:sz w:val="24"/>
          <w:szCs w:val="24"/>
          <w:lang w:eastAsia="da-DK"/>
        </w:rPr>
        <w:t>metabolisering</w:t>
      </w:r>
      <w:proofErr w:type="spellEnd"/>
      <w:r>
        <w:rPr>
          <w:sz w:val="24"/>
          <w:szCs w:val="24"/>
          <w:lang w:eastAsia="da-DK"/>
        </w:rPr>
        <w:t xml:space="preserve"> i leveren kan størstedelen af metabolitterne genfindes i fæces (75</w:t>
      </w:r>
      <w:r>
        <w:rPr>
          <w:sz w:val="24"/>
          <w:szCs w:val="24"/>
          <w:lang w:eastAsia="da-DK"/>
        </w:rPr>
        <w:noBreakHyphen/>
        <w:t xml:space="preserve">91 %). CYP3A4 er det vigtigste </w:t>
      </w:r>
      <w:proofErr w:type="spellStart"/>
      <w:r>
        <w:rPr>
          <w:sz w:val="24"/>
          <w:szCs w:val="24"/>
          <w:lang w:eastAsia="da-DK"/>
        </w:rPr>
        <w:t>hepatiske</w:t>
      </w:r>
      <w:proofErr w:type="spellEnd"/>
      <w:r>
        <w:rPr>
          <w:sz w:val="24"/>
          <w:szCs w:val="24"/>
          <w:lang w:eastAsia="da-DK"/>
        </w:rPr>
        <w:t xml:space="preserve"> </w:t>
      </w:r>
      <w:proofErr w:type="spellStart"/>
      <w:r>
        <w:rPr>
          <w:sz w:val="24"/>
          <w:szCs w:val="24"/>
          <w:lang w:eastAsia="da-DK"/>
        </w:rPr>
        <w:t>isoform</w:t>
      </w:r>
      <w:proofErr w:type="spellEnd"/>
      <w:r>
        <w:rPr>
          <w:sz w:val="24"/>
          <w:szCs w:val="24"/>
          <w:lang w:eastAsia="da-DK"/>
        </w:rPr>
        <w:t xml:space="preserve">-enzym i metabolismen af </w:t>
      </w:r>
      <w:proofErr w:type="spellStart"/>
      <w:r>
        <w:rPr>
          <w:sz w:val="24"/>
          <w:szCs w:val="24"/>
          <w:lang w:eastAsia="da-DK"/>
        </w:rPr>
        <w:t>alfuzosin</w:t>
      </w:r>
      <w:proofErr w:type="spellEnd"/>
      <w:r>
        <w:rPr>
          <w:sz w:val="24"/>
          <w:szCs w:val="24"/>
          <w:lang w:eastAsia="da-DK"/>
        </w:rPr>
        <w:t xml:space="preserve"> (se pkt. 4.5). </w:t>
      </w:r>
      <w:r>
        <w:rPr>
          <w:spacing w:val="-3"/>
          <w:sz w:val="24"/>
          <w:szCs w:val="24"/>
          <w:lang w:eastAsia="da-DK"/>
        </w:rPr>
        <w:t>Ingen af metabolitterne har nogen farmakologisk aktivitet.</w:t>
      </w:r>
    </w:p>
    <w:p w:rsidR="006E7ED6" w:rsidRDefault="006E7ED6" w:rsidP="006E7ED6">
      <w:pPr>
        <w:tabs>
          <w:tab w:val="left" w:pos="-142"/>
        </w:tabs>
        <w:spacing w:line="240" w:lineRule="atLeast"/>
        <w:ind w:left="851"/>
        <w:rPr>
          <w:sz w:val="24"/>
          <w:szCs w:val="24"/>
          <w:lang w:eastAsia="da-DK"/>
        </w:rPr>
      </w:pPr>
    </w:p>
    <w:p w:rsidR="006E7ED6" w:rsidRDefault="006E7ED6" w:rsidP="006E7ED6">
      <w:pPr>
        <w:tabs>
          <w:tab w:val="left" w:pos="-142"/>
          <w:tab w:val="left" w:pos="851"/>
        </w:tabs>
        <w:spacing w:line="240" w:lineRule="atLeast"/>
        <w:ind w:left="851"/>
        <w:rPr>
          <w:sz w:val="24"/>
          <w:lang w:eastAsia="da-DK"/>
        </w:rPr>
      </w:pPr>
      <w:r>
        <w:rPr>
          <w:spacing w:val="-3"/>
          <w:sz w:val="24"/>
          <w:szCs w:val="24"/>
          <w:lang w:eastAsia="da-DK"/>
        </w:rPr>
        <w:t xml:space="preserve">Fordelingsvolumen og </w:t>
      </w:r>
      <w:proofErr w:type="spellStart"/>
      <w:r>
        <w:rPr>
          <w:spacing w:val="-3"/>
          <w:sz w:val="24"/>
          <w:szCs w:val="24"/>
          <w:lang w:eastAsia="da-DK"/>
        </w:rPr>
        <w:t>clearance</w:t>
      </w:r>
      <w:proofErr w:type="spellEnd"/>
      <w:r>
        <w:rPr>
          <w:spacing w:val="-3"/>
          <w:sz w:val="24"/>
          <w:szCs w:val="24"/>
          <w:lang w:eastAsia="da-DK"/>
        </w:rPr>
        <w:t xml:space="preserve"> er øget ved nedsat nyrefunktion, muligvis som følge af en nedsat grad af proteinbinding. </w:t>
      </w:r>
      <w:r>
        <w:rPr>
          <w:sz w:val="24"/>
          <w:lang w:eastAsia="da-DK"/>
        </w:rPr>
        <w:t>Halveringstiden er dog uændret. Hos patienter med alvorlig leverinsufficiens er eliminationshalveringstiden forlænget. Der er observeret en to-</w:t>
      </w:r>
      <w:proofErr w:type="spellStart"/>
      <w:r>
        <w:rPr>
          <w:sz w:val="24"/>
          <w:lang w:eastAsia="da-DK"/>
        </w:rPr>
        <w:t>foldig</w:t>
      </w:r>
      <w:proofErr w:type="spellEnd"/>
      <w:r>
        <w:rPr>
          <w:sz w:val="24"/>
          <w:lang w:eastAsia="da-DK"/>
        </w:rPr>
        <w:t xml:space="preserve"> stigning i </w:t>
      </w:r>
      <w:proofErr w:type="spellStart"/>
      <w:r>
        <w:rPr>
          <w:sz w:val="24"/>
          <w:lang w:eastAsia="da-DK"/>
        </w:rPr>
        <w:t>C</w:t>
      </w:r>
      <w:r>
        <w:rPr>
          <w:sz w:val="24"/>
          <w:vertAlign w:val="subscript"/>
          <w:lang w:eastAsia="da-DK"/>
        </w:rPr>
        <w:t>max</w:t>
      </w:r>
      <w:proofErr w:type="spellEnd"/>
      <w:r>
        <w:rPr>
          <w:sz w:val="24"/>
          <w:lang w:eastAsia="da-DK"/>
        </w:rPr>
        <w:t xml:space="preserve"> og en </w:t>
      </w:r>
      <w:proofErr w:type="spellStart"/>
      <w:r>
        <w:rPr>
          <w:sz w:val="24"/>
          <w:lang w:eastAsia="da-DK"/>
        </w:rPr>
        <w:t>tre-foldig</w:t>
      </w:r>
      <w:proofErr w:type="spellEnd"/>
      <w:r>
        <w:rPr>
          <w:sz w:val="24"/>
          <w:lang w:eastAsia="da-DK"/>
        </w:rPr>
        <w:t xml:space="preserve"> stigning i AUC. Biotilgængeligheden er øget sammenlignet med raske frivillige.</w:t>
      </w:r>
    </w:p>
    <w:p w:rsidR="006E7ED6" w:rsidRDefault="006E7ED6" w:rsidP="006E7ED6">
      <w:pPr>
        <w:tabs>
          <w:tab w:val="left" w:pos="-142"/>
          <w:tab w:val="left" w:pos="851"/>
        </w:tabs>
        <w:spacing w:line="240" w:lineRule="atLeast"/>
        <w:ind w:left="851"/>
        <w:rPr>
          <w:sz w:val="24"/>
          <w:lang w:eastAsia="da-DK"/>
        </w:rPr>
      </w:pPr>
    </w:p>
    <w:p w:rsidR="006E7ED6" w:rsidRDefault="006E7ED6" w:rsidP="006E7ED6">
      <w:pPr>
        <w:tabs>
          <w:tab w:val="left" w:pos="-142"/>
          <w:tab w:val="left" w:pos="851"/>
        </w:tabs>
        <w:spacing w:line="240" w:lineRule="atLeast"/>
        <w:ind w:left="851"/>
        <w:rPr>
          <w:sz w:val="24"/>
          <w:lang w:eastAsia="da-DK"/>
        </w:rPr>
      </w:pPr>
      <w:r>
        <w:rPr>
          <w:sz w:val="24"/>
          <w:lang w:eastAsia="da-DK"/>
        </w:rPr>
        <w:t>Ældre personer har en højere biotilgængelighed der fører til højere maksimale plasmakoncentrationer, men uændret halveringstid.</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5.3</w:t>
      </w:r>
      <w:r w:rsidRPr="00C84483">
        <w:rPr>
          <w:b/>
          <w:sz w:val="24"/>
          <w:szCs w:val="24"/>
        </w:rPr>
        <w:tab/>
      </w:r>
      <w:r w:rsidR="00BD058C">
        <w:rPr>
          <w:b/>
          <w:sz w:val="24"/>
          <w:szCs w:val="24"/>
        </w:rPr>
        <w:t>Non-</w:t>
      </w:r>
      <w:r w:rsidRPr="00C84483">
        <w:rPr>
          <w:b/>
          <w:sz w:val="24"/>
          <w:szCs w:val="24"/>
        </w:rPr>
        <w:t>kliniske sikkerhedsdata</w:t>
      </w:r>
    </w:p>
    <w:p w:rsidR="006E7ED6" w:rsidRDefault="006E7ED6" w:rsidP="006E7ED6">
      <w:pPr>
        <w:ind w:left="851"/>
        <w:rPr>
          <w:noProof/>
          <w:sz w:val="24"/>
          <w:szCs w:val="24"/>
          <w:lang w:eastAsia="da-DK"/>
        </w:rPr>
      </w:pPr>
      <w:r>
        <w:rPr>
          <w:sz w:val="24"/>
          <w:szCs w:val="24"/>
          <w:lang w:eastAsia="da-DK"/>
        </w:rPr>
        <w:t xml:space="preserve">Non-kliniske data </w:t>
      </w:r>
      <w:r>
        <w:rPr>
          <w:color w:val="000000"/>
          <w:sz w:val="24"/>
          <w:szCs w:val="24"/>
          <w:lang w:eastAsia="da-DK"/>
        </w:rPr>
        <w:t>viser ingen speciel risiko for mennesker.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0F25A9" w:rsidRPr="00BA09F1"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6.1</w:t>
      </w:r>
      <w:r w:rsidRPr="00C84483">
        <w:rPr>
          <w:b/>
          <w:sz w:val="24"/>
          <w:szCs w:val="24"/>
        </w:rPr>
        <w:tab/>
        <w:t>Hjælpestoffer</w:t>
      </w:r>
    </w:p>
    <w:p w:rsidR="000F25A9" w:rsidRDefault="000F25A9" w:rsidP="001C553C">
      <w:pPr>
        <w:ind w:left="851"/>
        <w:rPr>
          <w:sz w:val="24"/>
          <w:szCs w:val="24"/>
          <w:u w:val="single"/>
          <w:lang w:eastAsia="da-DK"/>
        </w:rPr>
      </w:pPr>
    </w:p>
    <w:p w:rsidR="000F25A9" w:rsidRPr="00FF07AA" w:rsidRDefault="000F25A9" w:rsidP="001C553C">
      <w:pPr>
        <w:ind w:left="851"/>
        <w:rPr>
          <w:sz w:val="24"/>
          <w:szCs w:val="24"/>
          <w:lang w:eastAsia="da-DK"/>
        </w:rPr>
      </w:pPr>
      <w:r w:rsidRPr="00FF07AA">
        <w:rPr>
          <w:sz w:val="24"/>
          <w:szCs w:val="24"/>
          <w:u w:val="single"/>
          <w:lang w:eastAsia="da-DK"/>
        </w:rPr>
        <w:t>Tabletkerne</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Natriumstivelsesglycolat</w:t>
      </w:r>
      <w:proofErr w:type="spellEnd"/>
      <w:r w:rsidRPr="00FF07AA">
        <w:rPr>
          <w:spacing w:val="-3"/>
          <w:sz w:val="24"/>
          <w:szCs w:val="24"/>
          <w:lang w:eastAsia="da-DK"/>
        </w:rPr>
        <w:t xml:space="preserve"> (type A)</w:t>
      </w:r>
    </w:p>
    <w:p w:rsidR="000F25A9" w:rsidRPr="00FF07AA" w:rsidRDefault="000F25A9" w:rsidP="001C553C">
      <w:pPr>
        <w:ind w:left="851"/>
        <w:rPr>
          <w:spacing w:val="-3"/>
          <w:sz w:val="24"/>
          <w:szCs w:val="24"/>
          <w:lang w:eastAsia="da-DK"/>
        </w:rPr>
      </w:pPr>
      <w:r w:rsidRPr="00FF07AA">
        <w:rPr>
          <w:spacing w:val="-3"/>
          <w:sz w:val="24"/>
          <w:szCs w:val="24"/>
          <w:lang w:eastAsia="da-DK"/>
        </w:rPr>
        <w:t>Cellulose, mikrokrystallinsk</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Lactosemonohydrat</w:t>
      </w:r>
      <w:proofErr w:type="spellEnd"/>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Povidon</w:t>
      </w:r>
      <w:proofErr w:type="spellEnd"/>
      <w:r w:rsidRPr="00FF07AA">
        <w:rPr>
          <w:spacing w:val="-3"/>
          <w:sz w:val="24"/>
          <w:szCs w:val="24"/>
          <w:lang w:eastAsia="da-DK"/>
        </w:rPr>
        <w:t xml:space="preserve"> </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Magnesiumstearat</w:t>
      </w:r>
      <w:proofErr w:type="spellEnd"/>
    </w:p>
    <w:p w:rsidR="000F25A9" w:rsidRPr="00FF07AA" w:rsidRDefault="000F25A9" w:rsidP="001C553C">
      <w:pPr>
        <w:ind w:left="851"/>
        <w:rPr>
          <w:spacing w:val="-3"/>
          <w:sz w:val="24"/>
          <w:szCs w:val="24"/>
          <w:lang w:eastAsia="da-DK"/>
        </w:rPr>
      </w:pPr>
    </w:p>
    <w:p w:rsidR="000F25A9" w:rsidRPr="00FF07AA" w:rsidRDefault="000F25A9" w:rsidP="001C553C">
      <w:pPr>
        <w:ind w:left="851"/>
        <w:rPr>
          <w:spacing w:val="-3"/>
          <w:sz w:val="24"/>
          <w:szCs w:val="24"/>
          <w:u w:val="single"/>
          <w:lang w:eastAsia="da-DK"/>
        </w:rPr>
      </w:pPr>
      <w:r w:rsidRPr="00FF07AA">
        <w:rPr>
          <w:spacing w:val="-3"/>
          <w:sz w:val="24"/>
          <w:szCs w:val="24"/>
          <w:u w:val="single"/>
          <w:lang w:eastAsia="da-DK"/>
        </w:rPr>
        <w:t>Filmovertræk</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Hypromellose</w:t>
      </w:r>
      <w:proofErr w:type="spellEnd"/>
      <w:r w:rsidRPr="00FF07AA">
        <w:rPr>
          <w:spacing w:val="-3"/>
          <w:sz w:val="24"/>
          <w:szCs w:val="24"/>
          <w:lang w:eastAsia="da-DK"/>
        </w:rPr>
        <w:t xml:space="preserve"> </w:t>
      </w:r>
    </w:p>
    <w:p w:rsidR="000F25A9" w:rsidRPr="00FF07AA" w:rsidRDefault="000F25A9" w:rsidP="001C553C">
      <w:pPr>
        <w:ind w:left="851"/>
        <w:rPr>
          <w:spacing w:val="-3"/>
          <w:sz w:val="24"/>
          <w:szCs w:val="24"/>
          <w:lang w:eastAsia="da-DK"/>
        </w:rPr>
      </w:pPr>
      <w:proofErr w:type="spellStart"/>
      <w:r w:rsidRPr="00FF07AA">
        <w:rPr>
          <w:spacing w:val="-3"/>
          <w:sz w:val="24"/>
          <w:szCs w:val="24"/>
          <w:lang w:eastAsia="da-DK"/>
        </w:rPr>
        <w:t>Macrogoler</w:t>
      </w:r>
      <w:proofErr w:type="spellEnd"/>
    </w:p>
    <w:p w:rsidR="000F25A9" w:rsidRPr="002A7DDF" w:rsidRDefault="000F25A9" w:rsidP="001C553C">
      <w:pPr>
        <w:ind w:left="851"/>
        <w:rPr>
          <w:spacing w:val="-3"/>
          <w:sz w:val="24"/>
          <w:szCs w:val="24"/>
          <w:lang w:eastAsia="da-DK"/>
        </w:rPr>
      </w:pPr>
      <w:r w:rsidRPr="00FF07AA">
        <w:rPr>
          <w:spacing w:val="-3"/>
          <w:sz w:val="24"/>
          <w:szCs w:val="24"/>
          <w:lang w:eastAsia="da-DK"/>
        </w:rPr>
        <w:t>Titandioxid (E171)</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6.2</w:t>
      </w:r>
      <w:r w:rsidRPr="00C84483">
        <w:rPr>
          <w:b/>
          <w:sz w:val="24"/>
          <w:szCs w:val="24"/>
        </w:rPr>
        <w:tab/>
        <w:t>Uforligeligheder</w:t>
      </w:r>
    </w:p>
    <w:p w:rsidR="000F25A9" w:rsidRPr="00C84483" w:rsidRDefault="000F25A9" w:rsidP="000F25A9">
      <w:pPr>
        <w:tabs>
          <w:tab w:val="left" w:pos="851"/>
        </w:tabs>
        <w:ind w:left="855"/>
        <w:rPr>
          <w:sz w:val="24"/>
          <w:szCs w:val="24"/>
          <w:lang w:eastAsia="da-DK"/>
        </w:rPr>
      </w:pPr>
      <w:r w:rsidRPr="00FF07AA">
        <w:rPr>
          <w:sz w:val="24"/>
          <w:szCs w:val="24"/>
          <w:lang w:eastAsia="da-DK"/>
        </w:rPr>
        <w:t>Ikke relevant.</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6.3</w:t>
      </w:r>
      <w:r w:rsidRPr="00C84483">
        <w:rPr>
          <w:b/>
          <w:sz w:val="24"/>
          <w:szCs w:val="24"/>
        </w:rPr>
        <w:tab/>
        <w:t>Opbevaringstid</w:t>
      </w:r>
    </w:p>
    <w:p w:rsidR="000F25A9" w:rsidRPr="00C84483" w:rsidRDefault="002057C0" w:rsidP="000F25A9">
      <w:pPr>
        <w:tabs>
          <w:tab w:val="left" w:pos="851"/>
        </w:tabs>
        <w:ind w:left="855"/>
        <w:rPr>
          <w:sz w:val="24"/>
          <w:szCs w:val="24"/>
          <w:lang w:eastAsia="da-DK"/>
        </w:rPr>
      </w:pPr>
      <w:r>
        <w:rPr>
          <w:sz w:val="24"/>
          <w:szCs w:val="24"/>
          <w:lang w:eastAsia="da-DK"/>
        </w:rPr>
        <w:t>2</w:t>
      </w:r>
      <w:r w:rsidR="00BD058C">
        <w:rPr>
          <w:sz w:val="24"/>
          <w:szCs w:val="24"/>
          <w:lang w:eastAsia="da-DK"/>
        </w:rPr>
        <w:t> </w:t>
      </w:r>
      <w:r w:rsidR="000F25A9" w:rsidRPr="00FF07AA">
        <w:rPr>
          <w:sz w:val="24"/>
          <w:szCs w:val="24"/>
          <w:lang w:eastAsia="da-DK"/>
        </w:rPr>
        <w:t>år.</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0F25A9" w:rsidRPr="0044562E" w:rsidRDefault="000F25A9" w:rsidP="000F25A9">
      <w:pPr>
        <w:tabs>
          <w:tab w:val="left" w:pos="0"/>
          <w:tab w:val="left" w:pos="851"/>
        </w:tabs>
        <w:ind w:left="855"/>
        <w:rPr>
          <w:spacing w:val="-3"/>
          <w:sz w:val="24"/>
          <w:szCs w:val="24"/>
          <w:lang w:eastAsia="da-DK"/>
        </w:rPr>
      </w:pPr>
      <w:r w:rsidRPr="00FF07AA">
        <w:rPr>
          <w:noProof/>
          <w:sz w:val="24"/>
          <w:szCs w:val="24"/>
          <w:lang w:eastAsia="da-DK"/>
        </w:rPr>
        <w:t>Dette lægemiddel kræver ingen særlige forholdsregler vedrørende opbevaringen.</w:t>
      </w:r>
    </w:p>
    <w:p w:rsidR="000F25A9" w:rsidRPr="00C84483" w:rsidRDefault="000F25A9"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rsidR="00CE180E" w:rsidRDefault="006D2D45" w:rsidP="006D2D45">
      <w:pPr>
        <w:ind w:left="851"/>
        <w:rPr>
          <w:sz w:val="24"/>
          <w:szCs w:val="24"/>
          <w:lang w:eastAsia="da-DK"/>
        </w:rPr>
      </w:pPr>
      <w:r>
        <w:rPr>
          <w:sz w:val="24"/>
          <w:szCs w:val="24"/>
          <w:lang w:eastAsia="da-DK"/>
        </w:rPr>
        <w:t>Blister</w:t>
      </w:r>
      <w:r w:rsidR="00CE180E">
        <w:rPr>
          <w:sz w:val="24"/>
          <w:szCs w:val="24"/>
          <w:lang w:eastAsia="da-DK"/>
        </w:rPr>
        <w:t>.</w:t>
      </w:r>
    </w:p>
    <w:p w:rsidR="000F25A9" w:rsidRPr="00C84483" w:rsidRDefault="000F25A9" w:rsidP="000F25A9">
      <w:pPr>
        <w:tabs>
          <w:tab w:val="left" w:pos="851"/>
        </w:tabs>
        <w:ind w:left="851"/>
        <w:rPr>
          <w:sz w:val="24"/>
          <w:szCs w:val="24"/>
        </w:rPr>
      </w:pPr>
    </w:p>
    <w:p w:rsidR="000F25A9" w:rsidRPr="0044562E" w:rsidRDefault="000F25A9" w:rsidP="000F25A9">
      <w:pPr>
        <w:tabs>
          <w:tab w:val="left" w:pos="851"/>
        </w:tabs>
        <w:ind w:left="851" w:hanging="851"/>
        <w:rPr>
          <w:b/>
          <w:sz w:val="24"/>
          <w:szCs w:val="24"/>
        </w:rPr>
      </w:pPr>
      <w:r w:rsidRPr="00C84483">
        <w:rPr>
          <w:b/>
          <w:sz w:val="24"/>
          <w:szCs w:val="24"/>
        </w:rPr>
        <w:t>6.6</w:t>
      </w:r>
      <w:r w:rsidRPr="0044562E">
        <w:rPr>
          <w:b/>
          <w:sz w:val="24"/>
          <w:szCs w:val="24"/>
        </w:rPr>
        <w:tab/>
        <w:t xml:space="preserve">Regler for </w:t>
      </w:r>
      <w:r w:rsidR="00BD058C">
        <w:rPr>
          <w:b/>
          <w:sz w:val="24"/>
          <w:szCs w:val="24"/>
        </w:rPr>
        <w:t>bortskaffelse</w:t>
      </w:r>
      <w:r w:rsidRPr="0044562E">
        <w:rPr>
          <w:b/>
          <w:sz w:val="24"/>
          <w:szCs w:val="24"/>
        </w:rPr>
        <w:t xml:space="preserve"> og anden håndtering</w:t>
      </w:r>
    </w:p>
    <w:p w:rsidR="006D2D45" w:rsidRDefault="006D2D45" w:rsidP="006D2D45">
      <w:pPr>
        <w:ind w:left="851"/>
        <w:rPr>
          <w:sz w:val="24"/>
          <w:szCs w:val="24"/>
          <w:lang w:eastAsia="da-DK"/>
        </w:rPr>
      </w:pPr>
      <w:r>
        <w:rPr>
          <w:sz w:val="24"/>
          <w:szCs w:val="24"/>
          <w:lang w:eastAsia="da-DK"/>
        </w:rPr>
        <w:t>Ikke anvendt lægemiddel samt affald heraf skal bortskaffes i henhold til lokale retningslinjer.</w:t>
      </w:r>
    </w:p>
    <w:p w:rsidR="000F25A9" w:rsidRDefault="000F25A9" w:rsidP="000F25A9">
      <w:pPr>
        <w:tabs>
          <w:tab w:val="left" w:pos="851"/>
        </w:tabs>
        <w:ind w:left="851"/>
        <w:jc w:val="both"/>
        <w:rPr>
          <w:sz w:val="24"/>
          <w:szCs w:val="24"/>
        </w:rPr>
      </w:pPr>
    </w:p>
    <w:p w:rsidR="006E7ED6" w:rsidRPr="0044562E" w:rsidRDefault="006E7ED6" w:rsidP="000F25A9">
      <w:pPr>
        <w:tabs>
          <w:tab w:val="left" w:pos="851"/>
        </w:tabs>
        <w:ind w:left="851"/>
        <w:jc w:val="both"/>
        <w:rPr>
          <w:sz w:val="24"/>
          <w:szCs w:val="24"/>
        </w:rPr>
      </w:pPr>
    </w:p>
    <w:p w:rsidR="000F25A9" w:rsidRPr="0044562E" w:rsidRDefault="000F25A9" w:rsidP="000F25A9">
      <w:pPr>
        <w:tabs>
          <w:tab w:val="left" w:pos="851"/>
        </w:tabs>
        <w:ind w:left="851" w:hanging="851"/>
        <w:rPr>
          <w:b/>
          <w:sz w:val="24"/>
          <w:szCs w:val="24"/>
        </w:rPr>
      </w:pPr>
      <w:r w:rsidRPr="0044562E">
        <w:rPr>
          <w:b/>
          <w:sz w:val="24"/>
          <w:szCs w:val="24"/>
        </w:rPr>
        <w:t>7.</w:t>
      </w:r>
      <w:r w:rsidRPr="0044562E">
        <w:rPr>
          <w:b/>
          <w:sz w:val="24"/>
          <w:szCs w:val="24"/>
        </w:rPr>
        <w:tab/>
        <w:t>INDEHAVER AF MARKEDSFØRINGSTILLADELSEN</w:t>
      </w:r>
    </w:p>
    <w:p w:rsidR="00CE180E" w:rsidRPr="004026FA" w:rsidRDefault="00CE180E" w:rsidP="00CE180E">
      <w:pPr>
        <w:ind w:left="851"/>
        <w:rPr>
          <w:sz w:val="24"/>
          <w:szCs w:val="24"/>
        </w:rPr>
      </w:pPr>
      <w:r w:rsidRPr="004026FA">
        <w:rPr>
          <w:sz w:val="24"/>
          <w:szCs w:val="24"/>
        </w:rPr>
        <w:t>Nordic Prime ApS</w:t>
      </w:r>
    </w:p>
    <w:p w:rsidR="00CE180E" w:rsidRPr="004026FA" w:rsidRDefault="00CE180E" w:rsidP="00CE180E">
      <w:pPr>
        <w:ind w:left="851"/>
        <w:rPr>
          <w:sz w:val="24"/>
          <w:szCs w:val="24"/>
        </w:rPr>
      </w:pPr>
      <w:r w:rsidRPr="004026FA">
        <w:rPr>
          <w:sz w:val="24"/>
          <w:szCs w:val="24"/>
        </w:rPr>
        <w:t>Niels Bohrs Vej 6</w:t>
      </w:r>
    </w:p>
    <w:p w:rsidR="00CE180E" w:rsidRPr="004026FA" w:rsidRDefault="00CE180E" w:rsidP="00CE180E">
      <w:pPr>
        <w:ind w:left="851"/>
        <w:rPr>
          <w:sz w:val="24"/>
          <w:szCs w:val="24"/>
        </w:rPr>
      </w:pPr>
      <w:r w:rsidRPr="004026FA">
        <w:rPr>
          <w:sz w:val="24"/>
          <w:szCs w:val="24"/>
        </w:rPr>
        <w:t>6700 Esbjerg</w:t>
      </w:r>
    </w:p>
    <w:p w:rsidR="00CE180E" w:rsidRPr="00E83A95" w:rsidRDefault="00CE180E" w:rsidP="00CE180E">
      <w:pPr>
        <w:ind w:left="851"/>
      </w:pPr>
    </w:p>
    <w:p w:rsidR="006E7ED6" w:rsidRPr="0044562E" w:rsidRDefault="006E7ED6" w:rsidP="000720E9">
      <w:pPr>
        <w:tabs>
          <w:tab w:val="left" w:pos="851"/>
        </w:tabs>
        <w:rPr>
          <w:sz w:val="24"/>
          <w:szCs w:val="24"/>
        </w:rPr>
      </w:pPr>
      <w:bookmarkStart w:id="1" w:name="_GoBack"/>
      <w:bookmarkEnd w:id="1"/>
    </w:p>
    <w:p w:rsidR="000F25A9" w:rsidRPr="0044562E" w:rsidRDefault="000F25A9" w:rsidP="000F25A9">
      <w:pPr>
        <w:tabs>
          <w:tab w:val="left" w:pos="851"/>
        </w:tabs>
        <w:ind w:left="851" w:hanging="851"/>
        <w:rPr>
          <w:b/>
          <w:sz w:val="24"/>
          <w:szCs w:val="24"/>
        </w:rPr>
      </w:pPr>
      <w:r w:rsidRPr="0044562E">
        <w:rPr>
          <w:b/>
          <w:sz w:val="24"/>
          <w:szCs w:val="24"/>
        </w:rPr>
        <w:t>8.</w:t>
      </w:r>
      <w:r w:rsidRPr="0044562E">
        <w:rPr>
          <w:b/>
          <w:sz w:val="24"/>
          <w:szCs w:val="24"/>
        </w:rPr>
        <w:tab/>
        <w:t>MARKEDSFØRINGSTILLADELSESNUMMER (</w:t>
      </w:r>
      <w:r w:rsidR="00BD058C">
        <w:rPr>
          <w:b/>
          <w:sz w:val="24"/>
          <w:szCs w:val="24"/>
        </w:rPr>
        <w:t>-</w:t>
      </w:r>
      <w:r w:rsidRPr="0044562E">
        <w:rPr>
          <w:b/>
          <w:sz w:val="24"/>
          <w:szCs w:val="24"/>
        </w:rPr>
        <w:t>NUMRE)</w:t>
      </w:r>
    </w:p>
    <w:p w:rsidR="000F25A9" w:rsidRPr="0044562E" w:rsidRDefault="00CE180E" w:rsidP="000F25A9">
      <w:pPr>
        <w:tabs>
          <w:tab w:val="left" w:pos="851"/>
        </w:tabs>
        <w:ind w:left="851"/>
        <w:rPr>
          <w:sz w:val="24"/>
          <w:szCs w:val="24"/>
        </w:rPr>
      </w:pPr>
      <w:r>
        <w:rPr>
          <w:sz w:val="24"/>
          <w:szCs w:val="24"/>
        </w:rPr>
        <w:t>75076</w:t>
      </w:r>
    </w:p>
    <w:p w:rsidR="000F25A9" w:rsidRDefault="000F25A9" w:rsidP="000F25A9">
      <w:pPr>
        <w:tabs>
          <w:tab w:val="left" w:pos="851"/>
        </w:tabs>
        <w:ind w:left="851"/>
        <w:jc w:val="both"/>
        <w:rPr>
          <w:sz w:val="24"/>
          <w:szCs w:val="24"/>
        </w:rPr>
      </w:pPr>
    </w:p>
    <w:p w:rsidR="006E7ED6" w:rsidRPr="0044562E" w:rsidRDefault="006E7ED6" w:rsidP="000F25A9">
      <w:pPr>
        <w:tabs>
          <w:tab w:val="left" w:pos="851"/>
        </w:tabs>
        <w:ind w:left="851"/>
        <w:jc w:val="both"/>
        <w:rPr>
          <w:sz w:val="24"/>
          <w:szCs w:val="24"/>
        </w:rPr>
      </w:pPr>
    </w:p>
    <w:p w:rsidR="000F25A9" w:rsidRPr="00C84483" w:rsidRDefault="000F25A9" w:rsidP="000F25A9">
      <w:pPr>
        <w:tabs>
          <w:tab w:val="left" w:pos="851"/>
        </w:tabs>
        <w:ind w:left="851" w:hanging="851"/>
        <w:rPr>
          <w:b/>
          <w:sz w:val="24"/>
          <w:szCs w:val="24"/>
        </w:rPr>
      </w:pPr>
      <w:r w:rsidRPr="0044562E">
        <w:rPr>
          <w:b/>
          <w:sz w:val="24"/>
          <w:szCs w:val="24"/>
        </w:rPr>
        <w:t>9.</w:t>
      </w:r>
      <w:r w:rsidRPr="0044562E">
        <w:rPr>
          <w:b/>
          <w:sz w:val="24"/>
          <w:szCs w:val="24"/>
        </w:rPr>
        <w:tab/>
        <w:t>DATO</w:t>
      </w:r>
      <w:r w:rsidRPr="00C84483">
        <w:rPr>
          <w:b/>
          <w:sz w:val="24"/>
          <w:szCs w:val="24"/>
        </w:rPr>
        <w:t xml:space="preserve"> FOR FØRSTE MARKEDSFØRINGSTILLADELSE</w:t>
      </w:r>
    </w:p>
    <w:p w:rsidR="000F25A9" w:rsidRPr="00C84483" w:rsidRDefault="000F25A9" w:rsidP="000F25A9">
      <w:pPr>
        <w:tabs>
          <w:tab w:val="left" w:pos="851"/>
        </w:tabs>
        <w:ind w:left="851"/>
        <w:rPr>
          <w:sz w:val="24"/>
          <w:szCs w:val="24"/>
        </w:rPr>
      </w:pPr>
      <w:r>
        <w:rPr>
          <w:sz w:val="24"/>
          <w:szCs w:val="24"/>
        </w:rPr>
        <w:t xml:space="preserve">15. </w:t>
      </w:r>
      <w:r w:rsidR="00CE180E">
        <w:rPr>
          <w:sz w:val="24"/>
          <w:szCs w:val="24"/>
        </w:rPr>
        <w:t>december 2025</w:t>
      </w:r>
    </w:p>
    <w:p w:rsidR="000F25A9" w:rsidRDefault="000F25A9" w:rsidP="000F25A9">
      <w:pPr>
        <w:tabs>
          <w:tab w:val="left" w:pos="851"/>
        </w:tabs>
        <w:ind w:left="851"/>
        <w:rPr>
          <w:sz w:val="24"/>
          <w:szCs w:val="24"/>
        </w:rPr>
      </w:pPr>
    </w:p>
    <w:p w:rsidR="006E7ED6" w:rsidRPr="00C84483" w:rsidRDefault="006E7ED6" w:rsidP="000F25A9">
      <w:pPr>
        <w:tabs>
          <w:tab w:val="left" w:pos="851"/>
        </w:tabs>
        <w:ind w:left="851"/>
        <w:rPr>
          <w:sz w:val="24"/>
          <w:szCs w:val="24"/>
        </w:rPr>
      </w:pPr>
    </w:p>
    <w:p w:rsidR="000F25A9" w:rsidRPr="00C84483" w:rsidRDefault="000F25A9" w:rsidP="000F25A9">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0F25A9" w:rsidRPr="00C84483" w:rsidRDefault="00F57E04" w:rsidP="000F25A9">
      <w:pPr>
        <w:tabs>
          <w:tab w:val="left" w:pos="851"/>
        </w:tabs>
        <w:ind w:left="851"/>
        <w:rPr>
          <w:sz w:val="24"/>
          <w:szCs w:val="24"/>
        </w:rPr>
      </w:pPr>
      <w:r>
        <w:rPr>
          <w:sz w:val="24"/>
          <w:szCs w:val="24"/>
        </w:rPr>
        <w:t>14. januar 2026</w:t>
      </w:r>
    </w:p>
    <w:sectPr w:rsidR="000F25A9"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25A9" w:rsidRDefault="000F25A9">
      <w:r>
        <w:separator/>
      </w:r>
    </w:p>
  </w:endnote>
  <w:endnote w:type="continuationSeparator" w:id="0">
    <w:p w:rsidR="000F25A9" w:rsidRDefault="000F2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CE180E" w:rsidP="00C42586">
    <w:pPr>
      <w:pStyle w:val="Sidefod"/>
      <w:tabs>
        <w:tab w:val="clear" w:pos="4819"/>
        <w:tab w:val="left" w:pos="8505"/>
      </w:tabs>
      <w:rPr>
        <w:i/>
        <w:sz w:val="18"/>
        <w:szCs w:val="18"/>
      </w:rPr>
    </w:pPr>
    <w:proofErr w:type="spellStart"/>
    <w:r w:rsidRPr="00CE180E">
      <w:rPr>
        <w:i/>
        <w:sz w:val="18"/>
        <w:szCs w:val="18"/>
      </w:rPr>
      <w:t>Alprimox</w:t>
    </w:r>
    <w:proofErr w:type="spellEnd"/>
    <w:r>
      <w:rPr>
        <w:i/>
        <w:sz w:val="18"/>
        <w:szCs w:val="18"/>
      </w:rPr>
      <w:t xml:space="preserve"> (Nordic Prime)</w:t>
    </w:r>
    <w:r w:rsidR="00AB4011" w:rsidRPr="00AB4011">
      <w:rPr>
        <w:i/>
        <w:sz w:val="18"/>
        <w:szCs w:val="18"/>
      </w:rPr>
      <w:t>, filmovertrukne tabletter 2,5 mg</w:t>
    </w:r>
    <w:r w:rsidR="000259B9" w:rsidRPr="00B373D7">
      <w:rPr>
        <w:i/>
        <w:sz w:val="18"/>
        <w:szCs w:val="18"/>
      </w:rPr>
      <w:tab/>
      <w:t xml:space="preserve">Side </w:t>
    </w:r>
    <w:r w:rsidR="00782AF4" w:rsidRPr="00B373D7">
      <w:rPr>
        <w:rStyle w:val="Sidetal"/>
        <w:i/>
        <w:sz w:val="18"/>
        <w:szCs w:val="18"/>
      </w:rPr>
      <w:fldChar w:fldCharType="begin"/>
    </w:r>
    <w:r w:rsidR="000259B9" w:rsidRPr="00B373D7">
      <w:rPr>
        <w:rStyle w:val="Sidetal"/>
        <w:i/>
        <w:sz w:val="18"/>
        <w:szCs w:val="18"/>
      </w:rPr>
      <w:instrText xml:space="preserve"> PAGE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r w:rsidR="000259B9" w:rsidRPr="00B373D7">
      <w:rPr>
        <w:rStyle w:val="Sidetal"/>
        <w:i/>
        <w:sz w:val="18"/>
        <w:szCs w:val="18"/>
      </w:rPr>
      <w:t xml:space="preserve"> af </w:t>
    </w:r>
    <w:r w:rsidR="00782AF4" w:rsidRPr="00B373D7">
      <w:rPr>
        <w:rStyle w:val="Sidetal"/>
        <w:i/>
        <w:sz w:val="18"/>
        <w:szCs w:val="18"/>
      </w:rPr>
      <w:fldChar w:fldCharType="begin"/>
    </w:r>
    <w:r w:rsidR="000259B9" w:rsidRPr="00B373D7">
      <w:rPr>
        <w:rStyle w:val="Sidetal"/>
        <w:i/>
        <w:sz w:val="18"/>
        <w:szCs w:val="18"/>
      </w:rPr>
      <w:instrText xml:space="preserve"> NUMPAGES </w:instrText>
    </w:r>
    <w:r w:rsidR="00782AF4" w:rsidRPr="00B373D7">
      <w:rPr>
        <w:rStyle w:val="Sidetal"/>
        <w:i/>
        <w:sz w:val="18"/>
        <w:szCs w:val="18"/>
      </w:rPr>
      <w:fldChar w:fldCharType="separate"/>
    </w:r>
    <w:r w:rsidR="00C60CCD">
      <w:rPr>
        <w:rStyle w:val="Sidetal"/>
        <w:i/>
        <w:noProof/>
        <w:sz w:val="18"/>
        <w:szCs w:val="18"/>
      </w:rPr>
      <w:t>3</w:t>
    </w:r>
    <w:r w:rsidR="00782AF4"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25A9" w:rsidRDefault="000F25A9">
      <w:r>
        <w:separator/>
      </w:r>
    </w:p>
  </w:footnote>
  <w:footnote w:type="continuationSeparator" w:id="0">
    <w:p w:rsidR="000F25A9" w:rsidRDefault="000F2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5A97"/>
    <w:multiLevelType w:val="hybridMultilevel"/>
    <w:tmpl w:val="48D0C02C"/>
    <w:lvl w:ilvl="0" w:tplc="A82A0686">
      <w:numFmt w:val="bullet"/>
      <w:lvlText w:val="-"/>
      <w:lvlJc w:val="left"/>
      <w:pPr>
        <w:tabs>
          <w:tab w:val="num" w:pos="1080"/>
        </w:tabs>
        <w:ind w:left="1080" w:hanging="360"/>
      </w:pPr>
      <w:rPr>
        <w:rFonts w:ascii="Times New Roman" w:eastAsia="Times New Roman" w:hAnsi="Times New Roman"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C7C4607E">
      <w:start w:val="1"/>
      <w:numFmt w:val="bullet"/>
      <w:lvlText w:val=""/>
      <w:lvlJc w:val="left"/>
      <w:pPr>
        <w:tabs>
          <w:tab w:val="num" w:pos="3240"/>
        </w:tabs>
        <w:ind w:left="3240" w:hanging="360"/>
      </w:pPr>
      <w:rPr>
        <w:rFonts w:ascii="Symbol" w:hAnsi="Symbol" w:hint="default"/>
        <w:sz w:val="20"/>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836E38"/>
    <w:multiLevelType w:val="hybridMultilevel"/>
    <w:tmpl w:val="20549A5A"/>
    <w:lvl w:ilvl="0" w:tplc="C7C4607E">
      <w:start w:val="1"/>
      <w:numFmt w:val="bullet"/>
      <w:lvlText w:val=""/>
      <w:lvlJc w:val="left"/>
      <w:pPr>
        <w:ind w:left="1571" w:hanging="360"/>
      </w:pPr>
      <w:rPr>
        <w:rFonts w:ascii="Symbol" w:hAnsi="Symbol" w:hint="default"/>
        <w:sz w:val="20"/>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66395876"/>
    <w:multiLevelType w:val="hybridMultilevel"/>
    <w:tmpl w:val="1AD60BF2"/>
    <w:lvl w:ilvl="0" w:tplc="9A86AFCA">
      <w:start w:val="1"/>
      <w:numFmt w:val="bullet"/>
      <w:lvlText w:val=""/>
      <w:lvlJc w:val="left"/>
      <w:pPr>
        <w:tabs>
          <w:tab w:val="num" w:pos="720"/>
        </w:tabs>
        <w:ind w:left="720" w:hanging="360"/>
      </w:pPr>
      <w:rPr>
        <w:rFonts w:ascii="Symbol" w:hAnsi="Symbol" w:hint="default"/>
        <w:sz w:val="20"/>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0626C9"/>
    <w:multiLevelType w:val="hybridMultilevel"/>
    <w:tmpl w:val="383A8924"/>
    <w:lvl w:ilvl="0" w:tplc="04090001">
      <w:start w:val="1"/>
      <w:numFmt w:val="bullet"/>
      <w:lvlText w:val=""/>
      <w:lvlJc w:val="left"/>
      <w:pPr>
        <w:tabs>
          <w:tab w:val="num" w:pos="1080"/>
        </w:tabs>
        <w:ind w:left="1080" w:hanging="360"/>
      </w:pPr>
      <w:rPr>
        <w:rFonts w:ascii="Symbol" w:hAnsi="Symbol" w:hint="default"/>
      </w:rPr>
    </w:lvl>
    <w:lvl w:ilvl="1" w:tplc="04060003">
      <w:start w:val="1"/>
      <w:numFmt w:val="bullet"/>
      <w:lvlText w:val="o"/>
      <w:lvlJc w:val="left"/>
      <w:pPr>
        <w:tabs>
          <w:tab w:val="num" w:pos="1800"/>
        </w:tabs>
        <w:ind w:left="1800" w:hanging="360"/>
      </w:pPr>
      <w:rPr>
        <w:rFonts w:ascii="Courier New" w:hAnsi="Courier New" w:cs="Times New Roman" w:hint="default"/>
      </w:rPr>
    </w:lvl>
    <w:lvl w:ilvl="2" w:tplc="04060005">
      <w:start w:val="1"/>
      <w:numFmt w:val="bullet"/>
      <w:lvlText w:val=""/>
      <w:lvlJc w:val="left"/>
      <w:pPr>
        <w:tabs>
          <w:tab w:val="num" w:pos="2520"/>
        </w:tabs>
        <w:ind w:left="2520" w:hanging="360"/>
      </w:pPr>
      <w:rPr>
        <w:rFonts w:ascii="Wingdings" w:hAnsi="Wingdings" w:hint="default"/>
      </w:rPr>
    </w:lvl>
    <w:lvl w:ilvl="3" w:tplc="C7C4607E">
      <w:start w:val="1"/>
      <w:numFmt w:val="bullet"/>
      <w:lvlText w:val=""/>
      <w:lvlJc w:val="left"/>
      <w:pPr>
        <w:tabs>
          <w:tab w:val="num" w:pos="3240"/>
        </w:tabs>
        <w:ind w:left="3240" w:hanging="360"/>
      </w:pPr>
      <w:rPr>
        <w:rFonts w:ascii="Symbol" w:hAnsi="Symbol" w:hint="default"/>
        <w:sz w:val="20"/>
      </w:rPr>
    </w:lvl>
    <w:lvl w:ilvl="4" w:tplc="04060003">
      <w:start w:val="1"/>
      <w:numFmt w:val="bullet"/>
      <w:lvlText w:val="o"/>
      <w:lvlJc w:val="left"/>
      <w:pPr>
        <w:tabs>
          <w:tab w:val="num" w:pos="3960"/>
        </w:tabs>
        <w:ind w:left="3960" w:hanging="360"/>
      </w:pPr>
      <w:rPr>
        <w:rFonts w:ascii="Courier New" w:hAnsi="Courier New" w:cs="Times New Roman" w:hint="default"/>
      </w:rPr>
    </w:lvl>
    <w:lvl w:ilvl="5" w:tplc="04060005">
      <w:start w:val="1"/>
      <w:numFmt w:val="bullet"/>
      <w:lvlText w:val=""/>
      <w:lvlJc w:val="left"/>
      <w:pPr>
        <w:tabs>
          <w:tab w:val="num" w:pos="4680"/>
        </w:tabs>
        <w:ind w:left="4680" w:hanging="360"/>
      </w:pPr>
      <w:rPr>
        <w:rFonts w:ascii="Wingdings" w:hAnsi="Wingdings" w:hint="default"/>
      </w:rPr>
    </w:lvl>
    <w:lvl w:ilvl="6" w:tplc="04060001">
      <w:start w:val="1"/>
      <w:numFmt w:val="bullet"/>
      <w:lvlText w:val=""/>
      <w:lvlJc w:val="left"/>
      <w:pPr>
        <w:tabs>
          <w:tab w:val="num" w:pos="5400"/>
        </w:tabs>
        <w:ind w:left="5400" w:hanging="360"/>
      </w:pPr>
      <w:rPr>
        <w:rFonts w:ascii="Symbol" w:hAnsi="Symbol" w:hint="default"/>
      </w:rPr>
    </w:lvl>
    <w:lvl w:ilvl="7" w:tplc="04060003">
      <w:start w:val="1"/>
      <w:numFmt w:val="bullet"/>
      <w:lvlText w:val="o"/>
      <w:lvlJc w:val="left"/>
      <w:pPr>
        <w:tabs>
          <w:tab w:val="num" w:pos="6120"/>
        </w:tabs>
        <w:ind w:left="6120" w:hanging="360"/>
      </w:pPr>
      <w:rPr>
        <w:rFonts w:ascii="Courier New" w:hAnsi="Courier New" w:cs="Times New Roman" w:hint="default"/>
      </w:rPr>
    </w:lvl>
    <w:lvl w:ilvl="8" w:tplc="04060005">
      <w:start w:val="1"/>
      <w:numFmt w:val="bullet"/>
      <w:lvlText w:val=""/>
      <w:lvlJc w:val="left"/>
      <w:pPr>
        <w:tabs>
          <w:tab w:val="num" w:pos="6840"/>
        </w:tabs>
        <w:ind w:left="684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7"/>
  </w:num>
  <w:num w:numId="10">
    <w:abstractNumId w:val="8"/>
  </w:num>
  <w:num w:numId="11">
    <w:abstractNumId w:val="0"/>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A9"/>
    <w:rsid w:val="000259B9"/>
    <w:rsid w:val="00041491"/>
    <w:rsid w:val="00050D16"/>
    <w:rsid w:val="00070813"/>
    <w:rsid w:val="000720E9"/>
    <w:rsid w:val="00074F2A"/>
    <w:rsid w:val="000A1CA8"/>
    <w:rsid w:val="000A466B"/>
    <w:rsid w:val="000B058C"/>
    <w:rsid w:val="000C1C68"/>
    <w:rsid w:val="000E4EE6"/>
    <w:rsid w:val="000F25A9"/>
    <w:rsid w:val="001454E2"/>
    <w:rsid w:val="001A5BA7"/>
    <w:rsid w:val="001C553C"/>
    <w:rsid w:val="001D6F00"/>
    <w:rsid w:val="002057C0"/>
    <w:rsid w:val="00206CE8"/>
    <w:rsid w:val="0021526C"/>
    <w:rsid w:val="00283A2B"/>
    <w:rsid w:val="002B30AD"/>
    <w:rsid w:val="002C2C01"/>
    <w:rsid w:val="003852B0"/>
    <w:rsid w:val="003A29AE"/>
    <w:rsid w:val="003A32D7"/>
    <w:rsid w:val="003B4074"/>
    <w:rsid w:val="003C769A"/>
    <w:rsid w:val="003F1838"/>
    <w:rsid w:val="00420D9F"/>
    <w:rsid w:val="00425802"/>
    <w:rsid w:val="0045746C"/>
    <w:rsid w:val="00465054"/>
    <w:rsid w:val="0049104B"/>
    <w:rsid w:val="004E3B12"/>
    <w:rsid w:val="00532310"/>
    <w:rsid w:val="00560ECC"/>
    <w:rsid w:val="00565F0F"/>
    <w:rsid w:val="00594A86"/>
    <w:rsid w:val="00596D86"/>
    <w:rsid w:val="005E07C8"/>
    <w:rsid w:val="00637F5A"/>
    <w:rsid w:val="006409EF"/>
    <w:rsid w:val="00643DB9"/>
    <w:rsid w:val="006560B1"/>
    <w:rsid w:val="006756DD"/>
    <w:rsid w:val="006B4138"/>
    <w:rsid w:val="006B655E"/>
    <w:rsid w:val="006D2D45"/>
    <w:rsid w:val="006E7ED6"/>
    <w:rsid w:val="00737275"/>
    <w:rsid w:val="00740EEC"/>
    <w:rsid w:val="0078011A"/>
    <w:rsid w:val="00782AF4"/>
    <w:rsid w:val="00790EE7"/>
    <w:rsid w:val="007B6649"/>
    <w:rsid w:val="0081546F"/>
    <w:rsid w:val="0082576E"/>
    <w:rsid w:val="00864D4D"/>
    <w:rsid w:val="00907F75"/>
    <w:rsid w:val="009260DE"/>
    <w:rsid w:val="0093258A"/>
    <w:rsid w:val="009C7BA3"/>
    <w:rsid w:val="009D1F5A"/>
    <w:rsid w:val="00A36E53"/>
    <w:rsid w:val="00AB4011"/>
    <w:rsid w:val="00AB7C9E"/>
    <w:rsid w:val="00B003BF"/>
    <w:rsid w:val="00B373D7"/>
    <w:rsid w:val="00B640E3"/>
    <w:rsid w:val="00BD058C"/>
    <w:rsid w:val="00C07B80"/>
    <w:rsid w:val="00C36276"/>
    <w:rsid w:val="00C42586"/>
    <w:rsid w:val="00C60CCD"/>
    <w:rsid w:val="00C84483"/>
    <w:rsid w:val="00C91A25"/>
    <w:rsid w:val="00C95551"/>
    <w:rsid w:val="00CB20D7"/>
    <w:rsid w:val="00CE180E"/>
    <w:rsid w:val="00D020B0"/>
    <w:rsid w:val="00D11748"/>
    <w:rsid w:val="00D366CF"/>
    <w:rsid w:val="00D77DE6"/>
    <w:rsid w:val="00E108AA"/>
    <w:rsid w:val="00E2209A"/>
    <w:rsid w:val="00E31812"/>
    <w:rsid w:val="00E3749A"/>
    <w:rsid w:val="00E7437F"/>
    <w:rsid w:val="00E865B8"/>
    <w:rsid w:val="00EC0B9B"/>
    <w:rsid w:val="00ED5E9F"/>
    <w:rsid w:val="00F35710"/>
    <w:rsid w:val="00F57E04"/>
    <w:rsid w:val="00F66D4F"/>
    <w:rsid w:val="00FB6D01"/>
    <w:rsid w:val="00FE3A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43E1E10"/>
  <w15:chartTrackingRefBased/>
  <w15:docId w15:val="{EF11703B-853F-4659-9667-67ED6ABBA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semiHidden/>
    <w:unhideWhenUsed/>
    <w:rsid w:val="000F25A9"/>
    <w:rPr>
      <w:color w:val="0000FF"/>
      <w:u w:val="single"/>
    </w:rPr>
  </w:style>
  <w:style w:type="paragraph" w:styleId="Listeafsnit">
    <w:name w:val="List Paragraph"/>
    <w:basedOn w:val="Normal"/>
    <w:uiPriority w:val="34"/>
    <w:qFormat/>
    <w:rsid w:val="00BD05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13119">
      <w:bodyDiv w:val="1"/>
      <w:marLeft w:val="0"/>
      <w:marRight w:val="0"/>
      <w:marTop w:val="0"/>
      <w:marBottom w:val="0"/>
      <w:divBdr>
        <w:top w:val="none" w:sz="0" w:space="0" w:color="auto"/>
        <w:left w:val="none" w:sz="0" w:space="0" w:color="auto"/>
        <w:bottom w:val="none" w:sz="0" w:space="0" w:color="auto"/>
        <w:right w:val="none" w:sz="0" w:space="0" w:color="auto"/>
      </w:divBdr>
    </w:div>
    <w:div w:id="108623179">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75872104">
      <w:bodyDiv w:val="1"/>
      <w:marLeft w:val="0"/>
      <w:marRight w:val="0"/>
      <w:marTop w:val="0"/>
      <w:marBottom w:val="0"/>
      <w:divBdr>
        <w:top w:val="none" w:sz="0" w:space="0" w:color="auto"/>
        <w:left w:val="none" w:sz="0" w:space="0" w:color="auto"/>
        <w:bottom w:val="none" w:sz="0" w:space="0" w:color="auto"/>
        <w:right w:val="none" w:sz="0" w:space="0" w:color="auto"/>
      </w:divBdr>
    </w:div>
    <w:div w:id="441730629">
      <w:bodyDiv w:val="1"/>
      <w:marLeft w:val="0"/>
      <w:marRight w:val="0"/>
      <w:marTop w:val="0"/>
      <w:marBottom w:val="0"/>
      <w:divBdr>
        <w:top w:val="none" w:sz="0" w:space="0" w:color="auto"/>
        <w:left w:val="none" w:sz="0" w:space="0" w:color="auto"/>
        <w:bottom w:val="none" w:sz="0" w:space="0" w:color="auto"/>
        <w:right w:val="none" w:sz="0" w:space="0" w:color="auto"/>
      </w:divBdr>
    </w:div>
    <w:div w:id="717701732">
      <w:bodyDiv w:val="1"/>
      <w:marLeft w:val="0"/>
      <w:marRight w:val="0"/>
      <w:marTop w:val="0"/>
      <w:marBottom w:val="0"/>
      <w:divBdr>
        <w:top w:val="none" w:sz="0" w:space="0" w:color="auto"/>
        <w:left w:val="none" w:sz="0" w:space="0" w:color="auto"/>
        <w:bottom w:val="none" w:sz="0" w:space="0" w:color="auto"/>
        <w:right w:val="none" w:sz="0" w:space="0" w:color="auto"/>
      </w:divBdr>
    </w:div>
    <w:div w:id="726950544">
      <w:bodyDiv w:val="1"/>
      <w:marLeft w:val="0"/>
      <w:marRight w:val="0"/>
      <w:marTop w:val="0"/>
      <w:marBottom w:val="0"/>
      <w:divBdr>
        <w:top w:val="none" w:sz="0" w:space="0" w:color="auto"/>
        <w:left w:val="none" w:sz="0" w:space="0" w:color="auto"/>
        <w:bottom w:val="none" w:sz="0" w:space="0" w:color="auto"/>
        <w:right w:val="none" w:sz="0" w:space="0" w:color="auto"/>
      </w:divBdr>
    </w:div>
    <w:div w:id="1203398575">
      <w:bodyDiv w:val="1"/>
      <w:marLeft w:val="0"/>
      <w:marRight w:val="0"/>
      <w:marTop w:val="0"/>
      <w:marBottom w:val="0"/>
      <w:divBdr>
        <w:top w:val="none" w:sz="0" w:space="0" w:color="auto"/>
        <w:left w:val="none" w:sz="0" w:space="0" w:color="auto"/>
        <w:bottom w:val="none" w:sz="0" w:space="0" w:color="auto"/>
        <w:right w:val="none" w:sz="0" w:space="0" w:color="auto"/>
      </w:divBdr>
    </w:div>
    <w:div w:id="1252662160">
      <w:bodyDiv w:val="1"/>
      <w:marLeft w:val="0"/>
      <w:marRight w:val="0"/>
      <w:marTop w:val="0"/>
      <w:marBottom w:val="0"/>
      <w:divBdr>
        <w:top w:val="none" w:sz="0" w:space="0" w:color="auto"/>
        <w:left w:val="none" w:sz="0" w:space="0" w:color="auto"/>
        <w:bottom w:val="none" w:sz="0" w:space="0" w:color="auto"/>
        <w:right w:val="none" w:sz="0" w:space="0" w:color="auto"/>
      </w:divBdr>
    </w:div>
    <w:div w:id="1277054336">
      <w:bodyDiv w:val="1"/>
      <w:marLeft w:val="0"/>
      <w:marRight w:val="0"/>
      <w:marTop w:val="0"/>
      <w:marBottom w:val="0"/>
      <w:divBdr>
        <w:top w:val="none" w:sz="0" w:space="0" w:color="auto"/>
        <w:left w:val="none" w:sz="0" w:space="0" w:color="auto"/>
        <w:bottom w:val="none" w:sz="0" w:space="0" w:color="auto"/>
        <w:right w:val="none" w:sz="0" w:space="0" w:color="auto"/>
      </w:divBdr>
    </w:div>
    <w:div w:id="1284842145">
      <w:bodyDiv w:val="1"/>
      <w:marLeft w:val="0"/>
      <w:marRight w:val="0"/>
      <w:marTop w:val="0"/>
      <w:marBottom w:val="0"/>
      <w:divBdr>
        <w:top w:val="none" w:sz="0" w:space="0" w:color="auto"/>
        <w:left w:val="none" w:sz="0" w:space="0" w:color="auto"/>
        <w:bottom w:val="none" w:sz="0" w:space="0" w:color="auto"/>
        <w:right w:val="none" w:sz="0" w:space="0" w:color="auto"/>
      </w:divBdr>
    </w:div>
    <w:div w:id="1286081896">
      <w:bodyDiv w:val="1"/>
      <w:marLeft w:val="0"/>
      <w:marRight w:val="0"/>
      <w:marTop w:val="0"/>
      <w:marBottom w:val="0"/>
      <w:divBdr>
        <w:top w:val="none" w:sz="0" w:space="0" w:color="auto"/>
        <w:left w:val="none" w:sz="0" w:space="0" w:color="auto"/>
        <w:bottom w:val="none" w:sz="0" w:space="0" w:color="auto"/>
        <w:right w:val="none" w:sz="0" w:space="0" w:color="auto"/>
      </w:divBdr>
    </w:div>
    <w:div w:id="1300764291">
      <w:bodyDiv w:val="1"/>
      <w:marLeft w:val="0"/>
      <w:marRight w:val="0"/>
      <w:marTop w:val="0"/>
      <w:marBottom w:val="0"/>
      <w:divBdr>
        <w:top w:val="none" w:sz="0" w:space="0" w:color="auto"/>
        <w:left w:val="none" w:sz="0" w:space="0" w:color="auto"/>
        <w:bottom w:val="none" w:sz="0" w:space="0" w:color="auto"/>
        <w:right w:val="none" w:sz="0" w:space="0" w:color="auto"/>
      </w:divBdr>
    </w:div>
    <w:div w:id="1349335656">
      <w:bodyDiv w:val="1"/>
      <w:marLeft w:val="0"/>
      <w:marRight w:val="0"/>
      <w:marTop w:val="0"/>
      <w:marBottom w:val="0"/>
      <w:divBdr>
        <w:top w:val="none" w:sz="0" w:space="0" w:color="auto"/>
        <w:left w:val="none" w:sz="0" w:space="0" w:color="auto"/>
        <w:bottom w:val="none" w:sz="0" w:space="0" w:color="auto"/>
        <w:right w:val="none" w:sz="0" w:space="0" w:color="auto"/>
      </w:divBdr>
    </w:div>
    <w:div w:id="1651641837">
      <w:bodyDiv w:val="1"/>
      <w:marLeft w:val="0"/>
      <w:marRight w:val="0"/>
      <w:marTop w:val="0"/>
      <w:marBottom w:val="0"/>
      <w:divBdr>
        <w:top w:val="none" w:sz="0" w:space="0" w:color="auto"/>
        <w:left w:val="none" w:sz="0" w:space="0" w:color="auto"/>
        <w:bottom w:val="none" w:sz="0" w:space="0" w:color="auto"/>
        <w:right w:val="none" w:sz="0" w:space="0" w:color="auto"/>
      </w:divBdr>
    </w:div>
    <w:div w:id="1653605346">
      <w:bodyDiv w:val="1"/>
      <w:marLeft w:val="0"/>
      <w:marRight w:val="0"/>
      <w:marTop w:val="0"/>
      <w:marBottom w:val="0"/>
      <w:divBdr>
        <w:top w:val="none" w:sz="0" w:space="0" w:color="auto"/>
        <w:left w:val="none" w:sz="0" w:space="0" w:color="auto"/>
        <w:bottom w:val="none" w:sz="0" w:space="0" w:color="auto"/>
        <w:right w:val="none" w:sz="0" w:space="0" w:color="auto"/>
      </w:divBdr>
    </w:div>
    <w:div w:id="1690133866">
      <w:bodyDiv w:val="1"/>
      <w:marLeft w:val="0"/>
      <w:marRight w:val="0"/>
      <w:marTop w:val="0"/>
      <w:marBottom w:val="0"/>
      <w:divBdr>
        <w:top w:val="none" w:sz="0" w:space="0" w:color="auto"/>
        <w:left w:val="none" w:sz="0" w:space="0" w:color="auto"/>
        <w:bottom w:val="none" w:sz="0" w:space="0" w:color="auto"/>
        <w:right w:val="none" w:sz="0" w:space="0" w:color="auto"/>
      </w:divBdr>
    </w:div>
    <w:div w:id="1724675820">
      <w:bodyDiv w:val="1"/>
      <w:marLeft w:val="0"/>
      <w:marRight w:val="0"/>
      <w:marTop w:val="0"/>
      <w:marBottom w:val="0"/>
      <w:divBdr>
        <w:top w:val="none" w:sz="0" w:space="0" w:color="auto"/>
        <w:left w:val="none" w:sz="0" w:space="0" w:color="auto"/>
        <w:bottom w:val="none" w:sz="0" w:space="0" w:color="auto"/>
        <w:right w:val="none" w:sz="0" w:space="0" w:color="auto"/>
      </w:divBdr>
    </w:div>
    <w:div w:id="1810439703">
      <w:bodyDiv w:val="1"/>
      <w:marLeft w:val="0"/>
      <w:marRight w:val="0"/>
      <w:marTop w:val="0"/>
      <w:marBottom w:val="0"/>
      <w:divBdr>
        <w:top w:val="none" w:sz="0" w:space="0" w:color="auto"/>
        <w:left w:val="none" w:sz="0" w:space="0" w:color="auto"/>
        <w:bottom w:val="none" w:sz="0" w:space="0" w:color="auto"/>
        <w:right w:val="none" w:sz="0" w:space="0" w:color="auto"/>
      </w:divBdr>
    </w:div>
    <w:div w:id="213374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1921</Words>
  <Characters>12831</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Ronnovius</dc:creator>
  <cp:keywords/>
  <dc:description>2026012045 - Parallelimport ændring _x000d_
_x000d_
2025102434 - DI</dc:description>
  <cp:lastModifiedBy>Gitte Ronnovius</cp:lastModifiedBy>
  <cp:revision>3</cp:revision>
  <cp:lastPrinted>2012-08-22T08:53:00Z</cp:lastPrinted>
  <dcterms:created xsi:type="dcterms:W3CDTF">2026-01-14T12:42:00Z</dcterms:created>
  <dcterms:modified xsi:type="dcterms:W3CDTF">2026-01-14T12:49:00Z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