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CCD" w:rsidRPr="008F49E1" w:rsidRDefault="00673CCD" w:rsidP="00673CCD">
      <w:pPr>
        <w:rPr>
          <w:sz w:val="24"/>
          <w:szCs w:val="24"/>
        </w:rPr>
      </w:pPr>
      <w:r w:rsidRPr="009260DE">
        <w:rPr>
          <w:noProof/>
          <w:sz w:val="24"/>
          <w:szCs w:val="24"/>
          <w:lang w:eastAsia="da-DK"/>
        </w:rPr>
        <w:drawing>
          <wp:anchor distT="0" distB="0" distL="114300" distR="114300" simplePos="0" relativeHeight="251659264" behindDoc="0" locked="0" layoutInCell="1" allowOverlap="1" wp14:anchorId="48317CC0" wp14:editId="2D8B9A3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73CCD" w:rsidRPr="00C84483" w:rsidRDefault="00673CCD" w:rsidP="00673CCD">
      <w:pPr>
        <w:pStyle w:val="Titel"/>
        <w:tabs>
          <w:tab w:val="right" w:pos="9356"/>
        </w:tabs>
        <w:jc w:val="left"/>
        <w:rPr>
          <w:b w:val="0"/>
          <w:szCs w:val="24"/>
          <w:lang w:eastAsia="en-US"/>
        </w:rPr>
      </w:pPr>
      <w:r w:rsidRPr="00C84483">
        <w:rPr>
          <w:b w:val="0"/>
          <w:szCs w:val="24"/>
          <w:lang w:eastAsia="en-US"/>
        </w:rPr>
        <w:tab/>
      </w:r>
      <w:r w:rsidR="00F3400B">
        <w:rPr>
          <w:szCs w:val="24"/>
        </w:rPr>
        <w:t>5</w:t>
      </w:r>
      <w:r>
        <w:rPr>
          <w:szCs w:val="24"/>
        </w:rPr>
        <w:t xml:space="preserve">. </w:t>
      </w:r>
      <w:r w:rsidR="00F3400B">
        <w:rPr>
          <w:szCs w:val="24"/>
        </w:rPr>
        <w:t>okto</w:t>
      </w:r>
      <w:r>
        <w:rPr>
          <w:szCs w:val="24"/>
        </w:rPr>
        <w:t>ber 20</w:t>
      </w:r>
      <w:r w:rsidR="00F3400B">
        <w:rPr>
          <w:szCs w:val="24"/>
        </w:rPr>
        <w:t>20</w:t>
      </w:r>
    </w:p>
    <w:p w:rsidR="00673CCD" w:rsidRPr="00C84483" w:rsidRDefault="00673CCD" w:rsidP="00673CCD">
      <w:pPr>
        <w:pStyle w:val="Titel"/>
        <w:tabs>
          <w:tab w:val="left" w:pos="8222"/>
        </w:tabs>
        <w:jc w:val="left"/>
        <w:rPr>
          <w:b w:val="0"/>
          <w:szCs w:val="24"/>
        </w:rPr>
      </w:pPr>
    </w:p>
    <w:p w:rsidR="00673CCD" w:rsidRPr="00C84483" w:rsidRDefault="00673CCD" w:rsidP="00673CCD">
      <w:pPr>
        <w:pStyle w:val="Titel"/>
        <w:jc w:val="left"/>
        <w:rPr>
          <w:b w:val="0"/>
          <w:szCs w:val="24"/>
        </w:rPr>
      </w:pPr>
    </w:p>
    <w:p w:rsidR="00673CCD" w:rsidRPr="00C84483" w:rsidRDefault="00673CCD" w:rsidP="00673CCD">
      <w:pPr>
        <w:pStyle w:val="Titel"/>
        <w:jc w:val="left"/>
        <w:rPr>
          <w:b w:val="0"/>
          <w:szCs w:val="24"/>
        </w:rPr>
      </w:pPr>
    </w:p>
    <w:p w:rsidR="00673CCD" w:rsidRPr="00C84483" w:rsidRDefault="00673CCD" w:rsidP="00673CCD">
      <w:pPr>
        <w:jc w:val="center"/>
        <w:rPr>
          <w:b/>
          <w:sz w:val="24"/>
          <w:szCs w:val="24"/>
        </w:rPr>
      </w:pPr>
      <w:r w:rsidRPr="00C84483">
        <w:rPr>
          <w:b/>
          <w:sz w:val="24"/>
          <w:szCs w:val="24"/>
        </w:rPr>
        <w:t>PRODUKTRESUMÉ</w:t>
      </w:r>
    </w:p>
    <w:p w:rsidR="00673CCD" w:rsidRPr="00C84483" w:rsidRDefault="00673CCD" w:rsidP="00673CCD">
      <w:pPr>
        <w:jc w:val="center"/>
        <w:rPr>
          <w:b/>
          <w:sz w:val="24"/>
          <w:szCs w:val="24"/>
        </w:rPr>
      </w:pPr>
    </w:p>
    <w:p w:rsidR="00673CCD" w:rsidRDefault="00673CCD" w:rsidP="00673CCD">
      <w:pPr>
        <w:jc w:val="center"/>
        <w:rPr>
          <w:b/>
          <w:sz w:val="24"/>
          <w:szCs w:val="24"/>
        </w:rPr>
      </w:pPr>
      <w:r w:rsidRPr="00C84483">
        <w:rPr>
          <w:b/>
          <w:sz w:val="24"/>
          <w:szCs w:val="24"/>
        </w:rPr>
        <w:t>for</w:t>
      </w:r>
    </w:p>
    <w:p w:rsidR="00673CCD" w:rsidRPr="00C84483" w:rsidRDefault="00673CCD" w:rsidP="00673CCD">
      <w:pPr>
        <w:jc w:val="center"/>
        <w:rPr>
          <w:b/>
          <w:sz w:val="24"/>
          <w:szCs w:val="24"/>
        </w:rPr>
      </w:pPr>
    </w:p>
    <w:p w:rsidR="00673CCD" w:rsidRPr="00C84483" w:rsidRDefault="00673CCD" w:rsidP="00673CCD">
      <w:pPr>
        <w:jc w:val="center"/>
        <w:rPr>
          <w:b/>
          <w:sz w:val="24"/>
          <w:szCs w:val="24"/>
        </w:rPr>
      </w:pPr>
      <w:proofErr w:type="spellStart"/>
      <w:r>
        <w:rPr>
          <w:b/>
          <w:sz w:val="24"/>
          <w:szCs w:val="24"/>
        </w:rPr>
        <w:t>Ambrisentan</w:t>
      </w:r>
      <w:proofErr w:type="spellEnd"/>
      <w:r>
        <w:rPr>
          <w:b/>
          <w:sz w:val="24"/>
          <w:szCs w:val="24"/>
        </w:rPr>
        <w:t xml:space="preserve"> "Sandoz", filmovertrukne tabletter</w:t>
      </w:r>
    </w:p>
    <w:p w:rsidR="00673CCD" w:rsidRPr="00C84483" w:rsidRDefault="00673CCD" w:rsidP="00673CCD">
      <w:pPr>
        <w:jc w:val="both"/>
        <w:rPr>
          <w:sz w:val="24"/>
          <w:szCs w:val="24"/>
        </w:rPr>
      </w:pPr>
    </w:p>
    <w:p w:rsidR="00673CCD" w:rsidRPr="00F32462" w:rsidRDefault="00673CCD" w:rsidP="00673CCD">
      <w:pPr>
        <w:ind w:right="-1"/>
        <w:jc w:val="both"/>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0.</w:t>
      </w:r>
      <w:r w:rsidRPr="00F32462">
        <w:rPr>
          <w:b/>
          <w:sz w:val="24"/>
          <w:szCs w:val="24"/>
        </w:rPr>
        <w:tab/>
        <w:t>D.SP.NR.</w:t>
      </w:r>
    </w:p>
    <w:p w:rsidR="00673CCD" w:rsidRPr="00F32462" w:rsidRDefault="00673CCD" w:rsidP="00673CCD">
      <w:pPr>
        <w:tabs>
          <w:tab w:val="left" w:pos="851"/>
        </w:tabs>
        <w:ind w:left="851" w:right="-1"/>
        <w:rPr>
          <w:sz w:val="24"/>
          <w:szCs w:val="24"/>
        </w:rPr>
      </w:pPr>
      <w:r w:rsidRPr="00F32462">
        <w:rPr>
          <w:sz w:val="24"/>
          <w:szCs w:val="24"/>
        </w:rPr>
        <w:t>31199</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1.</w:t>
      </w:r>
      <w:r w:rsidRPr="00F32462">
        <w:rPr>
          <w:b/>
          <w:sz w:val="24"/>
          <w:szCs w:val="24"/>
        </w:rPr>
        <w:tab/>
        <w:t>LÆGEMIDLETS NAVN</w:t>
      </w:r>
    </w:p>
    <w:p w:rsidR="00673CCD" w:rsidRPr="00F32462" w:rsidRDefault="00673CCD" w:rsidP="00673CCD">
      <w:pPr>
        <w:tabs>
          <w:tab w:val="left" w:pos="851"/>
        </w:tabs>
        <w:ind w:left="851" w:right="-1"/>
        <w:rPr>
          <w:sz w:val="24"/>
          <w:szCs w:val="24"/>
        </w:rPr>
      </w:pPr>
      <w:proofErr w:type="spellStart"/>
      <w:r w:rsidRPr="00F32462">
        <w:rPr>
          <w:sz w:val="24"/>
          <w:szCs w:val="24"/>
        </w:rPr>
        <w:t>Ambrisentan</w:t>
      </w:r>
      <w:proofErr w:type="spellEnd"/>
      <w:r w:rsidRPr="00F32462">
        <w:rPr>
          <w:sz w:val="24"/>
          <w:szCs w:val="24"/>
        </w:rPr>
        <w:t xml:space="preserve"> "Sandoz"</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2.</w:t>
      </w:r>
      <w:r w:rsidRPr="00F32462">
        <w:rPr>
          <w:b/>
          <w:sz w:val="24"/>
          <w:szCs w:val="24"/>
        </w:rPr>
        <w:tab/>
        <w:t>KVALITATIV OG KVANTITATIV SAMMENSÆTNING</w:t>
      </w:r>
    </w:p>
    <w:p w:rsidR="00673CCD" w:rsidRPr="00F32462" w:rsidRDefault="00673CCD" w:rsidP="00673CCD">
      <w:pPr>
        <w:pStyle w:val="Brdtekst"/>
        <w:ind w:left="851" w:right="-1"/>
        <w:rPr>
          <w:sz w:val="24"/>
          <w:szCs w:val="24"/>
          <w:u w:val="single"/>
          <w:lang w:val="da-DK"/>
        </w:rPr>
      </w:pPr>
      <w:proofErr w:type="spellStart"/>
      <w:r w:rsidRPr="00F32462">
        <w:rPr>
          <w:i/>
          <w:iCs/>
          <w:sz w:val="24"/>
          <w:szCs w:val="24"/>
          <w:lang w:val="da-DK"/>
        </w:rPr>
        <w:t>Ambrisentan</w:t>
      </w:r>
      <w:proofErr w:type="spellEnd"/>
      <w:r w:rsidRPr="00F32462">
        <w:rPr>
          <w:i/>
          <w:iCs/>
          <w:sz w:val="24"/>
          <w:szCs w:val="24"/>
          <w:lang w:val="da-DK"/>
        </w:rPr>
        <w:t xml:space="preserve"> </w:t>
      </w:r>
      <w:r>
        <w:rPr>
          <w:i/>
          <w:iCs/>
          <w:sz w:val="24"/>
          <w:szCs w:val="24"/>
          <w:lang w:val="da-DK"/>
        </w:rPr>
        <w:t>"Sandoz"</w:t>
      </w:r>
      <w:r w:rsidRPr="00F32462">
        <w:rPr>
          <w:i/>
          <w:iCs/>
          <w:sz w:val="24"/>
          <w:szCs w:val="24"/>
          <w:lang w:val="da-DK"/>
        </w:rPr>
        <w:t xml:space="preserve"> 5 mg filmovertrukne tabletter</w:t>
      </w:r>
    </w:p>
    <w:p w:rsidR="00673CCD" w:rsidRPr="00F32462" w:rsidRDefault="00673CCD" w:rsidP="00673CCD">
      <w:pPr>
        <w:pStyle w:val="Brdtekst"/>
        <w:ind w:left="851" w:right="-1"/>
        <w:rPr>
          <w:sz w:val="24"/>
          <w:szCs w:val="24"/>
          <w:lang w:val="da-DK"/>
        </w:rPr>
      </w:pPr>
      <w:r w:rsidRPr="00F32462">
        <w:rPr>
          <w:sz w:val="24"/>
          <w:szCs w:val="24"/>
          <w:lang w:val="da-DK"/>
        </w:rPr>
        <w:t xml:space="preserve">Hver tablet indeholder 5 mg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i/>
          <w:iCs/>
          <w:sz w:val="24"/>
          <w:szCs w:val="24"/>
          <w:lang w:val="da-DK"/>
        </w:rPr>
      </w:pPr>
      <w:proofErr w:type="spellStart"/>
      <w:r w:rsidRPr="00F32462">
        <w:rPr>
          <w:i/>
          <w:iCs/>
          <w:sz w:val="24"/>
          <w:szCs w:val="24"/>
          <w:lang w:val="da-DK"/>
        </w:rPr>
        <w:t>Ambrisentan</w:t>
      </w:r>
      <w:proofErr w:type="spellEnd"/>
      <w:r w:rsidRPr="00F32462">
        <w:rPr>
          <w:i/>
          <w:iCs/>
          <w:sz w:val="24"/>
          <w:szCs w:val="24"/>
          <w:lang w:val="da-DK"/>
        </w:rPr>
        <w:t xml:space="preserve"> </w:t>
      </w:r>
      <w:r>
        <w:rPr>
          <w:i/>
          <w:iCs/>
          <w:sz w:val="24"/>
          <w:szCs w:val="24"/>
          <w:lang w:val="da-DK"/>
        </w:rPr>
        <w:t>"Sandoz"</w:t>
      </w:r>
      <w:r w:rsidRPr="00F32462">
        <w:rPr>
          <w:i/>
          <w:iCs/>
          <w:sz w:val="24"/>
          <w:szCs w:val="24"/>
          <w:lang w:val="da-DK"/>
        </w:rPr>
        <w:t xml:space="preserve"> 10 mg filmovertrukne tabletter </w:t>
      </w:r>
    </w:p>
    <w:p w:rsidR="00673CCD" w:rsidRPr="00F32462" w:rsidRDefault="00673CCD" w:rsidP="00673CCD">
      <w:pPr>
        <w:pStyle w:val="Brdtekst"/>
        <w:ind w:left="851" w:right="-1"/>
        <w:rPr>
          <w:sz w:val="24"/>
          <w:szCs w:val="24"/>
          <w:lang w:val="da-DK"/>
        </w:rPr>
      </w:pPr>
      <w:r w:rsidRPr="00F32462">
        <w:rPr>
          <w:sz w:val="24"/>
          <w:szCs w:val="24"/>
          <w:lang w:val="da-DK"/>
        </w:rPr>
        <w:t xml:space="preserve">Hver tablet indeholder 10 mg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u w:val="single"/>
          <w:lang w:val="da-DK"/>
        </w:rPr>
      </w:pPr>
      <w:r w:rsidRPr="00F32462">
        <w:rPr>
          <w:sz w:val="24"/>
          <w:szCs w:val="24"/>
          <w:u w:val="single"/>
          <w:lang w:val="da-DK"/>
        </w:rPr>
        <w:t>Hjælpestoffer, som behandleren skal være opmærksom på.</w:t>
      </w:r>
    </w:p>
    <w:p w:rsidR="00673CCD" w:rsidRPr="00F32462" w:rsidRDefault="00673CCD" w:rsidP="00673CCD">
      <w:pPr>
        <w:pStyle w:val="Brdtekst"/>
        <w:ind w:left="851" w:right="-1"/>
        <w:rPr>
          <w:i/>
          <w:iCs/>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Hver 5 mg tablet indeholder 91,7 mg </w:t>
      </w:r>
      <w:proofErr w:type="spellStart"/>
      <w:r w:rsidRPr="00F32462">
        <w:rPr>
          <w:sz w:val="24"/>
          <w:szCs w:val="24"/>
          <w:lang w:val="da-DK"/>
        </w:rPr>
        <w:t>lactose</w:t>
      </w:r>
      <w:proofErr w:type="spellEnd"/>
      <w:r w:rsidRPr="00F32462">
        <w:rPr>
          <w:sz w:val="24"/>
          <w:szCs w:val="24"/>
          <w:lang w:val="da-DK"/>
        </w:rPr>
        <w:t xml:space="preserve"> (som monohydrat).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Hver tablet indeholder 183,4 mg </w:t>
      </w:r>
      <w:proofErr w:type="spellStart"/>
      <w:r w:rsidRPr="00F32462">
        <w:rPr>
          <w:sz w:val="24"/>
          <w:szCs w:val="24"/>
          <w:lang w:val="da-DK"/>
        </w:rPr>
        <w:t>lactose</w:t>
      </w:r>
      <w:proofErr w:type="spellEnd"/>
      <w:r w:rsidRPr="00F32462">
        <w:rPr>
          <w:sz w:val="24"/>
          <w:szCs w:val="24"/>
          <w:lang w:val="da-DK"/>
        </w:rPr>
        <w:t xml:space="preserve"> (som monohydrat).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Alle hjælpestoffer er anført under pkt. 6.1.</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3.</w:t>
      </w:r>
      <w:r w:rsidRPr="00F32462">
        <w:rPr>
          <w:b/>
          <w:sz w:val="24"/>
          <w:szCs w:val="24"/>
        </w:rPr>
        <w:tab/>
        <w:t>LÆGEMIDDELFORM</w:t>
      </w:r>
    </w:p>
    <w:p w:rsidR="00673CCD" w:rsidRPr="00F32462" w:rsidRDefault="00673CCD" w:rsidP="00673CCD">
      <w:pPr>
        <w:pStyle w:val="Brdtekst"/>
        <w:ind w:left="851" w:right="-1"/>
        <w:rPr>
          <w:sz w:val="24"/>
          <w:szCs w:val="24"/>
          <w:lang w:val="da-DK"/>
        </w:rPr>
      </w:pPr>
      <w:r w:rsidRPr="00F32462">
        <w:rPr>
          <w:sz w:val="24"/>
          <w:szCs w:val="24"/>
          <w:lang w:val="da-DK"/>
        </w:rPr>
        <w:t>Filmovertruk</w:t>
      </w:r>
      <w:r>
        <w:rPr>
          <w:sz w:val="24"/>
          <w:szCs w:val="24"/>
          <w:lang w:val="da-DK"/>
        </w:rPr>
        <w:t>ne tabletter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i/>
          <w:iCs/>
          <w:sz w:val="24"/>
          <w:szCs w:val="24"/>
          <w:lang w:val="da-DK"/>
        </w:rPr>
      </w:pPr>
      <w:proofErr w:type="spellStart"/>
      <w:r w:rsidRPr="00F32462">
        <w:rPr>
          <w:i/>
          <w:iCs/>
          <w:sz w:val="24"/>
          <w:szCs w:val="24"/>
          <w:lang w:val="da-DK"/>
        </w:rPr>
        <w:t>Ambrisentan</w:t>
      </w:r>
      <w:proofErr w:type="spellEnd"/>
      <w:r w:rsidRPr="00F32462">
        <w:rPr>
          <w:i/>
          <w:iCs/>
          <w:sz w:val="24"/>
          <w:szCs w:val="24"/>
          <w:lang w:val="da-DK"/>
        </w:rPr>
        <w:t xml:space="preserve"> </w:t>
      </w:r>
      <w:r>
        <w:rPr>
          <w:i/>
          <w:iCs/>
          <w:sz w:val="24"/>
          <w:szCs w:val="24"/>
          <w:lang w:val="da-DK"/>
        </w:rPr>
        <w:t>"Sandoz"</w:t>
      </w:r>
      <w:r w:rsidRPr="00F32462">
        <w:rPr>
          <w:i/>
          <w:iCs/>
          <w:sz w:val="24"/>
          <w:szCs w:val="24"/>
          <w:lang w:val="da-DK"/>
        </w:rPr>
        <w:t xml:space="preserve"> 5 mg filmovertrukne tabletter </w:t>
      </w:r>
    </w:p>
    <w:p w:rsidR="00673CCD" w:rsidRPr="00F32462" w:rsidRDefault="00673CCD" w:rsidP="00673CCD">
      <w:pPr>
        <w:pStyle w:val="Brdtekst"/>
        <w:ind w:left="851" w:right="-1"/>
        <w:rPr>
          <w:sz w:val="24"/>
          <w:szCs w:val="24"/>
          <w:lang w:val="da-DK"/>
        </w:rPr>
      </w:pPr>
      <w:r w:rsidRPr="00F32462">
        <w:rPr>
          <w:sz w:val="24"/>
          <w:szCs w:val="24"/>
          <w:lang w:val="da-DK"/>
        </w:rPr>
        <w:t>Pink, rund, filmovertrukket tablet på ca. 6,5 mm, der er præget ”5” på den ene side.</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i/>
          <w:iCs/>
          <w:sz w:val="24"/>
          <w:szCs w:val="24"/>
          <w:lang w:val="da-DK"/>
        </w:rPr>
      </w:pPr>
      <w:proofErr w:type="spellStart"/>
      <w:r w:rsidRPr="00F32462">
        <w:rPr>
          <w:i/>
          <w:iCs/>
          <w:sz w:val="24"/>
          <w:szCs w:val="24"/>
          <w:lang w:val="da-DK"/>
        </w:rPr>
        <w:t>Ambrisentan</w:t>
      </w:r>
      <w:proofErr w:type="spellEnd"/>
      <w:r w:rsidRPr="00F32462">
        <w:rPr>
          <w:i/>
          <w:iCs/>
          <w:sz w:val="24"/>
          <w:szCs w:val="24"/>
          <w:lang w:val="da-DK"/>
        </w:rPr>
        <w:t xml:space="preserve"> </w:t>
      </w:r>
      <w:r>
        <w:rPr>
          <w:i/>
          <w:iCs/>
          <w:sz w:val="24"/>
          <w:szCs w:val="24"/>
          <w:lang w:val="da-DK"/>
        </w:rPr>
        <w:t>"Sandoz"</w:t>
      </w:r>
      <w:r w:rsidRPr="00F32462">
        <w:rPr>
          <w:i/>
          <w:iCs/>
          <w:sz w:val="24"/>
          <w:szCs w:val="24"/>
          <w:lang w:val="da-DK"/>
        </w:rPr>
        <w:t xml:space="preserve"> 10 mg filmovertrukne tabletter </w:t>
      </w:r>
    </w:p>
    <w:p w:rsidR="00673CCD" w:rsidRPr="00F32462" w:rsidRDefault="00673CCD" w:rsidP="00673CCD">
      <w:pPr>
        <w:pStyle w:val="Brdtekst"/>
        <w:ind w:left="851" w:right="-1"/>
        <w:rPr>
          <w:sz w:val="24"/>
          <w:szCs w:val="24"/>
          <w:lang w:val="da-DK"/>
        </w:rPr>
      </w:pPr>
      <w:r w:rsidRPr="00F32462">
        <w:rPr>
          <w:sz w:val="24"/>
          <w:szCs w:val="24"/>
          <w:lang w:val="da-DK"/>
        </w:rPr>
        <w:t>Pink, oval, filmovertrukket tablet på ca. 11,4 mm, der er præget ”10” på den ene side.</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w:t>
      </w:r>
      <w:r w:rsidRPr="00F32462">
        <w:rPr>
          <w:b/>
          <w:sz w:val="24"/>
          <w:szCs w:val="24"/>
        </w:rPr>
        <w:tab/>
        <w:t>KLINISKE OPLYSNINGER</w:t>
      </w:r>
    </w:p>
    <w:p w:rsidR="00673CCD" w:rsidRPr="00F32462" w:rsidRDefault="00673CCD" w:rsidP="00673CCD">
      <w:pPr>
        <w:tabs>
          <w:tab w:val="left" w:pos="851"/>
        </w:tabs>
        <w:ind w:left="851" w:right="-1"/>
        <w:rPr>
          <w:b/>
          <w:sz w:val="24"/>
          <w:szCs w:val="24"/>
        </w:rPr>
      </w:pPr>
    </w:p>
    <w:p w:rsidR="00673CCD" w:rsidRPr="00F32462" w:rsidRDefault="00673CCD" w:rsidP="00673CCD">
      <w:pPr>
        <w:tabs>
          <w:tab w:val="left" w:pos="851"/>
        </w:tabs>
        <w:ind w:left="851" w:right="-1" w:hanging="851"/>
        <w:rPr>
          <w:b/>
          <w:sz w:val="24"/>
          <w:szCs w:val="24"/>
          <w:u w:val="single"/>
        </w:rPr>
      </w:pPr>
      <w:r w:rsidRPr="00F32462">
        <w:rPr>
          <w:b/>
          <w:sz w:val="24"/>
          <w:szCs w:val="24"/>
        </w:rPr>
        <w:t>4.1</w:t>
      </w:r>
      <w:r w:rsidRPr="00F32462">
        <w:rPr>
          <w:b/>
          <w:sz w:val="24"/>
          <w:szCs w:val="24"/>
        </w:rPr>
        <w:tab/>
        <w:t>Terapeutiske indikationer</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w:t>
      </w:r>
      <w:r>
        <w:rPr>
          <w:sz w:val="24"/>
          <w:szCs w:val="24"/>
          <w:lang w:val="da-DK"/>
        </w:rPr>
        <w:t>"Sandoz"</w:t>
      </w:r>
      <w:r w:rsidRPr="00F32462">
        <w:rPr>
          <w:sz w:val="24"/>
          <w:szCs w:val="24"/>
          <w:lang w:val="da-DK"/>
        </w:rPr>
        <w:t xml:space="preserve"> er indiceret til behandling af </w:t>
      </w:r>
      <w:proofErr w:type="spellStart"/>
      <w:r w:rsidRPr="00F32462">
        <w:rPr>
          <w:sz w:val="24"/>
          <w:szCs w:val="24"/>
          <w:lang w:val="da-DK"/>
        </w:rPr>
        <w:t>pulmonal</w:t>
      </w:r>
      <w:proofErr w:type="spellEnd"/>
      <w:r w:rsidRPr="00F32462">
        <w:rPr>
          <w:sz w:val="24"/>
          <w:szCs w:val="24"/>
          <w:lang w:val="da-DK"/>
        </w:rPr>
        <w:t xml:space="preserve"> arteriel hypertension (PAH) </w:t>
      </w:r>
      <w:r w:rsidRPr="00F32462">
        <w:rPr>
          <w:sz w:val="24"/>
          <w:szCs w:val="24"/>
          <w:lang w:val="da-DK"/>
        </w:rPr>
        <w:lastRenderedPageBreak/>
        <w:t>hos voksne patienter i WHO-funktionsklasse (FC) II til III, herunder til kombinations</w:t>
      </w:r>
      <w:r>
        <w:rPr>
          <w:sz w:val="24"/>
          <w:szCs w:val="24"/>
          <w:lang w:val="da-DK"/>
        </w:rPr>
        <w:softHyphen/>
      </w:r>
      <w:r w:rsidRPr="00F32462">
        <w:rPr>
          <w:sz w:val="24"/>
          <w:szCs w:val="24"/>
          <w:lang w:val="da-DK"/>
        </w:rPr>
        <w:t>behandling (se pkt. 5.1). Der er påvist effekt ved idiopatisk PAH (IPAH) og ved PAH associeret med bindevævssygdom.</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4.2</w:t>
      </w:r>
      <w:r w:rsidRPr="00F32462">
        <w:rPr>
          <w:b/>
          <w:sz w:val="24"/>
          <w:szCs w:val="24"/>
        </w:rPr>
        <w:tab/>
        <w:t>Dosering og indgivelsesmåde</w:t>
      </w:r>
    </w:p>
    <w:p w:rsidR="00673CCD" w:rsidRPr="00F32462" w:rsidRDefault="00673CCD" w:rsidP="00673CCD">
      <w:pPr>
        <w:pStyle w:val="Brdtekst"/>
        <w:ind w:left="851" w:right="-1"/>
        <w:rPr>
          <w:sz w:val="24"/>
          <w:szCs w:val="24"/>
          <w:lang w:val="da-DK"/>
        </w:rPr>
      </w:pPr>
      <w:r w:rsidRPr="00F32462">
        <w:rPr>
          <w:sz w:val="24"/>
          <w:szCs w:val="24"/>
          <w:lang w:val="da-DK"/>
        </w:rPr>
        <w:t xml:space="preserve">Behandlingen skal indledes af en læge med erfaring i behandling af PAH. </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u w:val="single"/>
          <w:lang w:val="da-DK"/>
        </w:rPr>
      </w:pPr>
      <w:r w:rsidRPr="00F32462">
        <w:rPr>
          <w:sz w:val="24"/>
          <w:szCs w:val="24"/>
          <w:u w:val="single"/>
          <w:lang w:val="da-DK"/>
        </w:rPr>
        <w:t>Dosering</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proofErr w:type="spellStart"/>
      <w:r w:rsidRPr="00F32462">
        <w:rPr>
          <w:i/>
          <w:sz w:val="24"/>
          <w:szCs w:val="24"/>
        </w:rPr>
        <w:t>Ambrisentan</w:t>
      </w:r>
      <w:proofErr w:type="spellEnd"/>
      <w:r w:rsidRPr="00F32462">
        <w:rPr>
          <w:i/>
          <w:sz w:val="24"/>
          <w:szCs w:val="24"/>
        </w:rPr>
        <w:t xml:space="preserve"> som monoterapi</w:t>
      </w:r>
    </w:p>
    <w:p w:rsidR="00673CCD" w:rsidRPr="00F32462" w:rsidRDefault="00673CCD" w:rsidP="00673CCD">
      <w:pPr>
        <w:ind w:left="851" w:right="-1"/>
        <w:rPr>
          <w:sz w:val="24"/>
          <w:szCs w:val="24"/>
        </w:rPr>
      </w:pPr>
      <w:proofErr w:type="spellStart"/>
      <w:r w:rsidRPr="00F32462">
        <w:rPr>
          <w:sz w:val="24"/>
          <w:szCs w:val="24"/>
        </w:rPr>
        <w:t>Ambrisentan</w:t>
      </w:r>
      <w:proofErr w:type="spellEnd"/>
      <w:r w:rsidRPr="00F32462">
        <w:rPr>
          <w:sz w:val="24"/>
          <w:szCs w:val="24"/>
        </w:rPr>
        <w:t xml:space="preserve"> </w:t>
      </w:r>
      <w:r>
        <w:rPr>
          <w:sz w:val="24"/>
          <w:szCs w:val="24"/>
        </w:rPr>
        <w:t>"Sandoz"</w:t>
      </w:r>
      <w:r w:rsidRPr="00F32462">
        <w:rPr>
          <w:sz w:val="24"/>
          <w:szCs w:val="24"/>
        </w:rPr>
        <w:t xml:space="preserve"> skal tages oralt. Den sædvanlige initialdosis er 5 mg én gang daglig, som kan øges til 10 mg dagligt afhængigt af klinisk respons og </w:t>
      </w:r>
      <w:proofErr w:type="spellStart"/>
      <w:r w:rsidRPr="00F32462">
        <w:rPr>
          <w:sz w:val="24"/>
          <w:szCs w:val="24"/>
        </w:rPr>
        <w:t>tolerabilitet</w:t>
      </w:r>
      <w:proofErr w:type="spellEnd"/>
      <w:r w:rsidRPr="00F32462">
        <w:rPr>
          <w:sz w:val="24"/>
          <w:szCs w:val="24"/>
        </w:rPr>
        <w:t>.</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proofErr w:type="spellStart"/>
      <w:r w:rsidRPr="00F32462">
        <w:rPr>
          <w:i/>
          <w:sz w:val="24"/>
          <w:szCs w:val="24"/>
        </w:rPr>
        <w:t>Ambrisentan</w:t>
      </w:r>
      <w:proofErr w:type="spellEnd"/>
      <w:r w:rsidRPr="00F32462">
        <w:rPr>
          <w:i/>
          <w:sz w:val="24"/>
          <w:szCs w:val="24"/>
        </w:rPr>
        <w:t xml:space="preserve"> i kombination med </w:t>
      </w:r>
      <w:proofErr w:type="spellStart"/>
      <w:r w:rsidRPr="00F32462">
        <w:rPr>
          <w:i/>
          <w:sz w:val="24"/>
          <w:szCs w:val="24"/>
        </w:rPr>
        <w:t>tadalafil</w:t>
      </w:r>
      <w:proofErr w:type="spellEnd"/>
    </w:p>
    <w:p w:rsidR="00673CCD" w:rsidRPr="00F32462" w:rsidRDefault="00673CCD" w:rsidP="00673CCD">
      <w:pPr>
        <w:pStyle w:val="Brdtekst"/>
        <w:ind w:left="851" w:right="-1"/>
        <w:rPr>
          <w:sz w:val="24"/>
          <w:szCs w:val="24"/>
          <w:lang w:val="da-DK"/>
        </w:rPr>
      </w:pPr>
      <w:r w:rsidRPr="00F32462">
        <w:rPr>
          <w:sz w:val="24"/>
          <w:szCs w:val="24"/>
          <w:lang w:val="da-DK"/>
        </w:rPr>
        <w:t xml:space="preserve">Ved anvendelse i kombination med </w:t>
      </w:r>
      <w:proofErr w:type="spellStart"/>
      <w:r w:rsidRPr="00F32462">
        <w:rPr>
          <w:sz w:val="24"/>
          <w:szCs w:val="24"/>
          <w:lang w:val="da-DK"/>
        </w:rPr>
        <w:t>tadalafil</w:t>
      </w:r>
      <w:proofErr w:type="spellEnd"/>
      <w:r w:rsidRPr="00F32462">
        <w:rPr>
          <w:sz w:val="24"/>
          <w:szCs w:val="24"/>
          <w:lang w:val="da-DK"/>
        </w:rPr>
        <w:t xml:space="preserve"> bør </w:t>
      </w:r>
      <w:proofErr w:type="spellStart"/>
      <w:r w:rsidRPr="00F32462">
        <w:rPr>
          <w:sz w:val="24"/>
          <w:szCs w:val="24"/>
          <w:lang w:val="da-DK"/>
        </w:rPr>
        <w:t>Ambrisentan</w:t>
      </w:r>
      <w:proofErr w:type="spellEnd"/>
      <w:r w:rsidRPr="00F32462">
        <w:rPr>
          <w:sz w:val="24"/>
          <w:szCs w:val="24"/>
          <w:lang w:val="da-DK"/>
        </w:rPr>
        <w:t xml:space="preserve"> </w:t>
      </w:r>
      <w:r>
        <w:rPr>
          <w:sz w:val="24"/>
          <w:szCs w:val="24"/>
          <w:lang w:val="da-DK"/>
        </w:rPr>
        <w:t>"Sandoz"</w:t>
      </w:r>
      <w:r w:rsidRPr="00F32462">
        <w:rPr>
          <w:sz w:val="24"/>
          <w:szCs w:val="24"/>
          <w:lang w:val="da-DK"/>
        </w:rPr>
        <w:t xml:space="preserve"> titreres til 10 mg én gang daglig.</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 AMBITION-studiet fik patienterne 5 mg </w:t>
      </w:r>
      <w:proofErr w:type="spellStart"/>
      <w:r w:rsidRPr="00F32462">
        <w:rPr>
          <w:sz w:val="24"/>
          <w:szCs w:val="24"/>
          <w:lang w:val="da-DK"/>
        </w:rPr>
        <w:t>ambrisentan</w:t>
      </w:r>
      <w:proofErr w:type="spellEnd"/>
      <w:r w:rsidRPr="00F32462">
        <w:rPr>
          <w:sz w:val="24"/>
          <w:szCs w:val="24"/>
          <w:lang w:val="da-DK"/>
        </w:rPr>
        <w:t xml:space="preserve"> dagligt i de første 8 uger, før de blev titreret op til 10 mg, afhængigt af </w:t>
      </w:r>
      <w:proofErr w:type="spellStart"/>
      <w:r w:rsidRPr="00F32462">
        <w:rPr>
          <w:sz w:val="24"/>
          <w:szCs w:val="24"/>
          <w:lang w:val="da-DK"/>
        </w:rPr>
        <w:t>tolerabilitet</w:t>
      </w:r>
      <w:proofErr w:type="spellEnd"/>
      <w:r w:rsidRPr="00F32462">
        <w:rPr>
          <w:sz w:val="24"/>
          <w:szCs w:val="24"/>
          <w:lang w:val="da-DK"/>
        </w:rPr>
        <w:t xml:space="preserve"> (se pkt. 5.1). Ved kombination med </w:t>
      </w:r>
      <w:proofErr w:type="spellStart"/>
      <w:r w:rsidRPr="00F32462">
        <w:rPr>
          <w:sz w:val="24"/>
          <w:szCs w:val="24"/>
          <w:lang w:val="da-DK"/>
        </w:rPr>
        <w:t>tadalafil</w:t>
      </w:r>
      <w:proofErr w:type="spellEnd"/>
      <w:r w:rsidRPr="00F32462">
        <w:rPr>
          <w:sz w:val="24"/>
          <w:szCs w:val="24"/>
          <w:lang w:val="da-DK"/>
        </w:rPr>
        <w:t xml:space="preserve"> fik patienterne initialt 5 mg </w:t>
      </w:r>
      <w:proofErr w:type="spellStart"/>
      <w:r w:rsidRPr="00F32462">
        <w:rPr>
          <w:sz w:val="24"/>
          <w:szCs w:val="24"/>
          <w:lang w:val="da-DK"/>
        </w:rPr>
        <w:t>ambrisentan</w:t>
      </w:r>
      <w:proofErr w:type="spellEnd"/>
      <w:r w:rsidRPr="00F32462">
        <w:rPr>
          <w:sz w:val="24"/>
          <w:szCs w:val="24"/>
          <w:lang w:val="da-DK"/>
        </w:rPr>
        <w:t xml:space="preserve"> og 20 mg </w:t>
      </w:r>
      <w:proofErr w:type="spellStart"/>
      <w:r w:rsidRPr="00F32462">
        <w:rPr>
          <w:sz w:val="24"/>
          <w:szCs w:val="24"/>
          <w:lang w:val="da-DK"/>
        </w:rPr>
        <w:t>tadalafil</w:t>
      </w:r>
      <w:proofErr w:type="spellEnd"/>
      <w:r w:rsidRPr="00F32462">
        <w:rPr>
          <w:sz w:val="24"/>
          <w:szCs w:val="24"/>
          <w:lang w:val="da-DK"/>
        </w:rPr>
        <w:t xml:space="preserve">. Afhængigt af </w:t>
      </w:r>
      <w:proofErr w:type="spellStart"/>
      <w:r w:rsidRPr="00F32462">
        <w:rPr>
          <w:sz w:val="24"/>
          <w:szCs w:val="24"/>
          <w:lang w:val="da-DK"/>
        </w:rPr>
        <w:t>tolerabiliteten</w:t>
      </w:r>
      <w:proofErr w:type="spellEnd"/>
      <w:r w:rsidRPr="00F32462">
        <w:rPr>
          <w:sz w:val="24"/>
          <w:szCs w:val="24"/>
          <w:lang w:val="da-DK"/>
        </w:rPr>
        <w:t xml:space="preserve"> blev </w:t>
      </w:r>
      <w:proofErr w:type="spellStart"/>
      <w:r w:rsidRPr="00F32462">
        <w:rPr>
          <w:sz w:val="24"/>
          <w:szCs w:val="24"/>
          <w:lang w:val="da-DK"/>
        </w:rPr>
        <w:t>tadalafildosis</w:t>
      </w:r>
      <w:proofErr w:type="spellEnd"/>
      <w:r w:rsidRPr="00F32462">
        <w:rPr>
          <w:sz w:val="24"/>
          <w:szCs w:val="24"/>
          <w:lang w:val="da-DK"/>
        </w:rPr>
        <w:t xml:space="preserve"> øget til 40 mg efter 4 uger, og </w:t>
      </w:r>
      <w:proofErr w:type="spellStart"/>
      <w:r w:rsidRPr="00F32462">
        <w:rPr>
          <w:sz w:val="24"/>
          <w:szCs w:val="24"/>
          <w:lang w:val="da-DK"/>
        </w:rPr>
        <w:t>ambrisentandosis</w:t>
      </w:r>
      <w:proofErr w:type="spellEnd"/>
      <w:r w:rsidRPr="00F32462">
        <w:rPr>
          <w:sz w:val="24"/>
          <w:szCs w:val="24"/>
          <w:lang w:val="da-DK"/>
        </w:rPr>
        <w:t xml:space="preserve"> blev øget til 10 mg efter 8 uger. Flere end 90 % af patienterne kom op på dette dosisniveau. Dosis kunne også nedsættes afhængigt af </w:t>
      </w:r>
      <w:proofErr w:type="spellStart"/>
      <w:r w:rsidRPr="00F32462">
        <w:rPr>
          <w:sz w:val="24"/>
          <w:szCs w:val="24"/>
          <w:lang w:val="da-DK"/>
        </w:rPr>
        <w:t>tolerabilitet</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Begrænsede data tyder på, at brat ophør med </w:t>
      </w:r>
      <w:proofErr w:type="spellStart"/>
      <w:r w:rsidRPr="00F32462">
        <w:rPr>
          <w:sz w:val="24"/>
          <w:szCs w:val="24"/>
          <w:lang w:val="da-DK"/>
        </w:rPr>
        <w:t>ambrisentan</w:t>
      </w:r>
      <w:proofErr w:type="spellEnd"/>
      <w:r w:rsidRPr="00F32462">
        <w:rPr>
          <w:sz w:val="24"/>
          <w:szCs w:val="24"/>
          <w:lang w:val="da-DK"/>
        </w:rPr>
        <w:t xml:space="preserve"> ikke er forbundet med </w:t>
      </w:r>
      <w:proofErr w:type="spellStart"/>
      <w:r w:rsidRPr="00F32462">
        <w:rPr>
          <w:i/>
          <w:sz w:val="24"/>
          <w:szCs w:val="24"/>
          <w:lang w:val="da-DK"/>
        </w:rPr>
        <w:t>rebound</w:t>
      </w:r>
      <w:proofErr w:type="spellEnd"/>
      <w:r w:rsidRPr="00F32462">
        <w:rPr>
          <w:sz w:val="24"/>
          <w:szCs w:val="24"/>
          <w:lang w:val="da-DK"/>
        </w:rPr>
        <w:t>-forværring af PAH.</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Ved administration sammen med </w:t>
      </w:r>
      <w:proofErr w:type="spellStart"/>
      <w:r w:rsidRPr="00F32462">
        <w:rPr>
          <w:sz w:val="24"/>
          <w:szCs w:val="24"/>
          <w:lang w:val="da-DK"/>
        </w:rPr>
        <w:t>ciclosporin</w:t>
      </w:r>
      <w:proofErr w:type="spellEnd"/>
      <w:r w:rsidRPr="00F32462">
        <w:rPr>
          <w:sz w:val="24"/>
          <w:szCs w:val="24"/>
          <w:lang w:val="da-DK"/>
        </w:rPr>
        <w:t xml:space="preserve"> A må </w:t>
      </w:r>
      <w:proofErr w:type="spellStart"/>
      <w:r w:rsidRPr="00F32462">
        <w:rPr>
          <w:sz w:val="24"/>
          <w:szCs w:val="24"/>
          <w:lang w:val="da-DK"/>
        </w:rPr>
        <w:t>ambrisentandosis</w:t>
      </w:r>
      <w:proofErr w:type="spellEnd"/>
      <w:r w:rsidRPr="00F32462">
        <w:rPr>
          <w:sz w:val="24"/>
          <w:szCs w:val="24"/>
          <w:lang w:val="da-DK"/>
        </w:rPr>
        <w:t xml:space="preserve"> højst være 5 mg én gang daglig, og patienten skal monitoreres omhyggeligt (se pkt. 4.5 og 5.2).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Specielle populationer</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r w:rsidRPr="00F32462">
        <w:rPr>
          <w:i/>
          <w:sz w:val="24"/>
          <w:szCs w:val="24"/>
          <w:u w:val="single"/>
        </w:rPr>
        <w:t>Ældre patienter</w:t>
      </w:r>
    </w:p>
    <w:p w:rsidR="00673CCD" w:rsidRPr="00F32462" w:rsidRDefault="00673CCD" w:rsidP="00673CCD">
      <w:pPr>
        <w:pStyle w:val="Brdtekst"/>
        <w:ind w:left="851" w:right="-1"/>
        <w:rPr>
          <w:i/>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Der kræves ingen dosisjusteringer hos patienter over 65 år (se pkt. 5.2).</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r w:rsidRPr="00F32462">
        <w:rPr>
          <w:i/>
          <w:sz w:val="24"/>
          <w:szCs w:val="24"/>
          <w:u w:val="single"/>
        </w:rPr>
        <w:t>Patienter med nedsat nyrefunktion</w:t>
      </w:r>
    </w:p>
    <w:p w:rsidR="00673CCD" w:rsidRPr="00F32462" w:rsidRDefault="00673CCD" w:rsidP="00673CCD">
      <w:pPr>
        <w:pStyle w:val="Brdtekst"/>
        <w:ind w:left="851" w:right="-1"/>
        <w:rPr>
          <w:i/>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Der kræves ingen dosisjusteringer hos patienter med nedsat nyrefunktion (se pkt. 5.2). Der er kun begrænset erfaring med brug af </w:t>
      </w:r>
      <w:proofErr w:type="spellStart"/>
      <w:r w:rsidRPr="00F32462">
        <w:rPr>
          <w:sz w:val="24"/>
          <w:szCs w:val="24"/>
          <w:lang w:val="da-DK"/>
        </w:rPr>
        <w:t>ambrisentan</w:t>
      </w:r>
      <w:proofErr w:type="spellEnd"/>
      <w:r w:rsidRPr="00F32462">
        <w:rPr>
          <w:sz w:val="24"/>
          <w:szCs w:val="24"/>
          <w:lang w:val="da-DK"/>
        </w:rPr>
        <w:t xml:space="preserve"> hos patienter med svært nedsat nyrefunktion (</w:t>
      </w:r>
      <w:proofErr w:type="spellStart"/>
      <w:r w:rsidRPr="00F32462">
        <w:rPr>
          <w:sz w:val="24"/>
          <w:szCs w:val="24"/>
          <w:lang w:val="da-DK"/>
        </w:rPr>
        <w:t>kreatininclearance</w:t>
      </w:r>
      <w:proofErr w:type="spellEnd"/>
      <w:r w:rsidRPr="00F32462">
        <w:rPr>
          <w:sz w:val="24"/>
          <w:szCs w:val="24"/>
          <w:lang w:val="da-DK"/>
        </w:rPr>
        <w:t xml:space="preserve"> &lt; 30 ml/min). Behandlingen skal derfor indledes med forsigtighed hos disse patienter, og der skal udvises særlig forsigtighed, hvis dosis øges til 10 mg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r w:rsidRPr="00F32462">
        <w:rPr>
          <w:i/>
          <w:sz w:val="24"/>
          <w:szCs w:val="24"/>
          <w:u w:val="single"/>
        </w:rPr>
        <w:t>Patienter med nedsat leverfunktion</w:t>
      </w:r>
    </w:p>
    <w:p w:rsidR="00673CCD" w:rsidRPr="00F32462" w:rsidRDefault="00673CCD" w:rsidP="00673CCD">
      <w:pPr>
        <w:pStyle w:val="Brdtekst"/>
        <w:ind w:left="851" w:right="-1"/>
        <w:rPr>
          <w:i/>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ikke undersøgt hos personer med nedsat leverfunktion (med eller uden cirrose). Da </w:t>
      </w:r>
      <w:proofErr w:type="spellStart"/>
      <w:r w:rsidRPr="00F32462">
        <w:rPr>
          <w:sz w:val="24"/>
          <w:szCs w:val="24"/>
          <w:lang w:val="da-DK"/>
        </w:rPr>
        <w:t>ambrisentans</w:t>
      </w:r>
      <w:proofErr w:type="spellEnd"/>
      <w:r w:rsidRPr="00F32462">
        <w:rPr>
          <w:sz w:val="24"/>
          <w:szCs w:val="24"/>
          <w:lang w:val="da-DK"/>
        </w:rPr>
        <w:t xml:space="preserve"> primære </w:t>
      </w:r>
      <w:proofErr w:type="spellStart"/>
      <w:r w:rsidRPr="00F32462">
        <w:rPr>
          <w:sz w:val="24"/>
          <w:szCs w:val="24"/>
          <w:lang w:val="da-DK"/>
        </w:rPr>
        <w:t>metaboliseringsvej</w:t>
      </w:r>
      <w:proofErr w:type="spellEnd"/>
      <w:r w:rsidRPr="00F32462">
        <w:rPr>
          <w:sz w:val="24"/>
          <w:szCs w:val="24"/>
          <w:lang w:val="da-DK"/>
        </w:rPr>
        <w:t xml:space="preserve"> er via </w:t>
      </w:r>
      <w:proofErr w:type="spellStart"/>
      <w:r w:rsidRPr="00F32462">
        <w:rPr>
          <w:sz w:val="24"/>
          <w:szCs w:val="24"/>
          <w:lang w:val="da-DK"/>
        </w:rPr>
        <w:t>glukuronidering</w:t>
      </w:r>
      <w:proofErr w:type="spellEnd"/>
      <w:r w:rsidRPr="00F32462">
        <w:rPr>
          <w:sz w:val="24"/>
          <w:szCs w:val="24"/>
          <w:lang w:val="da-DK"/>
        </w:rPr>
        <w:t xml:space="preserve"> og oxidation med efterfølgende udskillelse i galden, kan det forventes, at nedsat leverfunktion vil øge eksponeringen (</w:t>
      </w:r>
      <w:proofErr w:type="spellStart"/>
      <w:r w:rsidRPr="00F32462">
        <w:rPr>
          <w:sz w:val="24"/>
          <w:szCs w:val="24"/>
          <w:lang w:val="da-DK"/>
        </w:rPr>
        <w:t>C</w:t>
      </w:r>
      <w:r w:rsidRPr="00F32462">
        <w:rPr>
          <w:sz w:val="24"/>
          <w:szCs w:val="24"/>
          <w:vertAlign w:val="subscript"/>
          <w:lang w:val="da-DK"/>
        </w:rPr>
        <w:t>max</w:t>
      </w:r>
      <w:proofErr w:type="spellEnd"/>
      <w:r w:rsidRPr="00F32462">
        <w:rPr>
          <w:position w:val="-1"/>
          <w:sz w:val="24"/>
          <w:szCs w:val="24"/>
          <w:lang w:val="da-DK"/>
        </w:rPr>
        <w:t xml:space="preserve"> </w:t>
      </w:r>
      <w:r w:rsidRPr="00F32462">
        <w:rPr>
          <w:sz w:val="24"/>
          <w:szCs w:val="24"/>
          <w:lang w:val="da-DK"/>
        </w:rPr>
        <w:t xml:space="preserve">og AUC) for </w:t>
      </w:r>
      <w:proofErr w:type="spellStart"/>
      <w:r w:rsidRPr="00F32462">
        <w:rPr>
          <w:sz w:val="24"/>
          <w:szCs w:val="24"/>
          <w:lang w:val="da-DK"/>
        </w:rPr>
        <w:t>ambrisentan</w:t>
      </w:r>
      <w:proofErr w:type="spellEnd"/>
      <w:r w:rsidRPr="00F32462">
        <w:rPr>
          <w:sz w:val="24"/>
          <w:szCs w:val="24"/>
          <w:lang w:val="da-DK"/>
        </w:rPr>
        <w:t xml:space="preserve">. Behandling med </w:t>
      </w:r>
      <w:proofErr w:type="spellStart"/>
      <w:r w:rsidRPr="00F32462">
        <w:rPr>
          <w:sz w:val="24"/>
          <w:szCs w:val="24"/>
          <w:lang w:val="da-DK"/>
        </w:rPr>
        <w:t>ambrisentan</w:t>
      </w:r>
      <w:proofErr w:type="spellEnd"/>
      <w:r w:rsidRPr="00F32462">
        <w:rPr>
          <w:sz w:val="24"/>
          <w:szCs w:val="24"/>
          <w:lang w:val="da-DK"/>
        </w:rPr>
        <w:t xml:space="preserve"> må derfor ikke indledes hos patienter med svært nedsat leverfunktion eller med klinisk signifikant </w:t>
      </w:r>
      <w:r w:rsidRPr="00F32462">
        <w:rPr>
          <w:sz w:val="24"/>
          <w:szCs w:val="24"/>
          <w:lang w:val="da-DK"/>
        </w:rPr>
        <w:lastRenderedPageBreak/>
        <w:t xml:space="preserve">forhøjede </w:t>
      </w:r>
      <w:proofErr w:type="spellStart"/>
      <w:r w:rsidRPr="00F32462">
        <w:rPr>
          <w:sz w:val="24"/>
          <w:szCs w:val="24"/>
          <w:lang w:val="da-DK"/>
        </w:rPr>
        <w:t>leveraminotransferaser</w:t>
      </w:r>
      <w:proofErr w:type="spellEnd"/>
      <w:r w:rsidRPr="00F32462">
        <w:rPr>
          <w:sz w:val="24"/>
          <w:szCs w:val="24"/>
          <w:lang w:val="da-DK"/>
        </w:rPr>
        <w:t xml:space="preserve"> (større end 3 gange øvre normalgrænse (&gt; 3 x ULN (</w:t>
      </w:r>
      <w:r w:rsidRPr="00F32462">
        <w:rPr>
          <w:i/>
          <w:sz w:val="24"/>
          <w:szCs w:val="24"/>
          <w:lang w:val="da-DK"/>
        </w:rPr>
        <w:t>Upper Limit of Normal</w:t>
      </w:r>
      <w:r w:rsidRPr="00F32462">
        <w:rPr>
          <w:sz w:val="24"/>
          <w:szCs w:val="24"/>
          <w:lang w:val="da-DK"/>
        </w:rPr>
        <w:t>)); se pkt. 4.3 og 4.4).</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i/>
          <w:sz w:val="24"/>
          <w:szCs w:val="24"/>
          <w:lang w:val="da-DK"/>
        </w:rPr>
      </w:pPr>
      <w:r w:rsidRPr="00F32462">
        <w:rPr>
          <w:i/>
          <w:sz w:val="24"/>
          <w:szCs w:val="24"/>
          <w:u w:val="single"/>
          <w:lang w:val="da-DK"/>
        </w:rPr>
        <w:t>Pædiatrisk population</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sz w:val="24"/>
          <w:szCs w:val="24"/>
        </w:rPr>
      </w:pPr>
      <w:proofErr w:type="spellStart"/>
      <w:r w:rsidRPr="00F32462">
        <w:rPr>
          <w:sz w:val="24"/>
          <w:szCs w:val="24"/>
        </w:rPr>
        <w:t>Ambrisentans</w:t>
      </w:r>
      <w:proofErr w:type="spellEnd"/>
      <w:r w:rsidRPr="00F32462">
        <w:rPr>
          <w:sz w:val="24"/>
          <w:szCs w:val="24"/>
        </w:rPr>
        <w:t xml:space="preserve"> sikkerhed og virkning hos børn og unge i alderen under 18 år er ikke klarlagt. Der foreligger ingen kliniske data (se pkt. 5.3 vedrørende data, der er tilgængelige hos unge dyr).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Administration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Det anbefales, at tabletten synkes hel. Tabletten kan tages med eller uden mad. Det anbefales, at tabletten ikke deles, knuses eller tygges.</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4.3</w:t>
      </w:r>
      <w:r w:rsidRPr="00F32462">
        <w:rPr>
          <w:b/>
          <w:sz w:val="24"/>
          <w:szCs w:val="24"/>
        </w:rPr>
        <w:tab/>
        <w:t>Kontraindikationer</w:t>
      </w:r>
    </w:p>
    <w:p w:rsidR="00673CCD" w:rsidRPr="00F32462" w:rsidRDefault="00673CCD" w:rsidP="00673CCD">
      <w:pPr>
        <w:pStyle w:val="Brdtekst"/>
        <w:ind w:left="851" w:right="-1"/>
        <w:rPr>
          <w:sz w:val="24"/>
          <w:szCs w:val="24"/>
          <w:lang w:val="da-DK"/>
        </w:rPr>
      </w:pPr>
      <w:r w:rsidRPr="00F32462">
        <w:rPr>
          <w:sz w:val="24"/>
          <w:szCs w:val="24"/>
          <w:lang w:val="da-DK"/>
        </w:rPr>
        <w:t>Overfølsomhed over for det aktive stof eller over for et eller flere af hjælpestofferne anført i pkt. 6.1.</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Graviditet (se pkt. 4.6).</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Kvinder i den fertile alder, som ikke anvender sikker prævention (se pkt. 4.4 og 4.6). </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Amning (se pkt. 4.6).</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Svært nedsat leverfunktion (med eller uden cirrose) (se pkt. 4.2).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i/>
          <w:sz w:val="24"/>
          <w:szCs w:val="24"/>
          <w:lang w:val="da-DK"/>
        </w:rPr>
        <w:t>Baseline-</w:t>
      </w:r>
      <w:r w:rsidRPr="00F32462">
        <w:rPr>
          <w:sz w:val="24"/>
          <w:szCs w:val="24"/>
          <w:lang w:val="da-DK"/>
        </w:rPr>
        <w:t xml:space="preserve">værdier for </w:t>
      </w:r>
      <w:proofErr w:type="spellStart"/>
      <w:r w:rsidRPr="00F32462">
        <w:rPr>
          <w:sz w:val="24"/>
          <w:szCs w:val="24"/>
          <w:lang w:val="da-DK"/>
        </w:rPr>
        <w:t>leveraminotransferaser</w:t>
      </w:r>
      <w:proofErr w:type="spellEnd"/>
      <w:r w:rsidRPr="00F32462">
        <w:rPr>
          <w:sz w:val="24"/>
          <w:szCs w:val="24"/>
          <w:lang w:val="da-DK"/>
        </w:rPr>
        <w:t xml:space="preserve"> (</w:t>
      </w:r>
      <w:proofErr w:type="spellStart"/>
      <w:r w:rsidRPr="00F32462">
        <w:rPr>
          <w:sz w:val="24"/>
          <w:szCs w:val="24"/>
          <w:lang w:val="da-DK"/>
        </w:rPr>
        <w:t>aspartat-aminotransferase</w:t>
      </w:r>
      <w:proofErr w:type="spellEnd"/>
      <w:r w:rsidRPr="00F32462">
        <w:rPr>
          <w:sz w:val="24"/>
          <w:szCs w:val="24"/>
          <w:lang w:val="da-DK"/>
        </w:rPr>
        <w:t xml:space="preserve"> (ASAT) og/eller </w:t>
      </w:r>
      <w:proofErr w:type="spellStart"/>
      <w:r w:rsidRPr="00F32462">
        <w:rPr>
          <w:sz w:val="24"/>
          <w:szCs w:val="24"/>
          <w:lang w:val="da-DK"/>
        </w:rPr>
        <w:t>alanin-aminotransferase</w:t>
      </w:r>
      <w:proofErr w:type="spellEnd"/>
      <w:r w:rsidRPr="00F32462">
        <w:rPr>
          <w:sz w:val="24"/>
          <w:szCs w:val="24"/>
          <w:lang w:val="da-DK"/>
        </w:rPr>
        <w:t xml:space="preserve"> (ALAT)) &gt; 3 x ULN (se pkt. 4.2 og 4.4).</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Idiopatisk </w:t>
      </w:r>
      <w:proofErr w:type="spellStart"/>
      <w:r w:rsidRPr="00F32462">
        <w:rPr>
          <w:sz w:val="24"/>
          <w:szCs w:val="24"/>
          <w:lang w:val="da-DK"/>
        </w:rPr>
        <w:t>pulmonal</w:t>
      </w:r>
      <w:proofErr w:type="spellEnd"/>
      <w:r w:rsidRPr="00F32462">
        <w:rPr>
          <w:sz w:val="24"/>
          <w:szCs w:val="24"/>
          <w:lang w:val="da-DK"/>
        </w:rPr>
        <w:t xml:space="preserve"> fibrose (IPF) med og uden sekundær </w:t>
      </w:r>
      <w:proofErr w:type="spellStart"/>
      <w:r w:rsidRPr="00F32462">
        <w:rPr>
          <w:sz w:val="24"/>
          <w:szCs w:val="24"/>
          <w:lang w:val="da-DK"/>
        </w:rPr>
        <w:t>pulmonal</w:t>
      </w:r>
      <w:proofErr w:type="spellEnd"/>
      <w:r w:rsidRPr="00F32462">
        <w:rPr>
          <w:sz w:val="24"/>
          <w:szCs w:val="24"/>
          <w:lang w:val="da-DK"/>
        </w:rPr>
        <w:t xml:space="preserve"> hypertension (se pkt. 5.1).</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4.4</w:t>
      </w:r>
      <w:r w:rsidRPr="00F32462">
        <w:rPr>
          <w:b/>
          <w:sz w:val="24"/>
          <w:szCs w:val="24"/>
        </w:rPr>
        <w:tab/>
        <w:t>Særlige advarsler og forsigtighedsregler vedrørende brugen</w:t>
      </w:r>
    </w:p>
    <w:p w:rsidR="00673CCD" w:rsidRPr="00F32462" w:rsidRDefault="00673CCD" w:rsidP="00673CCD">
      <w:pPr>
        <w:pStyle w:val="Brdtekst"/>
        <w:ind w:left="851" w:right="-1"/>
        <w:rPr>
          <w:sz w:val="24"/>
          <w:szCs w:val="24"/>
          <w:lang w:val="da-DK"/>
        </w:rPr>
      </w:pPr>
      <w:r w:rsidRPr="00F32462">
        <w:rPr>
          <w:iCs/>
          <w:sz w:val="24"/>
          <w:szCs w:val="24"/>
          <w:lang w:val="da-DK"/>
        </w:rPr>
        <w:t>Risk/benefit</w:t>
      </w:r>
      <w:r w:rsidRPr="00F32462">
        <w:rPr>
          <w:sz w:val="24"/>
          <w:szCs w:val="24"/>
          <w:lang w:val="da-DK"/>
        </w:rPr>
        <w:t xml:space="preserve">-profilen for </w:t>
      </w:r>
      <w:proofErr w:type="spellStart"/>
      <w:r w:rsidRPr="00F32462">
        <w:rPr>
          <w:sz w:val="24"/>
          <w:szCs w:val="24"/>
          <w:lang w:val="da-DK"/>
        </w:rPr>
        <w:t>ambrisentan</w:t>
      </w:r>
      <w:proofErr w:type="spellEnd"/>
      <w:r w:rsidRPr="00F32462">
        <w:rPr>
          <w:sz w:val="24"/>
          <w:szCs w:val="24"/>
          <w:lang w:val="da-DK"/>
        </w:rPr>
        <w:t xml:space="preserve"> kan ikke fastslås hos patienter med PAH i WHO-funktionsklasse I, da </w:t>
      </w:r>
      <w:proofErr w:type="spellStart"/>
      <w:r w:rsidRPr="00F32462">
        <w:rPr>
          <w:sz w:val="24"/>
          <w:szCs w:val="24"/>
          <w:lang w:val="da-DK"/>
        </w:rPr>
        <w:t>ambrisentan</w:t>
      </w:r>
      <w:proofErr w:type="spellEnd"/>
      <w:r w:rsidRPr="00F32462">
        <w:rPr>
          <w:sz w:val="24"/>
          <w:szCs w:val="24"/>
          <w:lang w:val="da-DK"/>
        </w:rPr>
        <w:t xml:space="preserve"> ikke er undersøgt hos et tilstrækkeligt antal af disse patienter.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Effekten af </w:t>
      </w:r>
      <w:proofErr w:type="spellStart"/>
      <w:r w:rsidRPr="00F32462">
        <w:rPr>
          <w:sz w:val="24"/>
          <w:szCs w:val="24"/>
          <w:lang w:val="da-DK"/>
        </w:rPr>
        <w:t>ambrisentan</w:t>
      </w:r>
      <w:proofErr w:type="spellEnd"/>
      <w:r w:rsidRPr="00F32462">
        <w:rPr>
          <w:sz w:val="24"/>
          <w:szCs w:val="24"/>
          <w:lang w:val="da-DK"/>
        </w:rPr>
        <w:t xml:space="preserve"> som monoterapi er ikke fastslået hos patienter med PAH i WHO-funktionsklasse IV. Behandling, som anbefales i sygdommens svære stadier (f.eks. </w:t>
      </w:r>
      <w:proofErr w:type="spellStart"/>
      <w:r w:rsidRPr="00F32462">
        <w:rPr>
          <w:sz w:val="24"/>
          <w:szCs w:val="24"/>
          <w:lang w:val="da-DK"/>
        </w:rPr>
        <w:t>epoprostenol</w:t>
      </w:r>
      <w:proofErr w:type="spellEnd"/>
      <w:r w:rsidRPr="00F32462">
        <w:rPr>
          <w:sz w:val="24"/>
          <w:szCs w:val="24"/>
          <w:lang w:val="da-DK"/>
        </w:rPr>
        <w:t>), bør overvejes, hvis den kliniske tilstand forringes.</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Leverfunktion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Abnormiteter i leverfunktionen er blevet forbundet med PAH. Tilfælde forenelige med autoimmun hepatitis inklusive mulig </w:t>
      </w:r>
      <w:proofErr w:type="spellStart"/>
      <w:r w:rsidRPr="00F32462">
        <w:rPr>
          <w:sz w:val="24"/>
          <w:szCs w:val="24"/>
          <w:lang w:val="da-DK"/>
        </w:rPr>
        <w:t>eksacerbation</w:t>
      </w:r>
      <w:proofErr w:type="spellEnd"/>
      <w:r w:rsidRPr="00F32462">
        <w:rPr>
          <w:sz w:val="24"/>
          <w:szCs w:val="24"/>
          <w:lang w:val="da-DK"/>
        </w:rPr>
        <w:t xml:space="preserve"> af underliggende autoimmun hepatitis, leverskade og forhøjede leverenzymer med mulig sammenhæng med behandlingen er set i forbindelse med </w:t>
      </w:r>
      <w:proofErr w:type="spellStart"/>
      <w:r w:rsidRPr="00F32462">
        <w:rPr>
          <w:sz w:val="24"/>
          <w:szCs w:val="24"/>
          <w:lang w:val="da-DK"/>
        </w:rPr>
        <w:t>ambrisentan</w:t>
      </w:r>
      <w:proofErr w:type="spellEnd"/>
      <w:r w:rsidRPr="00F32462">
        <w:rPr>
          <w:sz w:val="24"/>
          <w:szCs w:val="24"/>
          <w:lang w:val="da-DK"/>
        </w:rPr>
        <w:t xml:space="preserve"> (se pkt. 4.8 og 5.1). Derfor skal </w:t>
      </w:r>
      <w:proofErr w:type="spellStart"/>
      <w:r w:rsidRPr="00F32462">
        <w:rPr>
          <w:sz w:val="24"/>
          <w:szCs w:val="24"/>
          <w:lang w:val="da-DK"/>
        </w:rPr>
        <w:t>leveraminotransferaserne</w:t>
      </w:r>
      <w:proofErr w:type="spellEnd"/>
      <w:r w:rsidRPr="00F32462">
        <w:rPr>
          <w:sz w:val="24"/>
          <w:szCs w:val="24"/>
          <w:lang w:val="da-DK"/>
        </w:rPr>
        <w:t xml:space="preserve"> (ALAT og ASAT) vurderes, før behandling med </w:t>
      </w:r>
      <w:proofErr w:type="spellStart"/>
      <w:r w:rsidRPr="00F32462">
        <w:rPr>
          <w:sz w:val="24"/>
          <w:szCs w:val="24"/>
          <w:lang w:val="da-DK"/>
        </w:rPr>
        <w:t>ambrisentan</w:t>
      </w:r>
      <w:proofErr w:type="spellEnd"/>
      <w:r w:rsidRPr="00F32462">
        <w:rPr>
          <w:sz w:val="24"/>
          <w:szCs w:val="24"/>
          <w:lang w:val="da-DK"/>
        </w:rPr>
        <w:t xml:space="preserve"> igangsættes, og behandling må ikke indledes hos patienter med </w:t>
      </w:r>
      <w:r w:rsidRPr="00F32462">
        <w:rPr>
          <w:i/>
          <w:sz w:val="24"/>
          <w:szCs w:val="24"/>
          <w:lang w:val="da-DK"/>
        </w:rPr>
        <w:t>baseline</w:t>
      </w:r>
      <w:r w:rsidRPr="00F32462">
        <w:rPr>
          <w:sz w:val="24"/>
          <w:szCs w:val="24"/>
          <w:lang w:val="da-DK"/>
        </w:rPr>
        <w:t>-værdier for ALAT og/eller ASAT &gt; 3 x ULN (se pkt. 4.3).</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lastRenderedPageBreak/>
        <w:t xml:space="preserve">Patienterne skal monitoreres for tegn på leverskade, og månedlig monitorering af ALAT og ASAT anbefales. Hvis en patient udvikler vedvarende, uforklarlig, klinisk signifikant ALAT- og/eller ASAT-forhøjelse, eller hvis ALAT- og/eller ASAT-forhøjelse ledsages af tegn eller symptomer på leverskader (f.eks. gulsot), skal </w:t>
      </w:r>
      <w:proofErr w:type="spellStart"/>
      <w:r w:rsidRPr="00F32462">
        <w:rPr>
          <w:sz w:val="24"/>
          <w:szCs w:val="24"/>
          <w:lang w:val="da-DK"/>
        </w:rPr>
        <w:t>ambrisentan</w:t>
      </w:r>
      <w:proofErr w:type="spellEnd"/>
      <w:r w:rsidRPr="00F32462">
        <w:rPr>
          <w:sz w:val="24"/>
          <w:szCs w:val="24"/>
          <w:lang w:val="da-DK"/>
        </w:rPr>
        <w:t xml:space="preserve"> seponeres.</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Hos patienter, der ikke har kliniske symptomer på leverskade eller gulsot, kan genoptagelse af behandlingen med </w:t>
      </w:r>
      <w:proofErr w:type="spellStart"/>
      <w:r w:rsidRPr="00F32462">
        <w:rPr>
          <w:sz w:val="24"/>
          <w:szCs w:val="24"/>
          <w:lang w:val="da-DK"/>
        </w:rPr>
        <w:t>ambrisentan</w:t>
      </w:r>
      <w:proofErr w:type="spellEnd"/>
      <w:r w:rsidRPr="00F32462">
        <w:rPr>
          <w:sz w:val="24"/>
          <w:szCs w:val="24"/>
          <w:lang w:val="da-DK"/>
        </w:rPr>
        <w:t xml:space="preserve"> overvejes, når abnormiteterne i leverenzymerne er forsvundet. Det anbefales at konsultere en leverspecialist.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Hæmoglobinkoncentration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Nedsat hæmoglobinkoncentration og hæmatokrit er blevet forbundet med anvendelse af </w:t>
      </w:r>
      <w:proofErr w:type="spellStart"/>
      <w:r w:rsidRPr="00F32462">
        <w:rPr>
          <w:sz w:val="24"/>
          <w:szCs w:val="24"/>
          <w:lang w:val="da-DK"/>
        </w:rPr>
        <w:t>endotelinreceptorantagonister</w:t>
      </w:r>
      <w:proofErr w:type="spellEnd"/>
      <w:r w:rsidRPr="00F32462">
        <w:rPr>
          <w:sz w:val="24"/>
          <w:szCs w:val="24"/>
          <w:lang w:val="da-DK"/>
        </w:rPr>
        <w:t xml:space="preserve"> (</w:t>
      </w:r>
      <w:proofErr w:type="spellStart"/>
      <w:r w:rsidRPr="00F32462">
        <w:rPr>
          <w:sz w:val="24"/>
          <w:szCs w:val="24"/>
          <w:lang w:val="da-DK"/>
        </w:rPr>
        <w:t>ERA’er</w:t>
      </w:r>
      <w:proofErr w:type="spellEnd"/>
      <w:r w:rsidRPr="00F32462">
        <w:rPr>
          <w:sz w:val="24"/>
          <w:szCs w:val="24"/>
          <w:lang w:val="da-DK"/>
        </w:rPr>
        <w:t xml:space="preserve">), herunder </w:t>
      </w:r>
      <w:proofErr w:type="spellStart"/>
      <w:r w:rsidRPr="00F32462">
        <w:rPr>
          <w:sz w:val="24"/>
          <w:szCs w:val="24"/>
          <w:lang w:val="da-DK"/>
        </w:rPr>
        <w:t>ambrisentan</w:t>
      </w:r>
      <w:proofErr w:type="spellEnd"/>
      <w:r w:rsidRPr="00F32462">
        <w:rPr>
          <w:sz w:val="24"/>
          <w:szCs w:val="24"/>
          <w:lang w:val="da-DK"/>
        </w:rPr>
        <w:t xml:space="preserve">. De fleste tilfælde optrådte løbet af de første 4 behandlingsuger, og generelt stabiliseredes hæmoglobin herefter. Middelfaldene i forhold til </w:t>
      </w:r>
      <w:r w:rsidRPr="00F32462">
        <w:rPr>
          <w:i/>
          <w:sz w:val="24"/>
          <w:szCs w:val="24"/>
          <w:lang w:val="da-DK"/>
        </w:rPr>
        <w:t xml:space="preserve">baseline </w:t>
      </w:r>
      <w:r w:rsidRPr="00F32462">
        <w:rPr>
          <w:sz w:val="24"/>
          <w:szCs w:val="24"/>
          <w:lang w:val="da-DK"/>
        </w:rPr>
        <w:t>(rangerende fra 0,9 til 1,2 g/dl) i hæmoglobin</w:t>
      </w:r>
      <w:r>
        <w:rPr>
          <w:sz w:val="24"/>
          <w:szCs w:val="24"/>
          <w:lang w:val="da-DK"/>
        </w:rPr>
        <w:softHyphen/>
      </w:r>
      <w:r w:rsidRPr="00F32462">
        <w:rPr>
          <w:sz w:val="24"/>
          <w:szCs w:val="24"/>
          <w:lang w:val="da-DK"/>
        </w:rPr>
        <w:t xml:space="preserve">koncentrationerne persisterede i op til 4 år under behandling med </w:t>
      </w:r>
      <w:proofErr w:type="spellStart"/>
      <w:r w:rsidRPr="00F32462">
        <w:rPr>
          <w:sz w:val="24"/>
          <w:szCs w:val="24"/>
          <w:lang w:val="da-DK"/>
        </w:rPr>
        <w:t>ambrisentan</w:t>
      </w:r>
      <w:proofErr w:type="spellEnd"/>
      <w:r w:rsidRPr="00F32462">
        <w:rPr>
          <w:sz w:val="24"/>
          <w:szCs w:val="24"/>
          <w:lang w:val="da-DK"/>
        </w:rPr>
        <w:t xml:space="preserve"> i den langvarige, </w:t>
      </w:r>
      <w:proofErr w:type="spellStart"/>
      <w:r w:rsidRPr="00F32462">
        <w:rPr>
          <w:sz w:val="24"/>
          <w:szCs w:val="24"/>
          <w:lang w:val="da-DK"/>
        </w:rPr>
        <w:t>ublindede</w:t>
      </w:r>
      <w:proofErr w:type="spellEnd"/>
      <w:r w:rsidRPr="00F32462">
        <w:rPr>
          <w:sz w:val="24"/>
          <w:szCs w:val="24"/>
          <w:lang w:val="da-DK"/>
        </w:rPr>
        <w:t xml:space="preserve"> forlængelse af de pivotale kliniske fase 3-studier. I postmarketing-perioden har der været rapporter om transfusionskrævende anæmi (se pkt. 4.8).</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Påbegyndelse af behandling med </w:t>
      </w:r>
      <w:proofErr w:type="spellStart"/>
      <w:r w:rsidRPr="00F32462">
        <w:rPr>
          <w:sz w:val="24"/>
          <w:szCs w:val="24"/>
          <w:lang w:val="da-DK"/>
        </w:rPr>
        <w:t>ambrisentan</w:t>
      </w:r>
      <w:proofErr w:type="spellEnd"/>
      <w:r w:rsidRPr="00F32462">
        <w:rPr>
          <w:sz w:val="24"/>
          <w:szCs w:val="24"/>
          <w:lang w:val="da-DK"/>
        </w:rPr>
        <w:t xml:space="preserve"> frarådes hos patienter med klinisk signifikant anæmi. Det anbefales, at hæmoglobin og/eller hæmatokrit måles undervejs i behandlingen med </w:t>
      </w:r>
      <w:proofErr w:type="spellStart"/>
      <w:r w:rsidRPr="00F32462">
        <w:rPr>
          <w:sz w:val="24"/>
          <w:szCs w:val="24"/>
          <w:lang w:val="da-DK"/>
        </w:rPr>
        <w:t>ambrisentan</w:t>
      </w:r>
      <w:proofErr w:type="spellEnd"/>
      <w:r w:rsidRPr="00F32462">
        <w:rPr>
          <w:sz w:val="24"/>
          <w:szCs w:val="24"/>
          <w:lang w:val="da-DK"/>
        </w:rPr>
        <w:t xml:space="preserve">, f.eks. efter 1 måned, 3 måneder og derefter periodisk iht. klinisk praksis. Hvis der ses et klinisk signifikant fald i hæmoglobin eller hæmatokrit, og andre årsager er udelukket, skal det overvejes at reducere dosis eller afbryde behandlingen. </w:t>
      </w:r>
      <w:proofErr w:type="spellStart"/>
      <w:r w:rsidRPr="00F32462">
        <w:rPr>
          <w:sz w:val="24"/>
          <w:szCs w:val="24"/>
          <w:lang w:val="da-DK"/>
        </w:rPr>
        <w:t>Incidensen</w:t>
      </w:r>
      <w:proofErr w:type="spellEnd"/>
      <w:r w:rsidRPr="00F32462">
        <w:rPr>
          <w:sz w:val="24"/>
          <w:szCs w:val="24"/>
          <w:lang w:val="da-DK"/>
        </w:rPr>
        <w:t xml:space="preserve"> af anæmi var øget, når </w:t>
      </w:r>
      <w:proofErr w:type="spellStart"/>
      <w:r w:rsidRPr="00F32462">
        <w:rPr>
          <w:sz w:val="24"/>
          <w:szCs w:val="24"/>
          <w:lang w:val="da-DK"/>
        </w:rPr>
        <w:t>ambrisentan</w:t>
      </w:r>
      <w:proofErr w:type="spellEnd"/>
      <w:r w:rsidRPr="00F32462">
        <w:rPr>
          <w:sz w:val="24"/>
          <w:szCs w:val="24"/>
          <w:lang w:val="da-DK"/>
        </w:rPr>
        <w:t xml:space="preserve"> blev givet i kombination med </w:t>
      </w:r>
      <w:proofErr w:type="spellStart"/>
      <w:r w:rsidRPr="00F32462">
        <w:rPr>
          <w:sz w:val="24"/>
          <w:szCs w:val="24"/>
          <w:lang w:val="da-DK"/>
        </w:rPr>
        <w:t>tadalafil</w:t>
      </w:r>
      <w:proofErr w:type="spellEnd"/>
      <w:r w:rsidRPr="00F32462">
        <w:rPr>
          <w:sz w:val="24"/>
          <w:szCs w:val="24"/>
          <w:lang w:val="da-DK"/>
        </w:rPr>
        <w:t xml:space="preserve"> (bivirkningshyppighed 15 %) sammenlignet med </w:t>
      </w:r>
      <w:proofErr w:type="spellStart"/>
      <w:r w:rsidRPr="00F32462">
        <w:rPr>
          <w:sz w:val="24"/>
          <w:szCs w:val="24"/>
          <w:lang w:val="da-DK"/>
        </w:rPr>
        <w:t>incidensen</w:t>
      </w:r>
      <w:proofErr w:type="spellEnd"/>
      <w:r w:rsidRPr="00F32462">
        <w:rPr>
          <w:sz w:val="24"/>
          <w:szCs w:val="24"/>
          <w:lang w:val="da-DK"/>
        </w:rPr>
        <w:t xml:space="preserve"> af anæmi, når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tadalafil</w:t>
      </w:r>
      <w:proofErr w:type="spellEnd"/>
      <w:r w:rsidRPr="00F32462">
        <w:rPr>
          <w:sz w:val="24"/>
          <w:szCs w:val="24"/>
          <w:lang w:val="da-DK"/>
        </w:rPr>
        <w:t xml:space="preserve"> blev givet som monoterapi (henholdsvis 7 % og 11 %).</w:t>
      </w:r>
    </w:p>
    <w:p w:rsidR="00673CCD" w:rsidRPr="00F32462" w:rsidRDefault="00673CCD" w:rsidP="00673CCD">
      <w:pPr>
        <w:pStyle w:val="Brdtekst"/>
        <w:ind w:left="851" w:right="-1"/>
        <w:rPr>
          <w:sz w:val="24"/>
          <w:szCs w:val="24"/>
          <w:u w:val="single"/>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Væskeretention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Der er set perifere ødemer ved anvendelse af </w:t>
      </w:r>
      <w:proofErr w:type="spellStart"/>
      <w:r w:rsidRPr="00F32462">
        <w:rPr>
          <w:sz w:val="24"/>
          <w:szCs w:val="24"/>
          <w:lang w:val="da-DK"/>
        </w:rPr>
        <w:t>ERA’er</w:t>
      </w:r>
      <w:proofErr w:type="spellEnd"/>
      <w:r w:rsidRPr="00F32462">
        <w:rPr>
          <w:sz w:val="24"/>
          <w:szCs w:val="24"/>
          <w:lang w:val="da-DK"/>
        </w:rPr>
        <w:t xml:space="preserve">, herunder </w:t>
      </w:r>
      <w:proofErr w:type="spellStart"/>
      <w:r w:rsidRPr="00F32462">
        <w:rPr>
          <w:sz w:val="24"/>
          <w:szCs w:val="24"/>
          <w:lang w:val="da-DK"/>
        </w:rPr>
        <w:t>ambrisentan</w:t>
      </w:r>
      <w:proofErr w:type="spellEnd"/>
      <w:r w:rsidRPr="00F32462">
        <w:rPr>
          <w:sz w:val="24"/>
          <w:szCs w:val="24"/>
          <w:lang w:val="da-DK"/>
        </w:rPr>
        <w:t xml:space="preserve">. De fleste tilfælde af perifere ødemer, der blev observeret i kliniske studier med </w:t>
      </w:r>
      <w:proofErr w:type="spellStart"/>
      <w:r w:rsidRPr="00F32462">
        <w:rPr>
          <w:sz w:val="24"/>
          <w:szCs w:val="24"/>
          <w:lang w:val="da-DK"/>
        </w:rPr>
        <w:t>ambrisentan</w:t>
      </w:r>
      <w:proofErr w:type="spellEnd"/>
      <w:r w:rsidRPr="00F32462">
        <w:rPr>
          <w:sz w:val="24"/>
          <w:szCs w:val="24"/>
          <w:lang w:val="da-DK"/>
        </w:rPr>
        <w:t xml:space="preserve">, var lette til moderate, men hos patienter ≥ 65 år kan ødemer forekomme med større hyppighed og være mere alvorlige. Perifere ødemer forekom hyppigere med 10 mg </w:t>
      </w:r>
      <w:proofErr w:type="spellStart"/>
      <w:r w:rsidRPr="00F32462">
        <w:rPr>
          <w:sz w:val="24"/>
          <w:szCs w:val="24"/>
          <w:lang w:val="da-DK"/>
        </w:rPr>
        <w:t>ambrisentan</w:t>
      </w:r>
      <w:proofErr w:type="spellEnd"/>
      <w:r w:rsidRPr="00F32462">
        <w:rPr>
          <w:sz w:val="24"/>
          <w:szCs w:val="24"/>
          <w:lang w:val="da-DK"/>
        </w:rPr>
        <w:t xml:space="preserve"> i kliniske studier af kort varighed (se pkt. 4.8).</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Der er modtaget postmarketing-rapporter om væskeretention, der opstod inden for nogle uger efter påbegyndt behandling med </w:t>
      </w:r>
      <w:proofErr w:type="spellStart"/>
      <w:r w:rsidRPr="00F32462">
        <w:rPr>
          <w:sz w:val="24"/>
          <w:szCs w:val="24"/>
          <w:lang w:val="da-DK"/>
        </w:rPr>
        <w:t>ambrisentan</w:t>
      </w:r>
      <w:proofErr w:type="spellEnd"/>
      <w:r w:rsidRPr="00F32462">
        <w:rPr>
          <w:sz w:val="24"/>
          <w:szCs w:val="24"/>
          <w:lang w:val="da-DK"/>
        </w:rPr>
        <w:t xml:space="preserve">, og som i nogle tilfælde har krævet intervention med </w:t>
      </w:r>
      <w:proofErr w:type="spellStart"/>
      <w:r w:rsidRPr="00F32462">
        <w:rPr>
          <w:sz w:val="24"/>
          <w:szCs w:val="24"/>
          <w:lang w:val="da-DK"/>
        </w:rPr>
        <w:t>diuretikum</w:t>
      </w:r>
      <w:proofErr w:type="spellEnd"/>
      <w:r w:rsidRPr="00F32462">
        <w:rPr>
          <w:sz w:val="24"/>
          <w:szCs w:val="24"/>
          <w:lang w:val="da-DK"/>
        </w:rPr>
        <w:t xml:space="preserve"> eller hospitalsindlæggelse for genopretning af væskebalancen eller behandling af </w:t>
      </w:r>
      <w:proofErr w:type="spellStart"/>
      <w:r w:rsidRPr="00F32462">
        <w:rPr>
          <w:sz w:val="24"/>
          <w:szCs w:val="24"/>
          <w:lang w:val="da-DK"/>
        </w:rPr>
        <w:t>dekompenseret</w:t>
      </w:r>
      <w:proofErr w:type="spellEnd"/>
      <w:r w:rsidRPr="00F32462">
        <w:rPr>
          <w:sz w:val="24"/>
          <w:szCs w:val="24"/>
          <w:lang w:val="da-DK"/>
        </w:rPr>
        <w:t xml:space="preserve"> hjerteinsufficiens. Hvis patienterne har eksisterende væskeretention, skal denne korrigeres med passende behandling før opstart af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Hvis der udvikles klinisk signifikant væskeretention under behandling med </w:t>
      </w:r>
      <w:proofErr w:type="spellStart"/>
      <w:r w:rsidRPr="00F32462">
        <w:rPr>
          <w:sz w:val="24"/>
          <w:szCs w:val="24"/>
          <w:lang w:val="da-DK"/>
        </w:rPr>
        <w:t>ambrisentan</w:t>
      </w:r>
      <w:proofErr w:type="spellEnd"/>
      <w:r w:rsidRPr="00F32462">
        <w:rPr>
          <w:sz w:val="24"/>
          <w:szCs w:val="24"/>
          <w:lang w:val="da-DK"/>
        </w:rPr>
        <w:t xml:space="preserve">, med eller uden vægtøgning, skal der foretages en yderligere vurdering for at fastlægge årsagen. Årsagen kan f.eks. være </w:t>
      </w:r>
      <w:proofErr w:type="spellStart"/>
      <w:r w:rsidRPr="00F32462">
        <w:rPr>
          <w:sz w:val="24"/>
          <w:szCs w:val="24"/>
          <w:lang w:val="da-DK"/>
        </w:rPr>
        <w:t>ambrisentan</w:t>
      </w:r>
      <w:proofErr w:type="spellEnd"/>
      <w:r w:rsidRPr="00F32462">
        <w:rPr>
          <w:sz w:val="24"/>
          <w:szCs w:val="24"/>
          <w:lang w:val="da-DK"/>
        </w:rPr>
        <w:t xml:space="preserve"> eller eksisterende hjerteinsufficiens, og det skal vurderes, om der kræves specifik behandling eller </w:t>
      </w:r>
      <w:proofErr w:type="spellStart"/>
      <w:r w:rsidRPr="00F32462">
        <w:rPr>
          <w:sz w:val="24"/>
          <w:szCs w:val="24"/>
          <w:lang w:val="da-DK"/>
        </w:rPr>
        <w:t>seponering</w:t>
      </w:r>
      <w:proofErr w:type="spellEnd"/>
      <w:r w:rsidRPr="00F32462">
        <w:rPr>
          <w:sz w:val="24"/>
          <w:szCs w:val="24"/>
          <w:lang w:val="da-DK"/>
        </w:rPr>
        <w:t xml:space="preserve"> af </w:t>
      </w:r>
      <w:proofErr w:type="spellStart"/>
      <w:r w:rsidRPr="00F32462">
        <w:rPr>
          <w:sz w:val="24"/>
          <w:szCs w:val="24"/>
          <w:lang w:val="da-DK"/>
        </w:rPr>
        <w:t>ambrisentan</w:t>
      </w:r>
      <w:proofErr w:type="spellEnd"/>
      <w:r w:rsidRPr="00F32462">
        <w:rPr>
          <w:sz w:val="24"/>
          <w:szCs w:val="24"/>
          <w:lang w:val="da-DK"/>
        </w:rPr>
        <w:t xml:space="preserve">. </w:t>
      </w:r>
      <w:proofErr w:type="spellStart"/>
      <w:r w:rsidRPr="00F32462">
        <w:rPr>
          <w:sz w:val="24"/>
          <w:szCs w:val="24"/>
          <w:lang w:val="da-DK"/>
        </w:rPr>
        <w:t>Incidensen</w:t>
      </w:r>
      <w:proofErr w:type="spellEnd"/>
      <w:r w:rsidRPr="00F32462">
        <w:rPr>
          <w:sz w:val="24"/>
          <w:szCs w:val="24"/>
          <w:lang w:val="da-DK"/>
        </w:rPr>
        <w:t xml:space="preserve"> af perifere ødemer var øget, når </w:t>
      </w:r>
      <w:proofErr w:type="spellStart"/>
      <w:r w:rsidRPr="00F32462">
        <w:rPr>
          <w:sz w:val="24"/>
          <w:szCs w:val="24"/>
          <w:lang w:val="da-DK"/>
        </w:rPr>
        <w:t>ambrisentan</w:t>
      </w:r>
      <w:proofErr w:type="spellEnd"/>
      <w:r w:rsidRPr="00F32462">
        <w:rPr>
          <w:sz w:val="24"/>
          <w:szCs w:val="24"/>
          <w:lang w:val="da-DK"/>
        </w:rPr>
        <w:t xml:space="preserve"> blev givet i kombination med </w:t>
      </w:r>
      <w:proofErr w:type="spellStart"/>
      <w:r w:rsidRPr="00F32462">
        <w:rPr>
          <w:sz w:val="24"/>
          <w:szCs w:val="24"/>
          <w:lang w:val="da-DK"/>
        </w:rPr>
        <w:t>tadalafil</w:t>
      </w:r>
      <w:proofErr w:type="spellEnd"/>
      <w:r w:rsidRPr="00F32462">
        <w:rPr>
          <w:sz w:val="24"/>
          <w:szCs w:val="24"/>
          <w:lang w:val="da-DK"/>
        </w:rPr>
        <w:t xml:space="preserve"> (bivirkningshyppighed 45 %) sammenlignet med </w:t>
      </w:r>
      <w:proofErr w:type="spellStart"/>
      <w:r w:rsidRPr="00F32462">
        <w:rPr>
          <w:sz w:val="24"/>
          <w:szCs w:val="24"/>
          <w:lang w:val="da-DK"/>
        </w:rPr>
        <w:t>incidensen</w:t>
      </w:r>
      <w:proofErr w:type="spellEnd"/>
      <w:r w:rsidRPr="00F32462">
        <w:rPr>
          <w:sz w:val="24"/>
          <w:szCs w:val="24"/>
          <w:lang w:val="da-DK"/>
        </w:rPr>
        <w:t xml:space="preserve"> af perifere ødemer, når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tadalafil</w:t>
      </w:r>
      <w:proofErr w:type="spellEnd"/>
      <w:r w:rsidRPr="00F32462">
        <w:rPr>
          <w:sz w:val="24"/>
          <w:szCs w:val="24"/>
          <w:lang w:val="da-DK"/>
        </w:rPr>
        <w:t xml:space="preserve"> blev givet som monoterapi (henholdsvis 38 % og 28 %). Forekomsten af perifere ødemer var højest inden for den første måned efter behandlingsstart.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Kvinder i den fertile alder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Behandling med </w:t>
      </w:r>
      <w:proofErr w:type="spellStart"/>
      <w:r w:rsidRPr="00F32462">
        <w:rPr>
          <w:sz w:val="24"/>
          <w:szCs w:val="24"/>
          <w:lang w:val="da-DK"/>
        </w:rPr>
        <w:t>Ambrisentan</w:t>
      </w:r>
      <w:proofErr w:type="spellEnd"/>
      <w:r w:rsidRPr="00F32462">
        <w:rPr>
          <w:sz w:val="24"/>
          <w:szCs w:val="24"/>
          <w:lang w:val="da-DK"/>
        </w:rPr>
        <w:t xml:space="preserve"> </w:t>
      </w:r>
      <w:r>
        <w:rPr>
          <w:sz w:val="24"/>
          <w:szCs w:val="24"/>
          <w:lang w:val="da-DK"/>
        </w:rPr>
        <w:t>"Sandoz"</w:t>
      </w:r>
      <w:r w:rsidRPr="00F32462">
        <w:rPr>
          <w:sz w:val="24"/>
          <w:szCs w:val="24"/>
          <w:lang w:val="da-DK"/>
        </w:rPr>
        <w:t xml:space="preserve"> må ikke indledes hos kvinder i den fertile alder, medmindre der foreligger negativ graviditetstest, og der anvendes sikker prævention. Hvis der er tvivl om, hvilken prævention den enkelte patient skal bruge, bør henvisning til en gynækolog overvejes. Det anbefales, at der tages graviditetstest hver måned under behandlingen med </w:t>
      </w:r>
      <w:proofErr w:type="spellStart"/>
      <w:r w:rsidRPr="00F32462">
        <w:rPr>
          <w:sz w:val="24"/>
          <w:szCs w:val="24"/>
          <w:lang w:val="da-DK"/>
        </w:rPr>
        <w:t>ambrisentan</w:t>
      </w:r>
      <w:proofErr w:type="spellEnd"/>
      <w:r w:rsidRPr="00F32462">
        <w:rPr>
          <w:sz w:val="24"/>
          <w:szCs w:val="24"/>
          <w:lang w:val="da-DK"/>
        </w:rPr>
        <w:t xml:space="preserve"> (se pkt. 4.3 og 4.6).</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u w:val="single"/>
          <w:lang w:val="da-DK"/>
        </w:rPr>
        <w:t>Pulmonal</w:t>
      </w:r>
      <w:proofErr w:type="spellEnd"/>
      <w:r w:rsidRPr="00F32462">
        <w:rPr>
          <w:sz w:val="24"/>
          <w:szCs w:val="24"/>
          <w:u w:val="single"/>
          <w:lang w:val="da-DK"/>
        </w:rPr>
        <w:t xml:space="preserve"> </w:t>
      </w:r>
      <w:proofErr w:type="spellStart"/>
      <w:r w:rsidRPr="00F32462">
        <w:rPr>
          <w:sz w:val="24"/>
          <w:szCs w:val="24"/>
          <w:u w:val="single"/>
          <w:lang w:val="da-DK"/>
        </w:rPr>
        <w:t>veno-okklusiv</w:t>
      </w:r>
      <w:proofErr w:type="spellEnd"/>
      <w:r w:rsidRPr="00F32462">
        <w:rPr>
          <w:sz w:val="24"/>
          <w:szCs w:val="24"/>
          <w:u w:val="single"/>
          <w:lang w:val="da-DK"/>
        </w:rPr>
        <w:t xml:space="preserve"> sygdom</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Tilfælde af lungeødem er rapporteret i forbindelse med administration af </w:t>
      </w:r>
      <w:proofErr w:type="spellStart"/>
      <w:r w:rsidRPr="00F32462">
        <w:rPr>
          <w:sz w:val="24"/>
          <w:szCs w:val="24"/>
          <w:lang w:val="da-DK"/>
        </w:rPr>
        <w:t>vasodilaterende</w:t>
      </w:r>
      <w:proofErr w:type="spellEnd"/>
      <w:r w:rsidRPr="00F32462">
        <w:rPr>
          <w:sz w:val="24"/>
          <w:szCs w:val="24"/>
          <w:lang w:val="da-DK"/>
        </w:rPr>
        <w:t xml:space="preserve"> lægemidler, f.eks. </w:t>
      </w:r>
      <w:proofErr w:type="spellStart"/>
      <w:r w:rsidRPr="00F32462">
        <w:rPr>
          <w:sz w:val="24"/>
          <w:szCs w:val="24"/>
          <w:lang w:val="da-DK"/>
        </w:rPr>
        <w:t>ERA’er</w:t>
      </w:r>
      <w:proofErr w:type="spellEnd"/>
      <w:r w:rsidRPr="00F32462">
        <w:rPr>
          <w:sz w:val="24"/>
          <w:szCs w:val="24"/>
          <w:lang w:val="da-DK"/>
        </w:rPr>
        <w:t xml:space="preserve">, til patienter med </w:t>
      </w:r>
      <w:proofErr w:type="spellStart"/>
      <w:r w:rsidRPr="00F32462">
        <w:rPr>
          <w:sz w:val="24"/>
          <w:szCs w:val="24"/>
          <w:lang w:val="da-DK"/>
        </w:rPr>
        <w:t>pulmonal</w:t>
      </w:r>
      <w:proofErr w:type="spellEnd"/>
      <w:r w:rsidRPr="00F32462">
        <w:rPr>
          <w:sz w:val="24"/>
          <w:szCs w:val="24"/>
          <w:lang w:val="da-DK"/>
        </w:rPr>
        <w:t xml:space="preserve"> </w:t>
      </w:r>
      <w:proofErr w:type="spellStart"/>
      <w:r w:rsidRPr="00F32462">
        <w:rPr>
          <w:sz w:val="24"/>
          <w:szCs w:val="24"/>
          <w:lang w:val="da-DK"/>
        </w:rPr>
        <w:t>veno-okklusiv</w:t>
      </w:r>
      <w:proofErr w:type="spellEnd"/>
      <w:r w:rsidRPr="00F32462">
        <w:rPr>
          <w:sz w:val="24"/>
          <w:szCs w:val="24"/>
          <w:lang w:val="da-DK"/>
        </w:rPr>
        <w:t xml:space="preserve"> sygdom. Hvis PAH-patienter udvikler akut lungeødem under behandling med </w:t>
      </w:r>
      <w:proofErr w:type="spellStart"/>
      <w:r w:rsidRPr="00F32462">
        <w:rPr>
          <w:sz w:val="24"/>
          <w:szCs w:val="24"/>
          <w:lang w:val="da-DK"/>
        </w:rPr>
        <w:t>ambrisentan</w:t>
      </w:r>
      <w:proofErr w:type="spellEnd"/>
      <w:r w:rsidRPr="00F32462">
        <w:rPr>
          <w:sz w:val="24"/>
          <w:szCs w:val="24"/>
          <w:lang w:val="da-DK"/>
        </w:rPr>
        <w:t xml:space="preserve">, skal muligheden for </w:t>
      </w:r>
      <w:proofErr w:type="spellStart"/>
      <w:r w:rsidRPr="00F32462">
        <w:rPr>
          <w:sz w:val="24"/>
          <w:szCs w:val="24"/>
          <w:lang w:val="da-DK"/>
        </w:rPr>
        <w:t>pulmonal</w:t>
      </w:r>
      <w:proofErr w:type="spellEnd"/>
      <w:r w:rsidRPr="00F32462">
        <w:rPr>
          <w:sz w:val="24"/>
          <w:szCs w:val="24"/>
          <w:lang w:val="da-DK"/>
        </w:rPr>
        <w:t xml:space="preserve"> </w:t>
      </w:r>
      <w:proofErr w:type="spellStart"/>
      <w:r w:rsidRPr="00F32462">
        <w:rPr>
          <w:sz w:val="24"/>
          <w:szCs w:val="24"/>
          <w:lang w:val="da-DK"/>
        </w:rPr>
        <w:t>veno-okklusiv</w:t>
      </w:r>
      <w:proofErr w:type="spellEnd"/>
      <w:r w:rsidRPr="00F32462">
        <w:rPr>
          <w:sz w:val="24"/>
          <w:szCs w:val="24"/>
          <w:lang w:val="da-DK"/>
        </w:rPr>
        <w:t xml:space="preserve"> sygdom derfor overvejes.</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Samtidig administration af andre lægemidler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Patienter, som er i </w:t>
      </w:r>
      <w:proofErr w:type="spellStart"/>
      <w:r w:rsidRPr="00F32462">
        <w:rPr>
          <w:sz w:val="24"/>
          <w:szCs w:val="24"/>
          <w:lang w:val="da-DK"/>
        </w:rPr>
        <w:t>ambrisentanbehandling</w:t>
      </w:r>
      <w:proofErr w:type="spellEnd"/>
      <w:r w:rsidRPr="00F32462">
        <w:rPr>
          <w:sz w:val="24"/>
          <w:szCs w:val="24"/>
          <w:lang w:val="da-DK"/>
        </w:rPr>
        <w:t xml:space="preserve">, skal nøje overvåges, når behandling med </w:t>
      </w:r>
      <w:proofErr w:type="spellStart"/>
      <w:r w:rsidRPr="00F32462">
        <w:rPr>
          <w:sz w:val="24"/>
          <w:szCs w:val="24"/>
          <w:lang w:val="da-DK"/>
        </w:rPr>
        <w:t>rifampicin</w:t>
      </w:r>
      <w:proofErr w:type="spellEnd"/>
      <w:r w:rsidRPr="00F32462">
        <w:rPr>
          <w:sz w:val="24"/>
          <w:szCs w:val="24"/>
          <w:lang w:val="da-DK"/>
        </w:rPr>
        <w:t xml:space="preserve"> påbegyndes (se pkt. 4.5 og 5.2).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Hjælpestoffer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w:t>
      </w:r>
      <w:r>
        <w:rPr>
          <w:sz w:val="24"/>
          <w:szCs w:val="24"/>
          <w:lang w:val="da-DK"/>
        </w:rPr>
        <w:t>"</w:t>
      </w:r>
      <w:proofErr w:type="spellStart"/>
      <w:r>
        <w:rPr>
          <w:sz w:val="24"/>
          <w:szCs w:val="24"/>
          <w:lang w:val="da-DK"/>
        </w:rPr>
        <w:t>Sandoz"</w:t>
      </w:r>
      <w:r w:rsidRPr="00F32462">
        <w:rPr>
          <w:sz w:val="24"/>
          <w:szCs w:val="24"/>
          <w:lang w:val="da-DK"/>
        </w:rPr>
        <w:t>-tabletter</w:t>
      </w:r>
      <w:proofErr w:type="spellEnd"/>
      <w:r w:rsidRPr="00F32462">
        <w:rPr>
          <w:sz w:val="24"/>
          <w:szCs w:val="24"/>
          <w:lang w:val="da-DK"/>
        </w:rPr>
        <w:t xml:space="preserve"> indeholder </w:t>
      </w:r>
      <w:proofErr w:type="spellStart"/>
      <w:r w:rsidRPr="00F32462">
        <w:rPr>
          <w:sz w:val="24"/>
          <w:szCs w:val="24"/>
          <w:lang w:val="da-DK"/>
        </w:rPr>
        <w:t>lactose</w:t>
      </w:r>
      <w:proofErr w:type="spellEnd"/>
      <w:r w:rsidRPr="00F32462">
        <w:rPr>
          <w:sz w:val="24"/>
          <w:szCs w:val="24"/>
          <w:lang w:val="da-DK"/>
        </w:rPr>
        <w:t xml:space="preserve">. Bør ikke anvendes til patienter med hereditær </w:t>
      </w:r>
      <w:proofErr w:type="spellStart"/>
      <w:r w:rsidRPr="00F32462">
        <w:rPr>
          <w:sz w:val="24"/>
          <w:szCs w:val="24"/>
          <w:lang w:val="da-DK"/>
        </w:rPr>
        <w:t>galactoseintolerans</w:t>
      </w:r>
      <w:proofErr w:type="spellEnd"/>
      <w:r w:rsidRPr="00F32462">
        <w:rPr>
          <w:sz w:val="24"/>
          <w:szCs w:val="24"/>
          <w:lang w:val="da-DK"/>
        </w:rPr>
        <w:t xml:space="preserve">, total </w:t>
      </w:r>
      <w:proofErr w:type="spellStart"/>
      <w:r w:rsidRPr="00F32462">
        <w:rPr>
          <w:sz w:val="24"/>
          <w:szCs w:val="24"/>
          <w:lang w:val="da-DK"/>
        </w:rPr>
        <w:t>lactasemangel</w:t>
      </w:r>
      <w:proofErr w:type="spellEnd"/>
      <w:r w:rsidRPr="00F32462">
        <w:rPr>
          <w:sz w:val="24"/>
          <w:szCs w:val="24"/>
          <w:lang w:val="da-DK"/>
        </w:rPr>
        <w:t xml:space="preserve"> eller </w:t>
      </w:r>
      <w:proofErr w:type="spellStart"/>
      <w:r w:rsidRPr="00F32462">
        <w:rPr>
          <w:sz w:val="24"/>
          <w:szCs w:val="24"/>
          <w:lang w:val="da-DK"/>
        </w:rPr>
        <w:t>glucose</w:t>
      </w:r>
      <w:proofErr w:type="spellEnd"/>
      <w:r w:rsidRPr="00F32462">
        <w:rPr>
          <w:sz w:val="24"/>
          <w:szCs w:val="24"/>
          <w:lang w:val="da-DK"/>
        </w:rPr>
        <w:t>/</w:t>
      </w:r>
      <w:proofErr w:type="spellStart"/>
      <w:r w:rsidRPr="00F32462">
        <w:rPr>
          <w:sz w:val="24"/>
          <w:szCs w:val="24"/>
          <w:lang w:val="da-DK"/>
        </w:rPr>
        <w:t>galactosemalabsorption</w:t>
      </w:r>
      <w:proofErr w:type="spellEnd"/>
      <w:r w:rsidRPr="00F32462">
        <w:rPr>
          <w:sz w:val="24"/>
          <w:szCs w:val="24"/>
          <w:lang w:val="da-DK"/>
        </w:rPr>
        <w:t>.</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4.5</w:t>
      </w:r>
      <w:r w:rsidRPr="00F32462">
        <w:rPr>
          <w:b/>
          <w:sz w:val="24"/>
          <w:szCs w:val="24"/>
        </w:rPr>
        <w:tab/>
        <w:t>Interaktion med andre lægemidler og andre former for interaktion</w:t>
      </w:r>
    </w:p>
    <w:p w:rsidR="00673CCD" w:rsidRPr="00F32462" w:rsidRDefault="00673CCD" w:rsidP="00673CCD">
      <w:pPr>
        <w:pStyle w:val="Brdtekst"/>
        <w:ind w:left="851" w:right="-1"/>
        <w:rPr>
          <w:sz w:val="24"/>
          <w:szCs w:val="24"/>
          <w:lang w:val="da-DK"/>
        </w:rPr>
      </w:pPr>
      <w:r w:rsidRPr="00F32462">
        <w:rPr>
          <w:sz w:val="24"/>
          <w:szCs w:val="24"/>
          <w:lang w:val="da-DK"/>
        </w:rPr>
        <w:t>Non-kliniske i</w:t>
      </w:r>
      <w:r w:rsidRPr="00F32462">
        <w:rPr>
          <w:i/>
          <w:sz w:val="24"/>
          <w:szCs w:val="24"/>
          <w:lang w:val="da-DK"/>
        </w:rPr>
        <w:t xml:space="preserve">n </w:t>
      </w:r>
      <w:proofErr w:type="spellStart"/>
      <w:r w:rsidRPr="00F32462">
        <w:rPr>
          <w:i/>
          <w:sz w:val="24"/>
          <w:szCs w:val="24"/>
          <w:lang w:val="da-DK"/>
        </w:rPr>
        <w:t>vitro</w:t>
      </w:r>
      <w:proofErr w:type="spellEnd"/>
      <w:r w:rsidRPr="00F32462">
        <w:rPr>
          <w:i/>
          <w:sz w:val="24"/>
          <w:szCs w:val="24"/>
          <w:lang w:val="da-DK"/>
        </w:rPr>
        <w:t xml:space="preserve">- </w:t>
      </w:r>
      <w:r w:rsidRPr="00F32462">
        <w:rPr>
          <w:sz w:val="24"/>
          <w:szCs w:val="24"/>
          <w:lang w:val="da-DK"/>
        </w:rPr>
        <w:t xml:space="preserve">og </w:t>
      </w:r>
      <w:r w:rsidRPr="00F32462">
        <w:rPr>
          <w:i/>
          <w:sz w:val="24"/>
          <w:szCs w:val="24"/>
          <w:lang w:val="da-DK"/>
        </w:rPr>
        <w:t xml:space="preserve">in </w:t>
      </w:r>
      <w:proofErr w:type="spellStart"/>
      <w:r w:rsidRPr="00F32462">
        <w:rPr>
          <w:i/>
          <w:sz w:val="24"/>
          <w:szCs w:val="24"/>
          <w:lang w:val="da-DK"/>
        </w:rPr>
        <w:t>vivo</w:t>
      </w:r>
      <w:proofErr w:type="spellEnd"/>
      <w:r w:rsidRPr="00F32462">
        <w:rPr>
          <w:i/>
          <w:sz w:val="24"/>
          <w:szCs w:val="24"/>
          <w:lang w:val="da-DK"/>
        </w:rPr>
        <w:t>-</w:t>
      </w:r>
      <w:r w:rsidRPr="00F32462">
        <w:rPr>
          <w:sz w:val="24"/>
          <w:szCs w:val="24"/>
          <w:lang w:val="da-DK"/>
        </w:rPr>
        <w:t xml:space="preserve">undersøgelser har vist, at </w:t>
      </w:r>
      <w:proofErr w:type="spellStart"/>
      <w:r w:rsidRPr="00F32462">
        <w:rPr>
          <w:sz w:val="24"/>
          <w:szCs w:val="24"/>
          <w:lang w:val="da-DK"/>
        </w:rPr>
        <w:t>ambrisentan</w:t>
      </w:r>
      <w:proofErr w:type="spellEnd"/>
      <w:r w:rsidRPr="00F32462">
        <w:rPr>
          <w:sz w:val="24"/>
          <w:szCs w:val="24"/>
          <w:lang w:val="da-DK"/>
        </w:rPr>
        <w:t xml:space="preserve"> hverken hæmmer eller fremmer fase I- eller II-</w:t>
      </w:r>
      <w:proofErr w:type="spellStart"/>
      <w:r w:rsidRPr="00F32462">
        <w:rPr>
          <w:sz w:val="24"/>
          <w:szCs w:val="24"/>
          <w:lang w:val="da-DK"/>
        </w:rPr>
        <w:t>lægemiddelmetaboliserende</w:t>
      </w:r>
      <w:proofErr w:type="spellEnd"/>
      <w:r w:rsidRPr="00F32462">
        <w:rPr>
          <w:sz w:val="24"/>
          <w:szCs w:val="24"/>
          <w:lang w:val="da-DK"/>
        </w:rPr>
        <w:t xml:space="preserve"> enzymer ved klinisk relevante koncentrationer. Dette tyder på, at </w:t>
      </w:r>
      <w:proofErr w:type="spellStart"/>
      <w:r w:rsidRPr="00F32462">
        <w:rPr>
          <w:sz w:val="24"/>
          <w:szCs w:val="24"/>
          <w:lang w:val="da-DK"/>
        </w:rPr>
        <w:t>ambrisentan</w:t>
      </w:r>
      <w:proofErr w:type="spellEnd"/>
      <w:r w:rsidRPr="00F32462">
        <w:rPr>
          <w:sz w:val="24"/>
          <w:szCs w:val="24"/>
          <w:lang w:val="da-DK"/>
        </w:rPr>
        <w:t xml:space="preserve"> ikke ændrer profilen for lægemidler, som </w:t>
      </w:r>
      <w:proofErr w:type="spellStart"/>
      <w:r w:rsidRPr="00F32462">
        <w:rPr>
          <w:sz w:val="24"/>
          <w:szCs w:val="24"/>
          <w:lang w:val="da-DK"/>
        </w:rPr>
        <w:t>metaboliseres</w:t>
      </w:r>
      <w:proofErr w:type="spellEnd"/>
      <w:r w:rsidRPr="00F32462">
        <w:rPr>
          <w:sz w:val="24"/>
          <w:szCs w:val="24"/>
          <w:lang w:val="da-DK"/>
        </w:rPr>
        <w:t xml:space="preserve"> af disse </w:t>
      </w:r>
      <w:proofErr w:type="spellStart"/>
      <w:r w:rsidRPr="00F32462">
        <w:rPr>
          <w:sz w:val="24"/>
          <w:szCs w:val="24"/>
          <w:lang w:val="da-DK"/>
        </w:rPr>
        <w:t>pathways</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Ambrisentans</w:t>
      </w:r>
      <w:proofErr w:type="spellEnd"/>
      <w:r w:rsidRPr="00F32462">
        <w:rPr>
          <w:sz w:val="24"/>
          <w:szCs w:val="24"/>
          <w:lang w:val="da-DK"/>
        </w:rPr>
        <w:t xml:space="preserve"> potentiale for at inducere CYP3A4-aktivitet er undersøgt hos raske frivillige. Resultaterne tyder på, at </w:t>
      </w:r>
      <w:proofErr w:type="spellStart"/>
      <w:r w:rsidRPr="00F32462">
        <w:rPr>
          <w:sz w:val="24"/>
          <w:szCs w:val="24"/>
          <w:lang w:val="da-DK"/>
        </w:rPr>
        <w:t>ambrisentan</w:t>
      </w:r>
      <w:proofErr w:type="spellEnd"/>
      <w:r w:rsidRPr="00F32462">
        <w:rPr>
          <w:sz w:val="24"/>
          <w:szCs w:val="24"/>
          <w:lang w:val="da-DK"/>
        </w:rPr>
        <w:t xml:space="preserve"> ikke har induktiv effekt på CYP3A4-isoenzymet.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u w:val="single"/>
          <w:lang w:val="da-DK"/>
        </w:rPr>
      </w:pPr>
      <w:proofErr w:type="spellStart"/>
      <w:r w:rsidRPr="00F32462">
        <w:rPr>
          <w:sz w:val="24"/>
          <w:szCs w:val="24"/>
          <w:u w:val="single"/>
          <w:lang w:val="da-DK"/>
        </w:rPr>
        <w:t>Ciclosporin</w:t>
      </w:r>
      <w:proofErr w:type="spellEnd"/>
      <w:r w:rsidRPr="00F32462">
        <w:rPr>
          <w:sz w:val="24"/>
          <w:szCs w:val="24"/>
          <w:u w:val="single"/>
          <w:lang w:val="da-DK"/>
        </w:rPr>
        <w:t> A</w:t>
      </w:r>
    </w:p>
    <w:p w:rsidR="00673CCD" w:rsidRPr="00F32462" w:rsidRDefault="00673CCD" w:rsidP="00673CCD">
      <w:pPr>
        <w:pStyle w:val="Brdtekst"/>
        <w:ind w:left="851" w:right="-1"/>
        <w:rPr>
          <w:sz w:val="24"/>
          <w:szCs w:val="24"/>
          <w:lang w:val="da-DK"/>
        </w:rPr>
      </w:pPr>
      <w:r w:rsidRPr="00F32462">
        <w:rPr>
          <w:sz w:val="24"/>
          <w:szCs w:val="24"/>
          <w:lang w:val="da-DK"/>
        </w:rPr>
        <w:t xml:space="preserve">Samtidig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-administration af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ciclosporin</w:t>
      </w:r>
      <w:proofErr w:type="spellEnd"/>
      <w:r w:rsidRPr="00F32462">
        <w:rPr>
          <w:sz w:val="24"/>
          <w:szCs w:val="24"/>
          <w:lang w:val="da-DK"/>
        </w:rPr>
        <w:t xml:space="preserve"> A gav en fordobling af </w:t>
      </w:r>
      <w:proofErr w:type="spellStart"/>
      <w:r w:rsidRPr="00F32462">
        <w:rPr>
          <w:sz w:val="24"/>
          <w:szCs w:val="24"/>
          <w:lang w:val="da-DK"/>
        </w:rPr>
        <w:t>ambrisentan</w:t>
      </w:r>
      <w:proofErr w:type="spellEnd"/>
      <w:r w:rsidRPr="00F32462">
        <w:rPr>
          <w:sz w:val="24"/>
          <w:szCs w:val="24"/>
          <w:lang w:val="da-DK"/>
        </w:rPr>
        <w:t xml:space="preserve">-eksponeringen hos raske frivillige. Dette kan skyldes </w:t>
      </w:r>
      <w:proofErr w:type="spellStart"/>
      <w:r w:rsidRPr="00F32462">
        <w:rPr>
          <w:sz w:val="24"/>
          <w:szCs w:val="24"/>
          <w:lang w:val="da-DK"/>
        </w:rPr>
        <w:t>ciclosporin</w:t>
      </w:r>
      <w:proofErr w:type="spellEnd"/>
      <w:r w:rsidRPr="00F32462">
        <w:rPr>
          <w:sz w:val="24"/>
          <w:szCs w:val="24"/>
          <w:lang w:val="da-DK"/>
        </w:rPr>
        <w:t xml:space="preserve"> A’s hæmning af transportører og metaboliske enzymer, som er involveret i </w:t>
      </w:r>
      <w:proofErr w:type="spellStart"/>
      <w:r w:rsidRPr="00F32462">
        <w:rPr>
          <w:sz w:val="24"/>
          <w:szCs w:val="24"/>
          <w:lang w:val="da-DK"/>
        </w:rPr>
        <w:t>ambrisentans</w:t>
      </w:r>
      <w:proofErr w:type="spellEnd"/>
      <w:r w:rsidRPr="00F32462">
        <w:rPr>
          <w:sz w:val="24"/>
          <w:szCs w:val="24"/>
          <w:lang w:val="da-DK"/>
        </w:rPr>
        <w:t xml:space="preserve"> farmakokinetik. </w:t>
      </w:r>
      <w:proofErr w:type="spellStart"/>
      <w:r w:rsidRPr="00F32462">
        <w:rPr>
          <w:sz w:val="24"/>
          <w:szCs w:val="24"/>
          <w:lang w:val="da-DK"/>
        </w:rPr>
        <w:t>Ambrisentandosis</w:t>
      </w:r>
      <w:proofErr w:type="spellEnd"/>
      <w:r w:rsidRPr="00F32462">
        <w:rPr>
          <w:sz w:val="24"/>
          <w:szCs w:val="24"/>
          <w:lang w:val="da-DK"/>
        </w:rPr>
        <w:t xml:space="preserve"> skal derfor begrænses til 5 mg én gang dagligt, når det administreres samtidigt med </w:t>
      </w:r>
      <w:proofErr w:type="spellStart"/>
      <w:r w:rsidRPr="00F32462">
        <w:rPr>
          <w:sz w:val="24"/>
          <w:szCs w:val="24"/>
          <w:lang w:val="da-DK"/>
        </w:rPr>
        <w:t>ciclosporin</w:t>
      </w:r>
      <w:proofErr w:type="spellEnd"/>
      <w:r w:rsidRPr="00F32462">
        <w:rPr>
          <w:sz w:val="24"/>
          <w:szCs w:val="24"/>
          <w:lang w:val="da-DK"/>
        </w:rPr>
        <w:t xml:space="preserve"> A (se pkt. 4.2). Gentagne doser </w:t>
      </w:r>
      <w:proofErr w:type="spellStart"/>
      <w:r w:rsidRPr="00F32462">
        <w:rPr>
          <w:sz w:val="24"/>
          <w:szCs w:val="24"/>
          <w:lang w:val="da-DK"/>
        </w:rPr>
        <w:t>ambrisentan</w:t>
      </w:r>
      <w:proofErr w:type="spellEnd"/>
      <w:r w:rsidRPr="00F32462">
        <w:rPr>
          <w:sz w:val="24"/>
          <w:szCs w:val="24"/>
          <w:lang w:val="da-DK"/>
        </w:rPr>
        <w:t xml:space="preserve"> har ingen indvirkning på eksponeringen for </w:t>
      </w:r>
      <w:proofErr w:type="spellStart"/>
      <w:r w:rsidRPr="00F32462">
        <w:rPr>
          <w:sz w:val="24"/>
          <w:szCs w:val="24"/>
          <w:lang w:val="da-DK"/>
        </w:rPr>
        <w:t>ciclosporin</w:t>
      </w:r>
      <w:proofErr w:type="spellEnd"/>
      <w:r w:rsidRPr="00F32462">
        <w:rPr>
          <w:sz w:val="24"/>
          <w:szCs w:val="24"/>
          <w:lang w:val="da-DK"/>
        </w:rPr>
        <w:t xml:space="preserve"> A, og dosisjustering af </w:t>
      </w:r>
      <w:proofErr w:type="spellStart"/>
      <w:r w:rsidRPr="00F32462">
        <w:rPr>
          <w:sz w:val="24"/>
          <w:szCs w:val="24"/>
          <w:lang w:val="da-DK"/>
        </w:rPr>
        <w:t>ciclosporin</w:t>
      </w:r>
      <w:proofErr w:type="spellEnd"/>
      <w:r w:rsidRPr="00F32462">
        <w:rPr>
          <w:sz w:val="24"/>
          <w:szCs w:val="24"/>
          <w:lang w:val="da-DK"/>
        </w:rPr>
        <w:t xml:space="preserve"> er ikke påkrævet.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u w:val="single"/>
          <w:lang w:val="da-DK"/>
        </w:rPr>
      </w:pPr>
      <w:proofErr w:type="spellStart"/>
      <w:r w:rsidRPr="00F32462">
        <w:rPr>
          <w:sz w:val="24"/>
          <w:szCs w:val="24"/>
          <w:u w:val="single"/>
          <w:lang w:val="da-DK"/>
        </w:rPr>
        <w:t>Rifampicin</w:t>
      </w:r>
      <w:proofErr w:type="spellEnd"/>
    </w:p>
    <w:p w:rsidR="00673CCD" w:rsidRPr="00F32462" w:rsidRDefault="00673CCD" w:rsidP="00673CCD">
      <w:pPr>
        <w:pStyle w:val="Brdtekst"/>
        <w:ind w:left="851" w:right="-1"/>
        <w:rPr>
          <w:sz w:val="24"/>
          <w:szCs w:val="24"/>
          <w:lang w:val="da-DK"/>
        </w:rPr>
      </w:pPr>
      <w:r w:rsidRPr="00F32462">
        <w:rPr>
          <w:sz w:val="24"/>
          <w:szCs w:val="24"/>
          <w:lang w:val="da-DK"/>
        </w:rPr>
        <w:t xml:space="preserve">Samtidig administration af </w:t>
      </w:r>
      <w:proofErr w:type="spellStart"/>
      <w:r w:rsidRPr="00F32462">
        <w:rPr>
          <w:sz w:val="24"/>
          <w:szCs w:val="24"/>
          <w:lang w:val="da-DK"/>
        </w:rPr>
        <w:t>rifampicin</w:t>
      </w:r>
      <w:proofErr w:type="spellEnd"/>
      <w:r w:rsidRPr="00F32462">
        <w:rPr>
          <w:sz w:val="24"/>
          <w:szCs w:val="24"/>
          <w:lang w:val="da-DK"/>
        </w:rPr>
        <w:t xml:space="preserve"> (en hæmmer af organisk anion-transporterende polypeptid [OATP], en stærk CYP3A- og 2C19-inducer samt inducer af P-</w:t>
      </w:r>
      <w:proofErr w:type="spellStart"/>
      <w:r w:rsidRPr="00F32462">
        <w:rPr>
          <w:sz w:val="24"/>
          <w:szCs w:val="24"/>
          <w:lang w:val="da-DK"/>
        </w:rPr>
        <w:t>glykoprotein</w:t>
      </w:r>
      <w:proofErr w:type="spellEnd"/>
      <w:r w:rsidRPr="00F32462">
        <w:rPr>
          <w:sz w:val="24"/>
          <w:szCs w:val="24"/>
          <w:lang w:val="da-DK"/>
        </w:rPr>
        <w:t xml:space="preserve"> (P-gp) og </w:t>
      </w:r>
      <w:proofErr w:type="spellStart"/>
      <w:r w:rsidRPr="00F32462">
        <w:rPr>
          <w:sz w:val="24"/>
          <w:szCs w:val="24"/>
          <w:lang w:val="da-DK"/>
        </w:rPr>
        <w:t>uridindifosfat</w:t>
      </w:r>
      <w:proofErr w:type="spellEnd"/>
      <w:r w:rsidRPr="00F32462">
        <w:rPr>
          <w:sz w:val="24"/>
          <w:szCs w:val="24"/>
          <w:lang w:val="da-DK"/>
        </w:rPr>
        <w:t>-</w:t>
      </w:r>
      <w:proofErr w:type="spellStart"/>
      <w:r w:rsidRPr="00F32462">
        <w:rPr>
          <w:sz w:val="24"/>
          <w:szCs w:val="24"/>
          <w:lang w:val="da-DK"/>
        </w:rPr>
        <w:t>glukuronosyl</w:t>
      </w:r>
      <w:proofErr w:type="spellEnd"/>
      <w:r w:rsidRPr="00F32462">
        <w:rPr>
          <w:sz w:val="24"/>
          <w:szCs w:val="24"/>
          <w:lang w:val="da-DK"/>
        </w:rPr>
        <w:t>-transferaser [</w:t>
      </w:r>
      <w:proofErr w:type="spellStart"/>
      <w:r w:rsidRPr="00F32462">
        <w:rPr>
          <w:sz w:val="24"/>
          <w:szCs w:val="24"/>
          <w:lang w:val="da-DK"/>
        </w:rPr>
        <w:t>UGT’er</w:t>
      </w:r>
      <w:proofErr w:type="spellEnd"/>
      <w:r w:rsidRPr="00F32462">
        <w:rPr>
          <w:sz w:val="24"/>
          <w:szCs w:val="24"/>
          <w:lang w:val="da-DK"/>
        </w:rPr>
        <w:t xml:space="preserve">]) er blevet kædet sammen med en forbigående stigning (omtrent en fordobling) i eksponeringen for </w:t>
      </w:r>
      <w:proofErr w:type="spellStart"/>
      <w:r w:rsidRPr="00F32462">
        <w:rPr>
          <w:sz w:val="24"/>
          <w:szCs w:val="24"/>
          <w:lang w:val="da-DK"/>
        </w:rPr>
        <w:t>ambrisentan</w:t>
      </w:r>
      <w:proofErr w:type="spellEnd"/>
      <w:r w:rsidRPr="00F32462">
        <w:rPr>
          <w:sz w:val="24"/>
          <w:szCs w:val="24"/>
          <w:lang w:val="da-DK"/>
        </w:rPr>
        <w:t xml:space="preserve"> efter første dosis hos raske frivillige personer. På dag 8 har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-administration af </w:t>
      </w:r>
      <w:proofErr w:type="spellStart"/>
      <w:r w:rsidRPr="00F32462">
        <w:rPr>
          <w:sz w:val="24"/>
          <w:szCs w:val="24"/>
          <w:lang w:val="da-DK"/>
        </w:rPr>
        <w:t>rifampicin</w:t>
      </w:r>
      <w:proofErr w:type="spellEnd"/>
      <w:r w:rsidRPr="00F32462">
        <w:rPr>
          <w:sz w:val="24"/>
          <w:szCs w:val="24"/>
          <w:lang w:val="da-DK"/>
        </w:rPr>
        <w:t xml:space="preserve"> dog ingen klinisk relevant effekt på eksponeringen for </w:t>
      </w:r>
      <w:proofErr w:type="spellStart"/>
      <w:r w:rsidRPr="00F32462">
        <w:rPr>
          <w:sz w:val="24"/>
          <w:szCs w:val="24"/>
          <w:lang w:val="da-DK"/>
        </w:rPr>
        <w:t>ambrisentan</w:t>
      </w:r>
      <w:proofErr w:type="spellEnd"/>
      <w:r w:rsidRPr="00F32462">
        <w:rPr>
          <w:sz w:val="24"/>
          <w:szCs w:val="24"/>
          <w:lang w:val="da-DK"/>
        </w:rPr>
        <w:t xml:space="preserve">. Patienter i </w:t>
      </w:r>
      <w:proofErr w:type="spellStart"/>
      <w:r w:rsidRPr="00F32462">
        <w:rPr>
          <w:sz w:val="24"/>
          <w:szCs w:val="24"/>
          <w:lang w:val="da-DK"/>
        </w:rPr>
        <w:lastRenderedPageBreak/>
        <w:t>ambrisentanbehandling</w:t>
      </w:r>
      <w:proofErr w:type="spellEnd"/>
      <w:r w:rsidRPr="00F32462">
        <w:rPr>
          <w:sz w:val="24"/>
          <w:szCs w:val="24"/>
          <w:lang w:val="da-DK"/>
        </w:rPr>
        <w:t xml:space="preserve"> skal nøje overvåges, når </w:t>
      </w:r>
      <w:proofErr w:type="spellStart"/>
      <w:r w:rsidRPr="00F32462">
        <w:rPr>
          <w:sz w:val="24"/>
          <w:szCs w:val="24"/>
          <w:lang w:val="da-DK"/>
        </w:rPr>
        <w:t>rifampicinbehandling</w:t>
      </w:r>
      <w:proofErr w:type="spellEnd"/>
      <w:r w:rsidRPr="00F32462">
        <w:rPr>
          <w:sz w:val="24"/>
          <w:szCs w:val="24"/>
          <w:lang w:val="da-DK"/>
        </w:rPr>
        <w:t xml:space="preserve"> påbegyndes (se pkt. 4.4 og 5.2).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u w:val="single"/>
          <w:lang w:val="da-DK"/>
        </w:rPr>
        <w:t>Fosfodiesterasehæmmere</w:t>
      </w:r>
      <w:proofErr w:type="spellEnd"/>
    </w:p>
    <w:p w:rsidR="00673CCD" w:rsidRPr="00F32462" w:rsidRDefault="00673CCD" w:rsidP="00673CCD">
      <w:pPr>
        <w:pStyle w:val="Brdtekst"/>
        <w:ind w:left="851" w:right="-1"/>
        <w:rPr>
          <w:sz w:val="24"/>
          <w:szCs w:val="24"/>
          <w:lang w:val="da-DK"/>
        </w:rPr>
      </w:pPr>
      <w:r w:rsidRPr="00F32462">
        <w:rPr>
          <w:sz w:val="24"/>
          <w:szCs w:val="24"/>
          <w:lang w:val="da-DK"/>
        </w:rPr>
        <w:t xml:space="preserve">Samtidig administration af </w:t>
      </w:r>
      <w:proofErr w:type="spellStart"/>
      <w:r w:rsidRPr="00F32462">
        <w:rPr>
          <w:sz w:val="24"/>
          <w:szCs w:val="24"/>
          <w:lang w:val="da-DK"/>
        </w:rPr>
        <w:t>ambrisentan</w:t>
      </w:r>
      <w:proofErr w:type="spellEnd"/>
      <w:r w:rsidRPr="00F32462">
        <w:rPr>
          <w:sz w:val="24"/>
          <w:szCs w:val="24"/>
          <w:lang w:val="da-DK"/>
        </w:rPr>
        <w:t xml:space="preserve"> og en </w:t>
      </w:r>
      <w:proofErr w:type="spellStart"/>
      <w:r w:rsidRPr="00F32462">
        <w:rPr>
          <w:sz w:val="24"/>
          <w:szCs w:val="24"/>
          <w:lang w:val="da-DK"/>
        </w:rPr>
        <w:t>fosfodiesterasehæmmer</w:t>
      </w:r>
      <w:proofErr w:type="spellEnd"/>
      <w:r w:rsidRPr="00F32462">
        <w:rPr>
          <w:sz w:val="24"/>
          <w:szCs w:val="24"/>
          <w:lang w:val="da-DK"/>
        </w:rPr>
        <w:t xml:space="preserve">, enten </w:t>
      </w:r>
      <w:proofErr w:type="spellStart"/>
      <w:r w:rsidRPr="00F32462">
        <w:rPr>
          <w:sz w:val="24"/>
          <w:szCs w:val="24"/>
          <w:lang w:val="da-DK"/>
        </w:rPr>
        <w:t>sildenafil</w:t>
      </w:r>
      <w:proofErr w:type="spellEnd"/>
      <w:r w:rsidRPr="00F32462">
        <w:rPr>
          <w:sz w:val="24"/>
          <w:szCs w:val="24"/>
          <w:lang w:val="da-DK"/>
        </w:rPr>
        <w:t xml:space="preserve"> eller </w:t>
      </w:r>
      <w:proofErr w:type="spellStart"/>
      <w:r w:rsidRPr="00F32462">
        <w:rPr>
          <w:sz w:val="24"/>
          <w:szCs w:val="24"/>
          <w:lang w:val="da-DK"/>
        </w:rPr>
        <w:t>tadalafil</w:t>
      </w:r>
      <w:proofErr w:type="spellEnd"/>
      <w:r w:rsidRPr="00F32462">
        <w:rPr>
          <w:sz w:val="24"/>
          <w:szCs w:val="24"/>
          <w:lang w:val="da-DK"/>
        </w:rPr>
        <w:t xml:space="preserve"> (begge substrater af CYP3A4), til raske frivillige påvirkede ikke farmakokinetikken af </w:t>
      </w:r>
      <w:proofErr w:type="spellStart"/>
      <w:r w:rsidRPr="00F32462">
        <w:rPr>
          <w:sz w:val="24"/>
          <w:szCs w:val="24"/>
          <w:lang w:val="da-DK"/>
        </w:rPr>
        <w:t>fosfodiesterasehæmmeren</w:t>
      </w:r>
      <w:proofErr w:type="spellEnd"/>
      <w:r w:rsidRPr="00F32462">
        <w:rPr>
          <w:sz w:val="24"/>
          <w:szCs w:val="24"/>
          <w:lang w:val="da-DK"/>
        </w:rPr>
        <w:t xml:space="preserve"> eller </w:t>
      </w:r>
      <w:proofErr w:type="spellStart"/>
      <w:r w:rsidRPr="00F32462">
        <w:rPr>
          <w:sz w:val="24"/>
          <w:szCs w:val="24"/>
          <w:lang w:val="da-DK"/>
        </w:rPr>
        <w:t>ambrisentan</w:t>
      </w:r>
      <w:proofErr w:type="spellEnd"/>
      <w:r w:rsidRPr="00F32462">
        <w:rPr>
          <w:sz w:val="24"/>
          <w:szCs w:val="24"/>
          <w:lang w:val="da-DK"/>
        </w:rPr>
        <w:t xml:space="preserve"> signifikant (se pkt. 5.2).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Andre målrettede PAH-behandlinger</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Ambrisentans</w:t>
      </w:r>
      <w:proofErr w:type="spellEnd"/>
      <w:r w:rsidRPr="00F32462">
        <w:rPr>
          <w:sz w:val="24"/>
          <w:szCs w:val="24"/>
          <w:lang w:val="da-DK"/>
        </w:rPr>
        <w:t xml:space="preserve"> virkning og sikkerhed ved administration sammen med anden PAH-behandling (f.eks. </w:t>
      </w:r>
      <w:proofErr w:type="spellStart"/>
      <w:r w:rsidRPr="00F32462">
        <w:rPr>
          <w:sz w:val="24"/>
          <w:szCs w:val="24"/>
          <w:lang w:val="da-DK"/>
        </w:rPr>
        <w:t>prostanoider</w:t>
      </w:r>
      <w:proofErr w:type="spellEnd"/>
      <w:r w:rsidRPr="00F32462">
        <w:rPr>
          <w:sz w:val="24"/>
          <w:szCs w:val="24"/>
          <w:lang w:val="da-DK"/>
        </w:rPr>
        <w:t xml:space="preserve"> og opløselige </w:t>
      </w:r>
      <w:proofErr w:type="spellStart"/>
      <w:r w:rsidRPr="00F32462">
        <w:rPr>
          <w:sz w:val="24"/>
          <w:szCs w:val="24"/>
          <w:lang w:val="da-DK"/>
        </w:rPr>
        <w:t>guanylatcyklase</w:t>
      </w:r>
      <w:proofErr w:type="spellEnd"/>
      <w:r w:rsidRPr="00F32462">
        <w:rPr>
          <w:sz w:val="24"/>
          <w:szCs w:val="24"/>
          <w:lang w:val="da-DK"/>
        </w:rPr>
        <w:t xml:space="preserve">-stimulatorer) er ikke specifikt undersøgt i kontrollerede kliniske studier med PAH-patienter (se pkt. 5.1). Baseret på data fra den kendte biotransformation forventes ingen specifikke lægemiddelinteraktioner med opløselige </w:t>
      </w:r>
      <w:proofErr w:type="spellStart"/>
      <w:r w:rsidRPr="00F32462">
        <w:rPr>
          <w:sz w:val="24"/>
          <w:szCs w:val="24"/>
          <w:lang w:val="da-DK"/>
        </w:rPr>
        <w:t>guanylatcyklase</w:t>
      </w:r>
      <w:proofErr w:type="spellEnd"/>
      <w:r w:rsidRPr="00F32462">
        <w:rPr>
          <w:sz w:val="24"/>
          <w:szCs w:val="24"/>
          <w:lang w:val="da-DK"/>
        </w:rPr>
        <w:t xml:space="preserve">-stimulatorer eller </w:t>
      </w:r>
      <w:proofErr w:type="spellStart"/>
      <w:r w:rsidRPr="00F32462">
        <w:rPr>
          <w:sz w:val="24"/>
          <w:szCs w:val="24"/>
          <w:lang w:val="da-DK"/>
        </w:rPr>
        <w:t>prostanoider</w:t>
      </w:r>
      <w:proofErr w:type="spellEnd"/>
      <w:r w:rsidRPr="00F32462">
        <w:rPr>
          <w:sz w:val="24"/>
          <w:szCs w:val="24"/>
          <w:lang w:val="da-DK"/>
        </w:rPr>
        <w:t xml:space="preserve"> (se pkt. 5.2). Der er dog ikke foretaget specifikke lægemiddelinteraktionsstudier med disse lægemidler, og forsigtighed anbefales derfor ved samtidig administration.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 xml:space="preserve">Orale </w:t>
      </w:r>
      <w:proofErr w:type="spellStart"/>
      <w:r w:rsidRPr="00F32462">
        <w:rPr>
          <w:sz w:val="24"/>
          <w:szCs w:val="24"/>
          <w:u w:val="single"/>
          <w:lang w:val="da-DK"/>
        </w:rPr>
        <w:t>antikonceptiva</w:t>
      </w:r>
      <w:proofErr w:type="spellEnd"/>
    </w:p>
    <w:p w:rsidR="00673CCD" w:rsidRPr="00F32462" w:rsidRDefault="00673CCD" w:rsidP="00673CCD">
      <w:pPr>
        <w:pStyle w:val="Brdtekst"/>
        <w:ind w:left="851" w:right="-1"/>
        <w:rPr>
          <w:sz w:val="24"/>
          <w:szCs w:val="24"/>
          <w:lang w:val="da-DK"/>
        </w:rPr>
      </w:pPr>
      <w:r w:rsidRPr="00F32462">
        <w:rPr>
          <w:sz w:val="24"/>
          <w:szCs w:val="24"/>
          <w:lang w:val="da-DK"/>
        </w:rPr>
        <w:t xml:space="preserve">I et klinisk studie med raske personer påvirkede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-dosering (10 mg </w:t>
      </w:r>
      <w:proofErr w:type="spellStart"/>
      <w:r w:rsidRPr="00F32462">
        <w:rPr>
          <w:sz w:val="24"/>
          <w:szCs w:val="24"/>
          <w:lang w:val="da-DK"/>
        </w:rPr>
        <w:t>ambrisentan</w:t>
      </w:r>
      <w:proofErr w:type="spellEnd"/>
      <w:r w:rsidRPr="00F32462">
        <w:rPr>
          <w:sz w:val="24"/>
          <w:szCs w:val="24"/>
          <w:lang w:val="da-DK"/>
        </w:rPr>
        <w:t xml:space="preserve"> én gang dagligt) ikke signifikant enkeltdosis-farmakokinetikken af et oralt kombinations-antikonceptionsmiddel indeholdende </w:t>
      </w:r>
      <w:proofErr w:type="spellStart"/>
      <w:r w:rsidRPr="00F32462">
        <w:rPr>
          <w:sz w:val="24"/>
          <w:szCs w:val="24"/>
          <w:lang w:val="da-DK"/>
        </w:rPr>
        <w:t>ethinylestradiol</w:t>
      </w:r>
      <w:proofErr w:type="spellEnd"/>
      <w:r w:rsidRPr="00F32462">
        <w:rPr>
          <w:sz w:val="24"/>
          <w:szCs w:val="24"/>
          <w:lang w:val="da-DK"/>
        </w:rPr>
        <w:t xml:space="preserve"> og </w:t>
      </w:r>
      <w:proofErr w:type="spellStart"/>
      <w:r w:rsidRPr="00F32462">
        <w:rPr>
          <w:sz w:val="24"/>
          <w:szCs w:val="24"/>
          <w:lang w:val="da-DK"/>
        </w:rPr>
        <w:t>norethindron</w:t>
      </w:r>
      <w:proofErr w:type="spellEnd"/>
      <w:r w:rsidRPr="00F32462">
        <w:rPr>
          <w:sz w:val="24"/>
          <w:szCs w:val="24"/>
          <w:lang w:val="da-DK"/>
        </w:rPr>
        <w:t xml:space="preserve"> (se pkt. 5.2). På baggrund af dette farmakokinetikstudie forventes </w:t>
      </w:r>
      <w:proofErr w:type="spellStart"/>
      <w:r w:rsidRPr="00F32462">
        <w:rPr>
          <w:sz w:val="24"/>
          <w:szCs w:val="24"/>
          <w:lang w:val="da-DK"/>
        </w:rPr>
        <w:t>ambrisentan</w:t>
      </w:r>
      <w:proofErr w:type="spellEnd"/>
      <w:r w:rsidRPr="00F32462">
        <w:rPr>
          <w:sz w:val="24"/>
          <w:szCs w:val="24"/>
          <w:lang w:val="da-DK"/>
        </w:rPr>
        <w:t xml:space="preserve"> ikke at påvirke eksponeringen for antikonceptionsmidler indeholdende østrogen eller </w:t>
      </w:r>
      <w:proofErr w:type="spellStart"/>
      <w:r w:rsidRPr="00F32462">
        <w:rPr>
          <w:sz w:val="24"/>
          <w:szCs w:val="24"/>
          <w:lang w:val="da-DK"/>
        </w:rPr>
        <w:t>progestogen</w:t>
      </w:r>
      <w:proofErr w:type="spellEnd"/>
      <w:r w:rsidRPr="00F32462">
        <w:rPr>
          <w:sz w:val="24"/>
          <w:szCs w:val="24"/>
          <w:lang w:val="da-DK"/>
        </w:rPr>
        <w:t xml:space="preserve"> signifikant.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u w:val="single"/>
          <w:lang w:val="da-DK"/>
        </w:rPr>
        <w:t>Warfarin</w:t>
      </w:r>
      <w:proofErr w:type="spellEnd"/>
    </w:p>
    <w:p w:rsidR="00673CCD" w:rsidRPr="00F32462" w:rsidRDefault="00673CCD" w:rsidP="00673CCD">
      <w:pPr>
        <w:pStyle w:val="Brdtekst"/>
        <w:ind w:left="851" w:right="-1"/>
        <w:rPr>
          <w:sz w:val="24"/>
          <w:szCs w:val="24"/>
          <w:lang w:val="da-DK"/>
        </w:rPr>
      </w:pPr>
      <w:r w:rsidRPr="00F32462">
        <w:rPr>
          <w:sz w:val="24"/>
          <w:szCs w:val="24"/>
          <w:lang w:val="da-DK"/>
        </w:rPr>
        <w:t xml:space="preserve">I en undersøgelse med raske frivillige påvirkede </w:t>
      </w:r>
      <w:proofErr w:type="spellStart"/>
      <w:r w:rsidRPr="00F32462">
        <w:rPr>
          <w:sz w:val="24"/>
          <w:szCs w:val="24"/>
          <w:lang w:val="da-DK"/>
        </w:rPr>
        <w:t>ambrisentan</w:t>
      </w:r>
      <w:proofErr w:type="spellEnd"/>
      <w:r w:rsidRPr="00F32462">
        <w:rPr>
          <w:sz w:val="24"/>
          <w:szCs w:val="24"/>
          <w:lang w:val="da-DK"/>
        </w:rPr>
        <w:t xml:space="preserve"> ikke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-farmakokinetikken og </w:t>
      </w:r>
      <w:proofErr w:type="spellStart"/>
      <w:r w:rsidRPr="00F32462">
        <w:rPr>
          <w:sz w:val="24"/>
          <w:szCs w:val="24"/>
          <w:lang w:val="da-DK"/>
        </w:rPr>
        <w:t>antikoagulationsaktiviteten</w:t>
      </w:r>
      <w:proofErr w:type="spellEnd"/>
      <w:r w:rsidRPr="00F32462">
        <w:rPr>
          <w:sz w:val="24"/>
          <w:szCs w:val="24"/>
          <w:lang w:val="da-DK"/>
        </w:rPr>
        <w:t xml:space="preserve"> af </w:t>
      </w:r>
      <w:proofErr w:type="spellStart"/>
      <w:r w:rsidRPr="00F32462">
        <w:rPr>
          <w:sz w:val="24"/>
          <w:szCs w:val="24"/>
          <w:lang w:val="da-DK"/>
        </w:rPr>
        <w:t>warfarin</w:t>
      </w:r>
      <w:proofErr w:type="spellEnd"/>
      <w:r w:rsidRPr="00F32462">
        <w:rPr>
          <w:sz w:val="24"/>
          <w:szCs w:val="24"/>
          <w:lang w:val="da-DK"/>
        </w:rPr>
        <w:t xml:space="preserve"> (se pkt. 5.2). </w:t>
      </w:r>
      <w:proofErr w:type="spellStart"/>
      <w:r w:rsidRPr="00F32462">
        <w:rPr>
          <w:sz w:val="24"/>
          <w:szCs w:val="24"/>
          <w:lang w:val="da-DK"/>
        </w:rPr>
        <w:t>Warfarin</w:t>
      </w:r>
      <w:proofErr w:type="spellEnd"/>
      <w:r w:rsidRPr="00F32462">
        <w:rPr>
          <w:sz w:val="24"/>
          <w:szCs w:val="24"/>
          <w:lang w:val="da-DK"/>
        </w:rPr>
        <w:t xml:space="preserve"> havde heller ingen klinisk signifikant indvirkning på farmakokinetikken af </w:t>
      </w:r>
      <w:proofErr w:type="spellStart"/>
      <w:r w:rsidRPr="00F32462">
        <w:rPr>
          <w:sz w:val="24"/>
          <w:szCs w:val="24"/>
          <w:lang w:val="da-DK"/>
        </w:rPr>
        <w:t>ambrisentan</w:t>
      </w:r>
      <w:proofErr w:type="spellEnd"/>
      <w:r w:rsidRPr="00F32462">
        <w:rPr>
          <w:sz w:val="24"/>
          <w:szCs w:val="24"/>
          <w:lang w:val="da-DK"/>
        </w:rPr>
        <w:t xml:space="preserve">. </w:t>
      </w:r>
      <w:proofErr w:type="spellStart"/>
      <w:r w:rsidRPr="00F32462">
        <w:rPr>
          <w:sz w:val="24"/>
          <w:szCs w:val="24"/>
          <w:lang w:val="da-DK"/>
        </w:rPr>
        <w:t>Ambrisentan</w:t>
      </w:r>
      <w:proofErr w:type="spellEnd"/>
      <w:r w:rsidRPr="00F32462">
        <w:rPr>
          <w:sz w:val="24"/>
          <w:szCs w:val="24"/>
          <w:lang w:val="da-DK"/>
        </w:rPr>
        <w:t xml:space="preserve"> havde heller ingen samlet virkning på den ugentlige dosis af </w:t>
      </w:r>
      <w:proofErr w:type="spellStart"/>
      <w:r w:rsidRPr="00F32462">
        <w:rPr>
          <w:sz w:val="24"/>
          <w:szCs w:val="24"/>
          <w:lang w:val="da-DK"/>
        </w:rPr>
        <w:t>warfarinantikoagulant</w:t>
      </w:r>
      <w:proofErr w:type="spellEnd"/>
      <w:r w:rsidRPr="00F32462">
        <w:rPr>
          <w:sz w:val="24"/>
          <w:szCs w:val="24"/>
          <w:lang w:val="da-DK"/>
        </w:rPr>
        <w:t xml:space="preserve">, </w:t>
      </w:r>
      <w:proofErr w:type="spellStart"/>
      <w:r w:rsidRPr="00F32462">
        <w:rPr>
          <w:sz w:val="24"/>
          <w:szCs w:val="24"/>
          <w:lang w:val="da-DK"/>
        </w:rPr>
        <w:t>protrombintid</w:t>
      </w:r>
      <w:proofErr w:type="spellEnd"/>
      <w:r w:rsidRPr="00F32462">
        <w:rPr>
          <w:sz w:val="24"/>
          <w:szCs w:val="24"/>
          <w:lang w:val="da-DK"/>
        </w:rPr>
        <w:t xml:space="preserve"> (PT) og </w:t>
      </w:r>
      <w:r w:rsidRPr="00F32462">
        <w:rPr>
          <w:i/>
          <w:iCs/>
          <w:sz w:val="24"/>
          <w:szCs w:val="24"/>
          <w:lang w:val="da-DK"/>
        </w:rPr>
        <w:t xml:space="preserve">international </w:t>
      </w:r>
      <w:proofErr w:type="spellStart"/>
      <w:r w:rsidRPr="00F32462">
        <w:rPr>
          <w:i/>
          <w:iCs/>
          <w:sz w:val="24"/>
          <w:szCs w:val="24"/>
          <w:lang w:val="da-DK"/>
        </w:rPr>
        <w:t>normalized</w:t>
      </w:r>
      <w:proofErr w:type="spellEnd"/>
      <w:r w:rsidRPr="00F32462">
        <w:rPr>
          <w:i/>
          <w:iCs/>
          <w:sz w:val="24"/>
          <w:szCs w:val="24"/>
          <w:lang w:val="da-DK"/>
        </w:rPr>
        <w:t xml:space="preserve"> ratio</w:t>
      </w:r>
      <w:r w:rsidRPr="00F32462">
        <w:rPr>
          <w:sz w:val="24"/>
          <w:szCs w:val="24"/>
          <w:lang w:val="da-DK"/>
        </w:rPr>
        <w:t xml:space="preserve"> (INR) hos patienterne.</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u w:val="single"/>
          <w:lang w:val="da-DK"/>
        </w:rPr>
        <w:t>Ketoconazol</w:t>
      </w:r>
      <w:proofErr w:type="spellEnd"/>
    </w:p>
    <w:p w:rsidR="00673CCD" w:rsidRPr="00F32462" w:rsidRDefault="00673CCD" w:rsidP="00673CCD">
      <w:pPr>
        <w:pStyle w:val="Brdtekst"/>
        <w:ind w:left="851" w:right="-1"/>
        <w:rPr>
          <w:sz w:val="24"/>
          <w:szCs w:val="24"/>
          <w:lang w:val="da-DK"/>
        </w:rPr>
      </w:pP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-administration af </w:t>
      </w:r>
      <w:proofErr w:type="spellStart"/>
      <w:r w:rsidRPr="00F32462">
        <w:rPr>
          <w:sz w:val="24"/>
          <w:szCs w:val="24"/>
          <w:lang w:val="da-DK"/>
        </w:rPr>
        <w:t>ketoconazol</w:t>
      </w:r>
      <w:proofErr w:type="spellEnd"/>
      <w:r w:rsidRPr="00F32462">
        <w:rPr>
          <w:sz w:val="24"/>
          <w:szCs w:val="24"/>
          <w:lang w:val="da-DK"/>
        </w:rPr>
        <w:t xml:space="preserve"> (en potent CYP3A4-hæmmer) resulterede ikke i en klinisk signifikant stigning i eksponeringen for </w:t>
      </w:r>
      <w:proofErr w:type="spellStart"/>
      <w:r w:rsidRPr="00F32462">
        <w:rPr>
          <w:sz w:val="24"/>
          <w:szCs w:val="24"/>
          <w:lang w:val="da-DK"/>
        </w:rPr>
        <w:t>ambrisentan</w:t>
      </w:r>
      <w:proofErr w:type="spellEnd"/>
      <w:r w:rsidRPr="00F32462">
        <w:rPr>
          <w:sz w:val="24"/>
          <w:szCs w:val="24"/>
          <w:lang w:val="da-DK"/>
        </w:rPr>
        <w:t xml:space="preserve"> (se pkt. 5.2).</w:t>
      </w:r>
    </w:p>
    <w:p w:rsidR="00673CCD" w:rsidRPr="00F32462" w:rsidRDefault="00673CCD" w:rsidP="00673CCD">
      <w:pPr>
        <w:pStyle w:val="Brdtekst"/>
        <w:ind w:left="851" w:right="-1"/>
        <w:rPr>
          <w:sz w:val="24"/>
          <w:szCs w:val="24"/>
          <w:u w:val="single"/>
          <w:lang w:val="da-DK"/>
        </w:rPr>
      </w:pPr>
    </w:p>
    <w:p w:rsidR="00673CCD" w:rsidRPr="00F32462" w:rsidRDefault="00673CCD" w:rsidP="00673CCD">
      <w:pPr>
        <w:pStyle w:val="Brdtekst"/>
        <w:ind w:left="851" w:right="-1"/>
        <w:rPr>
          <w:sz w:val="24"/>
          <w:szCs w:val="24"/>
          <w:lang w:val="da-DK"/>
        </w:rPr>
      </w:pPr>
      <w:proofErr w:type="spellStart"/>
      <w:r w:rsidRPr="00F32462">
        <w:rPr>
          <w:sz w:val="24"/>
          <w:szCs w:val="24"/>
          <w:u w:val="single"/>
          <w:lang w:val="da-DK"/>
        </w:rPr>
        <w:t>Ambrisentans</w:t>
      </w:r>
      <w:proofErr w:type="spellEnd"/>
      <w:r w:rsidRPr="00F32462">
        <w:rPr>
          <w:sz w:val="24"/>
          <w:szCs w:val="24"/>
          <w:u w:val="single"/>
          <w:lang w:val="da-DK"/>
        </w:rPr>
        <w:t xml:space="preserve"> virkning på </w:t>
      </w:r>
      <w:proofErr w:type="spellStart"/>
      <w:r w:rsidRPr="00F32462">
        <w:rPr>
          <w:sz w:val="24"/>
          <w:szCs w:val="24"/>
          <w:u w:val="single"/>
          <w:lang w:val="da-DK"/>
        </w:rPr>
        <w:t>xenobiotiske</w:t>
      </w:r>
      <w:proofErr w:type="spellEnd"/>
      <w:r w:rsidRPr="00F32462">
        <w:rPr>
          <w:sz w:val="24"/>
          <w:szCs w:val="24"/>
          <w:u w:val="single"/>
          <w:lang w:val="da-DK"/>
        </w:rPr>
        <w:t xml:space="preserve"> transportører</w:t>
      </w:r>
    </w:p>
    <w:p w:rsidR="00673CCD" w:rsidRPr="00F32462" w:rsidRDefault="00673CCD" w:rsidP="00673CCD">
      <w:pPr>
        <w:pStyle w:val="Brdtekst"/>
        <w:ind w:left="851" w:right="-1"/>
        <w:rPr>
          <w:sz w:val="24"/>
          <w:szCs w:val="24"/>
          <w:lang w:val="da-DK"/>
        </w:rPr>
      </w:pPr>
      <w:r w:rsidRPr="00F32462">
        <w:rPr>
          <w:sz w:val="24"/>
          <w:szCs w:val="24"/>
          <w:lang w:val="da-DK"/>
        </w:rPr>
        <w:t xml:space="preserve">Ved klinisk relevante koncentrationer har </w:t>
      </w:r>
      <w:proofErr w:type="spellStart"/>
      <w:r w:rsidRPr="00F32462">
        <w:rPr>
          <w:sz w:val="24"/>
          <w:szCs w:val="24"/>
          <w:lang w:val="da-DK"/>
        </w:rPr>
        <w:t>ambrisentan</w:t>
      </w:r>
      <w:proofErr w:type="spellEnd"/>
      <w:r w:rsidRPr="00F32462">
        <w:rPr>
          <w:sz w:val="24"/>
          <w:szCs w:val="24"/>
          <w:lang w:val="da-DK"/>
        </w:rPr>
        <w:t xml:space="preserve"> </w:t>
      </w:r>
      <w:r w:rsidRPr="00F32462">
        <w:rPr>
          <w:i/>
          <w:sz w:val="24"/>
          <w:szCs w:val="24"/>
          <w:lang w:val="da-DK"/>
        </w:rPr>
        <w:t xml:space="preserve">in </w:t>
      </w:r>
      <w:proofErr w:type="spellStart"/>
      <w:r w:rsidRPr="00F32462">
        <w:rPr>
          <w:i/>
          <w:sz w:val="24"/>
          <w:szCs w:val="24"/>
          <w:lang w:val="da-DK"/>
        </w:rPr>
        <w:t>vitro</w:t>
      </w:r>
      <w:proofErr w:type="spellEnd"/>
      <w:r w:rsidRPr="00F32462">
        <w:rPr>
          <w:i/>
          <w:sz w:val="24"/>
          <w:szCs w:val="24"/>
          <w:lang w:val="da-DK"/>
        </w:rPr>
        <w:t xml:space="preserve"> </w:t>
      </w:r>
      <w:r w:rsidRPr="00F32462">
        <w:rPr>
          <w:sz w:val="24"/>
          <w:szCs w:val="24"/>
          <w:lang w:val="da-DK"/>
        </w:rPr>
        <w:t>ingen hæmmende effekt på humane transportører, herunder P-</w:t>
      </w:r>
      <w:proofErr w:type="spellStart"/>
      <w:r w:rsidRPr="00F32462">
        <w:rPr>
          <w:sz w:val="24"/>
          <w:szCs w:val="24"/>
          <w:lang w:val="da-DK"/>
        </w:rPr>
        <w:t>glykoprotein</w:t>
      </w:r>
      <w:proofErr w:type="spellEnd"/>
      <w:r w:rsidRPr="00F32462">
        <w:rPr>
          <w:sz w:val="24"/>
          <w:szCs w:val="24"/>
          <w:lang w:val="da-DK"/>
        </w:rPr>
        <w:t xml:space="preserve"> (P-gp), brystcancerresistensprotein (BCRP), </w:t>
      </w:r>
      <w:r w:rsidRPr="00F32462">
        <w:rPr>
          <w:i/>
          <w:iCs/>
          <w:sz w:val="24"/>
          <w:szCs w:val="24"/>
          <w:lang w:val="da-DK"/>
        </w:rPr>
        <w:t>multidrug</w:t>
      </w:r>
      <w:r w:rsidRPr="00F32462">
        <w:rPr>
          <w:sz w:val="24"/>
          <w:szCs w:val="24"/>
          <w:lang w:val="da-DK"/>
        </w:rPr>
        <w:t xml:space="preserve">-resistensprotein 2 (MRP2), galdesalteksportpumpe (BSEP), organisk anion-transporterende polypeptider (OATP1B1 og OATP1B3) og det natriumafhængige </w:t>
      </w:r>
      <w:proofErr w:type="spellStart"/>
      <w:r w:rsidRPr="00F32462">
        <w:rPr>
          <w:sz w:val="24"/>
          <w:szCs w:val="24"/>
          <w:lang w:val="da-DK"/>
        </w:rPr>
        <w:t>taurocholat</w:t>
      </w:r>
      <w:proofErr w:type="spellEnd"/>
      <w:r w:rsidRPr="00F32462">
        <w:rPr>
          <w:sz w:val="24"/>
          <w:szCs w:val="24"/>
          <w:lang w:val="da-DK"/>
        </w:rPr>
        <w:t>-</w:t>
      </w:r>
      <w:proofErr w:type="spellStart"/>
      <w:r w:rsidRPr="00F32462">
        <w:rPr>
          <w:sz w:val="24"/>
          <w:szCs w:val="24"/>
          <w:lang w:val="da-DK"/>
        </w:rPr>
        <w:t>co</w:t>
      </w:r>
      <w:proofErr w:type="spellEnd"/>
      <w:r w:rsidRPr="00F32462">
        <w:rPr>
          <w:sz w:val="24"/>
          <w:szCs w:val="24"/>
          <w:lang w:val="da-DK"/>
        </w:rPr>
        <w:t>-transporterende polypeptid (NTCP).</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et substrat for P-gp-medieret </w:t>
      </w:r>
      <w:proofErr w:type="spellStart"/>
      <w:r w:rsidRPr="00F32462">
        <w:rPr>
          <w:sz w:val="24"/>
          <w:szCs w:val="24"/>
          <w:lang w:val="da-DK"/>
        </w:rPr>
        <w:t>effluks</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i/>
          <w:sz w:val="24"/>
          <w:szCs w:val="24"/>
          <w:lang w:val="da-DK"/>
        </w:rPr>
        <w:t xml:space="preserve">In </w:t>
      </w:r>
      <w:proofErr w:type="spellStart"/>
      <w:r w:rsidRPr="00F32462">
        <w:rPr>
          <w:i/>
          <w:sz w:val="24"/>
          <w:szCs w:val="24"/>
          <w:lang w:val="da-DK"/>
        </w:rPr>
        <w:t>vitro</w:t>
      </w:r>
      <w:proofErr w:type="spellEnd"/>
      <w:r w:rsidRPr="00F32462">
        <w:rPr>
          <w:sz w:val="24"/>
          <w:szCs w:val="24"/>
          <w:lang w:val="da-DK"/>
        </w:rPr>
        <w:t>-studier i rotte-</w:t>
      </w:r>
      <w:proofErr w:type="spellStart"/>
      <w:r w:rsidRPr="00F32462">
        <w:rPr>
          <w:sz w:val="24"/>
          <w:szCs w:val="24"/>
          <w:lang w:val="da-DK"/>
        </w:rPr>
        <w:t>hepatocytter</w:t>
      </w:r>
      <w:proofErr w:type="spellEnd"/>
      <w:r w:rsidRPr="00F32462">
        <w:rPr>
          <w:sz w:val="24"/>
          <w:szCs w:val="24"/>
          <w:lang w:val="da-DK"/>
        </w:rPr>
        <w:t xml:space="preserve"> har desuden vist, at </w:t>
      </w:r>
      <w:proofErr w:type="spellStart"/>
      <w:r w:rsidRPr="00F32462">
        <w:rPr>
          <w:sz w:val="24"/>
          <w:szCs w:val="24"/>
          <w:lang w:val="da-DK"/>
        </w:rPr>
        <w:t>ambrisentan</w:t>
      </w:r>
      <w:proofErr w:type="spellEnd"/>
      <w:r w:rsidRPr="00F32462">
        <w:rPr>
          <w:sz w:val="24"/>
          <w:szCs w:val="24"/>
          <w:lang w:val="da-DK"/>
        </w:rPr>
        <w:t xml:space="preserve"> ikke inducerede ekspression af P-gp, BSEP eller MRP2.</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-administration af </w:t>
      </w:r>
      <w:proofErr w:type="spellStart"/>
      <w:r w:rsidRPr="00F32462">
        <w:rPr>
          <w:sz w:val="24"/>
          <w:szCs w:val="24"/>
          <w:lang w:val="da-DK"/>
        </w:rPr>
        <w:t>ambrisentan</w:t>
      </w:r>
      <w:proofErr w:type="spellEnd"/>
      <w:r w:rsidRPr="00F32462">
        <w:rPr>
          <w:sz w:val="24"/>
          <w:szCs w:val="24"/>
          <w:lang w:val="da-DK"/>
        </w:rPr>
        <w:t xml:space="preserve"> til raske frivillige havde ingen klinisk relevant virkning på enkeltdosis-farmakokinetikken af </w:t>
      </w:r>
      <w:proofErr w:type="spellStart"/>
      <w:r w:rsidRPr="00F32462">
        <w:rPr>
          <w:sz w:val="24"/>
          <w:szCs w:val="24"/>
          <w:lang w:val="da-DK"/>
        </w:rPr>
        <w:t>digoxin</w:t>
      </w:r>
      <w:proofErr w:type="spellEnd"/>
      <w:r w:rsidRPr="00F32462">
        <w:rPr>
          <w:sz w:val="24"/>
          <w:szCs w:val="24"/>
          <w:lang w:val="da-DK"/>
        </w:rPr>
        <w:t xml:space="preserve"> (et substrat for P-gp) (se pkt. 5.2).</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4.6</w:t>
      </w:r>
      <w:r w:rsidRPr="00F32462">
        <w:rPr>
          <w:b/>
          <w:sz w:val="24"/>
          <w:szCs w:val="24"/>
        </w:rPr>
        <w:tab/>
        <w:t>Graviditet og amning</w:t>
      </w:r>
    </w:p>
    <w:p w:rsidR="00673CCD" w:rsidRDefault="00673CCD" w:rsidP="00673CCD">
      <w:pPr>
        <w:pStyle w:val="Brdtekst"/>
        <w:ind w:left="851" w:right="-1"/>
        <w:rPr>
          <w:sz w:val="24"/>
          <w:szCs w:val="24"/>
          <w:u w:val="single"/>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Kvinder i den fertile alder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Behandling med </w:t>
      </w:r>
      <w:proofErr w:type="spellStart"/>
      <w:r w:rsidRPr="00F32462">
        <w:rPr>
          <w:sz w:val="24"/>
          <w:szCs w:val="24"/>
          <w:lang w:val="da-DK"/>
        </w:rPr>
        <w:t>ambrisentan</w:t>
      </w:r>
      <w:proofErr w:type="spellEnd"/>
      <w:r w:rsidRPr="00F32462">
        <w:rPr>
          <w:sz w:val="24"/>
          <w:szCs w:val="24"/>
          <w:lang w:val="da-DK"/>
        </w:rPr>
        <w:t xml:space="preserve"> må ikke indledes hos kvinder i den fertile alder, medmindre der foreligger en negativ graviditetstest, og der anvendes sikker prævention. Det anbefales, at der tages en graviditetstest hver måned under behandlingen med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Graviditet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kontraindiceret under graviditet (se pkt. 4.3). Dyrestudier har vist, at </w:t>
      </w:r>
      <w:proofErr w:type="spellStart"/>
      <w:r w:rsidRPr="00F32462">
        <w:rPr>
          <w:sz w:val="24"/>
          <w:szCs w:val="24"/>
          <w:lang w:val="da-DK"/>
        </w:rPr>
        <w:t>ambrisentan</w:t>
      </w:r>
      <w:proofErr w:type="spellEnd"/>
      <w:r w:rsidRPr="00F32462">
        <w:rPr>
          <w:sz w:val="24"/>
          <w:szCs w:val="24"/>
          <w:lang w:val="da-DK"/>
        </w:rPr>
        <w:t xml:space="preserve"> er </w:t>
      </w:r>
      <w:proofErr w:type="spellStart"/>
      <w:r w:rsidRPr="00F32462">
        <w:rPr>
          <w:sz w:val="24"/>
          <w:szCs w:val="24"/>
          <w:lang w:val="da-DK"/>
        </w:rPr>
        <w:t>teratogent</w:t>
      </w:r>
      <w:proofErr w:type="spellEnd"/>
      <w:r w:rsidRPr="00F32462">
        <w:rPr>
          <w:sz w:val="24"/>
          <w:szCs w:val="24"/>
          <w:lang w:val="da-DK"/>
        </w:rPr>
        <w:t>. Der er ingen erfaring hos mennesker.</w:t>
      </w:r>
    </w:p>
    <w:p w:rsidR="00673CCD" w:rsidRPr="00F32462" w:rsidRDefault="00673CCD" w:rsidP="00673CCD">
      <w:pPr>
        <w:pStyle w:val="Brdtekst"/>
        <w:ind w:left="851" w:right="-1"/>
        <w:rPr>
          <w:sz w:val="24"/>
          <w:szCs w:val="24"/>
          <w:lang w:val="da-DK"/>
        </w:rPr>
      </w:pPr>
      <w:r w:rsidRPr="00F32462">
        <w:rPr>
          <w:sz w:val="24"/>
          <w:szCs w:val="24"/>
          <w:lang w:val="da-DK"/>
        </w:rPr>
        <w:t xml:space="preserve">Kvinder, der behandles med </w:t>
      </w:r>
      <w:proofErr w:type="spellStart"/>
      <w:r w:rsidRPr="00F32462">
        <w:rPr>
          <w:sz w:val="24"/>
          <w:szCs w:val="24"/>
          <w:lang w:val="da-DK"/>
        </w:rPr>
        <w:t>ambrisentan</w:t>
      </w:r>
      <w:proofErr w:type="spellEnd"/>
      <w:r w:rsidRPr="00F32462">
        <w:rPr>
          <w:sz w:val="24"/>
          <w:szCs w:val="24"/>
          <w:lang w:val="da-DK"/>
        </w:rPr>
        <w:t>, skal informeres om risikoen for fosterskader, og anden behandling skal igangsættes, hvis kvinden bliver gravid (se pkt. 4.3, 4.4 og 5.3).</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Amning</w:t>
      </w:r>
    </w:p>
    <w:p w:rsidR="00673CCD" w:rsidRPr="00F32462" w:rsidRDefault="00673CCD" w:rsidP="00673CCD">
      <w:pPr>
        <w:pStyle w:val="Brdtekst"/>
        <w:ind w:left="851" w:right="-1"/>
        <w:rPr>
          <w:sz w:val="24"/>
          <w:szCs w:val="24"/>
          <w:lang w:val="da-DK"/>
        </w:rPr>
      </w:pPr>
      <w:r w:rsidRPr="00F32462">
        <w:rPr>
          <w:sz w:val="24"/>
          <w:szCs w:val="24"/>
          <w:lang w:val="da-DK"/>
        </w:rPr>
        <w:t xml:space="preserve">Det vides ikke, om </w:t>
      </w:r>
      <w:proofErr w:type="spellStart"/>
      <w:r w:rsidRPr="00F32462">
        <w:rPr>
          <w:sz w:val="24"/>
          <w:szCs w:val="24"/>
          <w:lang w:val="da-DK"/>
        </w:rPr>
        <w:t>ambrisentan</w:t>
      </w:r>
      <w:proofErr w:type="spellEnd"/>
      <w:r w:rsidRPr="00F32462">
        <w:rPr>
          <w:sz w:val="24"/>
          <w:szCs w:val="24"/>
          <w:lang w:val="da-DK"/>
        </w:rPr>
        <w:t xml:space="preserve"> udskilles i human mælk. Det er ikke undersøgt i dyrestudier, om </w:t>
      </w:r>
      <w:proofErr w:type="spellStart"/>
      <w:r w:rsidRPr="00F32462">
        <w:rPr>
          <w:sz w:val="24"/>
          <w:szCs w:val="24"/>
          <w:lang w:val="da-DK"/>
        </w:rPr>
        <w:t>ambrisentan</w:t>
      </w:r>
      <w:proofErr w:type="spellEnd"/>
      <w:r w:rsidRPr="00F32462">
        <w:rPr>
          <w:sz w:val="24"/>
          <w:szCs w:val="24"/>
          <w:lang w:val="da-DK"/>
        </w:rPr>
        <w:t xml:space="preserve"> udskilles i mælk. Amning er derfor kontraindiceret hos patienter, der tager </w:t>
      </w:r>
      <w:proofErr w:type="spellStart"/>
      <w:r w:rsidRPr="00F32462">
        <w:rPr>
          <w:sz w:val="24"/>
          <w:szCs w:val="24"/>
          <w:lang w:val="da-DK"/>
        </w:rPr>
        <w:t>ambrisentan</w:t>
      </w:r>
      <w:proofErr w:type="spellEnd"/>
      <w:r w:rsidRPr="00F32462">
        <w:rPr>
          <w:sz w:val="24"/>
          <w:szCs w:val="24"/>
          <w:lang w:val="da-DK"/>
        </w:rPr>
        <w:t xml:space="preserve"> (se pkt. 4.3).</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Mandlig fertilitet</w:t>
      </w:r>
    </w:p>
    <w:p w:rsidR="00673CCD" w:rsidRPr="00F32462" w:rsidRDefault="00673CCD" w:rsidP="00673CCD">
      <w:pPr>
        <w:pStyle w:val="Brdtekst"/>
        <w:ind w:left="851" w:right="-1"/>
        <w:rPr>
          <w:sz w:val="24"/>
          <w:szCs w:val="24"/>
          <w:lang w:val="da-DK"/>
        </w:rPr>
      </w:pPr>
      <w:r w:rsidRPr="00F32462">
        <w:rPr>
          <w:sz w:val="24"/>
          <w:szCs w:val="24"/>
          <w:lang w:val="da-DK"/>
        </w:rPr>
        <w:t xml:space="preserve">Udviklingen af </w:t>
      </w:r>
      <w:proofErr w:type="spellStart"/>
      <w:r w:rsidRPr="00F32462">
        <w:rPr>
          <w:sz w:val="24"/>
          <w:szCs w:val="24"/>
          <w:lang w:val="da-DK"/>
        </w:rPr>
        <w:t>testikeltubulær</w:t>
      </w:r>
      <w:proofErr w:type="spellEnd"/>
      <w:r w:rsidRPr="00F32462">
        <w:rPr>
          <w:sz w:val="24"/>
          <w:szCs w:val="24"/>
          <w:lang w:val="da-DK"/>
        </w:rPr>
        <w:t xml:space="preserve"> atrofi hos dyr er blevet forbundet med kronisk indgift af </w:t>
      </w:r>
      <w:proofErr w:type="spellStart"/>
      <w:r w:rsidRPr="00F32462">
        <w:rPr>
          <w:sz w:val="24"/>
          <w:szCs w:val="24"/>
          <w:lang w:val="da-DK"/>
        </w:rPr>
        <w:t>ERA’er</w:t>
      </w:r>
      <w:proofErr w:type="spellEnd"/>
      <w:r w:rsidRPr="00F32462">
        <w:rPr>
          <w:sz w:val="24"/>
          <w:szCs w:val="24"/>
          <w:lang w:val="da-DK"/>
        </w:rPr>
        <w:t xml:space="preserve">, herunder </w:t>
      </w:r>
      <w:proofErr w:type="spellStart"/>
      <w:r w:rsidRPr="00F32462">
        <w:rPr>
          <w:sz w:val="24"/>
          <w:szCs w:val="24"/>
          <w:lang w:val="da-DK"/>
        </w:rPr>
        <w:t>ambrisentan</w:t>
      </w:r>
      <w:proofErr w:type="spellEnd"/>
      <w:r w:rsidRPr="00F32462">
        <w:rPr>
          <w:sz w:val="24"/>
          <w:szCs w:val="24"/>
          <w:lang w:val="da-DK"/>
        </w:rPr>
        <w:t xml:space="preserve"> (se pkt. 5.3). I studiet ARIES-E blev der ikke fundet klart bevis for en skadelig virkning af længerevarende eksposition for </w:t>
      </w:r>
      <w:proofErr w:type="spellStart"/>
      <w:r w:rsidRPr="00F32462">
        <w:rPr>
          <w:sz w:val="24"/>
          <w:szCs w:val="24"/>
          <w:lang w:val="da-DK"/>
        </w:rPr>
        <w:t>ambrisentan</w:t>
      </w:r>
      <w:proofErr w:type="spellEnd"/>
      <w:r w:rsidRPr="00F32462">
        <w:rPr>
          <w:sz w:val="24"/>
          <w:szCs w:val="24"/>
          <w:lang w:val="da-DK"/>
        </w:rPr>
        <w:t xml:space="preserve"> på sædtallet, men kronisk administration af </w:t>
      </w:r>
      <w:proofErr w:type="spellStart"/>
      <w:r w:rsidRPr="00F32462">
        <w:rPr>
          <w:sz w:val="24"/>
          <w:szCs w:val="24"/>
          <w:lang w:val="da-DK"/>
        </w:rPr>
        <w:t>ambrisentan</w:t>
      </w:r>
      <w:proofErr w:type="spellEnd"/>
      <w:r w:rsidRPr="00F32462">
        <w:rPr>
          <w:sz w:val="24"/>
          <w:szCs w:val="24"/>
          <w:lang w:val="da-DK"/>
        </w:rPr>
        <w:t xml:space="preserve"> blev sat i forbindelse med ændringer i markører for </w:t>
      </w:r>
      <w:proofErr w:type="spellStart"/>
      <w:r w:rsidRPr="00F32462">
        <w:rPr>
          <w:sz w:val="24"/>
          <w:szCs w:val="24"/>
          <w:lang w:val="da-DK"/>
        </w:rPr>
        <w:t>spermatogenese</w:t>
      </w:r>
      <w:proofErr w:type="spellEnd"/>
      <w:r w:rsidRPr="00F32462">
        <w:rPr>
          <w:sz w:val="24"/>
          <w:szCs w:val="24"/>
          <w:lang w:val="da-DK"/>
        </w:rPr>
        <w:t xml:space="preserve">. Et fald i plasmakoncentrationen af </w:t>
      </w:r>
      <w:proofErr w:type="spellStart"/>
      <w:r w:rsidRPr="00F32462">
        <w:rPr>
          <w:sz w:val="24"/>
          <w:szCs w:val="24"/>
          <w:lang w:val="da-DK"/>
        </w:rPr>
        <w:t>inhibin</w:t>
      </w:r>
      <w:proofErr w:type="spellEnd"/>
      <w:r w:rsidRPr="00F32462">
        <w:rPr>
          <w:sz w:val="24"/>
          <w:szCs w:val="24"/>
          <w:lang w:val="da-DK"/>
        </w:rPr>
        <w:t xml:space="preserve">-B og en øget plasmakoncentration af FSH blev observeret. Virkningen på fertiliteten hos mænd kendes ikke, men en ugunstig påvirkning af </w:t>
      </w:r>
      <w:proofErr w:type="spellStart"/>
      <w:r w:rsidRPr="00F32462">
        <w:rPr>
          <w:sz w:val="24"/>
          <w:szCs w:val="24"/>
          <w:lang w:val="da-DK"/>
        </w:rPr>
        <w:t>spermatogenesen</w:t>
      </w:r>
      <w:proofErr w:type="spellEnd"/>
      <w:r w:rsidRPr="00F32462">
        <w:rPr>
          <w:sz w:val="24"/>
          <w:szCs w:val="24"/>
          <w:lang w:val="da-DK"/>
        </w:rPr>
        <w:t xml:space="preserve"> kan ikke udelukkes. I kliniske studier er kronisk administration af </w:t>
      </w:r>
      <w:proofErr w:type="spellStart"/>
      <w:r w:rsidRPr="00F32462">
        <w:rPr>
          <w:sz w:val="24"/>
          <w:szCs w:val="24"/>
          <w:lang w:val="da-DK"/>
        </w:rPr>
        <w:t>ambrisentan</w:t>
      </w:r>
      <w:proofErr w:type="spellEnd"/>
      <w:r w:rsidRPr="00F32462">
        <w:rPr>
          <w:sz w:val="24"/>
          <w:szCs w:val="24"/>
          <w:lang w:val="da-DK"/>
        </w:rPr>
        <w:t xml:space="preserve"> ikke blevet forbundet med en ændring i plasma-testosteron.</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4.7</w:t>
      </w:r>
      <w:r w:rsidRPr="00F32462">
        <w:rPr>
          <w:b/>
          <w:sz w:val="24"/>
          <w:szCs w:val="24"/>
        </w:rPr>
        <w:tab/>
        <w:t>Virkninger på evnen til at føre motorkøretøj eller betjene maskiner</w:t>
      </w:r>
    </w:p>
    <w:p w:rsidR="00673CCD" w:rsidRDefault="00673CCD" w:rsidP="00673CCD">
      <w:pPr>
        <w:pStyle w:val="Brdtekst"/>
        <w:ind w:left="851" w:right="-1"/>
        <w:rPr>
          <w:sz w:val="24"/>
          <w:szCs w:val="24"/>
          <w:lang w:val="da-DK"/>
        </w:rPr>
      </w:pPr>
      <w:r>
        <w:rPr>
          <w:sz w:val="24"/>
          <w:szCs w:val="24"/>
          <w:lang w:val="da-DK"/>
        </w:rPr>
        <w:t>Ikke mærkning.</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påvirker i mindre til moderat grad evnen til at føre motorkøretøj og betjene maskiner. Patientens kliniske tilstand og </w:t>
      </w:r>
      <w:proofErr w:type="spellStart"/>
      <w:r w:rsidRPr="00F32462">
        <w:rPr>
          <w:sz w:val="24"/>
          <w:szCs w:val="24"/>
          <w:lang w:val="da-DK"/>
        </w:rPr>
        <w:t>ambrisentans</w:t>
      </w:r>
      <w:proofErr w:type="spellEnd"/>
      <w:r w:rsidRPr="00F32462">
        <w:rPr>
          <w:sz w:val="24"/>
          <w:szCs w:val="24"/>
          <w:lang w:val="da-DK"/>
        </w:rPr>
        <w:t xml:space="preserve"> bivirkningsprofil (såsom hypotension, svimmelhed, asteni og træthed) skal tages i betragtning ved vurdering af patientens evne til at udføre opgaver, der kræver dømmekraft, motoriske eller kognitive færdigheder (se pkt. 4.8). Patienten skal være klar over, hvordan de kan blive påvirket af </w:t>
      </w:r>
      <w:proofErr w:type="spellStart"/>
      <w:r w:rsidRPr="00F32462">
        <w:rPr>
          <w:sz w:val="24"/>
          <w:szCs w:val="24"/>
          <w:lang w:val="da-DK"/>
        </w:rPr>
        <w:t>ambrisentan</w:t>
      </w:r>
      <w:proofErr w:type="spellEnd"/>
      <w:r w:rsidRPr="00F32462">
        <w:rPr>
          <w:sz w:val="24"/>
          <w:szCs w:val="24"/>
          <w:lang w:val="da-DK"/>
        </w:rPr>
        <w:t>, før de kører bil og betjener maskiner.</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4.8</w:t>
      </w:r>
      <w:r w:rsidRPr="00F32462">
        <w:rPr>
          <w:b/>
          <w:sz w:val="24"/>
          <w:szCs w:val="24"/>
        </w:rPr>
        <w:tab/>
        <w:t>Bivirkninger</w:t>
      </w:r>
    </w:p>
    <w:p w:rsidR="00673CCD" w:rsidRDefault="00673CCD" w:rsidP="00673CCD">
      <w:pPr>
        <w:pStyle w:val="Brdtekst"/>
        <w:ind w:left="851" w:right="-1"/>
        <w:rPr>
          <w:sz w:val="24"/>
          <w:szCs w:val="24"/>
          <w:u w:val="single"/>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Sammendrag af sikkerhedsprofilen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Ambrisentans</w:t>
      </w:r>
      <w:proofErr w:type="spellEnd"/>
      <w:r w:rsidRPr="00F32462">
        <w:rPr>
          <w:sz w:val="24"/>
          <w:szCs w:val="24"/>
          <w:lang w:val="da-DK"/>
        </w:rPr>
        <w:t xml:space="preserve"> sikkerhed er undersøgt som monoterapi og/eller i kombination i kliniske studier med flere end 1.200 patienter med PAH (se pkt. 5.1). Bivirkningerne, som blev identificeret fra 12-ugers placebokontrollerede kliniske studiedata, er listet nedenfor efter systemorganklasse og hyppighed. Information fra længerevarende, ikke-placebo</w:t>
      </w:r>
      <w:r>
        <w:rPr>
          <w:sz w:val="24"/>
          <w:szCs w:val="24"/>
          <w:lang w:val="da-DK"/>
        </w:rPr>
        <w:softHyphen/>
      </w:r>
      <w:r w:rsidRPr="00F32462">
        <w:rPr>
          <w:sz w:val="24"/>
          <w:szCs w:val="24"/>
          <w:lang w:val="da-DK"/>
        </w:rPr>
        <w:t xml:space="preserve">kontrollerede studier (ARIES-E og AMBITION (kombination med </w:t>
      </w:r>
      <w:proofErr w:type="spellStart"/>
      <w:r w:rsidRPr="00F32462">
        <w:rPr>
          <w:sz w:val="24"/>
          <w:szCs w:val="24"/>
          <w:lang w:val="da-DK"/>
        </w:rPr>
        <w:t>tadalafil</w:t>
      </w:r>
      <w:proofErr w:type="spellEnd"/>
      <w:r w:rsidRPr="00F32462">
        <w:rPr>
          <w:sz w:val="24"/>
          <w:szCs w:val="24"/>
          <w:lang w:val="da-DK"/>
        </w:rPr>
        <w:t xml:space="preserve">)) er også inkluderet nedenfor. Ingen tidligere ukendte bivirkninger blev identificeret ved </w:t>
      </w:r>
      <w:r w:rsidRPr="00F32462">
        <w:rPr>
          <w:sz w:val="24"/>
          <w:szCs w:val="24"/>
          <w:lang w:val="da-DK"/>
        </w:rPr>
        <w:lastRenderedPageBreak/>
        <w:t xml:space="preserve">langtidsbehandling eller ved kombination af </w:t>
      </w:r>
      <w:proofErr w:type="spellStart"/>
      <w:r w:rsidRPr="00F32462">
        <w:rPr>
          <w:sz w:val="24"/>
          <w:szCs w:val="24"/>
          <w:lang w:val="da-DK"/>
        </w:rPr>
        <w:t>ambrisentan</w:t>
      </w:r>
      <w:proofErr w:type="spellEnd"/>
      <w:r w:rsidRPr="00F32462">
        <w:rPr>
          <w:sz w:val="24"/>
          <w:szCs w:val="24"/>
          <w:lang w:val="da-DK"/>
        </w:rPr>
        <w:t xml:space="preserve"> med </w:t>
      </w:r>
      <w:proofErr w:type="spellStart"/>
      <w:r w:rsidRPr="00F32462">
        <w:rPr>
          <w:sz w:val="24"/>
          <w:szCs w:val="24"/>
          <w:lang w:val="da-DK"/>
        </w:rPr>
        <w:t>tadalafil</w:t>
      </w:r>
      <w:proofErr w:type="spellEnd"/>
      <w:r w:rsidRPr="00F32462">
        <w:rPr>
          <w:sz w:val="24"/>
          <w:szCs w:val="24"/>
          <w:lang w:val="da-DK"/>
        </w:rPr>
        <w:t>. Ved længere tids observation i ukontrollerede studier (middelobservation på 79 uger) svarede sikkerhedsprofilen til den, der blev set i korttidsstudierne. Data fra rutinemæssig lægemiddelovervågning er også medtaget.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 hyppigste bivirkninger, der blev observeret med </w:t>
      </w:r>
      <w:proofErr w:type="spellStart"/>
      <w:r w:rsidRPr="00F32462">
        <w:rPr>
          <w:sz w:val="24"/>
          <w:szCs w:val="24"/>
          <w:lang w:val="da-DK"/>
        </w:rPr>
        <w:t>ambrisentan</w:t>
      </w:r>
      <w:proofErr w:type="spellEnd"/>
      <w:r w:rsidRPr="00F32462">
        <w:rPr>
          <w:sz w:val="24"/>
          <w:szCs w:val="24"/>
          <w:lang w:val="da-DK"/>
        </w:rPr>
        <w:t>, var perifert ødem, væskeretention og hovedpine (inkl. sinushovedpine, migræne). Den høje dosis (10 mg) var associeret med en højere bivirkningshyppighed, og perifere ødemer havde tendens til at være mere alvorlige hos patienter ≥ 65 år i kliniske studier af kort varighed (se pkt. 4.4).</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Liste over bivirkninger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Hyppigheden defineres som: Meget almindelig (≥ 1/10), almindelig (≥ 1/100 til &lt; 1/10), ikke almindelig (≥ 1/1.000 til &lt; 1/100), sjælden (≥ 1/10.000 til &lt; 1/1.000), meget sjælden (&lt; 1/10.000) og ikke kendt (kan ikke estimeres ud fra forhåndenværende data). For dosisrelaterede bivirkninger afspejler hyppighedskategorien den høje dosis af </w:t>
      </w:r>
      <w:proofErr w:type="spellStart"/>
      <w:r w:rsidRPr="00F32462">
        <w:rPr>
          <w:sz w:val="24"/>
          <w:szCs w:val="24"/>
          <w:lang w:val="da-DK"/>
        </w:rPr>
        <w:t>ambrisentan</w:t>
      </w:r>
      <w:proofErr w:type="spellEnd"/>
      <w:r w:rsidRPr="00F32462">
        <w:rPr>
          <w:sz w:val="24"/>
          <w:szCs w:val="24"/>
          <w:lang w:val="da-DK"/>
        </w:rPr>
        <w:t xml:space="preserve">. Hyppighedskategorierne tager ikke højde for andre faktorer, såsom varierende studielængde, forud eksisterende tilstande og patientkarakteristika ved </w:t>
      </w:r>
      <w:r w:rsidRPr="00F32462">
        <w:rPr>
          <w:i/>
          <w:sz w:val="24"/>
          <w:szCs w:val="24"/>
          <w:lang w:val="da-DK"/>
        </w:rPr>
        <w:t>baseline</w:t>
      </w:r>
      <w:r w:rsidRPr="00F32462">
        <w:rPr>
          <w:sz w:val="24"/>
          <w:szCs w:val="24"/>
          <w:lang w:val="da-DK"/>
        </w:rPr>
        <w:t>. De bivirkningshyppigheder, der er baseret på erfaring fra kliniske studier, afspejler ikke nødvendigvis den hyppighed, der ses i normal klinisk praksis. Inden for hver hyppighedsgruppe er bivirkningerne opstillet efter, hvor alvorlige de er med de mest alvorlige først.</w:t>
      </w:r>
    </w:p>
    <w:p w:rsidR="00673CCD" w:rsidRPr="00F32462" w:rsidRDefault="00673CCD" w:rsidP="00673CCD">
      <w:pPr>
        <w:pStyle w:val="Brdtekst"/>
        <w:ind w:right="-1"/>
        <w:rPr>
          <w:sz w:val="24"/>
          <w:szCs w:val="24"/>
          <w:lang w:val="da-DK"/>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038"/>
        <w:gridCol w:w="2061"/>
        <w:gridCol w:w="133"/>
        <w:gridCol w:w="2059"/>
        <w:gridCol w:w="135"/>
        <w:gridCol w:w="2196"/>
      </w:tblGrid>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bCs/>
                <w:sz w:val="24"/>
                <w:szCs w:val="24"/>
                <w:lang w:val="da-DK"/>
              </w:rPr>
            </w:pP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Cs/>
                <w:sz w:val="24"/>
                <w:szCs w:val="24"/>
                <w:lang w:val="da-DK"/>
              </w:rPr>
            </w:pPr>
            <w:proofErr w:type="spellStart"/>
            <w:r w:rsidRPr="00F32462">
              <w:rPr>
                <w:rFonts w:ascii="Times New Roman" w:hAnsi="Times New Roman" w:cs="Times New Roman"/>
                <w:bCs/>
                <w:sz w:val="24"/>
                <w:szCs w:val="24"/>
                <w:lang w:val="da-DK"/>
              </w:rPr>
              <w:t>Ambrisentan</w:t>
            </w:r>
            <w:proofErr w:type="spellEnd"/>
          </w:p>
          <w:p w:rsidR="00673CCD" w:rsidRPr="00F32462" w:rsidRDefault="00673CCD" w:rsidP="003B4BCE">
            <w:pPr>
              <w:pStyle w:val="TableParagraph"/>
              <w:spacing w:before="0"/>
              <w:ind w:left="134" w:right="-1"/>
              <w:rPr>
                <w:rFonts w:ascii="Times New Roman" w:hAnsi="Times New Roman" w:cs="Times New Roman"/>
                <w:bCs/>
                <w:sz w:val="24"/>
                <w:szCs w:val="24"/>
                <w:lang w:val="da-DK"/>
              </w:rPr>
            </w:pPr>
            <w:r w:rsidRPr="00F32462">
              <w:rPr>
                <w:rFonts w:ascii="Times New Roman" w:hAnsi="Times New Roman" w:cs="Times New Roman"/>
                <w:bCs/>
                <w:sz w:val="24"/>
                <w:szCs w:val="24"/>
                <w:lang w:val="da-DK"/>
              </w:rPr>
              <w:t>(ARIES-C og post-marketing)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Cs/>
                <w:sz w:val="24"/>
                <w:szCs w:val="24"/>
                <w:lang w:val="da-DK"/>
              </w:rPr>
            </w:pPr>
            <w:proofErr w:type="spellStart"/>
            <w:r w:rsidRPr="00F32462">
              <w:rPr>
                <w:rFonts w:ascii="Times New Roman" w:hAnsi="Times New Roman" w:cs="Times New Roman"/>
                <w:bCs/>
                <w:sz w:val="24"/>
                <w:szCs w:val="24"/>
                <w:lang w:val="da-DK"/>
              </w:rPr>
              <w:t>Ambrisentan</w:t>
            </w:r>
            <w:proofErr w:type="spellEnd"/>
            <w:r w:rsidRPr="00F32462">
              <w:rPr>
                <w:rFonts w:ascii="Times New Roman" w:hAnsi="Times New Roman" w:cs="Times New Roman"/>
                <w:bCs/>
                <w:sz w:val="24"/>
                <w:szCs w:val="24"/>
                <w:lang w:val="da-DK"/>
              </w:rPr>
              <w:t xml:space="preserve"> (AMBITION og ARIES-E)</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Cs/>
                <w:sz w:val="24"/>
                <w:szCs w:val="24"/>
                <w:lang w:val="da-DK"/>
              </w:rPr>
            </w:pPr>
            <w:r w:rsidRPr="00F32462">
              <w:rPr>
                <w:rFonts w:ascii="Times New Roman" w:hAnsi="Times New Roman" w:cs="Times New Roman"/>
                <w:bCs/>
                <w:sz w:val="24"/>
                <w:szCs w:val="24"/>
                <w:lang w:val="da-DK"/>
              </w:rPr>
              <w:t xml:space="preserve">Kombination med </w:t>
            </w:r>
            <w:proofErr w:type="spellStart"/>
            <w:r w:rsidRPr="00F32462">
              <w:rPr>
                <w:rFonts w:ascii="Times New Roman" w:hAnsi="Times New Roman" w:cs="Times New Roman"/>
                <w:bCs/>
                <w:sz w:val="24"/>
                <w:szCs w:val="24"/>
                <w:lang w:val="da-DK"/>
              </w:rPr>
              <w:t>tadalafil</w:t>
            </w:r>
            <w:proofErr w:type="spellEnd"/>
            <w:r w:rsidRPr="00F32462">
              <w:rPr>
                <w:rFonts w:ascii="Times New Roman" w:hAnsi="Times New Roman" w:cs="Times New Roman"/>
                <w:bCs/>
                <w:sz w:val="24"/>
                <w:szCs w:val="24"/>
                <w:lang w:val="da-DK"/>
              </w:rPr>
              <w:t xml:space="preserve"> </w:t>
            </w:r>
          </w:p>
          <w:p w:rsidR="00673CCD" w:rsidRPr="00F32462" w:rsidRDefault="00673CCD" w:rsidP="003B4BCE">
            <w:pPr>
              <w:pStyle w:val="TableParagraph"/>
              <w:spacing w:before="0"/>
              <w:ind w:left="134" w:right="-1"/>
              <w:rPr>
                <w:rFonts w:ascii="Times New Roman" w:hAnsi="Times New Roman" w:cs="Times New Roman"/>
                <w:bCs/>
                <w:sz w:val="24"/>
                <w:szCs w:val="24"/>
                <w:lang w:val="da-DK"/>
              </w:rPr>
            </w:pPr>
            <w:r w:rsidRPr="00F32462">
              <w:rPr>
                <w:rFonts w:ascii="Times New Roman" w:hAnsi="Times New Roman" w:cs="Times New Roman"/>
                <w:bCs/>
                <w:sz w:val="24"/>
                <w:szCs w:val="24"/>
                <w:lang w:val="da-DK"/>
              </w:rPr>
              <w:t>(AMBITION)</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Blod og lymfesystem</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Anæmi (nedsat hæmoglobin, nedsat hæmatokrit)</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5C581E">
              <w:rPr>
                <w:rFonts w:ascii="Times New Roman" w:hAnsi="Times New Roman" w:cs="Times New Roman"/>
                <w:sz w:val="24"/>
                <w:szCs w:val="24"/>
                <w:vertAlign w:val="superscript"/>
                <w:lang w:val="da-DK"/>
              </w:rPr>
              <w:t>1</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4"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3421" w:type="pct"/>
            <w:gridSpan w:val="5"/>
            <w:tcBorders>
              <w:top w:val="single" w:sz="6" w:space="0" w:color="000000"/>
              <w:left w:val="single" w:sz="4"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Immunsystemet</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 xml:space="preserve">Overfølsomhedsreaktioner (f.eks. </w:t>
            </w:r>
            <w:proofErr w:type="spellStart"/>
            <w:r w:rsidRPr="00F32462">
              <w:rPr>
                <w:rFonts w:ascii="Times New Roman" w:hAnsi="Times New Roman" w:cs="Times New Roman"/>
                <w:sz w:val="24"/>
                <w:szCs w:val="24"/>
                <w:lang w:val="da-DK"/>
              </w:rPr>
              <w:t>angioødem</w:t>
            </w:r>
            <w:proofErr w:type="spellEnd"/>
            <w:r w:rsidRPr="00F32462">
              <w:rPr>
                <w:rFonts w:ascii="Times New Roman" w:hAnsi="Times New Roman" w:cs="Times New Roman"/>
                <w:sz w:val="24"/>
                <w:szCs w:val="24"/>
                <w:lang w:val="da-DK"/>
              </w:rPr>
              <w:t>, udslæt, kløe)</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almindelig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Nervesystemet</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Hovedpine (inkl. sinushovedpine, migræne)</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r w:rsidRPr="005C581E">
              <w:rPr>
                <w:rFonts w:ascii="Times New Roman" w:hAnsi="Times New Roman" w:cs="Times New Roman"/>
                <w:sz w:val="24"/>
                <w:szCs w:val="24"/>
                <w:vertAlign w:val="superscript"/>
                <w:lang w:val="da-DK"/>
              </w:rPr>
              <w:t>2</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Svimmelhed</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5C581E">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Øjne</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Sløret syn, nedsat syn</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kendt</w:t>
            </w:r>
            <w:r w:rsidRPr="007B7991">
              <w:rPr>
                <w:rFonts w:ascii="Times New Roman" w:hAnsi="Times New Roman" w:cs="Times New Roman"/>
                <w:sz w:val="24"/>
                <w:szCs w:val="24"/>
                <w:vertAlign w:val="superscript"/>
                <w:lang w:val="da-DK"/>
              </w:rPr>
              <w:t>4</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Øre og labyrint</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Tinnitus</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Pludseligt høretab</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pStyle w:val="TableParagraph"/>
              <w:spacing w:before="0"/>
              <w:ind w:left="134" w:right="-1"/>
              <w:rPr>
                <w:rFonts w:ascii="Times New Roman" w:hAnsi="Times New Roman" w:cs="Times New Roman"/>
                <w:sz w:val="24"/>
                <w:szCs w:val="24"/>
                <w:lang w:val="da-DK"/>
              </w:rPr>
            </w:pPr>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pStyle w:val="TableParagraph"/>
              <w:spacing w:before="0"/>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pStyle w:val="TableParagraph"/>
              <w:spacing w:before="0"/>
              <w:ind w:left="134" w:right="-1"/>
              <w:rPr>
                <w:rFonts w:ascii="Times New Roman" w:hAnsi="Times New Roman" w:cs="Times New Roman"/>
                <w:sz w:val="24"/>
                <w:szCs w:val="24"/>
                <w:lang w:val="da-DK"/>
              </w:rPr>
            </w:pPr>
          </w:p>
        </w:tc>
        <w:tc>
          <w:tcPr>
            <w:tcW w:w="1211"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pStyle w:val="TableParagraph"/>
              <w:spacing w:before="0"/>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Hjerte</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Hjerteinsufficiens</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5</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Palpitationer</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proofErr w:type="spellStart"/>
            <w:r w:rsidRPr="00F32462">
              <w:rPr>
                <w:rFonts w:ascii="Times New Roman" w:hAnsi="Times New Roman" w:cs="Times New Roman"/>
                <w:b/>
                <w:bCs/>
                <w:i/>
                <w:sz w:val="24"/>
                <w:szCs w:val="24"/>
                <w:lang w:val="da-DK"/>
              </w:rPr>
              <w:t>Vaskulære</w:t>
            </w:r>
            <w:proofErr w:type="spellEnd"/>
            <w:r w:rsidRPr="00F32462">
              <w:rPr>
                <w:rFonts w:ascii="Times New Roman" w:hAnsi="Times New Roman" w:cs="Times New Roman"/>
                <w:b/>
                <w:bCs/>
                <w:i/>
                <w:sz w:val="24"/>
                <w:szCs w:val="24"/>
                <w:lang w:val="da-DK"/>
              </w:rPr>
              <w:t xml:space="preserve"> sygdomme</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Hypotension</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i/>
                <w:sz w:val="24"/>
                <w:szCs w:val="24"/>
                <w:lang w:val="da-DK"/>
              </w:rPr>
            </w:pPr>
            <w:proofErr w:type="spellStart"/>
            <w:r w:rsidRPr="00F32462">
              <w:rPr>
                <w:rFonts w:ascii="Times New Roman" w:hAnsi="Times New Roman" w:cs="Times New Roman"/>
                <w:i/>
                <w:sz w:val="24"/>
                <w:szCs w:val="24"/>
                <w:lang w:val="da-DK"/>
              </w:rPr>
              <w:t>Flushing</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Synkope</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almindelig</w:t>
            </w:r>
            <w:r w:rsidRPr="003769AA">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 xml:space="preserve">Luftveje, thorax og </w:t>
            </w:r>
            <w:proofErr w:type="spellStart"/>
            <w:r w:rsidRPr="00F32462">
              <w:rPr>
                <w:rFonts w:ascii="Times New Roman" w:hAnsi="Times New Roman" w:cs="Times New Roman"/>
                <w:b/>
                <w:bCs/>
                <w:i/>
                <w:sz w:val="24"/>
                <w:szCs w:val="24"/>
                <w:lang w:val="da-DK"/>
              </w:rPr>
              <w:t>mediastinum</w:t>
            </w:r>
            <w:proofErr w:type="spellEnd"/>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Epistaxis</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Dyspnø</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3, 6</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 xml:space="preserve">Kongestion i øvre luftveje (f.eks. næse, sinus), </w:t>
            </w:r>
            <w:proofErr w:type="spellStart"/>
            <w:r w:rsidRPr="00F32462">
              <w:rPr>
                <w:rFonts w:ascii="Times New Roman" w:hAnsi="Times New Roman" w:cs="Times New Roman"/>
                <w:sz w:val="24"/>
                <w:szCs w:val="24"/>
                <w:lang w:val="da-DK"/>
              </w:rPr>
              <w:t>sinuitis</w:t>
            </w:r>
            <w:proofErr w:type="spellEnd"/>
            <w:r w:rsidRPr="00F32462">
              <w:rPr>
                <w:rFonts w:ascii="Times New Roman" w:hAnsi="Times New Roman" w:cs="Times New Roman"/>
                <w:sz w:val="24"/>
                <w:szCs w:val="24"/>
                <w:lang w:val="da-DK"/>
              </w:rPr>
              <w:t xml:space="preserve">, </w:t>
            </w:r>
            <w:proofErr w:type="spellStart"/>
            <w:r w:rsidRPr="00F32462">
              <w:rPr>
                <w:rFonts w:ascii="Times New Roman" w:hAnsi="Times New Roman" w:cs="Times New Roman"/>
                <w:sz w:val="24"/>
                <w:szCs w:val="24"/>
                <w:lang w:val="da-DK"/>
              </w:rPr>
              <w:t>nasopharyngitis</w:t>
            </w:r>
            <w:proofErr w:type="spellEnd"/>
            <w:r w:rsidRPr="00F32462">
              <w:rPr>
                <w:rFonts w:ascii="Times New Roman" w:hAnsi="Times New Roman" w:cs="Times New Roman"/>
                <w:sz w:val="24"/>
                <w:szCs w:val="24"/>
                <w:lang w:val="da-DK"/>
              </w:rPr>
              <w:t xml:space="preserve">, </w:t>
            </w:r>
            <w:proofErr w:type="spellStart"/>
            <w:r w:rsidRPr="00F32462">
              <w:rPr>
                <w:rFonts w:ascii="Times New Roman" w:hAnsi="Times New Roman" w:cs="Times New Roman"/>
                <w:sz w:val="24"/>
                <w:szCs w:val="24"/>
                <w:lang w:val="da-DK"/>
              </w:rPr>
              <w:t>rhinitis</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Pr>
                <w:rFonts w:ascii="Times New Roman" w:hAnsi="Times New Roman" w:cs="Times New Roman"/>
                <w:sz w:val="24"/>
                <w:szCs w:val="24"/>
                <w:lang w:val="da-DK"/>
              </w:rPr>
              <w:t>7</w:t>
            </w:r>
          </w:p>
        </w:tc>
        <w:tc>
          <w:tcPr>
            <w:tcW w:w="1139"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211"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Nasopharyngitis</w:t>
            </w:r>
            <w:proofErr w:type="spellEnd"/>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Sinuitis</w:t>
            </w:r>
            <w:proofErr w:type="spellEnd"/>
            <w:r w:rsidRPr="00F32462">
              <w:rPr>
                <w:rFonts w:ascii="Times New Roman" w:hAnsi="Times New Roman" w:cs="Times New Roman"/>
                <w:sz w:val="24"/>
                <w:szCs w:val="24"/>
                <w:lang w:val="da-DK"/>
              </w:rPr>
              <w:t xml:space="preserve">, </w:t>
            </w:r>
            <w:proofErr w:type="spellStart"/>
            <w:r w:rsidRPr="00F32462">
              <w:rPr>
                <w:rFonts w:ascii="Times New Roman" w:hAnsi="Times New Roman" w:cs="Times New Roman"/>
                <w:sz w:val="24"/>
                <w:szCs w:val="24"/>
                <w:lang w:val="da-DK"/>
              </w:rPr>
              <w:t>rhinitis</w:t>
            </w:r>
            <w:proofErr w:type="spellEnd"/>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Nasal kongestion</w:t>
            </w:r>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Mave-tarm-kanalen</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Kvalme, opkastning, diarré</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211"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Kvalme</w:t>
            </w:r>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Opkastning</w:t>
            </w:r>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Diarré</w:t>
            </w:r>
          </w:p>
        </w:tc>
        <w:tc>
          <w:tcPr>
            <w:tcW w:w="1071" w:type="pct"/>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Abdominalsmerter</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Obstipation</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Lever og galdeveje</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Leverskade (se pkt. 4.4)</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almindelig</w:t>
            </w:r>
            <w:r w:rsidRPr="003769AA">
              <w:rPr>
                <w:rFonts w:ascii="Times New Roman" w:hAnsi="Times New Roman" w:cs="Times New Roman"/>
                <w:sz w:val="24"/>
                <w:szCs w:val="24"/>
                <w:vertAlign w:val="superscript"/>
                <w:lang w:val="da-DK"/>
              </w:rPr>
              <w:t>3, 8</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Autoimmun hepatitis (se pkt. 4.4)</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Ikke almindelig</w:t>
            </w:r>
            <w:r w:rsidRPr="003769AA">
              <w:rPr>
                <w:rFonts w:ascii="Times New Roman" w:hAnsi="Times New Roman" w:cs="Times New Roman"/>
                <w:sz w:val="24"/>
                <w:szCs w:val="24"/>
                <w:vertAlign w:val="superscript"/>
                <w:lang w:val="da-DK"/>
              </w:rPr>
              <w:t>3, 8</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Aminotransferasestigning</w:t>
            </w:r>
            <w:proofErr w:type="spellEnd"/>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Hud og subkutane væv</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Udslæt</w:t>
            </w:r>
          </w:p>
        </w:tc>
        <w:tc>
          <w:tcPr>
            <w:tcW w:w="107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IR</w:t>
            </w:r>
          </w:p>
        </w:tc>
        <w:tc>
          <w:tcPr>
            <w:tcW w:w="1139"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9</w:t>
            </w:r>
          </w:p>
        </w:tc>
        <w:tc>
          <w:tcPr>
            <w:tcW w:w="1211"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9</w:t>
            </w: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ind w:left="134" w:right="-1"/>
              <w:rPr>
                <w:rFonts w:ascii="Times New Roman" w:hAnsi="Times New Roman" w:cs="Times New Roman"/>
                <w:sz w:val="24"/>
                <w:szCs w:val="24"/>
                <w:lang w:val="da-DK"/>
              </w:rPr>
            </w:pPr>
          </w:p>
        </w:tc>
      </w:tr>
      <w:tr w:rsidR="00673CCD" w:rsidRPr="00F32462" w:rsidTr="003B4BCE">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b/>
                <w:bCs/>
                <w:i/>
                <w:sz w:val="24"/>
                <w:szCs w:val="24"/>
                <w:lang w:val="da-DK"/>
              </w:rPr>
            </w:pPr>
            <w:r w:rsidRPr="00F32462">
              <w:rPr>
                <w:rFonts w:ascii="Times New Roman" w:hAnsi="Times New Roman" w:cs="Times New Roman"/>
                <w:b/>
                <w:bCs/>
                <w:i/>
                <w:sz w:val="24"/>
                <w:szCs w:val="24"/>
                <w:lang w:val="da-DK"/>
              </w:rPr>
              <w:t>Almene symptomer og reaktioner på administrationsstedet</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Perifert ødem, væskeretention</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14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Smerter/ubehag i brystet</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4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Asteni</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c>
          <w:tcPr>
            <w:tcW w:w="114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p>
        </w:tc>
      </w:tr>
      <w:tr w:rsidR="00673CCD" w:rsidRPr="00F32462" w:rsidTr="003B4BCE">
        <w:trPr>
          <w:trHeight w:val="20"/>
        </w:trPr>
        <w:tc>
          <w:tcPr>
            <w:tcW w:w="1579"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Udmattelse</w:t>
            </w:r>
          </w:p>
        </w:tc>
        <w:tc>
          <w:tcPr>
            <w:tcW w:w="1140" w:type="pct"/>
            <w:gridSpan w:val="2"/>
            <w:tcBorders>
              <w:top w:val="single" w:sz="6" w:space="0" w:color="000000"/>
              <w:left w:val="single" w:sz="6" w:space="0" w:color="000000"/>
              <w:bottom w:val="single" w:sz="6" w:space="0" w:color="000000"/>
              <w:right w:val="single" w:sz="6" w:space="0" w:color="000000"/>
            </w:tcBorders>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Almindelig</w:t>
            </w:r>
            <w:r w:rsidRPr="003769AA">
              <w:rPr>
                <w:rFonts w:ascii="Times New Roman" w:hAnsi="Times New Roman" w:cs="Times New Roman"/>
                <w:sz w:val="24"/>
                <w:szCs w:val="24"/>
                <w:vertAlign w:val="superscript"/>
                <w:lang w:val="da-DK"/>
              </w:rPr>
              <w:t>3</w:t>
            </w:r>
          </w:p>
        </w:tc>
        <w:tc>
          <w:tcPr>
            <w:tcW w:w="1140" w:type="pct"/>
            <w:gridSpan w:val="2"/>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c>
          <w:tcPr>
            <w:tcW w:w="1141" w:type="pct"/>
            <w:tcBorders>
              <w:top w:val="single" w:sz="6" w:space="0" w:color="000000"/>
              <w:left w:val="single" w:sz="6" w:space="0" w:color="000000"/>
              <w:bottom w:val="single" w:sz="6" w:space="0" w:color="000000"/>
              <w:right w:val="single" w:sz="6" w:space="0" w:color="000000"/>
            </w:tcBorders>
            <w:hideMark/>
          </w:tcPr>
          <w:p w:rsidR="00673CCD" w:rsidRPr="00F32462" w:rsidRDefault="00673CCD" w:rsidP="003B4BCE">
            <w:pPr>
              <w:pStyle w:val="TableParagraph"/>
              <w:spacing w:before="0"/>
              <w:ind w:left="134" w:right="-1"/>
              <w:rPr>
                <w:rFonts w:ascii="Times New Roman" w:hAnsi="Times New Roman" w:cs="Times New Roman"/>
                <w:sz w:val="24"/>
                <w:szCs w:val="24"/>
                <w:lang w:val="da-DK"/>
              </w:rPr>
            </w:pPr>
            <w:r w:rsidRPr="00F32462">
              <w:rPr>
                <w:rFonts w:ascii="Times New Roman" w:hAnsi="Times New Roman" w:cs="Times New Roman"/>
                <w:sz w:val="24"/>
                <w:szCs w:val="24"/>
                <w:lang w:val="da-DK"/>
              </w:rPr>
              <w:t>Meget almindelig</w:t>
            </w:r>
          </w:p>
        </w:tc>
      </w:tr>
    </w:tbl>
    <w:p w:rsidR="00673CCD" w:rsidRDefault="00673CCD" w:rsidP="00673CCD">
      <w:pPr>
        <w:pStyle w:val="Brdtekst"/>
        <w:ind w:right="-1"/>
        <w:rPr>
          <w:sz w:val="24"/>
          <w:szCs w:val="24"/>
          <w:lang w:val="da-DK"/>
        </w:rPr>
      </w:pPr>
      <w:r w:rsidRPr="00F32462">
        <w:rPr>
          <w:sz w:val="24"/>
          <w:szCs w:val="24"/>
          <w:lang w:val="da-DK"/>
        </w:rPr>
        <w:t>IR – ikke rapporteret</w:t>
      </w:r>
    </w:p>
    <w:p w:rsidR="00673CCD" w:rsidRDefault="00673CCD" w:rsidP="00673CCD">
      <w:pPr>
        <w:pStyle w:val="Brdtekst"/>
        <w:ind w:right="-1"/>
        <w:rPr>
          <w:sz w:val="24"/>
          <w:szCs w:val="24"/>
          <w:lang w:val="da-DK"/>
        </w:rPr>
      </w:pPr>
      <w:r w:rsidRPr="003769AA">
        <w:rPr>
          <w:sz w:val="24"/>
          <w:szCs w:val="24"/>
          <w:vertAlign w:val="superscript"/>
          <w:lang w:val="da-DK"/>
        </w:rPr>
        <w:t>1</w:t>
      </w:r>
      <w:r>
        <w:rPr>
          <w:sz w:val="24"/>
          <w:szCs w:val="24"/>
          <w:lang w:val="da-DK"/>
        </w:rPr>
        <w:t xml:space="preserve"> </w:t>
      </w:r>
      <w:r w:rsidRPr="003769AA">
        <w:rPr>
          <w:sz w:val="24"/>
          <w:szCs w:val="24"/>
          <w:lang w:val="da-DK"/>
        </w:rPr>
        <w:t>Se afsnittet ”</w:t>
      </w:r>
      <w:r w:rsidRPr="003769AA">
        <w:rPr>
          <w:i/>
          <w:sz w:val="24"/>
          <w:szCs w:val="24"/>
          <w:lang w:val="da-DK"/>
        </w:rPr>
        <w:t>Beskrivelse af udvalgte bivirkninger</w:t>
      </w:r>
      <w:r w:rsidRPr="003769AA">
        <w:rPr>
          <w:sz w:val="24"/>
          <w:szCs w:val="24"/>
          <w:lang w:val="da-DK"/>
        </w:rPr>
        <w:t>”.</w:t>
      </w:r>
    </w:p>
    <w:p w:rsidR="00673CCD" w:rsidRDefault="00673CCD" w:rsidP="00673CCD">
      <w:pPr>
        <w:pStyle w:val="Brdtekst"/>
        <w:ind w:right="-1"/>
        <w:rPr>
          <w:sz w:val="24"/>
          <w:szCs w:val="24"/>
          <w:lang w:val="da-DK"/>
        </w:rPr>
      </w:pPr>
      <w:r w:rsidRPr="003769AA">
        <w:rPr>
          <w:sz w:val="24"/>
          <w:szCs w:val="24"/>
          <w:vertAlign w:val="superscript"/>
          <w:lang w:val="da-DK"/>
        </w:rPr>
        <w:t>2</w:t>
      </w:r>
      <w:r>
        <w:rPr>
          <w:sz w:val="24"/>
          <w:szCs w:val="24"/>
          <w:lang w:val="da-DK"/>
        </w:rPr>
        <w:t xml:space="preserve"> </w:t>
      </w:r>
      <w:r w:rsidRPr="00F32462">
        <w:rPr>
          <w:sz w:val="24"/>
          <w:szCs w:val="24"/>
          <w:lang w:val="da-DK"/>
        </w:rPr>
        <w:t xml:space="preserve">Hyppigheden af hovedpine var højere med 10 mg </w:t>
      </w:r>
      <w:proofErr w:type="spellStart"/>
      <w:r w:rsidRPr="00F32462">
        <w:rPr>
          <w:sz w:val="24"/>
          <w:szCs w:val="24"/>
          <w:lang w:val="da-DK"/>
        </w:rPr>
        <w:t>ambrisentan</w:t>
      </w:r>
      <w:proofErr w:type="spellEnd"/>
      <w:r w:rsidRPr="00F32462">
        <w:rPr>
          <w:sz w:val="24"/>
          <w:szCs w:val="24"/>
          <w:lang w:val="da-DK"/>
        </w:rPr>
        <w:t>.</w:t>
      </w:r>
    </w:p>
    <w:p w:rsidR="00673CCD" w:rsidRDefault="00673CCD" w:rsidP="00673CCD">
      <w:pPr>
        <w:pStyle w:val="Brdtekst"/>
        <w:ind w:right="-1"/>
        <w:rPr>
          <w:sz w:val="24"/>
          <w:szCs w:val="24"/>
          <w:lang w:val="da-DK"/>
        </w:rPr>
      </w:pPr>
      <w:r w:rsidRPr="003769AA">
        <w:rPr>
          <w:sz w:val="24"/>
          <w:szCs w:val="24"/>
          <w:vertAlign w:val="superscript"/>
          <w:lang w:val="da-DK"/>
        </w:rPr>
        <w:t>3</w:t>
      </w:r>
      <w:r>
        <w:rPr>
          <w:sz w:val="24"/>
          <w:szCs w:val="24"/>
          <w:lang w:val="da-DK"/>
        </w:rPr>
        <w:t xml:space="preserve"> </w:t>
      </w:r>
      <w:r w:rsidRPr="00F32462">
        <w:rPr>
          <w:sz w:val="24"/>
          <w:szCs w:val="24"/>
          <w:lang w:val="da-DK"/>
        </w:rPr>
        <w:t>Data fra rutinemæssig lægemiddelovervågning: hyppighederne er baseret på erfaringer fra placebokontrollerede kliniske studier.</w:t>
      </w:r>
    </w:p>
    <w:p w:rsidR="00673CCD" w:rsidRDefault="00673CCD" w:rsidP="00673CCD">
      <w:pPr>
        <w:pStyle w:val="Brdtekst"/>
        <w:ind w:right="-1"/>
        <w:rPr>
          <w:sz w:val="24"/>
          <w:szCs w:val="24"/>
          <w:lang w:val="da-DK"/>
        </w:rPr>
      </w:pPr>
      <w:r w:rsidRPr="003769AA">
        <w:rPr>
          <w:sz w:val="24"/>
          <w:szCs w:val="24"/>
          <w:vertAlign w:val="superscript"/>
          <w:lang w:val="da-DK"/>
        </w:rPr>
        <w:t>4</w:t>
      </w:r>
      <w:r>
        <w:rPr>
          <w:sz w:val="24"/>
          <w:szCs w:val="24"/>
          <w:lang w:val="da-DK"/>
        </w:rPr>
        <w:t xml:space="preserve"> </w:t>
      </w:r>
      <w:r w:rsidRPr="00F32462">
        <w:rPr>
          <w:sz w:val="24"/>
          <w:szCs w:val="24"/>
          <w:lang w:val="da-DK"/>
        </w:rPr>
        <w:t>Data fra rutinemæssig lægemiddelovervågning.</w:t>
      </w:r>
    </w:p>
    <w:p w:rsidR="00673CCD" w:rsidRDefault="00673CCD" w:rsidP="00673CCD">
      <w:pPr>
        <w:pStyle w:val="Brdtekst"/>
        <w:ind w:right="-1"/>
        <w:rPr>
          <w:sz w:val="24"/>
          <w:szCs w:val="24"/>
          <w:lang w:val="da-DK"/>
        </w:rPr>
      </w:pPr>
      <w:r w:rsidRPr="003769AA">
        <w:rPr>
          <w:sz w:val="24"/>
          <w:szCs w:val="24"/>
          <w:vertAlign w:val="superscript"/>
          <w:lang w:val="da-DK"/>
        </w:rPr>
        <w:t>5</w:t>
      </w:r>
      <w:r>
        <w:rPr>
          <w:sz w:val="24"/>
          <w:szCs w:val="24"/>
          <w:lang w:val="da-DK"/>
        </w:rPr>
        <w:t xml:space="preserve"> </w:t>
      </w:r>
      <w:r w:rsidRPr="00F32462">
        <w:rPr>
          <w:sz w:val="24"/>
          <w:szCs w:val="24"/>
          <w:lang w:val="da-DK"/>
        </w:rPr>
        <w:t>De fleste tilfælde af hjerteinsufficiens var forbundet med væskeretention. Data kommer fra rutinemæssig lægemiddelovervågning, hyppighederne er baseret på statistisk modellering af data fra placebokontrollerede kliniske studier.</w:t>
      </w:r>
    </w:p>
    <w:p w:rsidR="00673CCD" w:rsidRDefault="00673CCD" w:rsidP="00673CCD">
      <w:pPr>
        <w:pStyle w:val="Brdtekst"/>
        <w:ind w:right="-1"/>
        <w:rPr>
          <w:sz w:val="24"/>
          <w:szCs w:val="24"/>
          <w:lang w:val="da-DK"/>
        </w:rPr>
      </w:pPr>
      <w:r w:rsidRPr="003769AA">
        <w:rPr>
          <w:sz w:val="24"/>
          <w:szCs w:val="24"/>
          <w:vertAlign w:val="superscript"/>
          <w:lang w:val="da-DK"/>
        </w:rPr>
        <w:t>6</w:t>
      </w:r>
      <w:r>
        <w:rPr>
          <w:sz w:val="24"/>
          <w:szCs w:val="24"/>
          <w:lang w:val="da-DK"/>
        </w:rPr>
        <w:t xml:space="preserve"> </w:t>
      </w:r>
      <w:r w:rsidRPr="00F32462">
        <w:rPr>
          <w:sz w:val="24"/>
          <w:szCs w:val="24"/>
          <w:lang w:val="da-DK"/>
        </w:rPr>
        <w:t xml:space="preserve">Tilfælde af forværret dyspnø af ukendt ætiologi er set kort efter behandlingsstart med </w:t>
      </w:r>
      <w:proofErr w:type="spellStart"/>
      <w:r w:rsidRPr="00F32462">
        <w:rPr>
          <w:sz w:val="24"/>
          <w:szCs w:val="24"/>
          <w:lang w:val="da-DK"/>
        </w:rPr>
        <w:t>ambrisentan</w:t>
      </w:r>
      <w:proofErr w:type="spellEnd"/>
      <w:r w:rsidRPr="00F32462">
        <w:rPr>
          <w:sz w:val="24"/>
          <w:szCs w:val="24"/>
          <w:lang w:val="da-DK"/>
        </w:rPr>
        <w:t>.</w:t>
      </w:r>
    </w:p>
    <w:p w:rsidR="00673CCD" w:rsidRDefault="00673CCD" w:rsidP="00673CCD">
      <w:pPr>
        <w:pStyle w:val="Brdtekst"/>
        <w:ind w:right="-1"/>
        <w:rPr>
          <w:sz w:val="24"/>
          <w:szCs w:val="24"/>
          <w:lang w:val="da-DK"/>
        </w:rPr>
      </w:pPr>
      <w:r w:rsidRPr="003769AA">
        <w:rPr>
          <w:sz w:val="24"/>
          <w:szCs w:val="24"/>
          <w:vertAlign w:val="superscript"/>
          <w:lang w:val="da-DK"/>
        </w:rPr>
        <w:t>7</w:t>
      </w:r>
      <w:r>
        <w:rPr>
          <w:sz w:val="24"/>
          <w:szCs w:val="24"/>
          <w:lang w:val="da-DK"/>
        </w:rPr>
        <w:t xml:space="preserve"> </w:t>
      </w:r>
      <w:r w:rsidRPr="00F32462">
        <w:rPr>
          <w:sz w:val="24"/>
          <w:szCs w:val="24"/>
          <w:lang w:val="da-DK"/>
        </w:rPr>
        <w:t xml:space="preserve">Hyppigheden af tilstoppet næse under behandling med </w:t>
      </w:r>
      <w:proofErr w:type="spellStart"/>
      <w:r w:rsidRPr="00F32462">
        <w:rPr>
          <w:sz w:val="24"/>
          <w:szCs w:val="24"/>
          <w:lang w:val="da-DK"/>
        </w:rPr>
        <w:t>ambrisentan</w:t>
      </w:r>
      <w:proofErr w:type="spellEnd"/>
      <w:r w:rsidRPr="00F32462">
        <w:rPr>
          <w:sz w:val="24"/>
          <w:szCs w:val="24"/>
          <w:lang w:val="da-DK"/>
        </w:rPr>
        <w:t xml:space="preserve"> var dosisafhængig.</w:t>
      </w:r>
    </w:p>
    <w:p w:rsidR="00673CCD" w:rsidRDefault="00673CCD" w:rsidP="00673CCD">
      <w:pPr>
        <w:pStyle w:val="Brdtekst"/>
        <w:ind w:right="-1"/>
        <w:rPr>
          <w:sz w:val="24"/>
          <w:szCs w:val="24"/>
          <w:lang w:val="da-DK"/>
        </w:rPr>
      </w:pPr>
      <w:r w:rsidRPr="003769AA">
        <w:rPr>
          <w:sz w:val="24"/>
          <w:szCs w:val="24"/>
          <w:vertAlign w:val="superscript"/>
          <w:lang w:val="da-DK"/>
        </w:rPr>
        <w:lastRenderedPageBreak/>
        <w:t>8</w:t>
      </w:r>
      <w:r>
        <w:rPr>
          <w:sz w:val="24"/>
          <w:szCs w:val="24"/>
          <w:lang w:val="da-DK"/>
        </w:rPr>
        <w:t xml:space="preserve"> </w:t>
      </w:r>
      <w:r w:rsidRPr="00F32462">
        <w:rPr>
          <w:sz w:val="24"/>
          <w:szCs w:val="24"/>
          <w:lang w:val="da-DK"/>
        </w:rPr>
        <w:t xml:space="preserve">Tilfælde af autoimmun hepatitis, inklusive tilfælde af </w:t>
      </w:r>
      <w:proofErr w:type="spellStart"/>
      <w:r w:rsidRPr="00F32462">
        <w:rPr>
          <w:sz w:val="24"/>
          <w:szCs w:val="24"/>
          <w:lang w:val="da-DK"/>
        </w:rPr>
        <w:t>eksacerbation</w:t>
      </w:r>
      <w:proofErr w:type="spellEnd"/>
      <w:r w:rsidRPr="00F32462">
        <w:rPr>
          <w:sz w:val="24"/>
          <w:szCs w:val="24"/>
          <w:lang w:val="da-DK"/>
        </w:rPr>
        <w:t xml:space="preserve"> af autoimmun hepatitis, og leverskade er set under behandling med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right="-1"/>
        <w:rPr>
          <w:sz w:val="24"/>
          <w:szCs w:val="24"/>
          <w:lang w:val="da-DK"/>
        </w:rPr>
      </w:pPr>
      <w:r w:rsidRPr="003769AA">
        <w:rPr>
          <w:sz w:val="24"/>
          <w:szCs w:val="24"/>
          <w:vertAlign w:val="superscript"/>
          <w:lang w:val="da-DK"/>
        </w:rPr>
        <w:t>9</w:t>
      </w:r>
      <w:r>
        <w:rPr>
          <w:sz w:val="24"/>
          <w:szCs w:val="24"/>
          <w:lang w:val="da-DK"/>
        </w:rPr>
        <w:t xml:space="preserve"> </w:t>
      </w:r>
      <w:r w:rsidRPr="00F32462">
        <w:rPr>
          <w:sz w:val="24"/>
          <w:szCs w:val="24"/>
          <w:lang w:val="da-DK"/>
        </w:rPr>
        <w:t xml:space="preserve">Udslæt inkluderer </w:t>
      </w:r>
      <w:proofErr w:type="spellStart"/>
      <w:r w:rsidRPr="00F32462">
        <w:rPr>
          <w:sz w:val="24"/>
          <w:szCs w:val="24"/>
          <w:lang w:val="da-DK"/>
        </w:rPr>
        <w:t>erytematøst</w:t>
      </w:r>
      <w:proofErr w:type="spellEnd"/>
      <w:r w:rsidRPr="00F32462">
        <w:rPr>
          <w:sz w:val="24"/>
          <w:szCs w:val="24"/>
          <w:lang w:val="da-DK"/>
        </w:rPr>
        <w:t xml:space="preserve"> udslæt, generaliseret udslæt, papuløst udslæt og kløende udslæt.</w:t>
      </w:r>
    </w:p>
    <w:p w:rsidR="00673CCD" w:rsidRPr="00F32462" w:rsidRDefault="00673CCD" w:rsidP="00673CCD">
      <w:pPr>
        <w:pStyle w:val="Brdtekst"/>
        <w:ind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Beskrivelse af udvalgte bivirkninger</w:t>
      </w:r>
    </w:p>
    <w:p w:rsidR="00673CCD" w:rsidRPr="00F32462" w:rsidRDefault="00673CCD" w:rsidP="00673CCD">
      <w:pPr>
        <w:ind w:left="851" w:right="-1"/>
        <w:rPr>
          <w:i/>
          <w:sz w:val="24"/>
          <w:szCs w:val="24"/>
          <w:u w:val="single"/>
        </w:rPr>
      </w:pPr>
      <w:r w:rsidRPr="00F32462">
        <w:rPr>
          <w:i/>
          <w:sz w:val="24"/>
          <w:szCs w:val="24"/>
          <w:u w:val="single"/>
        </w:rPr>
        <w:t xml:space="preserve">Lavt hæmoglobin </w:t>
      </w:r>
    </w:p>
    <w:p w:rsidR="00673CCD" w:rsidRPr="00F32462" w:rsidRDefault="00673CCD" w:rsidP="00673CCD">
      <w:pPr>
        <w:pStyle w:val="Brdtekst"/>
        <w:ind w:left="851" w:right="-1"/>
        <w:rPr>
          <w:sz w:val="24"/>
          <w:szCs w:val="24"/>
          <w:lang w:val="da-DK"/>
        </w:rPr>
      </w:pPr>
      <w:r w:rsidRPr="00F32462">
        <w:rPr>
          <w:sz w:val="24"/>
          <w:szCs w:val="24"/>
          <w:lang w:val="da-DK"/>
        </w:rPr>
        <w:t xml:space="preserve">I postmarketing-perioden er der rapporteret tilfælde af transfusionskrævende anæmi (se pkt. 4.4). Forekomsten af lavt hæmoglobin (anæmi) var højere med 10 mg </w:t>
      </w:r>
      <w:proofErr w:type="spellStart"/>
      <w:r w:rsidRPr="00F32462">
        <w:rPr>
          <w:sz w:val="24"/>
          <w:szCs w:val="24"/>
          <w:lang w:val="da-DK"/>
        </w:rPr>
        <w:t>ambrisentan</w:t>
      </w:r>
      <w:proofErr w:type="spellEnd"/>
      <w:r w:rsidRPr="00F32462">
        <w:rPr>
          <w:sz w:val="24"/>
          <w:szCs w:val="24"/>
          <w:lang w:val="da-DK"/>
        </w:rPr>
        <w:t xml:space="preserve">. Igennem de 12-ugers placebokontrollerede kliniske fase 3-studier faldt middelhæmoglobinkoncentrationerne hos patienterne i </w:t>
      </w:r>
      <w:proofErr w:type="spellStart"/>
      <w:r w:rsidRPr="00F32462">
        <w:rPr>
          <w:sz w:val="24"/>
          <w:szCs w:val="24"/>
          <w:lang w:val="da-DK"/>
        </w:rPr>
        <w:t>ambrisentan</w:t>
      </w:r>
      <w:proofErr w:type="spellEnd"/>
      <w:r w:rsidRPr="00F32462">
        <w:rPr>
          <w:sz w:val="24"/>
          <w:szCs w:val="24"/>
          <w:lang w:val="da-DK"/>
        </w:rPr>
        <w:t xml:space="preserve">-grupperne. Faldene blev fundet så tidligt som i uge 4 (fald på 0,83 g/dl). Middelændringerne i forhold til </w:t>
      </w:r>
      <w:r w:rsidRPr="00F32462">
        <w:rPr>
          <w:i/>
          <w:sz w:val="24"/>
          <w:szCs w:val="24"/>
          <w:lang w:val="da-DK"/>
        </w:rPr>
        <w:t xml:space="preserve">baseline </w:t>
      </w:r>
      <w:r w:rsidRPr="00F32462">
        <w:rPr>
          <w:sz w:val="24"/>
          <w:szCs w:val="24"/>
          <w:lang w:val="da-DK"/>
        </w:rPr>
        <w:t xml:space="preserve">så ud til at stabiliseres i løbet af de efterfølgende 8 uger. I alt 17 patienter (6,5 %) i </w:t>
      </w:r>
      <w:proofErr w:type="spellStart"/>
      <w:r w:rsidRPr="00F32462">
        <w:rPr>
          <w:sz w:val="24"/>
          <w:szCs w:val="24"/>
          <w:lang w:val="da-DK"/>
        </w:rPr>
        <w:t>ambrisentan</w:t>
      </w:r>
      <w:proofErr w:type="spellEnd"/>
      <w:r w:rsidRPr="00F32462">
        <w:rPr>
          <w:sz w:val="24"/>
          <w:szCs w:val="24"/>
          <w:lang w:val="da-DK"/>
        </w:rPr>
        <w:t xml:space="preserve">-gruppen havde et fald i hæmoglobin, som var ≥ 15 % i forhold til </w:t>
      </w:r>
      <w:r w:rsidRPr="00F32462">
        <w:rPr>
          <w:i/>
          <w:sz w:val="24"/>
          <w:szCs w:val="24"/>
          <w:lang w:val="da-DK"/>
        </w:rPr>
        <w:t xml:space="preserve">baseline, </w:t>
      </w:r>
      <w:r w:rsidRPr="00F32462">
        <w:rPr>
          <w:sz w:val="24"/>
          <w:szCs w:val="24"/>
          <w:lang w:val="da-DK"/>
        </w:rPr>
        <w:t>og som faldt til under normalgrænsen.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Indberetning af formodede bivirkninger</w:t>
      </w:r>
    </w:p>
    <w:p w:rsidR="00673CCD" w:rsidRPr="00F32462" w:rsidRDefault="00673CCD" w:rsidP="00673CCD">
      <w:pPr>
        <w:pStyle w:val="Brdtekst"/>
        <w:ind w:left="851" w:right="-1"/>
        <w:rPr>
          <w:sz w:val="24"/>
          <w:szCs w:val="24"/>
          <w:lang w:val="da-DK"/>
        </w:rPr>
      </w:pPr>
      <w:r w:rsidRPr="00F32462">
        <w:rPr>
          <w:sz w:val="24"/>
          <w:szCs w:val="24"/>
          <w:lang w:val="da-DK"/>
        </w:rPr>
        <w:t>Når lægemidlet er godkendt, er indberetning af formodede bivirkninger vigtig. Det muliggør løbende overvågning af benefit/</w:t>
      </w:r>
      <w:proofErr w:type="spellStart"/>
      <w:r w:rsidRPr="00F32462">
        <w:rPr>
          <w:sz w:val="24"/>
          <w:szCs w:val="24"/>
          <w:lang w:val="da-DK"/>
        </w:rPr>
        <w:t>risk</w:t>
      </w:r>
      <w:proofErr w:type="spellEnd"/>
      <w:r w:rsidRPr="00F32462">
        <w:rPr>
          <w:sz w:val="24"/>
          <w:szCs w:val="24"/>
          <w:lang w:val="da-DK"/>
        </w:rPr>
        <w:t>-forholdet for lægemidlet. Læger og sundhedspersonale anmodes om at indberette alle formodede bivirkninger via:</w:t>
      </w:r>
    </w:p>
    <w:p w:rsidR="00673CCD" w:rsidRPr="00F32462" w:rsidRDefault="00673CCD" w:rsidP="00673CCD">
      <w:pPr>
        <w:pStyle w:val="Brdtekst"/>
        <w:ind w:left="851" w:right="-1"/>
        <w:rPr>
          <w:sz w:val="24"/>
          <w:szCs w:val="24"/>
          <w:lang w:val="da-DK"/>
        </w:rPr>
      </w:pPr>
      <w:r w:rsidRPr="00F32462">
        <w:rPr>
          <w:sz w:val="24"/>
          <w:szCs w:val="24"/>
          <w:lang w:val="da-DK"/>
        </w:rPr>
        <w:t>Lægemiddelstyrelsen</w:t>
      </w:r>
    </w:p>
    <w:p w:rsidR="00673CCD" w:rsidRPr="00F32462" w:rsidRDefault="00673CCD" w:rsidP="00673CCD">
      <w:pPr>
        <w:pStyle w:val="Brdtekst"/>
        <w:ind w:left="851" w:right="-1"/>
        <w:rPr>
          <w:sz w:val="24"/>
          <w:szCs w:val="24"/>
          <w:lang w:val="da-DK"/>
        </w:rPr>
      </w:pPr>
      <w:r w:rsidRPr="00F32462">
        <w:rPr>
          <w:sz w:val="24"/>
          <w:szCs w:val="24"/>
          <w:lang w:val="da-DK"/>
        </w:rPr>
        <w:t>Axel Heides Gade 1</w:t>
      </w:r>
    </w:p>
    <w:p w:rsidR="00673CCD" w:rsidRPr="00F32462" w:rsidRDefault="00673CCD" w:rsidP="00673CCD">
      <w:pPr>
        <w:pStyle w:val="Brdtekst"/>
        <w:ind w:left="851" w:right="-1"/>
        <w:rPr>
          <w:sz w:val="24"/>
          <w:szCs w:val="24"/>
          <w:lang w:val="da-DK"/>
        </w:rPr>
      </w:pPr>
      <w:r w:rsidRPr="00F32462">
        <w:rPr>
          <w:sz w:val="24"/>
          <w:szCs w:val="24"/>
          <w:lang w:val="da-DK"/>
        </w:rPr>
        <w:t>DK-2300 København S</w:t>
      </w:r>
    </w:p>
    <w:p w:rsidR="00673CCD" w:rsidRPr="00F32462" w:rsidRDefault="00673CCD" w:rsidP="00673CCD">
      <w:pPr>
        <w:pStyle w:val="Brdtekst"/>
        <w:ind w:left="851" w:right="-1"/>
        <w:rPr>
          <w:sz w:val="24"/>
          <w:szCs w:val="24"/>
          <w:lang w:val="da-DK"/>
        </w:rPr>
      </w:pPr>
      <w:r w:rsidRPr="00F32462">
        <w:rPr>
          <w:sz w:val="24"/>
          <w:szCs w:val="24"/>
          <w:lang w:val="da-DK"/>
        </w:rPr>
        <w:t>Websted: www.meldenbivirkning.dk</w:t>
      </w:r>
    </w:p>
    <w:p w:rsidR="00673CCD" w:rsidRPr="00F32462" w:rsidRDefault="00673CCD" w:rsidP="00673CCD">
      <w:pPr>
        <w:pStyle w:val="Sidehoved"/>
        <w:tabs>
          <w:tab w:val="left" w:pos="851"/>
        </w:tabs>
        <w:ind w:left="851" w:right="-1"/>
        <w:rPr>
          <w:szCs w:val="24"/>
        </w:rPr>
      </w:pPr>
    </w:p>
    <w:p w:rsidR="00673CCD" w:rsidRPr="00F32462" w:rsidRDefault="00673CCD" w:rsidP="00673CCD">
      <w:pPr>
        <w:tabs>
          <w:tab w:val="left" w:pos="851"/>
        </w:tabs>
        <w:ind w:left="851" w:right="-1" w:hanging="851"/>
        <w:rPr>
          <w:b/>
          <w:sz w:val="24"/>
          <w:szCs w:val="24"/>
        </w:rPr>
      </w:pPr>
      <w:r w:rsidRPr="00F32462">
        <w:rPr>
          <w:b/>
          <w:sz w:val="24"/>
          <w:szCs w:val="24"/>
        </w:rPr>
        <w:t>4.9</w:t>
      </w:r>
      <w:r w:rsidRPr="00F32462">
        <w:rPr>
          <w:b/>
          <w:sz w:val="24"/>
          <w:szCs w:val="24"/>
        </w:rPr>
        <w:tab/>
        <w:t>Overdosering</w:t>
      </w:r>
    </w:p>
    <w:p w:rsidR="00673CCD" w:rsidRPr="00F32462" w:rsidRDefault="00673CCD" w:rsidP="00673CCD">
      <w:pPr>
        <w:pStyle w:val="Brdtekst"/>
        <w:ind w:left="851" w:right="-1"/>
        <w:rPr>
          <w:sz w:val="24"/>
          <w:szCs w:val="24"/>
          <w:lang w:val="da-DK"/>
        </w:rPr>
      </w:pPr>
      <w:r w:rsidRPr="00F32462">
        <w:rPr>
          <w:sz w:val="24"/>
          <w:szCs w:val="24"/>
          <w:lang w:val="da-DK"/>
        </w:rPr>
        <w:t xml:space="preserve">Der er ingen erfaring med </w:t>
      </w:r>
      <w:proofErr w:type="spellStart"/>
      <w:r w:rsidRPr="00F32462">
        <w:rPr>
          <w:sz w:val="24"/>
          <w:szCs w:val="24"/>
          <w:lang w:val="da-DK"/>
        </w:rPr>
        <w:t>ambrisentan</w:t>
      </w:r>
      <w:proofErr w:type="spellEnd"/>
      <w:r w:rsidRPr="00F32462">
        <w:rPr>
          <w:sz w:val="24"/>
          <w:szCs w:val="24"/>
          <w:lang w:val="da-DK"/>
        </w:rPr>
        <w:t xml:space="preserve"> i større doser end 10 mg/dag til PAH-patienter. Hos raske frivillige blev der i forbindelse med enkeltdoser på 50 og 100 mg (5-10 gange den maksimalt anbefalede dosis) set hovedpine, rødmen, svimmelhed, kvalme og tilstopning af næsen.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På grund af virkningsmekanismen kan en overdosis af </w:t>
      </w:r>
      <w:proofErr w:type="spellStart"/>
      <w:r w:rsidRPr="00F32462">
        <w:rPr>
          <w:sz w:val="24"/>
          <w:szCs w:val="24"/>
          <w:lang w:val="da-DK"/>
        </w:rPr>
        <w:t>ambrisentan</w:t>
      </w:r>
      <w:proofErr w:type="spellEnd"/>
      <w:r w:rsidRPr="00F32462">
        <w:rPr>
          <w:sz w:val="24"/>
          <w:szCs w:val="24"/>
          <w:lang w:val="da-DK"/>
        </w:rPr>
        <w:t xml:space="preserve"> resultere i hypotension (se pkt. 5.3). I tilfælde af udtalt hypotension kan det være nødvendigt med aktiv </w:t>
      </w:r>
      <w:proofErr w:type="spellStart"/>
      <w:r w:rsidRPr="00F32462">
        <w:rPr>
          <w:sz w:val="24"/>
          <w:szCs w:val="24"/>
          <w:lang w:val="da-DK"/>
        </w:rPr>
        <w:t>hjertekarstøtte</w:t>
      </w:r>
      <w:proofErr w:type="spellEnd"/>
      <w:r w:rsidRPr="00F32462">
        <w:rPr>
          <w:sz w:val="24"/>
          <w:szCs w:val="24"/>
          <w:lang w:val="da-DK"/>
        </w:rPr>
        <w:t xml:space="preserve">. Der findes ingen specifik </w:t>
      </w:r>
      <w:proofErr w:type="spellStart"/>
      <w:r w:rsidRPr="00F32462">
        <w:rPr>
          <w:sz w:val="24"/>
          <w:szCs w:val="24"/>
          <w:lang w:val="da-DK"/>
        </w:rPr>
        <w:t>antidot</w:t>
      </w:r>
      <w:proofErr w:type="spellEnd"/>
      <w:r w:rsidRPr="00F32462">
        <w:rPr>
          <w:sz w:val="24"/>
          <w:szCs w:val="24"/>
          <w:lang w:val="da-DK"/>
        </w:rPr>
        <w:t>.</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4.10</w:t>
      </w:r>
      <w:r w:rsidRPr="00F32462">
        <w:rPr>
          <w:b/>
          <w:sz w:val="24"/>
          <w:szCs w:val="24"/>
        </w:rPr>
        <w:tab/>
        <w:t>Udlevering</w:t>
      </w:r>
    </w:p>
    <w:p w:rsidR="00673CCD" w:rsidRPr="00F32462" w:rsidRDefault="00673CCD" w:rsidP="00673CCD">
      <w:pPr>
        <w:tabs>
          <w:tab w:val="left" w:pos="851"/>
        </w:tabs>
        <w:ind w:left="851" w:right="-1"/>
        <w:rPr>
          <w:sz w:val="24"/>
          <w:szCs w:val="24"/>
        </w:rPr>
      </w:pPr>
      <w:r w:rsidRPr="00F32462">
        <w:rPr>
          <w:sz w:val="24"/>
          <w:szCs w:val="24"/>
        </w:rPr>
        <w:t>BEGR - kun til sygehuse</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5.</w:t>
      </w:r>
      <w:r w:rsidRPr="00F32462">
        <w:rPr>
          <w:b/>
          <w:sz w:val="24"/>
          <w:szCs w:val="24"/>
        </w:rPr>
        <w:tab/>
        <w:t>FARMAKOLOGISKE EGENSKABER</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5.0</w:t>
      </w:r>
      <w:r w:rsidRPr="00F32462">
        <w:rPr>
          <w:b/>
          <w:sz w:val="24"/>
          <w:szCs w:val="24"/>
        </w:rPr>
        <w:tab/>
        <w:t>Terapeutisk klassifikation</w:t>
      </w:r>
    </w:p>
    <w:p w:rsidR="00673CCD" w:rsidRPr="00B81FB0" w:rsidRDefault="00673CCD" w:rsidP="00673CCD">
      <w:pPr>
        <w:pStyle w:val="Brdtekst"/>
        <w:ind w:right="-1" w:firstLine="851"/>
        <w:rPr>
          <w:sz w:val="24"/>
          <w:szCs w:val="24"/>
          <w:u w:val="single"/>
          <w:lang w:val="da-DK"/>
        </w:rPr>
      </w:pPr>
      <w:r w:rsidRPr="00B81FB0">
        <w:rPr>
          <w:sz w:val="24"/>
          <w:szCs w:val="24"/>
          <w:lang w:val="da-DK"/>
        </w:rPr>
        <w:t xml:space="preserve">ATC-kode: C 02 KX 02. </w:t>
      </w:r>
      <w:proofErr w:type="spellStart"/>
      <w:r w:rsidRPr="00B81FB0">
        <w:rPr>
          <w:sz w:val="24"/>
          <w:szCs w:val="24"/>
          <w:lang w:val="da-DK"/>
        </w:rPr>
        <w:t>Antihypertensiva</w:t>
      </w:r>
      <w:proofErr w:type="spellEnd"/>
      <w:r w:rsidRPr="00B81FB0">
        <w:rPr>
          <w:sz w:val="24"/>
          <w:szCs w:val="24"/>
          <w:lang w:val="da-DK"/>
        </w:rPr>
        <w:t xml:space="preserve">, andre </w:t>
      </w:r>
      <w:proofErr w:type="spellStart"/>
      <w:r w:rsidRPr="00B81FB0">
        <w:rPr>
          <w:sz w:val="24"/>
          <w:szCs w:val="24"/>
          <w:lang w:val="da-DK"/>
        </w:rPr>
        <w:t>antihypertensiva</w:t>
      </w:r>
      <w:proofErr w:type="spellEnd"/>
      <w:r w:rsidRPr="00B81FB0">
        <w:rPr>
          <w:sz w:val="24"/>
          <w:szCs w:val="24"/>
          <w:lang w:val="da-DK"/>
        </w:rPr>
        <w:t>.</w:t>
      </w:r>
    </w:p>
    <w:p w:rsidR="00673CCD" w:rsidRPr="00B81FB0" w:rsidRDefault="00673CCD" w:rsidP="00673CCD">
      <w:pPr>
        <w:tabs>
          <w:tab w:val="left" w:pos="851"/>
        </w:tabs>
        <w:ind w:left="851" w:right="-1"/>
        <w:rPr>
          <w:sz w:val="24"/>
          <w:szCs w:val="24"/>
        </w:rPr>
      </w:pPr>
    </w:p>
    <w:p w:rsidR="00673CCD" w:rsidRPr="00F32462" w:rsidRDefault="00673CCD" w:rsidP="00673CCD">
      <w:pPr>
        <w:tabs>
          <w:tab w:val="num" w:pos="851"/>
        </w:tabs>
        <w:ind w:left="851" w:right="-1" w:hanging="851"/>
        <w:rPr>
          <w:b/>
          <w:sz w:val="24"/>
          <w:szCs w:val="24"/>
        </w:rPr>
      </w:pPr>
      <w:r w:rsidRPr="00F32462">
        <w:rPr>
          <w:b/>
          <w:sz w:val="24"/>
          <w:szCs w:val="24"/>
        </w:rPr>
        <w:t>5.1</w:t>
      </w:r>
      <w:r w:rsidRPr="00F32462">
        <w:rPr>
          <w:b/>
          <w:sz w:val="24"/>
          <w:szCs w:val="24"/>
        </w:rPr>
        <w:tab/>
      </w:r>
      <w:proofErr w:type="spellStart"/>
      <w:r w:rsidRPr="00F32462">
        <w:rPr>
          <w:b/>
          <w:sz w:val="24"/>
          <w:szCs w:val="24"/>
        </w:rPr>
        <w:t>Farmakodynamiske</w:t>
      </w:r>
      <w:proofErr w:type="spellEnd"/>
      <w:r w:rsidRPr="00F32462">
        <w:rPr>
          <w:b/>
          <w:sz w:val="24"/>
          <w:szCs w:val="24"/>
        </w:rPr>
        <w:t xml:space="preserve"> egenskaber</w:t>
      </w:r>
    </w:p>
    <w:p w:rsidR="00673CCD" w:rsidRPr="00F32462" w:rsidRDefault="00673CCD" w:rsidP="00673CCD">
      <w:pPr>
        <w:pStyle w:val="Brdtekst"/>
        <w:ind w:left="851" w:right="-1"/>
        <w:rPr>
          <w:sz w:val="24"/>
          <w:szCs w:val="24"/>
          <w:lang w:val="da-DK"/>
        </w:rPr>
      </w:pPr>
      <w:r w:rsidRPr="00F32462">
        <w:rPr>
          <w:sz w:val="24"/>
          <w:szCs w:val="24"/>
          <w:u w:val="single"/>
          <w:lang w:val="da-DK"/>
        </w:rPr>
        <w:t>Virkningsmekanisme</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en oralt aktivt ERA i </w:t>
      </w:r>
      <w:proofErr w:type="spellStart"/>
      <w:r w:rsidRPr="00F32462">
        <w:rPr>
          <w:sz w:val="24"/>
          <w:szCs w:val="24"/>
          <w:lang w:val="da-DK"/>
        </w:rPr>
        <w:t>propionsyreklassen</w:t>
      </w:r>
      <w:proofErr w:type="spellEnd"/>
      <w:r w:rsidRPr="00F32462">
        <w:rPr>
          <w:sz w:val="24"/>
          <w:szCs w:val="24"/>
          <w:lang w:val="da-DK"/>
        </w:rPr>
        <w:t xml:space="preserve">, som er selektiv for </w:t>
      </w:r>
      <w:proofErr w:type="spellStart"/>
      <w:r w:rsidRPr="00F32462">
        <w:rPr>
          <w:sz w:val="24"/>
          <w:szCs w:val="24"/>
          <w:lang w:val="da-DK"/>
        </w:rPr>
        <w:t>endotelin</w:t>
      </w:r>
      <w:proofErr w:type="spellEnd"/>
      <w:r w:rsidRPr="00F32462">
        <w:rPr>
          <w:sz w:val="24"/>
          <w:szCs w:val="24"/>
          <w:lang w:val="da-DK"/>
        </w:rPr>
        <w:t> A-receptoren (</w:t>
      </w:r>
      <w:bookmarkStart w:id="0" w:name="_Hlk17280020"/>
      <w:r w:rsidRPr="00F32462">
        <w:rPr>
          <w:sz w:val="24"/>
          <w:szCs w:val="24"/>
          <w:lang w:val="da-DK"/>
        </w:rPr>
        <w:t>ET</w:t>
      </w:r>
      <w:r w:rsidRPr="00F32462">
        <w:rPr>
          <w:sz w:val="24"/>
          <w:szCs w:val="24"/>
          <w:vertAlign w:val="subscript"/>
          <w:lang w:val="da-DK"/>
        </w:rPr>
        <w:t>A</w:t>
      </w:r>
      <w:bookmarkEnd w:id="0"/>
      <w:r w:rsidRPr="00F32462">
        <w:rPr>
          <w:sz w:val="24"/>
          <w:szCs w:val="24"/>
          <w:lang w:val="da-DK"/>
        </w:rPr>
        <w:t xml:space="preserve">). </w:t>
      </w:r>
      <w:proofErr w:type="spellStart"/>
      <w:r w:rsidRPr="00F32462">
        <w:rPr>
          <w:sz w:val="24"/>
          <w:szCs w:val="24"/>
          <w:lang w:val="da-DK"/>
        </w:rPr>
        <w:t>Endotelin</w:t>
      </w:r>
      <w:proofErr w:type="spellEnd"/>
      <w:r w:rsidRPr="00F32462">
        <w:rPr>
          <w:sz w:val="24"/>
          <w:szCs w:val="24"/>
          <w:lang w:val="da-DK"/>
        </w:rPr>
        <w:t xml:space="preserve"> spiller en signifikant rolle i </w:t>
      </w:r>
      <w:proofErr w:type="spellStart"/>
      <w:r w:rsidRPr="00F32462">
        <w:rPr>
          <w:sz w:val="24"/>
          <w:szCs w:val="24"/>
          <w:lang w:val="da-DK"/>
        </w:rPr>
        <w:t>patofysiologien</w:t>
      </w:r>
      <w:proofErr w:type="spellEnd"/>
      <w:r w:rsidRPr="00F32462">
        <w:rPr>
          <w:sz w:val="24"/>
          <w:szCs w:val="24"/>
          <w:lang w:val="da-DK"/>
        </w:rPr>
        <w:t xml:space="preserve"> for PAH.</w:t>
      </w:r>
    </w:p>
    <w:p w:rsidR="00673CCD" w:rsidRPr="00F32462" w:rsidRDefault="00673CCD" w:rsidP="00673CCD">
      <w:pPr>
        <w:pStyle w:val="Brdtekst"/>
        <w:ind w:left="851" w:right="-1"/>
        <w:rPr>
          <w:sz w:val="24"/>
          <w:szCs w:val="24"/>
          <w:lang w:val="da-DK"/>
        </w:rPr>
      </w:pPr>
    </w:p>
    <w:p w:rsidR="00673CCD" w:rsidRPr="00F32462" w:rsidRDefault="00673CCD" w:rsidP="00673CCD">
      <w:pPr>
        <w:pStyle w:val="Listeafsnit"/>
        <w:numPr>
          <w:ilvl w:val="0"/>
          <w:numId w:val="12"/>
        </w:numPr>
        <w:ind w:left="1276" w:right="-1" w:hanging="425"/>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en potent (Ki 0,016 </w:t>
      </w:r>
      <w:proofErr w:type="spellStart"/>
      <w:r w:rsidRPr="00F32462">
        <w:rPr>
          <w:sz w:val="24"/>
          <w:szCs w:val="24"/>
          <w:lang w:val="da-DK"/>
        </w:rPr>
        <w:t>nM</w:t>
      </w:r>
      <w:proofErr w:type="spellEnd"/>
      <w:r w:rsidRPr="00F32462">
        <w:rPr>
          <w:sz w:val="24"/>
          <w:szCs w:val="24"/>
          <w:lang w:val="da-DK"/>
        </w:rPr>
        <w:t>) og højselektiv ET</w:t>
      </w:r>
      <w:r w:rsidRPr="00F32462">
        <w:rPr>
          <w:sz w:val="24"/>
          <w:szCs w:val="24"/>
          <w:vertAlign w:val="subscript"/>
          <w:lang w:val="da-DK"/>
        </w:rPr>
        <w:t>A</w:t>
      </w:r>
      <w:r w:rsidRPr="00F32462">
        <w:rPr>
          <w:sz w:val="24"/>
          <w:szCs w:val="24"/>
          <w:lang w:val="da-DK"/>
        </w:rPr>
        <w:t>-antagonist (ca. 4.000 gange mere selektiv over for ET</w:t>
      </w:r>
      <w:r w:rsidRPr="00F32462">
        <w:rPr>
          <w:sz w:val="24"/>
          <w:szCs w:val="24"/>
          <w:vertAlign w:val="subscript"/>
          <w:lang w:val="da-DK"/>
        </w:rPr>
        <w:t>A</w:t>
      </w:r>
      <w:r w:rsidRPr="00F32462">
        <w:rPr>
          <w:position w:val="-1"/>
          <w:sz w:val="24"/>
          <w:szCs w:val="24"/>
          <w:lang w:val="da-DK"/>
        </w:rPr>
        <w:t xml:space="preserve"> </w:t>
      </w:r>
      <w:r w:rsidRPr="00F32462">
        <w:rPr>
          <w:sz w:val="24"/>
          <w:szCs w:val="24"/>
          <w:lang w:val="da-DK"/>
        </w:rPr>
        <w:t>end over for</w:t>
      </w:r>
      <w:r w:rsidRPr="00F32462">
        <w:rPr>
          <w:spacing w:val="-9"/>
          <w:sz w:val="24"/>
          <w:szCs w:val="24"/>
          <w:lang w:val="da-DK"/>
        </w:rPr>
        <w:t xml:space="preserve"> </w:t>
      </w:r>
      <w:r w:rsidRPr="00F32462">
        <w:rPr>
          <w:sz w:val="24"/>
          <w:szCs w:val="24"/>
          <w:lang w:val="da-DK"/>
        </w:rPr>
        <w:t>ET</w:t>
      </w:r>
      <w:r w:rsidRPr="00F32462">
        <w:rPr>
          <w:sz w:val="24"/>
          <w:szCs w:val="24"/>
          <w:vertAlign w:val="subscript"/>
          <w:lang w:val="da-DK"/>
        </w:rPr>
        <w:t>B</w:t>
      </w:r>
      <w:r w:rsidRPr="00F32462">
        <w:rPr>
          <w:sz w:val="24"/>
          <w:szCs w:val="24"/>
          <w:lang w:val="da-DK"/>
        </w:rPr>
        <w:t>).</w:t>
      </w:r>
    </w:p>
    <w:p w:rsidR="00673CCD" w:rsidRPr="00F32462" w:rsidRDefault="00673CCD" w:rsidP="00673CCD">
      <w:pPr>
        <w:pStyle w:val="Listeafsnit"/>
        <w:numPr>
          <w:ilvl w:val="0"/>
          <w:numId w:val="12"/>
        </w:numPr>
        <w:ind w:left="1276" w:right="-1" w:hanging="425"/>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blokerer ET</w:t>
      </w:r>
      <w:r w:rsidRPr="00F32462">
        <w:rPr>
          <w:position w:val="-1"/>
          <w:sz w:val="24"/>
          <w:szCs w:val="24"/>
          <w:vertAlign w:val="subscript"/>
          <w:lang w:val="da-DK"/>
        </w:rPr>
        <w:t>A</w:t>
      </w:r>
      <w:r w:rsidRPr="00F32462">
        <w:rPr>
          <w:sz w:val="24"/>
          <w:szCs w:val="24"/>
          <w:lang w:val="da-DK"/>
        </w:rPr>
        <w:t xml:space="preserve">-receptor-undertypen, som hovedsagelig findes på karrenes </w:t>
      </w:r>
      <w:r w:rsidRPr="00F32462">
        <w:rPr>
          <w:sz w:val="24"/>
          <w:szCs w:val="24"/>
          <w:lang w:val="da-DK"/>
        </w:rPr>
        <w:lastRenderedPageBreak/>
        <w:t xml:space="preserve">glatte muskelceller og på </w:t>
      </w:r>
      <w:proofErr w:type="spellStart"/>
      <w:r w:rsidRPr="00F32462">
        <w:rPr>
          <w:sz w:val="24"/>
          <w:szCs w:val="24"/>
          <w:lang w:val="da-DK"/>
        </w:rPr>
        <w:t>hjertemyocytter</w:t>
      </w:r>
      <w:proofErr w:type="spellEnd"/>
      <w:r w:rsidRPr="00F32462">
        <w:rPr>
          <w:sz w:val="24"/>
          <w:szCs w:val="24"/>
          <w:lang w:val="da-DK"/>
        </w:rPr>
        <w:t xml:space="preserve">. Blokeringen forhindrer </w:t>
      </w:r>
      <w:proofErr w:type="spellStart"/>
      <w:r w:rsidRPr="00F32462">
        <w:rPr>
          <w:sz w:val="24"/>
          <w:szCs w:val="24"/>
          <w:lang w:val="da-DK"/>
        </w:rPr>
        <w:t>endotelin</w:t>
      </w:r>
      <w:proofErr w:type="spellEnd"/>
      <w:r w:rsidRPr="00F32462">
        <w:rPr>
          <w:sz w:val="24"/>
          <w:szCs w:val="24"/>
          <w:lang w:val="da-DK"/>
        </w:rPr>
        <w:t>-medieret aktivering af ”</w:t>
      </w:r>
      <w:proofErr w:type="spellStart"/>
      <w:r w:rsidRPr="00F32462">
        <w:rPr>
          <w:i/>
          <w:sz w:val="24"/>
          <w:szCs w:val="24"/>
          <w:lang w:val="da-DK"/>
        </w:rPr>
        <w:t>second</w:t>
      </w:r>
      <w:proofErr w:type="spellEnd"/>
      <w:r w:rsidRPr="00F32462">
        <w:rPr>
          <w:i/>
          <w:sz w:val="24"/>
          <w:szCs w:val="24"/>
          <w:lang w:val="da-DK"/>
        </w:rPr>
        <w:t xml:space="preserve"> </w:t>
      </w:r>
      <w:proofErr w:type="spellStart"/>
      <w:r w:rsidRPr="00F32462">
        <w:rPr>
          <w:i/>
          <w:sz w:val="24"/>
          <w:szCs w:val="24"/>
          <w:lang w:val="da-DK"/>
        </w:rPr>
        <w:t>messenger</w:t>
      </w:r>
      <w:proofErr w:type="spellEnd"/>
      <w:r w:rsidRPr="00F32462">
        <w:rPr>
          <w:sz w:val="24"/>
          <w:szCs w:val="24"/>
          <w:lang w:val="da-DK"/>
        </w:rPr>
        <w:t xml:space="preserve">”-systemer, der ellers ville resultere i </w:t>
      </w:r>
      <w:proofErr w:type="spellStart"/>
      <w:r w:rsidRPr="00F32462">
        <w:rPr>
          <w:sz w:val="24"/>
          <w:szCs w:val="24"/>
          <w:lang w:val="da-DK"/>
        </w:rPr>
        <w:t>vasokonstriktion</w:t>
      </w:r>
      <w:proofErr w:type="spellEnd"/>
      <w:r w:rsidRPr="00F32462">
        <w:rPr>
          <w:sz w:val="24"/>
          <w:szCs w:val="24"/>
          <w:lang w:val="da-DK"/>
        </w:rPr>
        <w:t xml:space="preserve"> og </w:t>
      </w:r>
      <w:proofErr w:type="spellStart"/>
      <w:r w:rsidRPr="00F32462">
        <w:rPr>
          <w:sz w:val="24"/>
          <w:szCs w:val="24"/>
          <w:lang w:val="da-DK"/>
        </w:rPr>
        <w:t>proliferation</w:t>
      </w:r>
      <w:proofErr w:type="spellEnd"/>
      <w:r w:rsidRPr="00F32462">
        <w:rPr>
          <w:sz w:val="24"/>
          <w:szCs w:val="24"/>
          <w:lang w:val="da-DK"/>
        </w:rPr>
        <w:t xml:space="preserve"> af glatte</w:t>
      </w:r>
      <w:r w:rsidRPr="00F32462">
        <w:rPr>
          <w:spacing w:val="-4"/>
          <w:sz w:val="24"/>
          <w:szCs w:val="24"/>
          <w:lang w:val="da-DK"/>
        </w:rPr>
        <w:t xml:space="preserve"> </w:t>
      </w:r>
      <w:r w:rsidRPr="00F32462">
        <w:rPr>
          <w:sz w:val="24"/>
          <w:szCs w:val="24"/>
          <w:lang w:val="da-DK"/>
        </w:rPr>
        <w:t>muskelceller.</w:t>
      </w:r>
    </w:p>
    <w:p w:rsidR="00673CCD" w:rsidRPr="00F32462" w:rsidRDefault="00673CCD" w:rsidP="00673CCD">
      <w:pPr>
        <w:pStyle w:val="Listeafsnit"/>
        <w:numPr>
          <w:ilvl w:val="0"/>
          <w:numId w:val="12"/>
        </w:numPr>
        <w:ind w:left="1276" w:right="-1" w:hanging="425"/>
        <w:rPr>
          <w:sz w:val="24"/>
          <w:szCs w:val="24"/>
          <w:lang w:val="da-DK"/>
        </w:rPr>
      </w:pPr>
      <w:proofErr w:type="spellStart"/>
      <w:r w:rsidRPr="00F32462">
        <w:rPr>
          <w:sz w:val="24"/>
          <w:szCs w:val="24"/>
          <w:lang w:val="da-DK"/>
        </w:rPr>
        <w:t>Ambrisentans</w:t>
      </w:r>
      <w:proofErr w:type="spellEnd"/>
      <w:r w:rsidRPr="00F32462">
        <w:rPr>
          <w:sz w:val="24"/>
          <w:szCs w:val="24"/>
          <w:lang w:val="da-DK"/>
        </w:rPr>
        <w:t xml:space="preserve"> selektivitet over for ET</w:t>
      </w:r>
      <w:r w:rsidRPr="00F32462">
        <w:rPr>
          <w:position w:val="-1"/>
          <w:sz w:val="24"/>
          <w:szCs w:val="24"/>
          <w:vertAlign w:val="subscript"/>
          <w:lang w:val="da-DK"/>
        </w:rPr>
        <w:t>A</w:t>
      </w:r>
      <w:r w:rsidRPr="00F32462">
        <w:rPr>
          <w:sz w:val="24"/>
          <w:szCs w:val="24"/>
          <w:lang w:val="da-DK"/>
        </w:rPr>
        <w:t>-receptoren frem for ET</w:t>
      </w:r>
      <w:r w:rsidRPr="00F32462">
        <w:rPr>
          <w:sz w:val="24"/>
          <w:szCs w:val="24"/>
          <w:vertAlign w:val="subscript"/>
          <w:lang w:val="da-DK"/>
        </w:rPr>
        <w:t>B</w:t>
      </w:r>
      <w:r w:rsidRPr="00F32462">
        <w:rPr>
          <w:sz w:val="24"/>
          <w:szCs w:val="24"/>
          <w:lang w:val="da-DK"/>
        </w:rPr>
        <w:t>-receptoren forventes at medføre bevaret ET</w:t>
      </w:r>
      <w:r w:rsidRPr="00F32462">
        <w:rPr>
          <w:position w:val="-1"/>
          <w:sz w:val="24"/>
          <w:szCs w:val="24"/>
          <w:vertAlign w:val="subscript"/>
          <w:lang w:val="da-DK"/>
        </w:rPr>
        <w:t>B</w:t>
      </w:r>
      <w:r w:rsidRPr="00F32462">
        <w:rPr>
          <w:sz w:val="24"/>
          <w:szCs w:val="24"/>
          <w:lang w:val="da-DK"/>
        </w:rPr>
        <w:t xml:space="preserve">-receptor-medieret produktion af </w:t>
      </w:r>
      <w:proofErr w:type="spellStart"/>
      <w:r w:rsidRPr="00F32462">
        <w:rPr>
          <w:sz w:val="24"/>
          <w:szCs w:val="24"/>
          <w:lang w:val="da-DK"/>
        </w:rPr>
        <w:t>vasodilatatorerne</w:t>
      </w:r>
      <w:proofErr w:type="spellEnd"/>
      <w:r w:rsidRPr="00F32462">
        <w:rPr>
          <w:sz w:val="24"/>
          <w:szCs w:val="24"/>
          <w:lang w:val="da-DK"/>
        </w:rPr>
        <w:t xml:space="preserve"> nitrogenoxid og</w:t>
      </w:r>
      <w:r w:rsidRPr="00F32462">
        <w:rPr>
          <w:spacing w:val="-15"/>
          <w:sz w:val="24"/>
          <w:szCs w:val="24"/>
          <w:lang w:val="da-DK"/>
        </w:rPr>
        <w:t xml:space="preserve"> </w:t>
      </w:r>
      <w:proofErr w:type="spellStart"/>
      <w:r w:rsidRPr="00F32462">
        <w:rPr>
          <w:sz w:val="24"/>
          <w:szCs w:val="24"/>
          <w:lang w:val="da-DK"/>
        </w:rPr>
        <w:t>prostacyklin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Klinisk virkning og sikkerhed</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Der er gennemført to randomiserede, dobbeltblinde, placebokontrollerede, pivotale fase 3-multicenterstudier (ARIES-1 og -2). ARIES-1 omfattede 201 patienter og sammenlignede 5 mg og 10 mg </w:t>
      </w:r>
      <w:proofErr w:type="spellStart"/>
      <w:r w:rsidRPr="00F32462">
        <w:rPr>
          <w:sz w:val="24"/>
          <w:szCs w:val="24"/>
          <w:lang w:val="da-DK"/>
        </w:rPr>
        <w:t>ambrisentan</w:t>
      </w:r>
      <w:proofErr w:type="spellEnd"/>
      <w:r w:rsidRPr="00F32462">
        <w:rPr>
          <w:sz w:val="24"/>
          <w:szCs w:val="24"/>
          <w:lang w:val="da-DK"/>
        </w:rPr>
        <w:t xml:space="preserve"> med placebo. ARIES-2 omfattede 192 patienter og sammenlignede 2,5 mg og 5 mg </w:t>
      </w:r>
      <w:proofErr w:type="spellStart"/>
      <w:r w:rsidRPr="00F32462">
        <w:rPr>
          <w:sz w:val="24"/>
          <w:szCs w:val="24"/>
          <w:lang w:val="da-DK"/>
        </w:rPr>
        <w:t>ambrisentan</w:t>
      </w:r>
      <w:proofErr w:type="spellEnd"/>
      <w:r w:rsidRPr="00F32462">
        <w:rPr>
          <w:sz w:val="24"/>
          <w:szCs w:val="24"/>
          <w:lang w:val="da-DK"/>
        </w:rPr>
        <w:t xml:space="preserve"> med placebo. I begge studier blev </w:t>
      </w:r>
      <w:proofErr w:type="spellStart"/>
      <w:r w:rsidRPr="00F32462">
        <w:rPr>
          <w:sz w:val="24"/>
          <w:szCs w:val="24"/>
          <w:lang w:val="da-DK"/>
        </w:rPr>
        <w:t>ambrisentan</w:t>
      </w:r>
      <w:proofErr w:type="spellEnd"/>
      <w:r w:rsidRPr="00F32462">
        <w:rPr>
          <w:sz w:val="24"/>
          <w:szCs w:val="24"/>
          <w:lang w:val="da-DK"/>
        </w:rPr>
        <w:t xml:space="preserve"> tilføjet til patienternes støttende/bagvedliggende behandling, som kunne omfatte en kombination af </w:t>
      </w:r>
      <w:proofErr w:type="spellStart"/>
      <w:r w:rsidRPr="00F32462">
        <w:rPr>
          <w:sz w:val="24"/>
          <w:szCs w:val="24"/>
          <w:lang w:val="da-DK"/>
        </w:rPr>
        <w:t>digoxin</w:t>
      </w:r>
      <w:proofErr w:type="spellEnd"/>
      <w:r w:rsidRPr="00F32462">
        <w:rPr>
          <w:sz w:val="24"/>
          <w:szCs w:val="24"/>
          <w:lang w:val="da-DK"/>
        </w:rPr>
        <w:t xml:space="preserve">, </w:t>
      </w:r>
      <w:proofErr w:type="spellStart"/>
      <w:r w:rsidRPr="00F32462">
        <w:rPr>
          <w:sz w:val="24"/>
          <w:szCs w:val="24"/>
          <w:lang w:val="da-DK"/>
        </w:rPr>
        <w:t>antikoagulantia</w:t>
      </w:r>
      <w:proofErr w:type="spellEnd"/>
      <w:r w:rsidRPr="00F32462">
        <w:rPr>
          <w:sz w:val="24"/>
          <w:szCs w:val="24"/>
          <w:lang w:val="da-DK"/>
        </w:rPr>
        <w:t xml:space="preserve">, </w:t>
      </w:r>
      <w:proofErr w:type="spellStart"/>
      <w:r w:rsidRPr="00F32462">
        <w:rPr>
          <w:sz w:val="24"/>
          <w:szCs w:val="24"/>
          <w:lang w:val="da-DK"/>
        </w:rPr>
        <w:t>diuretika</w:t>
      </w:r>
      <w:proofErr w:type="spellEnd"/>
      <w:r w:rsidRPr="00F32462">
        <w:rPr>
          <w:sz w:val="24"/>
          <w:szCs w:val="24"/>
          <w:lang w:val="da-DK"/>
        </w:rPr>
        <w:t xml:space="preserve">, oxygen og </w:t>
      </w:r>
      <w:proofErr w:type="spellStart"/>
      <w:r w:rsidRPr="00F32462">
        <w:rPr>
          <w:sz w:val="24"/>
          <w:szCs w:val="24"/>
          <w:lang w:val="da-DK"/>
        </w:rPr>
        <w:t>vasodilatatorer</w:t>
      </w:r>
      <w:proofErr w:type="spellEnd"/>
      <w:r w:rsidRPr="00F32462">
        <w:rPr>
          <w:sz w:val="24"/>
          <w:szCs w:val="24"/>
          <w:lang w:val="da-DK"/>
        </w:rPr>
        <w:t xml:space="preserve"> (kalciumkanalblokkere, ACE-</w:t>
      </w:r>
      <w:proofErr w:type="spellStart"/>
      <w:r w:rsidRPr="00F32462">
        <w:rPr>
          <w:sz w:val="24"/>
          <w:szCs w:val="24"/>
          <w:lang w:val="da-DK"/>
        </w:rPr>
        <w:t>hæmmere</w:t>
      </w:r>
      <w:proofErr w:type="spellEnd"/>
      <w:r w:rsidRPr="00F32462">
        <w:rPr>
          <w:sz w:val="24"/>
          <w:szCs w:val="24"/>
          <w:lang w:val="da-DK"/>
        </w:rPr>
        <w:t xml:space="preserve">). De patienter, der indgik i studiet, havde IPAH eller PAH associeret med bindevævssygdom (PAH-CTD). Hovedparten af patienterne havde symptomer i WHO-funktionsklasse II (38,4 %) eller III (55,0 %). Patienter med forud eksisterende leversygdom (cirrose eller klinisk signifikant forhøjede </w:t>
      </w:r>
      <w:proofErr w:type="spellStart"/>
      <w:r w:rsidRPr="00F32462">
        <w:rPr>
          <w:sz w:val="24"/>
          <w:szCs w:val="24"/>
          <w:lang w:val="da-DK"/>
        </w:rPr>
        <w:t>aminotransferaser</w:t>
      </w:r>
      <w:proofErr w:type="spellEnd"/>
      <w:r w:rsidRPr="00F32462">
        <w:rPr>
          <w:sz w:val="24"/>
          <w:szCs w:val="24"/>
          <w:lang w:val="da-DK"/>
        </w:rPr>
        <w:t xml:space="preserve">) og patienter, som var i anden målrettet behandling for PAH (f.eks. </w:t>
      </w:r>
      <w:proofErr w:type="spellStart"/>
      <w:r w:rsidRPr="00F32462">
        <w:rPr>
          <w:sz w:val="24"/>
          <w:szCs w:val="24"/>
          <w:lang w:val="da-DK"/>
        </w:rPr>
        <w:t>prostanoider</w:t>
      </w:r>
      <w:proofErr w:type="spellEnd"/>
      <w:r w:rsidRPr="00F32462">
        <w:rPr>
          <w:sz w:val="24"/>
          <w:szCs w:val="24"/>
          <w:lang w:val="da-DK"/>
        </w:rPr>
        <w:t xml:space="preserve">), blev udelukket. </w:t>
      </w:r>
      <w:proofErr w:type="spellStart"/>
      <w:r w:rsidRPr="00F32462">
        <w:rPr>
          <w:sz w:val="24"/>
          <w:szCs w:val="24"/>
          <w:lang w:val="da-DK"/>
        </w:rPr>
        <w:t>Hæmodynamiske</w:t>
      </w:r>
      <w:proofErr w:type="spellEnd"/>
      <w:r w:rsidRPr="00F32462">
        <w:rPr>
          <w:sz w:val="24"/>
          <w:szCs w:val="24"/>
          <w:lang w:val="da-DK"/>
        </w:rPr>
        <w:t xml:space="preserve"> parametre blev ikke vurderet i disse studier.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For fase 3-studierne blev det primære endepunkt defineret som forbedring i funktionskapaciteten ved 6 minutters gang (6MWD) i forhold til </w:t>
      </w:r>
      <w:r w:rsidRPr="00F32462">
        <w:rPr>
          <w:i/>
          <w:sz w:val="24"/>
          <w:szCs w:val="24"/>
          <w:lang w:val="da-DK"/>
        </w:rPr>
        <w:t xml:space="preserve">baseline </w:t>
      </w:r>
      <w:r w:rsidRPr="00F32462">
        <w:rPr>
          <w:sz w:val="24"/>
          <w:szCs w:val="24"/>
          <w:lang w:val="da-DK"/>
        </w:rPr>
        <w:t xml:space="preserve">efter 12 ugers behandling. I begge studier resulterede behandling med </w:t>
      </w:r>
      <w:proofErr w:type="spellStart"/>
      <w:r w:rsidRPr="00F32462">
        <w:rPr>
          <w:sz w:val="24"/>
          <w:szCs w:val="24"/>
          <w:lang w:val="da-DK"/>
        </w:rPr>
        <w:t>ambrisentan</w:t>
      </w:r>
      <w:proofErr w:type="spellEnd"/>
      <w:r w:rsidRPr="00F32462">
        <w:rPr>
          <w:sz w:val="24"/>
          <w:szCs w:val="24"/>
          <w:lang w:val="da-DK"/>
        </w:rPr>
        <w:t>, uanset dosis, i en signifikant forbedring af 6MWD.</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For 5 mg-gruppen i ARIES-1 og -2 var den placebojusterede forbedring i middel-6MWD efter 12 uger henholdsvis 30,6 m (95 % CI: 2,9 til 58,3; p = 0,008) og 59,4 m (95 % CI: 29,6 til 89,3; p &lt; 0,001) sammenlignet med </w:t>
      </w:r>
      <w:r w:rsidRPr="00F32462">
        <w:rPr>
          <w:i/>
          <w:sz w:val="24"/>
          <w:szCs w:val="24"/>
          <w:lang w:val="da-DK"/>
        </w:rPr>
        <w:t>baseline</w:t>
      </w:r>
      <w:r w:rsidRPr="00F32462">
        <w:rPr>
          <w:sz w:val="24"/>
          <w:szCs w:val="24"/>
          <w:lang w:val="da-DK"/>
        </w:rPr>
        <w:t>. For 10 mg-gruppen i ARIES-1 var den placebojusterede forbedring i middel-6MWD efter 12 uger 51,4 m (95 % CI: 26,6 til 76,2; p &lt; 0,001).</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Der blev gennemført en præspecificeret kombinationsanalyse af fase 3-studierne (ARIES-C). Den placebojusterede middelforbedring i 6MWD var 44,6 m med 5 mg-dosen (95 % CI: 24,3 til 64,9; p &lt; 0,001) og 52,5 m med 10 mg-dosen (95 % CI: 28,8 til 76,2; p &lt; 0,001).</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ARIES-2 viste, at </w:t>
      </w:r>
      <w:proofErr w:type="spellStart"/>
      <w:r w:rsidRPr="00F32462">
        <w:rPr>
          <w:sz w:val="24"/>
          <w:szCs w:val="24"/>
          <w:lang w:val="da-DK"/>
        </w:rPr>
        <w:t>ambrisentan</w:t>
      </w:r>
      <w:proofErr w:type="spellEnd"/>
      <w:r w:rsidRPr="00F32462">
        <w:rPr>
          <w:sz w:val="24"/>
          <w:szCs w:val="24"/>
          <w:lang w:val="da-DK"/>
        </w:rPr>
        <w:t xml:space="preserve"> (kombineret dosis-gruppe) i signifikant grad udsatte tiden til klinisk forværring af PAH sammenlignet med placebo (p &lt; 0,001). </w:t>
      </w:r>
      <w:proofErr w:type="spellStart"/>
      <w:r w:rsidRPr="00F32462">
        <w:rPr>
          <w:sz w:val="24"/>
          <w:szCs w:val="24"/>
          <w:lang w:val="da-DK"/>
        </w:rPr>
        <w:t>Hazard</w:t>
      </w:r>
      <w:proofErr w:type="spellEnd"/>
      <w:r w:rsidRPr="00F32462">
        <w:rPr>
          <w:sz w:val="24"/>
          <w:szCs w:val="24"/>
          <w:lang w:val="da-DK"/>
        </w:rPr>
        <w:t xml:space="preserve">-ratioen viste en reduktion på 80 % (95 % CI: 47 % til 92 %). Klinisk forværring blev defineret som dødsfald, lungetransplantation, indlæggelse pga. PAH, </w:t>
      </w:r>
      <w:proofErr w:type="spellStart"/>
      <w:r w:rsidRPr="00F32462">
        <w:rPr>
          <w:sz w:val="24"/>
          <w:szCs w:val="24"/>
          <w:lang w:val="da-DK"/>
        </w:rPr>
        <w:t>atrieseptostomi</w:t>
      </w:r>
      <w:proofErr w:type="spellEnd"/>
      <w:r w:rsidRPr="00F32462">
        <w:rPr>
          <w:sz w:val="24"/>
          <w:szCs w:val="24"/>
          <w:lang w:val="da-DK"/>
        </w:rPr>
        <w:t xml:space="preserve">, tilføjelse af endnu et lægemiddel til behandling af PAH samt kriterierne for udtræden før tid. I gruppen, der blev behandlet med kombineret dosis, blev der observeret en statistisk signifikant stigning (3,41 ± 6,96) i den fysiske funktionsskala på helbredsskemaet SF-36 sammenlignet med placebo (-0,20 ± 8,14; p = 0,005). 12 ugers behandling med </w:t>
      </w:r>
      <w:proofErr w:type="spellStart"/>
      <w:r w:rsidRPr="00F32462">
        <w:rPr>
          <w:sz w:val="24"/>
          <w:szCs w:val="24"/>
          <w:lang w:val="da-DK"/>
        </w:rPr>
        <w:t>ambrisentan</w:t>
      </w:r>
      <w:proofErr w:type="spellEnd"/>
      <w:r w:rsidRPr="00F32462">
        <w:rPr>
          <w:sz w:val="24"/>
          <w:szCs w:val="24"/>
          <w:lang w:val="da-DK"/>
        </w:rPr>
        <w:t xml:space="preserve"> medførte en statistisk signifikant forbedring på Borgs </w:t>
      </w:r>
      <w:proofErr w:type="spellStart"/>
      <w:r w:rsidRPr="00F32462">
        <w:rPr>
          <w:sz w:val="24"/>
          <w:szCs w:val="24"/>
          <w:lang w:val="da-DK"/>
        </w:rPr>
        <w:t>dyspnøskala</w:t>
      </w:r>
      <w:proofErr w:type="spellEnd"/>
      <w:r w:rsidRPr="00F32462">
        <w:rPr>
          <w:sz w:val="24"/>
          <w:szCs w:val="24"/>
          <w:lang w:val="da-DK"/>
        </w:rPr>
        <w:t xml:space="preserve"> (BDI) (placebojusteret BDI på -1,1 (95 % CI: -1,8 til -0,4; p = 0,019; kombineret dosis-gruppe)).</w:t>
      </w:r>
    </w:p>
    <w:p w:rsidR="00673CCD" w:rsidRDefault="00673CCD" w:rsidP="00673CCD">
      <w:pPr>
        <w:rPr>
          <w:sz w:val="24"/>
          <w:szCs w:val="24"/>
        </w:rPr>
      </w:pPr>
      <w:r>
        <w:rPr>
          <w:sz w:val="24"/>
          <w:szCs w:val="24"/>
        </w:rPr>
        <w:br w:type="page"/>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Langtidsdata</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Patienterne, der indgik i ARIES-1 og -2, var egnede til at indgå i et længerevarende, </w:t>
      </w:r>
      <w:proofErr w:type="spellStart"/>
      <w:r w:rsidRPr="00F32462">
        <w:rPr>
          <w:sz w:val="24"/>
          <w:szCs w:val="24"/>
          <w:lang w:val="da-DK"/>
        </w:rPr>
        <w:t>ublindet</w:t>
      </w:r>
      <w:proofErr w:type="spellEnd"/>
      <w:r w:rsidRPr="00F32462">
        <w:rPr>
          <w:sz w:val="24"/>
          <w:szCs w:val="24"/>
          <w:lang w:val="da-DK"/>
        </w:rPr>
        <w:t xml:space="preserve"> forlængelsesstudie, ARIES-E (n = 383). Den kombinerede middeleksponering var på ca. 145 ± 80 uger, og den maksimale eksponering var på ca. 295 uger. De vigtigste primære endepunkter i dette studie var forekomsten og sværhedsgraden af bivirkninger forbundet med langvarig eksponering for </w:t>
      </w:r>
      <w:proofErr w:type="spellStart"/>
      <w:r w:rsidRPr="00F32462">
        <w:rPr>
          <w:sz w:val="24"/>
          <w:szCs w:val="24"/>
          <w:lang w:val="da-DK"/>
        </w:rPr>
        <w:t>ambrisentan</w:t>
      </w:r>
      <w:proofErr w:type="spellEnd"/>
      <w:r w:rsidRPr="00F32462">
        <w:rPr>
          <w:sz w:val="24"/>
          <w:szCs w:val="24"/>
          <w:lang w:val="da-DK"/>
        </w:rPr>
        <w:t xml:space="preserve">, inklusive </w:t>
      </w:r>
      <w:proofErr w:type="spellStart"/>
      <w:r w:rsidRPr="00F32462">
        <w:rPr>
          <w:sz w:val="24"/>
          <w:szCs w:val="24"/>
          <w:lang w:val="da-DK"/>
        </w:rPr>
        <w:t>serum-LFT’er</w:t>
      </w:r>
      <w:proofErr w:type="spellEnd"/>
      <w:r w:rsidRPr="00F32462">
        <w:rPr>
          <w:sz w:val="24"/>
          <w:szCs w:val="24"/>
          <w:lang w:val="da-DK"/>
        </w:rPr>
        <w:t xml:space="preserve">. De sikkerhedsmæssige fund, der blev observeret ved langvarig eksponering for </w:t>
      </w:r>
      <w:proofErr w:type="spellStart"/>
      <w:r w:rsidRPr="00F32462">
        <w:rPr>
          <w:sz w:val="24"/>
          <w:szCs w:val="24"/>
          <w:lang w:val="da-DK"/>
        </w:rPr>
        <w:t>ambrisentan</w:t>
      </w:r>
      <w:proofErr w:type="spellEnd"/>
      <w:r w:rsidRPr="00F32462">
        <w:rPr>
          <w:sz w:val="24"/>
          <w:szCs w:val="24"/>
          <w:lang w:val="da-DK"/>
        </w:rPr>
        <w:t xml:space="preserve"> i dette studie, var generelt i overensstemmelse med de resultater, der blev set i de 12-ugers placebokontrollerede studier.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Hos de personer, der fik </w:t>
      </w:r>
      <w:proofErr w:type="spellStart"/>
      <w:r w:rsidRPr="00F32462">
        <w:rPr>
          <w:sz w:val="24"/>
          <w:szCs w:val="24"/>
          <w:lang w:val="da-DK"/>
        </w:rPr>
        <w:t>ambrisentan</w:t>
      </w:r>
      <w:proofErr w:type="spellEnd"/>
      <w:r w:rsidRPr="00F32462">
        <w:rPr>
          <w:sz w:val="24"/>
          <w:szCs w:val="24"/>
          <w:lang w:val="da-DK"/>
        </w:rPr>
        <w:t xml:space="preserve"> (gruppe med kombineret </w:t>
      </w:r>
      <w:proofErr w:type="spellStart"/>
      <w:r w:rsidRPr="00F32462">
        <w:rPr>
          <w:sz w:val="24"/>
          <w:szCs w:val="24"/>
          <w:lang w:val="da-DK"/>
        </w:rPr>
        <w:t>ambrisentan</w:t>
      </w:r>
      <w:proofErr w:type="spellEnd"/>
      <w:r w:rsidRPr="00F32462">
        <w:rPr>
          <w:sz w:val="24"/>
          <w:szCs w:val="24"/>
          <w:lang w:val="da-DK"/>
        </w:rPr>
        <w:t>-dosering), var den observerede sandsynlighed for overlevelse efter 1, 2 og 3 år hhv. 93 %, 85 % og 79 %.</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 et </w:t>
      </w:r>
      <w:proofErr w:type="spellStart"/>
      <w:r w:rsidRPr="00F32462">
        <w:rPr>
          <w:sz w:val="24"/>
          <w:szCs w:val="24"/>
          <w:lang w:val="da-DK"/>
        </w:rPr>
        <w:t>ublindet</w:t>
      </w:r>
      <w:proofErr w:type="spellEnd"/>
      <w:r w:rsidRPr="00F32462">
        <w:rPr>
          <w:sz w:val="24"/>
          <w:szCs w:val="24"/>
          <w:lang w:val="da-DK"/>
        </w:rPr>
        <w:t xml:space="preserve"> studie (AMB222) blev </w:t>
      </w:r>
      <w:proofErr w:type="spellStart"/>
      <w:r w:rsidRPr="00F32462">
        <w:rPr>
          <w:sz w:val="24"/>
          <w:szCs w:val="24"/>
          <w:lang w:val="da-DK"/>
        </w:rPr>
        <w:t>ambrisentan</w:t>
      </w:r>
      <w:proofErr w:type="spellEnd"/>
      <w:r w:rsidRPr="00F32462">
        <w:rPr>
          <w:sz w:val="24"/>
          <w:szCs w:val="24"/>
          <w:lang w:val="da-DK"/>
        </w:rPr>
        <w:t xml:space="preserve"> undersøgt hos 36 patienter til vurdering af forekomst af øgede </w:t>
      </w:r>
      <w:proofErr w:type="spellStart"/>
      <w:r w:rsidRPr="00F32462">
        <w:rPr>
          <w:sz w:val="24"/>
          <w:szCs w:val="24"/>
          <w:lang w:val="da-DK"/>
        </w:rPr>
        <w:t>serumaminotransferasekoncentrationer</w:t>
      </w:r>
      <w:proofErr w:type="spellEnd"/>
      <w:r w:rsidRPr="00F32462">
        <w:rPr>
          <w:sz w:val="24"/>
          <w:szCs w:val="24"/>
          <w:lang w:val="da-DK"/>
        </w:rPr>
        <w:t xml:space="preserve"> hos patienter, som tidligere var ophørt med anden ERA-behandling pga. abnormiteter i </w:t>
      </w:r>
      <w:proofErr w:type="spellStart"/>
      <w:r w:rsidRPr="00F32462">
        <w:rPr>
          <w:sz w:val="24"/>
          <w:szCs w:val="24"/>
          <w:lang w:val="da-DK"/>
        </w:rPr>
        <w:t>aminotransferase</w:t>
      </w:r>
      <w:proofErr w:type="spellEnd"/>
      <w:r w:rsidRPr="00F32462">
        <w:rPr>
          <w:sz w:val="24"/>
          <w:szCs w:val="24"/>
          <w:lang w:val="da-DK"/>
        </w:rPr>
        <w:t xml:space="preserve">. Efter en middelbehandlingstid på 53 uger med </w:t>
      </w:r>
      <w:proofErr w:type="spellStart"/>
      <w:r w:rsidRPr="00F32462">
        <w:rPr>
          <w:sz w:val="24"/>
          <w:szCs w:val="24"/>
          <w:lang w:val="da-DK"/>
        </w:rPr>
        <w:t>ambrisentan</w:t>
      </w:r>
      <w:proofErr w:type="spellEnd"/>
      <w:r w:rsidRPr="00F32462">
        <w:rPr>
          <w:sz w:val="24"/>
          <w:szCs w:val="24"/>
          <w:lang w:val="da-DK"/>
        </w:rPr>
        <w:t xml:space="preserve"> havde ingen af de inkluderede patienter et bekræftet serum-ALAT &gt; 3 x ULN, som krævede permanent ophør med behandlingen. I løbet af den tid var 50 % af patienterne skiftet fra 5 mg til 10 mg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Den kumulative forekomst af abnormiteter i </w:t>
      </w:r>
      <w:proofErr w:type="spellStart"/>
      <w:r w:rsidRPr="00F32462">
        <w:rPr>
          <w:sz w:val="24"/>
          <w:szCs w:val="24"/>
          <w:lang w:val="da-DK"/>
        </w:rPr>
        <w:t>serumaminotransferase</w:t>
      </w:r>
      <w:proofErr w:type="spellEnd"/>
      <w:r w:rsidRPr="00F32462">
        <w:rPr>
          <w:sz w:val="24"/>
          <w:szCs w:val="24"/>
          <w:lang w:val="da-DK"/>
        </w:rPr>
        <w:t xml:space="preserve"> &gt; 3 x ULN for alle fase 2- og fase 3-studierne (inkl. respektive </w:t>
      </w:r>
      <w:proofErr w:type="spellStart"/>
      <w:r w:rsidRPr="00F32462">
        <w:rPr>
          <w:sz w:val="24"/>
          <w:szCs w:val="24"/>
          <w:lang w:val="da-DK"/>
        </w:rPr>
        <w:t>ublindede</w:t>
      </w:r>
      <w:proofErr w:type="spellEnd"/>
      <w:r w:rsidRPr="00F32462">
        <w:rPr>
          <w:sz w:val="24"/>
          <w:szCs w:val="24"/>
          <w:lang w:val="da-DK"/>
        </w:rPr>
        <w:t xml:space="preserve"> forlængelser) var 17 ud af 483 personer i løbet af en middel eksponeringsvarighed på 79,5 uger. Dette svarer til en hyppighed på 2,3 hændelser pr. 100 </w:t>
      </w:r>
      <w:proofErr w:type="spellStart"/>
      <w:r w:rsidRPr="00F32462">
        <w:rPr>
          <w:sz w:val="24"/>
          <w:szCs w:val="24"/>
          <w:lang w:val="da-DK"/>
        </w:rPr>
        <w:t>patientår</w:t>
      </w:r>
      <w:proofErr w:type="spellEnd"/>
      <w:r w:rsidRPr="00F32462">
        <w:rPr>
          <w:sz w:val="24"/>
          <w:szCs w:val="24"/>
          <w:lang w:val="da-DK"/>
        </w:rPr>
        <w:t xml:space="preserve"> på </w:t>
      </w:r>
      <w:proofErr w:type="spellStart"/>
      <w:r w:rsidRPr="00F32462">
        <w:rPr>
          <w:sz w:val="24"/>
          <w:szCs w:val="24"/>
          <w:lang w:val="da-DK"/>
        </w:rPr>
        <w:t>ambrisentan</w:t>
      </w:r>
      <w:proofErr w:type="spellEnd"/>
      <w:r w:rsidRPr="00F32462">
        <w:rPr>
          <w:sz w:val="24"/>
          <w:szCs w:val="24"/>
          <w:lang w:val="da-DK"/>
        </w:rPr>
        <w:t xml:space="preserve">. I ARIES-E, et langvarigt, </w:t>
      </w:r>
      <w:proofErr w:type="spellStart"/>
      <w:r w:rsidRPr="00F32462">
        <w:rPr>
          <w:sz w:val="24"/>
          <w:szCs w:val="24"/>
          <w:lang w:val="da-DK"/>
        </w:rPr>
        <w:t>ublindet</w:t>
      </w:r>
      <w:proofErr w:type="spellEnd"/>
      <w:r w:rsidRPr="00F32462">
        <w:rPr>
          <w:sz w:val="24"/>
          <w:szCs w:val="24"/>
          <w:lang w:val="da-DK"/>
        </w:rPr>
        <w:t xml:space="preserve"> forlængelsesstudie, var der en risiko på 3,9 % for udvikling af </w:t>
      </w:r>
      <w:proofErr w:type="spellStart"/>
      <w:r w:rsidRPr="00F32462">
        <w:rPr>
          <w:sz w:val="24"/>
          <w:szCs w:val="24"/>
          <w:lang w:val="da-DK"/>
        </w:rPr>
        <w:t>serumaminotranferasestigninger</w:t>
      </w:r>
      <w:proofErr w:type="spellEnd"/>
      <w:r w:rsidRPr="00F32462">
        <w:rPr>
          <w:sz w:val="24"/>
          <w:szCs w:val="24"/>
          <w:lang w:val="da-DK"/>
        </w:rPr>
        <w:t xml:space="preserve"> &gt; 3 x ULN inden for 2 år hos de patienter, der blev behandlet med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Anden klinisk information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 et fase 2-studie (AMB220) blev der efter 12 uger observeret forbedrede </w:t>
      </w:r>
      <w:proofErr w:type="spellStart"/>
      <w:r w:rsidRPr="00F32462">
        <w:rPr>
          <w:sz w:val="24"/>
          <w:szCs w:val="24"/>
          <w:lang w:val="da-DK"/>
        </w:rPr>
        <w:t>hæmodynamiske</w:t>
      </w:r>
      <w:proofErr w:type="spellEnd"/>
      <w:r w:rsidRPr="00F32462">
        <w:rPr>
          <w:sz w:val="24"/>
          <w:szCs w:val="24"/>
          <w:lang w:val="da-DK"/>
        </w:rPr>
        <w:t xml:space="preserve"> parametre hos patienter med PAH (n = 29). Behandling med </w:t>
      </w:r>
      <w:proofErr w:type="spellStart"/>
      <w:r w:rsidRPr="00F32462">
        <w:rPr>
          <w:sz w:val="24"/>
          <w:szCs w:val="24"/>
          <w:lang w:val="da-DK"/>
        </w:rPr>
        <w:t>ambrisentan</w:t>
      </w:r>
      <w:proofErr w:type="spellEnd"/>
      <w:r w:rsidRPr="00F32462">
        <w:rPr>
          <w:sz w:val="24"/>
          <w:szCs w:val="24"/>
          <w:lang w:val="da-DK"/>
        </w:rPr>
        <w:t xml:space="preserve"> resulterede i en stigning i middel hjerteminutvolumen, et fald i middel lungearterietryk og et fald i middel </w:t>
      </w:r>
      <w:proofErr w:type="spellStart"/>
      <w:r w:rsidRPr="00F32462">
        <w:rPr>
          <w:sz w:val="24"/>
          <w:szCs w:val="24"/>
          <w:lang w:val="da-DK"/>
        </w:rPr>
        <w:t>pulmonal</w:t>
      </w:r>
      <w:proofErr w:type="spellEnd"/>
      <w:r w:rsidRPr="00F32462">
        <w:rPr>
          <w:sz w:val="24"/>
          <w:szCs w:val="24"/>
          <w:lang w:val="da-DK"/>
        </w:rPr>
        <w:t xml:space="preserve"> </w:t>
      </w:r>
      <w:proofErr w:type="spellStart"/>
      <w:r w:rsidRPr="00F32462">
        <w:rPr>
          <w:sz w:val="24"/>
          <w:szCs w:val="24"/>
          <w:lang w:val="da-DK"/>
        </w:rPr>
        <w:t>vaskulær</w:t>
      </w:r>
      <w:proofErr w:type="spellEnd"/>
      <w:r w:rsidRPr="00F32462">
        <w:rPr>
          <w:sz w:val="24"/>
          <w:szCs w:val="24"/>
          <w:lang w:val="da-DK"/>
        </w:rPr>
        <w:t xml:space="preserve"> resistens.</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Der er rapporteret om fald i det systoliske og diastoliske blodtryk i forbindelse med </w:t>
      </w:r>
      <w:proofErr w:type="spellStart"/>
      <w:r w:rsidRPr="00F32462">
        <w:rPr>
          <w:sz w:val="24"/>
          <w:szCs w:val="24"/>
          <w:lang w:val="da-DK"/>
        </w:rPr>
        <w:t>ambrisentanbehandling</w:t>
      </w:r>
      <w:proofErr w:type="spellEnd"/>
      <w:r w:rsidRPr="00F32462">
        <w:rPr>
          <w:sz w:val="24"/>
          <w:szCs w:val="24"/>
          <w:lang w:val="da-DK"/>
        </w:rPr>
        <w:t xml:space="preserve">. I placebokontrollerede kliniske studier af 12 ugers varighed var det gennemsnitlige systoliske og diastoliske blodtryksfald fra </w:t>
      </w:r>
      <w:r w:rsidRPr="00F32462">
        <w:rPr>
          <w:i/>
          <w:sz w:val="24"/>
          <w:szCs w:val="24"/>
          <w:lang w:val="da-DK"/>
        </w:rPr>
        <w:t xml:space="preserve">baseline </w:t>
      </w:r>
      <w:r w:rsidRPr="00F32462">
        <w:rPr>
          <w:sz w:val="24"/>
          <w:szCs w:val="24"/>
          <w:lang w:val="da-DK"/>
        </w:rPr>
        <w:t>til afslutning af behandlingen på hhv. 3 </w:t>
      </w:r>
      <w:proofErr w:type="spellStart"/>
      <w:r w:rsidRPr="00F32462">
        <w:rPr>
          <w:sz w:val="24"/>
          <w:szCs w:val="24"/>
          <w:lang w:val="da-DK"/>
        </w:rPr>
        <w:t>mmHg</w:t>
      </w:r>
      <w:proofErr w:type="spellEnd"/>
      <w:r w:rsidRPr="00F32462">
        <w:rPr>
          <w:sz w:val="24"/>
          <w:szCs w:val="24"/>
          <w:lang w:val="da-DK"/>
        </w:rPr>
        <w:t xml:space="preserve"> og 4,2 </w:t>
      </w:r>
      <w:proofErr w:type="spellStart"/>
      <w:r w:rsidRPr="00F32462">
        <w:rPr>
          <w:sz w:val="24"/>
          <w:szCs w:val="24"/>
          <w:lang w:val="da-DK"/>
        </w:rPr>
        <w:t>mmHg</w:t>
      </w:r>
      <w:proofErr w:type="spellEnd"/>
      <w:r w:rsidRPr="00F32462">
        <w:rPr>
          <w:sz w:val="24"/>
          <w:szCs w:val="24"/>
          <w:lang w:val="da-DK"/>
        </w:rPr>
        <w:t xml:space="preserve">. Middelfaldene i det systoliske og diastoliske blodtryk varede ved i op til 4 år under behandling med </w:t>
      </w:r>
      <w:proofErr w:type="spellStart"/>
      <w:r w:rsidRPr="00F32462">
        <w:rPr>
          <w:sz w:val="24"/>
          <w:szCs w:val="24"/>
          <w:lang w:val="da-DK"/>
        </w:rPr>
        <w:t>ambrisentan</w:t>
      </w:r>
      <w:proofErr w:type="spellEnd"/>
      <w:r w:rsidRPr="00F32462">
        <w:rPr>
          <w:sz w:val="24"/>
          <w:szCs w:val="24"/>
          <w:lang w:val="da-DK"/>
        </w:rPr>
        <w:t xml:space="preserve"> i det langvarige, </w:t>
      </w:r>
      <w:proofErr w:type="spellStart"/>
      <w:r w:rsidRPr="00F32462">
        <w:rPr>
          <w:sz w:val="24"/>
          <w:szCs w:val="24"/>
          <w:lang w:val="da-DK"/>
        </w:rPr>
        <w:t>ublindede</w:t>
      </w:r>
      <w:proofErr w:type="spellEnd"/>
      <w:r w:rsidRPr="00F32462">
        <w:rPr>
          <w:sz w:val="24"/>
          <w:szCs w:val="24"/>
          <w:lang w:val="da-DK"/>
        </w:rPr>
        <w:t xml:space="preserve"> ARIES-E-studie.</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 et lægemiddelinteraktionsstudie med raske frivillige blev kombinationen af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sildenafil</w:t>
      </w:r>
      <w:proofErr w:type="spellEnd"/>
      <w:r w:rsidRPr="00F32462">
        <w:rPr>
          <w:sz w:val="24"/>
          <w:szCs w:val="24"/>
          <w:lang w:val="da-DK"/>
        </w:rPr>
        <w:t xml:space="preserve"> undersøgt. Der sås ingen klinisk betydende effekt på farmakokinetikken af hverken </w:t>
      </w:r>
      <w:proofErr w:type="spellStart"/>
      <w:r w:rsidRPr="00F32462">
        <w:rPr>
          <w:sz w:val="24"/>
          <w:szCs w:val="24"/>
          <w:lang w:val="da-DK"/>
        </w:rPr>
        <w:t>ambrisentan</w:t>
      </w:r>
      <w:proofErr w:type="spellEnd"/>
      <w:r w:rsidRPr="00F32462">
        <w:rPr>
          <w:sz w:val="24"/>
          <w:szCs w:val="24"/>
          <w:lang w:val="da-DK"/>
        </w:rPr>
        <w:t xml:space="preserve"> eller </w:t>
      </w:r>
      <w:proofErr w:type="spellStart"/>
      <w:r w:rsidRPr="00F32462">
        <w:rPr>
          <w:sz w:val="24"/>
          <w:szCs w:val="24"/>
          <w:lang w:val="da-DK"/>
        </w:rPr>
        <w:t>sildenafil</w:t>
      </w:r>
      <w:proofErr w:type="spellEnd"/>
      <w:r w:rsidRPr="00F32462">
        <w:rPr>
          <w:sz w:val="24"/>
          <w:szCs w:val="24"/>
          <w:lang w:val="da-DK"/>
        </w:rPr>
        <w:t xml:space="preserve">, og kombinationen blev tålt godt. Antallet af patienter, der fik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sildenafil</w:t>
      </w:r>
      <w:proofErr w:type="spellEnd"/>
      <w:r w:rsidRPr="00F32462">
        <w:rPr>
          <w:sz w:val="24"/>
          <w:szCs w:val="24"/>
          <w:lang w:val="da-DK"/>
        </w:rPr>
        <w:t xml:space="preserve"> samtidig i ARIES-E og AMB222, var henholdsvis 22 patienter (5,7 %) og 17 patienter (47 %). Der var ingen yderligere problemer med sikkerhed hos disse patienter.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lastRenderedPageBreak/>
        <w:t xml:space="preserve">Klinisk virkning ved kombination med </w:t>
      </w:r>
      <w:proofErr w:type="spellStart"/>
      <w:r w:rsidRPr="00F32462">
        <w:rPr>
          <w:sz w:val="24"/>
          <w:szCs w:val="24"/>
          <w:u w:val="single"/>
          <w:lang w:val="da-DK"/>
        </w:rPr>
        <w:t>tadalafil</w:t>
      </w:r>
      <w:proofErr w:type="spellEnd"/>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For at vurdere virkningen af initial kombination af </w:t>
      </w:r>
      <w:proofErr w:type="spellStart"/>
      <w:r w:rsidRPr="00F32462">
        <w:rPr>
          <w:sz w:val="24"/>
          <w:szCs w:val="24"/>
          <w:lang w:val="da-DK"/>
        </w:rPr>
        <w:t>ambrisentan</w:t>
      </w:r>
      <w:proofErr w:type="spellEnd"/>
      <w:r w:rsidRPr="00F32462">
        <w:rPr>
          <w:sz w:val="24"/>
          <w:szCs w:val="24"/>
          <w:lang w:val="da-DK"/>
        </w:rPr>
        <w:t xml:space="preserve"> og </w:t>
      </w:r>
      <w:proofErr w:type="spellStart"/>
      <w:r w:rsidRPr="00F32462">
        <w:rPr>
          <w:sz w:val="24"/>
          <w:szCs w:val="24"/>
          <w:lang w:val="da-DK"/>
        </w:rPr>
        <w:t>tadalafil</w:t>
      </w:r>
      <w:proofErr w:type="spellEnd"/>
      <w:r w:rsidRPr="00F32462">
        <w:rPr>
          <w:sz w:val="24"/>
          <w:szCs w:val="24"/>
          <w:lang w:val="da-DK"/>
        </w:rPr>
        <w:t xml:space="preserve"> </w:t>
      </w:r>
      <w:r w:rsidRPr="00F32462">
        <w:rPr>
          <w:i/>
          <w:sz w:val="24"/>
          <w:szCs w:val="24"/>
          <w:lang w:val="da-DK"/>
        </w:rPr>
        <w:t xml:space="preserve">vs. </w:t>
      </w:r>
      <w:r w:rsidRPr="00F32462">
        <w:rPr>
          <w:sz w:val="24"/>
          <w:szCs w:val="24"/>
          <w:lang w:val="da-DK"/>
        </w:rPr>
        <w:t xml:space="preserve">monoterapi med enten </w:t>
      </w:r>
      <w:proofErr w:type="spellStart"/>
      <w:r w:rsidRPr="00F32462">
        <w:rPr>
          <w:sz w:val="24"/>
          <w:szCs w:val="24"/>
          <w:lang w:val="da-DK"/>
        </w:rPr>
        <w:t>ambrisentan</w:t>
      </w:r>
      <w:proofErr w:type="spellEnd"/>
      <w:r w:rsidRPr="00F32462">
        <w:rPr>
          <w:sz w:val="24"/>
          <w:szCs w:val="24"/>
          <w:lang w:val="da-DK"/>
        </w:rPr>
        <w:t xml:space="preserve"> eller </w:t>
      </w:r>
      <w:proofErr w:type="spellStart"/>
      <w:r w:rsidRPr="00F32462">
        <w:rPr>
          <w:sz w:val="24"/>
          <w:szCs w:val="24"/>
          <w:lang w:val="da-DK"/>
        </w:rPr>
        <w:t>tadalafil</w:t>
      </w:r>
      <w:proofErr w:type="spellEnd"/>
      <w:r w:rsidRPr="00F32462">
        <w:rPr>
          <w:sz w:val="24"/>
          <w:szCs w:val="24"/>
          <w:lang w:val="da-DK"/>
        </w:rPr>
        <w:t xml:space="preserve"> alene blev der udført et dobbeltblindet, hændelsesdrevet fase 3-</w:t>
      </w:r>
      <w:r w:rsidRPr="00F32462">
        <w:rPr>
          <w:i/>
          <w:sz w:val="24"/>
          <w:szCs w:val="24"/>
          <w:lang w:val="da-DK"/>
        </w:rPr>
        <w:t>outcome-</w:t>
      </w:r>
      <w:r w:rsidRPr="00F32462">
        <w:rPr>
          <w:iCs/>
          <w:sz w:val="24"/>
          <w:szCs w:val="24"/>
          <w:lang w:val="da-DK"/>
        </w:rPr>
        <w:t>multicenter</w:t>
      </w:r>
      <w:r w:rsidRPr="00F32462">
        <w:rPr>
          <w:sz w:val="24"/>
          <w:szCs w:val="24"/>
          <w:lang w:val="da-DK"/>
        </w:rPr>
        <w:t xml:space="preserve">studie med aktiv </w:t>
      </w:r>
      <w:proofErr w:type="spellStart"/>
      <w:r w:rsidRPr="00F32462">
        <w:rPr>
          <w:sz w:val="24"/>
          <w:szCs w:val="24"/>
          <w:lang w:val="da-DK"/>
        </w:rPr>
        <w:t>komparator</w:t>
      </w:r>
      <w:proofErr w:type="spellEnd"/>
      <w:r w:rsidRPr="00F32462">
        <w:rPr>
          <w:sz w:val="24"/>
          <w:szCs w:val="24"/>
          <w:lang w:val="da-DK"/>
        </w:rPr>
        <w:t xml:space="preserve"> (AMB112565/AMBITION) hos 500 behandlingsnaive PAH-patienter, der blev randomiseret 2:1:1. Ingen patienter fik placebo som monoterapi. Den primære analyse omfattede kombinationsgruppen </w:t>
      </w:r>
      <w:r w:rsidRPr="00F32462">
        <w:rPr>
          <w:i/>
          <w:sz w:val="24"/>
          <w:szCs w:val="24"/>
          <w:lang w:val="da-DK"/>
        </w:rPr>
        <w:t xml:space="preserve">vs. </w:t>
      </w:r>
      <w:r w:rsidRPr="00F32462">
        <w:rPr>
          <w:sz w:val="24"/>
          <w:szCs w:val="24"/>
          <w:lang w:val="da-DK"/>
        </w:rPr>
        <w:t xml:space="preserve">de </w:t>
      </w:r>
      <w:proofErr w:type="spellStart"/>
      <w:r w:rsidRPr="00F32462">
        <w:rPr>
          <w:sz w:val="24"/>
          <w:szCs w:val="24"/>
          <w:lang w:val="da-DK"/>
        </w:rPr>
        <w:t>puljede</w:t>
      </w:r>
      <w:proofErr w:type="spellEnd"/>
      <w:r w:rsidRPr="00F32462">
        <w:rPr>
          <w:sz w:val="24"/>
          <w:szCs w:val="24"/>
          <w:lang w:val="da-DK"/>
        </w:rPr>
        <w:t xml:space="preserve"> monoterapigrupper. Der blev også foretaget supporterende sammenligninger af kombinationsbehandlingsgruppen </w:t>
      </w:r>
      <w:r w:rsidRPr="00F32462">
        <w:rPr>
          <w:i/>
          <w:sz w:val="24"/>
          <w:szCs w:val="24"/>
          <w:lang w:val="da-DK"/>
        </w:rPr>
        <w:t xml:space="preserve">vs. </w:t>
      </w:r>
      <w:r w:rsidRPr="00F32462">
        <w:rPr>
          <w:sz w:val="24"/>
          <w:szCs w:val="24"/>
          <w:lang w:val="da-DK"/>
        </w:rPr>
        <w:t xml:space="preserve">de individuelle monoterapigrupper. Patienter med signifikant anæmi, væskeretention eller sjældne nethindesygdomme blev ekskluderet i henhold til </w:t>
      </w:r>
      <w:proofErr w:type="spellStart"/>
      <w:r w:rsidRPr="00F32462">
        <w:rPr>
          <w:sz w:val="24"/>
          <w:szCs w:val="24"/>
          <w:lang w:val="da-DK"/>
        </w:rPr>
        <w:t>investigators</w:t>
      </w:r>
      <w:proofErr w:type="spellEnd"/>
      <w:r w:rsidRPr="00F32462">
        <w:rPr>
          <w:sz w:val="24"/>
          <w:szCs w:val="24"/>
          <w:lang w:val="da-DK"/>
        </w:rPr>
        <w:t xml:space="preserve"> kriterier. Patienter med ALAT- og ASAT-værdier &gt; 2 x ULN ved </w:t>
      </w:r>
      <w:r w:rsidRPr="00F32462">
        <w:rPr>
          <w:i/>
          <w:sz w:val="24"/>
          <w:szCs w:val="24"/>
          <w:lang w:val="da-DK"/>
        </w:rPr>
        <w:t xml:space="preserve">baseline </w:t>
      </w:r>
      <w:r w:rsidRPr="00F32462">
        <w:rPr>
          <w:sz w:val="24"/>
          <w:szCs w:val="24"/>
          <w:lang w:val="da-DK"/>
        </w:rPr>
        <w:t>blev også ekskluderet.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Ved </w:t>
      </w:r>
      <w:r w:rsidRPr="00F32462">
        <w:rPr>
          <w:i/>
          <w:sz w:val="24"/>
          <w:szCs w:val="24"/>
          <w:lang w:val="da-DK"/>
        </w:rPr>
        <w:t xml:space="preserve">baseline </w:t>
      </w:r>
      <w:r w:rsidRPr="00F32462">
        <w:rPr>
          <w:sz w:val="24"/>
          <w:szCs w:val="24"/>
          <w:lang w:val="da-DK"/>
        </w:rPr>
        <w:t xml:space="preserve">var 96 % af patienterne naive over for enhver tidligere PAH-specifik behandling, og mediantiden fra diagnose til inklusion i studiet var 22 dage. Patienterne blev initieret på 5 mg </w:t>
      </w:r>
      <w:proofErr w:type="spellStart"/>
      <w:r w:rsidRPr="00F32462">
        <w:rPr>
          <w:sz w:val="24"/>
          <w:szCs w:val="24"/>
          <w:lang w:val="da-DK"/>
        </w:rPr>
        <w:t>ambrisentan</w:t>
      </w:r>
      <w:proofErr w:type="spellEnd"/>
      <w:r w:rsidRPr="00F32462">
        <w:rPr>
          <w:sz w:val="24"/>
          <w:szCs w:val="24"/>
          <w:lang w:val="da-DK"/>
        </w:rPr>
        <w:t xml:space="preserve"> og 20 mg </w:t>
      </w:r>
      <w:proofErr w:type="spellStart"/>
      <w:r w:rsidRPr="00F32462">
        <w:rPr>
          <w:sz w:val="24"/>
          <w:szCs w:val="24"/>
          <w:lang w:val="da-DK"/>
        </w:rPr>
        <w:t>tadalafil</w:t>
      </w:r>
      <w:proofErr w:type="spellEnd"/>
      <w:r w:rsidRPr="00F32462">
        <w:rPr>
          <w:sz w:val="24"/>
          <w:szCs w:val="24"/>
          <w:lang w:val="da-DK"/>
        </w:rPr>
        <w:t xml:space="preserve"> og blev titreret op til 40 mg </w:t>
      </w:r>
      <w:proofErr w:type="spellStart"/>
      <w:r w:rsidRPr="00F32462">
        <w:rPr>
          <w:sz w:val="24"/>
          <w:szCs w:val="24"/>
          <w:lang w:val="da-DK"/>
        </w:rPr>
        <w:t>tadalafil</w:t>
      </w:r>
      <w:proofErr w:type="spellEnd"/>
      <w:r w:rsidRPr="00F32462">
        <w:rPr>
          <w:sz w:val="24"/>
          <w:szCs w:val="24"/>
          <w:lang w:val="da-DK"/>
        </w:rPr>
        <w:t xml:space="preserve"> ved uge 4 og 10 mg </w:t>
      </w:r>
      <w:proofErr w:type="spellStart"/>
      <w:r w:rsidRPr="00F32462">
        <w:rPr>
          <w:sz w:val="24"/>
          <w:szCs w:val="24"/>
          <w:lang w:val="da-DK"/>
        </w:rPr>
        <w:t>ambrisentan</w:t>
      </w:r>
      <w:proofErr w:type="spellEnd"/>
      <w:r w:rsidRPr="00F32462">
        <w:rPr>
          <w:sz w:val="24"/>
          <w:szCs w:val="24"/>
          <w:lang w:val="da-DK"/>
        </w:rPr>
        <w:t xml:space="preserve"> ved uge 8, medmindre der var </w:t>
      </w:r>
      <w:proofErr w:type="spellStart"/>
      <w:r w:rsidRPr="00F32462">
        <w:rPr>
          <w:sz w:val="24"/>
          <w:szCs w:val="24"/>
          <w:lang w:val="da-DK"/>
        </w:rPr>
        <w:t>tolerabilitetsproblemer</w:t>
      </w:r>
      <w:proofErr w:type="spellEnd"/>
      <w:r w:rsidRPr="00F32462">
        <w:rPr>
          <w:sz w:val="24"/>
          <w:szCs w:val="24"/>
          <w:lang w:val="da-DK"/>
        </w:rPr>
        <w:t xml:space="preserve">. Den </w:t>
      </w:r>
      <w:proofErr w:type="spellStart"/>
      <w:r w:rsidRPr="00F32462">
        <w:rPr>
          <w:sz w:val="24"/>
          <w:szCs w:val="24"/>
          <w:lang w:val="da-DK"/>
        </w:rPr>
        <w:t>mediane</w:t>
      </w:r>
      <w:proofErr w:type="spellEnd"/>
      <w:r w:rsidRPr="00F32462">
        <w:rPr>
          <w:sz w:val="24"/>
          <w:szCs w:val="24"/>
          <w:lang w:val="da-DK"/>
        </w:rPr>
        <w:t xml:space="preserve"> dobbeltblindede behandlingsvarighed for kombinationsbehandling var længere end 1,5 år.</w:t>
      </w:r>
    </w:p>
    <w:p w:rsidR="00673CCD" w:rsidRPr="00F32462" w:rsidRDefault="00673CCD" w:rsidP="00673CCD">
      <w:pPr>
        <w:pStyle w:val="Brdtekst"/>
        <w:ind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Det primære endepunkt var tiden til første tilfælde af klinisk behandlingssvigt, defineret som:</w:t>
      </w:r>
    </w:p>
    <w:p w:rsidR="00673CCD" w:rsidRPr="00F32462" w:rsidRDefault="00673CCD" w:rsidP="00673CCD">
      <w:pPr>
        <w:pStyle w:val="Listeafsnit"/>
        <w:numPr>
          <w:ilvl w:val="0"/>
          <w:numId w:val="11"/>
        </w:numPr>
        <w:ind w:left="1276" w:right="-1" w:hanging="425"/>
        <w:rPr>
          <w:sz w:val="24"/>
          <w:szCs w:val="24"/>
          <w:lang w:val="da-DK"/>
        </w:rPr>
      </w:pPr>
      <w:r w:rsidRPr="00F32462">
        <w:rPr>
          <w:sz w:val="24"/>
          <w:szCs w:val="24"/>
          <w:lang w:val="da-DK"/>
        </w:rPr>
        <w:t>død,</w:t>
      </w:r>
      <w:r w:rsidRPr="00F32462">
        <w:rPr>
          <w:spacing w:val="-2"/>
          <w:sz w:val="24"/>
          <w:szCs w:val="24"/>
          <w:lang w:val="da-DK"/>
        </w:rPr>
        <w:t xml:space="preserve"> </w:t>
      </w:r>
      <w:r w:rsidRPr="00F32462">
        <w:rPr>
          <w:sz w:val="24"/>
          <w:szCs w:val="24"/>
          <w:lang w:val="da-DK"/>
        </w:rPr>
        <w:t>eller</w:t>
      </w:r>
    </w:p>
    <w:p w:rsidR="00673CCD" w:rsidRPr="00F32462" w:rsidRDefault="00673CCD" w:rsidP="00673CCD">
      <w:pPr>
        <w:pStyle w:val="Listeafsnit"/>
        <w:numPr>
          <w:ilvl w:val="0"/>
          <w:numId w:val="11"/>
        </w:numPr>
        <w:ind w:left="1276" w:right="-1" w:hanging="425"/>
        <w:rPr>
          <w:sz w:val="24"/>
          <w:szCs w:val="24"/>
          <w:lang w:val="da-DK"/>
        </w:rPr>
      </w:pPr>
      <w:r w:rsidRPr="00F32462">
        <w:rPr>
          <w:sz w:val="24"/>
          <w:szCs w:val="24"/>
          <w:lang w:val="da-DK"/>
        </w:rPr>
        <w:t>hospitalsindlæggelse for forværring af</w:t>
      </w:r>
      <w:r w:rsidRPr="00F32462">
        <w:rPr>
          <w:spacing w:val="-9"/>
          <w:sz w:val="24"/>
          <w:szCs w:val="24"/>
          <w:lang w:val="da-DK"/>
        </w:rPr>
        <w:t xml:space="preserve"> </w:t>
      </w:r>
      <w:r w:rsidRPr="00F32462">
        <w:rPr>
          <w:sz w:val="24"/>
          <w:szCs w:val="24"/>
          <w:lang w:val="da-DK"/>
        </w:rPr>
        <w:t>PAH,</w:t>
      </w:r>
    </w:p>
    <w:p w:rsidR="00673CCD" w:rsidRPr="00F32462" w:rsidRDefault="00673CCD" w:rsidP="00673CCD">
      <w:pPr>
        <w:pStyle w:val="Listeafsnit"/>
        <w:numPr>
          <w:ilvl w:val="0"/>
          <w:numId w:val="11"/>
        </w:numPr>
        <w:ind w:left="1276" w:right="-1" w:hanging="425"/>
        <w:rPr>
          <w:sz w:val="24"/>
          <w:szCs w:val="24"/>
          <w:lang w:val="da-DK"/>
        </w:rPr>
      </w:pPr>
      <w:r w:rsidRPr="00F32462">
        <w:rPr>
          <w:sz w:val="24"/>
          <w:szCs w:val="24"/>
          <w:lang w:val="da-DK"/>
        </w:rPr>
        <w:t>sygdomsprogression,</w:t>
      </w:r>
    </w:p>
    <w:p w:rsidR="00673CCD" w:rsidRPr="00F32462" w:rsidRDefault="00673CCD" w:rsidP="00673CCD">
      <w:pPr>
        <w:pStyle w:val="Listeafsnit"/>
        <w:numPr>
          <w:ilvl w:val="0"/>
          <w:numId w:val="11"/>
        </w:numPr>
        <w:ind w:left="1276" w:right="-1" w:hanging="425"/>
        <w:rPr>
          <w:sz w:val="24"/>
          <w:szCs w:val="24"/>
          <w:lang w:val="da-DK"/>
        </w:rPr>
      </w:pPr>
      <w:r w:rsidRPr="00F32462">
        <w:rPr>
          <w:sz w:val="24"/>
          <w:szCs w:val="24"/>
          <w:lang w:val="da-DK"/>
        </w:rPr>
        <w:t>utilfredsstillende langvarigt klinisk</w:t>
      </w:r>
      <w:r w:rsidRPr="00F32462">
        <w:rPr>
          <w:spacing w:val="-8"/>
          <w:sz w:val="24"/>
          <w:szCs w:val="24"/>
          <w:lang w:val="da-DK"/>
        </w:rPr>
        <w:t xml:space="preserve"> </w:t>
      </w:r>
      <w:r w:rsidRPr="00F32462">
        <w:rPr>
          <w:sz w:val="24"/>
          <w:szCs w:val="24"/>
          <w:lang w:val="da-DK"/>
        </w:rPr>
        <w:t>respons.</w:t>
      </w:r>
    </w:p>
    <w:p w:rsidR="00673CCD" w:rsidRPr="00F32462" w:rsidRDefault="00673CCD" w:rsidP="00673CCD">
      <w:pPr>
        <w:pStyle w:val="Brdtekst"/>
        <w:ind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Gennemsnitsalderen af alle patienter var 54 år (standardafvigelse 15; interval 18-75 år). Patienternes WHO-FC ved </w:t>
      </w:r>
      <w:r w:rsidRPr="00F32462">
        <w:rPr>
          <w:i/>
          <w:sz w:val="24"/>
          <w:szCs w:val="24"/>
          <w:lang w:val="da-DK"/>
        </w:rPr>
        <w:t xml:space="preserve">baseline </w:t>
      </w:r>
      <w:r w:rsidRPr="00F32462">
        <w:rPr>
          <w:sz w:val="24"/>
          <w:szCs w:val="24"/>
          <w:lang w:val="da-DK"/>
        </w:rPr>
        <w:t xml:space="preserve">var II (31 %) og III (69 %). Idiopatisk eller hereditær PAH var den mest almindelige ætiologi i studiepopulationen (56 %), efterfulgt af PAH som følge af bindevævssygdomme (37 %), PAH associeret med lægemidler og toksiner (3 %), korrigeret simpel kongenital hjertesygdom (2 %) og hiv (2 %). Patienter med WHO-FC II og III havde en gennemsnitlig 6MWD på 353 meter ved </w:t>
      </w:r>
      <w:r w:rsidRPr="00F32462">
        <w:rPr>
          <w:i/>
          <w:sz w:val="24"/>
          <w:szCs w:val="24"/>
          <w:lang w:val="da-DK"/>
        </w:rPr>
        <w:t>baseline</w:t>
      </w:r>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sz w:val="24"/>
          <w:szCs w:val="24"/>
          <w:u w:val="single"/>
        </w:rPr>
      </w:pPr>
      <w:r w:rsidRPr="00F32462">
        <w:rPr>
          <w:sz w:val="24"/>
          <w:szCs w:val="24"/>
          <w:u w:val="single"/>
        </w:rPr>
        <w:t>Effektendepunkter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Kombinationsbehandling resulterede i en 50 % reduktion i risikoen (</w:t>
      </w:r>
      <w:proofErr w:type="spellStart"/>
      <w:r w:rsidRPr="00F32462">
        <w:rPr>
          <w:i/>
          <w:sz w:val="24"/>
          <w:szCs w:val="24"/>
          <w:lang w:val="da-DK"/>
        </w:rPr>
        <w:t>hazard</w:t>
      </w:r>
      <w:proofErr w:type="spellEnd"/>
      <w:r w:rsidRPr="00F32462">
        <w:rPr>
          <w:i/>
          <w:sz w:val="24"/>
          <w:szCs w:val="24"/>
          <w:lang w:val="da-DK"/>
        </w:rPr>
        <w:t xml:space="preserve"> ratio </w:t>
      </w:r>
      <w:r w:rsidRPr="00F32462">
        <w:rPr>
          <w:sz w:val="24"/>
          <w:szCs w:val="24"/>
          <w:lang w:val="da-DK"/>
        </w:rPr>
        <w:t xml:space="preserve">[HR] 0,502; 95 % CI: 0,348 til 0,724; p = 0,0002) for det sammensatte endepunkt for klinisk behandlingssvigt inden det afsluttende vurderingsbesøg ved sammenligning med den </w:t>
      </w:r>
      <w:proofErr w:type="spellStart"/>
      <w:r w:rsidRPr="00F32462">
        <w:rPr>
          <w:sz w:val="24"/>
          <w:szCs w:val="24"/>
          <w:lang w:val="da-DK"/>
        </w:rPr>
        <w:t>puljede</w:t>
      </w:r>
      <w:proofErr w:type="spellEnd"/>
      <w:r w:rsidRPr="00F32462">
        <w:rPr>
          <w:sz w:val="24"/>
          <w:szCs w:val="24"/>
          <w:lang w:val="da-DK"/>
        </w:rPr>
        <w:t xml:space="preserve"> monoterapi-gruppe (figur 1 og tabel 1). Behandlingseffekten blev drevet af en reduktion på 63 % i hospitalsindlæggelser ved kombinationsbehandling, der blev opnået tidligt, og som blev fastholdt. Virkningen af kombinationsbehandling på det primære endepunkt var konsistent ved sammenligning med de individuelle monoterapigrupper og på tværs af subgrupper med alder, etnisk oprindelse, geografisk oprindelse, ætiologi (IPAH/</w:t>
      </w:r>
      <w:proofErr w:type="spellStart"/>
      <w:r w:rsidRPr="00F32462">
        <w:rPr>
          <w:sz w:val="24"/>
          <w:szCs w:val="24"/>
          <w:lang w:val="da-DK"/>
        </w:rPr>
        <w:t>hPAH</w:t>
      </w:r>
      <w:proofErr w:type="spellEnd"/>
      <w:r w:rsidRPr="00F32462">
        <w:rPr>
          <w:sz w:val="24"/>
          <w:szCs w:val="24"/>
          <w:lang w:val="da-DK"/>
        </w:rPr>
        <w:t xml:space="preserve"> og PAH-CTD). Virkningen var signifikant for både FC II- og FC III-patienter.</w:t>
      </w:r>
    </w:p>
    <w:p w:rsidR="00673CCD" w:rsidRDefault="00673CCD" w:rsidP="00673CCD">
      <w:pPr>
        <w:rPr>
          <w:sz w:val="24"/>
          <w:szCs w:val="24"/>
        </w:rPr>
      </w:pPr>
      <w:r>
        <w:rPr>
          <w:sz w:val="24"/>
          <w:szCs w:val="24"/>
        </w:rPr>
        <w:br w:type="page"/>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b/>
          <w:sz w:val="24"/>
          <w:szCs w:val="24"/>
        </w:rPr>
      </w:pPr>
      <w:r w:rsidRPr="00F32462">
        <w:rPr>
          <w:b/>
          <w:sz w:val="24"/>
          <w:szCs w:val="24"/>
        </w:rPr>
        <w:t>Figur 1</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b/>
          <w:sz w:val="24"/>
          <w:szCs w:val="24"/>
        </w:rPr>
      </w:pPr>
      <w:r w:rsidRPr="00F32462">
        <w:rPr>
          <w:noProof/>
          <w:sz w:val="24"/>
          <w:szCs w:val="24"/>
          <w:lang w:eastAsia="da-DK"/>
        </w:rPr>
        <w:drawing>
          <wp:inline distT="0" distB="0" distL="0" distR="0" wp14:anchorId="5FA7AF88" wp14:editId="3F05CACD">
            <wp:extent cx="4168775" cy="3263900"/>
            <wp:effectExtent l="0" t="0" r="317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8775" cy="3263900"/>
                    </a:xfrm>
                    <a:prstGeom prst="rect">
                      <a:avLst/>
                    </a:prstGeom>
                    <a:noFill/>
                  </pic:spPr>
                </pic:pic>
              </a:graphicData>
            </a:graphic>
          </wp:inline>
        </w:drawing>
      </w:r>
    </w:p>
    <w:p w:rsidR="00673CCD" w:rsidRPr="0005227B" w:rsidRDefault="00673CCD" w:rsidP="00673CCD">
      <w:pPr>
        <w:ind w:right="-1"/>
        <w:rPr>
          <w:sz w:val="24"/>
          <w:szCs w:val="24"/>
        </w:rPr>
      </w:pPr>
    </w:p>
    <w:p w:rsidR="00673CCD" w:rsidRPr="0005227B" w:rsidRDefault="00673CCD" w:rsidP="00673CCD">
      <w:pPr>
        <w:ind w:right="-1"/>
        <w:rPr>
          <w:sz w:val="24"/>
          <w:szCs w:val="24"/>
        </w:rPr>
      </w:pPr>
    </w:p>
    <w:p w:rsidR="00673CCD" w:rsidRDefault="00673CCD" w:rsidP="00673CCD">
      <w:pPr>
        <w:ind w:right="-1"/>
        <w:rPr>
          <w:b/>
          <w:bCs/>
          <w:sz w:val="24"/>
          <w:szCs w:val="24"/>
        </w:rPr>
      </w:pPr>
      <w:r w:rsidRPr="0005227B">
        <w:rPr>
          <w:b/>
          <w:bCs/>
          <w:sz w:val="24"/>
          <w:szCs w:val="24"/>
        </w:rPr>
        <w:t>Tabel 1</w:t>
      </w:r>
    </w:p>
    <w:p w:rsidR="00673CCD" w:rsidRPr="0005227B" w:rsidRDefault="00673CCD" w:rsidP="00673CCD">
      <w:pPr>
        <w:ind w:right="-1"/>
        <w:rPr>
          <w:b/>
          <w:bCs/>
          <w:sz w:val="24"/>
          <w:szCs w:val="24"/>
        </w:rPr>
      </w:pPr>
    </w:p>
    <w:tbl>
      <w:tblPr>
        <w:tblStyle w:val="TableNormal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814"/>
        <w:gridCol w:w="1733"/>
        <w:gridCol w:w="1901"/>
        <w:gridCol w:w="1650"/>
        <w:gridCol w:w="1520"/>
      </w:tblGrid>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ind w:left="132" w:right="-1"/>
              <w:rPr>
                <w:rFonts w:ascii="Times New Roman" w:hAnsi="Times New Roman" w:cs="Times New Roman"/>
                <w:sz w:val="24"/>
                <w:szCs w:val="24"/>
                <w:lang w:val="da-DK"/>
              </w:rPr>
            </w:pP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b/>
                <w:sz w:val="24"/>
                <w:szCs w:val="24"/>
                <w:lang w:val="da-DK"/>
              </w:rPr>
            </w:pPr>
            <w:proofErr w:type="spellStart"/>
            <w:r w:rsidRPr="00F32462">
              <w:rPr>
                <w:rFonts w:ascii="Times New Roman" w:hAnsi="Times New Roman" w:cs="Times New Roman"/>
                <w:b/>
                <w:sz w:val="24"/>
                <w:szCs w:val="24"/>
                <w:lang w:val="da-DK"/>
              </w:rPr>
              <w:t>Ambrisentan</w:t>
            </w:r>
            <w:proofErr w:type="spellEnd"/>
            <w:r w:rsidRPr="00F32462">
              <w:rPr>
                <w:rFonts w:ascii="Times New Roman" w:hAnsi="Times New Roman" w:cs="Times New Roman"/>
                <w:b/>
                <w:sz w:val="24"/>
                <w:szCs w:val="24"/>
                <w:lang w:val="da-DK"/>
              </w:rPr>
              <w:t xml:space="preserve"> + </w:t>
            </w:r>
            <w:proofErr w:type="spellStart"/>
            <w:r w:rsidRPr="00F32462">
              <w:rPr>
                <w:rFonts w:ascii="Times New Roman" w:hAnsi="Times New Roman" w:cs="Times New Roman"/>
                <w:b/>
                <w:sz w:val="24"/>
                <w:szCs w:val="24"/>
                <w:lang w:val="da-DK"/>
              </w:rPr>
              <w:t>tadalafil</w:t>
            </w:r>
            <w:proofErr w:type="spellEnd"/>
            <w:r w:rsidRPr="00F32462">
              <w:rPr>
                <w:rFonts w:ascii="Times New Roman" w:hAnsi="Times New Roman" w:cs="Times New Roman"/>
                <w:b/>
                <w:sz w:val="24"/>
                <w:szCs w:val="24"/>
                <w:lang w:val="da-DK"/>
              </w:rPr>
              <w:t xml:space="preserve"> (N=253)</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b/>
                <w:sz w:val="24"/>
                <w:szCs w:val="24"/>
                <w:lang w:val="da-DK"/>
              </w:rPr>
            </w:pPr>
            <w:r w:rsidRPr="00F32462">
              <w:rPr>
                <w:rFonts w:ascii="Times New Roman" w:hAnsi="Times New Roman" w:cs="Times New Roman"/>
                <w:b/>
                <w:w w:val="95"/>
                <w:sz w:val="24"/>
                <w:szCs w:val="24"/>
                <w:lang w:val="da-DK"/>
              </w:rPr>
              <w:t xml:space="preserve">Monoterapi </w:t>
            </w:r>
            <w:proofErr w:type="spellStart"/>
            <w:r w:rsidRPr="00F32462">
              <w:rPr>
                <w:rFonts w:ascii="Times New Roman" w:hAnsi="Times New Roman" w:cs="Times New Roman"/>
                <w:b/>
                <w:sz w:val="24"/>
                <w:szCs w:val="24"/>
                <w:lang w:val="da-DK"/>
              </w:rPr>
              <w:t>puljet</w:t>
            </w:r>
            <w:proofErr w:type="spellEnd"/>
            <w:r w:rsidRPr="00F32462">
              <w:rPr>
                <w:rFonts w:ascii="Times New Roman" w:hAnsi="Times New Roman" w:cs="Times New Roman"/>
                <w:b/>
                <w:sz w:val="24"/>
                <w:szCs w:val="24"/>
                <w:lang w:val="da-DK"/>
              </w:rPr>
              <w:t xml:space="preserve"> (N=247)</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b/>
                <w:sz w:val="24"/>
                <w:szCs w:val="24"/>
                <w:lang w:val="da-DK"/>
              </w:rPr>
            </w:pPr>
            <w:proofErr w:type="spellStart"/>
            <w:r w:rsidRPr="00F32462">
              <w:rPr>
                <w:rFonts w:ascii="Times New Roman" w:hAnsi="Times New Roman" w:cs="Times New Roman"/>
                <w:b/>
                <w:sz w:val="24"/>
                <w:szCs w:val="24"/>
                <w:lang w:val="da-DK"/>
              </w:rPr>
              <w:t>Ambrisentan</w:t>
            </w:r>
            <w:proofErr w:type="spellEnd"/>
            <w:r w:rsidRPr="00F32462">
              <w:rPr>
                <w:rFonts w:ascii="Times New Roman" w:hAnsi="Times New Roman" w:cs="Times New Roman"/>
                <w:b/>
                <w:sz w:val="24"/>
                <w:szCs w:val="24"/>
                <w:lang w:val="da-DK"/>
              </w:rPr>
              <w:t>-monoterapi (N=126)</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firstLine="1"/>
              <w:jc w:val="center"/>
              <w:rPr>
                <w:rFonts w:ascii="Times New Roman" w:hAnsi="Times New Roman" w:cs="Times New Roman"/>
                <w:b/>
                <w:sz w:val="24"/>
                <w:szCs w:val="24"/>
                <w:lang w:val="da-DK"/>
              </w:rPr>
            </w:pPr>
            <w:proofErr w:type="spellStart"/>
            <w:r w:rsidRPr="00F32462">
              <w:rPr>
                <w:rFonts w:ascii="Times New Roman" w:hAnsi="Times New Roman" w:cs="Times New Roman"/>
                <w:b/>
                <w:sz w:val="24"/>
                <w:szCs w:val="24"/>
                <w:lang w:val="da-DK"/>
              </w:rPr>
              <w:t>Tadalafil</w:t>
            </w:r>
            <w:proofErr w:type="spellEnd"/>
            <w:r w:rsidRPr="00F32462">
              <w:rPr>
                <w:rFonts w:ascii="Times New Roman" w:hAnsi="Times New Roman" w:cs="Times New Roman"/>
                <w:b/>
                <w:sz w:val="24"/>
                <w:szCs w:val="24"/>
                <w:lang w:val="da-DK"/>
              </w:rPr>
              <w:t>-</w:t>
            </w:r>
            <w:r w:rsidRPr="00F32462">
              <w:rPr>
                <w:rFonts w:ascii="Times New Roman" w:hAnsi="Times New Roman" w:cs="Times New Roman"/>
                <w:b/>
                <w:w w:val="95"/>
                <w:sz w:val="24"/>
                <w:szCs w:val="24"/>
                <w:lang w:val="da-DK"/>
              </w:rPr>
              <w:t xml:space="preserve">monoterapi </w:t>
            </w:r>
            <w:r w:rsidRPr="00F32462">
              <w:rPr>
                <w:rFonts w:ascii="Times New Roman" w:hAnsi="Times New Roman" w:cs="Times New Roman"/>
                <w:b/>
                <w:sz w:val="24"/>
                <w:szCs w:val="24"/>
                <w:lang w:val="da-DK"/>
              </w:rPr>
              <w:t>(N=121)</w:t>
            </w:r>
          </w:p>
        </w:tc>
      </w:tr>
      <w:tr w:rsidR="00673CCD" w:rsidRPr="00F32462" w:rsidTr="003B4BCE">
        <w:trPr>
          <w:trHeight w:val="20"/>
        </w:trPr>
        <w:tc>
          <w:tcPr>
            <w:tcW w:w="5000" w:type="pct"/>
            <w:gridSpan w:val="5"/>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b/>
                <w:sz w:val="24"/>
                <w:szCs w:val="24"/>
                <w:lang w:val="da-DK"/>
              </w:rPr>
            </w:pPr>
            <w:r w:rsidRPr="00F32462">
              <w:rPr>
                <w:rFonts w:ascii="Times New Roman" w:hAnsi="Times New Roman" w:cs="Times New Roman"/>
                <w:b/>
                <w:sz w:val="24"/>
                <w:szCs w:val="24"/>
                <w:lang w:val="da-DK"/>
              </w:rPr>
              <w:t>Varighed til første hændelse af klinisk behandlingssvigt (evalueret)</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Klinisk behandlingssvigt, antal (%)</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46 (18 %)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77 (31 %)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43 (34 %)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34 (28 %)</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pStyle w:val="TableParagraph"/>
              <w:spacing w:before="0"/>
              <w:ind w:left="132" w:right="-1"/>
              <w:rPr>
                <w:rFonts w:ascii="Times New Roman" w:hAnsi="Times New Roman" w:cs="Times New Roman"/>
                <w:b/>
                <w:sz w:val="24"/>
                <w:szCs w:val="24"/>
                <w:lang w:val="da-DK"/>
              </w:rPr>
            </w:pPr>
          </w:p>
          <w:p w:rsidR="00673CCD" w:rsidRPr="00F32462" w:rsidRDefault="00673CCD" w:rsidP="003B4BCE">
            <w:pPr>
              <w:pStyle w:val="TableParagraph"/>
              <w:spacing w:before="0"/>
              <w:ind w:left="132" w:right="-1"/>
              <w:rPr>
                <w:rFonts w:ascii="Times New Roman" w:hAnsi="Times New Roman" w:cs="Times New Roman"/>
                <w:sz w:val="24"/>
                <w:szCs w:val="24"/>
                <w:lang w:val="da-DK"/>
              </w:rPr>
            </w:pPr>
            <w:proofErr w:type="spellStart"/>
            <w:r w:rsidRPr="00F32462">
              <w:rPr>
                <w:rFonts w:ascii="Times New Roman" w:hAnsi="Times New Roman" w:cs="Times New Roman"/>
                <w:i/>
                <w:sz w:val="24"/>
                <w:szCs w:val="24"/>
                <w:lang w:val="da-DK"/>
              </w:rPr>
              <w:t>Hazard</w:t>
            </w:r>
            <w:proofErr w:type="spellEnd"/>
            <w:r w:rsidRPr="00F32462">
              <w:rPr>
                <w:rFonts w:ascii="Times New Roman" w:hAnsi="Times New Roman" w:cs="Times New Roman"/>
                <w:i/>
                <w:sz w:val="24"/>
                <w:szCs w:val="24"/>
                <w:lang w:val="da-DK"/>
              </w:rPr>
              <w:t xml:space="preserve"> ratio </w:t>
            </w:r>
            <w:r w:rsidRPr="00F32462">
              <w:rPr>
                <w:rFonts w:ascii="Times New Roman" w:hAnsi="Times New Roman" w:cs="Times New Roman"/>
                <w:sz w:val="24"/>
                <w:szCs w:val="24"/>
                <w:lang w:val="da-DK"/>
              </w:rPr>
              <w:t>(95 % CI)</w:t>
            </w:r>
          </w:p>
        </w:tc>
        <w:tc>
          <w:tcPr>
            <w:tcW w:w="901"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ind w:left="132" w:right="-1"/>
              <w:jc w:val="center"/>
              <w:rPr>
                <w:rFonts w:ascii="Times New Roman" w:hAnsi="Times New Roman" w:cs="Times New Roman"/>
                <w:sz w:val="24"/>
                <w:szCs w:val="24"/>
                <w:lang w:val="da-DK"/>
              </w:rPr>
            </w:pP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0,502</w:t>
            </w:r>
          </w:p>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(0,348–0,724)</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0,477</w:t>
            </w:r>
          </w:p>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(0,314–0,723)</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0,528</w:t>
            </w:r>
          </w:p>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(0,338–0,827)</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P-værdi</w:t>
            </w:r>
            <w:proofErr w:type="spellEnd"/>
            <w:r w:rsidRPr="00F32462">
              <w:rPr>
                <w:rFonts w:ascii="Times New Roman" w:hAnsi="Times New Roman" w:cs="Times New Roman"/>
                <w:sz w:val="24"/>
                <w:szCs w:val="24"/>
                <w:lang w:val="da-DK"/>
              </w:rPr>
              <w:t>, Log-rank-test</w:t>
            </w:r>
          </w:p>
        </w:tc>
        <w:tc>
          <w:tcPr>
            <w:tcW w:w="901"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ind w:left="132" w:right="-1"/>
              <w:jc w:val="center"/>
              <w:rPr>
                <w:rFonts w:ascii="Times New Roman" w:hAnsi="Times New Roman" w:cs="Times New Roman"/>
                <w:sz w:val="24"/>
                <w:szCs w:val="24"/>
                <w:lang w:val="da-DK"/>
              </w:rPr>
            </w:pP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0,0002</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0,0004</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0,0045</w:t>
            </w:r>
          </w:p>
        </w:tc>
      </w:tr>
      <w:tr w:rsidR="00673CCD" w:rsidRPr="00F32462" w:rsidTr="003B4BCE">
        <w:trPr>
          <w:trHeight w:val="20"/>
        </w:trPr>
        <w:tc>
          <w:tcPr>
            <w:tcW w:w="5000" w:type="pct"/>
            <w:gridSpan w:val="5"/>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b/>
                <w:sz w:val="24"/>
                <w:szCs w:val="24"/>
                <w:lang w:val="da-DK"/>
              </w:rPr>
            </w:pPr>
            <w:r w:rsidRPr="00F32462">
              <w:rPr>
                <w:rFonts w:ascii="Times New Roman" w:hAnsi="Times New Roman" w:cs="Times New Roman"/>
                <w:b/>
                <w:sz w:val="24"/>
                <w:szCs w:val="24"/>
                <w:lang w:val="da-DK"/>
              </w:rPr>
              <w:t>Komponent som første hændelse af klinisk behandlingssvigt (evalueret)</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Død (alle årsager)</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9 (4 %)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8 (3 %)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 (2 %)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6 (5 %)</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Hospitalsindlæggelse for forværret PAH</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10 (4 %)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30 (12 %)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18 (14 %)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12 (10 %)</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Sygdomsprogression</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10 (4 %)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16 (6 %)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12 (10 %)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 (3 %)</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Utilfredsstillende langvarigt klinisk respons</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17 (7 %)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23 (9 %)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11 (9 %)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12 (10 %)</w:t>
            </w:r>
          </w:p>
        </w:tc>
      </w:tr>
      <w:tr w:rsidR="00673CCD" w:rsidRPr="00F32462" w:rsidTr="003B4BCE">
        <w:trPr>
          <w:trHeight w:val="20"/>
        </w:trPr>
        <w:tc>
          <w:tcPr>
            <w:tcW w:w="5000" w:type="pct"/>
            <w:gridSpan w:val="5"/>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b/>
                <w:sz w:val="24"/>
                <w:szCs w:val="24"/>
                <w:lang w:val="da-DK"/>
              </w:rPr>
            </w:pPr>
            <w:r w:rsidRPr="00F32462">
              <w:rPr>
                <w:rFonts w:ascii="Times New Roman" w:hAnsi="Times New Roman" w:cs="Times New Roman"/>
                <w:b/>
                <w:sz w:val="24"/>
                <w:szCs w:val="24"/>
                <w:lang w:val="da-DK"/>
              </w:rPr>
              <w:t>Varighed til første hospitalsindlæggelse for forværret PAH (evalueret)</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r w:rsidRPr="00F32462">
              <w:rPr>
                <w:rFonts w:ascii="Times New Roman" w:hAnsi="Times New Roman" w:cs="Times New Roman"/>
                <w:sz w:val="24"/>
                <w:szCs w:val="24"/>
                <w:lang w:val="da-DK"/>
              </w:rPr>
              <w:t>Første hospitalsindlæggelse, antal (%)</w:t>
            </w:r>
          </w:p>
        </w:tc>
        <w:tc>
          <w:tcPr>
            <w:tcW w:w="901"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19 (8 %)</w:t>
            </w: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44 (18 %)</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27 (21 %)</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17 (14 %)</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proofErr w:type="spellStart"/>
            <w:r w:rsidRPr="00F32462">
              <w:rPr>
                <w:rFonts w:ascii="Times New Roman" w:hAnsi="Times New Roman" w:cs="Times New Roman"/>
                <w:i/>
                <w:sz w:val="24"/>
                <w:szCs w:val="24"/>
                <w:lang w:val="da-DK"/>
              </w:rPr>
              <w:t>Hazard</w:t>
            </w:r>
            <w:proofErr w:type="spellEnd"/>
            <w:r w:rsidRPr="00F32462">
              <w:rPr>
                <w:rFonts w:ascii="Times New Roman" w:hAnsi="Times New Roman" w:cs="Times New Roman"/>
                <w:i/>
                <w:sz w:val="24"/>
                <w:szCs w:val="24"/>
                <w:lang w:val="da-DK"/>
              </w:rPr>
              <w:t xml:space="preserve"> ratio </w:t>
            </w:r>
            <w:r w:rsidRPr="00F32462">
              <w:rPr>
                <w:rFonts w:ascii="Times New Roman" w:hAnsi="Times New Roman" w:cs="Times New Roman"/>
                <w:sz w:val="24"/>
                <w:szCs w:val="24"/>
                <w:lang w:val="da-DK"/>
              </w:rPr>
              <w:t>(95 % CI)</w:t>
            </w:r>
          </w:p>
        </w:tc>
        <w:tc>
          <w:tcPr>
            <w:tcW w:w="901"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ind w:left="132" w:right="-1"/>
              <w:jc w:val="center"/>
              <w:rPr>
                <w:rFonts w:ascii="Times New Roman" w:hAnsi="Times New Roman" w:cs="Times New Roman"/>
                <w:sz w:val="24"/>
                <w:szCs w:val="24"/>
                <w:lang w:val="da-DK"/>
              </w:rPr>
            </w:pP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0,372</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0,323</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0,442</w:t>
            </w:r>
          </w:p>
        </w:tc>
      </w:tr>
      <w:tr w:rsidR="00673CCD" w:rsidRPr="00F32462" w:rsidTr="003B4BCE">
        <w:trPr>
          <w:trHeight w:val="20"/>
        </w:trPr>
        <w:tc>
          <w:tcPr>
            <w:tcW w:w="1463"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P-værdi</w:t>
            </w:r>
            <w:proofErr w:type="spellEnd"/>
            <w:r w:rsidRPr="00F32462">
              <w:rPr>
                <w:rFonts w:ascii="Times New Roman" w:hAnsi="Times New Roman" w:cs="Times New Roman"/>
                <w:sz w:val="24"/>
                <w:szCs w:val="24"/>
                <w:lang w:val="da-DK"/>
              </w:rPr>
              <w:t>, Log-rank-test</w:t>
            </w:r>
          </w:p>
        </w:tc>
        <w:tc>
          <w:tcPr>
            <w:tcW w:w="901" w:type="pct"/>
            <w:tcBorders>
              <w:top w:val="single" w:sz="8" w:space="0" w:color="000000"/>
              <w:left w:val="single" w:sz="8" w:space="0" w:color="000000"/>
              <w:bottom w:val="single" w:sz="8" w:space="0" w:color="000000"/>
              <w:right w:val="single" w:sz="8" w:space="0" w:color="000000"/>
            </w:tcBorders>
          </w:tcPr>
          <w:p w:rsidR="00673CCD" w:rsidRPr="00F32462" w:rsidRDefault="00673CCD" w:rsidP="003B4BCE">
            <w:pPr>
              <w:ind w:left="132" w:right="-1"/>
              <w:jc w:val="center"/>
              <w:rPr>
                <w:rFonts w:ascii="Times New Roman" w:hAnsi="Times New Roman" w:cs="Times New Roman"/>
                <w:sz w:val="24"/>
                <w:szCs w:val="24"/>
                <w:lang w:val="da-DK"/>
              </w:rPr>
            </w:pPr>
          </w:p>
        </w:tc>
        <w:tc>
          <w:tcPr>
            <w:tcW w:w="98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0,0002</w:t>
            </w:r>
          </w:p>
        </w:tc>
        <w:tc>
          <w:tcPr>
            <w:tcW w:w="858"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&lt;0,0001</w:t>
            </w:r>
          </w:p>
        </w:tc>
        <w:tc>
          <w:tcPr>
            <w:tcW w:w="790" w:type="pct"/>
            <w:tcBorders>
              <w:top w:val="single" w:sz="8" w:space="0" w:color="000000"/>
              <w:left w:val="single" w:sz="8" w:space="0" w:color="000000"/>
              <w:bottom w:val="single" w:sz="8" w:space="0" w:color="000000"/>
              <w:right w:val="single" w:sz="8" w:space="0" w:color="000000"/>
            </w:tcBorders>
            <w:hideMark/>
          </w:tcPr>
          <w:p w:rsidR="00673CCD" w:rsidRPr="00F32462" w:rsidRDefault="00673CCD" w:rsidP="003B4BCE">
            <w:pPr>
              <w:pStyle w:val="TableParagraph"/>
              <w:spacing w:before="0"/>
              <w:ind w:left="132"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0,0124</w:t>
            </w:r>
          </w:p>
        </w:tc>
      </w:tr>
    </w:tbl>
    <w:p w:rsidR="00673CCD" w:rsidRPr="00F32462" w:rsidRDefault="00673CCD" w:rsidP="00673CCD">
      <w:pPr>
        <w:pStyle w:val="Brdtekst"/>
        <w:ind w:right="-1"/>
        <w:rPr>
          <w:b/>
          <w:sz w:val="24"/>
          <w:szCs w:val="24"/>
          <w:lang w:val="da-DK"/>
        </w:rPr>
      </w:pPr>
    </w:p>
    <w:p w:rsidR="00673CCD" w:rsidRPr="00F32462" w:rsidRDefault="00673CCD" w:rsidP="00673CCD">
      <w:pPr>
        <w:ind w:right="-1"/>
        <w:rPr>
          <w:iCs/>
          <w:sz w:val="24"/>
          <w:szCs w:val="24"/>
        </w:rPr>
      </w:pPr>
      <w:r w:rsidRPr="00F32462">
        <w:rPr>
          <w:iCs/>
          <w:sz w:val="24"/>
          <w:szCs w:val="24"/>
          <w:u w:val="single"/>
        </w:rPr>
        <w:t>Sekundære endepunkter</w:t>
      </w:r>
    </w:p>
    <w:p w:rsidR="00673CCD" w:rsidRPr="00F32462" w:rsidRDefault="00673CCD" w:rsidP="00673CCD">
      <w:pPr>
        <w:pStyle w:val="Brdtekst"/>
        <w:ind w:right="-1"/>
        <w:rPr>
          <w:sz w:val="24"/>
          <w:szCs w:val="24"/>
          <w:lang w:val="da-DK"/>
        </w:rPr>
      </w:pPr>
      <w:r w:rsidRPr="00F32462">
        <w:rPr>
          <w:sz w:val="24"/>
          <w:szCs w:val="24"/>
          <w:lang w:val="da-DK"/>
        </w:rPr>
        <w:t>Sekundære endepunkter testet:</w:t>
      </w:r>
    </w:p>
    <w:p w:rsidR="00673CCD" w:rsidRPr="00F32462" w:rsidRDefault="00673CCD" w:rsidP="00673CCD">
      <w:pPr>
        <w:pStyle w:val="Brdtekst"/>
        <w:ind w:right="-1"/>
        <w:rPr>
          <w:sz w:val="24"/>
          <w:szCs w:val="24"/>
          <w:lang w:val="da-DK"/>
        </w:rPr>
      </w:pPr>
    </w:p>
    <w:p w:rsidR="00673CCD" w:rsidRDefault="00673CCD" w:rsidP="00673CCD">
      <w:pPr>
        <w:ind w:right="-1"/>
        <w:rPr>
          <w:b/>
          <w:bCs/>
          <w:sz w:val="24"/>
          <w:szCs w:val="24"/>
        </w:rPr>
      </w:pPr>
      <w:r w:rsidRPr="0005227B">
        <w:rPr>
          <w:b/>
          <w:bCs/>
          <w:sz w:val="24"/>
          <w:szCs w:val="24"/>
        </w:rPr>
        <w:t>Tabel 2</w:t>
      </w:r>
    </w:p>
    <w:p w:rsidR="00673CCD" w:rsidRPr="0005227B" w:rsidRDefault="00673CCD" w:rsidP="00673CCD">
      <w:pPr>
        <w:ind w:right="-1"/>
        <w:rPr>
          <w:b/>
          <w:bCs/>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61"/>
        <w:gridCol w:w="1685"/>
        <w:gridCol w:w="1589"/>
        <w:gridCol w:w="2222"/>
        <w:gridCol w:w="1271"/>
      </w:tblGrid>
      <w:tr w:rsidR="00673CCD" w:rsidRPr="00F32462" w:rsidTr="003B4BCE">
        <w:trPr>
          <w:trHeight w:val="20"/>
        </w:trPr>
        <w:tc>
          <w:tcPr>
            <w:tcW w:w="1486"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jc w:val="both"/>
              <w:rPr>
                <w:rFonts w:ascii="Times New Roman" w:hAnsi="Times New Roman" w:cs="Times New Roman"/>
                <w:sz w:val="24"/>
                <w:szCs w:val="24"/>
                <w:lang w:val="da-DK"/>
              </w:rPr>
            </w:pPr>
            <w:r w:rsidRPr="00F32462">
              <w:rPr>
                <w:rFonts w:ascii="Times New Roman" w:hAnsi="Times New Roman" w:cs="Times New Roman"/>
                <w:sz w:val="24"/>
                <w:szCs w:val="24"/>
                <w:lang w:val="da-DK"/>
              </w:rPr>
              <w:t xml:space="preserve">Sekundære endepunkter (ændring fra </w:t>
            </w:r>
            <w:r w:rsidRPr="00F32462">
              <w:rPr>
                <w:rFonts w:ascii="Times New Roman" w:hAnsi="Times New Roman" w:cs="Times New Roman"/>
                <w:i/>
                <w:sz w:val="24"/>
                <w:szCs w:val="24"/>
                <w:lang w:val="da-DK"/>
              </w:rPr>
              <w:t xml:space="preserve">baseline </w:t>
            </w:r>
            <w:r w:rsidRPr="00F32462">
              <w:rPr>
                <w:rFonts w:ascii="Times New Roman" w:hAnsi="Times New Roman" w:cs="Times New Roman"/>
                <w:sz w:val="24"/>
                <w:szCs w:val="24"/>
                <w:lang w:val="da-DK"/>
              </w:rPr>
              <w:t>til uge 24)</w:t>
            </w:r>
          </w:p>
        </w:tc>
        <w:tc>
          <w:tcPr>
            <w:tcW w:w="875"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roofErr w:type="spellStart"/>
            <w:r w:rsidRPr="00F32462">
              <w:rPr>
                <w:rFonts w:ascii="Times New Roman" w:hAnsi="Times New Roman" w:cs="Times New Roman"/>
                <w:b/>
                <w:sz w:val="24"/>
                <w:szCs w:val="24"/>
                <w:lang w:val="da-DK"/>
              </w:rPr>
              <w:t>Ambrisentan</w:t>
            </w:r>
            <w:proofErr w:type="spellEnd"/>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r w:rsidRPr="00F32462">
              <w:rPr>
                <w:rFonts w:ascii="Times New Roman" w:hAnsi="Times New Roman" w:cs="Times New Roman"/>
                <w:b/>
                <w:sz w:val="24"/>
                <w:szCs w:val="24"/>
                <w:lang w:val="da-DK"/>
              </w:rPr>
              <w:t xml:space="preserve">+ </w:t>
            </w:r>
            <w:proofErr w:type="spellStart"/>
            <w:r w:rsidRPr="00F32462">
              <w:rPr>
                <w:rFonts w:ascii="Times New Roman" w:hAnsi="Times New Roman" w:cs="Times New Roman"/>
                <w:b/>
                <w:sz w:val="24"/>
                <w:szCs w:val="24"/>
                <w:lang w:val="da-DK"/>
              </w:rPr>
              <w:t>tadalafil</w:t>
            </w:r>
            <w:proofErr w:type="spellEnd"/>
          </w:p>
        </w:tc>
        <w:tc>
          <w:tcPr>
            <w:tcW w:w="825"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rPr>
                <w:rFonts w:ascii="Times New Roman" w:hAnsi="Times New Roman" w:cs="Times New Roman"/>
                <w:b/>
                <w:sz w:val="24"/>
                <w:szCs w:val="24"/>
                <w:lang w:val="da-DK"/>
              </w:rPr>
            </w:pPr>
            <w:r w:rsidRPr="00F32462">
              <w:rPr>
                <w:rFonts w:ascii="Times New Roman" w:hAnsi="Times New Roman" w:cs="Times New Roman"/>
                <w:b/>
                <w:sz w:val="24"/>
                <w:szCs w:val="24"/>
                <w:lang w:val="da-DK"/>
              </w:rPr>
              <w:t xml:space="preserve">Monoterapi </w:t>
            </w:r>
            <w:proofErr w:type="spellStart"/>
            <w:r w:rsidRPr="00F32462">
              <w:rPr>
                <w:rFonts w:ascii="Times New Roman" w:hAnsi="Times New Roman" w:cs="Times New Roman"/>
                <w:b/>
                <w:sz w:val="24"/>
                <w:szCs w:val="24"/>
                <w:lang w:val="da-DK"/>
              </w:rPr>
              <w:t>puljet</w:t>
            </w:r>
            <w:proofErr w:type="spellEnd"/>
          </w:p>
        </w:tc>
        <w:tc>
          <w:tcPr>
            <w:tcW w:w="1154"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Difference og konfidensinterval</w:t>
            </w:r>
          </w:p>
        </w:tc>
        <w:tc>
          <w:tcPr>
            <w:tcW w:w="660"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proofErr w:type="spellStart"/>
            <w:r w:rsidRPr="00F32462">
              <w:rPr>
                <w:rFonts w:ascii="Times New Roman" w:hAnsi="Times New Roman" w:cs="Times New Roman"/>
                <w:sz w:val="24"/>
                <w:szCs w:val="24"/>
                <w:lang w:val="da-DK"/>
              </w:rPr>
              <w:t>p-værdi</w:t>
            </w:r>
            <w:proofErr w:type="spellEnd"/>
          </w:p>
        </w:tc>
      </w:tr>
      <w:tr w:rsidR="00673CCD" w:rsidRPr="00F32462" w:rsidTr="003B4BCE">
        <w:trPr>
          <w:trHeight w:val="20"/>
        </w:trPr>
        <w:tc>
          <w:tcPr>
            <w:tcW w:w="1486"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NT-</w:t>
            </w:r>
            <w:proofErr w:type="spellStart"/>
            <w:r w:rsidRPr="00F32462">
              <w:rPr>
                <w:rFonts w:ascii="Times New Roman" w:hAnsi="Times New Roman" w:cs="Times New Roman"/>
                <w:sz w:val="24"/>
                <w:szCs w:val="24"/>
                <w:lang w:val="da-DK"/>
              </w:rPr>
              <w:t>proBNP</w:t>
            </w:r>
            <w:proofErr w:type="spellEnd"/>
            <w:r w:rsidRPr="00F32462">
              <w:rPr>
                <w:rFonts w:ascii="Times New Roman" w:hAnsi="Times New Roman" w:cs="Times New Roman"/>
                <w:sz w:val="24"/>
                <w:szCs w:val="24"/>
                <w:lang w:val="da-DK"/>
              </w:rPr>
              <w:t xml:space="preserve"> (N-terminal pro B-type </w:t>
            </w:r>
            <w:proofErr w:type="spellStart"/>
            <w:r w:rsidRPr="00F32462">
              <w:rPr>
                <w:rFonts w:ascii="Times New Roman" w:hAnsi="Times New Roman" w:cs="Times New Roman"/>
                <w:sz w:val="24"/>
                <w:szCs w:val="24"/>
                <w:lang w:val="da-DK"/>
              </w:rPr>
              <w:t>natriuretisk</w:t>
            </w:r>
            <w:proofErr w:type="spellEnd"/>
            <w:r w:rsidRPr="00F32462">
              <w:rPr>
                <w:rFonts w:ascii="Times New Roman" w:hAnsi="Times New Roman" w:cs="Times New Roman"/>
                <w:sz w:val="24"/>
                <w:szCs w:val="24"/>
                <w:lang w:val="da-DK"/>
              </w:rPr>
              <w:t xml:space="preserve"> peptid)</w:t>
            </w:r>
          </w:p>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 reduktion)</w:t>
            </w:r>
          </w:p>
        </w:tc>
        <w:tc>
          <w:tcPr>
            <w:tcW w:w="87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-67,2</w:t>
            </w:r>
          </w:p>
        </w:tc>
        <w:tc>
          <w:tcPr>
            <w:tcW w:w="82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-50,4</w:t>
            </w:r>
          </w:p>
        </w:tc>
        <w:tc>
          <w:tcPr>
            <w:tcW w:w="1154"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 difference -33,8;</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95 % CI:</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-44,8; -20,7</w:t>
            </w:r>
          </w:p>
        </w:tc>
        <w:tc>
          <w:tcPr>
            <w:tcW w:w="660"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P &lt; 0,0001</w:t>
            </w:r>
          </w:p>
        </w:tc>
      </w:tr>
      <w:tr w:rsidR="00673CCD" w:rsidRPr="00F32462" w:rsidTr="003B4BCE">
        <w:trPr>
          <w:trHeight w:val="20"/>
        </w:trPr>
        <w:tc>
          <w:tcPr>
            <w:tcW w:w="1486"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rPr>
                <w:rFonts w:ascii="Times New Roman" w:hAnsi="Times New Roman" w:cs="Times New Roman"/>
                <w:b/>
                <w:sz w:val="24"/>
                <w:szCs w:val="24"/>
                <w:lang w:val="da-DK"/>
              </w:rPr>
            </w:pPr>
          </w:p>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 forsøgspersoner, som opnåede tilfredsstillende klinisk respons ved uge 24</w:t>
            </w:r>
          </w:p>
        </w:tc>
        <w:tc>
          <w:tcPr>
            <w:tcW w:w="87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39</w:t>
            </w:r>
          </w:p>
        </w:tc>
        <w:tc>
          <w:tcPr>
            <w:tcW w:w="82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29</w:t>
            </w:r>
          </w:p>
        </w:tc>
        <w:tc>
          <w:tcPr>
            <w:tcW w:w="1154"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Odds ratio 1,56;</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95 % CI:</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1,05; 2,32</w:t>
            </w:r>
          </w:p>
        </w:tc>
        <w:tc>
          <w:tcPr>
            <w:tcW w:w="660"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P = 0,026</w:t>
            </w:r>
          </w:p>
        </w:tc>
      </w:tr>
      <w:tr w:rsidR="00673CCD" w:rsidRPr="00F32462" w:rsidTr="003B4BCE">
        <w:trPr>
          <w:trHeight w:val="20"/>
        </w:trPr>
        <w:tc>
          <w:tcPr>
            <w:tcW w:w="1486"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rPr>
                <w:rFonts w:ascii="Times New Roman" w:hAnsi="Times New Roman" w:cs="Times New Roman"/>
                <w:b/>
                <w:sz w:val="24"/>
                <w:szCs w:val="24"/>
                <w:lang w:val="da-DK"/>
              </w:rPr>
            </w:pPr>
          </w:p>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6MWD</w:t>
            </w:r>
          </w:p>
          <w:p w:rsidR="00673CCD" w:rsidRPr="00F32462" w:rsidRDefault="00673CCD" w:rsidP="003B4BCE">
            <w:pPr>
              <w:pStyle w:val="TableParagraph"/>
              <w:spacing w:before="0"/>
              <w:ind w:left="137" w:right="-1"/>
              <w:rPr>
                <w:rFonts w:ascii="Times New Roman" w:hAnsi="Times New Roman" w:cs="Times New Roman"/>
                <w:sz w:val="24"/>
                <w:szCs w:val="24"/>
                <w:lang w:val="da-DK"/>
              </w:rPr>
            </w:pPr>
            <w:r w:rsidRPr="00F32462">
              <w:rPr>
                <w:rFonts w:ascii="Times New Roman" w:hAnsi="Times New Roman" w:cs="Times New Roman"/>
                <w:sz w:val="24"/>
                <w:szCs w:val="24"/>
                <w:lang w:val="da-DK"/>
              </w:rPr>
              <w:t>(meter, median ændring)</w:t>
            </w:r>
          </w:p>
        </w:tc>
        <w:tc>
          <w:tcPr>
            <w:tcW w:w="87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49,0</w:t>
            </w:r>
          </w:p>
        </w:tc>
        <w:tc>
          <w:tcPr>
            <w:tcW w:w="825"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23,8</w:t>
            </w:r>
          </w:p>
        </w:tc>
        <w:tc>
          <w:tcPr>
            <w:tcW w:w="1154" w:type="pct"/>
            <w:tcBorders>
              <w:top w:val="single" w:sz="4" w:space="0" w:color="000000"/>
              <w:left w:val="single" w:sz="4" w:space="0" w:color="000000"/>
              <w:bottom w:val="single" w:sz="4" w:space="0" w:color="000000"/>
              <w:right w:val="single" w:sz="4" w:space="0" w:color="000000"/>
            </w:tcBorders>
            <w:hideMark/>
          </w:tcPr>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22,75 m;</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95 % CI:</w:t>
            </w: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12,00; 33,50</w:t>
            </w:r>
          </w:p>
        </w:tc>
        <w:tc>
          <w:tcPr>
            <w:tcW w:w="660" w:type="pct"/>
            <w:tcBorders>
              <w:top w:val="single" w:sz="4" w:space="0" w:color="000000"/>
              <w:left w:val="single" w:sz="4" w:space="0" w:color="000000"/>
              <w:bottom w:val="single" w:sz="4" w:space="0" w:color="000000"/>
              <w:right w:val="single" w:sz="4" w:space="0" w:color="000000"/>
            </w:tcBorders>
          </w:tcPr>
          <w:p w:rsidR="00673CCD" w:rsidRPr="00F32462" w:rsidRDefault="00673CCD" w:rsidP="003B4BCE">
            <w:pPr>
              <w:pStyle w:val="TableParagraph"/>
              <w:spacing w:before="0"/>
              <w:ind w:left="137" w:right="-1"/>
              <w:jc w:val="center"/>
              <w:rPr>
                <w:rFonts w:ascii="Times New Roman" w:hAnsi="Times New Roman" w:cs="Times New Roman"/>
                <w:b/>
                <w:sz w:val="24"/>
                <w:szCs w:val="24"/>
                <w:lang w:val="da-DK"/>
              </w:rPr>
            </w:pPr>
          </w:p>
          <w:p w:rsidR="00673CCD" w:rsidRPr="00F32462" w:rsidRDefault="00673CCD" w:rsidP="003B4BCE">
            <w:pPr>
              <w:pStyle w:val="TableParagraph"/>
              <w:spacing w:before="0"/>
              <w:ind w:left="137" w:right="-1"/>
              <w:jc w:val="center"/>
              <w:rPr>
                <w:rFonts w:ascii="Times New Roman" w:hAnsi="Times New Roman" w:cs="Times New Roman"/>
                <w:sz w:val="24"/>
                <w:szCs w:val="24"/>
                <w:lang w:val="da-DK"/>
              </w:rPr>
            </w:pPr>
            <w:r w:rsidRPr="00F32462">
              <w:rPr>
                <w:rFonts w:ascii="Times New Roman" w:hAnsi="Times New Roman" w:cs="Times New Roman"/>
                <w:sz w:val="24"/>
                <w:szCs w:val="24"/>
                <w:lang w:val="da-DK"/>
              </w:rPr>
              <w:t>P &lt; 0,0001</w:t>
            </w:r>
          </w:p>
        </w:tc>
      </w:tr>
    </w:tbl>
    <w:p w:rsidR="00673CCD" w:rsidRPr="00ED27CD" w:rsidRDefault="00673CCD" w:rsidP="00673CCD">
      <w:pPr>
        <w:pStyle w:val="Brdtekst"/>
        <w:ind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 xml:space="preserve">Idiopatisk </w:t>
      </w:r>
      <w:proofErr w:type="spellStart"/>
      <w:r w:rsidRPr="00F32462">
        <w:rPr>
          <w:sz w:val="24"/>
          <w:szCs w:val="24"/>
          <w:u w:val="single"/>
          <w:lang w:val="da-DK"/>
        </w:rPr>
        <w:t>pulmonal</w:t>
      </w:r>
      <w:proofErr w:type="spellEnd"/>
      <w:r w:rsidRPr="00F32462">
        <w:rPr>
          <w:sz w:val="24"/>
          <w:szCs w:val="24"/>
          <w:u w:val="single"/>
          <w:lang w:val="da-DK"/>
        </w:rPr>
        <w:t xml:space="preserve"> fibrose</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Der er udført et studie med 492 patienter (</w:t>
      </w:r>
      <w:proofErr w:type="spellStart"/>
      <w:r w:rsidRPr="00F32462">
        <w:rPr>
          <w:sz w:val="24"/>
          <w:szCs w:val="24"/>
          <w:lang w:val="da-DK"/>
        </w:rPr>
        <w:t>ambrisentan</w:t>
      </w:r>
      <w:proofErr w:type="spellEnd"/>
      <w:r w:rsidRPr="00F32462">
        <w:rPr>
          <w:sz w:val="24"/>
          <w:szCs w:val="24"/>
          <w:lang w:val="da-DK"/>
        </w:rPr>
        <w:t xml:space="preserve"> N = 329, placebo N = 163) med idiopatisk </w:t>
      </w:r>
      <w:proofErr w:type="spellStart"/>
      <w:r w:rsidRPr="00F32462">
        <w:rPr>
          <w:sz w:val="24"/>
          <w:szCs w:val="24"/>
          <w:lang w:val="da-DK"/>
        </w:rPr>
        <w:t>pulmonal</w:t>
      </w:r>
      <w:proofErr w:type="spellEnd"/>
      <w:r w:rsidRPr="00F32462">
        <w:rPr>
          <w:sz w:val="24"/>
          <w:szCs w:val="24"/>
          <w:lang w:val="da-DK"/>
        </w:rPr>
        <w:t xml:space="preserve"> fibrose (IPF), hvoraf 11 % havde sekundær </w:t>
      </w:r>
      <w:proofErr w:type="spellStart"/>
      <w:r w:rsidRPr="00F32462">
        <w:rPr>
          <w:sz w:val="24"/>
          <w:szCs w:val="24"/>
          <w:lang w:val="da-DK"/>
        </w:rPr>
        <w:t>pulmonal</w:t>
      </w:r>
      <w:proofErr w:type="spellEnd"/>
      <w:r w:rsidRPr="00F32462">
        <w:rPr>
          <w:sz w:val="24"/>
          <w:szCs w:val="24"/>
          <w:lang w:val="da-DK"/>
        </w:rPr>
        <w:t xml:space="preserve"> hypertension (WHO-gruppe 3). Studiet blev imidlertid stoppet tidligt, efter at det blev fastslået, at studiet ikke kunne nå det primære endepunkt for effekt (ARTEMIS-IPF-studiet). 90 tilfælde (27 %) af IPF-progression (inklusive respiratorisk betingede hospitalsindlæggelser) eller død blev set i </w:t>
      </w:r>
      <w:proofErr w:type="spellStart"/>
      <w:r w:rsidRPr="00F32462">
        <w:rPr>
          <w:sz w:val="24"/>
          <w:szCs w:val="24"/>
          <w:lang w:val="da-DK"/>
        </w:rPr>
        <w:t>ambrisentangruppen</w:t>
      </w:r>
      <w:proofErr w:type="spellEnd"/>
      <w:r w:rsidRPr="00F32462">
        <w:rPr>
          <w:sz w:val="24"/>
          <w:szCs w:val="24"/>
          <w:lang w:val="da-DK"/>
        </w:rPr>
        <w:t xml:space="preserve"> sammenlignet med 28 tilfælde (17 %) i placebogruppen. </w:t>
      </w:r>
      <w:proofErr w:type="spellStart"/>
      <w:r w:rsidRPr="00F32462">
        <w:rPr>
          <w:sz w:val="24"/>
          <w:szCs w:val="24"/>
          <w:lang w:val="da-DK"/>
        </w:rPr>
        <w:t>Ambrisentan</w:t>
      </w:r>
      <w:proofErr w:type="spellEnd"/>
      <w:r w:rsidRPr="00F32462">
        <w:rPr>
          <w:sz w:val="24"/>
          <w:szCs w:val="24"/>
          <w:lang w:val="da-DK"/>
        </w:rPr>
        <w:t xml:space="preserve"> er derfor kontraindiceret hos patienter med IPF med eller uden sekundær </w:t>
      </w:r>
      <w:proofErr w:type="spellStart"/>
      <w:r w:rsidRPr="00F32462">
        <w:rPr>
          <w:sz w:val="24"/>
          <w:szCs w:val="24"/>
          <w:lang w:val="da-DK"/>
        </w:rPr>
        <w:t>pulmonal</w:t>
      </w:r>
      <w:proofErr w:type="spellEnd"/>
      <w:r w:rsidRPr="00F32462">
        <w:rPr>
          <w:sz w:val="24"/>
          <w:szCs w:val="24"/>
          <w:lang w:val="da-DK"/>
        </w:rPr>
        <w:t xml:space="preserve"> hypertension (se pkt. 4.3).</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5.2</w:t>
      </w:r>
      <w:r w:rsidRPr="00F32462">
        <w:rPr>
          <w:b/>
          <w:sz w:val="24"/>
          <w:szCs w:val="24"/>
        </w:rPr>
        <w:tab/>
      </w:r>
      <w:proofErr w:type="spellStart"/>
      <w:r w:rsidRPr="00F32462">
        <w:rPr>
          <w:b/>
          <w:sz w:val="24"/>
          <w:szCs w:val="24"/>
        </w:rPr>
        <w:t>Farmakokinetiske</w:t>
      </w:r>
      <w:proofErr w:type="spellEnd"/>
      <w:r w:rsidRPr="00F32462">
        <w:rPr>
          <w:b/>
          <w:sz w:val="24"/>
          <w:szCs w:val="24"/>
        </w:rPr>
        <w:t xml:space="preserve"> egenskaber</w:t>
      </w:r>
    </w:p>
    <w:p w:rsidR="00673CCD" w:rsidRDefault="00673CCD" w:rsidP="00673CCD">
      <w:pPr>
        <w:pStyle w:val="Brdtekst"/>
        <w:ind w:right="-1"/>
        <w:rPr>
          <w:sz w:val="24"/>
          <w:szCs w:val="24"/>
          <w:u w:val="single"/>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Absorption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absorberes hurtigt hos mennesker. Efter oral administration ses maksimal plasmakoncentration (C</w:t>
      </w:r>
      <w:r w:rsidRPr="00F32462">
        <w:rPr>
          <w:position w:val="-1"/>
          <w:sz w:val="24"/>
          <w:szCs w:val="24"/>
          <w:vertAlign w:val="subscript"/>
          <w:lang w:val="da-DK"/>
        </w:rPr>
        <w:t>max</w:t>
      </w:r>
      <w:r w:rsidRPr="00F32462">
        <w:rPr>
          <w:sz w:val="24"/>
          <w:szCs w:val="24"/>
          <w:lang w:val="da-DK"/>
        </w:rPr>
        <w:t xml:space="preserve">) af </w:t>
      </w:r>
      <w:proofErr w:type="spellStart"/>
      <w:r w:rsidRPr="00F32462">
        <w:rPr>
          <w:sz w:val="24"/>
          <w:szCs w:val="24"/>
          <w:lang w:val="da-DK"/>
        </w:rPr>
        <w:t>ambrisentan</w:t>
      </w:r>
      <w:proofErr w:type="spellEnd"/>
      <w:r w:rsidRPr="00F32462">
        <w:rPr>
          <w:sz w:val="24"/>
          <w:szCs w:val="24"/>
          <w:lang w:val="da-DK"/>
        </w:rPr>
        <w:t xml:space="preserve"> typisk ca. 1,5 timer efter indgift ved både faste og sammen med mad.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og arealet under </w:t>
      </w:r>
      <w:proofErr w:type="spellStart"/>
      <w:r w:rsidRPr="00F32462">
        <w:rPr>
          <w:sz w:val="24"/>
          <w:szCs w:val="24"/>
          <w:lang w:val="da-DK"/>
        </w:rPr>
        <w:t>plasmakoncentations</w:t>
      </w:r>
      <w:proofErr w:type="spellEnd"/>
      <w:r w:rsidRPr="00F32462">
        <w:rPr>
          <w:sz w:val="24"/>
          <w:szCs w:val="24"/>
          <w:lang w:val="da-DK"/>
        </w:rPr>
        <w:t xml:space="preserve">-tidskurven (AUC) stiger dosisproportionalt over hele det terapeutiske interval. </w:t>
      </w:r>
      <w:proofErr w:type="spellStart"/>
      <w:r w:rsidRPr="00F32462">
        <w:rPr>
          <w:i/>
          <w:sz w:val="24"/>
          <w:szCs w:val="24"/>
          <w:lang w:val="da-DK"/>
        </w:rPr>
        <w:t>Steady</w:t>
      </w:r>
      <w:proofErr w:type="spellEnd"/>
      <w:r w:rsidRPr="00F32462">
        <w:rPr>
          <w:i/>
          <w:sz w:val="24"/>
          <w:szCs w:val="24"/>
          <w:lang w:val="da-DK"/>
        </w:rPr>
        <w:t xml:space="preserve"> </w:t>
      </w:r>
      <w:proofErr w:type="spellStart"/>
      <w:r w:rsidRPr="00F32462">
        <w:rPr>
          <w:i/>
          <w:sz w:val="24"/>
          <w:szCs w:val="24"/>
          <w:lang w:val="da-DK"/>
        </w:rPr>
        <w:t>state</w:t>
      </w:r>
      <w:proofErr w:type="spellEnd"/>
      <w:r w:rsidRPr="00F32462">
        <w:rPr>
          <w:i/>
          <w:sz w:val="24"/>
          <w:szCs w:val="24"/>
          <w:lang w:val="da-DK"/>
        </w:rPr>
        <w:t xml:space="preserve"> </w:t>
      </w:r>
      <w:r w:rsidRPr="00F32462">
        <w:rPr>
          <w:sz w:val="24"/>
          <w:szCs w:val="24"/>
          <w:lang w:val="da-DK"/>
        </w:rPr>
        <w:t>nås generelt efter 4 dage med gentagen dosering.</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Et studie af indvirkningen af mad hos raske frivillige, som fik </w:t>
      </w:r>
      <w:proofErr w:type="spellStart"/>
      <w:r w:rsidRPr="00F32462">
        <w:rPr>
          <w:sz w:val="24"/>
          <w:szCs w:val="24"/>
          <w:lang w:val="da-DK"/>
        </w:rPr>
        <w:t>ambrisentan</w:t>
      </w:r>
      <w:proofErr w:type="spellEnd"/>
      <w:r w:rsidRPr="00F32462">
        <w:rPr>
          <w:sz w:val="24"/>
          <w:szCs w:val="24"/>
          <w:lang w:val="da-DK"/>
        </w:rPr>
        <w:t xml:space="preserve"> under henholdsvis faste og sammen med et måltid med højt fedtindhold, viste, at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faldt 12 %, mens AUC var uændret. Dette fald i peak-koncentrationen er ikke klinisk signifikant, og </w:t>
      </w:r>
      <w:proofErr w:type="spellStart"/>
      <w:r w:rsidRPr="00F32462">
        <w:rPr>
          <w:sz w:val="24"/>
          <w:szCs w:val="24"/>
          <w:lang w:val="da-DK"/>
        </w:rPr>
        <w:t>ambrisentan</w:t>
      </w:r>
      <w:proofErr w:type="spellEnd"/>
      <w:r w:rsidRPr="00F32462">
        <w:rPr>
          <w:sz w:val="24"/>
          <w:szCs w:val="24"/>
          <w:lang w:val="da-DK"/>
        </w:rPr>
        <w:t xml:space="preserve"> kan derfor tages med eller uden mad.</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Fordeling</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stærkt bundet til plasmaproteiner. </w:t>
      </w:r>
      <w:r w:rsidRPr="00F32462">
        <w:rPr>
          <w:i/>
          <w:sz w:val="24"/>
          <w:szCs w:val="24"/>
          <w:lang w:val="da-DK"/>
        </w:rPr>
        <w:t xml:space="preserve">In </w:t>
      </w:r>
      <w:proofErr w:type="spellStart"/>
      <w:r w:rsidRPr="00F32462">
        <w:rPr>
          <w:i/>
          <w:sz w:val="24"/>
          <w:szCs w:val="24"/>
          <w:lang w:val="da-DK"/>
        </w:rPr>
        <w:t>vitro</w:t>
      </w:r>
      <w:proofErr w:type="spellEnd"/>
      <w:r w:rsidRPr="00F32462">
        <w:rPr>
          <w:sz w:val="24"/>
          <w:szCs w:val="24"/>
          <w:lang w:val="da-DK"/>
        </w:rPr>
        <w:t xml:space="preserve">-plasmaproteinbindingen for </w:t>
      </w:r>
      <w:proofErr w:type="spellStart"/>
      <w:r w:rsidRPr="00F32462">
        <w:rPr>
          <w:sz w:val="24"/>
          <w:szCs w:val="24"/>
          <w:lang w:val="da-DK"/>
        </w:rPr>
        <w:t>ambrisentan</w:t>
      </w:r>
      <w:proofErr w:type="spellEnd"/>
      <w:r w:rsidRPr="00F32462">
        <w:rPr>
          <w:sz w:val="24"/>
          <w:szCs w:val="24"/>
          <w:lang w:val="da-DK"/>
        </w:rPr>
        <w:t xml:space="preserve"> var gennemsnitligt 98,8 % og uafhængig af koncentrationen i intervallet 0,2-20 mikrogram/ml.</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bindes primært til albumin (96,5 %) og i mindre grad til alfa</w:t>
      </w:r>
      <w:r w:rsidRPr="00F32462">
        <w:rPr>
          <w:position w:val="-1"/>
          <w:sz w:val="24"/>
          <w:szCs w:val="24"/>
          <w:lang w:val="da-DK"/>
        </w:rPr>
        <w:t>1</w:t>
      </w:r>
      <w:r w:rsidRPr="00F32462">
        <w:rPr>
          <w:sz w:val="24"/>
          <w:szCs w:val="24"/>
          <w:lang w:val="da-DK"/>
        </w:rPr>
        <w:t>-syre-</w:t>
      </w:r>
      <w:proofErr w:type="spellStart"/>
      <w:r w:rsidRPr="00F32462">
        <w:rPr>
          <w:sz w:val="24"/>
          <w:szCs w:val="24"/>
          <w:lang w:val="da-DK"/>
        </w:rPr>
        <w:t>glykoprotein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Fordelingen af </w:t>
      </w:r>
      <w:proofErr w:type="spellStart"/>
      <w:r w:rsidRPr="00F32462">
        <w:rPr>
          <w:sz w:val="24"/>
          <w:szCs w:val="24"/>
          <w:lang w:val="da-DK"/>
        </w:rPr>
        <w:t>ambrisentan</w:t>
      </w:r>
      <w:proofErr w:type="spellEnd"/>
      <w:r w:rsidRPr="00F32462">
        <w:rPr>
          <w:sz w:val="24"/>
          <w:szCs w:val="24"/>
          <w:lang w:val="da-DK"/>
        </w:rPr>
        <w:t xml:space="preserve"> i de røde blodlegemer er lav med et middel forhold mellem blod og plasma på henholdsvis 0,57 og 0,61 hos mænd og kvinder.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Biotransformation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er et non-sulfonamid (</w:t>
      </w:r>
      <w:proofErr w:type="spellStart"/>
      <w:r w:rsidRPr="00F32462">
        <w:rPr>
          <w:sz w:val="24"/>
          <w:szCs w:val="24"/>
          <w:lang w:val="da-DK"/>
        </w:rPr>
        <w:t>propionsyre</w:t>
      </w:r>
      <w:proofErr w:type="spellEnd"/>
      <w:r w:rsidRPr="00F32462">
        <w:rPr>
          <w:sz w:val="24"/>
          <w:szCs w:val="24"/>
          <w:lang w:val="da-DK"/>
        </w:rPr>
        <w:t>)-ERA.</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bliver </w:t>
      </w:r>
      <w:proofErr w:type="spellStart"/>
      <w:r w:rsidRPr="00F32462">
        <w:rPr>
          <w:sz w:val="24"/>
          <w:szCs w:val="24"/>
          <w:lang w:val="da-DK"/>
        </w:rPr>
        <w:t>glukuronideret</w:t>
      </w:r>
      <w:proofErr w:type="spellEnd"/>
      <w:r w:rsidRPr="00F32462">
        <w:rPr>
          <w:sz w:val="24"/>
          <w:szCs w:val="24"/>
          <w:lang w:val="da-DK"/>
        </w:rPr>
        <w:t xml:space="preserve"> via adskillige UGT-</w:t>
      </w:r>
      <w:proofErr w:type="spellStart"/>
      <w:r w:rsidRPr="00F32462">
        <w:rPr>
          <w:sz w:val="24"/>
          <w:szCs w:val="24"/>
          <w:lang w:val="da-DK"/>
        </w:rPr>
        <w:t>isoenzymer</w:t>
      </w:r>
      <w:proofErr w:type="spellEnd"/>
      <w:r w:rsidRPr="00F32462">
        <w:rPr>
          <w:sz w:val="24"/>
          <w:szCs w:val="24"/>
          <w:lang w:val="da-DK"/>
        </w:rPr>
        <w:t xml:space="preserve"> (UGT1A9S, UGT2B7S og UGT1A3S), og derved dannes </w:t>
      </w:r>
      <w:proofErr w:type="spellStart"/>
      <w:r w:rsidRPr="00F32462">
        <w:rPr>
          <w:sz w:val="24"/>
          <w:szCs w:val="24"/>
          <w:lang w:val="da-DK"/>
        </w:rPr>
        <w:t>ambrisentan-glukuronid</w:t>
      </w:r>
      <w:proofErr w:type="spellEnd"/>
      <w:r w:rsidRPr="00F32462">
        <w:rPr>
          <w:sz w:val="24"/>
          <w:szCs w:val="24"/>
          <w:lang w:val="da-DK"/>
        </w:rPr>
        <w:t xml:space="preserve"> (13 %). </w:t>
      </w:r>
      <w:proofErr w:type="spellStart"/>
      <w:r w:rsidRPr="00F32462">
        <w:rPr>
          <w:sz w:val="24"/>
          <w:szCs w:val="24"/>
          <w:lang w:val="da-DK"/>
        </w:rPr>
        <w:t>Ambrisentan</w:t>
      </w:r>
      <w:proofErr w:type="spellEnd"/>
      <w:r w:rsidRPr="00F32462">
        <w:rPr>
          <w:sz w:val="24"/>
          <w:szCs w:val="24"/>
          <w:lang w:val="da-DK"/>
        </w:rPr>
        <w:t xml:space="preserve"> gennemgår også </w:t>
      </w:r>
      <w:proofErr w:type="spellStart"/>
      <w:r w:rsidRPr="00F32462">
        <w:rPr>
          <w:sz w:val="24"/>
          <w:szCs w:val="24"/>
          <w:lang w:val="da-DK"/>
        </w:rPr>
        <w:t>oxidativ</w:t>
      </w:r>
      <w:proofErr w:type="spellEnd"/>
      <w:r w:rsidRPr="00F32462">
        <w:rPr>
          <w:sz w:val="24"/>
          <w:szCs w:val="24"/>
          <w:lang w:val="da-DK"/>
        </w:rPr>
        <w:t xml:space="preserve"> metabolisme, hovedsagelig vha. CYP3A4 og i mindre grad CYP3A5 og CYP2C19. Herved dannes 4-hydroxymethyl-ambrisentan (21 %), som yderligere </w:t>
      </w:r>
      <w:proofErr w:type="spellStart"/>
      <w:r w:rsidRPr="00F32462">
        <w:rPr>
          <w:sz w:val="24"/>
          <w:szCs w:val="24"/>
          <w:lang w:val="da-DK"/>
        </w:rPr>
        <w:t>glukuronideres</w:t>
      </w:r>
      <w:proofErr w:type="spellEnd"/>
      <w:r w:rsidRPr="00F32462">
        <w:rPr>
          <w:sz w:val="24"/>
          <w:szCs w:val="24"/>
          <w:lang w:val="da-DK"/>
        </w:rPr>
        <w:t xml:space="preserve"> til 4-hydroxymethyl-ambrisentan-glukuronid (5 %). Bindingsaffiniteten til den menneskelige </w:t>
      </w:r>
      <w:proofErr w:type="spellStart"/>
      <w:r w:rsidRPr="00F32462">
        <w:rPr>
          <w:sz w:val="24"/>
          <w:szCs w:val="24"/>
          <w:lang w:val="da-DK"/>
        </w:rPr>
        <w:t>endotelin</w:t>
      </w:r>
      <w:proofErr w:type="spellEnd"/>
      <w:r w:rsidRPr="00F32462">
        <w:rPr>
          <w:sz w:val="24"/>
          <w:szCs w:val="24"/>
          <w:lang w:val="da-DK"/>
        </w:rPr>
        <w:t xml:space="preserve">-receptor er 65 gange mindre for 4-hydroxymethyl-ambrisentan end for </w:t>
      </w:r>
      <w:proofErr w:type="spellStart"/>
      <w:r w:rsidRPr="00F32462">
        <w:rPr>
          <w:sz w:val="24"/>
          <w:szCs w:val="24"/>
          <w:lang w:val="da-DK"/>
        </w:rPr>
        <w:t>ambrisentan</w:t>
      </w:r>
      <w:proofErr w:type="spellEnd"/>
      <w:r w:rsidRPr="00F32462">
        <w:rPr>
          <w:sz w:val="24"/>
          <w:szCs w:val="24"/>
          <w:lang w:val="da-DK"/>
        </w:rPr>
        <w:t xml:space="preserve">. 4-hydroxymethyl-ambrisentan forventes derfor ikke at bidrage til </w:t>
      </w:r>
      <w:proofErr w:type="spellStart"/>
      <w:r w:rsidRPr="00F32462">
        <w:rPr>
          <w:sz w:val="24"/>
          <w:szCs w:val="24"/>
          <w:lang w:val="da-DK"/>
        </w:rPr>
        <w:t>ambrisentans</w:t>
      </w:r>
      <w:proofErr w:type="spellEnd"/>
      <w:r w:rsidRPr="00F32462">
        <w:rPr>
          <w:sz w:val="24"/>
          <w:szCs w:val="24"/>
          <w:lang w:val="da-DK"/>
        </w:rPr>
        <w:t xml:space="preserve"> farmakologiske aktivitet i de koncentrationer, der ses i plasma (ca. 4 % i forhold til oprindelig </w:t>
      </w:r>
      <w:proofErr w:type="spellStart"/>
      <w:r w:rsidRPr="00F32462">
        <w:rPr>
          <w:sz w:val="24"/>
          <w:szCs w:val="24"/>
          <w:lang w:val="da-DK"/>
        </w:rPr>
        <w:t>ambrisentan</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i/>
          <w:sz w:val="24"/>
          <w:szCs w:val="24"/>
          <w:lang w:val="da-DK"/>
        </w:rPr>
        <w:t xml:space="preserve">In </w:t>
      </w:r>
      <w:proofErr w:type="spellStart"/>
      <w:r w:rsidRPr="00F32462">
        <w:rPr>
          <w:i/>
          <w:sz w:val="24"/>
          <w:szCs w:val="24"/>
          <w:lang w:val="da-DK"/>
        </w:rPr>
        <w:t>vitro</w:t>
      </w:r>
      <w:proofErr w:type="spellEnd"/>
      <w:r w:rsidRPr="00F32462">
        <w:rPr>
          <w:i/>
          <w:sz w:val="24"/>
          <w:szCs w:val="24"/>
          <w:lang w:val="da-DK"/>
        </w:rPr>
        <w:t>-</w:t>
      </w:r>
      <w:r w:rsidRPr="00F32462">
        <w:rPr>
          <w:sz w:val="24"/>
          <w:szCs w:val="24"/>
          <w:lang w:val="da-DK"/>
        </w:rPr>
        <w:t xml:space="preserve">data indikerer, at </w:t>
      </w:r>
      <w:proofErr w:type="spellStart"/>
      <w:r w:rsidRPr="00F32462">
        <w:rPr>
          <w:sz w:val="24"/>
          <w:szCs w:val="24"/>
          <w:lang w:val="da-DK"/>
        </w:rPr>
        <w:t>ambrisentan</w:t>
      </w:r>
      <w:proofErr w:type="spellEnd"/>
      <w:r w:rsidRPr="00F32462">
        <w:rPr>
          <w:sz w:val="24"/>
          <w:szCs w:val="24"/>
          <w:lang w:val="da-DK"/>
        </w:rPr>
        <w:t xml:space="preserve"> ved 300 µM resulterede i mindre end 50 % hæmning af UGT1A1, UGT1A6, UGT1A9, UGT2B7 (op til 30 %) eller af CYP-enzymerne 1A2, 2A6, 2B6, 2C8, 2C9, 2C19, 2D6, 2E1 og 3A4 (op til 25 %). </w:t>
      </w:r>
      <w:r w:rsidRPr="00F32462">
        <w:rPr>
          <w:i/>
          <w:sz w:val="24"/>
          <w:szCs w:val="24"/>
          <w:lang w:val="da-DK"/>
        </w:rPr>
        <w:t xml:space="preserve">In </w:t>
      </w:r>
      <w:proofErr w:type="spellStart"/>
      <w:r w:rsidRPr="00F32462">
        <w:rPr>
          <w:i/>
          <w:sz w:val="24"/>
          <w:szCs w:val="24"/>
          <w:lang w:val="da-DK"/>
        </w:rPr>
        <w:t>vitro</w:t>
      </w:r>
      <w:proofErr w:type="spellEnd"/>
      <w:r w:rsidRPr="00F32462">
        <w:rPr>
          <w:i/>
          <w:sz w:val="24"/>
          <w:szCs w:val="24"/>
          <w:lang w:val="da-DK"/>
        </w:rPr>
        <w:t xml:space="preserve"> </w:t>
      </w:r>
      <w:r w:rsidRPr="00F32462">
        <w:rPr>
          <w:sz w:val="24"/>
          <w:szCs w:val="24"/>
          <w:lang w:val="da-DK"/>
        </w:rPr>
        <w:t xml:space="preserve">har </w:t>
      </w:r>
      <w:proofErr w:type="spellStart"/>
      <w:r w:rsidRPr="00F32462">
        <w:rPr>
          <w:sz w:val="24"/>
          <w:szCs w:val="24"/>
          <w:lang w:val="da-DK"/>
        </w:rPr>
        <w:t>ambrisentan</w:t>
      </w:r>
      <w:proofErr w:type="spellEnd"/>
      <w:r w:rsidRPr="00F32462">
        <w:rPr>
          <w:sz w:val="24"/>
          <w:szCs w:val="24"/>
          <w:lang w:val="da-DK"/>
        </w:rPr>
        <w:t xml:space="preserve"> ingen hæmmende effekt på humane transportører ved klinisk relevante koncentrationer, herunder </w:t>
      </w:r>
      <w:proofErr w:type="spellStart"/>
      <w:r w:rsidRPr="00F32462">
        <w:rPr>
          <w:sz w:val="24"/>
          <w:szCs w:val="24"/>
          <w:lang w:val="da-DK"/>
        </w:rPr>
        <w:t>Pgp</w:t>
      </w:r>
      <w:proofErr w:type="spellEnd"/>
      <w:r w:rsidRPr="00F32462">
        <w:rPr>
          <w:sz w:val="24"/>
          <w:szCs w:val="24"/>
          <w:lang w:val="da-DK"/>
        </w:rPr>
        <w:t xml:space="preserve">, BCRP, MRP2, BSEP, OATP1B1, OATP1B3 og NTCP. Endvidere inducerede </w:t>
      </w:r>
      <w:proofErr w:type="spellStart"/>
      <w:r w:rsidRPr="00F32462">
        <w:rPr>
          <w:sz w:val="24"/>
          <w:szCs w:val="24"/>
          <w:lang w:val="da-DK"/>
        </w:rPr>
        <w:t>ambrisentan</w:t>
      </w:r>
      <w:proofErr w:type="spellEnd"/>
      <w:r w:rsidRPr="00F32462">
        <w:rPr>
          <w:sz w:val="24"/>
          <w:szCs w:val="24"/>
          <w:lang w:val="da-DK"/>
        </w:rPr>
        <w:t xml:space="preserve"> ikke ekspression af MRP2, P-gp eller BSEP i rotte-</w:t>
      </w:r>
      <w:proofErr w:type="spellStart"/>
      <w:r w:rsidRPr="00F32462">
        <w:rPr>
          <w:sz w:val="24"/>
          <w:szCs w:val="24"/>
          <w:lang w:val="da-DK"/>
        </w:rPr>
        <w:t>hepatocytter</w:t>
      </w:r>
      <w:proofErr w:type="spellEnd"/>
      <w:r w:rsidRPr="00F32462">
        <w:rPr>
          <w:sz w:val="24"/>
          <w:szCs w:val="24"/>
          <w:lang w:val="da-DK"/>
        </w:rPr>
        <w:t xml:space="preserve">. Samlet set antyder </w:t>
      </w:r>
      <w:r w:rsidRPr="00F32462">
        <w:rPr>
          <w:i/>
          <w:sz w:val="24"/>
          <w:szCs w:val="24"/>
          <w:lang w:val="da-DK"/>
        </w:rPr>
        <w:t xml:space="preserve">in </w:t>
      </w:r>
      <w:proofErr w:type="spellStart"/>
      <w:r w:rsidRPr="00F32462">
        <w:rPr>
          <w:i/>
          <w:sz w:val="24"/>
          <w:szCs w:val="24"/>
          <w:lang w:val="da-DK"/>
        </w:rPr>
        <w:t>vitro</w:t>
      </w:r>
      <w:proofErr w:type="spellEnd"/>
      <w:r w:rsidRPr="00F32462">
        <w:rPr>
          <w:i/>
          <w:sz w:val="24"/>
          <w:szCs w:val="24"/>
          <w:lang w:val="da-DK"/>
        </w:rPr>
        <w:t>-</w:t>
      </w:r>
      <w:r w:rsidRPr="00F32462">
        <w:rPr>
          <w:sz w:val="24"/>
          <w:szCs w:val="24"/>
          <w:lang w:val="da-DK"/>
        </w:rPr>
        <w:t xml:space="preserve">data, at </w:t>
      </w:r>
      <w:proofErr w:type="spellStart"/>
      <w:r w:rsidRPr="00F32462">
        <w:rPr>
          <w:sz w:val="24"/>
          <w:szCs w:val="24"/>
          <w:lang w:val="da-DK"/>
        </w:rPr>
        <w:t>ambrisentan</w:t>
      </w:r>
      <w:proofErr w:type="spellEnd"/>
      <w:r w:rsidRPr="00F32462">
        <w:rPr>
          <w:sz w:val="24"/>
          <w:szCs w:val="24"/>
          <w:lang w:val="da-DK"/>
        </w:rPr>
        <w:t xml:space="preserve"> ikke kan forventes at have en effekt på UGT1A1, UGT1A6, UGT1A9, UGT2B7 eller CYP-enzymerne 1A2, 2A6, 2B6, 2C8, 2C9, 2C19, 2D6, 2E1, 3A4 eller transport via BSEP, BCRP, P-gp, MRP2, OATP1B1/3 eller NTCP ved klinisk relevante koncentrationer (plasma-C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op til 3,2 µM).</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w:t>
      </w:r>
      <w:proofErr w:type="spellStart"/>
      <w:r w:rsidRPr="00F32462">
        <w:rPr>
          <w:i/>
          <w:sz w:val="24"/>
          <w:szCs w:val="24"/>
          <w:lang w:val="da-DK"/>
        </w:rPr>
        <w:t>steady</w:t>
      </w:r>
      <w:proofErr w:type="spellEnd"/>
      <w:r w:rsidRPr="00F32462">
        <w:rPr>
          <w:i/>
          <w:sz w:val="24"/>
          <w:szCs w:val="24"/>
          <w:lang w:val="da-DK"/>
        </w:rPr>
        <w:t xml:space="preserve"> </w:t>
      </w:r>
      <w:proofErr w:type="spellStart"/>
      <w:r w:rsidRPr="00F32462">
        <w:rPr>
          <w:i/>
          <w:sz w:val="24"/>
          <w:szCs w:val="24"/>
          <w:lang w:val="da-DK"/>
        </w:rPr>
        <w:t>state-</w:t>
      </w:r>
      <w:r w:rsidRPr="00F32462">
        <w:rPr>
          <w:sz w:val="24"/>
          <w:szCs w:val="24"/>
          <w:lang w:val="da-DK"/>
        </w:rPr>
        <w:t>ambrisentan</w:t>
      </w:r>
      <w:proofErr w:type="spellEnd"/>
      <w:r w:rsidRPr="00F32462">
        <w:rPr>
          <w:sz w:val="24"/>
          <w:szCs w:val="24"/>
          <w:lang w:val="da-DK"/>
        </w:rPr>
        <w:t xml:space="preserve"> (10 mg én gang daglig) på farmakokinetikken og </w:t>
      </w:r>
      <w:proofErr w:type="spellStart"/>
      <w:r w:rsidRPr="00F32462">
        <w:rPr>
          <w:sz w:val="24"/>
          <w:szCs w:val="24"/>
          <w:lang w:val="da-DK"/>
        </w:rPr>
        <w:t>farmakodynamikken</w:t>
      </w:r>
      <w:proofErr w:type="spellEnd"/>
      <w:r w:rsidRPr="00F32462">
        <w:rPr>
          <w:sz w:val="24"/>
          <w:szCs w:val="24"/>
          <w:lang w:val="da-DK"/>
        </w:rPr>
        <w:t xml:space="preserve"> af en enkelt dosis </w:t>
      </w:r>
      <w:proofErr w:type="spellStart"/>
      <w:r w:rsidRPr="00F32462">
        <w:rPr>
          <w:sz w:val="24"/>
          <w:szCs w:val="24"/>
          <w:lang w:val="da-DK"/>
        </w:rPr>
        <w:t>warfarin</w:t>
      </w:r>
      <w:proofErr w:type="spellEnd"/>
      <w:r w:rsidRPr="00F32462">
        <w:rPr>
          <w:sz w:val="24"/>
          <w:szCs w:val="24"/>
          <w:lang w:val="da-DK"/>
        </w:rPr>
        <w:t xml:space="preserve"> (25 mg) (målt vha. PT og INR) blev undersøgt hos 20 raske frivillige. </w:t>
      </w:r>
      <w:proofErr w:type="spellStart"/>
      <w:r w:rsidRPr="00F32462">
        <w:rPr>
          <w:sz w:val="24"/>
          <w:szCs w:val="24"/>
          <w:lang w:val="da-DK"/>
        </w:rPr>
        <w:t>Ambrisentan</w:t>
      </w:r>
      <w:proofErr w:type="spellEnd"/>
      <w:r w:rsidRPr="00F32462">
        <w:rPr>
          <w:sz w:val="24"/>
          <w:szCs w:val="24"/>
          <w:lang w:val="da-DK"/>
        </w:rPr>
        <w:t xml:space="preserve"> havde ikke nogen klinisk relevant effekt på farmakokinetikken eller </w:t>
      </w:r>
      <w:proofErr w:type="spellStart"/>
      <w:r w:rsidRPr="00F32462">
        <w:rPr>
          <w:sz w:val="24"/>
          <w:szCs w:val="24"/>
          <w:lang w:val="da-DK"/>
        </w:rPr>
        <w:t>farmakodynamikken</w:t>
      </w:r>
      <w:proofErr w:type="spellEnd"/>
      <w:r w:rsidRPr="00F32462">
        <w:rPr>
          <w:sz w:val="24"/>
          <w:szCs w:val="24"/>
          <w:lang w:val="da-DK"/>
        </w:rPr>
        <w:t xml:space="preserve"> af </w:t>
      </w:r>
      <w:proofErr w:type="spellStart"/>
      <w:r w:rsidRPr="00F32462">
        <w:rPr>
          <w:sz w:val="24"/>
          <w:szCs w:val="24"/>
          <w:lang w:val="da-DK"/>
        </w:rPr>
        <w:t>warfarin</w:t>
      </w:r>
      <w:proofErr w:type="spellEnd"/>
      <w:r w:rsidRPr="00F32462">
        <w:rPr>
          <w:sz w:val="24"/>
          <w:szCs w:val="24"/>
          <w:lang w:val="da-DK"/>
        </w:rPr>
        <w:t xml:space="preserve">. På samme måde påvirker samtidig administration af </w:t>
      </w:r>
      <w:proofErr w:type="spellStart"/>
      <w:r w:rsidRPr="00F32462">
        <w:rPr>
          <w:sz w:val="24"/>
          <w:szCs w:val="24"/>
          <w:lang w:val="da-DK"/>
        </w:rPr>
        <w:t>warfarin</w:t>
      </w:r>
      <w:proofErr w:type="spellEnd"/>
      <w:r w:rsidRPr="00F32462">
        <w:rPr>
          <w:sz w:val="24"/>
          <w:szCs w:val="24"/>
          <w:lang w:val="da-DK"/>
        </w:rPr>
        <w:t xml:space="preserve"> ikke farmakokinetikken af </w:t>
      </w:r>
      <w:proofErr w:type="spellStart"/>
      <w:r w:rsidRPr="00F32462">
        <w:rPr>
          <w:sz w:val="24"/>
          <w:szCs w:val="24"/>
          <w:lang w:val="da-DK"/>
        </w:rPr>
        <w:t>ambrisentan</w:t>
      </w:r>
      <w:proofErr w:type="spellEnd"/>
      <w:r w:rsidRPr="00F32462">
        <w:rPr>
          <w:sz w:val="24"/>
          <w:szCs w:val="24"/>
          <w:lang w:val="da-DK"/>
        </w:rPr>
        <w:t xml:space="preserve"> (se pkt.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7 dages indgift af </w:t>
      </w:r>
      <w:proofErr w:type="spellStart"/>
      <w:r w:rsidRPr="00F32462">
        <w:rPr>
          <w:sz w:val="24"/>
          <w:szCs w:val="24"/>
          <w:lang w:val="da-DK"/>
        </w:rPr>
        <w:t>sildenafil</w:t>
      </w:r>
      <w:proofErr w:type="spellEnd"/>
      <w:r w:rsidRPr="00F32462">
        <w:rPr>
          <w:sz w:val="24"/>
          <w:szCs w:val="24"/>
          <w:lang w:val="da-DK"/>
        </w:rPr>
        <w:t xml:space="preserve"> (20 mg tre gange daglig) på farmakokinetikken af en enkelt dosis </w:t>
      </w:r>
      <w:proofErr w:type="spellStart"/>
      <w:r w:rsidRPr="00F32462">
        <w:rPr>
          <w:sz w:val="24"/>
          <w:szCs w:val="24"/>
          <w:lang w:val="da-DK"/>
        </w:rPr>
        <w:t>ambrisentan</w:t>
      </w:r>
      <w:proofErr w:type="spellEnd"/>
      <w:r w:rsidRPr="00F32462">
        <w:rPr>
          <w:sz w:val="24"/>
          <w:szCs w:val="24"/>
          <w:lang w:val="da-DK"/>
        </w:rPr>
        <w:t xml:space="preserve">, og virkningen af 7 dages indgift af </w:t>
      </w:r>
      <w:proofErr w:type="spellStart"/>
      <w:r w:rsidRPr="00F32462">
        <w:rPr>
          <w:sz w:val="24"/>
          <w:szCs w:val="24"/>
          <w:lang w:val="da-DK"/>
        </w:rPr>
        <w:t>ambrisentan</w:t>
      </w:r>
      <w:proofErr w:type="spellEnd"/>
      <w:r w:rsidRPr="00F32462">
        <w:rPr>
          <w:sz w:val="24"/>
          <w:szCs w:val="24"/>
          <w:lang w:val="da-DK"/>
        </w:rPr>
        <w:t xml:space="preserve"> (10 mg én gang daglig) på farmakokinetikken af en enkelt dosis </w:t>
      </w:r>
      <w:proofErr w:type="spellStart"/>
      <w:r w:rsidRPr="00F32462">
        <w:rPr>
          <w:sz w:val="24"/>
          <w:szCs w:val="24"/>
          <w:lang w:val="da-DK"/>
        </w:rPr>
        <w:t>sildenafil</w:t>
      </w:r>
      <w:proofErr w:type="spellEnd"/>
      <w:r w:rsidRPr="00F32462">
        <w:rPr>
          <w:sz w:val="24"/>
          <w:szCs w:val="24"/>
          <w:lang w:val="da-DK"/>
        </w:rPr>
        <w:t xml:space="preserve"> blev undersøgt hos 19 raske frivillige. Med undtagelse af en 13 % stigning i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for </w:t>
      </w:r>
      <w:proofErr w:type="spellStart"/>
      <w:r w:rsidRPr="00F32462">
        <w:rPr>
          <w:sz w:val="24"/>
          <w:szCs w:val="24"/>
          <w:lang w:val="da-DK"/>
        </w:rPr>
        <w:t>sildenafil</w:t>
      </w:r>
      <w:proofErr w:type="spellEnd"/>
      <w:r w:rsidRPr="00F32462">
        <w:rPr>
          <w:sz w:val="24"/>
          <w:szCs w:val="24"/>
          <w:lang w:val="da-DK"/>
        </w:rPr>
        <w:t xml:space="preserve"> efter samtidig administration af </w:t>
      </w:r>
      <w:proofErr w:type="spellStart"/>
      <w:r w:rsidRPr="00F32462">
        <w:rPr>
          <w:sz w:val="24"/>
          <w:szCs w:val="24"/>
          <w:lang w:val="da-DK"/>
        </w:rPr>
        <w:t>ambrisentan</w:t>
      </w:r>
      <w:proofErr w:type="spellEnd"/>
      <w:r w:rsidRPr="00F32462">
        <w:rPr>
          <w:sz w:val="24"/>
          <w:szCs w:val="24"/>
          <w:lang w:val="da-DK"/>
        </w:rPr>
        <w:t xml:space="preserve"> var der ingen ændringer i de </w:t>
      </w:r>
      <w:proofErr w:type="spellStart"/>
      <w:r w:rsidRPr="00F32462">
        <w:rPr>
          <w:sz w:val="24"/>
          <w:szCs w:val="24"/>
          <w:lang w:val="da-DK"/>
        </w:rPr>
        <w:t>farmakokinetiske</w:t>
      </w:r>
      <w:proofErr w:type="spellEnd"/>
      <w:r w:rsidRPr="00F32462">
        <w:rPr>
          <w:sz w:val="24"/>
          <w:szCs w:val="24"/>
          <w:lang w:val="da-DK"/>
        </w:rPr>
        <w:t xml:space="preserve"> parametre for hverken </w:t>
      </w:r>
      <w:proofErr w:type="spellStart"/>
      <w:r w:rsidRPr="00F32462">
        <w:rPr>
          <w:sz w:val="24"/>
          <w:szCs w:val="24"/>
          <w:lang w:val="da-DK"/>
        </w:rPr>
        <w:t>sildenafil</w:t>
      </w:r>
      <w:proofErr w:type="spellEnd"/>
      <w:r w:rsidRPr="00F32462">
        <w:rPr>
          <w:sz w:val="24"/>
          <w:szCs w:val="24"/>
          <w:lang w:val="da-DK"/>
        </w:rPr>
        <w:t>, N-</w:t>
      </w:r>
      <w:proofErr w:type="spellStart"/>
      <w:r w:rsidRPr="00F32462">
        <w:rPr>
          <w:sz w:val="24"/>
          <w:szCs w:val="24"/>
          <w:lang w:val="da-DK"/>
        </w:rPr>
        <w:t>desmethyl</w:t>
      </w:r>
      <w:proofErr w:type="spellEnd"/>
      <w:r w:rsidRPr="00F32462">
        <w:rPr>
          <w:sz w:val="24"/>
          <w:szCs w:val="24"/>
          <w:lang w:val="da-DK"/>
        </w:rPr>
        <w:t>-</w:t>
      </w:r>
      <w:proofErr w:type="spellStart"/>
      <w:r w:rsidRPr="00F32462">
        <w:rPr>
          <w:sz w:val="24"/>
          <w:szCs w:val="24"/>
          <w:lang w:val="da-DK"/>
        </w:rPr>
        <w:t>sildenafil</w:t>
      </w:r>
      <w:proofErr w:type="spellEnd"/>
      <w:r w:rsidRPr="00F32462">
        <w:rPr>
          <w:sz w:val="24"/>
          <w:szCs w:val="24"/>
          <w:lang w:val="da-DK"/>
        </w:rPr>
        <w:t xml:space="preserve"> eller </w:t>
      </w:r>
      <w:proofErr w:type="spellStart"/>
      <w:r w:rsidRPr="00F32462">
        <w:rPr>
          <w:sz w:val="24"/>
          <w:szCs w:val="24"/>
          <w:lang w:val="da-DK"/>
        </w:rPr>
        <w:t>ambrisentan</w:t>
      </w:r>
      <w:proofErr w:type="spellEnd"/>
      <w:r w:rsidRPr="00F32462">
        <w:rPr>
          <w:sz w:val="24"/>
          <w:szCs w:val="24"/>
          <w:lang w:val="da-DK"/>
        </w:rPr>
        <w:t>. Den lette stigning i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for </w:t>
      </w:r>
      <w:proofErr w:type="spellStart"/>
      <w:r w:rsidRPr="00F32462">
        <w:rPr>
          <w:sz w:val="24"/>
          <w:szCs w:val="24"/>
          <w:lang w:val="da-DK"/>
        </w:rPr>
        <w:t>sildenafil</w:t>
      </w:r>
      <w:proofErr w:type="spellEnd"/>
      <w:r w:rsidRPr="00F32462">
        <w:rPr>
          <w:sz w:val="24"/>
          <w:szCs w:val="24"/>
          <w:lang w:val="da-DK"/>
        </w:rPr>
        <w:t xml:space="preserve"> anses ikke for klinisk relevant (se pkt.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w:t>
      </w:r>
      <w:proofErr w:type="spellStart"/>
      <w:r w:rsidRPr="00F32462">
        <w:rPr>
          <w:sz w:val="24"/>
          <w:szCs w:val="24"/>
          <w:lang w:val="da-DK"/>
        </w:rPr>
        <w:t>ambrisentan</w:t>
      </w:r>
      <w:proofErr w:type="spellEnd"/>
      <w:r w:rsidRPr="00F32462">
        <w:rPr>
          <w:sz w:val="24"/>
          <w:szCs w:val="24"/>
          <w:lang w:val="da-DK"/>
        </w:rPr>
        <w:t xml:space="preserve"> ved </w:t>
      </w:r>
      <w:proofErr w:type="spellStart"/>
      <w:r w:rsidRPr="00F32462">
        <w:rPr>
          <w:i/>
          <w:sz w:val="24"/>
          <w:szCs w:val="24"/>
          <w:lang w:val="da-DK"/>
        </w:rPr>
        <w:t>steady</w:t>
      </w:r>
      <w:proofErr w:type="spellEnd"/>
      <w:r w:rsidRPr="00F32462">
        <w:rPr>
          <w:i/>
          <w:sz w:val="24"/>
          <w:szCs w:val="24"/>
          <w:lang w:val="da-DK"/>
        </w:rPr>
        <w:t xml:space="preserve"> </w:t>
      </w:r>
      <w:proofErr w:type="spellStart"/>
      <w:r w:rsidRPr="00F32462">
        <w:rPr>
          <w:i/>
          <w:sz w:val="24"/>
          <w:szCs w:val="24"/>
          <w:lang w:val="da-DK"/>
        </w:rPr>
        <w:t>state</w:t>
      </w:r>
      <w:proofErr w:type="spellEnd"/>
      <w:r w:rsidRPr="00F32462">
        <w:rPr>
          <w:i/>
          <w:sz w:val="24"/>
          <w:szCs w:val="24"/>
          <w:lang w:val="da-DK"/>
        </w:rPr>
        <w:t xml:space="preserve"> </w:t>
      </w:r>
      <w:r w:rsidRPr="00F32462">
        <w:rPr>
          <w:sz w:val="24"/>
          <w:szCs w:val="24"/>
          <w:lang w:val="da-DK"/>
        </w:rPr>
        <w:t xml:space="preserve">(10 mg én gang daglig) på farmakokinetikken af en enkelt dosis </w:t>
      </w:r>
      <w:proofErr w:type="spellStart"/>
      <w:r w:rsidRPr="00F32462">
        <w:rPr>
          <w:sz w:val="24"/>
          <w:szCs w:val="24"/>
          <w:lang w:val="da-DK"/>
        </w:rPr>
        <w:t>tadalafil</w:t>
      </w:r>
      <w:proofErr w:type="spellEnd"/>
      <w:r w:rsidRPr="00F32462">
        <w:rPr>
          <w:sz w:val="24"/>
          <w:szCs w:val="24"/>
          <w:lang w:val="da-DK"/>
        </w:rPr>
        <w:t xml:space="preserve">, og virkningen af </w:t>
      </w:r>
      <w:proofErr w:type="spellStart"/>
      <w:r w:rsidRPr="00F32462">
        <w:rPr>
          <w:sz w:val="24"/>
          <w:szCs w:val="24"/>
          <w:lang w:val="da-DK"/>
        </w:rPr>
        <w:t>tadalafil</w:t>
      </w:r>
      <w:proofErr w:type="spellEnd"/>
      <w:r w:rsidRPr="00F32462">
        <w:rPr>
          <w:sz w:val="24"/>
          <w:szCs w:val="24"/>
          <w:lang w:val="da-DK"/>
        </w:rPr>
        <w:t xml:space="preserve"> ved </w:t>
      </w:r>
      <w:proofErr w:type="spellStart"/>
      <w:r w:rsidRPr="00F32462">
        <w:rPr>
          <w:i/>
          <w:sz w:val="24"/>
          <w:szCs w:val="24"/>
          <w:lang w:val="da-DK"/>
        </w:rPr>
        <w:t>steady</w:t>
      </w:r>
      <w:proofErr w:type="spellEnd"/>
      <w:r w:rsidRPr="00F32462">
        <w:rPr>
          <w:i/>
          <w:sz w:val="24"/>
          <w:szCs w:val="24"/>
          <w:lang w:val="da-DK"/>
        </w:rPr>
        <w:t xml:space="preserve"> </w:t>
      </w:r>
      <w:proofErr w:type="spellStart"/>
      <w:r w:rsidRPr="00F32462">
        <w:rPr>
          <w:i/>
          <w:sz w:val="24"/>
          <w:szCs w:val="24"/>
          <w:lang w:val="da-DK"/>
        </w:rPr>
        <w:t>state</w:t>
      </w:r>
      <w:proofErr w:type="spellEnd"/>
      <w:r w:rsidRPr="00F32462">
        <w:rPr>
          <w:i/>
          <w:sz w:val="24"/>
          <w:szCs w:val="24"/>
          <w:lang w:val="da-DK"/>
        </w:rPr>
        <w:t xml:space="preserve"> </w:t>
      </w:r>
      <w:r w:rsidRPr="00F32462">
        <w:rPr>
          <w:sz w:val="24"/>
          <w:szCs w:val="24"/>
          <w:lang w:val="da-DK"/>
        </w:rPr>
        <w:t xml:space="preserve">(40 mg én gang daglig) på farmakokinetikken af en enkelt dosis </w:t>
      </w:r>
      <w:proofErr w:type="spellStart"/>
      <w:r w:rsidRPr="00F32462">
        <w:rPr>
          <w:sz w:val="24"/>
          <w:szCs w:val="24"/>
          <w:lang w:val="da-DK"/>
        </w:rPr>
        <w:t>ambrisentan</w:t>
      </w:r>
      <w:proofErr w:type="spellEnd"/>
      <w:r w:rsidRPr="00F32462">
        <w:rPr>
          <w:sz w:val="24"/>
          <w:szCs w:val="24"/>
          <w:lang w:val="da-DK"/>
        </w:rPr>
        <w:t xml:space="preserve"> blev undersøgt hos 23 raske frivillige. </w:t>
      </w:r>
      <w:proofErr w:type="spellStart"/>
      <w:r w:rsidRPr="00F32462">
        <w:rPr>
          <w:sz w:val="24"/>
          <w:szCs w:val="24"/>
          <w:lang w:val="da-DK"/>
        </w:rPr>
        <w:t>Ambrisentan</w:t>
      </w:r>
      <w:proofErr w:type="spellEnd"/>
      <w:r w:rsidRPr="00F32462">
        <w:rPr>
          <w:sz w:val="24"/>
          <w:szCs w:val="24"/>
          <w:lang w:val="da-DK"/>
        </w:rPr>
        <w:t xml:space="preserve"> havde ikke nogen klinisk relevant effekt på farmakokinetikken af </w:t>
      </w:r>
      <w:proofErr w:type="spellStart"/>
      <w:r w:rsidRPr="00F32462">
        <w:rPr>
          <w:sz w:val="24"/>
          <w:szCs w:val="24"/>
          <w:lang w:val="da-DK"/>
        </w:rPr>
        <w:t>tadalafil</w:t>
      </w:r>
      <w:proofErr w:type="spellEnd"/>
      <w:r w:rsidRPr="00F32462">
        <w:rPr>
          <w:sz w:val="24"/>
          <w:szCs w:val="24"/>
          <w:lang w:val="da-DK"/>
        </w:rPr>
        <w:t xml:space="preserve">. På samme måde påvirker samtidig administration af </w:t>
      </w:r>
      <w:proofErr w:type="spellStart"/>
      <w:r w:rsidRPr="00F32462">
        <w:rPr>
          <w:sz w:val="24"/>
          <w:szCs w:val="24"/>
          <w:lang w:val="da-DK"/>
        </w:rPr>
        <w:t>tadalafil</w:t>
      </w:r>
      <w:proofErr w:type="spellEnd"/>
      <w:r w:rsidRPr="00F32462">
        <w:rPr>
          <w:sz w:val="24"/>
          <w:szCs w:val="24"/>
          <w:lang w:val="da-DK"/>
        </w:rPr>
        <w:t xml:space="preserve"> ikke farmakokinetikken af </w:t>
      </w:r>
      <w:proofErr w:type="spellStart"/>
      <w:r w:rsidRPr="00F32462">
        <w:rPr>
          <w:sz w:val="24"/>
          <w:szCs w:val="24"/>
          <w:lang w:val="da-DK"/>
        </w:rPr>
        <w:t>ambrisentan</w:t>
      </w:r>
      <w:proofErr w:type="spellEnd"/>
      <w:r w:rsidRPr="00F32462">
        <w:rPr>
          <w:sz w:val="24"/>
          <w:szCs w:val="24"/>
          <w:lang w:val="da-DK"/>
        </w:rPr>
        <w:t xml:space="preserve"> (se pkt.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gentagne doser </w:t>
      </w:r>
      <w:proofErr w:type="spellStart"/>
      <w:r w:rsidRPr="00F32462">
        <w:rPr>
          <w:sz w:val="24"/>
          <w:szCs w:val="24"/>
          <w:lang w:val="da-DK"/>
        </w:rPr>
        <w:t>ketoconazol</w:t>
      </w:r>
      <w:proofErr w:type="spellEnd"/>
      <w:r w:rsidRPr="00F32462">
        <w:rPr>
          <w:sz w:val="24"/>
          <w:szCs w:val="24"/>
          <w:lang w:val="da-DK"/>
        </w:rPr>
        <w:t xml:space="preserve"> (400 mg én gang daglig) på farmakokinetikken </w:t>
      </w:r>
      <w:r w:rsidRPr="00F32462">
        <w:rPr>
          <w:sz w:val="24"/>
          <w:szCs w:val="24"/>
          <w:lang w:val="da-DK"/>
        </w:rPr>
        <w:lastRenderedPageBreak/>
        <w:t xml:space="preserve">af en enkelt dosis </w:t>
      </w:r>
      <w:proofErr w:type="spellStart"/>
      <w:r w:rsidRPr="00F32462">
        <w:rPr>
          <w:sz w:val="24"/>
          <w:szCs w:val="24"/>
          <w:lang w:val="da-DK"/>
        </w:rPr>
        <w:t>ambrisentan</w:t>
      </w:r>
      <w:proofErr w:type="spellEnd"/>
      <w:r w:rsidRPr="00F32462">
        <w:rPr>
          <w:sz w:val="24"/>
          <w:szCs w:val="24"/>
          <w:lang w:val="da-DK"/>
        </w:rPr>
        <w:t xml:space="preserve"> på 10 mg blev undersøgt hos 16 raske frivillige. Eksponeringen for </w:t>
      </w:r>
      <w:proofErr w:type="spellStart"/>
      <w:r w:rsidRPr="00F32462">
        <w:rPr>
          <w:sz w:val="24"/>
          <w:szCs w:val="24"/>
          <w:lang w:val="da-DK"/>
        </w:rPr>
        <w:t>ambrisentan</w:t>
      </w:r>
      <w:proofErr w:type="spellEnd"/>
      <w:r w:rsidRPr="00F32462">
        <w:rPr>
          <w:sz w:val="24"/>
          <w:szCs w:val="24"/>
          <w:lang w:val="da-DK"/>
        </w:rPr>
        <w:t xml:space="preserve"> blev målt vha. AUC</w:t>
      </w:r>
      <w:r w:rsidRPr="00F32462">
        <w:rPr>
          <w:position w:val="-1"/>
          <w:sz w:val="24"/>
          <w:szCs w:val="24"/>
          <w:lang w:val="da-DK"/>
        </w:rPr>
        <w:t xml:space="preserve">(0-inf) </w:t>
      </w:r>
      <w:r w:rsidRPr="00F32462">
        <w:rPr>
          <w:sz w:val="24"/>
          <w:szCs w:val="24"/>
          <w:lang w:val="da-DK"/>
        </w:rPr>
        <w:t>og C</w:t>
      </w:r>
      <w:r w:rsidRPr="00F32462">
        <w:rPr>
          <w:position w:val="-1"/>
          <w:sz w:val="24"/>
          <w:szCs w:val="24"/>
          <w:vertAlign w:val="subscript"/>
          <w:lang w:val="da-DK"/>
        </w:rPr>
        <w:t>max</w:t>
      </w:r>
      <w:r w:rsidRPr="00F32462">
        <w:rPr>
          <w:sz w:val="24"/>
          <w:szCs w:val="24"/>
          <w:lang w:val="da-DK"/>
        </w:rPr>
        <w:t xml:space="preserve">, og der sås en stigning på henholdsvis 35 % og 20 %. Denne ændring i eksponering forventes ikke at have klinisk relevans, og </w:t>
      </w:r>
      <w:proofErr w:type="spellStart"/>
      <w:r w:rsidRPr="00F32462">
        <w:rPr>
          <w:sz w:val="24"/>
          <w:szCs w:val="24"/>
          <w:lang w:val="da-DK"/>
        </w:rPr>
        <w:t>ambrisentan</w:t>
      </w:r>
      <w:proofErr w:type="spellEnd"/>
      <w:r w:rsidRPr="00F32462">
        <w:rPr>
          <w:sz w:val="24"/>
          <w:szCs w:val="24"/>
          <w:lang w:val="da-DK"/>
        </w:rPr>
        <w:t xml:space="preserve"> kan derfor administreres samtidigt med </w:t>
      </w:r>
      <w:proofErr w:type="spellStart"/>
      <w:r w:rsidRPr="00F32462">
        <w:rPr>
          <w:sz w:val="24"/>
          <w:szCs w:val="24"/>
          <w:lang w:val="da-DK"/>
        </w:rPr>
        <w:t>ketoconazol</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gentagen indgift af </w:t>
      </w:r>
      <w:proofErr w:type="spellStart"/>
      <w:r w:rsidRPr="00F32462">
        <w:rPr>
          <w:sz w:val="24"/>
          <w:szCs w:val="24"/>
          <w:lang w:val="da-DK"/>
        </w:rPr>
        <w:t>ciclosporin</w:t>
      </w:r>
      <w:proofErr w:type="spellEnd"/>
      <w:r w:rsidRPr="00F32462">
        <w:rPr>
          <w:sz w:val="24"/>
          <w:szCs w:val="24"/>
          <w:lang w:val="da-DK"/>
        </w:rPr>
        <w:t xml:space="preserve"> (100-150 mg to gange daglig) på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-farmakokinetikken af </w:t>
      </w:r>
      <w:proofErr w:type="spellStart"/>
      <w:r w:rsidRPr="00F32462">
        <w:rPr>
          <w:sz w:val="24"/>
          <w:szCs w:val="24"/>
          <w:lang w:val="da-DK"/>
        </w:rPr>
        <w:t>ambrisentan</w:t>
      </w:r>
      <w:proofErr w:type="spellEnd"/>
      <w:r w:rsidRPr="00F32462">
        <w:rPr>
          <w:sz w:val="24"/>
          <w:szCs w:val="24"/>
          <w:lang w:val="da-DK"/>
        </w:rPr>
        <w:t xml:space="preserve"> (5 mg én gang daglig) og virkningen af gentagen indgift af </w:t>
      </w:r>
      <w:proofErr w:type="spellStart"/>
      <w:r w:rsidRPr="00F32462">
        <w:rPr>
          <w:sz w:val="24"/>
          <w:szCs w:val="24"/>
          <w:lang w:val="da-DK"/>
        </w:rPr>
        <w:t>ambrisentan</w:t>
      </w:r>
      <w:proofErr w:type="spellEnd"/>
      <w:r w:rsidRPr="00F32462">
        <w:rPr>
          <w:sz w:val="24"/>
          <w:szCs w:val="24"/>
          <w:lang w:val="da-DK"/>
        </w:rPr>
        <w:t xml:space="preserve"> (5 mg én gang daglig) på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-farmakokinetikken af </w:t>
      </w:r>
      <w:proofErr w:type="spellStart"/>
      <w:r w:rsidRPr="00F32462">
        <w:rPr>
          <w:sz w:val="24"/>
          <w:szCs w:val="24"/>
          <w:lang w:val="da-DK"/>
        </w:rPr>
        <w:t>ciclosporin</w:t>
      </w:r>
      <w:proofErr w:type="spellEnd"/>
      <w:r w:rsidRPr="00F32462">
        <w:rPr>
          <w:sz w:val="24"/>
          <w:szCs w:val="24"/>
          <w:lang w:val="da-DK"/>
        </w:rPr>
        <w:t> A (100-150 mg to gange daglig) blev undersøgt hos raske frivillige.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og AUC</w:t>
      </w:r>
      <w:r w:rsidRPr="00F32462">
        <w:rPr>
          <w:position w:val="-1"/>
          <w:sz w:val="24"/>
          <w:szCs w:val="24"/>
          <w:vertAlign w:val="subscript"/>
          <w:lang w:val="da-DK"/>
        </w:rPr>
        <w:t>(0–t)</w:t>
      </w:r>
      <w:r w:rsidRPr="00F32462">
        <w:rPr>
          <w:position w:val="-1"/>
          <w:sz w:val="24"/>
          <w:szCs w:val="24"/>
          <w:lang w:val="da-DK"/>
        </w:rPr>
        <w:t xml:space="preserve"> </w:t>
      </w:r>
      <w:r w:rsidRPr="00F32462">
        <w:rPr>
          <w:sz w:val="24"/>
          <w:szCs w:val="24"/>
          <w:lang w:val="da-DK"/>
        </w:rPr>
        <w:t xml:space="preserve">for </w:t>
      </w:r>
      <w:proofErr w:type="spellStart"/>
      <w:r w:rsidRPr="00F32462">
        <w:rPr>
          <w:sz w:val="24"/>
          <w:szCs w:val="24"/>
          <w:lang w:val="da-DK"/>
        </w:rPr>
        <w:t>ambrisentan</w:t>
      </w:r>
      <w:proofErr w:type="spellEnd"/>
      <w:r w:rsidRPr="00F32462">
        <w:rPr>
          <w:sz w:val="24"/>
          <w:szCs w:val="24"/>
          <w:lang w:val="da-DK"/>
        </w:rPr>
        <w:t xml:space="preserve"> blev forøget (henholdsvis 48 % og 121 %) ved samtidig administration af flere doser </w:t>
      </w:r>
      <w:proofErr w:type="spellStart"/>
      <w:r w:rsidRPr="00F32462">
        <w:rPr>
          <w:sz w:val="24"/>
          <w:szCs w:val="24"/>
          <w:lang w:val="da-DK"/>
        </w:rPr>
        <w:t>ciclosporin</w:t>
      </w:r>
      <w:proofErr w:type="spellEnd"/>
      <w:r w:rsidRPr="00F32462">
        <w:rPr>
          <w:sz w:val="24"/>
          <w:szCs w:val="24"/>
          <w:lang w:val="da-DK"/>
        </w:rPr>
        <w:t xml:space="preserve"> A. Baseret på disse ændringer skal doseringen af </w:t>
      </w:r>
      <w:proofErr w:type="spellStart"/>
      <w:r w:rsidRPr="00F32462">
        <w:rPr>
          <w:sz w:val="24"/>
          <w:szCs w:val="24"/>
          <w:lang w:val="da-DK"/>
        </w:rPr>
        <w:t>ambrisentan</w:t>
      </w:r>
      <w:proofErr w:type="spellEnd"/>
      <w:r w:rsidRPr="00F32462">
        <w:rPr>
          <w:sz w:val="24"/>
          <w:szCs w:val="24"/>
          <w:lang w:val="da-DK"/>
        </w:rPr>
        <w:t xml:space="preserve"> begrænses til 5 mg én gang daglig, når det administreres samtidigt med </w:t>
      </w:r>
      <w:proofErr w:type="spellStart"/>
      <w:r w:rsidRPr="00F32462">
        <w:rPr>
          <w:sz w:val="24"/>
          <w:szCs w:val="24"/>
          <w:lang w:val="da-DK"/>
        </w:rPr>
        <w:t>ciclosporin</w:t>
      </w:r>
      <w:proofErr w:type="spellEnd"/>
      <w:r w:rsidRPr="00F32462">
        <w:rPr>
          <w:sz w:val="24"/>
          <w:szCs w:val="24"/>
          <w:lang w:val="da-DK"/>
        </w:rPr>
        <w:t xml:space="preserve"> A (se pkt. 4.2). Administration af multiple doser </w:t>
      </w:r>
      <w:proofErr w:type="spellStart"/>
      <w:r w:rsidRPr="00F32462">
        <w:rPr>
          <w:sz w:val="24"/>
          <w:szCs w:val="24"/>
          <w:lang w:val="da-DK"/>
        </w:rPr>
        <w:t>ambrisentan</w:t>
      </w:r>
      <w:proofErr w:type="spellEnd"/>
      <w:r w:rsidRPr="00F32462">
        <w:rPr>
          <w:sz w:val="24"/>
          <w:szCs w:val="24"/>
          <w:lang w:val="da-DK"/>
        </w:rPr>
        <w:t xml:space="preserve"> har imidlertid ingen klinisk relevant virkning på </w:t>
      </w:r>
      <w:proofErr w:type="spellStart"/>
      <w:r w:rsidRPr="00F32462">
        <w:rPr>
          <w:sz w:val="24"/>
          <w:szCs w:val="24"/>
          <w:lang w:val="da-DK"/>
        </w:rPr>
        <w:t>ciclosporin</w:t>
      </w:r>
      <w:proofErr w:type="spellEnd"/>
      <w:r w:rsidRPr="00F32462">
        <w:rPr>
          <w:sz w:val="24"/>
          <w:szCs w:val="24"/>
          <w:lang w:val="da-DK"/>
        </w:rPr>
        <w:t xml:space="preserve"> A-eksponeringen, og dosisjustering af </w:t>
      </w:r>
      <w:proofErr w:type="spellStart"/>
      <w:r w:rsidRPr="00F32462">
        <w:rPr>
          <w:sz w:val="24"/>
          <w:szCs w:val="24"/>
          <w:lang w:val="da-DK"/>
        </w:rPr>
        <w:t>ciclosporin</w:t>
      </w:r>
      <w:proofErr w:type="spellEnd"/>
      <w:r w:rsidRPr="00F32462">
        <w:rPr>
          <w:sz w:val="24"/>
          <w:szCs w:val="24"/>
          <w:lang w:val="da-DK"/>
        </w:rPr>
        <w:t> A er ikke påkrævet.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på </w:t>
      </w:r>
      <w:proofErr w:type="spellStart"/>
      <w:r w:rsidRPr="00F32462">
        <w:rPr>
          <w:i/>
          <w:sz w:val="24"/>
          <w:szCs w:val="24"/>
          <w:lang w:val="da-DK"/>
        </w:rPr>
        <w:t>steady</w:t>
      </w:r>
      <w:proofErr w:type="spellEnd"/>
      <w:r w:rsidRPr="00F32462">
        <w:rPr>
          <w:i/>
          <w:sz w:val="24"/>
          <w:szCs w:val="24"/>
          <w:lang w:val="da-DK"/>
        </w:rPr>
        <w:t xml:space="preserve"> state</w:t>
      </w:r>
      <w:r w:rsidRPr="00F32462">
        <w:rPr>
          <w:sz w:val="24"/>
          <w:szCs w:val="24"/>
          <w:lang w:val="da-DK"/>
        </w:rPr>
        <w:t xml:space="preserve">-farmakokinetikken af </w:t>
      </w:r>
      <w:proofErr w:type="spellStart"/>
      <w:r w:rsidRPr="00F32462">
        <w:rPr>
          <w:sz w:val="24"/>
          <w:szCs w:val="24"/>
          <w:lang w:val="da-DK"/>
        </w:rPr>
        <w:t>ambrisentan</w:t>
      </w:r>
      <w:proofErr w:type="spellEnd"/>
      <w:r w:rsidRPr="00F32462">
        <w:rPr>
          <w:sz w:val="24"/>
          <w:szCs w:val="24"/>
          <w:lang w:val="da-DK"/>
        </w:rPr>
        <w:t xml:space="preserve"> (10 mg én gang daglig) efter akutte og gentagne doser </w:t>
      </w:r>
      <w:proofErr w:type="spellStart"/>
      <w:r w:rsidRPr="00F32462">
        <w:rPr>
          <w:sz w:val="24"/>
          <w:szCs w:val="24"/>
          <w:lang w:val="da-DK"/>
        </w:rPr>
        <w:t>rifampicin</w:t>
      </w:r>
      <w:proofErr w:type="spellEnd"/>
      <w:r w:rsidRPr="00F32462">
        <w:rPr>
          <w:sz w:val="24"/>
          <w:szCs w:val="24"/>
          <w:lang w:val="da-DK"/>
        </w:rPr>
        <w:t xml:space="preserve"> (600 mg én gang daglig) er undersøgt hos raske frivillige personer. Efter initiale doser </w:t>
      </w:r>
      <w:proofErr w:type="spellStart"/>
      <w:r w:rsidRPr="00F32462">
        <w:rPr>
          <w:sz w:val="24"/>
          <w:szCs w:val="24"/>
          <w:lang w:val="da-DK"/>
        </w:rPr>
        <w:t>rifampicin</w:t>
      </w:r>
      <w:proofErr w:type="spellEnd"/>
      <w:r w:rsidRPr="00F32462">
        <w:rPr>
          <w:sz w:val="24"/>
          <w:szCs w:val="24"/>
          <w:lang w:val="da-DK"/>
        </w:rPr>
        <w:t xml:space="preserve"> er der set en forbigående forøgelse af </w:t>
      </w:r>
      <w:proofErr w:type="spellStart"/>
      <w:r w:rsidRPr="00F32462">
        <w:rPr>
          <w:sz w:val="24"/>
          <w:szCs w:val="24"/>
          <w:lang w:val="da-DK"/>
        </w:rPr>
        <w:t>ambrisentans</w:t>
      </w:r>
      <w:proofErr w:type="spellEnd"/>
      <w:r w:rsidRPr="00F32462">
        <w:rPr>
          <w:sz w:val="24"/>
          <w:szCs w:val="24"/>
          <w:lang w:val="da-DK"/>
        </w:rPr>
        <w:t xml:space="preserve"> AUC</w:t>
      </w:r>
      <w:r w:rsidRPr="00F32462">
        <w:rPr>
          <w:position w:val="-1"/>
          <w:sz w:val="24"/>
          <w:szCs w:val="24"/>
          <w:vertAlign w:val="subscript"/>
          <w:lang w:val="da-DK"/>
        </w:rPr>
        <w:t>(0–τ)</w:t>
      </w:r>
      <w:r w:rsidRPr="00F32462">
        <w:rPr>
          <w:position w:val="-1"/>
          <w:sz w:val="24"/>
          <w:szCs w:val="24"/>
          <w:lang w:val="da-DK"/>
        </w:rPr>
        <w:t xml:space="preserve"> </w:t>
      </w:r>
      <w:r w:rsidRPr="00F32462">
        <w:rPr>
          <w:sz w:val="24"/>
          <w:szCs w:val="24"/>
          <w:lang w:val="da-DK"/>
        </w:rPr>
        <w:t xml:space="preserve">(121 % og 116 % efter henholdsvis første og anden dosis </w:t>
      </w:r>
      <w:proofErr w:type="spellStart"/>
      <w:r w:rsidRPr="00F32462">
        <w:rPr>
          <w:sz w:val="24"/>
          <w:szCs w:val="24"/>
          <w:lang w:val="da-DK"/>
        </w:rPr>
        <w:t>rifampicin</w:t>
      </w:r>
      <w:proofErr w:type="spellEnd"/>
      <w:r w:rsidRPr="00F32462">
        <w:rPr>
          <w:sz w:val="24"/>
          <w:szCs w:val="24"/>
          <w:lang w:val="da-DK"/>
        </w:rPr>
        <w:t xml:space="preserve">), formodentlig forårsaget af en </w:t>
      </w:r>
      <w:proofErr w:type="spellStart"/>
      <w:r w:rsidRPr="00F32462">
        <w:rPr>
          <w:sz w:val="24"/>
          <w:szCs w:val="24"/>
          <w:lang w:val="da-DK"/>
        </w:rPr>
        <w:t>rifampicin</w:t>
      </w:r>
      <w:proofErr w:type="spellEnd"/>
      <w:r w:rsidRPr="00F32462">
        <w:rPr>
          <w:sz w:val="24"/>
          <w:szCs w:val="24"/>
          <w:lang w:val="da-DK"/>
        </w:rPr>
        <w:t xml:space="preserve">-medieret OATP-hæmning. Efter administration af multiple doser </w:t>
      </w:r>
      <w:proofErr w:type="spellStart"/>
      <w:r w:rsidRPr="00F32462">
        <w:rPr>
          <w:sz w:val="24"/>
          <w:szCs w:val="24"/>
          <w:lang w:val="da-DK"/>
        </w:rPr>
        <w:t>rifampicin</w:t>
      </w:r>
      <w:proofErr w:type="spellEnd"/>
      <w:r w:rsidRPr="00F32462">
        <w:rPr>
          <w:sz w:val="24"/>
          <w:szCs w:val="24"/>
          <w:lang w:val="da-DK"/>
        </w:rPr>
        <w:t xml:space="preserve"> var der dog ingen klinisk relevant virkning på </w:t>
      </w:r>
      <w:proofErr w:type="spellStart"/>
      <w:r w:rsidRPr="00F32462">
        <w:rPr>
          <w:sz w:val="24"/>
          <w:szCs w:val="24"/>
          <w:lang w:val="da-DK"/>
        </w:rPr>
        <w:t>ambrisentan</w:t>
      </w:r>
      <w:proofErr w:type="spellEnd"/>
      <w:r w:rsidRPr="00F32462">
        <w:rPr>
          <w:sz w:val="24"/>
          <w:szCs w:val="24"/>
          <w:lang w:val="da-DK"/>
        </w:rPr>
        <w:t xml:space="preserve">-eksponeringen på dag 8. Patienter, som er i </w:t>
      </w:r>
      <w:proofErr w:type="spellStart"/>
      <w:r w:rsidRPr="00F32462">
        <w:rPr>
          <w:sz w:val="24"/>
          <w:szCs w:val="24"/>
          <w:lang w:val="da-DK"/>
        </w:rPr>
        <w:t>ambrisentanbehandling</w:t>
      </w:r>
      <w:proofErr w:type="spellEnd"/>
      <w:r w:rsidRPr="00F32462">
        <w:rPr>
          <w:sz w:val="24"/>
          <w:szCs w:val="24"/>
          <w:lang w:val="da-DK"/>
        </w:rPr>
        <w:t xml:space="preserve">, skal nøje overvåges, når behandling med </w:t>
      </w:r>
      <w:proofErr w:type="spellStart"/>
      <w:r w:rsidRPr="00F32462">
        <w:rPr>
          <w:sz w:val="24"/>
          <w:szCs w:val="24"/>
          <w:lang w:val="da-DK"/>
        </w:rPr>
        <w:t>rifampicin</w:t>
      </w:r>
      <w:proofErr w:type="spellEnd"/>
      <w:r w:rsidRPr="00F32462">
        <w:rPr>
          <w:sz w:val="24"/>
          <w:szCs w:val="24"/>
          <w:lang w:val="da-DK"/>
        </w:rPr>
        <w:t xml:space="preserve"> påbegyndes (se pkt. 4.4 og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gentagen indgift af </w:t>
      </w:r>
      <w:proofErr w:type="spellStart"/>
      <w:r w:rsidRPr="00F32462">
        <w:rPr>
          <w:sz w:val="24"/>
          <w:szCs w:val="24"/>
          <w:lang w:val="da-DK"/>
        </w:rPr>
        <w:t>ambrisentan</w:t>
      </w:r>
      <w:proofErr w:type="spellEnd"/>
      <w:r w:rsidRPr="00F32462">
        <w:rPr>
          <w:sz w:val="24"/>
          <w:szCs w:val="24"/>
          <w:lang w:val="da-DK"/>
        </w:rPr>
        <w:t xml:space="preserve"> (10 mg) på farmakokinetikken af enkeltdoser </w:t>
      </w:r>
      <w:proofErr w:type="spellStart"/>
      <w:r w:rsidRPr="00F32462">
        <w:rPr>
          <w:sz w:val="24"/>
          <w:szCs w:val="24"/>
          <w:lang w:val="da-DK"/>
        </w:rPr>
        <w:t>digoxin</w:t>
      </w:r>
      <w:proofErr w:type="spellEnd"/>
      <w:r w:rsidRPr="00F32462">
        <w:rPr>
          <w:sz w:val="24"/>
          <w:szCs w:val="24"/>
          <w:lang w:val="da-DK"/>
        </w:rPr>
        <w:t xml:space="preserve"> blev undersøgt hos 15 raske frivillige. Multiple doser </w:t>
      </w:r>
      <w:proofErr w:type="spellStart"/>
      <w:r w:rsidRPr="00F32462">
        <w:rPr>
          <w:sz w:val="24"/>
          <w:szCs w:val="24"/>
          <w:lang w:val="da-DK"/>
        </w:rPr>
        <w:t>ambrisentan</w:t>
      </w:r>
      <w:proofErr w:type="spellEnd"/>
      <w:r w:rsidRPr="00F32462">
        <w:rPr>
          <w:sz w:val="24"/>
          <w:szCs w:val="24"/>
          <w:lang w:val="da-DK"/>
        </w:rPr>
        <w:t xml:space="preserve"> resulterede i lette stigninger i </w:t>
      </w:r>
      <w:proofErr w:type="spellStart"/>
      <w:r w:rsidRPr="00F32462">
        <w:rPr>
          <w:sz w:val="24"/>
          <w:szCs w:val="24"/>
          <w:lang w:val="da-DK"/>
        </w:rPr>
        <w:t>digoxin</w:t>
      </w:r>
      <w:proofErr w:type="spellEnd"/>
      <w:r w:rsidRPr="00F32462">
        <w:rPr>
          <w:sz w:val="24"/>
          <w:szCs w:val="24"/>
          <w:lang w:val="da-DK"/>
        </w:rPr>
        <w:t xml:space="preserve"> AUC</w:t>
      </w:r>
      <w:r w:rsidRPr="00F32462">
        <w:rPr>
          <w:position w:val="-1"/>
          <w:sz w:val="24"/>
          <w:szCs w:val="24"/>
          <w:lang w:val="da-DK"/>
        </w:rPr>
        <w:t xml:space="preserve">0-last </w:t>
      </w:r>
      <w:r w:rsidRPr="00F32462">
        <w:rPr>
          <w:sz w:val="24"/>
          <w:szCs w:val="24"/>
          <w:lang w:val="da-DK"/>
        </w:rPr>
        <w:t xml:space="preserve">og lavpunktskoncentrationer samt en 29 % stigning i </w:t>
      </w:r>
      <w:proofErr w:type="spellStart"/>
      <w:r w:rsidRPr="00F32462">
        <w:rPr>
          <w:sz w:val="24"/>
          <w:szCs w:val="24"/>
          <w:lang w:val="da-DK"/>
        </w:rPr>
        <w:t>digoxins</w:t>
      </w:r>
      <w:proofErr w:type="spellEnd"/>
      <w:r w:rsidRPr="00F32462">
        <w:rPr>
          <w:sz w:val="24"/>
          <w:szCs w:val="24"/>
          <w:lang w:val="da-DK"/>
        </w:rPr>
        <w:t xml:space="preserve"> C</w:t>
      </w:r>
      <w:r w:rsidRPr="00F32462">
        <w:rPr>
          <w:position w:val="-1"/>
          <w:sz w:val="24"/>
          <w:szCs w:val="24"/>
          <w:lang w:val="da-DK"/>
        </w:rPr>
        <w:t>max</w:t>
      </w:r>
      <w:r w:rsidRPr="00F32462">
        <w:rPr>
          <w:sz w:val="24"/>
          <w:szCs w:val="24"/>
          <w:lang w:val="da-DK"/>
        </w:rPr>
        <w:t xml:space="preserve">. Stigningen i </w:t>
      </w:r>
      <w:proofErr w:type="spellStart"/>
      <w:r w:rsidRPr="00F32462">
        <w:rPr>
          <w:sz w:val="24"/>
          <w:szCs w:val="24"/>
          <w:lang w:val="da-DK"/>
        </w:rPr>
        <w:t>digoxin</w:t>
      </w:r>
      <w:proofErr w:type="spellEnd"/>
      <w:r w:rsidRPr="00F32462">
        <w:rPr>
          <w:sz w:val="24"/>
          <w:szCs w:val="24"/>
          <w:lang w:val="da-DK"/>
        </w:rPr>
        <w:t xml:space="preserve">-eksponering ved multiple doser </w:t>
      </w:r>
      <w:proofErr w:type="spellStart"/>
      <w:r w:rsidRPr="00F32462">
        <w:rPr>
          <w:sz w:val="24"/>
          <w:szCs w:val="24"/>
          <w:lang w:val="da-DK"/>
        </w:rPr>
        <w:t>ambrisentan</w:t>
      </w:r>
      <w:proofErr w:type="spellEnd"/>
      <w:r w:rsidRPr="00F32462">
        <w:rPr>
          <w:sz w:val="24"/>
          <w:szCs w:val="24"/>
          <w:lang w:val="da-DK"/>
        </w:rPr>
        <w:t xml:space="preserve"> anses ikke for klinisk relevant, og der kræves ingen dosisjustering af </w:t>
      </w:r>
      <w:proofErr w:type="spellStart"/>
      <w:r w:rsidRPr="00F32462">
        <w:rPr>
          <w:sz w:val="24"/>
          <w:szCs w:val="24"/>
          <w:lang w:val="da-DK"/>
        </w:rPr>
        <w:t>digoxin</w:t>
      </w:r>
      <w:proofErr w:type="spellEnd"/>
      <w:r w:rsidRPr="00F32462">
        <w:rPr>
          <w:sz w:val="24"/>
          <w:szCs w:val="24"/>
          <w:lang w:val="da-DK"/>
        </w:rPr>
        <w:t xml:space="preserve"> (se pkt.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Virkningen af 12 dages behandling med </w:t>
      </w:r>
      <w:proofErr w:type="spellStart"/>
      <w:r w:rsidRPr="00F32462">
        <w:rPr>
          <w:sz w:val="24"/>
          <w:szCs w:val="24"/>
          <w:lang w:val="da-DK"/>
        </w:rPr>
        <w:t>ambrisentan</w:t>
      </w:r>
      <w:proofErr w:type="spellEnd"/>
      <w:r w:rsidRPr="00F32462">
        <w:rPr>
          <w:sz w:val="24"/>
          <w:szCs w:val="24"/>
          <w:lang w:val="da-DK"/>
        </w:rPr>
        <w:t xml:space="preserve"> (10 mg én gang daglig) på farmakokinetikken af en enkelt dosis oralt antikonceptionsmiddel indeholdende </w:t>
      </w:r>
      <w:proofErr w:type="spellStart"/>
      <w:r w:rsidRPr="00F32462">
        <w:rPr>
          <w:sz w:val="24"/>
          <w:szCs w:val="24"/>
          <w:lang w:val="da-DK"/>
        </w:rPr>
        <w:t>ethinylestradiol</w:t>
      </w:r>
      <w:proofErr w:type="spellEnd"/>
      <w:r w:rsidRPr="00F32462">
        <w:rPr>
          <w:sz w:val="24"/>
          <w:szCs w:val="24"/>
          <w:lang w:val="da-DK"/>
        </w:rPr>
        <w:t xml:space="preserve"> (35 </w:t>
      </w:r>
      <w:proofErr w:type="spellStart"/>
      <w:r w:rsidRPr="00F32462">
        <w:rPr>
          <w:sz w:val="24"/>
          <w:szCs w:val="24"/>
          <w:lang w:val="da-DK"/>
        </w:rPr>
        <w:t>μg</w:t>
      </w:r>
      <w:proofErr w:type="spellEnd"/>
      <w:r w:rsidRPr="00F32462">
        <w:rPr>
          <w:sz w:val="24"/>
          <w:szCs w:val="24"/>
          <w:lang w:val="da-DK"/>
        </w:rPr>
        <w:t xml:space="preserve">) og </w:t>
      </w:r>
      <w:proofErr w:type="spellStart"/>
      <w:r w:rsidRPr="00F32462">
        <w:rPr>
          <w:sz w:val="24"/>
          <w:szCs w:val="24"/>
          <w:lang w:val="da-DK"/>
        </w:rPr>
        <w:t>norethindron</w:t>
      </w:r>
      <w:proofErr w:type="spellEnd"/>
      <w:r w:rsidRPr="00F32462">
        <w:rPr>
          <w:sz w:val="24"/>
          <w:szCs w:val="24"/>
          <w:lang w:val="da-DK"/>
        </w:rPr>
        <w:t xml:space="preserve"> (1 mg) blev undersøgt hos raske frivillige kvinder.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og </w:t>
      </w:r>
      <w:proofErr w:type="gramStart"/>
      <w:r w:rsidRPr="00F32462">
        <w:rPr>
          <w:sz w:val="24"/>
          <w:szCs w:val="24"/>
          <w:lang w:val="da-DK"/>
        </w:rPr>
        <w:t>AUC</w:t>
      </w:r>
      <w:r w:rsidRPr="00F32462">
        <w:rPr>
          <w:position w:val="-1"/>
          <w:sz w:val="24"/>
          <w:szCs w:val="24"/>
          <w:vertAlign w:val="subscript"/>
          <w:lang w:val="da-DK"/>
        </w:rPr>
        <w:t>(</w:t>
      </w:r>
      <w:proofErr w:type="gramEnd"/>
      <w:r w:rsidRPr="00F32462">
        <w:rPr>
          <w:position w:val="-1"/>
          <w:sz w:val="24"/>
          <w:szCs w:val="24"/>
          <w:vertAlign w:val="subscript"/>
          <w:lang w:val="da-DK"/>
        </w:rPr>
        <w:t>0–∞)</w:t>
      </w:r>
      <w:r w:rsidRPr="00F32462">
        <w:rPr>
          <w:position w:val="-1"/>
          <w:sz w:val="24"/>
          <w:szCs w:val="24"/>
          <w:lang w:val="da-DK"/>
        </w:rPr>
        <w:t xml:space="preserve"> </w:t>
      </w:r>
      <w:r w:rsidRPr="00F32462">
        <w:rPr>
          <w:sz w:val="24"/>
          <w:szCs w:val="24"/>
          <w:lang w:val="da-DK"/>
        </w:rPr>
        <w:t xml:space="preserve">var let nedsat for </w:t>
      </w:r>
      <w:proofErr w:type="spellStart"/>
      <w:r w:rsidRPr="00F32462">
        <w:rPr>
          <w:sz w:val="24"/>
          <w:szCs w:val="24"/>
          <w:lang w:val="da-DK"/>
        </w:rPr>
        <w:t>ethinylestradiol</w:t>
      </w:r>
      <w:proofErr w:type="spellEnd"/>
      <w:r w:rsidRPr="00F32462">
        <w:rPr>
          <w:sz w:val="24"/>
          <w:szCs w:val="24"/>
          <w:lang w:val="da-DK"/>
        </w:rPr>
        <w:t xml:space="preserve"> (hhv. 8 % og 4 %) og let forøget for </w:t>
      </w:r>
      <w:proofErr w:type="spellStart"/>
      <w:r w:rsidRPr="00F32462">
        <w:rPr>
          <w:sz w:val="24"/>
          <w:szCs w:val="24"/>
          <w:lang w:val="da-DK"/>
        </w:rPr>
        <w:t>norethindron</w:t>
      </w:r>
      <w:proofErr w:type="spellEnd"/>
      <w:r w:rsidRPr="00F32462">
        <w:rPr>
          <w:sz w:val="24"/>
          <w:szCs w:val="24"/>
          <w:lang w:val="da-DK"/>
        </w:rPr>
        <w:t xml:space="preserve"> (hhv. 13 % og 14 %). Disse ændringer i eksponeringen for </w:t>
      </w:r>
      <w:proofErr w:type="spellStart"/>
      <w:r w:rsidRPr="00F32462">
        <w:rPr>
          <w:sz w:val="24"/>
          <w:szCs w:val="24"/>
          <w:lang w:val="da-DK"/>
        </w:rPr>
        <w:t>ethinylestradiol</w:t>
      </w:r>
      <w:proofErr w:type="spellEnd"/>
      <w:r w:rsidRPr="00F32462">
        <w:rPr>
          <w:sz w:val="24"/>
          <w:szCs w:val="24"/>
          <w:lang w:val="da-DK"/>
        </w:rPr>
        <w:t xml:space="preserve"> eller </w:t>
      </w:r>
      <w:proofErr w:type="spellStart"/>
      <w:r w:rsidRPr="00F32462">
        <w:rPr>
          <w:sz w:val="24"/>
          <w:szCs w:val="24"/>
          <w:lang w:val="da-DK"/>
        </w:rPr>
        <w:t>norethindron</w:t>
      </w:r>
      <w:proofErr w:type="spellEnd"/>
      <w:r w:rsidRPr="00F32462">
        <w:rPr>
          <w:sz w:val="24"/>
          <w:szCs w:val="24"/>
          <w:lang w:val="da-DK"/>
        </w:rPr>
        <w:t xml:space="preserve"> var små og vil sandsynligvis ikke være klinisk signifikante (se pkt. 4.5).</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Elimination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og dets metabolitter udskilles primært med galden efter </w:t>
      </w:r>
      <w:proofErr w:type="spellStart"/>
      <w:r w:rsidRPr="00F32462">
        <w:rPr>
          <w:sz w:val="24"/>
          <w:szCs w:val="24"/>
          <w:lang w:val="da-DK"/>
        </w:rPr>
        <w:t>hepatisk</w:t>
      </w:r>
      <w:proofErr w:type="spellEnd"/>
      <w:r w:rsidRPr="00F32462">
        <w:rPr>
          <w:sz w:val="24"/>
          <w:szCs w:val="24"/>
          <w:lang w:val="da-DK"/>
        </w:rPr>
        <w:t xml:space="preserve"> og/eller </w:t>
      </w:r>
      <w:proofErr w:type="spellStart"/>
      <w:r w:rsidRPr="00F32462">
        <w:rPr>
          <w:sz w:val="24"/>
          <w:szCs w:val="24"/>
          <w:lang w:val="da-DK"/>
        </w:rPr>
        <w:t>ekstrahepatisk</w:t>
      </w:r>
      <w:proofErr w:type="spellEnd"/>
      <w:r w:rsidRPr="00F32462">
        <w:rPr>
          <w:sz w:val="24"/>
          <w:szCs w:val="24"/>
          <w:lang w:val="da-DK"/>
        </w:rPr>
        <w:t xml:space="preserve"> metabolisme. Efter oral indgift genfindes ca. 22 % af den indgivne dosis i urinen, hvoraf 3,3 % er uændret </w:t>
      </w:r>
      <w:proofErr w:type="spellStart"/>
      <w:r w:rsidRPr="00F32462">
        <w:rPr>
          <w:sz w:val="24"/>
          <w:szCs w:val="24"/>
          <w:lang w:val="da-DK"/>
        </w:rPr>
        <w:t>ambrisentan</w:t>
      </w:r>
      <w:proofErr w:type="spellEnd"/>
      <w:r w:rsidRPr="00F32462">
        <w:rPr>
          <w:sz w:val="24"/>
          <w:szCs w:val="24"/>
          <w:lang w:val="da-DK"/>
        </w:rPr>
        <w:t>. Plasmaeliminationshalveringstiden hos mennesker varierer fra 13,6 til 16,5 timer.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Særlige populationer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Ud fra resultaterne af en </w:t>
      </w:r>
      <w:proofErr w:type="spellStart"/>
      <w:r w:rsidRPr="00F32462">
        <w:rPr>
          <w:sz w:val="24"/>
          <w:szCs w:val="24"/>
          <w:lang w:val="da-DK"/>
        </w:rPr>
        <w:t>populationsfarmakokinetisk</w:t>
      </w:r>
      <w:proofErr w:type="spellEnd"/>
      <w:r w:rsidRPr="00F32462">
        <w:rPr>
          <w:sz w:val="24"/>
          <w:szCs w:val="24"/>
          <w:lang w:val="da-DK"/>
        </w:rPr>
        <w:t xml:space="preserve"> analyse med raske frivillige og patienter med PAH var farmakokinetikken af </w:t>
      </w:r>
      <w:proofErr w:type="spellStart"/>
      <w:r w:rsidRPr="00F32462">
        <w:rPr>
          <w:sz w:val="24"/>
          <w:szCs w:val="24"/>
          <w:lang w:val="da-DK"/>
        </w:rPr>
        <w:t>ambrisentan</w:t>
      </w:r>
      <w:proofErr w:type="spellEnd"/>
      <w:r w:rsidRPr="00F32462">
        <w:rPr>
          <w:sz w:val="24"/>
          <w:szCs w:val="24"/>
          <w:lang w:val="da-DK"/>
        </w:rPr>
        <w:t xml:space="preserve"> ikke signifikant påvirket af køn og alder (se pkt. 4.2).</w:t>
      </w:r>
    </w:p>
    <w:p w:rsidR="00673CCD" w:rsidRPr="00F32462" w:rsidRDefault="00673CCD" w:rsidP="00673CCD">
      <w:pPr>
        <w:pStyle w:val="Brdtekst"/>
        <w:ind w:left="851" w:right="-1"/>
        <w:rPr>
          <w:sz w:val="24"/>
          <w:szCs w:val="24"/>
          <w:lang w:val="da-DK"/>
        </w:rPr>
      </w:pPr>
    </w:p>
    <w:p w:rsidR="00673CCD" w:rsidRPr="00F32462" w:rsidRDefault="00673CCD" w:rsidP="00673CCD">
      <w:pPr>
        <w:ind w:left="851" w:right="-1"/>
        <w:rPr>
          <w:i/>
          <w:sz w:val="24"/>
          <w:szCs w:val="24"/>
        </w:rPr>
      </w:pPr>
      <w:r w:rsidRPr="00F32462">
        <w:rPr>
          <w:i/>
          <w:sz w:val="24"/>
          <w:szCs w:val="24"/>
        </w:rPr>
        <w:lastRenderedPageBreak/>
        <w:t>Nedsat nyrefunktion</w:t>
      </w:r>
    </w:p>
    <w:p w:rsidR="00673CCD" w:rsidRPr="00F32462" w:rsidRDefault="00673CCD" w:rsidP="00673CCD">
      <w:pPr>
        <w:pStyle w:val="Brdtekst"/>
        <w:ind w:left="851" w:right="-1"/>
        <w:rPr>
          <w:i/>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w:t>
      </w:r>
      <w:proofErr w:type="spellStart"/>
      <w:r w:rsidRPr="00F32462">
        <w:rPr>
          <w:sz w:val="24"/>
          <w:szCs w:val="24"/>
          <w:lang w:val="da-DK"/>
        </w:rPr>
        <w:t>metaboliseres</w:t>
      </w:r>
      <w:proofErr w:type="spellEnd"/>
      <w:r w:rsidRPr="00F32462">
        <w:rPr>
          <w:sz w:val="24"/>
          <w:szCs w:val="24"/>
          <w:lang w:val="da-DK"/>
        </w:rPr>
        <w:t xml:space="preserve"> eller udskilles ikke i signifikant grad via nyrerne. En </w:t>
      </w:r>
      <w:proofErr w:type="spellStart"/>
      <w:r w:rsidRPr="00F32462">
        <w:rPr>
          <w:sz w:val="24"/>
          <w:szCs w:val="24"/>
          <w:lang w:val="da-DK"/>
        </w:rPr>
        <w:t>populationsfarmakokinetisk</w:t>
      </w:r>
      <w:proofErr w:type="spellEnd"/>
      <w:r w:rsidRPr="00F32462">
        <w:rPr>
          <w:sz w:val="24"/>
          <w:szCs w:val="24"/>
          <w:lang w:val="da-DK"/>
        </w:rPr>
        <w:t xml:space="preserve"> analyse viste, at </w:t>
      </w:r>
      <w:proofErr w:type="spellStart"/>
      <w:r w:rsidRPr="00F32462">
        <w:rPr>
          <w:sz w:val="24"/>
          <w:szCs w:val="24"/>
          <w:lang w:val="da-DK"/>
        </w:rPr>
        <w:t>kreatininclearance</w:t>
      </w:r>
      <w:proofErr w:type="spellEnd"/>
      <w:r w:rsidRPr="00F32462">
        <w:rPr>
          <w:sz w:val="24"/>
          <w:szCs w:val="24"/>
          <w:lang w:val="da-DK"/>
        </w:rPr>
        <w:t xml:space="preserve"> er en statistisk signifikant </w:t>
      </w:r>
      <w:proofErr w:type="spellStart"/>
      <w:r w:rsidRPr="00F32462">
        <w:rPr>
          <w:sz w:val="24"/>
          <w:szCs w:val="24"/>
          <w:lang w:val="da-DK"/>
        </w:rPr>
        <w:t>kovariant</w:t>
      </w:r>
      <w:proofErr w:type="spellEnd"/>
      <w:r w:rsidRPr="00F32462">
        <w:rPr>
          <w:sz w:val="24"/>
          <w:szCs w:val="24"/>
          <w:lang w:val="da-DK"/>
        </w:rPr>
        <w:t xml:space="preserve">, der påvirker den orale </w:t>
      </w:r>
      <w:proofErr w:type="spellStart"/>
      <w:r w:rsidRPr="00F32462">
        <w:rPr>
          <w:sz w:val="24"/>
          <w:szCs w:val="24"/>
          <w:lang w:val="da-DK"/>
        </w:rPr>
        <w:t>clearance</w:t>
      </w:r>
      <w:proofErr w:type="spellEnd"/>
      <w:r w:rsidRPr="00F32462">
        <w:rPr>
          <w:sz w:val="24"/>
          <w:szCs w:val="24"/>
          <w:lang w:val="da-DK"/>
        </w:rPr>
        <w:t xml:space="preserve"> af </w:t>
      </w:r>
      <w:proofErr w:type="spellStart"/>
      <w:r w:rsidRPr="00F32462">
        <w:rPr>
          <w:sz w:val="24"/>
          <w:szCs w:val="24"/>
          <w:lang w:val="da-DK"/>
        </w:rPr>
        <w:t>ambrisentan</w:t>
      </w:r>
      <w:proofErr w:type="spellEnd"/>
      <w:r w:rsidRPr="00F32462">
        <w:rPr>
          <w:sz w:val="24"/>
          <w:szCs w:val="24"/>
          <w:lang w:val="da-DK"/>
        </w:rPr>
        <w:t xml:space="preserve">. Men størrelsesordenen i faldet i oral </w:t>
      </w:r>
      <w:proofErr w:type="spellStart"/>
      <w:r w:rsidRPr="00F32462">
        <w:rPr>
          <w:sz w:val="24"/>
          <w:szCs w:val="24"/>
          <w:lang w:val="da-DK"/>
        </w:rPr>
        <w:t>clearance</w:t>
      </w:r>
      <w:proofErr w:type="spellEnd"/>
      <w:r w:rsidRPr="00F32462">
        <w:rPr>
          <w:sz w:val="24"/>
          <w:szCs w:val="24"/>
          <w:lang w:val="da-DK"/>
        </w:rPr>
        <w:t xml:space="preserve"> er beskeden (20-40 %) hos patienter med moderat nedsat nyrefunktion, og det er derfor usandsynligt, at det har nogen klinisk relevans. Der skal dog udvises forsigtighed ved behandling af patienter med svært nedsat nyrefunktion (se pkt.</w:t>
      </w:r>
      <w:r w:rsidRPr="00F32462">
        <w:rPr>
          <w:spacing w:val="-7"/>
          <w:sz w:val="24"/>
          <w:szCs w:val="24"/>
          <w:lang w:val="da-DK"/>
        </w:rPr>
        <w:t> </w:t>
      </w:r>
      <w:r w:rsidRPr="00F32462">
        <w:rPr>
          <w:sz w:val="24"/>
          <w:szCs w:val="24"/>
          <w:lang w:val="da-DK"/>
        </w:rPr>
        <w:t>4.2).</w:t>
      </w:r>
    </w:p>
    <w:p w:rsidR="00673CCD" w:rsidRPr="00F32462" w:rsidRDefault="00673CCD" w:rsidP="00673CCD">
      <w:pPr>
        <w:ind w:left="851" w:right="-1"/>
        <w:rPr>
          <w:i/>
          <w:sz w:val="24"/>
          <w:szCs w:val="24"/>
        </w:rPr>
      </w:pPr>
    </w:p>
    <w:p w:rsidR="00673CCD" w:rsidRPr="00F32462" w:rsidRDefault="00673CCD" w:rsidP="00673CCD">
      <w:pPr>
        <w:ind w:left="851" w:right="-1"/>
        <w:rPr>
          <w:i/>
          <w:sz w:val="24"/>
          <w:szCs w:val="24"/>
        </w:rPr>
      </w:pPr>
      <w:r w:rsidRPr="00F32462">
        <w:rPr>
          <w:i/>
          <w:sz w:val="24"/>
          <w:szCs w:val="24"/>
        </w:rPr>
        <w:t>Nedsat leverfunktion</w:t>
      </w:r>
    </w:p>
    <w:p w:rsidR="00673CCD" w:rsidRPr="00F32462" w:rsidRDefault="00673CCD" w:rsidP="00673CCD">
      <w:pPr>
        <w:pStyle w:val="Brdtekst"/>
        <w:ind w:left="851" w:right="-1"/>
        <w:rPr>
          <w:i/>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Ambrisentans</w:t>
      </w:r>
      <w:proofErr w:type="spellEnd"/>
      <w:r w:rsidRPr="00F32462">
        <w:rPr>
          <w:sz w:val="24"/>
          <w:szCs w:val="24"/>
          <w:lang w:val="da-DK"/>
        </w:rPr>
        <w:t xml:space="preserve"> primære </w:t>
      </w:r>
      <w:proofErr w:type="spellStart"/>
      <w:r w:rsidRPr="00F32462">
        <w:rPr>
          <w:sz w:val="24"/>
          <w:szCs w:val="24"/>
          <w:lang w:val="da-DK"/>
        </w:rPr>
        <w:t>metaboliseringsvej</w:t>
      </w:r>
      <w:proofErr w:type="spellEnd"/>
      <w:r w:rsidRPr="00F32462">
        <w:rPr>
          <w:sz w:val="24"/>
          <w:szCs w:val="24"/>
          <w:lang w:val="da-DK"/>
        </w:rPr>
        <w:t xml:space="preserve"> er via </w:t>
      </w:r>
      <w:proofErr w:type="spellStart"/>
      <w:r w:rsidRPr="00F32462">
        <w:rPr>
          <w:sz w:val="24"/>
          <w:szCs w:val="24"/>
          <w:lang w:val="da-DK"/>
        </w:rPr>
        <w:t>glukuronidering</w:t>
      </w:r>
      <w:proofErr w:type="spellEnd"/>
      <w:r w:rsidRPr="00F32462">
        <w:rPr>
          <w:sz w:val="24"/>
          <w:szCs w:val="24"/>
          <w:lang w:val="da-DK"/>
        </w:rPr>
        <w:t xml:space="preserve"> og oxidation med efterfølgende udskillelse i galden, og det forventes derfor, at nedsat leverfunktion kan øge eksponeringen (C</w:t>
      </w:r>
      <w:r w:rsidRPr="00F32462">
        <w:rPr>
          <w:position w:val="-1"/>
          <w:sz w:val="24"/>
          <w:szCs w:val="24"/>
          <w:vertAlign w:val="subscript"/>
          <w:lang w:val="da-DK"/>
        </w:rPr>
        <w:t>max</w:t>
      </w:r>
      <w:r w:rsidRPr="00F32462">
        <w:rPr>
          <w:position w:val="-1"/>
          <w:sz w:val="24"/>
          <w:szCs w:val="24"/>
          <w:lang w:val="da-DK"/>
        </w:rPr>
        <w:t xml:space="preserve"> </w:t>
      </w:r>
      <w:r w:rsidRPr="00F32462">
        <w:rPr>
          <w:sz w:val="24"/>
          <w:szCs w:val="24"/>
          <w:lang w:val="da-DK"/>
        </w:rPr>
        <w:t xml:space="preserve">og AUC) af </w:t>
      </w:r>
      <w:proofErr w:type="spellStart"/>
      <w:r w:rsidRPr="00F32462">
        <w:rPr>
          <w:sz w:val="24"/>
          <w:szCs w:val="24"/>
          <w:lang w:val="da-DK"/>
        </w:rPr>
        <w:t>ambrisentan</w:t>
      </w:r>
      <w:proofErr w:type="spellEnd"/>
      <w:r w:rsidRPr="00F32462">
        <w:rPr>
          <w:sz w:val="24"/>
          <w:szCs w:val="24"/>
          <w:lang w:val="da-DK"/>
        </w:rPr>
        <w:t xml:space="preserve">. En </w:t>
      </w:r>
      <w:proofErr w:type="spellStart"/>
      <w:r w:rsidRPr="00F32462">
        <w:rPr>
          <w:sz w:val="24"/>
          <w:szCs w:val="24"/>
          <w:lang w:val="da-DK"/>
        </w:rPr>
        <w:t>populationsfarmakokinetisk</w:t>
      </w:r>
      <w:proofErr w:type="spellEnd"/>
      <w:r w:rsidRPr="00F32462">
        <w:rPr>
          <w:sz w:val="24"/>
          <w:szCs w:val="24"/>
          <w:lang w:val="da-DK"/>
        </w:rPr>
        <w:t xml:space="preserve"> analyse viste, at den orale </w:t>
      </w:r>
      <w:proofErr w:type="spellStart"/>
      <w:r w:rsidRPr="00F32462">
        <w:rPr>
          <w:sz w:val="24"/>
          <w:szCs w:val="24"/>
          <w:lang w:val="da-DK"/>
        </w:rPr>
        <w:t>clearance</w:t>
      </w:r>
      <w:proofErr w:type="spellEnd"/>
      <w:r w:rsidRPr="00F32462">
        <w:rPr>
          <w:sz w:val="24"/>
          <w:szCs w:val="24"/>
          <w:lang w:val="da-DK"/>
        </w:rPr>
        <w:t xml:space="preserve"> falder med stigende bilirubin-niveauer. Størrelsesordenen af virkningen af bilirubin er dog beskeden (sammenlignet med den typiske patient med en bilirubin på 0,6 mg/dl ville en patient med en forhøjet bilirubin på 4,5 mg/dl have ca. 30 % lavere oral </w:t>
      </w:r>
      <w:proofErr w:type="spellStart"/>
      <w:r w:rsidRPr="00F32462">
        <w:rPr>
          <w:sz w:val="24"/>
          <w:szCs w:val="24"/>
          <w:lang w:val="da-DK"/>
        </w:rPr>
        <w:t>clearance</w:t>
      </w:r>
      <w:proofErr w:type="spellEnd"/>
      <w:r w:rsidRPr="00F32462">
        <w:rPr>
          <w:sz w:val="24"/>
          <w:szCs w:val="24"/>
          <w:lang w:val="da-DK"/>
        </w:rPr>
        <w:t xml:space="preserve"> af </w:t>
      </w:r>
      <w:proofErr w:type="spellStart"/>
      <w:r w:rsidRPr="00F32462">
        <w:rPr>
          <w:sz w:val="24"/>
          <w:szCs w:val="24"/>
          <w:lang w:val="da-DK"/>
        </w:rPr>
        <w:t>ambrisentan</w:t>
      </w:r>
      <w:proofErr w:type="spellEnd"/>
      <w:r w:rsidRPr="00F32462">
        <w:rPr>
          <w:sz w:val="24"/>
          <w:szCs w:val="24"/>
          <w:lang w:val="da-DK"/>
        </w:rPr>
        <w:t xml:space="preserve">). </w:t>
      </w:r>
      <w:proofErr w:type="spellStart"/>
      <w:r w:rsidRPr="00F32462">
        <w:rPr>
          <w:sz w:val="24"/>
          <w:szCs w:val="24"/>
          <w:lang w:val="da-DK"/>
        </w:rPr>
        <w:t>Ambrisentans</w:t>
      </w:r>
      <w:proofErr w:type="spellEnd"/>
      <w:r w:rsidRPr="00F32462">
        <w:rPr>
          <w:sz w:val="24"/>
          <w:szCs w:val="24"/>
          <w:lang w:val="da-DK"/>
        </w:rPr>
        <w:t xml:space="preserve"> farmakokinetik er ikke undersøgt hos patienter med nedsat leverfunktion (med eller uden cirrose). </w:t>
      </w:r>
      <w:proofErr w:type="spellStart"/>
      <w:r w:rsidRPr="00F32462">
        <w:rPr>
          <w:sz w:val="24"/>
          <w:szCs w:val="24"/>
          <w:lang w:val="da-DK"/>
        </w:rPr>
        <w:t>Ambrisentan</w:t>
      </w:r>
      <w:proofErr w:type="spellEnd"/>
      <w:r w:rsidRPr="00F32462">
        <w:rPr>
          <w:sz w:val="24"/>
          <w:szCs w:val="24"/>
          <w:lang w:val="da-DK"/>
        </w:rPr>
        <w:t xml:space="preserve"> må derfor ikke indledes hos patienter med svært nedsat leverfunktion eller med klinisk signifikant forhøjede niveauer af </w:t>
      </w:r>
      <w:proofErr w:type="spellStart"/>
      <w:r w:rsidRPr="00F32462">
        <w:rPr>
          <w:sz w:val="24"/>
          <w:szCs w:val="24"/>
          <w:lang w:val="da-DK"/>
        </w:rPr>
        <w:t>leveraminotransferaser</w:t>
      </w:r>
      <w:proofErr w:type="spellEnd"/>
      <w:r w:rsidRPr="00F32462">
        <w:rPr>
          <w:sz w:val="24"/>
          <w:szCs w:val="24"/>
          <w:lang w:val="da-DK"/>
        </w:rPr>
        <w:t xml:space="preserve"> (&gt; 3 x ULN) (se pkt. 4.3 og 4.4).</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5.3</w:t>
      </w:r>
      <w:r w:rsidRPr="00F32462">
        <w:rPr>
          <w:b/>
          <w:sz w:val="24"/>
          <w:szCs w:val="24"/>
        </w:rPr>
        <w:tab/>
        <w:t>Prækliniske sikkerhedsdata</w:t>
      </w:r>
    </w:p>
    <w:p w:rsidR="00673CCD" w:rsidRPr="00F32462" w:rsidRDefault="00673CCD" w:rsidP="00673CCD">
      <w:pPr>
        <w:pStyle w:val="Brdtekst"/>
        <w:ind w:left="851" w:right="-1"/>
        <w:rPr>
          <w:sz w:val="24"/>
          <w:szCs w:val="24"/>
          <w:lang w:val="da-DK"/>
        </w:rPr>
      </w:pPr>
      <w:r w:rsidRPr="00F32462">
        <w:rPr>
          <w:sz w:val="24"/>
          <w:szCs w:val="24"/>
          <w:lang w:val="da-DK"/>
        </w:rPr>
        <w:t xml:space="preserve">På grund af ERA-klassens primære farmakologiske virkning kan en enkelt stor dosis af </w:t>
      </w:r>
      <w:proofErr w:type="spellStart"/>
      <w:r w:rsidRPr="00F32462">
        <w:rPr>
          <w:sz w:val="24"/>
          <w:szCs w:val="24"/>
          <w:lang w:val="da-DK"/>
        </w:rPr>
        <w:t>ambrisentan</w:t>
      </w:r>
      <w:proofErr w:type="spellEnd"/>
      <w:r w:rsidRPr="00F32462">
        <w:rPr>
          <w:sz w:val="24"/>
          <w:szCs w:val="24"/>
          <w:lang w:val="da-DK"/>
        </w:rPr>
        <w:t xml:space="preserve"> (dvs. en overdosis) sænke blodtrykket og muligvis forårsage hypotension og symptomer relateret til vasodilatation.</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Det er ikke vist, at </w:t>
      </w:r>
      <w:proofErr w:type="spellStart"/>
      <w:r w:rsidRPr="00F32462">
        <w:rPr>
          <w:sz w:val="24"/>
          <w:szCs w:val="24"/>
          <w:lang w:val="da-DK"/>
        </w:rPr>
        <w:t>ambrisentan</w:t>
      </w:r>
      <w:proofErr w:type="spellEnd"/>
      <w:r w:rsidRPr="00F32462">
        <w:rPr>
          <w:sz w:val="24"/>
          <w:szCs w:val="24"/>
          <w:lang w:val="da-DK"/>
        </w:rPr>
        <w:t xml:space="preserve"> hæmmer galdesyretransporten eller er åbenlyst </w:t>
      </w:r>
      <w:proofErr w:type="spellStart"/>
      <w:r w:rsidRPr="00F32462">
        <w:rPr>
          <w:sz w:val="24"/>
          <w:szCs w:val="24"/>
          <w:lang w:val="da-DK"/>
        </w:rPr>
        <w:t>hepatotoksisk</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Efter kronisk administration er der set inflammation og ændringer i næsehulens epitel hos gnavere ved eksponeringer under det terapeutiske niveau hos mennesker. Hos hunde sås lette inflammatoriske reaktioner efter kronisk administration af høje doser </w:t>
      </w:r>
      <w:proofErr w:type="spellStart"/>
      <w:r w:rsidRPr="00F32462">
        <w:rPr>
          <w:sz w:val="24"/>
          <w:szCs w:val="24"/>
          <w:lang w:val="da-DK"/>
        </w:rPr>
        <w:t>ambrisentan</w:t>
      </w:r>
      <w:proofErr w:type="spellEnd"/>
      <w:r w:rsidRPr="00F32462">
        <w:rPr>
          <w:sz w:val="24"/>
          <w:szCs w:val="24"/>
          <w:lang w:val="da-DK"/>
        </w:rPr>
        <w:t xml:space="preserve"> med eksponeringer, der var over 20 gange højere end hos patienter.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Næsebenshyperplasi</w:t>
      </w:r>
      <w:proofErr w:type="spellEnd"/>
      <w:r w:rsidRPr="00F32462">
        <w:rPr>
          <w:sz w:val="24"/>
          <w:szCs w:val="24"/>
          <w:lang w:val="da-DK"/>
        </w:rPr>
        <w:t xml:space="preserve"> af næsemuslingerne er set i næsehulen hos rotter, der var blevet behandlet med </w:t>
      </w:r>
      <w:proofErr w:type="spellStart"/>
      <w:r w:rsidRPr="00F32462">
        <w:rPr>
          <w:sz w:val="24"/>
          <w:szCs w:val="24"/>
          <w:lang w:val="da-DK"/>
        </w:rPr>
        <w:t>ambrisentan</w:t>
      </w:r>
      <w:proofErr w:type="spellEnd"/>
      <w:r w:rsidRPr="00F32462">
        <w:rPr>
          <w:sz w:val="24"/>
          <w:szCs w:val="24"/>
          <w:lang w:val="da-DK"/>
        </w:rPr>
        <w:t xml:space="preserve"> ved eksponeringer på 3 gange det kliniske AUC. </w:t>
      </w:r>
      <w:proofErr w:type="spellStart"/>
      <w:r w:rsidRPr="00F32462">
        <w:rPr>
          <w:sz w:val="24"/>
          <w:szCs w:val="24"/>
          <w:lang w:val="da-DK"/>
        </w:rPr>
        <w:t>Næsebenshyperplasi</w:t>
      </w:r>
      <w:proofErr w:type="spellEnd"/>
      <w:r w:rsidRPr="00F32462">
        <w:rPr>
          <w:sz w:val="24"/>
          <w:szCs w:val="24"/>
          <w:lang w:val="da-DK"/>
        </w:rPr>
        <w:t xml:space="preserve"> er ikke set efter administration af </w:t>
      </w:r>
      <w:proofErr w:type="spellStart"/>
      <w:r w:rsidRPr="00F32462">
        <w:rPr>
          <w:sz w:val="24"/>
          <w:szCs w:val="24"/>
          <w:lang w:val="da-DK"/>
        </w:rPr>
        <w:t>ambrisentan</w:t>
      </w:r>
      <w:proofErr w:type="spellEnd"/>
      <w:r w:rsidRPr="00F32462">
        <w:rPr>
          <w:sz w:val="24"/>
          <w:szCs w:val="24"/>
          <w:lang w:val="da-DK"/>
        </w:rPr>
        <w:t xml:space="preserve"> til mus og hunde. Hos rotter er </w:t>
      </w:r>
      <w:proofErr w:type="spellStart"/>
      <w:r w:rsidRPr="00F32462">
        <w:rPr>
          <w:sz w:val="24"/>
          <w:szCs w:val="24"/>
          <w:lang w:val="da-DK"/>
        </w:rPr>
        <w:t>hyperplasi</w:t>
      </w:r>
      <w:proofErr w:type="spellEnd"/>
      <w:r w:rsidRPr="00F32462">
        <w:rPr>
          <w:sz w:val="24"/>
          <w:szCs w:val="24"/>
          <w:lang w:val="da-DK"/>
        </w:rPr>
        <w:t xml:space="preserve"> af næsemuslingerne en anerkendt reaktion på nasal inflammation ud fra erfaring med andre stoffer.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var </w:t>
      </w:r>
      <w:proofErr w:type="spellStart"/>
      <w:r w:rsidRPr="00F32462">
        <w:rPr>
          <w:sz w:val="24"/>
          <w:szCs w:val="24"/>
          <w:lang w:val="da-DK"/>
        </w:rPr>
        <w:t>klastogent</w:t>
      </w:r>
      <w:proofErr w:type="spellEnd"/>
      <w:r w:rsidRPr="00F32462">
        <w:rPr>
          <w:sz w:val="24"/>
          <w:szCs w:val="24"/>
          <w:lang w:val="da-DK"/>
        </w:rPr>
        <w:t xml:space="preserve"> ved test med høje koncentrationer i pattedyrsceller </w:t>
      </w:r>
      <w:r w:rsidRPr="00F32462">
        <w:rPr>
          <w:i/>
          <w:sz w:val="24"/>
          <w:szCs w:val="24"/>
          <w:lang w:val="da-DK"/>
        </w:rPr>
        <w:t xml:space="preserve">in </w:t>
      </w:r>
      <w:proofErr w:type="spellStart"/>
      <w:r w:rsidRPr="00F32462">
        <w:rPr>
          <w:i/>
          <w:sz w:val="24"/>
          <w:szCs w:val="24"/>
          <w:lang w:val="da-DK"/>
        </w:rPr>
        <w:t>vitro</w:t>
      </w:r>
      <w:proofErr w:type="spellEnd"/>
      <w:r w:rsidRPr="00F32462">
        <w:rPr>
          <w:sz w:val="24"/>
          <w:szCs w:val="24"/>
          <w:lang w:val="da-DK"/>
        </w:rPr>
        <w:t xml:space="preserve">. Der sås ingen tegn på mutagen eller genotoksisk virkning af </w:t>
      </w:r>
      <w:proofErr w:type="spellStart"/>
      <w:r w:rsidRPr="00F32462">
        <w:rPr>
          <w:sz w:val="24"/>
          <w:szCs w:val="24"/>
          <w:lang w:val="da-DK"/>
        </w:rPr>
        <w:t>ambrisentan</w:t>
      </w:r>
      <w:proofErr w:type="spellEnd"/>
      <w:r w:rsidRPr="00F32462">
        <w:rPr>
          <w:sz w:val="24"/>
          <w:szCs w:val="24"/>
          <w:lang w:val="da-DK"/>
        </w:rPr>
        <w:t xml:space="preserve"> i bakterier eller i to </w:t>
      </w:r>
      <w:r w:rsidRPr="00F32462">
        <w:rPr>
          <w:i/>
          <w:sz w:val="24"/>
          <w:szCs w:val="24"/>
          <w:lang w:val="da-DK"/>
        </w:rPr>
        <w:t xml:space="preserve">in </w:t>
      </w:r>
      <w:proofErr w:type="spellStart"/>
      <w:r w:rsidRPr="00F32462">
        <w:rPr>
          <w:i/>
          <w:sz w:val="24"/>
          <w:szCs w:val="24"/>
          <w:lang w:val="da-DK"/>
        </w:rPr>
        <w:t>vivo</w:t>
      </w:r>
      <w:proofErr w:type="spellEnd"/>
      <w:r w:rsidRPr="00F32462">
        <w:rPr>
          <w:sz w:val="24"/>
          <w:szCs w:val="24"/>
          <w:lang w:val="da-DK"/>
        </w:rPr>
        <w:t>-gnaverstudier.</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To års orale studier hos rotter og mus viste ingen evidens for </w:t>
      </w:r>
      <w:proofErr w:type="spellStart"/>
      <w:r w:rsidRPr="00F32462">
        <w:rPr>
          <w:sz w:val="24"/>
          <w:szCs w:val="24"/>
          <w:lang w:val="da-DK"/>
        </w:rPr>
        <w:t>karcinogent</w:t>
      </w:r>
      <w:proofErr w:type="spellEnd"/>
      <w:r w:rsidRPr="00F32462">
        <w:rPr>
          <w:sz w:val="24"/>
          <w:szCs w:val="24"/>
          <w:lang w:val="da-DK"/>
        </w:rPr>
        <w:t xml:space="preserve"> potentiale. Der sås en lille stigning i </w:t>
      </w:r>
      <w:proofErr w:type="spellStart"/>
      <w:r w:rsidRPr="00F32462">
        <w:rPr>
          <w:sz w:val="24"/>
          <w:szCs w:val="24"/>
          <w:lang w:val="da-DK"/>
        </w:rPr>
        <w:t>fibroadenomer</w:t>
      </w:r>
      <w:proofErr w:type="spellEnd"/>
      <w:r w:rsidRPr="00F32462">
        <w:rPr>
          <w:sz w:val="24"/>
          <w:szCs w:val="24"/>
          <w:lang w:val="da-DK"/>
        </w:rPr>
        <w:t xml:space="preserve"> i brystet, en benign tumor, men kun hos hanrotter, som havde fået den højeste dosis. Den systemiske eksponering for </w:t>
      </w:r>
      <w:proofErr w:type="spellStart"/>
      <w:r w:rsidRPr="00F32462">
        <w:rPr>
          <w:sz w:val="24"/>
          <w:szCs w:val="24"/>
          <w:lang w:val="da-DK"/>
        </w:rPr>
        <w:t>ambrisentan</w:t>
      </w:r>
      <w:proofErr w:type="spellEnd"/>
      <w:r w:rsidRPr="00F32462">
        <w:rPr>
          <w:sz w:val="24"/>
          <w:szCs w:val="24"/>
          <w:lang w:val="da-DK"/>
        </w:rPr>
        <w:t xml:space="preserve"> hos hanrotter ved denne dosis (baseret på </w:t>
      </w:r>
      <w:proofErr w:type="spellStart"/>
      <w:r w:rsidRPr="00F32462">
        <w:rPr>
          <w:i/>
          <w:sz w:val="24"/>
          <w:szCs w:val="24"/>
          <w:lang w:val="da-DK"/>
        </w:rPr>
        <w:t>steady</w:t>
      </w:r>
      <w:proofErr w:type="spellEnd"/>
      <w:r w:rsidRPr="00F32462">
        <w:rPr>
          <w:i/>
          <w:sz w:val="24"/>
          <w:szCs w:val="24"/>
          <w:lang w:val="da-DK"/>
        </w:rPr>
        <w:t xml:space="preserve"> </w:t>
      </w:r>
      <w:proofErr w:type="spellStart"/>
      <w:r w:rsidRPr="00F32462">
        <w:rPr>
          <w:i/>
          <w:sz w:val="24"/>
          <w:szCs w:val="24"/>
          <w:lang w:val="da-DK"/>
        </w:rPr>
        <w:t>state</w:t>
      </w:r>
      <w:proofErr w:type="spellEnd"/>
      <w:r w:rsidRPr="00F32462">
        <w:rPr>
          <w:i/>
          <w:sz w:val="24"/>
          <w:szCs w:val="24"/>
          <w:lang w:val="da-DK"/>
        </w:rPr>
        <w:t>-</w:t>
      </w:r>
      <w:r w:rsidRPr="00F32462">
        <w:rPr>
          <w:sz w:val="24"/>
          <w:szCs w:val="24"/>
          <w:lang w:val="da-DK"/>
        </w:rPr>
        <w:t>AUC) var 6-dobbelt i forhold til, hvad der blev set efter den kliniske dosis på 10 mg/dag.</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proofErr w:type="spellStart"/>
      <w:r w:rsidRPr="00F32462">
        <w:rPr>
          <w:sz w:val="24"/>
          <w:szCs w:val="24"/>
          <w:lang w:val="da-DK"/>
        </w:rPr>
        <w:lastRenderedPageBreak/>
        <w:t>Testikeltubulær</w:t>
      </w:r>
      <w:proofErr w:type="spellEnd"/>
      <w:r w:rsidRPr="00F32462">
        <w:rPr>
          <w:sz w:val="24"/>
          <w:szCs w:val="24"/>
          <w:lang w:val="da-DK"/>
        </w:rPr>
        <w:t xml:space="preserve"> atrofi, som lejlighedsvis var forbundet med </w:t>
      </w:r>
      <w:proofErr w:type="spellStart"/>
      <w:r w:rsidRPr="00F32462">
        <w:rPr>
          <w:sz w:val="24"/>
          <w:szCs w:val="24"/>
          <w:lang w:val="da-DK"/>
        </w:rPr>
        <w:t>aspermi</w:t>
      </w:r>
      <w:proofErr w:type="spellEnd"/>
      <w:r w:rsidRPr="00F32462">
        <w:rPr>
          <w:sz w:val="24"/>
          <w:szCs w:val="24"/>
          <w:lang w:val="da-DK"/>
        </w:rPr>
        <w:t xml:space="preserve">, blev set i studier af toksicitet efter gentagne doser og fertilitet hos hanrotter og -mus uden sikkerhedsmargin. Testikelændringer var ikke helt normaliseret i de vurderede perioder uden indgift. Men der sås ingen testikelændringer i hundestudier af op til 39 ugers varighed ved en eksponering, der var 35 gange højere end hos mennesker ud fra AUC. Der sås ingen effekt på </w:t>
      </w:r>
      <w:proofErr w:type="spellStart"/>
      <w:r w:rsidRPr="00F32462">
        <w:rPr>
          <w:sz w:val="24"/>
          <w:szCs w:val="24"/>
          <w:lang w:val="da-DK"/>
        </w:rPr>
        <w:t>sædcellemotiliteten</w:t>
      </w:r>
      <w:proofErr w:type="spellEnd"/>
      <w:r w:rsidRPr="00F32462">
        <w:rPr>
          <w:sz w:val="24"/>
          <w:szCs w:val="24"/>
          <w:lang w:val="da-DK"/>
        </w:rPr>
        <w:t xml:space="preserve"> hos hanrotter ved nogen af de testede </w:t>
      </w:r>
      <w:proofErr w:type="spellStart"/>
      <w:r w:rsidRPr="00F32462">
        <w:rPr>
          <w:sz w:val="24"/>
          <w:szCs w:val="24"/>
          <w:lang w:val="da-DK"/>
        </w:rPr>
        <w:t>ambrisentandoser</w:t>
      </w:r>
      <w:proofErr w:type="spellEnd"/>
      <w:r w:rsidRPr="00F32462">
        <w:rPr>
          <w:sz w:val="24"/>
          <w:szCs w:val="24"/>
          <w:lang w:val="da-DK"/>
        </w:rPr>
        <w:t xml:space="preserve"> (op til 300 mg/kg/dag). Der blev set en lille reduktion (&lt; 10 %) i procentdelen af morfologisk normale sædceller ved 300 mg/kg/dag, men ikke ved 100 mg/kg/dag (&gt; 9 gange klinisk eksponering ved 10 mg/dag). </w:t>
      </w:r>
      <w:proofErr w:type="spellStart"/>
      <w:r w:rsidRPr="00F32462">
        <w:rPr>
          <w:sz w:val="24"/>
          <w:szCs w:val="24"/>
          <w:lang w:val="da-DK"/>
        </w:rPr>
        <w:t>Ambrisentans</w:t>
      </w:r>
      <w:proofErr w:type="spellEnd"/>
      <w:r w:rsidRPr="00F32462">
        <w:rPr>
          <w:sz w:val="24"/>
          <w:szCs w:val="24"/>
          <w:lang w:val="da-DK"/>
        </w:rPr>
        <w:t xml:space="preserve"> virkning på fertiliteten hos mænd kendes ikke.</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Det er vist, at </w:t>
      </w:r>
      <w:proofErr w:type="spellStart"/>
      <w:r w:rsidRPr="00F32462">
        <w:rPr>
          <w:sz w:val="24"/>
          <w:szCs w:val="24"/>
          <w:lang w:val="da-DK"/>
        </w:rPr>
        <w:t>ambrisentan</w:t>
      </w:r>
      <w:proofErr w:type="spellEnd"/>
      <w:r w:rsidRPr="00F32462">
        <w:rPr>
          <w:sz w:val="24"/>
          <w:szCs w:val="24"/>
          <w:lang w:val="da-DK"/>
        </w:rPr>
        <w:t xml:space="preserve"> er </w:t>
      </w:r>
      <w:proofErr w:type="spellStart"/>
      <w:r w:rsidRPr="00F32462">
        <w:rPr>
          <w:sz w:val="24"/>
          <w:szCs w:val="24"/>
          <w:lang w:val="da-DK"/>
        </w:rPr>
        <w:t>teratogent</w:t>
      </w:r>
      <w:proofErr w:type="spellEnd"/>
      <w:r w:rsidRPr="00F32462">
        <w:rPr>
          <w:sz w:val="24"/>
          <w:szCs w:val="24"/>
          <w:lang w:val="da-DK"/>
        </w:rPr>
        <w:t xml:space="preserve"> hos rotter og kaniner. Abnormiteter i underkæbe, tunge og/eller gane sås ved alle testede doser. Desuden viste rottestudiet en øget forekomst af </w:t>
      </w:r>
      <w:proofErr w:type="spellStart"/>
      <w:r w:rsidRPr="00F32462">
        <w:rPr>
          <w:sz w:val="24"/>
          <w:szCs w:val="24"/>
          <w:lang w:val="da-DK"/>
        </w:rPr>
        <w:t>interventrikulære</w:t>
      </w:r>
      <w:proofErr w:type="spellEnd"/>
      <w:r w:rsidRPr="00F32462">
        <w:rPr>
          <w:sz w:val="24"/>
          <w:szCs w:val="24"/>
          <w:lang w:val="da-DK"/>
        </w:rPr>
        <w:t xml:space="preserve"> septumdefekter, defekter i kroppens centrale kar, abnormiteter i </w:t>
      </w:r>
      <w:proofErr w:type="spellStart"/>
      <w:r w:rsidRPr="00F32462">
        <w:rPr>
          <w:sz w:val="24"/>
          <w:szCs w:val="24"/>
          <w:lang w:val="da-DK"/>
        </w:rPr>
        <w:t>thyroidea</w:t>
      </w:r>
      <w:proofErr w:type="spellEnd"/>
      <w:r w:rsidRPr="00F32462">
        <w:rPr>
          <w:sz w:val="24"/>
          <w:szCs w:val="24"/>
          <w:lang w:val="da-DK"/>
        </w:rPr>
        <w:t xml:space="preserve"> og </w:t>
      </w:r>
      <w:proofErr w:type="spellStart"/>
      <w:r w:rsidRPr="00F32462">
        <w:rPr>
          <w:sz w:val="24"/>
          <w:szCs w:val="24"/>
          <w:lang w:val="da-DK"/>
        </w:rPr>
        <w:t>thymus</w:t>
      </w:r>
      <w:proofErr w:type="spellEnd"/>
      <w:r w:rsidRPr="00F32462">
        <w:rPr>
          <w:sz w:val="24"/>
          <w:szCs w:val="24"/>
          <w:lang w:val="da-DK"/>
        </w:rPr>
        <w:t xml:space="preserve">, forbening af </w:t>
      </w:r>
      <w:proofErr w:type="spellStart"/>
      <w:r w:rsidRPr="00F32462">
        <w:rPr>
          <w:sz w:val="24"/>
          <w:szCs w:val="24"/>
          <w:lang w:val="da-DK"/>
        </w:rPr>
        <w:t>basisphenoid</w:t>
      </w:r>
      <w:proofErr w:type="spellEnd"/>
      <w:r w:rsidRPr="00F32462">
        <w:rPr>
          <w:sz w:val="24"/>
          <w:szCs w:val="24"/>
          <w:lang w:val="da-DK"/>
        </w:rPr>
        <w:t xml:space="preserve">-knoglen samt forekomst af </w:t>
      </w:r>
      <w:proofErr w:type="spellStart"/>
      <w:r w:rsidRPr="00F32462">
        <w:rPr>
          <w:sz w:val="24"/>
          <w:szCs w:val="24"/>
          <w:lang w:val="da-DK"/>
        </w:rPr>
        <w:t>umbilikalarterien</w:t>
      </w:r>
      <w:proofErr w:type="spellEnd"/>
      <w:r w:rsidRPr="00F32462">
        <w:rPr>
          <w:sz w:val="24"/>
          <w:szCs w:val="24"/>
          <w:lang w:val="da-DK"/>
        </w:rPr>
        <w:t xml:space="preserve"> på venstre side af urinblæren i stedet for på højre side. Der er mistanke om, at alle </w:t>
      </w:r>
      <w:proofErr w:type="spellStart"/>
      <w:r w:rsidRPr="00F32462">
        <w:rPr>
          <w:sz w:val="24"/>
          <w:szCs w:val="24"/>
          <w:lang w:val="da-DK"/>
        </w:rPr>
        <w:t>ERA’er</w:t>
      </w:r>
      <w:proofErr w:type="spellEnd"/>
      <w:r w:rsidRPr="00F32462">
        <w:rPr>
          <w:sz w:val="24"/>
          <w:szCs w:val="24"/>
          <w:lang w:val="da-DK"/>
        </w:rPr>
        <w:t xml:space="preserve"> er </w:t>
      </w:r>
      <w:proofErr w:type="spellStart"/>
      <w:r w:rsidRPr="00F32462">
        <w:rPr>
          <w:sz w:val="24"/>
          <w:szCs w:val="24"/>
          <w:lang w:val="da-DK"/>
        </w:rPr>
        <w:t>teratogene</w:t>
      </w:r>
      <w:proofErr w:type="spellEnd"/>
      <w:r w:rsidRPr="00F32462">
        <w:rPr>
          <w:sz w:val="24"/>
          <w:szCs w:val="24"/>
          <w:lang w:val="da-DK"/>
        </w:rPr>
        <w: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 xml:space="preserve">Indgift af </w:t>
      </w:r>
      <w:proofErr w:type="spellStart"/>
      <w:r w:rsidRPr="00F32462">
        <w:rPr>
          <w:sz w:val="24"/>
          <w:szCs w:val="24"/>
          <w:lang w:val="da-DK"/>
        </w:rPr>
        <w:t>ambrisentan</w:t>
      </w:r>
      <w:proofErr w:type="spellEnd"/>
      <w:r w:rsidRPr="00F32462">
        <w:rPr>
          <w:sz w:val="24"/>
          <w:szCs w:val="24"/>
          <w:lang w:val="da-DK"/>
        </w:rPr>
        <w:t xml:space="preserve"> til hunrotter fra sidst i graviditeten til og med diegivning forårsagede bivirkninger på moderens adfærd, nedsat overlevelse hos afkommet og nedsættelse af reproduktionsevnen hos afkommet (med observation af små testikler ved obduktion) ved eksponering på 3 gange AUC ved den maksimalt anbefalede dosis til mennesker.</w:t>
      </w:r>
    </w:p>
    <w:p w:rsidR="00673CCD" w:rsidRPr="00F32462" w:rsidRDefault="00673CCD" w:rsidP="00673CCD">
      <w:pPr>
        <w:pStyle w:val="Brdtekst"/>
        <w:ind w:left="851" w:right="-1"/>
        <w:rPr>
          <w:sz w:val="24"/>
          <w:szCs w:val="24"/>
          <w:lang w:val="da-DK"/>
        </w:rPr>
      </w:pPr>
    </w:p>
    <w:p w:rsidR="00673CCD" w:rsidRPr="00F32462" w:rsidRDefault="00673CCD" w:rsidP="00673CCD">
      <w:pPr>
        <w:adjustRightInd w:val="0"/>
        <w:ind w:left="851" w:right="-1"/>
        <w:rPr>
          <w:sz w:val="24"/>
          <w:szCs w:val="24"/>
        </w:rPr>
      </w:pPr>
      <w:r w:rsidRPr="00F32462">
        <w:rPr>
          <w:sz w:val="24"/>
          <w:szCs w:val="24"/>
        </w:rPr>
        <w:t xml:space="preserve">Hos unge rotter, som fik administreret </w:t>
      </w:r>
      <w:proofErr w:type="spellStart"/>
      <w:r w:rsidRPr="00F32462">
        <w:rPr>
          <w:sz w:val="24"/>
          <w:szCs w:val="24"/>
        </w:rPr>
        <w:t>ambrisentan</w:t>
      </w:r>
      <w:proofErr w:type="spellEnd"/>
      <w:r w:rsidRPr="00F32462">
        <w:rPr>
          <w:sz w:val="24"/>
          <w:szCs w:val="24"/>
        </w:rPr>
        <w:t xml:space="preserve"> oralt en gang dagligt på dag 7 til 26, 36 eller 62</w:t>
      </w:r>
      <w:r>
        <w:rPr>
          <w:sz w:val="24"/>
          <w:szCs w:val="24"/>
        </w:rPr>
        <w:t xml:space="preserve"> </w:t>
      </w:r>
      <w:proofErr w:type="spellStart"/>
      <w:r w:rsidRPr="00F32462">
        <w:rPr>
          <w:sz w:val="24"/>
          <w:szCs w:val="24"/>
        </w:rPr>
        <w:t>postnatalt</w:t>
      </w:r>
      <w:proofErr w:type="spellEnd"/>
      <w:r w:rsidRPr="00F32462">
        <w:rPr>
          <w:sz w:val="24"/>
          <w:szCs w:val="24"/>
        </w:rPr>
        <w:t xml:space="preserve">, forekom et fald i hjernevægt (-3 % til -8 %) uden morfologiske eller </w:t>
      </w:r>
      <w:proofErr w:type="spellStart"/>
      <w:r w:rsidRPr="00F32462">
        <w:rPr>
          <w:sz w:val="24"/>
          <w:szCs w:val="24"/>
        </w:rPr>
        <w:t>neurobehaviorale</w:t>
      </w:r>
      <w:proofErr w:type="spellEnd"/>
      <w:r>
        <w:rPr>
          <w:sz w:val="24"/>
          <w:szCs w:val="24"/>
        </w:rPr>
        <w:t xml:space="preserve"> </w:t>
      </w:r>
      <w:r w:rsidRPr="00F32462">
        <w:rPr>
          <w:sz w:val="24"/>
          <w:szCs w:val="24"/>
        </w:rPr>
        <w:t xml:space="preserve">ændringer, efter at åndedrætslyd, apnø og </w:t>
      </w:r>
      <w:proofErr w:type="spellStart"/>
      <w:r w:rsidRPr="00F32462">
        <w:rPr>
          <w:sz w:val="24"/>
          <w:szCs w:val="24"/>
        </w:rPr>
        <w:t>hypoxi</w:t>
      </w:r>
      <w:proofErr w:type="spellEnd"/>
      <w:r w:rsidRPr="00F32462">
        <w:rPr>
          <w:sz w:val="24"/>
          <w:szCs w:val="24"/>
        </w:rPr>
        <w:t xml:space="preserve"> blev observeret. Dette forekom, ved eksponering på ca. 1,8 til 7 gange den humane pædiatriske eksponering ved 10 mg (alder 9 til 15 år), baseret på AUC. Den kliniske relevans af dette fund for den pædiatriske population er ikke fuldt ud forstået.</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w:t>
      </w:r>
      <w:r w:rsidRPr="00F32462">
        <w:rPr>
          <w:b/>
          <w:sz w:val="24"/>
          <w:szCs w:val="24"/>
        </w:rPr>
        <w:tab/>
        <w:t>FARMACEUTISKE OPLYSNINGER</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6.1</w:t>
      </w:r>
      <w:r w:rsidRPr="00F32462">
        <w:rPr>
          <w:b/>
          <w:sz w:val="24"/>
          <w:szCs w:val="24"/>
        </w:rPr>
        <w:tab/>
        <w:t>Hjælpestoffer</w:t>
      </w:r>
    </w:p>
    <w:p w:rsidR="00673CCD" w:rsidRDefault="00673CCD" w:rsidP="00673CCD">
      <w:pPr>
        <w:pStyle w:val="Brdtekst"/>
        <w:ind w:left="851" w:right="-1"/>
        <w:rPr>
          <w:sz w:val="24"/>
          <w:szCs w:val="24"/>
          <w:u w:val="single"/>
          <w:lang w:val="da-DK"/>
        </w:rPr>
      </w:pPr>
    </w:p>
    <w:p w:rsidR="00673CCD" w:rsidRPr="00F32462" w:rsidRDefault="00673CCD" w:rsidP="00673CCD">
      <w:pPr>
        <w:pStyle w:val="Brdtekst"/>
        <w:ind w:left="851" w:right="-1"/>
        <w:rPr>
          <w:sz w:val="24"/>
          <w:szCs w:val="24"/>
          <w:u w:val="single"/>
          <w:lang w:val="da-DK"/>
        </w:rPr>
      </w:pPr>
      <w:r w:rsidRPr="00F32462">
        <w:rPr>
          <w:sz w:val="24"/>
          <w:szCs w:val="24"/>
          <w:u w:val="single"/>
          <w:lang w:val="da-DK"/>
        </w:rPr>
        <w:t>Tabletkerne</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Lactosemonohydrat</w:t>
      </w:r>
      <w:proofErr w:type="spellEnd"/>
      <w:r w:rsidRPr="00F32462">
        <w:rPr>
          <w:sz w:val="24"/>
          <w:szCs w:val="24"/>
          <w:lang w:val="da-DK"/>
        </w:rPr>
        <w:t xml:space="preserve"> </w:t>
      </w:r>
    </w:p>
    <w:p w:rsidR="00673CCD" w:rsidRPr="00F32462" w:rsidRDefault="00673CCD" w:rsidP="00673CCD">
      <w:pPr>
        <w:pStyle w:val="Brdtekst"/>
        <w:ind w:left="851" w:right="-1"/>
        <w:rPr>
          <w:sz w:val="24"/>
          <w:szCs w:val="24"/>
          <w:lang w:val="da-DK"/>
        </w:rPr>
      </w:pPr>
      <w:r w:rsidRPr="00F32462">
        <w:rPr>
          <w:sz w:val="24"/>
          <w:szCs w:val="24"/>
          <w:lang w:val="da-DK"/>
        </w:rPr>
        <w:t>Mikrokrystallinsk cellulose</w:t>
      </w:r>
    </w:p>
    <w:p w:rsidR="00673CCD" w:rsidRPr="00F32462" w:rsidRDefault="00673CCD" w:rsidP="00673CCD">
      <w:pPr>
        <w:pStyle w:val="Brdtekst"/>
        <w:ind w:left="851" w:right="-1"/>
        <w:rPr>
          <w:sz w:val="24"/>
          <w:szCs w:val="24"/>
          <w:lang w:val="da-DK"/>
        </w:rPr>
      </w:pPr>
      <w:r w:rsidRPr="00F32462">
        <w:rPr>
          <w:sz w:val="24"/>
          <w:szCs w:val="24"/>
          <w:lang w:val="da-DK"/>
        </w:rPr>
        <w:t xml:space="preserve">Majsstivelse, </w:t>
      </w:r>
      <w:proofErr w:type="spellStart"/>
      <w:r w:rsidRPr="00F32462">
        <w:rPr>
          <w:sz w:val="24"/>
          <w:szCs w:val="24"/>
          <w:lang w:val="da-DK"/>
        </w:rPr>
        <w:t>pregelatineret</w:t>
      </w:r>
      <w:proofErr w:type="spellEnd"/>
    </w:p>
    <w:p w:rsidR="00673CCD" w:rsidRPr="00F32462" w:rsidRDefault="00673CCD" w:rsidP="00673CCD">
      <w:pPr>
        <w:pStyle w:val="Brdtekst"/>
        <w:ind w:left="851" w:right="-1"/>
        <w:rPr>
          <w:sz w:val="24"/>
          <w:szCs w:val="24"/>
          <w:lang w:val="da-DK"/>
        </w:rPr>
      </w:pPr>
      <w:proofErr w:type="spellStart"/>
      <w:r w:rsidRPr="00F32462">
        <w:rPr>
          <w:sz w:val="24"/>
          <w:szCs w:val="24"/>
          <w:lang w:val="da-DK"/>
        </w:rPr>
        <w:t>Magnesiumstearat</w:t>
      </w:r>
      <w:proofErr w:type="spellEnd"/>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u w:val="single"/>
          <w:lang w:val="da-DK"/>
        </w:rPr>
        <w:t>Filmovertræk</w:t>
      </w:r>
    </w:p>
    <w:p w:rsidR="00673CCD" w:rsidRPr="00F32462" w:rsidRDefault="00673CCD" w:rsidP="00673CCD">
      <w:pPr>
        <w:pStyle w:val="Brdtekst"/>
        <w:ind w:left="851" w:right="-1"/>
        <w:rPr>
          <w:sz w:val="24"/>
          <w:szCs w:val="24"/>
          <w:lang w:val="da-DK"/>
        </w:rPr>
      </w:pPr>
      <w:r w:rsidRPr="00F32462">
        <w:rPr>
          <w:sz w:val="24"/>
          <w:szCs w:val="24"/>
          <w:lang w:val="da-DK"/>
        </w:rPr>
        <w:t>Polyvinylalkohol</w:t>
      </w:r>
    </w:p>
    <w:p w:rsidR="00673CCD" w:rsidRPr="00F32462" w:rsidRDefault="00673CCD" w:rsidP="00673CCD">
      <w:pPr>
        <w:pStyle w:val="Brdtekst"/>
        <w:ind w:left="851" w:right="-1"/>
        <w:rPr>
          <w:sz w:val="24"/>
          <w:szCs w:val="24"/>
          <w:lang w:val="da-DK"/>
        </w:rPr>
      </w:pPr>
      <w:r w:rsidRPr="00F32462">
        <w:rPr>
          <w:sz w:val="24"/>
          <w:szCs w:val="24"/>
          <w:lang w:val="da-DK"/>
        </w:rPr>
        <w:t xml:space="preserve">Titandioxid (E171) </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Polyethylenglycol</w:t>
      </w:r>
      <w:proofErr w:type="spellEnd"/>
    </w:p>
    <w:p w:rsidR="00673CCD" w:rsidRPr="00F32462" w:rsidRDefault="00673CCD" w:rsidP="00673CCD">
      <w:pPr>
        <w:pStyle w:val="Brdtekst"/>
        <w:ind w:left="851" w:right="-1"/>
        <w:rPr>
          <w:sz w:val="24"/>
          <w:szCs w:val="24"/>
          <w:lang w:val="da-DK"/>
        </w:rPr>
      </w:pPr>
      <w:proofErr w:type="spellStart"/>
      <w:r w:rsidRPr="00F32462">
        <w:rPr>
          <w:sz w:val="24"/>
          <w:szCs w:val="24"/>
          <w:lang w:val="da-DK"/>
        </w:rPr>
        <w:t>Talcum</w:t>
      </w:r>
      <w:proofErr w:type="spellEnd"/>
    </w:p>
    <w:p w:rsidR="00673CCD" w:rsidRPr="00F32462" w:rsidRDefault="00673CCD" w:rsidP="00673CCD">
      <w:pPr>
        <w:pStyle w:val="Brdtekst"/>
        <w:ind w:left="851" w:right="-1"/>
        <w:rPr>
          <w:sz w:val="24"/>
          <w:szCs w:val="24"/>
          <w:lang w:val="da-DK"/>
        </w:rPr>
      </w:pPr>
      <w:r w:rsidRPr="00F32462">
        <w:rPr>
          <w:sz w:val="24"/>
          <w:szCs w:val="24"/>
          <w:lang w:val="da-DK"/>
        </w:rPr>
        <w:t>Jernoxid (E172)</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6.2</w:t>
      </w:r>
      <w:r w:rsidRPr="00F32462">
        <w:rPr>
          <w:b/>
          <w:sz w:val="24"/>
          <w:szCs w:val="24"/>
        </w:rPr>
        <w:tab/>
        <w:t>Uforligeligheder</w:t>
      </w:r>
    </w:p>
    <w:p w:rsidR="00673CCD" w:rsidRDefault="00673CCD" w:rsidP="00673CCD">
      <w:pPr>
        <w:pStyle w:val="Brdtekst"/>
        <w:ind w:right="-1" w:firstLine="851"/>
        <w:rPr>
          <w:sz w:val="24"/>
          <w:szCs w:val="24"/>
          <w:lang w:val="da-DK"/>
        </w:rPr>
      </w:pPr>
      <w:r w:rsidRPr="00F32462">
        <w:rPr>
          <w:sz w:val="24"/>
          <w:szCs w:val="24"/>
          <w:lang w:val="da-DK"/>
        </w:rPr>
        <w:t>Ikke relevant.</w:t>
      </w:r>
    </w:p>
    <w:p w:rsidR="00673CCD" w:rsidRPr="00F32462" w:rsidRDefault="00673CCD" w:rsidP="00673CCD">
      <w:pPr>
        <w:pStyle w:val="Brdtekst"/>
        <w:ind w:right="-1" w:firstLine="851"/>
        <w:rPr>
          <w:sz w:val="24"/>
          <w:szCs w:val="24"/>
          <w:lang w:val="da-DK"/>
        </w:rPr>
      </w:pPr>
    </w:p>
    <w:p w:rsidR="00673CCD" w:rsidRPr="00F32462" w:rsidRDefault="00673CCD" w:rsidP="00673CCD">
      <w:pPr>
        <w:tabs>
          <w:tab w:val="left" w:pos="851"/>
        </w:tabs>
        <w:ind w:left="851" w:right="-1" w:hanging="851"/>
        <w:rPr>
          <w:b/>
          <w:sz w:val="24"/>
          <w:szCs w:val="24"/>
        </w:rPr>
      </w:pPr>
      <w:r w:rsidRPr="00F32462">
        <w:rPr>
          <w:b/>
          <w:sz w:val="24"/>
          <w:szCs w:val="24"/>
        </w:rPr>
        <w:lastRenderedPageBreak/>
        <w:t>6.3</w:t>
      </w:r>
      <w:r w:rsidRPr="00F32462">
        <w:rPr>
          <w:b/>
          <w:sz w:val="24"/>
          <w:szCs w:val="24"/>
        </w:rPr>
        <w:tab/>
        <w:t>Opbevaringstid</w:t>
      </w:r>
    </w:p>
    <w:p w:rsidR="00673CCD" w:rsidRPr="00B81FB0" w:rsidRDefault="00673CCD" w:rsidP="00673CCD">
      <w:pPr>
        <w:pStyle w:val="Brdtekst"/>
        <w:ind w:right="-1" w:firstLine="851"/>
        <w:rPr>
          <w:sz w:val="24"/>
          <w:szCs w:val="24"/>
          <w:lang w:val="da-DK"/>
        </w:rPr>
      </w:pPr>
      <w:r w:rsidRPr="00F32462">
        <w:rPr>
          <w:sz w:val="24"/>
          <w:szCs w:val="24"/>
          <w:lang w:val="da-DK"/>
        </w:rPr>
        <w:t>2 år</w:t>
      </w:r>
      <w:r>
        <w:rPr>
          <w:sz w:val="24"/>
          <w:szCs w:val="24"/>
          <w:lang w:val="da-DK"/>
        </w:rPr>
        <w:t>.</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6.4</w:t>
      </w:r>
      <w:r w:rsidRPr="00F32462">
        <w:rPr>
          <w:b/>
          <w:sz w:val="24"/>
          <w:szCs w:val="24"/>
        </w:rPr>
        <w:tab/>
        <w:t>Særlige opbevaringsforhold</w:t>
      </w:r>
    </w:p>
    <w:p w:rsidR="00673CCD" w:rsidRPr="00F32462" w:rsidRDefault="00673CCD" w:rsidP="00673CCD">
      <w:pPr>
        <w:pStyle w:val="Brdtekst"/>
        <w:ind w:right="-1" w:firstLine="851"/>
        <w:rPr>
          <w:sz w:val="24"/>
          <w:szCs w:val="24"/>
          <w:lang w:val="da-DK"/>
        </w:rPr>
      </w:pPr>
      <w:r w:rsidRPr="00F32462">
        <w:rPr>
          <w:sz w:val="24"/>
          <w:szCs w:val="24"/>
          <w:lang w:val="da-DK"/>
        </w:rPr>
        <w:t>Dette lægemiddel kræver ingen særlige forholdsregler vedrørende opbevaringen.</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6.5</w:t>
      </w:r>
      <w:r w:rsidRPr="00F32462">
        <w:rPr>
          <w:b/>
          <w:sz w:val="24"/>
          <w:szCs w:val="24"/>
        </w:rPr>
        <w:tab/>
        <w:t>Emballagetyper og pakningsstørrelser</w:t>
      </w:r>
    </w:p>
    <w:p w:rsidR="00673CCD" w:rsidRPr="00F32462" w:rsidRDefault="00673CCD" w:rsidP="00673CCD">
      <w:pPr>
        <w:pStyle w:val="Brdtekst"/>
        <w:ind w:left="851" w:right="-1"/>
        <w:rPr>
          <w:sz w:val="24"/>
          <w:szCs w:val="24"/>
          <w:lang w:val="da-DK"/>
        </w:rPr>
      </w:pPr>
      <w:proofErr w:type="spellStart"/>
      <w:r w:rsidRPr="00F32462">
        <w:rPr>
          <w:sz w:val="24"/>
          <w:szCs w:val="24"/>
          <w:lang w:val="da-DK"/>
        </w:rPr>
        <w:t>Ambrisentan</w:t>
      </w:r>
      <w:proofErr w:type="spellEnd"/>
      <w:r w:rsidRPr="00F32462">
        <w:rPr>
          <w:sz w:val="24"/>
          <w:szCs w:val="24"/>
          <w:lang w:val="da-DK"/>
        </w:rPr>
        <w:t xml:space="preserve"> </w:t>
      </w:r>
      <w:r>
        <w:rPr>
          <w:sz w:val="24"/>
          <w:szCs w:val="24"/>
          <w:lang w:val="da-DK"/>
        </w:rPr>
        <w:t>"Sandoz"</w:t>
      </w:r>
      <w:r w:rsidRPr="00F32462">
        <w:rPr>
          <w:sz w:val="24"/>
          <w:szCs w:val="24"/>
          <w:lang w:val="da-DK"/>
        </w:rPr>
        <w:t xml:space="preserve"> tabletter fås i blisterkort</w:t>
      </w:r>
      <w:r w:rsidR="00F3400B">
        <w:rPr>
          <w:sz w:val="24"/>
          <w:szCs w:val="24"/>
          <w:lang w:val="da-DK"/>
        </w:rPr>
        <w:t>/enkeltdosisblisterkort</w:t>
      </w:r>
      <w:r w:rsidRPr="00F32462">
        <w:rPr>
          <w:sz w:val="24"/>
          <w:szCs w:val="24"/>
          <w:lang w:val="da-DK"/>
        </w:rPr>
        <w:t xml:space="preserve"> af PVC/PVDC eller PVC/PE/PVDC, der er lukket med aluminiumsfolie.</w:t>
      </w:r>
    </w:p>
    <w:p w:rsidR="00673CCD" w:rsidRPr="00F32462" w:rsidRDefault="00673CCD" w:rsidP="00673CCD">
      <w:pPr>
        <w:pStyle w:val="Brdtekst"/>
        <w:ind w:left="851" w:right="-1"/>
        <w:rPr>
          <w:sz w:val="24"/>
          <w:szCs w:val="24"/>
          <w:lang w:val="da-DK"/>
        </w:rPr>
      </w:pPr>
      <w:r w:rsidRPr="00F32462">
        <w:rPr>
          <w:sz w:val="24"/>
          <w:szCs w:val="24"/>
          <w:lang w:val="da-DK"/>
        </w:rPr>
        <w:t>Pakningsstørrelser: 10 eller 30 filmovertrukne tabletter i blisterkort</w:t>
      </w:r>
      <w:r w:rsidR="00F3400B">
        <w:rPr>
          <w:sz w:val="24"/>
          <w:szCs w:val="24"/>
          <w:lang w:val="da-DK"/>
        </w:rPr>
        <w:t xml:space="preserve"> eller 10x1 eller 30x1 filmovertrukne tabletter i enkeltdosisblisterkort.</w:t>
      </w:r>
    </w:p>
    <w:p w:rsidR="00673CCD" w:rsidRPr="00F32462" w:rsidRDefault="00673CCD" w:rsidP="00673CCD">
      <w:pPr>
        <w:pStyle w:val="Brdtekst"/>
        <w:ind w:left="851" w:right="-1"/>
        <w:rPr>
          <w:sz w:val="24"/>
          <w:szCs w:val="24"/>
          <w:lang w:val="da-DK"/>
        </w:rPr>
      </w:pPr>
    </w:p>
    <w:p w:rsidR="00673CCD" w:rsidRPr="00F32462" w:rsidRDefault="00673CCD" w:rsidP="00673CCD">
      <w:pPr>
        <w:pStyle w:val="Brdtekst"/>
        <w:ind w:left="851" w:right="-1"/>
        <w:rPr>
          <w:sz w:val="24"/>
          <w:szCs w:val="24"/>
          <w:lang w:val="da-DK"/>
        </w:rPr>
      </w:pPr>
      <w:r w:rsidRPr="00F32462">
        <w:rPr>
          <w:sz w:val="24"/>
          <w:szCs w:val="24"/>
          <w:lang w:val="da-DK"/>
        </w:rPr>
        <w:t>Ikke alle pakningsstørrelser er nødvendigvis markedsført.</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6.6</w:t>
      </w:r>
      <w:r w:rsidRPr="00F32462">
        <w:rPr>
          <w:b/>
          <w:sz w:val="24"/>
          <w:szCs w:val="24"/>
        </w:rPr>
        <w:tab/>
        <w:t>Regler for destruktion og anden håndtering</w:t>
      </w:r>
    </w:p>
    <w:p w:rsidR="00673CCD" w:rsidRPr="00F32462" w:rsidRDefault="00673CCD" w:rsidP="00673CCD">
      <w:pPr>
        <w:pStyle w:val="Brdtekst"/>
        <w:ind w:left="851" w:right="-1"/>
        <w:rPr>
          <w:sz w:val="24"/>
          <w:szCs w:val="24"/>
          <w:lang w:val="da-DK"/>
        </w:rPr>
      </w:pPr>
      <w:r w:rsidRPr="00F32462">
        <w:rPr>
          <w:sz w:val="24"/>
          <w:szCs w:val="24"/>
          <w:lang w:val="da-DK"/>
        </w:rPr>
        <w:t>Ikke anvendt lægemiddel samt affald heraf skal bortskaffes i henhold til lokale retningslinjer.</w:t>
      </w:r>
    </w:p>
    <w:p w:rsidR="00673CCD" w:rsidRPr="00F32462" w:rsidRDefault="00673CCD" w:rsidP="00673CCD">
      <w:pPr>
        <w:tabs>
          <w:tab w:val="left" w:pos="851"/>
        </w:tabs>
        <w:ind w:left="851" w:right="-1"/>
        <w:jc w:val="both"/>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7.</w:t>
      </w:r>
      <w:r w:rsidRPr="00F32462">
        <w:rPr>
          <w:b/>
          <w:sz w:val="24"/>
          <w:szCs w:val="24"/>
        </w:rPr>
        <w:tab/>
        <w:t>INDEHAVER AF MARKEDSFØRINGSTILLADELSEN</w:t>
      </w:r>
    </w:p>
    <w:p w:rsidR="00673CCD" w:rsidRPr="00F32462" w:rsidRDefault="00673CCD" w:rsidP="00673CCD">
      <w:pPr>
        <w:pStyle w:val="Brdtekst"/>
        <w:ind w:left="851" w:right="-1"/>
        <w:rPr>
          <w:sz w:val="24"/>
          <w:szCs w:val="24"/>
          <w:lang w:val="da-DK"/>
        </w:rPr>
      </w:pPr>
      <w:r w:rsidRPr="00F32462">
        <w:rPr>
          <w:sz w:val="24"/>
          <w:szCs w:val="24"/>
          <w:lang w:val="da-DK"/>
        </w:rPr>
        <w:t>Sandoz A/S</w:t>
      </w:r>
    </w:p>
    <w:p w:rsidR="00673CCD" w:rsidRPr="00F32462" w:rsidRDefault="00673CCD" w:rsidP="00673CCD">
      <w:pPr>
        <w:pStyle w:val="Brdtekst"/>
        <w:ind w:left="851" w:right="-1"/>
        <w:rPr>
          <w:sz w:val="24"/>
          <w:szCs w:val="24"/>
          <w:lang w:val="da-DK"/>
        </w:rPr>
      </w:pPr>
      <w:r w:rsidRPr="00F32462">
        <w:rPr>
          <w:sz w:val="24"/>
          <w:szCs w:val="24"/>
          <w:lang w:val="da-DK"/>
        </w:rPr>
        <w:t>Edvard Thomsens Vej 14</w:t>
      </w:r>
    </w:p>
    <w:p w:rsidR="00673CCD" w:rsidRPr="00F32462" w:rsidRDefault="00673CCD" w:rsidP="00673CCD">
      <w:pPr>
        <w:pStyle w:val="Brdtekst"/>
        <w:ind w:left="851" w:right="-1"/>
        <w:rPr>
          <w:sz w:val="24"/>
          <w:szCs w:val="24"/>
          <w:lang w:val="da-DK"/>
        </w:rPr>
      </w:pPr>
      <w:r w:rsidRPr="00F32462">
        <w:rPr>
          <w:sz w:val="24"/>
          <w:szCs w:val="24"/>
          <w:lang w:val="da-DK"/>
        </w:rPr>
        <w:t>2300 København S</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8.</w:t>
      </w:r>
      <w:r w:rsidRPr="00F32462">
        <w:rPr>
          <w:b/>
          <w:sz w:val="24"/>
          <w:szCs w:val="24"/>
        </w:rPr>
        <w:tab/>
        <w:t>MARKEDSFØRINGSTILLADELSESNUMMER (NUMRE)</w:t>
      </w:r>
    </w:p>
    <w:p w:rsidR="00673CCD" w:rsidRPr="00F32462" w:rsidRDefault="00673CCD" w:rsidP="00673CCD">
      <w:pPr>
        <w:pStyle w:val="Brdtekst"/>
        <w:tabs>
          <w:tab w:val="left" w:pos="1701"/>
        </w:tabs>
        <w:ind w:left="851" w:right="-1"/>
        <w:rPr>
          <w:sz w:val="24"/>
          <w:szCs w:val="24"/>
          <w:lang w:val="da-DK"/>
        </w:rPr>
      </w:pPr>
      <w:r w:rsidRPr="00F32462">
        <w:rPr>
          <w:sz w:val="24"/>
          <w:szCs w:val="24"/>
          <w:lang w:val="da-DK"/>
        </w:rPr>
        <w:t xml:space="preserve">5 mg: </w:t>
      </w:r>
      <w:r>
        <w:rPr>
          <w:sz w:val="24"/>
          <w:szCs w:val="24"/>
          <w:lang w:val="da-DK"/>
        </w:rPr>
        <w:tab/>
      </w:r>
      <w:r w:rsidRPr="00F32462">
        <w:rPr>
          <w:sz w:val="24"/>
          <w:szCs w:val="24"/>
          <w:lang w:val="da-DK"/>
        </w:rPr>
        <w:t>61196</w:t>
      </w:r>
    </w:p>
    <w:p w:rsidR="00673CCD" w:rsidRPr="00F32462" w:rsidRDefault="00673CCD" w:rsidP="00673CCD">
      <w:pPr>
        <w:pStyle w:val="Brdtekst"/>
        <w:tabs>
          <w:tab w:val="left" w:pos="1701"/>
        </w:tabs>
        <w:ind w:left="851" w:right="-1"/>
        <w:rPr>
          <w:sz w:val="24"/>
          <w:szCs w:val="24"/>
          <w:lang w:val="da-DK"/>
        </w:rPr>
      </w:pPr>
      <w:r w:rsidRPr="00F32462">
        <w:rPr>
          <w:sz w:val="24"/>
          <w:szCs w:val="24"/>
          <w:lang w:val="da-DK"/>
        </w:rPr>
        <w:t xml:space="preserve">10 mg: </w:t>
      </w:r>
      <w:r>
        <w:rPr>
          <w:sz w:val="24"/>
          <w:szCs w:val="24"/>
          <w:lang w:val="da-DK"/>
        </w:rPr>
        <w:tab/>
      </w:r>
      <w:r w:rsidRPr="00F32462">
        <w:rPr>
          <w:sz w:val="24"/>
          <w:szCs w:val="24"/>
          <w:lang w:val="da-DK"/>
        </w:rPr>
        <w:t>61197</w:t>
      </w:r>
    </w:p>
    <w:p w:rsidR="00673CCD" w:rsidRPr="00F32462" w:rsidRDefault="00673CCD" w:rsidP="00673CCD">
      <w:pPr>
        <w:tabs>
          <w:tab w:val="left" w:pos="851"/>
        </w:tabs>
        <w:ind w:left="851" w:right="-1"/>
        <w:jc w:val="both"/>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9.</w:t>
      </w:r>
      <w:r w:rsidRPr="00F32462">
        <w:rPr>
          <w:b/>
          <w:sz w:val="24"/>
          <w:szCs w:val="24"/>
        </w:rPr>
        <w:tab/>
        <w:t>DATO FOR FØRSTE MARKEDSFØRINGSTILLADELSE</w:t>
      </w:r>
    </w:p>
    <w:p w:rsidR="00673CCD" w:rsidRPr="00F32462" w:rsidRDefault="00673CCD" w:rsidP="00673CCD">
      <w:pPr>
        <w:tabs>
          <w:tab w:val="left" w:pos="851"/>
        </w:tabs>
        <w:ind w:left="851" w:right="-1"/>
        <w:rPr>
          <w:sz w:val="24"/>
          <w:szCs w:val="24"/>
        </w:rPr>
      </w:pPr>
      <w:r>
        <w:rPr>
          <w:sz w:val="24"/>
          <w:szCs w:val="24"/>
        </w:rPr>
        <w:t>27. september 2019</w:t>
      </w:r>
    </w:p>
    <w:p w:rsidR="00673CCD" w:rsidRPr="00F32462" w:rsidRDefault="00673CCD" w:rsidP="00673CCD">
      <w:pPr>
        <w:tabs>
          <w:tab w:val="left" w:pos="851"/>
        </w:tabs>
        <w:ind w:left="851" w:right="-1"/>
        <w:rPr>
          <w:sz w:val="24"/>
          <w:szCs w:val="24"/>
        </w:rPr>
      </w:pPr>
    </w:p>
    <w:p w:rsidR="00673CCD" w:rsidRPr="00F32462" w:rsidRDefault="00673CCD" w:rsidP="00673CCD">
      <w:pPr>
        <w:tabs>
          <w:tab w:val="left" w:pos="851"/>
        </w:tabs>
        <w:ind w:left="851" w:right="-1" w:hanging="851"/>
        <w:rPr>
          <w:b/>
          <w:sz w:val="24"/>
          <w:szCs w:val="24"/>
        </w:rPr>
      </w:pPr>
      <w:r w:rsidRPr="00F32462">
        <w:rPr>
          <w:b/>
          <w:sz w:val="24"/>
          <w:szCs w:val="24"/>
        </w:rPr>
        <w:t>10.</w:t>
      </w:r>
      <w:r w:rsidRPr="00F32462">
        <w:rPr>
          <w:b/>
          <w:sz w:val="24"/>
          <w:szCs w:val="24"/>
        </w:rPr>
        <w:tab/>
        <w:t>DATO FOR ÆNDRING AF TEKSTEN</w:t>
      </w:r>
    </w:p>
    <w:p w:rsidR="00673CCD" w:rsidRPr="00F32462" w:rsidRDefault="00F3400B" w:rsidP="00673CCD">
      <w:pPr>
        <w:tabs>
          <w:tab w:val="left" w:pos="851"/>
        </w:tabs>
        <w:ind w:left="851" w:right="-1"/>
        <w:rPr>
          <w:sz w:val="24"/>
          <w:szCs w:val="24"/>
        </w:rPr>
      </w:pPr>
      <w:r>
        <w:rPr>
          <w:sz w:val="24"/>
          <w:szCs w:val="24"/>
        </w:rPr>
        <w:t>5. oktober 2020</w:t>
      </w:r>
      <w:bookmarkStart w:id="1" w:name="_GoBack"/>
      <w:bookmarkEnd w:id="1"/>
    </w:p>
    <w:p w:rsidR="00673CCD" w:rsidRPr="006E4970" w:rsidRDefault="00673CCD" w:rsidP="00673CCD"/>
    <w:p w:rsidR="00673CCD" w:rsidRPr="001226B1" w:rsidRDefault="00673CCD" w:rsidP="00673CCD"/>
    <w:p w:rsidR="009260DE" w:rsidRPr="00673CCD" w:rsidRDefault="009260DE" w:rsidP="00673CCD"/>
    <w:sectPr w:rsidR="009260DE" w:rsidRPr="00673C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CCD" w:rsidRDefault="00673CCD">
      <w:r>
        <w:separator/>
      </w:r>
    </w:p>
  </w:endnote>
  <w:endnote w:type="continuationSeparator" w:id="0">
    <w:p w:rsidR="00673CCD" w:rsidRDefault="0067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73CCD">
      <w:rPr>
        <w:i/>
        <w:noProof/>
        <w:sz w:val="18"/>
        <w:szCs w:val="18"/>
      </w:rPr>
      <w:t>Dokument246</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CCD" w:rsidRDefault="00673CCD">
      <w:r>
        <w:separator/>
      </w:r>
    </w:p>
  </w:footnote>
  <w:footnote w:type="continuationSeparator" w:id="0">
    <w:p w:rsidR="00673CCD" w:rsidRDefault="00673C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E39E6"/>
    <w:multiLevelType w:val="hybridMultilevel"/>
    <w:tmpl w:val="BB8219A6"/>
    <w:lvl w:ilvl="0" w:tplc="04060001">
      <w:start w:val="1"/>
      <w:numFmt w:val="bullet"/>
      <w:lvlText w:val=""/>
      <w:lvlJc w:val="left"/>
      <w:pPr>
        <w:ind w:left="686" w:hanging="564"/>
      </w:pPr>
      <w:rPr>
        <w:rFonts w:ascii="Symbol" w:hAnsi="Symbol" w:hint="default"/>
        <w:w w:val="100"/>
      </w:rPr>
    </w:lvl>
    <w:lvl w:ilvl="1" w:tplc="BDDAC746">
      <w:numFmt w:val="bullet"/>
      <w:lvlText w:val="•"/>
      <w:lvlJc w:val="left"/>
      <w:pPr>
        <w:ind w:left="1538" w:hanging="564"/>
      </w:pPr>
    </w:lvl>
    <w:lvl w:ilvl="2" w:tplc="63C29172">
      <w:numFmt w:val="bullet"/>
      <w:lvlText w:val="•"/>
      <w:lvlJc w:val="left"/>
      <w:pPr>
        <w:ind w:left="2396" w:hanging="564"/>
      </w:pPr>
    </w:lvl>
    <w:lvl w:ilvl="3" w:tplc="5C3CC94C">
      <w:numFmt w:val="bullet"/>
      <w:lvlText w:val="•"/>
      <w:lvlJc w:val="left"/>
      <w:pPr>
        <w:ind w:left="3255" w:hanging="564"/>
      </w:pPr>
    </w:lvl>
    <w:lvl w:ilvl="4" w:tplc="F15AA5CA">
      <w:numFmt w:val="bullet"/>
      <w:lvlText w:val="•"/>
      <w:lvlJc w:val="left"/>
      <w:pPr>
        <w:ind w:left="4113" w:hanging="564"/>
      </w:pPr>
    </w:lvl>
    <w:lvl w:ilvl="5" w:tplc="DEC84B7E">
      <w:numFmt w:val="bullet"/>
      <w:lvlText w:val="•"/>
      <w:lvlJc w:val="left"/>
      <w:pPr>
        <w:ind w:left="4972" w:hanging="564"/>
      </w:pPr>
    </w:lvl>
    <w:lvl w:ilvl="6" w:tplc="AD96DED2">
      <w:numFmt w:val="bullet"/>
      <w:lvlText w:val="•"/>
      <w:lvlJc w:val="left"/>
      <w:pPr>
        <w:ind w:left="5830" w:hanging="564"/>
      </w:pPr>
    </w:lvl>
    <w:lvl w:ilvl="7" w:tplc="9768E7E2">
      <w:numFmt w:val="bullet"/>
      <w:lvlText w:val="•"/>
      <w:lvlJc w:val="left"/>
      <w:pPr>
        <w:ind w:left="6689" w:hanging="564"/>
      </w:pPr>
    </w:lvl>
    <w:lvl w:ilvl="8" w:tplc="63EE3C82">
      <w:numFmt w:val="bullet"/>
      <w:lvlText w:val="•"/>
      <w:lvlJc w:val="left"/>
      <w:pPr>
        <w:ind w:left="7547" w:hanging="564"/>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6759F1"/>
    <w:multiLevelType w:val="hybridMultilevel"/>
    <w:tmpl w:val="62860F06"/>
    <w:lvl w:ilvl="0" w:tplc="9CCE1578">
      <w:numFmt w:val="bullet"/>
      <w:lvlText w:val="-"/>
      <w:lvlJc w:val="left"/>
      <w:pPr>
        <w:ind w:left="838" w:hanging="195"/>
      </w:pPr>
      <w:rPr>
        <w:rFonts w:ascii="Times New Roman" w:eastAsia="Times New Roman" w:hAnsi="Times New Roman" w:cs="Times New Roman" w:hint="default"/>
        <w:w w:val="99"/>
        <w:sz w:val="22"/>
        <w:szCs w:val="22"/>
      </w:rPr>
    </w:lvl>
    <w:lvl w:ilvl="1" w:tplc="16D8D0BE">
      <w:numFmt w:val="bullet"/>
      <w:lvlText w:val="•"/>
      <w:lvlJc w:val="left"/>
      <w:pPr>
        <w:ind w:left="1684" w:hanging="195"/>
      </w:pPr>
    </w:lvl>
    <w:lvl w:ilvl="2" w:tplc="8A7662D2">
      <w:numFmt w:val="bullet"/>
      <w:lvlText w:val="•"/>
      <w:lvlJc w:val="left"/>
      <w:pPr>
        <w:ind w:left="2528" w:hanging="195"/>
      </w:pPr>
    </w:lvl>
    <w:lvl w:ilvl="3" w:tplc="A0824C5A">
      <w:numFmt w:val="bullet"/>
      <w:lvlText w:val="•"/>
      <w:lvlJc w:val="left"/>
      <w:pPr>
        <w:ind w:left="3373" w:hanging="195"/>
      </w:pPr>
    </w:lvl>
    <w:lvl w:ilvl="4" w:tplc="72CA233C">
      <w:numFmt w:val="bullet"/>
      <w:lvlText w:val="•"/>
      <w:lvlJc w:val="left"/>
      <w:pPr>
        <w:ind w:left="4217" w:hanging="195"/>
      </w:pPr>
    </w:lvl>
    <w:lvl w:ilvl="5" w:tplc="0C86D3FE">
      <w:numFmt w:val="bullet"/>
      <w:lvlText w:val="•"/>
      <w:lvlJc w:val="left"/>
      <w:pPr>
        <w:ind w:left="5062" w:hanging="195"/>
      </w:pPr>
    </w:lvl>
    <w:lvl w:ilvl="6" w:tplc="63461412">
      <w:numFmt w:val="bullet"/>
      <w:lvlText w:val="•"/>
      <w:lvlJc w:val="left"/>
      <w:pPr>
        <w:ind w:left="5906" w:hanging="195"/>
      </w:pPr>
    </w:lvl>
    <w:lvl w:ilvl="7" w:tplc="5C14CD78">
      <w:numFmt w:val="bullet"/>
      <w:lvlText w:val="•"/>
      <w:lvlJc w:val="left"/>
      <w:pPr>
        <w:ind w:left="6751" w:hanging="195"/>
      </w:pPr>
    </w:lvl>
    <w:lvl w:ilvl="8" w:tplc="1DEEB858">
      <w:numFmt w:val="bullet"/>
      <w:lvlText w:val="•"/>
      <w:lvlJc w:val="left"/>
      <w:pPr>
        <w:ind w:left="7595" w:hanging="195"/>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4F39B8"/>
    <w:multiLevelType w:val="hybridMultilevel"/>
    <w:tmpl w:val="13A4DAEA"/>
    <w:lvl w:ilvl="0" w:tplc="EBBE9878">
      <w:numFmt w:val="bullet"/>
      <w:lvlText w:val=""/>
      <w:lvlJc w:val="left"/>
      <w:pPr>
        <w:ind w:left="686" w:hanging="564"/>
      </w:pPr>
      <w:rPr>
        <w:w w:val="100"/>
      </w:rPr>
    </w:lvl>
    <w:lvl w:ilvl="1" w:tplc="BDDAC746">
      <w:numFmt w:val="bullet"/>
      <w:lvlText w:val="•"/>
      <w:lvlJc w:val="left"/>
      <w:pPr>
        <w:ind w:left="1538" w:hanging="564"/>
      </w:pPr>
    </w:lvl>
    <w:lvl w:ilvl="2" w:tplc="63C29172">
      <w:numFmt w:val="bullet"/>
      <w:lvlText w:val="•"/>
      <w:lvlJc w:val="left"/>
      <w:pPr>
        <w:ind w:left="2396" w:hanging="564"/>
      </w:pPr>
    </w:lvl>
    <w:lvl w:ilvl="3" w:tplc="5C3CC94C">
      <w:numFmt w:val="bullet"/>
      <w:lvlText w:val="•"/>
      <w:lvlJc w:val="left"/>
      <w:pPr>
        <w:ind w:left="3255" w:hanging="564"/>
      </w:pPr>
    </w:lvl>
    <w:lvl w:ilvl="4" w:tplc="F15AA5CA">
      <w:numFmt w:val="bullet"/>
      <w:lvlText w:val="•"/>
      <w:lvlJc w:val="left"/>
      <w:pPr>
        <w:ind w:left="4113" w:hanging="564"/>
      </w:pPr>
    </w:lvl>
    <w:lvl w:ilvl="5" w:tplc="DEC84B7E">
      <w:numFmt w:val="bullet"/>
      <w:lvlText w:val="•"/>
      <w:lvlJc w:val="left"/>
      <w:pPr>
        <w:ind w:left="4972" w:hanging="564"/>
      </w:pPr>
    </w:lvl>
    <w:lvl w:ilvl="6" w:tplc="AD96DED2">
      <w:numFmt w:val="bullet"/>
      <w:lvlText w:val="•"/>
      <w:lvlJc w:val="left"/>
      <w:pPr>
        <w:ind w:left="5830" w:hanging="564"/>
      </w:pPr>
    </w:lvl>
    <w:lvl w:ilvl="7" w:tplc="9768E7E2">
      <w:numFmt w:val="bullet"/>
      <w:lvlText w:val="•"/>
      <w:lvlJc w:val="left"/>
      <w:pPr>
        <w:ind w:left="6689" w:hanging="564"/>
      </w:pPr>
    </w:lvl>
    <w:lvl w:ilvl="8" w:tplc="63EE3C82">
      <w:numFmt w:val="bullet"/>
      <w:lvlText w:val="•"/>
      <w:lvlJc w:val="left"/>
      <w:pPr>
        <w:ind w:left="7547" w:hanging="564"/>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3767589"/>
    <w:multiLevelType w:val="multilevel"/>
    <w:tmpl w:val="11FAE4AA"/>
    <w:lvl w:ilvl="0">
      <w:numFmt w:val="decimal"/>
      <w:lvlText w:val="%1."/>
      <w:lvlJc w:val="left"/>
      <w:pPr>
        <w:ind w:left="118" w:hanging="569"/>
      </w:pPr>
      <w:rPr>
        <w:rFonts w:ascii="Times New Roman" w:eastAsia="Times New Roman" w:hAnsi="Times New Roman" w:cs="Times New Roman" w:hint="default"/>
        <w:b/>
        <w:bCs/>
        <w:w w:val="99"/>
        <w:sz w:val="22"/>
        <w:szCs w:val="22"/>
      </w:rPr>
    </w:lvl>
    <w:lvl w:ilvl="1">
      <w:start w:val="1"/>
      <w:numFmt w:val="decimal"/>
      <w:lvlText w:val="%1.%2"/>
      <w:lvlJc w:val="left"/>
      <w:pPr>
        <w:ind w:left="685" w:hanging="568"/>
      </w:pPr>
      <w:rPr>
        <w:rFonts w:ascii="Times New Roman" w:eastAsia="Times New Roman" w:hAnsi="Times New Roman" w:cs="Times New Roman" w:hint="default"/>
        <w:b/>
        <w:bCs/>
        <w:w w:val="99"/>
        <w:sz w:val="22"/>
        <w:szCs w:val="22"/>
      </w:rPr>
    </w:lvl>
    <w:lvl w:ilvl="2">
      <w:numFmt w:val="bullet"/>
      <w:lvlText w:val="•"/>
      <w:lvlJc w:val="left"/>
      <w:pPr>
        <w:ind w:left="1629" w:hanging="568"/>
      </w:pPr>
    </w:lvl>
    <w:lvl w:ilvl="3">
      <w:numFmt w:val="bullet"/>
      <w:lvlText w:val="•"/>
      <w:lvlJc w:val="left"/>
      <w:pPr>
        <w:ind w:left="2578" w:hanging="568"/>
      </w:pPr>
    </w:lvl>
    <w:lvl w:ilvl="4">
      <w:numFmt w:val="bullet"/>
      <w:lvlText w:val="•"/>
      <w:lvlJc w:val="left"/>
      <w:pPr>
        <w:ind w:left="3528" w:hanging="568"/>
      </w:pPr>
    </w:lvl>
    <w:lvl w:ilvl="5">
      <w:numFmt w:val="bullet"/>
      <w:lvlText w:val="•"/>
      <w:lvlJc w:val="left"/>
      <w:pPr>
        <w:ind w:left="4477" w:hanging="568"/>
      </w:pPr>
    </w:lvl>
    <w:lvl w:ilvl="6">
      <w:numFmt w:val="bullet"/>
      <w:lvlText w:val="•"/>
      <w:lvlJc w:val="left"/>
      <w:pPr>
        <w:ind w:left="5426" w:hanging="568"/>
      </w:pPr>
    </w:lvl>
    <w:lvl w:ilvl="7">
      <w:numFmt w:val="bullet"/>
      <w:lvlText w:val="•"/>
      <w:lvlJc w:val="left"/>
      <w:pPr>
        <w:ind w:left="6376" w:hanging="568"/>
      </w:pPr>
    </w:lvl>
    <w:lvl w:ilvl="8">
      <w:numFmt w:val="bullet"/>
      <w:lvlText w:val="•"/>
      <w:lvlJc w:val="left"/>
      <w:pPr>
        <w:ind w:left="7325" w:hanging="568"/>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11"/>
    <w:lvlOverride w:ilvl="0"/>
    <w:lvlOverride w:ilvl="1">
      <w:startOverride w:val="1"/>
    </w:lvlOverride>
    <w:lvlOverride w:ilvl="2"/>
    <w:lvlOverride w:ilvl="3"/>
    <w:lvlOverride w:ilvl="4"/>
    <w:lvlOverride w:ilvl="5"/>
    <w:lvlOverride w:ilvl="6"/>
    <w:lvlOverride w:ilvl="7"/>
    <w:lvlOverride w:ilvl="8"/>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CD"/>
    <w:rsid w:val="000259B9"/>
    <w:rsid w:val="00041491"/>
    <w:rsid w:val="00050D16"/>
    <w:rsid w:val="00062108"/>
    <w:rsid w:val="00074F2A"/>
    <w:rsid w:val="000A1CA8"/>
    <w:rsid w:val="000A466B"/>
    <w:rsid w:val="000B058C"/>
    <w:rsid w:val="000E4EE6"/>
    <w:rsid w:val="00133629"/>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3CCD"/>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3400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47513"/>
  <w15:chartTrackingRefBased/>
  <w15:docId w15:val="{5138E046-89CE-45C3-B937-F31FE08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673CCD"/>
    <w:rPr>
      <w:color w:val="808080"/>
    </w:rPr>
  </w:style>
  <w:style w:type="paragraph" w:styleId="Brdtekst">
    <w:name w:val="Body Text"/>
    <w:basedOn w:val="Normal"/>
    <w:link w:val="BrdtekstTegn"/>
    <w:uiPriority w:val="1"/>
    <w:unhideWhenUsed/>
    <w:qFormat/>
    <w:rsid w:val="00673CCD"/>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673CCD"/>
    <w:rPr>
      <w:sz w:val="22"/>
      <w:szCs w:val="22"/>
      <w:lang w:val="en-US" w:eastAsia="en-US"/>
    </w:rPr>
  </w:style>
  <w:style w:type="paragraph" w:styleId="Listeafsnit">
    <w:name w:val="List Paragraph"/>
    <w:basedOn w:val="Normal"/>
    <w:uiPriority w:val="34"/>
    <w:qFormat/>
    <w:rsid w:val="00673CCD"/>
    <w:pPr>
      <w:widowControl w:val="0"/>
      <w:autoSpaceDE w:val="0"/>
      <w:autoSpaceDN w:val="0"/>
      <w:ind w:left="686" w:hanging="564"/>
    </w:pPr>
    <w:rPr>
      <w:sz w:val="22"/>
      <w:szCs w:val="22"/>
      <w:lang w:val="en-US"/>
    </w:rPr>
  </w:style>
  <w:style w:type="paragraph" w:customStyle="1" w:styleId="TableParagraph">
    <w:name w:val="Table Paragraph"/>
    <w:basedOn w:val="Normal"/>
    <w:uiPriority w:val="1"/>
    <w:qFormat/>
    <w:rsid w:val="00673CCD"/>
    <w:pPr>
      <w:widowControl w:val="0"/>
      <w:autoSpaceDE w:val="0"/>
      <w:autoSpaceDN w:val="0"/>
      <w:spacing w:before="24"/>
      <w:ind w:left="22"/>
    </w:pPr>
    <w:rPr>
      <w:sz w:val="22"/>
      <w:szCs w:val="22"/>
      <w:lang w:val="en-US"/>
    </w:rPr>
  </w:style>
  <w:style w:type="table" w:customStyle="1" w:styleId="TableNormal1">
    <w:name w:val="Table Normal1"/>
    <w:uiPriority w:val="2"/>
    <w:semiHidden/>
    <w:qFormat/>
    <w:rsid w:val="00673CC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20</Pages>
  <Words>6766</Words>
  <Characters>42846</Characters>
  <Application>Microsoft Office Word</Application>
  <DocSecurity>0</DocSecurity>
  <Lines>357</Lines>
  <Paragraphs>99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2020091128 pkt. 6.5. tilføjet: eller 10x1 eller 30x1 filmovertrukne tabletter i enkeltdosisblisterkort.</dc:description>
  <cp:lastModifiedBy>Helle Søndersted</cp:lastModifiedBy>
  <cp:revision>2</cp:revision>
  <cp:lastPrinted>2012-08-22T08:53:00Z</cp:lastPrinted>
  <dcterms:created xsi:type="dcterms:W3CDTF">2020-10-05T11:33:00Z</dcterms:created>
  <dcterms:modified xsi:type="dcterms:W3CDTF">2020-10-05T11:33:00Z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