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664A" w14:textId="77777777" w:rsidR="009260DE" w:rsidRPr="00216438" w:rsidRDefault="0021526C" w:rsidP="009260DE">
      <w:pPr>
        <w:rPr>
          <w:sz w:val="24"/>
          <w:szCs w:val="24"/>
        </w:rPr>
      </w:pPr>
      <w:bookmarkStart w:id="0" w:name="_GoBack"/>
      <w:bookmarkEnd w:id="0"/>
      <w:r w:rsidRPr="00216438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F3E6FDA" wp14:editId="3955B68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216438">
        <w:rPr>
          <w:sz w:val="24"/>
          <w:szCs w:val="24"/>
        </w:rPr>
        <w:br w:type="textWrapping" w:clear="all"/>
      </w:r>
    </w:p>
    <w:p w14:paraId="4D1BD3FB" w14:textId="40A3DFB2" w:rsidR="009260DE" w:rsidRPr="00216438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216438">
        <w:rPr>
          <w:b w:val="0"/>
          <w:szCs w:val="24"/>
          <w:lang w:eastAsia="en-US"/>
        </w:rPr>
        <w:tab/>
      </w:r>
      <w:r w:rsidR="00686034">
        <w:rPr>
          <w:szCs w:val="24"/>
        </w:rPr>
        <w:t>3. juni 2025</w:t>
      </w:r>
    </w:p>
    <w:p w14:paraId="3FA033C1" w14:textId="77777777" w:rsidR="009260DE" w:rsidRPr="00216438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7FEE3858" w14:textId="77777777" w:rsidR="009260DE" w:rsidRPr="00216438" w:rsidRDefault="009260DE" w:rsidP="009260DE">
      <w:pPr>
        <w:pStyle w:val="Titel"/>
        <w:jc w:val="left"/>
        <w:rPr>
          <w:b w:val="0"/>
          <w:szCs w:val="24"/>
        </w:rPr>
      </w:pPr>
    </w:p>
    <w:p w14:paraId="70F481E0" w14:textId="77777777" w:rsidR="009260DE" w:rsidRPr="00216438" w:rsidRDefault="009260DE" w:rsidP="009260DE">
      <w:pPr>
        <w:pStyle w:val="Titel"/>
        <w:jc w:val="left"/>
        <w:rPr>
          <w:b w:val="0"/>
          <w:szCs w:val="24"/>
        </w:rPr>
      </w:pPr>
    </w:p>
    <w:p w14:paraId="6F275C98" w14:textId="77777777" w:rsidR="009260DE" w:rsidRPr="00216438" w:rsidRDefault="009260DE" w:rsidP="009260DE">
      <w:pPr>
        <w:jc w:val="center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PRODUKTRESUMÉ</w:t>
      </w:r>
    </w:p>
    <w:p w14:paraId="5418148D" w14:textId="77777777" w:rsidR="009260DE" w:rsidRPr="00216438" w:rsidRDefault="009260DE" w:rsidP="009260DE">
      <w:pPr>
        <w:jc w:val="center"/>
        <w:rPr>
          <w:b/>
          <w:sz w:val="24"/>
          <w:szCs w:val="24"/>
        </w:rPr>
      </w:pPr>
    </w:p>
    <w:p w14:paraId="3AD93D44" w14:textId="77777777" w:rsidR="009260DE" w:rsidRPr="00216438" w:rsidRDefault="009260DE" w:rsidP="009260DE">
      <w:pPr>
        <w:jc w:val="center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for</w:t>
      </w:r>
    </w:p>
    <w:p w14:paraId="3B101D97" w14:textId="77777777" w:rsidR="000B058C" w:rsidRPr="00216438" w:rsidRDefault="000B058C" w:rsidP="009260DE">
      <w:pPr>
        <w:jc w:val="center"/>
        <w:rPr>
          <w:b/>
          <w:sz w:val="24"/>
          <w:szCs w:val="24"/>
        </w:rPr>
      </w:pPr>
    </w:p>
    <w:p w14:paraId="744BF30F" w14:textId="4A70B113" w:rsidR="009260DE" w:rsidRPr="00216438" w:rsidRDefault="006E0ADF" w:rsidP="009260DE">
      <w:pPr>
        <w:jc w:val="center"/>
        <w:rPr>
          <w:b/>
          <w:sz w:val="24"/>
          <w:szCs w:val="24"/>
        </w:rPr>
      </w:pPr>
      <w:proofErr w:type="spellStart"/>
      <w:r w:rsidRPr="00216438">
        <w:rPr>
          <w:b/>
          <w:sz w:val="24"/>
          <w:szCs w:val="24"/>
        </w:rPr>
        <w:t>Amidazed</w:t>
      </w:r>
      <w:proofErr w:type="spellEnd"/>
      <w:r w:rsidRPr="00216438">
        <w:rPr>
          <w:b/>
          <w:sz w:val="24"/>
          <w:szCs w:val="24"/>
        </w:rPr>
        <w:t>, øjendråber, opløsning</w:t>
      </w:r>
    </w:p>
    <w:p w14:paraId="20B8720C" w14:textId="77777777" w:rsidR="009260DE" w:rsidRPr="00216438" w:rsidRDefault="009260DE" w:rsidP="009260DE">
      <w:pPr>
        <w:jc w:val="both"/>
        <w:rPr>
          <w:sz w:val="24"/>
          <w:szCs w:val="24"/>
        </w:rPr>
      </w:pPr>
    </w:p>
    <w:p w14:paraId="5EFC09E7" w14:textId="77777777" w:rsidR="009260DE" w:rsidRPr="00216438" w:rsidRDefault="009260DE" w:rsidP="009260DE">
      <w:pPr>
        <w:jc w:val="both"/>
        <w:rPr>
          <w:sz w:val="24"/>
          <w:szCs w:val="24"/>
        </w:rPr>
      </w:pPr>
    </w:p>
    <w:p w14:paraId="0614D111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0.</w:t>
      </w:r>
      <w:r w:rsidRPr="00216438">
        <w:rPr>
          <w:b/>
          <w:sz w:val="24"/>
          <w:szCs w:val="24"/>
        </w:rPr>
        <w:tab/>
        <w:t>D.SP.NR.</w:t>
      </w:r>
    </w:p>
    <w:p w14:paraId="67A52D19" w14:textId="7B0A7EB0" w:rsidR="009260DE" w:rsidRPr="00216438" w:rsidRDefault="006E0ADF" w:rsidP="009260DE">
      <w:pPr>
        <w:tabs>
          <w:tab w:val="left" w:pos="851"/>
        </w:tabs>
        <w:ind w:left="851"/>
        <w:rPr>
          <w:sz w:val="24"/>
          <w:szCs w:val="24"/>
        </w:rPr>
      </w:pPr>
      <w:r w:rsidRPr="00216438">
        <w:rPr>
          <w:sz w:val="24"/>
          <w:szCs w:val="24"/>
        </w:rPr>
        <w:t>33509</w:t>
      </w:r>
    </w:p>
    <w:p w14:paraId="46C01390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1BB6257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1.</w:t>
      </w:r>
      <w:r w:rsidRPr="00216438">
        <w:rPr>
          <w:b/>
          <w:sz w:val="24"/>
          <w:szCs w:val="24"/>
        </w:rPr>
        <w:tab/>
        <w:t>LÆGEMIDLETS NAVN</w:t>
      </w:r>
    </w:p>
    <w:p w14:paraId="1CB87415" w14:textId="4679D884" w:rsidR="009260DE" w:rsidRPr="00216438" w:rsidRDefault="006E0ADF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16438">
        <w:rPr>
          <w:sz w:val="24"/>
          <w:szCs w:val="24"/>
        </w:rPr>
        <w:t>Amidazed</w:t>
      </w:r>
      <w:proofErr w:type="spellEnd"/>
    </w:p>
    <w:p w14:paraId="6B4A0040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0F8810D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2.</w:t>
      </w:r>
      <w:r w:rsidRPr="00216438">
        <w:rPr>
          <w:b/>
          <w:sz w:val="24"/>
          <w:szCs w:val="24"/>
        </w:rPr>
        <w:tab/>
        <w:t>KVALITATIV OG KVANTITATIV SAMMENSÆTNING</w:t>
      </w:r>
    </w:p>
    <w:p w14:paraId="5F078DB1" w14:textId="77777777" w:rsidR="0012616E" w:rsidRPr="00216438" w:rsidRDefault="0012616E" w:rsidP="00F61C3B">
      <w:pPr>
        <w:ind w:left="851"/>
        <w:rPr>
          <w:sz w:val="24"/>
          <w:szCs w:val="24"/>
          <w:lang w:eastAsia="fr-LU"/>
        </w:rPr>
      </w:pPr>
      <w:r w:rsidRPr="00216438">
        <w:rPr>
          <w:sz w:val="24"/>
          <w:szCs w:val="24"/>
          <w:lang w:eastAsia="fr-LU"/>
        </w:rPr>
        <w:t xml:space="preserve">Hver ml opløsning indeholder 1 mg </w:t>
      </w:r>
      <w:proofErr w:type="spellStart"/>
      <w:r w:rsidRPr="00216438">
        <w:rPr>
          <w:sz w:val="24"/>
          <w:szCs w:val="24"/>
          <w:lang w:eastAsia="fr-LU"/>
        </w:rPr>
        <w:t>propamidinisetionat</w:t>
      </w:r>
      <w:proofErr w:type="spellEnd"/>
      <w:r w:rsidRPr="00216438">
        <w:rPr>
          <w:sz w:val="24"/>
          <w:szCs w:val="24"/>
          <w:lang w:eastAsia="fr-LU"/>
        </w:rPr>
        <w:t xml:space="preserve">. Hver dråbe indeholder ca. 0,004 mg </w:t>
      </w:r>
      <w:proofErr w:type="spellStart"/>
      <w:r w:rsidRPr="00216438">
        <w:rPr>
          <w:sz w:val="24"/>
          <w:szCs w:val="24"/>
          <w:lang w:eastAsia="fr-LU"/>
        </w:rPr>
        <w:t>propamidinisetionat</w:t>
      </w:r>
      <w:proofErr w:type="spellEnd"/>
      <w:r w:rsidRPr="00216438">
        <w:rPr>
          <w:sz w:val="24"/>
          <w:szCs w:val="24"/>
          <w:lang w:eastAsia="fr-LU"/>
        </w:rPr>
        <w:t>.</w:t>
      </w:r>
    </w:p>
    <w:p w14:paraId="3FD3B430" w14:textId="77777777" w:rsidR="0012616E" w:rsidRPr="00216438" w:rsidRDefault="0012616E" w:rsidP="00F61C3B">
      <w:pPr>
        <w:ind w:left="851"/>
        <w:rPr>
          <w:sz w:val="24"/>
          <w:szCs w:val="24"/>
          <w:lang w:eastAsia="fr-LU"/>
        </w:rPr>
      </w:pPr>
    </w:p>
    <w:p w14:paraId="37B47D10" w14:textId="77777777" w:rsidR="0012616E" w:rsidRPr="00216438" w:rsidRDefault="0012616E" w:rsidP="00F61C3B">
      <w:pPr>
        <w:ind w:left="851"/>
        <w:rPr>
          <w:sz w:val="24"/>
          <w:szCs w:val="24"/>
          <w:u w:val="single"/>
        </w:rPr>
      </w:pPr>
      <w:r w:rsidRPr="00216438">
        <w:rPr>
          <w:sz w:val="24"/>
          <w:szCs w:val="24"/>
          <w:u w:val="single"/>
        </w:rPr>
        <w:t>Hjælpestof, som behandleren skal være opmærksom på</w:t>
      </w:r>
    </w:p>
    <w:p w14:paraId="222EB0AC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Hver ml opløsning indeholder 0,05 mg </w:t>
      </w:r>
      <w:proofErr w:type="spellStart"/>
      <w:r w:rsidRPr="00216438">
        <w:rPr>
          <w:sz w:val="24"/>
          <w:szCs w:val="24"/>
        </w:rPr>
        <w:t>benzalkoniumchlorid</w:t>
      </w:r>
      <w:proofErr w:type="spellEnd"/>
      <w:r w:rsidRPr="00216438">
        <w:rPr>
          <w:sz w:val="24"/>
          <w:szCs w:val="24"/>
        </w:rPr>
        <w:t>.</w:t>
      </w:r>
    </w:p>
    <w:p w14:paraId="743C7280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Alle hjælpestoffer er anført under pkt. 6.1.</w:t>
      </w:r>
    </w:p>
    <w:p w14:paraId="28226DA5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D5243D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3.</w:t>
      </w:r>
      <w:r w:rsidRPr="00216438">
        <w:rPr>
          <w:b/>
          <w:sz w:val="24"/>
          <w:szCs w:val="24"/>
        </w:rPr>
        <w:tab/>
        <w:t>LÆGEMIDDELFORM</w:t>
      </w:r>
    </w:p>
    <w:p w14:paraId="1280EFBC" w14:textId="3C42A5D5" w:rsidR="0012616E" w:rsidRPr="00216438" w:rsidRDefault="0012616E" w:rsidP="00F61C3B">
      <w:pPr>
        <w:ind w:left="851"/>
        <w:rPr>
          <w:sz w:val="24"/>
          <w:szCs w:val="24"/>
          <w:lang w:eastAsia="fr-LU"/>
        </w:rPr>
      </w:pPr>
      <w:r w:rsidRPr="00216438">
        <w:rPr>
          <w:sz w:val="24"/>
          <w:szCs w:val="24"/>
          <w:lang w:eastAsia="fr-LU"/>
        </w:rPr>
        <w:t>Øjendråber, opløsning</w:t>
      </w:r>
    </w:p>
    <w:p w14:paraId="7779B95D" w14:textId="77777777" w:rsidR="0012616E" w:rsidRPr="00216438" w:rsidRDefault="0012616E" w:rsidP="00F61C3B">
      <w:pPr>
        <w:ind w:left="851"/>
        <w:rPr>
          <w:sz w:val="24"/>
          <w:szCs w:val="24"/>
          <w:lang w:eastAsia="fr-LU"/>
        </w:rPr>
      </w:pPr>
      <w:r w:rsidRPr="00216438">
        <w:rPr>
          <w:sz w:val="24"/>
          <w:szCs w:val="24"/>
          <w:lang w:eastAsia="fr-LU"/>
        </w:rPr>
        <w:t>Klar, farveløs vandig opløsning.</w:t>
      </w:r>
    </w:p>
    <w:p w14:paraId="13C91C39" w14:textId="77777777" w:rsidR="0012616E" w:rsidRPr="00216438" w:rsidRDefault="0012616E" w:rsidP="00F61C3B">
      <w:pPr>
        <w:ind w:left="851"/>
        <w:rPr>
          <w:sz w:val="24"/>
          <w:szCs w:val="24"/>
          <w:lang w:eastAsia="fr-LU"/>
        </w:rPr>
      </w:pPr>
      <w:r w:rsidRPr="00216438">
        <w:rPr>
          <w:sz w:val="24"/>
          <w:szCs w:val="24"/>
          <w:lang w:eastAsia="fr-LU"/>
        </w:rPr>
        <w:t>pH: 5,0</w:t>
      </w:r>
      <w:r w:rsidRPr="00216438">
        <w:rPr>
          <w:sz w:val="24"/>
          <w:szCs w:val="24"/>
          <w:lang w:eastAsia="fr-LU"/>
        </w:rPr>
        <w:noBreakHyphen/>
        <w:t>7,0</w:t>
      </w:r>
    </w:p>
    <w:p w14:paraId="254C7EDD" w14:textId="77777777" w:rsidR="0012616E" w:rsidRPr="00216438" w:rsidRDefault="0012616E" w:rsidP="00F61C3B">
      <w:pPr>
        <w:ind w:left="851"/>
        <w:rPr>
          <w:sz w:val="24"/>
          <w:szCs w:val="24"/>
          <w:lang w:eastAsia="fr-LU"/>
        </w:rPr>
      </w:pPr>
      <w:proofErr w:type="spellStart"/>
      <w:r w:rsidRPr="00216438">
        <w:rPr>
          <w:sz w:val="24"/>
          <w:szCs w:val="24"/>
          <w:lang w:eastAsia="fr-LU"/>
        </w:rPr>
        <w:t>Osmolalitet</w:t>
      </w:r>
      <w:proofErr w:type="spellEnd"/>
      <w:r w:rsidRPr="00216438">
        <w:rPr>
          <w:sz w:val="24"/>
          <w:szCs w:val="24"/>
          <w:lang w:eastAsia="fr-LU"/>
        </w:rPr>
        <w:t>: 280</w:t>
      </w:r>
      <w:r w:rsidRPr="00216438">
        <w:rPr>
          <w:sz w:val="24"/>
          <w:szCs w:val="24"/>
          <w:lang w:eastAsia="fr-LU"/>
        </w:rPr>
        <w:noBreakHyphen/>
        <w:t>320 </w:t>
      </w:r>
      <w:proofErr w:type="spellStart"/>
      <w:r w:rsidRPr="00216438">
        <w:rPr>
          <w:sz w:val="24"/>
          <w:szCs w:val="24"/>
          <w:lang w:eastAsia="fr-LU"/>
        </w:rPr>
        <w:t>mOsm</w:t>
      </w:r>
      <w:proofErr w:type="spellEnd"/>
      <w:r w:rsidRPr="00216438">
        <w:rPr>
          <w:sz w:val="24"/>
          <w:szCs w:val="24"/>
          <w:lang w:eastAsia="fr-LU"/>
        </w:rPr>
        <w:t>/kg</w:t>
      </w:r>
    </w:p>
    <w:p w14:paraId="7821365E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D2FA464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C26E11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4.</w:t>
      </w:r>
      <w:r w:rsidRPr="00216438">
        <w:rPr>
          <w:b/>
          <w:sz w:val="24"/>
          <w:szCs w:val="24"/>
        </w:rPr>
        <w:tab/>
        <w:t>KLINISKE OPLYSNINGER</w:t>
      </w:r>
    </w:p>
    <w:p w14:paraId="19053E92" w14:textId="77777777" w:rsidR="009260DE" w:rsidRPr="00216438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793E29F2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216438">
        <w:rPr>
          <w:b/>
          <w:sz w:val="24"/>
          <w:szCs w:val="24"/>
        </w:rPr>
        <w:t>4.1</w:t>
      </w:r>
      <w:r w:rsidRPr="00216438">
        <w:rPr>
          <w:b/>
          <w:sz w:val="24"/>
          <w:szCs w:val="24"/>
        </w:rPr>
        <w:tab/>
        <w:t>Terapeutiske indikationer</w:t>
      </w:r>
    </w:p>
    <w:p w14:paraId="695CA50F" w14:textId="77777777" w:rsidR="0012616E" w:rsidRPr="00216438" w:rsidRDefault="0012616E" w:rsidP="00F61C3B">
      <w:pPr>
        <w:ind w:left="851"/>
        <w:rPr>
          <w:sz w:val="24"/>
          <w:szCs w:val="24"/>
        </w:rPr>
      </w:pPr>
      <w:proofErr w:type="spellStart"/>
      <w:r w:rsidRPr="00216438">
        <w:rPr>
          <w:sz w:val="24"/>
          <w:szCs w:val="24"/>
        </w:rPr>
        <w:t>Amidazed</w:t>
      </w:r>
      <w:proofErr w:type="spellEnd"/>
      <w:r w:rsidRPr="00216438">
        <w:rPr>
          <w:sz w:val="24"/>
          <w:szCs w:val="24"/>
        </w:rPr>
        <w:t xml:space="preserve"> er indiceret til </w:t>
      </w:r>
      <w:proofErr w:type="spellStart"/>
      <w:r w:rsidRPr="00216438">
        <w:rPr>
          <w:sz w:val="24"/>
          <w:szCs w:val="24"/>
        </w:rPr>
        <w:t>topikal</w:t>
      </w:r>
      <w:proofErr w:type="spellEnd"/>
      <w:r w:rsidRPr="00216438">
        <w:rPr>
          <w:sz w:val="24"/>
          <w:szCs w:val="24"/>
        </w:rPr>
        <w:t xml:space="preserve"> behandling af mildere bakterielle ydre øjeninfektioner hos voksne, såsom</w:t>
      </w:r>
    </w:p>
    <w:p w14:paraId="223523FE" w14:textId="1C826FCF" w:rsidR="0012616E" w:rsidRPr="00216438" w:rsidRDefault="0012616E" w:rsidP="00216438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216438">
        <w:rPr>
          <w:sz w:val="24"/>
          <w:szCs w:val="24"/>
        </w:rPr>
        <w:t xml:space="preserve">mildere former for bakteriel </w:t>
      </w:r>
      <w:proofErr w:type="spellStart"/>
      <w:r w:rsidRPr="00216438">
        <w:rPr>
          <w:sz w:val="24"/>
          <w:szCs w:val="24"/>
        </w:rPr>
        <w:t>konjunktivitis</w:t>
      </w:r>
      <w:proofErr w:type="spellEnd"/>
      <w:r w:rsidRPr="00216438">
        <w:rPr>
          <w:sz w:val="24"/>
          <w:szCs w:val="24"/>
        </w:rPr>
        <w:t xml:space="preserve"> forårsaget af følsomme mikroorganismer (se pkt. 4.4 og 5.1).</w:t>
      </w:r>
    </w:p>
    <w:p w14:paraId="6BB27E32" w14:textId="633E39E4" w:rsidR="0012616E" w:rsidRPr="00216438" w:rsidRDefault="0012616E" w:rsidP="00216438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216438">
        <w:rPr>
          <w:sz w:val="24"/>
          <w:szCs w:val="24"/>
        </w:rPr>
        <w:t xml:space="preserve">mildere former for infektiøs </w:t>
      </w:r>
      <w:proofErr w:type="spellStart"/>
      <w:r w:rsidRPr="00216438">
        <w:rPr>
          <w:sz w:val="24"/>
          <w:szCs w:val="24"/>
        </w:rPr>
        <w:t>blefaritis</w:t>
      </w:r>
      <w:proofErr w:type="spellEnd"/>
      <w:r w:rsidRPr="00216438">
        <w:rPr>
          <w:sz w:val="24"/>
          <w:szCs w:val="24"/>
        </w:rPr>
        <w:t xml:space="preserve"> forårsaget af følsomme mikroorganismer (se pkt. 4.4 og 5.1).</w:t>
      </w:r>
    </w:p>
    <w:p w14:paraId="7A5007FD" w14:textId="33BDB3CF" w:rsidR="00A47299" w:rsidRDefault="00A472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FA7DCC0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4F69F2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4.2</w:t>
      </w:r>
      <w:r w:rsidRPr="00216438">
        <w:rPr>
          <w:b/>
          <w:sz w:val="24"/>
          <w:szCs w:val="24"/>
        </w:rPr>
        <w:tab/>
        <w:t xml:space="preserve">Dosering og </w:t>
      </w:r>
      <w:r w:rsidR="002C1EC0" w:rsidRPr="00216438">
        <w:rPr>
          <w:b/>
          <w:sz w:val="24"/>
          <w:szCs w:val="24"/>
        </w:rPr>
        <w:t>administration</w:t>
      </w:r>
    </w:p>
    <w:p w14:paraId="68D00E05" w14:textId="77777777" w:rsidR="00216438" w:rsidRDefault="00216438" w:rsidP="00F61C3B">
      <w:pPr>
        <w:ind w:left="851"/>
        <w:rPr>
          <w:sz w:val="24"/>
          <w:szCs w:val="24"/>
        </w:rPr>
      </w:pPr>
    </w:p>
    <w:p w14:paraId="1B8BDBBD" w14:textId="4DE1C1AE" w:rsidR="0012616E" w:rsidRPr="00216438" w:rsidRDefault="0012616E" w:rsidP="00F61C3B">
      <w:pPr>
        <w:ind w:left="851"/>
        <w:rPr>
          <w:sz w:val="24"/>
          <w:szCs w:val="24"/>
          <w:u w:val="single"/>
        </w:rPr>
      </w:pPr>
      <w:r w:rsidRPr="00216438">
        <w:rPr>
          <w:sz w:val="24"/>
          <w:szCs w:val="24"/>
          <w:u w:val="single"/>
        </w:rPr>
        <w:t>Dosering</w:t>
      </w:r>
    </w:p>
    <w:p w14:paraId="570BF96F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Til </w:t>
      </w:r>
      <w:proofErr w:type="spellStart"/>
      <w:r w:rsidRPr="00216438">
        <w:rPr>
          <w:sz w:val="24"/>
          <w:szCs w:val="24"/>
        </w:rPr>
        <w:t>okulær</w:t>
      </w:r>
      <w:proofErr w:type="spellEnd"/>
      <w:r w:rsidRPr="00216438">
        <w:rPr>
          <w:sz w:val="24"/>
          <w:szCs w:val="24"/>
        </w:rPr>
        <w:t xml:space="preserve"> anvendelse.</w:t>
      </w:r>
    </w:p>
    <w:p w14:paraId="016CEC99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Den sædvanlige dosering er 1</w:t>
      </w:r>
      <w:r w:rsidRPr="00216438">
        <w:rPr>
          <w:sz w:val="24"/>
          <w:szCs w:val="24"/>
        </w:rPr>
        <w:noBreakHyphen/>
        <w:t>2 dråber i det berørte øje op til tre til fire gange dagligt, afhængigt af sværhedsgraden. Varigheden er 7 dage med en maksimal behandlingsvarighed på 10 dage.</w:t>
      </w:r>
    </w:p>
    <w:p w14:paraId="4ABD51D1" w14:textId="77777777" w:rsidR="0012616E" w:rsidRPr="00216438" w:rsidRDefault="0012616E" w:rsidP="00F61C3B">
      <w:pPr>
        <w:ind w:left="851"/>
        <w:rPr>
          <w:sz w:val="24"/>
          <w:szCs w:val="24"/>
        </w:rPr>
      </w:pPr>
    </w:p>
    <w:p w14:paraId="5BF8AD85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i/>
          <w:sz w:val="24"/>
          <w:szCs w:val="24"/>
        </w:rPr>
        <w:t>Pædiatrisk population</w:t>
      </w:r>
    </w:p>
    <w:p w14:paraId="6E25B083" w14:textId="77777777" w:rsidR="0012616E" w:rsidRPr="00216438" w:rsidRDefault="0012616E" w:rsidP="00F61C3B">
      <w:pPr>
        <w:ind w:left="851"/>
        <w:rPr>
          <w:sz w:val="24"/>
          <w:szCs w:val="24"/>
        </w:rPr>
      </w:pPr>
    </w:p>
    <w:p w14:paraId="36F192B1" w14:textId="77777777" w:rsidR="0012616E" w:rsidRPr="00216438" w:rsidRDefault="0012616E" w:rsidP="00F61C3B">
      <w:pPr>
        <w:ind w:left="851"/>
        <w:rPr>
          <w:sz w:val="24"/>
          <w:szCs w:val="24"/>
        </w:rPr>
      </w:pPr>
      <w:proofErr w:type="spellStart"/>
      <w:r w:rsidRPr="00216438">
        <w:rPr>
          <w:sz w:val="24"/>
          <w:szCs w:val="24"/>
        </w:rPr>
        <w:t>Amidazeds</w:t>
      </w:r>
      <w:proofErr w:type="spellEnd"/>
      <w:r w:rsidRPr="00216438">
        <w:rPr>
          <w:sz w:val="24"/>
          <w:szCs w:val="24"/>
        </w:rPr>
        <w:t xml:space="preserve"> sikkerhed og virkning hos børn er endnu ikke klarlagt.</w:t>
      </w:r>
    </w:p>
    <w:p w14:paraId="6C9568F0" w14:textId="77777777" w:rsidR="0012616E" w:rsidRPr="00216438" w:rsidRDefault="0012616E" w:rsidP="00F61C3B">
      <w:pPr>
        <w:ind w:left="851"/>
        <w:rPr>
          <w:sz w:val="24"/>
          <w:szCs w:val="24"/>
        </w:rPr>
      </w:pPr>
    </w:p>
    <w:p w14:paraId="3AE7BAD2" w14:textId="77777777" w:rsidR="0012616E" w:rsidRPr="00216438" w:rsidRDefault="0012616E" w:rsidP="00F61C3B">
      <w:pPr>
        <w:ind w:left="851"/>
        <w:rPr>
          <w:sz w:val="24"/>
          <w:szCs w:val="24"/>
          <w:u w:val="single"/>
        </w:rPr>
      </w:pPr>
      <w:r w:rsidRPr="00216438">
        <w:rPr>
          <w:sz w:val="24"/>
          <w:szCs w:val="24"/>
          <w:u w:val="single"/>
        </w:rPr>
        <w:t>Administration</w:t>
      </w:r>
    </w:p>
    <w:p w14:paraId="26F12ACD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Til </w:t>
      </w:r>
      <w:proofErr w:type="spellStart"/>
      <w:r w:rsidRPr="00216438">
        <w:rPr>
          <w:sz w:val="24"/>
          <w:szCs w:val="24"/>
        </w:rPr>
        <w:t>okulær</w:t>
      </w:r>
      <w:proofErr w:type="spellEnd"/>
      <w:r w:rsidRPr="00216438">
        <w:rPr>
          <w:sz w:val="24"/>
          <w:szCs w:val="24"/>
        </w:rPr>
        <w:t xml:space="preserve"> anvendelse.</w:t>
      </w:r>
    </w:p>
    <w:p w14:paraId="0D03CFF8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Hvis der skal anvendes mere end ét </w:t>
      </w:r>
      <w:proofErr w:type="spellStart"/>
      <w:r w:rsidRPr="00216438">
        <w:rPr>
          <w:sz w:val="24"/>
          <w:szCs w:val="24"/>
        </w:rPr>
        <w:t>topikalt</w:t>
      </w:r>
      <w:proofErr w:type="spellEnd"/>
      <w:r w:rsidRPr="00216438">
        <w:rPr>
          <w:sz w:val="24"/>
          <w:szCs w:val="24"/>
        </w:rPr>
        <w:t xml:space="preserve"> lægemiddel til brug i øjnene, skal lægemidlerne administreres med mindst 15 minutters mellemrum.</w:t>
      </w:r>
    </w:p>
    <w:p w14:paraId="664E1A3C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For at undgå kontaminering af flaskens dråbespids og opløsningen, må flaskens dråbespids ikke komme i kontakt med øjenlågene eller området omkring øjnene.</w:t>
      </w:r>
    </w:p>
    <w:p w14:paraId="035B07C1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45329B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4.3</w:t>
      </w:r>
      <w:r w:rsidRPr="00216438">
        <w:rPr>
          <w:b/>
          <w:sz w:val="24"/>
          <w:szCs w:val="24"/>
        </w:rPr>
        <w:tab/>
        <w:t>Kontraindikationer</w:t>
      </w:r>
    </w:p>
    <w:p w14:paraId="48F6960E" w14:textId="77777777" w:rsidR="0012616E" w:rsidRPr="00216438" w:rsidRDefault="0012616E" w:rsidP="00F61C3B">
      <w:pPr>
        <w:ind w:left="851"/>
        <w:rPr>
          <w:sz w:val="24"/>
          <w:szCs w:val="24"/>
          <w:lang w:eastAsia="fr-LU"/>
        </w:rPr>
      </w:pPr>
      <w:r w:rsidRPr="00216438">
        <w:rPr>
          <w:sz w:val="24"/>
          <w:szCs w:val="24"/>
          <w:lang w:eastAsia="fr-LU"/>
        </w:rPr>
        <w:t>Overfølsomhed over for det aktive stof eller over for et eller flere af hjælpestofferne anført i pkt. 6.1.</w:t>
      </w:r>
    </w:p>
    <w:p w14:paraId="36E7757F" w14:textId="77777777" w:rsidR="0012616E" w:rsidRPr="00216438" w:rsidRDefault="0012616E" w:rsidP="00F61C3B">
      <w:pPr>
        <w:ind w:left="851"/>
        <w:rPr>
          <w:sz w:val="24"/>
          <w:szCs w:val="24"/>
          <w:lang w:eastAsia="fr-LU"/>
        </w:rPr>
      </w:pPr>
      <w:r w:rsidRPr="00216438">
        <w:rPr>
          <w:sz w:val="24"/>
          <w:szCs w:val="24"/>
          <w:lang w:eastAsia="fr-LU"/>
        </w:rPr>
        <w:t>Brug af kontaktlinser er kontraindiceret under behandlingen med dette lægemiddel.</w:t>
      </w:r>
    </w:p>
    <w:p w14:paraId="73ABBABB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278E3F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4.4</w:t>
      </w:r>
      <w:r w:rsidRPr="00216438">
        <w:rPr>
          <w:b/>
          <w:sz w:val="24"/>
          <w:szCs w:val="24"/>
        </w:rPr>
        <w:tab/>
        <w:t>Særlige advarsler og forsigtighedsregler vedrørende brugen</w:t>
      </w:r>
    </w:p>
    <w:p w14:paraId="1F73925A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Der er altid risiko for, at der kan opstå en overfølsomhedsreaktion ved brug af </w:t>
      </w:r>
      <w:proofErr w:type="spellStart"/>
      <w:r w:rsidRPr="00216438">
        <w:rPr>
          <w:sz w:val="24"/>
          <w:szCs w:val="24"/>
        </w:rPr>
        <w:t>Amidazed</w:t>
      </w:r>
      <w:proofErr w:type="spellEnd"/>
      <w:r w:rsidRPr="00216438">
        <w:rPr>
          <w:sz w:val="24"/>
          <w:szCs w:val="24"/>
        </w:rPr>
        <w:t xml:space="preserve">, selvom det er sjældent. I tilfælde af en overfølsomhedsreaktion skal behandlingen straks seponeres. Hvis der opstår </w:t>
      </w:r>
      <w:proofErr w:type="spellStart"/>
      <w:r w:rsidRPr="00216438">
        <w:rPr>
          <w:sz w:val="24"/>
          <w:szCs w:val="24"/>
        </w:rPr>
        <w:t>erythem</w:t>
      </w:r>
      <w:proofErr w:type="spellEnd"/>
      <w:r w:rsidRPr="00216438">
        <w:rPr>
          <w:sz w:val="24"/>
          <w:szCs w:val="24"/>
        </w:rPr>
        <w:t xml:space="preserve"> eller andre symptomer på forværret inflammation, skal behandlingen straks afbrydes og der skal søges læge.</w:t>
      </w:r>
    </w:p>
    <w:p w14:paraId="2FC24782" w14:textId="77777777" w:rsidR="0012616E" w:rsidRPr="00216438" w:rsidRDefault="0012616E" w:rsidP="00F61C3B">
      <w:pPr>
        <w:ind w:left="851"/>
        <w:rPr>
          <w:sz w:val="24"/>
          <w:szCs w:val="24"/>
        </w:rPr>
      </w:pPr>
    </w:p>
    <w:p w14:paraId="4B3E24A3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Hvis der opstår problemer med synsskarpheden eller symptomer heraf, skal lægen straks kontaktes.</w:t>
      </w:r>
    </w:p>
    <w:p w14:paraId="2A1055F6" w14:textId="77777777" w:rsidR="0012616E" w:rsidRPr="00216438" w:rsidRDefault="0012616E" w:rsidP="00F61C3B">
      <w:pPr>
        <w:ind w:left="851"/>
        <w:rPr>
          <w:sz w:val="24"/>
          <w:szCs w:val="24"/>
        </w:rPr>
      </w:pPr>
    </w:p>
    <w:p w14:paraId="4FBE828D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Langvarig behandling eller hyppigt gentagne behandlinger bør undgås, da det kan øge risikoen for udvikling af resistente stammer.</w:t>
      </w:r>
    </w:p>
    <w:p w14:paraId="5AA3404D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Den maksimale behandlingsvarighed mod bakterieinfektion er 10 dage.</w:t>
      </w:r>
    </w:p>
    <w:p w14:paraId="43E6A516" w14:textId="77777777" w:rsidR="0012616E" w:rsidRPr="00216438" w:rsidRDefault="0012616E" w:rsidP="00F61C3B">
      <w:pPr>
        <w:ind w:left="851"/>
        <w:rPr>
          <w:sz w:val="24"/>
          <w:szCs w:val="24"/>
        </w:rPr>
      </w:pPr>
      <w:proofErr w:type="spellStart"/>
      <w:r w:rsidRPr="00216438">
        <w:rPr>
          <w:sz w:val="24"/>
          <w:szCs w:val="24"/>
        </w:rPr>
        <w:t>Propamidin</w:t>
      </w:r>
      <w:proofErr w:type="spellEnd"/>
      <w:r w:rsidRPr="00216438">
        <w:rPr>
          <w:sz w:val="24"/>
          <w:szCs w:val="24"/>
        </w:rPr>
        <w:t xml:space="preserve"> er ikke indiceret til behandling, hvis der mistænkes bakteriel </w:t>
      </w:r>
      <w:proofErr w:type="spellStart"/>
      <w:r w:rsidRPr="00216438">
        <w:rPr>
          <w:sz w:val="24"/>
          <w:szCs w:val="24"/>
        </w:rPr>
        <w:t>konjunktivitis</w:t>
      </w:r>
      <w:proofErr w:type="spellEnd"/>
      <w:r w:rsidRPr="00216438">
        <w:rPr>
          <w:sz w:val="24"/>
          <w:szCs w:val="24"/>
        </w:rPr>
        <w:t xml:space="preserve"> forårsaget af </w:t>
      </w:r>
      <w:proofErr w:type="spellStart"/>
      <w:r w:rsidRPr="00216438">
        <w:rPr>
          <w:i/>
          <w:iCs/>
          <w:sz w:val="24"/>
          <w:szCs w:val="24"/>
        </w:rPr>
        <w:t>Pseudomonas</w:t>
      </w:r>
      <w:proofErr w:type="spellEnd"/>
      <w:r w:rsidRPr="00216438">
        <w:rPr>
          <w:i/>
          <w:iCs/>
          <w:sz w:val="24"/>
          <w:szCs w:val="24"/>
        </w:rPr>
        <w:t xml:space="preserve"> </w:t>
      </w:r>
      <w:proofErr w:type="spellStart"/>
      <w:r w:rsidRPr="00216438">
        <w:rPr>
          <w:i/>
          <w:iCs/>
          <w:sz w:val="24"/>
          <w:szCs w:val="24"/>
        </w:rPr>
        <w:t>spp</w:t>
      </w:r>
      <w:proofErr w:type="spellEnd"/>
      <w:r w:rsidRPr="00216438">
        <w:rPr>
          <w:i/>
          <w:iCs/>
          <w:sz w:val="24"/>
          <w:szCs w:val="24"/>
        </w:rPr>
        <w:t>.</w:t>
      </w:r>
      <w:r w:rsidRPr="00216438">
        <w:rPr>
          <w:sz w:val="24"/>
          <w:szCs w:val="24"/>
        </w:rPr>
        <w:t xml:space="preserve"> eller </w:t>
      </w:r>
      <w:r w:rsidRPr="00216438">
        <w:rPr>
          <w:i/>
          <w:iCs/>
          <w:sz w:val="24"/>
          <w:szCs w:val="24"/>
        </w:rPr>
        <w:t>Escherichia coli</w:t>
      </w:r>
      <w:r w:rsidRPr="00216438">
        <w:rPr>
          <w:sz w:val="24"/>
          <w:szCs w:val="24"/>
        </w:rPr>
        <w:t>.</w:t>
      </w:r>
    </w:p>
    <w:p w14:paraId="0258120A" w14:textId="77777777" w:rsidR="0012616E" w:rsidRPr="00216438" w:rsidRDefault="0012616E" w:rsidP="00F61C3B">
      <w:pPr>
        <w:ind w:left="851"/>
        <w:rPr>
          <w:sz w:val="24"/>
          <w:szCs w:val="24"/>
        </w:rPr>
      </w:pPr>
    </w:p>
    <w:p w14:paraId="07B8C355" w14:textId="77777777" w:rsidR="0012616E" w:rsidRPr="00216438" w:rsidRDefault="0012616E" w:rsidP="00F61C3B">
      <w:pPr>
        <w:ind w:left="851"/>
        <w:rPr>
          <w:sz w:val="24"/>
          <w:szCs w:val="24"/>
          <w:u w:val="single"/>
        </w:rPr>
      </w:pPr>
      <w:r w:rsidRPr="00216438">
        <w:rPr>
          <w:sz w:val="24"/>
          <w:szCs w:val="24"/>
          <w:u w:val="single"/>
        </w:rPr>
        <w:t>Hjælpestoffer</w:t>
      </w:r>
    </w:p>
    <w:p w14:paraId="562A421C" w14:textId="77777777" w:rsidR="0012616E" w:rsidRPr="00216438" w:rsidRDefault="0012616E" w:rsidP="00F61C3B">
      <w:pPr>
        <w:ind w:left="851"/>
        <w:rPr>
          <w:sz w:val="24"/>
          <w:szCs w:val="24"/>
          <w:u w:val="single"/>
        </w:rPr>
      </w:pPr>
    </w:p>
    <w:p w14:paraId="2E371FC7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Dette lægemiddel indeholder 0,05 mg </w:t>
      </w:r>
      <w:proofErr w:type="spellStart"/>
      <w:r w:rsidRPr="00216438">
        <w:rPr>
          <w:sz w:val="24"/>
          <w:szCs w:val="24"/>
        </w:rPr>
        <w:t>benzalkoniumchlorid</w:t>
      </w:r>
      <w:proofErr w:type="spellEnd"/>
      <w:r w:rsidRPr="00216438">
        <w:rPr>
          <w:sz w:val="24"/>
          <w:szCs w:val="24"/>
        </w:rPr>
        <w:t xml:space="preserve"> pr. ml opløsning, svarende til 0,05 mg/ml.</w:t>
      </w:r>
    </w:p>
    <w:p w14:paraId="13CAEA44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Rapporteringer har vist, at </w:t>
      </w:r>
      <w:proofErr w:type="spellStart"/>
      <w:r w:rsidRPr="00216438">
        <w:rPr>
          <w:sz w:val="24"/>
          <w:szCs w:val="24"/>
        </w:rPr>
        <w:t>benzalkoniumchlorid</w:t>
      </w:r>
      <w:proofErr w:type="spellEnd"/>
      <w:r w:rsidRPr="00216438">
        <w:rPr>
          <w:sz w:val="24"/>
          <w:szCs w:val="24"/>
        </w:rPr>
        <w:t xml:space="preserve"> kan forårsage øjenirritation, symptomer på tørre øjne og kan påvirke tårefilmen og hornhindeoverfladen. </w:t>
      </w:r>
      <w:proofErr w:type="spellStart"/>
      <w:r w:rsidRPr="00216438">
        <w:rPr>
          <w:sz w:val="24"/>
          <w:szCs w:val="24"/>
        </w:rPr>
        <w:t>Amidazed</w:t>
      </w:r>
      <w:proofErr w:type="spellEnd"/>
      <w:r w:rsidRPr="00216438">
        <w:rPr>
          <w:sz w:val="24"/>
          <w:szCs w:val="24"/>
        </w:rPr>
        <w:t xml:space="preserve"> skal anvendes med forsigtighed hos patienter med tørre øjne og hos patienter, hvor hornhinden kan være kompromitteret. Patienter bør monitoreres under langvarig anvendelse.</w:t>
      </w:r>
    </w:p>
    <w:p w14:paraId="130E1DA9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949B90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4.5</w:t>
      </w:r>
      <w:r w:rsidRPr="00216438">
        <w:rPr>
          <w:b/>
          <w:sz w:val="24"/>
          <w:szCs w:val="24"/>
        </w:rPr>
        <w:tab/>
        <w:t>Interaktion med andre lægemidler og andre former for interaktion</w:t>
      </w:r>
    </w:p>
    <w:p w14:paraId="6F119986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Der er ikke udført interaktionsstudier.</w:t>
      </w:r>
    </w:p>
    <w:p w14:paraId="113B8A9A" w14:textId="77777777" w:rsidR="0012616E" w:rsidRPr="00216438" w:rsidRDefault="0012616E" w:rsidP="00F61C3B">
      <w:pPr>
        <w:ind w:left="851"/>
        <w:rPr>
          <w:i/>
          <w:sz w:val="24"/>
          <w:szCs w:val="24"/>
        </w:rPr>
      </w:pPr>
    </w:p>
    <w:p w14:paraId="3440FACE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Hvis </w:t>
      </w:r>
      <w:proofErr w:type="spellStart"/>
      <w:r w:rsidRPr="00216438">
        <w:rPr>
          <w:sz w:val="24"/>
          <w:szCs w:val="24"/>
        </w:rPr>
        <w:t>Amidazed</w:t>
      </w:r>
      <w:proofErr w:type="spellEnd"/>
      <w:r w:rsidRPr="00216438">
        <w:rPr>
          <w:sz w:val="24"/>
          <w:szCs w:val="24"/>
        </w:rPr>
        <w:t xml:space="preserve"> anvendes sammen med andre lægemidler til brug i øjnene, skal de to lægemidler administreres med mindst 15 minutters mellemrum.</w:t>
      </w:r>
    </w:p>
    <w:p w14:paraId="34FAACE8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C82297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4.6</w:t>
      </w:r>
      <w:r w:rsidRPr="00216438">
        <w:rPr>
          <w:b/>
          <w:sz w:val="24"/>
          <w:szCs w:val="24"/>
        </w:rPr>
        <w:tab/>
      </w:r>
      <w:r w:rsidR="0071241E" w:rsidRPr="00216438">
        <w:rPr>
          <w:b/>
          <w:sz w:val="24"/>
          <w:szCs w:val="24"/>
        </w:rPr>
        <w:t>Fertilitet, g</w:t>
      </w:r>
      <w:r w:rsidRPr="00216438">
        <w:rPr>
          <w:b/>
          <w:sz w:val="24"/>
          <w:szCs w:val="24"/>
        </w:rPr>
        <w:t>raviditet og amning</w:t>
      </w:r>
    </w:p>
    <w:p w14:paraId="4DDEF649" w14:textId="77777777" w:rsidR="00216438" w:rsidRDefault="00216438" w:rsidP="00F61C3B">
      <w:pPr>
        <w:ind w:left="851"/>
        <w:rPr>
          <w:sz w:val="24"/>
          <w:szCs w:val="24"/>
        </w:rPr>
      </w:pPr>
    </w:p>
    <w:p w14:paraId="73B7172B" w14:textId="10B6BF8B" w:rsidR="0012616E" w:rsidRPr="00216438" w:rsidRDefault="0012616E" w:rsidP="00F61C3B">
      <w:pPr>
        <w:ind w:left="851"/>
        <w:rPr>
          <w:sz w:val="24"/>
          <w:szCs w:val="24"/>
          <w:u w:val="single"/>
        </w:rPr>
      </w:pPr>
      <w:r w:rsidRPr="00216438">
        <w:rPr>
          <w:sz w:val="24"/>
          <w:szCs w:val="24"/>
          <w:u w:val="single"/>
        </w:rPr>
        <w:t>Graviditet</w:t>
      </w:r>
    </w:p>
    <w:p w14:paraId="5200C8ED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Der forventes ingen påvirkninger under graviditeten, da systemisk eksponering af </w:t>
      </w:r>
      <w:proofErr w:type="spellStart"/>
      <w:r w:rsidRPr="00216438">
        <w:rPr>
          <w:sz w:val="24"/>
          <w:szCs w:val="24"/>
        </w:rPr>
        <w:t>propamidinisetionat</w:t>
      </w:r>
      <w:proofErr w:type="spellEnd"/>
      <w:r w:rsidRPr="00216438">
        <w:rPr>
          <w:sz w:val="24"/>
          <w:szCs w:val="24"/>
        </w:rPr>
        <w:t xml:space="preserve"> er ubetydelig. </w:t>
      </w:r>
      <w:proofErr w:type="spellStart"/>
      <w:r w:rsidRPr="00216438">
        <w:rPr>
          <w:sz w:val="24"/>
          <w:szCs w:val="24"/>
        </w:rPr>
        <w:t>Propamidinisetionat</w:t>
      </w:r>
      <w:proofErr w:type="spellEnd"/>
      <w:r w:rsidRPr="00216438">
        <w:rPr>
          <w:sz w:val="24"/>
          <w:szCs w:val="24"/>
        </w:rPr>
        <w:t xml:space="preserve"> kan anvendes under graviditet.</w:t>
      </w:r>
    </w:p>
    <w:p w14:paraId="03291321" w14:textId="77777777" w:rsidR="0012616E" w:rsidRPr="00216438" w:rsidRDefault="0012616E" w:rsidP="00F61C3B">
      <w:pPr>
        <w:ind w:left="851"/>
        <w:rPr>
          <w:sz w:val="24"/>
          <w:szCs w:val="24"/>
        </w:rPr>
      </w:pPr>
    </w:p>
    <w:p w14:paraId="59CF8319" w14:textId="77777777" w:rsidR="0012616E" w:rsidRPr="00216438" w:rsidRDefault="0012616E" w:rsidP="00F61C3B">
      <w:pPr>
        <w:ind w:left="851"/>
        <w:rPr>
          <w:sz w:val="24"/>
          <w:szCs w:val="24"/>
          <w:u w:val="single"/>
        </w:rPr>
      </w:pPr>
      <w:r w:rsidRPr="00216438">
        <w:rPr>
          <w:sz w:val="24"/>
          <w:szCs w:val="24"/>
          <w:u w:val="single"/>
        </w:rPr>
        <w:t>Amning</w:t>
      </w:r>
    </w:p>
    <w:p w14:paraId="08E53313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Der forventes ingen påvirkninger af nyfødte/spædbørn der ammes, da den systemiske eksponering af </w:t>
      </w:r>
      <w:proofErr w:type="spellStart"/>
      <w:r w:rsidRPr="00216438">
        <w:rPr>
          <w:sz w:val="24"/>
          <w:szCs w:val="24"/>
        </w:rPr>
        <w:t>propamidinisetionat</w:t>
      </w:r>
      <w:proofErr w:type="spellEnd"/>
      <w:r w:rsidRPr="00216438">
        <w:rPr>
          <w:sz w:val="24"/>
          <w:szCs w:val="24"/>
        </w:rPr>
        <w:t xml:space="preserve"> er ubetydelig hos kvinder, der ammer. </w:t>
      </w:r>
      <w:proofErr w:type="spellStart"/>
      <w:r w:rsidRPr="00216438">
        <w:rPr>
          <w:sz w:val="24"/>
          <w:szCs w:val="24"/>
        </w:rPr>
        <w:t>Propamidinisetionat</w:t>
      </w:r>
      <w:proofErr w:type="spellEnd"/>
      <w:r w:rsidRPr="00216438">
        <w:rPr>
          <w:sz w:val="24"/>
          <w:szCs w:val="24"/>
        </w:rPr>
        <w:t xml:space="preserve"> kan anvendes under amning.</w:t>
      </w:r>
    </w:p>
    <w:p w14:paraId="5BE513FA" w14:textId="77777777" w:rsidR="0012616E" w:rsidRPr="00216438" w:rsidRDefault="0012616E" w:rsidP="00F61C3B">
      <w:pPr>
        <w:ind w:left="851"/>
        <w:rPr>
          <w:sz w:val="24"/>
          <w:szCs w:val="24"/>
        </w:rPr>
      </w:pPr>
    </w:p>
    <w:p w14:paraId="7E3C40DF" w14:textId="77777777" w:rsidR="0012616E" w:rsidRPr="00216438" w:rsidRDefault="0012616E" w:rsidP="00F61C3B">
      <w:pPr>
        <w:ind w:left="851"/>
        <w:rPr>
          <w:sz w:val="24"/>
          <w:szCs w:val="24"/>
          <w:u w:val="single"/>
        </w:rPr>
      </w:pPr>
      <w:r w:rsidRPr="00216438">
        <w:rPr>
          <w:sz w:val="24"/>
          <w:szCs w:val="24"/>
          <w:u w:val="single"/>
        </w:rPr>
        <w:t>Fertilitet</w:t>
      </w:r>
    </w:p>
    <w:p w14:paraId="6891B028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Der foreligger ingen data vedrørende potentielle påvirkninger af </w:t>
      </w:r>
      <w:proofErr w:type="spellStart"/>
      <w:r w:rsidRPr="00216438">
        <w:rPr>
          <w:sz w:val="24"/>
          <w:szCs w:val="24"/>
        </w:rPr>
        <w:t>propamidinisetionat</w:t>
      </w:r>
      <w:proofErr w:type="spellEnd"/>
      <w:r w:rsidRPr="00216438">
        <w:rPr>
          <w:sz w:val="24"/>
          <w:szCs w:val="24"/>
        </w:rPr>
        <w:t xml:space="preserve"> på fertiliteten hos mænd og kvinder. Dog forventes der ingen påvirkninger af fertiliteten, da den systemiske eksponering af </w:t>
      </w:r>
      <w:proofErr w:type="spellStart"/>
      <w:r w:rsidRPr="00216438">
        <w:rPr>
          <w:sz w:val="24"/>
          <w:szCs w:val="24"/>
        </w:rPr>
        <w:t>propamidinisetionat</w:t>
      </w:r>
      <w:proofErr w:type="spellEnd"/>
      <w:r w:rsidRPr="00216438">
        <w:rPr>
          <w:sz w:val="24"/>
          <w:szCs w:val="24"/>
        </w:rPr>
        <w:t xml:space="preserve"> er ubetydelig.</w:t>
      </w:r>
    </w:p>
    <w:p w14:paraId="3A6FAFDC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BA5D1E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4.7</w:t>
      </w:r>
      <w:r w:rsidRPr="00216438">
        <w:rPr>
          <w:b/>
          <w:sz w:val="24"/>
          <w:szCs w:val="24"/>
        </w:rPr>
        <w:tab/>
        <w:t xml:space="preserve">Virkning på evnen til at føre motorkøretøj </w:t>
      </w:r>
      <w:r w:rsidR="0071241E" w:rsidRPr="00216438">
        <w:rPr>
          <w:b/>
          <w:sz w:val="24"/>
          <w:szCs w:val="24"/>
        </w:rPr>
        <w:t>og</w:t>
      </w:r>
      <w:r w:rsidRPr="00216438">
        <w:rPr>
          <w:b/>
          <w:sz w:val="24"/>
          <w:szCs w:val="24"/>
        </w:rPr>
        <w:t xml:space="preserve"> betjene maskiner</w:t>
      </w:r>
    </w:p>
    <w:p w14:paraId="6FE987F2" w14:textId="77777777" w:rsidR="00216438" w:rsidRDefault="00216438" w:rsidP="00F61C3B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4A862F7C" w14:textId="6972B07D" w:rsidR="0012616E" w:rsidRPr="00216438" w:rsidRDefault="0012616E" w:rsidP="00F61C3B">
      <w:pPr>
        <w:ind w:left="851"/>
        <w:rPr>
          <w:sz w:val="24"/>
          <w:szCs w:val="24"/>
        </w:rPr>
      </w:pPr>
      <w:proofErr w:type="spellStart"/>
      <w:r w:rsidRPr="00216438">
        <w:rPr>
          <w:sz w:val="24"/>
          <w:szCs w:val="24"/>
        </w:rPr>
        <w:t>Amidazed</w:t>
      </w:r>
      <w:proofErr w:type="spellEnd"/>
      <w:r w:rsidRPr="00216438">
        <w:rPr>
          <w:sz w:val="24"/>
          <w:szCs w:val="24"/>
        </w:rPr>
        <w:t xml:space="preserve">, opløsning kan forårsage forbigående sløring af synet efter </w:t>
      </w:r>
      <w:proofErr w:type="spellStart"/>
      <w:r w:rsidRPr="00216438">
        <w:rPr>
          <w:sz w:val="24"/>
          <w:szCs w:val="24"/>
        </w:rPr>
        <w:t>instillation</w:t>
      </w:r>
      <w:proofErr w:type="spellEnd"/>
      <w:r w:rsidRPr="00216438">
        <w:rPr>
          <w:sz w:val="24"/>
          <w:szCs w:val="24"/>
        </w:rPr>
        <w:t>. Patienter skal advares mod at føre motorkøretøj eller betjene maskiner, medmindre deres syn er klart.</w:t>
      </w:r>
    </w:p>
    <w:p w14:paraId="02007023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DA96B9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4.8</w:t>
      </w:r>
      <w:r w:rsidRPr="00216438">
        <w:rPr>
          <w:b/>
          <w:sz w:val="24"/>
          <w:szCs w:val="24"/>
        </w:rPr>
        <w:tab/>
        <w:t>Bivirkninger</w:t>
      </w:r>
    </w:p>
    <w:p w14:paraId="34D6AC1A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Bivirkningerne er anført efter hyppighed som følger: Meget almindelig (≥ 1/10), almindelig (≥ 1/100 til &lt; 1/10), ikke almindelig (≥ 1/1.000 til &lt; 1/100), sjælden (≥ 1/10.000 til &lt; 1/1.000), meget sjælden (&lt; 1/10.000), ikke kendt (hyppigheden kan ikke estimeres ud fra forhåndenværende data).</w:t>
      </w:r>
    </w:p>
    <w:p w14:paraId="2A95276E" w14:textId="77777777" w:rsidR="0012616E" w:rsidRPr="00216438" w:rsidRDefault="0012616E" w:rsidP="00F61C3B">
      <w:pPr>
        <w:ind w:left="851"/>
        <w:rPr>
          <w:sz w:val="24"/>
          <w:szCs w:val="24"/>
        </w:rPr>
      </w:pPr>
    </w:p>
    <w:p w14:paraId="37167EF7" w14:textId="77777777" w:rsidR="0012616E" w:rsidRPr="00216438" w:rsidRDefault="0012616E" w:rsidP="00F61C3B">
      <w:pPr>
        <w:ind w:left="851"/>
        <w:rPr>
          <w:i/>
          <w:iCs/>
          <w:sz w:val="24"/>
          <w:szCs w:val="24"/>
        </w:rPr>
      </w:pPr>
      <w:r w:rsidRPr="00216438">
        <w:rPr>
          <w:i/>
          <w:iCs/>
          <w:sz w:val="24"/>
          <w:szCs w:val="24"/>
          <w:u w:val="single"/>
        </w:rPr>
        <w:t>Immunsystemet</w:t>
      </w:r>
    </w:p>
    <w:p w14:paraId="75119D4F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8C053B">
        <w:rPr>
          <w:sz w:val="24"/>
          <w:szCs w:val="24"/>
          <w:u w:val="single"/>
        </w:rPr>
        <w:t>Ikke kendt:</w:t>
      </w:r>
      <w:r w:rsidRPr="00216438">
        <w:rPr>
          <w:sz w:val="24"/>
          <w:szCs w:val="24"/>
        </w:rPr>
        <w:t xml:space="preserve"> Der kan forekomme overfølsomhed, i så fald skal behandlingen straks seponeres.</w:t>
      </w:r>
    </w:p>
    <w:p w14:paraId="3FCCE479" w14:textId="77777777" w:rsidR="0012616E" w:rsidRPr="00216438" w:rsidRDefault="0012616E" w:rsidP="00F61C3B">
      <w:pPr>
        <w:ind w:left="851"/>
        <w:rPr>
          <w:sz w:val="24"/>
          <w:szCs w:val="24"/>
        </w:rPr>
      </w:pPr>
    </w:p>
    <w:p w14:paraId="3265CAB4" w14:textId="77777777" w:rsidR="0012616E" w:rsidRPr="00216438" w:rsidRDefault="0012616E" w:rsidP="00F61C3B">
      <w:pPr>
        <w:ind w:left="851"/>
        <w:rPr>
          <w:i/>
          <w:iCs/>
          <w:sz w:val="24"/>
          <w:szCs w:val="24"/>
          <w:u w:val="single"/>
        </w:rPr>
      </w:pPr>
      <w:r w:rsidRPr="00216438">
        <w:rPr>
          <w:i/>
          <w:iCs/>
          <w:sz w:val="24"/>
          <w:szCs w:val="24"/>
          <w:u w:val="single"/>
        </w:rPr>
        <w:t>Øjne</w:t>
      </w:r>
    </w:p>
    <w:p w14:paraId="061E1F94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8C053B">
        <w:rPr>
          <w:sz w:val="24"/>
          <w:szCs w:val="24"/>
          <w:u w:val="single"/>
        </w:rPr>
        <w:t>Ikke kendt:</w:t>
      </w:r>
      <w:r w:rsidRPr="008C053B">
        <w:rPr>
          <w:sz w:val="24"/>
          <w:szCs w:val="24"/>
        </w:rPr>
        <w:t xml:space="preserve"> </w:t>
      </w:r>
      <w:r w:rsidRPr="00216438">
        <w:rPr>
          <w:sz w:val="24"/>
          <w:szCs w:val="24"/>
        </w:rPr>
        <w:t xml:space="preserve">Der kan også forekomme øjensmerter eller </w:t>
      </w:r>
      <w:r w:rsidRPr="00216438">
        <w:rPr>
          <w:sz w:val="24"/>
          <w:szCs w:val="24"/>
        </w:rPr>
        <w:noBreakHyphen/>
        <w:t>irritation, sædvanligvis i form af en stikkende eller brændende fornemmelse.</w:t>
      </w:r>
    </w:p>
    <w:p w14:paraId="4CAE2F7B" w14:textId="77777777" w:rsidR="0012616E" w:rsidRPr="00216438" w:rsidRDefault="0012616E" w:rsidP="00F61C3B">
      <w:pPr>
        <w:ind w:left="851"/>
        <w:rPr>
          <w:sz w:val="24"/>
          <w:szCs w:val="24"/>
        </w:rPr>
      </w:pPr>
    </w:p>
    <w:p w14:paraId="51605CCC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I sådanne tilfælde skal behandlingen straks seponeres og der skal søges læge.</w:t>
      </w:r>
    </w:p>
    <w:p w14:paraId="78D4D326" w14:textId="77777777" w:rsidR="0012616E" w:rsidRPr="00216438" w:rsidRDefault="0012616E" w:rsidP="00F61C3B">
      <w:pPr>
        <w:ind w:left="851"/>
        <w:rPr>
          <w:sz w:val="24"/>
          <w:szCs w:val="24"/>
        </w:rPr>
      </w:pPr>
    </w:p>
    <w:p w14:paraId="17B55F3B" w14:textId="77777777" w:rsidR="0012616E" w:rsidRPr="00216438" w:rsidRDefault="0012616E" w:rsidP="00F61C3B">
      <w:pPr>
        <w:ind w:left="851"/>
        <w:rPr>
          <w:sz w:val="24"/>
          <w:szCs w:val="24"/>
          <w:u w:val="single"/>
        </w:rPr>
      </w:pPr>
      <w:r w:rsidRPr="00216438">
        <w:rPr>
          <w:sz w:val="24"/>
          <w:szCs w:val="24"/>
          <w:u w:val="single"/>
        </w:rPr>
        <w:t>Indberetning af formodede bivirkninger</w:t>
      </w:r>
    </w:p>
    <w:p w14:paraId="241308D1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216438">
        <w:rPr>
          <w:sz w:val="24"/>
          <w:szCs w:val="24"/>
        </w:rPr>
        <w:t>risk</w:t>
      </w:r>
      <w:proofErr w:type="spellEnd"/>
      <w:r w:rsidRPr="00216438">
        <w:rPr>
          <w:sz w:val="24"/>
          <w:szCs w:val="24"/>
        </w:rPr>
        <w:t>-forholdet for lægemidlet. Sundhedspersoner anmodes om at indberette alle formodede bivirkninger via</w:t>
      </w:r>
    </w:p>
    <w:p w14:paraId="0945FE1D" w14:textId="77777777" w:rsidR="0012616E" w:rsidRPr="00216438" w:rsidRDefault="0012616E" w:rsidP="00F61C3B">
      <w:pPr>
        <w:ind w:left="851"/>
        <w:rPr>
          <w:sz w:val="24"/>
          <w:szCs w:val="24"/>
        </w:rPr>
      </w:pPr>
    </w:p>
    <w:p w14:paraId="5D325D40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Lægemiddelstyrelsen</w:t>
      </w:r>
    </w:p>
    <w:p w14:paraId="70303B5C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Axel Heides Gade 1</w:t>
      </w:r>
    </w:p>
    <w:p w14:paraId="056233D5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DK-2300 København S</w:t>
      </w:r>
    </w:p>
    <w:p w14:paraId="236B2C27" w14:textId="77777777" w:rsidR="0012616E" w:rsidRPr="00216438" w:rsidRDefault="0012616E" w:rsidP="00F61C3B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Websted: </w:t>
      </w:r>
      <w:hyperlink r:id="rId8" w:history="1">
        <w:r w:rsidRPr="00216438">
          <w:rPr>
            <w:rStyle w:val="Hyperlink"/>
            <w:sz w:val="24"/>
            <w:szCs w:val="24"/>
          </w:rPr>
          <w:t>www.meldenbivirkning.dk</w:t>
        </w:r>
      </w:hyperlink>
    </w:p>
    <w:p w14:paraId="47B5E014" w14:textId="77777777" w:rsidR="009260DE" w:rsidRPr="00216438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276237D5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4.9</w:t>
      </w:r>
      <w:r w:rsidRPr="00216438">
        <w:rPr>
          <w:b/>
          <w:sz w:val="24"/>
          <w:szCs w:val="24"/>
        </w:rPr>
        <w:tab/>
        <w:t>Overdosering</w:t>
      </w:r>
    </w:p>
    <w:p w14:paraId="48FFA20B" w14:textId="77777777" w:rsidR="0012616E" w:rsidRPr="00216438" w:rsidRDefault="0012616E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Der findes ingen information om overdosering hos mennesker. Det er usandsynligt, at der forekommer overdosering efter </w:t>
      </w:r>
      <w:proofErr w:type="spellStart"/>
      <w:r w:rsidRPr="00216438">
        <w:rPr>
          <w:sz w:val="24"/>
          <w:szCs w:val="24"/>
        </w:rPr>
        <w:t>okulær</w:t>
      </w:r>
      <w:proofErr w:type="spellEnd"/>
      <w:r w:rsidRPr="00216438">
        <w:rPr>
          <w:sz w:val="24"/>
          <w:szCs w:val="24"/>
        </w:rPr>
        <w:t xml:space="preserve"> administration. I tilfælde af overdosering er behandlingen symptomatisk og understøttende.</w:t>
      </w:r>
    </w:p>
    <w:p w14:paraId="159449EF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E51DAD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4.10</w:t>
      </w:r>
      <w:r w:rsidRPr="00216438">
        <w:rPr>
          <w:b/>
          <w:sz w:val="24"/>
          <w:szCs w:val="24"/>
        </w:rPr>
        <w:tab/>
        <w:t>Udlevering</w:t>
      </w:r>
    </w:p>
    <w:p w14:paraId="14B07D79" w14:textId="23D45037" w:rsidR="009260DE" w:rsidRPr="00216438" w:rsidRDefault="00216438" w:rsidP="009260DE">
      <w:pPr>
        <w:tabs>
          <w:tab w:val="left" w:pos="851"/>
        </w:tabs>
        <w:ind w:left="851"/>
        <w:rPr>
          <w:sz w:val="24"/>
          <w:szCs w:val="24"/>
        </w:rPr>
      </w:pPr>
      <w:r w:rsidRPr="00216438">
        <w:rPr>
          <w:sz w:val="24"/>
          <w:szCs w:val="24"/>
        </w:rPr>
        <w:t>B</w:t>
      </w:r>
    </w:p>
    <w:p w14:paraId="51CA35BE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7C88FF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A089B6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5.</w:t>
      </w:r>
      <w:r w:rsidRPr="00216438">
        <w:rPr>
          <w:b/>
          <w:sz w:val="24"/>
          <w:szCs w:val="24"/>
        </w:rPr>
        <w:tab/>
        <w:t>FARMAKOLOGISKE EGENSKABER</w:t>
      </w:r>
    </w:p>
    <w:p w14:paraId="1ACFD440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0E5984" w14:textId="77777777" w:rsidR="009260DE" w:rsidRPr="00216438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5.1</w:t>
      </w:r>
      <w:r w:rsidRPr="00216438">
        <w:rPr>
          <w:b/>
          <w:sz w:val="24"/>
          <w:szCs w:val="24"/>
        </w:rPr>
        <w:tab/>
      </w:r>
      <w:proofErr w:type="spellStart"/>
      <w:r w:rsidRPr="00216438">
        <w:rPr>
          <w:b/>
          <w:sz w:val="24"/>
          <w:szCs w:val="24"/>
        </w:rPr>
        <w:t>Farmakodynamiske</w:t>
      </w:r>
      <w:proofErr w:type="spellEnd"/>
      <w:r w:rsidRPr="00216438">
        <w:rPr>
          <w:b/>
          <w:sz w:val="24"/>
          <w:szCs w:val="24"/>
        </w:rPr>
        <w:t xml:space="preserve"> egenskaber</w:t>
      </w:r>
    </w:p>
    <w:p w14:paraId="71542E83" w14:textId="77777777" w:rsidR="0012616E" w:rsidRPr="00216438" w:rsidRDefault="0012616E" w:rsidP="00216438">
      <w:pPr>
        <w:ind w:left="851"/>
        <w:rPr>
          <w:sz w:val="24"/>
          <w:szCs w:val="24"/>
        </w:rPr>
      </w:pPr>
      <w:proofErr w:type="spellStart"/>
      <w:r w:rsidRPr="00216438">
        <w:rPr>
          <w:sz w:val="24"/>
          <w:szCs w:val="24"/>
        </w:rPr>
        <w:t>Farmakoterapeutisk</w:t>
      </w:r>
      <w:proofErr w:type="spellEnd"/>
      <w:r w:rsidRPr="00216438">
        <w:rPr>
          <w:sz w:val="24"/>
          <w:szCs w:val="24"/>
        </w:rPr>
        <w:t xml:space="preserve"> klassifikation: Andre </w:t>
      </w:r>
      <w:proofErr w:type="spellStart"/>
      <w:r w:rsidRPr="00216438">
        <w:rPr>
          <w:sz w:val="24"/>
          <w:szCs w:val="24"/>
        </w:rPr>
        <w:t>antiinfektiva</w:t>
      </w:r>
      <w:proofErr w:type="spellEnd"/>
      <w:r w:rsidRPr="00216438">
        <w:rPr>
          <w:sz w:val="24"/>
          <w:szCs w:val="24"/>
        </w:rPr>
        <w:t>, ATC-kode: S01AX15</w:t>
      </w:r>
    </w:p>
    <w:p w14:paraId="45895505" w14:textId="77777777" w:rsidR="0012616E" w:rsidRPr="00216438" w:rsidRDefault="0012616E" w:rsidP="00216438">
      <w:pPr>
        <w:ind w:left="851"/>
        <w:rPr>
          <w:bCs/>
          <w:sz w:val="24"/>
          <w:szCs w:val="24"/>
        </w:rPr>
      </w:pPr>
      <w:proofErr w:type="spellStart"/>
      <w:r w:rsidRPr="00216438">
        <w:rPr>
          <w:bCs/>
          <w:sz w:val="24"/>
          <w:szCs w:val="24"/>
        </w:rPr>
        <w:t>Propadimin</w:t>
      </w:r>
      <w:proofErr w:type="spellEnd"/>
      <w:r w:rsidRPr="00216438">
        <w:rPr>
          <w:bCs/>
          <w:sz w:val="24"/>
          <w:szCs w:val="24"/>
        </w:rPr>
        <w:t xml:space="preserve"> tilhører gruppen aromatiske </w:t>
      </w:r>
      <w:proofErr w:type="spellStart"/>
      <w:r w:rsidRPr="00216438">
        <w:rPr>
          <w:bCs/>
          <w:sz w:val="24"/>
          <w:szCs w:val="24"/>
        </w:rPr>
        <w:t>diamidiner</w:t>
      </w:r>
      <w:proofErr w:type="spellEnd"/>
      <w:r w:rsidRPr="00216438">
        <w:rPr>
          <w:bCs/>
          <w:sz w:val="24"/>
          <w:szCs w:val="24"/>
        </w:rPr>
        <w:t xml:space="preserve">, der udviser </w:t>
      </w:r>
      <w:proofErr w:type="spellStart"/>
      <w:r w:rsidRPr="00216438">
        <w:rPr>
          <w:bCs/>
          <w:sz w:val="24"/>
          <w:szCs w:val="24"/>
        </w:rPr>
        <w:t>bakteriostatiske</w:t>
      </w:r>
      <w:proofErr w:type="spellEnd"/>
      <w:r w:rsidRPr="00216438">
        <w:rPr>
          <w:bCs/>
          <w:sz w:val="24"/>
          <w:szCs w:val="24"/>
        </w:rPr>
        <w:t xml:space="preserve"> egenskaber mod et bredt spektrum af organismer. Disse </w:t>
      </w:r>
      <w:proofErr w:type="spellStart"/>
      <w:r w:rsidRPr="00216438">
        <w:rPr>
          <w:bCs/>
          <w:sz w:val="24"/>
          <w:szCs w:val="24"/>
        </w:rPr>
        <w:t>diamidiner</w:t>
      </w:r>
      <w:proofErr w:type="spellEnd"/>
      <w:r w:rsidRPr="00216438">
        <w:rPr>
          <w:bCs/>
          <w:sz w:val="24"/>
          <w:szCs w:val="24"/>
        </w:rPr>
        <w:t xml:space="preserve"> udviser antibakteriel virkning mod </w:t>
      </w:r>
      <w:proofErr w:type="spellStart"/>
      <w:r w:rsidRPr="00216438">
        <w:rPr>
          <w:bCs/>
          <w:sz w:val="24"/>
          <w:szCs w:val="24"/>
        </w:rPr>
        <w:t>pyrogene</w:t>
      </w:r>
      <w:proofErr w:type="spellEnd"/>
      <w:r w:rsidRPr="00216438">
        <w:rPr>
          <w:bCs/>
          <w:sz w:val="24"/>
          <w:szCs w:val="24"/>
        </w:rPr>
        <w:t xml:space="preserve"> </w:t>
      </w:r>
      <w:proofErr w:type="spellStart"/>
      <w:r w:rsidRPr="00216438">
        <w:rPr>
          <w:bCs/>
          <w:sz w:val="24"/>
          <w:szCs w:val="24"/>
        </w:rPr>
        <w:t>kokker</w:t>
      </w:r>
      <w:proofErr w:type="spellEnd"/>
      <w:r w:rsidRPr="00216438">
        <w:rPr>
          <w:bCs/>
          <w:sz w:val="24"/>
          <w:szCs w:val="24"/>
        </w:rPr>
        <w:t xml:space="preserve">, antibiotikaresistente stafylokokker og visse gramnegative bakterier. Aktiviteten af </w:t>
      </w:r>
      <w:proofErr w:type="spellStart"/>
      <w:r w:rsidRPr="00216438">
        <w:rPr>
          <w:bCs/>
          <w:sz w:val="24"/>
          <w:szCs w:val="24"/>
        </w:rPr>
        <w:t>diamidinerne</w:t>
      </w:r>
      <w:proofErr w:type="spellEnd"/>
      <w:r w:rsidRPr="00216438">
        <w:rPr>
          <w:bCs/>
          <w:sz w:val="24"/>
          <w:szCs w:val="24"/>
        </w:rPr>
        <w:t xml:space="preserve"> opretholdes i nærvær af organisk materiale såsom vævsvæsker, pus og sæd.</w:t>
      </w:r>
    </w:p>
    <w:p w14:paraId="408F7D5A" w14:textId="77777777" w:rsidR="0012616E" w:rsidRPr="00216438" w:rsidRDefault="0012616E" w:rsidP="00216438">
      <w:pPr>
        <w:ind w:left="851"/>
        <w:rPr>
          <w:bCs/>
          <w:sz w:val="24"/>
          <w:szCs w:val="24"/>
        </w:rPr>
      </w:pPr>
    </w:p>
    <w:p w14:paraId="5BC8CC0C" w14:textId="77777777" w:rsidR="0012616E" w:rsidRPr="00216438" w:rsidRDefault="0012616E" w:rsidP="00216438">
      <w:pPr>
        <w:ind w:left="851"/>
        <w:rPr>
          <w:bCs/>
          <w:sz w:val="24"/>
          <w:szCs w:val="24"/>
          <w:u w:val="single"/>
        </w:rPr>
      </w:pPr>
      <w:r w:rsidRPr="00216438">
        <w:rPr>
          <w:bCs/>
          <w:sz w:val="24"/>
          <w:szCs w:val="24"/>
          <w:u w:val="single"/>
        </w:rPr>
        <w:t>Virkningsmekanisme</w:t>
      </w:r>
    </w:p>
    <w:p w14:paraId="4148C6D8" w14:textId="77777777" w:rsidR="0012616E" w:rsidRPr="00216438" w:rsidRDefault="0012616E" w:rsidP="00216438">
      <w:pPr>
        <w:ind w:left="851"/>
        <w:rPr>
          <w:bCs/>
          <w:sz w:val="24"/>
          <w:szCs w:val="24"/>
        </w:rPr>
      </w:pPr>
      <w:r w:rsidRPr="00216438">
        <w:rPr>
          <w:bCs/>
          <w:sz w:val="24"/>
          <w:szCs w:val="24"/>
        </w:rPr>
        <w:t xml:space="preserve">Den præcise virkningsmekanisme for </w:t>
      </w:r>
      <w:proofErr w:type="spellStart"/>
      <w:r w:rsidRPr="00216438">
        <w:rPr>
          <w:bCs/>
          <w:sz w:val="24"/>
          <w:szCs w:val="24"/>
        </w:rPr>
        <w:t>diamidiner</w:t>
      </w:r>
      <w:proofErr w:type="spellEnd"/>
      <w:r w:rsidRPr="00216438">
        <w:rPr>
          <w:bCs/>
          <w:sz w:val="24"/>
          <w:szCs w:val="24"/>
        </w:rPr>
        <w:t xml:space="preserve"> er stadig delvis ukendt, men nogle virkninger er beskrevet, såsom hæmning af iltoptagelse og </w:t>
      </w:r>
      <w:proofErr w:type="spellStart"/>
      <w:r w:rsidRPr="00216438">
        <w:rPr>
          <w:bCs/>
          <w:sz w:val="24"/>
          <w:szCs w:val="24"/>
        </w:rPr>
        <w:t>katabolsk</w:t>
      </w:r>
      <w:proofErr w:type="spellEnd"/>
      <w:r w:rsidRPr="00216438">
        <w:rPr>
          <w:bCs/>
          <w:sz w:val="24"/>
          <w:szCs w:val="24"/>
        </w:rPr>
        <w:t xml:space="preserve"> (</w:t>
      </w:r>
      <w:proofErr w:type="spellStart"/>
      <w:r w:rsidRPr="00216438">
        <w:rPr>
          <w:bCs/>
          <w:sz w:val="24"/>
          <w:szCs w:val="24"/>
        </w:rPr>
        <w:t>oxidativ</w:t>
      </w:r>
      <w:proofErr w:type="spellEnd"/>
      <w:r w:rsidRPr="00216438">
        <w:rPr>
          <w:bCs/>
          <w:sz w:val="24"/>
          <w:szCs w:val="24"/>
        </w:rPr>
        <w:t xml:space="preserve">) metabolisme af bakterier, og induktion af aminosyrelæk ved påvirkning af cellemembranen. Sådanne virkninger stemmer også overens med deres struktur af </w:t>
      </w:r>
      <w:proofErr w:type="spellStart"/>
      <w:r w:rsidRPr="00216438">
        <w:rPr>
          <w:bCs/>
          <w:sz w:val="24"/>
          <w:szCs w:val="24"/>
        </w:rPr>
        <w:t>kationiske</w:t>
      </w:r>
      <w:proofErr w:type="spellEnd"/>
      <w:r w:rsidRPr="00216438">
        <w:rPr>
          <w:bCs/>
          <w:sz w:val="24"/>
          <w:szCs w:val="24"/>
        </w:rPr>
        <w:t xml:space="preserve"> overfladeaktive stoffer. Der er også beskrevet skade på celleoverfladen af visse gramnegative bakterier, såsom, </w:t>
      </w:r>
      <w:r w:rsidRPr="00216438">
        <w:rPr>
          <w:bCs/>
          <w:i/>
          <w:iCs/>
          <w:sz w:val="24"/>
          <w:szCs w:val="24"/>
        </w:rPr>
        <w:t xml:space="preserve">P. </w:t>
      </w:r>
      <w:proofErr w:type="spellStart"/>
      <w:r w:rsidRPr="00216438">
        <w:rPr>
          <w:bCs/>
          <w:i/>
          <w:iCs/>
          <w:sz w:val="24"/>
          <w:szCs w:val="24"/>
        </w:rPr>
        <w:t>aeruginosa</w:t>
      </w:r>
      <w:proofErr w:type="spellEnd"/>
      <w:r w:rsidRPr="00216438">
        <w:rPr>
          <w:bCs/>
          <w:sz w:val="24"/>
          <w:szCs w:val="24"/>
        </w:rPr>
        <w:t xml:space="preserve"> og </w:t>
      </w:r>
      <w:proofErr w:type="spellStart"/>
      <w:r w:rsidRPr="00216438">
        <w:rPr>
          <w:bCs/>
          <w:i/>
          <w:iCs/>
          <w:sz w:val="24"/>
          <w:szCs w:val="24"/>
        </w:rPr>
        <w:t>Enterobacter</w:t>
      </w:r>
      <w:proofErr w:type="spellEnd"/>
      <w:r w:rsidRPr="00216438">
        <w:rPr>
          <w:bCs/>
          <w:i/>
          <w:iCs/>
          <w:sz w:val="24"/>
          <w:szCs w:val="24"/>
        </w:rPr>
        <w:t xml:space="preserve"> </w:t>
      </w:r>
      <w:proofErr w:type="spellStart"/>
      <w:r w:rsidRPr="00216438">
        <w:rPr>
          <w:bCs/>
          <w:i/>
          <w:iCs/>
          <w:sz w:val="24"/>
          <w:szCs w:val="24"/>
        </w:rPr>
        <w:t>cloacae</w:t>
      </w:r>
      <w:proofErr w:type="spellEnd"/>
      <w:r w:rsidRPr="00216438">
        <w:rPr>
          <w:bCs/>
          <w:sz w:val="24"/>
          <w:szCs w:val="24"/>
        </w:rPr>
        <w:t>.</w:t>
      </w:r>
    </w:p>
    <w:p w14:paraId="2001282F" w14:textId="77777777" w:rsidR="0012616E" w:rsidRPr="00216438" w:rsidRDefault="0012616E" w:rsidP="00216438">
      <w:pPr>
        <w:ind w:left="851"/>
        <w:rPr>
          <w:bCs/>
          <w:sz w:val="24"/>
          <w:szCs w:val="24"/>
        </w:rPr>
      </w:pPr>
      <w:proofErr w:type="spellStart"/>
      <w:r w:rsidRPr="00216438">
        <w:rPr>
          <w:bCs/>
          <w:sz w:val="24"/>
          <w:szCs w:val="24"/>
        </w:rPr>
        <w:t>Propamidinisetionat</w:t>
      </w:r>
      <w:proofErr w:type="spellEnd"/>
      <w:r w:rsidRPr="00216438">
        <w:rPr>
          <w:bCs/>
          <w:sz w:val="24"/>
          <w:szCs w:val="24"/>
        </w:rPr>
        <w:t xml:space="preserve"> er effektivt mod både grampositive og gramnegative bakterier.</w:t>
      </w:r>
    </w:p>
    <w:p w14:paraId="19913F2C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313281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5.2</w:t>
      </w:r>
      <w:r w:rsidRPr="00216438">
        <w:rPr>
          <w:b/>
          <w:sz w:val="24"/>
          <w:szCs w:val="24"/>
        </w:rPr>
        <w:tab/>
      </w:r>
      <w:proofErr w:type="spellStart"/>
      <w:r w:rsidRPr="00216438">
        <w:rPr>
          <w:b/>
          <w:sz w:val="24"/>
          <w:szCs w:val="24"/>
        </w:rPr>
        <w:t>Farmakokinetiske</w:t>
      </w:r>
      <w:proofErr w:type="spellEnd"/>
      <w:r w:rsidRPr="00216438">
        <w:rPr>
          <w:b/>
          <w:sz w:val="24"/>
          <w:szCs w:val="24"/>
        </w:rPr>
        <w:t xml:space="preserve"> egenskaber</w:t>
      </w:r>
    </w:p>
    <w:p w14:paraId="77E295F6" w14:textId="77777777" w:rsidR="0012616E" w:rsidRPr="00216438" w:rsidRDefault="0012616E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Farmakokinetikken er ikke undersøgt. </w:t>
      </w:r>
      <w:proofErr w:type="spellStart"/>
      <w:r w:rsidRPr="00216438">
        <w:rPr>
          <w:sz w:val="24"/>
          <w:szCs w:val="24"/>
        </w:rPr>
        <w:t>Amidazed</w:t>
      </w:r>
      <w:proofErr w:type="spellEnd"/>
      <w:r w:rsidRPr="00216438">
        <w:rPr>
          <w:sz w:val="24"/>
          <w:szCs w:val="24"/>
        </w:rPr>
        <w:t xml:space="preserve"> er beregnet til </w:t>
      </w:r>
      <w:proofErr w:type="spellStart"/>
      <w:r w:rsidRPr="00216438">
        <w:rPr>
          <w:sz w:val="24"/>
          <w:szCs w:val="24"/>
        </w:rPr>
        <w:t>topikal</w:t>
      </w:r>
      <w:proofErr w:type="spellEnd"/>
      <w:r w:rsidRPr="00216438">
        <w:rPr>
          <w:sz w:val="24"/>
          <w:szCs w:val="24"/>
        </w:rPr>
        <w:t xml:space="preserve"> </w:t>
      </w:r>
      <w:proofErr w:type="spellStart"/>
      <w:r w:rsidRPr="00216438">
        <w:rPr>
          <w:sz w:val="24"/>
          <w:szCs w:val="24"/>
        </w:rPr>
        <w:t>okulær</w:t>
      </w:r>
      <w:proofErr w:type="spellEnd"/>
      <w:r w:rsidRPr="00216438">
        <w:rPr>
          <w:sz w:val="24"/>
          <w:szCs w:val="24"/>
        </w:rPr>
        <w:t xml:space="preserve"> administration og systemisk absorption af </w:t>
      </w:r>
      <w:proofErr w:type="spellStart"/>
      <w:r w:rsidRPr="00216438">
        <w:rPr>
          <w:sz w:val="24"/>
          <w:szCs w:val="24"/>
        </w:rPr>
        <w:t>propamidin</w:t>
      </w:r>
      <w:proofErr w:type="spellEnd"/>
      <w:r w:rsidRPr="00216438">
        <w:rPr>
          <w:sz w:val="24"/>
          <w:szCs w:val="24"/>
        </w:rPr>
        <w:t xml:space="preserve"> forventes at være ubetydelig efter </w:t>
      </w:r>
      <w:proofErr w:type="spellStart"/>
      <w:r w:rsidRPr="00216438">
        <w:rPr>
          <w:sz w:val="24"/>
          <w:szCs w:val="24"/>
        </w:rPr>
        <w:t>topikal</w:t>
      </w:r>
      <w:proofErr w:type="spellEnd"/>
      <w:r w:rsidRPr="00216438">
        <w:rPr>
          <w:sz w:val="24"/>
          <w:szCs w:val="24"/>
        </w:rPr>
        <w:t xml:space="preserve"> administration i øjet.</w:t>
      </w:r>
    </w:p>
    <w:p w14:paraId="1AA37B9F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CA3EDC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5.3</w:t>
      </w:r>
      <w:r w:rsidRPr="00216438">
        <w:rPr>
          <w:b/>
          <w:sz w:val="24"/>
          <w:szCs w:val="24"/>
        </w:rPr>
        <w:tab/>
      </w:r>
      <w:r w:rsidR="00BD7931" w:rsidRPr="00216438">
        <w:rPr>
          <w:b/>
          <w:sz w:val="24"/>
          <w:szCs w:val="24"/>
        </w:rPr>
        <w:t>Non-</w:t>
      </w:r>
      <w:r w:rsidRPr="00216438">
        <w:rPr>
          <w:b/>
          <w:sz w:val="24"/>
          <w:szCs w:val="24"/>
        </w:rPr>
        <w:t>kliniske sikkerhedsdata</w:t>
      </w:r>
    </w:p>
    <w:p w14:paraId="76952A74" w14:textId="77777777" w:rsidR="0012616E" w:rsidRPr="00216438" w:rsidRDefault="0012616E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Der findes ingen andre oplysninger, som kan være af relevans for den ordinerende læge i forhold til sikkerhedsprofilen af </w:t>
      </w:r>
      <w:proofErr w:type="spellStart"/>
      <w:r w:rsidRPr="00216438">
        <w:rPr>
          <w:sz w:val="24"/>
          <w:szCs w:val="24"/>
        </w:rPr>
        <w:t>Amidazed</w:t>
      </w:r>
      <w:proofErr w:type="spellEnd"/>
      <w:r w:rsidRPr="00216438">
        <w:rPr>
          <w:sz w:val="24"/>
          <w:szCs w:val="24"/>
        </w:rPr>
        <w:t>, og som ikke allerede er inkluderet i produktresuméets øvrige afsnit.</w:t>
      </w:r>
    </w:p>
    <w:p w14:paraId="5CC8BD31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C0EFA1D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9DE0F0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6.</w:t>
      </w:r>
      <w:r w:rsidRPr="00216438">
        <w:rPr>
          <w:b/>
          <w:sz w:val="24"/>
          <w:szCs w:val="24"/>
        </w:rPr>
        <w:tab/>
        <w:t>FARMACEUTISKE OPLYSNINGER</w:t>
      </w:r>
    </w:p>
    <w:p w14:paraId="14CB05B9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A735F7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6.1</w:t>
      </w:r>
      <w:r w:rsidRPr="00216438">
        <w:rPr>
          <w:b/>
          <w:sz w:val="24"/>
          <w:szCs w:val="24"/>
        </w:rPr>
        <w:tab/>
        <w:t>Hjælpestoffer</w:t>
      </w:r>
    </w:p>
    <w:p w14:paraId="5DA2AB1F" w14:textId="77777777" w:rsidR="0012616E" w:rsidRPr="00216438" w:rsidRDefault="0012616E" w:rsidP="00216438">
      <w:pPr>
        <w:ind w:left="851"/>
        <w:rPr>
          <w:sz w:val="24"/>
          <w:szCs w:val="24"/>
        </w:rPr>
      </w:pPr>
      <w:proofErr w:type="spellStart"/>
      <w:r w:rsidRPr="00216438">
        <w:rPr>
          <w:sz w:val="24"/>
          <w:szCs w:val="24"/>
        </w:rPr>
        <w:t>Ammoniumchlorid</w:t>
      </w:r>
      <w:proofErr w:type="spellEnd"/>
    </w:p>
    <w:p w14:paraId="448BB421" w14:textId="77777777" w:rsidR="0012616E" w:rsidRPr="00216438" w:rsidRDefault="0012616E" w:rsidP="00216438">
      <w:pPr>
        <w:ind w:left="851"/>
        <w:rPr>
          <w:sz w:val="24"/>
          <w:szCs w:val="24"/>
        </w:rPr>
      </w:pPr>
      <w:proofErr w:type="spellStart"/>
      <w:r w:rsidRPr="00216438">
        <w:rPr>
          <w:sz w:val="24"/>
          <w:szCs w:val="24"/>
        </w:rPr>
        <w:t>Natriumchlorid</w:t>
      </w:r>
      <w:proofErr w:type="spellEnd"/>
    </w:p>
    <w:p w14:paraId="3E8A3719" w14:textId="77777777" w:rsidR="0012616E" w:rsidRPr="00216438" w:rsidRDefault="0012616E" w:rsidP="00216438">
      <w:pPr>
        <w:ind w:left="851"/>
        <w:rPr>
          <w:sz w:val="24"/>
          <w:szCs w:val="24"/>
        </w:rPr>
      </w:pPr>
      <w:proofErr w:type="spellStart"/>
      <w:r w:rsidRPr="00216438">
        <w:rPr>
          <w:sz w:val="24"/>
          <w:szCs w:val="24"/>
        </w:rPr>
        <w:t>Benzalkoniumchlorid</w:t>
      </w:r>
      <w:proofErr w:type="spellEnd"/>
    </w:p>
    <w:p w14:paraId="57707D24" w14:textId="77777777" w:rsidR="0012616E" w:rsidRPr="00216438" w:rsidRDefault="0012616E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Saltsyre (til justering af pH)</w:t>
      </w:r>
    </w:p>
    <w:p w14:paraId="117DBDB9" w14:textId="77777777" w:rsidR="0012616E" w:rsidRPr="00216438" w:rsidRDefault="0012616E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Natriumhydroxid (til justering af pH)</w:t>
      </w:r>
    </w:p>
    <w:p w14:paraId="1FE42E69" w14:textId="77777777" w:rsidR="0012616E" w:rsidRPr="00216438" w:rsidRDefault="0012616E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Vand til injektionsvæsker</w:t>
      </w:r>
    </w:p>
    <w:p w14:paraId="46EA938A" w14:textId="35CC6F58" w:rsidR="00A47299" w:rsidRDefault="00A472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D84248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02AE322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6.2</w:t>
      </w:r>
      <w:r w:rsidRPr="00216438">
        <w:rPr>
          <w:b/>
          <w:sz w:val="24"/>
          <w:szCs w:val="24"/>
        </w:rPr>
        <w:tab/>
        <w:t>Uforligeligheder</w:t>
      </w:r>
    </w:p>
    <w:p w14:paraId="397FBAB1" w14:textId="77777777" w:rsidR="0012616E" w:rsidRPr="00216438" w:rsidRDefault="0012616E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Ikke relevant.</w:t>
      </w:r>
    </w:p>
    <w:p w14:paraId="7349A8A6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D7EE80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6.3</w:t>
      </w:r>
      <w:r w:rsidRPr="00216438">
        <w:rPr>
          <w:b/>
          <w:sz w:val="24"/>
          <w:szCs w:val="24"/>
        </w:rPr>
        <w:tab/>
        <w:t>Opbevaringstid</w:t>
      </w:r>
    </w:p>
    <w:p w14:paraId="321DBBC4" w14:textId="77777777" w:rsidR="0012616E" w:rsidRPr="00216438" w:rsidRDefault="0012616E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3 år.</w:t>
      </w:r>
    </w:p>
    <w:p w14:paraId="39B92A24" w14:textId="77777777" w:rsidR="0012616E" w:rsidRPr="00216438" w:rsidRDefault="0012616E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Åben flaske: 28 dage efter anbrud af flasken.</w:t>
      </w:r>
    </w:p>
    <w:p w14:paraId="0F927C0D" w14:textId="764CD11A" w:rsidR="0012616E" w:rsidRPr="00216438" w:rsidRDefault="0012616E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Må ikke opbevares ved temperaturer over 25</w:t>
      </w:r>
      <w:r w:rsidR="00A47299">
        <w:rPr>
          <w:sz w:val="24"/>
          <w:szCs w:val="24"/>
        </w:rPr>
        <w:t xml:space="preserve"> </w:t>
      </w:r>
      <w:r w:rsidRPr="00216438">
        <w:rPr>
          <w:sz w:val="24"/>
          <w:szCs w:val="24"/>
        </w:rPr>
        <w:t>°C.</w:t>
      </w:r>
    </w:p>
    <w:p w14:paraId="62040C24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052B01F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6.4</w:t>
      </w:r>
      <w:r w:rsidRPr="00216438">
        <w:rPr>
          <w:b/>
          <w:sz w:val="24"/>
          <w:szCs w:val="24"/>
        </w:rPr>
        <w:tab/>
        <w:t>Særlige opbevaringsforhold</w:t>
      </w:r>
    </w:p>
    <w:p w14:paraId="0664DD7C" w14:textId="7B458C37" w:rsidR="00F61C3B" w:rsidRPr="00216438" w:rsidRDefault="00F61C3B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Må ikke opbevares ved temperaturer over 25</w:t>
      </w:r>
      <w:r w:rsidR="00A47299">
        <w:rPr>
          <w:sz w:val="24"/>
          <w:szCs w:val="24"/>
        </w:rPr>
        <w:t xml:space="preserve"> </w:t>
      </w:r>
      <w:r w:rsidRPr="00216438">
        <w:rPr>
          <w:sz w:val="24"/>
          <w:szCs w:val="24"/>
        </w:rPr>
        <w:t>°C.</w:t>
      </w:r>
    </w:p>
    <w:p w14:paraId="66919FC2" w14:textId="77777777" w:rsidR="00F61C3B" w:rsidRPr="00216438" w:rsidRDefault="00F61C3B" w:rsidP="00216438">
      <w:pPr>
        <w:ind w:left="851"/>
        <w:rPr>
          <w:sz w:val="24"/>
          <w:szCs w:val="24"/>
        </w:rPr>
      </w:pPr>
    </w:p>
    <w:p w14:paraId="7BAABAC7" w14:textId="77777777" w:rsidR="00F61C3B" w:rsidRPr="00216438" w:rsidRDefault="00F61C3B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Opbevaringsforhold efter anbrud af lægemidlet, se pkt. 6.3.</w:t>
      </w:r>
    </w:p>
    <w:p w14:paraId="773BBD71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9DF8393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6.5</w:t>
      </w:r>
      <w:r w:rsidRPr="00216438">
        <w:rPr>
          <w:b/>
          <w:sz w:val="24"/>
          <w:szCs w:val="24"/>
        </w:rPr>
        <w:tab/>
        <w:t>Emballagetype og pakningsstørrelser</w:t>
      </w:r>
    </w:p>
    <w:p w14:paraId="1F370DAB" w14:textId="77777777" w:rsidR="00F61C3B" w:rsidRPr="00216438" w:rsidRDefault="00F61C3B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Beholderen er en flaske af lavdensitets </w:t>
      </w:r>
      <w:proofErr w:type="spellStart"/>
      <w:r w:rsidRPr="00216438">
        <w:rPr>
          <w:sz w:val="24"/>
          <w:szCs w:val="24"/>
        </w:rPr>
        <w:t>polyethylen</w:t>
      </w:r>
      <w:proofErr w:type="spellEnd"/>
      <w:r w:rsidRPr="00216438">
        <w:rPr>
          <w:sz w:val="24"/>
          <w:szCs w:val="24"/>
        </w:rPr>
        <w:t xml:space="preserve"> med en dråbeanordning af højdensitets </w:t>
      </w:r>
      <w:proofErr w:type="spellStart"/>
      <w:r w:rsidRPr="00216438">
        <w:rPr>
          <w:sz w:val="24"/>
          <w:szCs w:val="24"/>
        </w:rPr>
        <w:t>polyethylen</w:t>
      </w:r>
      <w:proofErr w:type="spellEnd"/>
      <w:r w:rsidRPr="00216438">
        <w:rPr>
          <w:sz w:val="24"/>
          <w:szCs w:val="24"/>
        </w:rPr>
        <w:t xml:space="preserve"> og en hætte med forsegling.</w:t>
      </w:r>
    </w:p>
    <w:p w14:paraId="1E142CF8" w14:textId="77777777" w:rsidR="00F61C3B" w:rsidRPr="00216438" w:rsidRDefault="00F61C3B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1 flaske indeholder 10 ml opløsning.</w:t>
      </w:r>
    </w:p>
    <w:p w14:paraId="070DE364" w14:textId="77777777" w:rsidR="00F61C3B" w:rsidRPr="00216438" w:rsidRDefault="00F61C3B" w:rsidP="00216438">
      <w:pPr>
        <w:ind w:left="851"/>
        <w:rPr>
          <w:sz w:val="24"/>
          <w:szCs w:val="24"/>
        </w:rPr>
      </w:pPr>
    </w:p>
    <w:p w14:paraId="3AD916C5" w14:textId="77777777" w:rsidR="00F61C3B" w:rsidRPr="00216438" w:rsidRDefault="00F61C3B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Hver æske indeholder 1 flaske.</w:t>
      </w:r>
    </w:p>
    <w:p w14:paraId="1EC76B0E" w14:textId="5DA2AA29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66C72D" w14:textId="211927E4" w:rsidR="008C053B" w:rsidRPr="00216438" w:rsidRDefault="008C053B" w:rsidP="009260DE">
      <w:pPr>
        <w:tabs>
          <w:tab w:val="left" w:pos="851"/>
        </w:tabs>
        <w:ind w:left="851"/>
        <w:rPr>
          <w:sz w:val="24"/>
          <w:szCs w:val="24"/>
        </w:rPr>
      </w:pPr>
      <w:r>
        <w:t>Ikke alle pakningsstørrelser er nødvendigvis markedsført.</w:t>
      </w:r>
    </w:p>
    <w:p w14:paraId="6362CAF4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010EECC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6.6</w:t>
      </w:r>
      <w:r w:rsidRPr="00216438">
        <w:rPr>
          <w:b/>
          <w:sz w:val="24"/>
          <w:szCs w:val="24"/>
        </w:rPr>
        <w:tab/>
        <w:t xml:space="preserve">Regler for </w:t>
      </w:r>
      <w:r w:rsidR="00BD7931" w:rsidRPr="00216438">
        <w:rPr>
          <w:b/>
          <w:sz w:val="24"/>
          <w:szCs w:val="24"/>
        </w:rPr>
        <w:t>bortskaffelse</w:t>
      </w:r>
      <w:r w:rsidRPr="00216438">
        <w:rPr>
          <w:b/>
          <w:sz w:val="24"/>
          <w:szCs w:val="24"/>
        </w:rPr>
        <w:t xml:space="preserve"> og anden håndtering</w:t>
      </w:r>
    </w:p>
    <w:p w14:paraId="569F60D6" w14:textId="77777777" w:rsidR="00F61C3B" w:rsidRPr="00216438" w:rsidRDefault="00F61C3B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Ikke anvendt lægemiddel samt affald heraf skal bortskaffes i henhold til lokale retningslinjer.</w:t>
      </w:r>
    </w:p>
    <w:p w14:paraId="6ABA5A5F" w14:textId="77777777" w:rsidR="009260DE" w:rsidRPr="00216438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0A29CEE0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7.</w:t>
      </w:r>
      <w:r w:rsidRPr="00216438">
        <w:rPr>
          <w:b/>
          <w:sz w:val="24"/>
          <w:szCs w:val="24"/>
        </w:rPr>
        <w:tab/>
        <w:t>INDEHAVER AF MARKEDSFØRINGSTILLADELSEN</w:t>
      </w:r>
    </w:p>
    <w:p w14:paraId="166FEB4C" w14:textId="77777777" w:rsidR="00F61C3B" w:rsidRPr="00216438" w:rsidRDefault="00F61C3B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HORUS PHARMA</w:t>
      </w:r>
    </w:p>
    <w:p w14:paraId="5EA28C7D" w14:textId="77777777" w:rsidR="00F61C3B" w:rsidRPr="00216438" w:rsidRDefault="00F61C3B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 xml:space="preserve">22, </w:t>
      </w:r>
      <w:proofErr w:type="spellStart"/>
      <w:r w:rsidRPr="00216438">
        <w:rPr>
          <w:sz w:val="24"/>
          <w:szCs w:val="24"/>
        </w:rPr>
        <w:t>allée</w:t>
      </w:r>
      <w:proofErr w:type="spellEnd"/>
      <w:r w:rsidRPr="00216438">
        <w:rPr>
          <w:sz w:val="24"/>
          <w:szCs w:val="24"/>
        </w:rPr>
        <w:t xml:space="preserve"> Camille </w:t>
      </w:r>
      <w:proofErr w:type="spellStart"/>
      <w:r w:rsidRPr="00216438">
        <w:rPr>
          <w:sz w:val="24"/>
          <w:szCs w:val="24"/>
        </w:rPr>
        <w:t>Muffat</w:t>
      </w:r>
      <w:proofErr w:type="spellEnd"/>
    </w:p>
    <w:p w14:paraId="1CF47500" w14:textId="77777777" w:rsidR="00F61C3B" w:rsidRPr="00216438" w:rsidRDefault="00F61C3B" w:rsidP="00216438">
      <w:pPr>
        <w:ind w:left="851"/>
        <w:rPr>
          <w:sz w:val="24"/>
          <w:szCs w:val="24"/>
        </w:rPr>
      </w:pPr>
      <w:proofErr w:type="spellStart"/>
      <w:r w:rsidRPr="00216438">
        <w:rPr>
          <w:sz w:val="24"/>
          <w:szCs w:val="24"/>
        </w:rPr>
        <w:t>Inedi</w:t>
      </w:r>
      <w:proofErr w:type="spellEnd"/>
      <w:r w:rsidRPr="00216438">
        <w:rPr>
          <w:sz w:val="24"/>
          <w:szCs w:val="24"/>
        </w:rPr>
        <w:t xml:space="preserve"> 5</w:t>
      </w:r>
    </w:p>
    <w:p w14:paraId="69392F74" w14:textId="77777777" w:rsidR="00F61C3B" w:rsidRPr="00216438" w:rsidRDefault="00F61C3B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06200 Nice</w:t>
      </w:r>
    </w:p>
    <w:p w14:paraId="51DE66A8" w14:textId="77777777" w:rsidR="00F61C3B" w:rsidRPr="00216438" w:rsidRDefault="00F61C3B" w:rsidP="00216438">
      <w:pPr>
        <w:ind w:left="851"/>
        <w:rPr>
          <w:sz w:val="24"/>
          <w:szCs w:val="24"/>
        </w:rPr>
      </w:pPr>
      <w:r w:rsidRPr="00216438">
        <w:rPr>
          <w:sz w:val="24"/>
          <w:szCs w:val="24"/>
        </w:rPr>
        <w:t>Frankrig</w:t>
      </w:r>
    </w:p>
    <w:p w14:paraId="18D11167" w14:textId="77777777" w:rsidR="00641C65" w:rsidRPr="00216438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954FBF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8.</w:t>
      </w:r>
      <w:r w:rsidRPr="00216438">
        <w:rPr>
          <w:b/>
          <w:sz w:val="24"/>
          <w:szCs w:val="24"/>
        </w:rPr>
        <w:tab/>
        <w:t>MARKEDSFØRINGSTILLADELSESNUMMER (</w:t>
      </w:r>
      <w:r w:rsidR="00BF6243" w:rsidRPr="00216438">
        <w:rPr>
          <w:b/>
          <w:sz w:val="24"/>
          <w:szCs w:val="24"/>
        </w:rPr>
        <w:t>-</w:t>
      </w:r>
      <w:r w:rsidRPr="00216438">
        <w:rPr>
          <w:b/>
          <w:sz w:val="24"/>
          <w:szCs w:val="24"/>
        </w:rPr>
        <w:t>NUMRE)</w:t>
      </w:r>
    </w:p>
    <w:p w14:paraId="26211620" w14:textId="7F097D0C" w:rsidR="009260DE" w:rsidRPr="00216438" w:rsidRDefault="00216438" w:rsidP="009260DE">
      <w:pPr>
        <w:tabs>
          <w:tab w:val="left" w:pos="851"/>
        </w:tabs>
        <w:ind w:left="851"/>
        <w:rPr>
          <w:sz w:val="24"/>
          <w:szCs w:val="24"/>
        </w:rPr>
      </w:pPr>
      <w:r w:rsidRPr="00216438">
        <w:rPr>
          <w:sz w:val="24"/>
          <w:szCs w:val="24"/>
        </w:rPr>
        <w:t>69742</w:t>
      </w:r>
    </w:p>
    <w:p w14:paraId="5E5A84E4" w14:textId="77777777" w:rsidR="009260DE" w:rsidRPr="00216438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51A912AB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9.</w:t>
      </w:r>
      <w:r w:rsidRPr="00216438">
        <w:rPr>
          <w:b/>
          <w:sz w:val="24"/>
          <w:szCs w:val="24"/>
        </w:rPr>
        <w:tab/>
        <w:t>DATO FOR FØRSTE MARKEDSFØRINGSTILLADELSE</w:t>
      </w:r>
    </w:p>
    <w:p w14:paraId="5E3DFCEA" w14:textId="62785A70" w:rsidR="009260DE" w:rsidRPr="00216438" w:rsidRDefault="00686034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3. juni 2025</w:t>
      </w:r>
    </w:p>
    <w:p w14:paraId="0B1C9233" w14:textId="77777777" w:rsidR="009260DE" w:rsidRPr="002164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21654C" w14:textId="77777777" w:rsidR="009260DE" w:rsidRPr="002164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16438">
        <w:rPr>
          <w:b/>
          <w:sz w:val="24"/>
          <w:szCs w:val="24"/>
        </w:rPr>
        <w:t>10.</w:t>
      </w:r>
      <w:r w:rsidRPr="00216438">
        <w:rPr>
          <w:b/>
          <w:sz w:val="24"/>
          <w:szCs w:val="24"/>
        </w:rPr>
        <w:tab/>
        <w:t>DATO FOR ÆNDRING AF TEKSTEN</w:t>
      </w:r>
    </w:p>
    <w:p w14:paraId="36380C59" w14:textId="6374C42B" w:rsidR="009260DE" w:rsidRPr="00216438" w:rsidRDefault="00216438" w:rsidP="009260DE">
      <w:pPr>
        <w:tabs>
          <w:tab w:val="left" w:pos="851"/>
        </w:tabs>
        <w:ind w:left="851"/>
        <w:rPr>
          <w:sz w:val="24"/>
          <w:szCs w:val="24"/>
        </w:rPr>
      </w:pPr>
      <w:r w:rsidRPr="00216438">
        <w:rPr>
          <w:sz w:val="24"/>
          <w:szCs w:val="24"/>
        </w:rPr>
        <w:t>-</w:t>
      </w:r>
    </w:p>
    <w:sectPr w:rsidR="009260DE" w:rsidRPr="00216438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B4BCB" w14:textId="77777777" w:rsidR="004075D1" w:rsidRDefault="004075D1">
      <w:r>
        <w:separator/>
      </w:r>
    </w:p>
  </w:endnote>
  <w:endnote w:type="continuationSeparator" w:id="0">
    <w:p w14:paraId="7CF30B2B" w14:textId="77777777" w:rsidR="004075D1" w:rsidRDefault="0040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44D01" w14:textId="77777777" w:rsidR="000259B9" w:rsidRDefault="000259B9">
    <w:pPr>
      <w:pStyle w:val="Sidefod"/>
      <w:pBdr>
        <w:bottom w:val="single" w:sz="6" w:space="1" w:color="auto"/>
      </w:pBdr>
    </w:pPr>
  </w:p>
  <w:p w14:paraId="7E2AD502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4C3AB007" w14:textId="32B75C8F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765C0">
      <w:rPr>
        <w:i/>
        <w:noProof/>
        <w:sz w:val="18"/>
        <w:szCs w:val="18"/>
      </w:rPr>
      <w:t>Amidazed, øjendråber, opløsning 1 mg-ml.docx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AFA75" w14:textId="77777777" w:rsidR="004075D1" w:rsidRDefault="004075D1">
      <w:r>
        <w:separator/>
      </w:r>
    </w:p>
  </w:footnote>
  <w:footnote w:type="continuationSeparator" w:id="0">
    <w:p w14:paraId="1E9907C9" w14:textId="77777777" w:rsidR="004075D1" w:rsidRDefault="0040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0035B39"/>
    <w:multiLevelType w:val="hybridMultilevel"/>
    <w:tmpl w:val="EB54A6C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30776DE"/>
    <w:multiLevelType w:val="hybridMultilevel"/>
    <w:tmpl w:val="E8602D3C"/>
    <w:lvl w:ilvl="0" w:tplc="1C487DEA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D1"/>
    <w:rsid w:val="000259B9"/>
    <w:rsid w:val="00041491"/>
    <w:rsid w:val="00050D16"/>
    <w:rsid w:val="000730CA"/>
    <w:rsid w:val="00074F2A"/>
    <w:rsid w:val="000765C0"/>
    <w:rsid w:val="000A1CA8"/>
    <w:rsid w:val="000A466B"/>
    <w:rsid w:val="000B058C"/>
    <w:rsid w:val="000D68B0"/>
    <w:rsid w:val="000E4EE6"/>
    <w:rsid w:val="0012616E"/>
    <w:rsid w:val="001454E2"/>
    <w:rsid w:val="00206CE8"/>
    <w:rsid w:val="0021526C"/>
    <w:rsid w:val="00216438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075D1"/>
    <w:rsid w:val="004251C1"/>
    <w:rsid w:val="0045746C"/>
    <w:rsid w:val="0049104B"/>
    <w:rsid w:val="004E3B12"/>
    <w:rsid w:val="00532310"/>
    <w:rsid w:val="00565F0F"/>
    <w:rsid w:val="00594A86"/>
    <w:rsid w:val="00596D86"/>
    <w:rsid w:val="00637F5A"/>
    <w:rsid w:val="00641C65"/>
    <w:rsid w:val="006560B1"/>
    <w:rsid w:val="006756DD"/>
    <w:rsid w:val="00686034"/>
    <w:rsid w:val="006E0ADF"/>
    <w:rsid w:val="0071241E"/>
    <w:rsid w:val="00737275"/>
    <w:rsid w:val="00740EEC"/>
    <w:rsid w:val="0078011A"/>
    <w:rsid w:val="00782AF4"/>
    <w:rsid w:val="00790EE7"/>
    <w:rsid w:val="007B6649"/>
    <w:rsid w:val="0082576E"/>
    <w:rsid w:val="0089346F"/>
    <w:rsid w:val="008C053B"/>
    <w:rsid w:val="00907F75"/>
    <w:rsid w:val="009260DE"/>
    <w:rsid w:val="0093258A"/>
    <w:rsid w:val="009C7BA3"/>
    <w:rsid w:val="009D1F5A"/>
    <w:rsid w:val="00A10294"/>
    <w:rsid w:val="00A47299"/>
    <w:rsid w:val="00B003BF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E108AA"/>
    <w:rsid w:val="00E3749A"/>
    <w:rsid w:val="00E7437F"/>
    <w:rsid w:val="00E865B8"/>
    <w:rsid w:val="00EC0B9B"/>
    <w:rsid w:val="00ED5E9F"/>
    <w:rsid w:val="00F61C3B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48806"/>
  <w15:chartTrackingRefBased/>
  <w15:docId w15:val="{0C63F89C-3A32-4C75-A93C-C22D5889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12616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21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52</TotalTime>
  <Pages>5</Pages>
  <Words>1074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2023060853, MT</dc:description>
  <cp:lastModifiedBy>Gitte Jørgensen</cp:lastModifiedBy>
  <cp:revision>7</cp:revision>
  <cp:lastPrinted>2012-08-22T08:53:00Z</cp:lastPrinted>
  <dcterms:created xsi:type="dcterms:W3CDTF">2025-06-03T07:24:00Z</dcterms:created>
  <dcterms:modified xsi:type="dcterms:W3CDTF">2025-06-03T10:54:00Z</dcterms:modified>
</cp:coreProperties>
</file>