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8D8C" w14:textId="382941B1" w:rsidR="009260DE" w:rsidRPr="006A2898" w:rsidRDefault="0021526C" w:rsidP="009260DE">
      <w:pPr>
        <w:rPr>
          <w:sz w:val="24"/>
          <w:szCs w:val="24"/>
        </w:rPr>
      </w:pPr>
      <w:r w:rsidRPr="006A2898">
        <w:rPr>
          <w:noProof/>
          <w:sz w:val="24"/>
          <w:szCs w:val="24"/>
          <w:lang w:eastAsia="da-DK"/>
        </w:rPr>
        <w:drawing>
          <wp:anchor distT="0" distB="0" distL="114300" distR="114300" simplePos="0" relativeHeight="251658240" behindDoc="0" locked="0" layoutInCell="1" allowOverlap="1" wp14:anchorId="4D22140E" wp14:editId="2F684E4E">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A2898">
        <w:rPr>
          <w:sz w:val="24"/>
          <w:szCs w:val="24"/>
        </w:rPr>
        <w:br w:type="textWrapping" w:clear="all"/>
      </w:r>
    </w:p>
    <w:p w14:paraId="2C9EDB0F" w14:textId="0FEFA448" w:rsidR="009260DE" w:rsidRPr="0083270E" w:rsidRDefault="009260DE" w:rsidP="009260DE">
      <w:pPr>
        <w:pStyle w:val="Titel"/>
        <w:tabs>
          <w:tab w:val="right" w:pos="9356"/>
        </w:tabs>
        <w:jc w:val="left"/>
        <w:rPr>
          <w:b w:val="0"/>
          <w:szCs w:val="24"/>
          <w:lang w:eastAsia="en-US"/>
        </w:rPr>
      </w:pPr>
      <w:r w:rsidRPr="006A2898">
        <w:rPr>
          <w:b w:val="0"/>
          <w:szCs w:val="24"/>
          <w:lang w:eastAsia="en-US"/>
        </w:rPr>
        <w:tab/>
      </w:r>
      <w:r w:rsidR="00522457">
        <w:rPr>
          <w:szCs w:val="24"/>
          <w:lang w:eastAsia="en-US"/>
        </w:rPr>
        <w:t>30</w:t>
      </w:r>
      <w:r w:rsidR="00AF674F">
        <w:rPr>
          <w:szCs w:val="24"/>
          <w:lang w:eastAsia="en-US"/>
        </w:rPr>
        <w:t>. september 2026</w:t>
      </w:r>
    </w:p>
    <w:p w14:paraId="6546904F" w14:textId="77777777" w:rsidR="009260DE" w:rsidRPr="0083270E" w:rsidRDefault="009260DE" w:rsidP="009260DE">
      <w:pPr>
        <w:pStyle w:val="Titel"/>
        <w:tabs>
          <w:tab w:val="left" w:pos="8222"/>
        </w:tabs>
        <w:jc w:val="left"/>
        <w:rPr>
          <w:b w:val="0"/>
          <w:szCs w:val="24"/>
        </w:rPr>
      </w:pPr>
    </w:p>
    <w:p w14:paraId="5F1B19F0" w14:textId="77777777" w:rsidR="009260DE" w:rsidRPr="0083270E" w:rsidRDefault="009260DE" w:rsidP="009260DE">
      <w:pPr>
        <w:pStyle w:val="Titel"/>
        <w:jc w:val="left"/>
        <w:rPr>
          <w:b w:val="0"/>
          <w:szCs w:val="24"/>
        </w:rPr>
      </w:pPr>
    </w:p>
    <w:p w14:paraId="2DBEF3F7" w14:textId="77777777" w:rsidR="009260DE" w:rsidRPr="0083270E" w:rsidRDefault="009260DE" w:rsidP="009260DE">
      <w:pPr>
        <w:pStyle w:val="Titel"/>
        <w:jc w:val="left"/>
        <w:rPr>
          <w:b w:val="0"/>
          <w:szCs w:val="24"/>
        </w:rPr>
      </w:pPr>
    </w:p>
    <w:p w14:paraId="11A2142A" w14:textId="77777777" w:rsidR="009260DE" w:rsidRPr="0083270E" w:rsidRDefault="009260DE" w:rsidP="009260DE">
      <w:pPr>
        <w:jc w:val="center"/>
        <w:rPr>
          <w:b/>
          <w:sz w:val="24"/>
          <w:szCs w:val="24"/>
        </w:rPr>
      </w:pPr>
      <w:r w:rsidRPr="0083270E">
        <w:rPr>
          <w:b/>
          <w:sz w:val="24"/>
          <w:szCs w:val="24"/>
        </w:rPr>
        <w:t>PRODUKTRESUMÉ</w:t>
      </w:r>
    </w:p>
    <w:p w14:paraId="11EC4309" w14:textId="77777777" w:rsidR="009260DE" w:rsidRPr="0083270E" w:rsidRDefault="009260DE" w:rsidP="009260DE">
      <w:pPr>
        <w:jc w:val="center"/>
        <w:rPr>
          <w:b/>
          <w:sz w:val="24"/>
          <w:szCs w:val="24"/>
        </w:rPr>
      </w:pPr>
    </w:p>
    <w:p w14:paraId="2FD47774" w14:textId="77777777" w:rsidR="009260DE" w:rsidRPr="0083270E" w:rsidRDefault="009260DE" w:rsidP="009260DE">
      <w:pPr>
        <w:jc w:val="center"/>
        <w:rPr>
          <w:b/>
          <w:sz w:val="24"/>
          <w:szCs w:val="24"/>
        </w:rPr>
      </w:pPr>
      <w:r w:rsidRPr="0083270E">
        <w:rPr>
          <w:b/>
          <w:sz w:val="24"/>
          <w:szCs w:val="24"/>
        </w:rPr>
        <w:t>for</w:t>
      </w:r>
    </w:p>
    <w:p w14:paraId="04F7660D" w14:textId="77777777" w:rsidR="000B058C" w:rsidRPr="0083270E" w:rsidRDefault="000B058C" w:rsidP="009260DE">
      <w:pPr>
        <w:jc w:val="center"/>
        <w:rPr>
          <w:b/>
          <w:sz w:val="24"/>
          <w:szCs w:val="24"/>
        </w:rPr>
      </w:pPr>
    </w:p>
    <w:p w14:paraId="2212AA16" w14:textId="04AA2875" w:rsidR="009260DE" w:rsidRPr="006A2898" w:rsidRDefault="009A506D" w:rsidP="009260DE">
      <w:pPr>
        <w:jc w:val="center"/>
        <w:rPr>
          <w:b/>
          <w:sz w:val="24"/>
          <w:szCs w:val="24"/>
        </w:rPr>
      </w:pPr>
      <w:r w:rsidRPr="006A2898">
        <w:rPr>
          <w:b/>
          <w:sz w:val="24"/>
          <w:szCs w:val="24"/>
        </w:rPr>
        <w:t>Ampicillin/Sulbactam "Aptapharma", pulver til injektions-/infusionsvæske, opløsning</w:t>
      </w:r>
      <w:r w:rsidR="00AF674F">
        <w:rPr>
          <w:b/>
          <w:sz w:val="24"/>
          <w:szCs w:val="24"/>
        </w:rPr>
        <w:t xml:space="preserve"> (Orifarm)</w:t>
      </w:r>
    </w:p>
    <w:p w14:paraId="4113CBA9" w14:textId="77777777" w:rsidR="009260DE" w:rsidRPr="006A2898" w:rsidRDefault="009260DE" w:rsidP="009260DE">
      <w:pPr>
        <w:jc w:val="both"/>
        <w:rPr>
          <w:sz w:val="24"/>
          <w:szCs w:val="24"/>
        </w:rPr>
      </w:pPr>
    </w:p>
    <w:p w14:paraId="2F78D8AE" w14:textId="77777777" w:rsidR="009260DE" w:rsidRPr="006A2898" w:rsidRDefault="009260DE" w:rsidP="009260DE">
      <w:pPr>
        <w:jc w:val="both"/>
        <w:rPr>
          <w:sz w:val="24"/>
          <w:szCs w:val="24"/>
        </w:rPr>
      </w:pPr>
    </w:p>
    <w:p w14:paraId="4A1D4D39" w14:textId="77777777" w:rsidR="009260DE" w:rsidRPr="0083270E" w:rsidRDefault="009260DE" w:rsidP="009260DE">
      <w:pPr>
        <w:tabs>
          <w:tab w:val="left" w:pos="851"/>
        </w:tabs>
        <w:ind w:left="851" w:hanging="851"/>
        <w:rPr>
          <w:b/>
          <w:sz w:val="24"/>
          <w:szCs w:val="24"/>
        </w:rPr>
      </w:pPr>
      <w:r w:rsidRPr="0083270E">
        <w:rPr>
          <w:b/>
          <w:sz w:val="24"/>
          <w:szCs w:val="24"/>
        </w:rPr>
        <w:t>0.</w:t>
      </w:r>
      <w:r w:rsidRPr="0083270E">
        <w:rPr>
          <w:b/>
          <w:sz w:val="24"/>
          <w:szCs w:val="24"/>
        </w:rPr>
        <w:tab/>
        <w:t>D.SP.NR.</w:t>
      </w:r>
    </w:p>
    <w:p w14:paraId="61285E85" w14:textId="6B1E4215" w:rsidR="009260DE" w:rsidRPr="006A2898" w:rsidRDefault="009A506D" w:rsidP="009260DE">
      <w:pPr>
        <w:tabs>
          <w:tab w:val="left" w:pos="851"/>
        </w:tabs>
        <w:ind w:left="851"/>
        <w:rPr>
          <w:sz w:val="24"/>
          <w:szCs w:val="24"/>
        </w:rPr>
      </w:pPr>
      <w:r w:rsidRPr="006A2898">
        <w:rPr>
          <w:sz w:val="24"/>
          <w:szCs w:val="24"/>
        </w:rPr>
        <w:t>33651</w:t>
      </w:r>
    </w:p>
    <w:p w14:paraId="64BEF3D9" w14:textId="77777777" w:rsidR="009260DE" w:rsidRPr="006A2898" w:rsidRDefault="009260DE" w:rsidP="009260DE">
      <w:pPr>
        <w:tabs>
          <w:tab w:val="left" w:pos="851"/>
        </w:tabs>
        <w:ind w:left="851"/>
        <w:rPr>
          <w:sz w:val="24"/>
          <w:szCs w:val="24"/>
        </w:rPr>
      </w:pPr>
    </w:p>
    <w:p w14:paraId="0C9DBC61" w14:textId="77777777" w:rsidR="009260DE" w:rsidRPr="006A2898" w:rsidRDefault="009260DE" w:rsidP="009260DE">
      <w:pPr>
        <w:tabs>
          <w:tab w:val="left" w:pos="851"/>
        </w:tabs>
        <w:ind w:left="851" w:hanging="851"/>
        <w:rPr>
          <w:b/>
          <w:sz w:val="24"/>
          <w:szCs w:val="24"/>
        </w:rPr>
      </w:pPr>
      <w:r w:rsidRPr="006A2898">
        <w:rPr>
          <w:b/>
          <w:sz w:val="24"/>
          <w:szCs w:val="24"/>
        </w:rPr>
        <w:t>1.</w:t>
      </w:r>
      <w:r w:rsidRPr="006A2898">
        <w:rPr>
          <w:b/>
          <w:sz w:val="24"/>
          <w:szCs w:val="24"/>
        </w:rPr>
        <w:tab/>
        <w:t>LÆGEMIDLETS NAVN</w:t>
      </w:r>
    </w:p>
    <w:p w14:paraId="1A5081F9" w14:textId="0C84ED05" w:rsidR="009260DE" w:rsidRPr="006A2898" w:rsidRDefault="009A506D" w:rsidP="009260DE">
      <w:pPr>
        <w:tabs>
          <w:tab w:val="left" w:pos="851"/>
        </w:tabs>
        <w:ind w:left="851"/>
        <w:rPr>
          <w:sz w:val="24"/>
          <w:szCs w:val="24"/>
        </w:rPr>
      </w:pPr>
      <w:r w:rsidRPr="006A2898">
        <w:rPr>
          <w:sz w:val="24"/>
          <w:szCs w:val="24"/>
        </w:rPr>
        <w:t>Ampicillin/Sulbactam "Aptapharma"</w:t>
      </w:r>
    </w:p>
    <w:p w14:paraId="1D96F1CB" w14:textId="77777777" w:rsidR="009260DE" w:rsidRPr="006A2898" w:rsidRDefault="009260DE" w:rsidP="009260DE">
      <w:pPr>
        <w:tabs>
          <w:tab w:val="left" w:pos="851"/>
        </w:tabs>
        <w:ind w:left="851"/>
        <w:rPr>
          <w:sz w:val="24"/>
          <w:szCs w:val="24"/>
        </w:rPr>
      </w:pPr>
    </w:p>
    <w:p w14:paraId="42C6C566" w14:textId="77777777" w:rsidR="009260DE" w:rsidRPr="006A2898" w:rsidRDefault="009260DE" w:rsidP="009260DE">
      <w:pPr>
        <w:tabs>
          <w:tab w:val="left" w:pos="851"/>
        </w:tabs>
        <w:ind w:left="851" w:hanging="851"/>
        <w:rPr>
          <w:b/>
          <w:sz w:val="24"/>
          <w:szCs w:val="24"/>
        </w:rPr>
      </w:pPr>
      <w:r w:rsidRPr="006A2898">
        <w:rPr>
          <w:b/>
          <w:sz w:val="24"/>
          <w:szCs w:val="24"/>
        </w:rPr>
        <w:t>2.</w:t>
      </w:r>
      <w:r w:rsidRPr="006A2898">
        <w:rPr>
          <w:b/>
          <w:sz w:val="24"/>
          <w:szCs w:val="24"/>
        </w:rPr>
        <w:tab/>
        <w:t>KVALITATIV OG KVANTITATIV SAMMENSÆTNING</w:t>
      </w:r>
    </w:p>
    <w:p w14:paraId="75C4D740" w14:textId="77777777" w:rsidR="006A2898" w:rsidRDefault="006A2898" w:rsidP="006E7021">
      <w:pPr>
        <w:ind w:left="851"/>
        <w:rPr>
          <w:sz w:val="24"/>
          <w:szCs w:val="24"/>
        </w:rPr>
      </w:pPr>
    </w:p>
    <w:p w14:paraId="041C31A8" w14:textId="08D1FD3A" w:rsidR="006E7021" w:rsidRPr="006A2898" w:rsidRDefault="006A2898" w:rsidP="006E7021">
      <w:pPr>
        <w:ind w:left="851"/>
        <w:rPr>
          <w:i/>
          <w:sz w:val="24"/>
          <w:szCs w:val="24"/>
          <w:u w:val="single"/>
        </w:rPr>
      </w:pPr>
      <w:r>
        <w:rPr>
          <w:i/>
          <w:sz w:val="24"/>
          <w:szCs w:val="24"/>
          <w:u w:val="single"/>
        </w:rPr>
        <w:t>Ampicillin/Sulbactam "Aptapharma"</w:t>
      </w:r>
      <w:r w:rsidR="006E7021" w:rsidRPr="006A2898">
        <w:rPr>
          <w:i/>
          <w:sz w:val="24"/>
          <w:szCs w:val="24"/>
          <w:u w:val="single"/>
        </w:rPr>
        <w:t xml:space="preserve"> 1 g/0,5 g pulver til injektions-/infusionsvæske, opløsning</w:t>
      </w:r>
    </w:p>
    <w:p w14:paraId="48A9B526" w14:textId="77777777" w:rsidR="006E7021" w:rsidRPr="006A2898" w:rsidRDefault="006E7021" w:rsidP="006E7021">
      <w:pPr>
        <w:ind w:left="851"/>
        <w:rPr>
          <w:sz w:val="24"/>
          <w:szCs w:val="24"/>
        </w:rPr>
      </w:pPr>
      <w:r w:rsidRPr="006A2898">
        <w:rPr>
          <w:sz w:val="24"/>
          <w:szCs w:val="24"/>
        </w:rPr>
        <w:t xml:space="preserve">Hvert hætteglas indeholder 1,0 g </w:t>
      </w:r>
      <w:bookmarkStart w:id="0" w:name="_Hlk171492784"/>
      <w:r w:rsidRPr="006A2898">
        <w:rPr>
          <w:sz w:val="24"/>
          <w:szCs w:val="24"/>
        </w:rPr>
        <w:t>ampicillin (som ampicillinnatrium)</w:t>
      </w:r>
      <w:bookmarkEnd w:id="0"/>
      <w:r w:rsidRPr="006A2898">
        <w:rPr>
          <w:sz w:val="24"/>
          <w:szCs w:val="24"/>
        </w:rPr>
        <w:t xml:space="preserve"> og 0,5 g </w:t>
      </w:r>
      <w:bookmarkStart w:id="1" w:name="_Hlk171492798"/>
      <w:r w:rsidRPr="006A2898">
        <w:rPr>
          <w:sz w:val="24"/>
          <w:szCs w:val="24"/>
        </w:rPr>
        <w:t>sulbactam (som sulbactamnatrium)</w:t>
      </w:r>
      <w:bookmarkEnd w:id="1"/>
      <w:r w:rsidRPr="006A2898">
        <w:rPr>
          <w:sz w:val="24"/>
          <w:szCs w:val="24"/>
        </w:rPr>
        <w:t xml:space="preserve">. </w:t>
      </w:r>
    </w:p>
    <w:p w14:paraId="319758B5" w14:textId="77777777" w:rsidR="006E7021" w:rsidRPr="006A2898" w:rsidRDefault="006E7021" w:rsidP="006E7021">
      <w:pPr>
        <w:ind w:left="851"/>
        <w:rPr>
          <w:sz w:val="24"/>
          <w:szCs w:val="24"/>
        </w:rPr>
      </w:pPr>
    </w:p>
    <w:p w14:paraId="1632F2CB" w14:textId="5795A374" w:rsidR="006E7021" w:rsidRPr="006A2898" w:rsidRDefault="006A2898" w:rsidP="006E7021">
      <w:pPr>
        <w:ind w:left="851"/>
        <w:rPr>
          <w:i/>
          <w:sz w:val="24"/>
          <w:szCs w:val="24"/>
          <w:u w:val="single"/>
        </w:rPr>
      </w:pPr>
      <w:r>
        <w:rPr>
          <w:i/>
          <w:sz w:val="24"/>
          <w:szCs w:val="24"/>
          <w:u w:val="single"/>
        </w:rPr>
        <w:t>Ampicillin/Sulbactam "Aptapharma"</w:t>
      </w:r>
      <w:r w:rsidR="006E7021" w:rsidRPr="006A2898">
        <w:rPr>
          <w:i/>
          <w:sz w:val="24"/>
          <w:szCs w:val="24"/>
          <w:u w:val="single"/>
        </w:rPr>
        <w:t xml:space="preserve"> 2 g/1 g pulver til injektions-/infusionsvæske, opløsning</w:t>
      </w:r>
    </w:p>
    <w:p w14:paraId="3B9923D2" w14:textId="77777777" w:rsidR="006E7021" w:rsidRPr="006A2898" w:rsidRDefault="006E7021" w:rsidP="006E7021">
      <w:pPr>
        <w:ind w:left="851"/>
        <w:rPr>
          <w:sz w:val="24"/>
          <w:szCs w:val="24"/>
        </w:rPr>
      </w:pPr>
      <w:r w:rsidRPr="006A2898">
        <w:rPr>
          <w:sz w:val="24"/>
          <w:szCs w:val="24"/>
        </w:rPr>
        <w:t xml:space="preserve">Hvert hætteglas indeholder 2,0 g ampicillin (som ampicillinnatrium) og 1 g sulbactam (som sulbactamnatrium). </w:t>
      </w:r>
    </w:p>
    <w:p w14:paraId="7D001377" w14:textId="77777777" w:rsidR="006E7021" w:rsidRPr="006A2898" w:rsidRDefault="006E7021" w:rsidP="006E7021">
      <w:pPr>
        <w:ind w:left="851"/>
        <w:rPr>
          <w:sz w:val="24"/>
          <w:szCs w:val="24"/>
        </w:rPr>
      </w:pPr>
    </w:p>
    <w:p w14:paraId="06F7B6D1" w14:textId="77777777" w:rsidR="006E7021" w:rsidRPr="006A2898" w:rsidRDefault="006E7021" w:rsidP="006E7021">
      <w:pPr>
        <w:ind w:left="851"/>
        <w:rPr>
          <w:sz w:val="24"/>
          <w:szCs w:val="24"/>
          <w:u w:val="single"/>
        </w:rPr>
      </w:pPr>
      <w:r w:rsidRPr="006A2898">
        <w:rPr>
          <w:sz w:val="24"/>
          <w:szCs w:val="24"/>
          <w:u w:val="single"/>
        </w:rPr>
        <w:t>Hjælpestoffer, som behandleren skal være opmærksom på</w:t>
      </w:r>
    </w:p>
    <w:p w14:paraId="682D29B2" w14:textId="4D4DD2A6" w:rsidR="006E7021" w:rsidRPr="006A2898" w:rsidRDefault="006E7021" w:rsidP="006E7021">
      <w:pPr>
        <w:ind w:left="851"/>
        <w:rPr>
          <w:sz w:val="24"/>
          <w:szCs w:val="24"/>
        </w:rPr>
      </w:pPr>
      <w:r w:rsidRPr="006A2898">
        <w:rPr>
          <w:sz w:val="24"/>
          <w:szCs w:val="24"/>
        </w:rPr>
        <w:t xml:space="preserve">Hvert hætteglas med </w:t>
      </w:r>
      <w:r w:rsidR="006A2898">
        <w:rPr>
          <w:sz w:val="24"/>
          <w:szCs w:val="24"/>
        </w:rPr>
        <w:t>Ampicillin/Sulbactam "Aptapharma"</w:t>
      </w:r>
      <w:r w:rsidRPr="006A2898">
        <w:rPr>
          <w:sz w:val="24"/>
          <w:szCs w:val="24"/>
        </w:rPr>
        <w:t xml:space="preserve"> 1 g/0,5 g pulver til injektions-/infusionsvæske, opløsning, indeholder 115 mg (5 mmol) natrium.</w:t>
      </w:r>
    </w:p>
    <w:p w14:paraId="27A56D3A" w14:textId="77777777" w:rsidR="006E7021" w:rsidRPr="006A2898" w:rsidRDefault="006E7021" w:rsidP="006E7021">
      <w:pPr>
        <w:ind w:left="851"/>
        <w:rPr>
          <w:sz w:val="24"/>
          <w:szCs w:val="24"/>
        </w:rPr>
      </w:pPr>
    </w:p>
    <w:p w14:paraId="105C2290" w14:textId="648F9C3C" w:rsidR="006E7021" w:rsidRPr="006A2898" w:rsidRDefault="006E7021" w:rsidP="006E7021">
      <w:pPr>
        <w:ind w:left="851"/>
        <w:rPr>
          <w:sz w:val="24"/>
          <w:szCs w:val="24"/>
        </w:rPr>
      </w:pPr>
      <w:r w:rsidRPr="006A2898">
        <w:rPr>
          <w:sz w:val="24"/>
          <w:szCs w:val="24"/>
        </w:rPr>
        <w:t xml:space="preserve">Hvert hætteglas med </w:t>
      </w:r>
      <w:r w:rsidR="006A2898">
        <w:rPr>
          <w:sz w:val="24"/>
          <w:szCs w:val="24"/>
        </w:rPr>
        <w:t>Ampicillin/Sulbactam "Aptapharma"</w:t>
      </w:r>
      <w:r w:rsidRPr="006A2898">
        <w:rPr>
          <w:sz w:val="24"/>
          <w:szCs w:val="24"/>
        </w:rPr>
        <w:t xml:space="preserve"> 2 g/1 g pulver til injektions-/infusionsvæske, opløsning, indeholder 230 mg (10 mmol) natrium.</w:t>
      </w:r>
    </w:p>
    <w:p w14:paraId="39A6B5A5" w14:textId="77777777" w:rsidR="006E7021" w:rsidRPr="006A2898" w:rsidRDefault="006E7021" w:rsidP="006E7021">
      <w:pPr>
        <w:ind w:left="851"/>
        <w:rPr>
          <w:sz w:val="24"/>
          <w:szCs w:val="24"/>
        </w:rPr>
      </w:pPr>
    </w:p>
    <w:p w14:paraId="4B9351C8" w14:textId="77777777" w:rsidR="006E7021" w:rsidRPr="006A2898" w:rsidRDefault="006E7021" w:rsidP="006E7021">
      <w:pPr>
        <w:ind w:left="851"/>
        <w:rPr>
          <w:sz w:val="24"/>
          <w:szCs w:val="24"/>
        </w:rPr>
      </w:pPr>
      <w:r w:rsidRPr="006A2898">
        <w:rPr>
          <w:sz w:val="24"/>
          <w:szCs w:val="24"/>
        </w:rPr>
        <w:t>Alle hjælpestoffer er anført under pkt. 6.1.</w:t>
      </w:r>
    </w:p>
    <w:p w14:paraId="48E9D5E4" w14:textId="77777777" w:rsidR="009260DE" w:rsidRPr="006A2898" w:rsidRDefault="009260DE" w:rsidP="009260DE">
      <w:pPr>
        <w:tabs>
          <w:tab w:val="left" w:pos="851"/>
        </w:tabs>
        <w:ind w:left="851"/>
        <w:rPr>
          <w:sz w:val="24"/>
          <w:szCs w:val="24"/>
        </w:rPr>
      </w:pPr>
    </w:p>
    <w:p w14:paraId="4DBF64D8" w14:textId="77777777" w:rsidR="009260DE" w:rsidRPr="006A2898" w:rsidRDefault="009260DE" w:rsidP="009260DE">
      <w:pPr>
        <w:tabs>
          <w:tab w:val="left" w:pos="851"/>
        </w:tabs>
        <w:ind w:left="851" w:hanging="851"/>
        <w:rPr>
          <w:b/>
          <w:sz w:val="24"/>
          <w:szCs w:val="24"/>
        </w:rPr>
      </w:pPr>
      <w:r w:rsidRPr="006A2898">
        <w:rPr>
          <w:b/>
          <w:sz w:val="24"/>
          <w:szCs w:val="24"/>
        </w:rPr>
        <w:t>3.</w:t>
      </w:r>
      <w:r w:rsidRPr="006A2898">
        <w:rPr>
          <w:b/>
          <w:sz w:val="24"/>
          <w:szCs w:val="24"/>
        </w:rPr>
        <w:tab/>
        <w:t>LÆGEMIDDELFORM</w:t>
      </w:r>
    </w:p>
    <w:p w14:paraId="32BD2758" w14:textId="10DF4EFB" w:rsidR="006E7021" w:rsidRPr="006A2898" w:rsidRDefault="006E7021" w:rsidP="006E7021">
      <w:pPr>
        <w:ind w:left="851"/>
        <w:rPr>
          <w:sz w:val="24"/>
          <w:szCs w:val="24"/>
        </w:rPr>
      </w:pPr>
      <w:r w:rsidRPr="006A2898">
        <w:rPr>
          <w:sz w:val="24"/>
          <w:szCs w:val="24"/>
        </w:rPr>
        <w:t>Pulver til injektions-/infusionsvæske, opløsning</w:t>
      </w:r>
      <w:r w:rsidR="00AF674F">
        <w:rPr>
          <w:sz w:val="24"/>
          <w:szCs w:val="24"/>
        </w:rPr>
        <w:t xml:space="preserve"> (Orifarm)</w:t>
      </w:r>
    </w:p>
    <w:p w14:paraId="42269475" w14:textId="5D1A2A50" w:rsidR="000F2F7B" w:rsidRDefault="000F2F7B">
      <w:pPr>
        <w:rPr>
          <w:sz w:val="24"/>
          <w:szCs w:val="24"/>
        </w:rPr>
      </w:pPr>
    </w:p>
    <w:p w14:paraId="4FD628C9" w14:textId="77777777" w:rsidR="000F2F7B" w:rsidRDefault="000F2F7B">
      <w:pPr>
        <w:rPr>
          <w:sz w:val="24"/>
          <w:szCs w:val="24"/>
        </w:rPr>
      </w:pPr>
    </w:p>
    <w:p w14:paraId="28B19C0C" w14:textId="77777777" w:rsidR="009260DE" w:rsidRPr="006A2898" w:rsidRDefault="009260DE" w:rsidP="009260DE">
      <w:pPr>
        <w:tabs>
          <w:tab w:val="left" w:pos="851"/>
        </w:tabs>
        <w:ind w:left="851"/>
        <w:rPr>
          <w:sz w:val="24"/>
          <w:szCs w:val="24"/>
        </w:rPr>
      </w:pPr>
    </w:p>
    <w:p w14:paraId="6574DB3E" w14:textId="77777777" w:rsidR="009260DE" w:rsidRPr="006A2898" w:rsidRDefault="009260DE" w:rsidP="009260DE">
      <w:pPr>
        <w:tabs>
          <w:tab w:val="left" w:pos="851"/>
        </w:tabs>
        <w:ind w:left="851" w:hanging="851"/>
        <w:rPr>
          <w:b/>
          <w:sz w:val="24"/>
          <w:szCs w:val="24"/>
        </w:rPr>
      </w:pPr>
      <w:r w:rsidRPr="006A2898">
        <w:rPr>
          <w:b/>
          <w:sz w:val="24"/>
          <w:szCs w:val="24"/>
        </w:rPr>
        <w:t>4.</w:t>
      </w:r>
      <w:r w:rsidRPr="006A2898">
        <w:rPr>
          <w:b/>
          <w:sz w:val="24"/>
          <w:szCs w:val="24"/>
        </w:rPr>
        <w:tab/>
        <w:t>KLINISKE OPLYSNINGER</w:t>
      </w:r>
    </w:p>
    <w:p w14:paraId="4F0BC857" w14:textId="77777777" w:rsidR="009260DE" w:rsidRPr="006A2898" w:rsidRDefault="009260DE" w:rsidP="009260DE">
      <w:pPr>
        <w:tabs>
          <w:tab w:val="left" w:pos="851"/>
        </w:tabs>
        <w:ind w:left="851"/>
        <w:rPr>
          <w:b/>
          <w:sz w:val="24"/>
          <w:szCs w:val="24"/>
        </w:rPr>
      </w:pPr>
    </w:p>
    <w:p w14:paraId="1211A440" w14:textId="77777777" w:rsidR="009260DE" w:rsidRPr="006A2898" w:rsidRDefault="009260DE" w:rsidP="009260DE">
      <w:pPr>
        <w:tabs>
          <w:tab w:val="left" w:pos="851"/>
        </w:tabs>
        <w:ind w:left="851" w:hanging="851"/>
        <w:rPr>
          <w:b/>
          <w:sz w:val="24"/>
          <w:szCs w:val="24"/>
          <w:u w:val="single"/>
        </w:rPr>
      </w:pPr>
      <w:r w:rsidRPr="006A2898">
        <w:rPr>
          <w:b/>
          <w:sz w:val="24"/>
          <w:szCs w:val="24"/>
        </w:rPr>
        <w:lastRenderedPageBreak/>
        <w:t>4.1</w:t>
      </w:r>
      <w:r w:rsidRPr="006A2898">
        <w:rPr>
          <w:b/>
          <w:sz w:val="24"/>
          <w:szCs w:val="24"/>
        </w:rPr>
        <w:tab/>
        <w:t>Terapeutiske indikationer</w:t>
      </w:r>
    </w:p>
    <w:p w14:paraId="7B35B912" w14:textId="77777777" w:rsidR="000F2F7B" w:rsidRDefault="000F2F7B" w:rsidP="000F2F7B">
      <w:pPr>
        <w:ind w:left="851"/>
        <w:rPr>
          <w:sz w:val="24"/>
          <w:szCs w:val="24"/>
        </w:rPr>
      </w:pPr>
      <w:r>
        <w:rPr>
          <w:sz w:val="24"/>
          <w:szCs w:val="24"/>
        </w:rPr>
        <w:t>Infektioner forårsaget af følsomme mikroorganismer i de følgende tilfælde:</w:t>
      </w:r>
    </w:p>
    <w:p w14:paraId="5709D78E" w14:textId="77777777" w:rsidR="000F2F7B" w:rsidRDefault="000F2F7B" w:rsidP="000F2F7B">
      <w:pPr>
        <w:pStyle w:val="Listeafsnit"/>
        <w:numPr>
          <w:ilvl w:val="0"/>
          <w:numId w:val="11"/>
        </w:numPr>
        <w:spacing w:line="240" w:lineRule="auto"/>
        <w:ind w:left="1276" w:hanging="425"/>
        <w:rPr>
          <w:sz w:val="24"/>
          <w:szCs w:val="24"/>
          <w:lang w:val="da-DK"/>
        </w:rPr>
      </w:pPr>
      <w:r>
        <w:rPr>
          <w:sz w:val="24"/>
          <w:szCs w:val="24"/>
          <w:lang w:val="da-DK"/>
        </w:rPr>
        <w:t>øvre og nedre luftvejsinfektioner (herunder bihulebetændelse, otitis media, epiglottitis, bakteriel pneumoni);</w:t>
      </w:r>
    </w:p>
    <w:p w14:paraId="2F9F51B5" w14:textId="77777777" w:rsidR="000F2F7B" w:rsidRDefault="000F2F7B" w:rsidP="000F2F7B">
      <w:pPr>
        <w:pStyle w:val="Listeafsnit"/>
        <w:numPr>
          <w:ilvl w:val="0"/>
          <w:numId w:val="11"/>
        </w:numPr>
        <w:spacing w:line="240" w:lineRule="auto"/>
        <w:ind w:left="1276" w:hanging="425"/>
        <w:rPr>
          <w:sz w:val="24"/>
          <w:szCs w:val="24"/>
        </w:rPr>
      </w:pPr>
      <w:r>
        <w:rPr>
          <w:sz w:val="24"/>
          <w:szCs w:val="24"/>
        </w:rPr>
        <w:t xml:space="preserve">urinvejsinfektioner og pyelonefritis; </w:t>
      </w:r>
    </w:p>
    <w:p w14:paraId="0E0E4E8B" w14:textId="77777777" w:rsidR="000F2F7B" w:rsidRDefault="000F2F7B" w:rsidP="000F2F7B">
      <w:pPr>
        <w:pStyle w:val="Listeafsnit"/>
        <w:numPr>
          <w:ilvl w:val="0"/>
          <w:numId w:val="11"/>
        </w:numPr>
        <w:spacing w:line="240" w:lineRule="auto"/>
        <w:ind w:left="1276" w:hanging="425"/>
        <w:rPr>
          <w:sz w:val="24"/>
          <w:szCs w:val="24"/>
          <w:lang w:val="da-DK"/>
        </w:rPr>
      </w:pPr>
      <w:r>
        <w:rPr>
          <w:sz w:val="24"/>
          <w:szCs w:val="24"/>
          <w:lang w:val="da-DK"/>
        </w:rPr>
        <w:t xml:space="preserve">intraabdominale infektioner (herunder peritonitis og cholecystitis), gynækologiske infektioner (endometritis og bækkencellulitis); </w:t>
      </w:r>
    </w:p>
    <w:p w14:paraId="55E7F067" w14:textId="77777777" w:rsidR="000F2F7B" w:rsidRDefault="000F2F7B" w:rsidP="000F2F7B">
      <w:pPr>
        <w:pStyle w:val="Listeafsnit"/>
        <w:numPr>
          <w:ilvl w:val="0"/>
          <w:numId w:val="11"/>
        </w:numPr>
        <w:spacing w:line="240" w:lineRule="auto"/>
        <w:ind w:left="1276" w:hanging="425"/>
        <w:rPr>
          <w:sz w:val="24"/>
          <w:szCs w:val="24"/>
        </w:rPr>
      </w:pPr>
      <w:r>
        <w:rPr>
          <w:sz w:val="24"/>
          <w:szCs w:val="24"/>
        </w:rPr>
        <w:t xml:space="preserve">hud- og bløddelsinfektioner; </w:t>
      </w:r>
    </w:p>
    <w:p w14:paraId="3DFE8B51" w14:textId="77777777" w:rsidR="000F2F7B" w:rsidRDefault="000F2F7B" w:rsidP="000F2F7B">
      <w:pPr>
        <w:pStyle w:val="Listeafsnit"/>
        <w:numPr>
          <w:ilvl w:val="0"/>
          <w:numId w:val="11"/>
        </w:numPr>
        <w:spacing w:line="240" w:lineRule="auto"/>
        <w:ind w:left="1276" w:hanging="425"/>
        <w:rPr>
          <w:sz w:val="24"/>
          <w:szCs w:val="24"/>
          <w:lang w:val="da-DK"/>
        </w:rPr>
      </w:pPr>
      <w:r>
        <w:rPr>
          <w:sz w:val="24"/>
          <w:szCs w:val="24"/>
          <w:lang w:val="da-DK"/>
        </w:rPr>
        <w:t xml:space="preserve">infektioner i knogler og led; </w:t>
      </w:r>
    </w:p>
    <w:p w14:paraId="69336B7B" w14:textId="77777777" w:rsidR="000F2F7B" w:rsidRDefault="000F2F7B" w:rsidP="000F2F7B">
      <w:pPr>
        <w:pStyle w:val="Listeafsnit"/>
        <w:numPr>
          <w:ilvl w:val="0"/>
          <w:numId w:val="11"/>
        </w:numPr>
        <w:spacing w:line="240" w:lineRule="auto"/>
        <w:ind w:left="1276" w:hanging="425"/>
        <w:rPr>
          <w:sz w:val="24"/>
          <w:szCs w:val="24"/>
          <w:lang w:val="da-DK"/>
        </w:rPr>
      </w:pPr>
      <w:r>
        <w:rPr>
          <w:sz w:val="24"/>
          <w:szCs w:val="24"/>
          <w:lang w:val="da-DK"/>
        </w:rPr>
        <w:t>præ- eller postoperativt for at reducere forekomsten af sårinfektioner hos patienter, der gennemgår abdominal- eller bækkenkirurgi;</w:t>
      </w:r>
    </w:p>
    <w:p w14:paraId="74AF2B57" w14:textId="77777777" w:rsidR="000F2F7B" w:rsidRDefault="000F2F7B" w:rsidP="000F2F7B">
      <w:pPr>
        <w:pStyle w:val="Listeafsnit"/>
        <w:numPr>
          <w:ilvl w:val="0"/>
          <w:numId w:val="11"/>
        </w:numPr>
        <w:spacing w:line="240" w:lineRule="auto"/>
        <w:ind w:left="1276" w:hanging="425"/>
        <w:rPr>
          <w:sz w:val="24"/>
          <w:szCs w:val="24"/>
          <w:lang w:val="da-DK"/>
        </w:rPr>
      </w:pPr>
      <w:r>
        <w:rPr>
          <w:sz w:val="24"/>
          <w:szCs w:val="24"/>
          <w:lang w:val="da-DK"/>
        </w:rPr>
        <w:t>behandling af patienter med bakteriæmi, der forekommer i forbindelse med eller mistænkes for at være forbundet med nogen af ovennævnte infektioner.</w:t>
      </w:r>
    </w:p>
    <w:p w14:paraId="7F1EAAC1" w14:textId="77777777" w:rsidR="000F2F7B" w:rsidRDefault="000F2F7B" w:rsidP="000F2F7B">
      <w:pPr>
        <w:ind w:left="851"/>
        <w:rPr>
          <w:sz w:val="24"/>
          <w:szCs w:val="24"/>
        </w:rPr>
      </w:pPr>
    </w:p>
    <w:p w14:paraId="56899B95" w14:textId="77777777" w:rsidR="000F2F7B" w:rsidRDefault="000F2F7B" w:rsidP="000F2F7B">
      <w:pPr>
        <w:ind w:left="851"/>
        <w:rPr>
          <w:sz w:val="24"/>
          <w:szCs w:val="24"/>
        </w:rPr>
      </w:pPr>
      <w:r>
        <w:rPr>
          <w:sz w:val="24"/>
          <w:szCs w:val="24"/>
        </w:rPr>
        <w:t>Behandlingen skal ske i henhold til officielle retningslinjer for korrekt anvendelse af antibakterielle midler.</w:t>
      </w:r>
    </w:p>
    <w:p w14:paraId="52A71D31" w14:textId="77777777" w:rsidR="009260DE" w:rsidRPr="006A2898" w:rsidRDefault="009260DE" w:rsidP="009260DE">
      <w:pPr>
        <w:tabs>
          <w:tab w:val="left" w:pos="851"/>
        </w:tabs>
        <w:ind w:left="851"/>
        <w:rPr>
          <w:sz w:val="24"/>
          <w:szCs w:val="24"/>
        </w:rPr>
      </w:pPr>
    </w:p>
    <w:p w14:paraId="7017B7F1" w14:textId="77777777" w:rsidR="009260DE" w:rsidRPr="006A2898" w:rsidRDefault="009260DE" w:rsidP="009260DE">
      <w:pPr>
        <w:tabs>
          <w:tab w:val="left" w:pos="851"/>
        </w:tabs>
        <w:ind w:left="851" w:hanging="851"/>
        <w:rPr>
          <w:b/>
          <w:sz w:val="24"/>
          <w:szCs w:val="24"/>
        </w:rPr>
      </w:pPr>
      <w:r w:rsidRPr="006A2898">
        <w:rPr>
          <w:b/>
          <w:sz w:val="24"/>
          <w:szCs w:val="24"/>
        </w:rPr>
        <w:t>4.2</w:t>
      </w:r>
      <w:r w:rsidRPr="006A2898">
        <w:rPr>
          <w:b/>
          <w:sz w:val="24"/>
          <w:szCs w:val="24"/>
        </w:rPr>
        <w:tab/>
        <w:t xml:space="preserve">Dosering og </w:t>
      </w:r>
      <w:r w:rsidR="002C1EC0" w:rsidRPr="006A2898">
        <w:rPr>
          <w:b/>
          <w:sz w:val="24"/>
          <w:szCs w:val="24"/>
        </w:rPr>
        <w:t>administration</w:t>
      </w:r>
    </w:p>
    <w:p w14:paraId="2D55EA6A" w14:textId="77777777" w:rsidR="006A2898" w:rsidRDefault="006A2898" w:rsidP="006E7021">
      <w:pPr>
        <w:ind w:left="851"/>
        <w:rPr>
          <w:sz w:val="24"/>
          <w:szCs w:val="24"/>
        </w:rPr>
      </w:pPr>
    </w:p>
    <w:p w14:paraId="6D1336C5" w14:textId="77777777" w:rsidR="000F2F7B" w:rsidRDefault="000F2F7B" w:rsidP="000F2F7B">
      <w:pPr>
        <w:ind w:left="851"/>
        <w:rPr>
          <w:sz w:val="24"/>
          <w:szCs w:val="24"/>
          <w:u w:val="single"/>
        </w:rPr>
      </w:pPr>
      <w:r>
        <w:rPr>
          <w:sz w:val="24"/>
          <w:szCs w:val="24"/>
          <w:u w:val="single"/>
        </w:rPr>
        <w:t>Dosering</w:t>
      </w:r>
    </w:p>
    <w:p w14:paraId="15290DBE" w14:textId="77777777" w:rsidR="000F2F7B" w:rsidRDefault="000F2F7B" w:rsidP="000F2F7B">
      <w:pPr>
        <w:ind w:left="851"/>
        <w:rPr>
          <w:iCs/>
          <w:sz w:val="24"/>
          <w:szCs w:val="24"/>
          <w:u w:val="thick"/>
        </w:rPr>
      </w:pPr>
    </w:p>
    <w:p w14:paraId="6300F455" w14:textId="77777777" w:rsidR="000F2F7B" w:rsidRDefault="000F2F7B" w:rsidP="000F2F7B">
      <w:pPr>
        <w:ind w:left="851"/>
        <w:rPr>
          <w:i/>
          <w:sz w:val="24"/>
          <w:szCs w:val="24"/>
        </w:rPr>
      </w:pPr>
      <w:r>
        <w:rPr>
          <w:i/>
          <w:sz w:val="24"/>
          <w:szCs w:val="24"/>
        </w:rPr>
        <w:t xml:space="preserve">Voksne </w:t>
      </w:r>
    </w:p>
    <w:p w14:paraId="36AA5791" w14:textId="77777777" w:rsidR="000F2F7B" w:rsidRDefault="000F2F7B" w:rsidP="000F2F7B">
      <w:pPr>
        <w:ind w:left="851"/>
        <w:rPr>
          <w:sz w:val="24"/>
          <w:szCs w:val="24"/>
        </w:rPr>
      </w:pPr>
      <w:r>
        <w:rPr>
          <w:sz w:val="24"/>
          <w:szCs w:val="24"/>
        </w:rPr>
        <w:t xml:space="preserve">Doseringsintervallet for Ampicillin/Sulbactam "Aptapharma" er 1,5 g (1 g ampicillin + 0,5 g sulbactam) til 12 g (8 g ampicillin + 4 g sulbactam) pr. dag i opdelte doser hver 6. eller 8. time. Den samlede dosis af sulbactam bør ikke overstige 4 g pr. dag. </w:t>
      </w:r>
    </w:p>
    <w:p w14:paraId="3FEE24BA" w14:textId="77777777" w:rsidR="000F2F7B" w:rsidRDefault="000F2F7B" w:rsidP="000F2F7B">
      <w:pPr>
        <w:ind w:left="851"/>
        <w:rPr>
          <w:sz w:val="24"/>
          <w:szCs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6"/>
        <w:gridCol w:w="5600"/>
      </w:tblGrid>
      <w:tr w:rsidR="000F2F7B" w14:paraId="7EEE1053" w14:textId="77777777" w:rsidTr="000F2F7B">
        <w:tc>
          <w:tcPr>
            <w:tcW w:w="2976" w:type="dxa"/>
            <w:tcBorders>
              <w:top w:val="single" w:sz="4" w:space="0" w:color="auto"/>
              <w:left w:val="single" w:sz="4" w:space="0" w:color="auto"/>
              <w:bottom w:val="single" w:sz="4" w:space="0" w:color="auto"/>
              <w:right w:val="single" w:sz="4" w:space="0" w:color="auto"/>
            </w:tcBorders>
            <w:hideMark/>
          </w:tcPr>
          <w:p w14:paraId="2E03BF40" w14:textId="77777777" w:rsidR="000F2F7B" w:rsidRDefault="000F2F7B">
            <w:pPr>
              <w:keepNext/>
              <w:rPr>
                <w:b/>
                <w:bCs/>
                <w:sz w:val="24"/>
                <w:szCs w:val="24"/>
              </w:rPr>
            </w:pPr>
            <w:r>
              <w:rPr>
                <w:b/>
                <w:bCs/>
                <w:sz w:val="24"/>
                <w:szCs w:val="24"/>
              </w:rPr>
              <w:t>Infektionens sværhedsgrad</w:t>
            </w:r>
          </w:p>
        </w:tc>
        <w:tc>
          <w:tcPr>
            <w:tcW w:w="5600" w:type="dxa"/>
            <w:tcBorders>
              <w:top w:val="single" w:sz="4" w:space="0" w:color="auto"/>
              <w:left w:val="single" w:sz="4" w:space="0" w:color="auto"/>
              <w:bottom w:val="single" w:sz="4" w:space="0" w:color="auto"/>
              <w:right w:val="single" w:sz="4" w:space="0" w:color="auto"/>
            </w:tcBorders>
            <w:hideMark/>
          </w:tcPr>
          <w:p w14:paraId="60CCBF42" w14:textId="77777777" w:rsidR="000F2F7B" w:rsidRDefault="000F2F7B">
            <w:pPr>
              <w:rPr>
                <w:b/>
                <w:bCs/>
                <w:sz w:val="24"/>
                <w:szCs w:val="24"/>
              </w:rPr>
            </w:pPr>
            <w:r>
              <w:rPr>
                <w:b/>
                <w:bCs/>
                <w:sz w:val="24"/>
                <w:szCs w:val="24"/>
              </w:rPr>
              <w:t xml:space="preserve">Daglig dosis af Ampicillin/Sulbactam "Aptapharma" </w:t>
            </w:r>
          </w:p>
          <w:p w14:paraId="29D22BFB" w14:textId="77777777" w:rsidR="000F2F7B" w:rsidRDefault="000F2F7B">
            <w:pPr>
              <w:rPr>
                <w:b/>
                <w:bCs/>
                <w:sz w:val="24"/>
                <w:szCs w:val="24"/>
              </w:rPr>
            </w:pPr>
            <w:r>
              <w:rPr>
                <w:b/>
                <w:bCs/>
                <w:sz w:val="24"/>
                <w:szCs w:val="24"/>
              </w:rPr>
              <w:t>(ampicillin + sulbactam) (g)</w:t>
            </w:r>
          </w:p>
        </w:tc>
      </w:tr>
      <w:tr w:rsidR="000F2F7B" w14:paraId="46584A0C" w14:textId="77777777" w:rsidTr="000F2F7B">
        <w:tc>
          <w:tcPr>
            <w:tcW w:w="2976" w:type="dxa"/>
            <w:tcBorders>
              <w:top w:val="single" w:sz="4" w:space="0" w:color="auto"/>
              <w:left w:val="single" w:sz="4" w:space="0" w:color="auto"/>
              <w:bottom w:val="single" w:sz="4" w:space="0" w:color="auto"/>
              <w:right w:val="single" w:sz="4" w:space="0" w:color="auto"/>
            </w:tcBorders>
            <w:hideMark/>
          </w:tcPr>
          <w:p w14:paraId="0DF53FAF" w14:textId="77777777" w:rsidR="000F2F7B" w:rsidRDefault="000F2F7B">
            <w:pPr>
              <w:keepNext/>
              <w:rPr>
                <w:sz w:val="24"/>
                <w:szCs w:val="24"/>
              </w:rPr>
            </w:pPr>
            <w:r>
              <w:rPr>
                <w:sz w:val="24"/>
                <w:szCs w:val="24"/>
              </w:rPr>
              <w:t>Mild</w:t>
            </w:r>
          </w:p>
        </w:tc>
        <w:tc>
          <w:tcPr>
            <w:tcW w:w="5600" w:type="dxa"/>
            <w:tcBorders>
              <w:top w:val="single" w:sz="4" w:space="0" w:color="auto"/>
              <w:left w:val="single" w:sz="4" w:space="0" w:color="auto"/>
              <w:bottom w:val="single" w:sz="4" w:space="0" w:color="auto"/>
              <w:right w:val="single" w:sz="4" w:space="0" w:color="auto"/>
            </w:tcBorders>
            <w:hideMark/>
          </w:tcPr>
          <w:p w14:paraId="1498D60C" w14:textId="77777777" w:rsidR="000F2F7B" w:rsidRDefault="000F2F7B">
            <w:pPr>
              <w:rPr>
                <w:sz w:val="24"/>
                <w:szCs w:val="24"/>
              </w:rPr>
            </w:pPr>
            <w:r>
              <w:rPr>
                <w:sz w:val="24"/>
                <w:szCs w:val="24"/>
              </w:rPr>
              <w:t>1,5 - 3 (1 + 0,5 til 2 + 1)</w:t>
            </w:r>
          </w:p>
        </w:tc>
      </w:tr>
      <w:tr w:rsidR="000F2F7B" w14:paraId="3F2EB1D5" w14:textId="77777777" w:rsidTr="000F2F7B">
        <w:tc>
          <w:tcPr>
            <w:tcW w:w="2976" w:type="dxa"/>
            <w:tcBorders>
              <w:top w:val="single" w:sz="4" w:space="0" w:color="auto"/>
              <w:left w:val="single" w:sz="4" w:space="0" w:color="auto"/>
              <w:bottom w:val="single" w:sz="4" w:space="0" w:color="auto"/>
              <w:right w:val="single" w:sz="4" w:space="0" w:color="auto"/>
            </w:tcBorders>
            <w:hideMark/>
          </w:tcPr>
          <w:p w14:paraId="441D9756" w14:textId="77777777" w:rsidR="000F2F7B" w:rsidRDefault="000F2F7B">
            <w:pPr>
              <w:keepNext/>
              <w:rPr>
                <w:sz w:val="24"/>
                <w:szCs w:val="24"/>
              </w:rPr>
            </w:pPr>
            <w:r>
              <w:rPr>
                <w:sz w:val="24"/>
                <w:szCs w:val="24"/>
              </w:rPr>
              <w:t>Moderat</w:t>
            </w:r>
          </w:p>
        </w:tc>
        <w:tc>
          <w:tcPr>
            <w:tcW w:w="5600" w:type="dxa"/>
            <w:tcBorders>
              <w:top w:val="single" w:sz="4" w:space="0" w:color="auto"/>
              <w:left w:val="single" w:sz="4" w:space="0" w:color="auto"/>
              <w:bottom w:val="single" w:sz="4" w:space="0" w:color="auto"/>
              <w:right w:val="single" w:sz="4" w:space="0" w:color="auto"/>
            </w:tcBorders>
            <w:hideMark/>
          </w:tcPr>
          <w:p w14:paraId="3E438413" w14:textId="77777777" w:rsidR="000F2F7B" w:rsidRDefault="000F2F7B">
            <w:pPr>
              <w:rPr>
                <w:sz w:val="24"/>
                <w:szCs w:val="24"/>
              </w:rPr>
            </w:pPr>
            <w:r>
              <w:rPr>
                <w:sz w:val="24"/>
                <w:szCs w:val="24"/>
              </w:rPr>
              <w:t>op til 6 (4 + 2)</w:t>
            </w:r>
          </w:p>
        </w:tc>
      </w:tr>
      <w:tr w:rsidR="000F2F7B" w14:paraId="43134B65" w14:textId="77777777" w:rsidTr="000F2F7B">
        <w:tc>
          <w:tcPr>
            <w:tcW w:w="2976" w:type="dxa"/>
            <w:tcBorders>
              <w:top w:val="single" w:sz="4" w:space="0" w:color="auto"/>
              <w:left w:val="single" w:sz="4" w:space="0" w:color="auto"/>
              <w:bottom w:val="single" w:sz="4" w:space="0" w:color="auto"/>
              <w:right w:val="single" w:sz="4" w:space="0" w:color="auto"/>
            </w:tcBorders>
            <w:hideMark/>
          </w:tcPr>
          <w:p w14:paraId="7D69058D" w14:textId="77777777" w:rsidR="000F2F7B" w:rsidRDefault="000F2F7B">
            <w:pPr>
              <w:rPr>
                <w:sz w:val="24"/>
                <w:szCs w:val="24"/>
              </w:rPr>
            </w:pPr>
            <w:r>
              <w:rPr>
                <w:sz w:val="24"/>
                <w:szCs w:val="24"/>
              </w:rPr>
              <w:t>Svær</w:t>
            </w:r>
          </w:p>
        </w:tc>
        <w:tc>
          <w:tcPr>
            <w:tcW w:w="5600" w:type="dxa"/>
            <w:tcBorders>
              <w:top w:val="single" w:sz="4" w:space="0" w:color="auto"/>
              <w:left w:val="single" w:sz="4" w:space="0" w:color="auto"/>
              <w:bottom w:val="single" w:sz="4" w:space="0" w:color="auto"/>
              <w:right w:val="single" w:sz="4" w:space="0" w:color="auto"/>
            </w:tcBorders>
            <w:hideMark/>
          </w:tcPr>
          <w:p w14:paraId="4106F5DF" w14:textId="77777777" w:rsidR="000F2F7B" w:rsidRDefault="000F2F7B">
            <w:pPr>
              <w:rPr>
                <w:sz w:val="24"/>
                <w:szCs w:val="24"/>
              </w:rPr>
            </w:pPr>
            <w:r>
              <w:rPr>
                <w:sz w:val="24"/>
                <w:szCs w:val="24"/>
              </w:rPr>
              <w:t>op til 12 (8 + 4)</w:t>
            </w:r>
          </w:p>
        </w:tc>
      </w:tr>
    </w:tbl>
    <w:p w14:paraId="5640444C" w14:textId="77777777" w:rsidR="000F2F7B" w:rsidRDefault="000F2F7B" w:rsidP="000F2F7B">
      <w:pPr>
        <w:ind w:left="851"/>
        <w:rPr>
          <w:sz w:val="24"/>
          <w:szCs w:val="24"/>
        </w:rPr>
      </w:pPr>
    </w:p>
    <w:p w14:paraId="7A88F2F2" w14:textId="77777777" w:rsidR="000F2F7B" w:rsidRDefault="000F2F7B" w:rsidP="000F2F7B">
      <w:pPr>
        <w:ind w:left="851"/>
        <w:rPr>
          <w:sz w:val="24"/>
          <w:szCs w:val="24"/>
        </w:rPr>
      </w:pPr>
      <w:r>
        <w:rPr>
          <w:sz w:val="24"/>
          <w:szCs w:val="24"/>
        </w:rPr>
        <w:t xml:space="preserve">Justering af doseringshyppigheden kan være indiceret afhængigt af sygdommens sværhedsgrad og patientens nyrefunktion. </w:t>
      </w:r>
    </w:p>
    <w:p w14:paraId="72DD17DC" w14:textId="77777777" w:rsidR="000F2F7B" w:rsidRDefault="000F2F7B" w:rsidP="000F2F7B">
      <w:pPr>
        <w:ind w:left="851"/>
        <w:rPr>
          <w:sz w:val="24"/>
          <w:szCs w:val="24"/>
        </w:rPr>
      </w:pPr>
    </w:p>
    <w:p w14:paraId="26E94D22" w14:textId="77777777" w:rsidR="000F2F7B" w:rsidRDefault="000F2F7B" w:rsidP="000F2F7B">
      <w:pPr>
        <w:ind w:left="851"/>
        <w:rPr>
          <w:sz w:val="24"/>
          <w:szCs w:val="24"/>
        </w:rPr>
      </w:pPr>
      <w:r>
        <w:rPr>
          <w:sz w:val="24"/>
          <w:szCs w:val="24"/>
        </w:rPr>
        <w:t xml:space="preserve">Behandlingen fortsættes normalt indtil 48 timer efter, at pyreksi og andre unormale tegn er forsvundet. </w:t>
      </w:r>
    </w:p>
    <w:p w14:paraId="5F40CEB7" w14:textId="77777777" w:rsidR="000F2F7B" w:rsidRDefault="000F2F7B" w:rsidP="000F2F7B">
      <w:pPr>
        <w:ind w:left="851"/>
        <w:rPr>
          <w:sz w:val="24"/>
          <w:szCs w:val="24"/>
        </w:rPr>
      </w:pPr>
    </w:p>
    <w:p w14:paraId="5447399E" w14:textId="77777777" w:rsidR="000F2F7B" w:rsidRDefault="000F2F7B" w:rsidP="000F2F7B">
      <w:pPr>
        <w:ind w:left="851"/>
        <w:rPr>
          <w:sz w:val="24"/>
          <w:szCs w:val="24"/>
        </w:rPr>
      </w:pPr>
      <w:r>
        <w:rPr>
          <w:sz w:val="24"/>
          <w:szCs w:val="24"/>
        </w:rPr>
        <w:t>Behandlingen gives normalt i 5 til 14 dage, men behandlingsperioden kan forlænges, eller yderligere ampicillin kan administreres i alvorligt syge tilfælde.</w:t>
      </w:r>
    </w:p>
    <w:p w14:paraId="4B7A34E5" w14:textId="77777777" w:rsidR="000F2F7B" w:rsidRDefault="000F2F7B" w:rsidP="000F2F7B">
      <w:pPr>
        <w:ind w:left="851"/>
        <w:rPr>
          <w:sz w:val="24"/>
          <w:szCs w:val="24"/>
        </w:rPr>
      </w:pPr>
    </w:p>
    <w:p w14:paraId="2A4C0E82" w14:textId="77777777" w:rsidR="000F2F7B" w:rsidRDefault="000F2F7B" w:rsidP="000F2F7B">
      <w:pPr>
        <w:ind w:left="851"/>
        <w:rPr>
          <w:sz w:val="24"/>
          <w:szCs w:val="24"/>
        </w:rPr>
      </w:pPr>
      <w:r>
        <w:rPr>
          <w:sz w:val="24"/>
          <w:szCs w:val="24"/>
        </w:rPr>
        <w:t>Til profylakse af kirurgiske infektioner bør der gives 1,5 g (1 g ampicillin + 0,5 g sulbactam) – 3 g (2 g ampicillin + 1 g sulbactam) Ampicillin/Sulbactam "Aptapharma" ved induktion af anæstesi, hvilket giver tilstrækkelig tid til at opnå effektive serum- og vævskoncentrationer under proceduren. Dosis kan gentages hver 6. – 8. time. Indgivelsen stoppes normalt 24 timer efter de fleste kirurgiske procedurer.</w:t>
      </w:r>
    </w:p>
    <w:p w14:paraId="42D5587C" w14:textId="77777777" w:rsidR="000F2F7B" w:rsidRDefault="000F2F7B" w:rsidP="000F2F7B">
      <w:pPr>
        <w:ind w:left="851"/>
        <w:rPr>
          <w:sz w:val="24"/>
          <w:szCs w:val="24"/>
        </w:rPr>
      </w:pPr>
    </w:p>
    <w:p w14:paraId="0DB05CED" w14:textId="77777777" w:rsidR="000F2F7B" w:rsidRDefault="000F2F7B" w:rsidP="000F2F7B">
      <w:pPr>
        <w:keepNext/>
        <w:ind w:left="851"/>
        <w:rPr>
          <w:i/>
          <w:sz w:val="24"/>
          <w:szCs w:val="24"/>
        </w:rPr>
      </w:pPr>
      <w:r>
        <w:rPr>
          <w:i/>
          <w:sz w:val="24"/>
          <w:szCs w:val="24"/>
        </w:rPr>
        <w:t>Pædiatrisk population</w:t>
      </w:r>
    </w:p>
    <w:p w14:paraId="41E99556" w14:textId="77777777" w:rsidR="000F2F7B" w:rsidRDefault="000F2F7B" w:rsidP="000F2F7B">
      <w:pPr>
        <w:ind w:left="851"/>
        <w:rPr>
          <w:sz w:val="24"/>
          <w:szCs w:val="24"/>
        </w:rPr>
      </w:pPr>
      <w:r>
        <w:rPr>
          <w:sz w:val="24"/>
          <w:szCs w:val="24"/>
        </w:rPr>
        <w:t xml:space="preserve">Doseringen for de fleste infektioner hos børn, spædbørn og nyfødte er 150 mg/kg/dag Ampicillin/Sulbactam "Aptapharma" (svarende til ampicillin 100 mg/kg/dag og sulbactam 50 mg/kg/dag ). Dosis indgives, hver 6. eller 8. time, med undtagelse af nyfødte indtil den </w:t>
      </w:r>
      <w:r>
        <w:rPr>
          <w:sz w:val="24"/>
          <w:szCs w:val="24"/>
        </w:rPr>
        <w:lastRenderedPageBreak/>
        <w:t>første uge (især umodne nyfødte), hvor den anbefalede dosis er 75 mg/kg/dag Ampicillin/Sulbactam "Aptapharma" (svarende til 50 mg/kg/dag ampicillin og 25 mg/kg/dag sulbactam) i opdelte doser hver 12. time.</w:t>
      </w:r>
    </w:p>
    <w:p w14:paraId="3912E8A6" w14:textId="77777777" w:rsidR="000F2F7B" w:rsidRDefault="000F2F7B" w:rsidP="000F2F7B">
      <w:pPr>
        <w:ind w:left="851"/>
        <w:rPr>
          <w:sz w:val="24"/>
          <w:szCs w:val="24"/>
        </w:rPr>
      </w:pPr>
      <w:r>
        <w:rPr>
          <w:sz w:val="24"/>
          <w:szCs w:val="24"/>
        </w:rPr>
        <w:t>Justering af doseringshyppigheden kan være indiceret afhængigt af sygdommens sværhedsgrad</w:t>
      </w:r>
    </w:p>
    <w:p w14:paraId="2573EB11" w14:textId="77777777" w:rsidR="000F2F7B" w:rsidRDefault="000F2F7B" w:rsidP="000F2F7B">
      <w:pPr>
        <w:ind w:left="851"/>
        <w:rPr>
          <w:sz w:val="24"/>
          <w:szCs w:val="24"/>
        </w:rPr>
      </w:pPr>
    </w:p>
    <w:p w14:paraId="6B0DBEF1" w14:textId="77777777" w:rsidR="000F2F7B" w:rsidRDefault="000F2F7B" w:rsidP="000F2F7B">
      <w:pPr>
        <w:ind w:left="851"/>
        <w:rPr>
          <w:sz w:val="24"/>
          <w:szCs w:val="24"/>
        </w:rPr>
      </w:pPr>
      <w:r>
        <w:rPr>
          <w:sz w:val="24"/>
          <w:szCs w:val="24"/>
        </w:rPr>
        <w:t xml:space="preserve">Intramuskulær administration af Ampicillin/Sulbactam "Aptapharma" er kontraindiceret til børn under 2 år. </w:t>
      </w:r>
    </w:p>
    <w:p w14:paraId="1447FBF4" w14:textId="77777777" w:rsidR="006E7021" w:rsidRPr="006A2898" w:rsidRDefault="006E7021" w:rsidP="006E7021">
      <w:pPr>
        <w:ind w:left="851"/>
        <w:rPr>
          <w:sz w:val="24"/>
          <w:szCs w:val="24"/>
        </w:rPr>
      </w:pPr>
    </w:p>
    <w:p w14:paraId="2899833A" w14:textId="77777777" w:rsidR="006E7021" w:rsidRPr="006A2898" w:rsidRDefault="006E7021" w:rsidP="006E7021">
      <w:pPr>
        <w:ind w:left="851"/>
        <w:rPr>
          <w:i/>
          <w:sz w:val="24"/>
          <w:szCs w:val="24"/>
        </w:rPr>
      </w:pPr>
      <w:r w:rsidRPr="006A2898">
        <w:rPr>
          <w:i/>
          <w:sz w:val="24"/>
          <w:szCs w:val="24"/>
        </w:rPr>
        <w:t>Nedsat nyrefunktion</w:t>
      </w:r>
    </w:p>
    <w:p w14:paraId="244C1BC4" w14:textId="551CDAE5" w:rsidR="006E7021" w:rsidRPr="006A2898" w:rsidRDefault="006E7021" w:rsidP="006E7021">
      <w:pPr>
        <w:ind w:left="851"/>
        <w:rPr>
          <w:sz w:val="24"/>
          <w:szCs w:val="24"/>
        </w:rPr>
      </w:pPr>
      <w:r w:rsidRPr="006A2898">
        <w:rPr>
          <w:sz w:val="24"/>
          <w:szCs w:val="24"/>
        </w:rPr>
        <w:t xml:space="preserve">Hos patienter med svært nedsat nyrefunktion (kreatininclearance &lt;30 ml/min) påvirkes eliminationskinetikken for sulbactam og ampicillin tilsvarende, og derfor vil plasmaforholdet mellem den ene og den anden forblive konstant. Dosis af </w:t>
      </w:r>
      <w:r w:rsidR="006A2898">
        <w:rPr>
          <w:sz w:val="24"/>
          <w:szCs w:val="24"/>
        </w:rPr>
        <w:t>Ampicillin/Sulbactam "Aptapharma"</w:t>
      </w:r>
      <w:r w:rsidRPr="006A2898">
        <w:rPr>
          <w:sz w:val="24"/>
          <w:szCs w:val="24"/>
        </w:rPr>
        <w:t xml:space="preserve"> hos sådanne patienter bør administreres mindre hyppigt i overensstemmelse med den sædvanlige praksis for ampicillin.</w:t>
      </w:r>
    </w:p>
    <w:p w14:paraId="16D203ED" w14:textId="77777777" w:rsidR="006E7021" w:rsidRPr="006A2898" w:rsidRDefault="006E7021" w:rsidP="006E7021">
      <w:pPr>
        <w:ind w:left="851"/>
        <w:rPr>
          <w:sz w:val="24"/>
          <w:szCs w:val="24"/>
        </w:rPr>
      </w:pPr>
    </w:p>
    <w:tbl>
      <w:tblPr>
        <w:tblW w:w="847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4961"/>
      </w:tblGrid>
      <w:tr w:rsidR="006E7021" w:rsidRPr="006A2898" w14:paraId="56C13C86" w14:textId="77777777" w:rsidTr="006E7021">
        <w:tc>
          <w:tcPr>
            <w:tcW w:w="8472" w:type="dxa"/>
            <w:gridSpan w:val="2"/>
            <w:tcBorders>
              <w:top w:val="single" w:sz="4" w:space="0" w:color="auto"/>
              <w:left w:val="single" w:sz="4" w:space="0" w:color="auto"/>
              <w:bottom w:val="single" w:sz="4" w:space="0" w:color="auto"/>
              <w:right w:val="single" w:sz="4" w:space="0" w:color="auto"/>
            </w:tcBorders>
            <w:hideMark/>
          </w:tcPr>
          <w:p w14:paraId="11ED46C9" w14:textId="77777777" w:rsidR="006E7021" w:rsidRPr="006A2898" w:rsidRDefault="006E7021">
            <w:pPr>
              <w:pStyle w:val="Brdtekst"/>
              <w:widowControl/>
              <w:ind w:left="0"/>
              <w:jc w:val="center"/>
              <w:rPr>
                <w:b/>
                <w:bCs/>
                <w:sz w:val="24"/>
                <w:szCs w:val="24"/>
                <w:lang w:val="da-DK"/>
              </w:rPr>
            </w:pPr>
            <w:r w:rsidRPr="006A2898">
              <w:rPr>
                <w:b/>
                <w:bCs/>
                <w:sz w:val="24"/>
                <w:szCs w:val="24"/>
                <w:lang w:val="da-DK"/>
              </w:rPr>
              <w:t>Anbefalet dosis til patienter med nedsat nyrefunktion</w:t>
            </w:r>
          </w:p>
        </w:tc>
      </w:tr>
      <w:tr w:rsidR="006E7021" w:rsidRPr="006A2898" w14:paraId="70371B55" w14:textId="77777777" w:rsidTr="006E7021">
        <w:tc>
          <w:tcPr>
            <w:tcW w:w="3511" w:type="dxa"/>
            <w:tcBorders>
              <w:top w:val="single" w:sz="4" w:space="0" w:color="auto"/>
              <w:left w:val="single" w:sz="4" w:space="0" w:color="auto"/>
              <w:bottom w:val="single" w:sz="4" w:space="0" w:color="auto"/>
              <w:right w:val="single" w:sz="4" w:space="0" w:color="auto"/>
            </w:tcBorders>
            <w:hideMark/>
          </w:tcPr>
          <w:p w14:paraId="4E3BC0AA" w14:textId="77777777" w:rsidR="006E7021" w:rsidRPr="006A2898" w:rsidRDefault="006E7021">
            <w:pPr>
              <w:pStyle w:val="Brdtekst"/>
              <w:widowControl/>
              <w:ind w:left="0"/>
              <w:rPr>
                <w:b/>
                <w:bCs/>
                <w:sz w:val="24"/>
                <w:szCs w:val="24"/>
                <w:lang w:val="da-DK"/>
              </w:rPr>
            </w:pPr>
            <w:r w:rsidRPr="006A2898">
              <w:rPr>
                <w:b/>
                <w:bCs/>
                <w:sz w:val="24"/>
                <w:szCs w:val="24"/>
                <w:lang w:val="da-DK"/>
              </w:rPr>
              <w:t>Kreatininclearance (ml/min)</w:t>
            </w:r>
          </w:p>
        </w:tc>
        <w:tc>
          <w:tcPr>
            <w:tcW w:w="4961" w:type="dxa"/>
            <w:tcBorders>
              <w:top w:val="single" w:sz="4" w:space="0" w:color="auto"/>
              <w:left w:val="single" w:sz="4" w:space="0" w:color="auto"/>
              <w:bottom w:val="single" w:sz="4" w:space="0" w:color="auto"/>
              <w:right w:val="single" w:sz="4" w:space="0" w:color="auto"/>
            </w:tcBorders>
            <w:hideMark/>
          </w:tcPr>
          <w:p w14:paraId="655B0762" w14:textId="77777777" w:rsidR="006E7021" w:rsidRPr="006A2898" w:rsidRDefault="006E7021">
            <w:pPr>
              <w:pStyle w:val="Brdtekst"/>
              <w:widowControl/>
              <w:ind w:left="0"/>
              <w:rPr>
                <w:b/>
                <w:bCs/>
                <w:sz w:val="24"/>
                <w:szCs w:val="24"/>
                <w:lang w:val="da-DK"/>
              </w:rPr>
            </w:pPr>
            <w:r w:rsidRPr="006A2898">
              <w:rPr>
                <w:b/>
                <w:bCs/>
                <w:sz w:val="24"/>
                <w:szCs w:val="24"/>
                <w:lang w:val="da-DK"/>
              </w:rPr>
              <w:t>Doseringsinterval</w:t>
            </w:r>
          </w:p>
        </w:tc>
      </w:tr>
      <w:tr w:rsidR="006E7021" w:rsidRPr="006A2898" w14:paraId="63CE7C33" w14:textId="77777777" w:rsidTr="006E7021">
        <w:tc>
          <w:tcPr>
            <w:tcW w:w="3511" w:type="dxa"/>
            <w:tcBorders>
              <w:top w:val="single" w:sz="4" w:space="0" w:color="auto"/>
              <w:left w:val="single" w:sz="4" w:space="0" w:color="auto"/>
              <w:bottom w:val="single" w:sz="4" w:space="0" w:color="auto"/>
              <w:right w:val="single" w:sz="4" w:space="0" w:color="auto"/>
            </w:tcBorders>
            <w:hideMark/>
          </w:tcPr>
          <w:p w14:paraId="0D2078D4" w14:textId="77777777" w:rsidR="006E7021" w:rsidRPr="006A2898" w:rsidRDefault="006E7021">
            <w:pPr>
              <w:pStyle w:val="Brdtekst"/>
              <w:widowControl/>
              <w:ind w:left="0"/>
              <w:rPr>
                <w:sz w:val="24"/>
                <w:szCs w:val="24"/>
                <w:lang w:val="da-DK"/>
              </w:rPr>
            </w:pPr>
            <w:r w:rsidRPr="006A2898">
              <w:rPr>
                <w:sz w:val="24"/>
                <w:szCs w:val="24"/>
                <w:lang w:val="da-DK"/>
              </w:rPr>
              <w:t>&gt;30</w:t>
            </w:r>
          </w:p>
        </w:tc>
        <w:tc>
          <w:tcPr>
            <w:tcW w:w="4961" w:type="dxa"/>
            <w:tcBorders>
              <w:top w:val="single" w:sz="4" w:space="0" w:color="auto"/>
              <w:left w:val="single" w:sz="4" w:space="0" w:color="auto"/>
              <w:bottom w:val="single" w:sz="4" w:space="0" w:color="auto"/>
              <w:right w:val="single" w:sz="4" w:space="0" w:color="auto"/>
            </w:tcBorders>
            <w:hideMark/>
          </w:tcPr>
          <w:p w14:paraId="31C814B0" w14:textId="77777777" w:rsidR="006E7021" w:rsidRPr="006A2898" w:rsidRDefault="006E7021">
            <w:pPr>
              <w:pStyle w:val="Brdtekst"/>
              <w:widowControl/>
              <w:ind w:left="0"/>
              <w:rPr>
                <w:sz w:val="24"/>
                <w:szCs w:val="24"/>
                <w:lang w:val="da-DK"/>
              </w:rPr>
            </w:pPr>
            <w:r w:rsidRPr="006A2898">
              <w:rPr>
                <w:sz w:val="24"/>
                <w:szCs w:val="24"/>
                <w:lang w:val="da-DK"/>
              </w:rPr>
              <w:t>6 til 8 timer</w:t>
            </w:r>
          </w:p>
        </w:tc>
      </w:tr>
      <w:tr w:rsidR="006E7021" w:rsidRPr="006A2898" w14:paraId="553B943A" w14:textId="77777777" w:rsidTr="006E7021">
        <w:tc>
          <w:tcPr>
            <w:tcW w:w="3511" w:type="dxa"/>
            <w:tcBorders>
              <w:top w:val="single" w:sz="4" w:space="0" w:color="auto"/>
              <w:left w:val="single" w:sz="4" w:space="0" w:color="auto"/>
              <w:bottom w:val="single" w:sz="4" w:space="0" w:color="auto"/>
              <w:right w:val="single" w:sz="4" w:space="0" w:color="auto"/>
            </w:tcBorders>
            <w:hideMark/>
          </w:tcPr>
          <w:p w14:paraId="037FAFAF" w14:textId="77777777" w:rsidR="006E7021" w:rsidRPr="006A2898" w:rsidRDefault="006E7021">
            <w:pPr>
              <w:pStyle w:val="Brdtekst"/>
              <w:widowControl/>
              <w:ind w:left="0"/>
              <w:rPr>
                <w:sz w:val="24"/>
                <w:szCs w:val="24"/>
                <w:lang w:val="da-DK"/>
              </w:rPr>
            </w:pPr>
            <w:r w:rsidRPr="006A2898">
              <w:rPr>
                <w:sz w:val="24"/>
                <w:szCs w:val="24"/>
                <w:lang w:val="da-DK"/>
              </w:rPr>
              <w:t>15 til 30</w:t>
            </w:r>
          </w:p>
        </w:tc>
        <w:tc>
          <w:tcPr>
            <w:tcW w:w="4961" w:type="dxa"/>
            <w:tcBorders>
              <w:top w:val="single" w:sz="4" w:space="0" w:color="auto"/>
              <w:left w:val="single" w:sz="4" w:space="0" w:color="auto"/>
              <w:bottom w:val="single" w:sz="4" w:space="0" w:color="auto"/>
              <w:right w:val="single" w:sz="4" w:space="0" w:color="auto"/>
            </w:tcBorders>
            <w:hideMark/>
          </w:tcPr>
          <w:p w14:paraId="5483896A" w14:textId="77777777" w:rsidR="006E7021" w:rsidRPr="006A2898" w:rsidRDefault="006E7021">
            <w:pPr>
              <w:pStyle w:val="Brdtekst"/>
              <w:widowControl/>
              <w:ind w:left="0"/>
              <w:rPr>
                <w:sz w:val="24"/>
                <w:szCs w:val="24"/>
                <w:lang w:val="da-DK"/>
              </w:rPr>
            </w:pPr>
            <w:r w:rsidRPr="006A2898">
              <w:rPr>
                <w:sz w:val="24"/>
                <w:szCs w:val="24"/>
                <w:lang w:val="da-DK"/>
              </w:rPr>
              <w:t>12 timer</w:t>
            </w:r>
          </w:p>
        </w:tc>
      </w:tr>
      <w:tr w:rsidR="006E7021" w:rsidRPr="006A2898" w14:paraId="04DE3D71" w14:textId="77777777" w:rsidTr="006E7021">
        <w:tc>
          <w:tcPr>
            <w:tcW w:w="3511" w:type="dxa"/>
            <w:tcBorders>
              <w:top w:val="single" w:sz="4" w:space="0" w:color="auto"/>
              <w:left w:val="single" w:sz="4" w:space="0" w:color="auto"/>
              <w:bottom w:val="single" w:sz="4" w:space="0" w:color="auto"/>
              <w:right w:val="single" w:sz="4" w:space="0" w:color="auto"/>
            </w:tcBorders>
            <w:hideMark/>
          </w:tcPr>
          <w:p w14:paraId="69B26469" w14:textId="77777777" w:rsidR="006E7021" w:rsidRPr="006A2898" w:rsidRDefault="006E7021">
            <w:pPr>
              <w:pStyle w:val="Brdtekst"/>
              <w:widowControl/>
              <w:ind w:left="0"/>
              <w:rPr>
                <w:sz w:val="24"/>
                <w:szCs w:val="24"/>
                <w:lang w:val="da-DK"/>
              </w:rPr>
            </w:pPr>
            <w:r w:rsidRPr="006A2898">
              <w:rPr>
                <w:sz w:val="24"/>
                <w:szCs w:val="24"/>
                <w:lang w:val="da-DK"/>
              </w:rPr>
              <w:t>5 til 14</w:t>
            </w:r>
          </w:p>
        </w:tc>
        <w:tc>
          <w:tcPr>
            <w:tcW w:w="4961" w:type="dxa"/>
            <w:tcBorders>
              <w:top w:val="single" w:sz="4" w:space="0" w:color="auto"/>
              <w:left w:val="single" w:sz="4" w:space="0" w:color="auto"/>
              <w:bottom w:val="single" w:sz="4" w:space="0" w:color="auto"/>
              <w:right w:val="single" w:sz="4" w:space="0" w:color="auto"/>
            </w:tcBorders>
            <w:hideMark/>
          </w:tcPr>
          <w:p w14:paraId="7BC30D32" w14:textId="77777777" w:rsidR="006E7021" w:rsidRPr="006A2898" w:rsidRDefault="006E7021">
            <w:pPr>
              <w:pStyle w:val="Brdtekst"/>
              <w:widowControl/>
              <w:ind w:left="0"/>
              <w:rPr>
                <w:sz w:val="24"/>
                <w:szCs w:val="24"/>
                <w:lang w:val="da-DK"/>
              </w:rPr>
            </w:pPr>
            <w:r w:rsidRPr="006A2898">
              <w:rPr>
                <w:sz w:val="24"/>
                <w:szCs w:val="24"/>
                <w:lang w:val="da-DK"/>
              </w:rPr>
              <w:t>24 timer</w:t>
            </w:r>
          </w:p>
        </w:tc>
      </w:tr>
      <w:tr w:rsidR="006E7021" w:rsidRPr="006A2898" w14:paraId="1F6520DD" w14:textId="77777777" w:rsidTr="006E7021">
        <w:tc>
          <w:tcPr>
            <w:tcW w:w="3511" w:type="dxa"/>
            <w:tcBorders>
              <w:top w:val="single" w:sz="4" w:space="0" w:color="auto"/>
              <w:left w:val="single" w:sz="4" w:space="0" w:color="auto"/>
              <w:bottom w:val="single" w:sz="4" w:space="0" w:color="auto"/>
              <w:right w:val="single" w:sz="4" w:space="0" w:color="auto"/>
            </w:tcBorders>
            <w:hideMark/>
          </w:tcPr>
          <w:p w14:paraId="5CE7B858" w14:textId="77777777" w:rsidR="006E7021" w:rsidRPr="006A2898" w:rsidRDefault="006E7021">
            <w:pPr>
              <w:pStyle w:val="Brdtekst"/>
              <w:widowControl/>
              <w:ind w:left="0"/>
              <w:rPr>
                <w:sz w:val="24"/>
                <w:szCs w:val="24"/>
                <w:lang w:val="da-DK"/>
              </w:rPr>
            </w:pPr>
            <w:r w:rsidRPr="006A2898">
              <w:rPr>
                <w:sz w:val="24"/>
                <w:szCs w:val="24"/>
                <w:lang w:val="da-DK"/>
              </w:rPr>
              <w:t>&lt;5</w:t>
            </w:r>
          </w:p>
        </w:tc>
        <w:tc>
          <w:tcPr>
            <w:tcW w:w="4961" w:type="dxa"/>
            <w:tcBorders>
              <w:top w:val="single" w:sz="4" w:space="0" w:color="auto"/>
              <w:left w:val="single" w:sz="4" w:space="0" w:color="auto"/>
              <w:bottom w:val="single" w:sz="4" w:space="0" w:color="auto"/>
              <w:right w:val="single" w:sz="4" w:space="0" w:color="auto"/>
            </w:tcBorders>
            <w:hideMark/>
          </w:tcPr>
          <w:p w14:paraId="4097ECD3" w14:textId="77777777" w:rsidR="006E7021" w:rsidRPr="006A2898" w:rsidRDefault="006E7021">
            <w:pPr>
              <w:pStyle w:val="Brdtekst"/>
              <w:widowControl/>
              <w:ind w:left="0"/>
              <w:rPr>
                <w:sz w:val="24"/>
                <w:szCs w:val="24"/>
                <w:lang w:val="da-DK"/>
              </w:rPr>
            </w:pPr>
            <w:r w:rsidRPr="006A2898">
              <w:rPr>
                <w:sz w:val="24"/>
                <w:szCs w:val="24"/>
                <w:lang w:val="da-DK"/>
              </w:rPr>
              <w:t>48 timer</w:t>
            </w:r>
          </w:p>
        </w:tc>
      </w:tr>
    </w:tbl>
    <w:p w14:paraId="05AA7955" w14:textId="77777777" w:rsidR="006E7021" w:rsidRPr="006A2898" w:rsidRDefault="006E7021" w:rsidP="006A2898">
      <w:pPr>
        <w:pStyle w:val="Brdtekst"/>
        <w:widowControl/>
        <w:ind w:left="851"/>
        <w:rPr>
          <w:sz w:val="24"/>
          <w:szCs w:val="24"/>
          <w:lang w:val="da-DK"/>
        </w:rPr>
      </w:pPr>
    </w:p>
    <w:p w14:paraId="77FD6A72" w14:textId="41D59175" w:rsidR="006E7021" w:rsidRPr="006A2898" w:rsidRDefault="006E7021" w:rsidP="006E7021">
      <w:pPr>
        <w:ind w:left="851"/>
        <w:rPr>
          <w:sz w:val="24"/>
          <w:szCs w:val="24"/>
        </w:rPr>
      </w:pPr>
      <w:r w:rsidRPr="006A2898">
        <w:rPr>
          <w:sz w:val="24"/>
          <w:szCs w:val="24"/>
        </w:rPr>
        <w:t xml:space="preserve">Sulbactam og ampicillin elimineres fra blodet ved hæmodialyse i samme omfang, derfor bør </w:t>
      </w:r>
      <w:r w:rsidR="006A2898">
        <w:rPr>
          <w:sz w:val="24"/>
          <w:szCs w:val="24"/>
        </w:rPr>
        <w:t>Ampicillin/Sulbactam "Aptapharma"</w:t>
      </w:r>
      <w:r w:rsidRPr="006A2898">
        <w:rPr>
          <w:sz w:val="24"/>
          <w:szCs w:val="24"/>
        </w:rPr>
        <w:t xml:space="preserve"> gives direkte efter dialyse og med intervaller på 48 timer indtil yderligere dialyse.</w:t>
      </w:r>
    </w:p>
    <w:p w14:paraId="4FE99CF0" w14:textId="77777777" w:rsidR="006E7021" w:rsidRPr="006A2898" w:rsidRDefault="006E7021" w:rsidP="006E7021">
      <w:pPr>
        <w:ind w:left="851"/>
        <w:rPr>
          <w:sz w:val="24"/>
          <w:szCs w:val="24"/>
        </w:rPr>
      </w:pPr>
    </w:p>
    <w:p w14:paraId="5036710A" w14:textId="77777777" w:rsidR="006E7021" w:rsidRPr="006A2898" w:rsidRDefault="006E7021" w:rsidP="006E7021">
      <w:pPr>
        <w:ind w:left="851"/>
        <w:rPr>
          <w:sz w:val="24"/>
          <w:szCs w:val="24"/>
          <w:u w:val="single"/>
        </w:rPr>
      </w:pPr>
      <w:r w:rsidRPr="006A2898">
        <w:rPr>
          <w:sz w:val="24"/>
          <w:szCs w:val="24"/>
          <w:u w:val="single"/>
        </w:rPr>
        <w:t>Administration</w:t>
      </w:r>
    </w:p>
    <w:p w14:paraId="539B5BE8" w14:textId="77777777" w:rsidR="006E7021" w:rsidRPr="006A2898" w:rsidRDefault="006E7021" w:rsidP="006E7021">
      <w:pPr>
        <w:ind w:left="851"/>
        <w:rPr>
          <w:sz w:val="24"/>
          <w:szCs w:val="24"/>
        </w:rPr>
      </w:pPr>
      <w:r w:rsidRPr="006A2898">
        <w:rPr>
          <w:sz w:val="24"/>
          <w:szCs w:val="24"/>
        </w:rPr>
        <w:t>Intravenøs eller intramuskulær administration.</w:t>
      </w:r>
    </w:p>
    <w:p w14:paraId="0A21B3DE" w14:textId="77777777" w:rsidR="006E7021" w:rsidRPr="006A2898" w:rsidRDefault="006E7021" w:rsidP="006E7021">
      <w:pPr>
        <w:ind w:left="851"/>
        <w:rPr>
          <w:sz w:val="24"/>
          <w:szCs w:val="24"/>
        </w:rPr>
      </w:pPr>
    </w:p>
    <w:p w14:paraId="7062907E" w14:textId="77777777" w:rsidR="000F2F7B" w:rsidRDefault="000F2F7B" w:rsidP="000F2F7B">
      <w:pPr>
        <w:ind w:left="851"/>
        <w:rPr>
          <w:sz w:val="24"/>
          <w:szCs w:val="24"/>
        </w:rPr>
      </w:pPr>
      <w:r>
        <w:rPr>
          <w:sz w:val="24"/>
          <w:szCs w:val="24"/>
          <w:u w:val="single"/>
        </w:rPr>
        <w:t>Til intravenøs administration</w:t>
      </w:r>
      <w:r>
        <w:rPr>
          <w:sz w:val="24"/>
          <w:szCs w:val="24"/>
        </w:rPr>
        <w:t xml:space="preserve"> skal injektionshætteglasset rekonstitueres og fortyndes med sterilt vand til injektion eller enhver kompatibel opløsning (se pkt. 6.3). For at sikre fuldstændig opløsning efter rekonstitution skal du lade skummet forsvinde for visuelt at inspicere. Dosis kan gives ved </w:t>
      </w:r>
      <w:r>
        <w:rPr>
          <w:sz w:val="24"/>
          <w:szCs w:val="24"/>
          <w:u w:val="single"/>
        </w:rPr>
        <w:t>bolusinjektion</w:t>
      </w:r>
      <w:r>
        <w:rPr>
          <w:sz w:val="24"/>
          <w:szCs w:val="24"/>
        </w:rPr>
        <w:t xml:space="preserve"> over mindst 3 minutter eller kan anvendes i større fortyndinger (50 – 100 ml) som en </w:t>
      </w:r>
      <w:r>
        <w:rPr>
          <w:sz w:val="24"/>
          <w:szCs w:val="24"/>
          <w:u w:val="single"/>
        </w:rPr>
        <w:t>intravenøs infusion</w:t>
      </w:r>
      <w:r>
        <w:rPr>
          <w:sz w:val="24"/>
          <w:szCs w:val="24"/>
        </w:rPr>
        <w:t xml:space="preserve"> over 15-30 minutter.</w:t>
      </w:r>
    </w:p>
    <w:p w14:paraId="30F79760" w14:textId="77777777" w:rsidR="006E7021" w:rsidRPr="006A2898" w:rsidRDefault="006E7021" w:rsidP="006E7021">
      <w:pPr>
        <w:ind w:left="851"/>
        <w:rPr>
          <w:sz w:val="24"/>
          <w:szCs w:val="24"/>
        </w:rPr>
      </w:pPr>
    </w:p>
    <w:p w14:paraId="25770775" w14:textId="77777777" w:rsidR="006E7021" w:rsidRPr="006A2898" w:rsidRDefault="006E7021" w:rsidP="006E7021">
      <w:pPr>
        <w:ind w:left="851"/>
        <w:rPr>
          <w:sz w:val="24"/>
          <w:szCs w:val="24"/>
        </w:rPr>
      </w:pPr>
      <w:r w:rsidRPr="006A2898">
        <w:rPr>
          <w:sz w:val="24"/>
          <w:szCs w:val="24"/>
          <w:u w:val="single"/>
        </w:rPr>
        <w:t>Til intramuskulær administration</w:t>
      </w:r>
      <w:r w:rsidRPr="006A2898">
        <w:rPr>
          <w:sz w:val="24"/>
          <w:szCs w:val="24"/>
        </w:rPr>
        <w:t xml:space="preserve"> anbefales </w:t>
      </w:r>
      <w:r w:rsidRPr="006A2898">
        <w:rPr>
          <w:sz w:val="24"/>
          <w:szCs w:val="24"/>
          <w:u w:val="single"/>
        </w:rPr>
        <w:t>dyb intramuskulær injektion</w:t>
      </w:r>
      <w:r w:rsidRPr="006A2898">
        <w:rPr>
          <w:sz w:val="24"/>
          <w:szCs w:val="24"/>
        </w:rPr>
        <w:t>. For at undgå smerte kan der anvendes 0,5% steril opløsning til injektion af lidocainhydrochlorid til rekonstitution af pulveret (3,2 ml af 0,5% steril opløsning til injektion af lidocainhydrochlorid til styrke 1 g/0,5 g ampicillin/sulbactam og 6,4 ml til styrke 2 g/1 g ampicillin/sulbactam).</w:t>
      </w:r>
    </w:p>
    <w:p w14:paraId="6265D537" w14:textId="77777777" w:rsidR="006E7021" w:rsidRPr="006A2898" w:rsidRDefault="006E7021" w:rsidP="006E7021">
      <w:pPr>
        <w:ind w:left="851"/>
        <w:rPr>
          <w:sz w:val="24"/>
          <w:szCs w:val="24"/>
        </w:rPr>
      </w:pPr>
    </w:p>
    <w:p w14:paraId="77B18448" w14:textId="77777777" w:rsidR="006E7021" w:rsidRPr="006A2898" w:rsidRDefault="006E7021" w:rsidP="006E7021">
      <w:pPr>
        <w:ind w:left="851"/>
        <w:rPr>
          <w:sz w:val="24"/>
          <w:szCs w:val="24"/>
        </w:rPr>
      </w:pPr>
      <w:r w:rsidRPr="006A2898">
        <w:rPr>
          <w:sz w:val="24"/>
          <w:szCs w:val="24"/>
        </w:rPr>
        <w:t>For instruktioner om rekonstitution/fortynding af lægemidlet før administration, se pkt. 6.6 og 6.3.</w:t>
      </w:r>
    </w:p>
    <w:p w14:paraId="4FB647BA" w14:textId="77777777" w:rsidR="009260DE" w:rsidRPr="006A2898" w:rsidRDefault="009260DE" w:rsidP="009260DE">
      <w:pPr>
        <w:tabs>
          <w:tab w:val="left" w:pos="851"/>
        </w:tabs>
        <w:ind w:left="851"/>
        <w:rPr>
          <w:sz w:val="24"/>
          <w:szCs w:val="24"/>
        </w:rPr>
      </w:pPr>
    </w:p>
    <w:p w14:paraId="1EEA793F" w14:textId="77777777" w:rsidR="009260DE" w:rsidRPr="006A2898" w:rsidRDefault="009260DE" w:rsidP="009260DE">
      <w:pPr>
        <w:tabs>
          <w:tab w:val="left" w:pos="851"/>
        </w:tabs>
        <w:ind w:left="851" w:hanging="851"/>
        <w:rPr>
          <w:b/>
          <w:sz w:val="24"/>
          <w:szCs w:val="24"/>
        </w:rPr>
      </w:pPr>
      <w:r w:rsidRPr="006A2898">
        <w:rPr>
          <w:b/>
          <w:sz w:val="24"/>
          <w:szCs w:val="24"/>
        </w:rPr>
        <w:t>4.3</w:t>
      </w:r>
      <w:r w:rsidRPr="006A2898">
        <w:rPr>
          <w:b/>
          <w:sz w:val="24"/>
          <w:szCs w:val="24"/>
        </w:rPr>
        <w:tab/>
        <w:t>Kontraindikationer</w:t>
      </w:r>
    </w:p>
    <w:p w14:paraId="66AC87CC" w14:textId="77777777" w:rsidR="006E7021" w:rsidRPr="0083270E" w:rsidRDefault="006E7021" w:rsidP="006A2898">
      <w:pPr>
        <w:pStyle w:val="Listeafsnit"/>
        <w:numPr>
          <w:ilvl w:val="0"/>
          <w:numId w:val="10"/>
        </w:numPr>
        <w:spacing w:line="240" w:lineRule="auto"/>
        <w:ind w:left="1276" w:hanging="425"/>
        <w:rPr>
          <w:sz w:val="24"/>
          <w:szCs w:val="24"/>
          <w:lang w:val="da-DK"/>
        </w:rPr>
      </w:pPr>
      <w:r w:rsidRPr="0083270E">
        <w:rPr>
          <w:sz w:val="24"/>
          <w:szCs w:val="24"/>
          <w:lang w:val="da-DK"/>
        </w:rPr>
        <w:t xml:space="preserve">Overfølsomhed over for de aktive stoffer. </w:t>
      </w:r>
    </w:p>
    <w:p w14:paraId="03E294EC" w14:textId="77777777" w:rsidR="006E7021" w:rsidRPr="0083270E" w:rsidRDefault="006E7021" w:rsidP="006A2898">
      <w:pPr>
        <w:pStyle w:val="Listeafsnit"/>
        <w:numPr>
          <w:ilvl w:val="0"/>
          <w:numId w:val="10"/>
        </w:numPr>
        <w:spacing w:line="240" w:lineRule="auto"/>
        <w:ind w:left="1276" w:hanging="425"/>
        <w:rPr>
          <w:sz w:val="24"/>
          <w:szCs w:val="24"/>
          <w:lang w:val="da-DK"/>
        </w:rPr>
      </w:pPr>
      <w:r w:rsidRPr="0083270E">
        <w:rPr>
          <w:sz w:val="24"/>
          <w:szCs w:val="24"/>
          <w:lang w:val="da-DK"/>
        </w:rPr>
        <w:t>Overfølsomhed over for andre penicilliner.</w:t>
      </w:r>
    </w:p>
    <w:p w14:paraId="2677E639" w14:textId="77777777" w:rsidR="006E7021" w:rsidRPr="0083270E" w:rsidRDefault="006E7021" w:rsidP="006A2898">
      <w:pPr>
        <w:pStyle w:val="Listeafsnit"/>
        <w:numPr>
          <w:ilvl w:val="0"/>
          <w:numId w:val="10"/>
        </w:numPr>
        <w:spacing w:line="240" w:lineRule="auto"/>
        <w:ind w:left="1276" w:hanging="425"/>
        <w:rPr>
          <w:sz w:val="24"/>
          <w:szCs w:val="24"/>
          <w:lang w:val="da-DK"/>
        </w:rPr>
      </w:pPr>
      <w:r w:rsidRPr="0083270E">
        <w:rPr>
          <w:sz w:val="24"/>
          <w:szCs w:val="24"/>
          <w:lang w:val="da-DK"/>
        </w:rPr>
        <w:t>Anamnese med svære umiddelbare overfølsomhedsreaktioner (f.eks. anafylaksi) over for andre beta-laktamer (f.eks. cefalosporin, carbapenem eller monobactam).</w:t>
      </w:r>
    </w:p>
    <w:p w14:paraId="60C7CCEE" w14:textId="77777777" w:rsidR="006E7021" w:rsidRPr="0083270E" w:rsidRDefault="006E7021" w:rsidP="006A2898">
      <w:pPr>
        <w:pStyle w:val="Listeafsnit"/>
        <w:numPr>
          <w:ilvl w:val="0"/>
          <w:numId w:val="10"/>
        </w:numPr>
        <w:spacing w:line="240" w:lineRule="auto"/>
        <w:ind w:left="1276" w:hanging="425"/>
        <w:rPr>
          <w:sz w:val="24"/>
          <w:szCs w:val="24"/>
          <w:lang w:val="da-DK"/>
        </w:rPr>
      </w:pPr>
      <w:r w:rsidRPr="0083270E">
        <w:rPr>
          <w:sz w:val="24"/>
          <w:szCs w:val="24"/>
          <w:lang w:val="da-DK"/>
        </w:rPr>
        <w:t>Anamnese med leverskade efter ampicillin.</w:t>
      </w:r>
    </w:p>
    <w:p w14:paraId="6C0DB773" w14:textId="77777777" w:rsidR="006E7021" w:rsidRPr="006A2898" w:rsidRDefault="006E7021" w:rsidP="006E7021">
      <w:pPr>
        <w:ind w:left="851"/>
        <w:rPr>
          <w:sz w:val="24"/>
          <w:szCs w:val="24"/>
        </w:rPr>
      </w:pPr>
    </w:p>
    <w:p w14:paraId="6543B3AE" w14:textId="77777777" w:rsidR="006E7021" w:rsidRPr="006A2898" w:rsidRDefault="006E7021" w:rsidP="006E7021">
      <w:pPr>
        <w:ind w:left="851"/>
        <w:rPr>
          <w:sz w:val="24"/>
          <w:szCs w:val="24"/>
        </w:rPr>
      </w:pPr>
      <w:r w:rsidRPr="006A2898">
        <w:rPr>
          <w:sz w:val="24"/>
          <w:szCs w:val="24"/>
        </w:rPr>
        <w:t>Ved intramuskulær administration skal kontraindikationerne for lidocain overholdes.</w:t>
      </w:r>
    </w:p>
    <w:p w14:paraId="7151129E" w14:textId="77777777" w:rsidR="006E7021" w:rsidRPr="006A2898" w:rsidRDefault="006E7021" w:rsidP="006E7021">
      <w:pPr>
        <w:ind w:left="851"/>
        <w:rPr>
          <w:sz w:val="24"/>
          <w:szCs w:val="24"/>
        </w:rPr>
      </w:pPr>
      <w:bookmarkStart w:id="2" w:name="_Hlk72415982"/>
    </w:p>
    <w:p w14:paraId="4E4433A1" w14:textId="04A1E6AD" w:rsidR="006E7021" w:rsidRPr="006A2898" w:rsidRDefault="006E7021" w:rsidP="006E7021">
      <w:pPr>
        <w:ind w:left="851"/>
        <w:rPr>
          <w:snapToGrid w:val="0"/>
          <w:sz w:val="24"/>
          <w:szCs w:val="24"/>
        </w:rPr>
      </w:pPr>
      <w:r w:rsidRPr="006A2898">
        <w:rPr>
          <w:sz w:val="24"/>
          <w:szCs w:val="24"/>
        </w:rPr>
        <w:t xml:space="preserve">Intramuskulær administration af </w:t>
      </w:r>
      <w:r w:rsidR="006A2898">
        <w:rPr>
          <w:sz w:val="24"/>
          <w:szCs w:val="24"/>
        </w:rPr>
        <w:t>Ampicillin/Sulbactam "Aptapharma"</w:t>
      </w:r>
      <w:r w:rsidRPr="006A2898">
        <w:rPr>
          <w:sz w:val="24"/>
          <w:szCs w:val="24"/>
        </w:rPr>
        <w:t xml:space="preserve"> er kontraindiceret hos børn under 2 år.</w:t>
      </w:r>
      <w:bookmarkEnd w:id="2"/>
    </w:p>
    <w:p w14:paraId="6813669B" w14:textId="77777777" w:rsidR="009260DE" w:rsidRPr="006A2898" w:rsidRDefault="009260DE" w:rsidP="009260DE">
      <w:pPr>
        <w:tabs>
          <w:tab w:val="left" w:pos="851"/>
        </w:tabs>
        <w:ind w:left="851"/>
        <w:rPr>
          <w:sz w:val="24"/>
          <w:szCs w:val="24"/>
        </w:rPr>
      </w:pPr>
    </w:p>
    <w:p w14:paraId="4B542B70" w14:textId="77777777" w:rsidR="009260DE" w:rsidRPr="006A2898" w:rsidRDefault="009260DE" w:rsidP="009260DE">
      <w:pPr>
        <w:tabs>
          <w:tab w:val="left" w:pos="851"/>
        </w:tabs>
        <w:ind w:left="851" w:hanging="851"/>
        <w:rPr>
          <w:b/>
          <w:sz w:val="24"/>
          <w:szCs w:val="24"/>
        </w:rPr>
      </w:pPr>
      <w:r w:rsidRPr="006A2898">
        <w:rPr>
          <w:b/>
          <w:sz w:val="24"/>
          <w:szCs w:val="24"/>
        </w:rPr>
        <w:t>4.4</w:t>
      </w:r>
      <w:r w:rsidRPr="006A2898">
        <w:rPr>
          <w:b/>
          <w:sz w:val="24"/>
          <w:szCs w:val="24"/>
        </w:rPr>
        <w:tab/>
        <w:t>Særlige advarsler og forsigtighedsregler vedrørende brugen</w:t>
      </w:r>
    </w:p>
    <w:p w14:paraId="36832C4F" w14:textId="77777777" w:rsidR="000F2F7B" w:rsidRDefault="000F2F7B" w:rsidP="000F2F7B">
      <w:pPr>
        <w:ind w:left="851"/>
        <w:rPr>
          <w:sz w:val="24"/>
          <w:szCs w:val="24"/>
        </w:rPr>
      </w:pPr>
      <w:r>
        <w:rPr>
          <w:sz w:val="24"/>
          <w:szCs w:val="24"/>
        </w:rPr>
        <w:t xml:space="preserve">Der er rapporteret alvorlige og til tider dødelige overfølsomhedsreaktioner (anafylaktiske) hos patienter i penicillinbehandling, herunder ampicillin/sulbactam. Disse reaktioner er mere almindelige hos personer med overfølsomhed over for penicillin og/eller overfølsomhedsreaktioner over for flere allergener i anamnesen. </w:t>
      </w:r>
    </w:p>
    <w:p w14:paraId="467A759B" w14:textId="77777777" w:rsidR="006E7021" w:rsidRPr="006A2898" w:rsidRDefault="006E7021" w:rsidP="006E7021">
      <w:pPr>
        <w:ind w:left="851"/>
        <w:rPr>
          <w:sz w:val="24"/>
          <w:szCs w:val="24"/>
        </w:rPr>
      </w:pPr>
    </w:p>
    <w:p w14:paraId="62FE8AE1" w14:textId="77777777" w:rsidR="006E7021" w:rsidRPr="006A2898" w:rsidRDefault="006E7021" w:rsidP="006E7021">
      <w:pPr>
        <w:ind w:left="851"/>
        <w:rPr>
          <w:sz w:val="24"/>
          <w:szCs w:val="24"/>
        </w:rPr>
      </w:pPr>
      <w:r w:rsidRPr="006A2898">
        <w:rPr>
          <w:sz w:val="24"/>
          <w:szCs w:val="24"/>
        </w:rPr>
        <w:t>Der er rapporteret om personer med overfølsomhed over for penicillin i anamnesen, som har oplevet svære reaktioner, når de blev behandlet med cefalosporiner. Før behandling med et penicillin skal der foretages omhyggelig undersøgelse vedrørende tidligere overfølsomhedsreaktioner over for penicilliner, cefalosporiner og andre allergener. Hvis en allergisk reaktion opstår, skal lægemidlet seponeres, og den relevante behandling iværksættes.</w:t>
      </w:r>
    </w:p>
    <w:p w14:paraId="5A22D631" w14:textId="77777777" w:rsidR="006E7021" w:rsidRPr="006A2898" w:rsidRDefault="006E7021" w:rsidP="006E7021">
      <w:pPr>
        <w:ind w:left="851"/>
        <w:rPr>
          <w:sz w:val="24"/>
          <w:szCs w:val="24"/>
        </w:rPr>
      </w:pPr>
    </w:p>
    <w:p w14:paraId="05800AB1" w14:textId="77777777" w:rsidR="006E7021" w:rsidRPr="006A2898" w:rsidRDefault="006E7021" w:rsidP="006E7021">
      <w:pPr>
        <w:ind w:left="851"/>
        <w:rPr>
          <w:sz w:val="24"/>
          <w:szCs w:val="24"/>
        </w:rPr>
      </w:pPr>
      <w:r w:rsidRPr="006A2898">
        <w:rPr>
          <w:sz w:val="24"/>
          <w:szCs w:val="24"/>
        </w:rPr>
        <w:t>Alvorlige anafylaktiske reaktioner kræver øjeblikkelig akut behandling med adrenalin. Ilt, intravenøse steroider og luftvejshåndtering, herunder intubation, skal administreres som indiceret.</w:t>
      </w:r>
    </w:p>
    <w:p w14:paraId="1C26E991" w14:textId="77777777" w:rsidR="006E7021" w:rsidRPr="006A2898" w:rsidRDefault="006E7021" w:rsidP="006E7021">
      <w:pPr>
        <w:ind w:left="851"/>
        <w:rPr>
          <w:sz w:val="24"/>
          <w:szCs w:val="24"/>
        </w:rPr>
      </w:pPr>
    </w:p>
    <w:p w14:paraId="1BDB1B2C" w14:textId="77777777" w:rsidR="006E7021" w:rsidRPr="006A2898" w:rsidRDefault="006E7021" w:rsidP="006E7021">
      <w:pPr>
        <w:ind w:left="851"/>
        <w:rPr>
          <w:sz w:val="24"/>
          <w:szCs w:val="24"/>
        </w:rPr>
      </w:pPr>
      <w:r w:rsidRPr="006A2898">
        <w:rPr>
          <w:sz w:val="24"/>
          <w:szCs w:val="24"/>
        </w:rPr>
        <w:t>Der er rapporteret alvorlige hudreaktioner, såsom toksisk epidermal nekrolyse (TEN), Stevens-Johnson syndrom (SJS), eksfoliativ dermatitis, erythema multiforme og akut generaliseret eksantematøs pustulose (AGEP) hos patienter i ampicillin/sulbactam-behandling. Hvis en alvorlig hudreaktion opstår, skal ampicillin/sulbactam seponeres, og passende behandling skal initieres (se pkt. 4.8).</w:t>
      </w:r>
    </w:p>
    <w:p w14:paraId="3FAE2301" w14:textId="77777777" w:rsidR="006E7021" w:rsidRPr="006A2898" w:rsidRDefault="006E7021" w:rsidP="006E7021">
      <w:pPr>
        <w:ind w:left="851"/>
        <w:rPr>
          <w:sz w:val="24"/>
          <w:szCs w:val="24"/>
        </w:rPr>
      </w:pPr>
    </w:p>
    <w:p w14:paraId="1681A3CC" w14:textId="77777777" w:rsidR="006E7021" w:rsidRPr="006A2898" w:rsidRDefault="006E7021" w:rsidP="006E7021">
      <w:pPr>
        <w:ind w:left="851"/>
        <w:rPr>
          <w:sz w:val="24"/>
          <w:szCs w:val="24"/>
        </w:rPr>
      </w:pPr>
      <w:r w:rsidRPr="006A2898">
        <w:rPr>
          <w:sz w:val="24"/>
          <w:szCs w:val="24"/>
        </w:rPr>
        <w:t>Som med ethvert antibiotisk præparat er konstant observation for tegn på overvækst af ikke-følsomme organismer, herunder svampe, afgørende. Hvis superinfektion opstår, skal lægemidlet seponeres og/eller passende behandling iværksættes.</w:t>
      </w:r>
    </w:p>
    <w:p w14:paraId="06759910" w14:textId="77777777" w:rsidR="006E7021" w:rsidRPr="006A2898" w:rsidRDefault="006E7021" w:rsidP="006E7021">
      <w:pPr>
        <w:ind w:left="851"/>
        <w:rPr>
          <w:sz w:val="24"/>
          <w:szCs w:val="24"/>
        </w:rPr>
      </w:pPr>
    </w:p>
    <w:p w14:paraId="71BC0D2E" w14:textId="77777777" w:rsidR="000F2F7B" w:rsidRDefault="000F2F7B" w:rsidP="000F2F7B">
      <w:pPr>
        <w:ind w:left="851"/>
        <w:rPr>
          <w:i/>
          <w:sz w:val="24"/>
          <w:szCs w:val="24"/>
        </w:rPr>
      </w:pPr>
      <w:r>
        <w:rPr>
          <w:i/>
          <w:iCs/>
          <w:sz w:val="24"/>
          <w:szCs w:val="24"/>
        </w:rPr>
        <w:t xml:space="preserve">Clostridioides </w:t>
      </w:r>
      <w:r>
        <w:rPr>
          <w:i/>
          <w:sz w:val="24"/>
          <w:szCs w:val="24"/>
        </w:rPr>
        <w:t xml:space="preserve">difficile-associeret </w:t>
      </w:r>
      <w:r>
        <w:rPr>
          <w:sz w:val="24"/>
          <w:szCs w:val="24"/>
        </w:rPr>
        <w:t xml:space="preserve">diarré (CDAD) er blevet rapporteret ved brug af næsten alle antibakterielle midler, herunder sulbactamnatrium/ampicillinnatrium, og kan variere i sværhedsgrad fra mild diarré til dødelig colitis. Behandling med antibakterielle midler ændrer den normale flora i tyktarmen, hvilket fører til overvækst af </w:t>
      </w:r>
      <w:r>
        <w:rPr>
          <w:i/>
          <w:sz w:val="24"/>
          <w:szCs w:val="24"/>
        </w:rPr>
        <w:t>C. difficile.</w:t>
      </w:r>
    </w:p>
    <w:p w14:paraId="5652A2B5" w14:textId="77777777" w:rsidR="000F2F7B" w:rsidRDefault="000F2F7B" w:rsidP="000F2F7B">
      <w:pPr>
        <w:ind w:left="851"/>
        <w:rPr>
          <w:i/>
          <w:sz w:val="24"/>
          <w:szCs w:val="24"/>
        </w:rPr>
      </w:pPr>
    </w:p>
    <w:p w14:paraId="3B38E37A" w14:textId="77777777" w:rsidR="000F2F7B" w:rsidRDefault="000F2F7B" w:rsidP="000F2F7B">
      <w:pPr>
        <w:ind w:left="851"/>
        <w:rPr>
          <w:sz w:val="24"/>
          <w:szCs w:val="24"/>
        </w:rPr>
      </w:pPr>
      <w:r>
        <w:rPr>
          <w:i/>
          <w:iCs/>
          <w:sz w:val="24"/>
          <w:szCs w:val="24"/>
        </w:rPr>
        <w:t xml:space="preserve">Clostridioides </w:t>
      </w:r>
      <w:r>
        <w:rPr>
          <w:i/>
          <w:sz w:val="24"/>
          <w:szCs w:val="24"/>
        </w:rPr>
        <w:t xml:space="preserve">difficile </w:t>
      </w:r>
      <w:r>
        <w:rPr>
          <w:sz w:val="24"/>
          <w:szCs w:val="24"/>
        </w:rPr>
        <w:t xml:space="preserve">producerer toksin A og B, som bidrager til udviklingen af CDAD. Hypertoksinproducerende stammer af </w:t>
      </w:r>
      <w:r>
        <w:rPr>
          <w:i/>
          <w:iCs/>
          <w:sz w:val="24"/>
          <w:szCs w:val="24"/>
        </w:rPr>
        <w:t>Clostridioides</w:t>
      </w:r>
      <w:r>
        <w:rPr>
          <w:i/>
          <w:sz w:val="24"/>
          <w:szCs w:val="24"/>
        </w:rPr>
        <w:t xml:space="preserve"> difficile </w:t>
      </w:r>
      <w:r>
        <w:rPr>
          <w:sz w:val="24"/>
          <w:szCs w:val="24"/>
        </w:rPr>
        <w:t>forårsager øget morbiditet og dødelighed, da disse infektioner kan være refraktære over for antimikrobiel behandling og kan kræve kolektomi. CDAD skal overvejes hos alle patienter, der får diarré efter brug af antibiotika. En grundig medicinsk historik er nødvendig, da CDAD er rapporteret at forekomme mere end 2 måneder efter administrationen af antibakterielle midler.</w:t>
      </w:r>
    </w:p>
    <w:p w14:paraId="6FDF0F60" w14:textId="77777777" w:rsidR="006E7021" w:rsidRPr="006A2898" w:rsidRDefault="006E7021" w:rsidP="006E7021">
      <w:pPr>
        <w:ind w:left="851"/>
        <w:rPr>
          <w:sz w:val="24"/>
          <w:szCs w:val="24"/>
        </w:rPr>
      </w:pPr>
    </w:p>
    <w:p w14:paraId="5B5DC451" w14:textId="7A061E37" w:rsidR="006E7021" w:rsidRPr="006A2898" w:rsidRDefault="006E7021" w:rsidP="006E7021">
      <w:pPr>
        <w:ind w:left="851"/>
        <w:rPr>
          <w:sz w:val="24"/>
          <w:szCs w:val="24"/>
        </w:rPr>
      </w:pPr>
      <w:r w:rsidRPr="006A2898">
        <w:rPr>
          <w:sz w:val="24"/>
          <w:szCs w:val="24"/>
        </w:rPr>
        <w:t xml:space="preserve">Som med enhver udvidet behandling anbefales det under </w:t>
      </w:r>
      <w:r w:rsidR="006A2898">
        <w:rPr>
          <w:sz w:val="24"/>
          <w:szCs w:val="24"/>
        </w:rPr>
        <w:t>Ampicillin/Sulbactam "Aptapharma"</w:t>
      </w:r>
      <w:r w:rsidRPr="006A2898">
        <w:rPr>
          <w:sz w:val="24"/>
          <w:szCs w:val="24"/>
        </w:rPr>
        <w:t>-behandlingen regelmæssigt at kontrollere for dysfunktion i nyre-, lever- og hæmatopoietiske systemer, især hos nyfødte, for tidligt fødte og andre spædbørn.</w:t>
      </w:r>
    </w:p>
    <w:p w14:paraId="37414DBD" w14:textId="77777777" w:rsidR="006E7021" w:rsidRPr="006A2898" w:rsidRDefault="006E7021" w:rsidP="006E7021">
      <w:pPr>
        <w:ind w:left="851"/>
        <w:rPr>
          <w:sz w:val="24"/>
          <w:szCs w:val="24"/>
        </w:rPr>
      </w:pPr>
    </w:p>
    <w:p w14:paraId="5F501E3B" w14:textId="77777777" w:rsidR="006E7021" w:rsidRPr="006A2898" w:rsidRDefault="006E7021" w:rsidP="006E7021">
      <w:pPr>
        <w:ind w:left="851"/>
        <w:rPr>
          <w:sz w:val="24"/>
          <w:szCs w:val="24"/>
        </w:rPr>
      </w:pPr>
      <w:r w:rsidRPr="006A2898">
        <w:rPr>
          <w:sz w:val="24"/>
          <w:szCs w:val="24"/>
        </w:rPr>
        <w:lastRenderedPageBreak/>
        <w:t xml:space="preserve">Lægemiddelinducerede levertraumer såsom kolestatisk hepatitis og gulsot er blevet forbundet med brugen af ampicillin/sulbactam. Patienter skal rådes til at kontakte deres læge, hvis tegn og symptomer på leversygdom udvikler sig. </w:t>
      </w:r>
    </w:p>
    <w:p w14:paraId="1FA49DB8" w14:textId="77777777" w:rsidR="006E7021" w:rsidRPr="006A2898" w:rsidRDefault="006E7021" w:rsidP="006E7021">
      <w:pPr>
        <w:ind w:left="851"/>
        <w:rPr>
          <w:sz w:val="24"/>
          <w:szCs w:val="24"/>
        </w:rPr>
      </w:pPr>
    </w:p>
    <w:p w14:paraId="09435EFC" w14:textId="77777777" w:rsidR="006E7021" w:rsidRPr="006A2898" w:rsidRDefault="006E7021" w:rsidP="006E7021">
      <w:pPr>
        <w:ind w:left="851"/>
        <w:rPr>
          <w:sz w:val="24"/>
          <w:szCs w:val="24"/>
        </w:rPr>
      </w:pPr>
      <w:r w:rsidRPr="006A2898">
        <w:rPr>
          <w:sz w:val="24"/>
          <w:szCs w:val="24"/>
        </w:rPr>
        <w:t>Da infektiøs mononukleose er af viral oprindelse, bør ampicillin/sulbactam ikke anvendes til behandlingen af det. En høj procentdel af patienter med mononukleose, der fik ampicillin, har udviklet et hududslæt. Ampicillinudslæt forekommer ofte også hos patienter med lymfatisk leukæmi.</w:t>
      </w:r>
    </w:p>
    <w:p w14:paraId="789F936E" w14:textId="77777777" w:rsidR="006E7021" w:rsidRPr="006A2898" w:rsidRDefault="006E7021" w:rsidP="006E7021">
      <w:pPr>
        <w:ind w:left="851"/>
        <w:rPr>
          <w:sz w:val="24"/>
          <w:szCs w:val="24"/>
        </w:rPr>
      </w:pPr>
    </w:p>
    <w:p w14:paraId="1CE7D168" w14:textId="4C550372" w:rsidR="006E7021" w:rsidRPr="006A2898" w:rsidRDefault="006A2898" w:rsidP="006E7021">
      <w:pPr>
        <w:ind w:left="851"/>
        <w:rPr>
          <w:sz w:val="24"/>
          <w:szCs w:val="24"/>
          <w:u w:val="single"/>
        </w:rPr>
      </w:pPr>
      <w:r>
        <w:rPr>
          <w:sz w:val="24"/>
          <w:szCs w:val="24"/>
          <w:u w:val="single"/>
        </w:rPr>
        <w:t>Ampicillin/Sulbactam "Aptapharma"</w:t>
      </w:r>
      <w:r w:rsidR="006E7021" w:rsidRPr="006A2898">
        <w:rPr>
          <w:sz w:val="24"/>
          <w:szCs w:val="24"/>
          <w:u w:val="single"/>
        </w:rPr>
        <w:t xml:space="preserve"> 1 g/0,5 g </w:t>
      </w:r>
    </w:p>
    <w:p w14:paraId="045952BC" w14:textId="77777777" w:rsidR="006E7021" w:rsidRPr="006A2898" w:rsidRDefault="006E7021" w:rsidP="006E7021">
      <w:pPr>
        <w:ind w:left="851"/>
        <w:rPr>
          <w:rFonts w:eastAsia="Arial"/>
          <w:sz w:val="24"/>
          <w:szCs w:val="24"/>
        </w:rPr>
      </w:pPr>
      <w:r w:rsidRPr="006A2898">
        <w:rPr>
          <w:sz w:val="24"/>
          <w:szCs w:val="24"/>
        </w:rPr>
        <w:t>Dette lægemiddel indeholder 115 mg (5 mmol) natrium pr. hætteglas, svarende til 5,75 % af den WHO anbefalede maksimale daglige indtagelse af 2 g natrium for en voksen.</w:t>
      </w:r>
    </w:p>
    <w:p w14:paraId="71C7A280" w14:textId="77777777" w:rsidR="006E7021" w:rsidRPr="006A2898" w:rsidRDefault="006E7021" w:rsidP="006E7021">
      <w:pPr>
        <w:ind w:left="851"/>
        <w:rPr>
          <w:rFonts w:eastAsia="Calibri"/>
          <w:sz w:val="24"/>
          <w:szCs w:val="24"/>
        </w:rPr>
      </w:pPr>
    </w:p>
    <w:p w14:paraId="12B20F26" w14:textId="5352F536" w:rsidR="006E7021" w:rsidRPr="006A2898" w:rsidRDefault="006A2898" w:rsidP="006E7021">
      <w:pPr>
        <w:ind w:left="851"/>
        <w:rPr>
          <w:sz w:val="24"/>
          <w:szCs w:val="24"/>
          <w:u w:val="single"/>
        </w:rPr>
      </w:pPr>
      <w:r>
        <w:rPr>
          <w:sz w:val="24"/>
          <w:szCs w:val="24"/>
          <w:u w:val="single"/>
        </w:rPr>
        <w:t>Ampicillin/Sulbactam "Aptapharma"</w:t>
      </w:r>
      <w:r w:rsidR="006E7021" w:rsidRPr="006A2898">
        <w:rPr>
          <w:sz w:val="24"/>
          <w:szCs w:val="24"/>
          <w:u w:val="single"/>
        </w:rPr>
        <w:t xml:space="preserve"> 2 g/1 g </w:t>
      </w:r>
    </w:p>
    <w:p w14:paraId="53FBE804" w14:textId="77777777" w:rsidR="006E7021" w:rsidRPr="006A2898" w:rsidRDefault="006E7021" w:rsidP="006E7021">
      <w:pPr>
        <w:ind w:left="851"/>
        <w:rPr>
          <w:rFonts w:eastAsia="Arial"/>
          <w:sz w:val="24"/>
          <w:szCs w:val="24"/>
        </w:rPr>
      </w:pPr>
      <w:r w:rsidRPr="006A2898">
        <w:rPr>
          <w:sz w:val="24"/>
          <w:szCs w:val="24"/>
        </w:rPr>
        <w:t>Dette lægemiddel indeholder 230 mg (10 mmol) natrium pr. hætteglas, svarende til 11,5 % af den WHO anbefalede maksimale daglige indtagelse af 2 g natrium for en voksen.</w:t>
      </w:r>
    </w:p>
    <w:p w14:paraId="6132887F" w14:textId="77777777" w:rsidR="006A2898" w:rsidRDefault="006A2898" w:rsidP="006E7021">
      <w:pPr>
        <w:ind w:left="851"/>
        <w:rPr>
          <w:sz w:val="24"/>
          <w:szCs w:val="24"/>
        </w:rPr>
      </w:pPr>
    </w:p>
    <w:p w14:paraId="70B96271" w14:textId="6831FFE3" w:rsidR="006E7021" w:rsidRPr="006A2898" w:rsidRDefault="006E7021" w:rsidP="006E7021">
      <w:pPr>
        <w:ind w:left="851"/>
        <w:rPr>
          <w:sz w:val="24"/>
          <w:szCs w:val="24"/>
        </w:rPr>
      </w:pPr>
      <w:r w:rsidRPr="006A2898">
        <w:rPr>
          <w:sz w:val="24"/>
          <w:szCs w:val="24"/>
        </w:rPr>
        <w:t>En maksimal daglig dosis på 12 g (8 g ampicillin og 4 g sulbactam) (se pkt. 4.2) vil resultere i et natriumindtag på 920,8 mg, hvilket svarer til 46 % af den WHO anbefalede maksimale daglige indtagelse af natrium og anses som ”højdosis” natrium. Natriumindholdet i dette lægemiddel skal især tages i betragtning hos patienter på en kontrolleret natriumdiæt.</w:t>
      </w:r>
    </w:p>
    <w:p w14:paraId="3A8EB527" w14:textId="77777777" w:rsidR="009260DE" w:rsidRPr="006A2898" w:rsidRDefault="009260DE" w:rsidP="009260DE">
      <w:pPr>
        <w:tabs>
          <w:tab w:val="left" w:pos="851"/>
        </w:tabs>
        <w:ind w:left="851"/>
        <w:rPr>
          <w:sz w:val="24"/>
          <w:szCs w:val="24"/>
        </w:rPr>
      </w:pPr>
    </w:p>
    <w:p w14:paraId="0FC86F90" w14:textId="77777777" w:rsidR="009260DE" w:rsidRPr="006A2898" w:rsidRDefault="009260DE" w:rsidP="009260DE">
      <w:pPr>
        <w:tabs>
          <w:tab w:val="left" w:pos="851"/>
        </w:tabs>
        <w:ind w:left="851" w:hanging="851"/>
        <w:rPr>
          <w:b/>
          <w:sz w:val="24"/>
          <w:szCs w:val="24"/>
        </w:rPr>
      </w:pPr>
      <w:r w:rsidRPr="006A2898">
        <w:rPr>
          <w:b/>
          <w:sz w:val="24"/>
          <w:szCs w:val="24"/>
        </w:rPr>
        <w:t>4.5</w:t>
      </w:r>
      <w:r w:rsidRPr="006A2898">
        <w:rPr>
          <w:b/>
          <w:sz w:val="24"/>
          <w:szCs w:val="24"/>
        </w:rPr>
        <w:tab/>
        <w:t>Interaktion med andre lægemidler og andre former for interaktion</w:t>
      </w:r>
    </w:p>
    <w:p w14:paraId="498C5E9F" w14:textId="77777777" w:rsidR="006A2898" w:rsidRDefault="006A2898" w:rsidP="006E7021">
      <w:pPr>
        <w:ind w:left="851"/>
        <w:rPr>
          <w:sz w:val="24"/>
          <w:szCs w:val="24"/>
        </w:rPr>
      </w:pPr>
    </w:p>
    <w:p w14:paraId="3AE1E2B1" w14:textId="6AAB5297" w:rsidR="006E7021" w:rsidRPr="0083270E" w:rsidRDefault="006E7021" w:rsidP="006E7021">
      <w:pPr>
        <w:ind w:left="851"/>
        <w:rPr>
          <w:i/>
          <w:sz w:val="24"/>
          <w:szCs w:val="24"/>
        </w:rPr>
      </w:pPr>
      <w:r w:rsidRPr="0083270E">
        <w:rPr>
          <w:i/>
          <w:sz w:val="24"/>
          <w:szCs w:val="24"/>
        </w:rPr>
        <w:t>Allopurinol</w:t>
      </w:r>
    </w:p>
    <w:p w14:paraId="06C27101" w14:textId="77777777" w:rsidR="006E7021" w:rsidRPr="006A2898" w:rsidRDefault="006E7021" w:rsidP="006E7021">
      <w:pPr>
        <w:ind w:left="851"/>
        <w:rPr>
          <w:sz w:val="24"/>
          <w:szCs w:val="24"/>
        </w:rPr>
      </w:pPr>
      <w:r w:rsidRPr="006A2898">
        <w:rPr>
          <w:sz w:val="24"/>
          <w:szCs w:val="24"/>
        </w:rPr>
        <w:t xml:space="preserve">Samtidig administration af allopurinol og ampicillin øger forekomsten af udslæt betydeligt hos patienter, der får begge produkter, sammenlignet med patienter, der kun får ampicillin. </w:t>
      </w:r>
    </w:p>
    <w:p w14:paraId="6C75D886" w14:textId="77777777" w:rsidR="006E7021" w:rsidRPr="006A2898" w:rsidRDefault="006E7021" w:rsidP="006E7021">
      <w:pPr>
        <w:ind w:left="851"/>
        <w:rPr>
          <w:i/>
          <w:sz w:val="24"/>
          <w:szCs w:val="24"/>
        </w:rPr>
      </w:pPr>
    </w:p>
    <w:p w14:paraId="0000907C" w14:textId="77777777" w:rsidR="006E7021" w:rsidRPr="0083270E" w:rsidRDefault="006E7021" w:rsidP="006E7021">
      <w:pPr>
        <w:ind w:left="851"/>
        <w:rPr>
          <w:i/>
          <w:sz w:val="24"/>
          <w:szCs w:val="24"/>
        </w:rPr>
      </w:pPr>
      <w:r w:rsidRPr="0083270E">
        <w:rPr>
          <w:i/>
          <w:sz w:val="24"/>
          <w:szCs w:val="24"/>
        </w:rPr>
        <w:t>Aminoglycosider</w:t>
      </w:r>
    </w:p>
    <w:p w14:paraId="30B385A4" w14:textId="77777777" w:rsidR="006E7021" w:rsidRPr="006A2898" w:rsidRDefault="006E7021" w:rsidP="006E7021">
      <w:pPr>
        <w:ind w:left="851"/>
        <w:rPr>
          <w:sz w:val="24"/>
          <w:szCs w:val="24"/>
          <w:u w:val="single"/>
        </w:rPr>
      </w:pPr>
      <w:r w:rsidRPr="006A2898">
        <w:rPr>
          <w:sz w:val="24"/>
          <w:szCs w:val="24"/>
        </w:rPr>
        <w:t xml:space="preserve">Blanding af ampicillin med aminoglycosider </w:t>
      </w:r>
      <w:r w:rsidRPr="006A2898">
        <w:rPr>
          <w:i/>
          <w:sz w:val="24"/>
          <w:szCs w:val="24"/>
        </w:rPr>
        <w:t xml:space="preserve">in vitro </w:t>
      </w:r>
      <w:r w:rsidRPr="006A2898">
        <w:rPr>
          <w:sz w:val="24"/>
          <w:szCs w:val="24"/>
        </w:rPr>
        <w:t>har resulteret i væsentlig gensidig inaktivering. Hvis disse grupper af antibakterielle midler skal administreres samtidigt, skal de administreres på separate steder med mindst 1 times mellemrum (se pkt. 6.2)</w:t>
      </w:r>
    </w:p>
    <w:p w14:paraId="721ABEF1" w14:textId="77777777" w:rsidR="006E7021" w:rsidRPr="006A2898" w:rsidRDefault="006E7021" w:rsidP="006E7021">
      <w:pPr>
        <w:ind w:left="851"/>
        <w:rPr>
          <w:sz w:val="24"/>
          <w:szCs w:val="24"/>
          <w:u w:val="single"/>
        </w:rPr>
      </w:pPr>
    </w:p>
    <w:p w14:paraId="071C0D6E" w14:textId="77777777" w:rsidR="006E7021" w:rsidRPr="0083270E" w:rsidRDefault="006E7021" w:rsidP="006E7021">
      <w:pPr>
        <w:ind w:left="851"/>
        <w:rPr>
          <w:i/>
          <w:sz w:val="24"/>
          <w:szCs w:val="24"/>
        </w:rPr>
      </w:pPr>
      <w:r w:rsidRPr="0083270E">
        <w:rPr>
          <w:i/>
          <w:sz w:val="24"/>
          <w:szCs w:val="24"/>
        </w:rPr>
        <w:t>Antikoagulantia</w:t>
      </w:r>
    </w:p>
    <w:p w14:paraId="5A3BDB66" w14:textId="77777777" w:rsidR="006E7021" w:rsidRPr="006A2898" w:rsidRDefault="006E7021" w:rsidP="006E7021">
      <w:pPr>
        <w:ind w:left="851"/>
        <w:rPr>
          <w:sz w:val="24"/>
          <w:szCs w:val="24"/>
        </w:rPr>
      </w:pPr>
      <w:r w:rsidRPr="006A2898">
        <w:rPr>
          <w:sz w:val="24"/>
          <w:szCs w:val="24"/>
        </w:rPr>
        <w:t>Parenterale penicilliner kan producere ændringer i trombocytaggregations- og koagulationstest. Disse virkninger kan være additive med antikoagulantia.</w:t>
      </w:r>
    </w:p>
    <w:p w14:paraId="455CB8DD" w14:textId="77777777" w:rsidR="006E7021" w:rsidRPr="006A2898" w:rsidRDefault="006E7021" w:rsidP="006E7021">
      <w:pPr>
        <w:ind w:left="851"/>
        <w:rPr>
          <w:sz w:val="24"/>
          <w:szCs w:val="24"/>
        </w:rPr>
      </w:pPr>
    </w:p>
    <w:p w14:paraId="112CC3D7" w14:textId="77777777" w:rsidR="006E7021" w:rsidRPr="0083270E" w:rsidRDefault="006E7021" w:rsidP="006E7021">
      <w:pPr>
        <w:ind w:left="851"/>
        <w:rPr>
          <w:i/>
          <w:sz w:val="24"/>
          <w:szCs w:val="24"/>
        </w:rPr>
      </w:pPr>
      <w:r w:rsidRPr="0083270E">
        <w:rPr>
          <w:i/>
          <w:sz w:val="24"/>
          <w:szCs w:val="24"/>
        </w:rPr>
        <w:t>Bakteriostatiske lægemidler (chloramphenicol, erythromycin, sulfonamider og tetracykliner)</w:t>
      </w:r>
    </w:p>
    <w:p w14:paraId="7D61C281" w14:textId="77777777" w:rsidR="006E7021" w:rsidRPr="006A2898" w:rsidRDefault="006E7021" w:rsidP="006E7021">
      <w:pPr>
        <w:ind w:left="851"/>
        <w:rPr>
          <w:sz w:val="24"/>
          <w:szCs w:val="24"/>
        </w:rPr>
      </w:pPr>
      <w:r w:rsidRPr="006A2898">
        <w:rPr>
          <w:sz w:val="24"/>
          <w:szCs w:val="24"/>
        </w:rPr>
        <w:t>Bakteriostatiske lægemidler kan interferere med penicilliners bakteriedræbende virkning.  Samtidig behandling bør undgås.</w:t>
      </w:r>
    </w:p>
    <w:p w14:paraId="2A6FBFEF" w14:textId="77777777" w:rsidR="006E7021" w:rsidRPr="006A2898" w:rsidRDefault="006E7021" w:rsidP="006E7021">
      <w:pPr>
        <w:ind w:left="851"/>
        <w:rPr>
          <w:sz w:val="24"/>
          <w:szCs w:val="24"/>
          <w:u w:val="single"/>
        </w:rPr>
      </w:pPr>
    </w:p>
    <w:p w14:paraId="1C22EB0D" w14:textId="77777777" w:rsidR="006E7021" w:rsidRPr="0083270E" w:rsidRDefault="006E7021" w:rsidP="006E7021">
      <w:pPr>
        <w:ind w:left="851"/>
        <w:rPr>
          <w:i/>
          <w:sz w:val="24"/>
          <w:szCs w:val="24"/>
        </w:rPr>
      </w:pPr>
      <w:r w:rsidRPr="0083270E">
        <w:rPr>
          <w:i/>
          <w:sz w:val="24"/>
          <w:szCs w:val="24"/>
        </w:rPr>
        <w:t>Methotrexat</w:t>
      </w:r>
    </w:p>
    <w:p w14:paraId="4F33AFDD" w14:textId="72619809" w:rsidR="00A20A4C" w:rsidRDefault="006E7021" w:rsidP="000F2F7B">
      <w:pPr>
        <w:ind w:left="851"/>
        <w:rPr>
          <w:sz w:val="24"/>
          <w:szCs w:val="24"/>
        </w:rPr>
      </w:pPr>
      <w:r w:rsidRPr="006A2898">
        <w:rPr>
          <w:sz w:val="24"/>
          <w:szCs w:val="24"/>
        </w:rPr>
        <w:t>Samtidig brug af penicilliner har resulteret i nedsat clearance af methotrexat, og denne effekt resulterer i øget methotrexat-toksicitet. Patienterne skal monitoreres nøje. Leucovorin doser skal muligvis øges og administreres i længere perioder.</w:t>
      </w:r>
    </w:p>
    <w:p w14:paraId="3C368E14" w14:textId="77777777" w:rsidR="006E7021" w:rsidRPr="006A2898" w:rsidRDefault="006E7021" w:rsidP="006E7021">
      <w:pPr>
        <w:ind w:left="851"/>
        <w:rPr>
          <w:sz w:val="24"/>
          <w:szCs w:val="24"/>
        </w:rPr>
      </w:pPr>
    </w:p>
    <w:p w14:paraId="0CEE9240" w14:textId="77777777" w:rsidR="006E7021" w:rsidRPr="0083270E" w:rsidRDefault="006E7021" w:rsidP="006E7021">
      <w:pPr>
        <w:ind w:left="851"/>
        <w:rPr>
          <w:i/>
          <w:sz w:val="24"/>
          <w:szCs w:val="24"/>
        </w:rPr>
      </w:pPr>
      <w:r w:rsidRPr="0083270E">
        <w:rPr>
          <w:i/>
          <w:sz w:val="24"/>
          <w:szCs w:val="24"/>
        </w:rPr>
        <w:t>Probenecid</w:t>
      </w:r>
    </w:p>
    <w:p w14:paraId="376D4704" w14:textId="77777777" w:rsidR="006E7021" w:rsidRPr="006A2898" w:rsidRDefault="006E7021" w:rsidP="006E7021">
      <w:pPr>
        <w:ind w:left="851"/>
        <w:rPr>
          <w:sz w:val="24"/>
          <w:szCs w:val="24"/>
        </w:rPr>
      </w:pPr>
      <w:r w:rsidRPr="006A2898">
        <w:rPr>
          <w:sz w:val="24"/>
          <w:szCs w:val="24"/>
        </w:rPr>
        <w:lastRenderedPageBreak/>
        <w:t>Probenecid nedsætter renal tubulær sekretion af ampicillin og sulbactam, når de anvendes samtidigt; denne effekt resulterer i øgede og forlængede serumkoncentrationer, forlænget eliminationshalveringstid og øget risiko for toksicitet.</w:t>
      </w:r>
    </w:p>
    <w:p w14:paraId="764A2CE8" w14:textId="77777777" w:rsidR="006E7021" w:rsidRPr="006A2898" w:rsidRDefault="006E7021" w:rsidP="006E7021">
      <w:pPr>
        <w:ind w:left="851"/>
        <w:rPr>
          <w:sz w:val="24"/>
          <w:szCs w:val="24"/>
        </w:rPr>
      </w:pPr>
    </w:p>
    <w:p w14:paraId="16A9B2ED" w14:textId="77777777" w:rsidR="006E7021" w:rsidRPr="0083270E" w:rsidRDefault="006E7021" w:rsidP="006E7021">
      <w:pPr>
        <w:ind w:left="851"/>
        <w:rPr>
          <w:i/>
          <w:sz w:val="24"/>
          <w:szCs w:val="24"/>
        </w:rPr>
      </w:pPr>
      <w:r w:rsidRPr="0083270E">
        <w:rPr>
          <w:i/>
          <w:sz w:val="24"/>
          <w:szCs w:val="24"/>
        </w:rPr>
        <w:t xml:space="preserve">Interaktioner ved laboratorieprøver </w:t>
      </w:r>
    </w:p>
    <w:p w14:paraId="0741DE48" w14:textId="02BA0D3C" w:rsidR="006E7021" w:rsidRPr="006A2898" w:rsidRDefault="006E7021" w:rsidP="006E7021">
      <w:pPr>
        <w:ind w:left="851"/>
        <w:rPr>
          <w:sz w:val="24"/>
          <w:szCs w:val="24"/>
        </w:rPr>
      </w:pPr>
      <w:r w:rsidRPr="006A2898">
        <w:rPr>
          <w:sz w:val="24"/>
          <w:szCs w:val="24"/>
        </w:rPr>
        <w:t xml:space="preserve">Falsk positiv glycosuri kan ses ved urinanalyse ved hjælp af Benedict-reagens, Fehling-reagens og Clinitest. Efter administration af ampicillin til gravide kvinder er der set et forbigående fald i plasmakoncentrationen af total konjugeret estriol, estriol-glucuronid, konjugeret estron og estradiol. Denne effekt kan også forekomme ved injektion af </w:t>
      </w:r>
      <w:r w:rsidR="006A2898">
        <w:rPr>
          <w:sz w:val="24"/>
          <w:szCs w:val="24"/>
        </w:rPr>
        <w:t>Ampicillin/Sulbactam "Aptapharma"</w:t>
      </w:r>
      <w:r w:rsidRPr="006A2898">
        <w:rPr>
          <w:sz w:val="24"/>
          <w:szCs w:val="24"/>
        </w:rPr>
        <w:t>.</w:t>
      </w:r>
    </w:p>
    <w:p w14:paraId="3EF64C79" w14:textId="77777777" w:rsidR="009260DE" w:rsidRPr="006A2898" w:rsidRDefault="009260DE" w:rsidP="009260DE">
      <w:pPr>
        <w:tabs>
          <w:tab w:val="left" w:pos="851"/>
        </w:tabs>
        <w:ind w:left="851"/>
        <w:rPr>
          <w:sz w:val="24"/>
          <w:szCs w:val="24"/>
        </w:rPr>
      </w:pPr>
    </w:p>
    <w:p w14:paraId="09E0A151" w14:textId="77777777" w:rsidR="009260DE" w:rsidRPr="006A2898" w:rsidRDefault="009260DE" w:rsidP="009260DE">
      <w:pPr>
        <w:tabs>
          <w:tab w:val="left" w:pos="851"/>
        </w:tabs>
        <w:ind w:left="851" w:hanging="851"/>
        <w:rPr>
          <w:b/>
          <w:sz w:val="24"/>
          <w:szCs w:val="24"/>
        </w:rPr>
      </w:pPr>
      <w:r w:rsidRPr="006A2898">
        <w:rPr>
          <w:b/>
          <w:sz w:val="24"/>
          <w:szCs w:val="24"/>
        </w:rPr>
        <w:t>4.6</w:t>
      </w:r>
      <w:r w:rsidRPr="006A2898">
        <w:rPr>
          <w:b/>
          <w:sz w:val="24"/>
          <w:szCs w:val="24"/>
        </w:rPr>
        <w:tab/>
      </w:r>
      <w:r w:rsidR="0071241E" w:rsidRPr="006A2898">
        <w:rPr>
          <w:b/>
          <w:sz w:val="24"/>
          <w:szCs w:val="24"/>
        </w:rPr>
        <w:t>Fertilitet, g</w:t>
      </w:r>
      <w:r w:rsidRPr="006A2898">
        <w:rPr>
          <w:b/>
          <w:sz w:val="24"/>
          <w:szCs w:val="24"/>
        </w:rPr>
        <w:t>raviditet og amning</w:t>
      </w:r>
    </w:p>
    <w:p w14:paraId="4071FF85" w14:textId="77777777" w:rsidR="0083270E" w:rsidRDefault="0083270E" w:rsidP="006E7021">
      <w:pPr>
        <w:ind w:left="851"/>
        <w:rPr>
          <w:sz w:val="24"/>
          <w:szCs w:val="24"/>
        </w:rPr>
      </w:pPr>
    </w:p>
    <w:p w14:paraId="25447477" w14:textId="002FAFA5" w:rsidR="006E7021" w:rsidRPr="0083270E" w:rsidRDefault="006E7021" w:rsidP="006E7021">
      <w:pPr>
        <w:ind w:left="851"/>
        <w:rPr>
          <w:sz w:val="24"/>
          <w:szCs w:val="24"/>
          <w:u w:val="single"/>
        </w:rPr>
      </w:pPr>
      <w:r w:rsidRPr="0083270E">
        <w:rPr>
          <w:sz w:val="24"/>
          <w:szCs w:val="24"/>
          <w:u w:val="single"/>
        </w:rPr>
        <w:t>Graviditet</w:t>
      </w:r>
    </w:p>
    <w:p w14:paraId="4E34BCBE" w14:textId="77777777" w:rsidR="006E7021" w:rsidRPr="006A2898" w:rsidRDefault="006E7021" w:rsidP="006E7021">
      <w:pPr>
        <w:ind w:left="851"/>
        <w:rPr>
          <w:sz w:val="24"/>
          <w:szCs w:val="24"/>
        </w:rPr>
      </w:pPr>
      <w:r w:rsidRPr="006A2898">
        <w:rPr>
          <w:sz w:val="24"/>
          <w:szCs w:val="24"/>
        </w:rPr>
        <w:t xml:space="preserve">Reproduktionsstudier på dyr har ikke vist føtotoksiske virkninger af ampicillin eller sulbactam. Sulbactam og ampicillin krydser placentabarrieren. </w:t>
      </w:r>
    </w:p>
    <w:p w14:paraId="583991C0" w14:textId="77777777" w:rsidR="006E7021" w:rsidRPr="006A2898" w:rsidRDefault="006E7021" w:rsidP="006E7021">
      <w:pPr>
        <w:ind w:left="851"/>
        <w:rPr>
          <w:sz w:val="24"/>
          <w:szCs w:val="24"/>
        </w:rPr>
      </w:pPr>
    </w:p>
    <w:p w14:paraId="33994C97" w14:textId="5A1771B1" w:rsidR="006E7021" w:rsidRPr="006A2898" w:rsidRDefault="006E7021" w:rsidP="006E7021">
      <w:pPr>
        <w:ind w:left="851"/>
        <w:rPr>
          <w:b/>
          <w:sz w:val="24"/>
          <w:szCs w:val="24"/>
        </w:rPr>
      </w:pPr>
      <w:r w:rsidRPr="006A2898">
        <w:rPr>
          <w:sz w:val="24"/>
          <w:szCs w:val="24"/>
        </w:rPr>
        <w:t xml:space="preserve">Sikkerheden ved brug under graviditet er ikke fastlagt. </w:t>
      </w:r>
      <w:r w:rsidRPr="006A2898">
        <w:rPr>
          <w:b/>
          <w:sz w:val="24"/>
          <w:szCs w:val="24"/>
        </w:rPr>
        <w:t xml:space="preserve">Derfor bør </w:t>
      </w:r>
      <w:r w:rsidR="006A2898">
        <w:rPr>
          <w:b/>
          <w:sz w:val="24"/>
          <w:szCs w:val="24"/>
        </w:rPr>
        <w:t>Ampicillin/Sulbactam "Aptapharma"</w:t>
      </w:r>
      <w:r w:rsidRPr="006A2898">
        <w:rPr>
          <w:b/>
          <w:sz w:val="24"/>
          <w:szCs w:val="24"/>
        </w:rPr>
        <w:t xml:space="preserve"> ikke anvendes under graviditet, medmindre den forventede fordel opvejer eventuelle potentielle risici.</w:t>
      </w:r>
    </w:p>
    <w:p w14:paraId="1B1C0E88" w14:textId="77777777" w:rsidR="006E7021" w:rsidRPr="006A2898" w:rsidRDefault="006E7021" w:rsidP="006E7021">
      <w:pPr>
        <w:ind w:left="851"/>
        <w:rPr>
          <w:sz w:val="24"/>
          <w:szCs w:val="24"/>
        </w:rPr>
      </w:pPr>
    </w:p>
    <w:p w14:paraId="1E662A6F" w14:textId="77777777" w:rsidR="006E7021" w:rsidRPr="0083270E" w:rsidRDefault="006E7021" w:rsidP="006E7021">
      <w:pPr>
        <w:ind w:left="851"/>
        <w:rPr>
          <w:sz w:val="24"/>
          <w:szCs w:val="24"/>
          <w:u w:val="single"/>
        </w:rPr>
      </w:pPr>
      <w:r w:rsidRPr="0083270E">
        <w:rPr>
          <w:sz w:val="24"/>
          <w:szCs w:val="24"/>
          <w:u w:val="single"/>
        </w:rPr>
        <w:t>Amning</w:t>
      </w:r>
    </w:p>
    <w:p w14:paraId="5076B28C" w14:textId="77777777" w:rsidR="006E7021" w:rsidRPr="006A2898" w:rsidRDefault="006E7021" w:rsidP="006E7021">
      <w:pPr>
        <w:ind w:left="851"/>
        <w:rPr>
          <w:sz w:val="24"/>
          <w:szCs w:val="24"/>
        </w:rPr>
      </w:pPr>
      <w:r w:rsidRPr="006A2898">
        <w:rPr>
          <w:sz w:val="24"/>
          <w:szCs w:val="24"/>
        </w:rPr>
        <w:t>Ampicillin og sulbactam udskilles i human mælk ved lave koncentrationer (henholdsvis 0,11</w:t>
      </w:r>
      <w:r w:rsidRPr="006A2898">
        <w:rPr>
          <w:sz w:val="24"/>
          <w:szCs w:val="24"/>
        </w:rPr>
        <w:noBreakHyphen/>
        <w:t xml:space="preserve">3 mg/l og 0,13-2,8 mg/l). </w:t>
      </w:r>
    </w:p>
    <w:p w14:paraId="74AC96F9" w14:textId="77777777" w:rsidR="006E7021" w:rsidRPr="006A2898" w:rsidRDefault="006E7021" w:rsidP="006E7021">
      <w:pPr>
        <w:ind w:left="851"/>
        <w:rPr>
          <w:sz w:val="24"/>
          <w:szCs w:val="24"/>
        </w:rPr>
      </w:pPr>
    </w:p>
    <w:p w14:paraId="1C28C0CD" w14:textId="77777777" w:rsidR="006E7021" w:rsidRPr="006A2898" w:rsidRDefault="006E7021" w:rsidP="006E7021">
      <w:pPr>
        <w:ind w:left="851"/>
        <w:rPr>
          <w:sz w:val="24"/>
          <w:szCs w:val="24"/>
        </w:rPr>
      </w:pPr>
      <w:r w:rsidRPr="006A2898">
        <w:rPr>
          <w:sz w:val="24"/>
          <w:szCs w:val="24"/>
        </w:rPr>
        <w:t>Hos ammende mødre kan brugen af ampicillin og sulbactam forårsage diarré hos barnet.</w:t>
      </w:r>
    </w:p>
    <w:p w14:paraId="62793324" w14:textId="77777777" w:rsidR="006E7021" w:rsidRPr="006A2898" w:rsidRDefault="006E7021" w:rsidP="006E7021">
      <w:pPr>
        <w:ind w:left="851"/>
        <w:rPr>
          <w:sz w:val="24"/>
          <w:szCs w:val="24"/>
        </w:rPr>
      </w:pPr>
      <w:r w:rsidRPr="006A2898">
        <w:rPr>
          <w:sz w:val="24"/>
          <w:szCs w:val="24"/>
        </w:rPr>
        <w:t>Ampicillin og sulbactam bør kun anvendes under amning, hvis den potentielle fordel opvejer den potentielle risiko.</w:t>
      </w:r>
    </w:p>
    <w:p w14:paraId="5EABCE88" w14:textId="77777777" w:rsidR="006E7021" w:rsidRPr="006A2898" w:rsidRDefault="006E7021" w:rsidP="006E7021">
      <w:pPr>
        <w:ind w:left="851"/>
        <w:rPr>
          <w:sz w:val="24"/>
          <w:szCs w:val="24"/>
        </w:rPr>
      </w:pPr>
    </w:p>
    <w:p w14:paraId="001F2B2D" w14:textId="77777777" w:rsidR="006E7021" w:rsidRPr="0083270E" w:rsidRDefault="006E7021" w:rsidP="006E7021">
      <w:pPr>
        <w:ind w:left="851"/>
        <w:rPr>
          <w:sz w:val="24"/>
          <w:szCs w:val="24"/>
          <w:u w:val="single"/>
        </w:rPr>
      </w:pPr>
      <w:r w:rsidRPr="0083270E">
        <w:rPr>
          <w:sz w:val="24"/>
          <w:szCs w:val="24"/>
          <w:u w:val="single"/>
        </w:rPr>
        <w:t>Fertilitet</w:t>
      </w:r>
    </w:p>
    <w:p w14:paraId="46C802D0" w14:textId="77777777" w:rsidR="006E7021" w:rsidRPr="006A2898" w:rsidRDefault="006E7021" w:rsidP="006E7021">
      <w:pPr>
        <w:ind w:left="851"/>
        <w:rPr>
          <w:sz w:val="24"/>
          <w:szCs w:val="24"/>
        </w:rPr>
      </w:pPr>
      <w:r w:rsidRPr="006A2898">
        <w:rPr>
          <w:sz w:val="24"/>
          <w:szCs w:val="24"/>
        </w:rPr>
        <w:t>Reproduktionsstudier på dyr har ikke vist tegn på skadelige virkninger på fertiliteten på grund af sulbactam og ampicillin.</w:t>
      </w:r>
    </w:p>
    <w:p w14:paraId="595FE029" w14:textId="77777777" w:rsidR="009260DE" w:rsidRPr="006A2898" w:rsidRDefault="009260DE" w:rsidP="009260DE">
      <w:pPr>
        <w:tabs>
          <w:tab w:val="left" w:pos="851"/>
        </w:tabs>
        <w:ind w:left="851"/>
        <w:rPr>
          <w:sz w:val="24"/>
          <w:szCs w:val="24"/>
        </w:rPr>
      </w:pPr>
    </w:p>
    <w:p w14:paraId="4E275C56" w14:textId="77777777" w:rsidR="009260DE" w:rsidRPr="006A2898" w:rsidRDefault="009260DE" w:rsidP="009260DE">
      <w:pPr>
        <w:tabs>
          <w:tab w:val="left" w:pos="851"/>
        </w:tabs>
        <w:ind w:left="851" w:hanging="851"/>
        <w:rPr>
          <w:b/>
          <w:sz w:val="24"/>
          <w:szCs w:val="24"/>
        </w:rPr>
      </w:pPr>
      <w:r w:rsidRPr="006A2898">
        <w:rPr>
          <w:b/>
          <w:sz w:val="24"/>
          <w:szCs w:val="24"/>
        </w:rPr>
        <w:t>4.7</w:t>
      </w:r>
      <w:r w:rsidRPr="006A2898">
        <w:rPr>
          <w:b/>
          <w:sz w:val="24"/>
          <w:szCs w:val="24"/>
        </w:rPr>
        <w:tab/>
        <w:t xml:space="preserve">Virkning på evnen til at føre motorkøretøj </w:t>
      </w:r>
      <w:r w:rsidR="0071241E" w:rsidRPr="006A2898">
        <w:rPr>
          <w:b/>
          <w:sz w:val="24"/>
          <w:szCs w:val="24"/>
        </w:rPr>
        <w:t>og</w:t>
      </w:r>
      <w:r w:rsidRPr="006A2898">
        <w:rPr>
          <w:b/>
          <w:sz w:val="24"/>
          <w:szCs w:val="24"/>
        </w:rPr>
        <w:t xml:space="preserve"> betjene maskiner</w:t>
      </w:r>
    </w:p>
    <w:p w14:paraId="1D03C8BD" w14:textId="77777777" w:rsidR="006E7021" w:rsidRPr="006A2898" w:rsidRDefault="006E7021" w:rsidP="006E7021">
      <w:pPr>
        <w:ind w:left="851"/>
        <w:rPr>
          <w:sz w:val="24"/>
          <w:szCs w:val="24"/>
        </w:rPr>
      </w:pPr>
      <w:r w:rsidRPr="006A2898">
        <w:rPr>
          <w:sz w:val="24"/>
          <w:szCs w:val="24"/>
        </w:rPr>
        <w:t>Ikke mærkning.</w:t>
      </w:r>
    </w:p>
    <w:p w14:paraId="3538CE35" w14:textId="01CA11A4" w:rsidR="006E7021" w:rsidRPr="006A2898" w:rsidRDefault="006A2898" w:rsidP="006E7021">
      <w:pPr>
        <w:ind w:left="851"/>
        <w:rPr>
          <w:sz w:val="24"/>
          <w:szCs w:val="24"/>
        </w:rPr>
      </w:pPr>
      <w:r>
        <w:rPr>
          <w:sz w:val="24"/>
          <w:szCs w:val="24"/>
        </w:rPr>
        <w:t>Ampicillin/Sulbactam "Aptapharma"</w:t>
      </w:r>
      <w:r w:rsidR="006E7021" w:rsidRPr="006A2898">
        <w:rPr>
          <w:sz w:val="24"/>
          <w:szCs w:val="24"/>
        </w:rPr>
        <w:t xml:space="preserve"> har ubetydelig indflydelse på evnen til at føre motorkøretøj og betjene maskiner. Imidlertid kan svimmelhed, kramper og døsighed forekomme efter administration af </w:t>
      </w:r>
      <w:r>
        <w:rPr>
          <w:sz w:val="24"/>
          <w:szCs w:val="24"/>
        </w:rPr>
        <w:t>Ampicillin/Sulbactam "Aptapharma"</w:t>
      </w:r>
      <w:r w:rsidR="006E7021" w:rsidRPr="006A2898">
        <w:rPr>
          <w:sz w:val="24"/>
          <w:szCs w:val="24"/>
        </w:rPr>
        <w:t>. Patienter bør derfor rådes til ikke at føre motorkøretøj eller betjene maskiner, hvis de oplever disse bivirkninger.</w:t>
      </w:r>
    </w:p>
    <w:p w14:paraId="55257DFB" w14:textId="77777777" w:rsidR="009260DE" w:rsidRPr="006A2898" w:rsidRDefault="009260DE" w:rsidP="009260DE">
      <w:pPr>
        <w:tabs>
          <w:tab w:val="left" w:pos="851"/>
        </w:tabs>
        <w:ind w:left="851"/>
        <w:rPr>
          <w:sz w:val="24"/>
          <w:szCs w:val="24"/>
        </w:rPr>
      </w:pPr>
    </w:p>
    <w:p w14:paraId="1A5EEEC9" w14:textId="77777777" w:rsidR="009260DE" w:rsidRPr="006A2898" w:rsidRDefault="009260DE" w:rsidP="009260DE">
      <w:pPr>
        <w:tabs>
          <w:tab w:val="left" w:pos="851"/>
        </w:tabs>
        <w:ind w:left="851" w:hanging="851"/>
        <w:rPr>
          <w:b/>
          <w:sz w:val="24"/>
          <w:szCs w:val="24"/>
        </w:rPr>
      </w:pPr>
      <w:r w:rsidRPr="006A2898">
        <w:rPr>
          <w:b/>
          <w:sz w:val="24"/>
          <w:szCs w:val="24"/>
        </w:rPr>
        <w:t>4.8</w:t>
      </w:r>
      <w:r w:rsidRPr="006A2898">
        <w:rPr>
          <w:b/>
          <w:sz w:val="24"/>
          <w:szCs w:val="24"/>
        </w:rPr>
        <w:tab/>
        <w:t>Bivirkninger</w:t>
      </w:r>
    </w:p>
    <w:p w14:paraId="0D880062" w14:textId="77777777" w:rsidR="006E7021" w:rsidRPr="006A2898" w:rsidRDefault="006E7021" w:rsidP="006E7021">
      <w:pPr>
        <w:ind w:left="851"/>
        <w:rPr>
          <w:sz w:val="24"/>
          <w:szCs w:val="24"/>
        </w:rPr>
      </w:pPr>
      <w:r w:rsidRPr="006A2898">
        <w:rPr>
          <w:sz w:val="24"/>
          <w:szCs w:val="24"/>
        </w:rPr>
        <w:t>Bivirkninger er anført i henhold til MedDRA-systemorganklasser og efter frekvens. Frekvensen for hver bivirkning er baseret på følgende konvention: Meget almindelig (≥1/10), almindelig (≥1/100 til &lt;1/10), ikke almindelig (≥1/1.000 til &lt;1/100), sjælden (≥1/10.000 til &lt;1/1.000), meget sjælden (&lt;1/10.000), ikke kendt (kan ikke estimeres ud fra forhåndenværende data).</w:t>
      </w:r>
    </w:p>
    <w:p w14:paraId="3583578A" w14:textId="77777777" w:rsidR="006E7021" w:rsidRPr="0083270E" w:rsidRDefault="006E7021" w:rsidP="006E7021">
      <w:pPr>
        <w:ind w:left="851"/>
        <w:rPr>
          <w:sz w:val="24"/>
          <w:szCs w:val="24"/>
        </w:rPr>
      </w:pPr>
    </w:p>
    <w:p w14:paraId="0AC21BDB" w14:textId="439A82CE" w:rsidR="006E7021" w:rsidRPr="006A2898" w:rsidRDefault="006E7021" w:rsidP="006E7021">
      <w:pPr>
        <w:ind w:left="851"/>
        <w:rPr>
          <w:sz w:val="24"/>
          <w:szCs w:val="24"/>
        </w:rPr>
      </w:pPr>
      <w:r w:rsidRPr="006A2898">
        <w:rPr>
          <w:sz w:val="24"/>
          <w:szCs w:val="24"/>
        </w:rPr>
        <w:t xml:space="preserve">Bivirkninger forbundet med brugen af ampicillin alene kan ses med </w:t>
      </w:r>
      <w:r w:rsidR="006A2898">
        <w:rPr>
          <w:sz w:val="24"/>
          <w:szCs w:val="24"/>
        </w:rPr>
        <w:t>Ampicillin/Sulbactam "Aptapharma"</w:t>
      </w:r>
      <w:r w:rsidRPr="006A2898">
        <w:rPr>
          <w:sz w:val="24"/>
          <w:szCs w:val="24"/>
        </w:rPr>
        <w:t>.</w:t>
      </w:r>
    </w:p>
    <w:p w14:paraId="53B3686A" w14:textId="77777777" w:rsidR="006E7021" w:rsidRPr="0083270E" w:rsidRDefault="006E7021" w:rsidP="006E7021">
      <w:pPr>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16"/>
        <w:gridCol w:w="2481"/>
        <w:gridCol w:w="1248"/>
        <w:gridCol w:w="1394"/>
        <w:gridCol w:w="2389"/>
      </w:tblGrid>
      <w:tr w:rsidR="006E7021" w:rsidRPr="0083270E" w14:paraId="44BC943A"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24B98BC4" w14:textId="77777777" w:rsidR="006E7021" w:rsidRPr="0083270E" w:rsidRDefault="006E7021" w:rsidP="0083270E">
            <w:pPr>
              <w:pStyle w:val="P68B1DB1-TableParagraph10"/>
              <w:keepNext/>
              <w:widowControl/>
              <w:spacing w:before="0" w:line="240" w:lineRule="auto"/>
              <w:ind w:left="142" w:right="81"/>
              <w:rPr>
                <w:szCs w:val="22"/>
                <w:lang w:val="da-DK"/>
              </w:rPr>
            </w:pPr>
            <w:r w:rsidRPr="0083270E">
              <w:rPr>
                <w:szCs w:val="22"/>
                <w:lang w:val="da-DK"/>
              </w:rPr>
              <w:lastRenderedPageBreak/>
              <w:t>Systemorganklasser</w:t>
            </w:r>
          </w:p>
        </w:tc>
        <w:tc>
          <w:tcPr>
            <w:tcW w:w="1097" w:type="pct"/>
            <w:tcBorders>
              <w:top w:val="single" w:sz="4" w:space="0" w:color="000000"/>
              <w:left w:val="single" w:sz="4" w:space="0" w:color="000000"/>
              <w:bottom w:val="single" w:sz="4" w:space="0" w:color="000000"/>
              <w:right w:val="single" w:sz="4" w:space="0" w:color="000000"/>
            </w:tcBorders>
            <w:hideMark/>
          </w:tcPr>
          <w:p w14:paraId="7D33AF32" w14:textId="77777777" w:rsidR="006E7021" w:rsidRPr="0083270E" w:rsidRDefault="006E7021" w:rsidP="0083270E">
            <w:pPr>
              <w:pStyle w:val="P68B1DB1-TableParagraph10"/>
              <w:keepNext/>
              <w:widowControl/>
              <w:spacing w:before="0" w:line="240" w:lineRule="auto"/>
              <w:ind w:left="142" w:right="81"/>
              <w:rPr>
                <w:szCs w:val="22"/>
                <w:lang w:val="da-DK"/>
              </w:rPr>
            </w:pPr>
            <w:r w:rsidRPr="0083270E">
              <w:rPr>
                <w:szCs w:val="22"/>
                <w:lang w:val="da-DK"/>
              </w:rPr>
              <w:t xml:space="preserve">Almindelig </w:t>
            </w:r>
          </w:p>
        </w:tc>
        <w:tc>
          <w:tcPr>
            <w:tcW w:w="733" w:type="pct"/>
            <w:tcBorders>
              <w:top w:val="single" w:sz="4" w:space="0" w:color="000000"/>
              <w:left w:val="single" w:sz="4" w:space="0" w:color="000000"/>
              <w:bottom w:val="single" w:sz="4" w:space="0" w:color="000000"/>
              <w:right w:val="single" w:sz="4" w:space="0" w:color="000000"/>
            </w:tcBorders>
            <w:hideMark/>
          </w:tcPr>
          <w:p w14:paraId="42D51EEE" w14:textId="77777777" w:rsidR="006E7021" w:rsidRPr="0083270E" w:rsidRDefault="006E7021" w:rsidP="0083270E">
            <w:pPr>
              <w:pStyle w:val="P68B1DB1-TableParagraph10"/>
              <w:keepNext/>
              <w:widowControl/>
              <w:spacing w:before="0" w:line="240" w:lineRule="auto"/>
              <w:ind w:left="142" w:right="81"/>
              <w:rPr>
                <w:b w:val="0"/>
                <w:szCs w:val="22"/>
                <w:lang w:val="da-DK"/>
              </w:rPr>
            </w:pPr>
            <w:r w:rsidRPr="0083270E">
              <w:rPr>
                <w:szCs w:val="22"/>
                <w:lang w:val="da-DK"/>
              </w:rPr>
              <w:t>Ikke almindelig</w:t>
            </w:r>
          </w:p>
        </w:tc>
        <w:tc>
          <w:tcPr>
            <w:tcW w:w="726" w:type="pct"/>
            <w:tcBorders>
              <w:top w:val="single" w:sz="4" w:space="0" w:color="000000"/>
              <w:left w:val="single" w:sz="4" w:space="0" w:color="000000"/>
              <w:bottom w:val="single" w:sz="4" w:space="0" w:color="000000"/>
              <w:right w:val="single" w:sz="4" w:space="0" w:color="000000"/>
            </w:tcBorders>
          </w:tcPr>
          <w:p w14:paraId="05105D6B" w14:textId="77777777" w:rsidR="006E7021" w:rsidRPr="0083270E" w:rsidRDefault="006E7021" w:rsidP="0083270E">
            <w:pPr>
              <w:pStyle w:val="P68B1DB1-TableParagraph10"/>
              <w:keepNext/>
              <w:widowControl/>
              <w:spacing w:before="0" w:line="240" w:lineRule="auto"/>
              <w:ind w:left="142" w:right="81"/>
              <w:rPr>
                <w:szCs w:val="22"/>
                <w:lang w:val="da-DK"/>
              </w:rPr>
            </w:pPr>
            <w:r w:rsidRPr="0083270E">
              <w:rPr>
                <w:szCs w:val="22"/>
                <w:lang w:val="da-DK"/>
              </w:rPr>
              <w:t>Sjælden</w:t>
            </w:r>
          </w:p>
          <w:p w14:paraId="5FDC73E3" w14:textId="77777777" w:rsidR="006E7021" w:rsidRPr="0083270E" w:rsidRDefault="006E7021" w:rsidP="0083270E">
            <w:pPr>
              <w:pStyle w:val="TableParagraph"/>
              <w:keepNext/>
              <w:widowControl/>
              <w:spacing w:before="0" w:line="240" w:lineRule="auto"/>
              <w:ind w:left="142" w:right="81"/>
              <w:rPr>
                <w:b/>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2756B723" w14:textId="77777777" w:rsidR="006E7021" w:rsidRPr="0083270E" w:rsidRDefault="006E7021" w:rsidP="0083270E">
            <w:pPr>
              <w:pStyle w:val="P68B1DB1-TableParagraph10"/>
              <w:keepNext/>
              <w:widowControl/>
              <w:spacing w:before="0" w:line="240" w:lineRule="auto"/>
              <w:ind w:left="142" w:right="81"/>
              <w:rPr>
                <w:szCs w:val="22"/>
                <w:lang w:val="da-DK"/>
              </w:rPr>
            </w:pPr>
            <w:r w:rsidRPr="0083270E">
              <w:rPr>
                <w:szCs w:val="22"/>
                <w:lang w:val="da-DK"/>
              </w:rPr>
              <w:t xml:space="preserve">Hyppighed ikke kendt </w:t>
            </w:r>
          </w:p>
        </w:tc>
      </w:tr>
      <w:tr w:rsidR="006E7021" w:rsidRPr="0083270E" w14:paraId="3EA19281"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118F5F19"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Blod og lymfesystem</w:t>
            </w:r>
          </w:p>
        </w:tc>
        <w:tc>
          <w:tcPr>
            <w:tcW w:w="1097" w:type="pct"/>
            <w:tcBorders>
              <w:top w:val="single" w:sz="4" w:space="0" w:color="000000"/>
              <w:left w:val="single" w:sz="4" w:space="0" w:color="000000"/>
              <w:bottom w:val="single" w:sz="4" w:space="0" w:color="000000"/>
              <w:right w:val="single" w:sz="4" w:space="0" w:color="000000"/>
            </w:tcBorders>
            <w:hideMark/>
          </w:tcPr>
          <w:p w14:paraId="443FF662"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Anæmi Trombocytopeni Eosinofili</w:t>
            </w:r>
          </w:p>
        </w:tc>
        <w:tc>
          <w:tcPr>
            <w:tcW w:w="733" w:type="pct"/>
            <w:tcBorders>
              <w:top w:val="single" w:sz="4" w:space="0" w:color="000000"/>
              <w:left w:val="single" w:sz="4" w:space="0" w:color="000000"/>
              <w:bottom w:val="single" w:sz="4" w:space="0" w:color="000000"/>
              <w:right w:val="single" w:sz="4" w:space="0" w:color="000000"/>
            </w:tcBorders>
            <w:hideMark/>
          </w:tcPr>
          <w:p w14:paraId="64DBDF32"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Leukopeni Neutropeni</w:t>
            </w:r>
          </w:p>
        </w:tc>
        <w:tc>
          <w:tcPr>
            <w:tcW w:w="726" w:type="pct"/>
            <w:tcBorders>
              <w:top w:val="single" w:sz="4" w:space="0" w:color="000000"/>
              <w:left w:val="single" w:sz="4" w:space="0" w:color="000000"/>
              <w:bottom w:val="single" w:sz="4" w:space="0" w:color="000000"/>
              <w:right w:val="single" w:sz="4" w:space="0" w:color="000000"/>
            </w:tcBorders>
          </w:tcPr>
          <w:p w14:paraId="620E79F2"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6069319F"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Hæmolytisk anæmi Agranulocytose Trombocytopenisk purpura</w:t>
            </w:r>
          </w:p>
        </w:tc>
      </w:tr>
      <w:tr w:rsidR="006E7021" w:rsidRPr="0083270E" w14:paraId="0EAAAAF7"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577E2E5C"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Immunsystemet</w:t>
            </w:r>
          </w:p>
        </w:tc>
        <w:tc>
          <w:tcPr>
            <w:tcW w:w="1097" w:type="pct"/>
            <w:tcBorders>
              <w:top w:val="single" w:sz="4" w:space="0" w:color="000000"/>
              <w:left w:val="single" w:sz="4" w:space="0" w:color="000000"/>
              <w:bottom w:val="single" w:sz="4" w:space="0" w:color="000000"/>
              <w:right w:val="single" w:sz="4" w:space="0" w:color="000000"/>
            </w:tcBorders>
          </w:tcPr>
          <w:p w14:paraId="1EC574E9" w14:textId="77777777" w:rsidR="006E7021" w:rsidRPr="0083270E" w:rsidRDefault="006E7021" w:rsidP="0083270E">
            <w:pPr>
              <w:pStyle w:val="TableParagraph"/>
              <w:widowControl/>
              <w:spacing w:before="0" w:line="240" w:lineRule="auto"/>
              <w:ind w:left="142" w:right="81"/>
              <w:rPr>
                <w:szCs w:val="22"/>
                <w:lang w:val="da-DK"/>
              </w:rPr>
            </w:pPr>
          </w:p>
        </w:tc>
        <w:tc>
          <w:tcPr>
            <w:tcW w:w="733" w:type="pct"/>
            <w:tcBorders>
              <w:top w:val="single" w:sz="4" w:space="0" w:color="000000"/>
              <w:left w:val="single" w:sz="4" w:space="0" w:color="000000"/>
              <w:bottom w:val="single" w:sz="4" w:space="0" w:color="000000"/>
              <w:right w:val="single" w:sz="4" w:space="0" w:color="000000"/>
            </w:tcBorders>
          </w:tcPr>
          <w:p w14:paraId="1822E14B"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0D29BB23"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14FCECBC"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Anafylaktisk chok </w:t>
            </w:r>
          </w:p>
          <w:p w14:paraId="4612928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Anafylaktisk reaktion</w:t>
            </w:r>
          </w:p>
          <w:p w14:paraId="518D3C82"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Anafylaktoid chok Anafylaktoid reaktion</w:t>
            </w:r>
          </w:p>
          <w:p w14:paraId="325728C9"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Kounis syndrom</w:t>
            </w:r>
          </w:p>
          <w:p w14:paraId="54C46D87"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Allergi</w:t>
            </w:r>
          </w:p>
        </w:tc>
      </w:tr>
      <w:tr w:rsidR="006E7021" w:rsidRPr="0083270E" w14:paraId="4583CD84"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446D6DD1"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Nervesystemet</w:t>
            </w:r>
          </w:p>
        </w:tc>
        <w:tc>
          <w:tcPr>
            <w:tcW w:w="1097" w:type="pct"/>
            <w:tcBorders>
              <w:top w:val="single" w:sz="4" w:space="0" w:color="000000"/>
              <w:left w:val="single" w:sz="4" w:space="0" w:color="000000"/>
              <w:bottom w:val="single" w:sz="4" w:space="0" w:color="000000"/>
              <w:right w:val="single" w:sz="4" w:space="0" w:color="000000"/>
            </w:tcBorders>
          </w:tcPr>
          <w:p w14:paraId="351ACB96" w14:textId="77777777" w:rsidR="006E7021" w:rsidRPr="0083270E" w:rsidRDefault="006E7021" w:rsidP="0083270E">
            <w:pPr>
              <w:pStyle w:val="TableParagraph"/>
              <w:widowControl/>
              <w:spacing w:before="0" w:line="240" w:lineRule="auto"/>
              <w:ind w:left="142" w:right="81"/>
              <w:rPr>
                <w:szCs w:val="22"/>
                <w:lang w:val="da-DK"/>
              </w:rPr>
            </w:pPr>
          </w:p>
        </w:tc>
        <w:tc>
          <w:tcPr>
            <w:tcW w:w="733" w:type="pct"/>
            <w:tcBorders>
              <w:top w:val="single" w:sz="4" w:space="0" w:color="000000"/>
              <w:left w:val="single" w:sz="4" w:space="0" w:color="000000"/>
              <w:bottom w:val="single" w:sz="4" w:space="0" w:color="000000"/>
              <w:right w:val="single" w:sz="4" w:space="0" w:color="000000"/>
            </w:tcBorders>
            <w:hideMark/>
          </w:tcPr>
          <w:p w14:paraId="6000F91B"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Hovedpine</w:t>
            </w:r>
          </w:p>
        </w:tc>
        <w:tc>
          <w:tcPr>
            <w:tcW w:w="726" w:type="pct"/>
            <w:tcBorders>
              <w:top w:val="single" w:sz="4" w:space="0" w:color="000000"/>
              <w:left w:val="single" w:sz="4" w:space="0" w:color="000000"/>
              <w:bottom w:val="single" w:sz="4" w:space="0" w:color="000000"/>
              <w:right w:val="single" w:sz="4" w:space="0" w:color="000000"/>
            </w:tcBorders>
          </w:tcPr>
          <w:p w14:paraId="206162D1"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5318B5E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Konvulsion</w:t>
            </w:r>
          </w:p>
          <w:p w14:paraId="76065D4A"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Svimmelhed </w:t>
            </w:r>
          </w:p>
          <w:p w14:paraId="6D35D6F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Somnolens</w:t>
            </w:r>
          </w:p>
        </w:tc>
      </w:tr>
      <w:tr w:rsidR="006E7021" w:rsidRPr="0083270E" w14:paraId="7E84F3B9"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6C70256E"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Vaskulære sygdomme</w:t>
            </w:r>
          </w:p>
        </w:tc>
        <w:tc>
          <w:tcPr>
            <w:tcW w:w="1097" w:type="pct"/>
            <w:tcBorders>
              <w:top w:val="single" w:sz="4" w:space="0" w:color="000000"/>
              <w:left w:val="single" w:sz="4" w:space="0" w:color="000000"/>
              <w:bottom w:val="single" w:sz="4" w:space="0" w:color="000000"/>
              <w:right w:val="single" w:sz="4" w:space="0" w:color="000000"/>
            </w:tcBorders>
            <w:hideMark/>
          </w:tcPr>
          <w:p w14:paraId="2558DD0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Flebitis</w:t>
            </w:r>
          </w:p>
        </w:tc>
        <w:tc>
          <w:tcPr>
            <w:tcW w:w="733" w:type="pct"/>
            <w:tcBorders>
              <w:top w:val="single" w:sz="4" w:space="0" w:color="000000"/>
              <w:left w:val="single" w:sz="4" w:space="0" w:color="000000"/>
              <w:bottom w:val="single" w:sz="4" w:space="0" w:color="000000"/>
              <w:right w:val="single" w:sz="4" w:space="0" w:color="000000"/>
            </w:tcBorders>
          </w:tcPr>
          <w:p w14:paraId="5D2531BC"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76F1D65B"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tcPr>
          <w:p w14:paraId="36B951D4" w14:textId="77777777" w:rsidR="006E7021" w:rsidRPr="0083270E" w:rsidRDefault="006E7021" w:rsidP="0083270E">
            <w:pPr>
              <w:pStyle w:val="TableParagraph"/>
              <w:widowControl/>
              <w:spacing w:before="0" w:line="240" w:lineRule="auto"/>
              <w:ind w:left="142" w:right="81"/>
              <w:rPr>
                <w:szCs w:val="22"/>
                <w:lang w:val="da-DK"/>
              </w:rPr>
            </w:pPr>
          </w:p>
        </w:tc>
      </w:tr>
      <w:tr w:rsidR="006E7021" w:rsidRPr="0083270E" w14:paraId="7D206EE5"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4D870BDF"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Luftveje, thorax og mediastinum</w:t>
            </w:r>
          </w:p>
        </w:tc>
        <w:tc>
          <w:tcPr>
            <w:tcW w:w="1097" w:type="pct"/>
            <w:tcBorders>
              <w:top w:val="single" w:sz="4" w:space="0" w:color="000000"/>
              <w:left w:val="single" w:sz="4" w:space="0" w:color="000000"/>
              <w:bottom w:val="single" w:sz="4" w:space="0" w:color="000000"/>
              <w:right w:val="single" w:sz="4" w:space="0" w:color="000000"/>
            </w:tcBorders>
          </w:tcPr>
          <w:p w14:paraId="50DF5A07" w14:textId="77777777" w:rsidR="006E7021" w:rsidRPr="0083270E" w:rsidRDefault="006E7021" w:rsidP="0083270E">
            <w:pPr>
              <w:pStyle w:val="TableParagraph"/>
              <w:widowControl/>
              <w:spacing w:before="0" w:line="240" w:lineRule="auto"/>
              <w:ind w:left="142" w:right="81"/>
              <w:rPr>
                <w:szCs w:val="22"/>
                <w:lang w:val="da-DK"/>
              </w:rPr>
            </w:pPr>
          </w:p>
        </w:tc>
        <w:tc>
          <w:tcPr>
            <w:tcW w:w="733" w:type="pct"/>
            <w:tcBorders>
              <w:top w:val="single" w:sz="4" w:space="0" w:color="000000"/>
              <w:left w:val="single" w:sz="4" w:space="0" w:color="000000"/>
              <w:bottom w:val="single" w:sz="4" w:space="0" w:color="000000"/>
              <w:right w:val="single" w:sz="4" w:space="0" w:color="000000"/>
            </w:tcBorders>
          </w:tcPr>
          <w:p w14:paraId="238DAD97"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0D4934AD"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4C769AE0"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Dyspnø/åndenød</w:t>
            </w:r>
          </w:p>
        </w:tc>
      </w:tr>
      <w:tr w:rsidR="006E7021" w:rsidRPr="0083270E" w14:paraId="31700F53"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604B3A21"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Mave-tarm-kanalen</w:t>
            </w:r>
          </w:p>
        </w:tc>
        <w:tc>
          <w:tcPr>
            <w:tcW w:w="1097" w:type="pct"/>
            <w:tcBorders>
              <w:top w:val="single" w:sz="4" w:space="0" w:color="000000"/>
              <w:left w:val="single" w:sz="4" w:space="0" w:color="000000"/>
              <w:bottom w:val="single" w:sz="4" w:space="0" w:color="000000"/>
              <w:right w:val="single" w:sz="4" w:space="0" w:color="000000"/>
            </w:tcBorders>
            <w:hideMark/>
          </w:tcPr>
          <w:p w14:paraId="4101F667"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Diarré</w:t>
            </w:r>
          </w:p>
        </w:tc>
        <w:tc>
          <w:tcPr>
            <w:tcW w:w="733" w:type="pct"/>
            <w:tcBorders>
              <w:top w:val="single" w:sz="4" w:space="0" w:color="000000"/>
              <w:left w:val="single" w:sz="4" w:space="0" w:color="000000"/>
              <w:bottom w:val="single" w:sz="4" w:space="0" w:color="000000"/>
              <w:right w:val="single" w:sz="4" w:space="0" w:color="000000"/>
            </w:tcBorders>
            <w:hideMark/>
          </w:tcPr>
          <w:p w14:paraId="0356B546"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Opkastning</w:t>
            </w:r>
          </w:p>
        </w:tc>
        <w:tc>
          <w:tcPr>
            <w:tcW w:w="726" w:type="pct"/>
            <w:tcBorders>
              <w:top w:val="single" w:sz="4" w:space="0" w:color="000000"/>
              <w:left w:val="single" w:sz="4" w:space="0" w:color="000000"/>
              <w:bottom w:val="single" w:sz="4" w:space="0" w:color="000000"/>
              <w:right w:val="single" w:sz="4" w:space="0" w:color="000000"/>
            </w:tcBorders>
            <w:hideMark/>
          </w:tcPr>
          <w:p w14:paraId="3074E877"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Mavesmerter</w:t>
            </w:r>
          </w:p>
          <w:p w14:paraId="1006F340"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Kvalme </w:t>
            </w:r>
          </w:p>
          <w:p w14:paraId="75AEA5C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Glossitis</w:t>
            </w:r>
          </w:p>
        </w:tc>
        <w:tc>
          <w:tcPr>
            <w:tcW w:w="1454" w:type="pct"/>
            <w:tcBorders>
              <w:top w:val="single" w:sz="4" w:space="0" w:color="000000"/>
              <w:left w:val="single" w:sz="4" w:space="0" w:color="000000"/>
              <w:bottom w:val="single" w:sz="4" w:space="0" w:color="000000"/>
              <w:right w:val="single" w:sz="4" w:space="0" w:color="000000"/>
            </w:tcBorders>
            <w:hideMark/>
          </w:tcPr>
          <w:p w14:paraId="481BBB95"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Pseudomembranøs colitis </w:t>
            </w:r>
          </w:p>
          <w:p w14:paraId="6AF824C2"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Enterocolitis</w:t>
            </w:r>
          </w:p>
          <w:p w14:paraId="4CA71A5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Melaena</w:t>
            </w:r>
          </w:p>
          <w:p w14:paraId="41A9685F"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Stomatitis</w:t>
            </w:r>
          </w:p>
          <w:p w14:paraId="1B15E147"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Misfarvning af tungen</w:t>
            </w:r>
          </w:p>
        </w:tc>
      </w:tr>
      <w:tr w:rsidR="006E7021" w:rsidRPr="0083270E" w14:paraId="64CBD49B"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3308B546"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Lever og galdeveje</w:t>
            </w:r>
          </w:p>
        </w:tc>
        <w:tc>
          <w:tcPr>
            <w:tcW w:w="1097" w:type="pct"/>
            <w:tcBorders>
              <w:top w:val="single" w:sz="4" w:space="0" w:color="000000"/>
              <w:left w:val="single" w:sz="4" w:space="0" w:color="000000"/>
              <w:bottom w:val="single" w:sz="4" w:space="0" w:color="000000"/>
              <w:right w:val="single" w:sz="4" w:space="0" w:color="000000"/>
            </w:tcBorders>
            <w:hideMark/>
          </w:tcPr>
          <w:p w14:paraId="701F1B43"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Hyperbilirubinæmi </w:t>
            </w:r>
          </w:p>
        </w:tc>
        <w:tc>
          <w:tcPr>
            <w:tcW w:w="733" w:type="pct"/>
            <w:tcBorders>
              <w:top w:val="single" w:sz="4" w:space="0" w:color="000000"/>
              <w:left w:val="single" w:sz="4" w:space="0" w:color="000000"/>
              <w:bottom w:val="single" w:sz="4" w:space="0" w:color="000000"/>
              <w:right w:val="single" w:sz="4" w:space="0" w:color="000000"/>
            </w:tcBorders>
          </w:tcPr>
          <w:p w14:paraId="7465DB90"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02A517D4"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128FE4E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Kolestatisk hepatitis </w:t>
            </w:r>
          </w:p>
          <w:p w14:paraId="354C3C72"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Kolestase</w:t>
            </w:r>
          </w:p>
          <w:p w14:paraId="48B7AE7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Unormal leverfunktion </w:t>
            </w:r>
          </w:p>
          <w:p w14:paraId="49ABF466"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Gulsot</w:t>
            </w:r>
          </w:p>
        </w:tc>
      </w:tr>
      <w:tr w:rsidR="006E7021" w:rsidRPr="0083270E" w14:paraId="10A44B78"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7AA81931"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Hud og subkutane væv</w:t>
            </w:r>
          </w:p>
        </w:tc>
        <w:tc>
          <w:tcPr>
            <w:tcW w:w="1097" w:type="pct"/>
            <w:tcBorders>
              <w:top w:val="single" w:sz="4" w:space="0" w:color="000000"/>
              <w:left w:val="single" w:sz="4" w:space="0" w:color="000000"/>
              <w:bottom w:val="single" w:sz="4" w:space="0" w:color="000000"/>
              <w:right w:val="single" w:sz="4" w:space="0" w:color="000000"/>
            </w:tcBorders>
          </w:tcPr>
          <w:p w14:paraId="1DDB79AB" w14:textId="77777777" w:rsidR="006E7021" w:rsidRPr="0083270E" w:rsidRDefault="006E7021" w:rsidP="0083270E">
            <w:pPr>
              <w:pStyle w:val="TableParagraph"/>
              <w:widowControl/>
              <w:spacing w:before="0" w:line="240" w:lineRule="auto"/>
              <w:ind w:left="142" w:right="81"/>
              <w:rPr>
                <w:szCs w:val="22"/>
                <w:lang w:val="da-DK"/>
              </w:rPr>
            </w:pPr>
          </w:p>
        </w:tc>
        <w:tc>
          <w:tcPr>
            <w:tcW w:w="733" w:type="pct"/>
            <w:tcBorders>
              <w:top w:val="single" w:sz="4" w:space="0" w:color="000000"/>
              <w:left w:val="single" w:sz="4" w:space="0" w:color="000000"/>
              <w:bottom w:val="single" w:sz="4" w:space="0" w:color="000000"/>
              <w:right w:val="single" w:sz="4" w:space="0" w:color="000000"/>
            </w:tcBorders>
            <w:hideMark/>
          </w:tcPr>
          <w:p w14:paraId="07D75B2F"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Udslæt </w:t>
            </w:r>
          </w:p>
          <w:p w14:paraId="6BD1C72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Pruritus</w:t>
            </w:r>
          </w:p>
        </w:tc>
        <w:tc>
          <w:tcPr>
            <w:tcW w:w="726" w:type="pct"/>
            <w:tcBorders>
              <w:top w:val="single" w:sz="4" w:space="0" w:color="000000"/>
              <w:left w:val="single" w:sz="4" w:space="0" w:color="000000"/>
              <w:bottom w:val="single" w:sz="4" w:space="0" w:color="000000"/>
              <w:right w:val="single" w:sz="4" w:space="0" w:color="000000"/>
            </w:tcBorders>
          </w:tcPr>
          <w:p w14:paraId="69D316E3"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6221E0F3"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 xml:space="preserve">Stevens-Johnsons syndrom </w:t>
            </w:r>
          </w:p>
          <w:p w14:paraId="48BFA5FD"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 xml:space="preserve">Toksisk epidermal nekrolyse </w:t>
            </w:r>
          </w:p>
          <w:p w14:paraId="7B4FC155"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 xml:space="preserve">Erythema multiforme </w:t>
            </w:r>
          </w:p>
          <w:p w14:paraId="3DB8E5B2"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 xml:space="preserve">Akut generaliseret eksantematøs pustulose </w:t>
            </w:r>
          </w:p>
          <w:p w14:paraId="7950B567"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Eksfoliativ dermatitis (se pkt. 4.4)</w:t>
            </w:r>
          </w:p>
          <w:p w14:paraId="284C2528" w14:textId="77777777" w:rsidR="006E7021" w:rsidRPr="0083270E" w:rsidRDefault="006E7021" w:rsidP="0083270E">
            <w:pPr>
              <w:pStyle w:val="TableParagraph"/>
              <w:widowControl/>
              <w:spacing w:before="0" w:line="240" w:lineRule="auto"/>
              <w:ind w:left="142" w:right="81"/>
              <w:rPr>
                <w:szCs w:val="22"/>
                <w:lang w:val="nb-NO"/>
              </w:rPr>
            </w:pPr>
            <w:r w:rsidRPr="0083270E">
              <w:rPr>
                <w:szCs w:val="22"/>
                <w:lang w:val="nb-NO"/>
              </w:rPr>
              <w:t xml:space="preserve">Angioødem </w:t>
            </w:r>
          </w:p>
          <w:p w14:paraId="0C3A4960"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Erytem</w:t>
            </w:r>
          </w:p>
          <w:p w14:paraId="331D932F"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Urticaria (nældefeber)</w:t>
            </w:r>
          </w:p>
        </w:tc>
      </w:tr>
      <w:tr w:rsidR="006E7021" w:rsidRPr="0083270E" w14:paraId="4FA4F10A"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09EFE276"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Nyrer og urinveje</w:t>
            </w:r>
          </w:p>
        </w:tc>
        <w:tc>
          <w:tcPr>
            <w:tcW w:w="1097" w:type="pct"/>
            <w:tcBorders>
              <w:top w:val="single" w:sz="4" w:space="0" w:color="000000"/>
              <w:left w:val="single" w:sz="4" w:space="0" w:color="000000"/>
              <w:bottom w:val="single" w:sz="4" w:space="0" w:color="000000"/>
              <w:right w:val="single" w:sz="4" w:space="0" w:color="000000"/>
            </w:tcBorders>
          </w:tcPr>
          <w:p w14:paraId="52CF6E41" w14:textId="77777777" w:rsidR="006E7021" w:rsidRPr="0083270E" w:rsidRDefault="006E7021" w:rsidP="0083270E">
            <w:pPr>
              <w:pStyle w:val="TableParagraph"/>
              <w:widowControl/>
              <w:spacing w:before="0" w:line="240" w:lineRule="auto"/>
              <w:ind w:left="142" w:right="81"/>
              <w:rPr>
                <w:szCs w:val="22"/>
                <w:lang w:val="da-DK"/>
              </w:rPr>
            </w:pPr>
          </w:p>
        </w:tc>
        <w:tc>
          <w:tcPr>
            <w:tcW w:w="733" w:type="pct"/>
            <w:tcBorders>
              <w:top w:val="single" w:sz="4" w:space="0" w:color="000000"/>
              <w:left w:val="single" w:sz="4" w:space="0" w:color="000000"/>
              <w:bottom w:val="single" w:sz="4" w:space="0" w:color="000000"/>
              <w:right w:val="single" w:sz="4" w:space="0" w:color="000000"/>
            </w:tcBorders>
          </w:tcPr>
          <w:p w14:paraId="7AC5A5F3"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0B7C6287"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3DDC8346"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Interstitiel nephritis</w:t>
            </w:r>
          </w:p>
        </w:tc>
      </w:tr>
      <w:tr w:rsidR="006E7021" w:rsidRPr="0083270E" w14:paraId="50C30238"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05BFF9F5"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Almene symptomer og reaktioner på administrations-stedet</w:t>
            </w:r>
          </w:p>
        </w:tc>
        <w:tc>
          <w:tcPr>
            <w:tcW w:w="1097" w:type="pct"/>
            <w:tcBorders>
              <w:top w:val="single" w:sz="4" w:space="0" w:color="000000"/>
              <w:left w:val="single" w:sz="4" w:space="0" w:color="000000"/>
              <w:bottom w:val="single" w:sz="4" w:space="0" w:color="000000"/>
              <w:right w:val="single" w:sz="4" w:space="0" w:color="000000"/>
            </w:tcBorders>
            <w:hideMark/>
          </w:tcPr>
          <w:p w14:paraId="30E4E001"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Smerte på injektionsstedet</w:t>
            </w:r>
          </w:p>
        </w:tc>
        <w:tc>
          <w:tcPr>
            <w:tcW w:w="733" w:type="pct"/>
            <w:tcBorders>
              <w:top w:val="single" w:sz="4" w:space="0" w:color="000000"/>
              <w:left w:val="single" w:sz="4" w:space="0" w:color="000000"/>
              <w:bottom w:val="single" w:sz="4" w:space="0" w:color="000000"/>
              <w:right w:val="single" w:sz="4" w:space="0" w:color="000000"/>
            </w:tcBorders>
            <w:hideMark/>
          </w:tcPr>
          <w:p w14:paraId="57726273"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Træthed </w:t>
            </w:r>
          </w:p>
          <w:p w14:paraId="5A37B8A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Utilpashed</w:t>
            </w:r>
          </w:p>
        </w:tc>
        <w:tc>
          <w:tcPr>
            <w:tcW w:w="726" w:type="pct"/>
            <w:tcBorders>
              <w:top w:val="single" w:sz="4" w:space="0" w:color="000000"/>
              <w:left w:val="single" w:sz="4" w:space="0" w:color="000000"/>
              <w:bottom w:val="single" w:sz="4" w:space="0" w:color="000000"/>
              <w:right w:val="single" w:sz="4" w:space="0" w:color="000000"/>
            </w:tcBorders>
          </w:tcPr>
          <w:p w14:paraId="26B4E26C"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hideMark/>
          </w:tcPr>
          <w:p w14:paraId="045F22B4"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Reaktion på injektionsstedet</w:t>
            </w:r>
          </w:p>
        </w:tc>
      </w:tr>
      <w:tr w:rsidR="006E7021" w:rsidRPr="0083270E" w14:paraId="7EDAFEC9" w14:textId="77777777" w:rsidTr="006E7021">
        <w:tc>
          <w:tcPr>
            <w:tcW w:w="989" w:type="pct"/>
            <w:tcBorders>
              <w:top w:val="single" w:sz="4" w:space="0" w:color="000000"/>
              <w:left w:val="single" w:sz="4" w:space="0" w:color="000000"/>
              <w:bottom w:val="single" w:sz="4" w:space="0" w:color="000000"/>
              <w:right w:val="single" w:sz="4" w:space="0" w:color="000000"/>
            </w:tcBorders>
            <w:hideMark/>
          </w:tcPr>
          <w:p w14:paraId="64390C56" w14:textId="77777777" w:rsidR="006E7021" w:rsidRPr="0083270E" w:rsidRDefault="006E7021" w:rsidP="0083270E">
            <w:pPr>
              <w:pStyle w:val="TableParagraph"/>
              <w:widowControl/>
              <w:spacing w:before="0" w:line="240" w:lineRule="auto"/>
              <w:ind w:left="142" w:right="81"/>
              <w:rPr>
                <w:b/>
                <w:szCs w:val="22"/>
                <w:lang w:val="da-DK"/>
              </w:rPr>
            </w:pPr>
            <w:r w:rsidRPr="0083270E">
              <w:rPr>
                <w:b/>
                <w:szCs w:val="22"/>
                <w:lang w:val="da-DK"/>
              </w:rPr>
              <w:t>Undersøgelser</w:t>
            </w:r>
          </w:p>
        </w:tc>
        <w:tc>
          <w:tcPr>
            <w:tcW w:w="1097" w:type="pct"/>
            <w:tcBorders>
              <w:top w:val="single" w:sz="4" w:space="0" w:color="000000"/>
              <w:left w:val="single" w:sz="4" w:space="0" w:color="000000"/>
              <w:bottom w:val="single" w:sz="4" w:space="0" w:color="000000"/>
              <w:right w:val="single" w:sz="4" w:space="0" w:color="000000"/>
            </w:tcBorders>
            <w:hideMark/>
          </w:tcPr>
          <w:p w14:paraId="7B9B31F4"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Alanin aminotransferase forhøjet</w:t>
            </w:r>
          </w:p>
          <w:p w14:paraId="0BD8615E" w14:textId="77777777" w:rsidR="006E7021" w:rsidRPr="0083270E" w:rsidRDefault="006E7021" w:rsidP="0083270E">
            <w:pPr>
              <w:pStyle w:val="TableParagraph"/>
              <w:widowControl/>
              <w:spacing w:before="0" w:line="240" w:lineRule="auto"/>
              <w:ind w:left="142" w:right="81"/>
              <w:rPr>
                <w:szCs w:val="22"/>
                <w:lang w:val="da-DK"/>
              </w:rPr>
            </w:pPr>
            <w:r w:rsidRPr="0083270E">
              <w:rPr>
                <w:szCs w:val="22"/>
                <w:lang w:val="da-DK"/>
              </w:rPr>
              <w:t xml:space="preserve">Aspartataminotransferase forhøjet </w:t>
            </w:r>
          </w:p>
        </w:tc>
        <w:tc>
          <w:tcPr>
            <w:tcW w:w="733" w:type="pct"/>
            <w:tcBorders>
              <w:top w:val="single" w:sz="4" w:space="0" w:color="000000"/>
              <w:left w:val="single" w:sz="4" w:space="0" w:color="000000"/>
              <w:bottom w:val="single" w:sz="4" w:space="0" w:color="000000"/>
              <w:right w:val="single" w:sz="4" w:space="0" w:color="000000"/>
            </w:tcBorders>
          </w:tcPr>
          <w:p w14:paraId="071C1337" w14:textId="77777777" w:rsidR="006E7021" w:rsidRPr="0083270E" w:rsidRDefault="006E7021" w:rsidP="0083270E">
            <w:pPr>
              <w:pStyle w:val="TableParagraph"/>
              <w:widowControl/>
              <w:spacing w:before="0" w:line="240" w:lineRule="auto"/>
              <w:ind w:left="142" w:right="81"/>
              <w:rPr>
                <w:szCs w:val="22"/>
                <w:lang w:val="da-DK"/>
              </w:rPr>
            </w:pPr>
          </w:p>
        </w:tc>
        <w:tc>
          <w:tcPr>
            <w:tcW w:w="726" w:type="pct"/>
            <w:tcBorders>
              <w:top w:val="single" w:sz="4" w:space="0" w:color="000000"/>
              <w:left w:val="single" w:sz="4" w:space="0" w:color="000000"/>
              <w:bottom w:val="single" w:sz="4" w:space="0" w:color="000000"/>
              <w:right w:val="single" w:sz="4" w:space="0" w:color="000000"/>
            </w:tcBorders>
          </w:tcPr>
          <w:p w14:paraId="5B19E412" w14:textId="77777777" w:rsidR="006E7021" w:rsidRPr="0083270E" w:rsidRDefault="006E7021" w:rsidP="0083270E">
            <w:pPr>
              <w:pStyle w:val="TableParagraph"/>
              <w:widowControl/>
              <w:spacing w:before="0" w:line="240" w:lineRule="auto"/>
              <w:ind w:left="142" w:right="81"/>
              <w:rPr>
                <w:szCs w:val="22"/>
                <w:lang w:val="da-DK"/>
              </w:rPr>
            </w:pPr>
          </w:p>
        </w:tc>
        <w:tc>
          <w:tcPr>
            <w:tcW w:w="1454" w:type="pct"/>
            <w:tcBorders>
              <w:top w:val="single" w:sz="4" w:space="0" w:color="000000"/>
              <w:left w:val="single" w:sz="4" w:space="0" w:color="000000"/>
              <w:bottom w:val="single" w:sz="4" w:space="0" w:color="000000"/>
              <w:right w:val="single" w:sz="4" w:space="0" w:color="000000"/>
            </w:tcBorders>
          </w:tcPr>
          <w:p w14:paraId="0B4F5E22" w14:textId="77777777" w:rsidR="006E7021" w:rsidRPr="0083270E" w:rsidRDefault="006E7021" w:rsidP="0083270E">
            <w:pPr>
              <w:pStyle w:val="TableParagraph"/>
              <w:widowControl/>
              <w:spacing w:before="0" w:line="240" w:lineRule="auto"/>
              <w:ind w:left="142" w:right="81"/>
              <w:rPr>
                <w:szCs w:val="22"/>
                <w:lang w:val="da-DK"/>
              </w:rPr>
            </w:pPr>
          </w:p>
        </w:tc>
      </w:tr>
    </w:tbl>
    <w:p w14:paraId="326D6D51" w14:textId="7EEA35B3" w:rsidR="00A20A4C" w:rsidRDefault="00A20A4C" w:rsidP="006E7021">
      <w:pPr>
        <w:ind w:left="851"/>
        <w:rPr>
          <w:rFonts w:eastAsia="Calibri"/>
          <w:sz w:val="24"/>
          <w:szCs w:val="24"/>
        </w:rPr>
      </w:pPr>
    </w:p>
    <w:p w14:paraId="7A1B2130" w14:textId="77777777" w:rsidR="00A20A4C" w:rsidRDefault="00A20A4C">
      <w:pPr>
        <w:rPr>
          <w:rFonts w:eastAsia="Calibri"/>
          <w:sz w:val="24"/>
          <w:szCs w:val="24"/>
        </w:rPr>
      </w:pPr>
      <w:r>
        <w:rPr>
          <w:rFonts w:eastAsia="Calibri"/>
          <w:sz w:val="24"/>
          <w:szCs w:val="24"/>
        </w:rPr>
        <w:br w:type="page"/>
      </w:r>
    </w:p>
    <w:p w14:paraId="4B971AC1" w14:textId="77777777" w:rsidR="006E7021" w:rsidRPr="006A2898" w:rsidRDefault="006E7021" w:rsidP="006E7021">
      <w:pPr>
        <w:ind w:left="851"/>
        <w:rPr>
          <w:rFonts w:eastAsia="Calibri"/>
          <w:sz w:val="24"/>
          <w:szCs w:val="24"/>
        </w:rPr>
      </w:pPr>
    </w:p>
    <w:p w14:paraId="2B077F7D" w14:textId="77777777" w:rsidR="006E7021" w:rsidRPr="0083270E" w:rsidRDefault="006E7021" w:rsidP="006E7021">
      <w:pPr>
        <w:ind w:left="851"/>
        <w:rPr>
          <w:sz w:val="24"/>
          <w:szCs w:val="24"/>
          <w:u w:val="single"/>
        </w:rPr>
      </w:pPr>
      <w:r w:rsidRPr="0083270E">
        <w:rPr>
          <w:sz w:val="24"/>
          <w:szCs w:val="24"/>
          <w:u w:val="single"/>
        </w:rPr>
        <w:t>Indberetning af formodede bivirkninger</w:t>
      </w:r>
    </w:p>
    <w:p w14:paraId="59B2A7B0" w14:textId="77777777" w:rsidR="006E7021" w:rsidRPr="006A2898" w:rsidRDefault="006E7021" w:rsidP="006E7021">
      <w:pPr>
        <w:ind w:left="851"/>
        <w:rPr>
          <w:sz w:val="24"/>
          <w:szCs w:val="24"/>
        </w:rPr>
      </w:pPr>
      <w:r w:rsidRPr="006A2898">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35D7FD81" w14:textId="77777777" w:rsidR="006E7021" w:rsidRPr="006A2898" w:rsidRDefault="006E7021" w:rsidP="006E7021">
      <w:pPr>
        <w:ind w:left="851"/>
        <w:rPr>
          <w:sz w:val="24"/>
          <w:szCs w:val="24"/>
        </w:rPr>
      </w:pPr>
    </w:p>
    <w:p w14:paraId="3A250D4A" w14:textId="77777777" w:rsidR="006E7021" w:rsidRPr="006A2898" w:rsidRDefault="006E7021" w:rsidP="006E7021">
      <w:pPr>
        <w:ind w:left="851"/>
        <w:rPr>
          <w:sz w:val="24"/>
          <w:szCs w:val="24"/>
        </w:rPr>
      </w:pPr>
      <w:r w:rsidRPr="006A2898">
        <w:rPr>
          <w:sz w:val="24"/>
          <w:szCs w:val="24"/>
        </w:rPr>
        <w:t>Lægemiddelstyrelsen</w:t>
      </w:r>
    </w:p>
    <w:p w14:paraId="3A7B980A" w14:textId="77777777" w:rsidR="006E7021" w:rsidRPr="006A2898" w:rsidRDefault="006E7021" w:rsidP="006E7021">
      <w:pPr>
        <w:ind w:left="851"/>
        <w:rPr>
          <w:sz w:val="24"/>
          <w:szCs w:val="24"/>
        </w:rPr>
      </w:pPr>
      <w:r w:rsidRPr="006A2898">
        <w:rPr>
          <w:sz w:val="24"/>
          <w:szCs w:val="24"/>
        </w:rPr>
        <w:t>Axel Heides Gade 1</w:t>
      </w:r>
    </w:p>
    <w:p w14:paraId="32848E67" w14:textId="77777777" w:rsidR="006E7021" w:rsidRPr="006A2898" w:rsidRDefault="006E7021" w:rsidP="006E7021">
      <w:pPr>
        <w:ind w:left="851"/>
        <w:rPr>
          <w:sz w:val="24"/>
          <w:szCs w:val="24"/>
        </w:rPr>
      </w:pPr>
      <w:r w:rsidRPr="006A2898">
        <w:rPr>
          <w:sz w:val="24"/>
          <w:szCs w:val="24"/>
        </w:rPr>
        <w:t>DK-2300 København S</w:t>
      </w:r>
    </w:p>
    <w:p w14:paraId="2257C5EF" w14:textId="6783DE84" w:rsidR="006E7021" w:rsidRPr="006A2898" w:rsidRDefault="006E7021" w:rsidP="006E7021">
      <w:pPr>
        <w:ind w:left="851"/>
        <w:rPr>
          <w:sz w:val="24"/>
          <w:szCs w:val="24"/>
        </w:rPr>
      </w:pPr>
      <w:r w:rsidRPr="006A2898">
        <w:rPr>
          <w:sz w:val="24"/>
          <w:szCs w:val="24"/>
        </w:rPr>
        <w:t xml:space="preserve">Websted: </w:t>
      </w:r>
      <w:hyperlink r:id="rId8" w:history="1">
        <w:r w:rsidR="00AF674F" w:rsidRPr="0011212D">
          <w:rPr>
            <w:rStyle w:val="Hyperlink"/>
            <w:sz w:val="24"/>
            <w:szCs w:val="24"/>
          </w:rPr>
          <w:t>www.meldenbivirkning.dk</w:t>
        </w:r>
      </w:hyperlink>
      <w:r w:rsidR="00AF674F">
        <w:rPr>
          <w:sz w:val="24"/>
          <w:szCs w:val="24"/>
        </w:rPr>
        <w:t xml:space="preserve"> </w:t>
      </w:r>
      <w:r w:rsidRPr="006A2898">
        <w:rPr>
          <w:sz w:val="24"/>
          <w:szCs w:val="24"/>
        </w:rPr>
        <w:t xml:space="preserve"> </w:t>
      </w:r>
    </w:p>
    <w:p w14:paraId="34605C0C" w14:textId="77777777" w:rsidR="009260DE" w:rsidRPr="006A2898" w:rsidRDefault="009260DE" w:rsidP="00A10294">
      <w:pPr>
        <w:tabs>
          <w:tab w:val="left" w:pos="851"/>
        </w:tabs>
        <w:ind w:left="851"/>
        <w:rPr>
          <w:sz w:val="24"/>
          <w:szCs w:val="24"/>
        </w:rPr>
      </w:pPr>
    </w:p>
    <w:p w14:paraId="6FB803A9" w14:textId="77777777" w:rsidR="009260DE" w:rsidRPr="006A2898" w:rsidRDefault="009260DE" w:rsidP="009260DE">
      <w:pPr>
        <w:tabs>
          <w:tab w:val="left" w:pos="851"/>
        </w:tabs>
        <w:ind w:left="851" w:hanging="851"/>
        <w:rPr>
          <w:b/>
          <w:sz w:val="24"/>
          <w:szCs w:val="24"/>
        </w:rPr>
      </w:pPr>
      <w:r w:rsidRPr="006A2898">
        <w:rPr>
          <w:b/>
          <w:sz w:val="24"/>
          <w:szCs w:val="24"/>
        </w:rPr>
        <w:t>4.9</w:t>
      </w:r>
      <w:r w:rsidRPr="006A2898">
        <w:rPr>
          <w:b/>
          <w:sz w:val="24"/>
          <w:szCs w:val="24"/>
        </w:rPr>
        <w:tab/>
        <w:t>Overdosering</w:t>
      </w:r>
    </w:p>
    <w:p w14:paraId="33E5EAB5" w14:textId="77777777" w:rsidR="0083270E" w:rsidRDefault="0083270E" w:rsidP="006E7021">
      <w:pPr>
        <w:ind w:left="851"/>
        <w:rPr>
          <w:sz w:val="24"/>
          <w:szCs w:val="24"/>
        </w:rPr>
      </w:pPr>
    </w:p>
    <w:p w14:paraId="18D73328" w14:textId="78822582" w:rsidR="006E7021" w:rsidRPr="0083270E" w:rsidRDefault="006E7021" w:rsidP="006E7021">
      <w:pPr>
        <w:ind w:left="851"/>
        <w:rPr>
          <w:sz w:val="24"/>
          <w:szCs w:val="24"/>
          <w:u w:val="single"/>
        </w:rPr>
      </w:pPr>
      <w:r w:rsidRPr="0083270E">
        <w:rPr>
          <w:sz w:val="24"/>
          <w:szCs w:val="24"/>
          <w:u w:val="single"/>
        </w:rPr>
        <w:t xml:space="preserve">Symptomer </w:t>
      </w:r>
    </w:p>
    <w:p w14:paraId="12D2540F" w14:textId="77777777" w:rsidR="006E7021" w:rsidRPr="006A2898" w:rsidRDefault="006E7021" w:rsidP="006E7021">
      <w:pPr>
        <w:ind w:left="851"/>
        <w:rPr>
          <w:sz w:val="24"/>
          <w:szCs w:val="24"/>
        </w:rPr>
      </w:pPr>
      <w:r w:rsidRPr="006A2898">
        <w:rPr>
          <w:sz w:val="24"/>
          <w:szCs w:val="24"/>
        </w:rPr>
        <w:t xml:space="preserve">Der foreligger begrænsede oplysninger om den akutte toksicitet af ampicillinnatrium og sulbactamnatrium hos mennesker. Overdosering af lægemidlet forventes at fremkalde manifestationer, der hovedsageligt er forlængelser af de bivirkninger, der er rapporteret med produktet. Det faktum, at høje CSV-koncentrationer af beta-lactam-antibiotika kan forårsage neurologiske virkninger, herunder krampeanfald, bør overvejes. </w:t>
      </w:r>
    </w:p>
    <w:p w14:paraId="29EF84B7" w14:textId="77777777" w:rsidR="006E7021" w:rsidRPr="006A2898" w:rsidRDefault="006E7021" w:rsidP="006E7021">
      <w:pPr>
        <w:ind w:left="851"/>
        <w:rPr>
          <w:sz w:val="24"/>
          <w:szCs w:val="24"/>
        </w:rPr>
      </w:pPr>
    </w:p>
    <w:p w14:paraId="64C31BF9" w14:textId="77777777" w:rsidR="006E7021" w:rsidRPr="0083270E" w:rsidRDefault="006E7021" w:rsidP="006E7021">
      <w:pPr>
        <w:ind w:left="851"/>
        <w:rPr>
          <w:sz w:val="24"/>
          <w:szCs w:val="24"/>
          <w:u w:val="single"/>
        </w:rPr>
      </w:pPr>
      <w:r w:rsidRPr="0083270E">
        <w:rPr>
          <w:sz w:val="24"/>
          <w:szCs w:val="24"/>
          <w:u w:val="single"/>
        </w:rPr>
        <w:t>Behandling</w:t>
      </w:r>
    </w:p>
    <w:p w14:paraId="2C1501D7" w14:textId="77777777" w:rsidR="006E7021" w:rsidRPr="006A2898" w:rsidRDefault="006E7021" w:rsidP="006E7021">
      <w:pPr>
        <w:ind w:left="851"/>
        <w:rPr>
          <w:sz w:val="24"/>
          <w:szCs w:val="24"/>
        </w:rPr>
      </w:pPr>
      <w:r w:rsidRPr="006A2898">
        <w:rPr>
          <w:sz w:val="24"/>
          <w:szCs w:val="24"/>
        </w:rPr>
        <w:t>Da ampicillin og sulbactam begge fjernes fra kredsløbet ved hæmodialyse, kan disse procedurer øge elimineringen af produktet fra kroppen, hvis der forekommer overdosering hos patienter med nedsat nyrefunktion.</w:t>
      </w:r>
    </w:p>
    <w:p w14:paraId="747B3F20" w14:textId="77777777" w:rsidR="009260DE" w:rsidRPr="006A2898" w:rsidRDefault="009260DE" w:rsidP="009260DE">
      <w:pPr>
        <w:tabs>
          <w:tab w:val="left" w:pos="851"/>
        </w:tabs>
        <w:ind w:left="851"/>
        <w:rPr>
          <w:sz w:val="24"/>
          <w:szCs w:val="24"/>
        </w:rPr>
      </w:pPr>
    </w:p>
    <w:p w14:paraId="3731A743" w14:textId="77777777" w:rsidR="009260DE" w:rsidRPr="006A2898" w:rsidRDefault="009260DE" w:rsidP="009260DE">
      <w:pPr>
        <w:tabs>
          <w:tab w:val="left" w:pos="851"/>
        </w:tabs>
        <w:ind w:left="851" w:hanging="851"/>
        <w:rPr>
          <w:b/>
          <w:sz w:val="24"/>
          <w:szCs w:val="24"/>
        </w:rPr>
      </w:pPr>
      <w:r w:rsidRPr="006A2898">
        <w:rPr>
          <w:b/>
          <w:sz w:val="24"/>
          <w:szCs w:val="24"/>
        </w:rPr>
        <w:t>4.10</w:t>
      </w:r>
      <w:r w:rsidRPr="006A2898">
        <w:rPr>
          <w:b/>
          <w:sz w:val="24"/>
          <w:szCs w:val="24"/>
        </w:rPr>
        <w:tab/>
        <w:t>Udlevering</w:t>
      </w:r>
    </w:p>
    <w:p w14:paraId="06EA854B" w14:textId="05688D16" w:rsidR="009260DE" w:rsidRPr="006A2898" w:rsidRDefault="006E7021" w:rsidP="009260DE">
      <w:pPr>
        <w:tabs>
          <w:tab w:val="left" w:pos="851"/>
        </w:tabs>
        <w:ind w:left="851"/>
        <w:rPr>
          <w:sz w:val="24"/>
          <w:szCs w:val="24"/>
        </w:rPr>
      </w:pPr>
      <w:r w:rsidRPr="006A2898">
        <w:rPr>
          <w:sz w:val="24"/>
          <w:szCs w:val="24"/>
        </w:rPr>
        <w:t>B</w:t>
      </w:r>
    </w:p>
    <w:p w14:paraId="6E083A74" w14:textId="77777777" w:rsidR="009260DE" w:rsidRPr="006A2898" w:rsidRDefault="009260DE" w:rsidP="009260DE">
      <w:pPr>
        <w:tabs>
          <w:tab w:val="left" w:pos="851"/>
        </w:tabs>
        <w:ind w:left="851"/>
        <w:rPr>
          <w:sz w:val="24"/>
          <w:szCs w:val="24"/>
        </w:rPr>
      </w:pPr>
    </w:p>
    <w:p w14:paraId="4CB7546C" w14:textId="77777777" w:rsidR="009260DE" w:rsidRPr="006A2898" w:rsidRDefault="009260DE" w:rsidP="009260DE">
      <w:pPr>
        <w:tabs>
          <w:tab w:val="left" w:pos="851"/>
        </w:tabs>
        <w:ind w:left="851"/>
        <w:rPr>
          <w:sz w:val="24"/>
          <w:szCs w:val="24"/>
        </w:rPr>
      </w:pPr>
    </w:p>
    <w:p w14:paraId="302E9CCF" w14:textId="77777777" w:rsidR="009260DE" w:rsidRPr="006A2898" w:rsidRDefault="009260DE" w:rsidP="009260DE">
      <w:pPr>
        <w:tabs>
          <w:tab w:val="left" w:pos="851"/>
        </w:tabs>
        <w:ind w:left="851" w:hanging="851"/>
        <w:rPr>
          <w:b/>
          <w:sz w:val="24"/>
          <w:szCs w:val="24"/>
        </w:rPr>
      </w:pPr>
      <w:r w:rsidRPr="006A2898">
        <w:rPr>
          <w:b/>
          <w:sz w:val="24"/>
          <w:szCs w:val="24"/>
        </w:rPr>
        <w:t>5.</w:t>
      </w:r>
      <w:r w:rsidRPr="006A2898">
        <w:rPr>
          <w:b/>
          <w:sz w:val="24"/>
          <w:szCs w:val="24"/>
        </w:rPr>
        <w:tab/>
        <w:t>FARMAKOLOGISKE EGENSKABER</w:t>
      </w:r>
    </w:p>
    <w:p w14:paraId="0742886B" w14:textId="77777777" w:rsidR="009260DE" w:rsidRPr="006A2898" w:rsidRDefault="009260DE" w:rsidP="009260DE">
      <w:pPr>
        <w:tabs>
          <w:tab w:val="left" w:pos="851"/>
        </w:tabs>
        <w:ind w:left="851"/>
        <w:rPr>
          <w:sz w:val="24"/>
          <w:szCs w:val="24"/>
        </w:rPr>
      </w:pPr>
    </w:p>
    <w:p w14:paraId="1E7834D5" w14:textId="77777777" w:rsidR="009260DE" w:rsidRPr="006A2898" w:rsidRDefault="009260DE" w:rsidP="009260DE">
      <w:pPr>
        <w:tabs>
          <w:tab w:val="num" w:pos="851"/>
        </w:tabs>
        <w:ind w:left="851" w:hanging="851"/>
        <w:rPr>
          <w:b/>
          <w:sz w:val="24"/>
          <w:szCs w:val="24"/>
        </w:rPr>
      </w:pPr>
      <w:r w:rsidRPr="006A2898">
        <w:rPr>
          <w:b/>
          <w:sz w:val="24"/>
          <w:szCs w:val="24"/>
        </w:rPr>
        <w:t>5.1</w:t>
      </w:r>
      <w:r w:rsidRPr="006A2898">
        <w:rPr>
          <w:b/>
          <w:sz w:val="24"/>
          <w:szCs w:val="24"/>
        </w:rPr>
        <w:tab/>
        <w:t>Farmakodynamiske egenskaber</w:t>
      </w:r>
    </w:p>
    <w:p w14:paraId="156D02AB" w14:textId="626F7BDD" w:rsidR="006E7021" w:rsidRPr="006A2898" w:rsidRDefault="006E7021" w:rsidP="006E7021">
      <w:pPr>
        <w:ind w:left="851"/>
        <w:rPr>
          <w:sz w:val="24"/>
          <w:szCs w:val="24"/>
        </w:rPr>
      </w:pPr>
      <w:r w:rsidRPr="006A2898">
        <w:rPr>
          <w:sz w:val="24"/>
          <w:szCs w:val="24"/>
        </w:rPr>
        <w:t>Farmakoterapeutisk gruppe: antibakterielle midler til systemisk brug, kombinationer af penicilliner, herunder beta-lactamasehæmmere</w:t>
      </w:r>
      <w:r w:rsidR="0083270E">
        <w:rPr>
          <w:sz w:val="24"/>
          <w:szCs w:val="24"/>
        </w:rPr>
        <w:t xml:space="preserve">, </w:t>
      </w:r>
      <w:r w:rsidRPr="006A2898">
        <w:rPr>
          <w:sz w:val="24"/>
          <w:szCs w:val="24"/>
        </w:rPr>
        <w:t>ATC-kode: J01CR01</w:t>
      </w:r>
      <w:r w:rsidR="0083270E">
        <w:rPr>
          <w:sz w:val="24"/>
          <w:szCs w:val="24"/>
        </w:rPr>
        <w:t>.</w:t>
      </w:r>
    </w:p>
    <w:p w14:paraId="120C0A74" w14:textId="77777777" w:rsidR="006E7021" w:rsidRPr="0083270E" w:rsidRDefault="006E7021" w:rsidP="006E7021">
      <w:pPr>
        <w:ind w:left="851"/>
        <w:rPr>
          <w:sz w:val="24"/>
          <w:szCs w:val="24"/>
          <w:u w:val="thick"/>
        </w:rPr>
      </w:pPr>
    </w:p>
    <w:p w14:paraId="72F9BDAF" w14:textId="77777777" w:rsidR="006E7021" w:rsidRPr="0083270E" w:rsidRDefault="006E7021" w:rsidP="006E7021">
      <w:pPr>
        <w:ind w:left="851"/>
        <w:rPr>
          <w:sz w:val="24"/>
          <w:szCs w:val="24"/>
          <w:u w:val="single"/>
        </w:rPr>
      </w:pPr>
      <w:r w:rsidRPr="0083270E">
        <w:rPr>
          <w:sz w:val="24"/>
          <w:szCs w:val="24"/>
          <w:u w:val="single"/>
        </w:rPr>
        <w:t>Virkningsmekanisme</w:t>
      </w:r>
    </w:p>
    <w:p w14:paraId="71EECF98" w14:textId="69EFA553" w:rsidR="006E7021" w:rsidRPr="006A2898" w:rsidRDefault="006E7021" w:rsidP="006E7021">
      <w:pPr>
        <w:ind w:left="851"/>
        <w:rPr>
          <w:sz w:val="24"/>
          <w:szCs w:val="24"/>
        </w:rPr>
      </w:pPr>
      <w:r w:rsidRPr="006A2898">
        <w:rPr>
          <w:sz w:val="24"/>
          <w:szCs w:val="24"/>
        </w:rPr>
        <w:t xml:space="preserve">Biokemiske undersøgelser med cellefrie bakteriesystemer har vist, at sulbactam er en irreversibel hæmmer af de vigtigste beta-lactamaser, der forekommer i penicillinresistente organismer. Mens sulbactams antibakterielle aktivitet hovedsageligt er begrænset til </w:t>
      </w:r>
      <w:r w:rsidRPr="006A2898">
        <w:rPr>
          <w:i/>
          <w:sz w:val="24"/>
          <w:szCs w:val="24"/>
        </w:rPr>
        <w:t xml:space="preserve">Neisseriaceae, </w:t>
      </w:r>
      <w:r w:rsidRPr="006A2898">
        <w:rPr>
          <w:sz w:val="24"/>
          <w:szCs w:val="24"/>
        </w:rPr>
        <w:t>blev potentialet for sulbactamnatrium til at forhindre ødelæggelse af penicilliner og cefalosporiner af resistente organismer bekræftet i helorganisme</w:t>
      </w:r>
      <w:r w:rsidR="0083270E">
        <w:rPr>
          <w:sz w:val="24"/>
          <w:szCs w:val="24"/>
        </w:rPr>
        <w:softHyphen/>
      </w:r>
      <w:r w:rsidRPr="006A2898">
        <w:rPr>
          <w:sz w:val="24"/>
          <w:szCs w:val="24"/>
        </w:rPr>
        <w:t>undersøgelser ved hjælp af resistente stammer, hvor sulbactamnatrium udviste markante synergistiske virkninger med penicilliner og cefalosporiner. Da sulbactam også binder sig til nogle penicillinbindende proteiner, gør det nogle følsomme stammer mere følsomme over for kombinationen end over for beta-lactam-antibiotikummet alene.</w:t>
      </w:r>
    </w:p>
    <w:p w14:paraId="719EDF25" w14:textId="77777777" w:rsidR="006E7021" w:rsidRPr="006A2898" w:rsidRDefault="006E7021" w:rsidP="006E7021">
      <w:pPr>
        <w:ind w:left="851"/>
        <w:rPr>
          <w:sz w:val="24"/>
          <w:szCs w:val="24"/>
        </w:rPr>
      </w:pPr>
    </w:p>
    <w:p w14:paraId="76E3820E" w14:textId="77777777" w:rsidR="006E7021" w:rsidRPr="006A2898" w:rsidRDefault="006E7021" w:rsidP="006E7021">
      <w:pPr>
        <w:ind w:left="851"/>
        <w:rPr>
          <w:sz w:val="24"/>
          <w:szCs w:val="24"/>
        </w:rPr>
      </w:pPr>
      <w:r w:rsidRPr="006A2898">
        <w:rPr>
          <w:sz w:val="24"/>
          <w:szCs w:val="24"/>
        </w:rPr>
        <w:t>Den baktericide komponent i kombinationen er ampicillin, der ligesom benzylpenicillin virker mod følsomme organismer i løbet af stadiet af aktiv formering ved hæmning af biosyntese af cellevægs mucopeptid.</w:t>
      </w:r>
    </w:p>
    <w:p w14:paraId="1101376B" w14:textId="6513D467" w:rsidR="00B84B6D" w:rsidRDefault="00B84B6D">
      <w:pPr>
        <w:rPr>
          <w:sz w:val="24"/>
          <w:szCs w:val="24"/>
        </w:rPr>
      </w:pPr>
      <w:r>
        <w:rPr>
          <w:sz w:val="24"/>
          <w:szCs w:val="24"/>
        </w:rPr>
        <w:br w:type="page"/>
      </w:r>
    </w:p>
    <w:p w14:paraId="44C85E31" w14:textId="77777777" w:rsidR="006E7021" w:rsidRPr="006A2898" w:rsidRDefault="006E7021" w:rsidP="006E7021">
      <w:pPr>
        <w:ind w:left="851"/>
        <w:rPr>
          <w:sz w:val="24"/>
          <w:szCs w:val="24"/>
        </w:rPr>
      </w:pPr>
    </w:p>
    <w:p w14:paraId="76B7BFBC" w14:textId="77777777" w:rsidR="006E7021" w:rsidRPr="0083270E" w:rsidRDefault="006E7021" w:rsidP="006E7021">
      <w:pPr>
        <w:ind w:left="851"/>
        <w:rPr>
          <w:sz w:val="24"/>
          <w:szCs w:val="24"/>
          <w:u w:val="single"/>
        </w:rPr>
      </w:pPr>
      <w:r w:rsidRPr="0083270E">
        <w:rPr>
          <w:sz w:val="24"/>
          <w:szCs w:val="24"/>
          <w:u w:val="single"/>
        </w:rPr>
        <w:t>Antibakterielt spektrum</w:t>
      </w:r>
    </w:p>
    <w:p w14:paraId="02439486" w14:textId="1D0158BF" w:rsidR="006E7021" w:rsidRPr="006A2898" w:rsidRDefault="006A2898" w:rsidP="006E7021">
      <w:pPr>
        <w:ind w:left="851"/>
        <w:rPr>
          <w:sz w:val="24"/>
          <w:szCs w:val="24"/>
        </w:rPr>
      </w:pPr>
      <w:r>
        <w:rPr>
          <w:sz w:val="24"/>
          <w:szCs w:val="24"/>
        </w:rPr>
        <w:t>Ampicillin/Sulbactam "Aptapharma"</w:t>
      </w:r>
      <w:r w:rsidR="006E7021" w:rsidRPr="006A2898">
        <w:rPr>
          <w:sz w:val="24"/>
          <w:szCs w:val="24"/>
        </w:rPr>
        <w:t xml:space="preserve"> har en bredspektret antibakteriel aktivitet mod nedenstående bakterier:</w:t>
      </w:r>
    </w:p>
    <w:p w14:paraId="75A58AA7" w14:textId="77777777" w:rsidR="006E7021" w:rsidRPr="006A2898" w:rsidRDefault="006E7021" w:rsidP="006E7021">
      <w:pPr>
        <w:ind w:left="851"/>
        <w:rPr>
          <w:sz w:val="24"/>
          <w:szCs w:val="24"/>
        </w:rPr>
      </w:pPr>
    </w:p>
    <w:p w14:paraId="6AC52ECA" w14:textId="77777777" w:rsidR="006E7021" w:rsidRPr="006A2898" w:rsidRDefault="006E7021" w:rsidP="006E7021">
      <w:pPr>
        <w:ind w:left="851"/>
        <w:rPr>
          <w:sz w:val="24"/>
          <w:szCs w:val="24"/>
        </w:rPr>
      </w:pPr>
      <w:r w:rsidRPr="006A2898">
        <w:rPr>
          <w:sz w:val="24"/>
          <w:szCs w:val="24"/>
        </w:rPr>
        <w:t>Gram-positiv:</w:t>
      </w:r>
    </w:p>
    <w:p w14:paraId="29A0F18C" w14:textId="77777777" w:rsidR="006E7021" w:rsidRPr="006A2898" w:rsidRDefault="006E7021" w:rsidP="006E7021">
      <w:pPr>
        <w:ind w:left="851"/>
        <w:rPr>
          <w:sz w:val="24"/>
          <w:szCs w:val="24"/>
        </w:rPr>
      </w:pPr>
      <w:r w:rsidRPr="006A2898">
        <w:rPr>
          <w:i/>
          <w:sz w:val="24"/>
          <w:szCs w:val="24"/>
        </w:rPr>
        <w:t xml:space="preserve">Staphylococcus Aureus (methicillinfølsom), Staphylococcus epidermidis </w:t>
      </w:r>
      <w:r w:rsidRPr="006A2898">
        <w:rPr>
          <w:sz w:val="24"/>
          <w:szCs w:val="24"/>
        </w:rPr>
        <w:t xml:space="preserve">(herunder penicillinresistente og nogle methicillinresistente stammer); </w:t>
      </w:r>
      <w:r w:rsidRPr="006A2898">
        <w:rPr>
          <w:i/>
          <w:sz w:val="24"/>
          <w:szCs w:val="24"/>
        </w:rPr>
        <w:t>Streptococcus pneumoniae</w:t>
      </w:r>
      <w:r w:rsidRPr="006A2898">
        <w:rPr>
          <w:sz w:val="24"/>
          <w:szCs w:val="24"/>
        </w:rPr>
        <w:t xml:space="preserve">, </w:t>
      </w:r>
    </w:p>
    <w:p w14:paraId="1E5F4C92" w14:textId="77777777" w:rsidR="006E7021" w:rsidRPr="006A2898" w:rsidRDefault="006E7021" w:rsidP="006E7021">
      <w:pPr>
        <w:ind w:left="851"/>
        <w:rPr>
          <w:sz w:val="24"/>
          <w:szCs w:val="24"/>
        </w:rPr>
      </w:pPr>
      <w:r w:rsidRPr="006A2898">
        <w:rPr>
          <w:i/>
          <w:sz w:val="24"/>
          <w:szCs w:val="24"/>
        </w:rPr>
        <w:t xml:space="preserve">Streptococcus faecalis </w:t>
      </w:r>
      <w:r w:rsidRPr="006A2898">
        <w:rPr>
          <w:sz w:val="24"/>
          <w:szCs w:val="24"/>
        </w:rPr>
        <w:t xml:space="preserve">og andre </w:t>
      </w:r>
      <w:r w:rsidRPr="006A2898">
        <w:rPr>
          <w:i/>
          <w:sz w:val="24"/>
          <w:szCs w:val="24"/>
        </w:rPr>
        <w:t>Streptococcus</w:t>
      </w:r>
      <w:r w:rsidRPr="006A2898">
        <w:rPr>
          <w:sz w:val="24"/>
          <w:szCs w:val="24"/>
        </w:rPr>
        <w:t xml:space="preserve">-arter; </w:t>
      </w:r>
    </w:p>
    <w:p w14:paraId="4909462B" w14:textId="77777777" w:rsidR="006E7021" w:rsidRPr="006A2898" w:rsidRDefault="006E7021" w:rsidP="006E7021">
      <w:pPr>
        <w:ind w:left="851"/>
        <w:rPr>
          <w:i/>
          <w:sz w:val="24"/>
          <w:szCs w:val="24"/>
        </w:rPr>
      </w:pPr>
    </w:p>
    <w:p w14:paraId="03D5C441" w14:textId="77777777" w:rsidR="006E7021" w:rsidRPr="006A2898" w:rsidRDefault="006E7021" w:rsidP="006E7021">
      <w:pPr>
        <w:ind w:left="851"/>
        <w:rPr>
          <w:sz w:val="24"/>
          <w:szCs w:val="24"/>
        </w:rPr>
      </w:pPr>
      <w:r w:rsidRPr="006A2898">
        <w:rPr>
          <w:sz w:val="24"/>
          <w:szCs w:val="24"/>
        </w:rPr>
        <w:t>Gram-negatíve:</w:t>
      </w:r>
    </w:p>
    <w:p w14:paraId="3AD6A2EB" w14:textId="77777777" w:rsidR="006E7021" w:rsidRPr="006A2898" w:rsidRDefault="006E7021" w:rsidP="006E7021">
      <w:pPr>
        <w:ind w:left="851"/>
        <w:rPr>
          <w:sz w:val="24"/>
          <w:szCs w:val="24"/>
        </w:rPr>
      </w:pPr>
      <w:r w:rsidRPr="006A2898">
        <w:rPr>
          <w:i/>
          <w:sz w:val="24"/>
          <w:szCs w:val="24"/>
        </w:rPr>
        <w:t xml:space="preserve">Haemophilus influenzae </w:t>
      </w:r>
      <w:r w:rsidRPr="006A2898">
        <w:rPr>
          <w:sz w:val="24"/>
          <w:szCs w:val="24"/>
        </w:rPr>
        <w:t xml:space="preserve">og </w:t>
      </w:r>
      <w:r w:rsidRPr="006A2898">
        <w:rPr>
          <w:i/>
          <w:sz w:val="24"/>
          <w:szCs w:val="24"/>
        </w:rPr>
        <w:t xml:space="preserve">parainfluenzae </w:t>
      </w:r>
      <w:r w:rsidRPr="006A2898">
        <w:rPr>
          <w:sz w:val="24"/>
          <w:szCs w:val="24"/>
        </w:rPr>
        <w:t xml:space="preserve">(både beta-lactamase positive og negative stammer); </w:t>
      </w:r>
    </w:p>
    <w:p w14:paraId="5734D8C7" w14:textId="77777777" w:rsidR="006E7021" w:rsidRPr="006A2898" w:rsidRDefault="006E7021" w:rsidP="006E7021">
      <w:pPr>
        <w:ind w:left="851"/>
        <w:rPr>
          <w:sz w:val="24"/>
          <w:szCs w:val="24"/>
          <w:lang w:val="en-US"/>
        </w:rPr>
      </w:pPr>
      <w:r w:rsidRPr="0083270E">
        <w:rPr>
          <w:sz w:val="24"/>
          <w:szCs w:val="24"/>
          <w:lang w:val="en-US"/>
        </w:rPr>
        <w:t>Moraxella catarrhalis,</w:t>
      </w:r>
    </w:p>
    <w:p w14:paraId="216D281B" w14:textId="77777777" w:rsidR="006E7021" w:rsidRPr="0083270E" w:rsidRDefault="006E7021" w:rsidP="006E7021">
      <w:pPr>
        <w:ind w:left="851"/>
        <w:rPr>
          <w:sz w:val="24"/>
          <w:szCs w:val="24"/>
          <w:lang w:val="en-US"/>
        </w:rPr>
      </w:pPr>
      <w:r w:rsidRPr="0083270E">
        <w:rPr>
          <w:i/>
          <w:sz w:val="24"/>
          <w:szCs w:val="24"/>
          <w:lang w:val="en-US"/>
        </w:rPr>
        <w:t>Escherichia coli</w:t>
      </w:r>
      <w:r w:rsidRPr="0083270E">
        <w:rPr>
          <w:sz w:val="24"/>
          <w:szCs w:val="24"/>
          <w:lang w:val="en-US"/>
        </w:rPr>
        <w:t xml:space="preserve">, </w:t>
      </w:r>
    </w:p>
    <w:p w14:paraId="73A8572B" w14:textId="77777777" w:rsidR="006E7021" w:rsidRPr="0083270E" w:rsidRDefault="006E7021" w:rsidP="006E7021">
      <w:pPr>
        <w:ind w:left="851"/>
        <w:rPr>
          <w:sz w:val="24"/>
          <w:szCs w:val="24"/>
          <w:lang w:val="en-US"/>
        </w:rPr>
      </w:pPr>
      <w:r w:rsidRPr="0083270E">
        <w:rPr>
          <w:sz w:val="24"/>
          <w:szCs w:val="24"/>
          <w:lang w:val="en-US"/>
        </w:rPr>
        <w:t xml:space="preserve">Klebsiella-arter, </w:t>
      </w:r>
    </w:p>
    <w:p w14:paraId="1C24F1C7" w14:textId="77777777" w:rsidR="006E7021" w:rsidRPr="006A2898" w:rsidRDefault="006E7021" w:rsidP="006E7021">
      <w:pPr>
        <w:ind w:left="851"/>
        <w:rPr>
          <w:sz w:val="24"/>
          <w:szCs w:val="24"/>
        </w:rPr>
      </w:pPr>
      <w:r w:rsidRPr="006A2898">
        <w:rPr>
          <w:sz w:val="24"/>
          <w:szCs w:val="24"/>
        </w:rPr>
        <w:t xml:space="preserve">Proteus-arter (både indol-positive og indol-negative), </w:t>
      </w:r>
    </w:p>
    <w:p w14:paraId="505C1B29" w14:textId="29A64B67" w:rsidR="006E7021" w:rsidRPr="006A2898" w:rsidRDefault="006E7021" w:rsidP="006E7021">
      <w:pPr>
        <w:ind w:left="851"/>
        <w:rPr>
          <w:sz w:val="24"/>
          <w:szCs w:val="24"/>
        </w:rPr>
      </w:pPr>
    </w:p>
    <w:p w14:paraId="788AD2C0" w14:textId="77777777" w:rsidR="006E7021" w:rsidRPr="006A2898" w:rsidRDefault="006E7021" w:rsidP="006E7021">
      <w:pPr>
        <w:ind w:left="851"/>
        <w:rPr>
          <w:sz w:val="24"/>
          <w:szCs w:val="24"/>
        </w:rPr>
      </w:pPr>
      <w:r w:rsidRPr="006A2898">
        <w:rPr>
          <w:sz w:val="24"/>
          <w:szCs w:val="24"/>
        </w:rPr>
        <w:t>Anaerobe</w:t>
      </w:r>
    </w:p>
    <w:p w14:paraId="00C40E4F" w14:textId="77777777" w:rsidR="006E7021" w:rsidRPr="006A2898" w:rsidRDefault="006E7021" w:rsidP="006E7021">
      <w:pPr>
        <w:ind w:left="851"/>
        <w:rPr>
          <w:sz w:val="24"/>
          <w:szCs w:val="24"/>
        </w:rPr>
      </w:pPr>
      <w:r w:rsidRPr="006A2898">
        <w:rPr>
          <w:i/>
          <w:sz w:val="24"/>
          <w:szCs w:val="24"/>
        </w:rPr>
        <w:t>Bacteroides</w:t>
      </w:r>
      <w:r w:rsidRPr="006A2898">
        <w:rPr>
          <w:sz w:val="24"/>
          <w:szCs w:val="24"/>
        </w:rPr>
        <w:t xml:space="preserve"> </w:t>
      </w:r>
      <w:r w:rsidRPr="006A2898">
        <w:rPr>
          <w:i/>
          <w:sz w:val="24"/>
          <w:szCs w:val="24"/>
        </w:rPr>
        <w:t>fragilis</w:t>
      </w:r>
      <w:r w:rsidRPr="006A2898">
        <w:rPr>
          <w:sz w:val="24"/>
          <w:szCs w:val="24"/>
        </w:rPr>
        <w:t xml:space="preserve"> og beslægtede arter</w:t>
      </w:r>
    </w:p>
    <w:p w14:paraId="7C65983B" w14:textId="77777777" w:rsidR="006E7021" w:rsidRPr="006A2898" w:rsidRDefault="006E7021" w:rsidP="006E7021">
      <w:pPr>
        <w:ind w:left="851"/>
        <w:rPr>
          <w:sz w:val="24"/>
          <w:szCs w:val="24"/>
        </w:rPr>
      </w:pPr>
    </w:p>
    <w:p w14:paraId="608DFDBA" w14:textId="77777777" w:rsidR="006E7021" w:rsidRPr="006A2898" w:rsidRDefault="006E7021" w:rsidP="006E7021">
      <w:pPr>
        <w:ind w:left="851"/>
        <w:rPr>
          <w:sz w:val="24"/>
          <w:szCs w:val="24"/>
          <w:u w:val="single"/>
        </w:rPr>
      </w:pPr>
      <w:r w:rsidRPr="006A2898">
        <w:rPr>
          <w:sz w:val="24"/>
          <w:szCs w:val="24"/>
          <w:u w:val="single"/>
        </w:rPr>
        <w:t>Resistente stammer</w:t>
      </w:r>
    </w:p>
    <w:p w14:paraId="424BBC56" w14:textId="77777777" w:rsidR="006E7021" w:rsidRPr="006A2898" w:rsidRDefault="006E7021" w:rsidP="006E7021">
      <w:pPr>
        <w:ind w:left="851"/>
        <w:rPr>
          <w:sz w:val="24"/>
          <w:szCs w:val="24"/>
        </w:rPr>
      </w:pPr>
      <w:r w:rsidRPr="006A2898">
        <w:rPr>
          <w:sz w:val="24"/>
          <w:szCs w:val="24"/>
        </w:rPr>
        <w:t>Forekomsten af erhvervet resistens kan variere mellem de forskellige arter, lande og institutioner, selv mellem de forskellige afdelinger på et hospital.</w:t>
      </w:r>
    </w:p>
    <w:p w14:paraId="6E84FB11" w14:textId="77777777" w:rsidR="006E7021" w:rsidRPr="006A2898" w:rsidRDefault="006E7021" w:rsidP="006E7021">
      <w:pPr>
        <w:ind w:left="851"/>
        <w:rPr>
          <w:sz w:val="24"/>
          <w:szCs w:val="24"/>
        </w:rPr>
      </w:pPr>
    </w:p>
    <w:p w14:paraId="7EA0B47B" w14:textId="77777777" w:rsidR="006E7021" w:rsidRPr="006A2898" w:rsidRDefault="006E7021" w:rsidP="006E7021">
      <w:pPr>
        <w:ind w:left="851"/>
        <w:rPr>
          <w:sz w:val="24"/>
          <w:szCs w:val="24"/>
        </w:rPr>
      </w:pPr>
      <w:r w:rsidRPr="006A2898">
        <w:rPr>
          <w:sz w:val="24"/>
          <w:szCs w:val="24"/>
        </w:rPr>
        <w:t>Som det er tilfældet med de fleste beta-lactam-antibiotika, er ampicillin/sulbactam ikke effektivt mod infektioner forårsaget af Chlamydia-arter og Mycoplasma-arter.</w:t>
      </w:r>
    </w:p>
    <w:p w14:paraId="7638D5E1" w14:textId="77777777" w:rsidR="006E7021" w:rsidRPr="006A2898" w:rsidRDefault="006E7021" w:rsidP="006E7021">
      <w:pPr>
        <w:ind w:left="851"/>
        <w:rPr>
          <w:sz w:val="24"/>
          <w:szCs w:val="24"/>
        </w:rPr>
      </w:pPr>
    </w:p>
    <w:p w14:paraId="116241C6" w14:textId="77777777" w:rsidR="000F2F7B" w:rsidRDefault="000F2F7B" w:rsidP="000F2F7B">
      <w:pPr>
        <w:ind w:left="851"/>
        <w:rPr>
          <w:sz w:val="24"/>
          <w:szCs w:val="24"/>
          <w:u w:val="single"/>
        </w:rPr>
      </w:pPr>
      <w:r>
        <w:rPr>
          <w:sz w:val="24"/>
          <w:szCs w:val="24"/>
          <w:u w:val="single"/>
        </w:rPr>
        <w:t>Grænseværdier for følsomhedstestning</w:t>
      </w:r>
    </w:p>
    <w:p w14:paraId="01820E2B" w14:textId="77777777" w:rsidR="000F2F7B" w:rsidRDefault="000F2F7B" w:rsidP="000F2F7B">
      <w:pPr>
        <w:ind w:left="851"/>
        <w:rPr>
          <w:sz w:val="24"/>
          <w:szCs w:val="24"/>
        </w:rPr>
      </w:pPr>
      <w:r>
        <w:rPr>
          <w:sz w:val="24"/>
          <w:szCs w:val="24"/>
        </w:rPr>
        <w:t xml:space="preserve">MIC (mindste inhiberende koncentration)-fortolkningskriterierne for følsomhedstestning er fastlagt af </w:t>
      </w:r>
      <w:r>
        <w:rPr>
          <w:i/>
          <w:sz w:val="24"/>
          <w:szCs w:val="24"/>
        </w:rPr>
        <w:t>European Committee on Antimicrobial Susceptibility Testing</w:t>
      </w:r>
      <w:r>
        <w:rPr>
          <w:sz w:val="24"/>
          <w:szCs w:val="24"/>
        </w:rPr>
        <w:t xml:space="preserve"> (EUCAST) for ampicillin/sulbactam og er anført her: </w:t>
      </w:r>
      <w:hyperlink r:id="rId9" w:history="1">
        <w:r>
          <w:rPr>
            <w:rStyle w:val="Hyperlink"/>
            <w:sz w:val="24"/>
            <w:szCs w:val="24"/>
          </w:rPr>
          <w:t>https://www.ema.europa.eu/documents/other/minimum-inhibitory-concentration-enmic.xlsxspoint</w:t>
        </w:r>
      </w:hyperlink>
      <w:r>
        <w:rPr>
          <w:sz w:val="24"/>
          <w:szCs w:val="24"/>
        </w:rPr>
        <w:t xml:space="preserve"> </w:t>
      </w:r>
    </w:p>
    <w:p w14:paraId="14E8CBB4" w14:textId="77777777" w:rsidR="009260DE" w:rsidRPr="006A2898" w:rsidRDefault="009260DE" w:rsidP="000F2F7B">
      <w:pPr>
        <w:tabs>
          <w:tab w:val="left" w:pos="851"/>
        </w:tabs>
        <w:rPr>
          <w:sz w:val="24"/>
          <w:szCs w:val="24"/>
        </w:rPr>
      </w:pPr>
    </w:p>
    <w:p w14:paraId="41DB65F2" w14:textId="77777777" w:rsidR="009260DE" w:rsidRPr="006A2898" w:rsidRDefault="009260DE" w:rsidP="009260DE">
      <w:pPr>
        <w:tabs>
          <w:tab w:val="left" w:pos="851"/>
        </w:tabs>
        <w:ind w:left="851" w:hanging="851"/>
        <w:rPr>
          <w:b/>
          <w:sz w:val="24"/>
          <w:szCs w:val="24"/>
        </w:rPr>
      </w:pPr>
      <w:r w:rsidRPr="006A2898">
        <w:rPr>
          <w:b/>
          <w:sz w:val="24"/>
          <w:szCs w:val="24"/>
        </w:rPr>
        <w:t>5.2</w:t>
      </w:r>
      <w:r w:rsidRPr="006A2898">
        <w:rPr>
          <w:b/>
          <w:sz w:val="24"/>
          <w:szCs w:val="24"/>
        </w:rPr>
        <w:tab/>
        <w:t>Farmakokinetiske egenskaber</w:t>
      </w:r>
    </w:p>
    <w:p w14:paraId="12A4FA5D" w14:textId="77777777" w:rsidR="0083270E" w:rsidRDefault="0083270E" w:rsidP="006E7021">
      <w:pPr>
        <w:ind w:left="851"/>
        <w:rPr>
          <w:sz w:val="24"/>
          <w:szCs w:val="24"/>
        </w:rPr>
      </w:pPr>
    </w:p>
    <w:p w14:paraId="1554FB3B" w14:textId="6BA7779F" w:rsidR="006E7021" w:rsidRPr="0083270E" w:rsidRDefault="006E7021" w:rsidP="006E7021">
      <w:pPr>
        <w:ind w:left="851"/>
        <w:rPr>
          <w:sz w:val="24"/>
          <w:szCs w:val="24"/>
          <w:u w:val="single"/>
        </w:rPr>
      </w:pPr>
      <w:r w:rsidRPr="0083270E">
        <w:rPr>
          <w:sz w:val="24"/>
          <w:szCs w:val="24"/>
          <w:u w:val="single"/>
        </w:rPr>
        <w:t>Fordeling</w:t>
      </w:r>
    </w:p>
    <w:p w14:paraId="7836D568" w14:textId="77777777" w:rsidR="006E7021" w:rsidRPr="006A2898" w:rsidRDefault="006E7021" w:rsidP="006E7021">
      <w:pPr>
        <w:ind w:left="851"/>
        <w:rPr>
          <w:sz w:val="24"/>
          <w:szCs w:val="24"/>
        </w:rPr>
      </w:pPr>
      <w:r w:rsidRPr="006A2898">
        <w:rPr>
          <w:sz w:val="24"/>
          <w:szCs w:val="24"/>
        </w:rPr>
        <w:t xml:space="preserve">Ampicillin/sulbactam diffunderer let ind i de fleste kropsvæv og -væsker. </w:t>
      </w:r>
    </w:p>
    <w:p w14:paraId="78D657C3" w14:textId="20B7B1BD" w:rsidR="00B84B6D" w:rsidRDefault="006E7021" w:rsidP="000F2F7B">
      <w:pPr>
        <w:ind w:left="851"/>
        <w:rPr>
          <w:sz w:val="24"/>
          <w:szCs w:val="24"/>
        </w:rPr>
      </w:pPr>
      <w:r w:rsidRPr="006A2898">
        <w:rPr>
          <w:sz w:val="24"/>
          <w:szCs w:val="24"/>
        </w:rPr>
        <w:t>Penetrationen ind i hjerne- og rygmarvsvæske er lav, undtagen når hjernehinderne er betændte. Høje koncentrationer af sulbactam og ampicillin opnås i blodet efter intravenøs eller intramuskulær administration.</w:t>
      </w:r>
    </w:p>
    <w:p w14:paraId="008A6AFD" w14:textId="77777777" w:rsidR="006E7021" w:rsidRPr="006A2898" w:rsidRDefault="006E7021" w:rsidP="006E7021">
      <w:pPr>
        <w:ind w:left="851"/>
        <w:rPr>
          <w:sz w:val="24"/>
          <w:szCs w:val="24"/>
        </w:rPr>
      </w:pPr>
    </w:p>
    <w:p w14:paraId="51F1BF70" w14:textId="77777777" w:rsidR="006E7021" w:rsidRPr="0083270E" w:rsidRDefault="006E7021" w:rsidP="006E7021">
      <w:pPr>
        <w:ind w:left="851"/>
        <w:rPr>
          <w:sz w:val="24"/>
          <w:szCs w:val="24"/>
          <w:u w:val="single"/>
        </w:rPr>
      </w:pPr>
      <w:r w:rsidRPr="0083270E">
        <w:rPr>
          <w:sz w:val="24"/>
          <w:szCs w:val="24"/>
          <w:u w:val="single"/>
        </w:rPr>
        <w:t>Elimination</w:t>
      </w:r>
    </w:p>
    <w:p w14:paraId="4249FF3C" w14:textId="77777777" w:rsidR="006E7021" w:rsidRPr="006A2898" w:rsidRDefault="006E7021" w:rsidP="006E7021">
      <w:pPr>
        <w:ind w:left="851"/>
        <w:rPr>
          <w:sz w:val="24"/>
          <w:szCs w:val="24"/>
        </w:rPr>
      </w:pPr>
      <w:r w:rsidRPr="006A2898">
        <w:rPr>
          <w:sz w:val="24"/>
          <w:szCs w:val="24"/>
        </w:rPr>
        <w:t>Begge komponenter har en halveringstid på ca. 1 time. Det meste af produktet udskilles uændret i urinen.</w:t>
      </w:r>
    </w:p>
    <w:p w14:paraId="52A676D1" w14:textId="77777777" w:rsidR="009260DE" w:rsidRPr="006A2898" w:rsidRDefault="009260DE" w:rsidP="009260DE">
      <w:pPr>
        <w:tabs>
          <w:tab w:val="left" w:pos="851"/>
        </w:tabs>
        <w:ind w:left="851"/>
        <w:rPr>
          <w:sz w:val="24"/>
          <w:szCs w:val="24"/>
        </w:rPr>
      </w:pPr>
    </w:p>
    <w:p w14:paraId="572906EB" w14:textId="77777777" w:rsidR="009260DE" w:rsidRPr="006A2898" w:rsidRDefault="009260DE" w:rsidP="009260DE">
      <w:pPr>
        <w:tabs>
          <w:tab w:val="left" w:pos="851"/>
        </w:tabs>
        <w:ind w:left="851" w:hanging="851"/>
        <w:rPr>
          <w:b/>
          <w:sz w:val="24"/>
          <w:szCs w:val="24"/>
        </w:rPr>
      </w:pPr>
      <w:r w:rsidRPr="006A2898">
        <w:rPr>
          <w:b/>
          <w:sz w:val="24"/>
          <w:szCs w:val="24"/>
        </w:rPr>
        <w:t>5.3</w:t>
      </w:r>
      <w:r w:rsidRPr="006A2898">
        <w:rPr>
          <w:b/>
          <w:sz w:val="24"/>
          <w:szCs w:val="24"/>
        </w:rPr>
        <w:tab/>
      </w:r>
      <w:r w:rsidR="00BD7931" w:rsidRPr="006A2898">
        <w:rPr>
          <w:b/>
          <w:sz w:val="24"/>
          <w:szCs w:val="24"/>
        </w:rPr>
        <w:t>Non-</w:t>
      </w:r>
      <w:r w:rsidRPr="006A2898">
        <w:rPr>
          <w:b/>
          <w:sz w:val="24"/>
          <w:szCs w:val="24"/>
        </w:rPr>
        <w:t>kliniske sikkerhedsdata</w:t>
      </w:r>
    </w:p>
    <w:p w14:paraId="71EF0F69" w14:textId="77777777" w:rsidR="006E7021" w:rsidRPr="006A2898" w:rsidRDefault="006E7021" w:rsidP="009C65F8">
      <w:pPr>
        <w:ind w:left="851"/>
        <w:rPr>
          <w:sz w:val="24"/>
          <w:szCs w:val="24"/>
        </w:rPr>
      </w:pPr>
      <w:r w:rsidRPr="006A2898">
        <w:rPr>
          <w:sz w:val="24"/>
          <w:szCs w:val="24"/>
        </w:rPr>
        <w:t xml:space="preserve">Den akutte toksicitet af sultamicillin (et oralt prodrug, der frigiver ampicillin og sulbactam efter </w:t>
      </w:r>
      <w:r w:rsidRPr="006A2898">
        <w:rPr>
          <w:i/>
          <w:sz w:val="24"/>
          <w:szCs w:val="24"/>
        </w:rPr>
        <w:t>in vivo</w:t>
      </w:r>
      <w:r w:rsidRPr="006A2898">
        <w:rPr>
          <w:sz w:val="24"/>
          <w:szCs w:val="24"/>
        </w:rPr>
        <w:t xml:space="preserve"> hydrolyse) er lav. LD</w:t>
      </w:r>
      <w:r w:rsidRPr="006A2898">
        <w:rPr>
          <w:sz w:val="24"/>
          <w:szCs w:val="24"/>
          <w:vertAlign w:val="subscript"/>
        </w:rPr>
        <w:t>50</w:t>
      </w:r>
      <w:r w:rsidRPr="006A2898">
        <w:rPr>
          <w:sz w:val="24"/>
          <w:szCs w:val="24"/>
        </w:rPr>
        <w:t xml:space="preserve"> af sultamicillin-tozilat i gnavere var 7 g/kg efter </w:t>
      </w:r>
      <w:r w:rsidRPr="006A2898">
        <w:rPr>
          <w:i/>
          <w:sz w:val="24"/>
          <w:szCs w:val="24"/>
        </w:rPr>
        <w:t xml:space="preserve">per os </w:t>
      </w:r>
      <w:r w:rsidRPr="006A2898">
        <w:rPr>
          <w:sz w:val="24"/>
          <w:szCs w:val="24"/>
        </w:rPr>
        <w:t>behandling. Sulbactam alene resulterede i LD</w:t>
      </w:r>
      <w:r w:rsidRPr="006A2898">
        <w:rPr>
          <w:sz w:val="24"/>
          <w:szCs w:val="24"/>
          <w:vertAlign w:val="subscript"/>
        </w:rPr>
        <w:t>50</w:t>
      </w:r>
      <w:r w:rsidRPr="006A2898">
        <w:rPr>
          <w:sz w:val="24"/>
          <w:szCs w:val="24"/>
        </w:rPr>
        <w:t xml:space="preserve"> &gt;10 g/kg hos mus efter </w:t>
      </w:r>
      <w:r w:rsidRPr="006A2898">
        <w:rPr>
          <w:i/>
          <w:sz w:val="24"/>
          <w:szCs w:val="24"/>
        </w:rPr>
        <w:t xml:space="preserve">per os-behandling, </w:t>
      </w:r>
      <w:r w:rsidRPr="006A2898">
        <w:rPr>
          <w:sz w:val="24"/>
          <w:szCs w:val="24"/>
        </w:rPr>
        <w:lastRenderedPageBreak/>
        <w:t>mens denne værdi var ca. 3,6 g/kg efter intravenøs administration. De tilsvarende værdier i rotter var henholdsvis &gt;4 g/kg og 3,4 g/kg.</w:t>
      </w:r>
    </w:p>
    <w:p w14:paraId="7B2F338A" w14:textId="77777777" w:rsidR="006E7021" w:rsidRPr="006A2898" w:rsidRDefault="006E7021" w:rsidP="009C65F8">
      <w:pPr>
        <w:ind w:left="851"/>
        <w:rPr>
          <w:sz w:val="24"/>
          <w:szCs w:val="24"/>
        </w:rPr>
      </w:pPr>
    </w:p>
    <w:p w14:paraId="5CD933D6" w14:textId="77777777" w:rsidR="006E7021" w:rsidRPr="006A2898" w:rsidRDefault="006E7021" w:rsidP="009C65F8">
      <w:pPr>
        <w:ind w:left="851"/>
        <w:rPr>
          <w:sz w:val="24"/>
          <w:szCs w:val="24"/>
        </w:rPr>
      </w:pPr>
      <w:r w:rsidRPr="006A2898">
        <w:rPr>
          <w:sz w:val="24"/>
          <w:szCs w:val="24"/>
        </w:rPr>
        <w:t>Toksicitet blev bestemt ved gentagen dosering af sultamicillin, sulbactam eller en kombination af sulbactam-ampicillin i op til 6 måneder hos rotter og hunde.</w:t>
      </w:r>
    </w:p>
    <w:p w14:paraId="13A67894" w14:textId="77777777" w:rsidR="006E7021" w:rsidRPr="006A2898" w:rsidRDefault="006E7021" w:rsidP="009C65F8">
      <w:pPr>
        <w:ind w:left="851"/>
        <w:rPr>
          <w:sz w:val="24"/>
          <w:szCs w:val="24"/>
        </w:rPr>
      </w:pPr>
    </w:p>
    <w:p w14:paraId="746C8574" w14:textId="77777777" w:rsidR="006E7021" w:rsidRPr="006A2898" w:rsidRDefault="006E7021" w:rsidP="009C65F8">
      <w:pPr>
        <w:ind w:left="851"/>
        <w:rPr>
          <w:sz w:val="24"/>
          <w:szCs w:val="24"/>
        </w:rPr>
      </w:pPr>
      <w:r w:rsidRPr="006A2898">
        <w:rPr>
          <w:sz w:val="24"/>
          <w:szCs w:val="24"/>
        </w:rPr>
        <w:t>I de ovennævnte toksicitetsstudier blev der set virkninger på leveren efter administration af sultamicillin eller sulbactam. Ud over forhøjede leverenzymer (GOT, GPT, LDH, AP) blev dosis- og tidsafhængig glykogenlagring også påvist i leveren, hvilket viste sig at være reversibelt efter seponering af lægemidlet. Denne glykogenlagring er ikke blevet identificeret med nogen kendt glykogenlagringssygdom.</w:t>
      </w:r>
    </w:p>
    <w:p w14:paraId="02489C1F" w14:textId="77777777" w:rsidR="006E7021" w:rsidRPr="006A2898" w:rsidRDefault="006E7021" w:rsidP="009C65F8">
      <w:pPr>
        <w:ind w:left="851"/>
        <w:rPr>
          <w:sz w:val="24"/>
          <w:szCs w:val="24"/>
        </w:rPr>
      </w:pPr>
    </w:p>
    <w:p w14:paraId="3699F0CF" w14:textId="77777777" w:rsidR="006E7021" w:rsidRPr="006A2898" w:rsidRDefault="006E7021" w:rsidP="009C65F8">
      <w:pPr>
        <w:ind w:left="851"/>
        <w:rPr>
          <w:sz w:val="24"/>
          <w:szCs w:val="24"/>
        </w:rPr>
      </w:pPr>
      <w:r w:rsidRPr="006A2898">
        <w:rPr>
          <w:sz w:val="24"/>
          <w:szCs w:val="24"/>
        </w:rPr>
        <w:t>I disse studier forårsagede sulbactam ikke en signifikant ændring i glucose metabolisme.  Der blev ikke set nogen klinisk relevant effekt på glucosetilgængelighed hos patienter med diabetes mellitus, der blev behandlet med sulbactam/ampicillin i mere end 2 uger.</w:t>
      </w:r>
    </w:p>
    <w:p w14:paraId="4AB7FABC" w14:textId="77777777" w:rsidR="006E7021" w:rsidRPr="006A2898" w:rsidRDefault="006E7021" w:rsidP="009C65F8">
      <w:pPr>
        <w:ind w:left="851"/>
        <w:rPr>
          <w:sz w:val="24"/>
          <w:szCs w:val="24"/>
        </w:rPr>
      </w:pPr>
    </w:p>
    <w:p w14:paraId="0F1ADE5C" w14:textId="77777777" w:rsidR="006E7021" w:rsidRPr="006A2898" w:rsidRDefault="006E7021" w:rsidP="009C65F8">
      <w:pPr>
        <w:ind w:left="851"/>
        <w:rPr>
          <w:sz w:val="24"/>
          <w:szCs w:val="24"/>
        </w:rPr>
      </w:pPr>
      <w:r w:rsidRPr="006A2898">
        <w:rPr>
          <w:sz w:val="24"/>
          <w:szCs w:val="24"/>
        </w:rPr>
        <w:t>Glykogenlagring forventes ikke hos mennesker efter behandling med sultamicillin i terapeutiske doser på grund af de plasmakoncentrationer, der opnås.</w:t>
      </w:r>
    </w:p>
    <w:p w14:paraId="14D11DA8" w14:textId="77777777" w:rsidR="006E7021" w:rsidRPr="006A2898" w:rsidRDefault="006E7021" w:rsidP="009C65F8">
      <w:pPr>
        <w:ind w:left="851"/>
        <w:rPr>
          <w:sz w:val="24"/>
          <w:szCs w:val="24"/>
        </w:rPr>
      </w:pPr>
    </w:p>
    <w:p w14:paraId="356B6C48" w14:textId="77777777" w:rsidR="006E7021" w:rsidRPr="006A2898" w:rsidRDefault="006E7021" w:rsidP="009C65F8">
      <w:pPr>
        <w:ind w:left="851"/>
        <w:rPr>
          <w:sz w:val="24"/>
          <w:szCs w:val="24"/>
        </w:rPr>
      </w:pPr>
      <w:r w:rsidRPr="006A2898">
        <w:rPr>
          <w:sz w:val="24"/>
          <w:szCs w:val="24"/>
        </w:rPr>
        <w:t>Ud over de forventede sædvanlige reaktioner på antibiotikabehandling (mild diarré eller opkastning) blev der ikke påvist yderligere tegn på toksicitet.</w:t>
      </w:r>
    </w:p>
    <w:p w14:paraId="7525CD1C" w14:textId="77777777" w:rsidR="006E7021" w:rsidRPr="006A2898" w:rsidRDefault="006E7021" w:rsidP="009C65F8">
      <w:pPr>
        <w:ind w:left="851"/>
        <w:rPr>
          <w:sz w:val="24"/>
          <w:szCs w:val="24"/>
        </w:rPr>
      </w:pPr>
    </w:p>
    <w:p w14:paraId="463AABE6" w14:textId="77777777" w:rsidR="006E7021" w:rsidRPr="006A2898" w:rsidRDefault="006E7021" w:rsidP="009C65F8">
      <w:pPr>
        <w:ind w:left="851"/>
        <w:rPr>
          <w:sz w:val="24"/>
          <w:szCs w:val="24"/>
        </w:rPr>
      </w:pPr>
      <w:r w:rsidRPr="006A2898">
        <w:rPr>
          <w:sz w:val="24"/>
          <w:szCs w:val="24"/>
        </w:rPr>
        <w:t>Der er ikke udført langtids karcinogenicitetsstudier på dyr.</w:t>
      </w:r>
    </w:p>
    <w:p w14:paraId="53E172CA" w14:textId="77777777" w:rsidR="006E7021" w:rsidRPr="006A2898" w:rsidRDefault="006E7021" w:rsidP="009C65F8">
      <w:pPr>
        <w:ind w:left="851"/>
        <w:rPr>
          <w:sz w:val="24"/>
          <w:szCs w:val="24"/>
        </w:rPr>
      </w:pPr>
      <w:r w:rsidRPr="006A2898">
        <w:rPr>
          <w:sz w:val="24"/>
          <w:szCs w:val="24"/>
        </w:rPr>
        <w:t>I et stort antal studier viste hverken sulbactam eller ampicillin signifikante mutagene virkninger.</w:t>
      </w:r>
    </w:p>
    <w:p w14:paraId="0AFDA03A" w14:textId="77777777" w:rsidR="006E7021" w:rsidRPr="006A2898" w:rsidRDefault="006E7021" w:rsidP="009C65F8">
      <w:pPr>
        <w:ind w:left="851"/>
        <w:rPr>
          <w:sz w:val="24"/>
          <w:szCs w:val="24"/>
        </w:rPr>
      </w:pPr>
    </w:p>
    <w:p w14:paraId="3EF899AD" w14:textId="77777777" w:rsidR="006E7021" w:rsidRPr="006A2898" w:rsidRDefault="006E7021" w:rsidP="009C65F8">
      <w:pPr>
        <w:ind w:left="851"/>
        <w:rPr>
          <w:sz w:val="24"/>
          <w:szCs w:val="24"/>
        </w:rPr>
      </w:pPr>
      <w:r w:rsidRPr="006A2898">
        <w:rPr>
          <w:sz w:val="24"/>
          <w:szCs w:val="24"/>
        </w:rPr>
        <w:t>I reproduktionsstudier på mus og rotter blev sultamicillin anvendt ud over den humane dosis og viste ingen tegn på nedsat fertilitet eller fosterskader.</w:t>
      </w:r>
    </w:p>
    <w:p w14:paraId="500B33EB" w14:textId="77777777" w:rsidR="009260DE" w:rsidRPr="006A2898" w:rsidRDefault="009260DE" w:rsidP="009C65F8">
      <w:pPr>
        <w:ind w:left="851"/>
        <w:rPr>
          <w:sz w:val="24"/>
          <w:szCs w:val="24"/>
        </w:rPr>
      </w:pPr>
    </w:p>
    <w:p w14:paraId="58D3A4B9" w14:textId="77777777" w:rsidR="009260DE" w:rsidRPr="006A2898" w:rsidRDefault="009260DE" w:rsidP="009260DE">
      <w:pPr>
        <w:tabs>
          <w:tab w:val="left" w:pos="851"/>
        </w:tabs>
        <w:ind w:left="851"/>
        <w:rPr>
          <w:sz w:val="24"/>
          <w:szCs w:val="24"/>
        </w:rPr>
      </w:pPr>
    </w:p>
    <w:p w14:paraId="4A632BB1" w14:textId="77777777" w:rsidR="009260DE" w:rsidRPr="006A2898" w:rsidRDefault="009260DE" w:rsidP="009260DE">
      <w:pPr>
        <w:tabs>
          <w:tab w:val="left" w:pos="851"/>
        </w:tabs>
        <w:ind w:left="851" w:hanging="851"/>
        <w:rPr>
          <w:b/>
          <w:sz w:val="24"/>
          <w:szCs w:val="24"/>
        </w:rPr>
      </w:pPr>
      <w:r w:rsidRPr="006A2898">
        <w:rPr>
          <w:b/>
          <w:sz w:val="24"/>
          <w:szCs w:val="24"/>
        </w:rPr>
        <w:t>6.</w:t>
      </w:r>
      <w:r w:rsidRPr="006A2898">
        <w:rPr>
          <w:b/>
          <w:sz w:val="24"/>
          <w:szCs w:val="24"/>
        </w:rPr>
        <w:tab/>
        <w:t>FARMACEUTISKE OPLYSNINGER</w:t>
      </w:r>
    </w:p>
    <w:p w14:paraId="59900103" w14:textId="77777777" w:rsidR="009260DE" w:rsidRPr="006A2898" w:rsidRDefault="009260DE" w:rsidP="009260DE">
      <w:pPr>
        <w:tabs>
          <w:tab w:val="left" w:pos="851"/>
        </w:tabs>
        <w:ind w:left="851"/>
        <w:rPr>
          <w:sz w:val="24"/>
          <w:szCs w:val="24"/>
        </w:rPr>
      </w:pPr>
    </w:p>
    <w:p w14:paraId="0483B685" w14:textId="77777777" w:rsidR="009260DE" w:rsidRPr="006A2898" w:rsidRDefault="009260DE" w:rsidP="009260DE">
      <w:pPr>
        <w:tabs>
          <w:tab w:val="left" w:pos="851"/>
        </w:tabs>
        <w:ind w:left="851" w:hanging="851"/>
        <w:rPr>
          <w:b/>
          <w:sz w:val="24"/>
          <w:szCs w:val="24"/>
        </w:rPr>
      </w:pPr>
      <w:r w:rsidRPr="006A2898">
        <w:rPr>
          <w:b/>
          <w:sz w:val="24"/>
          <w:szCs w:val="24"/>
        </w:rPr>
        <w:t>6.1</w:t>
      </w:r>
      <w:r w:rsidRPr="006A2898">
        <w:rPr>
          <w:b/>
          <w:sz w:val="24"/>
          <w:szCs w:val="24"/>
        </w:rPr>
        <w:tab/>
        <w:t>Hjælpestoffer</w:t>
      </w:r>
    </w:p>
    <w:p w14:paraId="172D6376" w14:textId="77777777" w:rsidR="006E7021" w:rsidRPr="006A2898" w:rsidRDefault="006E7021" w:rsidP="009C65F8">
      <w:pPr>
        <w:ind w:left="851"/>
        <w:rPr>
          <w:sz w:val="24"/>
          <w:szCs w:val="24"/>
        </w:rPr>
      </w:pPr>
      <w:r w:rsidRPr="006A2898">
        <w:rPr>
          <w:sz w:val="24"/>
          <w:szCs w:val="24"/>
        </w:rPr>
        <w:t xml:space="preserve">Ingen </w:t>
      </w:r>
    </w:p>
    <w:p w14:paraId="62712C5F" w14:textId="77777777" w:rsidR="009260DE" w:rsidRPr="006A2898" w:rsidRDefault="009260DE" w:rsidP="009260DE">
      <w:pPr>
        <w:tabs>
          <w:tab w:val="left" w:pos="851"/>
        </w:tabs>
        <w:ind w:left="851"/>
        <w:rPr>
          <w:sz w:val="24"/>
          <w:szCs w:val="24"/>
        </w:rPr>
      </w:pPr>
    </w:p>
    <w:p w14:paraId="2AC01F51" w14:textId="77777777" w:rsidR="009260DE" w:rsidRPr="006A2898" w:rsidRDefault="009260DE" w:rsidP="009260DE">
      <w:pPr>
        <w:tabs>
          <w:tab w:val="left" w:pos="851"/>
        </w:tabs>
        <w:ind w:left="851" w:hanging="851"/>
        <w:rPr>
          <w:b/>
          <w:sz w:val="24"/>
          <w:szCs w:val="24"/>
        </w:rPr>
      </w:pPr>
      <w:r w:rsidRPr="006A2898">
        <w:rPr>
          <w:b/>
          <w:sz w:val="24"/>
          <w:szCs w:val="24"/>
        </w:rPr>
        <w:t>6.2</w:t>
      </w:r>
      <w:r w:rsidRPr="006A2898">
        <w:rPr>
          <w:b/>
          <w:sz w:val="24"/>
          <w:szCs w:val="24"/>
        </w:rPr>
        <w:tab/>
        <w:t>Uforligeligheder</w:t>
      </w:r>
    </w:p>
    <w:p w14:paraId="1E7FD199" w14:textId="06B659B8" w:rsidR="006E7021" w:rsidRPr="006A2898" w:rsidRDefault="006A2898" w:rsidP="009C65F8">
      <w:pPr>
        <w:ind w:left="851"/>
        <w:rPr>
          <w:sz w:val="24"/>
          <w:szCs w:val="24"/>
        </w:rPr>
      </w:pPr>
      <w:r>
        <w:rPr>
          <w:sz w:val="24"/>
          <w:szCs w:val="24"/>
        </w:rPr>
        <w:t>Ampicillin/Sulbactam "Aptapharma"</w:t>
      </w:r>
      <w:r w:rsidR="006E7021" w:rsidRPr="006A2898">
        <w:rPr>
          <w:sz w:val="24"/>
          <w:szCs w:val="24"/>
        </w:rPr>
        <w:t xml:space="preserve"> injektion og aminoglycosider skal rekonstitueres og administreres separat på grund af </w:t>
      </w:r>
      <w:r w:rsidR="006E7021" w:rsidRPr="006A2898">
        <w:rPr>
          <w:i/>
          <w:sz w:val="24"/>
          <w:szCs w:val="24"/>
        </w:rPr>
        <w:t>in vitro</w:t>
      </w:r>
      <w:r w:rsidR="006E7021" w:rsidRPr="006A2898">
        <w:rPr>
          <w:sz w:val="24"/>
          <w:szCs w:val="24"/>
        </w:rPr>
        <w:t>-inaktivering af aminoglycosider af et af aminopenicillinerne.</w:t>
      </w:r>
    </w:p>
    <w:p w14:paraId="289895A1" w14:textId="77777777" w:rsidR="006E7021" w:rsidRPr="006A2898" w:rsidRDefault="006E7021" w:rsidP="009C65F8">
      <w:pPr>
        <w:ind w:left="851"/>
        <w:rPr>
          <w:sz w:val="24"/>
          <w:szCs w:val="24"/>
        </w:rPr>
      </w:pPr>
    </w:p>
    <w:p w14:paraId="00B0FA10" w14:textId="77777777" w:rsidR="006E7021" w:rsidRPr="006A2898" w:rsidRDefault="006E7021" w:rsidP="009C65F8">
      <w:pPr>
        <w:ind w:left="851"/>
        <w:rPr>
          <w:sz w:val="24"/>
          <w:szCs w:val="24"/>
        </w:rPr>
      </w:pPr>
      <w:r w:rsidRPr="006A2898">
        <w:rPr>
          <w:sz w:val="24"/>
          <w:szCs w:val="24"/>
        </w:rPr>
        <w:t>Ampicillinnatrium er mindre stabilt i opløsninger indeholdende glucose og andre kulhydrater og må ikke blandes med blodderivater eller proteinhydrolysater.</w:t>
      </w:r>
    </w:p>
    <w:p w14:paraId="2CEAF6A0" w14:textId="77777777" w:rsidR="009260DE" w:rsidRPr="006A2898" w:rsidRDefault="009260DE" w:rsidP="009260DE">
      <w:pPr>
        <w:tabs>
          <w:tab w:val="left" w:pos="851"/>
        </w:tabs>
        <w:ind w:left="851"/>
        <w:rPr>
          <w:sz w:val="24"/>
          <w:szCs w:val="24"/>
        </w:rPr>
      </w:pPr>
    </w:p>
    <w:p w14:paraId="4D041A70" w14:textId="77777777" w:rsidR="009260DE" w:rsidRPr="006A2898" w:rsidRDefault="009260DE" w:rsidP="009260DE">
      <w:pPr>
        <w:tabs>
          <w:tab w:val="left" w:pos="851"/>
        </w:tabs>
        <w:ind w:left="851" w:hanging="851"/>
        <w:rPr>
          <w:b/>
          <w:sz w:val="24"/>
          <w:szCs w:val="24"/>
        </w:rPr>
      </w:pPr>
      <w:r w:rsidRPr="006A2898">
        <w:rPr>
          <w:b/>
          <w:sz w:val="24"/>
          <w:szCs w:val="24"/>
        </w:rPr>
        <w:t>6.3</w:t>
      </w:r>
      <w:r w:rsidRPr="006A2898">
        <w:rPr>
          <w:b/>
          <w:sz w:val="24"/>
          <w:szCs w:val="24"/>
        </w:rPr>
        <w:tab/>
        <w:t>Opbevaringstid</w:t>
      </w:r>
    </w:p>
    <w:p w14:paraId="611A0F31" w14:textId="77777777" w:rsidR="006E7021" w:rsidRPr="006A2898" w:rsidRDefault="006E7021" w:rsidP="009C65F8">
      <w:pPr>
        <w:ind w:left="851"/>
        <w:rPr>
          <w:sz w:val="24"/>
          <w:szCs w:val="24"/>
        </w:rPr>
      </w:pPr>
      <w:r w:rsidRPr="006A2898">
        <w:rPr>
          <w:sz w:val="24"/>
          <w:szCs w:val="24"/>
        </w:rPr>
        <w:t>3 år</w:t>
      </w:r>
    </w:p>
    <w:p w14:paraId="3FC5ADDB" w14:textId="77777777" w:rsidR="006E7021" w:rsidRPr="006A2898" w:rsidRDefault="006E7021" w:rsidP="009C65F8">
      <w:pPr>
        <w:ind w:left="851"/>
        <w:rPr>
          <w:sz w:val="24"/>
          <w:szCs w:val="24"/>
        </w:rPr>
      </w:pPr>
    </w:p>
    <w:p w14:paraId="1DAB8958" w14:textId="77777777" w:rsidR="006E7021" w:rsidRPr="006A2898" w:rsidRDefault="006E7021" w:rsidP="009C65F8">
      <w:pPr>
        <w:ind w:left="851"/>
        <w:rPr>
          <w:sz w:val="24"/>
          <w:szCs w:val="24"/>
          <w:u w:val="single"/>
        </w:rPr>
      </w:pPr>
      <w:r w:rsidRPr="006A2898">
        <w:rPr>
          <w:sz w:val="24"/>
          <w:szCs w:val="24"/>
          <w:u w:val="single"/>
        </w:rPr>
        <w:t>Rekonstitueret opløsning</w:t>
      </w:r>
    </w:p>
    <w:p w14:paraId="58C0C631" w14:textId="77777777" w:rsidR="006E7021" w:rsidRPr="006A2898" w:rsidRDefault="006E7021" w:rsidP="009C65F8">
      <w:pPr>
        <w:ind w:left="851"/>
        <w:rPr>
          <w:sz w:val="24"/>
          <w:szCs w:val="24"/>
        </w:rPr>
      </w:pPr>
      <w:r w:rsidRPr="006A2898">
        <w:rPr>
          <w:sz w:val="24"/>
          <w:szCs w:val="24"/>
        </w:rPr>
        <w:t xml:space="preserve">Den koncentrerede opløsning til intramuskulær injektion (rekonstitueret med 0,5% lidocain og opbevaret ved 25 °C) skal anvendes inden for 1 time efter rekonstitution. </w:t>
      </w:r>
    </w:p>
    <w:p w14:paraId="76801BBE" w14:textId="77777777" w:rsidR="006E7021" w:rsidRPr="006A2898" w:rsidRDefault="006E7021" w:rsidP="009C65F8">
      <w:pPr>
        <w:ind w:left="851"/>
        <w:rPr>
          <w:sz w:val="24"/>
          <w:szCs w:val="24"/>
        </w:rPr>
      </w:pPr>
    </w:p>
    <w:p w14:paraId="2BB52EFA" w14:textId="77777777" w:rsidR="006E7021" w:rsidRPr="006A2898" w:rsidRDefault="006E7021" w:rsidP="009C65F8">
      <w:pPr>
        <w:ind w:left="851"/>
        <w:rPr>
          <w:sz w:val="24"/>
          <w:szCs w:val="24"/>
        </w:rPr>
      </w:pPr>
      <w:r w:rsidRPr="006A2898">
        <w:rPr>
          <w:sz w:val="24"/>
          <w:szCs w:val="24"/>
        </w:rPr>
        <w:lastRenderedPageBreak/>
        <w:t>Kemisk og fysisk stabilitet under brug med forskellige fortyndingsmidler til intravenøs infusion er:</w:t>
      </w:r>
    </w:p>
    <w:p w14:paraId="60D7F679" w14:textId="77777777" w:rsidR="006E7021" w:rsidRPr="006A2898" w:rsidRDefault="006E7021" w:rsidP="009C65F8">
      <w:pPr>
        <w:ind w:left="851"/>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37"/>
        <w:gridCol w:w="3029"/>
        <w:gridCol w:w="1431"/>
        <w:gridCol w:w="1431"/>
      </w:tblGrid>
      <w:tr w:rsidR="000F2F7B" w:rsidRPr="006A2898" w14:paraId="054A05F9" w14:textId="77777777" w:rsidTr="009C65F8">
        <w:trPr>
          <w:tblHeader/>
        </w:trPr>
        <w:tc>
          <w:tcPr>
            <w:tcW w:w="1941" w:type="pct"/>
            <w:tcBorders>
              <w:top w:val="single" w:sz="4" w:space="0" w:color="auto"/>
              <w:left w:val="single" w:sz="4" w:space="0" w:color="auto"/>
              <w:bottom w:val="single" w:sz="4" w:space="0" w:color="auto"/>
              <w:right w:val="single" w:sz="4" w:space="0" w:color="auto"/>
            </w:tcBorders>
            <w:hideMark/>
          </w:tcPr>
          <w:p w14:paraId="58176F00" w14:textId="77777777" w:rsidR="000F2F7B" w:rsidRPr="006A2898" w:rsidRDefault="000F2F7B" w:rsidP="000F2F7B">
            <w:pPr>
              <w:pStyle w:val="P68B1DB1-Normal1"/>
              <w:keepNext/>
              <w:widowControl/>
              <w:rPr>
                <w:sz w:val="24"/>
                <w:szCs w:val="24"/>
                <w:lang w:val="da-DK"/>
              </w:rPr>
            </w:pPr>
            <w:r w:rsidRPr="006A2898">
              <w:rPr>
                <w:sz w:val="24"/>
                <w:szCs w:val="24"/>
                <w:lang w:val="da-DK"/>
              </w:rPr>
              <w:t>Solvens</w:t>
            </w:r>
          </w:p>
        </w:tc>
        <w:tc>
          <w:tcPr>
            <w:tcW w:w="1573" w:type="pct"/>
            <w:tcBorders>
              <w:top w:val="single" w:sz="4" w:space="0" w:color="auto"/>
              <w:left w:val="single" w:sz="4" w:space="0" w:color="auto"/>
              <w:bottom w:val="single" w:sz="4" w:space="0" w:color="auto"/>
              <w:right w:val="single" w:sz="4" w:space="0" w:color="auto"/>
            </w:tcBorders>
            <w:hideMark/>
          </w:tcPr>
          <w:p w14:paraId="160A342F" w14:textId="0B2F814B" w:rsidR="000F2F7B" w:rsidRPr="006A2898" w:rsidRDefault="000F2F7B" w:rsidP="000F2F7B">
            <w:pPr>
              <w:pStyle w:val="P68B1DB1-Normal1"/>
              <w:keepNext/>
              <w:widowControl/>
              <w:rPr>
                <w:sz w:val="24"/>
                <w:szCs w:val="24"/>
                <w:lang w:val="da-DK"/>
              </w:rPr>
            </w:pPr>
            <w:r>
              <w:rPr>
                <w:sz w:val="24"/>
                <w:szCs w:val="24"/>
                <w:lang w:val="da-DK"/>
              </w:rPr>
              <w:t>Koncentration</w:t>
            </w:r>
          </w:p>
        </w:tc>
        <w:tc>
          <w:tcPr>
            <w:tcW w:w="1486" w:type="pct"/>
            <w:gridSpan w:val="2"/>
            <w:tcBorders>
              <w:top w:val="single" w:sz="4" w:space="0" w:color="auto"/>
              <w:left w:val="single" w:sz="4" w:space="0" w:color="auto"/>
              <w:bottom w:val="single" w:sz="4" w:space="0" w:color="auto"/>
              <w:right w:val="single" w:sz="4" w:space="0" w:color="auto"/>
            </w:tcBorders>
            <w:hideMark/>
          </w:tcPr>
          <w:p w14:paraId="2080B91B" w14:textId="5D1EE7E0" w:rsidR="000F2F7B" w:rsidRPr="006A2898" w:rsidRDefault="000F2F7B" w:rsidP="000F2F7B">
            <w:pPr>
              <w:pStyle w:val="P68B1DB1-Normal1"/>
              <w:keepNext/>
              <w:widowControl/>
              <w:rPr>
                <w:sz w:val="24"/>
                <w:szCs w:val="24"/>
                <w:lang w:val="da-DK"/>
              </w:rPr>
            </w:pPr>
            <w:r w:rsidRPr="006A2898">
              <w:rPr>
                <w:sz w:val="24"/>
                <w:szCs w:val="24"/>
                <w:lang w:val="da-DK"/>
              </w:rPr>
              <w:t>Brugsperioder</w:t>
            </w:r>
            <w:r>
              <w:rPr>
                <w:sz w:val="24"/>
                <w:szCs w:val="24"/>
                <w:lang w:val="da-DK"/>
              </w:rPr>
              <w:t xml:space="preserve"> </w:t>
            </w:r>
            <w:r w:rsidRPr="006A2898">
              <w:rPr>
                <w:sz w:val="24"/>
                <w:szCs w:val="24"/>
                <w:lang w:val="da-DK"/>
              </w:rPr>
              <w:t>(i timer)</w:t>
            </w:r>
          </w:p>
        </w:tc>
      </w:tr>
      <w:tr w:rsidR="000F2F7B" w:rsidRPr="006A2898" w14:paraId="631C6681" w14:textId="77777777" w:rsidTr="009C65F8">
        <w:trPr>
          <w:tblHeader/>
        </w:trPr>
        <w:tc>
          <w:tcPr>
            <w:tcW w:w="1941" w:type="pct"/>
            <w:tcBorders>
              <w:top w:val="single" w:sz="4" w:space="0" w:color="auto"/>
              <w:left w:val="single" w:sz="4" w:space="0" w:color="auto"/>
              <w:bottom w:val="single" w:sz="4" w:space="0" w:color="auto"/>
              <w:right w:val="single" w:sz="4" w:space="0" w:color="auto"/>
            </w:tcBorders>
          </w:tcPr>
          <w:p w14:paraId="03D3C7AD" w14:textId="77777777" w:rsidR="000F2F7B" w:rsidRPr="006A2898" w:rsidRDefault="000F2F7B" w:rsidP="000F2F7B">
            <w:pPr>
              <w:keepNext/>
              <w:rPr>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6E9FDD62" w14:textId="19630B20" w:rsidR="000F2F7B" w:rsidRPr="006A2898" w:rsidRDefault="000F2F7B" w:rsidP="000F2F7B">
            <w:pPr>
              <w:pStyle w:val="P68B1DB1-Normal1"/>
              <w:keepNext/>
              <w:widowControl/>
              <w:rPr>
                <w:sz w:val="24"/>
                <w:szCs w:val="24"/>
                <w:lang w:val="da-DK"/>
              </w:rPr>
            </w:pPr>
            <w:r>
              <w:rPr>
                <w:sz w:val="24"/>
                <w:szCs w:val="24"/>
                <w:lang w:val="da-DK"/>
              </w:rPr>
              <w:t>ampicillin + sulbactam</w:t>
            </w:r>
          </w:p>
        </w:tc>
        <w:tc>
          <w:tcPr>
            <w:tcW w:w="743" w:type="pct"/>
            <w:tcBorders>
              <w:top w:val="single" w:sz="4" w:space="0" w:color="auto"/>
              <w:left w:val="single" w:sz="4" w:space="0" w:color="auto"/>
              <w:bottom w:val="single" w:sz="4" w:space="0" w:color="auto"/>
              <w:right w:val="single" w:sz="4" w:space="0" w:color="auto"/>
            </w:tcBorders>
            <w:vAlign w:val="center"/>
            <w:hideMark/>
          </w:tcPr>
          <w:p w14:paraId="05FCF8E2" w14:textId="05B256AB" w:rsidR="000F2F7B" w:rsidRPr="006A2898" w:rsidRDefault="000F2F7B" w:rsidP="000F2F7B">
            <w:pPr>
              <w:pStyle w:val="P68B1DB1-Normal1"/>
              <w:keepNext/>
              <w:widowControl/>
              <w:rPr>
                <w:sz w:val="24"/>
                <w:szCs w:val="24"/>
                <w:lang w:val="da-DK"/>
              </w:rPr>
            </w:pPr>
            <w:r w:rsidRPr="006A2898">
              <w:rPr>
                <w:sz w:val="24"/>
                <w:szCs w:val="24"/>
                <w:lang w:val="da-DK"/>
              </w:rPr>
              <w:t>25</w:t>
            </w:r>
            <w:r>
              <w:rPr>
                <w:sz w:val="24"/>
                <w:szCs w:val="24"/>
                <w:lang w:val="da-DK"/>
              </w:rPr>
              <w:t xml:space="preserve"> </w:t>
            </w:r>
            <w:r w:rsidRPr="006A2898">
              <w:rPr>
                <w:sz w:val="24"/>
                <w:szCs w:val="24"/>
                <w:lang w:val="da-DK"/>
              </w:rPr>
              <w:sym w:font="Symbol" w:char="F0B0"/>
            </w:r>
            <w:r w:rsidRPr="006A2898">
              <w:rPr>
                <w:sz w:val="24"/>
                <w:szCs w:val="24"/>
                <w:lang w:val="da-DK"/>
              </w:rPr>
              <w:t>C</w:t>
            </w:r>
          </w:p>
        </w:tc>
        <w:tc>
          <w:tcPr>
            <w:tcW w:w="743" w:type="pct"/>
            <w:tcBorders>
              <w:top w:val="single" w:sz="4" w:space="0" w:color="auto"/>
              <w:left w:val="single" w:sz="4" w:space="0" w:color="auto"/>
              <w:bottom w:val="single" w:sz="4" w:space="0" w:color="auto"/>
              <w:right w:val="single" w:sz="4" w:space="0" w:color="auto"/>
            </w:tcBorders>
            <w:vAlign w:val="center"/>
            <w:hideMark/>
          </w:tcPr>
          <w:p w14:paraId="54E4A861" w14:textId="25B38CE1" w:rsidR="000F2F7B" w:rsidRPr="006A2898" w:rsidRDefault="000F2F7B" w:rsidP="000F2F7B">
            <w:pPr>
              <w:pStyle w:val="P68B1DB1-Normal1"/>
              <w:keepNext/>
              <w:widowControl/>
              <w:rPr>
                <w:sz w:val="24"/>
                <w:szCs w:val="24"/>
                <w:lang w:val="da-DK"/>
              </w:rPr>
            </w:pPr>
            <w:r w:rsidRPr="006A2898">
              <w:rPr>
                <w:sz w:val="24"/>
                <w:szCs w:val="24"/>
                <w:lang w:val="da-DK"/>
              </w:rPr>
              <w:t>4</w:t>
            </w:r>
            <w:r>
              <w:rPr>
                <w:sz w:val="24"/>
                <w:szCs w:val="24"/>
                <w:lang w:val="da-DK"/>
              </w:rPr>
              <w:t xml:space="preserve"> </w:t>
            </w:r>
            <w:r w:rsidRPr="006A2898">
              <w:rPr>
                <w:sz w:val="24"/>
                <w:szCs w:val="24"/>
                <w:lang w:val="da-DK"/>
              </w:rPr>
              <w:sym w:font="Symbol" w:char="F0B0"/>
            </w:r>
            <w:r w:rsidRPr="006A2898">
              <w:rPr>
                <w:sz w:val="24"/>
                <w:szCs w:val="24"/>
                <w:lang w:val="da-DK"/>
              </w:rPr>
              <w:t>C</w:t>
            </w:r>
          </w:p>
        </w:tc>
      </w:tr>
      <w:tr w:rsidR="000F2F7B" w:rsidRPr="006A2898" w14:paraId="1887D53B" w14:textId="77777777" w:rsidTr="009C65F8">
        <w:trPr>
          <w:tblHeader/>
        </w:trPr>
        <w:tc>
          <w:tcPr>
            <w:tcW w:w="1941" w:type="pct"/>
            <w:vMerge w:val="restart"/>
            <w:tcBorders>
              <w:top w:val="single" w:sz="4" w:space="0" w:color="auto"/>
              <w:left w:val="single" w:sz="4" w:space="0" w:color="auto"/>
              <w:bottom w:val="single" w:sz="4" w:space="0" w:color="auto"/>
              <w:right w:val="single" w:sz="4" w:space="0" w:color="auto"/>
            </w:tcBorders>
            <w:hideMark/>
          </w:tcPr>
          <w:p w14:paraId="539557D3" w14:textId="77777777" w:rsidR="000F2F7B" w:rsidRPr="006A2898" w:rsidRDefault="000F2F7B" w:rsidP="000F2F7B">
            <w:pPr>
              <w:keepNext/>
              <w:rPr>
                <w:sz w:val="24"/>
                <w:szCs w:val="24"/>
              </w:rPr>
            </w:pPr>
            <w:r w:rsidRPr="006A2898">
              <w:rPr>
                <w:sz w:val="24"/>
                <w:szCs w:val="24"/>
              </w:rPr>
              <w:t>sterilt vand til injektion</w:t>
            </w:r>
          </w:p>
        </w:tc>
        <w:tc>
          <w:tcPr>
            <w:tcW w:w="1573" w:type="pct"/>
            <w:tcBorders>
              <w:top w:val="single" w:sz="4" w:space="0" w:color="auto"/>
              <w:left w:val="single" w:sz="4" w:space="0" w:color="auto"/>
              <w:bottom w:val="single" w:sz="4" w:space="0" w:color="auto"/>
              <w:right w:val="single" w:sz="4" w:space="0" w:color="auto"/>
            </w:tcBorders>
            <w:hideMark/>
          </w:tcPr>
          <w:p w14:paraId="23572840" w14:textId="4C2E3CDC" w:rsidR="000F2F7B" w:rsidRPr="006A2898" w:rsidRDefault="000F2F7B" w:rsidP="000F2F7B">
            <w:pPr>
              <w:keepNext/>
              <w:rPr>
                <w:b/>
                <w:sz w:val="24"/>
                <w:szCs w:val="24"/>
              </w:rPr>
            </w:pPr>
            <w:r>
              <w:rPr>
                <w:sz w:val="24"/>
                <w:szCs w:val="24"/>
              </w:rPr>
              <w:t xml:space="preserve">op til 30 mg/ml </w:t>
            </w:r>
            <w:r>
              <w:rPr>
                <w:bCs/>
                <w:sz w:val="24"/>
                <w:szCs w:val="24"/>
              </w:rPr>
              <w:t>(20 mg ampicillin + 10 mg sulbactam)/ml</w:t>
            </w:r>
          </w:p>
        </w:tc>
        <w:tc>
          <w:tcPr>
            <w:tcW w:w="743" w:type="pct"/>
            <w:tcBorders>
              <w:top w:val="single" w:sz="4" w:space="0" w:color="auto"/>
              <w:left w:val="single" w:sz="4" w:space="0" w:color="auto"/>
              <w:bottom w:val="single" w:sz="4" w:space="0" w:color="auto"/>
              <w:right w:val="single" w:sz="4" w:space="0" w:color="auto"/>
            </w:tcBorders>
            <w:vAlign w:val="center"/>
          </w:tcPr>
          <w:p w14:paraId="61AFD69F" w14:textId="77777777" w:rsidR="000F2F7B" w:rsidRPr="006A2898" w:rsidRDefault="000F2F7B" w:rsidP="000F2F7B">
            <w:pPr>
              <w:keepNext/>
              <w:rPr>
                <w:b/>
                <w:sz w:val="24"/>
                <w:szCs w:val="24"/>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31C97485" w14:textId="77777777" w:rsidR="000F2F7B" w:rsidRPr="006A2898" w:rsidRDefault="000F2F7B" w:rsidP="000F2F7B">
            <w:pPr>
              <w:pStyle w:val="P68B1DB1-Normal1"/>
              <w:keepNext/>
              <w:widowControl/>
              <w:rPr>
                <w:sz w:val="24"/>
                <w:szCs w:val="24"/>
                <w:lang w:val="da-DK"/>
              </w:rPr>
            </w:pPr>
            <w:r w:rsidRPr="006A2898">
              <w:rPr>
                <w:sz w:val="24"/>
                <w:szCs w:val="24"/>
                <w:lang w:val="da-DK"/>
              </w:rPr>
              <w:t>72</w:t>
            </w:r>
          </w:p>
        </w:tc>
      </w:tr>
      <w:tr w:rsidR="000F2F7B" w:rsidRPr="006A2898" w14:paraId="0592FCAB" w14:textId="77777777" w:rsidTr="009C65F8">
        <w:trPr>
          <w:tblHeader/>
        </w:trPr>
        <w:tc>
          <w:tcPr>
            <w:tcW w:w="1941" w:type="pct"/>
            <w:vMerge/>
            <w:tcBorders>
              <w:top w:val="single" w:sz="4" w:space="0" w:color="auto"/>
              <w:left w:val="single" w:sz="4" w:space="0" w:color="auto"/>
              <w:bottom w:val="single" w:sz="4" w:space="0" w:color="auto"/>
              <w:right w:val="single" w:sz="4" w:space="0" w:color="auto"/>
            </w:tcBorders>
            <w:vAlign w:val="center"/>
            <w:hideMark/>
          </w:tcPr>
          <w:p w14:paraId="2E0BF3C7" w14:textId="77777777" w:rsidR="000F2F7B" w:rsidRPr="006A2898" w:rsidRDefault="000F2F7B" w:rsidP="000F2F7B">
            <w:pPr>
              <w:rPr>
                <w:rFonts w:eastAsia="Calibri"/>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1B93EDBD" w14:textId="7D20A283" w:rsidR="000F2F7B" w:rsidRPr="006A2898" w:rsidRDefault="000F2F7B" w:rsidP="000F2F7B">
            <w:pPr>
              <w:keepNext/>
              <w:rPr>
                <w:sz w:val="24"/>
                <w:szCs w:val="24"/>
              </w:rPr>
            </w:pPr>
            <w:r>
              <w:rPr>
                <w:sz w:val="24"/>
                <w:szCs w:val="24"/>
              </w:rPr>
              <w:t>op til 45 mg/ml</w:t>
            </w:r>
            <w:r>
              <w:rPr>
                <w:bCs/>
                <w:sz w:val="24"/>
                <w:szCs w:val="24"/>
              </w:rPr>
              <w:t xml:space="preserve"> (30 mg ampicillin + 15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15143A56" w14:textId="77777777" w:rsidR="000F2F7B" w:rsidRPr="006A2898" w:rsidRDefault="000F2F7B" w:rsidP="000F2F7B">
            <w:pPr>
              <w:keepNext/>
              <w:rPr>
                <w:sz w:val="24"/>
                <w:szCs w:val="24"/>
              </w:rPr>
            </w:pPr>
            <w:r w:rsidRPr="006A2898">
              <w:rPr>
                <w:sz w:val="24"/>
                <w:szCs w:val="24"/>
              </w:rPr>
              <w:t>8</w:t>
            </w:r>
          </w:p>
        </w:tc>
        <w:tc>
          <w:tcPr>
            <w:tcW w:w="743" w:type="pct"/>
            <w:tcBorders>
              <w:top w:val="single" w:sz="4" w:space="0" w:color="auto"/>
              <w:left w:val="single" w:sz="4" w:space="0" w:color="auto"/>
              <w:bottom w:val="single" w:sz="4" w:space="0" w:color="auto"/>
              <w:right w:val="single" w:sz="4" w:space="0" w:color="auto"/>
            </w:tcBorders>
            <w:vAlign w:val="center"/>
            <w:hideMark/>
          </w:tcPr>
          <w:p w14:paraId="440EC471" w14:textId="77777777" w:rsidR="000F2F7B" w:rsidRPr="006A2898" w:rsidRDefault="000F2F7B" w:rsidP="000F2F7B">
            <w:pPr>
              <w:keepNext/>
              <w:rPr>
                <w:sz w:val="24"/>
                <w:szCs w:val="24"/>
              </w:rPr>
            </w:pPr>
            <w:r w:rsidRPr="006A2898">
              <w:rPr>
                <w:sz w:val="24"/>
                <w:szCs w:val="24"/>
              </w:rPr>
              <w:t>48</w:t>
            </w:r>
          </w:p>
        </w:tc>
      </w:tr>
      <w:tr w:rsidR="000F2F7B" w:rsidRPr="006A2898" w14:paraId="4C755A74" w14:textId="77777777" w:rsidTr="009C65F8">
        <w:trPr>
          <w:trHeight w:val="255"/>
          <w:tblHeader/>
        </w:trPr>
        <w:tc>
          <w:tcPr>
            <w:tcW w:w="1941" w:type="pct"/>
            <w:vMerge w:val="restart"/>
            <w:tcBorders>
              <w:top w:val="single" w:sz="4" w:space="0" w:color="auto"/>
              <w:left w:val="single" w:sz="4" w:space="0" w:color="auto"/>
              <w:bottom w:val="single" w:sz="4" w:space="0" w:color="auto"/>
              <w:right w:val="single" w:sz="4" w:space="0" w:color="auto"/>
            </w:tcBorders>
            <w:vAlign w:val="center"/>
            <w:hideMark/>
          </w:tcPr>
          <w:p w14:paraId="72F3E8E3" w14:textId="77777777" w:rsidR="000F2F7B" w:rsidRPr="006A2898" w:rsidRDefault="000F2F7B" w:rsidP="000F2F7B">
            <w:pPr>
              <w:keepNext/>
              <w:rPr>
                <w:sz w:val="24"/>
                <w:szCs w:val="24"/>
              </w:rPr>
            </w:pPr>
            <w:r w:rsidRPr="006A2898">
              <w:rPr>
                <w:sz w:val="24"/>
                <w:szCs w:val="24"/>
              </w:rPr>
              <w:t xml:space="preserve">natriumklorid 9 mg/ml </w:t>
            </w:r>
          </w:p>
          <w:p w14:paraId="123A3238" w14:textId="77777777" w:rsidR="000F2F7B" w:rsidRPr="006A2898" w:rsidRDefault="000F2F7B" w:rsidP="000F2F7B">
            <w:pPr>
              <w:keepNext/>
              <w:rPr>
                <w:sz w:val="24"/>
                <w:szCs w:val="24"/>
              </w:rPr>
            </w:pPr>
            <w:r w:rsidRPr="006A2898">
              <w:rPr>
                <w:sz w:val="24"/>
                <w:szCs w:val="24"/>
              </w:rPr>
              <w:t>(0,9 %)</w:t>
            </w:r>
          </w:p>
        </w:tc>
        <w:tc>
          <w:tcPr>
            <w:tcW w:w="1573" w:type="pct"/>
            <w:tcBorders>
              <w:top w:val="single" w:sz="4" w:space="0" w:color="auto"/>
              <w:left w:val="single" w:sz="4" w:space="0" w:color="auto"/>
              <w:bottom w:val="single" w:sz="4" w:space="0" w:color="auto"/>
              <w:right w:val="single" w:sz="4" w:space="0" w:color="auto"/>
            </w:tcBorders>
            <w:hideMark/>
          </w:tcPr>
          <w:p w14:paraId="5DA55B98" w14:textId="7EFA50F6" w:rsidR="000F2F7B" w:rsidRPr="006A2898" w:rsidRDefault="000F2F7B" w:rsidP="000F2F7B">
            <w:pPr>
              <w:keepNext/>
              <w:rPr>
                <w:sz w:val="24"/>
                <w:szCs w:val="24"/>
              </w:rPr>
            </w:pPr>
            <w:r>
              <w:rPr>
                <w:sz w:val="24"/>
                <w:szCs w:val="24"/>
              </w:rPr>
              <w:t xml:space="preserve">op til 30 mg/ml </w:t>
            </w:r>
            <w:r>
              <w:rPr>
                <w:bCs/>
                <w:sz w:val="24"/>
                <w:szCs w:val="24"/>
              </w:rPr>
              <w:t>(20 mg ampicillin + 10 mg sulbactam)/ml</w:t>
            </w:r>
          </w:p>
        </w:tc>
        <w:tc>
          <w:tcPr>
            <w:tcW w:w="743" w:type="pct"/>
            <w:tcBorders>
              <w:top w:val="single" w:sz="4" w:space="0" w:color="auto"/>
              <w:left w:val="single" w:sz="4" w:space="0" w:color="auto"/>
              <w:bottom w:val="single" w:sz="4" w:space="0" w:color="auto"/>
              <w:right w:val="single" w:sz="4" w:space="0" w:color="auto"/>
            </w:tcBorders>
            <w:vAlign w:val="center"/>
          </w:tcPr>
          <w:p w14:paraId="2BB7BA79" w14:textId="77777777" w:rsidR="000F2F7B" w:rsidRPr="006A2898" w:rsidRDefault="000F2F7B" w:rsidP="000F2F7B">
            <w:pPr>
              <w:keepNext/>
              <w:rPr>
                <w:sz w:val="24"/>
                <w:szCs w:val="24"/>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2798F25" w14:textId="77777777" w:rsidR="000F2F7B" w:rsidRPr="006A2898" w:rsidRDefault="000F2F7B" w:rsidP="000F2F7B">
            <w:pPr>
              <w:keepNext/>
              <w:rPr>
                <w:sz w:val="24"/>
                <w:szCs w:val="24"/>
              </w:rPr>
            </w:pPr>
            <w:r w:rsidRPr="006A2898">
              <w:rPr>
                <w:sz w:val="24"/>
                <w:szCs w:val="24"/>
              </w:rPr>
              <w:t>72</w:t>
            </w:r>
          </w:p>
        </w:tc>
      </w:tr>
      <w:tr w:rsidR="000F2F7B" w:rsidRPr="006A2898" w14:paraId="4F5923F2" w14:textId="77777777" w:rsidTr="009C65F8">
        <w:trPr>
          <w:trHeight w:val="255"/>
          <w:tblHeader/>
        </w:trPr>
        <w:tc>
          <w:tcPr>
            <w:tcW w:w="1941" w:type="pct"/>
            <w:vMerge/>
            <w:tcBorders>
              <w:top w:val="single" w:sz="4" w:space="0" w:color="auto"/>
              <w:left w:val="single" w:sz="4" w:space="0" w:color="auto"/>
              <w:bottom w:val="single" w:sz="4" w:space="0" w:color="auto"/>
              <w:right w:val="single" w:sz="4" w:space="0" w:color="auto"/>
            </w:tcBorders>
            <w:vAlign w:val="center"/>
            <w:hideMark/>
          </w:tcPr>
          <w:p w14:paraId="4D1BF014" w14:textId="77777777" w:rsidR="000F2F7B" w:rsidRPr="006A2898" w:rsidRDefault="000F2F7B" w:rsidP="000F2F7B">
            <w:pPr>
              <w:rPr>
                <w:rFonts w:eastAsia="Calibri"/>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43D6043C" w14:textId="0F904F47" w:rsidR="000F2F7B" w:rsidRPr="006A2898" w:rsidRDefault="000F2F7B" w:rsidP="000F2F7B">
            <w:pPr>
              <w:keepNext/>
              <w:rPr>
                <w:sz w:val="24"/>
                <w:szCs w:val="24"/>
              </w:rPr>
            </w:pPr>
            <w:r>
              <w:rPr>
                <w:sz w:val="24"/>
                <w:szCs w:val="24"/>
              </w:rPr>
              <w:t>op til 45 mg/ml</w:t>
            </w:r>
            <w:r>
              <w:rPr>
                <w:bCs/>
                <w:sz w:val="24"/>
                <w:szCs w:val="24"/>
              </w:rPr>
              <w:t xml:space="preserve"> (30 mg ampicillin + 15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046D4AE4" w14:textId="77777777" w:rsidR="000F2F7B" w:rsidRPr="006A2898" w:rsidRDefault="000F2F7B" w:rsidP="000F2F7B">
            <w:pPr>
              <w:keepNext/>
              <w:rPr>
                <w:sz w:val="24"/>
                <w:szCs w:val="24"/>
              </w:rPr>
            </w:pPr>
            <w:r w:rsidRPr="006A2898">
              <w:rPr>
                <w:sz w:val="24"/>
                <w:szCs w:val="24"/>
              </w:rPr>
              <w:t>8</w:t>
            </w:r>
          </w:p>
        </w:tc>
        <w:tc>
          <w:tcPr>
            <w:tcW w:w="743" w:type="pct"/>
            <w:tcBorders>
              <w:top w:val="single" w:sz="4" w:space="0" w:color="auto"/>
              <w:left w:val="single" w:sz="4" w:space="0" w:color="auto"/>
              <w:bottom w:val="single" w:sz="4" w:space="0" w:color="auto"/>
              <w:right w:val="single" w:sz="4" w:space="0" w:color="auto"/>
            </w:tcBorders>
            <w:vAlign w:val="center"/>
            <w:hideMark/>
          </w:tcPr>
          <w:p w14:paraId="6FDEBF2D" w14:textId="77777777" w:rsidR="000F2F7B" w:rsidRPr="006A2898" w:rsidRDefault="000F2F7B" w:rsidP="000F2F7B">
            <w:pPr>
              <w:keepNext/>
              <w:rPr>
                <w:sz w:val="24"/>
                <w:szCs w:val="24"/>
              </w:rPr>
            </w:pPr>
            <w:r w:rsidRPr="006A2898">
              <w:rPr>
                <w:sz w:val="24"/>
                <w:szCs w:val="24"/>
              </w:rPr>
              <w:t>48</w:t>
            </w:r>
          </w:p>
        </w:tc>
      </w:tr>
      <w:tr w:rsidR="000F2F7B" w:rsidRPr="006A2898" w14:paraId="75C2DBEA" w14:textId="77777777" w:rsidTr="009C65F8">
        <w:trPr>
          <w:tblHeader/>
        </w:trPr>
        <w:tc>
          <w:tcPr>
            <w:tcW w:w="1941" w:type="pct"/>
            <w:tcBorders>
              <w:top w:val="single" w:sz="4" w:space="0" w:color="auto"/>
              <w:left w:val="single" w:sz="4" w:space="0" w:color="auto"/>
              <w:bottom w:val="single" w:sz="4" w:space="0" w:color="auto"/>
              <w:right w:val="single" w:sz="4" w:space="0" w:color="auto"/>
            </w:tcBorders>
            <w:vAlign w:val="center"/>
            <w:hideMark/>
          </w:tcPr>
          <w:p w14:paraId="29C4EBD5" w14:textId="77777777" w:rsidR="000F2F7B" w:rsidRPr="006A2898" w:rsidRDefault="000F2F7B" w:rsidP="000F2F7B">
            <w:pPr>
              <w:keepNext/>
              <w:rPr>
                <w:sz w:val="24"/>
                <w:szCs w:val="24"/>
              </w:rPr>
            </w:pPr>
            <w:r w:rsidRPr="006A2898">
              <w:rPr>
                <w:sz w:val="24"/>
                <w:szCs w:val="24"/>
              </w:rPr>
              <w:t>natriumlaktat</w:t>
            </w:r>
          </w:p>
        </w:tc>
        <w:tc>
          <w:tcPr>
            <w:tcW w:w="1573" w:type="pct"/>
            <w:tcBorders>
              <w:top w:val="single" w:sz="4" w:space="0" w:color="auto"/>
              <w:left w:val="single" w:sz="4" w:space="0" w:color="auto"/>
              <w:bottom w:val="single" w:sz="4" w:space="0" w:color="auto"/>
              <w:right w:val="single" w:sz="4" w:space="0" w:color="auto"/>
            </w:tcBorders>
            <w:hideMark/>
          </w:tcPr>
          <w:p w14:paraId="029819F5" w14:textId="2027C7B1" w:rsidR="000F2F7B" w:rsidRPr="006A2898" w:rsidRDefault="000F2F7B" w:rsidP="000F2F7B">
            <w:pPr>
              <w:keepNext/>
              <w:rPr>
                <w:sz w:val="24"/>
                <w:szCs w:val="24"/>
              </w:rPr>
            </w:pPr>
            <w:r>
              <w:rPr>
                <w:sz w:val="24"/>
                <w:szCs w:val="24"/>
              </w:rPr>
              <w:t>op til 45 mg/ml</w:t>
            </w:r>
            <w:r>
              <w:rPr>
                <w:bCs/>
                <w:sz w:val="24"/>
                <w:szCs w:val="24"/>
              </w:rPr>
              <w:t xml:space="preserve"> (30 mg ampicillin + 15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20287BBC" w14:textId="77777777" w:rsidR="000F2F7B" w:rsidRPr="006A2898" w:rsidRDefault="000F2F7B" w:rsidP="000F2F7B">
            <w:pPr>
              <w:keepNext/>
              <w:rPr>
                <w:sz w:val="24"/>
                <w:szCs w:val="24"/>
              </w:rPr>
            </w:pPr>
            <w:r w:rsidRPr="006A2898">
              <w:rPr>
                <w:sz w:val="24"/>
                <w:szCs w:val="24"/>
              </w:rPr>
              <w:t>8</w:t>
            </w:r>
          </w:p>
        </w:tc>
        <w:tc>
          <w:tcPr>
            <w:tcW w:w="743" w:type="pct"/>
            <w:tcBorders>
              <w:top w:val="single" w:sz="4" w:space="0" w:color="auto"/>
              <w:left w:val="single" w:sz="4" w:space="0" w:color="auto"/>
              <w:bottom w:val="single" w:sz="4" w:space="0" w:color="auto"/>
              <w:right w:val="single" w:sz="4" w:space="0" w:color="auto"/>
            </w:tcBorders>
            <w:vAlign w:val="center"/>
            <w:hideMark/>
          </w:tcPr>
          <w:p w14:paraId="4C1FA9D3" w14:textId="77777777" w:rsidR="000F2F7B" w:rsidRPr="006A2898" w:rsidRDefault="000F2F7B" w:rsidP="000F2F7B">
            <w:pPr>
              <w:keepNext/>
              <w:rPr>
                <w:sz w:val="24"/>
                <w:szCs w:val="24"/>
              </w:rPr>
            </w:pPr>
            <w:r w:rsidRPr="006A2898">
              <w:rPr>
                <w:sz w:val="24"/>
                <w:szCs w:val="24"/>
              </w:rPr>
              <w:t>8</w:t>
            </w:r>
          </w:p>
        </w:tc>
      </w:tr>
      <w:tr w:rsidR="000F2F7B" w:rsidRPr="006A2898" w14:paraId="68341DAC" w14:textId="77777777" w:rsidTr="009C65F8">
        <w:trPr>
          <w:trHeight w:val="255"/>
          <w:tblHeader/>
        </w:trPr>
        <w:tc>
          <w:tcPr>
            <w:tcW w:w="1941" w:type="pct"/>
            <w:vMerge w:val="restart"/>
            <w:tcBorders>
              <w:top w:val="single" w:sz="4" w:space="0" w:color="auto"/>
              <w:left w:val="single" w:sz="4" w:space="0" w:color="auto"/>
              <w:bottom w:val="single" w:sz="4" w:space="0" w:color="auto"/>
              <w:right w:val="single" w:sz="4" w:space="0" w:color="auto"/>
            </w:tcBorders>
            <w:vAlign w:val="center"/>
            <w:hideMark/>
          </w:tcPr>
          <w:p w14:paraId="4F7B9F29" w14:textId="77777777" w:rsidR="000F2F7B" w:rsidRPr="006A2898" w:rsidRDefault="000F2F7B" w:rsidP="000F2F7B">
            <w:pPr>
              <w:keepNext/>
              <w:rPr>
                <w:sz w:val="24"/>
                <w:szCs w:val="24"/>
              </w:rPr>
            </w:pPr>
            <w:r w:rsidRPr="006A2898">
              <w:rPr>
                <w:sz w:val="24"/>
                <w:szCs w:val="24"/>
              </w:rPr>
              <w:t xml:space="preserve">glucoseopløsning 50 mg/ml </w:t>
            </w:r>
          </w:p>
          <w:p w14:paraId="5495CB2C" w14:textId="77777777" w:rsidR="000F2F7B" w:rsidRPr="006A2898" w:rsidRDefault="000F2F7B" w:rsidP="000F2F7B">
            <w:pPr>
              <w:keepNext/>
              <w:rPr>
                <w:sz w:val="24"/>
                <w:szCs w:val="24"/>
              </w:rPr>
            </w:pPr>
            <w:r w:rsidRPr="006A2898">
              <w:rPr>
                <w:sz w:val="24"/>
                <w:szCs w:val="24"/>
              </w:rPr>
              <w:t>(5 %)</w:t>
            </w:r>
          </w:p>
        </w:tc>
        <w:tc>
          <w:tcPr>
            <w:tcW w:w="1573" w:type="pct"/>
            <w:tcBorders>
              <w:top w:val="single" w:sz="4" w:space="0" w:color="auto"/>
              <w:left w:val="single" w:sz="4" w:space="0" w:color="auto"/>
              <w:bottom w:val="single" w:sz="4" w:space="0" w:color="auto"/>
              <w:right w:val="single" w:sz="4" w:space="0" w:color="auto"/>
            </w:tcBorders>
            <w:hideMark/>
          </w:tcPr>
          <w:p w14:paraId="11A04AAD" w14:textId="66113DE5" w:rsidR="000F2F7B" w:rsidRPr="006A2898" w:rsidRDefault="000F2F7B" w:rsidP="000F2F7B">
            <w:pPr>
              <w:keepNext/>
              <w:rPr>
                <w:sz w:val="24"/>
                <w:szCs w:val="24"/>
              </w:rPr>
            </w:pPr>
            <w:r>
              <w:rPr>
                <w:sz w:val="24"/>
                <w:szCs w:val="24"/>
              </w:rPr>
              <w:t>op til 3 mg/ml</w:t>
            </w:r>
            <w:r>
              <w:rPr>
                <w:bCs/>
                <w:sz w:val="24"/>
                <w:szCs w:val="24"/>
              </w:rPr>
              <w:t xml:space="preserve"> (2 mg ampicillin + 1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4D5D93B5" w14:textId="77777777" w:rsidR="000F2F7B" w:rsidRPr="006A2898" w:rsidRDefault="000F2F7B" w:rsidP="000F2F7B">
            <w:pPr>
              <w:keepNext/>
              <w:rPr>
                <w:sz w:val="24"/>
                <w:szCs w:val="24"/>
              </w:rPr>
            </w:pPr>
            <w:r w:rsidRPr="006A2898">
              <w:rPr>
                <w:sz w:val="24"/>
                <w:szCs w:val="24"/>
              </w:rPr>
              <w:t>4</w:t>
            </w:r>
          </w:p>
        </w:tc>
        <w:tc>
          <w:tcPr>
            <w:tcW w:w="743" w:type="pct"/>
            <w:tcBorders>
              <w:top w:val="single" w:sz="4" w:space="0" w:color="auto"/>
              <w:left w:val="single" w:sz="4" w:space="0" w:color="auto"/>
              <w:bottom w:val="single" w:sz="4" w:space="0" w:color="auto"/>
              <w:right w:val="single" w:sz="4" w:space="0" w:color="auto"/>
            </w:tcBorders>
            <w:vAlign w:val="center"/>
          </w:tcPr>
          <w:p w14:paraId="19F85DD3" w14:textId="77777777" w:rsidR="000F2F7B" w:rsidRPr="006A2898" w:rsidRDefault="000F2F7B" w:rsidP="000F2F7B">
            <w:pPr>
              <w:keepNext/>
              <w:rPr>
                <w:sz w:val="24"/>
                <w:szCs w:val="24"/>
              </w:rPr>
            </w:pPr>
          </w:p>
        </w:tc>
      </w:tr>
      <w:tr w:rsidR="000F2F7B" w:rsidRPr="006A2898" w14:paraId="08883174" w14:textId="77777777" w:rsidTr="009C65F8">
        <w:trPr>
          <w:trHeight w:val="255"/>
          <w:tblHeader/>
        </w:trPr>
        <w:tc>
          <w:tcPr>
            <w:tcW w:w="1941" w:type="pct"/>
            <w:vMerge/>
            <w:tcBorders>
              <w:top w:val="single" w:sz="4" w:space="0" w:color="auto"/>
              <w:left w:val="single" w:sz="4" w:space="0" w:color="auto"/>
              <w:bottom w:val="single" w:sz="4" w:space="0" w:color="auto"/>
              <w:right w:val="single" w:sz="4" w:space="0" w:color="auto"/>
            </w:tcBorders>
            <w:vAlign w:val="center"/>
            <w:hideMark/>
          </w:tcPr>
          <w:p w14:paraId="32634E44" w14:textId="77777777" w:rsidR="000F2F7B" w:rsidRPr="006A2898" w:rsidRDefault="000F2F7B" w:rsidP="000F2F7B">
            <w:pPr>
              <w:rPr>
                <w:rFonts w:eastAsia="Calibri"/>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26BE4712" w14:textId="607CF687" w:rsidR="000F2F7B" w:rsidRPr="006A2898" w:rsidRDefault="000F2F7B" w:rsidP="000F2F7B">
            <w:pPr>
              <w:keepNext/>
              <w:rPr>
                <w:sz w:val="24"/>
                <w:szCs w:val="24"/>
              </w:rPr>
            </w:pPr>
            <w:r>
              <w:rPr>
                <w:sz w:val="24"/>
                <w:szCs w:val="24"/>
              </w:rPr>
              <w:t xml:space="preserve">op til 30 mg/ml </w:t>
            </w:r>
            <w:r>
              <w:rPr>
                <w:bCs/>
                <w:sz w:val="24"/>
                <w:szCs w:val="24"/>
              </w:rPr>
              <w:t>(20 mg ampicillin + 10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6CB93223" w14:textId="77777777" w:rsidR="000F2F7B" w:rsidRPr="006A2898" w:rsidRDefault="000F2F7B" w:rsidP="000F2F7B">
            <w:pPr>
              <w:keepNext/>
              <w:rPr>
                <w:sz w:val="24"/>
                <w:szCs w:val="24"/>
              </w:rPr>
            </w:pPr>
            <w:r w:rsidRPr="006A2898">
              <w:rPr>
                <w:sz w:val="24"/>
                <w:szCs w:val="24"/>
              </w:rPr>
              <w:t>2</w:t>
            </w:r>
          </w:p>
        </w:tc>
        <w:tc>
          <w:tcPr>
            <w:tcW w:w="743" w:type="pct"/>
            <w:tcBorders>
              <w:top w:val="single" w:sz="4" w:space="0" w:color="auto"/>
              <w:left w:val="single" w:sz="4" w:space="0" w:color="auto"/>
              <w:bottom w:val="single" w:sz="4" w:space="0" w:color="auto"/>
              <w:right w:val="single" w:sz="4" w:space="0" w:color="auto"/>
            </w:tcBorders>
            <w:vAlign w:val="center"/>
            <w:hideMark/>
          </w:tcPr>
          <w:p w14:paraId="17C55630" w14:textId="77777777" w:rsidR="000F2F7B" w:rsidRPr="006A2898" w:rsidRDefault="000F2F7B" w:rsidP="000F2F7B">
            <w:pPr>
              <w:keepNext/>
              <w:rPr>
                <w:sz w:val="24"/>
                <w:szCs w:val="24"/>
              </w:rPr>
            </w:pPr>
            <w:r w:rsidRPr="006A2898">
              <w:rPr>
                <w:sz w:val="24"/>
                <w:szCs w:val="24"/>
              </w:rPr>
              <w:t>4</w:t>
            </w:r>
          </w:p>
        </w:tc>
      </w:tr>
      <w:tr w:rsidR="000F2F7B" w:rsidRPr="006A2898" w14:paraId="02147F45" w14:textId="77777777" w:rsidTr="009C65F8">
        <w:trPr>
          <w:trHeight w:val="261"/>
          <w:tblHeader/>
        </w:trPr>
        <w:tc>
          <w:tcPr>
            <w:tcW w:w="1941" w:type="pct"/>
            <w:vMerge w:val="restart"/>
            <w:tcBorders>
              <w:top w:val="single" w:sz="4" w:space="0" w:color="auto"/>
              <w:left w:val="single" w:sz="4" w:space="0" w:color="auto"/>
              <w:bottom w:val="single" w:sz="4" w:space="0" w:color="auto"/>
              <w:right w:val="single" w:sz="4" w:space="0" w:color="auto"/>
            </w:tcBorders>
            <w:vAlign w:val="center"/>
            <w:hideMark/>
          </w:tcPr>
          <w:p w14:paraId="6BDDE397" w14:textId="77777777" w:rsidR="000F2F7B" w:rsidRPr="006A2898" w:rsidRDefault="000F2F7B" w:rsidP="000F2F7B">
            <w:pPr>
              <w:keepNext/>
              <w:rPr>
                <w:sz w:val="24"/>
                <w:szCs w:val="24"/>
              </w:rPr>
            </w:pPr>
            <w:r w:rsidRPr="006A2898">
              <w:rPr>
                <w:sz w:val="24"/>
                <w:szCs w:val="24"/>
              </w:rPr>
              <w:t xml:space="preserve">glucoseopløsning 50 mg/ml </w:t>
            </w:r>
          </w:p>
          <w:p w14:paraId="3A70F764" w14:textId="77777777" w:rsidR="000F2F7B" w:rsidRPr="006A2898" w:rsidRDefault="000F2F7B" w:rsidP="000F2F7B">
            <w:pPr>
              <w:keepNext/>
              <w:rPr>
                <w:sz w:val="24"/>
                <w:szCs w:val="24"/>
              </w:rPr>
            </w:pPr>
            <w:r w:rsidRPr="006A2898">
              <w:rPr>
                <w:sz w:val="24"/>
                <w:szCs w:val="24"/>
              </w:rPr>
              <w:t xml:space="preserve">(5 %) i NaCl 4,5 mg/ml (0,45%) </w:t>
            </w:r>
          </w:p>
        </w:tc>
        <w:tc>
          <w:tcPr>
            <w:tcW w:w="1573" w:type="pct"/>
            <w:tcBorders>
              <w:top w:val="single" w:sz="4" w:space="0" w:color="auto"/>
              <w:left w:val="single" w:sz="4" w:space="0" w:color="auto"/>
              <w:bottom w:val="single" w:sz="4" w:space="0" w:color="auto"/>
              <w:right w:val="single" w:sz="4" w:space="0" w:color="auto"/>
            </w:tcBorders>
            <w:hideMark/>
          </w:tcPr>
          <w:p w14:paraId="1ACF8196" w14:textId="6F4A5E39" w:rsidR="000F2F7B" w:rsidRPr="006A2898" w:rsidRDefault="000F2F7B" w:rsidP="000F2F7B">
            <w:pPr>
              <w:keepNext/>
              <w:rPr>
                <w:sz w:val="24"/>
                <w:szCs w:val="24"/>
              </w:rPr>
            </w:pPr>
            <w:r>
              <w:rPr>
                <w:sz w:val="24"/>
                <w:szCs w:val="24"/>
              </w:rPr>
              <w:t>op til 3 mg/ml</w:t>
            </w:r>
            <w:r>
              <w:rPr>
                <w:bCs/>
                <w:sz w:val="24"/>
                <w:szCs w:val="24"/>
              </w:rPr>
              <w:t xml:space="preserve"> (2 mg ampicillin + 1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25AB0B32" w14:textId="77777777" w:rsidR="000F2F7B" w:rsidRPr="006A2898" w:rsidRDefault="000F2F7B" w:rsidP="000F2F7B">
            <w:pPr>
              <w:keepNext/>
              <w:rPr>
                <w:sz w:val="24"/>
                <w:szCs w:val="24"/>
              </w:rPr>
            </w:pPr>
            <w:r w:rsidRPr="006A2898">
              <w:rPr>
                <w:sz w:val="24"/>
                <w:szCs w:val="24"/>
              </w:rPr>
              <w:t>4</w:t>
            </w:r>
          </w:p>
        </w:tc>
        <w:tc>
          <w:tcPr>
            <w:tcW w:w="743" w:type="pct"/>
            <w:tcBorders>
              <w:top w:val="single" w:sz="4" w:space="0" w:color="auto"/>
              <w:left w:val="single" w:sz="4" w:space="0" w:color="auto"/>
              <w:bottom w:val="single" w:sz="4" w:space="0" w:color="auto"/>
              <w:right w:val="single" w:sz="4" w:space="0" w:color="auto"/>
            </w:tcBorders>
            <w:vAlign w:val="center"/>
          </w:tcPr>
          <w:p w14:paraId="2DD93D61" w14:textId="77777777" w:rsidR="000F2F7B" w:rsidRPr="006A2898" w:rsidRDefault="000F2F7B" w:rsidP="000F2F7B">
            <w:pPr>
              <w:keepNext/>
              <w:rPr>
                <w:sz w:val="24"/>
                <w:szCs w:val="24"/>
              </w:rPr>
            </w:pPr>
          </w:p>
        </w:tc>
      </w:tr>
      <w:tr w:rsidR="000F2F7B" w:rsidRPr="006A2898" w14:paraId="0CFA9EF5" w14:textId="77777777" w:rsidTr="009C65F8">
        <w:trPr>
          <w:trHeight w:val="279"/>
          <w:tblHeader/>
        </w:trPr>
        <w:tc>
          <w:tcPr>
            <w:tcW w:w="1941" w:type="pct"/>
            <w:vMerge/>
            <w:tcBorders>
              <w:top w:val="single" w:sz="4" w:space="0" w:color="auto"/>
              <w:left w:val="single" w:sz="4" w:space="0" w:color="auto"/>
              <w:bottom w:val="single" w:sz="4" w:space="0" w:color="auto"/>
              <w:right w:val="single" w:sz="4" w:space="0" w:color="auto"/>
            </w:tcBorders>
            <w:vAlign w:val="center"/>
            <w:hideMark/>
          </w:tcPr>
          <w:p w14:paraId="6763230D" w14:textId="77777777" w:rsidR="000F2F7B" w:rsidRPr="006A2898" w:rsidRDefault="000F2F7B" w:rsidP="000F2F7B">
            <w:pPr>
              <w:rPr>
                <w:rFonts w:eastAsia="Calibri"/>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61449146" w14:textId="0FE6C55B" w:rsidR="000F2F7B" w:rsidRPr="006A2898" w:rsidRDefault="000F2F7B" w:rsidP="000F2F7B">
            <w:pPr>
              <w:keepNext/>
              <w:rPr>
                <w:sz w:val="24"/>
                <w:szCs w:val="24"/>
              </w:rPr>
            </w:pPr>
            <w:r>
              <w:rPr>
                <w:sz w:val="24"/>
                <w:szCs w:val="24"/>
              </w:rPr>
              <w:t>op til 15 mg/ml</w:t>
            </w:r>
            <w:r>
              <w:rPr>
                <w:bCs/>
                <w:sz w:val="24"/>
                <w:szCs w:val="24"/>
              </w:rPr>
              <w:t xml:space="preserve"> (10 mg ampicillin + 5 mg sulbactam)/ml</w:t>
            </w:r>
          </w:p>
        </w:tc>
        <w:tc>
          <w:tcPr>
            <w:tcW w:w="743" w:type="pct"/>
            <w:tcBorders>
              <w:top w:val="single" w:sz="4" w:space="0" w:color="auto"/>
              <w:left w:val="single" w:sz="4" w:space="0" w:color="auto"/>
              <w:bottom w:val="single" w:sz="4" w:space="0" w:color="auto"/>
              <w:right w:val="single" w:sz="4" w:space="0" w:color="auto"/>
            </w:tcBorders>
            <w:vAlign w:val="center"/>
          </w:tcPr>
          <w:p w14:paraId="1E861C53" w14:textId="77777777" w:rsidR="000F2F7B" w:rsidRPr="006A2898" w:rsidRDefault="000F2F7B" w:rsidP="000F2F7B">
            <w:pPr>
              <w:keepNext/>
              <w:rPr>
                <w:sz w:val="24"/>
                <w:szCs w:val="24"/>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19F9533A" w14:textId="77777777" w:rsidR="000F2F7B" w:rsidRPr="006A2898" w:rsidRDefault="000F2F7B" w:rsidP="000F2F7B">
            <w:pPr>
              <w:keepNext/>
              <w:rPr>
                <w:sz w:val="24"/>
                <w:szCs w:val="24"/>
              </w:rPr>
            </w:pPr>
            <w:r w:rsidRPr="006A2898">
              <w:rPr>
                <w:sz w:val="24"/>
                <w:szCs w:val="24"/>
              </w:rPr>
              <w:t>4</w:t>
            </w:r>
          </w:p>
        </w:tc>
      </w:tr>
      <w:tr w:rsidR="000F2F7B" w:rsidRPr="006A2898" w14:paraId="1766D0ED" w14:textId="77777777" w:rsidTr="009C65F8">
        <w:trPr>
          <w:trHeight w:val="255"/>
          <w:tblHeader/>
        </w:trPr>
        <w:tc>
          <w:tcPr>
            <w:tcW w:w="1941" w:type="pct"/>
            <w:vMerge w:val="restart"/>
            <w:tcBorders>
              <w:top w:val="single" w:sz="4" w:space="0" w:color="auto"/>
              <w:left w:val="single" w:sz="4" w:space="0" w:color="auto"/>
              <w:bottom w:val="single" w:sz="4" w:space="0" w:color="auto"/>
              <w:right w:val="single" w:sz="4" w:space="0" w:color="auto"/>
            </w:tcBorders>
            <w:vAlign w:val="center"/>
            <w:hideMark/>
          </w:tcPr>
          <w:p w14:paraId="05B0CA0A" w14:textId="77777777" w:rsidR="000F2F7B" w:rsidRPr="006A2898" w:rsidRDefault="000F2F7B" w:rsidP="000F2F7B">
            <w:pPr>
              <w:keepNext/>
              <w:rPr>
                <w:sz w:val="24"/>
                <w:szCs w:val="24"/>
              </w:rPr>
            </w:pPr>
            <w:r w:rsidRPr="006A2898">
              <w:rPr>
                <w:sz w:val="24"/>
                <w:szCs w:val="24"/>
              </w:rPr>
              <w:t xml:space="preserve">invertsukker 100 mg/ml </w:t>
            </w:r>
          </w:p>
          <w:p w14:paraId="6A439B7A" w14:textId="77777777" w:rsidR="000F2F7B" w:rsidRPr="006A2898" w:rsidRDefault="000F2F7B" w:rsidP="000F2F7B">
            <w:pPr>
              <w:keepNext/>
              <w:rPr>
                <w:sz w:val="24"/>
                <w:szCs w:val="24"/>
              </w:rPr>
            </w:pPr>
            <w:r w:rsidRPr="006A2898">
              <w:rPr>
                <w:sz w:val="24"/>
                <w:szCs w:val="24"/>
              </w:rPr>
              <w:t>(10 %) i vand</w:t>
            </w:r>
          </w:p>
        </w:tc>
        <w:tc>
          <w:tcPr>
            <w:tcW w:w="1573" w:type="pct"/>
            <w:tcBorders>
              <w:top w:val="single" w:sz="4" w:space="0" w:color="auto"/>
              <w:left w:val="single" w:sz="4" w:space="0" w:color="auto"/>
              <w:bottom w:val="single" w:sz="4" w:space="0" w:color="auto"/>
              <w:right w:val="single" w:sz="4" w:space="0" w:color="auto"/>
            </w:tcBorders>
            <w:hideMark/>
          </w:tcPr>
          <w:p w14:paraId="3EB079DA" w14:textId="35A4C716" w:rsidR="000F2F7B" w:rsidRPr="006A2898" w:rsidRDefault="000F2F7B" w:rsidP="000F2F7B">
            <w:pPr>
              <w:keepNext/>
              <w:rPr>
                <w:sz w:val="24"/>
                <w:szCs w:val="24"/>
              </w:rPr>
            </w:pPr>
            <w:r>
              <w:rPr>
                <w:sz w:val="24"/>
                <w:szCs w:val="24"/>
              </w:rPr>
              <w:t>op til 3 mg/ml</w:t>
            </w:r>
            <w:r>
              <w:rPr>
                <w:bCs/>
                <w:sz w:val="24"/>
                <w:szCs w:val="24"/>
              </w:rPr>
              <w:t xml:space="preserve"> (2 mg ampicillin + 1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133F7491" w14:textId="77777777" w:rsidR="000F2F7B" w:rsidRPr="006A2898" w:rsidRDefault="000F2F7B" w:rsidP="000F2F7B">
            <w:pPr>
              <w:keepNext/>
              <w:rPr>
                <w:sz w:val="24"/>
                <w:szCs w:val="24"/>
              </w:rPr>
            </w:pPr>
            <w:r w:rsidRPr="006A2898">
              <w:rPr>
                <w:sz w:val="24"/>
                <w:szCs w:val="24"/>
              </w:rPr>
              <w:t>4</w:t>
            </w:r>
          </w:p>
        </w:tc>
        <w:tc>
          <w:tcPr>
            <w:tcW w:w="743" w:type="pct"/>
            <w:tcBorders>
              <w:top w:val="single" w:sz="4" w:space="0" w:color="auto"/>
              <w:left w:val="single" w:sz="4" w:space="0" w:color="auto"/>
              <w:bottom w:val="single" w:sz="4" w:space="0" w:color="auto"/>
              <w:right w:val="single" w:sz="4" w:space="0" w:color="auto"/>
            </w:tcBorders>
            <w:vAlign w:val="center"/>
          </w:tcPr>
          <w:p w14:paraId="0467A663" w14:textId="77777777" w:rsidR="000F2F7B" w:rsidRPr="006A2898" w:rsidRDefault="000F2F7B" w:rsidP="000F2F7B">
            <w:pPr>
              <w:keepNext/>
              <w:rPr>
                <w:sz w:val="24"/>
                <w:szCs w:val="24"/>
              </w:rPr>
            </w:pPr>
          </w:p>
        </w:tc>
      </w:tr>
      <w:tr w:rsidR="000F2F7B" w:rsidRPr="006A2898" w14:paraId="12D5A7C3" w14:textId="77777777" w:rsidTr="009C65F8">
        <w:trPr>
          <w:trHeight w:val="255"/>
          <w:tblHeader/>
        </w:trPr>
        <w:tc>
          <w:tcPr>
            <w:tcW w:w="1941" w:type="pct"/>
            <w:vMerge/>
            <w:tcBorders>
              <w:top w:val="single" w:sz="4" w:space="0" w:color="auto"/>
              <w:left w:val="single" w:sz="4" w:space="0" w:color="auto"/>
              <w:bottom w:val="single" w:sz="4" w:space="0" w:color="auto"/>
              <w:right w:val="single" w:sz="4" w:space="0" w:color="auto"/>
            </w:tcBorders>
            <w:vAlign w:val="center"/>
            <w:hideMark/>
          </w:tcPr>
          <w:p w14:paraId="5E69C6F9" w14:textId="77777777" w:rsidR="000F2F7B" w:rsidRPr="006A2898" w:rsidRDefault="000F2F7B" w:rsidP="000F2F7B">
            <w:pPr>
              <w:rPr>
                <w:rFonts w:eastAsia="Calibri"/>
                <w:sz w:val="24"/>
                <w:szCs w:val="24"/>
              </w:rPr>
            </w:pPr>
          </w:p>
        </w:tc>
        <w:tc>
          <w:tcPr>
            <w:tcW w:w="1573" w:type="pct"/>
            <w:tcBorders>
              <w:top w:val="single" w:sz="4" w:space="0" w:color="auto"/>
              <w:left w:val="single" w:sz="4" w:space="0" w:color="auto"/>
              <w:bottom w:val="single" w:sz="4" w:space="0" w:color="auto"/>
              <w:right w:val="single" w:sz="4" w:space="0" w:color="auto"/>
            </w:tcBorders>
            <w:hideMark/>
          </w:tcPr>
          <w:p w14:paraId="1B03251D" w14:textId="118BE74F" w:rsidR="000F2F7B" w:rsidRPr="006A2898" w:rsidRDefault="000F2F7B" w:rsidP="000F2F7B">
            <w:pPr>
              <w:keepNext/>
              <w:rPr>
                <w:sz w:val="24"/>
                <w:szCs w:val="24"/>
              </w:rPr>
            </w:pPr>
            <w:r>
              <w:rPr>
                <w:sz w:val="24"/>
                <w:szCs w:val="24"/>
              </w:rPr>
              <w:t>op til 30 mg/ml</w:t>
            </w:r>
            <w:r>
              <w:rPr>
                <w:bCs/>
              </w:rPr>
              <w:t xml:space="preserve"> </w:t>
            </w:r>
            <w:r>
              <w:rPr>
                <w:bCs/>
                <w:sz w:val="24"/>
                <w:szCs w:val="24"/>
              </w:rPr>
              <w:t>(20 mg ampicillin + 10 mg sulbactam)/ml</w:t>
            </w:r>
          </w:p>
        </w:tc>
        <w:tc>
          <w:tcPr>
            <w:tcW w:w="743" w:type="pct"/>
            <w:tcBorders>
              <w:top w:val="single" w:sz="4" w:space="0" w:color="auto"/>
              <w:left w:val="single" w:sz="4" w:space="0" w:color="auto"/>
              <w:bottom w:val="single" w:sz="4" w:space="0" w:color="auto"/>
              <w:right w:val="single" w:sz="4" w:space="0" w:color="auto"/>
            </w:tcBorders>
            <w:vAlign w:val="center"/>
          </w:tcPr>
          <w:p w14:paraId="62B3772A" w14:textId="77777777" w:rsidR="000F2F7B" w:rsidRPr="006A2898" w:rsidRDefault="000F2F7B" w:rsidP="000F2F7B">
            <w:pPr>
              <w:keepNext/>
              <w:rPr>
                <w:sz w:val="24"/>
                <w:szCs w:val="24"/>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19EF77DA" w14:textId="77777777" w:rsidR="000F2F7B" w:rsidRPr="006A2898" w:rsidRDefault="000F2F7B" w:rsidP="000F2F7B">
            <w:pPr>
              <w:keepNext/>
              <w:rPr>
                <w:sz w:val="24"/>
                <w:szCs w:val="24"/>
              </w:rPr>
            </w:pPr>
            <w:r w:rsidRPr="006A2898">
              <w:rPr>
                <w:sz w:val="24"/>
                <w:szCs w:val="24"/>
              </w:rPr>
              <w:t>3</w:t>
            </w:r>
          </w:p>
        </w:tc>
      </w:tr>
      <w:tr w:rsidR="000F2F7B" w:rsidRPr="006A2898" w14:paraId="73F6ABA6" w14:textId="77777777" w:rsidTr="009C65F8">
        <w:trPr>
          <w:tblHeader/>
        </w:trPr>
        <w:tc>
          <w:tcPr>
            <w:tcW w:w="1941" w:type="pct"/>
            <w:tcBorders>
              <w:top w:val="single" w:sz="4" w:space="0" w:color="auto"/>
              <w:left w:val="single" w:sz="4" w:space="0" w:color="auto"/>
              <w:bottom w:val="single" w:sz="4" w:space="0" w:color="auto"/>
              <w:right w:val="single" w:sz="4" w:space="0" w:color="auto"/>
            </w:tcBorders>
            <w:vAlign w:val="center"/>
            <w:hideMark/>
          </w:tcPr>
          <w:p w14:paraId="299194D8" w14:textId="77777777" w:rsidR="000F2F7B" w:rsidRPr="006A2898" w:rsidRDefault="000F2F7B" w:rsidP="000F2F7B">
            <w:pPr>
              <w:keepNext/>
              <w:rPr>
                <w:sz w:val="24"/>
                <w:szCs w:val="24"/>
              </w:rPr>
            </w:pPr>
            <w:r w:rsidRPr="006A2898">
              <w:rPr>
                <w:sz w:val="24"/>
                <w:szCs w:val="24"/>
              </w:rPr>
              <w:t>Ringer laktat opløsning</w:t>
            </w:r>
          </w:p>
        </w:tc>
        <w:tc>
          <w:tcPr>
            <w:tcW w:w="1573" w:type="pct"/>
            <w:tcBorders>
              <w:top w:val="single" w:sz="4" w:space="0" w:color="auto"/>
              <w:left w:val="single" w:sz="4" w:space="0" w:color="auto"/>
              <w:bottom w:val="single" w:sz="4" w:space="0" w:color="auto"/>
              <w:right w:val="single" w:sz="4" w:space="0" w:color="auto"/>
            </w:tcBorders>
            <w:hideMark/>
          </w:tcPr>
          <w:p w14:paraId="5107F45D" w14:textId="7FAF3E98" w:rsidR="000F2F7B" w:rsidRPr="006A2898" w:rsidRDefault="000F2F7B" w:rsidP="000F2F7B">
            <w:pPr>
              <w:keepNext/>
              <w:rPr>
                <w:sz w:val="24"/>
                <w:szCs w:val="24"/>
              </w:rPr>
            </w:pPr>
            <w:r>
              <w:rPr>
                <w:sz w:val="24"/>
                <w:szCs w:val="24"/>
              </w:rPr>
              <w:t>op til 45 mg/ml</w:t>
            </w:r>
            <w:r>
              <w:rPr>
                <w:bCs/>
                <w:sz w:val="24"/>
                <w:szCs w:val="24"/>
              </w:rPr>
              <w:t xml:space="preserve"> (30 mg ampicillin + 15 mg sulbactam)/ml</w:t>
            </w:r>
          </w:p>
        </w:tc>
        <w:tc>
          <w:tcPr>
            <w:tcW w:w="743" w:type="pct"/>
            <w:tcBorders>
              <w:top w:val="single" w:sz="4" w:space="0" w:color="auto"/>
              <w:left w:val="single" w:sz="4" w:space="0" w:color="auto"/>
              <w:bottom w:val="single" w:sz="4" w:space="0" w:color="auto"/>
              <w:right w:val="single" w:sz="4" w:space="0" w:color="auto"/>
            </w:tcBorders>
            <w:vAlign w:val="center"/>
            <w:hideMark/>
          </w:tcPr>
          <w:p w14:paraId="39368215" w14:textId="77777777" w:rsidR="000F2F7B" w:rsidRPr="006A2898" w:rsidRDefault="000F2F7B" w:rsidP="000F2F7B">
            <w:pPr>
              <w:keepNext/>
              <w:rPr>
                <w:sz w:val="24"/>
                <w:szCs w:val="24"/>
              </w:rPr>
            </w:pPr>
            <w:r w:rsidRPr="006A2898">
              <w:rPr>
                <w:sz w:val="24"/>
                <w:szCs w:val="24"/>
              </w:rPr>
              <w:t>8</w:t>
            </w:r>
          </w:p>
        </w:tc>
        <w:tc>
          <w:tcPr>
            <w:tcW w:w="743" w:type="pct"/>
            <w:tcBorders>
              <w:top w:val="single" w:sz="4" w:space="0" w:color="auto"/>
              <w:left w:val="single" w:sz="4" w:space="0" w:color="auto"/>
              <w:bottom w:val="single" w:sz="4" w:space="0" w:color="auto"/>
              <w:right w:val="single" w:sz="4" w:space="0" w:color="auto"/>
            </w:tcBorders>
            <w:vAlign w:val="center"/>
            <w:hideMark/>
          </w:tcPr>
          <w:p w14:paraId="7B29217D" w14:textId="77777777" w:rsidR="000F2F7B" w:rsidRPr="006A2898" w:rsidRDefault="000F2F7B" w:rsidP="000F2F7B">
            <w:pPr>
              <w:keepNext/>
              <w:rPr>
                <w:sz w:val="24"/>
                <w:szCs w:val="24"/>
              </w:rPr>
            </w:pPr>
            <w:r w:rsidRPr="006A2898">
              <w:rPr>
                <w:sz w:val="24"/>
                <w:szCs w:val="24"/>
              </w:rPr>
              <w:t>24</w:t>
            </w:r>
          </w:p>
        </w:tc>
      </w:tr>
    </w:tbl>
    <w:p w14:paraId="5923E73B" w14:textId="77777777" w:rsidR="006E7021" w:rsidRPr="0083270E" w:rsidRDefault="006E7021" w:rsidP="0083270E">
      <w:pPr>
        <w:ind w:left="851"/>
        <w:rPr>
          <w:rFonts w:eastAsia="Calibri"/>
          <w:sz w:val="24"/>
          <w:szCs w:val="24"/>
        </w:rPr>
      </w:pPr>
    </w:p>
    <w:p w14:paraId="516A99E0" w14:textId="77777777" w:rsidR="006E7021" w:rsidRPr="006A2898" w:rsidRDefault="006E7021" w:rsidP="009C65F8">
      <w:pPr>
        <w:ind w:left="851"/>
        <w:rPr>
          <w:sz w:val="24"/>
          <w:szCs w:val="24"/>
        </w:rPr>
      </w:pPr>
      <w:r w:rsidRPr="006A2898">
        <w:rPr>
          <w:sz w:val="24"/>
          <w:szCs w:val="24"/>
        </w:rPr>
        <w:t xml:space="preserve">Ud fra et mikrobiologisk synspunkt skal lægemidlet anvendes straks, medmindre metoden for åbning/rekonstitution/fortynding udelukker risiko for mikrobiel forurening. Hvis lægemidlet ikke anvendes straks, er </w:t>
      </w:r>
      <w:r w:rsidRPr="006A2898">
        <w:rPr>
          <w:iCs/>
          <w:sz w:val="24"/>
          <w:szCs w:val="24"/>
        </w:rPr>
        <w:t xml:space="preserve">opbevaringstider og -betingelser på brugerens eget ansvar. </w:t>
      </w:r>
    </w:p>
    <w:p w14:paraId="3EEE4124" w14:textId="77777777" w:rsidR="009260DE" w:rsidRPr="006A2898" w:rsidRDefault="009260DE" w:rsidP="009C65F8">
      <w:pPr>
        <w:ind w:left="851"/>
        <w:rPr>
          <w:sz w:val="24"/>
          <w:szCs w:val="24"/>
        </w:rPr>
      </w:pPr>
    </w:p>
    <w:p w14:paraId="5545CDC1" w14:textId="77777777" w:rsidR="009260DE" w:rsidRPr="006A2898" w:rsidRDefault="009260DE" w:rsidP="009260DE">
      <w:pPr>
        <w:tabs>
          <w:tab w:val="left" w:pos="851"/>
        </w:tabs>
        <w:ind w:left="851" w:hanging="851"/>
        <w:rPr>
          <w:b/>
          <w:sz w:val="24"/>
          <w:szCs w:val="24"/>
        </w:rPr>
      </w:pPr>
      <w:r w:rsidRPr="006A2898">
        <w:rPr>
          <w:b/>
          <w:sz w:val="24"/>
          <w:szCs w:val="24"/>
        </w:rPr>
        <w:t>6.4</w:t>
      </w:r>
      <w:r w:rsidRPr="006A2898">
        <w:rPr>
          <w:b/>
          <w:sz w:val="24"/>
          <w:szCs w:val="24"/>
        </w:rPr>
        <w:tab/>
        <w:t>Særlige opbevaringsforhold</w:t>
      </w:r>
    </w:p>
    <w:p w14:paraId="1CE9773B" w14:textId="77777777" w:rsidR="006E7021" w:rsidRPr="006A2898" w:rsidRDefault="006E7021" w:rsidP="009C65F8">
      <w:pPr>
        <w:ind w:left="851"/>
        <w:rPr>
          <w:sz w:val="24"/>
          <w:szCs w:val="24"/>
        </w:rPr>
      </w:pPr>
      <w:r w:rsidRPr="006A2898">
        <w:rPr>
          <w:sz w:val="24"/>
          <w:szCs w:val="24"/>
        </w:rPr>
        <w:t>Dette lægemiddel kræver ingen særlige forholdsregler vedrørende opbevaringen.</w:t>
      </w:r>
    </w:p>
    <w:p w14:paraId="438FC89B" w14:textId="77777777" w:rsidR="006E7021" w:rsidRPr="006A2898" w:rsidRDefault="006E7021" w:rsidP="009C65F8">
      <w:pPr>
        <w:ind w:left="851"/>
        <w:rPr>
          <w:sz w:val="24"/>
          <w:szCs w:val="24"/>
        </w:rPr>
      </w:pPr>
      <w:r w:rsidRPr="006A2898">
        <w:rPr>
          <w:sz w:val="24"/>
          <w:szCs w:val="24"/>
        </w:rPr>
        <w:t>Opbevaringsforhold efter rekonstitution/fortynding af lægemidlet, se pkt. 6.3.</w:t>
      </w:r>
    </w:p>
    <w:p w14:paraId="1E638A0D" w14:textId="77777777" w:rsidR="009260DE" w:rsidRPr="006A2898" w:rsidRDefault="009260DE" w:rsidP="009260DE">
      <w:pPr>
        <w:tabs>
          <w:tab w:val="left" w:pos="851"/>
        </w:tabs>
        <w:ind w:left="851"/>
        <w:rPr>
          <w:sz w:val="24"/>
          <w:szCs w:val="24"/>
        </w:rPr>
      </w:pPr>
    </w:p>
    <w:p w14:paraId="6BB3E8DD" w14:textId="77777777" w:rsidR="009260DE" w:rsidRPr="006A2898" w:rsidRDefault="009260DE" w:rsidP="009260DE">
      <w:pPr>
        <w:tabs>
          <w:tab w:val="left" w:pos="851"/>
        </w:tabs>
        <w:ind w:left="851" w:hanging="851"/>
        <w:rPr>
          <w:b/>
          <w:sz w:val="24"/>
          <w:szCs w:val="24"/>
        </w:rPr>
      </w:pPr>
      <w:r w:rsidRPr="006A2898">
        <w:rPr>
          <w:b/>
          <w:sz w:val="24"/>
          <w:szCs w:val="24"/>
        </w:rPr>
        <w:lastRenderedPageBreak/>
        <w:t>6.5</w:t>
      </w:r>
      <w:r w:rsidRPr="006A2898">
        <w:rPr>
          <w:b/>
          <w:sz w:val="24"/>
          <w:szCs w:val="24"/>
        </w:rPr>
        <w:tab/>
        <w:t>Emballagetype og pakningsstørrelser</w:t>
      </w:r>
    </w:p>
    <w:p w14:paraId="59C4CEB1" w14:textId="70851E86" w:rsidR="006E7021" w:rsidRPr="006A2898" w:rsidRDefault="00A87DF8" w:rsidP="009C65F8">
      <w:pPr>
        <w:ind w:left="851"/>
        <w:rPr>
          <w:sz w:val="24"/>
          <w:szCs w:val="24"/>
        </w:rPr>
      </w:pPr>
      <w:r>
        <w:rPr>
          <w:sz w:val="24"/>
          <w:szCs w:val="24"/>
        </w:rPr>
        <w:t>H</w:t>
      </w:r>
      <w:r w:rsidR="006E7021" w:rsidRPr="006A2898">
        <w:rPr>
          <w:sz w:val="24"/>
          <w:szCs w:val="24"/>
        </w:rPr>
        <w:t xml:space="preserve">ætteglas. </w:t>
      </w:r>
    </w:p>
    <w:p w14:paraId="4DC3BC65" w14:textId="77777777" w:rsidR="009260DE" w:rsidRPr="006A2898" w:rsidRDefault="009260DE" w:rsidP="009C65F8">
      <w:pPr>
        <w:ind w:left="851"/>
        <w:rPr>
          <w:sz w:val="24"/>
          <w:szCs w:val="24"/>
        </w:rPr>
      </w:pPr>
    </w:p>
    <w:p w14:paraId="691F54D1" w14:textId="77777777" w:rsidR="009260DE" w:rsidRPr="006A2898" w:rsidRDefault="009260DE" w:rsidP="009260DE">
      <w:pPr>
        <w:tabs>
          <w:tab w:val="left" w:pos="851"/>
        </w:tabs>
        <w:ind w:left="851" w:hanging="851"/>
        <w:rPr>
          <w:b/>
          <w:sz w:val="24"/>
          <w:szCs w:val="24"/>
        </w:rPr>
      </w:pPr>
      <w:r w:rsidRPr="006A2898">
        <w:rPr>
          <w:b/>
          <w:sz w:val="24"/>
          <w:szCs w:val="24"/>
        </w:rPr>
        <w:t>6.6</w:t>
      </w:r>
      <w:r w:rsidRPr="006A2898">
        <w:rPr>
          <w:b/>
          <w:sz w:val="24"/>
          <w:szCs w:val="24"/>
        </w:rPr>
        <w:tab/>
        <w:t xml:space="preserve">Regler for </w:t>
      </w:r>
      <w:r w:rsidR="00BD7931" w:rsidRPr="006A2898">
        <w:rPr>
          <w:b/>
          <w:sz w:val="24"/>
          <w:szCs w:val="24"/>
        </w:rPr>
        <w:t>bortskaffelse</w:t>
      </w:r>
      <w:r w:rsidRPr="006A2898">
        <w:rPr>
          <w:b/>
          <w:sz w:val="24"/>
          <w:szCs w:val="24"/>
        </w:rPr>
        <w:t xml:space="preserve"> og anden håndtering</w:t>
      </w:r>
    </w:p>
    <w:p w14:paraId="6D98329E" w14:textId="77777777" w:rsidR="006E7021" w:rsidRPr="006A2898" w:rsidRDefault="006E7021" w:rsidP="009C65F8">
      <w:pPr>
        <w:ind w:left="851"/>
        <w:rPr>
          <w:sz w:val="24"/>
          <w:szCs w:val="24"/>
        </w:rPr>
      </w:pPr>
      <w:r w:rsidRPr="006A2898">
        <w:rPr>
          <w:sz w:val="24"/>
          <w:szCs w:val="24"/>
        </w:rPr>
        <w:t>Anvend kun en klar eller opaliserende opløsning uden partikler, efter rekonstitution.</w:t>
      </w:r>
    </w:p>
    <w:p w14:paraId="02DABAFB" w14:textId="77777777" w:rsidR="006E7021" w:rsidRPr="006A2898" w:rsidRDefault="006E7021" w:rsidP="009C65F8">
      <w:pPr>
        <w:ind w:left="851"/>
        <w:rPr>
          <w:sz w:val="24"/>
          <w:szCs w:val="24"/>
        </w:rPr>
      </w:pPr>
      <w:r w:rsidRPr="006A2898">
        <w:rPr>
          <w:sz w:val="24"/>
          <w:szCs w:val="24"/>
        </w:rPr>
        <w:t>Kun beregnet til engangsbrug.</w:t>
      </w:r>
    </w:p>
    <w:p w14:paraId="1C43F219" w14:textId="7DE95831" w:rsidR="006E7021" w:rsidRPr="006A2898" w:rsidRDefault="006E7021" w:rsidP="009C65F8">
      <w:pPr>
        <w:ind w:left="851"/>
        <w:rPr>
          <w:sz w:val="24"/>
          <w:szCs w:val="24"/>
        </w:rPr>
      </w:pPr>
    </w:p>
    <w:p w14:paraId="75AB646D" w14:textId="0D03450F" w:rsidR="006E7021" w:rsidRDefault="006E7021" w:rsidP="009C65F8">
      <w:pPr>
        <w:ind w:left="851"/>
        <w:rPr>
          <w:sz w:val="24"/>
          <w:szCs w:val="24"/>
        </w:rPr>
      </w:pPr>
      <w:r w:rsidRPr="006A2898">
        <w:rPr>
          <w:sz w:val="24"/>
          <w:szCs w:val="24"/>
        </w:rPr>
        <w:t>Følgende fortyndingsvolumener kan anvendes til rekonstitution af intramuskulær administration, til intravenøs bolusadministration eller til intravenøs administration efter yderligere fortynding:</w:t>
      </w:r>
    </w:p>
    <w:p w14:paraId="517D06EC" w14:textId="447F6799" w:rsidR="000F2F7B" w:rsidRDefault="000F2F7B" w:rsidP="009C65F8">
      <w:pPr>
        <w:ind w:left="851"/>
        <w:rPr>
          <w:sz w:val="24"/>
          <w:szCs w:val="24"/>
        </w:rPr>
      </w:pPr>
    </w:p>
    <w:tbl>
      <w:tblPr>
        <w:tblW w:w="460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2111"/>
        <w:gridCol w:w="909"/>
        <w:gridCol w:w="1061"/>
        <w:gridCol w:w="1407"/>
        <w:gridCol w:w="2666"/>
      </w:tblGrid>
      <w:tr w:rsidR="000F2F7B" w14:paraId="6545F594" w14:textId="77777777" w:rsidTr="000F2F7B">
        <w:tc>
          <w:tcPr>
            <w:tcW w:w="397" w:type="pct"/>
            <w:tcBorders>
              <w:top w:val="single" w:sz="4" w:space="0" w:color="auto"/>
              <w:left w:val="single" w:sz="4" w:space="0" w:color="auto"/>
              <w:bottom w:val="single" w:sz="4" w:space="0" w:color="auto"/>
              <w:right w:val="single" w:sz="4" w:space="0" w:color="auto"/>
            </w:tcBorders>
            <w:hideMark/>
          </w:tcPr>
          <w:p w14:paraId="471B041D" w14:textId="77777777" w:rsidR="000F2F7B" w:rsidRDefault="000F2F7B">
            <w:pPr>
              <w:rPr>
                <w:b/>
                <w:bCs/>
                <w:sz w:val="22"/>
                <w:szCs w:val="22"/>
              </w:rPr>
            </w:pPr>
            <w:r>
              <w:rPr>
                <w:b/>
                <w:bCs/>
                <w:sz w:val="22"/>
                <w:szCs w:val="22"/>
              </w:rPr>
              <w:t>Samlet dosis</w:t>
            </w:r>
          </w:p>
          <w:p w14:paraId="7279B97A" w14:textId="77777777" w:rsidR="000F2F7B" w:rsidRDefault="000F2F7B">
            <w:pPr>
              <w:rPr>
                <w:b/>
                <w:bCs/>
                <w:sz w:val="22"/>
                <w:szCs w:val="22"/>
              </w:rPr>
            </w:pPr>
            <w:r>
              <w:rPr>
                <w:b/>
                <w:bCs/>
                <w:sz w:val="22"/>
                <w:szCs w:val="22"/>
              </w:rPr>
              <w:t>(g)</w:t>
            </w:r>
          </w:p>
        </w:tc>
        <w:tc>
          <w:tcPr>
            <w:tcW w:w="1191" w:type="pct"/>
            <w:tcBorders>
              <w:top w:val="single" w:sz="4" w:space="0" w:color="auto"/>
              <w:left w:val="single" w:sz="4" w:space="0" w:color="auto"/>
              <w:bottom w:val="single" w:sz="4" w:space="0" w:color="auto"/>
              <w:right w:val="single" w:sz="4" w:space="0" w:color="auto"/>
            </w:tcBorders>
            <w:hideMark/>
          </w:tcPr>
          <w:p w14:paraId="42CD8192" w14:textId="77777777" w:rsidR="000F2F7B" w:rsidRDefault="000F2F7B">
            <w:pPr>
              <w:rPr>
                <w:b/>
                <w:bCs/>
                <w:sz w:val="22"/>
                <w:szCs w:val="22"/>
                <w:lang w:val="fr-FR"/>
              </w:rPr>
            </w:pPr>
            <w:r>
              <w:rPr>
                <w:b/>
                <w:bCs/>
                <w:sz w:val="22"/>
                <w:szCs w:val="22"/>
                <w:lang w:val="fr-FR"/>
              </w:rPr>
              <w:t>Ækvivalent dosis ampicillin/sulbactam (g)</w:t>
            </w:r>
          </w:p>
        </w:tc>
        <w:tc>
          <w:tcPr>
            <w:tcW w:w="513" w:type="pct"/>
            <w:tcBorders>
              <w:top w:val="single" w:sz="4" w:space="0" w:color="auto"/>
              <w:left w:val="single" w:sz="4" w:space="0" w:color="auto"/>
              <w:bottom w:val="single" w:sz="4" w:space="0" w:color="auto"/>
              <w:right w:val="single" w:sz="4" w:space="0" w:color="auto"/>
            </w:tcBorders>
            <w:hideMark/>
          </w:tcPr>
          <w:p w14:paraId="60F08871" w14:textId="77777777" w:rsidR="000F2F7B" w:rsidRDefault="000F2F7B">
            <w:pPr>
              <w:rPr>
                <w:b/>
                <w:bCs/>
                <w:sz w:val="22"/>
                <w:szCs w:val="22"/>
              </w:rPr>
            </w:pPr>
            <w:r>
              <w:rPr>
                <w:b/>
                <w:bCs/>
                <w:sz w:val="22"/>
                <w:szCs w:val="22"/>
              </w:rPr>
              <w:t>Hætte-glassets størrelse</w:t>
            </w:r>
          </w:p>
        </w:tc>
        <w:tc>
          <w:tcPr>
            <w:tcW w:w="599" w:type="pct"/>
            <w:tcBorders>
              <w:top w:val="single" w:sz="4" w:space="0" w:color="auto"/>
              <w:left w:val="single" w:sz="4" w:space="0" w:color="auto"/>
              <w:bottom w:val="single" w:sz="4" w:space="0" w:color="auto"/>
              <w:right w:val="single" w:sz="4" w:space="0" w:color="auto"/>
            </w:tcBorders>
            <w:hideMark/>
          </w:tcPr>
          <w:p w14:paraId="06AF3F0E" w14:textId="77777777" w:rsidR="000F2F7B" w:rsidRDefault="000F2F7B">
            <w:pPr>
              <w:rPr>
                <w:b/>
                <w:bCs/>
                <w:sz w:val="22"/>
                <w:szCs w:val="22"/>
              </w:rPr>
            </w:pPr>
            <w:r>
              <w:rPr>
                <w:b/>
                <w:bCs/>
                <w:sz w:val="22"/>
                <w:szCs w:val="22"/>
              </w:rPr>
              <w:t>Solvens-volumen</w:t>
            </w:r>
          </w:p>
          <w:p w14:paraId="0C12B410" w14:textId="77777777" w:rsidR="000F2F7B" w:rsidRDefault="000F2F7B">
            <w:pPr>
              <w:rPr>
                <w:b/>
                <w:bCs/>
                <w:sz w:val="22"/>
                <w:szCs w:val="22"/>
              </w:rPr>
            </w:pPr>
            <w:r>
              <w:rPr>
                <w:b/>
                <w:bCs/>
                <w:sz w:val="22"/>
                <w:szCs w:val="22"/>
              </w:rPr>
              <w:t>(ml)</w:t>
            </w:r>
          </w:p>
        </w:tc>
        <w:tc>
          <w:tcPr>
            <w:tcW w:w="794" w:type="pct"/>
            <w:tcBorders>
              <w:top w:val="single" w:sz="4" w:space="0" w:color="auto"/>
              <w:left w:val="single" w:sz="4" w:space="0" w:color="auto"/>
              <w:bottom w:val="single" w:sz="4" w:space="0" w:color="auto"/>
              <w:right w:val="single" w:sz="4" w:space="0" w:color="auto"/>
            </w:tcBorders>
            <w:hideMark/>
          </w:tcPr>
          <w:p w14:paraId="4492713A" w14:textId="77777777" w:rsidR="000F2F7B" w:rsidRDefault="000F2F7B">
            <w:pPr>
              <w:rPr>
                <w:b/>
                <w:bCs/>
                <w:sz w:val="22"/>
                <w:szCs w:val="22"/>
              </w:rPr>
            </w:pPr>
            <w:r>
              <w:rPr>
                <w:b/>
                <w:bCs/>
                <w:sz w:val="22"/>
                <w:szCs w:val="22"/>
              </w:rPr>
              <w:t>Udtagnings-volumen * (ml)</w:t>
            </w:r>
          </w:p>
        </w:tc>
        <w:tc>
          <w:tcPr>
            <w:tcW w:w="1505" w:type="pct"/>
            <w:tcBorders>
              <w:top w:val="single" w:sz="4" w:space="0" w:color="auto"/>
              <w:left w:val="single" w:sz="4" w:space="0" w:color="auto"/>
              <w:bottom w:val="single" w:sz="4" w:space="0" w:color="auto"/>
              <w:right w:val="single" w:sz="4" w:space="0" w:color="auto"/>
            </w:tcBorders>
            <w:hideMark/>
          </w:tcPr>
          <w:p w14:paraId="410E8660" w14:textId="77777777" w:rsidR="000F2F7B" w:rsidRDefault="000F2F7B">
            <w:pPr>
              <w:rPr>
                <w:b/>
                <w:bCs/>
                <w:sz w:val="22"/>
                <w:szCs w:val="22"/>
                <w:lang w:val="sv-SE"/>
              </w:rPr>
            </w:pPr>
            <w:r>
              <w:rPr>
                <w:b/>
                <w:bCs/>
                <w:sz w:val="22"/>
                <w:szCs w:val="22"/>
                <w:lang w:val="sv-SE"/>
              </w:rPr>
              <w:t>Maksimal ampicillin/sulbactam slutkoncentration (mg/ml)</w:t>
            </w:r>
          </w:p>
        </w:tc>
      </w:tr>
      <w:tr w:rsidR="000F2F7B" w14:paraId="6A7BD96A" w14:textId="77777777" w:rsidTr="000F2F7B">
        <w:tc>
          <w:tcPr>
            <w:tcW w:w="397" w:type="pct"/>
            <w:tcBorders>
              <w:top w:val="single" w:sz="4" w:space="0" w:color="auto"/>
              <w:left w:val="single" w:sz="4" w:space="0" w:color="auto"/>
              <w:bottom w:val="single" w:sz="4" w:space="0" w:color="auto"/>
              <w:right w:val="single" w:sz="4" w:space="0" w:color="auto"/>
            </w:tcBorders>
            <w:hideMark/>
          </w:tcPr>
          <w:p w14:paraId="47EB0D66" w14:textId="77777777" w:rsidR="000F2F7B" w:rsidRDefault="000F2F7B">
            <w:pPr>
              <w:rPr>
                <w:sz w:val="22"/>
                <w:szCs w:val="22"/>
              </w:rPr>
            </w:pPr>
            <w:r>
              <w:rPr>
                <w:sz w:val="22"/>
                <w:szCs w:val="22"/>
              </w:rPr>
              <w:t>1,5</w:t>
            </w:r>
          </w:p>
        </w:tc>
        <w:tc>
          <w:tcPr>
            <w:tcW w:w="1191" w:type="pct"/>
            <w:tcBorders>
              <w:top w:val="single" w:sz="4" w:space="0" w:color="auto"/>
              <w:left w:val="single" w:sz="4" w:space="0" w:color="auto"/>
              <w:bottom w:val="single" w:sz="4" w:space="0" w:color="auto"/>
              <w:right w:val="single" w:sz="4" w:space="0" w:color="auto"/>
            </w:tcBorders>
            <w:hideMark/>
          </w:tcPr>
          <w:p w14:paraId="1F6DEBB5" w14:textId="77777777" w:rsidR="000F2F7B" w:rsidRDefault="000F2F7B">
            <w:pPr>
              <w:rPr>
                <w:sz w:val="22"/>
                <w:szCs w:val="22"/>
              </w:rPr>
            </w:pPr>
            <w:r>
              <w:rPr>
                <w:sz w:val="22"/>
                <w:szCs w:val="22"/>
              </w:rPr>
              <w:t>1/0,5</w:t>
            </w:r>
          </w:p>
        </w:tc>
        <w:tc>
          <w:tcPr>
            <w:tcW w:w="513" w:type="pct"/>
            <w:tcBorders>
              <w:top w:val="single" w:sz="4" w:space="0" w:color="auto"/>
              <w:left w:val="single" w:sz="4" w:space="0" w:color="auto"/>
              <w:bottom w:val="single" w:sz="4" w:space="0" w:color="auto"/>
              <w:right w:val="single" w:sz="4" w:space="0" w:color="auto"/>
            </w:tcBorders>
            <w:hideMark/>
          </w:tcPr>
          <w:p w14:paraId="56F83693" w14:textId="77777777" w:rsidR="000F2F7B" w:rsidRDefault="000F2F7B">
            <w:pPr>
              <w:rPr>
                <w:sz w:val="22"/>
                <w:szCs w:val="22"/>
              </w:rPr>
            </w:pPr>
            <w:r>
              <w:rPr>
                <w:sz w:val="22"/>
                <w:szCs w:val="22"/>
              </w:rPr>
              <w:t>20 ml</w:t>
            </w:r>
          </w:p>
        </w:tc>
        <w:tc>
          <w:tcPr>
            <w:tcW w:w="599" w:type="pct"/>
            <w:tcBorders>
              <w:top w:val="single" w:sz="4" w:space="0" w:color="auto"/>
              <w:left w:val="single" w:sz="4" w:space="0" w:color="auto"/>
              <w:bottom w:val="single" w:sz="4" w:space="0" w:color="auto"/>
              <w:right w:val="single" w:sz="4" w:space="0" w:color="auto"/>
            </w:tcBorders>
            <w:hideMark/>
          </w:tcPr>
          <w:p w14:paraId="0B528B9C" w14:textId="77777777" w:rsidR="000F2F7B" w:rsidRDefault="000F2F7B">
            <w:pPr>
              <w:rPr>
                <w:sz w:val="22"/>
                <w:szCs w:val="22"/>
              </w:rPr>
            </w:pPr>
            <w:r>
              <w:rPr>
                <w:sz w:val="22"/>
                <w:szCs w:val="22"/>
              </w:rPr>
              <w:t>3,2</w:t>
            </w:r>
          </w:p>
        </w:tc>
        <w:tc>
          <w:tcPr>
            <w:tcW w:w="794" w:type="pct"/>
            <w:tcBorders>
              <w:top w:val="single" w:sz="4" w:space="0" w:color="auto"/>
              <w:left w:val="single" w:sz="4" w:space="0" w:color="auto"/>
              <w:bottom w:val="single" w:sz="4" w:space="0" w:color="auto"/>
              <w:right w:val="single" w:sz="4" w:space="0" w:color="auto"/>
            </w:tcBorders>
            <w:hideMark/>
          </w:tcPr>
          <w:p w14:paraId="78C289DA" w14:textId="77777777" w:rsidR="000F2F7B" w:rsidRDefault="000F2F7B">
            <w:pPr>
              <w:rPr>
                <w:sz w:val="22"/>
                <w:szCs w:val="22"/>
              </w:rPr>
            </w:pPr>
            <w:r>
              <w:rPr>
                <w:sz w:val="22"/>
                <w:szCs w:val="22"/>
              </w:rPr>
              <w:t>4,0</w:t>
            </w:r>
          </w:p>
        </w:tc>
        <w:tc>
          <w:tcPr>
            <w:tcW w:w="1505" w:type="pct"/>
            <w:tcBorders>
              <w:top w:val="single" w:sz="4" w:space="0" w:color="auto"/>
              <w:left w:val="single" w:sz="4" w:space="0" w:color="auto"/>
              <w:bottom w:val="single" w:sz="4" w:space="0" w:color="auto"/>
              <w:right w:val="single" w:sz="4" w:space="0" w:color="auto"/>
            </w:tcBorders>
            <w:hideMark/>
          </w:tcPr>
          <w:p w14:paraId="5A2F7A83" w14:textId="77777777" w:rsidR="000F2F7B" w:rsidRDefault="000F2F7B">
            <w:pPr>
              <w:rPr>
                <w:sz w:val="22"/>
                <w:szCs w:val="22"/>
              </w:rPr>
            </w:pPr>
            <w:r>
              <w:rPr>
                <w:sz w:val="22"/>
                <w:szCs w:val="22"/>
              </w:rPr>
              <w:t>250/125</w:t>
            </w:r>
          </w:p>
        </w:tc>
      </w:tr>
      <w:tr w:rsidR="000F2F7B" w14:paraId="09490D21" w14:textId="77777777" w:rsidTr="000F2F7B">
        <w:tc>
          <w:tcPr>
            <w:tcW w:w="397" w:type="pct"/>
            <w:tcBorders>
              <w:top w:val="single" w:sz="4" w:space="0" w:color="auto"/>
              <w:left w:val="single" w:sz="4" w:space="0" w:color="auto"/>
              <w:bottom w:val="single" w:sz="4" w:space="0" w:color="auto"/>
              <w:right w:val="single" w:sz="4" w:space="0" w:color="auto"/>
            </w:tcBorders>
            <w:hideMark/>
          </w:tcPr>
          <w:p w14:paraId="2C50B1F1" w14:textId="77777777" w:rsidR="000F2F7B" w:rsidRDefault="000F2F7B">
            <w:pPr>
              <w:rPr>
                <w:sz w:val="22"/>
                <w:szCs w:val="22"/>
              </w:rPr>
            </w:pPr>
            <w:r>
              <w:rPr>
                <w:sz w:val="22"/>
                <w:szCs w:val="22"/>
              </w:rPr>
              <w:t>3</w:t>
            </w:r>
          </w:p>
        </w:tc>
        <w:tc>
          <w:tcPr>
            <w:tcW w:w="1191" w:type="pct"/>
            <w:tcBorders>
              <w:top w:val="single" w:sz="4" w:space="0" w:color="auto"/>
              <w:left w:val="single" w:sz="4" w:space="0" w:color="auto"/>
              <w:bottom w:val="single" w:sz="4" w:space="0" w:color="auto"/>
              <w:right w:val="single" w:sz="4" w:space="0" w:color="auto"/>
            </w:tcBorders>
            <w:hideMark/>
          </w:tcPr>
          <w:p w14:paraId="2EC73CC0" w14:textId="77777777" w:rsidR="000F2F7B" w:rsidRDefault="000F2F7B">
            <w:pPr>
              <w:rPr>
                <w:sz w:val="22"/>
                <w:szCs w:val="22"/>
              </w:rPr>
            </w:pPr>
            <w:r>
              <w:rPr>
                <w:sz w:val="22"/>
                <w:szCs w:val="22"/>
              </w:rPr>
              <w:t>2/1</w:t>
            </w:r>
          </w:p>
        </w:tc>
        <w:tc>
          <w:tcPr>
            <w:tcW w:w="513" w:type="pct"/>
            <w:tcBorders>
              <w:top w:val="single" w:sz="4" w:space="0" w:color="auto"/>
              <w:left w:val="single" w:sz="4" w:space="0" w:color="auto"/>
              <w:bottom w:val="single" w:sz="4" w:space="0" w:color="auto"/>
              <w:right w:val="single" w:sz="4" w:space="0" w:color="auto"/>
            </w:tcBorders>
            <w:hideMark/>
          </w:tcPr>
          <w:p w14:paraId="2C724F31" w14:textId="77777777" w:rsidR="000F2F7B" w:rsidRDefault="000F2F7B">
            <w:pPr>
              <w:rPr>
                <w:sz w:val="22"/>
                <w:szCs w:val="22"/>
              </w:rPr>
            </w:pPr>
            <w:r>
              <w:rPr>
                <w:sz w:val="22"/>
                <w:szCs w:val="22"/>
              </w:rPr>
              <w:t>20 ml</w:t>
            </w:r>
          </w:p>
        </w:tc>
        <w:tc>
          <w:tcPr>
            <w:tcW w:w="599" w:type="pct"/>
            <w:tcBorders>
              <w:top w:val="single" w:sz="4" w:space="0" w:color="auto"/>
              <w:left w:val="single" w:sz="4" w:space="0" w:color="auto"/>
              <w:bottom w:val="single" w:sz="4" w:space="0" w:color="auto"/>
              <w:right w:val="single" w:sz="4" w:space="0" w:color="auto"/>
            </w:tcBorders>
            <w:hideMark/>
          </w:tcPr>
          <w:p w14:paraId="3854E28B" w14:textId="77777777" w:rsidR="000F2F7B" w:rsidRDefault="000F2F7B">
            <w:pPr>
              <w:rPr>
                <w:sz w:val="22"/>
                <w:szCs w:val="22"/>
              </w:rPr>
            </w:pPr>
            <w:r>
              <w:rPr>
                <w:sz w:val="22"/>
                <w:szCs w:val="22"/>
              </w:rPr>
              <w:t>6,4</w:t>
            </w:r>
          </w:p>
        </w:tc>
        <w:tc>
          <w:tcPr>
            <w:tcW w:w="794" w:type="pct"/>
            <w:tcBorders>
              <w:top w:val="single" w:sz="4" w:space="0" w:color="auto"/>
              <w:left w:val="single" w:sz="4" w:space="0" w:color="auto"/>
              <w:bottom w:val="single" w:sz="4" w:space="0" w:color="auto"/>
              <w:right w:val="single" w:sz="4" w:space="0" w:color="auto"/>
            </w:tcBorders>
            <w:hideMark/>
          </w:tcPr>
          <w:p w14:paraId="2B83BCDF" w14:textId="77777777" w:rsidR="000F2F7B" w:rsidRDefault="000F2F7B">
            <w:pPr>
              <w:rPr>
                <w:sz w:val="22"/>
                <w:szCs w:val="22"/>
              </w:rPr>
            </w:pPr>
            <w:r>
              <w:rPr>
                <w:sz w:val="22"/>
                <w:szCs w:val="22"/>
              </w:rPr>
              <w:t>8,0</w:t>
            </w:r>
          </w:p>
        </w:tc>
        <w:tc>
          <w:tcPr>
            <w:tcW w:w="1505" w:type="pct"/>
            <w:tcBorders>
              <w:top w:val="single" w:sz="4" w:space="0" w:color="auto"/>
              <w:left w:val="single" w:sz="4" w:space="0" w:color="auto"/>
              <w:bottom w:val="single" w:sz="4" w:space="0" w:color="auto"/>
              <w:right w:val="single" w:sz="4" w:space="0" w:color="auto"/>
            </w:tcBorders>
            <w:hideMark/>
          </w:tcPr>
          <w:p w14:paraId="77F190B3" w14:textId="77777777" w:rsidR="000F2F7B" w:rsidRDefault="000F2F7B">
            <w:pPr>
              <w:rPr>
                <w:sz w:val="22"/>
                <w:szCs w:val="22"/>
              </w:rPr>
            </w:pPr>
            <w:r>
              <w:rPr>
                <w:sz w:val="22"/>
                <w:szCs w:val="22"/>
              </w:rPr>
              <w:t>250/125</w:t>
            </w:r>
          </w:p>
        </w:tc>
      </w:tr>
    </w:tbl>
    <w:p w14:paraId="0A5127DE" w14:textId="77777777" w:rsidR="006E7021" w:rsidRPr="006A2898" w:rsidRDefault="006E7021" w:rsidP="000F2F7B">
      <w:pPr>
        <w:pStyle w:val="Brdtekst"/>
        <w:widowControl/>
        <w:ind w:left="851"/>
        <w:rPr>
          <w:sz w:val="24"/>
          <w:szCs w:val="24"/>
          <w:lang w:val="da-DK"/>
        </w:rPr>
      </w:pPr>
      <w:r w:rsidRPr="006A2898">
        <w:rPr>
          <w:sz w:val="24"/>
          <w:szCs w:val="24"/>
          <w:lang w:val="da-DK"/>
        </w:rPr>
        <w:t>* Der er tilstrækkeligt overskydende plads til tilbagetrækning og injektion af de angivne mængder.</w:t>
      </w:r>
    </w:p>
    <w:p w14:paraId="6673381A" w14:textId="77777777" w:rsidR="006E7021" w:rsidRPr="006A2898" w:rsidRDefault="006E7021" w:rsidP="0083270E">
      <w:pPr>
        <w:pStyle w:val="Brdtekst"/>
        <w:widowControl/>
        <w:ind w:left="851"/>
        <w:rPr>
          <w:sz w:val="24"/>
          <w:szCs w:val="24"/>
          <w:lang w:val="da-DK"/>
        </w:rPr>
      </w:pPr>
    </w:p>
    <w:p w14:paraId="6D3C3015" w14:textId="77777777" w:rsidR="006E7021" w:rsidRPr="006A2898" w:rsidRDefault="006E7021" w:rsidP="009C65F8">
      <w:pPr>
        <w:ind w:left="851"/>
        <w:rPr>
          <w:sz w:val="24"/>
          <w:szCs w:val="24"/>
        </w:rPr>
      </w:pPr>
      <w:r w:rsidRPr="006A2898">
        <w:rPr>
          <w:sz w:val="24"/>
          <w:szCs w:val="24"/>
        </w:rPr>
        <w:t>Se også pkt. 4.2 og 6.3 for kompatible solventer.</w:t>
      </w:r>
    </w:p>
    <w:p w14:paraId="390D9263" w14:textId="77777777" w:rsidR="006E7021" w:rsidRPr="006A2898" w:rsidRDefault="006E7021" w:rsidP="009C65F8">
      <w:pPr>
        <w:ind w:left="851"/>
        <w:rPr>
          <w:sz w:val="24"/>
          <w:szCs w:val="24"/>
        </w:rPr>
      </w:pPr>
    </w:p>
    <w:p w14:paraId="58B5A413" w14:textId="77777777" w:rsidR="006E7021" w:rsidRPr="006A2898" w:rsidRDefault="006E7021" w:rsidP="009C65F8">
      <w:pPr>
        <w:ind w:left="851"/>
        <w:rPr>
          <w:sz w:val="24"/>
          <w:szCs w:val="24"/>
        </w:rPr>
      </w:pPr>
      <w:r w:rsidRPr="006A2898">
        <w:rPr>
          <w:sz w:val="24"/>
          <w:szCs w:val="24"/>
        </w:rPr>
        <w:t>Se pkt. 6.2 for uforligeligheder.</w:t>
      </w:r>
      <w:bookmarkStart w:id="3" w:name="_Hlk53578589"/>
    </w:p>
    <w:bookmarkEnd w:id="3"/>
    <w:p w14:paraId="4B644B03" w14:textId="77777777" w:rsidR="006E7021" w:rsidRPr="006A2898" w:rsidRDefault="006E7021" w:rsidP="009C65F8">
      <w:pPr>
        <w:ind w:left="851"/>
        <w:rPr>
          <w:sz w:val="24"/>
          <w:szCs w:val="24"/>
        </w:rPr>
      </w:pPr>
    </w:p>
    <w:p w14:paraId="619E9152" w14:textId="77777777" w:rsidR="006E7021" w:rsidRPr="006A2898" w:rsidRDefault="006E7021" w:rsidP="009C65F8">
      <w:pPr>
        <w:ind w:left="851"/>
        <w:rPr>
          <w:sz w:val="24"/>
          <w:szCs w:val="24"/>
        </w:rPr>
      </w:pPr>
      <w:r w:rsidRPr="006A2898">
        <w:rPr>
          <w:sz w:val="24"/>
          <w:szCs w:val="24"/>
        </w:rPr>
        <w:t>Ikke anvendt lægemiddel samt affald heraf skal bortskaffes i henhold til lokale retningslinjer.</w:t>
      </w:r>
    </w:p>
    <w:p w14:paraId="6284BDB9" w14:textId="77777777" w:rsidR="009260DE" w:rsidRPr="006A2898" w:rsidRDefault="009260DE" w:rsidP="000730CA">
      <w:pPr>
        <w:tabs>
          <w:tab w:val="left" w:pos="851"/>
        </w:tabs>
        <w:ind w:left="851"/>
        <w:rPr>
          <w:sz w:val="24"/>
          <w:szCs w:val="24"/>
        </w:rPr>
      </w:pPr>
    </w:p>
    <w:p w14:paraId="196F4796" w14:textId="77777777" w:rsidR="009260DE" w:rsidRPr="006A2898" w:rsidRDefault="009260DE" w:rsidP="009260DE">
      <w:pPr>
        <w:tabs>
          <w:tab w:val="left" w:pos="851"/>
        </w:tabs>
        <w:ind w:left="851" w:hanging="851"/>
        <w:rPr>
          <w:b/>
          <w:sz w:val="24"/>
          <w:szCs w:val="24"/>
        </w:rPr>
      </w:pPr>
      <w:r w:rsidRPr="006A2898">
        <w:rPr>
          <w:b/>
          <w:sz w:val="24"/>
          <w:szCs w:val="24"/>
        </w:rPr>
        <w:t>7.</w:t>
      </w:r>
      <w:r w:rsidRPr="006A2898">
        <w:rPr>
          <w:b/>
          <w:sz w:val="24"/>
          <w:szCs w:val="24"/>
        </w:rPr>
        <w:tab/>
        <w:t>INDEHAVER AF MARKEDSFØRINGSTILLADELSEN</w:t>
      </w:r>
    </w:p>
    <w:p w14:paraId="0993649A" w14:textId="77777777" w:rsidR="00AF674F" w:rsidRPr="00522457" w:rsidRDefault="00AF674F" w:rsidP="00AF674F">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522457">
        <w:rPr>
          <w:spacing w:val="-3"/>
          <w:sz w:val="24"/>
          <w:szCs w:val="24"/>
        </w:rPr>
        <w:t>Orifarm A/S</w:t>
      </w:r>
    </w:p>
    <w:p w14:paraId="76872A54" w14:textId="77777777" w:rsidR="00AF674F" w:rsidRPr="00522457" w:rsidRDefault="00AF674F" w:rsidP="00AF674F">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522457">
        <w:rPr>
          <w:spacing w:val="-3"/>
          <w:sz w:val="24"/>
          <w:szCs w:val="24"/>
        </w:rPr>
        <w:t>Energivej 15</w:t>
      </w:r>
    </w:p>
    <w:p w14:paraId="3A6FD62C" w14:textId="77777777" w:rsidR="00AF674F" w:rsidRPr="00522457" w:rsidRDefault="00AF674F" w:rsidP="00AF674F">
      <w:pPr>
        <w:tabs>
          <w:tab w:val="left" w:pos="709"/>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522457">
        <w:rPr>
          <w:spacing w:val="-3"/>
          <w:sz w:val="24"/>
          <w:szCs w:val="24"/>
        </w:rPr>
        <w:t>5260 Odense S</w:t>
      </w:r>
    </w:p>
    <w:p w14:paraId="5D1A161D" w14:textId="234181C5" w:rsidR="009260DE" w:rsidRPr="00522457" w:rsidRDefault="009260DE" w:rsidP="009260DE">
      <w:pPr>
        <w:tabs>
          <w:tab w:val="left" w:pos="851"/>
        </w:tabs>
        <w:ind w:left="851"/>
        <w:rPr>
          <w:sz w:val="24"/>
          <w:szCs w:val="24"/>
        </w:rPr>
      </w:pPr>
    </w:p>
    <w:p w14:paraId="55313D34" w14:textId="77777777" w:rsidR="009260DE" w:rsidRPr="006A2898" w:rsidRDefault="009260DE" w:rsidP="009260DE">
      <w:pPr>
        <w:tabs>
          <w:tab w:val="left" w:pos="851"/>
        </w:tabs>
        <w:ind w:left="851" w:hanging="851"/>
        <w:rPr>
          <w:b/>
          <w:sz w:val="24"/>
          <w:szCs w:val="24"/>
        </w:rPr>
      </w:pPr>
      <w:r w:rsidRPr="006A2898">
        <w:rPr>
          <w:b/>
          <w:sz w:val="24"/>
          <w:szCs w:val="24"/>
        </w:rPr>
        <w:t>8.</w:t>
      </w:r>
      <w:r w:rsidRPr="006A2898">
        <w:rPr>
          <w:b/>
          <w:sz w:val="24"/>
          <w:szCs w:val="24"/>
        </w:rPr>
        <w:tab/>
        <w:t>MARKEDSFØRINGSTILLADELSESNUMMER (</w:t>
      </w:r>
      <w:r w:rsidR="00BF6243" w:rsidRPr="006A2898">
        <w:rPr>
          <w:b/>
          <w:sz w:val="24"/>
          <w:szCs w:val="24"/>
        </w:rPr>
        <w:t>-</w:t>
      </w:r>
      <w:r w:rsidRPr="006A2898">
        <w:rPr>
          <w:b/>
          <w:sz w:val="24"/>
          <w:szCs w:val="24"/>
        </w:rPr>
        <w:t>NUMRE)</w:t>
      </w:r>
    </w:p>
    <w:p w14:paraId="517FA9EA" w14:textId="4E88E5B1" w:rsidR="006E7021" w:rsidRPr="006A2898" w:rsidRDefault="006E7021" w:rsidP="009C65F8">
      <w:pPr>
        <w:tabs>
          <w:tab w:val="left" w:pos="1843"/>
        </w:tabs>
        <w:ind w:left="851"/>
        <w:rPr>
          <w:sz w:val="24"/>
          <w:szCs w:val="24"/>
          <w:lang w:eastAsia="da-DK"/>
        </w:rPr>
      </w:pPr>
      <w:r w:rsidRPr="006A2898">
        <w:rPr>
          <w:sz w:val="24"/>
          <w:szCs w:val="24"/>
        </w:rPr>
        <w:t>1 g/0,5 g</w:t>
      </w:r>
      <w:r w:rsidR="009C65F8" w:rsidRPr="006A2898">
        <w:rPr>
          <w:sz w:val="24"/>
          <w:szCs w:val="24"/>
        </w:rPr>
        <w:t>:</w:t>
      </w:r>
      <w:r w:rsidRPr="006A2898">
        <w:rPr>
          <w:sz w:val="24"/>
          <w:szCs w:val="24"/>
        </w:rPr>
        <w:t xml:space="preserve"> </w:t>
      </w:r>
      <w:r w:rsidR="009C65F8" w:rsidRPr="006A2898">
        <w:rPr>
          <w:sz w:val="24"/>
          <w:szCs w:val="24"/>
        </w:rPr>
        <w:tab/>
      </w:r>
      <w:r w:rsidR="00A114B0">
        <w:rPr>
          <w:sz w:val="24"/>
          <w:szCs w:val="24"/>
        </w:rPr>
        <w:t>76825</w:t>
      </w:r>
    </w:p>
    <w:p w14:paraId="29A6662D" w14:textId="31B4869E" w:rsidR="006E7021" w:rsidRPr="006A2898" w:rsidRDefault="006E7021" w:rsidP="009C65F8">
      <w:pPr>
        <w:tabs>
          <w:tab w:val="left" w:pos="1843"/>
        </w:tabs>
        <w:ind w:left="851"/>
        <w:rPr>
          <w:sz w:val="24"/>
          <w:szCs w:val="24"/>
        </w:rPr>
      </w:pPr>
      <w:r w:rsidRPr="006A2898">
        <w:rPr>
          <w:sz w:val="24"/>
          <w:szCs w:val="24"/>
        </w:rPr>
        <w:t>2 g/1 g</w:t>
      </w:r>
      <w:r w:rsidR="009C65F8" w:rsidRPr="006A2898">
        <w:rPr>
          <w:sz w:val="24"/>
          <w:szCs w:val="24"/>
        </w:rPr>
        <w:t>:</w:t>
      </w:r>
      <w:r w:rsidRPr="006A2898">
        <w:rPr>
          <w:sz w:val="24"/>
          <w:szCs w:val="24"/>
        </w:rPr>
        <w:t xml:space="preserve"> </w:t>
      </w:r>
      <w:r w:rsidR="009C65F8" w:rsidRPr="006A2898">
        <w:rPr>
          <w:sz w:val="24"/>
          <w:szCs w:val="24"/>
        </w:rPr>
        <w:tab/>
      </w:r>
      <w:r w:rsidR="00A114B0">
        <w:rPr>
          <w:sz w:val="24"/>
          <w:szCs w:val="24"/>
        </w:rPr>
        <w:t>76816</w:t>
      </w:r>
    </w:p>
    <w:p w14:paraId="43B7FBD7" w14:textId="77777777" w:rsidR="009260DE" w:rsidRPr="006A2898" w:rsidRDefault="009260DE" w:rsidP="009260DE">
      <w:pPr>
        <w:tabs>
          <w:tab w:val="left" w:pos="851"/>
        </w:tabs>
        <w:ind w:left="851"/>
        <w:jc w:val="both"/>
        <w:rPr>
          <w:sz w:val="24"/>
          <w:szCs w:val="24"/>
        </w:rPr>
      </w:pPr>
    </w:p>
    <w:p w14:paraId="0445400D" w14:textId="77777777" w:rsidR="009260DE" w:rsidRPr="006A2898" w:rsidRDefault="009260DE" w:rsidP="009260DE">
      <w:pPr>
        <w:tabs>
          <w:tab w:val="left" w:pos="851"/>
        </w:tabs>
        <w:ind w:left="851" w:hanging="851"/>
        <w:rPr>
          <w:b/>
          <w:sz w:val="24"/>
          <w:szCs w:val="24"/>
        </w:rPr>
      </w:pPr>
      <w:r w:rsidRPr="006A2898">
        <w:rPr>
          <w:b/>
          <w:sz w:val="24"/>
          <w:szCs w:val="24"/>
        </w:rPr>
        <w:t>9.</w:t>
      </w:r>
      <w:r w:rsidRPr="006A2898">
        <w:rPr>
          <w:b/>
          <w:sz w:val="24"/>
          <w:szCs w:val="24"/>
        </w:rPr>
        <w:tab/>
        <w:t>DATO FOR FØRSTE MARKEDSFØRINGSTILLADELSE</w:t>
      </w:r>
    </w:p>
    <w:p w14:paraId="6FB6D723" w14:textId="7B6BB6AC" w:rsidR="009260DE" w:rsidRPr="006A2898" w:rsidRDefault="00522457" w:rsidP="009260DE">
      <w:pPr>
        <w:tabs>
          <w:tab w:val="left" w:pos="851"/>
        </w:tabs>
        <w:ind w:left="851"/>
        <w:rPr>
          <w:sz w:val="24"/>
          <w:szCs w:val="24"/>
        </w:rPr>
      </w:pPr>
      <w:r>
        <w:rPr>
          <w:sz w:val="24"/>
          <w:szCs w:val="24"/>
        </w:rPr>
        <w:t>30</w:t>
      </w:r>
      <w:r w:rsidR="00AF674F">
        <w:rPr>
          <w:sz w:val="24"/>
          <w:szCs w:val="24"/>
        </w:rPr>
        <w:t>. september 2026</w:t>
      </w:r>
    </w:p>
    <w:p w14:paraId="54683E31" w14:textId="77777777" w:rsidR="009260DE" w:rsidRPr="006A2898" w:rsidRDefault="009260DE" w:rsidP="009260DE">
      <w:pPr>
        <w:tabs>
          <w:tab w:val="left" w:pos="851"/>
        </w:tabs>
        <w:ind w:left="851"/>
        <w:rPr>
          <w:sz w:val="24"/>
          <w:szCs w:val="24"/>
        </w:rPr>
      </w:pPr>
    </w:p>
    <w:p w14:paraId="3E26CDF8" w14:textId="77777777" w:rsidR="009260DE" w:rsidRPr="006A2898" w:rsidRDefault="009260DE" w:rsidP="009260DE">
      <w:pPr>
        <w:tabs>
          <w:tab w:val="left" w:pos="851"/>
        </w:tabs>
        <w:ind w:left="851" w:hanging="851"/>
        <w:rPr>
          <w:b/>
          <w:sz w:val="24"/>
          <w:szCs w:val="24"/>
        </w:rPr>
      </w:pPr>
      <w:r w:rsidRPr="006A2898">
        <w:rPr>
          <w:b/>
          <w:sz w:val="24"/>
          <w:szCs w:val="24"/>
        </w:rPr>
        <w:t>10.</w:t>
      </w:r>
      <w:r w:rsidRPr="006A2898">
        <w:rPr>
          <w:b/>
          <w:sz w:val="24"/>
          <w:szCs w:val="24"/>
        </w:rPr>
        <w:tab/>
        <w:t>DATO FOR ÆNDRING AF TEKSTEN</w:t>
      </w:r>
    </w:p>
    <w:p w14:paraId="71B879B5" w14:textId="5C7DF62B" w:rsidR="009260DE" w:rsidRPr="006A2898" w:rsidRDefault="00AF674F" w:rsidP="009260DE">
      <w:pPr>
        <w:tabs>
          <w:tab w:val="left" w:pos="851"/>
        </w:tabs>
        <w:ind w:left="851"/>
        <w:rPr>
          <w:sz w:val="24"/>
          <w:szCs w:val="24"/>
        </w:rPr>
      </w:pPr>
      <w:r>
        <w:rPr>
          <w:sz w:val="24"/>
          <w:szCs w:val="24"/>
        </w:rPr>
        <w:t>-</w:t>
      </w:r>
    </w:p>
    <w:sectPr w:rsidR="009260DE" w:rsidRPr="006A2898"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DA057" w14:textId="77777777" w:rsidR="000F2423" w:rsidRDefault="000F2423">
      <w:r>
        <w:separator/>
      </w:r>
    </w:p>
  </w:endnote>
  <w:endnote w:type="continuationSeparator" w:id="0">
    <w:p w14:paraId="02B3ED7B" w14:textId="77777777" w:rsidR="000F2423" w:rsidRDefault="000F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194C" w14:textId="055A7982" w:rsidR="00A20A4C" w:rsidRDefault="00A20A4C">
    <w:pPr>
      <w:pStyle w:val="Sidefod"/>
      <w:pBdr>
        <w:bottom w:val="single" w:sz="6" w:space="1" w:color="auto"/>
      </w:pBdr>
    </w:pPr>
  </w:p>
  <w:p w14:paraId="246561A9" w14:textId="77777777" w:rsidR="00A20A4C" w:rsidRDefault="00A20A4C" w:rsidP="00C42586">
    <w:pPr>
      <w:pStyle w:val="Sidefod"/>
      <w:tabs>
        <w:tab w:val="clear" w:pos="4819"/>
        <w:tab w:val="left" w:pos="8505"/>
      </w:tabs>
      <w:rPr>
        <w:i/>
        <w:sz w:val="18"/>
        <w:szCs w:val="18"/>
      </w:rPr>
    </w:pPr>
  </w:p>
  <w:p w14:paraId="60605D32" w14:textId="75092E12" w:rsidR="00A20A4C" w:rsidRPr="00B373D7" w:rsidRDefault="00A20A4C"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AF674F">
      <w:rPr>
        <w:i/>
        <w:noProof/>
        <w:sz w:val="18"/>
        <w:szCs w:val="18"/>
      </w:rPr>
      <w:t>Ampicillin-Sulbactam Aptapharma (Orifarm), pulver til injektions--infusionsvæske, opløsning 1+0,5 g og 2+1 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100EB" w14:textId="77777777" w:rsidR="000F2423" w:rsidRDefault="000F2423">
      <w:r>
        <w:separator/>
      </w:r>
    </w:p>
  </w:footnote>
  <w:footnote w:type="continuationSeparator" w:id="0">
    <w:p w14:paraId="0B01CBE0" w14:textId="77777777" w:rsidR="000F2423" w:rsidRDefault="000F2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B45"/>
    <w:multiLevelType w:val="hybridMultilevel"/>
    <w:tmpl w:val="6708FAD8"/>
    <w:lvl w:ilvl="0" w:tplc="0EE02BA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B7F5BF2"/>
    <w:multiLevelType w:val="hybridMultilevel"/>
    <w:tmpl w:val="3CA6FD2C"/>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4A846F9D"/>
    <w:multiLevelType w:val="hybridMultilevel"/>
    <w:tmpl w:val="8A94CFB8"/>
    <w:lvl w:ilvl="0" w:tplc="2000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133469D"/>
    <w:multiLevelType w:val="hybridMultilevel"/>
    <w:tmpl w:val="96560FDA"/>
    <w:lvl w:ilvl="0" w:tplc="0EE02BA8">
      <w:start w:val="1"/>
      <w:numFmt w:val="bullet"/>
      <w:lvlText w:val="-"/>
      <w:lvlJc w:val="left"/>
      <w:pPr>
        <w:ind w:left="1571" w:hanging="360"/>
      </w:pPr>
      <w:rPr>
        <w:rFonts w:ascii="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8"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43774777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648207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1433289">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0690959">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562052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4565654">
    <w:abstractNumId w:val="6"/>
  </w:num>
  <w:num w:numId="7" w16cid:durableId="1615358387">
    <w:abstractNumId w:val="0"/>
  </w:num>
  <w:num w:numId="8" w16cid:durableId="1005325761">
    <w:abstractNumId w:val="2"/>
  </w:num>
  <w:num w:numId="9" w16cid:durableId="1174346179">
    <w:abstractNumId w:val="0"/>
  </w:num>
  <w:num w:numId="10" w16cid:durableId="260186406">
    <w:abstractNumId w:val="7"/>
  </w:num>
  <w:num w:numId="11" w16cid:durableId="749473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30F"/>
    <w:rsid w:val="000259B9"/>
    <w:rsid w:val="00041491"/>
    <w:rsid w:val="00050D16"/>
    <w:rsid w:val="000730CA"/>
    <w:rsid w:val="00074F2A"/>
    <w:rsid w:val="000A1CA8"/>
    <w:rsid w:val="000A466B"/>
    <w:rsid w:val="000B058C"/>
    <w:rsid w:val="000D68B0"/>
    <w:rsid w:val="000E4EE6"/>
    <w:rsid w:val="000F2423"/>
    <w:rsid w:val="000F2F7B"/>
    <w:rsid w:val="001454E2"/>
    <w:rsid w:val="00145C6E"/>
    <w:rsid w:val="00206CE8"/>
    <w:rsid w:val="0021526C"/>
    <w:rsid w:val="00283A2B"/>
    <w:rsid w:val="002B30AD"/>
    <w:rsid w:val="002C1EC0"/>
    <w:rsid w:val="002C2C01"/>
    <w:rsid w:val="003A29AE"/>
    <w:rsid w:val="003A32D7"/>
    <w:rsid w:val="003B4074"/>
    <w:rsid w:val="003C769A"/>
    <w:rsid w:val="003D3A90"/>
    <w:rsid w:val="003F1838"/>
    <w:rsid w:val="004251C1"/>
    <w:rsid w:val="004273CE"/>
    <w:rsid w:val="00444D85"/>
    <w:rsid w:val="0045746C"/>
    <w:rsid w:val="0049104B"/>
    <w:rsid w:val="004E3B12"/>
    <w:rsid w:val="00522457"/>
    <w:rsid w:val="00532310"/>
    <w:rsid w:val="00547571"/>
    <w:rsid w:val="00565F0F"/>
    <w:rsid w:val="00594A86"/>
    <w:rsid w:val="00596D86"/>
    <w:rsid w:val="005E496F"/>
    <w:rsid w:val="00615C57"/>
    <w:rsid w:val="00637F5A"/>
    <w:rsid w:val="00641C65"/>
    <w:rsid w:val="006560B1"/>
    <w:rsid w:val="006756DD"/>
    <w:rsid w:val="006A2898"/>
    <w:rsid w:val="006E7021"/>
    <w:rsid w:val="0071241E"/>
    <w:rsid w:val="00737275"/>
    <w:rsid w:val="00740EEC"/>
    <w:rsid w:val="0078011A"/>
    <w:rsid w:val="00782AF4"/>
    <w:rsid w:val="00790EE7"/>
    <w:rsid w:val="007B6649"/>
    <w:rsid w:val="007C530F"/>
    <w:rsid w:val="007C6295"/>
    <w:rsid w:val="0082576E"/>
    <w:rsid w:val="0083270E"/>
    <w:rsid w:val="0089346F"/>
    <w:rsid w:val="00907F75"/>
    <w:rsid w:val="009260DE"/>
    <w:rsid w:val="0093258A"/>
    <w:rsid w:val="009A506D"/>
    <w:rsid w:val="009C65F8"/>
    <w:rsid w:val="009C7BA3"/>
    <w:rsid w:val="009D1F5A"/>
    <w:rsid w:val="009D4089"/>
    <w:rsid w:val="00A10294"/>
    <w:rsid w:val="00A114B0"/>
    <w:rsid w:val="00A20A4C"/>
    <w:rsid w:val="00A87DF8"/>
    <w:rsid w:val="00AF674F"/>
    <w:rsid w:val="00B003BF"/>
    <w:rsid w:val="00B373D7"/>
    <w:rsid w:val="00B55271"/>
    <w:rsid w:val="00B84B6D"/>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D940BB"/>
    <w:rsid w:val="00E108AA"/>
    <w:rsid w:val="00E3749A"/>
    <w:rsid w:val="00E7437F"/>
    <w:rsid w:val="00E865B8"/>
    <w:rsid w:val="00E907AF"/>
    <w:rsid w:val="00EC0B9B"/>
    <w:rsid w:val="00ED5E9F"/>
    <w:rsid w:val="00F66D4F"/>
    <w:rsid w:val="00F870FD"/>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9AB5A"/>
  <w15:chartTrackingRefBased/>
  <w15:docId w15:val="{037F48F9-6F42-409F-9D74-1FBFEF98C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semiHidden/>
    <w:unhideWhenUsed/>
    <w:qFormat/>
    <w:rsid w:val="006E7021"/>
    <w:pPr>
      <w:widowControl w:val="0"/>
      <w:autoSpaceDE w:val="0"/>
      <w:autoSpaceDN w:val="0"/>
      <w:ind w:left="152"/>
      <w:outlineLvl w:val="1"/>
    </w:pPr>
    <w:rPr>
      <w:rFonts w:eastAsia="Calibri"/>
      <w:sz w:val="24"/>
      <w:lang w:val="en-US"/>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
    <w:name w:val="Body Text"/>
    <w:basedOn w:val="Normal"/>
    <w:link w:val="BrdtekstTegn"/>
    <w:semiHidden/>
    <w:unhideWhenUsed/>
    <w:rsid w:val="006E7021"/>
    <w:pPr>
      <w:widowControl w:val="0"/>
      <w:autoSpaceDE w:val="0"/>
      <w:autoSpaceDN w:val="0"/>
      <w:ind w:left="152"/>
    </w:pPr>
    <w:rPr>
      <w:rFonts w:eastAsia="Calibri"/>
      <w:sz w:val="22"/>
      <w:lang w:val="en-US"/>
    </w:rPr>
  </w:style>
  <w:style w:type="character" w:customStyle="1" w:styleId="BrdtekstTegn">
    <w:name w:val="Brødtekst Tegn"/>
    <w:basedOn w:val="Standardskrifttypeiafsnit"/>
    <w:link w:val="Brdtekst"/>
    <w:semiHidden/>
    <w:rsid w:val="006E7021"/>
    <w:rPr>
      <w:rFonts w:eastAsia="Calibri"/>
      <w:sz w:val="22"/>
      <w:lang w:val="en-US" w:eastAsia="en-US"/>
    </w:rPr>
  </w:style>
  <w:style w:type="paragraph" w:customStyle="1" w:styleId="P68B1DB1-Normal3">
    <w:name w:val="P68B1DB1-Normal3"/>
    <w:basedOn w:val="Normal"/>
    <w:rsid w:val="006E7021"/>
    <w:pPr>
      <w:widowControl w:val="0"/>
      <w:autoSpaceDE w:val="0"/>
      <w:autoSpaceDN w:val="0"/>
    </w:pPr>
    <w:rPr>
      <w:rFonts w:eastAsia="Calibri"/>
      <w:i/>
      <w:sz w:val="22"/>
      <w:u w:val="single"/>
      <w:lang w:val="en-US"/>
    </w:rPr>
  </w:style>
  <w:style w:type="character" w:customStyle="1" w:styleId="Overskrift2Tegn">
    <w:name w:val="Overskrift 2 Tegn"/>
    <w:basedOn w:val="Standardskrifttypeiafsnit"/>
    <w:link w:val="Overskrift2"/>
    <w:semiHidden/>
    <w:rsid w:val="006E7021"/>
    <w:rPr>
      <w:rFonts w:eastAsia="Calibri"/>
      <w:sz w:val="24"/>
      <w:lang w:val="en-US" w:eastAsia="en-US"/>
    </w:rPr>
  </w:style>
  <w:style w:type="paragraph" w:styleId="Listeafsnit">
    <w:name w:val="List Paragraph"/>
    <w:basedOn w:val="Normal"/>
    <w:qFormat/>
    <w:rsid w:val="006E7021"/>
    <w:pPr>
      <w:widowControl w:val="0"/>
      <w:autoSpaceDE w:val="0"/>
      <w:autoSpaceDN w:val="0"/>
      <w:spacing w:line="250" w:lineRule="exact"/>
      <w:ind w:left="484" w:hanging="332"/>
    </w:pPr>
    <w:rPr>
      <w:rFonts w:eastAsia="Calibri"/>
      <w:sz w:val="22"/>
      <w:lang w:val="en-US"/>
    </w:rPr>
  </w:style>
  <w:style w:type="paragraph" w:customStyle="1" w:styleId="P68B1DB1-Normal5">
    <w:name w:val="P68B1DB1-Normal5"/>
    <w:basedOn w:val="Normal"/>
    <w:rsid w:val="006E7021"/>
    <w:pPr>
      <w:widowControl w:val="0"/>
      <w:autoSpaceDE w:val="0"/>
      <w:autoSpaceDN w:val="0"/>
    </w:pPr>
    <w:rPr>
      <w:rFonts w:eastAsia="Calibri"/>
      <w:sz w:val="22"/>
      <w:u w:val="single"/>
      <w:lang w:val="en-US"/>
    </w:rPr>
  </w:style>
  <w:style w:type="paragraph" w:customStyle="1" w:styleId="P68B1DB1-BodyText6">
    <w:name w:val="P68B1DB1-BodyText6"/>
    <w:basedOn w:val="Brdtekst"/>
    <w:rsid w:val="006E7021"/>
    <w:rPr>
      <w:i/>
    </w:rPr>
  </w:style>
  <w:style w:type="paragraph" w:customStyle="1" w:styleId="P68B1DB1-Heading27">
    <w:name w:val="P68B1DB1-Heading27"/>
    <w:basedOn w:val="Overskrift2"/>
    <w:rsid w:val="006E7021"/>
    <w:rPr>
      <w:sz w:val="22"/>
      <w:u w:val="single"/>
    </w:rPr>
  </w:style>
  <w:style w:type="paragraph" w:customStyle="1" w:styleId="P68B1DB1-Normal8">
    <w:name w:val="P68B1DB1-Normal8"/>
    <w:basedOn w:val="Normal"/>
    <w:rsid w:val="006E7021"/>
    <w:pPr>
      <w:widowControl w:val="0"/>
      <w:autoSpaceDE w:val="0"/>
      <w:autoSpaceDN w:val="0"/>
    </w:pPr>
    <w:rPr>
      <w:rFonts w:eastAsia="Calibri"/>
      <w:sz w:val="22"/>
      <w:lang w:val="en-US"/>
    </w:rPr>
  </w:style>
  <w:style w:type="paragraph" w:styleId="HTML-adresse">
    <w:name w:val="HTML Address"/>
    <w:basedOn w:val="Normal"/>
    <w:link w:val="HTML-adresseTegn"/>
    <w:semiHidden/>
    <w:unhideWhenUsed/>
    <w:rsid w:val="006E7021"/>
    <w:pPr>
      <w:widowControl w:val="0"/>
      <w:autoSpaceDE w:val="0"/>
      <w:autoSpaceDN w:val="0"/>
    </w:pPr>
    <w:rPr>
      <w:rFonts w:eastAsia="Calibri"/>
      <w:i/>
      <w:sz w:val="22"/>
      <w:lang w:val="en-US"/>
    </w:rPr>
  </w:style>
  <w:style w:type="character" w:customStyle="1" w:styleId="HTML-adresseTegn">
    <w:name w:val="HTML-adresse Tegn"/>
    <w:basedOn w:val="Standardskrifttypeiafsnit"/>
    <w:link w:val="HTML-adresse"/>
    <w:semiHidden/>
    <w:rsid w:val="006E7021"/>
    <w:rPr>
      <w:rFonts w:eastAsia="Calibri"/>
      <w:i/>
      <w:sz w:val="22"/>
      <w:lang w:val="en-US" w:eastAsia="en-US"/>
    </w:rPr>
  </w:style>
  <w:style w:type="paragraph" w:customStyle="1" w:styleId="P68B1DB1-BodyText9">
    <w:name w:val="P68B1DB1-BodyText9"/>
    <w:basedOn w:val="Brdtekst"/>
    <w:rsid w:val="006E7021"/>
    <w:rPr>
      <w:u w:val="single"/>
    </w:rPr>
  </w:style>
  <w:style w:type="paragraph" w:customStyle="1" w:styleId="TableParagraph">
    <w:name w:val="Table Paragraph"/>
    <w:basedOn w:val="Normal"/>
    <w:uiPriority w:val="1"/>
    <w:qFormat/>
    <w:rsid w:val="006E7021"/>
    <w:pPr>
      <w:widowControl w:val="0"/>
      <w:autoSpaceDE w:val="0"/>
      <w:autoSpaceDN w:val="0"/>
      <w:spacing w:before="75" w:line="240" w:lineRule="exact"/>
      <w:ind w:left="69"/>
    </w:pPr>
    <w:rPr>
      <w:rFonts w:eastAsia="Calibri"/>
      <w:sz w:val="22"/>
      <w:lang w:val="en-US"/>
    </w:rPr>
  </w:style>
  <w:style w:type="paragraph" w:customStyle="1" w:styleId="P68B1DB1-TableParagraph10">
    <w:name w:val="P68B1DB1-TableParagraph10"/>
    <w:basedOn w:val="TableParagraph"/>
    <w:rsid w:val="006E7021"/>
    <w:rPr>
      <w:b/>
    </w:rPr>
  </w:style>
  <w:style w:type="paragraph" w:customStyle="1" w:styleId="P68B1DB1-Normal11">
    <w:name w:val="P68B1DB1-Normal11"/>
    <w:basedOn w:val="Normal"/>
    <w:rsid w:val="006E7021"/>
    <w:pPr>
      <w:widowControl w:val="0"/>
      <w:autoSpaceDE w:val="0"/>
      <w:autoSpaceDN w:val="0"/>
    </w:pPr>
    <w:rPr>
      <w:rFonts w:eastAsia="Calibri"/>
      <w:b/>
      <w:sz w:val="22"/>
      <w:u w:val="single" w:color="000000"/>
      <w:lang w:val="en-US"/>
    </w:rPr>
  </w:style>
  <w:style w:type="paragraph" w:customStyle="1" w:styleId="P68B1DB1-Normal1">
    <w:name w:val="P68B1DB1-Normal1"/>
    <w:basedOn w:val="Normal"/>
    <w:rsid w:val="006E7021"/>
    <w:pPr>
      <w:widowControl w:val="0"/>
      <w:autoSpaceDE w:val="0"/>
      <w:autoSpaceDN w:val="0"/>
    </w:pPr>
    <w:rPr>
      <w:rFonts w:eastAsia="Calibri"/>
      <w:b/>
      <w:sz w:val="22"/>
      <w:lang w:val="en-US"/>
    </w:rPr>
  </w:style>
  <w:style w:type="paragraph" w:customStyle="1" w:styleId="P68B1DB1-Normal12">
    <w:name w:val="P68B1DB1-Normal12"/>
    <w:basedOn w:val="Normal"/>
    <w:rsid w:val="006E7021"/>
    <w:pPr>
      <w:widowControl w:val="0"/>
      <w:autoSpaceDE w:val="0"/>
      <w:autoSpaceDN w:val="0"/>
    </w:pPr>
    <w:rPr>
      <w:rFonts w:eastAsia="Calibri"/>
      <w:sz w:val="22"/>
      <w:u w:val="thick"/>
      <w:lang w:val="en-US"/>
    </w:rPr>
  </w:style>
  <w:style w:type="paragraph" w:customStyle="1" w:styleId="P68B1DB1-Normal13">
    <w:name w:val="P68B1DB1-Normal13"/>
    <w:basedOn w:val="Normal"/>
    <w:rsid w:val="006E7021"/>
    <w:pPr>
      <w:widowControl w:val="0"/>
      <w:autoSpaceDE w:val="0"/>
      <w:autoSpaceDN w:val="0"/>
    </w:pPr>
    <w:rPr>
      <w:rFonts w:eastAsia="Calibri" w:hAnsi="Calibri"/>
      <w:i/>
      <w:sz w:val="22"/>
      <w:lang w:val="en-US"/>
    </w:rPr>
  </w:style>
  <w:style w:type="paragraph" w:customStyle="1" w:styleId="P68B1DB1-Heading314">
    <w:name w:val="P68B1DB1-Heading314"/>
    <w:basedOn w:val="Overskrift3"/>
    <w:rsid w:val="006E7021"/>
    <w:pPr>
      <w:keepNext w:val="0"/>
      <w:widowControl w:val="0"/>
      <w:autoSpaceDE w:val="0"/>
      <w:autoSpaceDN w:val="0"/>
      <w:spacing w:before="0" w:after="0" w:line="250" w:lineRule="exact"/>
      <w:ind w:left="484" w:hanging="332"/>
    </w:pPr>
    <w:rPr>
      <w:rFonts w:ascii="Times New Roman" w:eastAsia="Calibri" w:hAnsi="Times New Roman"/>
      <w:sz w:val="22"/>
      <w:u w:val="single"/>
      <w:lang w:val="en-US"/>
    </w:rPr>
  </w:style>
  <w:style w:type="paragraph" w:customStyle="1" w:styleId="P68B1DB1-Heading315">
    <w:name w:val="P68B1DB1-Heading315"/>
    <w:basedOn w:val="Overskrift3"/>
    <w:rsid w:val="006E7021"/>
    <w:pPr>
      <w:keepNext w:val="0"/>
      <w:widowControl w:val="0"/>
      <w:autoSpaceDE w:val="0"/>
      <w:autoSpaceDN w:val="0"/>
      <w:spacing w:before="0" w:after="0" w:line="250" w:lineRule="exact"/>
      <w:ind w:left="484" w:hanging="332"/>
    </w:pPr>
    <w:rPr>
      <w:rFonts w:ascii="Times New Roman" w:eastAsia="Calibri" w:hAnsi="Times New Roman"/>
      <w:sz w:val="22"/>
      <w:lang w:val="en-US"/>
    </w:rPr>
  </w:style>
  <w:style w:type="character" w:styleId="Hyperlink">
    <w:name w:val="Hyperlink"/>
    <w:basedOn w:val="Standardskrifttypeiafsnit"/>
    <w:uiPriority w:val="99"/>
    <w:unhideWhenUsed/>
    <w:rsid w:val="000F2F7B"/>
    <w:rPr>
      <w:color w:val="0563C1" w:themeColor="hyperlink"/>
      <w:u w:val="single"/>
    </w:rPr>
  </w:style>
  <w:style w:type="character" w:styleId="Ulstomtale">
    <w:name w:val="Unresolved Mention"/>
    <w:basedOn w:val="Standardskrifttypeiafsnit"/>
    <w:uiPriority w:val="99"/>
    <w:semiHidden/>
    <w:unhideWhenUsed/>
    <w:rsid w:val="00AF6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06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7643238">
      <w:bodyDiv w:val="1"/>
      <w:marLeft w:val="0"/>
      <w:marRight w:val="0"/>
      <w:marTop w:val="0"/>
      <w:marBottom w:val="0"/>
      <w:divBdr>
        <w:top w:val="none" w:sz="0" w:space="0" w:color="auto"/>
        <w:left w:val="none" w:sz="0" w:space="0" w:color="auto"/>
        <w:bottom w:val="none" w:sz="0" w:space="0" w:color="auto"/>
        <w:right w:val="none" w:sz="0" w:space="0" w:color="auto"/>
      </w:divBdr>
    </w:div>
    <w:div w:id="199513248">
      <w:bodyDiv w:val="1"/>
      <w:marLeft w:val="0"/>
      <w:marRight w:val="0"/>
      <w:marTop w:val="0"/>
      <w:marBottom w:val="0"/>
      <w:divBdr>
        <w:top w:val="none" w:sz="0" w:space="0" w:color="auto"/>
        <w:left w:val="none" w:sz="0" w:space="0" w:color="auto"/>
        <w:bottom w:val="none" w:sz="0" w:space="0" w:color="auto"/>
        <w:right w:val="none" w:sz="0" w:space="0" w:color="auto"/>
      </w:divBdr>
    </w:div>
    <w:div w:id="319161359">
      <w:bodyDiv w:val="1"/>
      <w:marLeft w:val="0"/>
      <w:marRight w:val="0"/>
      <w:marTop w:val="0"/>
      <w:marBottom w:val="0"/>
      <w:divBdr>
        <w:top w:val="none" w:sz="0" w:space="0" w:color="auto"/>
        <w:left w:val="none" w:sz="0" w:space="0" w:color="auto"/>
        <w:bottom w:val="none" w:sz="0" w:space="0" w:color="auto"/>
        <w:right w:val="none" w:sz="0" w:space="0" w:color="auto"/>
      </w:divBdr>
    </w:div>
    <w:div w:id="338044002">
      <w:bodyDiv w:val="1"/>
      <w:marLeft w:val="0"/>
      <w:marRight w:val="0"/>
      <w:marTop w:val="0"/>
      <w:marBottom w:val="0"/>
      <w:divBdr>
        <w:top w:val="none" w:sz="0" w:space="0" w:color="auto"/>
        <w:left w:val="none" w:sz="0" w:space="0" w:color="auto"/>
        <w:bottom w:val="none" w:sz="0" w:space="0" w:color="auto"/>
        <w:right w:val="none" w:sz="0" w:space="0" w:color="auto"/>
      </w:divBdr>
    </w:div>
    <w:div w:id="651835286">
      <w:bodyDiv w:val="1"/>
      <w:marLeft w:val="0"/>
      <w:marRight w:val="0"/>
      <w:marTop w:val="0"/>
      <w:marBottom w:val="0"/>
      <w:divBdr>
        <w:top w:val="none" w:sz="0" w:space="0" w:color="auto"/>
        <w:left w:val="none" w:sz="0" w:space="0" w:color="auto"/>
        <w:bottom w:val="none" w:sz="0" w:space="0" w:color="auto"/>
        <w:right w:val="none" w:sz="0" w:space="0" w:color="auto"/>
      </w:divBdr>
    </w:div>
    <w:div w:id="657804954">
      <w:bodyDiv w:val="1"/>
      <w:marLeft w:val="0"/>
      <w:marRight w:val="0"/>
      <w:marTop w:val="0"/>
      <w:marBottom w:val="0"/>
      <w:divBdr>
        <w:top w:val="none" w:sz="0" w:space="0" w:color="auto"/>
        <w:left w:val="none" w:sz="0" w:space="0" w:color="auto"/>
        <w:bottom w:val="none" w:sz="0" w:space="0" w:color="auto"/>
        <w:right w:val="none" w:sz="0" w:space="0" w:color="auto"/>
      </w:divBdr>
    </w:div>
    <w:div w:id="830561993">
      <w:bodyDiv w:val="1"/>
      <w:marLeft w:val="0"/>
      <w:marRight w:val="0"/>
      <w:marTop w:val="0"/>
      <w:marBottom w:val="0"/>
      <w:divBdr>
        <w:top w:val="none" w:sz="0" w:space="0" w:color="auto"/>
        <w:left w:val="none" w:sz="0" w:space="0" w:color="auto"/>
        <w:bottom w:val="none" w:sz="0" w:space="0" w:color="auto"/>
        <w:right w:val="none" w:sz="0" w:space="0" w:color="auto"/>
      </w:divBdr>
    </w:div>
    <w:div w:id="832255874">
      <w:bodyDiv w:val="1"/>
      <w:marLeft w:val="0"/>
      <w:marRight w:val="0"/>
      <w:marTop w:val="0"/>
      <w:marBottom w:val="0"/>
      <w:divBdr>
        <w:top w:val="none" w:sz="0" w:space="0" w:color="auto"/>
        <w:left w:val="none" w:sz="0" w:space="0" w:color="auto"/>
        <w:bottom w:val="none" w:sz="0" w:space="0" w:color="auto"/>
        <w:right w:val="none" w:sz="0" w:space="0" w:color="auto"/>
      </w:divBdr>
    </w:div>
    <w:div w:id="834416411">
      <w:bodyDiv w:val="1"/>
      <w:marLeft w:val="0"/>
      <w:marRight w:val="0"/>
      <w:marTop w:val="0"/>
      <w:marBottom w:val="0"/>
      <w:divBdr>
        <w:top w:val="none" w:sz="0" w:space="0" w:color="auto"/>
        <w:left w:val="none" w:sz="0" w:space="0" w:color="auto"/>
        <w:bottom w:val="none" w:sz="0" w:space="0" w:color="auto"/>
        <w:right w:val="none" w:sz="0" w:space="0" w:color="auto"/>
      </w:divBdr>
    </w:div>
    <w:div w:id="914778297">
      <w:bodyDiv w:val="1"/>
      <w:marLeft w:val="0"/>
      <w:marRight w:val="0"/>
      <w:marTop w:val="0"/>
      <w:marBottom w:val="0"/>
      <w:divBdr>
        <w:top w:val="none" w:sz="0" w:space="0" w:color="auto"/>
        <w:left w:val="none" w:sz="0" w:space="0" w:color="auto"/>
        <w:bottom w:val="none" w:sz="0" w:space="0" w:color="auto"/>
        <w:right w:val="none" w:sz="0" w:space="0" w:color="auto"/>
      </w:divBdr>
    </w:div>
    <w:div w:id="929505347">
      <w:bodyDiv w:val="1"/>
      <w:marLeft w:val="0"/>
      <w:marRight w:val="0"/>
      <w:marTop w:val="0"/>
      <w:marBottom w:val="0"/>
      <w:divBdr>
        <w:top w:val="none" w:sz="0" w:space="0" w:color="auto"/>
        <w:left w:val="none" w:sz="0" w:space="0" w:color="auto"/>
        <w:bottom w:val="none" w:sz="0" w:space="0" w:color="auto"/>
        <w:right w:val="none" w:sz="0" w:space="0" w:color="auto"/>
      </w:divBdr>
    </w:div>
    <w:div w:id="1015426363">
      <w:bodyDiv w:val="1"/>
      <w:marLeft w:val="0"/>
      <w:marRight w:val="0"/>
      <w:marTop w:val="0"/>
      <w:marBottom w:val="0"/>
      <w:divBdr>
        <w:top w:val="none" w:sz="0" w:space="0" w:color="auto"/>
        <w:left w:val="none" w:sz="0" w:space="0" w:color="auto"/>
        <w:bottom w:val="none" w:sz="0" w:space="0" w:color="auto"/>
        <w:right w:val="none" w:sz="0" w:space="0" w:color="auto"/>
      </w:divBdr>
    </w:div>
    <w:div w:id="1057821293">
      <w:bodyDiv w:val="1"/>
      <w:marLeft w:val="0"/>
      <w:marRight w:val="0"/>
      <w:marTop w:val="0"/>
      <w:marBottom w:val="0"/>
      <w:divBdr>
        <w:top w:val="none" w:sz="0" w:space="0" w:color="auto"/>
        <w:left w:val="none" w:sz="0" w:space="0" w:color="auto"/>
        <w:bottom w:val="none" w:sz="0" w:space="0" w:color="auto"/>
        <w:right w:val="none" w:sz="0" w:space="0" w:color="auto"/>
      </w:divBdr>
    </w:div>
    <w:div w:id="1061908278">
      <w:bodyDiv w:val="1"/>
      <w:marLeft w:val="0"/>
      <w:marRight w:val="0"/>
      <w:marTop w:val="0"/>
      <w:marBottom w:val="0"/>
      <w:divBdr>
        <w:top w:val="none" w:sz="0" w:space="0" w:color="auto"/>
        <w:left w:val="none" w:sz="0" w:space="0" w:color="auto"/>
        <w:bottom w:val="none" w:sz="0" w:space="0" w:color="auto"/>
        <w:right w:val="none" w:sz="0" w:space="0" w:color="auto"/>
      </w:divBdr>
    </w:div>
    <w:div w:id="1079862699">
      <w:bodyDiv w:val="1"/>
      <w:marLeft w:val="0"/>
      <w:marRight w:val="0"/>
      <w:marTop w:val="0"/>
      <w:marBottom w:val="0"/>
      <w:divBdr>
        <w:top w:val="none" w:sz="0" w:space="0" w:color="auto"/>
        <w:left w:val="none" w:sz="0" w:space="0" w:color="auto"/>
        <w:bottom w:val="none" w:sz="0" w:space="0" w:color="auto"/>
        <w:right w:val="none" w:sz="0" w:space="0" w:color="auto"/>
      </w:divBdr>
    </w:div>
    <w:div w:id="1084186698">
      <w:bodyDiv w:val="1"/>
      <w:marLeft w:val="0"/>
      <w:marRight w:val="0"/>
      <w:marTop w:val="0"/>
      <w:marBottom w:val="0"/>
      <w:divBdr>
        <w:top w:val="none" w:sz="0" w:space="0" w:color="auto"/>
        <w:left w:val="none" w:sz="0" w:space="0" w:color="auto"/>
        <w:bottom w:val="none" w:sz="0" w:space="0" w:color="auto"/>
        <w:right w:val="none" w:sz="0" w:space="0" w:color="auto"/>
      </w:divBdr>
    </w:div>
    <w:div w:id="1126856341">
      <w:bodyDiv w:val="1"/>
      <w:marLeft w:val="0"/>
      <w:marRight w:val="0"/>
      <w:marTop w:val="0"/>
      <w:marBottom w:val="0"/>
      <w:divBdr>
        <w:top w:val="none" w:sz="0" w:space="0" w:color="auto"/>
        <w:left w:val="none" w:sz="0" w:space="0" w:color="auto"/>
        <w:bottom w:val="none" w:sz="0" w:space="0" w:color="auto"/>
        <w:right w:val="none" w:sz="0" w:space="0" w:color="auto"/>
      </w:divBdr>
    </w:div>
    <w:div w:id="1247419251">
      <w:bodyDiv w:val="1"/>
      <w:marLeft w:val="0"/>
      <w:marRight w:val="0"/>
      <w:marTop w:val="0"/>
      <w:marBottom w:val="0"/>
      <w:divBdr>
        <w:top w:val="none" w:sz="0" w:space="0" w:color="auto"/>
        <w:left w:val="none" w:sz="0" w:space="0" w:color="auto"/>
        <w:bottom w:val="none" w:sz="0" w:space="0" w:color="auto"/>
        <w:right w:val="none" w:sz="0" w:space="0" w:color="auto"/>
      </w:divBdr>
    </w:div>
    <w:div w:id="1262030484">
      <w:bodyDiv w:val="1"/>
      <w:marLeft w:val="0"/>
      <w:marRight w:val="0"/>
      <w:marTop w:val="0"/>
      <w:marBottom w:val="0"/>
      <w:divBdr>
        <w:top w:val="none" w:sz="0" w:space="0" w:color="auto"/>
        <w:left w:val="none" w:sz="0" w:space="0" w:color="auto"/>
        <w:bottom w:val="none" w:sz="0" w:space="0" w:color="auto"/>
        <w:right w:val="none" w:sz="0" w:space="0" w:color="auto"/>
      </w:divBdr>
    </w:div>
    <w:div w:id="1427311258">
      <w:bodyDiv w:val="1"/>
      <w:marLeft w:val="0"/>
      <w:marRight w:val="0"/>
      <w:marTop w:val="0"/>
      <w:marBottom w:val="0"/>
      <w:divBdr>
        <w:top w:val="none" w:sz="0" w:space="0" w:color="auto"/>
        <w:left w:val="none" w:sz="0" w:space="0" w:color="auto"/>
        <w:bottom w:val="none" w:sz="0" w:space="0" w:color="auto"/>
        <w:right w:val="none" w:sz="0" w:space="0" w:color="auto"/>
      </w:divBdr>
    </w:div>
    <w:div w:id="1619726753">
      <w:bodyDiv w:val="1"/>
      <w:marLeft w:val="0"/>
      <w:marRight w:val="0"/>
      <w:marTop w:val="0"/>
      <w:marBottom w:val="0"/>
      <w:divBdr>
        <w:top w:val="none" w:sz="0" w:space="0" w:color="auto"/>
        <w:left w:val="none" w:sz="0" w:space="0" w:color="auto"/>
        <w:bottom w:val="none" w:sz="0" w:space="0" w:color="auto"/>
        <w:right w:val="none" w:sz="0" w:space="0" w:color="auto"/>
      </w:divBdr>
    </w:div>
    <w:div w:id="1654673393">
      <w:bodyDiv w:val="1"/>
      <w:marLeft w:val="0"/>
      <w:marRight w:val="0"/>
      <w:marTop w:val="0"/>
      <w:marBottom w:val="0"/>
      <w:divBdr>
        <w:top w:val="none" w:sz="0" w:space="0" w:color="auto"/>
        <w:left w:val="none" w:sz="0" w:space="0" w:color="auto"/>
        <w:bottom w:val="none" w:sz="0" w:space="0" w:color="auto"/>
        <w:right w:val="none" w:sz="0" w:space="0" w:color="auto"/>
      </w:divBdr>
    </w:div>
    <w:div w:id="1692564054">
      <w:bodyDiv w:val="1"/>
      <w:marLeft w:val="0"/>
      <w:marRight w:val="0"/>
      <w:marTop w:val="0"/>
      <w:marBottom w:val="0"/>
      <w:divBdr>
        <w:top w:val="none" w:sz="0" w:space="0" w:color="auto"/>
        <w:left w:val="none" w:sz="0" w:space="0" w:color="auto"/>
        <w:bottom w:val="none" w:sz="0" w:space="0" w:color="auto"/>
        <w:right w:val="none" w:sz="0" w:space="0" w:color="auto"/>
      </w:divBdr>
    </w:div>
    <w:div w:id="1887839169">
      <w:bodyDiv w:val="1"/>
      <w:marLeft w:val="0"/>
      <w:marRight w:val="0"/>
      <w:marTop w:val="0"/>
      <w:marBottom w:val="0"/>
      <w:divBdr>
        <w:top w:val="none" w:sz="0" w:space="0" w:color="auto"/>
        <w:left w:val="none" w:sz="0" w:space="0" w:color="auto"/>
        <w:bottom w:val="none" w:sz="0" w:space="0" w:color="auto"/>
        <w:right w:val="none" w:sz="0" w:space="0" w:color="auto"/>
      </w:divBdr>
    </w:div>
    <w:div w:id="1960717076">
      <w:bodyDiv w:val="1"/>
      <w:marLeft w:val="0"/>
      <w:marRight w:val="0"/>
      <w:marTop w:val="0"/>
      <w:marBottom w:val="0"/>
      <w:divBdr>
        <w:top w:val="none" w:sz="0" w:space="0" w:color="auto"/>
        <w:left w:val="none" w:sz="0" w:space="0" w:color="auto"/>
        <w:bottom w:val="none" w:sz="0" w:space="0" w:color="auto"/>
        <w:right w:val="none" w:sz="0" w:space="0" w:color="auto"/>
      </w:divBdr>
    </w:div>
    <w:div w:id="2030643347">
      <w:bodyDiv w:val="1"/>
      <w:marLeft w:val="0"/>
      <w:marRight w:val="0"/>
      <w:marTop w:val="0"/>
      <w:marBottom w:val="0"/>
      <w:divBdr>
        <w:top w:val="none" w:sz="0" w:space="0" w:color="auto"/>
        <w:left w:val="none" w:sz="0" w:space="0" w:color="auto"/>
        <w:bottom w:val="none" w:sz="0" w:space="0" w:color="auto"/>
        <w:right w:val="none" w:sz="0" w:space="0" w:color="auto"/>
      </w:divBdr>
    </w:div>
    <w:div w:id="2030718452">
      <w:bodyDiv w:val="1"/>
      <w:marLeft w:val="0"/>
      <w:marRight w:val="0"/>
      <w:marTop w:val="0"/>
      <w:marBottom w:val="0"/>
      <w:divBdr>
        <w:top w:val="none" w:sz="0" w:space="0" w:color="auto"/>
        <w:left w:val="none" w:sz="0" w:space="0" w:color="auto"/>
        <w:bottom w:val="none" w:sz="0" w:space="0" w:color="auto"/>
        <w:right w:val="none" w:sz="0" w:space="0" w:color="auto"/>
      </w:divBdr>
    </w:div>
    <w:div w:id="2086607255">
      <w:bodyDiv w:val="1"/>
      <w:marLeft w:val="0"/>
      <w:marRight w:val="0"/>
      <w:marTop w:val="0"/>
      <w:marBottom w:val="0"/>
      <w:divBdr>
        <w:top w:val="none" w:sz="0" w:space="0" w:color="auto"/>
        <w:left w:val="none" w:sz="0" w:space="0" w:color="auto"/>
        <w:bottom w:val="none" w:sz="0" w:space="0" w:color="auto"/>
        <w:right w:val="none" w:sz="0" w:space="0" w:color="auto"/>
      </w:divBdr>
    </w:div>
    <w:div w:id="211020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ma.europa.eu/documents/other/minimum-inhibitory-concentration-enmic.xlsxspo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21</TotalTime>
  <Pages>12</Pages>
  <Words>3485</Words>
  <Characters>21262</Characters>
  <Application>Microsoft Office Word</Application>
  <DocSecurity>0</DocSecurity>
  <Lines>177</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Sværke Hansen</dc:creator>
  <cp:keywords/>
  <dc:description>2026080385 +2026080485 - Nyt PI SPC_x000d_
</dc:description>
  <cp:lastModifiedBy>Camilla Sværke Hansen</cp:lastModifiedBy>
  <cp:revision>9</cp:revision>
  <cp:lastPrinted>2012-08-22T08:53:00Z</cp:lastPrinted>
  <dcterms:created xsi:type="dcterms:W3CDTF">2025-05-19T13:37:00Z</dcterms:created>
  <dcterms:modified xsi:type="dcterms:W3CDTF">2026-09-30T06:29:00Z</dcterms:modified>
</cp:coreProperties>
</file>