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A8D8C" w14:textId="77777777" w:rsidR="009260DE" w:rsidRPr="006A2898" w:rsidRDefault="0021526C" w:rsidP="009260DE">
      <w:pPr>
        <w:rPr>
          <w:sz w:val="24"/>
          <w:szCs w:val="24"/>
        </w:rPr>
      </w:pPr>
      <w:r w:rsidRPr="006A2898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4D22140E" wp14:editId="2F684E4E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6A2898">
        <w:rPr>
          <w:sz w:val="24"/>
          <w:szCs w:val="24"/>
        </w:rPr>
        <w:br w:type="textWrapping" w:clear="all"/>
      </w:r>
    </w:p>
    <w:p w14:paraId="2C9EDB0F" w14:textId="2E1E2E90" w:rsidR="009260DE" w:rsidRPr="0083270E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6A2898">
        <w:rPr>
          <w:b w:val="0"/>
          <w:szCs w:val="24"/>
          <w:lang w:eastAsia="en-US"/>
        </w:rPr>
        <w:tab/>
      </w:r>
      <w:r w:rsidR="005E496F">
        <w:rPr>
          <w:szCs w:val="24"/>
        </w:rPr>
        <w:t>10. juli 2024</w:t>
      </w:r>
    </w:p>
    <w:p w14:paraId="6546904F" w14:textId="77777777" w:rsidR="009260DE" w:rsidRPr="0083270E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5F1B19F0" w14:textId="77777777" w:rsidR="009260DE" w:rsidRPr="0083270E" w:rsidRDefault="009260DE" w:rsidP="009260DE">
      <w:pPr>
        <w:pStyle w:val="Titel"/>
        <w:jc w:val="left"/>
        <w:rPr>
          <w:b w:val="0"/>
          <w:szCs w:val="24"/>
        </w:rPr>
      </w:pPr>
    </w:p>
    <w:p w14:paraId="2DBEF3F7" w14:textId="77777777" w:rsidR="009260DE" w:rsidRPr="0083270E" w:rsidRDefault="009260DE" w:rsidP="009260DE">
      <w:pPr>
        <w:pStyle w:val="Titel"/>
        <w:jc w:val="left"/>
        <w:rPr>
          <w:b w:val="0"/>
          <w:szCs w:val="24"/>
        </w:rPr>
      </w:pPr>
    </w:p>
    <w:p w14:paraId="11A2142A" w14:textId="77777777" w:rsidR="009260DE" w:rsidRPr="0083270E" w:rsidRDefault="009260DE" w:rsidP="009260DE">
      <w:pPr>
        <w:jc w:val="center"/>
        <w:rPr>
          <w:b/>
          <w:sz w:val="24"/>
          <w:szCs w:val="24"/>
        </w:rPr>
      </w:pPr>
      <w:r w:rsidRPr="0083270E">
        <w:rPr>
          <w:b/>
          <w:sz w:val="24"/>
          <w:szCs w:val="24"/>
        </w:rPr>
        <w:t>PRODUKTRESUMÉ</w:t>
      </w:r>
    </w:p>
    <w:p w14:paraId="11EC4309" w14:textId="77777777" w:rsidR="009260DE" w:rsidRPr="0083270E" w:rsidRDefault="009260DE" w:rsidP="009260DE">
      <w:pPr>
        <w:jc w:val="center"/>
        <w:rPr>
          <w:b/>
          <w:sz w:val="24"/>
          <w:szCs w:val="24"/>
        </w:rPr>
      </w:pPr>
    </w:p>
    <w:p w14:paraId="2FD47774" w14:textId="77777777" w:rsidR="009260DE" w:rsidRPr="0083270E" w:rsidRDefault="009260DE" w:rsidP="009260DE">
      <w:pPr>
        <w:jc w:val="center"/>
        <w:rPr>
          <w:b/>
          <w:sz w:val="24"/>
          <w:szCs w:val="24"/>
        </w:rPr>
      </w:pPr>
      <w:r w:rsidRPr="0083270E">
        <w:rPr>
          <w:b/>
          <w:sz w:val="24"/>
          <w:szCs w:val="24"/>
        </w:rPr>
        <w:t>for</w:t>
      </w:r>
    </w:p>
    <w:p w14:paraId="04F7660D" w14:textId="77777777" w:rsidR="000B058C" w:rsidRPr="0083270E" w:rsidRDefault="000B058C" w:rsidP="009260DE">
      <w:pPr>
        <w:jc w:val="center"/>
        <w:rPr>
          <w:b/>
          <w:sz w:val="24"/>
          <w:szCs w:val="24"/>
        </w:rPr>
      </w:pPr>
    </w:p>
    <w:p w14:paraId="2212AA16" w14:textId="2537625F" w:rsidR="009260DE" w:rsidRPr="006A2898" w:rsidRDefault="009A506D" w:rsidP="009260DE">
      <w:pPr>
        <w:jc w:val="center"/>
        <w:rPr>
          <w:b/>
          <w:sz w:val="24"/>
          <w:szCs w:val="24"/>
        </w:rPr>
      </w:pPr>
      <w:proofErr w:type="spellStart"/>
      <w:r w:rsidRPr="006A2898">
        <w:rPr>
          <w:b/>
          <w:sz w:val="24"/>
          <w:szCs w:val="24"/>
        </w:rPr>
        <w:t>Ampicillin</w:t>
      </w:r>
      <w:proofErr w:type="spellEnd"/>
      <w:r w:rsidRPr="006A2898">
        <w:rPr>
          <w:b/>
          <w:sz w:val="24"/>
          <w:szCs w:val="24"/>
        </w:rPr>
        <w:t>/</w:t>
      </w:r>
      <w:proofErr w:type="spellStart"/>
      <w:r w:rsidRPr="006A2898">
        <w:rPr>
          <w:b/>
          <w:sz w:val="24"/>
          <w:szCs w:val="24"/>
        </w:rPr>
        <w:t>Sulbactam</w:t>
      </w:r>
      <w:proofErr w:type="spellEnd"/>
      <w:r w:rsidRPr="006A2898">
        <w:rPr>
          <w:b/>
          <w:sz w:val="24"/>
          <w:szCs w:val="24"/>
        </w:rPr>
        <w:t xml:space="preserve"> "</w:t>
      </w:r>
      <w:proofErr w:type="spellStart"/>
      <w:r w:rsidRPr="006A2898">
        <w:rPr>
          <w:b/>
          <w:sz w:val="24"/>
          <w:szCs w:val="24"/>
        </w:rPr>
        <w:t>Aptapharma</w:t>
      </w:r>
      <w:proofErr w:type="spellEnd"/>
      <w:r w:rsidRPr="006A2898">
        <w:rPr>
          <w:b/>
          <w:sz w:val="24"/>
          <w:szCs w:val="24"/>
        </w:rPr>
        <w:t>", pulver til injektions-/infusionsvæske, opløsning</w:t>
      </w:r>
    </w:p>
    <w:p w14:paraId="4113CBA9" w14:textId="77777777" w:rsidR="009260DE" w:rsidRPr="006A2898" w:rsidRDefault="009260DE" w:rsidP="009260DE">
      <w:pPr>
        <w:jc w:val="both"/>
        <w:rPr>
          <w:sz w:val="24"/>
          <w:szCs w:val="24"/>
        </w:rPr>
      </w:pPr>
    </w:p>
    <w:p w14:paraId="2F78D8AE" w14:textId="77777777" w:rsidR="009260DE" w:rsidRPr="006A2898" w:rsidRDefault="009260DE" w:rsidP="009260DE">
      <w:pPr>
        <w:jc w:val="both"/>
        <w:rPr>
          <w:sz w:val="24"/>
          <w:szCs w:val="24"/>
        </w:rPr>
      </w:pPr>
    </w:p>
    <w:p w14:paraId="4A1D4D39" w14:textId="77777777" w:rsidR="009260DE" w:rsidRPr="0083270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3270E">
        <w:rPr>
          <w:b/>
          <w:sz w:val="24"/>
          <w:szCs w:val="24"/>
        </w:rPr>
        <w:t>0.</w:t>
      </w:r>
      <w:r w:rsidRPr="0083270E">
        <w:rPr>
          <w:b/>
          <w:sz w:val="24"/>
          <w:szCs w:val="24"/>
        </w:rPr>
        <w:tab/>
        <w:t>D.SP.NR.</w:t>
      </w:r>
    </w:p>
    <w:p w14:paraId="61285E85" w14:textId="6B1E4215" w:rsidR="009260DE" w:rsidRPr="006A2898" w:rsidRDefault="009A506D" w:rsidP="009260DE">
      <w:pPr>
        <w:tabs>
          <w:tab w:val="left" w:pos="851"/>
        </w:tabs>
        <w:ind w:left="851"/>
        <w:rPr>
          <w:sz w:val="24"/>
          <w:szCs w:val="24"/>
        </w:rPr>
      </w:pPr>
      <w:r w:rsidRPr="006A2898">
        <w:rPr>
          <w:sz w:val="24"/>
          <w:szCs w:val="24"/>
        </w:rPr>
        <w:t>33651</w:t>
      </w:r>
    </w:p>
    <w:p w14:paraId="64BEF3D9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9DBC61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1.</w:t>
      </w:r>
      <w:r w:rsidRPr="006A2898">
        <w:rPr>
          <w:b/>
          <w:sz w:val="24"/>
          <w:szCs w:val="24"/>
        </w:rPr>
        <w:tab/>
        <w:t>LÆGEMIDLETS NAVN</w:t>
      </w:r>
    </w:p>
    <w:p w14:paraId="1A5081F9" w14:textId="0C84ED05" w:rsidR="009260DE" w:rsidRPr="006A2898" w:rsidRDefault="009A506D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>/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"</w:t>
      </w:r>
      <w:proofErr w:type="spellStart"/>
      <w:r w:rsidRPr="006A2898">
        <w:rPr>
          <w:sz w:val="24"/>
          <w:szCs w:val="24"/>
        </w:rPr>
        <w:t>Aptapharma</w:t>
      </w:r>
      <w:proofErr w:type="spellEnd"/>
      <w:r w:rsidRPr="006A2898">
        <w:rPr>
          <w:sz w:val="24"/>
          <w:szCs w:val="24"/>
        </w:rPr>
        <w:t>"</w:t>
      </w:r>
    </w:p>
    <w:p w14:paraId="1D96F1CB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2C6C566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2.</w:t>
      </w:r>
      <w:r w:rsidRPr="006A2898">
        <w:rPr>
          <w:b/>
          <w:sz w:val="24"/>
          <w:szCs w:val="24"/>
        </w:rPr>
        <w:tab/>
        <w:t>KVALITATIV OG KVANTITATIV SAMMENSÆTNING</w:t>
      </w:r>
    </w:p>
    <w:p w14:paraId="75C4D740" w14:textId="77777777" w:rsidR="006A2898" w:rsidRDefault="006A2898" w:rsidP="006E7021">
      <w:pPr>
        <w:ind w:left="851"/>
        <w:rPr>
          <w:sz w:val="24"/>
          <w:szCs w:val="24"/>
        </w:rPr>
      </w:pPr>
    </w:p>
    <w:p w14:paraId="041C31A8" w14:textId="08D1FD3A" w:rsidR="006E7021" w:rsidRPr="006A2898" w:rsidRDefault="006A2898" w:rsidP="006E7021">
      <w:pPr>
        <w:ind w:left="851"/>
        <w:rPr>
          <w:i/>
          <w:sz w:val="24"/>
          <w:szCs w:val="24"/>
          <w:u w:val="single"/>
        </w:rPr>
      </w:pPr>
      <w:proofErr w:type="spellStart"/>
      <w:r>
        <w:rPr>
          <w:i/>
          <w:sz w:val="24"/>
          <w:szCs w:val="24"/>
          <w:u w:val="single"/>
        </w:rPr>
        <w:t>Ampicillin</w:t>
      </w:r>
      <w:proofErr w:type="spellEnd"/>
      <w:r>
        <w:rPr>
          <w:i/>
          <w:sz w:val="24"/>
          <w:szCs w:val="24"/>
          <w:u w:val="single"/>
        </w:rPr>
        <w:t>/</w:t>
      </w:r>
      <w:proofErr w:type="spellStart"/>
      <w:r>
        <w:rPr>
          <w:i/>
          <w:sz w:val="24"/>
          <w:szCs w:val="24"/>
          <w:u w:val="single"/>
        </w:rPr>
        <w:t>Sulbactam</w:t>
      </w:r>
      <w:proofErr w:type="spellEnd"/>
      <w:r>
        <w:rPr>
          <w:i/>
          <w:sz w:val="24"/>
          <w:szCs w:val="24"/>
          <w:u w:val="single"/>
        </w:rPr>
        <w:t xml:space="preserve"> "</w:t>
      </w:r>
      <w:proofErr w:type="spellStart"/>
      <w:r>
        <w:rPr>
          <w:i/>
          <w:sz w:val="24"/>
          <w:szCs w:val="24"/>
          <w:u w:val="single"/>
        </w:rPr>
        <w:t>Aptapharma</w:t>
      </w:r>
      <w:proofErr w:type="spellEnd"/>
      <w:r>
        <w:rPr>
          <w:i/>
          <w:sz w:val="24"/>
          <w:szCs w:val="24"/>
          <w:u w:val="single"/>
        </w:rPr>
        <w:t>"</w:t>
      </w:r>
      <w:r w:rsidR="006E7021" w:rsidRPr="006A2898">
        <w:rPr>
          <w:i/>
          <w:sz w:val="24"/>
          <w:szCs w:val="24"/>
          <w:u w:val="single"/>
        </w:rPr>
        <w:t xml:space="preserve"> 1 g/0,5 g pulver til injektions-/infusionsvæske, opløsning</w:t>
      </w:r>
    </w:p>
    <w:p w14:paraId="48A9B526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Hvert hætteglas indeholder 1,0 g </w:t>
      </w:r>
      <w:bookmarkStart w:id="0" w:name="_Hlk171492784"/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(som </w:t>
      </w:r>
      <w:proofErr w:type="spellStart"/>
      <w:r w:rsidRPr="006A2898">
        <w:rPr>
          <w:sz w:val="24"/>
          <w:szCs w:val="24"/>
        </w:rPr>
        <w:t>ampicillinnatrium</w:t>
      </w:r>
      <w:proofErr w:type="spellEnd"/>
      <w:r w:rsidRPr="006A2898">
        <w:rPr>
          <w:sz w:val="24"/>
          <w:szCs w:val="24"/>
        </w:rPr>
        <w:t>)</w:t>
      </w:r>
      <w:bookmarkEnd w:id="0"/>
      <w:r w:rsidRPr="006A2898">
        <w:rPr>
          <w:sz w:val="24"/>
          <w:szCs w:val="24"/>
        </w:rPr>
        <w:t xml:space="preserve"> og 0,5 g </w:t>
      </w:r>
      <w:bookmarkStart w:id="1" w:name="_Hlk171492798"/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(som </w:t>
      </w:r>
      <w:proofErr w:type="spellStart"/>
      <w:r w:rsidRPr="006A2898">
        <w:rPr>
          <w:sz w:val="24"/>
          <w:szCs w:val="24"/>
        </w:rPr>
        <w:t>sulbactamnatrium</w:t>
      </w:r>
      <w:proofErr w:type="spellEnd"/>
      <w:r w:rsidRPr="006A2898">
        <w:rPr>
          <w:sz w:val="24"/>
          <w:szCs w:val="24"/>
        </w:rPr>
        <w:t>)</w:t>
      </w:r>
      <w:bookmarkEnd w:id="1"/>
      <w:r w:rsidRPr="006A2898">
        <w:rPr>
          <w:sz w:val="24"/>
          <w:szCs w:val="24"/>
        </w:rPr>
        <w:t xml:space="preserve">. </w:t>
      </w:r>
    </w:p>
    <w:p w14:paraId="319758B5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1632F2CB" w14:textId="5795A374" w:rsidR="006E7021" w:rsidRPr="006A2898" w:rsidRDefault="006A2898" w:rsidP="006E7021">
      <w:pPr>
        <w:ind w:left="851"/>
        <w:rPr>
          <w:i/>
          <w:sz w:val="24"/>
          <w:szCs w:val="24"/>
          <w:u w:val="single"/>
        </w:rPr>
      </w:pPr>
      <w:proofErr w:type="spellStart"/>
      <w:r>
        <w:rPr>
          <w:i/>
          <w:sz w:val="24"/>
          <w:szCs w:val="24"/>
          <w:u w:val="single"/>
        </w:rPr>
        <w:t>Ampicillin</w:t>
      </w:r>
      <w:proofErr w:type="spellEnd"/>
      <w:r>
        <w:rPr>
          <w:i/>
          <w:sz w:val="24"/>
          <w:szCs w:val="24"/>
          <w:u w:val="single"/>
        </w:rPr>
        <w:t>/</w:t>
      </w:r>
      <w:proofErr w:type="spellStart"/>
      <w:r>
        <w:rPr>
          <w:i/>
          <w:sz w:val="24"/>
          <w:szCs w:val="24"/>
          <w:u w:val="single"/>
        </w:rPr>
        <w:t>Sulbactam</w:t>
      </w:r>
      <w:proofErr w:type="spellEnd"/>
      <w:r>
        <w:rPr>
          <w:i/>
          <w:sz w:val="24"/>
          <w:szCs w:val="24"/>
          <w:u w:val="single"/>
        </w:rPr>
        <w:t xml:space="preserve"> "</w:t>
      </w:r>
      <w:proofErr w:type="spellStart"/>
      <w:r>
        <w:rPr>
          <w:i/>
          <w:sz w:val="24"/>
          <w:szCs w:val="24"/>
          <w:u w:val="single"/>
        </w:rPr>
        <w:t>Aptapharma</w:t>
      </w:r>
      <w:proofErr w:type="spellEnd"/>
      <w:r>
        <w:rPr>
          <w:i/>
          <w:sz w:val="24"/>
          <w:szCs w:val="24"/>
          <w:u w:val="single"/>
        </w:rPr>
        <w:t>"</w:t>
      </w:r>
      <w:r w:rsidR="006E7021" w:rsidRPr="006A2898">
        <w:rPr>
          <w:i/>
          <w:sz w:val="24"/>
          <w:szCs w:val="24"/>
          <w:u w:val="single"/>
        </w:rPr>
        <w:t xml:space="preserve"> 2 g/1 g pulver til injektions-/infusionsvæske, opløsning</w:t>
      </w:r>
    </w:p>
    <w:p w14:paraId="3B9923D2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Hvert hætteglas indeholder 2,0 g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(som </w:t>
      </w:r>
      <w:proofErr w:type="spellStart"/>
      <w:r w:rsidRPr="006A2898">
        <w:rPr>
          <w:sz w:val="24"/>
          <w:szCs w:val="24"/>
        </w:rPr>
        <w:t>ampicillinnatrium</w:t>
      </w:r>
      <w:proofErr w:type="spellEnd"/>
      <w:r w:rsidRPr="006A2898">
        <w:rPr>
          <w:sz w:val="24"/>
          <w:szCs w:val="24"/>
        </w:rPr>
        <w:t xml:space="preserve">) og 1 g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(som </w:t>
      </w:r>
      <w:proofErr w:type="spellStart"/>
      <w:r w:rsidRPr="006A2898">
        <w:rPr>
          <w:sz w:val="24"/>
          <w:szCs w:val="24"/>
        </w:rPr>
        <w:t>sulbactamnatrium</w:t>
      </w:r>
      <w:proofErr w:type="spellEnd"/>
      <w:r w:rsidRPr="006A2898">
        <w:rPr>
          <w:sz w:val="24"/>
          <w:szCs w:val="24"/>
        </w:rPr>
        <w:t xml:space="preserve">). </w:t>
      </w:r>
    </w:p>
    <w:p w14:paraId="7D001377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06F7B6D1" w14:textId="77777777" w:rsidR="006E7021" w:rsidRPr="006A2898" w:rsidRDefault="006E7021" w:rsidP="006E7021">
      <w:pPr>
        <w:ind w:left="851"/>
        <w:rPr>
          <w:sz w:val="24"/>
          <w:szCs w:val="24"/>
          <w:u w:val="single"/>
        </w:rPr>
      </w:pPr>
      <w:r w:rsidRPr="006A2898">
        <w:rPr>
          <w:sz w:val="24"/>
          <w:szCs w:val="24"/>
          <w:u w:val="single"/>
        </w:rPr>
        <w:t>Hjælpestoffer, som behandleren skal være opmærksom på</w:t>
      </w:r>
    </w:p>
    <w:p w14:paraId="682D29B2" w14:textId="4D4DD2A6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Hvert hætteglas med </w:t>
      </w:r>
      <w:proofErr w:type="spellStart"/>
      <w:r w:rsidR="006A2898">
        <w:rPr>
          <w:sz w:val="24"/>
          <w:szCs w:val="24"/>
        </w:rPr>
        <w:t>Ampicillin</w:t>
      </w:r>
      <w:proofErr w:type="spellEnd"/>
      <w:r w:rsidR="006A2898">
        <w:rPr>
          <w:sz w:val="24"/>
          <w:szCs w:val="24"/>
        </w:rPr>
        <w:t>/</w:t>
      </w:r>
      <w:proofErr w:type="spellStart"/>
      <w:r w:rsidR="006A2898">
        <w:rPr>
          <w:sz w:val="24"/>
          <w:szCs w:val="24"/>
        </w:rPr>
        <w:t>Sulbactam</w:t>
      </w:r>
      <w:proofErr w:type="spellEnd"/>
      <w:r w:rsidR="006A2898">
        <w:rPr>
          <w:sz w:val="24"/>
          <w:szCs w:val="24"/>
        </w:rPr>
        <w:t xml:space="preserve"> "</w:t>
      </w:r>
      <w:proofErr w:type="spellStart"/>
      <w:r w:rsidR="006A2898">
        <w:rPr>
          <w:sz w:val="24"/>
          <w:szCs w:val="24"/>
        </w:rPr>
        <w:t>Aptapharma</w:t>
      </w:r>
      <w:proofErr w:type="spellEnd"/>
      <w:r w:rsidR="006A2898">
        <w:rPr>
          <w:sz w:val="24"/>
          <w:szCs w:val="24"/>
        </w:rPr>
        <w:t>"</w:t>
      </w:r>
      <w:r w:rsidRPr="006A2898">
        <w:rPr>
          <w:sz w:val="24"/>
          <w:szCs w:val="24"/>
        </w:rPr>
        <w:t xml:space="preserve"> 1 g/0,5 g pulver til injektions-/infusionsvæske, opløsning, indeholder 115 mg (5 mmol) natrium.</w:t>
      </w:r>
    </w:p>
    <w:p w14:paraId="27A56D3A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105C2290" w14:textId="648F9C3C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Hvert hætteglas med </w:t>
      </w:r>
      <w:proofErr w:type="spellStart"/>
      <w:r w:rsidR="006A2898">
        <w:rPr>
          <w:sz w:val="24"/>
          <w:szCs w:val="24"/>
        </w:rPr>
        <w:t>Ampicillin</w:t>
      </w:r>
      <w:proofErr w:type="spellEnd"/>
      <w:r w:rsidR="006A2898">
        <w:rPr>
          <w:sz w:val="24"/>
          <w:szCs w:val="24"/>
        </w:rPr>
        <w:t>/</w:t>
      </w:r>
      <w:proofErr w:type="spellStart"/>
      <w:r w:rsidR="006A2898">
        <w:rPr>
          <w:sz w:val="24"/>
          <w:szCs w:val="24"/>
        </w:rPr>
        <w:t>Sulbactam</w:t>
      </w:r>
      <w:proofErr w:type="spellEnd"/>
      <w:r w:rsidR="006A2898">
        <w:rPr>
          <w:sz w:val="24"/>
          <w:szCs w:val="24"/>
        </w:rPr>
        <w:t xml:space="preserve"> "</w:t>
      </w:r>
      <w:proofErr w:type="spellStart"/>
      <w:r w:rsidR="006A2898">
        <w:rPr>
          <w:sz w:val="24"/>
          <w:szCs w:val="24"/>
        </w:rPr>
        <w:t>Aptapharma</w:t>
      </w:r>
      <w:proofErr w:type="spellEnd"/>
      <w:r w:rsidR="006A2898">
        <w:rPr>
          <w:sz w:val="24"/>
          <w:szCs w:val="24"/>
        </w:rPr>
        <w:t>"</w:t>
      </w:r>
      <w:r w:rsidRPr="006A2898">
        <w:rPr>
          <w:sz w:val="24"/>
          <w:szCs w:val="24"/>
        </w:rPr>
        <w:t xml:space="preserve"> 2 g/1 g pulver til injektions-/infusionsvæske, opløsning, indeholder 230 mg (10 mmol) natrium.</w:t>
      </w:r>
    </w:p>
    <w:p w14:paraId="39A6B5A5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4B9351C8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Alle hjælpestoffer er anført under pkt. 6.1.</w:t>
      </w:r>
    </w:p>
    <w:p w14:paraId="48E9D5E4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BF64D8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3.</w:t>
      </w:r>
      <w:r w:rsidRPr="006A2898">
        <w:rPr>
          <w:b/>
          <w:sz w:val="24"/>
          <w:szCs w:val="24"/>
        </w:rPr>
        <w:tab/>
        <w:t>LÆGEMIDDELFORM</w:t>
      </w:r>
    </w:p>
    <w:p w14:paraId="32BD2758" w14:textId="74698C53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Pulver til injektions-/infusionsvæske, opløsning</w:t>
      </w:r>
    </w:p>
    <w:p w14:paraId="1D9B1770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61DEED91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Hvidt til råhvidt krystallinsk pulver.</w:t>
      </w:r>
    </w:p>
    <w:p w14:paraId="23B91257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015DB7" w14:textId="40CA3720" w:rsidR="00A20A4C" w:rsidRDefault="00A20A4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B19C0C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74DB3E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4.</w:t>
      </w:r>
      <w:r w:rsidRPr="006A2898">
        <w:rPr>
          <w:b/>
          <w:sz w:val="24"/>
          <w:szCs w:val="24"/>
        </w:rPr>
        <w:tab/>
        <w:t>KLINISKE OPLYSNINGER</w:t>
      </w:r>
    </w:p>
    <w:p w14:paraId="4F0BC857" w14:textId="77777777" w:rsidR="009260DE" w:rsidRPr="006A2898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1211A440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6A2898">
        <w:rPr>
          <w:b/>
          <w:sz w:val="24"/>
          <w:szCs w:val="24"/>
        </w:rPr>
        <w:t>4.1</w:t>
      </w:r>
      <w:r w:rsidRPr="006A2898">
        <w:rPr>
          <w:b/>
          <w:sz w:val="24"/>
          <w:szCs w:val="24"/>
        </w:rPr>
        <w:tab/>
        <w:t>Terapeutiske indikationer</w:t>
      </w:r>
    </w:p>
    <w:p w14:paraId="15289B54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Infektioner forårsaget af følsomme mikroorganismer i de følgende tilfælde:</w:t>
      </w:r>
    </w:p>
    <w:p w14:paraId="51DB953F" w14:textId="77777777" w:rsidR="006E7021" w:rsidRPr="0083270E" w:rsidRDefault="006E7021" w:rsidP="006A2898">
      <w:pPr>
        <w:pStyle w:val="Listeafsnit"/>
        <w:numPr>
          <w:ilvl w:val="0"/>
          <w:numId w:val="8"/>
        </w:numPr>
        <w:spacing w:line="240" w:lineRule="auto"/>
        <w:ind w:left="1276" w:hanging="425"/>
        <w:rPr>
          <w:sz w:val="24"/>
          <w:szCs w:val="24"/>
          <w:lang w:val="da-DK"/>
        </w:rPr>
      </w:pPr>
      <w:r w:rsidRPr="0083270E">
        <w:rPr>
          <w:sz w:val="24"/>
          <w:szCs w:val="24"/>
          <w:lang w:val="da-DK"/>
        </w:rPr>
        <w:t xml:space="preserve">øvre og nedre luftvejsinfektioner (herunder bihulebetændelse, </w:t>
      </w:r>
      <w:proofErr w:type="spellStart"/>
      <w:r w:rsidRPr="0083270E">
        <w:rPr>
          <w:sz w:val="24"/>
          <w:szCs w:val="24"/>
          <w:lang w:val="da-DK"/>
        </w:rPr>
        <w:t>otitis</w:t>
      </w:r>
      <w:proofErr w:type="spellEnd"/>
      <w:r w:rsidRPr="0083270E">
        <w:rPr>
          <w:sz w:val="24"/>
          <w:szCs w:val="24"/>
          <w:lang w:val="da-DK"/>
        </w:rPr>
        <w:t xml:space="preserve"> media, </w:t>
      </w:r>
      <w:proofErr w:type="spellStart"/>
      <w:r w:rsidRPr="0083270E">
        <w:rPr>
          <w:sz w:val="24"/>
          <w:szCs w:val="24"/>
          <w:lang w:val="da-DK"/>
        </w:rPr>
        <w:t>epiglottitis</w:t>
      </w:r>
      <w:proofErr w:type="spellEnd"/>
      <w:r w:rsidRPr="0083270E">
        <w:rPr>
          <w:sz w:val="24"/>
          <w:szCs w:val="24"/>
          <w:lang w:val="da-DK"/>
        </w:rPr>
        <w:t>, bakteriel pneumoni);</w:t>
      </w:r>
    </w:p>
    <w:p w14:paraId="6FF96069" w14:textId="77777777" w:rsidR="006E7021" w:rsidRPr="006A2898" w:rsidRDefault="006E7021" w:rsidP="006A2898">
      <w:pPr>
        <w:pStyle w:val="Listeafsnit"/>
        <w:numPr>
          <w:ilvl w:val="0"/>
          <w:numId w:val="8"/>
        </w:numPr>
        <w:spacing w:line="240" w:lineRule="auto"/>
        <w:ind w:left="1276" w:hanging="425"/>
        <w:rPr>
          <w:sz w:val="24"/>
          <w:szCs w:val="24"/>
        </w:rPr>
      </w:pPr>
      <w:proofErr w:type="spellStart"/>
      <w:r w:rsidRPr="006A2898">
        <w:rPr>
          <w:sz w:val="24"/>
          <w:szCs w:val="24"/>
        </w:rPr>
        <w:t>urinvejsinfektioner</w:t>
      </w:r>
      <w:proofErr w:type="spellEnd"/>
      <w:r w:rsidRPr="006A2898">
        <w:rPr>
          <w:sz w:val="24"/>
          <w:szCs w:val="24"/>
        </w:rPr>
        <w:t xml:space="preserve"> og </w:t>
      </w:r>
      <w:proofErr w:type="spellStart"/>
      <w:r w:rsidRPr="006A2898">
        <w:rPr>
          <w:sz w:val="24"/>
          <w:szCs w:val="24"/>
        </w:rPr>
        <w:t>pyelonefritis</w:t>
      </w:r>
      <w:proofErr w:type="spellEnd"/>
      <w:r w:rsidRPr="006A2898">
        <w:rPr>
          <w:sz w:val="24"/>
          <w:szCs w:val="24"/>
        </w:rPr>
        <w:t xml:space="preserve">; </w:t>
      </w:r>
    </w:p>
    <w:p w14:paraId="4CF483C5" w14:textId="77777777" w:rsidR="006E7021" w:rsidRPr="0083270E" w:rsidRDefault="006E7021" w:rsidP="006A2898">
      <w:pPr>
        <w:pStyle w:val="Listeafsnit"/>
        <w:numPr>
          <w:ilvl w:val="0"/>
          <w:numId w:val="8"/>
        </w:numPr>
        <w:spacing w:line="240" w:lineRule="auto"/>
        <w:ind w:left="1276" w:hanging="425"/>
        <w:rPr>
          <w:sz w:val="24"/>
          <w:szCs w:val="24"/>
          <w:lang w:val="da-DK"/>
        </w:rPr>
      </w:pPr>
      <w:proofErr w:type="spellStart"/>
      <w:r w:rsidRPr="0083270E">
        <w:rPr>
          <w:sz w:val="24"/>
          <w:szCs w:val="24"/>
          <w:lang w:val="da-DK"/>
        </w:rPr>
        <w:t>intraabdominale</w:t>
      </w:r>
      <w:proofErr w:type="spellEnd"/>
      <w:r w:rsidRPr="0083270E">
        <w:rPr>
          <w:sz w:val="24"/>
          <w:szCs w:val="24"/>
          <w:lang w:val="da-DK"/>
        </w:rPr>
        <w:t xml:space="preserve"> infektioner (herunder </w:t>
      </w:r>
      <w:proofErr w:type="spellStart"/>
      <w:r w:rsidRPr="0083270E">
        <w:rPr>
          <w:sz w:val="24"/>
          <w:szCs w:val="24"/>
          <w:lang w:val="da-DK"/>
        </w:rPr>
        <w:t>peritonitis</w:t>
      </w:r>
      <w:proofErr w:type="spellEnd"/>
      <w:r w:rsidRPr="0083270E">
        <w:rPr>
          <w:sz w:val="24"/>
          <w:szCs w:val="24"/>
          <w:lang w:val="da-DK"/>
        </w:rPr>
        <w:t>), gynækologiske infektioner (</w:t>
      </w:r>
      <w:proofErr w:type="spellStart"/>
      <w:r w:rsidRPr="0083270E">
        <w:rPr>
          <w:sz w:val="24"/>
          <w:szCs w:val="24"/>
          <w:lang w:val="da-DK"/>
        </w:rPr>
        <w:t>cholecystitis</w:t>
      </w:r>
      <w:proofErr w:type="spellEnd"/>
      <w:r w:rsidRPr="0083270E">
        <w:rPr>
          <w:sz w:val="24"/>
          <w:szCs w:val="24"/>
          <w:lang w:val="da-DK"/>
        </w:rPr>
        <w:t xml:space="preserve">, </w:t>
      </w:r>
      <w:proofErr w:type="spellStart"/>
      <w:r w:rsidRPr="0083270E">
        <w:rPr>
          <w:sz w:val="24"/>
          <w:szCs w:val="24"/>
          <w:lang w:val="da-DK"/>
        </w:rPr>
        <w:t>endometritis</w:t>
      </w:r>
      <w:proofErr w:type="spellEnd"/>
      <w:r w:rsidRPr="0083270E">
        <w:rPr>
          <w:sz w:val="24"/>
          <w:szCs w:val="24"/>
          <w:lang w:val="da-DK"/>
        </w:rPr>
        <w:t xml:space="preserve"> og bækkencellulitis); </w:t>
      </w:r>
    </w:p>
    <w:p w14:paraId="5B6FFE7F" w14:textId="77777777" w:rsidR="006E7021" w:rsidRPr="006A2898" w:rsidRDefault="006E7021" w:rsidP="006A2898">
      <w:pPr>
        <w:pStyle w:val="Listeafsnit"/>
        <w:numPr>
          <w:ilvl w:val="0"/>
          <w:numId w:val="8"/>
        </w:numPr>
        <w:spacing w:line="240" w:lineRule="auto"/>
        <w:ind w:left="1276" w:hanging="425"/>
        <w:rPr>
          <w:sz w:val="24"/>
          <w:szCs w:val="24"/>
        </w:rPr>
      </w:pPr>
      <w:proofErr w:type="spellStart"/>
      <w:r w:rsidRPr="006A2898">
        <w:rPr>
          <w:sz w:val="24"/>
          <w:szCs w:val="24"/>
        </w:rPr>
        <w:t>hud</w:t>
      </w:r>
      <w:proofErr w:type="spellEnd"/>
      <w:r w:rsidRPr="006A2898">
        <w:rPr>
          <w:sz w:val="24"/>
          <w:szCs w:val="24"/>
        </w:rPr>
        <w:t xml:space="preserve">- og </w:t>
      </w:r>
      <w:proofErr w:type="spellStart"/>
      <w:r w:rsidRPr="006A2898">
        <w:rPr>
          <w:sz w:val="24"/>
          <w:szCs w:val="24"/>
        </w:rPr>
        <w:t>bløddelsinfektioner</w:t>
      </w:r>
      <w:proofErr w:type="spellEnd"/>
      <w:r w:rsidRPr="006A2898">
        <w:rPr>
          <w:sz w:val="24"/>
          <w:szCs w:val="24"/>
        </w:rPr>
        <w:t xml:space="preserve">; </w:t>
      </w:r>
    </w:p>
    <w:p w14:paraId="7283377C" w14:textId="77777777" w:rsidR="006E7021" w:rsidRPr="0083270E" w:rsidRDefault="006E7021" w:rsidP="006A2898">
      <w:pPr>
        <w:pStyle w:val="Listeafsnit"/>
        <w:numPr>
          <w:ilvl w:val="0"/>
          <w:numId w:val="8"/>
        </w:numPr>
        <w:spacing w:line="240" w:lineRule="auto"/>
        <w:ind w:left="1276" w:hanging="425"/>
        <w:rPr>
          <w:sz w:val="24"/>
          <w:szCs w:val="24"/>
          <w:lang w:val="da-DK"/>
        </w:rPr>
      </w:pPr>
      <w:r w:rsidRPr="0083270E">
        <w:rPr>
          <w:sz w:val="24"/>
          <w:szCs w:val="24"/>
          <w:lang w:val="da-DK"/>
        </w:rPr>
        <w:t xml:space="preserve">infektioner i knogler og led; </w:t>
      </w:r>
    </w:p>
    <w:p w14:paraId="2EF478B9" w14:textId="77777777" w:rsidR="006E7021" w:rsidRPr="006A2898" w:rsidRDefault="006E7021" w:rsidP="006A2898">
      <w:pPr>
        <w:pStyle w:val="Listeafsnit"/>
        <w:numPr>
          <w:ilvl w:val="0"/>
          <w:numId w:val="8"/>
        </w:numPr>
        <w:spacing w:line="240" w:lineRule="auto"/>
        <w:ind w:left="1276" w:hanging="425"/>
        <w:rPr>
          <w:sz w:val="24"/>
          <w:szCs w:val="24"/>
        </w:rPr>
      </w:pPr>
      <w:proofErr w:type="spellStart"/>
      <w:r w:rsidRPr="006A2898">
        <w:rPr>
          <w:sz w:val="24"/>
          <w:szCs w:val="24"/>
        </w:rPr>
        <w:t>gonokokinfektioner</w:t>
      </w:r>
      <w:proofErr w:type="spellEnd"/>
      <w:r w:rsidRPr="006A2898">
        <w:rPr>
          <w:sz w:val="24"/>
          <w:szCs w:val="24"/>
        </w:rPr>
        <w:t>;</w:t>
      </w:r>
    </w:p>
    <w:p w14:paraId="73C8219A" w14:textId="77777777" w:rsidR="006E7021" w:rsidRPr="0083270E" w:rsidRDefault="006E7021" w:rsidP="006A2898">
      <w:pPr>
        <w:pStyle w:val="Listeafsnit"/>
        <w:numPr>
          <w:ilvl w:val="0"/>
          <w:numId w:val="8"/>
        </w:numPr>
        <w:spacing w:line="240" w:lineRule="auto"/>
        <w:ind w:left="1276" w:hanging="425"/>
        <w:rPr>
          <w:sz w:val="24"/>
          <w:szCs w:val="24"/>
          <w:lang w:val="da-DK"/>
        </w:rPr>
      </w:pPr>
      <w:r w:rsidRPr="0083270E">
        <w:rPr>
          <w:sz w:val="24"/>
          <w:szCs w:val="24"/>
          <w:lang w:val="da-DK"/>
        </w:rPr>
        <w:t xml:space="preserve">præ- eller postoperativt for at reducere forekomsten af sårinfektioner hos patienter, der gennemgår </w:t>
      </w:r>
      <w:proofErr w:type="spellStart"/>
      <w:r w:rsidRPr="0083270E">
        <w:rPr>
          <w:sz w:val="24"/>
          <w:szCs w:val="24"/>
          <w:lang w:val="da-DK"/>
        </w:rPr>
        <w:t>abdominal</w:t>
      </w:r>
      <w:proofErr w:type="spellEnd"/>
      <w:r w:rsidRPr="0083270E">
        <w:rPr>
          <w:sz w:val="24"/>
          <w:szCs w:val="24"/>
          <w:lang w:val="da-DK"/>
        </w:rPr>
        <w:t>- eller bækkenkirurgi;</w:t>
      </w:r>
    </w:p>
    <w:p w14:paraId="5FBE0D53" w14:textId="77777777" w:rsidR="006E7021" w:rsidRPr="0083270E" w:rsidRDefault="006E7021" w:rsidP="006A2898">
      <w:pPr>
        <w:pStyle w:val="Listeafsnit"/>
        <w:numPr>
          <w:ilvl w:val="0"/>
          <w:numId w:val="8"/>
        </w:numPr>
        <w:spacing w:line="240" w:lineRule="auto"/>
        <w:ind w:left="1276" w:hanging="425"/>
        <w:rPr>
          <w:sz w:val="24"/>
          <w:szCs w:val="24"/>
          <w:lang w:val="da-DK"/>
        </w:rPr>
      </w:pPr>
      <w:r w:rsidRPr="0083270E">
        <w:rPr>
          <w:sz w:val="24"/>
          <w:szCs w:val="24"/>
          <w:lang w:val="da-DK"/>
        </w:rPr>
        <w:t xml:space="preserve">behandling af patienter med </w:t>
      </w:r>
      <w:proofErr w:type="spellStart"/>
      <w:r w:rsidRPr="0083270E">
        <w:rPr>
          <w:sz w:val="24"/>
          <w:szCs w:val="24"/>
          <w:lang w:val="da-DK"/>
        </w:rPr>
        <w:t>bakteriæmi</w:t>
      </w:r>
      <w:proofErr w:type="spellEnd"/>
      <w:r w:rsidRPr="0083270E">
        <w:rPr>
          <w:sz w:val="24"/>
          <w:szCs w:val="24"/>
          <w:lang w:val="da-DK"/>
        </w:rPr>
        <w:t>, der forekommer i forbindelse med eller mistænkes for at være forbundet med nogen af ovennævnte infektioner.</w:t>
      </w:r>
    </w:p>
    <w:p w14:paraId="19121713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660BF949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Behandlingen skal ske i henhold til officielle retningslinjer for korrekt anvendelse af antibakterielle midler.</w:t>
      </w:r>
    </w:p>
    <w:p w14:paraId="52A71D31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17B7F1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4.2</w:t>
      </w:r>
      <w:r w:rsidRPr="006A2898">
        <w:rPr>
          <w:b/>
          <w:sz w:val="24"/>
          <w:szCs w:val="24"/>
        </w:rPr>
        <w:tab/>
        <w:t xml:space="preserve">Dosering og </w:t>
      </w:r>
      <w:r w:rsidR="002C1EC0" w:rsidRPr="006A2898">
        <w:rPr>
          <w:b/>
          <w:sz w:val="24"/>
          <w:szCs w:val="24"/>
        </w:rPr>
        <w:t>administration</w:t>
      </w:r>
    </w:p>
    <w:p w14:paraId="2D55EA6A" w14:textId="77777777" w:rsidR="006A2898" w:rsidRDefault="006A2898" w:rsidP="006E7021">
      <w:pPr>
        <w:ind w:left="851"/>
        <w:rPr>
          <w:sz w:val="24"/>
          <w:szCs w:val="24"/>
        </w:rPr>
      </w:pPr>
    </w:p>
    <w:p w14:paraId="3346C81A" w14:textId="6B155B21" w:rsidR="006E7021" w:rsidRPr="006A2898" w:rsidRDefault="006E7021" w:rsidP="006E7021">
      <w:pPr>
        <w:ind w:left="851"/>
        <w:rPr>
          <w:sz w:val="24"/>
          <w:szCs w:val="24"/>
          <w:u w:val="single"/>
        </w:rPr>
      </w:pPr>
      <w:r w:rsidRPr="006A2898">
        <w:rPr>
          <w:sz w:val="24"/>
          <w:szCs w:val="24"/>
          <w:u w:val="single"/>
        </w:rPr>
        <w:t>Dosering</w:t>
      </w:r>
    </w:p>
    <w:p w14:paraId="3D774E69" w14:textId="77777777" w:rsidR="006E7021" w:rsidRPr="006A2898" w:rsidRDefault="006E7021" w:rsidP="006E7021">
      <w:pPr>
        <w:ind w:left="851"/>
        <w:rPr>
          <w:iCs/>
          <w:sz w:val="24"/>
          <w:szCs w:val="24"/>
          <w:u w:val="thick"/>
        </w:rPr>
      </w:pPr>
    </w:p>
    <w:p w14:paraId="2507D821" w14:textId="77777777" w:rsidR="006E7021" w:rsidRPr="006A2898" w:rsidRDefault="006E7021" w:rsidP="006E7021">
      <w:pPr>
        <w:ind w:left="851"/>
        <w:rPr>
          <w:i/>
          <w:sz w:val="24"/>
          <w:szCs w:val="24"/>
        </w:rPr>
      </w:pPr>
      <w:r w:rsidRPr="006A2898">
        <w:rPr>
          <w:i/>
          <w:sz w:val="24"/>
          <w:szCs w:val="24"/>
        </w:rPr>
        <w:t xml:space="preserve">Voksne </w:t>
      </w:r>
    </w:p>
    <w:p w14:paraId="38FB367E" w14:textId="345122E8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Doseringsintervallet for </w:t>
      </w:r>
      <w:proofErr w:type="spellStart"/>
      <w:r w:rsidR="006A2898">
        <w:rPr>
          <w:sz w:val="24"/>
          <w:szCs w:val="24"/>
        </w:rPr>
        <w:t>Ampicillin</w:t>
      </w:r>
      <w:proofErr w:type="spellEnd"/>
      <w:r w:rsidR="006A2898">
        <w:rPr>
          <w:sz w:val="24"/>
          <w:szCs w:val="24"/>
        </w:rPr>
        <w:t>/</w:t>
      </w:r>
      <w:proofErr w:type="spellStart"/>
      <w:r w:rsidR="006A2898">
        <w:rPr>
          <w:sz w:val="24"/>
          <w:szCs w:val="24"/>
        </w:rPr>
        <w:t>Sulbactam</w:t>
      </w:r>
      <w:proofErr w:type="spellEnd"/>
      <w:r w:rsidR="006A2898">
        <w:rPr>
          <w:sz w:val="24"/>
          <w:szCs w:val="24"/>
        </w:rPr>
        <w:t xml:space="preserve"> "</w:t>
      </w:r>
      <w:proofErr w:type="spellStart"/>
      <w:r w:rsidR="006A2898">
        <w:rPr>
          <w:sz w:val="24"/>
          <w:szCs w:val="24"/>
        </w:rPr>
        <w:t>Aptapharma</w:t>
      </w:r>
      <w:proofErr w:type="spellEnd"/>
      <w:r w:rsidR="006A2898">
        <w:rPr>
          <w:sz w:val="24"/>
          <w:szCs w:val="24"/>
        </w:rPr>
        <w:t>"</w:t>
      </w:r>
      <w:r w:rsidRPr="006A2898">
        <w:rPr>
          <w:sz w:val="24"/>
          <w:szCs w:val="24"/>
        </w:rPr>
        <w:t xml:space="preserve"> er 1,5 g til 12 g pr. dag i opdelte doser hver 6. eller 8. time. Den samlede dosis af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bør ikke overstige 4 g pr. dag. Mindre alvorlige infektioner kan behandles hver 12. time.</w:t>
      </w:r>
    </w:p>
    <w:p w14:paraId="186644B6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5600"/>
      </w:tblGrid>
      <w:tr w:rsidR="006E7021" w:rsidRPr="006A2898" w14:paraId="3AC6EAED" w14:textId="77777777" w:rsidTr="006E702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B1CA" w14:textId="77777777" w:rsidR="006E7021" w:rsidRPr="006A2898" w:rsidRDefault="006E7021">
            <w:pPr>
              <w:keepNext/>
              <w:rPr>
                <w:b/>
                <w:bCs/>
                <w:sz w:val="24"/>
                <w:szCs w:val="24"/>
              </w:rPr>
            </w:pPr>
            <w:r w:rsidRPr="006A2898">
              <w:rPr>
                <w:b/>
                <w:bCs/>
                <w:sz w:val="24"/>
                <w:szCs w:val="24"/>
              </w:rPr>
              <w:t>Infektionens sværhedsgrad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6AA6" w14:textId="6163B42D" w:rsidR="006E7021" w:rsidRPr="006A2898" w:rsidRDefault="006E7021">
            <w:pPr>
              <w:rPr>
                <w:b/>
                <w:bCs/>
                <w:sz w:val="24"/>
                <w:szCs w:val="24"/>
              </w:rPr>
            </w:pPr>
            <w:r w:rsidRPr="006A2898">
              <w:rPr>
                <w:b/>
                <w:bCs/>
                <w:sz w:val="24"/>
                <w:szCs w:val="24"/>
              </w:rPr>
              <w:t xml:space="preserve">Daglig dosis af </w:t>
            </w:r>
            <w:proofErr w:type="spellStart"/>
            <w:r w:rsidR="006A2898">
              <w:rPr>
                <w:b/>
                <w:bCs/>
                <w:sz w:val="24"/>
                <w:szCs w:val="24"/>
              </w:rPr>
              <w:t>Ampicillin</w:t>
            </w:r>
            <w:proofErr w:type="spellEnd"/>
            <w:r w:rsidR="006A289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="006A2898">
              <w:rPr>
                <w:b/>
                <w:bCs/>
                <w:sz w:val="24"/>
                <w:szCs w:val="24"/>
              </w:rPr>
              <w:t>Sulbactam</w:t>
            </w:r>
            <w:proofErr w:type="spellEnd"/>
            <w:r w:rsidR="006A2898">
              <w:rPr>
                <w:b/>
                <w:bCs/>
                <w:sz w:val="24"/>
                <w:szCs w:val="24"/>
              </w:rPr>
              <w:t xml:space="preserve"> "</w:t>
            </w:r>
            <w:proofErr w:type="spellStart"/>
            <w:r w:rsidR="006A2898">
              <w:rPr>
                <w:b/>
                <w:bCs/>
                <w:sz w:val="24"/>
                <w:szCs w:val="24"/>
              </w:rPr>
              <w:t>Aptapharma</w:t>
            </w:r>
            <w:proofErr w:type="spellEnd"/>
            <w:r w:rsidR="006A2898">
              <w:rPr>
                <w:b/>
                <w:bCs/>
                <w:sz w:val="24"/>
                <w:szCs w:val="24"/>
              </w:rPr>
              <w:t>"</w:t>
            </w:r>
            <w:r w:rsidRPr="006A2898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66B3B18" w14:textId="77777777" w:rsidR="006E7021" w:rsidRPr="006A2898" w:rsidRDefault="006E7021">
            <w:pPr>
              <w:rPr>
                <w:b/>
                <w:bCs/>
                <w:sz w:val="24"/>
                <w:szCs w:val="24"/>
              </w:rPr>
            </w:pPr>
            <w:r w:rsidRPr="006A2898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6A2898">
              <w:rPr>
                <w:b/>
                <w:bCs/>
                <w:sz w:val="24"/>
                <w:szCs w:val="24"/>
              </w:rPr>
              <w:t>sulbactam</w:t>
            </w:r>
            <w:proofErr w:type="spellEnd"/>
            <w:r w:rsidRPr="006A2898">
              <w:rPr>
                <w:b/>
                <w:bCs/>
                <w:sz w:val="24"/>
                <w:szCs w:val="24"/>
              </w:rPr>
              <w:t xml:space="preserve"> + </w:t>
            </w:r>
            <w:proofErr w:type="spellStart"/>
            <w:r w:rsidRPr="006A2898">
              <w:rPr>
                <w:b/>
                <w:bCs/>
                <w:sz w:val="24"/>
                <w:szCs w:val="24"/>
              </w:rPr>
              <w:t>ampicillin</w:t>
            </w:r>
            <w:proofErr w:type="spellEnd"/>
            <w:r w:rsidRPr="006A2898">
              <w:rPr>
                <w:b/>
                <w:bCs/>
                <w:sz w:val="24"/>
                <w:szCs w:val="24"/>
              </w:rPr>
              <w:t>) (g)</w:t>
            </w:r>
          </w:p>
        </w:tc>
      </w:tr>
      <w:tr w:rsidR="006E7021" w:rsidRPr="006A2898" w14:paraId="156784E4" w14:textId="77777777" w:rsidTr="006E702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4C74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Mild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ED7C" w14:textId="77777777" w:rsidR="006E7021" w:rsidRPr="006A2898" w:rsidRDefault="006E7021">
            <w:pPr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1,5 - 3 (0,5 + 1 til 1 + 2)</w:t>
            </w:r>
          </w:p>
        </w:tc>
      </w:tr>
      <w:tr w:rsidR="006E7021" w:rsidRPr="006A2898" w14:paraId="4388B2EC" w14:textId="77777777" w:rsidTr="006E702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E64F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Moderat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497B" w14:textId="77777777" w:rsidR="006E7021" w:rsidRPr="006A2898" w:rsidRDefault="006E7021">
            <w:pPr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op til 6 (2 + 4)</w:t>
            </w:r>
          </w:p>
        </w:tc>
      </w:tr>
      <w:tr w:rsidR="006E7021" w:rsidRPr="006A2898" w14:paraId="2308B763" w14:textId="77777777" w:rsidTr="006E7021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ED42" w14:textId="77777777" w:rsidR="006E7021" w:rsidRPr="006A2898" w:rsidRDefault="006E7021">
            <w:pPr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Svær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01E6" w14:textId="77777777" w:rsidR="006E7021" w:rsidRPr="006A2898" w:rsidRDefault="006E7021">
            <w:pPr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op til 12 (4 + 8)</w:t>
            </w:r>
          </w:p>
        </w:tc>
      </w:tr>
    </w:tbl>
    <w:p w14:paraId="20701AD9" w14:textId="77777777" w:rsidR="006E7021" w:rsidRPr="006A2898" w:rsidRDefault="006E7021" w:rsidP="006A2898">
      <w:pPr>
        <w:ind w:left="851"/>
        <w:rPr>
          <w:sz w:val="24"/>
          <w:szCs w:val="24"/>
        </w:rPr>
      </w:pPr>
    </w:p>
    <w:p w14:paraId="07C2AE0F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Doseringshyppighed kan angives afhængigt af sygdommens sværhedsgrad og patientens nyrefunktion. </w:t>
      </w:r>
    </w:p>
    <w:p w14:paraId="529C23E7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4B1A466F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Behandlingen fortsættes normalt indtil 48 timer efter, at </w:t>
      </w:r>
      <w:proofErr w:type="spellStart"/>
      <w:r w:rsidRPr="006A2898">
        <w:rPr>
          <w:sz w:val="24"/>
          <w:szCs w:val="24"/>
        </w:rPr>
        <w:t>pyreksi</w:t>
      </w:r>
      <w:proofErr w:type="spellEnd"/>
      <w:r w:rsidRPr="006A2898">
        <w:rPr>
          <w:sz w:val="24"/>
          <w:szCs w:val="24"/>
        </w:rPr>
        <w:t xml:space="preserve"> og andre unormale tegn er forsvundet. </w:t>
      </w:r>
    </w:p>
    <w:p w14:paraId="4A0CF148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6D9132A4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Behandlingen gives normalt i 5 til 14 dage, men behandlingsperioden kan forlænges, eller yderligere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kan administreres i alvorligt syge tilfælde.</w:t>
      </w:r>
    </w:p>
    <w:p w14:paraId="7650B576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114E61B0" w14:textId="172328A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Til profylakse af kirurgiske infektioner bør der gives 1,5 – 3 g </w:t>
      </w:r>
      <w:proofErr w:type="spellStart"/>
      <w:r w:rsidR="006A2898">
        <w:rPr>
          <w:sz w:val="24"/>
          <w:szCs w:val="24"/>
        </w:rPr>
        <w:t>Ampicillin</w:t>
      </w:r>
      <w:proofErr w:type="spellEnd"/>
      <w:r w:rsidR="006A2898">
        <w:rPr>
          <w:sz w:val="24"/>
          <w:szCs w:val="24"/>
        </w:rPr>
        <w:t>/</w:t>
      </w:r>
      <w:proofErr w:type="spellStart"/>
      <w:r w:rsidR="006A2898">
        <w:rPr>
          <w:sz w:val="24"/>
          <w:szCs w:val="24"/>
        </w:rPr>
        <w:t>Sulbactam</w:t>
      </w:r>
      <w:proofErr w:type="spellEnd"/>
      <w:r w:rsidR="006A2898">
        <w:rPr>
          <w:sz w:val="24"/>
          <w:szCs w:val="24"/>
        </w:rPr>
        <w:t xml:space="preserve"> "</w:t>
      </w:r>
      <w:proofErr w:type="spellStart"/>
      <w:r w:rsidR="006A2898">
        <w:rPr>
          <w:sz w:val="24"/>
          <w:szCs w:val="24"/>
        </w:rPr>
        <w:t>Aptapharma</w:t>
      </w:r>
      <w:proofErr w:type="spellEnd"/>
      <w:r w:rsidR="006A2898">
        <w:rPr>
          <w:sz w:val="24"/>
          <w:szCs w:val="24"/>
        </w:rPr>
        <w:t>"</w:t>
      </w:r>
      <w:r w:rsidRPr="006A2898">
        <w:rPr>
          <w:sz w:val="24"/>
          <w:szCs w:val="24"/>
        </w:rPr>
        <w:t xml:space="preserve"> ved induktion af anæstesi, hvilket giver tilstrækkelig tid til at opnå effektive serum- og vævskoncentrationer under proceduren. Dosis kan gentages hver 6. – 8. time. Indgivelsen stoppes normalt 24 timer efter de fleste kirurgiske procedurer, medmindre yderligere terapeutisk forløb af </w:t>
      </w:r>
      <w:proofErr w:type="spellStart"/>
      <w:r w:rsidR="006A2898">
        <w:rPr>
          <w:sz w:val="24"/>
          <w:szCs w:val="24"/>
        </w:rPr>
        <w:t>Ampicillin</w:t>
      </w:r>
      <w:proofErr w:type="spellEnd"/>
      <w:r w:rsidR="006A2898">
        <w:rPr>
          <w:sz w:val="24"/>
          <w:szCs w:val="24"/>
        </w:rPr>
        <w:t>/</w:t>
      </w:r>
      <w:proofErr w:type="spellStart"/>
      <w:r w:rsidR="006A2898">
        <w:rPr>
          <w:sz w:val="24"/>
          <w:szCs w:val="24"/>
        </w:rPr>
        <w:t>Sulbactam</w:t>
      </w:r>
      <w:proofErr w:type="spellEnd"/>
      <w:r w:rsidR="006A2898">
        <w:rPr>
          <w:sz w:val="24"/>
          <w:szCs w:val="24"/>
        </w:rPr>
        <w:t xml:space="preserve"> "</w:t>
      </w:r>
      <w:proofErr w:type="spellStart"/>
      <w:r w:rsidR="006A2898">
        <w:rPr>
          <w:sz w:val="24"/>
          <w:szCs w:val="24"/>
        </w:rPr>
        <w:t>Aptapharma</w:t>
      </w:r>
      <w:proofErr w:type="spellEnd"/>
      <w:r w:rsidR="006A2898">
        <w:rPr>
          <w:sz w:val="24"/>
          <w:szCs w:val="24"/>
        </w:rPr>
        <w:t>"</w:t>
      </w:r>
      <w:r w:rsidRPr="006A2898">
        <w:rPr>
          <w:sz w:val="24"/>
          <w:szCs w:val="24"/>
        </w:rPr>
        <w:t xml:space="preserve"> er indiceret.</w:t>
      </w:r>
    </w:p>
    <w:p w14:paraId="07064D1F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17C949DF" w14:textId="09378F19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lastRenderedPageBreak/>
        <w:t xml:space="preserve">Ved behandling af ukompliceret gonore kan </w:t>
      </w:r>
      <w:proofErr w:type="spellStart"/>
      <w:r w:rsidR="006A2898">
        <w:rPr>
          <w:sz w:val="24"/>
          <w:szCs w:val="24"/>
        </w:rPr>
        <w:t>Ampicillin</w:t>
      </w:r>
      <w:proofErr w:type="spellEnd"/>
      <w:r w:rsidR="006A2898">
        <w:rPr>
          <w:sz w:val="24"/>
          <w:szCs w:val="24"/>
        </w:rPr>
        <w:t>/</w:t>
      </w:r>
      <w:proofErr w:type="spellStart"/>
      <w:r w:rsidR="006A2898">
        <w:rPr>
          <w:sz w:val="24"/>
          <w:szCs w:val="24"/>
        </w:rPr>
        <w:t>Sulbactam</w:t>
      </w:r>
      <w:proofErr w:type="spellEnd"/>
      <w:r w:rsidR="006A2898">
        <w:rPr>
          <w:sz w:val="24"/>
          <w:szCs w:val="24"/>
        </w:rPr>
        <w:t xml:space="preserve"> "</w:t>
      </w:r>
      <w:proofErr w:type="spellStart"/>
      <w:r w:rsidR="006A2898">
        <w:rPr>
          <w:sz w:val="24"/>
          <w:szCs w:val="24"/>
        </w:rPr>
        <w:t>Aptapharma</w:t>
      </w:r>
      <w:proofErr w:type="spellEnd"/>
      <w:r w:rsidR="006A2898">
        <w:rPr>
          <w:sz w:val="24"/>
          <w:szCs w:val="24"/>
        </w:rPr>
        <w:t>"</w:t>
      </w:r>
      <w:r w:rsidRPr="006A2898">
        <w:rPr>
          <w:sz w:val="24"/>
          <w:szCs w:val="24"/>
        </w:rPr>
        <w:t xml:space="preserve"> gives som en enkelt dosis på 1,5 g. Samtidig </w:t>
      </w:r>
      <w:proofErr w:type="spellStart"/>
      <w:r w:rsidRPr="006A2898">
        <w:rPr>
          <w:sz w:val="24"/>
          <w:szCs w:val="24"/>
        </w:rPr>
        <w:t>probenecid</w:t>
      </w:r>
      <w:proofErr w:type="spellEnd"/>
      <w:r w:rsidRPr="006A2898">
        <w:rPr>
          <w:sz w:val="24"/>
          <w:szCs w:val="24"/>
        </w:rPr>
        <w:t xml:space="preserve"> 1,0 g oralt bør administreres for at forlænge plasmakoncentrationerne af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og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. </w:t>
      </w:r>
    </w:p>
    <w:p w14:paraId="2023BEEA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165FD4C0" w14:textId="77777777" w:rsidR="006E7021" w:rsidRPr="006A2898" w:rsidRDefault="006E7021" w:rsidP="006E7021">
      <w:pPr>
        <w:ind w:left="851"/>
        <w:rPr>
          <w:i/>
          <w:sz w:val="24"/>
          <w:szCs w:val="24"/>
        </w:rPr>
      </w:pPr>
      <w:r w:rsidRPr="006A2898">
        <w:rPr>
          <w:i/>
          <w:sz w:val="24"/>
          <w:szCs w:val="24"/>
        </w:rPr>
        <w:t>Pædiatrisk population</w:t>
      </w:r>
    </w:p>
    <w:p w14:paraId="75719700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Doseringen for de fleste infektioner hos børn, spædbørn og nyfødte er 150 mg/kg/dag (svarende til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50 mg/kg/dag og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100 mg/kg/dag), normalt hver 6. eller 8. time.</w:t>
      </w:r>
    </w:p>
    <w:p w14:paraId="21BABF42" w14:textId="0E51FDC3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Hos nyfødte og for tidligt fødte i den første uge af livet er den anbefalede dosis 75</w:t>
      </w:r>
      <w:r w:rsidR="00A20A4C">
        <w:rPr>
          <w:sz w:val="24"/>
          <w:szCs w:val="24"/>
        </w:rPr>
        <w:t> </w:t>
      </w:r>
      <w:r w:rsidRPr="006A2898">
        <w:rPr>
          <w:sz w:val="24"/>
          <w:szCs w:val="24"/>
        </w:rPr>
        <w:t xml:space="preserve">mg/kg/dag (svarende til 25 mg/kg/dag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og 50 mg/kg/dag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>) i opdelte doser hver 12. time.</w:t>
      </w:r>
    </w:p>
    <w:p w14:paraId="1447FBF4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2899833A" w14:textId="77777777" w:rsidR="006E7021" w:rsidRPr="006A2898" w:rsidRDefault="006E7021" w:rsidP="006E7021">
      <w:pPr>
        <w:ind w:left="851"/>
        <w:rPr>
          <w:i/>
          <w:sz w:val="24"/>
          <w:szCs w:val="24"/>
        </w:rPr>
      </w:pPr>
      <w:r w:rsidRPr="006A2898">
        <w:rPr>
          <w:i/>
          <w:sz w:val="24"/>
          <w:szCs w:val="24"/>
        </w:rPr>
        <w:t>Nedsat nyrefunktion</w:t>
      </w:r>
    </w:p>
    <w:p w14:paraId="244C1BC4" w14:textId="551CDAE5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Hos patienter med svært nedsat nyrefunktion (</w:t>
      </w:r>
      <w:proofErr w:type="spellStart"/>
      <w:r w:rsidRPr="006A2898">
        <w:rPr>
          <w:sz w:val="24"/>
          <w:szCs w:val="24"/>
        </w:rPr>
        <w:t>kreatininclearance</w:t>
      </w:r>
      <w:proofErr w:type="spellEnd"/>
      <w:r w:rsidRPr="006A2898">
        <w:rPr>
          <w:sz w:val="24"/>
          <w:szCs w:val="24"/>
        </w:rPr>
        <w:t xml:space="preserve"> &lt;30 ml/min) påvirkes eliminationskinetikken for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og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tilsvarende, og derfor vil plasmaforholdet mellem den ene og den anden forblive konstant. Dosis af </w:t>
      </w:r>
      <w:proofErr w:type="spellStart"/>
      <w:r w:rsidR="006A2898">
        <w:rPr>
          <w:sz w:val="24"/>
          <w:szCs w:val="24"/>
        </w:rPr>
        <w:t>Ampicillin</w:t>
      </w:r>
      <w:proofErr w:type="spellEnd"/>
      <w:r w:rsidR="006A2898">
        <w:rPr>
          <w:sz w:val="24"/>
          <w:szCs w:val="24"/>
        </w:rPr>
        <w:t>/</w:t>
      </w:r>
      <w:proofErr w:type="spellStart"/>
      <w:r w:rsidR="006A2898">
        <w:rPr>
          <w:sz w:val="24"/>
          <w:szCs w:val="24"/>
        </w:rPr>
        <w:t>Sulbactam</w:t>
      </w:r>
      <w:proofErr w:type="spellEnd"/>
      <w:r w:rsidR="006A2898">
        <w:rPr>
          <w:sz w:val="24"/>
          <w:szCs w:val="24"/>
        </w:rPr>
        <w:t xml:space="preserve"> "</w:t>
      </w:r>
      <w:proofErr w:type="spellStart"/>
      <w:r w:rsidR="006A2898">
        <w:rPr>
          <w:sz w:val="24"/>
          <w:szCs w:val="24"/>
        </w:rPr>
        <w:t>Aptapharma</w:t>
      </w:r>
      <w:proofErr w:type="spellEnd"/>
      <w:r w:rsidR="006A2898">
        <w:rPr>
          <w:sz w:val="24"/>
          <w:szCs w:val="24"/>
        </w:rPr>
        <w:t>"</w:t>
      </w:r>
      <w:r w:rsidRPr="006A2898">
        <w:rPr>
          <w:sz w:val="24"/>
          <w:szCs w:val="24"/>
        </w:rPr>
        <w:t xml:space="preserve"> hos sådanne patienter bør administreres mindre hyppigt i overensstemmelse med den sædvanlige praksis for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>.</w:t>
      </w:r>
    </w:p>
    <w:p w14:paraId="16D203ED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tbl>
      <w:tblPr>
        <w:tblW w:w="847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4961"/>
      </w:tblGrid>
      <w:tr w:rsidR="006E7021" w:rsidRPr="006A2898" w14:paraId="56C13C86" w14:textId="77777777" w:rsidTr="006E7021"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46C9" w14:textId="77777777" w:rsidR="006E7021" w:rsidRPr="006A2898" w:rsidRDefault="006E7021">
            <w:pPr>
              <w:pStyle w:val="Brdtekst"/>
              <w:widowControl/>
              <w:ind w:left="0"/>
              <w:jc w:val="center"/>
              <w:rPr>
                <w:b/>
                <w:bCs/>
                <w:sz w:val="24"/>
                <w:szCs w:val="24"/>
                <w:lang w:val="da-DK"/>
              </w:rPr>
            </w:pPr>
            <w:r w:rsidRPr="006A2898">
              <w:rPr>
                <w:b/>
                <w:bCs/>
                <w:sz w:val="24"/>
                <w:szCs w:val="24"/>
                <w:lang w:val="da-DK"/>
              </w:rPr>
              <w:t>Anbefalet dosis til patienter med nedsat nyrefunktion</w:t>
            </w:r>
          </w:p>
        </w:tc>
      </w:tr>
      <w:tr w:rsidR="006E7021" w:rsidRPr="006A2898" w14:paraId="70371B55" w14:textId="77777777" w:rsidTr="006E702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C0AA" w14:textId="77777777" w:rsidR="006E7021" w:rsidRPr="006A2898" w:rsidRDefault="006E7021">
            <w:pPr>
              <w:pStyle w:val="Brdtekst"/>
              <w:widowControl/>
              <w:ind w:left="0"/>
              <w:rPr>
                <w:b/>
                <w:bCs/>
                <w:sz w:val="24"/>
                <w:szCs w:val="24"/>
                <w:lang w:val="da-DK"/>
              </w:rPr>
            </w:pPr>
            <w:proofErr w:type="spellStart"/>
            <w:r w:rsidRPr="006A2898">
              <w:rPr>
                <w:b/>
                <w:bCs/>
                <w:sz w:val="24"/>
                <w:szCs w:val="24"/>
                <w:lang w:val="da-DK"/>
              </w:rPr>
              <w:t>Kreatininclearance</w:t>
            </w:r>
            <w:proofErr w:type="spellEnd"/>
            <w:r w:rsidRPr="006A2898">
              <w:rPr>
                <w:b/>
                <w:bCs/>
                <w:sz w:val="24"/>
                <w:szCs w:val="24"/>
                <w:lang w:val="da-DK"/>
              </w:rPr>
              <w:t xml:space="preserve"> (ml/min)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0762" w14:textId="77777777" w:rsidR="006E7021" w:rsidRPr="006A2898" w:rsidRDefault="006E7021">
            <w:pPr>
              <w:pStyle w:val="Brdtekst"/>
              <w:widowControl/>
              <w:ind w:left="0"/>
              <w:rPr>
                <w:b/>
                <w:bCs/>
                <w:sz w:val="24"/>
                <w:szCs w:val="24"/>
                <w:lang w:val="da-DK"/>
              </w:rPr>
            </w:pPr>
            <w:r w:rsidRPr="006A2898">
              <w:rPr>
                <w:b/>
                <w:bCs/>
                <w:sz w:val="24"/>
                <w:szCs w:val="24"/>
                <w:lang w:val="da-DK"/>
              </w:rPr>
              <w:t>Doseringsinterval</w:t>
            </w:r>
          </w:p>
        </w:tc>
      </w:tr>
      <w:tr w:rsidR="006E7021" w:rsidRPr="006A2898" w14:paraId="63CE7C33" w14:textId="77777777" w:rsidTr="006E702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78D4" w14:textId="77777777" w:rsidR="006E7021" w:rsidRPr="006A2898" w:rsidRDefault="006E7021">
            <w:pPr>
              <w:pStyle w:val="Brdtekst"/>
              <w:widowControl/>
              <w:ind w:left="0"/>
              <w:rPr>
                <w:sz w:val="24"/>
                <w:szCs w:val="24"/>
                <w:lang w:val="da-DK"/>
              </w:rPr>
            </w:pPr>
            <w:r w:rsidRPr="006A2898">
              <w:rPr>
                <w:sz w:val="24"/>
                <w:szCs w:val="24"/>
                <w:lang w:val="da-DK"/>
              </w:rPr>
              <w:t>&gt;30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14B0" w14:textId="77777777" w:rsidR="006E7021" w:rsidRPr="006A2898" w:rsidRDefault="006E7021">
            <w:pPr>
              <w:pStyle w:val="Brdtekst"/>
              <w:widowControl/>
              <w:ind w:left="0"/>
              <w:rPr>
                <w:sz w:val="24"/>
                <w:szCs w:val="24"/>
                <w:lang w:val="da-DK"/>
              </w:rPr>
            </w:pPr>
            <w:r w:rsidRPr="006A2898">
              <w:rPr>
                <w:sz w:val="24"/>
                <w:szCs w:val="24"/>
                <w:lang w:val="da-DK"/>
              </w:rPr>
              <w:t>6 til 8 timer</w:t>
            </w:r>
          </w:p>
        </w:tc>
      </w:tr>
      <w:tr w:rsidR="006E7021" w:rsidRPr="006A2898" w14:paraId="553B943A" w14:textId="77777777" w:rsidTr="006E702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AFAF" w14:textId="77777777" w:rsidR="006E7021" w:rsidRPr="006A2898" w:rsidRDefault="006E7021">
            <w:pPr>
              <w:pStyle w:val="Brdtekst"/>
              <w:widowControl/>
              <w:ind w:left="0"/>
              <w:rPr>
                <w:sz w:val="24"/>
                <w:szCs w:val="24"/>
                <w:lang w:val="da-DK"/>
              </w:rPr>
            </w:pPr>
            <w:r w:rsidRPr="006A2898">
              <w:rPr>
                <w:sz w:val="24"/>
                <w:szCs w:val="24"/>
                <w:lang w:val="da-DK"/>
              </w:rPr>
              <w:t>15 til 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896A" w14:textId="77777777" w:rsidR="006E7021" w:rsidRPr="006A2898" w:rsidRDefault="006E7021">
            <w:pPr>
              <w:pStyle w:val="Brdtekst"/>
              <w:widowControl/>
              <w:ind w:left="0"/>
              <w:rPr>
                <w:sz w:val="24"/>
                <w:szCs w:val="24"/>
                <w:lang w:val="da-DK"/>
              </w:rPr>
            </w:pPr>
            <w:r w:rsidRPr="006A2898">
              <w:rPr>
                <w:sz w:val="24"/>
                <w:szCs w:val="24"/>
                <w:lang w:val="da-DK"/>
              </w:rPr>
              <w:t>12 timer</w:t>
            </w:r>
          </w:p>
        </w:tc>
      </w:tr>
      <w:tr w:rsidR="006E7021" w:rsidRPr="006A2898" w14:paraId="04DE3D71" w14:textId="77777777" w:rsidTr="006E702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6469" w14:textId="77777777" w:rsidR="006E7021" w:rsidRPr="006A2898" w:rsidRDefault="006E7021">
            <w:pPr>
              <w:pStyle w:val="Brdtekst"/>
              <w:widowControl/>
              <w:ind w:left="0"/>
              <w:rPr>
                <w:sz w:val="24"/>
                <w:szCs w:val="24"/>
                <w:lang w:val="da-DK"/>
              </w:rPr>
            </w:pPr>
            <w:r w:rsidRPr="006A2898">
              <w:rPr>
                <w:sz w:val="24"/>
                <w:szCs w:val="24"/>
                <w:lang w:val="da-DK"/>
              </w:rPr>
              <w:t>5 til 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0D32" w14:textId="77777777" w:rsidR="006E7021" w:rsidRPr="006A2898" w:rsidRDefault="006E7021">
            <w:pPr>
              <w:pStyle w:val="Brdtekst"/>
              <w:widowControl/>
              <w:ind w:left="0"/>
              <w:rPr>
                <w:sz w:val="24"/>
                <w:szCs w:val="24"/>
                <w:lang w:val="da-DK"/>
              </w:rPr>
            </w:pPr>
            <w:r w:rsidRPr="006A2898">
              <w:rPr>
                <w:sz w:val="24"/>
                <w:szCs w:val="24"/>
                <w:lang w:val="da-DK"/>
              </w:rPr>
              <w:t>24 timer</w:t>
            </w:r>
          </w:p>
        </w:tc>
      </w:tr>
      <w:tr w:rsidR="006E7021" w:rsidRPr="006A2898" w14:paraId="1F6520DD" w14:textId="77777777" w:rsidTr="006E702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B858" w14:textId="77777777" w:rsidR="006E7021" w:rsidRPr="006A2898" w:rsidRDefault="006E7021">
            <w:pPr>
              <w:pStyle w:val="Brdtekst"/>
              <w:widowControl/>
              <w:ind w:left="0"/>
              <w:rPr>
                <w:sz w:val="24"/>
                <w:szCs w:val="24"/>
                <w:lang w:val="da-DK"/>
              </w:rPr>
            </w:pPr>
            <w:r w:rsidRPr="006A2898">
              <w:rPr>
                <w:sz w:val="24"/>
                <w:szCs w:val="24"/>
                <w:lang w:val="da-DK"/>
              </w:rPr>
              <w:t>&lt;5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ECD3" w14:textId="77777777" w:rsidR="006E7021" w:rsidRPr="006A2898" w:rsidRDefault="006E7021">
            <w:pPr>
              <w:pStyle w:val="Brdtekst"/>
              <w:widowControl/>
              <w:ind w:left="0"/>
              <w:rPr>
                <w:sz w:val="24"/>
                <w:szCs w:val="24"/>
                <w:lang w:val="da-DK"/>
              </w:rPr>
            </w:pPr>
            <w:r w:rsidRPr="006A2898">
              <w:rPr>
                <w:sz w:val="24"/>
                <w:szCs w:val="24"/>
                <w:lang w:val="da-DK"/>
              </w:rPr>
              <w:t>48 timer</w:t>
            </w:r>
          </w:p>
        </w:tc>
      </w:tr>
    </w:tbl>
    <w:p w14:paraId="05AA7955" w14:textId="77777777" w:rsidR="006E7021" w:rsidRPr="006A2898" w:rsidRDefault="006E7021" w:rsidP="006A2898">
      <w:pPr>
        <w:pStyle w:val="Brdtekst"/>
        <w:widowControl/>
        <w:ind w:left="851"/>
        <w:rPr>
          <w:sz w:val="24"/>
          <w:szCs w:val="24"/>
          <w:lang w:val="da-DK"/>
        </w:rPr>
      </w:pPr>
    </w:p>
    <w:p w14:paraId="77FD6A72" w14:textId="41D59175" w:rsidR="006E7021" w:rsidRPr="006A2898" w:rsidRDefault="006E7021" w:rsidP="006E7021">
      <w:pPr>
        <w:ind w:left="851"/>
        <w:rPr>
          <w:sz w:val="24"/>
          <w:szCs w:val="24"/>
        </w:rPr>
      </w:pP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og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elimineres fra blodet ved hæmodialyse i samme omfang, derfor bør </w:t>
      </w:r>
      <w:proofErr w:type="spellStart"/>
      <w:r w:rsidR="006A2898">
        <w:rPr>
          <w:sz w:val="24"/>
          <w:szCs w:val="24"/>
        </w:rPr>
        <w:t>Ampicillin</w:t>
      </w:r>
      <w:proofErr w:type="spellEnd"/>
      <w:r w:rsidR="006A2898">
        <w:rPr>
          <w:sz w:val="24"/>
          <w:szCs w:val="24"/>
        </w:rPr>
        <w:t>/</w:t>
      </w:r>
      <w:proofErr w:type="spellStart"/>
      <w:r w:rsidR="006A2898">
        <w:rPr>
          <w:sz w:val="24"/>
          <w:szCs w:val="24"/>
        </w:rPr>
        <w:t>Sulbactam</w:t>
      </w:r>
      <w:proofErr w:type="spellEnd"/>
      <w:r w:rsidR="006A2898">
        <w:rPr>
          <w:sz w:val="24"/>
          <w:szCs w:val="24"/>
        </w:rPr>
        <w:t xml:space="preserve"> "</w:t>
      </w:r>
      <w:proofErr w:type="spellStart"/>
      <w:r w:rsidR="006A2898">
        <w:rPr>
          <w:sz w:val="24"/>
          <w:szCs w:val="24"/>
        </w:rPr>
        <w:t>Aptapharma</w:t>
      </w:r>
      <w:proofErr w:type="spellEnd"/>
      <w:r w:rsidR="006A2898">
        <w:rPr>
          <w:sz w:val="24"/>
          <w:szCs w:val="24"/>
        </w:rPr>
        <w:t>"</w:t>
      </w:r>
      <w:r w:rsidRPr="006A2898">
        <w:rPr>
          <w:sz w:val="24"/>
          <w:szCs w:val="24"/>
        </w:rPr>
        <w:t xml:space="preserve"> gives direkte efter dialyse og med intervaller på 48 timer indtil yderligere dialyse.</w:t>
      </w:r>
    </w:p>
    <w:p w14:paraId="4FE99CF0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5036710A" w14:textId="77777777" w:rsidR="006E7021" w:rsidRPr="006A2898" w:rsidRDefault="006E7021" w:rsidP="006E7021">
      <w:pPr>
        <w:ind w:left="851"/>
        <w:rPr>
          <w:sz w:val="24"/>
          <w:szCs w:val="24"/>
          <w:u w:val="single"/>
        </w:rPr>
      </w:pPr>
      <w:r w:rsidRPr="006A2898">
        <w:rPr>
          <w:sz w:val="24"/>
          <w:szCs w:val="24"/>
          <w:u w:val="single"/>
        </w:rPr>
        <w:t>Administration</w:t>
      </w:r>
    </w:p>
    <w:p w14:paraId="539B5BE8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Intravenøs eller intramuskulær administration.</w:t>
      </w:r>
    </w:p>
    <w:p w14:paraId="0A21B3DE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49FE044B" w14:textId="7A7C0962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  <w:u w:val="single"/>
        </w:rPr>
        <w:t>Til intravenøs administration</w:t>
      </w:r>
      <w:r w:rsidRPr="006A2898">
        <w:rPr>
          <w:sz w:val="24"/>
          <w:szCs w:val="24"/>
        </w:rPr>
        <w:t xml:space="preserve"> skal injektionshætteglasset </w:t>
      </w:r>
      <w:proofErr w:type="spellStart"/>
      <w:r w:rsidRPr="006A2898">
        <w:rPr>
          <w:sz w:val="24"/>
          <w:szCs w:val="24"/>
        </w:rPr>
        <w:t>rekonstitueres</w:t>
      </w:r>
      <w:proofErr w:type="spellEnd"/>
      <w:r w:rsidRPr="006A2898">
        <w:rPr>
          <w:sz w:val="24"/>
          <w:szCs w:val="24"/>
        </w:rPr>
        <w:t xml:space="preserve"> med sterilt vand til injektion eller enhver kompatibel opløsning (se pkt. 6.3). For at sikre fuldstændig opløsning skal du lade skummet forsvinde for visuelt at inspicere. Dosis kan gives ved </w:t>
      </w:r>
      <w:proofErr w:type="spellStart"/>
      <w:r w:rsidRPr="006A2898">
        <w:rPr>
          <w:sz w:val="24"/>
          <w:szCs w:val="24"/>
          <w:u w:val="single"/>
        </w:rPr>
        <w:t>bolusinjektion</w:t>
      </w:r>
      <w:proofErr w:type="spellEnd"/>
      <w:r w:rsidRPr="006A2898">
        <w:rPr>
          <w:sz w:val="24"/>
          <w:szCs w:val="24"/>
        </w:rPr>
        <w:t xml:space="preserve"> over mindst 3 minutter eller kan anvendes i større fortyndinger (50 – 100</w:t>
      </w:r>
      <w:r w:rsidR="006A2898">
        <w:rPr>
          <w:sz w:val="24"/>
          <w:szCs w:val="24"/>
        </w:rPr>
        <w:t> </w:t>
      </w:r>
      <w:r w:rsidRPr="006A2898">
        <w:rPr>
          <w:sz w:val="24"/>
          <w:szCs w:val="24"/>
        </w:rPr>
        <w:t xml:space="preserve">ml) som en </w:t>
      </w:r>
      <w:r w:rsidRPr="006A2898">
        <w:rPr>
          <w:sz w:val="24"/>
          <w:szCs w:val="24"/>
          <w:u w:val="single"/>
        </w:rPr>
        <w:t>intravenøs infusion</w:t>
      </w:r>
      <w:r w:rsidRPr="006A2898">
        <w:rPr>
          <w:sz w:val="24"/>
          <w:szCs w:val="24"/>
        </w:rPr>
        <w:t xml:space="preserve"> over 15-30 minutter.</w:t>
      </w:r>
    </w:p>
    <w:p w14:paraId="30F79760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25770775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  <w:u w:val="single"/>
        </w:rPr>
        <w:t>Til intramuskulær administration</w:t>
      </w:r>
      <w:r w:rsidRPr="006A2898">
        <w:rPr>
          <w:sz w:val="24"/>
          <w:szCs w:val="24"/>
        </w:rPr>
        <w:t xml:space="preserve"> anbefales </w:t>
      </w:r>
      <w:r w:rsidRPr="006A2898">
        <w:rPr>
          <w:sz w:val="24"/>
          <w:szCs w:val="24"/>
          <w:u w:val="single"/>
        </w:rPr>
        <w:t>dyb intramuskulær injektion</w:t>
      </w:r>
      <w:r w:rsidRPr="006A2898">
        <w:rPr>
          <w:sz w:val="24"/>
          <w:szCs w:val="24"/>
        </w:rPr>
        <w:t xml:space="preserve">. For at undgå smerte kan der anvendes 0,5% steril opløsning til injektion af </w:t>
      </w:r>
      <w:proofErr w:type="spellStart"/>
      <w:r w:rsidRPr="006A2898">
        <w:rPr>
          <w:sz w:val="24"/>
          <w:szCs w:val="24"/>
        </w:rPr>
        <w:t>lidocainhydrochlorid</w:t>
      </w:r>
      <w:proofErr w:type="spellEnd"/>
      <w:r w:rsidRPr="006A2898">
        <w:rPr>
          <w:sz w:val="24"/>
          <w:szCs w:val="24"/>
        </w:rPr>
        <w:t xml:space="preserve"> til </w:t>
      </w:r>
      <w:proofErr w:type="spellStart"/>
      <w:r w:rsidRPr="006A2898">
        <w:rPr>
          <w:sz w:val="24"/>
          <w:szCs w:val="24"/>
        </w:rPr>
        <w:t>rekonstitution</w:t>
      </w:r>
      <w:proofErr w:type="spellEnd"/>
      <w:r w:rsidRPr="006A2898">
        <w:rPr>
          <w:sz w:val="24"/>
          <w:szCs w:val="24"/>
        </w:rPr>
        <w:t xml:space="preserve"> af pulveret (3,2 ml af 0,5% steril opløsning til injektion af </w:t>
      </w:r>
      <w:proofErr w:type="spellStart"/>
      <w:r w:rsidRPr="006A2898">
        <w:rPr>
          <w:sz w:val="24"/>
          <w:szCs w:val="24"/>
        </w:rPr>
        <w:t>lidocainhydrochlorid</w:t>
      </w:r>
      <w:proofErr w:type="spellEnd"/>
      <w:r w:rsidRPr="006A2898">
        <w:rPr>
          <w:sz w:val="24"/>
          <w:szCs w:val="24"/>
        </w:rPr>
        <w:t xml:space="preserve"> til styrke 1 g/0,5 g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>/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og 6,4 ml til styrke 2 g/1 g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>/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>).</w:t>
      </w:r>
    </w:p>
    <w:p w14:paraId="6265D537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77B18448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For instruktioner om </w:t>
      </w:r>
      <w:proofErr w:type="spellStart"/>
      <w:r w:rsidRPr="006A2898">
        <w:rPr>
          <w:sz w:val="24"/>
          <w:szCs w:val="24"/>
        </w:rPr>
        <w:t>rekonstitution</w:t>
      </w:r>
      <w:proofErr w:type="spellEnd"/>
      <w:r w:rsidRPr="006A2898">
        <w:rPr>
          <w:sz w:val="24"/>
          <w:szCs w:val="24"/>
        </w:rPr>
        <w:t>/fortynding af lægemidlet før administration, se pkt. 6.6 og 6.3.</w:t>
      </w:r>
    </w:p>
    <w:p w14:paraId="4FB647BA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EA793F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4.3</w:t>
      </w:r>
      <w:r w:rsidRPr="006A2898">
        <w:rPr>
          <w:b/>
          <w:sz w:val="24"/>
          <w:szCs w:val="24"/>
        </w:rPr>
        <w:tab/>
        <w:t>Kontraindikationer</w:t>
      </w:r>
    </w:p>
    <w:p w14:paraId="66AC87CC" w14:textId="77777777" w:rsidR="006E7021" w:rsidRPr="0083270E" w:rsidRDefault="006E7021" w:rsidP="006A2898">
      <w:pPr>
        <w:pStyle w:val="Listeafsnit"/>
        <w:numPr>
          <w:ilvl w:val="0"/>
          <w:numId w:val="10"/>
        </w:numPr>
        <w:spacing w:line="240" w:lineRule="auto"/>
        <w:ind w:left="1276" w:hanging="425"/>
        <w:rPr>
          <w:sz w:val="24"/>
          <w:szCs w:val="24"/>
          <w:lang w:val="da-DK"/>
        </w:rPr>
      </w:pPr>
      <w:r w:rsidRPr="0083270E">
        <w:rPr>
          <w:sz w:val="24"/>
          <w:szCs w:val="24"/>
          <w:lang w:val="da-DK"/>
        </w:rPr>
        <w:t xml:space="preserve">Overfølsomhed over for de aktive stoffer. </w:t>
      </w:r>
    </w:p>
    <w:p w14:paraId="03E294EC" w14:textId="77777777" w:rsidR="006E7021" w:rsidRPr="0083270E" w:rsidRDefault="006E7021" w:rsidP="006A2898">
      <w:pPr>
        <w:pStyle w:val="Listeafsnit"/>
        <w:numPr>
          <w:ilvl w:val="0"/>
          <w:numId w:val="10"/>
        </w:numPr>
        <w:spacing w:line="240" w:lineRule="auto"/>
        <w:ind w:left="1276" w:hanging="425"/>
        <w:rPr>
          <w:sz w:val="24"/>
          <w:szCs w:val="24"/>
          <w:lang w:val="da-DK"/>
        </w:rPr>
      </w:pPr>
      <w:r w:rsidRPr="0083270E">
        <w:rPr>
          <w:sz w:val="24"/>
          <w:szCs w:val="24"/>
          <w:lang w:val="da-DK"/>
        </w:rPr>
        <w:t>Overfølsomhed over for andre penicilliner.</w:t>
      </w:r>
    </w:p>
    <w:p w14:paraId="2677E639" w14:textId="77777777" w:rsidR="006E7021" w:rsidRPr="0083270E" w:rsidRDefault="006E7021" w:rsidP="006A2898">
      <w:pPr>
        <w:pStyle w:val="Listeafsnit"/>
        <w:numPr>
          <w:ilvl w:val="0"/>
          <w:numId w:val="10"/>
        </w:numPr>
        <w:spacing w:line="240" w:lineRule="auto"/>
        <w:ind w:left="1276" w:hanging="425"/>
        <w:rPr>
          <w:sz w:val="24"/>
          <w:szCs w:val="24"/>
          <w:lang w:val="da-DK"/>
        </w:rPr>
      </w:pPr>
      <w:r w:rsidRPr="0083270E">
        <w:rPr>
          <w:sz w:val="24"/>
          <w:szCs w:val="24"/>
          <w:lang w:val="da-DK"/>
        </w:rPr>
        <w:lastRenderedPageBreak/>
        <w:t>Anamnese med svære umiddelbare overfølsomhedsreaktioner (f.eks. anafylaksi) over for andre beta-</w:t>
      </w:r>
      <w:proofErr w:type="spellStart"/>
      <w:r w:rsidRPr="0083270E">
        <w:rPr>
          <w:sz w:val="24"/>
          <w:szCs w:val="24"/>
          <w:lang w:val="da-DK"/>
        </w:rPr>
        <w:t>laktamer</w:t>
      </w:r>
      <w:proofErr w:type="spellEnd"/>
      <w:r w:rsidRPr="0083270E">
        <w:rPr>
          <w:sz w:val="24"/>
          <w:szCs w:val="24"/>
          <w:lang w:val="da-DK"/>
        </w:rPr>
        <w:t xml:space="preserve"> (f.eks. </w:t>
      </w:r>
      <w:proofErr w:type="spellStart"/>
      <w:r w:rsidRPr="0083270E">
        <w:rPr>
          <w:sz w:val="24"/>
          <w:szCs w:val="24"/>
          <w:lang w:val="da-DK"/>
        </w:rPr>
        <w:t>cefalosporin</w:t>
      </w:r>
      <w:proofErr w:type="spellEnd"/>
      <w:r w:rsidRPr="0083270E">
        <w:rPr>
          <w:sz w:val="24"/>
          <w:szCs w:val="24"/>
          <w:lang w:val="da-DK"/>
        </w:rPr>
        <w:t xml:space="preserve">, </w:t>
      </w:r>
      <w:proofErr w:type="spellStart"/>
      <w:r w:rsidRPr="0083270E">
        <w:rPr>
          <w:sz w:val="24"/>
          <w:szCs w:val="24"/>
          <w:lang w:val="da-DK"/>
        </w:rPr>
        <w:t>carbapenem</w:t>
      </w:r>
      <w:proofErr w:type="spellEnd"/>
      <w:r w:rsidRPr="0083270E">
        <w:rPr>
          <w:sz w:val="24"/>
          <w:szCs w:val="24"/>
          <w:lang w:val="da-DK"/>
        </w:rPr>
        <w:t xml:space="preserve"> eller </w:t>
      </w:r>
      <w:proofErr w:type="spellStart"/>
      <w:r w:rsidRPr="0083270E">
        <w:rPr>
          <w:sz w:val="24"/>
          <w:szCs w:val="24"/>
          <w:lang w:val="da-DK"/>
        </w:rPr>
        <w:t>monobactam</w:t>
      </w:r>
      <w:proofErr w:type="spellEnd"/>
      <w:r w:rsidRPr="0083270E">
        <w:rPr>
          <w:sz w:val="24"/>
          <w:szCs w:val="24"/>
          <w:lang w:val="da-DK"/>
        </w:rPr>
        <w:t>).</w:t>
      </w:r>
    </w:p>
    <w:p w14:paraId="60C7CCEE" w14:textId="77777777" w:rsidR="006E7021" w:rsidRPr="0083270E" w:rsidRDefault="006E7021" w:rsidP="006A2898">
      <w:pPr>
        <w:pStyle w:val="Listeafsnit"/>
        <w:numPr>
          <w:ilvl w:val="0"/>
          <w:numId w:val="10"/>
        </w:numPr>
        <w:spacing w:line="240" w:lineRule="auto"/>
        <w:ind w:left="1276" w:hanging="425"/>
        <w:rPr>
          <w:sz w:val="24"/>
          <w:szCs w:val="24"/>
          <w:lang w:val="da-DK"/>
        </w:rPr>
      </w:pPr>
      <w:r w:rsidRPr="0083270E">
        <w:rPr>
          <w:sz w:val="24"/>
          <w:szCs w:val="24"/>
          <w:lang w:val="da-DK"/>
        </w:rPr>
        <w:t xml:space="preserve">Anamnese med leverskade efter </w:t>
      </w:r>
      <w:proofErr w:type="spellStart"/>
      <w:r w:rsidRPr="0083270E">
        <w:rPr>
          <w:sz w:val="24"/>
          <w:szCs w:val="24"/>
          <w:lang w:val="da-DK"/>
        </w:rPr>
        <w:t>ampicillin</w:t>
      </w:r>
      <w:proofErr w:type="spellEnd"/>
      <w:r w:rsidRPr="0083270E">
        <w:rPr>
          <w:sz w:val="24"/>
          <w:szCs w:val="24"/>
          <w:lang w:val="da-DK"/>
        </w:rPr>
        <w:t>.</w:t>
      </w:r>
    </w:p>
    <w:p w14:paraId="6C0DB773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6543B3AE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Ved intramuskulær administration skal kontraindikationerne for </w:t>
      </w:r>
      <w:proofErr w:type="spellStart"/>
      <w:r w:rsidRPr="006A2898">
        <w:rPr>
          <w:sz w:val="24"/>
          <w:szCs w:val="24"/>
        </w:rPr>
        <w:t>lidocain</w:t>
      </w:r>
      <w:proofErr w:type="spellEnd"/>
      <w:r w:rsidRPr="006A2898">
        <w:rPr>
          <w:sz w:val="24"/>
          <w:szCs w:val="24"/>
        </w:rPr>
        <w:t xml:space="preserve"> overholdes.</w:t>
      </w:r>
    </w:p>
    <w:p w14:paraId="7151129E" w14:textId="77777777" w:rsidR="006E7021" w:rsidRPr="006A2898" w:rsidRDefault="006E7021" w:rsidP="006E7021">
      <w:pPr>
        <w:ind w:left="851"/>
        <w:rPr>
          <w:sz w:val="24"/>
          <w:szCs w:val="24"/>
        </w:rPr>
      </w:pPr>
      <w:bookmarkStart w:id="2" w:name="_Hlk72415982"/>
    </w:p>
    <w:p w14:paraId="4E4433A1" w14:textId="04A1E6AD" w:rsidR="006E7021" w:rsidRPr="006A2898" w:rsidRDefault="006E7021" w:rsidP="006E7021">
      <w:pPr>
        <w:ind w:left="851"/>
        <w:rPr>
          <w:snapToGrid w:val="0"/>
          <w:sz w:val="24"/>
          <w:szCs w:val="24"/>
        </w:rPr>
      </w:pPr>
      <w:r w:rsidRPr="006A2898">
        <w:rPr>
          <w:sz w:val="24"/>
          <w:szCs w:val="24"/>
        </w:rPr>
        <w:t xml:space="preserve">Intramuskulær administration af </w:t>
      </w:r>
      <w:proofErr w:type="spellStart"/>
      <w:r w:rsidR="006A2898">
        <w:rPr>
          <w:sz w:val="24"/>
          <w:szCs w:val="24"/>
        </w:rPr>
        <w:t>Ampicillin</w:t>
      </w:r>
      <w:proofErr w:type="spellEnd"/>
      <w:r w:rsidR="006A2898">
        <w:rPr>
          <w:sz w:val="24"/>
          <w:szCs w:val="24"/>
        </w:rPr>
        <w:t>/</w:t>
      </w:r>
      <w:proofErr w:type="spellStart"/>
      <w:r w:rsidR="006A2898">
        <w:rPr>
          <w:sz w:val="24"/>
          <w:szCs w:val="24"/>
        </w:rPr>
        <w:t>Sulbactam</w:t>
      </w:r>
      <w:proofErr w:type="spellEnd"/>
      <w:r w:rsidR="006A2898">
        <w:rPr>
          <w:sz w:val="24"/>
          <w:szCs w:val="24"/>
        </w:rPr>
        <w:t xml:space="preserve"> "</w:t>
      </w:r>
      <w:proofErr w:type="spellStart"/>
      <w:r w:rsidR="006A2898">
        <w:rPr>
          <w:sz w:val="24"/>
          <w:szCs w:val="24"/>
        </w:rPr>
        <w:t>Aptapharma</w:t>
      </w:r>
      <w:proofErr w:type="spellEnd"/>
      <w:r w:rsidR="006A2898">
        <w:rPr>
          <w:sz w:val="24"/>
          <w:szCs w:val="24"/>
        </w:rPr>
        <w:t>"</w:t>
      </w:r>
      <w:r w:rsidRPr="006A2898">
        <w:rPr>
          <w:sz w:val="24"/>
          <w:szCs w:val="24"/>
        </w:rPr>
        <w:t xml:space="preserve"> er kontraindiceret hos børn under 2 år.</w:t>
      </w:r>
      <w:bookmarkEnd w:id="2"/>
    </w:p>
    <w:p w14:paraId="6813669B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542B70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4.4</w:t>
      </w:r>
      <w:r w:rsidRPr="006A2898">
        <w:rPr>
          <w:b/>
          <w:sz w:val="24"/>
          <w:szCs w:val="24"/>
        </w:rPr>
        <w:tab/>
        <w:t>Særlige advarsler og forsigtighedsregler vedrørende brugen</w:t>
      </w:r>
    </w:p>
    <w:p w14:paraId="4A0BEC71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Der er rapporteret alvorlige og til tider dødelige overfølsomhedsreaktioner (</w:t>
      </w:r>
      <w:proofErr w:type="spellStart"/>
      <w:r w:rsidRPr="006A2898">
        <w:rPr>
          <w:sz w:val="24"/>
          <w:szCs w:val="24"/>
        </w:rPr>
        <w:t>anafylaktiske</w:t>
      </w:r>
      <w:proofErr w:type="spellEnd"/>
      <w:r w:rsidRPr="006A2898">
        <w:rPr>
          <w:sz w:val="24"/>
          <w:szCs w:val="24"/>
        </w:rPr>
        <w:t xml:space="preserve">) hos patienter i penicillinbehandling, herunder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>/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. Disse reaktioner er mere almindelige hos personer med overfølsomhed over for penicillin og/eller overfølsomhedsreaktioner over for flere allergener i anamnesen. </w:t>
      </w:r>
    </w:p>
    <w:p w14:paraId="467A759B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62FE8AE1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Der er rapporteret om personer med overfølsomhed over for penicillin i anamnesen, som har oplevet svære reaktioner, når de blev behandlet med </w:t>
      </w:r>
      <w:proofErr w:type="spellStart"/>
      <w:r w:rsidRPr="006A2898">
        <w:rPr>
          <w:sz w:val="24"/>
          <w:szCs w:val="24"/>
        </w:rPr>
        <w:t>cefalosporiner</w:t>
      </w:r>
      <w:proofErr w:type="spellEnd"/>
      <w:r w:rsidRPr="006A2898">
        <w:rPr>
          <w:sz w:val="24"/>
          <w:szCs w:val="24"/>
        </w:rPr>
        <w:t xml:space="preserve">. Før behandling med et penicillin skal der foretages omhyggelig undersøgelse vedrørende tidligere overfølsomhedsreaktioner over for penicilliner, </w:t>
      </w:r>
      <w:proofErr w:type="spellStart"/>
      <w:r w:rsidRPr="006A2898">
        <w:rPr>
          <w:sz w:val="24"/>
          <w:szCs w:val="24"/>
        </w:rPr>
        <w:t>cefalosporiner</w:t>
      </w:r>
      <w:proofErr w:type="spellEnd"/>
      <w:r w:rsidRPr="006A2898">
        <w:rPr>
          <w:sz w:val="24"/>
          <w:szCs w:val="24"/>
        </w:rPr>
        <w:t xml:space="preserve"> og andre allergener. Hvis en allergisk reaktion opstår, skal lægemidlet seponeres, og den relevante behandling iværksættes.</w:t>
      </w:r>
    </w:p>
    <w:p w14:paraId="5A22D631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05800AB1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Alvorlige </w:t>
      </w:r>
      <w:proofErr w:type="spellStart"/>
      <w:r w:rsidRPr="006A2898">
        <w:rPr>
          <w:sz w:val="24"/>
          <w:szCs w:val="24"/>
        </w:rPr>
        <w:t>anafylaktiske</w:t>
      </w:r>
      <w:proofErr w:type="spellEnd"/>
      <w:r w:rsidRPr="006A2898">
        <w:rPr>
          <w:sz w:val="24"/>
          <w:szCs w:val="24"/>
        </w:rPr>
        <w:t xml:space="preserve"> reaktioner kræver øjeblikkelig akut behandling med adrenalin. Ilt, intravenøse steroider og luftvejshåndtering, herunder </w:t>
      </w:r>
      <w:proofErr w:type="spellStart"/>
      <w:r w:rsidRPr="006A2898">
        <w:rPr>
          <w:sz w:val="24"/>
          <w:szCs w:val="24"/>
        </w:rPr>
        <w:t>intubation</w:t>
      </w:r>
      <w:proofErr w:type="spellEnd"/>
      <w:r w:rsidRPr="006A2898">
        <w:rPr>
          <w:sz w:val="24"/>
          <w:szCs w:val="24"/>
        </w:rPr>
        <w:t>, skal administreres som indiceret.</w:t>
      </w:r>
    </w:p>
    <w:p w14:paraId="1C26E991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1BDB1B2C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Der er rapporteret alvorlige hudreaktioner, såsom toksisk </w:t>
      </w:r>
      <w:proofErr w:type="spellStart"/>
      <w:r w:rsidRPr="006A2898">
        <w:rPr>
          <w:sz w:val="24"/>
          <w:szCs w:val="24"/>
        </w:rPr>
        <w:t>epidermal</w:t>
      </w:r>
      <w:proofErr w:type="spellEnd"/>
      <w:r w:rsidRPr="006A2898">
        <w:rPr>
          <w:sz w:val="24"/>
          <w:szCs w:val="24"/>
        </w:rPr>
        <w:t xml:space="preserve"> </w:t>
      </w:r>
      <w:proofErr w:type="spellStart"/>
      <w:r w:rsidRPr="006A2898">
        <w:rPr>
          <w:sz w:val="24"/>
          <w:szCs w:val="24"/>
        </w:rPr>
        <w:t>nekrolyse</w:t>
      </w:r>
      <w:proofErr w:type="spellEnd"/>
      <w:r w:rsidRPr="006A2898">
        <w:rPr>
          <w:sz w:val="24"/>
          <w:szCs w:val="24"/>
        </w:rPr>
        <w:t xml:space="preserve"> (TEN), Stevens-Johnson syndrom (SJS), </w:t>
      </w:r>
      <w:proofErr w:type="spellStart"/>
      <w:r w:rsidRPr="006A2898">
        <w:rPr>
          <w:sz w:val="24"/>
          <w:szCs w:val="24"/>
        </w:rPr>
        <w:t>eksfoliativ</w:t>
      </w:r>
      <w:proofErr w:type="spellEnd"/>
      <w:r w:rsidRPr="006A2898">
        <w:rPr>
          <w:sz w:val="24"/>
          <w:szCs w:val="24"/>
        </w:rPr>
        <w:t xml:space="preserve"> </w:t>
      </w:r>
      <w:proofErr w:type="spellStart"/>
      <w:r w:rsidRPr="006A2898">
        <w:rPr>
          <w:sz w:val="24"/>
          <w:szCs w:val="24"/>
        </w:rPr>
        <w:t>dermatitis</w:t>
      </w:r>
      <w:proofErr w:type="spellEnd"/>
      <w:r w:rsidRPr="006A2898">
        <w:rPr>
          <w:sz w:val="24"/>
          <w:szCs w:val="24"/>
        </w:rPr>
        <w:t xml:space="preserve">, </w:t>
      </w:r>
      <w:proofErr w:type="spellStart"/>
      <w:r w:rsidRPr="006A2898">
        <w:rPr>
          <w:sz w:val="24"/>
          <w:szCs w:val="24"/>
        </w:rPr>
        <w:t>erythema</w:t>
      </w:r>
      <w:proofErr w:type="spellEnd"/>
      <w:r w:rsidRPr="006A2898">
        <w:rPr>
          <w:sz w:val="24"/>
          <w:szCs w:val="24"/>
        </w:rPr>
        <w:t xml:space="preserve"> multiforme og akut generaliseret </w:t>
      </w:r>
      <w:proofErr w:type="spellStart"/>
      <w:r w:rsidRPr="006A2898">
        <w:rPr>
          <w:sz w:val="24"/>
          <w:szCs w:val="24"/>
        </w:rPr>
        <w:t>eksantematøs</w:t>
      </w:r>
      <w:proofErr w:type="spellEnd"/>
      <w:r w:rsidRPr="006A2898">
        <w:rPr>
          <w:sz w:val="24"/>
          <w:szCs w:val="24"/>
        </w:rPr>
        <w:t xml:space="preserve"> </w:t>
      </w:r>
      <w:proofErr w:type="spellStart"/>
      <w:r w:rsidRPr="006A2898">
        <w:rPr>
          <w:sz w:val="24"/>
          <w:szCs w:val="24"/>
        </w:rPr>
        <w:t>pustulose</w:t>
      </w:r>
      <w:proofErr w:type="spellEnd"/>
      <w:r w:rsidRPr="006A2898">
        <w:rPr>
          <w:sz w:val="24"/>
          <w:szCs w:val="24"/>
        </w:rPr>
        <w:t xml:space="preserve"> (AGEP) hos patienter i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>/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-behandling. Hvis en alvorlig hudreaktion opstår, skal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>/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seponeres, og passende behandling skal initieres (se pkt. 4.8).</w:t>
      </w:r>
    </w:p>
    <w:p w14:paraId="3FAE2301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1681A3CC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Som med ethvert antibiotisk præparat er konstant observation for tegn på overvækst af ikke-følsomme organismer, herunder svampe, afgørende. Hvis superinfektion opstår, skal lægemidlet seponeres og/eller passende behandling iværksættes.</w:t>
      </w:r>
    </w:p>
    <w:p w14:paraId="06759910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687DA705" w14:textId="77777777" w:rsidR="006E7021" w:rsidRPr="006A2898" w:rsidRDefault="006E7021" w:rsidP="006E7021">
      <w:pPr>
        <w:ind w:left="851"/>
        <w:rPr>
          <w:i/>
          <w:sz w:val="24"/>
          <w:szCs w:val="24"/>
        </w:rPr>
      </w:pPr>
      <w:proofErr w:type="spellStart"/>
      <w:r w:rsidRPr="006A2898">
        <w:rPr>
          <w:i/>
          <w:sz w:val="24"/>
          <w:szCs w:val="24"/>
        </w:rPr>
        <w:t>Clostridium</w:t>
      </w:r>
      <w:proofErr w:type="spellEnd"/>
      <w:r w:rsidRPr="006A2898">
        <w:rPr>
          <w:i/>
          <w:sz w:val="24"/>
          <w:szCs w:val="24"/>
        </w:rPr>
        <w:t xml:space="preserve"> difficile-associeret </w:t>
      </w:r>
      <w:r w:rsidRPr="006A2898">
        <w:rPr>
          <w:sz w:val="24"/>
          <w:szCs w:val="24"/>
        </w:rPr>
        <w:t xml:space="preserve">diarré (CDAD) er blevet rapporteret ved brug af næsten alle antibakterielle midler, herunder </w:t>
      </w:r>
      <w:proofErr w:type="spellStart"/>
      <w:r w:rsidRPr="006A2898">
        <w:rPr>
          <w:sz w:val="24"/>
          <w:szCs w:val="24"/>
        </w:rPr>
        <w:t>sulbactamnatrium</w:t>
      </w:r>
      <w:proofErr w:type="spellEnd"/>
      <w:r w:rsidRPr="006A2898">
        <w:rPr>
          <w:sz w:val="24"/>
          <w:szCs w:val="24"/>
        </w:rPr>
        <w:t>/</w:t>
      </w:r>
      <w:proofErr w:type="spellStart"/>
      <w:r w:rsidRPr="006A2898">
        <w:rPr>
          <w:sz w:val="24"/>
          <w:szCs w:val="24"/>
        </w:rPr>
        <w:t>ampicillinnatrium</w:t>
      </w:r>
      <w:proofErr w:type="spellEnd"/>
      <w:r w:rsidRPr="006A2898">
        <w:rPr>
          <w:sz w:val="24"/>
          <w:szCs w:val="24"/>
        </w:rPr>
        <w:t xml:space="preserve">, og kan variere i sværhedsgrad fra mild diarré til </w:t>
      </w:r>
      <w:proofErr w:type="gramStart"/>
      <w:r w:rsidRPr="006A2898">
        <w:rPr>
          <w:sz w:val="24"/>
          <w:szCs w:val="24"/>
        </w:rPr>
        <w:t>dødelig colitis</w:t>
      </w:r>
      <w:proofErr w:type="gramEnd"/>
      <w:r w:rsidRPr="006A2898">
        <w:rPr>
          <w:sz w:val="24"/>
          <w:szCs w:val="24"/>
        </w:rPr>
        <w:t xml:space="preserve">. Behandling med antibakterielle midler ændrer den normale flora i tyktarmen, hvilket fører til overvækst af </w:t>
      </w:r>
      <w:r w:rsidRPr="006A2898">
        <w:rPr>
          <w:i/>
          <w:sz w:val="24"/>
          <w:szCs w:val="24"/>
        </w:rPr>
        <w:t>C. difficile.</w:t>
      </w:r>
    </w:p>
    <w:p w14:paraId="377D4B1A" w14:textId="77777777" w:rsidR="006E7021" w:rsidRPr="006A2898" w:rsidRDefault="006E7021" w:rsidP="006E7021">
      <w:pPr>
        <w:ind w:left="851"/>
        <w:rPr>
          <w:i/>
          <w:sz w:val="24"/>
          <w:szCs w:val="24"/>
        </w:rPr>
      </w:pPr>
    </w:p>
    <w:p w14:paraId="5CB6E794" w14:textId="77777777" w:rsidR="006E7021" w:rsidRPr="006A2898" w:rsidRDefault="006E7021" w:rsidP="006E7021">
      <w:pPr>
        <w:ind w:left="851"/>
        <w:rPr>
          <w:sz w:val="24"/>
          <w:szCs w:val="24"/>
        </w:rPr>
      </w:pPr>
      <w:proofErr w:type="spellStart"/>
      <w:r w:rsidRPr="006A2898">
        <w:rPr>
          <w:i/>
          <w:sz w:val="24"/>
          <w:szCs w:val="24"/>
        </w:rPr>
        <w:t>Clostridium</w:t>
      </w:r>
      <w:proofErr w:type="spellEnd"/>
      <w:r w:rsidRPr="006A2898">
        <w:rPr>
          <w:i/>
          <w:sz w:val="24"/>
          <w:szCs w:val="24"/>
        </w:rPr>
        <w:t xml:space="preserve"> difficile </w:t>
      </w:r>
      <w:r w:rsidRPr="006A2898">
        <w:rPr>
          <w:sz w:val="24"/>
          <w:szCs w:val="24"/>
        </w:rPr>
        <w:t xml:space="preserve">producerer toksin A og B, som bidrager til udviklingen af CDAD. </w:t>
      </w:r>
      <w:proofErr w:type="spellStart"/>
      <w:r w:rsidRPr="006A2898">
        <w:rPr>
          <w:sz w:val="24"/>
          <w:szCs w:val="24"/>
        </w:rPr>
        <w:t>Hypertoksinproducerende</w:t>
      </w:r>
      <w:proofErr w:type="spellEnd"/>
      <w:r w:rsidRPr="006A2898">
        <w:rPr>
          <w:sz w:val="24"/>
          <w:szCs w:val="24"/>
        </w:rPr>
        <w:t xml:space="preserve"> stammer af </w:t>
      </w:r>
      <w:proofErr w:type="spellStart"/>
      <w:r w:rsidRPr="006A2898">
        <w:rPr>
          <w:i/>
          <w:sz w:val="24"/>
          <w:szCs w:val="24"/>
        </w:rPr>
        <w:t>Clostridium</w:t>
      </w:r>
      <w:proofErr w:type="spellEnd"/>
      <w:r w:rsidRPr="006A2898">
        <w:rPr>
          <w:i/>
          <w:sz w:val="24"/>
          <w:szCs w:val="24"/>
        </w:rPr>
        <w:t xml:space="preserve">. difficile </w:t>
      </w:r>
      <w:r w:rsidRPr="006A2898">
        <w:rPr>
          <w:sz w:val="24"/>
          <w:szCs w:val="24"/>
        </w:rPr>
        <w:t xml:space="preserve">forårsager øget morbiditet og dødelighed, da disse infektioner kan være refraktære over for antimikrobiel behandling og kan kræve </w:t>
      </w:r>
      <w:proofErr w:type="spellStart"/>
      <w:r w:rsidRPr="006A2898">
        <w:rPr>
          <w:sz w:val="24"/>
          <w:szCs w:val="24"/>
        </w:rPr>
        <w:t>kolektomi</w:t>
      </w:r>
      <w:proofErr w:type="spellEnd"/>
      <w:r w:rsidRPr="006A2898">
        <w:rPr>
          <w:sz w:val="24"/>
          <w:szCs w:val="24"/>
        </w:rPr>
        <w:t>. CDAD skal overvejes hos alle patienter, der får diarré efter brug af antibiotika. En grundig medicinsk historik er nødvendig, da CDAD er rapporteret at forekomme mere end 2 måneder efter administrationen af antibakterielle midler.</w:t>
      </w:r>
    </w:p>
    <w:p w14:paraId="6FDF0F60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5B5DC451" w14:textId="7A061E3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Som med enhver udvidet behandling anbefales det under </w:t>
      </w:r>
      <w:proofErr w:type="spellStart"/>
      <w:r w:rsidR="006A2898">
        <w:rPr>
          <w:sz w:val="24"/>
          <w:szCs w:val="24"/>
        </w:rPr>
        <w:t>Ampicillin</w:t>
      </w:r>
      <w:proofErr w:type="spellEnd"/>
      <w:r w:rsidR="006A2898">
        <w:rPr>
          <w:sz w:val="24"/>
          <w:szCs w:val="24"/>
        </w:rPr>
        <w:t>/</w:t>
      </w:r>
      <w:proofErr w:type="spellStart"/>
      <w:r w:rsidR="006A2898">
        <w:rPr>
          <w:sz w:val="24"/>
          <w:szCs w:val="24"/>
        </w:rPr>
        <w:t>Sulbactam</w:t>
      </w:r>
      <w:proofErr w:type="spellEnd"/>
      <w:r w:rsidR="006A2898">
        <w:rPr>
          <w:sz w:val="24"/>
          <w:szCs w:val="24"/>
        </w:rPr>
        <w:t xml:space="preserve"> "</w:t>
      </w:r>
      <w:proofErr w:type="spellStart"/>
      <w:r w:rsidR="006A2898">
        <w:rPr>
          <w:sz w:val="24"/>
          <w:szCs w:val="24"/>
        </w:rPr>
        <w:t>Aptapharma</w:t>
      </w:r>
      <w:proofErr w:type="spellEnd"/>
      <w:r w:rsidR="006A2898">
        <w:rPr>
          <w:sz w:val="24"/>
          <w:szCs w:val="24"/>
        </w:rPr>
        <w:t>"</w:t>
      </w:r>
      <w:r w:rsidRPr="006A2898">
        <w:rPr>
          <w:sz w:val="24"/>
          <w:szCs w:val="24"/>
        </w:rPr>
        <w:t xml:space="preserve">-behandlingen regelmæssigt at kontrollere for dysfunktion i nyre-, lever- og </w:t>
      </w:r>
      <w:proofErr w:type="spellStart"/>
      <w:r w:rsidRPr="006A2898">
        <w:rPr>
          <w:sz w:val="24"/>
          <w:szCs w:val="24"/>
        </w:rPr>
        <w:t>hæmatopoietiske</w:t>
      </w:r>
      <w:proofErr w:type="spellEnd"/>
      <w:r w:rsidRPr="006A2898">
        <w:rPr>
          <w:sz w:val="24"/>
          <w:szCs w:val="24"/>
        </w:rPr>
        <w:t xml:space="preserve"> systemer, især hos nyfødte, for tidligt fødte og andre spædbørn.</w:t>
      </w:r>
    </w:p>
    <w:p w14:paraId="37414DBD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5F501E3B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Lægemiddelinducerede levertraumer såsom </w:t>
      </w:r>
      <w:proofErr w:type="spellStart"/>
      <w:r w:rsidRPr="006A2898">
        <w:rPr>
          <w:sz w:val="24"/>
          <w:szCs w:val="24"/>
        </w:rPr>
        <w:t>kolestatisk</w:t>
      </w:r>
      <w:proofErr w:type="spellEnd"/>
      <w:r w:rsidRPr="006A2898">
        <w:rPr>
          <w:sz w:val="24"/>
          <w:szCs w:val="24"/>
        </w:rPr>
        <w:t xml:space="preserve"> hepatitis og gulsot er blevet forbundet med brugen af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>/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. Patienter skal rådes til at kontakte deres læge, hvis tegn og symptomer på leversygdom udvikler sig. </w:t>
      </w:r>
    </w:p>
    <w:p w14:paraId="1FA49DB8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09435EFC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Da infektiøs mononukleose er af viral oprindelse, bør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>/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ikke anvendes til behandlingen af det. En høj procentdel af patienter med mononukleose, der fik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, har udviklet et hududslæt. </w:t>
      </w:r>
      <w:proofErr w:type="spellStart"/>
      <w:r w:rsidRPr="006A2898">
        <w:rPr>
          <w:sz w:val="24"/>
          <w:szCs w:val="24"/>
        </w:rPr>
        <w:t>Ampicillinudslæt</w:t>
      </w:r>
      <w:proofErr w:type="spellEnd"/>
      <w:r w:rsidRPr="006A2898">
        <w:rPr>
          <w:sz w:val="24"/>
          <w:szCs w:val="24"/>
        </w:rPr>
        <w:t xml:space="preserve"> forekommer ofte også hos patienter med lymfatisk leukæmi.</w:t>
      </w:r>
    </w:p>
    <w:p w14:paraId="789F936E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1CE7D168" w14:textId="4C550372" w:rsidR="006E7021" w:rsidRPr="006A2898" w:rsidRDefault="006A2898" w:rsidP="006E7021">
      <w:pPr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Ampicillin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Sulbactam</w:t>
      </w:r>
      <w:proofErr w:type="spellEnd"/>
      <w:r>
        <w:rPr>
          <w:sz w:val="24"/>
          <w:szCs w:val="24"/>
          <w:u w:val="single"/>
        </w:rPr>
        <w:t xml:space="preserve"> "</w:t>
      </w:r>
      <w:proofErr w:type="spellStart"/>
      <w:r>
        <w:rPr>
          <w:sz w:val="24"/>
          <w:szCs w:val="24"/>
          <w:u w:val="single"/>
        </w:rPr>
        <w:t>Aptapharma</w:t>
      </w:r>
      <w:proofErr w:type="spellEnd"/>
      <w:r>
        <w:rPr>
          <w:sz w:val="24"/>
          <w:szCs w:val="24"/>
          <w:u w:val="single"/>
        </w:rPr>
        <w:t>"</w:t>
      </w:r>
      <w:r w:rsidR="006E7021" w:rsidRPr="006A2898">
        <w:rPr>
          <w:sz w:val="24"/>
          <w:szCs w:val="24"/>
          <w:u w:val="single"/>
        </w:rPr>
        <w:t xml:space="preserve"> 1 g/0,5 g </w:t>
      </w:r>
    </w:p>
    <w:p w14:paraId="045952BC" w14:textId="77777777" w:rsidR="006E7021" w:rsidRPr="006A2898" w:rsidRDefault="006E7021" w:rsidP="006E7021">
      <w:pPr>
        <w:ind w:left="851"/>
        <w:rPr>
          <w:rFonts w:eastAsia="Arial"/>
          <w:sz w:val="24"/>
          <w:szCs w:val="24"/>
        </w:rPr>
      </w:pPr>
      <w:r w:rsidRPr="006A2898">
        <w:rPr>
          <w:sz w:val="24"/>
          <w:szCs w:val="24"/>
        </w:rPr>
        <w:t>Dette lægemiddel indeholder 115 mg (5 mmol) natrium pr. hætteglas, svarende til 5,75 % af den WHO anbefalede maksimale daglige indtagelse af 2 g natrium for en voksen.</w:t>
      </w:r>
    </w:p>
    <w:p w14:paraId="71C7A280" w14:textId="77777777" w:rsidR="006E7021" w:rsidRPr="006A2898" w:rsidRDefault="006E7021" w:rsidP="006E7021">
      <w:pPr>
        <w:ind w:left="851"/>
        <w:rPr>
          <w:rFonts w:eastAsia="Calibri"/>
          <w:sz w:val="24"/>
          <w:szCs w:val="24"/>
        </w:rPr>
      </w:pPr>
    </w:p>
    <w:p w14:paraId="12B20F26" w14:textId="5352F536" w:rsidR="006E7021" w:rsidRPr="006A2898" w:rsidRDefault="006A2898" w:rsidP="006E7021">
      <w:pPr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Ampicillin</w:t>
      </w:r>
      <w:proofErr w:type="spellEnd"/>
      <w:r>
        <w:rPr>
          <w:sz w:val="24"/>
          <w:szCs w:val="24"/>
          <w:u w:val="single"/>
        </w:rPr>
        <w:t>/</w:t>
      </w:r>
      <w:proofErr w:type="spellStart"/>
      <w:r>
        <w:rPr>
          <w:sz w:val="24"/>
          <w:szCs w:val="24"/>
          <w:u w:val="single"/>
        </w:rPr>
        <w:t>Sulbactam</w:t>
      </w:r>
      <w:proofErr w:type="spellEnd"/>
      <w:r>
        <w:rPr>
          <w:sz w:val="24"/>
          <w:szCs w:val="24"/>
          <w:u w:val="single"/>
        </w:rPr>
        <w:t xml:space="preserve"> "</w:t>
      </w:r>
      <w:proofErr w:type="spellStart"/>
      <w:r>
        <w:rPr>
          <w:sz w:val="24"/>
          <w:szCs w:val="24"/>
          <w:u w:val="single"/>
        </w:rPr>
        <w:t>Aptapharma</w:t>
      </w:r>
      <w:proofErr w:type="spellEnd"/>
      <w:r>
        <w:rPr>
          <w:sz w:val="24"/>
          <w:szCs w:val="24"/>
          <w:u w:val="single"/>
        </w:rPr>
        <w:t>"</w:t>
      </w:r>
      <w:r w:rsidR="006E7021" w:rsidRPr="006A2898">
        <w:rPr>
          <w:sz w:val="24"/>
          <w:szCs w:val="24"/>
          <w:u w:val="single"/>
        </w:rPr>
        <w:t xml:space="preserve"> 2 g/1 g </w:t>
      </w:r>
    </w:p>
    <w:p w14:paraId="53FBE804" w14:textId="77777777" w:rsidR="006E7021" w:rsidRPr="006A2898" w:rsidRDefault="006E7021" w:rsidP="006E7021">
      <w:pPr>
        <w:ind w:left="851"/>
        <w:rPr>
          <w:rFonts w:eastAsia="Arial"/>
          <w:sz w:val="24"/>
          <w:szCs w:val="24"/>
        </w:rPr>
      </w:pPr>
      <w:r w:rsidRPr="006A2898">
        <w:rPr>
          <w:sz w:val="24"/>
          <w:szCs w:val="24"/>
        </w:rPr>
        <w:t>Dette lægemiddel indeholder 230 mg (10 mmol) natrium pr. hætteglas, svarende til 11,5 % af den WHO anbefalede maksimale daglige indtagelse af 2 g natrium for en voksen.</w:t>
      </w:r>
    </w:p>
    <w:p w14:paraId="6132887F" w14:textId="77777777" w:rsidR="006A2898" w:rsidRDefault="006A2898" w:rsidP="006E7021">
      <w:pPr>
        <w:ind w:left="851"/>
        <w:rPr>
          <w:sz w:val="24"/>
          <w:szCs w:val="24"/>
        </w:rPr>
      </w:pPr>
    </w:p>
    <w:p w14:paraId="70B96271" w14:textId="6831FFE3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En maksimal daglig dosis på 12 g (8 g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og 4 g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>) (se pkt. 4.2) vil resultere i et natriumindtag på 920,8 mg, hvilket svarer til 46 % af den WHO anbefalede maksimale daglige indtagelse af natrium og anses som ”højdosis” natrium. Natriumindholdet i dette lægemiddel skal især tages i betragtning hos patienter på en kontrolleret natriumdiæt.</w:t>
      </w:r>
    </w:p>
    <w:p w14:paraId="3A8EB527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FC86F90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4.5</w:t>
      </w:r>
      <w:r w:rsidRPr="006A2898">
        <w:rPr>
          <w:b/>
          <w:sz w:val="24"/>
          <w:szCs w:val="24"/>
        </w:rPr>
        <w:tab/>
        <w:t>Interaktion med andre lægemidler og andre former for interaktion</w:t>
      </w:r>
    </w:p>
    <w:p w14:paraId="498C5E9F" w14:textId="77777777" w:rsidR="006A2898" w:rsidRDefault="006A2898" w:rsidP="006E7021">
      <w:pPr>
        <w:ind w:left="851"/>
        <w:rPr>
          <w:sz w:val="24"/>
          <w:szCs w:val="24"/>
        </w:rPr>
      </w:pPr>
    </w:p>
    <w:p w14:paraId="3AE1E2B1" w14:textId="6AAB5297" w:rsidR="006E7021" w:rsidRPr="0083270E" w:rsidRDefault="006E7021" w:rsidP="006E7021">
      <w:pPr>
        <w:ind w:left="851"/>
        <w:rPr>
          <w:i/>
          <w:sz w:val="24"/>
          <w:szCs w:val="24"/>
        </w:rPr>
      </w:pPr>
      <w:proofErr w:type="spellStart"/>
      <w:r w:rsidRPr="0083270E">
        <w:rPr>
          <w:i/>
          <w:sz w:val="24"/>
          <w:szCs w:val="24"/>
        </w:rPr>
        <w:t>Allopurinol</w:t>
      </w:r>
      <w:proofErr w:type="spellEnd"/>
    </w:p>
    <w:p w14:paraId="06C27101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Samtidig administration af </w:t>
      </w:r>
      <w:proofErr w:type="spellStart"/>
      <w:r w:rsidRPr="006A2898">
        <w:rPr>
          <w:sz w:val="24"/>
          <w:szCs w:val="24"/>
        </w:rPr>
        <w:t>allopurinol</w:t>
      </w:r>
      <w:proofErr w:type="spellEnd"/>
      <w:r w:rsidRPr="006A2898">
        <w:rPr>
          <w:sz w:val="24"/>
          <w:szCs w:val="24"/>
        </w:rPr>
        <w:t xml:space="preserve"> og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øger forekomsten af udslæt betydeligt hos patienter, der får begge produkter, sammenlignet med patienter, der kun får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. </w:t>
      </w:r>
    </w:p>
    <w:p w14:paraId="6C75D886" w14:textId="77777777" w:rsidR="006E7021" w:rsidRPr="006A2898" w:rsidRDefault="006E7021" w:rsidP="006E7021">
      <w:pPr>
        <w:ind w:left="851"/>
        <w:rPr>
          <w:i/>
          <w:sz w:val="24"/>
          <w:szCs w:val="24"/>
        </w:rPr>
      </w:pPr>
    </w:p>
    <w:p w14:paraId="0000907C" w14:textId="77777777" w:rsidR="006E7021" w:rsidRPr="0083270E" w:rsidRDefault="006E7021" w:rsidP="006E7021">
      <w:pPr>
        <w:ind w:left="851"/>
        <w:rPr>
          <w:i/>
          <w:sz w:val="24"/>
          <w:szCs w:val="24"/>
        </w:rPr>
      </w:pPr>
      <w:proofErr w:type="spellStart"/>
      <w:r w:rsidRPr="0083270E">
        <w:rPr>
          <w:i/>
          <w:sz w:val="24"/>
          <w:szCs w:val="24"/>
        </w:rPr>
        <w:t>Aminoglycosider</w:t>
      </w:r>
      <w:proofErr w:type="spellEnd"/>
    </w:p>
    <w:p w14:paraId="30B385A4" w14:textId="77777777" w:rsidR="006E7021" w:rsidRPr="006A2898" w:rsidRDefault="006E7021" w:rsidP="006E7021">
      <w:pPr>
        <w:ind w:left="851"/>
        <w:rPr>
          <w:sz w:val="24"/>
          <w:szCs w:val="24"/>
          <w:u w:val="single"/>
        </w:rPr>
      </w:pPr>
      <w:r w:rsidRPr="006A2898">
        <w:rPr>
          <w:sz w:val="24"/>
          <w:szCs w:val="24"/>
        </w:rPr>
        <w:t xml:space="preserve">Blanding af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med </w:t>
      </w:r>
      <w:proofErr w:type="spellStart"/>
      <w:r w:rsidRPr="006A2898">
        <w:rPr>
          <w:sz w:val="24"/>
          <w:szCs w:val="24"/>
        </w:rPr>
        <w:t>aminoglycosider</w:t>
      </w:r>
      <w:proofErr w:type="spellEnd"/>
      <w:r w:rsidRPr="006A2898">
        <w:rPr>
          <w:sz w:val="24"/>
          <w:szCs w:val="24"/>
        </w:rPr>
        <w:t xml:space="preserve"> </w:t>
      </w:r>
      <w:r w:rsidRPr="006A2898">
        <w:rPr>
          <w:i/>
          <w:sz w:val="24"/>
          <w:szCs w:val="24"/>
        </w:rPr>
        <w:t xml:space="preserve">in </w:t>
      </w:r>
      <w:proofErr w:type="spellStart"/>
      <w:r w:rsidRPr="006A2898">
        <w:rPr>
          <w:i/>
          <w:sz w:val="24"/>
          <w:szCs w:val="24"/>
        </w:rPr>
        <w:t>vitro</w:t>
      </w:r>
      <w:proofErr w:type="spellEnd"/>
      <w:r w:rsidRPr="006A2898">
        <w:rPr>
          <w:i/>
          <w:sz w:val="24"/>
          <w:szCs w:val="24"/>
        </w:rPr>
        <w:t xml:space="preserve"> </w:t>
      </w:r>
      <w:r w:rsidRPr="006A2898">
        <w:rPr>
          <w:sz w:val="24"/>
          <w:szCs w:val="24"/>
        </w:rPr>
        <w:t>har resulteret i væsentlig gensidig inaktivering. Hvis disse grupper af antibakterielle midler skal administreres samtidigt, skal de administreres på separate steder med mindst 1 times mellemrum (se pkt. 6.2)</w:t>
      </w:r>
    </w:p>
    <w:p w14:paraId="721ABEF1" w14:textId="77777777" w:rsidR="006E7021" w:rsidRPr="006A2898" w:rsidRDefault="006E7021" w:rsidP="006E7021">
      <w:pPr>
        <w:ind w:left="851"/>
        <w:rPr>
          <w:sz w:val="24"/>
          <w:szCs w:val="24"/>
          <w:u w:val="single"/>
        </w:rPr>
      </w:pPr>
    </w:p>
    <w:p w14:paraId="071C0D6E" w14:textId="77777777" w:rsidR="006E7021" w:rsidRPr="0083270E" w:rsidRDefault="006E7021" w:rsidP="006E7021">
      <w:pPr>
        <w:ind w:left="851"/>
        <w:rPr>
          <w:i/>
          <w:sz w:val="24"/>
          <w:szCs w:val="24"/>
        </w:rPr>
      </w:pPr>
      <w:proofErr w:type="spellStart"/>
      <w:r w:rsidRPr="0083270E">
        <w:rPr>
          <w:i/>
          <w:sz w:val="24"/>
          <w:szCs w:val="24"/>
        </w:rPr>
        <w:t>Antikoagulantia</w:t>
      </w:r>
      <w:proofErr w:type="spellEnd"/>
    </w:p>
    <w:p w14:paraId="5A3BDB66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Parenterale penicilliner kan producere ændringer i </w:t>
      </w:r>
      <w:proofErr w:type="spellStart"/>
      <w:r w:rsidRPr="006A2898">
        <w:rPr>
          <w:sz w:val="24"/>
          <w:szCs w:val="24"/>
        </w:rPr>
        <w:t>trombocytaggregations</w:t>
      </w:r>
      <w:proofErr w:type="spellEnd"/>
      <w:r w:rsidRPr="006A2898">
        <w:rPr>
          <w:sz w:val="24"/>
          <w:szCs w:val="24"/>
        </w:rPr>
        <w:t xml:space="preserve">- og koagulationstest. Disse virkninger kan være </w:t>
      </w:r>
      <w:proofErr w:type="spellStart"/>
      <w:r w:rsidRPr="006A2898">
        <w:rPr>
          <w:sz w:val="24"/>
          <w:szCs w:val="24"/>
        </w:rPr>
        <w:t>additive</w:t>
      </w:r>
      <w:proofErr w:type="spellEnd"/>
      <w:r w:rsidRPr="006A2898">
        <w:rPr>
          <w:sz w:val="24"/>
          <w:szCs w:val="24"/>
        </w:rPr>
        <w:t xml:space="preserve"> med </w:t>
      </w:r>
      <w:proofErr w:type="spellStart"/>
      <w:r w:rsidRPr="006A2898">
        <w:rPr>
          <w:sz w:val="24"/>
          <w:szCs w:val="24"/>
        </w:rPr>
        <w:t>antikoagulantia</w:t>
      </w:r>
      <w:proofErr w:type="spellEnd"/>
      <w:r w:rsidRPr="006A2898">
        <w:rPr>
          <w:sz w:val="24"/>
          <w:szCs w:val="24"/>
        </w:rPr>
        <w:t>.</w:t>
      </w:r>
    </w:p>
    <w:p w14:paraId="455CB8DD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112CC3D7" w14:textId="77777777" w:rsidR="006E7021" w:rsidRPr="0083270E" w:rsidRDefault="006E7021" w:rsidP="006E7021">
      <w:pPr>
        <w:ind w:left="851"/>
        <w:rPr>
          <w:i/>
          <w:sz w:val="24"/>
          <w:szCs w:val="24"/>
        </w:rPr>
      </w:pPr>
      <w:proofErr w:type="spellStart"/>
      <w:r w:rsidRPr="0083270E">
        <w:rPr>
          <w:i/>
          <w:sz w:val="24"/>
          <w:szCs w:val="24"/>
        </w:rPr>
        <w:t>Bakteriostatiske</w:t>
      </w:r>
      <w:proofErr w:type="spellEnd"/>
      <w:r w:rsidRPr="0083270E">
        <w:rPr>
          <w:i/>
          <w:sz w:val="24"/>
          <w:szCs w:val="24"/>
        </w:rPr>
        <w:t xml:space="preserve"> lægemidler (</w:t>
      </w:r>
      <w:proofErr w:type="spellStart"/>
      <w:r w:rsidRPr="0083270E">
        <w:rPr>
          <w:i/>
          <w:sz w:val="24"/>
          <w:szCs w:val="24"/>
        </w:rPr>
        <w:t>chloramphenicol</w:t>
      </w:r>
      <w:proofErr w:type="spellEnd"/>
      <w:r w:rsidRPr="0083270E">
        <w:rPr>
          <w:i/>
          <w:sz w:val="24"/>
          <w:szCs w:val="24"/>
        </w:rPr>
        <w:t xml:space="preserve">, </w:t>
      </w:r>
      <w:proofErr w:type="spellStart"/>
      <w:r w:rsidRPr="0083270E">
        <w:rPr>
          <w:i/>
          <w:sz w:val="24"/>
          <w:szCs w:val="24"/>
        </w:rPr>
        <w:t>erythromycin</w:t>
      </w:r>
      <w:proofErr w:type="spellEnd"/>
      <w:r w:rsidRPr="0083270E">
        <w:rPr>
          <w:i/>
          <w:sz w:val="24"/>
          <w:szCs w:val="24"/>
        </w:rPr>
        <w:t xml:space="preserve">, sulfonamider og </w:t>
      </w:r>
      <w:proofErr w:type="spellStart"/>
      <w:r w:rsidRPr="0083270E">
        <w:rPr>
          <w:i/>
          <w:sz w:val="24"/>
          <w:szCs w:val="24"/>
        </w:rPr>
        <w:t>tetracykliner</w:t>
      </w:r>
      <w:proofErr w:type="spellEnd"/>
      <w:r w:rsidRPr="0083270E">
        <w:rPr>
          <w:i/>
          <w:sz w:val="24"/>
          <w:szCs w:val="24"/>
        </w:rPr>
        <w:t>)</w:t>
      </w:r>
    </w:p>
    <w:p w14:paraId="7D61C281" w14:textId="77777777" w:rsidR="006E7021" w:rsidRPr="006A2898" w:rsidRDefault="006E7021" w:rsidP="006E7021">
      <w:pPr>
        <w:ind w:left="851"/>
        <w:rPr>
          <w:sz w:val="24"/>
          <w:szCs w:val="24"/>
        </w:rPr>
      </w:pPr>
      <w:proofErr w:type="spellStart"/>
      <w:r w:rsidRPr="006A2898">
        <w:rPr>
          <w:sz w:val="24"/>
          <w:szCs w:val="24"/>
        </w:rPr>
        <w:t>Bakteriostatiske</w:t>
      </w:r>
      <w:proofErr w:type="spellEnd"/>
      <w:r w:rsidRPr="006A2898">
        <w:rPr>
          <w:sz w:val="24"/>
          <w:szCs w:val="24"/>
        </w:rPr>
        <w:t xml:space="preserve"> lægemidler kan interferere med penicilliners bakteriedræbende virkning.  Samtidig behandling bør undgås.</w:t>
      </w:r>
    </w:p>
    <w:p w14:paraId="2A6FBFEF" w14:textId="77777777" w:rsidR="006E7021" w:rsidRPr="006A2898" w:rsidRDefault="006E7021" w:rsidP="006E7021">
      <w:pPr>
        <w:ind w:left="851"/>
        <w:rPr>
          <w:sz w:val="24"/>
          <w:szCs w:val="24"/>
          <w:u w:val="single"/>
        </w:rPr>
      </w:pPr>
    </w:p>
    <w:p w14:paraId="1C22EB0D" w14:textId="77777777" w:rsidR="006E7021" w:rsidRPr="0083270E" w:rsidRDefault="006E7021" w:rsidP="006E7021">
      <w:pPr>
        <w:ind w:left="851"/>
        <w:rPr>
          <w:i/>
          <w:sz w:val="24"/>
          <w:szCs w:val="24"/>
        </w:rPr>
      </w:pPr>
      <w:proofErr w:type="spellStart"/>
      <w:r w:rsidRPr="0083270E">
        <w:rPr>
          <w:i/>
          <w:sz w:val="24"/>
          <w:szCs w:val="24"/>
        </w:rPr>
        <w:t>Methotrexat</w:t>
      </w:r>
      <w:proofErr w:type="spellEnd"/>
    </w:p>
    <w:p w14:paraId="02A0002F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Samtidig brug af penicilliner har resulteret i nedsat </w:t>
      </w:r>
      <w:proofErr w:type="spellStart"/>
      <w:r w:rsidRPr="006A2898">
        <w:rPr>
          <w:sz w:val="24"/>
          <w:szCs w:val="24"/>
        </w:rPr>
        <w:t>clearance</w:t>
      </w:r>
      <w:proofErr w:type="spellEnd"/>
      <w:r w:rsidRPr="006A2898">
        <w:rPr>
          <w:sz w:val="24"/>
          <w:szCs w:val="24"/>
        </w:rPr>
        <w:t xml:space="preserve"> af </w:t>
      </w:r>
      <w:proofErr w:type="spellStart"/>
      <w:r w:rsidRPr="006A2898">
        <w:rPr>
          <w:sz w:val="24"/>
          <w:szCs w:val="24"/>
        </w:rPr>
        <w:t>methotrexat</w:t>
      </w:r>
      <w:proofErr w:type="spellEnd"/>
      <w:r w:rsidRPr="006A2898">
        <w:rPr>
          <w:sz w:val="24"/>
          <w:szCs w:val="24"/>
        </w:rPr>
        <w:t xml:space="preserve">, og denne effekt resulterer i øget </w:t>
      </w:r>
      <w:proofErr w:type="spellStart"/>
      <w:r w:rsidRPr="006A2898">
        <w:rPr>
          <w:sz w:val="24"/>
          <w:szCs w:val="24"/>
        </w:rPr>
        <w:t>methotrexat</w:t>
      </w:r>
      <w:proofErr w:type="spellEnd"/>
      <w:r w:rsidRPr="006A2898">
        <w:rPr>
          <w:sz w:val="24"/>
          <w:szCs w:val="24"/>
        </w:rPr>
        <w:t xml:space="preserve">-toksicitet. Patienterne skal monitoreres nøje. </w:t>
      </w:r>
      <w:proofErr w:type="spellStart"/>
      <w:r w:rsidRPr="006A2898">
        <w:rPr>
          <w:sz w:val="24"/>
          <w:szCs w:val="24"/>
        </w:rPr>
        <w:t>Leucovorin</w:t>
      </w:r>
      <w:proofErr w:type="spellEnd"/>
      <w:r w:rsidRPr="006A2898">
        <w:rPr>
          <w:sz w:val="24"/>
          <w:szCs w:val="24"/>
        </w:rPr>
        <w:t xml:space="preserve"> doser skal muligvis øges og administreres i længere perioder.</w:t>
      </w:r>
    </w:p>
    <w:p w14:paraId="4F33AFDD" w14:textId="7A80D9F5" w:rsidR="00A20A4C" w:rsidRDefault="00A20A4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368E14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0CEE9240" w14:textId="77777777" w:rsidR="006E7021" w:rsidRPr="0083270E" w:rsidRDefault="006E7021" w:rsidP="006E7021">
      <w:pPr>
        <w:ind w:left="851"/>
        <w:rPr>
          <w:i/>
          <w:sz w:val="24"/>
          <w:szCs w:val="24"/>
        </w:rPr>
      </w:pPr>
      <w:proofErr w:type="spellStart"/>
      <w:r w:rsidRPr="0083270E">
        <w:rPr>
          <w:i/>
          <w:sz w:val="24"/>
          <w:szCs w:val="24"/>
        </w:rPr>
        <w:t>Probenecid</w:t>
      </w:r>
      <w:proofErr w:type="spellEnd"/>
    </w:p>
    <w:p w14:paraId="376D4704" w14:textId="77777777" w:rsidR="006E7021" w:rsidRPr="006A2898" w:rsidRDefault="006E7021" w:rsidP="006E7021">
      <w:pPr>
        <w:ind w:left="851"/>
        <w:rPr>
          <w:sz w:val="24"/>
          <w:szCs w:val="24"/>
        </w:rPr>
      </w:pPr>
      <w:proofErr w:type="spellStart"/>
      <w:r w:rsidRPr="006A2898">
        <w:rPr>
          <w:sz w:val="24"/>
          <w:szCs w:val="24"/>
        </w:rPr>
        <w:t>Probenecid</w:t>
      </w:r>
      <w:proofErr w:type="spellEnd"/>
      <w:r w:rsidRPr="006A2898">
        <w:rPr>
          <w:sz w:val="24"/>
          <w:szCs w:val="24"/>
        </w:rPr>
        <w:t xml:space="preserve"> nedsætter </w:t>
      </w:r>
      <w:proofErr w:type="spellStart"/>
      <w:r w:rsidRPr="006A2898">
        <w:rPr>
          <w:sz w:val="24"/>
          <w:szCs w:val="24"/>
        </w:rPr>
        <w:t>renal</w:t>
      </w:r>
      <w:proofErr w:type="spellEnd"/>
      <w:r w:rsidRPr="006A2898">
        <w:rPr>
          <w:sz w:val="24"/>
          <w:szCs w:val="24"/>
        </w:rPr>
        <w:t xml:space="preserve"> </w:t>
      </w:r>
      <w:proofErr w:type="spellStart"/>
      <w:r w:rsidRPr="006A2898">
        <w:rPr>
          <w:sz w:val="24"/>
          <w:szCs w:val="24"/>
        </w:rPr>
        <w:t>tubulær</w:t>
      </w:r>
      <w:proofErr w:type="spellEnd"/>
      <w:r w:rsidRPr="006A2898">
        <w:rPr>
          <w:sz w:val="24"/>
          <w:szCs w:val="24"/>
        </w:rPr>
        <w:t xml:space="preserve"> sekretion af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og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>, når de anvendes samtidigt; denne effekt resulterer i øgede og forlængede serumkoncentrationer, forlænget eliminationshalveringstid og øget risiko for toksicitet.</w:t>
      </w:r>
    </w:p>
    <w:p w14:paraId="764A2CE8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16A9B2ED" w14:textId="77777777" w:rsidR="006E7021" w:rsidRPr="0083270E" w:rsidRDefault="006E7021" w:rsidP="006E7021">
      <w:pPr>
        <w:ind w:left="851"/>
        <w:rPr>
          <w:i/>
          <w:sz w:val="24"/>
          <w:szCs w:val="24"/>
        </w:rPr>
      </w:pPr>
      <w:r w:rsidRPr="0083270E">
        <w:rPr>
          <w:i/>
          <w:sz w:val="24"/>
          <w:szCs w:val="24"/>
        </w:rPr>
        <w:t xml:space="preserve">Interaktioner ved laboratorieprøver </w:t>
      </w:r>
    </w:p>
    <w:p w14:paraId="0741DE48" w14:textId="02BA0D3C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Falsk positiv </w:t>
      </w:r>
      <w:proofErr w:type="spellStart"/>
      <w:r w:rsidRPr="006A2898">
        <w:rPr>
          <w:sz w:val="24"/>
          <w:szCs w:val="24"/>
        </w:rPr>
        <w:t>glycosuri</w:t>
      </w:r>
      <w:proofErr w:type="spellEnd"/>
      <w:r w:rsidRPr="006A2898">
        <w:rPr>
          <w:sz w:val="24"/>
          <w:szCs w:val="24"/>
        </w:rPr>
        <w:t xml:space="preserve"> kan ses ved urinanalyse ved hjælp af Benedict-reagens, </w:t>
      </w:r>
      <w:proofErr w:type="spellStart"/>
      <w:r w:rsidRPr="006A2898">
        <w:rPr>
          <w:sz w:val="24"/>
          <w:szCs w:val="24"/>
        </w:rPr>
        <w:t>Fehling</w:t>
      </w:r>
      <w:proofErr w:type="spellEnd"/>
      <w:r w:rsidRPr="006A2898">
        <w:rPr>
          <w:sz w:val="24"/>
          <w:szCs w:val="24"/>
        </w:rPr>
        <w:t xml:space="preserve">-reagens og </w:t>
      </w:r>
      <w:proofErr w:type="spellStart"/>
      <w:r w:rsidRPr="006A2898">
        <w:rPr>
          <w:sz w:val="24"/>
          <w:szCs w:val="24"/>
        </w:rPr>
        <w:t>Clinitest</w:t>
      </w:r>
      <w:proofErr w:type="spellEnd"/>
      <w:r w:rsidRPr="006A2898">
        <w:rPr>
          <w:sz w:val="24"/>
          <w:szCs w:val="24"/>
        </w:rPr>
        <w:t xml:space="preserve">. Efter administration af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til gravide kvinder er der set et forbigående fald i plasmakoncentrationen af total konjugeret </w:t>
      </w:r>
      <w:proofErr w:type="spellStart"/>
      <w:r w:rsidRPr="006A2898">
        <w:rPr>
          <w:sz w:val="24"/>
          <w:szCs w:val="24"/>
        </w:rPr>
        <w:t>estriol</w:t>
      </w:r>
      <w:proofErr w:type="spellEnd"/>
      <w:r w:rsidRPr="006A2898">
        <w:rPr>
          <w:sz w:val="24"/>
          <w:szCs w:val="24"/>
        </w:rPr>
        <w:t xml:space="preserve">, </w:t>
      </w:r>
      <w:proofErr w:type="spellStart"/>
      <w:r w:rsidRPr="006A2898">
        <w:rPr>
          <w:sz w:val="24"/>
          <w:szCs w:val="24"/>
        </w:rPr>
        <w:t>estriol-glucuronid</w:t>
      </w:r>
      <w:proofErr w:type="spellEnd"/>
      <w:r w:rsidRPr="006A2898">
        <w:rPr>
          <w:sz w:val="24"/>
          <w:szCs w:val="24"/>
        </w:rPr>
        <w:t xml:space="preserve">, konjugeret </w:t>
      </w:r>
      <w:proofErr w:type="spellStart"/>
      <w:r w:rsidRPr="006A2898">
        <w:rPr>
          <w:sz w:val="24"/>
          <w:szCs w:val="24"/>
        </w:rPr>
        <w:t>estron</w:t>
      </w:r>
      <w:proofErr w:type="spellEnd"/>
      <w:r w:rsidRPr="006A2898">
        <w:rPr>
          <w:sz w:val="24"/>
          <w:szCs w:val="24"/>
        </w:rPr>
        <w:t xml:space="preserve"> og </w:t>
      </w:r>
      <w:proofErr w:type="spellStart"/>
      <w:r w:rsidRPr="006A2898">
        <w:rPr>
          <w:sz w:val="24"/>
          <w:szCs w:val="24"/>
        </w:rPr>
        <w:t>estradiol</w:t>
      </w:r>
      <w:proofErr w:type="spellEnd"/>
      <w:r w:rsidRPr="006A2898">
        <w:rPr>
          <w:sz w:val="24"/>
          <w:szCs w:val="24"/>
        </w:rPr>
        <w:t xml:space="preserve">. Denne effekt kan også forekomme ved injektion af </w:t>
      </w:r>
      <w:proofErr w:type="spellStart"/>
      <w:r w:rsidR="006A2898">
        <w:rPr>
          <w:sz w:val="24"/>
          <w:szCs w:val="24"/>
        </w:rPr>
        <w:t>Ampicillin</w:t>
      </w:r>
      <w:proofErr w:type="spellEnd"/>
      <w:r w:rsidR="006A2898">
        <w:rPr>
          <w:sz w:val="24"/>
          <w:szCs w:val="24"/>
        </w:rPr>
        <w:t>/</w:t>
      </w:r>
      <w:proofErr w:type="spellStart"/>
      <w:r w:rsidR="006A2898">
        <w:rPr>
          <w:sz w:val="24"/>
          <w:szCs w:val="24"/>
        </w:rPr>
        <w:t>Sulbactam</w:t>
      </w:r>
      <w:proofErr w:type="spellEnd"/>
      <w:r w:rsidR="006A2898">
        <w:rPr>
          <w:sz w:val="24"/>
          <w:szCs w:val="24"/>
        </w:rPr>
        <w:t xml:space="preserve"> "</w:t>
      </w:r>
      <w:proofErr w:type="spellStart"/>
      <w:r w:rsidR="006A2898">
        <w:rPr>
          <w:sz w:val="24"/>
          <w:szCs w:val="24"/>
        </w:rPr>
        <w:t>Aptapharma</w:t>
      </w:r>
      <w:proofErr w:type="spellEnd"/>
      <w:r w:rsidR="006A2898">
        <w:rPr>
          <w:sz w:val="24"/>
          <w:szCs w:val="24"/>
        </w:rPr>
        <w:t>"</w:t>
      </w:r>
      <w:r w:rsidRPr="006A2898">
        <w:rPr>
          <w:sz w:val="24"/>
          <w:szCs w:val="24"/>
        </w:rPr>
        <w:t>.</w:t>
      </w:r>
    </w:p>
    <w:p w14:paraId="3EF64C79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E0A151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4.6</w:t>
      </w:r>
      <w:r w:rsidRPr="006A2898">
        <w:rPr>
          <w:b/>
          <w:sz w:val="24"/>
          <w:szCs w:val="24"/>
        </w:rPr>
        <w:tab/>
      </w:r>
      <w:r w:rsidR="0071241E" w:rsidRPr="006A2898">
        <w:rPr>
          <w:b/>
          <w:sz w:val="24"/>
          <w:szCs w:val="24"/>
        </w:rPr>
        <w:t>Fertilitet, g</w:t>
      </w:r>
      <w:r w:rsidRPr="006A2898">
        <w:rPr>
          <w:b/>
          <w:sz w:val="24"/>
          <w:szCs w:val="24"/>
        </w:rPr>
        <w:t>raviditet og amning</w:t>
      </w:r>
    </w:p>
    <w:p w14:paraId="4071FF85" w14:textId="77777777" w:rsidR="0083270E" w:rsidRDefault="0083270E" w:rsidP="006E7021">
      <w:pPr>
        <w:ind w:left="851"/>
        <w:rPr>
          <w:sz w:val="24"/>
          <w:szCs w:val="24"/>
        </w:rPr>
      </w:pPr>
    </w:p>
    <w:p w14:paraId="25447477" w14:textId="002FAFA5" w:rsidR="006E7021" w:rsidRPr="0083270E" w:rsidRDefault="006E7021" w:rsidP="006E7021">
      <w:pPr>
        <w:ind w:left="851"/>
        <w:rPr>
          <w:sz w:val="24"/>
          <w:szCs w:val="24"/>
          <w:u w:val="single"/>
        </w:rPr>
      </w:pPr>
      <w:r w:rsidRPr="0083270E">
        <w:rPr>
          <w:sz w:val="24"/>
          <w:szCs w:val="24"/>
          <w:u w:val="single"/>
        </w:rPr>
        <w:t>Graviditet</w:t>
      </w:r>
    </w:p>
    <w:p w14:paraId="4E34BCBE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Reproduktionsstudier på dyr har ikke vist </w:t>
      </w:r>
      <w:proofErr w:type="spellStart"/>
      <w:r w:rsidRPr="006A2898">
        <w:rPr>
          <w:sz w:val="24"/>
          <w:szCs w:val="24"/>
        </w:rPr>
        <w:t>føtotoksiske</w:t>
      </w:r>
      <w:proofErr w:type="spellEnd"/>
      <w:r w:rsidRPr="006A2898">
        <w:rPr>
          <w:sz w:val="24"/>
          <w:szCs w:val="24"/>
        </w:rPr>
        <w:t xml:space="preserve"> virkninger af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eller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.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og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krydser placentabarrieren. </w:t>
      </w:r>
    </w:p>
    <w:p w14:paraId="583991C0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33994C97" w14:textId="5A1771B1" w:rsidR="006E7021" w:rsidRPr="006A2898" w:rsidRDefault="006E7021" w:rsidP="006E7021">
      <w:pPr>
        <w:ind w:left="851"/>
        <w:rPr>
          <w:b/>
          <w:sz w:val="24"/>
          <w:szCs w:val="24"/>
        </w:rPr>
      </w:pPr>
      <w:r w:rsidRPr="006A2898">
        <w:rPr>
          <w:sz w:val="24"/>
          <w:szCs w:val="24"/>
        </w:rPr>
        <w:t xml:space="preserve">Sikkerheden ved brug under graviditet er ikke fastlagt. </w:t>
      </w:r>
      <w:r w:rsidRPr="006A2898">
        <w:rPr>
          <w:b/>
          <w:sz w:val="24"/>
          <w:szCs w:val="24"/>
        </w:rPr>
        <w:t xml:space="preserve">Derfor bør </w:t>
      </w:r>
      <w:proofErr w:type="spellStart"/>
      <w:r w:rsidR="006A2898">
        <w:rPr>
          <w:b/>
          <w:sz w:val="24"/>
          <w:szCs w:val="24"/>
        </w:rPr>
        <w:t>Ampicillin</w:t>
      </w:r>
      <w:proofErr w:type="spellEnd"/>
      <w:r w:rsidR="006A2898">
        <w:rPr>
          <w:b/>
          <w:sz w:val="24"/>
          <w:szCs w:val="24"/>
        </w:rPr>
        <w:t>/</w:t>
      </w:r>
      <w:proofErr w:type="spellStart"/>
      <w:r w:rsidR="006A2898">
        <w:rPr>
          <w:b/>
          <w:sz w:val="24"/>
          <w:szCs w:val="24"/>
        </w:rPr>
        <w:t>Sulbactam</w:t>
      </w:r>
      <w:proofErr w:type="spellEnd"/>
      <w:r w:rsidR="006A2898">
        <w:rPr>
          <w:b/>
          <w:sz w:val="24"/>
          <w:szCs w:val="24"/>
        </w:rPr>
        <w:t xml:space="preserve"> "</w:t>
      </w:r>
      <w:proofErr w:type="spellStart"/>
      <w:r w:rsidR="006A2898">
        <w:rPr>
          <w:b/>
          <w:sz w:val="24"/>
          <w:szCs w:val="24"/>
        </w:rPr>
        <w:t>Aptapharma</w:t>
      </w:r>
      <w:proofErr w:type="spellEnd"/>
      <w:r w:rsidR="006A2898">
        <w:rPr>
          <w:b/>
          <w:sz w:val="24"/>
          <w:szCs w:val="24"/>
        </w:rPr>
        <w:t>"</w:t>
      </w:r>
      <w:r w:rsidRPr="006A2898">
        <w:rPr>
          <w:b/>
          <w:sz w:val="24"/>
          <w:szCs w:val="24"/>
        </w:rPr>
        <w:t xml:space="preserve"> ikke anvendes under graviditet, medmindre den forventede fordel opvejer eventuelle potentielle risici.</w:t>
      </w:r>
    </w:p>
    <w:p w14:paraId="1B1C0E88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1E662A6F" w14:textId="77777777" w:rsidR="006E7021" w:rsidRPr="0083270E" w:rsidRDefault="006E7021" w:rsidP="006E7021">
      <w:pPr>
        <w:ind w:left="851"/>
        <w:rPr>
          <w:sz w:val="24"/>
          <w:szCs w:val="24"/>
          <w:u w:val="single"/>
        </w:rPr>
      </w:pPr>
      <w:r w:rsidRPr="0083270E">
        <w:rPr>
          <w:sz w:val="24"/>
          <w:szCs w:val="24"/>
          <w:u w:val="single"/>
        </w:rPr>
        <w:t>Amning</w:t>
      </w:r>
    </w:p>
    <w:p w14:paraId="5076B28C" w14:textId="77777777" w:rsidR="006E7021" w:rsidRPr="006A2898" w:rsidRDefault="006E7021" w:rsidP="006E7021">
      <w:pPr>
        <w:ind w:left="851"/>
        <w:rPr>
          <w:sz w:val="24"/>
          <w:szCs w:val="24"/>
        </w:rPr>
      </w:pP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og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udskilles i human mælk ved lave koncentrationer (henholdsvis 0,11</w:t>
      </w:r>
      <w:r w:rsidRPr="006A2898">
        <w:rPr>
          <w:sz w:val="24"/>
          <w:szCs w:val="24"/>
        </w:rPr>
        <w:noBreakHyphen/>
        <w:t xml:space="preserve">3 mg/l og 0,13-2,8 mg/l). </w:t>
      </w:r>
    </w:p>
    <w:p w14:paraId="74AC96F9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1C28C0CD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Hos ammende mødre kan brugen af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og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forårsage diarré hos barnet.</w:t>
      </w:r>
    </w:p>
    <w:p w14:paraId="62793324" w14:textId="77777777" w:rsidR="006E7021" w:rsidRPr="006A2898" w:rsidRDefault="006E7021" w:rsidP="006E7021">
      <w:pPr>
        <w:ind w:left="851"/>
        <w:rPr>
          <w:sz w:val="24"/>
          <w:szCs w:val="24"/>
        </w:rPr>
      </w:pP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og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bør kun anvendes under amning, hvis den potentielle fordel opvejer den potentielle risiko.</w:t>
      </w:r>
    </w:p>
    <w:p w14:paraId="5EABCE88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001F2B2D" w14:textId="77777777" w:rsidR="006E7021" w:rsidRPr="0083270E" w:rsidRDefault="006E7021" w:rsidP="006E7021">
      <w:pPr>
        <w:ind w:left="851"/>
        <w:rPr>
          <w:sz w:val="24"/>
          <w:szCs w:val="24"/>
          <w:u w:val="single"/>
        </w:rPr>
      </w:pPr>
      <w:r w:rsidRPr="0083270E">
        <w:rPr>
          <w:sz w:val="24"/>
          <w:szCs w:val="24"/>
          <w:u w:val="single"/>
        </w:rPr>
        <w:t>Fertilitet</w:t>
      </w:r>
    </w:p>
    <w:p w14:paraId="46C802D0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Reproduktionsstudier på dyr har ikke vist tegn på skadelige virkninger på fertiliteten på grund af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og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>.</w:t>
      </w:r>
    </w:p>
    <w:p w14:paraId="595FE029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E275C56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4.7</w:t>
      </w:r>
      <w:r w:rsidRPr="006A2898">
        <w:rPr>
          <w:b/>
          <w:sz w:val="24"/>
          <w:szCs w:val="24"/>
        </w:rPr>
        <w:tab/>
        <w:t xml:space="preserve">Virkning på evnen til at føre motorkøretøj </w:t>
      </w:r>
      <w:r w:rsidR="0071241E" w:rsidRPr="006A2898">
        <w:rPr>
          <w:b/>
          <w:sz w:val="24"/>
          <w:szCs w:val="24"/>
        </w:rPr>
        <w:t>og</w:t>
      </w:r>
      <w:r w:rsidRPr="006A2898">
        <w:rPr>
          <w:b/>
          <w:sz w:val="24"/>
          <w:szCs w:val="24"/>
        </w:rPr>
        <w:t xml:space="preserve"> betjene maskiner</w:t>
      </w:r>
    </w:p>
    <w:p w14:paraId="1D03C8BD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Ikke mærkning.</w:t>
      </w:r>
    </w:p>
    <w:p w14:paraId="3538CE35" w14:textId="01CA11A4" w:rsidR="006E7021" w:rsidRPr="006A2898" w:rsidRDefault="006A2898" w:rsidP="006E7021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Ampicillin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Sulbactam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Aptapharma</w:t>
      </w:r>
      <w:proofErr w:type="spellEnd"/>
      <w:r>
        <w:rPr>
          <w:sz w:val="24"/>
          <w:szCs w:val="24"/>
        </w:rPr>
        <w:t>"</w:t>
      </w:r>
      <w:r w:rsidR="006E7021" w:rsidRPr="006A2898">
        <w:rPr>
          <w:sz w:val="24"/>
          <w:szCs w:val="24"/>
        </w:rPr>
        <w:t xml:space="preserve"> har ubetydelig indflydelse på evnen til at føre motorkøretøj og betjene maskiner. Imidlertid kan svimmelhed, kramper og døsighed forekomme efter administration af </w:t>
      </w:r>
      <w:proofErr w:type="spellStart"/>
      <w:r>
        <w:rPr>
          <w:sz w:val="24"/>
          <w:szCs w:val="24"/>
        </w:rPr>
        <w:t>Ampicillin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Sulbactam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Aptapharma</w:t>
      </w:r>
      <w:proofErr w:type="spellEnd"/>
      <w:r>
        <w:rPr>
          <w:sz w:val="24"/>
          <w:szCs w:val="24"/>
        </w:rPr>
        <w:t>"</w:t>
      </w:r>
      <w:r w:rsidR="006E7021" w:rsidRPr="006A2898">
        <w:rPr>
          <w:sz w:val="24"/>
          <w:szCs w:val="24"/>
        </w:rPr>
        <w:t>. Patienter bør derfor rådes til ikke at føre motorkøretøj eller betjene maskiner, hvis de oplever disse bivirkninger.</w:t>
      </w:r>
    </w:p>
    <w:p w14:paraId="55257DFB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A5EEEC9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4.8</w:t>
      </w:r>
      <w:r w:rsidRPr="006A2898">
        <w:rPr>
          <w:b/>
          <w:sz w:val="24"/>
          <w:szCs w:val="24"/>
        </w:rPr>
        <w:tab/>
        <w:t>Bivirkninger</w:t>
      </w:r>
    </w:p>
    <w:p w14:paraId="0D880062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Bivirkninger er anført i henhold til </w:t>
      </w:r>
      <w:proofErr w:type="spellStart"/>
      <w:r w:rsidRPr="006A2898">
        <w:rPr>
          <w:sz w:val="24"/>
          <w:szCs w:val="24"/>
        </w:rPr>
        <w:t>MedDRA</w:t>
      </w:r>
      <w:proofErr w:type="spellEnd"/>
      <w:r w:rsidRPr="006A2898">
        <w:rPr>
          <w:sz w:val="24"/>
          <w:szCs w:val="24"/>
        </w:rPr>
        <w:t>-systemorganklasser og efter frekvens. Frekvensen for hver bivirkning er baseret på følgende konvention: Meget almindelig (≥1/10), almindelig (≥1/100 til &lt;1/10), ikke almindelig (≥1/1.000 til &lt;1/100), sjælden (≥1/10.000 til &lt;1/1.000), meget sjælden (&lt;1/10.000), ikke kendt (kan ikke estimeres ud fra forhåndenværende data).</w:t>
      </w:r>
    </w:p>
    <w:p w14:paraId="3583578A" w14:textId="77777777" w:rsidR="006E7021" w:rsidRPr="0083270E" w:rsidRDefault="006E7021" w:rsidP="006E7021">
      <w:pPr>
        <w:ind w:left="851"/>
        <w:rPr>
          <w:sz w:val="24"/>
          <w:szCs w:val="24"/>
        </w:rPr>
      </w:pPr>
    </w:p>
    <w:p w14:paraId="0AC21BDB" w14:textId="439A82CE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lastRenderedPageBreak/>
        <w:t xml:space="preserve">Bivirkninger forbundet med brugen af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alene kan ses med </w:t>
      </w:r>
      <w:proofErr w:type="spellStart"/>
      <w:r w:rsidR="006A2898">
        <w:rPr>
          <w:sz w:val="24"/>
          <w:szCs w:val="24"/>
        </w:rPr>
        <w:t>Ampicillin</w:t>
      </w:r>
      <w:proofErr w:type="spellEnd"/>
      <w:r w:rsidR="006A2898">
        <w:rPr>
          <w:sz w:val="24"/>
          <w:szCs w:val="24"/>
        </w:rPr>
        <w:t>/</w:t>
      </w:r>
      <w:proofErr w:type="spellStart"/>
      <w:r w:rsidR="006A2898">
        <w:rPr>
          <w:sz w:val="24"/>
          <w:szCs w:val="24"/>
        </w:rPr>
        <w:t>Sulbactam</w:t>
      </w:r>
      <w:proofErr w:type="spellEnd"/>
      <w:r w:rsidR="006A2898">
        <w:rPr>
          <w:sz w:val="24"/>
          <w:szCs w:val="24"/>
        </w:rPr>
        <w:t xml:space="preserve"> "</w:t>
      </w:r>
      <w:proofErr w:type="spellStart"/>
      <w:r w:rsidR="006A2898">
        <w:rPr>
          <w:sz w:val="24"/>
          <w:szCs w:val="24"/>
        </w:rPr>
        <w:t>Aptapharma</w:t>
      </w:r>
      <w:proofErr w:type="spellEnd"/>
      <w:r w:rsidR="006A2898">
        <w:rPr>
          <w:sz w:val="24"/>
          <w:szCs w:val="24"/>
        </w:rPr>
        <w:t>"</w:t>
      </w:r>
      <w:r w:rsidRPr="006A2898">
        <w:rPr>
          <w:sz w:val="24"/>
          <w:szCs w:val="24"/>
        </w:rPr>
        <w:t>.</w:t>
      </w:r>
    </w:p>
    <w:p w14:paraId="53B3686A" w14:textId="77777777" w:rsidR="006E7021" w:rsidRPr="0083270E" w:rsidRDefault="006E7021" w:rsidP="006E7021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6"/>
        <w:gridCol w:w="2481"/>
        <w:gridCol w:w="1248"/>
        <w:gridCol w:w="1394"/>
        <w:gridCol w:w="2389"/>
      </w:tblGrid>
      <w:tr w:rsidR="006E7021" w:rsidRPr="0083270E" w14:paraId="44BC943A" w14:textId="77777777" w:rsidTr="006E7021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98BC4" w14:textId="77777777" w:rsidR="006E7021" w:rsidRPr="0083270E" w:rsidRDefault="006E7021" w:rsidP="0083270E">
            <w:pPr>
              <w:pStyle w:val="P68B1DB1-TableParagraph10"/>
              <w:keepNext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>Systemorganklasser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3AF32" w14:textId="77777777" w:rsidR="006E7021" w:rsidRPr="0083270E" w:rsidRDefault="006E7021" w:rsidP="0083270E">
            <w:pPr>
              <w:pStyle w:val="P68B1DB1-TableParagraph10"/>
              <w:keepNext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 xml:space="preserve">Almindelig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51EEE" w14:textId="77777777" w:rsidR="006E7021" w:rsidRPr="0083270E" w:rsidRDefault="006E7021" w:rsidP="0083270E">
            <w:pPr>
              <w:pStyle w:val="P68B1DB1-TableParagraph10"/>
              <w:keepNext/>
              <w:widowControl/>
              <w:spacing w:before="0" w:line="240" w:lineRule="auto"/>
              <w:ind w:left="142" w:right="81"/>
              <w:rPr>
                <w:b w:val="0"/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>Ikke almindelig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5D6B" w14:textId="77777777" w:rsidR="006E7021" w:rsidRPr="0083270E" w:rsidRDefault="006E7021" w:rsidP="0083270E">
            <w:pPr>
              <w:pStyle w:val="P68B1DB1-TableParagraph10"/>
              <w:keepNext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>Sjælden</w:t>
            </w:r>
          </w:p>
          <w:p w14:paraId="5FDC73E3" w14:textId="77777777" w:rsidR="006E7021" w:rsidRPr="0083270E" w:rsidRDefault="006E7021" w:rsidP="0083270E">
            <w:pPr>
              <w:pStyle w:val="TableParagraph"/>
              <w:keepNext/>
              <w:widowControl/>
              <w:spacing w:before="0" w:line="240" w:lineRule="auto"/>
              <w:ind w:left="142" w:right="81"/>
              <w:rPr>
                <w:b/>
                <w:szCs w:val="22"/>
                <w:lang w:val="da-DK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6B723" w14:textId="77777777" w:rsidR="006E7021" w:rsidRPr="0083270E" w:rsidRDefault="006E7021" w:rsidP="0083270E">
            <w:pPr>
              <w:pStyle w:val="P68B1DB1-TableParagraph10"/>
              <w:keepNext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 xml:space="preserve">Hyppighed ikke kendt </w:t>
            </w:r>
          </w:p>
        </w:tc>
      </w:tr>
      <w:tr w:rsidR="006E7021" w:rsidRPr="0083270E" w14:paraId="3EA19281" w14:textId="77777777" w:rsidTr="006E7021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F5F19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b/>
                <w:szCs w:val="22"/>
                <w:lang w:val="da-DK"/>
              </w:rPr>
            </w:pPr>
            <w:r w:rsidRPr="0083270E">
              <w:rPr>
                <w:b/>
                <w:szCs w:val="22"/>
                <w:lang w:val="da-DK"/>
              </w:rPr>
              <w:t>Blod og lymfesystem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FF662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 xml:space="preserve">Anæmi </w:t>
            </w:r>
            <w:proofErr w:type="spellStart"/>
            <w:r w:rsidRPr="0083270E">
              <w:rPr>
                <w:szCs w:val="22"/>
                <w:lang w:val="da-DK"/>
              </w:rPr>
              <w:t>Trombocytopeni</w:t>
            </w:r>
            <w:proofErr w:type="spellEnd"/>
            <w:r w:rsidRPr="0083270E">
              <w:rPr>
                <w:szCs w:val="22"/>
                <w:lang w:val="da-DK"/>
              </w:rPr>
              <w:t xml:space="preserve"> </w:t>
            </w:r>
            <w:proofErr w:type="spellStart"/>
            <w:r w:rsidRPr="0083270E">
              <w:rPr>
                <w:szCs w:val="22"/>
                <w:lang w:val="da-DK"/>
              </w:rPr>
              <w:t>Eosinofili</w:t>
            </w:r>
            <w:proofErr w:type="spellEnd"/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BDF32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Leukopeni</w:t>
            </w:r>
            <w:proofErr w:type="spellEnd"/>
            <w:r w:rsidRPr="0083270E">
              <w:rPr>
                <w:szCs w:val="22"/>
                <w:lang w:val="da-DK"/>
              </w:rPr>
              <w:t xml:space="preserve"> </w:t>
            </w:r>
            <w:proofErr w:type="spellStart"/>
            <w:r w:rsidRPr="0083270E">
              <w:rPr>
                <w:szCs w:val="22"/>
                <w:lang w:val="da-DK"/>
              </w:rPr>
              <w:t>Neutropeni</w:t>
            </w:r>
            <w:proofErr w:type="spell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79F2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9319F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Hæmolytisk</w:t>
            </w:r>
            <w:proofErr w:type="spellEnd"/>
            <w:r w:rsidRPr="0083270E">
              <w:rPr>
                <w:szCs w:val="22"/>
                <w:lang w:val="da-DK"/>
              </w:rPr>
              <w:t xml:space="preserve"> anæmi </w:t>
            </w:r>
            <w:proofErr w:type="spellStart"/>
            <w:r w:rsidRPr="0083270E">
              <w:rPr>
                <w:szCs w:val="22"/>
                <w:lang w:val="da-DK"/>
              </w:rPr>
              <w:t>Agranulocytose</w:t>
            </w:r>
            <w:proofErr w:type="spellEnd"/>
            <w:r w:rsidRPr="0083270E">
              <w:rPr>
                <w:szCs w:val="22"/>
                <w:lang w:val="da-DK"/>
              </w:rPr>
              <w:t xml:space="preserve"> </w:t>
            </w:r>
            <w:proofErr w:type="spellStart"/>
            <w:r w:rsidRPr="0083270E">
              <w:rPr>
                <w:szCs w:val="22"/>
                <w:lang w:val="da-DK"/>
              </w:rPr>
              <w:t>Trombocytopenisk</w:t>
            </w:r>
            <w:proofErr w:type="spellEnd"/>
            <w:r w:rsidRPr="0083270E">
              <w:rPr>
                <w:szCs w:val="22"/>
                <w:lang w:val="da-DK"/>
              </w:rPr>
              <w:t xml:space="preserve"> </w:t>
            </w:r>
            <w:proofErr w:type="spellStart"/>
            <w:r w:rsidRPr="0083270E">
              <w:rPr>
                <w:szCs w:val="22"/>
                <w:lang w:val="da-DK"/>
              </w:rPr>
              <w:t>purpura</w:t>
            </w:r>
            <w:proofErr w:type="spellEnd"/>
          </w:p>
        </w:tc>
      </w:tr>
      <w:tr w:rsidR="006E7021" w:rsidRPr="0083270E" w14:paraId="0EAAAAF7" w14:textId="77777777" w:rsidTr="006E7021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E2E5C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b/>
                <w:szCs w:val="22"/>
                <w:lang w:val="da-DK"/>
              </w:rPr>
            </w:pPr>
            <w:r w:rsidRPr="0083270E">
              <w:rPr>
                <w:b/>
                <w:szCs w:val="22"/>
                <w:lang w:val="da-DK"/>
              </w:rPr>
              <w:t>Immunsystemet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74E9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E14B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BB23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CECBC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Anafylaktisk</w:t>
            </w:r>
            <w:proofErr w:type="spellEnd"/>
            <w:r w:rsidRPr="0083270E">
              <w:rPr>
                <w:szCs w:val="22"/>
                <w:lang w:val="da-DK"/>
              </w:rPr>
              <w:t xml:space="preserve"> chok </w:t>
            </w:r>
          </w:p>
          <w:p w14:paraId="4612928E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Anafylaktisk</w:t>
            </w:r>
            <w:proofErr w:type="spellEnd"/>
            <w:r w:rsidRPr="0083270E">
              <w:rPr>
                <w:szCs w:val="22"/>
                <w:lang w:val="da-DK"/>
              </w:rPr>
              <w:t xml:space="preserve"> reaktion</w:t>
            </w:r>
          </w:p>
          <w:p w14:paraId="518D3C82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Anafylaktoid</w:t>
            </w:r>
            <w:proofErr w:type="spellEnd"/>
            <w:r w:rsidRPr="0083270E">
              <w:rPr>
                <w:szCs w:val="22"/>
                <w:lang w:val="da-DK"/>
              </w:rPr>
              <w:t xml:space="preserve"> chok </w:t>
            </w:r>
            <w:proofErr w:type="spellStart"/>
            <w:r w:rsidRPr="0083270E">
              <w:rPr>
                <w:szCs w:val="22"/>
                <w:lang w:val="da-DK"/>
              </w:rPr>
              <w:t>Anafylaktoid</w:t>
            </w:r>
            <w:proofErr w:type="spellEnd"/>
            <w:r w:rsidRPr="0083270E">
              <w:rPr>
                <w:szCs w:val="22"/>
                <w:lang w:val="da-DK"/>
              </w:rPr>
              <w:t xml:space="preserve"> reaktion</w:t>
            </w:r>
          </w:p>
          <w:p w14:paraId="325728C9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Kounis</w:t>
            </w:r>
            <w:proofErr w:type="spellEnd"/>
            <w:r w:rsidRPr="0083270E">
              <w:rPr>
                <w:szCs w:val="22"/>
                <w:lang w:val="da-DK"/>
              </w:rPr>
              <w:t xml:space="preserve"> syndrom</w:t>
            </w:r>
          </w:p>
          <w:p w14:paraId="54C46D87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>Allergi</w:t>
            </w:r>
          </w:p>
        </w:tc>
      </w:tr>
      <w:tr w:rsidR="006E7021" w:rsidRPr="0083270E" w14:paraId="4583CD84" w14:textId="77777777" w:rsidTr="006E7021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D6DD1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b/>
                <w:szCs w:val="22"/>
                <w:lang w:val="da-DK"/>
              </w:rPr>
            </w:pPr>
            <w:r w:rsidRPr="0083270E">
              <w:rPr>
                <w:b/>
                <w:szCs w:val="22"/>
                <w:lang w:val="da-DK"/>
              </w:rPr>
              <w:t>Nervesystemet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CB96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0F91B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>Hovedpine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62D1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8B5E1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>Konvulsion</w:t>
            </w:r>
          </w:p>
          <w:p w14:paraId="76065D4A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 xml:space="preserve">Svimmelhed </w:t>
            </w:r>
          </w:p>
          <w:p w14:paraId="6D35D6F1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Somnolens</w:t>
            </w:r>
            <w:proofErr w:type="spellEnd"/>
          </w:p>
        </w:tc>
      </w:tr>
      <w:tr w:rsidR="006E7021" w:rsidRPr="0083270E" w14:paraId="7E84F3B9" w14:textId="77777777" w:rsidTr="006E7021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0256E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b/>
                <w:szCs w:val="22"/>
                <w:lang w:val="da-DK"/>
              </w:rPr>
            </w:pPr>
            <w:proofErr w:type="spellStart"/>
            <w:r w:rsidRPr="0083270E">
              <w:rPr>
                <w:b/>
                <w:szCs w:val="22"/>
                <w:lang w:val="da-DK"/>
              </w:rPr>
              <w:t>Vaskulære</w:t>
            </w:r>
            <w:proofErr w:type="spellEnd"/>
            <w:r w:rsidRPr="0083270E">
              <w:rPr>
                <w:b/>
                <w:szCs w:val="22"/>
                <w:lang w:val="da-DK"/>
              </w:rPr>
              <w:t xml:space="preserve"> sygdomme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8DD0E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Flebitis</w:t>
            </w:r>
            <w:proofErr w:type="spellEnd"/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31BC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D65B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51D4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</w:tr>
      <w:tr w:rsidR="006E7021" w:rsidRPr="0083270E" w14:paraId="7D206EE5" w14:textId="77777777" w:rsidTr="006E7021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70BDF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b/>
                <w:szCs w:val="22"/>
                <w:lang w:val="da-DK"/>
              </w:rPr>
            </w:pPr>
            <w:r w:rsidRPr="0083270E">
              <w:rPr>
                <w:b/>
                <w:szCs w:val="22"/>
                <w:lang w:val="da-DK"/>
              </w:rPr>
              <w:t xml:space="preserve">Luftveje, thorax og </w:t>
            </w:r>
            <w:proofErr w:type="spellStart"/>
            <w:r w:rsidRPr="0083270E">
              <w:rPr>
                <w:b/>
                <w:szCs w:val="22"/>
                <w:lang w:val="da-DK"/>
              </w:rPr>
              <w:t>mediastinum</w:t>
            </w:r>
            <w:proofErr w:type="spellEnd"/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5A07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AD97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34AD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69AE0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>Dyspnø/åndenød</w:t>
            </w:r>
          </w:p>
        </w:tc>
      </w:tr>
      <w:tr w:rsidR="006E7021" w:rsidRPr="0083270E" w14:paraId="31700F53" w14:textId="77777777" w:rsidTr="006E7021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B3A21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b/>
                <w:szCs w:val="22"/>
                <w:lang w:val="da-DK"/>
              </w:rPr>
            </w:pPr>
            <w:r w:rsidRPr="0083270E">
              <w:rPr>
                <w:b/>
                <w:szCs w:val="22"/>
                <w:lang w:val="da-DK"/>
              </w:rPr>
              <w:t>Mave-tarm-kanalen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1F667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>Diarré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B546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>Opkastning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4E877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>Mavesmerter</w:t>
            </w:r>
          </w:p>
          <w:p w14:paraId="1006F340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 xml:space="preserve">Kvalme </w:t>
            </w:r>
          </w:p>
          <w:p w14:paraId="75AEA5CE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Glossitis</w:t>
            </w:r>
            <w:proofErr w:type="spellEnd"/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BBB95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Pseudomembranøs</w:t>
            </w:r>
            <w:proofErr w:type="spellEnd"/>
            <w:r w:rsidRPr="0083270E">
              <w:rPr>
                <w:szCs w:val="22"/>
                <w:lang w:val="da-DK"/>
              </w:rPr>
              <w:t xml:space="preserve"> colitis </w:t>
            </w:r>
          </w:p>
          <w:p w14:paraId="6AF824C2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Enterocolitis</w:t>
            </w:r>
            <w:proofErr w:type="spellEnd"/>
          </w:p>
          <w:p w14:paraId="4CA71A51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Melaena</w:t>
            </w:r>
            <w:proofErr w:type="spellEnd"/>
          </w:p>
          <w:p w14:paraId="41A9685F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Stomatitis</w:t>
            </w:r>
            <w:proofErr w:type="spellEnd"/>
          </w:p>
          <w:p w14:paraId="1B15E147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>Misfarvning af tungen</w:t>
            </w:r>
          </w:p>
        </w:tc>
      </w:tr>
      <w:tr w:rsidR="006E7021" w:rsidRPr="0083270E" w14:paraId="64CBD49B" w14:textId="77777777" w:rsidTr="006E7021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8B546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b/>
                <w:szCs w:val="22"/>
                <w:lang w:val="da-DK"/>
              </w:rPr>
            </w:pPr>
            <w:r w:rsidRPr="0083270E">
              <w:rPr>
                <w:b/>
                <w:szCs w:val="22"/>
                <w:lang w:val="da-DK"/>
              </w:rPr>
              <w:t>Lever og galdeveje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F1B43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Hyperbilirubinæmi</w:t>
            </w:r>
            <w:proofErr w:type="spellEnd"/>
            <w:r w:rsidRPr="0083270E">
              <w:rPr>
                <w:szCs w:val="22"/>
                <w:lang w:val="da-DK"/>
              </w:rPr>
              <w:t xml:space="preserve">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DB90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17D4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FE4E1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Kolestatisk</w:t>
            </w:r>
            <w:proofErr w:type="spellEnd"/>
            <w:r w:rsidRPr="0083270E">
              <w:rPr>
                <w:szCs w:val="22"/>
                <w:lang w:val="da-DK"/>
              </w:rPr>
              <w:t xml:space="preserve"> hepatitis </w:t>
            </w:r>
          </w:p>
          <w:p w14:paraId="354C3C72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Kolestase</w:t>
            </w:r>
            <w:proofErr w:type="spellEnd"/>
          </w:p>
          <w:p w14:paraId="48B7AE71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 xml:space="preserve">Unormal leverfunktion </w:t>
            </w:r>
          </w:p>
          <w:p w14:paraId="49ABF466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>Gulsot</w:t>
            </w:r>
          </w:p>
        </w:tc>
      </w:tr>
      <w:tr w:rsidR="006E7021" w:rsidRPr="0083270E" w14:paraId="10A44B78" w14:textId="77777777" w:rsidTr="006E7021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81931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b/>
                <w:szCs w:val="22"/>
                <w:lang w:val="da-DK"/>
              </w:rPr>
            </w:pPr>
            <w:r w:rsidRPr="0083270E">
              <w:rPr>
                <w:b/>
                <w:szCs w:val="22"/>
                <w:lang w:val="da-DK"/>
              </w:rPr>
              <w:t>Hud og subkutane væv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79AB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75B2F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 xml:space="preserve">Udslæt </w:t>
            </w:r>
          </w:p>
          <w:p w14:paraId="6BD1C72E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Pruritus</w:t>
            </w:r>
            <w:proofErr w:type="spell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16E3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E0F3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nb-NO"/>
              </w:rPr>
            </w:pPr>
            <w:r w:rsidRPr="0083270E">
              <w:rPr>
                <w:szCs w:val="22"/>
                <w:lang w:val="nb-NO"/>
              </w:rPr>
              <w:t xml:space="preserve">Stevens-Johnsons syndrom </w:t>
            </w:r>
          </w:p>
          <w:p w14:paraId="48BFA5FD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nb-NO"/>
              </w:rPr>
            </w:pPr>
            <w:r w:rsidRPr="0083270E">
              <w:rPr>
                <w:szCs w:val="22"/>
                <w:lang w:val="nb-NO"/>
              </w:rPr>
              <w:t xml:space="preserve">Toksisk epidermal nekrolyse </w:t>
            </w:r>
          </w:p>
          <w:p w14:paraId="7B4FC155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nb-NO"/>
              </w:rPr>
            </w:pPr>
            <w:r w:rsidRPr="0083270E">
              <w:rPr>
                <w:szCs w:val="22"/>
                <w:lang w:val="nb-NO"/>
              </w:rPr>
              <w:t xml:space="preserve">Erythema multiforme </w:t>
            </w:r>
          </w:p>
          <w:p w14:paraId="3DB8E5B2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nb-NO"/>
              </w:rPr>
            </w:pPr>
            <w:r w:rsidRPr="0083270E">
              <w:rPr>
                <w:szCs w:val="22"/>
                <w:lang w:val="nb-NO"/>
              </w:rPr>
              <w:t xml:space="preserve">Akut generaliseret eksantematøs pustulose </w:t>
            </w:r>
          </w:p>
          <w:p w14:paraId="7950B567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nb-NO"/>
              </w:rPr>
            </w:pPr>
            <w:r w:rsidRPr="0083270E">
              <w:rPr>
                <w:szCs w:val="22"/>
                <w:lang w:val="nb-NO"/>
              </w:rPr>
              <w:t>Eksfoliativ dermatitis (se pkt. 4.4)</w:t>
            </w:r>
          </w:p>
          <w:p w14:paraId="284C2528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nb-NO"/>
              </w:rPr>
            </w:pPr>
            <w:r w:rsidRPr="0083270E">
              <w:rPr>
                <w:szCs w:val="22"/>
                <w:lang w:val="nb-NO"/>
              </w:rPr>
              <w:t xml:space="preserve">Angioødem </w:t>
            </w:r>
          </w:p>
          <w:p w14:paraId="0C3A4960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Erytem</w:t>
            </w:r>
            <w:proofErr w:type="spellEnd"/>
          </w:p>
          <w:p w14:paraId="331D932F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Urticaria</w:t>
            </w:r>
            <w:proofErr w:type="spellEnd"/>
            <w:r w:rsidRPr="0083270E">
              <w:rPr>
                <w:szCs w:val="22"/>
                <w:lang w:val="da-DK"/>
              </w:rPr>
              <w:t xml:space="preserve"> (nældefeber)</w:t>
            </w:r>
          </w:p>
        </w:tc>
      </w:tr>
      <w:tr w:rsidR="006E7021" w:rsidRPr="0083270E" w14:paraId="4FA4F10A" w14:textId="77777777" w:rsidTr="006E7021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FE276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b/>
                <w:szCs w:val="22"/>
                <w:lang w:val="da-DK"/>
              </w:rPr>
            </w:pPr>
            <w:r w:rsidRPr="0083270E">
              <w:rPr>
                <w:b/>
                <w:szCs w:val="22"/>
                <w:lang w:val="da-DK"/>
              </w:rPr>
              <w:t>Nyrer og urinveje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6E41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A5F3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6287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C8346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Interstitiel</w:t>
            </w:r>
            <w:proofErr w:type="spellEnd"/>
            <w:r w:rsidRPr="0083270E">
              <w:rPr>
                <w:szCs w:val="22"/>
                <w:lang w:val="da-DK"/>
              </w:rPr>
              <w:t xml:space="preserve"> </w:t>
            </w:r>
            <w:proofErr w:type="spellStart"/>
            <w:r w:rsidRPr="0083270E">
              <w:rPr>
                <w:szCs w:val="22"/>
                <w:lang w:val="da-DK"/>
              </w:rPr>
              <w:t>nephritis</w:t>
            </w:r>
            <w:proofErr w:type="spellEnd"/>
          </w:p>
        </w:tc>
      </w:tr>
      <w:tr w:rsidR="006E7021" w:rsidRPr="0083270E" w14:paraId="50C30238" w14:textId="77777777" w:rsidTr="006E7021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FF9F5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b/>
                <w:szCs w:val="22"/>
                <w:lang w:val="da-DK"/>
              </w:rPr>
            </w:pPr>
            <w:r w:rsidRPr="0083270E">
              <w:rPr>
                <w:b/>
                <w:szCs w:val="22"/>
                <w:lang w:val="da-DK"/>
              </w:rPr>
              <w:t>Almene symptomer og reaktioner på administrations-stedet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4E001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>Smerte på injektionsstedet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6273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 xml:space="preserve">Træthed </w:t>
            </w:r>
          </w:p>
          <w:p w14:paraId="5A37B8AE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>Utilpashed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E26C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F22B4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r w:rsidRPr="0083270E">
              <w:rPr>
                <w:szCs w:val="22"/>
                <w:lang w:val="da-DK"/>
              </w:rPr>
              <w:t>Reaktion på injektionsstedet</w:t>
            </w:r>
          </w:p>
        </w:tc>
      </w:tr>
      <w:tr w:rsidR="006E7021" w:rsidRPr="0083270E" w14:paraId="7EDAFEC9" w14:textId="77777777" w:rsidTr="006E7021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90C56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b/>
                <w:szCs w:val="22"/>
                <w:lang w:val="da-DK"/>
              </w:rPr>
            </w:pPr>
            <w:r w:rsidRPr="0083270E">
              <w:rPr>
                <w:b/>
                <w:szCs w:val="22"/>
                <w:lang w:val="da-DK"/>
              </w:rPr>
              <w:t>Undersøgelser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B31F4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Alanin</w:t>
            </w:r>
            <w:proofErr w:type="spellEnd"/>
            <w:r w:rsidRPr="0083270E">
              <w:rPr>
                <w:szCs w:val="22"/>
                <w:lang w:val="da-DK"/>
              </w:rPr>
              <w:t xml:space="preserve"> </w:t>
            </w:r>
            <w:proofErr w:type="spellStart"/>
            <w:r w:rsidRPr="0083270E">
              <w:rPr>
                <w:szCs w:val="22"/>
                <w:lang w:val="da-DK"/>
              </w:rPr>
              <w:t>aminotransferase</w:t>
            </w:r>
            <w:proofErr w:type="spellEnd"/>
            <w:r w:rsidRPr="0083270E">
              <w:rPr>
                <w:szCs w:val="22"/>
                <w:lang w:val="da-DK"/>
              </w:rPr>
              <w:t xml:space="preserve"> forhøjet</w:t>
            </w:r>
          </w:p>
          <w:p w14:paraId="0BD8615E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  <w:proofErr w:type="spellStart"/>
            <w:r w:rsidRPr="0083270E">
              <w:rPr>
                <w:szCs w:val="22"/>
                <w:lang w:val="da-DK"/>
              </w:rPr>
              <w:t>Aspartataminotransferase</w:t>
            </w:r>
            <w:proofErr w:type="spellEnd"/>
            <w:r w:rsidRPr="0083270E">
              <w:rPr>
                <w:szCs w:val="22"/>
                <w:lang w:val="da-DK"/>
              </w:rPr>
              <w:t xml:space="preserve"> forhøjet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1337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E412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5E22" w14:textId="77777777" w:rsidR="006E7021" w:rsidRPr="0083270E" w:rsidRDefault="006E7021" w:rsidP="0083270E">
            <w:pPr>
              <w:pStyle w:val="TableParagraph"/>
              <w:widowControl/>
              <w:spacing w:before="0" w:line="240" w:lineRule="auto"/>
              <w:ind w:left="142" w:right="81"/>
              <w:rPr>
                <w:szCs w:val="22"/>
                <w:lang w:val="da-DK"/>
              </w:rPr>
            </w:pPr>
          </w:p>
        </w:tc>
      </w:tr>
    </w:tbl>
    <w:p w14:paraId="326D6D51" w14:textId="7EEA35B3" w:rsidR="00A20A4C" w:rsidRDefault="00A20A4C" w:rsidP="006E7021">
      <w:pPr>
        <w:ind w:left="851"/>
        <w:rPr>
          <w:rFonts w:eastAsia="Calibri"/>
          <w:sz w:val="24"/>
          <w:szCs w:val="24"/>
        </w:rPr>
      </w:pPr>
    </w:p>
    <w:p w14:paraId="7A1B2130" w14:textId="77777777" w:rsidR="00A20A4C" w:rsidRDefault="00A20A4C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br w:type="page"/>
      </w:r>
    </w:p>
    <w:p w14:paraId="4B971AC1" w14:textId="77777777" w:rsidR="006E7021" w:rsidRPr="006A2898" w:rsidRDefault="006E7021" w:rsidP="006E7021">
      <w:pPr>
        <w:ind w:left="851"/>
        <w:rPr>
          <w:rFonts w:eastAsia="Calibri"/>
          <w:sz w:val="24"/>
          <w:szCs w:val="24"/>
        </w:rPr>
      </w:pPr>
    </w:p>
    <w:p w14:paraId="2B077F7D" w14:textId="77777777" w:rsidR="006E7021" w:rsidRPr="0083270E" w:rsidRDefault="006E7021" w:rsidP="006E7021">
      <w:pPr>
        <w:ind w:left="851"/>
        <w:rPr>
          <w:sz w:val="24"/>
          <w:szCs w:val="24"/>
          <w:u w:val="single"/>
        </w:rPr>
      </w:pPr>
      <w:r w:rsidRPr="0083270E">
        <w:rPr>
          <w:sz w:val="24"/>
          <w:szCs w:val="24"/>
          <w:u w:val="single"/>
        </w:rPr>
        <w:t>Indberetning af formodede bivirkninger</w:t>
      </w:r>
    </w:p>
    <w:p w14:paraId="59B2A7B0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6A2898">
        <w:rPr>
          <w:sz w:val="24"/>
          <w:szCs w:val="24"/>
        </w:rPr>
        <w:t>risk</w:t>
      </w:r>
      <w:proofErr w:type="spellEnd"/>
      <w:r w:rsidRPr="006A2898">
        <w:rPr>
          <w:sz w:val="24"/>
          <w:szCs w:val="24"/>
        </w:rPr>
        <w:t xml:space="preserve">-forholdet for lægemidlet. Sundhedspersoner anmodes om at indberette alle formodede bivirkninger via </w:t>
      </w:r>
    </w:p>
    <w:p w14:paraId="35D7FD81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3A250D4A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Lægemiddelstyrelsen</w:t>
      </w:r>
    </w:p>
    <w:p w14:paraId="3A7B980A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Axel Heides Gade 1</w:t>
      </w:r>
    </w:p>
    <w:p w14:paraId="32848E67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DK-2300 København S</w:t>
      </w:r>
    </w:p>
    <w:p w14:paraId="2257C5EF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Websted: www.meldenbivirkning.dk </w:t>
      </w:r>
    </w:p>
    <w:p w14:paraId="34605C0C" w14:textId="77777777" w:rsidR="009260DE" w:rsidRPr="006A2898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6FB803A9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4.9</w:t>
      </w:r>
      <w:r w:rsidRPr="006A2898">
        <w:rPr>
          <w:b/>
          <w:sz w:val="24"/>
          <w:szCs w:val="24"/>
        </w:rPr>
        <w:tab/>
        <w:t>Overdosering</w:t>
      </w:r>
    </w:p>
    <w:p w14:paraId="33E5EAB5" w14:textId="77777777" w:rsidR="0083270E" w:rsidRDefault="0083270E" w:rsidP="006E7021">
      <w:pPr>
        <w:ind w:left="851"/>
        <w:rPr>
          <w:sz w:val="24"/>
          <w:szCs w:val="24"/>
        </w:rPr>
      </w:pPr>
    </w:p>
    <w:p w14:paraId="18D73328" w14:textId="78822582" w:rsidR="006E7021" w:rsidRPr="0083270E" w:rsidRDefault="006E7021" w:rsidP="006E7021">
      <w:pPr>
        <w:ind w:left="851"/>
        <w:rPr>
          <w:sz w:val="24"/>
          <w:szCs w:val="24"/>
          <w:u w:val="single"/>
        </w:rPr>
      </w:pPr>
      <w:r w:rsidRPr="0083270E">
        <w:rPr>
          <w:sz w:val="24"/>
          <w:szCs w:val="24"/>
          <w:u w:val="single"/>
        </w:rPr>
        <w:t xml:space="preserve">Symptomer </w:t>
      </w:r>
    </w:p>
    <w:p w14:paraId="12D2540F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Der foreligger begrænsede oplysninger om den akutte toksicitet af </w:t>
      </w:r>
      <w:proofErr w:type="spellStart"/>
      <w:r w:rsidRPr="006A2898">
        <w:rPr>
          <w:sz w:val="24"/>
          <w:szCs w:val="24"/>
        </w:rPr>
        <w:t>ampicillinnatrium</w:t>
      </w:r>
      <w:proofErr w:type="spellEnd"/>
      <w:r w:rsidRPr="006A2898">
        <w:rPr>
          <w:sz w:val="24"/>
          <w:szCs w:val="24"/>
        </w:rPr>
        <w:t xml:space="preserve"> og </w:t>
      </w:r>
      <w:proofErr w:type="spellStart"/>
      <w:r w:rsidRPr="006A2898">
        <w:rPr>
          <w:sz w:val="24"/>
          <w:szCs w:val="24"/>
        </w:rPr>
        <w:t>sulbactamnatrium</w:t>
      </w:r>
      <w:proofErr w:type="spellEnd"/>
      <w:r w:rsidRPr="006A2898">
        <w:rPr>
          <w:sz w:val="24"/>
          <w:szCs w:val="24"/>
        </w:rPr>
        <w:t xml:space="preserve"> hos mennesker. Overdosering af lægemidlet forventes at fremkalde manifestationer, der hovedsageligt er forlængelser af de bivirkninger, der er rapporteret med produktet. Det faktum, at høje CSV-koncentrationer af beta-</w:t>
      </w:r>
      <w:proofErr w:type="spellStart"/>
      <w:r w:rsidRPr="006A2898">
        <w:rPr>
          <w:sz w:val="24"/>
          <w:szCs w:val="24"/>
        </w:rPr>
        <w:t>lactam</w:t>
      </w:r>
      <w:proofErr w:type="spellEnd"/>
      <w:r w:rsidRPr="006A2898">
        <w:rPr>
          <w:sz w:val="24"/>
          <w:szCs w:val="24"/>
        </w:rPr>
        <w:t xml:space="preserve">-antibiotika kan forårsage neurologiske virkninger, herunder krampeanfald, bør overvejes. </w:t>
      </w:r>
    </w:p>
    <w:p w14:paraId="29EF84B7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64C31BF9" w14:textId="77777777" w:rsidR="006E7021" w:rsidRPr="0083270E" w:rsidRDefault="006E7021" w:rsidP="006E7021">
      <w:pPr>
        <w:ind w:left="851"/>
        <w:rPr>
          <w:sz w:val="24"/>
          <w:szCs w:val="24"/>
          <w:u w:val="single"/>
        </w:rPr>
      </w:pPr>
      <w:r w:rsidRPr="0083270E">
        <w:rPr>
          <w:sz w:val="24"/>
          <w:szCs w:val="24"/>
          <w:u w:val="single"/>
        </w:rPr>
        <w:t>Behandling</w:t>
      </w:r>
    </w:p>
    <w:p w14:paraId="2C1501D7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Da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og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begge fjernes fra kredsløbet ved hæmodialyse, kan disse procedurer øge elimineringen af produktet fra kroppen, hvis der forekommer overdosering hos patienter med nedsat nyrefunktion.</w:t>
      </w:r>
    </w:p>
    <w:p w14:paraId="747B3F20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731A743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4.10</w:t>
      </w:r>
      <w:r w:rsidRPr="006A2898">
        <w:rPr>
          <w:b/>
          <w:sz w:val="24"/>
          <w:szCs w:val="24"/>
        </w:rPr>
        <w:tab/>
        <w:t>Udlevering</w:t>
      </w:r>
    </w:p>
    <w:p w14:paraId="06EA854B" w14:textId="05688D16" w:rsidR="009260DE" w:rsidRPr="006A2898" w:rsidRDefault="006E7021" w:rsidP="009260DE">
      <w:pPr>
        <w:tabs>
          <w:tab w:val="left" w:pos="851"/>
        </w:tabs>
        <w:ind w:left="851"/>
        <w:rPr>
          <w:sz w:val="24"/>
          <w:szCs w:val="24"/>
        </w:rPr>
      </w:pPr>
      <w:r w:rsidRPr="006A2898">
        <w:rPr>
          <w:sz w:val="24"/>
          <w:szCs w:val="24"/>
        </w:rPr>
        <w:t>B</w:t>
      </w:r>
    </w:p>
    <w:p w14:paraId="6E083A74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CB7546C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02E9CCF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5.</w:t>
      </w:r>
      <w:r w:rsidRPr="006A2898">
        <w:rPr>
          <w:b/>
          <w:sz w:val="24"/>
          <w:szCs w:val="24"/>
        </w:rPr>
        <w:tab/>
        <w:t>FARMAKOLOGISKE EGENSKABER</w:t>
      </w:r>
    </w:p>
    <w:p w14:paraId="0742886B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7834D5" w14:textId="77777777" w:rsidR="009260DE" w:rsidRPr="006A2898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5.1</w:t>
      </w:r>
      <w:r w:rsidRPr="006A2898">
        <w:rPr>
          <w:b/>
          <w:sz w:val="24"/>
          <w:szCs w:val="24"/>
        </w:rPr>
        <w:tab/>
      </w:r>
      <w:proofErr w:type="spellStart"/>
      <w:r w:rsidRPr="006A2898">
        <w:rPr>
          <w:b/>
          <w:sz w:val="24"/>
          <w:szCs w:val="24"/>
        </w:rPr>
        <w:t>Farmakodynamiske</w:t>
      </w:r>
      <w:proofErr w:type="spellEnd"/>
      <w:r w:rsidRPr="006A2898">
        <w:rPr>
          <w:b/>
          <w:sz w:val="24"/>
          <w:szCs w:val="24"/>
        </w:rPr>
        <w:t xml:space="preserve"> egenskaber</w:t>
      </w:r>
    </w:p>
    <w:p w14:paraId="156D02AB" w14:textId="626F7BDD" w:rsidR="006E7021" w:rsidRPr="006A2898" w:rsidRDefault="006E7021" w:rsidP="006E7021">
      <w:pPr>
        <w:ind w:left="851"/>
        <w:rPr>
          <w:sz w:val="24"/>
          <w:szCs w:val="24"/>
        </w:rPr>
      </w:pPr>
      <w:proofErr w:type="spellStart"/>
      <w:r w:rsidRPr="006A2898">
        <w:rPr>
          <w:sz w:val="24"/>
          <w:szCs w:val="24"/>
        </w:rPr>
        <w:t>Farmakoterapeutisk</w:t>
      </w:r>
      <w:proofErr w:type="spellEnd"/>
      <w:r w:rsidRPr="006A2898">
        <w:rPr>
          <w:sz w:val="24"/>
          <w:szCs w:val="24"/>
        </w:rPr>
        <w:t xml:space="preserve"> gruppe: antibakterielle midler til systemisk brug, kombinationer af penicilliner, herunder beta-</w:t>
      </w:r>
      <w:proofErr w:type="spellStart"/>
      <w:r w:rsidRPr="006A2898">
        <w:rPr>
          <w:sz w:val="24"/>
          <w:szCs w:val="24"/>
        </w:rPr>
        <w:t>lactamasehæmmere</w:t>
      </w:r>
      <w:proofErr w:type="spellEnd"/>
      <w:r w:rsidR="0083270E">
        <w:rPr>
          <w:sz w:val="24"/>
          <w:szCs w:val="24"/>
        </w:rPr>
        <w:t xml:space="preserve">, </w:t>
      </w:r>
      <w:r w:rsidRPr="006A2898">
        <w:rPr>
          <w:sz w:val="24"/>
          <w:szCs w:val="24"/>
        </w:rPr>
        <w:t>ATC-kode: J01CR01</w:t>
      </w:r>
      <w:r w:rsidR="0083270E">
        <w:rPr>
          <w:sz w:val="24"/>
          <w:szCs w:val="24"/>
        </w:rPr>
        <w:t>.</w:t>
      </w:r>
    </w:p>
    <w:p w14:paraId="120C0A74" w14:textId="77777777" w:rsidR="006E7021" w:rsidRPr="0083270E" w:rsidRDefault="006E7021" w:rsidP="006E7021">
      <w:pPr>
        <w:ind w:left="851"/>
        <w:rPr>
          <w:sz w:val="24"/>
          <w:szCs w:val="24"/>
          <w:u w:val="thick"/>
        </w:rPr>
      </w:pPr>
    </w:p>
    <w:p w14:paraId="72F9BDAF" w14:textId="77777777" w:rsidR="006E7021" w:rsidRPr="0083270E" w:rsidRDefault="006E7021" w:rsidP="006E7021">
      <w:pPr>
        <w:ind w:left="851"/>
        <w:rPr>
          <w:sz w:val="24"/>
          <w:szCs w:val="24"/>
          <w:u w:val="single"/>
        </w:rPr>
      </w:pPr>
      <w:r w:rsidRPr="0083270E">
        <w:rPr>
          <w:sz w:val="24"/>
          <w:szCs w:val="24"/>
          <w:u w:val="single"/>
        </w:rPr>
        <w:t>Virkningsmekanisme</w:t>
      </w:r>
    </w:p>
    <w:p w14:paraId="71EECF98" w14:textId="69EFA553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Biokemiske undersøgelser med cellefrie bakteriesystemer har vist, at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er en irreversibel hæmmer af de vigtigste beta-</w:t>
      </w:r>
      <w:proofErr w:type="spellStart"/>
      <w:r w:rsidRPr="006A2898">
        <w:rPr>
          <w:sz w:val="24"/>
          <w:szCs w:val="24"/>
        </w:rPr>
        <w:t>lactamaser</w:t>
      </w:r>
      <w:proofErr w:type="spellEnd"/>
      <w:r w:rsidRPr="006A2898">
        <w:rPr>
          <w:sz w:val="24"/>
          <w:szCs w:val="24"/>
        </w:rPr>
        <w:t xml:space="preserve">, der forekommer i penicillinresistente organismer. Mens </w:t>
      </w:r>
      <w:proofErr w:type="spellStart"/>
      <w:r w:rsidRPr="006A2898">
        <w:rPr>
          <w:sz w:val="24"/>
          <w:szCs w:val="24"/>
        </w:rPr>
        <w:t>sulbactams</w:t>
      </w:r>
      <w:proofErr w:type="spellEnd"/>
      <w:r w:rsidRPr="006A2898">
        <w:rPr>
          <w:sz w:val="24"/>
          <w:szCs w:val="24"/>
        </w:rPr>
        <w:t xml:space="preserve"> antibakterielle aktivitet hovedsageligt er begrænset til </w:t>
      </w:r>
      <w:proofErr w:type="spellStart"/>
      <w:r w:rsidRPr="006A2898">
        <w:rPr>
          <w:i/>
          <w:sz w:val="24"/>
          <w:szCs w:val="24"/>
        </w:rPr>
        <w:t>Neisseriaceae</w:t>
      </w:r>
      <w:proofErr w:type="spellEnd"/>
      <w:r w:rsidRPr="006A2898">
        <w:rPr>
          <w:i/>
          <w:sz w:val="24"/>
          <w:szCs w:val="24"/>
        </w:rPr>
        <w:t xml:space="preserve">, </w:t>
      </w:r>
      <w:r w:rsidRPr="006A2898">
        <w:rPr>
          <w:sz w:val="24"/>
          <w:szCs w:val="24"/>
        </w:rPr>
        <w:t xml:space="preserve">blev potentialet for </w:t>
      </w:r>
      <w:proofErr w:type="spellStart"/>
      <w:r w:rsidRPr="006A2898">
        <w:rPr>
          <w:sz w:val="24"/>
          <w:szCs w:val="24"/>
        </w:rPr>
        <w:t>sulbactamnatrium</w:t>
      </w:r>
      <w:proofErr w:type="spellEnd"/>
      <w:r w:rsidRPr="006A2898">
        <w:rPr>
          <w:sz w:val="24"/>
          <w:szCs w:val="24"/>
        </w:rPr>
        <w:t xml:space="preserve"> til at forhindre ødelæggelse af penicilliner og </w:t>
      </w:r>
      <w:proofErr w:type="spellStart"/>
      <w:r w:rsidRPr="006A2898">
        <w:rPr>
          <w:sz w:val="24"/>
          <w:szCs w:val="24"/>
        </w:rPr>
        <w:t>cefalosporiner</w:t>
      </w:r>
      <w:proofErr w:type="spellEnd"/>
      <w:r w:rsidRPr="006A2898">
        <w:rPr>
          <w:sz w:val="24"/>
          <w:szCs w:val="24"/>
        </w:rPr>
        <w:t xml:space="preserve"> af resistente organismer bekræftet i helorganisme</w:t>
      </w:r>
      <w:r w:rsidR="0083270E">
        <w:rPr>
          <w:sz w:val="24"/>
          <w:szCs w:val="24"/>
        </w:rPr>
        <w:softHyphen/>
      </w:r>
      <w:r w:rsidRPr="006A2898">
        <w:rPr>
          <w:sz w:val="24"/>
          <w:szCs w:val="24"/>
        </w:rPr>
        <w:t xml:space="preserve">undersøgelser ved hjælp af resistente stammer, hvor </w:t>
      </w:r>
      <w:proofErr w:type="spellStart"/>
      <w:r w:rsidRPr="006A2898">
        <w:rPr>
          <w:sz w:val="24"/>
          <w:szCs w:val="24"/>
        </w:rPr>
        <w:t>sulbactamnatrium</w:t>
      </w:r>
      <w:proofErr w:type="spellEnd"/>
      <w:r w:rsidRPr="006A2898">
        <w:rPr>
          <w:sz w:val="24"/>
          <w:szCs w:val="24"/>
        </w:rPr>
        <w:t xml:space="preserve"> udviste markante </w:t>
      </w:r>
      <w:proofErr w:type="spellStart"/>
      <w:r w:rsidRPr="006A2898">
        <w:rPr>
          <w:sz w:val="24"/>
          <w:szCs w:val="24"/>
        </w:rPr>
        <w:t>synergistiske</w:t>
      </w:r>
      <w:proofErr w:type="spellEnd"/>
      <w:r w:rsidRPr="006A2898">
        <w:rPr>
          <w:sz w:val="24"/>
          <w:szCs w:val="24"/>
        </w:rPr>
        <w:t xml:space="preserve"> virkninger med penicilliner og </w:t>
      </w:r>
      <w:proofErr w:type="spellStart"/>
      <w:r w:rsidRPr="006A2898">
        <w:rPr>
          <w:sz w:val="24"/>
          <w:szCs w:val="24"/>
        </w:rPr>
        <w:t>cefalosporiner</w:t>
      </w:r>
      <w:proofErr w:type="spellEnd"/>
      <w:r w:rsidRPr="006A2898">
        <w:rPr>
          <w:sz w:val="24"/>
          <w:szCs w:val="24"/>
        </w:rPr>
        <w:t xml:space="preserve">. Da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også binder sig til nogle penicillinbindende proteiner, gør det nogle følsomme stammer mere følsomme over for kombinationen end over for beta-</w:t>
      </w:r>
      <w:proofErr w:type="spellStart"/>
      <w:r w:rsidRPr="006A2898">
        <w:rPr>
          <w:sz w:val="24"/>
          <w:szCs w:val="24"/>
        </w:rPr>
        <w:t>lactam</w:t>
      </w:r>
      <w:proofErr w:type="spellEnd"/>
      <w:r w:rsidRPr="006A2898">
        <w:rPr>
          <w:sz w:val="24"/>
          <w:szCs w:val="24"/>
        </w:rPr>
        <w:t>-antibiotikummet alene.</w:t>
      </w:r>
    </w:p>
    <w:p w14:paraId="719EDF25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76E3820E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Den baktericide komponent i kombinationen er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, der ligesom </w:t>
      </w:r>
      <w:proofErr w:type="spellStart"/>
      <w:r w:rsidRPr="006A2898">
        <w:rPr>
          <w:sz w:val="24"/>
          <w:szCs w:val="24"/>
        </w:rPr>
        <w:t>benzylpenicillin</w:t>
      </w:r>
      <w:proofErr w:type="spellEnd"/>
      <w:r w:rsidRPr="006A2898">
        <w:rPr>
          <w:sz w:val="24"/>
          <w:szCs w:val="24"/>
        </w:rPr>
        <w:t xml:space="preserve"> virker mod følsomme organismer i løbet af stadiet af aktiv formering ved hæmning af biosyntese af cellevægs </w:t>
      </w:r>
      <w:proofErr w:type="spellStart"/>
      <w:r w:rsidRPr="006A2898">
        <w:rPr>
          <w:sz w:val="24"/>
          <w:szCs w:val="24"/>
        </w:rPr>
        <w:t>mucopeptid</w:t>
      </w:r>
      <w:proofErr w:type="spellEnd"/>
      <w:r w:rsidRPr="006A2898">
        <w:rPr>
          <w:sz w:val="24"/>
          <w:szCs w:val="24"/>
        </w:rPr>
        <w:t>.</w:t>
      </w:r>
    </w:p>
    <w:p w14:paraId="1101376B" w14:textId="6513D467" w:rsidR="00B84B6D" w:rsidRDefault="00B84B6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4C85E31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76B7BFBC" w14:textId="77777777" w:rsidR="006E7021" w:rsidRPr="0083270E" w:rsidRDefault="006E7021" w:rsidP="006E7021">
      <w:pPr>
        <w:ind w:left="851"/>
        <w:rPr>
          <w:sz w:val="24"/>
          <w:szCs w:val="24"/>
          <w:u w:val="single"/>
        </w:rPr>
      </w:pPr>
      <w:r w:rsidRPr="0083270E">
        <w:rPr>
          <w:sz w:val="24"/>
          <w:szCs w:val="24"/>
          <w:u w:val="single"/>
        </w:rPr>
        <w:t>Antibakterielt spektrum</w:t>
      </w:r>
    </w:p>
    <w:p w14:paraId="02439486" w14:textId="1D0158BF" w:rsidR="006E7021" w:rsidRPr="006A2898" w:rsidRDefault="006A2898" w:rsidP="006E7021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Ampicillin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Sulbactam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Aptapharma</w:t>
      </w:r>
      <w:proofErr w:type="spellEnd"/>
      <w:r>
        <w:rPr>
          <w:sz w:val="24"/>
          <w:szCs w:val="24"/>
        </w:rPr>
        <w:t>"</w:t>
      </w:r>
      <w:r w:rsidR="006E7021" w:rsidRPr="006A2898">
        <w:rPr>
          <w:sz w:val="24"/>
          <w:szCs w:val="24"/>
        </w:rPr>
        <w:t xml:space="preserve"> har en bredspektret antibakteriel aktivitet mod nedenstående bakterier:</w:t>
      </w:r>
    </w:p>
    <w:p w14:paraId="75A58AA7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6AC52ECA" w14:textId="77777777" w:rsidR="006E7021" w:rsidRPr="006A2898" w:rsidRDefault="006E7021" w:rsidP="006E7021">
      <w:pPr>
        <w:ind w:left="851"/>
        <w:rPr>
          <w:sz w:val="24"/>
          <w:szCs w:val="24"/>
        </w:rPr>
      </w:pPr>
      <w:proofErr w:type="spellStart"/>
      <w:r w:rsidRPr="006A2898">
        <w:rPr>
          <w:sz w:val="24"/>
          <w:szCs w:val="24"/>
        </w:rPr>
        <w:t>Gram-positiv</w:t>
      </w:r>
      <w:proofErr w:type="spellEnd"/>
      <w:r w:rsidRPr="006A2898">
        <w:rPr>
          <w:sz w:val="24"/>
          <w:szCs w:val="24"/>
        </w:rPr>
        <w:t>:</w:t>
      </w:r>
    </w:p>
    <w:p w14:paraId="29A0F18C" w14:textId="77777777" w:rsidR="006E7021" w:rsidRPr="006A2898" w:rsidRDefault="006E7021" w:rsidP="006E7021">
      <w:pPr>
        <w:ind w:left="851"/>
        <w:rPr>
          <w:sz w:val="24"/>
          <w:szCs w:val="24"/>
        </w:rPr>
      </w:pPr>
      <w:proofErr w:type="spellStart"/>
      <w:r w:rsidRPr="006A2898">
        <w:rPr>
          <w:i/>
          <w:sz w:val="24"/>
          <w:szCs w:val="24"/>
        </w:rPr>
        <w:t>Staphylococcus</w:t>
      </w:r>
      <w:proofErr w:type="spellEnd"/>
      <w:r w:rsidRPr="006A2898">
        <w:rPr>
          <w:i/>
          <w:sz w:val="24"/>
          <w:szCs w:val="24"/>
        </w:rPr>
        <w:t xml:space="preserve"> Aureus (</w:t>
      </w:r>
      <w:proofErr w:type="spellStart"/>
      <w:r w:rsidRPr="006A2898">
        <w:rPr>
          <w:i/>
          <w:sz w:val="24"/>
          <w:szCs w:val="24"/>
        </w:rPr>
        <w:t>methicillinfølsom</w:t>
      </w:r>
      <w:proofErr w:type="spellEnd"/>
      <w:r w:rsidRPr="006A2898">
        <w:rPr>
          <w:i/>
          <w:sz w:val="24"/>
          <w:szCs w:val="24"/>
        </w:rPr>
        <w:t xml:space="preserve">), </w:t>
      </w:r>
      <w:proofErr w:type="spellStart"/>
      <w:r w:rsidRPr="006A2898">
        <w:rPr>
          <w:i/>
          <w:sz w:val="24"/>
          <w:szCs w:val="24"/>
        </w:rPr>
        <w:t>Staphylococcus</w:t>
      </w:r>
      <w:proofErr w:type="spellEnd"/>
      <w:r w:rsidRPr="006A2898">
        <w:rPr>
          <w:i/>
          <w:sz w:val="24"/>
          <w:szCs w:val="24"/>
        </w:rPr>
        <w:t xml:space="preserve"> </w:t>
      </w:r>
      <w:proofErr w:type="spellStart"/>
      <w:r w:rsidRPr="006A2898">
        <w:rPr>
          <w:i/>
          <w:sz w:val="24"/>
          <w:szCs w:val="24"/>
        </w:rPr>
        <w:t>epidermidis</w:t>
      </w:r>
      <w:proofErr w:type="spellEnd"/>
      <w:r w:rsidRPr="006A2898">
        <w:rPr>
          <w:i/>
          <w:sz w:val="24"/>
          <w:szCs w:val="24"/>
        </w:rPr>
        <w:t xml:space="preserve"> </w:t>
      </w:r>
      <w:r w:rsidRPr="006A2898">
        <w:rPr>
          <w:sz w:val="24"/>
          <w:szCs w:val="24"/>
        </w:rPr>
        <w:t xml:space="preserve">(herunder penicillinresistente og nogle </w:t>
      </w:r>
      <w:proofErr w:type="spellStart"/>
      <w:r w:rsidRPr="006A2898">
        <w:rPr>
          <w:sz w:val="24"/>
          <w:szCs w:val="24"/>
        </w:rPr>
        <w:t>methicillinresistente</w:t>
      </w:r>
      <w:proofErr w:type="spellEnd"/>
      <w:r w:rsidRPr="006A2898">
        <w:rPr>
          <w:sz w:val="24"/>
          <w:szCs w:val="24"/>
        </w:rPr>
        <w:t xml:space="preserve"> stammer); </w:t>
      </w:r>
      <w:proofErr w:type="spellStart"/>
      <w:r w:rsidRPr="006A2898">
        <w:rPr>
          <w:i/>
          <w:sz w:val="24"/>
          <w:szCs w:val="24"/>
        </w:rPr>
        <w:t>Streptococcus</w:t>
      </w:r>
      <w:proofErr w:type="spellEnd"/>
      <w:r w:rsidRPr="006A2898">
        <w:rPr>
          <w:i/>
          <w:sz w:val="24"/>
          <w:szCs w:val="24"/>
        </w:rPr>
        <w:t xml:space="preserve"> </w:t>
      </w:r>
      <w:proofErr w:type="spellStart"/>
      <w:r w:rsidRPr="006A2898">
        <w:rPr>
          <w:i/>
          <w:sz w:val="24"/>
          <w:szCs w:val="24"/>
        </w:rPr>
        <w:t>pneumoniae</w:t>
      </w:r>
      <w:proofErr w:type="spellEnd"/>
      <w:r w:rsidRPr="006A2898">
        <w:rPr>
          <w:sz w:val="24"/>
          <w:szCs w:val="24"/>
        </w:rPr>
        <w:t xml:space="preserve">, </w:t>
      </w:r>
    </w:p>
    <w:p w14:paraId="1E5F4C92" w14:textId="77777777" w:rsidR="006E7021" w:rsidRPr="006A2898" w:rsidRDefault="006E7021" w:rsidP="006E7021">
      <w:pPr>
        <w:ind w:left="851"/>
        <w:rPr>
          <w:sz w:val="24"/>
          <w:szCs w:val="24"/>
        </w:rPr>
      </w:pPr>
      <w:proofErr w:type="spellStart"/>
      <w:r w:rsidRPr="006A2898">
        <w:rPr>
          <w:i/>
          <w:sz w:val="24"/>
          <w:szCs w:val="24"/>
        </w:rPr>
        <w:t>Streptococcus</w:t>
      </w:r>
      <w:proofErr w:type="spellEnd"/>
      <w:r w:rsidRPr="006A2898">
        <w:rPr>
          <w:i/>
          <w:sz w:val="24"/>
          <w:szCs w:val="24"/>
        </w:rPr>
        <w:t xml:space="preserve"> </w:t>
      </w:r>
      <w:proofErr w:type="spellStart"/>
      <w:r w:rsidRPr="006A2898">
        <w:rPr>
          <w:i/>
          <w:sz w:val="24"/>
          <w:szCs w:val="24"/>
        </w:rPr>
        <w:t>faecalis</w:t>
      </w:r>
      <w:proofErr w:type="spellEnd"/>
      <w:r w:rsidRPr="006A2898">
        <w:rPr>
          <w:i/>
          <w:sz w:val="24"/>
          <w:szCs w:val="24"/>
        </w:rPr>
        <w:t xml:space="preserve"> </w:t>
      </w:r>
      <w:r w:rsidRPr="006A2898">
        <w:rPr>
          <w:sz w:val="24"/>
          <w:szCs w:val="24"/>
        </w:rPr>
        <w:t xml:space="preserve">og andre </w:t>
      </w:r>
      <w:proofErr w:type="spellStart"/>
      <w:r w:rsidRPr="006A2898">
        <w:rPr>
          <w:i/>
          <w:sz w:val="24"/>
          <w:szCs w:val="24"/>
        </w:rPr>
        <w:t>Streptococcus</w:t>
      </w:r>
      <w:proofErr w:type="spellEnd"/>
      <w:r w:rsidRPr="006A2898">
        <w:rPr>
          <w:sz w:val="24"/>
          <w:szCs w:val="24"/>
        </w:rPr>
        <w:t xml:space="preserve">-arter; </w:t>
      </w:r>
    </w:p>
    <w:p w14:paraId="4909462B" w14:textId="77777777" w:rsidR="006E7021" w:rsidRPr="006A2898" w:rsidRDefault="006E7021" w:rsidP="006E7021">
      <w:pPr>
        <w:ind w:left="851"/>
        <w:rPr>
          <w:i/>
          <w:sz w:val="24"/>
          <w:szCs w:val="24"/>
        </w:rPr>
      </w:pPr>
    </w:p>
    <w:p w14:paraId="03D5C441" w14:textId="77777777" w:rsidR="006E7021" w:rsidRPr="006A2898" w:rsidRDefault="006E7021" w:rsidP="006E7021">
      <w:pPr>
        <w:ind w:left="851"/>
        <w:rPr>
          <w:sz w:val="24"/>
          <w:szCs w:val="24"/>
        </w:rPr>
      </w:pPr>
      <w:proofErr w:type="spellStart"/>
      <w:r w:rsidRPr="006A2898">
        <w:rPr>
          <w:sz w:val="24"/>
          <w:szCs w:val="24"/>
        </w:rPr>
        <w:t>Gram-negatíve</w:t>
      </w:r>
      <w:proofErr w:type="spellEnd"/>
      <w:r w:rsidRPr="006A2898">
        <w:rPr>
          <w:sz w:val="24"/>
          <w:szCs w:val="24"/>
        </w:rPr>
        <w:t>:</w:t>
      </w:r>
    </w:p>
    <w:p w14:paraId="3AD6A2EB" w14:textId="77777777" w:rsidR="006E7021" w:rsidRPr="006A2898" w:rsidRDefault="006E7021" w:rsidP="006E7021">
      <w:pPr>
        <w:ind w:left="851"/>
        <w:rPr>
          <w:sz w:val="24"/>
          <w:szCs w:val="24"/>
        </w:rPr>
      </w:pPr>
      <w:proofErr w:type="spellStart"/>
      <w:r w:rsidRPr="006A2898">
        <w:rPr>
          <w:i/>
          <w:sz w:val="24"/>
          <w:szCs w:val="24"/>
        </w:rPr>
        <w:t>Haemophilus</w:t>
      </w:r>
      <w:proofErr w:type="spellEnd"/>
      <w:r w:rsidRPr="006A2898">
        <w:rPr>
          <w:i/>
          <w:sz w:val="24"/>
          <w:szCs w:val="24"/>
        </w:rPr>
        <w:t xml:space="preserve"> </w:t>
      </w:r>
      <w:proofErr w:type="spellStart"/>
      <w:r w:rsidRPr="006A2898">
        <w:rPr>
          <w:i/>
          <w:sz w:val="24"/>
          <w:szCs w:val="24"/>
        </w:rPr>
        <w:t>influenzae</w:t>
      </w:r>
      <w:proofErr w:type="spellEnd"/>
      <w:r w:rsidRPr="006A2898">
        <w:rPr>
          <w:i/>
          <w:sz w:val="24"/>
          <w:szCs w:val="24"/>
        </w:rPr>
        <w:t xml:space="preserve"> </w:t>
      </w:r>
      <w:r w:rsidRPr="006A2898">
        <w:rPr>
          <w:sz w:val="24"/>
          <w:szCs w:val="24"/>
        </w:rPr>
        <w:t xml:space="preserve">og </w:t>
      </w:r>
      <w:proofErr w:type="spellStart"/>
      <w:r w:rsidRPr="006A2898">
        <w:rPr>
          <w:i/>
          <w:sz w:val="24"/>
          <w:szCs w:val="24"/>
        </w:rPr>
        <w:t>parainfluenzae</w:t>
      </w:r>
      <w:proofErr w:type="spellEnd"/>
      <w:r w:rsidRPr="006A2898">
        <w:rPr>
          <w:i/>
          <w:sz w:val="24"/>
          <w:szCs w:val="24"/>
        </w:rPr>
        <w:t xml:space="preserve"> </w:t>
      </w:r>
      <w:r w:rsidRPr="006A2898">
        <w:rPr>
          <w:sz w:val="24"/>
          <w:szCs w:val="24"/>
        </w:rPr>
        <w:t>(både beta-</w:t>
      </w:r>
      <w:proofErr w:type="spellStart"/>
      <w:r w:rsidRPr="006A2898">
        <w:rPr>
          <w:sz w:val="24"/>
          <w:szCs w:val="24"/>
        </w:rPr>
        <w:t>lactamase</w:t>
      </w:r>
      <w:proofErr w:type="spellEnd"/>
      <w:r w:rsidRPr="006A2898">
        <w:rPr>
          <w:sz w:val="24"/>
          <w:szCs w:val="24"/>
        </w:rPr>
        <w:t xml:space="preserve"> positive og negative stammer); </w:t>
      </w:r>
    </w:p>
    <w:p w14:paraId="5734D8C7" w14:textId="77777777" w:rsidR="006E7021" w:rsidRPr="006A2898" w:rsidRDefault="006E7021" w:rsidP="006E7021">
      <w:pPr>
        <w:ind w:left="851"/>
        <w:rPr>
          <w:sz w:val="24"/>
          <w:szCs w:val="24"/>
          <w:lang w:val="en-US"/>
        </w:rPr>
      </w:pPr>
      <w:r w:rsidRPr="0083270E">
        <w:rPr>
          <w:sz w:val="24"/>
          <w:szCs w:val="24"/>
          <w:lang w:val="en-US"/>
        </w:rPr>
        <w:t>Moraxella catarrhalis,</w:t>
      </w:r>
    </w:p>
    <w:p w14:paraId="216D281B" w14:textId="77777777" w:rsidR="006E7021" w:rsidRPr="0083270E" w:rsidRDefault="006E7021" w:rsidP="006E7021">
      <w:pPr>
        <w:ind w:left="851"/>
        <w:rPr>
          <w:sz w:val="24"/>
          <w:szCs w:val="24"/>
          <w:lang w:val="en-US"/>
        </w:rPr>
      </w:pPr>
      <w:r w:rsidRPr="0083270E">
        <w:rPr>
          <w:i/>
          <w:sz w:val="24"/>
          <w:szCs w:val="24"/>
          <w:lang w:val="en-US"/>
        </w:rPr>
        <w:t>Escherichia coli</w:t>
      </w:r>
      <w:r w:rsidRPr="0083270E">
        <w:rPr>
          <w:sz w:val="24"/>
          <w:szCs w:val="24"/>
          <w:lang w:val="en-US"/>
        </w:rPr>
        <w:t xml:space="preserve">, </w:t>
      </w:r>
    </w:p>
    <w:p w14:paraId="73A8572B" w14:textId="77777777" w:rsidR="006E7021" w:rsidRPr="0083270E" w:rsidRDefault="006E7021" w:rsidP="006E7021">
      <w:pPr>
        <w:ind w:left="851"/>
        <w:rPr>
          <w:sz w:val="24"/>
          <w:szCs w:val="24"/>
          <w:lang w:val="en-US"/>
        </w:rPr>
      </w:pPr>
      <w:r w:rsidRPr="0083270E">
        <w:rPr>
          <w:sz w:val="24"/>
          <w:szCs w:val="24"/>
          <w:lang w:val="en-US"/>
        </w:rPr>
        <w:t>Klebsiella-</w:t>
      </w:r>
      <w:proofErr w:type="spellStart"/>
      <w:r w:rsidRPr="0083270E">
        <w:rPr>
          <w:sz w:val="24"/>
          <w:szCs w:val="24"/>
          <w:lang w:val="en-US"/>
        </w:rPr>
        <w:t>arter</w:t>
      </w:r>
      <w:proofErr w:type="spellEnd"/>
      <w:r w:rsidRPr="0083270E">
        <w:rPr>
          <w:sz w:val="24"/>
          <w:szCs w:val="24"/>
          <w:lang w:val="en-US"/>
        </w:rPr>
        <w:t xml:space="preserve">, </w:t>
      </w:r>
    </w:p>
    <w:p w14:paraId="1C24F1C7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Proteus-arter (både </w:t>
      </w:r>
      <w:proofErr w:type="spellStart"/>
      <w:r w:rsidRPr="006A2898">
        <w:rPr>
          <w:sz w:val="24"/>
          <w:szCs w:val="24"/>
        </w:rPr>
        <w:t>indol</w:t>
      </w:r>
      <w:proofErr w:type="spellEnd"/>
      <w:r w:rsidRPr="006A2898">
        <w:rPr>
          <w:sz w:val="24"/>
          <w:szCs w:val="24"/>
        </w:rPr>
        <w:t xml:space="preserve">-positive og </w:t>
      </w:r>
      <w:proofErr w:type="spellStart"/>
      <w:r w:rsidRPr="006A2898">
        <w:rPr>
          <w:sz w:val="24"/>
          <w:szCs w:val="24"/>
        </w:rPr>
        <w:t>indol</w:t>
      </w:r>
      <w:proofErr w:type="spellEnd"/>
      <w:r w:rsidRPr="006A2898">
        <w:rPr>
          <w:sz w:val="24"/>
          <w:szCs w:val="24"/>
        </w:rPr>
        <w:t xml:space="preserve">-negative), </w:t>
      </w:r>
    </w:p>
    <w:p w14:paraId="505C1B29" w14:textId="29A64B67" w:rsidR="006E7021" w:rsidRPr="006A2898" w:rsidRDefault="006E7021" w:rsidP="006E7021">
      <w:pPr>
        <w:ind w:left="851"/>
        <w:rPr>
          <w:sz w:val="24"/>
          <w:szCs w:val="24"/>
        </w:rPr>
      </w:pPr>
    </w:p>
    <w:p w14:paraId="788AD2C0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Anaerobe</w:t>
      </w:r>
    </w:p>
    <w:p w14:paraId="00C40E4F" w14:textId="77777777" w:rsidR="006E7021" w:rsidRPr="006A2898" w:rsidRDefault="006E7021" w:rsidP="006E7021">
      <w:pPr>
        <w:ind w:left="851"/>
        <w:rPr>
          <w:sz w:val="24"/>
          <w:szCs w:val="24"/>
        </w:rPr>
      </w:pPr>
      <w:proofErr w:type="spellStart"/>
      <w:r w:rsidRPr="006A2898">
        <w:rPr>
          <w:i/>
          <w:sz w:val="24"/>
          <w:szCs w:val="24"/>
        </w:rPr>
        <w:t>Bacteroides</w:t>
      </w:r>
      <w:proofErr w:type="spellEnd"/>
      <w:r w:rsidRPr="006A2898">
        <w:rPr>
          <w:sz w:val="24"/>
          <w:szCs w:val="24"/>
        </w:rPr>
        <w:t xml:space="preserve"> </w:t>
      </w:r>
      <w:proofErr w:type="spellStart"/>
      <w:r w:rsidRPr="006A2898">
        <w:rPr>
          <w:i/>
          <w:sz w:val="24"/>
          <w:szCs w:val="24"/>
        </w:rPr>
        <w:t>fragilis</w:t>
      </w:r>
      <w:proofErr w:type="spellEnd"/>
      <w:r w:rsidRPr="006A2898">
        <w:rPr>
          <w:sz w:val="24"/>
          <w:szCs w:val="24"/>
        </w:rPr>
        <w:t xml:space="preserve"> og beslægtede arter</w:t>
      </w:r>
    </w:p>
    <w:p w14:paraId="7C65983B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608DFDBA" w14:textId="77777777" w:rsidR="006E7021" w:rsidRPr="006A2898" w:rsidRDefault="006E7021" w:rsidP="006E7021">
      <w:pPr>
        <w:ind w:left="851"/>
        <w:rPr>
          <w:sz w:val="24"/>
          <w:szCs w:val="24"/>
          <w:u w:val="single"/>
        </w:rPr>
      </w:pPr>
      <w:r w:rsidRPr="006A2898">
        <w:rPr>
          <w:sz w:val="24"/>
          <w:szCs w:val="24"/>
          <w:u w:val="single"/>
        </w:rPr>
        <w:t>Resistente stammer</w:t>
      </w:r>
    </w:p>
    <w:p w14:paraId="424BBC56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Forekomsten af erhvervet resistens kan variere mellem de forskellige arter, lande og institutioner, selv mellem de forskellige afdelinger på et hospital.</w:t>
      </w:r>
    </w:p>
    <w:p w14:paraId="6E84FB11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7EA0B47B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Som det er tilfældet med de fleste beta-</w:t>
      </w:r>
      <w:proofErr w:type="spellStart"/>
      <w:r w:rsidRPr="006A2898">
        <w:rPr>
          <w:sz w:val="24"/>
          <w:szCs w:val="24"/>
        </w:rPr>
        <w:t>lactam</w:t>
      </w:r>
      <w:proofErr w:type="spellEnd"/>
      <w:r w:rsidRPr="006A2898">
        <w:rPr>
          <w:sz w:val="24"/>
          <w:szCs w:val="24"/>
        </w:rPr>
        <w:t xml:space="preserve">-antibiotika, er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>/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ikke effektivt mod infektioner forårsaget af </w:t>
      </w:r>
      <w:proofErr w:type="spellStart"/>
      <w:r w:rsidRPr="006A2898">
        <w:rPr>
          <w:sz w:val="24"/>
          <w:szCs w:val="24"/>
        </w:rPr>
        <w:t>Chlamydia</w:t>
      </w:r>
      <w:proofErr w:type="spellEnd"/>
      <w:r w:rsidRPr="006A2898">
        <w:rPr>
          <w:sz w:val="24"/>
          <w:szCs w:val="24"/>
        </w:rPr>
        <w:t xml:space="preserve">-arter og </w:t>
      </w:r>
      <w:proofErr w:type="spellStart"/>
      <w:r w:rsidRPr="006A2898">
        <w:rPr>
          <w:sz w:val="24"/>
          <w:szCs w:val="24"/>
        </w:rPr>
        <w:t>Mycoplasma</w:t>
      </w:r>
      <w:proofErr w:type="spellEnd"/>
      <w:r w:rsidRPr="006A2898">
        <w:rPr>
          <w:sz w:val="24"/>
          <w:szCs w:val="24"/>
        </w:rPr>
        <w:t>-arter.</w:t>
      </w:r>
    </w:p>
    <w:p w14:paraId="7638D5E1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7D721B09" w14:textId="77777777" w:rsidR="006E7021" w:rsidRPr="0083270E" w:rsidRDefault="006E7021" w:rsidP="006E7021">
      <w:pPr>
        <w:ind w:left="851"/>
        <w:rPr>
          <w:sz w:val="24"/>
          <w:szCs w:val="24"/>
          <w:u w:val="single"/>
        </w:rPr>
      </w:pPr>
      <w:r w:rsidRPr="0083270E">
        <w:rPr>
          <w:sz w:val="24"/>
          <w:szCs w:val="24"/>
          <w:u w:val="single"/>
        </w:rPr>
        <w:t xml:space="preserve">Grænseværdier </w:t>
      </w:r>
    </w:p>
    <w:p w14:paraId="1D8423AE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European </w:t>
      </w:r>
      <w:proofErr w:type="spellStart"/>
      <w:r w:rsidRPr="006A2898">
        <w:rPr>
          <w:sz w:val="24"/>
          <w:szCs w:val="24"/>
        </w:rPr>
        <w:t>Committee</w:t>
      </w:r>
      <w:proofErr w:type="spellEnd"/>
      <w:r w:rsidRPr="006A2898">
        <w:rPr>
          <w:sz w:val="24"/>
          <w:szCs w:val="24"/>
        </w:rPr>
        <w:t xml:space="preserve"> on </w:t>
      </w:r>
      <w:proofErr w:type="spellStart"/>
      <w:r w:rsidRPr="006A2898">
        <w:rPr>
          <w:sz w:val="24"/>
          <w:szCs w:val="24"/>
        </w:rPr>
        <w:t>Antimicrobial</w:t>
      </w:r>
      <w:proofErr w:type="spellEnd"/>
      <w:r w:rsidRPr="006A2898">
        <w:rPr>
          <w:sz w:val="24"/>
          <w:szCs w:val="24"/>
        </w:rPr>
        <w:t xml:space="preserve"> </w:t>
      </w:r>
      <w:proofErr w:type="spellStart"/>
      <w:r w:rsidRPr="006A2898">
        <w:rPr>
          <w:sz w:val="24"/>
          <w:szCs w:val="24"/>
        </w:rPr>
        <w:t>Suceptibility</w:t>
      </w:r>
      <w:proofErr w:type="spellEnd"/>
      <w:r w:rsidRPr="006A2898">
        <w:rPr>
          <w:sz w:val="24"/>
          <w:szCs w:val="24"/>
        </w:rPr>
        <w:t xml:space="preserve"> </w:t>
      </w:r>
      <w:proofErr w:type="spellStart"/>
      <w:r w:rsidRPr="006A2898">
        <w:rPr>
          <w:sz w:val="24"/>
          <w:szCs w:val="24"/>
        </w:rPr>
        <w:t>Testing</w:t>
      </w:r>
      <w:proofErr w:type="spellEnd"/>
      <w:r w:rsidRPr="006A2898">
        <w:rPr>
          <w:sz w:val="24"/>
          <w:szCs w:val="24"/>
        </w:rPr>
        <w:t xml:space="preserve"> (EUCAST) kliniske grænseværdier for MIC-testning er præsenteret nedenfor.</w:t>
      </w:r>
    </w:p>
    <w:p w14:paraId="715983FA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12290FC0" w14:textId="77777777" w:rsidR="006E7021" w:rsidRPr="006A2898" w:rsidRDefault="006E7021" w:rsidP="006E7021">
      <w:pPr>
        <w:pStyle w:val="P68B1DB1-Normal1"/>
        <w:keepNext/>
        <w:widowControl/>
        <w:adjustRightInd w:val="0"/>
        <w:rPr>
          <w:sz w:val="24"/>
          <w:szCs w:val="24"/>
          <w:lang w:val="da-DK"/>
        </w:rPr>
      </w:pPr>
      <w:r w:rsidRPr="006A2898">
        <w:rPr>
          <w:sz w:val="24"/>
          <w:szCs w:val="24"/>
          <w:lang w:val="da-DK"/>
        </w:rPr>
        <w:t xml:space="preserve">EUCAST kliniske MIC-grænseværdier for </w:t>
      </w:r>
      <w:proofErr w:type="spellStart"/>
      <w:r w:rsidRPr="006A2898">
        <w:rPr>
          <w:sz w:val="24"/>
          <w:szCs w:val="24"/>
          <w:lang w:val="da-DK"/>
        </w:rPr>
        <w:t>ampicillin</w:t>
      </w:r>
      <w:proofErr w:type="spellEnd"/>
      <w:r w:rsidRPr="006A2898">
        <w:rPr>
          <w:sz w:val="24"/>
          <w:szCs w:val="24"/>
          <w:lang w:val="da-DK"/>
        </w:rPr>
        <w:t>/</w:t>
      </w:r>
      <w:proofErr w:type="spellStart"/>
      <w:r w:rsidRPr="006A2898">
        <w:rPr>
          <w:sz w:val="24"/>
          <w:szCs w:val="24"/>
          <w:lang w:val="da-DK"/>
        </w:rPr>
        <w:t>sulbactam</w:t>
      </w:r>
      <w:proofErr w:type="spellEnd"/>
      <w:r w:rsidRPr="006A2898">
        <w:rPr>
          <w:sz w:val="24"/>
          <w:szCs w:val="24"/>
          <w:lang w:val="da-DK"/>
        </w:rPr>
        <w:t xml:space="preserve"> (2021-01-01, v11.0)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1906"/>
        <w:gridCol w:w="2222"/>
      </w:tblGrid>
      <w:tr w:rsidR="006E7021" w:rsidRPr="006A2898" w14:paraId="7E021045" w14:textId="77777777" w:rsidTr="006E7021"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EB07" w14:textId="77777777" w:rsidR="006E7021" w:rsidRPr="006A2898" w:rsidRDefault="006E7021">
            <w:pPr>
              <w:pStyle w:val="P68B1DB1-Normal1"/>
              <w:keepNext/>
              <w:widowControl/>
              <w:adjustRightInd w:val="0"/>
              <w:rPr>
                <w:sz w:val="24"/>
                <w:szCs w:val="24"/>
                <w:lang w:val="da-DK"/>
              </w:rPr>
            </w:pPr>
            <w:r w:rsidRPr="006A2898">
              <w:rPr>
                <w:sz w:val="24"/>
                <w:szCs w:val="24"/>
                <w:lang w:val="da-DK"/>
              </w:rPr>
              <w:t>Organisme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40CF" w14:textId="77777777" w:rsidR="006E7021" w:rsidRPr="006A2898" w:rsidRDefault="006E7021">
            <w:pPr>
              <w:pStyle w:val="P68B1DB1-Normal1"/>
              <w:keepNext/>
              <w:widowControl/>
              <w:adjustRightInd w:val="0"/>
              <w:rPr>
                <w:sz w:val="24"/>
                <w:szCs w:val="24"/>
                <w:lang w:val="da-DK"/>
              </w:rPr>
            </w:pPr>
            <w:r w:rsidRPr="006A2898">
              <w:rPr>
                <w:sz w:val="24"/>
                <w:szCs w:val="24"/>
                <w:lang w:val="da-DK"/>
              </w:rPr>
              <w:t>Følsom (S)</w:t>
            </w:r>
          </w:p>
          <w:p w14:paraId="43493A2A" w14:textId="77777777" w:rsidR="006E7021" w:rsidRPr="006A2898" w:rsidRDefault="006E7021">
            <w:pPr>
              <w:pStyle w:val="P68B1DB1-Normal1"/>
              <w:keepNext/>
              <w:widowControl/>
              <w:adjustRightInd w:val="0"/>
              <w:rPr>
                <w:sz w:val="24"/>
                <w:szCs w:val="24"/>
                <w:lang w:val="da-DK"/>
              </w:rPr>
            </w:pPr>
            <w:r w:rsidRPr="006A2898">
              <w:rPr>
                <w:sz w:val="24"/>
                <w:szCs w:val="24"/>
                <w:lang w:val="da-DK"/>
              </w:rPr>
              <w:t>(mg/l)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257D" w14:textId="77777777" w:rsidR="006E7021" w:rsidRPr="006A2898" w:rsidRDefault="006E7021">
            <w:pPr>
              <w:pStyle w:val="P68B1DB1-Normal1"/>
              <w:keepNext/>
              <w:widowControl/>
              <w:adjustRightInd w:val="0"/>
              <w:rPr>
                <w:sz w:val="24"/>
                <w:szCs w:val="24"/>
                <w:lang w:val="da-DK"/>
              </w:rPr>
            </w:pPr>
            <w:r w:rsidRPr="006A2898">
              <w:rPr>
                <w:sz w:val="24"/>
                <w:szCs w:val="24"/>
                <w:lang w:val="da-DK"/>
              </w:rPr>
              <w:t>Resistent (R)</w:t>
            </w:r>
          </w:p>
          <w:p w14:paraId="70300A25" w14:textId="77777777" w:rsidR="006E7021" w:rsidRPr="006A2898" w:rsidRDefault="006E7021">
            <w:pPr>
              <w:pStyle w:val="P68B1DB1-Normal1"/>
              <w:keepNext/>
              <w:widowControl/>
              <w:adjustRightInd w:val="0"/>
              <w:rPr>
                <w:sz w:val="24"/>
                <w:szCs w:val="24"/>
                <w:lang w:val="da-DK"/>
              </w:rPr>
            </w:pPr>
            <w:r w:rsidRPr="006A2898">
              <w:rPr>
                <w:sz w:val="24"/>
                <w:szCs w:val="24"/>
                <w:lang w:val="da-DK"/>
              </w:rPr>
              <w:t>(mg/l)</w:t>
            </w:r>
          </w:p>
        </w:tc>
      </w:tr>
      <w:tr w:rsidR="006E7021" w:rsidRPr="006A2898" w14:paraId="2AE1E6DB" w14:textId="77777777" w:rsidTr="006E7021"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1763" w14:textId="77777777" w:rsidR="006E7021" w:rsidRPr="006A2898" w:rsidRDefault="006E7021">
            <w:pPr>
              <w:adjustRightInd w:val="0"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Enterobacteriaceae</w:t>
            </w:r>
            <w:r w:rsidRPr="006A2898">
              <w:rPr>
                <w:i/>
                <w:sz w:val="24"/>
                <w:szCs w:val="24"/>
                <w:vertAlign w:val="superscript"/>
              </w:rPr>
              <w:t>1</w:t>
            </w:r>
            <w:r w:rsidRPr="006A289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EF3B" w14:textId="77777777" w:rsidR="006E7021" w:rsidRPr="006A2898" w:rsidRDefault="006E7021">
            <w:pPr>
              <w:adjustRightInd w:val="0"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 xml:space="preserve">≤ 8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821A" w14:textId="77777777" w:rsidR="006E7021" w:rsidRPr="006A2898" w:rsidRDefault="006E7021">
            <w:pPr>
              <w:adjustRightInd w:val="0"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&gt;8</w:t>
            </w:r>
          </w:p>
        </w:tc>
      </w:tr>
      <w:tr w:rsidR="006E7021" w:rsidRPr="006A2898" w14:paraId="552E3D86" w14:textId="77777777" w:rsidTr="006E7021"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1702" w14:textId="77777777" w:rsidR="006E7021" w:rsidRPr="006A2898" w:rsidRDefault="006E7021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6A2898">
              <w:rPr>
                <w:i/>
                <w:sz w:val="24"/>
                <w:szCs w:val="24"/>
              </w:rPr>
              <w:t>Staphylococcus</w:t>
            </w:r>
            <w:proofErr w:type="spellEnd"/>
            <w:r w:rsidRPr="006A2898">
              <w:rPr>
                <w:sz w:val="24"/>
                <w:szCs w:val="24"/>
              </w:rPr>
              <w:t xml:space="preserve"> </w:t>
            </w:r>
            <w:proofErr w:type="spellStart"/>
            <w:r w:rsidRPr="006A2898">
              <w:rPr>
                <w:sz w:val="24"/>
                <w:szCs w:val="24"/>
              </w:rPr>
              <w:t>spp</w:t>
            </w:r>
            <w:proofErr w:type="spellEnd"/>
            <w:r w:rsidRPr="006A2898">
              <w:rPr>
                <w:sz w:val="24"/>
                <w:szCs w:val="24"/>
              </w:rPr>
              <w:t>.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6B16" w14:textId="77777777" w:rsidR="006E7021" w:rsidRPr="006A2898" w:rsidRDefault="006E7021">
            <w:pPr>
              <w:adjustRightInd w:val="0"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 xml:space="preserve">Note </w:t>
            </w:r>
            <w:r w:rsidRPr="006A2898">
              <w:rPr>
                <w:sz w:val="24"/>
                <w:szCs w:val="24"/>
                <w:vertAlign w:val="superscript"/>
              </w:rPr>
              <w:t>2,3,4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1025" w14:textId="77777777" w:rsidR="006E7021" w:rsidRPr="006A2898" w:rsidRDefault="006E7021">
            <w:pPr>
              <w:adjustRightInd w:val="0"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 xml:space="preserve">Note </w:t>
            </w:r>
            <w:r w:rsidRPr="006A2898">
              <w:rPr>
                <w:sz w:val="24"/>
                <w:szCs w:val="24"/>
                <w:vertAlign w:val="superscript"/>
              </w:rPr>
              <w:t>2,3,4</w:t>
            </w:r>
          </w:p>
        </w:tc>
      </w:tr>
      <w:tr w:rsidR="006E7021" w:rsidRPr="006A2898" w14:paraId="2BE6A146" w14:textId="77777777" w:rsidTr="006E7021"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0EAD" w14:textId="77777777" w:rsidR="006E7021" w:rsidRPr="006A2898" w:rsidRDefault="006E7021">
            <w:pPr>
              <w:pStyle w:val="HTML-adresse"/>
              <w:widowControl/>
              <w:adjustRightInd w:val="0"/>
              <w:rPr>
                <w:sz w:val="24"/>
                <w:szCs w:val="24"/>
                <w:lang w:val="da-DK"/>
              </w:rPr>
            </w:pPr>
            <w:r w:rsidRPr="006A2898">
              <w:rPr>
                <w:sz w:val="24"/>
                <w:szCs w:val="24"/>
                <w:lang w:val="da-DK"/>
              </w:rPr>
              <w:t>Enterokokker</w:t>
            </w:r>
            <w:r w:rsidRPr="006A2898">
              <w:rPr>
                <w:sz w:val="24"/>
                <w:szCs w:val="24"/>
                <w:vertAlign w:val="superscript"/>
                <w:lang w:val="da-DK"/>
              </w:rPr>
              <w:t>1,5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EA3F" w14:textId="77777777" w:rsidR="006E7021" w:rsidRPr="006A2898" w:rsidRDefault="006E7021">
            <w:pPr>
              <w:adjustRightInd w:val="0"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≤4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6634" w14:textId="77777777" w:rsidR="006E7021" w:rsidRPr="006A2898" w:rsidRDefault="006E7021">
            <w:pPr>
              <w:adjustRightInd w:val="0"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&gt;8</w:t>
            </w:r>
          </w:p>
        </w:tc>
      </w:tr>
      <w:tr w:rsidR="006E7021" w:rsidRPr="006A2898" w14:paraId="7E117163" w14:textId="77777777" w:rsidTr="006E7021"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BFBD" w14:textId="77777777" w:rsidR="006E7021" w:rsidRPr="006A2898" w:rsidRDefault="006E7021">
            <w:pPr>
              <w:pStyle w:val="P68B1DB1-Normal13"/>
              <w:widowControl/>
              <w:adjustRightInd w:val="0"/>
              <w:rPr>
                <w:rFonts w:hAnsi="Times New Roman"/>
                <w:sz w:val="24"/>
                <w:szCs w:val="24"/>
                <w:lang w:val="da-DK"/>
              </w:rPr>
            </w:pPr>
            <w:r w:rsidRPr="006A2898">
              <w:rPr>
                <w:rFonts w:hAnsi="Times New Roman"/>
                <w:sz w:val="24"/>
                <w:szCs w:val="24"/>
                <w:lang w:val="da-DK"/>
              </w:rPr>
              <w:t>Streptokokker gruppe A, B, C og G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902C" w14:textId="77777777" w:rsidR="006E7021" w:rsidRPr="006A2898" w:rsidRDefault="006E7021">
            <w:pPr>
              <w:adjustRightInd w:val="0"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 xml:space="preserve">Note </w:t>
            </w:r>
            <w:r w:rsidRPr="006A2898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D203" w14:textId="77777777" w:rsidR="006E7021" w:rsidRPr="006A2898" w:rsidRDefault="006E7021">
            <w:pPr>
              <w:adjustRightInd w:val="0"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 xml:space="preserve">Note </w:t>
            </w:r>
            <w:r w:rsidRPr="006A2898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6E7021" w:rsidRPr="006A2898" w14:paraId="1109CA10" w14:textId="77777777" w:rsidTr="006E7021"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DAEC" w14:textId="77777777" w:rsidR="006E7021" w:rsidRPr="006A2898" w:rsidRDefault="006E7021">
            <w:pPr>
              <w:pStyle w:val="P68B1DB1-Normal13"/>
              <w:widowControl/>
              <w:adjustRightInd w:val="0"/>
              <w:rPr>
                <w:rFonts w:hAnsi="Times New Roman"/>
                <w:sz w:val="24"/>
                <w:szCs w:val="24"/>
                <w:lang w:val="da-DK"/>
              </w:rPr>
            </w:pPr>
            <w:proofErr w:type="spellStart"/>
            <w:r w:rsidRPr="006A2898">
              <w:rPr>
                <w:rFonts w:hAnsi="Times New Roman"/>
                <w:sz w:val="24"/>
                <w:szCs w:val="24"/>
                <w:lang w:val="da-DK"/>
              </w:rPr>
              <w:t>Streptococcus</w:t>
            </w:r>
            <w:proofErr w:type="spellEnd"/>
            <w:r w:rsidRPr="006A2898">
              <w:rPr>
                <w:rFonts w:hAnsi="Times New Roman"/>
                <w:sz w:val="24"/>
                <w:szCs w:val="24"/>
                <w:lang w:val="da-DK"/>
              </w:rPr>
              <w:t xml:space="preserve"> pneumoniae</w:t>
            </w:r>
            <w:r w:rsidRPr="006A2898">
              <w:rPr>
                <w:rFonts w:hAnsi="Times New Roman"/>
                <w:sz w:val="24"/>
                <w:szCs w:val="24"/>
                <w:vertAlign w:val="superscript"/>
                <w:lang w:val="da-DK"/>
              </w:rPr>
              <w:t>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9422" w14:textId="77777777" w:rsidR="006E7021" w:rsidRPr="006A2898" w:rsidRDefault="006E7021">
            <w:pPr>
              <w:adjustRightInd w:val="0"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 xml:space="preserve">Note </w:t>
            </w:r>
            <w:r w:rsidRPr="006A2898">
              <w:rPr>
                <w:sz w:val="24"/>
                <w:szCs w:val="24"/>
                <w:vertAlign w:val="superscript"/>
              </w:rPr>
              <w:t>8,9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B4B2" w14:textId="77777777" w:rsidR="006E7021" w:rsidRPr="006A2898" w:rsidRDefault="006E7021">
            <w:pPr>
              <w:adjustRightInd w:val="0"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 xml:space="preserve">Note </w:t>
            </w:r>
            <w:r w:rsidRPr="006A2898">
              <w:rPr>
                <w:sz w:val="24"/>
                <w:szCs w:val="24"/>
                <w:vertAlign w:val="superscript"/>
              </w:rPr>
              <w:t>8,9</w:t>
            </w:r>
          </w:p>
        </w:tc>
      </w:tr>
      <w:tr w:rsidR="006E7021" w:rsidRPr="006A2898" w14:paraId="795A6250" w14:textId="77777777" w:rsidTr="006E7021"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8089" w14:textId="77777777" w:rsidR="006E7021" w:rsidRPr="006A2898" w:rsidRDefault="006E7021">
            <w:pPr>
              <w:rPr>
                <w:sz w:val="24"/>
                <w:szCs w:val="24"/>
                <w:highlight w:val="yellow"/>
              </w:rPr>
            </w:pPr>
            <w:r w:rsidRPr="006A2898">
              <w:rPr>
                <w:i/>
                <w:sz w:val="24"/>
                <w:szCs w:val="24"/>
              </w:rPr>
              <w:t xml:space="preserve">Viridans </w:t>
            </w:r>
            <w:r w:rsidRPr="006A2898">
              <w:rPr>
                <w:sz w:val="24"/>
                <w:szCs w:val="24"/>
              </w:rPr>
              <w:t xml:space="preserve">gruppe </w:t>
            </w:r>
            <w:r w:rsidRPr="006A2898">
              <w:rPr>
                <w:i/>
                <w:sz w:val="24"/>
                <w:szCs w:val="24"/>
              </w:rPr>
              <w:t>streptokokker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CE80" w14:textId="77777777" w:rsidR="006E7021" w:rsidRPr="006A2898" w:rsidRDefault="006E7021">
            <w:pPr>
              <w:adjustRightInd w:val="0"/>
              <w:rPr>
                <w:sz w:val="24"/>
                <w:szCs w:val="24"/>
                <w:highlight w:val="yellow"/>
              </w:rPr>
            </w:pPr>
            <w:r w:rsidRPr="006A2898">
              <w:rPr>
                <w:sz w:val="24"/>
                <w:szCs w:val="24"/>
              </w:rPr>
              <w:t xml:space="preserve">Note </w:t>
            </w:r>
            <w:r w:rsidRPr="006A2898">
              <w:rPr>
                <w:sz w:val="24"/>
                <w:szCs w:val="24"/>
                <w:vertAlign w:val="superscript"/>
              </w:rPr>
              <w:t>10,11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F053" w14:textId="77777777" w:rsidR="006E7021" w:rsidRPr="006A2898" w:rsidRDefault="006E7021">
            <w:pPr>
              <w:adjustRightInd w:val="0"/>
              <w:rPr>
                <w:sz w:val="24"/>
                <w:szCs w:val="24"/>
                <w:highlight w:val="yellow"/>
              </w:rPr>
            </w:pPr>
            <w:r w:rsidRPr="006A2898">
              <w:rPr>
                <w:sz w:val="24"/>
                <w:szCs w:val="24"/>
              </w:rPr>
              <w:t xml:space="preserve">Note </w:t>
            </w:r>
            <w:r w:rsidRPr="006A2898">
              <w:rPr>
                <w:sz w:val="24"/>
                <w:szCs w:val="24"/>
                <w:vertAlign w:val="superscript"/>
              </w:rPr>
              <w:t>10,11</w:t>
            </w:r>
          </w:p>
        </w:tc>
      </w:tr>
      <w:tr w:rsidR="006E7021" w:rsidRPr="006A2898" w14:paraId="570A143E" w14:textId="77777777" w:rsidTr="006E7021"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7FD1" w14:textId="77777777" w:rsidR="006E7021" w:rsidRPr="006A2898" w:rsidRDefault="006E7021">
            <w:pPr>
              <w:pStyle w:val="HTML-adresse"/>
              <w:widowControl/>
              <w:adjustRightInd w:val="0"/>
              <w:rPr>
                <w:sz w:val="24"/>
                <w:szCs w:val="24"/>
                <w:highlight w:val="yellow"/>
                <w:lang w:val="da-DK"/>
              </w:rPr>
            </w:pPr>
            <w:proofErr w:type="spellStart"/>
            <w:r w:rsidRPr="006A2898">
              <w:rPr>
                <w:sz w:val="24"/>
                <w:szCs w:val="24"/>
                <w:lang w:val="da-DK"/>
              </w:rPr>
              <w:t>Haemophilus</w:t>
            </w:r>
            <w:proofErr w:type="spellEnd"/>
            <w:r w:rsidRPr="006A2898">
              <w:rPr>
                <w:sz w:val="24"/>
                <w:szCs w:val="24"/>
                <w:lang w:val="da-DK"/>
              </w:rPr>
              <w:t xml:space="preserve"> influenza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2601" w14:textId="77777777" w:rsidR="006E7021" w:rsidRPr="006A2898" w:rsidRDefault="006E7021">
            <w:pPr>
              <w:adjustRightInd w:val="0"/>
              <w:rPr>
                <w:sz w:val="24"/>
                <w:szCs w:val="24"/>
                <w:highlight w:val="yellow"/>
              </w:rPr>
            </w:pPr>
            <w:r w:rsidRPr="006A2898">
              <w:rPr>
                <w:sz w:val="24"/>
                <w:szCs w:val="24"/>
              </w:rPr>
              <w:t xml:space="preserve">≤ 1 </w:t>
            </w:r>
            <w:r w:rsidRPr="006A2898">
              <w:rPr>
                <w:sz w:val="24"/>
                <w:szCs w:val="24"/>
                <w:vertAlign w:val="superscript"/>
              </w:rPr>
              <w:t>1,12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CD3A" w14:textId="77777777" w:rsidR="006E7021" w:rsidRPr="006A2898" w:rsidRDefault="006E7021">
            <w:pPr>
              <w:adjustRightInd w:val="0"/>
              <w:rPr>
                <w:sz w:val="24"/>
                <w:szCs w:val="24"/>
                <w:highlight w:val="yellow"/>
              </w:rPr>
            </w:pPr>
            <w:r w:rsidRPr="006A2898">
              <w:rPr>
                <w:sz w:val="24"/>
                <w:szCs w:val="24"/>
              </w:rPr>
              <w:t xml:space="preserve">&gt; 1 </w:t>
            </w:r>
            <w:r w:rsidRPr="006A2898">
              <w:rPr>
                <w:sz w:val="24"/>
                <w:szCs w:val="24"/>
                <w:vertAlign w:val="superscript"/>
              </w:rPr>
              <w:t>1,12</w:t>
            </w:r>
          </w:p>
        </w:tc>
      </w:tr>
      <w:tr w:rsidR="006E7021" w:rsidRPr="006A2898" w14:paraId="25ABA583" w14:textId="77777777" w:rsidTr="006E7021"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7720" w14:textId="77777777" w:rsidR="006E7021" w:rsidRPr="006A2898" w:rsidRDefault="006E7021">
            <w:pPr>
              <w:pStyle w:val="HTML-adresse"/>
              <w:widowControl/>
              <w:adjustRightInd w:val="0"/>
              <w:rPr>
                <w:sz w:val="24"/>
                <w:szCs w:val="24"/>
                <w:highlight w:val="yellow"/>
                <w:lang w:val="da-DK"/>
              </w:rPr>
            </w:pPr>
            <w:proofErr w:type="spellStart"/>
            <w:r w:rsidRPr="006A2898">
              <w:rPr>
                <w:sz w:val="24"/>
                <w:szCs w:val="24"/>
                <w:lang w:val="da-DK"/>
              </w:rPr>
              <w:t>Moraxella</w:t>
            </w:r>
            <w:proofErr w:type="spellEnd"/>
            <w:r w:rsidRPr="006A2898">
              <w:rPr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6A2898">
              <w:rPr>
                <w:sz w:val="24"/>
                <w:szCs w:val="24"/>
                <w:lang w:val="da-DK"/>
              </w:rPr>
              <w:t>catarrhalis</w:t>
            </w:r>
            <w:proofErr w:type="spellEnd"/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FFA" w14:textId="77777777" w:rsidR="006E7021" w:rsidRPr="006A2898" w:rsidRDefault="006E7021">
            <w:pPr>
              <w:adjustRightInd w:val="0"/>
              <w:rPr>
                <w:sz w:val="24"/>
                <w:szCs w:val="24"/>
                <w:highlight w:val="yellow"/>
              </w:rPr>
            </w:pPr>
            <w:r w:rsidRPr="006A2898">
              <w:rPr>
                <w:sz w:val="24"/>
                <w:szCs w:val="24"/>
              </w:rPr>
              <w:t xml:space="preserve">≤ 1 </w:t>
            </w:r>
            <w:r w:rsidRPr="006A2898">
              <w:rPr>
                <w:sz w:val="24"/>
                <w:szCs w:val="24"/>
                <w:vertAlign w:val="superscript"/>
              </w:rPr>
              <w:t>1,12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A35A" w14:textId="77777777" w:rsidR="006E7021" w:rsidRPr="006A2898" w:rsidRDefault="006E7021">
            <w:pPr>
              <w:adjustRightInd w:val="0"/>
              <w:rPr>
                <w:sz w:val="24"/>
                <w:szCs w:val="24"/>
                <w:highlight w:val="yellow"/>
              </w:rPr>
            </w:pPr>
            <w:r w:rsidRPr="006A2898">
              <w:rPr>
                <w:sz w:val="24"/>
                <w:szCs w:val="24"/>
              </w:rPr>
              <w:t xml:space="preserve">&gt; 1 </w:t>
            </w:r>
            <w:r w:rsidRPr="006A2898">
              <w:rPr>
                <w:sz w:val="24"/>
                <w:szCs w:val="24"/>
                <w:vertAlign w:val="superscript"/>
              </w:rPr>
              <w:t>1,12</w:t>
            </w:r>
          </w:p>
        </w:tc>
      </w:tr>
      <w:tr w:rsidR="006E7021" w:rsidRPr="006A2898" w14:paraId="7E02309F" w14:textId="77777777" w:rsidTr="006E7021"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690F" w14:textId="77777777" w:rsidR="006E7021" w:rsidRPr="006A2898" w:rsidRDefault="006E7021">
            <w:pPr>
              <w:adjustRightInd w:val="0"/>
              <w:rPr>
                <w:i/>
                <w:sz w:val="24"/>
                <w:szCs w:val="24"/>
                <w:highlight w:val="yellow"/>
              </w:rPr>
            </w:pPr>
            <w:proofErr w:type="spellStart"/>
            <w:r w:rsidRPr="006A2898">
              <w:rPr>
                <w:sz w:val="24"/>
                <w:szCs w:val="24"/>
              </w:rPr>
              <w:t>Gram-positive</w:t>
            </w:r>
            <w:proofErr w:type="spellEnd"/>
            <w:r w:rsidRPr="006A2898">
              <w:rPr>
                <w:sz w:val="24"/>
                <w:szCs w:val="24"/>
              </w:rPr>
              <w:t xml:space="preserve"> </w:t>
            </w:r>
            <w:proofErr w:type="spellStart"/>
            <w:r w:rsidRPr="006A2898">
              <w:rPr>
                <w:sz w:val="24"/>
                <w:szCs w:val="24"/>
              </w:rPr>
              <w:t>anaerober</w:t>
            </w:r>
            <w:proofErr w:type="spellEnd"/>
            <w:r w:rsidRPr="006A2898">
              <w:rPr>
                <w:sz w:val="24"/>
                <w:szCs w:val="24"/>
              </w:rPr>
              <w:t xml:space="preserve"> undtagen </w:t>
            </w:r>
            <w:proofErr w:type="spellStart"/>
            <w:r w:rsidRPr="006A2898">
              <w:rPr>
                <w:i/>
                <w:sz w:val="24"/>
                <w:szCs w:val="24"/>
              </w:rPr>
              <w:t>Clostridium</w:t>
            </w:r>
            <w:proofErr w:type="spellEnd"/>
            <w:r w:rsidRPr="006A2898">
              <w:rPr>
                <w:i/>
                <w:sz w:val="24"/>
                <w:szCs w:val="24"/>
              </w:rPr>
              <w:t xml:space="preserve"> difficile</w:t>
            </w:r>
            <w:r w:rsidRPr="006A2898">
              <w:rPr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2F74" w14:textId="77777777" w:rsidR="006E7021" w:rsidRPr="006A2898" w:rsidRDefault="006E7021">
            <w:pPr>
              <w:adjustRightInd w:val="0"/>
              <w:rPr>
                <w:sz w:val="24"/>
                <w:szCs w:val="24"/>
                <w:highlight w:val="yellow"/>
              </w:rPr>
            </w:pPr>
            <w:r w:rsidRPr="006A2898">
              <w:rPr>
                <w:sz w:val="24"/>
                <w:szCs w:val="24"/>
              </w:rPr>
              <w:t xml:space="preserve">≤ 4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4829" w14:textId="77777777" w:rsidR="006E7021" w:rsidRPr="006A2898" w:rsidRDefault="006E7021">
            <w:pPr>
              <w:adjustRightInd w:val="0"/>
              <w:rPr>
                <w:sz w:val="24"/>
                <w:szCs w:val="24"/>
                <w:highlight w:val="yellow"/>
              </w:rPr>
            </w:pPr>
            <w:r w:rsidRPr="006A2898">
              <w:rPr>
                <w:sz w:val="24"/>
                <w:szCs w:val="24"/>
              </w:rPr>
              <w:t>&gt;8</w:t>
            </w:r>
          </w:p>
        </w:tc>
      </w:tr>
      <w:tr w:rsidR="006E7021" w:rsidRPr="006A2898" w14:paraId="7AA772AB" w14:textId="77777777" w:rsidTr="006E7021"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3AE6" w14:textId="77777777" w:rsidR="006E7021" w:rsidRPr="006A2898" w:rsidRDefault="006E7021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6A2898">
              <w:rPr>
                <w:sz w:val="24"/>
                <w:szCs w:val="24"/>
              </w:rPr>
              <w:t>Gram-negative</w:t>
            </w:r>
            <w:proofErr w:type="spellEnd"/>
            <w:r w:rsidRPr="006A2898">
              <w:rPr>
                <w:sz w:val="24"/>
                <w:szCs w:val="24"/>
              </w:rPr>
              <w:t xml:space="preserve"> anaerober</w:t>
            </w:r>
            <w:r w:rsidRPr="006A2898">
              <w:rPr>
                <w:i/>
                <w:sz w:val="24"/>
                <w:szCs w:val="24"/>
                <w:vertAlign w:val="superscript"/>
              </w:rPr>
              <w:t>1</w:t>
            </w:r>
            <w:r w:rsidRPr="006A289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5C33" w14:textId="77777777" w:rsidR="006E7021" w:rsidRPr="006A2898" w:rsidRDefault="006E7021">
            <w:pPr>
              <w:adjustRightInd w:val="0"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 xml:space="preserve">≤ 4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F7C7" w14:textId="77777777" w:rsidR="006E7021" w:rsidRPr="006A2898" w:rsidRDefault="006E7021">
            <w:pPr>
              <w:adjustRightInd w:val="0"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&gt;8</w:t>
            </w:r>
          </w:p>
        </w:tc>
      </w:tr>
      <w:tr w:rsidR="006E7021" w:rsidRPr="006A2898" w14:paraId="31127860" w14:textId="77777777" w:rsidTr="006E7021"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0130" w14:textId="77777777" w:rsidR="006E7021" w:rsidRPr="006A2898" w:rsidRDefault="006E7021">
            <w:pPr>
              <w:adjustRightInd w:val="0"/>
              <w:rPr>
                <w:i/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PK-PD (ikke-artsrelaterede) grænseværdier</w:t>
            </w:r>
            <w:r w:rsidRPr="006A2898">
              <w:rPr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33AE" w14:textId="77777777" w:rsidR="006E7021" w:rsidRPr="006A2898" w:rsidRDefault="006E7021">
            <w:pPr>
              <w:adjustRightInd w:val="0"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 xml:space="preserve">≤ 2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5841" w14:textId="77777777" w:rsidR="006E7021" w:rsidRPr="006A2898" w:rsidRDefault="006E7021">
            <w:pPr>
              <w:adjustRightInd w:val="0"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&gt;8</w:t>
            </w:r>
          </w:p>
        </w:tc>
      </w:tr>
    </w:tbl>
    <w:p w14:paraId="2CA0CEA5" w14:textId="77777777" w:rsidR="006E7021" w:rsidRPr="006A2898" w:rsidRDefault="006E7021" w:rsidP="006E7021">
      <w:pPr>
        <w:pStyle w:val="TableParagraph"/>
        <w:widowControl/>
        <w:spacing w:before="0" w:line="240" w:lineRule="auto"/>
        <w:ind w:left="284" w:hanging="284"/>
        <w:rPr>
          <w:rFonts w:eastAsia="Times New Roman"/>
          <w:sz w:val="24"/>
          <w:szCs w:val="24"/>
          <w:lang w:val="da-DK"/>
        </w:rPr>
      </w:pPr>
      <w:r w:rsidRPr="006A2898">
        <w:rPr>
          <w:sz w:val="24"/>
          <w:szCs w:val="24"/>
          <w:vertAlign w:val="superscript"/>
          <w:lang w:val="da-DK"/>
        </w:rPr>
        <w:t>1</w:t>
      </w:r>
      <w:r w:rsidRPr="006A2898">
        <w:rPr>
          <w:sz w:val="24"/>
          <w:szCs w:val="24"/>
          <w:lang w:val="da-DK"/>
        </w:rPr>
        <w:t xml:space="preserve"> </w:t>
      </w:r>
      <w:r w:rsidRPr="006A2898">
        <w:rPr>
          <w:sz w:val="24"/>
          <w:szCs w:val="24"/>
          <w:lang w:val="da-DK"/>
        </w:rPr>
        <w:tab/>
        <w:t xml:space="preserve">Til følsomhedstest er koncentrationen af </w:t>
      </w:r>
      <w:proofErr w:type="spellStart"/>
      <w:r w:rsidRPr="006A2898">
        <w:rPr>
          <w:sz w:val="24"/>
          <w:szCs w:val="24"/>
          <w:lang w:val="da-DK"/>
        </w:rPr>
        <w:t>sulbactam</w:t>
      </w:r>
      <w:proofErr w:type="spellEnd"/>
      <w:r w:rsidRPr="006A2898">
        <w:rPr>
          <w:sz w:val="24"/>
          <w:szCs w:val="24"/>
          <w:lang w:val="da-DK"/>
        </w:rPr>
        <w:t xml:space="preserve"> fastsat til 4 mg/l.</w:t>
      </w:r>
    </w:p>
    <w:p w14:paraId="30246CA1" w14:textId="77777777" w:rsidR="006E7021" w:rsidRPr="006A2898" w:rsidRDefault="006E7021" w:rsidP="006E7021">
      <w:pPr>
        <w:pStyle w:val="TableParagraph"/>
        <w:widowControl/>
        <w:spacing w:before="0" w:line="240" w:lineRule="auto"/>
        <w:ind w:left="284" w:hanging="284"/>
        <w:rPr>
          <w:sz w:val="24"/>
          <w:szCs w:val="24"/>
          <w:lang w:val="da-DK"/>
        </w:rPr>
      </w:pPr>
      <w:r w:rsidRPr="006A2898">
        <w:rPr>
          <w:sz w:val="24"/>
          <w:szCs w:val="24"/>
          <w:vertAlign w:val="superscript"/>
          <w:lang w:val="da-DK"/>
        </w:rPr>
        <w:t>2</w:t>
      </w:r>
      <w:r w:rsidRPr="006A2898">
        <w:rPr>
          <w:sz w:val="24"/>
          <w:szCs w:val="24"/>
          <w:lang w:val="da-DK"/>
        </w:rPr>
        <w:t xml:space="preserve"> </w:t>
      </w:r>
      <w:r w:rsidRPr="006A2898">
        <w:rPr>
          <w:sz w:val="24"/>
          <w:szCs w:val="24"/>
          <w:lang w:val="da-DK"/>
        </w:rPr>
        <w:tab/>
        <w:t xml:space="preserve">De fleste </w:t>
      </w:r>
      <w:r w:rsidRPr="006A2898">
        <w:rPr>
          <w:i/>
          <w:sz w:val="24"/>
          <w:szCs w:val="24"/>
          <w:lang w:val="da-DK"/>
        </w:rPr>
        <w:t>S. aureus</w:t>
      </w:r>
      <w:r w:rsidRPr="006A2898">
        <w:rPr>
          <w:sz w:val="24"/>
          <w:szCs w:val="24"/>
          <w:lang w:val="da-DK"/>
        </w:rPr>
        <w:t xml:space="preserve"> er </w:t>
      </w:r>
      <w:proofErr w:type="spellStart"/>
      <w:r w:rsidRPr="006A2898">
        <w:rPr>
          <w:sz w:val="24"/>
          <w:szCs w:val="24"/>
          <w:lang w:val="da-DK"/>
        </w:rPr>
        <w:t>penicillinaseproducenter</w:t>
      </w:r>
      <w:proofErr w:type="spellEnd"/>
      <w:r w:rsidRPr="006A2898">
        <w:rPr>
          <w:sz w:val="24"/>
          <w:szCs w:val="24"/>
          <w:lang w:val="da-DK"/>
        </w:rPr>
        <w:t xml:space="preserve">, og nogle er </w:t>
      </w:r>
      <w:proofErr w:type="spellStart"/>
      <w:r w:rsidRPr="006A2898">
        <w:rPr>
          <w:sz w:val="24"/>
          <w:szCs w:val="24"/>
          <w:lang w:val="da-DK"/>
        </w:rPr>
        <w:t>methicillinresistente</w:t>
      </w:r>
      <w:proofErr w:type="spellEnd"/>
      <w:r w:rsidRPr="006A2898">
        <w:rPr>
          <w:sz w:val="24"/>
          <w:szCs w:val="24"/>
          <w:lang w:val="da-DK"/>
        </w:rPr>
        <w:t xml:space="preserve">. Begge mekanismer gør dem resistente over for </w:t>
      </w:r>
      <w:proofErr w:type="spellStart"/>
      <w:r w:rsidRPr="006A2898">
        <w:rPr>
          <w:sz w:val="24"/>
          <w:szCs w:val="24"/>
          <w:lang w:val="da-DK"/>
        </w:rPr>
        <w:t>benzylpenicillin</w:t>
      </w:r>
      <w:proofErr w:type="spellEnd"/>
      <w:r w:rsidRPr="006A2898">
        <w:rPr>
          <w:sz w:val="24"/>
          <w:szCs w:val="24"/>
          <w:lang w:val="da-DK"/>
        </w:rPr>
        <w:t xml:space="preserve">, </w:t>
      </w:r>
      <w:proofErr w:type="spellStart"/>
      <w:r w:rsidRPr="006A2898">
        <w:rPr>
          <w:sz w:val="24"/>
          <w:szCs w:val="24"/>
          <w:lang w:val="da-DK"/>
        </w:rPr>
        <w:t>phenoxymethylpenicillin</w:t>
      </w:r>
      <w:proofErr w:type="spellEnd"/>
      <w:r w:rsidRPr="006A2898">
        <w:rPr>
          <w:sz w:val="24"/>
          <w:szCs w:val="24"/>
          <w:lang w:val="da-DK"/>
        </w:rPr>
        <w:t xml:space="preserve">, </w:t>
      </w:r>
      <w:proofErr w:type="spellStart"/>
      <w:r w:rsidRPr="006A2898">
        <w:rPr>
          <w:sz w:val="24"/>
          <w:szCs w:val="24"/>
          <w:lang w:val="da-DK"/>
        </w:rPr>
        <w:t>ampicillin</w:t>
      </w:r>
      <w:proofErr w:type="spellEnd"/>
      <w:r w:rsidRPr="006A2898">
        <w:rPr>
          <w:sz w:val="24"/>
          <w:szCs w:val="24"/>
          <w:lang w:val="da-DK"/>
        </w:rPr>
        <w:t xml:space="preserve">, </w:t>
      </w:r>
      <w:proofErr w:type="spellStart"/>
      <w:r w:rsidRPr="006A2898">
        <w:rPr>
          <w:sz w:val="24"/>
          <w:szCs w:val="24"/>
          <w:lang w:val="da-DK"/>
        </w:rPr>
        <w:t>amoxicillin</w:t>
      </w:r>
      <w:proofErr w:type="spellEnd"/>
      <w:r w:rsidRPr="006A2898">
        <w:rPr>
          <w:sz w:val="24"/>
          <w:szCs w:val="24"/>
          <w:lang w:val="da-DK"/>
        </w:rPr>
        <w:t xml:space="preserve">, </w:t>
      </w:r>
      <w:proofErr w:type="spellStart"/>
      <w:r w:rsidRPr="006A2898">
        <w:rPr>
          <w:sz w:val="24"/>
          <w:szCs w:val="24"/>
          <w:lang w:val="da-DK"/>
        </w:rPr>
        <w:t>piperacillin</w:t>
      </w:r>
      <w:proofErr w:type="spellEnd"/>
      <w:r w:rsidRPr="006A2898">
        <w:rPr>
          <w:sz w:val="24"/>
          <w:szCs w:val="24"/>
          <w:lang w:val="da-DK"/>
        </w:rPr>
        <w:t xml:space="preserve"> og </w:t>
      </w:r>
      <w:proofErr w:type="spellStart"/>
      <w:r w:rsidRPr="006A2898">
        <w:rPr>
          <w:sz w:val="24"/>
          <w:szCs w:val="24"/>
          <w:lang w:val="da-DK"/>
        </w:rPr>
        <w:t>ticarcillin</w:t>
      </w:r>
      <w:proofErr w:type="spellEnd"/>
      <w:r w:rsidRPr="006A2898">
        <w:rPr>
          <w:sz w:val="24"/>
          <w:szCs w:val="24"/>
          <w:lang w:val="da-DK"/>
        </w:rPr>
        <w:t xml:space="preserve">. </w:t>
      </w:r>
      <w:proofErr w:type="spellStart"/>
      <w:r w:rsidRPr="006A2898">
        <w:rPr>
          <w:sz w:val="24"/>
          <w:szCs w:val="24"/>
          <w:lang w:val="da-DK"/>
        </w:rPr>
        <w:t>Isolater</w:t>
      </w:r>
      <w:proofErr w:type="spellEnd"/>
      <w:r w:rsidRPr="006A2898">
        <w:rPr>
          <w:sz w:val="24"/>
          <w:szCs w:val="24"/>
          <w:lang w:val="da-DK"/>
        </w:rPr>
        <w:t xml:space="preserve">, der tester følsomme over for </w:t>
      </w:r>
      <w:proofErr w:type="spellStart"/>
      <w:r w:rsidRPr="006A2898">
        <w:rPr>
          <w:sz w:val="24"/>
          <w:szCs w:val="24"/>
          <w:lang w:val="da-DK"/>
        </w:rPr>
        <w:t>benzylpenicillin</w:t>
      </w:r>
      <w:proofErr w:type="spellEnd"/>
      <w:r w:rsidRPr="006A2898">
        <w:rPr>
          <w:sz w:val="24"/>
          <w:szCs w:val="24"/>
          <w:lang w:val="da-DK"/>
        </w:rPr>
        <w:t xml:space="preserve"> og </w:t>
      </w:r>
      <w:proofErr w:type="spellStart"/>
      <w:r w:rsidRPr="006A2898">
        <w:rPr>
          <w:sz w:val="24"/>
          <w:szCs w:val="24"/>
          <w:lang w:val="da-DK"/>
        </w:rPr>
        <w:lastRenderedPageBreak/>
        <w:t>cefoxitin</w:t>
      </w:r>
      <w:proofErr w:type="spellEnd"/>
      <w:r w:rsidRPr="006A2898">
        <w:rPr>
          <w:sz w:val="24"/>
          <w:szCs w:val="24"/>
          <w:lang w:val="da-DK"/>
        </w:rPr>
        <w:t xml:space="preserve">, kan rapporteres som følsomme over for alle penicilliner. </w:t>
      </w:r>
      <w:proofErr w:type="spellStart"/>
      <w:r w:rsidRPr="006A2898">
        <w:rPr>
          <w:sz w:val="24"/>
          <w:szCs w:val="24"/>
          <w:lang w:val="da-DK"/>
        </w:rPr>
        <w:t>Isolater</w:t>
      </w:r>
      <w:proofErr w:type="spellEnd"/>
      <w:r w:rsidRPr="006A2898">
        <w:rPr>
          <w:sz w:val="24"/>
          <w:szCs w:val="24"/>
          <w:lang w:val="da-DK"/>
        </w:rPr>
        <w:t xml:space="preserve">, der tester resistente over for </w:t>
      </w:r>
      <w:proofErr w:type="spellStart"/>
      <w:r w:rsidRPr="006A2898">
        <w:rPr>
          <w:sz w:val="24"/>
          <w:szCs w:val="24"/>
          <w:lang w:val="da-DK"/>
        </w:rPr>
        <w:t>benzylpenicillin</w:t>
      </w:r>
      <w:proofErr w:type="spellEnd"/>
      <w:r w:rsidRPr="006A2898">
        <w:rPr>
          <w:sz w:val="24"/>
          <w:szCs w:val="24"/>
          <w:lang w:val="da-DK"/>
        </w:rPr>
        <w:t xml:space="preserve">, men følsomme over for </w:t>
      </w:r>
      <w:proofErr w:type="spellStart"/>
      <w:r w:rsidRPr="006A2898">
        <w:rPr>
          <w:sz w:val="24"/>
          <w:szCs w:val="24"/>
          <w:lang w:val="da-DK"/>
        </w:rPr>
        <w:t>cefoxitin</w:t>
      </w:r>
      <w:proofErr w:type="spellEnd"/>
      <w:r w:rsidRPr="006A2898">
        <w:rPr>
          <w:sz w:val="24"/>
          <w:szCs w:val="24"/>
          <w:lang w:val="da-DK"/>
        </w:rPr>
        <w:t>, er følsomme over for β-</w:t>
      </w:r>
      <w:proofErr w:type="spellStart"/>
      <w:r w:rsidRPr="006A2898">
        <w:rPr>
          <w:sz w:val="24"/>
          <w:szCs w:val="24"/>
          <w:lang w:val="da-DK"/>
        </w:rPr>
        <w:t>lactam</w:t>
      </w:r>
      <w:proofErr w:type="spellEnd"/>
      <w:r w:rsidRPr="006A2898">
        <w:rPr>
          <w:sz w:val="24"/>
          <w:szCs w:val="24"/>
          <w:lang w:val="da-DK"/>
        </w:rPr>
        <w:t>/β-</w:t>
      </w:r>
      <w:proofErr w:type="spellStart"/>
      <w:r w:rsidRPr="006A2898">
        <w:rPr>
          <w:sz w:val="24"/>
          <w:szCs w:val="24"/>
          <w:lang w:val="da-DK"/>
        </w:rPr>
        <w:t>lactamaseinhibitor</w:t>
      </w:r>
      <w:proofErr w:type="spellEnd"/>
      <w:r w:rsidRPr="006A2898">
        <w:rPr>
          <w:sz w:val="24"/>
          <w:szCs w:val="24"/>
          <w:lang w:val="da-DK"/>
        </w:rPr>
        <w:t xml:space="preserve">-kombinationer, </w:t>
      </w:r>
      <w:proofErr w:type="spellStart"/>
      <w:r w:rsidRPr="006A2898">
        <w:rPr>
          <w:sz w:val="24"/>
          <w:szCs w:val="24"/>
          <w:lang w:val="da-DK"/>
        </w:rPr>
        <w:t>isoxazolylpenicilliner</w:t>
      </w:r>
      <w:proofErr w:type="spellEnd"/>
      <w:r w:rsidRPr="006A2898">
        <w:rPr>
          <w:sz w:val="24"/>
          <w:szCs w:val="24"/>
          <w:lang w:val="da-DK"/>
        </w:rPr>
        <w:t xml:space="preserve"> (</w:t>
      </w:r>
      <w:proofErr w:type="spellStart"/>
      <w:r w:rsidRPr="006A2898">
        <w:rPr>
          <w:sz w:val="24"/>
          <w:szCs w:val="24"/>
          <w:lang w:val="da-DK"/>
        </w:rPr>
        <w:t>oxacillin</w:t>
      </w:r>
      <w:proofErr w:type="spellEnd"/>
      <w:r w:rsidRPr="006A2898">
        <w:rPr>
          <w:sz w:val="24"/>
          <w:szCs w:val="24"/>
          <w:lang w:val="da-DK"/>
        </w:rPr>
        <w:t xml:space="preserve">, </w:t>
      </w:r>
      <w:proofErr w:type="spellStart"/>
      <w:r w:rsidRPr="006A2898">
        <w:rPr>
          <w:sz w:val="24"/>
          <w:szCs w:val="24"/>
          <w:lang w:val="da-DK"/>
        </w:rPr>
        <w:t>cloxacillin</w:t>
      </w:r>
      <w:proofErr w:type="spellEnd"/>
      <w:r w:rsidRPr="006A2898">
        <w:rPr>
          <w:sz w:val="24"/>
          <w:szCs w:val="24"/>
          <w:lang w:val="da-DK"/>
        </w:rPr>
        <w:t xml:space="preserve">, </w:t>
      </w:r>
      <w:proofErr w:type="spellStart"/>
      <w:r w:rsidRPr="006A2898">
        <w:rPr>
          <w:sz w:val="24"/>
          <w:szCs w:val="24"/>
          <w:lang w:val="da-DK"/>
        </w:rPr>
        <w:t>dicloxacillin</w:t>
      </w:r>
      <w:proofErr w:type="spellEnd"/>
      <w:r w:rsidRPr="006A2898">
        <w:rPr>
          <w:sz w:val="24"/>
          <w:szCs w:val="24"/>
          <w:lang w:val="da-DK"/>
        </w:rPr>
        <w:t xml:space="preserve"> og </w:t>
      </w:r>
      <w:proofErr w:type="spellStart"/>
      <w:r w:rsidRPr="006A2898">
        <w:rPr>
          <w:sz w:val="24"/>
          <w:szCs w:val="24"/>
          <w:lang w:val="da-DK"/>
        </w:rPr>
        <w:t>flucloxacillin</w:t>
      </w:r>
      <w:proofErr w:type="spellEnd"/>
      <w:r w:rsidRPr="006A2898">
        <w:rPr>
          <w:sz w:val="24"/>
          <w:szCs w:val="24"/>
          <w:lang w:val="da-DK"/>
        </w:rPr>
        <w:t xml:space="preserve">) og </w:t>
      </w:r>
      <w:proofErr w:type="spellStart"/>
      <w:r w:rsidRPr="006A2898">
        <w:rPr>
          <w:sz w:val="24"/>
          <w:szCs w:val="24"/>
          <w:lang w:val="da-DK"/>
        </w:rPr>
        <w:t>nafcillin</w:t>
      </w:r>
      <w:proofErr w:type="spellEnd"/>
      <w:r w:rsidRPr="006A2898">
        <w:rPr>
          <w:sz w:val="24"/>
          <w:szCs w:val="24"/>
          <w:lang w:val="da-DK"/>
        </w:rPr>
        <w:t xml:space="preserve">. For midler, der gives oralt, skal der udvises omhu for at opnå tilstrækkelig eksponering på infektionsstedet. </w:t>
      </w:r>
      <w:proofErr w:type="spellStart"/>
      <w:r w:rsidRPr="006A2898">
        <w:rPr>
          <w:sz w:val="24"/>
          <w:szCs w:val="24"/>
          <w:lang w:val="da-DK"/>
        </w:rPr>
        <w:t>Isolater</w:t>
      </w:r>
      <w:proofErr w:type="spellEnd"/>
      <w:r w:rsidRPr="006A2898">
        <w:rPr>
          <w:sz w:val="24"/>
          <w:szCs w:val="24"/>
          <w:lang w:val="da-DK"/>
        </w:rPr>
        <w:t xml:space="preserve">, der er resistente over for </w:t>
      </w:r>
      <w:proofErr w:type="spellStart"/>
      <w:r w:rsidRPr="006A2898">
        <w:rPr>
          <w:sz w:val="24"/>
          <w:szCs w:val="24"/>
          <w:lang w:val="da-DK"/>
        </w:rPr>
        <w:t>cefoxitin</w:t>
      </w:r>
      <w:proofErr w:type="spellEnd"/>
      <w:r w:rsidRPr="006A2898">
        <w:rPr>
          <w:sz w:val="24"/>
          <w:szCs w:val="24"/>
          <w:lang w:val="da-DK"/>
        </w:rPr>
        <w:t>, er resistente over for alle penicilliner</w:t>
      </w:r>
    </w:p>
    <w:p w14:paraId="00682A6B" w14:textId="77777777" w:rsidR="006E7021" w:rsidRPr="006A2898" w:rsidRDefault="006E7021" w:rsidP="006E7021">
      <w:pPr>
        <w:pStyle w:val="TableParagraph"/>
        <w:widowControl/>
        <w:spacing w:before="0" w:line="240" w:lineRule="auto"/>
        <w:ind w:left="284" w:hanging="284"/>
        <w:rPr>
          <w:sz w:val="24"/>
          <w:szCs w:val="24"/>
          <w:lang w:val="da-DK"/>
        </w:rPr>
      </w:pPr>
      <w:r w:rsidRPr="006A2898">
        <w:rPr>
          <w:sz w:val="24"/>
          <w:szCs w:val="24"/>
          <w:vertAlign w:val="superscript"/>
          <w:lang w:val="da-DK"/>
        </w:rPr>
        <w:t xml:space="preserve">3 </w:t>
      </w:r>
      <w:r w:rsidRPr="006A2898">
        <w:rPr>
          <w:sz w:val="24"/>
          <w:szCs w:val="24"/>
          <w:vertAlign w:val="superscript"/>
          <w:lang w:val="da-DK"/>
        </w:rPr>
        <w:tab/>
      </w:r>
      <w:r w:rsidRPr="006A2898">
        <w:rPr>
          <w:sz w:val="24"/>
          <w:szCs w:val="24"/>
          <w:lang w:val="da-DK"/>
        </w:rPr>
        <w:t xml:space="preserve">De fleste </w:t>
      </w:r>
      <w:proofErr w:type="spellStart"/>
      <w:r w:rsidRPr="006A2898">
        <w:rPr>
          <w:sz w:val="24"/>
          <w:szCs w:val="24"/>
          <w:lang w:val="da-DK"/>
        </w:rPr>
        <w:t>koagulase</w:t>
      </w:r>
      <w:proofErr w:type="spellEnd"/>
      <w:r w:rsidRPr="006A2898">
        <w:rPr>
          <w:sz w:val="24"/>
          <w:szCs w:val="24"/>
          <w:lang w:val="da-DK"/>
        </w:rPr>
        <w:t xml:space="preserve">-negative stafylokokker er </w:t>
      </w:r>
      <w:proofErr w:type="spellStart"/>
      <w:r w:rsidRPr="006A2898">
        <w:rPr>
          <w:sz w:val="24"/>
          <w:szCs w:val="24"/>
          <w:lang w:val="da-DK"/>
        </w:rPr>
        <w:t>penicillinaseproducenter</w:t>
      </w:r>
      <w:proofErr w:type="spellEnd"/>
      <w:r w:rsidRPr="006A2898">
        <w:rPr>
          <w:sz w:val="24"/>
          <w:szCs w:val="24"/>
          <w:lang w:val="da-DK"/>
        </w:rPr>
        <w:t xml:space="preserve">, og nogle er </w:t>
      </w:r>
      <w:proofErr w:type="spellStart"/>
      <w:r w:rsidRPr="006A2898">
        <w:rPr>
          <w:sz w:val="24"/>
          <w:szCs w:val="24"/>
          <w:lang w:val="da-DK"/>
        </w:rPr>
        <w:t>methicillinresistente</w:t>
      </w:r>
      <w:proofErr w:type="spellEnd"/>
      <w:r w:rsidRPr="006A2898">
        <w:rPr>
          <w:sz w:val="24"/>
          <w:szCs w:val="24"/>
          <w:lang w:val="da-DK"/>
        </w:rPr>
        <w:t xml:space="preserve">. Begge mekanismer gør dem resistente over for </w:t>
      </w:r>
      <w:proofErr w:type="spellStart"/>
      <w:r w:rsidRPr="006A2898">
        <w:rPr>
          <w:sz w:val="24"/>
          <w:szCs w:val="24"/>
          <w:lang w:val="da-DK"/>
        </w:rPr>
        <w:t>benzylpenicillin</w:t>
      </w:r>
      <w:proofErr w:type="spellEnd"/>
      <w:r w:rsidRPr="006A2898">
        <w:rPr>
          <w:sz w:val="24"/>
          <w:szCs w:val="24"/>
          <w:lang w:val="da-DK"/>
        </w:rPr>
        <w:t xml:space="preserve">, </w:t>
      </w:r>
      <w:proofErr w:type="spellStart"/>
      <w:r w:rsidRPr="006A2898">
        <w:rPr>
          <w:sz w:val="24"/>
          <w:szCs w:val="24"/>
          <w:lang w:val="da-DK"/>
        </w:rPr>
        <w:t>phenoxymethylpenicillin</w:t>
      </w:r>
      <w:proofErr w:type="spellEnd"/>
      <w:r w:rsidRPr="006A2898">
        <w:rPr>
          <w:sz w:val="24"/>
          <w:szCs w:val="24"/>
          <w:lang w:val="da-DK"/>
        </w:rPr>
        <w:t xml:space="preserve">, </w:t>
      </w:r>
      <w:proofErr w:type="spellStart"/>
      <w:r w:rsidRPr="006A2898">
        <w:rPr>
          <w:sz w:val="24"/>
          <w:szCs w:val="24"/>
          <w:lang w:val="da-DK"/>
        </w:rPr>
        <w:t>ampicillin</w:t>
      </w:r>
      <w:proofErr w:type="spellEnd"/>
      <w:r w:rsidRPr="006A2898">
        <w:rPr>
          <w:sz w:val="24"/>
          <w:szCs w:val="24"/>
          <w:lang w:val="da-DK"/>
        </w:rPr>
        <w:t xml:space="preserve">, </w:t>
      </w:r>
      <w:proofErr w:type="spellStart"/>
      <w:r w:rsidRPr="006A2898">
        <w:rPr>
          <w:sz w:val="24"/>
          <w:szCs w:val="24"/>
          <w:lang w:val="da-DK"/>
        </w:rPr>
        <w:t>amoxicillin</w:t>
      </w:r>
      <w:proofErr w:type="spellEnd"/>
      <w:r w:rsidRPr="006A2898">
        <w:rPr>
          <w:sz w:val="24"/>
          <w:szCs w:val="24"/>
          <w:lang w:val="da-DK"/>
        </w:rPr>
        <w:t xml:space="preserve">, </w:t>
      </w:r>
      <w:proofErr w:type="spellStart"/>
      <w:r w:rsidRPr="006A2898">
        <w:rPr>
          <w:sz w:val="24"/>
          <w:szCs w:val="24"/>
          <w:lang w:val="da-DK"/>
        </w:rPr>
        <w:t>piperacillin</w:t>
      </w:r>
      <w:proofErr w:type="spellEnd"/>
      <w:r w:rsidRPr="006A2898">
        <w:rPr>
          <w:sz w:val="24"/>
          <w:szCs w:val="24"/>
          <w:lang w:val="da-DK"/>
        </w:rPr>
        <w:t xml:space="preserve"> og </w:t>
      </w:r>
      <w:proofErr w:type="spellStart"/>
      <w:r w:rsidRPr="006A2898">
        <w:rPr>
          <w:sz w:val="24"/>
          <w:szCs w:val="24"/>
          <w:lang w:val="da-DK"/>
        </w:rPr>
        <w:t>ticarcillin</w:t>
      </w:r>
      <w:proofErr w:type="spellEnd"/>
      <w:r w:rsidRPr="006A2898">
        <w:rPr>
          <w:sz w:val="24"/>
          <w:szCs w:val="24"/>
          <w:lang w:val="da-DK"/>
        </w:rPr>
        <w:t xml:space="preserve">. Ingen aktuelt tilgængelig metode kan pålideligt påvise </w:t>
      </w:r>
      <w:proofErr w:type="spellStart"/>
      <w:r w:rsidRPr="006A2898">
        <w:rPr>
          <w:sz w:val="24"/>
          <w:szCs w:val="24"/>
          <w:lang w:val="da-DK"/>
        </w:rPr>
        <w:t>penicillinaseproduktion</w:t>
      </w:r>
      <w:proofErr w:type="spellEnd"/>
      <w:r w:rsidRPr="006A2898">
        <w:rPr>
          <w:sz w:val="24"/>
          <w:szCs w:val="24"/>
          <w:lang w:val="da-DK"/>
        </w:rPr>
        <w:t xml:space="preserve"> i </w:t>
      </w:r>
      <w:proofErr w:type="spellStart"/>
      <w:r w:rsidRPr="006A2898">
        <w:rPr>
          <w:sz w:val="24"/>
          <w:szCs w:val="24"/>
          <w:lang w:val="da-DK"/>
        </w:rPr>
        <w:t>koagulase</w:t>
      </w:r>
      <w:proofErr w:type="spellEnd"/>
      <w:r w:rsidRPr="006A2898">
        <w:rPr>
          <w:sz w:val="24"/>
          <w:szCs w:val="24"/>
          <w:lang w:val="da-DK"/>
        </w:rPr>
        <w:t xml:space="preserve">-negative stafylokokker, men </w:t>
      </w:r>
      <w:proofErr w:type="spellStart"/>
      <w:r w:rsidRPr="006A2898">
        <w:rPr>
          <w:sz w:val="24"/>
          <w:szCs w:val="24"/>
          <w:lang w:val="da-DK"/>
        </w:rPr>
        <w:t>methicillinresistens</w:t>
      </w:r>
      <w:proofErr w:type="spellEnd"/>
      <w:r w:rsidRPr="006A2898">
        <w:rPr>
          <w:sz w:val="24"/>
          <w:szCs w:val="24"/>
          <w:lang w:val="da-DK"/>
        </w:rPr>
        <w:t xml:space="preserve"> kan påvises med </w:t>
      </w:r>
      <w:proofErr w:type="spellStart"/>
      <w:r w:rsidRPr="006A2898">
        <w:rPr>
          <w:sz w:val="24"/>
          <w:szCs w:val="24"/>
          <w:lang w:val="da-DK"/>
        </w:rPr>
        <w:t>cefoxitin</w:t>
      </w:r>
      <w:proofErr w:type="spellEnd"/>
      <w:r w:rsidRPr="006A2898">
        <w:rPr>
          <w:sz w:val="24"/>
          <w:szCs w:val="24"/>
          <w:lang w:val="da-DK"/>
        </w:rPr>
        <w:t xml:space="preserve"> som beskrevet</w:t>
      </w:r>
    </w:p>
    <w:p w14:paraId="372FFAC0" w14:textId="77777777" w:rsidR="006E7021" w:rsidRPr="006A2898" w:rsidRDefault="006E7021" w:rsidP="006E7021">
      <w:pPr>
        <w:pStyle w:val="TableParagraph"/>
        <w:widowControl/>
        <w:spacing w:before="0" w:line="240" w:lineRule="auto"/>
        <w:ind w:left="284" w:hanging="284"/>
        <w:rPr>
          <w:sz w:val="24"/>
          <w:szCs w:val="24"/>
          <w:lang w:val="da-DK"/>
        </w:rPr>
      </w:pPr>
      <w:r w:rsidRPr="006A2898">
        <w:rPr>
          <w:sz w:val="24"/>
          <w:szCs w:val="24"/>
          <w:vertAlign w:val="superscript"/>
          <w:lang w:val="da-DK"/>
        </w:rPr>
        <w:t xml:space="preserve">4 </w:t>
      </w:r>
      <w:r w:rsidRPr="006A2898">
        <w:rPr>
          <w:sz w:val="24"/>
          <w:szCs w:val="24"/>
          <w:vertAlign w:val="superscript"/>
          <w:lang w:val="da-DK"/>
        </w:rPr>
        <w:tab/>
      </w:r>
      <w:proofErr w:type="spellStart"/>
      <w:r w:rsidRPr="006A2898">
        <w:rPr>
          <w:sz w:val="24"/>
          <w:szCs w:val="24"/>
          <w:lang w:val="da-DK"/>
        </w:rPr>
        <w:t>Ampicillinfølsomme</w:t>
      </w:r>
      <w:proofErr w:type="spellEnd"/>
      <w:r w:rsidRPr="006A2898">
        <w:rPr>
          <w:sz w:val="24"/>
          <w:szCs w:val="24"/>
          <w:lang w:val="da-DK"/>
        </w:rPr>
        <w:t xml:space="preserve"> </w:t>
      </w:r>
      <w:r w:rsidRPr="006A2898">
        <w:rPr>
          <w:i/>
          <w:sz w:val="24"/>
          <w:szCs w:val="24"/>
          <w:lang w:val="da-DK"/>
        </w:rPr>
        <w:t xml:space="preserve">S. </w:t>
      </w:r>
      <w:proofErr w:type="spellStart"/>
      <w:r w:rsidRPr="006A2898">
        <w:rPr>
          <w:i/>
          <w:sz w:val="24"/>
          <w:szCs w:val="24"/>
          <w:lang w:val="da-DK"/>
        </w:rPr>
        <w:t>saprophyticus</w:t>
      </w:r>
      <w:proofErr w:type="spellEnd"/>
      <w:r w:rsidRPr="006A2898">
        <w:rPr>
          <w:sz w:val="24"/>
          <w:szCs w:val="24"/>
          <w:lang w:val="da-DK"/>
        </w:rPr>
        <w:t xml:space="preserve"> er </w:t>
      </w:r>
      <w:proofErr w:type="spellStart"/>
      <w:r w:rsidRPr="006A2898">
        <w:rPr>
          <w:i/>
          <w:sz w:val="24"/>
          <w:szCs w:val="24"/>
          <w:lang w:val="da-DK"/>
        </w:rPr>
        <w:t>mecA</w:t>
      </w:r>
      <w:proofErr w:type="spellEnd"/>
      <w:r w:rsidRPr="006A2898">
        <w:rPr>
          <w:i/>
          <w:sz w:val="24"/>
          <w:szCs w:val="24"/>
          <w:lang w:val="da-DK"/>
        </w:rPr>
        <w:t xml:space="preserve">-negative </w:t>
      </w:r>
      <w:r w:rsidRPr="006A2898">
        <w:rPr>
          <w:sz w:val="24"/>
          <w:szCs w:val="24"/>
          <w:lang w:val="da-DK"/>
        </w:rPr>
        <w:t xml:space="preserve">og følsomme over for </w:t>
      </w:r>
      <w:proofErr w:type="spellStart"/>
      <w:r w:rsidRPr="006A2898">
        <w:rPr>
          <w:sz w:val="24"/>
          <w:szCs w:val="24"/>
          <w:lang w:val="da-DK"/>
        </w:rPr>
        <w:t>ampicillin</w:t>
      </w:r>
      <w:proofErr w:type="spellEnd"/>
      <w:r w:rsidRPr="006A2898">
        <w:rPr>
          <w:sz w:val="24"/>
          <w:szCs w:val="24"/>
          <w:lang w:val="da-DK"/>
        </w:rPr>
        <w:t xml:space="preserve">, </w:t>
      </w:r>
      <w:proofErr w:type="spellStart"/>
      <w:r w:rsidRPr="006A2898">
        <w:rPr>
          <w:sz w:val="24"/>
          <w:szCs w:val="24"/>
          <w:lang w:val="da-DK"/>
        </w:rPr>
        <w:t>amoxicillin</w:t>
      </w:r>
      <w:proofErr w:type="spellEnd"/>
      <w:r w:rsidRPr="006A2898">
        <w:rPr>
          <w:sz w:val="24"/>
          <w:szCs w:val="24"/>
          <w:lang w:val="da-DK"/>
        </w:rPr>
        <w:t xml:space="preserve"> og </w:t>
      </w:r>
      <w:proofErr w:type="spellStart"/>
      <w:r w:rsidRPr="006A2898">
        <w:rPr>
          <w:sz w:val="24"/>
          <w:szCs w:val="24"/>
          <w:lang w:val="da-DK"/>
        </w:rPr>
        <w:t>piperacillin</w:t>
      </w:r>
      <w:proofErr w:type="spellEnd"/>
      <w:r w:rsidRPr="006A2898">
        <w:rPr>
          <w:sz w:val="24"/>
          <w:szCs w:val="24"/>
          <w:lang w:val="da-DK"/>
        </w:rPr>
        <w:t xml:space="preserve"> (uden eller med en beta-</w:t>
      </w:r>
      <w:proofErr w:type="spellStart"/>
      <w:r w:rsidRPr="006A2898">
        <w:rPr>
          <w:sz w:val="24"/>
          <w:szCs w:val="24"/>
          <w:lang w:val="da-DK"/>
        </w:rPr>
        <w:t>lactamasehæmmer</w:t>
      </w:r>
      <w:proofErr w:type="spellEnd"/>
      <w:r w:rsidRPr="006A2898">
        <w:rPr>
          <w:sz w:val="24"/>
          <w:szCs w:val="24"/>
          <w:lang w:val="da-DK"/>
        </w:rPr>
        <w:t>).</w:t>
      </w:r>
    </w:p>
    <w:p w14:paraId="46B37437" w14:textId="77777777" w:rsidR="006E7021" w:rsidRPr="006A2898" w:rsidRDefault="006E7021" w:rsidP="006E7021">
      <w:pPr>
        <w:pStyle w:val="TableParagraph"/>
        <w:widowControl/>
        <w:spacing w:before="0" w:line="240" w:lineRule="auto"/>
        <w:ind w:left="284" w:hanging="284"/>
        <w:rPr>
          <w:sz w:val="24"/>
          <w:szCs w:val="24"/>
          <w:lang w:val="da-DK"/>
        </w:rPr>
      </w:pPr>
      <w:r w:rsidRPr="006A2898">
        <w:rPr>
          <w:sz w:val="24"/>
          <w:szCs w:val="24"/>
          <w:vertAlign w:val="superscript"/>
          <w:lang w:val="da-DK"/>
        </w:rPr>
        <w:t>5</w:t>
      </w:r>
      <w:r w:rsidRPr="006A2898">
        <w:rPr>
          <w:sz w:val="24"/>
          <w:szCs w:val="24"/>
          <w:lang w:val="da-DK"/>
        </w:rPr>
        <w:t xml:space="preserve"> </w:t>
      </w:r>
      <w:r w:rsidRPr="006A2898">
        <w:rPr>
          <w:sz w:val="24"/>
          <w:szCs w:val="24"/>
          <w:lang w:val="da-DK"/>
        </w:rPr>
        <w:tab/>
        <w:t xml:space="preserve">Følsomhed over for </w:t>
      </w:r>
      <w:proofErr w:type="spellStart"/>
      <w:r w:rsidRPr="006A2898">
        <w:rPr>
          <w:sz w:val="24"/>
          <w:szCs w:val="24"/>
          <w:lang w:val="da-DK"/>
        </w:rPr>
        <w:t>ampicillin</w:t>
      </w:r>
      <w:proofErr w:type="spellEnd"/>
      <w:r w:rsidRPr="006A2898">
        <w:rPr>
          <w:sz w:val="24"/>
          <w:szCs w:val="24"/>
          <w:lang w:val="da-DK"/>
        </w:rPr>
        <w:t xml:space="preserve">, </w:t>
      </w:r>
      <w:proofErr w:type="spellStart"/>
      <w:r w:rsidRPr="006A2898">
        <w:rPr>
          <w:sz w:val="24"/>
          <w:szCs w:val="24"/>
          <w:lang w:val="da-DK"/>
        </w:rPr>
        <w:t>amoxicillin</w:t>
      </w:r>
      <w:proofErr w:type="spellEnd"/>
      <w:r w:rsidRPr="006A2898">
        <w:rPr>
          <w:sz w:val="24"/>
          <w:szCs w:val="24"/>
          <w:lang w:val="da-DK"/>
        </w:rPr>
        <w:t xml:space="preserve"> og </w:t>
      </w:r>
      <w:proofErr w:type="spellStart"/>
      <w:r w:rsidRPr="006A2898">
        <w:rPr>
          <w:sz w:val="24"/>
          <w:szCs w:val="24"/>
          <w:lang w:val="da-DK"/>
        </w:rPr>
        <w:t>piperacillin</w:t>
      </w:r>
      <w:proofErr w:type="spellEnd"/>
      <w:r w:rsidRPr="006A2898">
        <w:rPr>
          <w:sz w:val="24"/>
          <w:szCs w:val="24"/>
          <w:lang w:val="da-DK"/>
        </w:rPr>
        <w:t xml:space="preserve"> (med og uden beta-</w:t>
      </w:r>
      <w:proofErr w:type="spellStart"/>
      <w:r w:rsidRPr="006A2898">
        <w:rPr>
          <w:sz w:val="24"/>
          <w:szCs w:val="24"/>
          <w:lang w:val="da-DK"/>
        </w:rPr>
        <w:t>lactamasehæmmer</w:t>
      </w:r>
      <w:proofErr w:type="spellEnd"/>
      <w:r w:rsidRPr="006A2898">
        <w:rPr>
          <w:sz w:val="24"/>
          <w:szCs w:val="24"/>
          <w:lang w:val="da-DK"/>
        </w:rPr>
        <w:t xml:space="preserve">) kan udledes af </w:t>
      </w:r>
      <w:proofErr w:type="spellStart"/>
      <w:r w:rsidRPr="006A2898">
        <w:rPr>
          <w:sz w:val="24"/>
          <w:szCs w:val="24"/>
          <w:lang w:val="da-DK"/>
        </w:rPr>
        <w:t>ampicillin</w:t>
      </w:r>
      <w:proofErr w:type="spellEnd"/>
      <w:r w:rsidRPr="006A2898">
        <w:rPr>
          <w:sz w:val="24"/>
          <w:szCs w:val="24"/>
          <w:lang w:val="da-DK"/>
        </w:rPr>
        <w:t xml:space="preserve">. </w:t>
      </w:r>
      <w:proofErr w:type="spellStart"/>
      <w:r w:rsidRPr="006A2898">
        <w:rPr>
          <w:sz w:val="24"/>
          <w:szCs w:val="24"/>
          <w:lang w:val="da-DK"/>
        </w:rPr>
        <w:t>Ampicillinresistens</w:t>
      </w:r>
      <w:proofErr w:type="spellEnd"/>
      <w:r w:rsidRPr="006A2898">
        <w:rPr>
          <w:sz w:val="24"/>
          <w:szCs w:val="24"/>
          <w:lang w:val="da-DK"/>
        </w:rPr>
        <w:t xml:space="preserve"> er ikke almindelig i E. </w:t>
      </w:r>
      <w:proofErr w:type="spellStart"/>
      <w:r w:rsidRPr="006A2898">
        <w:rPr>
          <w:sz w:val="24"/>
          <w:szCs w:val="24"/>
          <w:lang w:val="da-DK"/>
        </w:rPr>
        <w:t>faecalis</w:t>
      </w:r>
      <w:proofErr w:type="spellEnd"/>
      <w:r w:rsidRPr="006A2898">
        <w:rPr>
          <w:sz w:val="24"/>
          <w:szCs w:val="24"/>
          <w:lang w:val="da-DK"/>
        </w:rPr>
        <w:t xml:space="preserve"> (bekræft med MIC), men almindelig i E. </w:t>
      </w:r>
      <w:proofErr w:type="spellStart"/>
      <w:r w:rsidRPr="006A2898">
        <w:rPr>
          <w:sz w:val="24"/>
          <w:szCs w:val="24"/>
          <w:lang w:val="da-DK"/>
        </w:rPr>
        <w:t>faecium</w:t>
      </w:r>
      <w:proofErr w:type="spellEnd"/>
      <w:r w:rsidRPr="006A2898">
        <w:rPr>
          <w:sz w:val="24"/>
          <w:szCs w:val="24"/>
          <w:lang w:val="da-DK"/>
        </w:rPr>
        <w:t>.</w:t>
      </w:r>
    </w:p>
    <w:p w14:paraId="6D7E2962" w14:textId="77777777" w:rsidR="006E7021" w:rsidRPr="006A2898" w:rsidRDefault="006E7021" w:rsidP="006E7021">
      <w:pPr>
        <w:pStyle w:val="TableParagraph"/>
        <w:widowControl/>
        <w:spacing w:before="0" w:line="240" w:lineRule="auto"/>
        <w:ind w:left="284" w:hanging="284"/>
        <w:rPr>
          <w:sz w:val="24"/>
          <w:szCs w:val="24"/>
          <w:lang w:val="da-DK"/>
        </w:rPr>
      </w:pPr>
      <w:r w:rsidRPr="006A2898">
        <w:rPr>
          <w:sz w:val="24"/>
          <w:szCs w:val="24"/>
          <w:vertAlign w:val="superscript"/>
          <w:lang w:val="da-DK"/>
        </w:rPr>
        <w:t>6</w:t>
      </w:r>
      <w:r w:rsidRPr="006A2898">
        <w:rPr>
          <w:sz w:val="24"/>
          <w:szCs w:val="24"/>
          <w:lang w:val="da-DK"/>
        </w:rPr>
        <w:t xml:space="preserve"> </w:t>
      </w:r>
      <w:r w:rsidRPr="006A2898">
        <w:rPr>
          <w:sz w:val="24"/>
          <w:szCs w:val="24"/>
          <w:lang w:val="da-DK"/>
        </w:rPr>
        <w:tab/>
        <w:t xml:space="preserve">Følsomheden af streptokokker gruppe A, B, C og G over for penicilliner er udledt af </w:t>
      </w:r>
      <w:proofErr w:type="spellStart"/>
      <w:r w:rsidRPr="006A2898">
        <w:rPr>
          <w:sz w:val="24"/>
          <w:szCs w:val="24"/>
          <w:lang w:val="da-DK"/>
        </w:rPr>
        <w:t>benzylpenicillinfølsomheden</w:t>
      </w:r>
      <w:proofErr w:type="spellEnd"/>
      <w:r w:rsidRPr="006A2898">
        <w:rPr>
          <w:sz w:val="24"/>
          <w:szCs w:val="24"/>
          <w:lang w:val="da-DK"/>
        </w:rPr>
        <w:t xml:space="preserve"> (andre indikationer end meningitis) med undtagelse af </w:t>
      </w:r>
      <w:proofErr w:type="spellStart"/>
      <w:r w:rsidRPr="006A2898">
        <w:rPr>
          <w:sz w:val="24"/>
          <w:szCs w:val="24"/>
          <w:lang w:val="da-DK"/>
        </w:rPr>
        <w:t>phoenoxymethylpenicillin</w:t>
      </w:r>
      <w:proofErr w:type="spellEnd"/>
      <w:r w:rsidRPr="006A2898">
        <w:rPr>
          <w:sz w:val="24"/>
          <w:szCs w:val="24"/>
          <w:lang w:val="da-DK"/>
        </w:rPr>
        <w:t xml:space="preserve"> og </w:t>
      </w:r>
      <w:proofErr w:type="spellStart"/>
      <w:r w:rsidRPr="006A2898">
        <w:rPr>
          <w:sz w:val="24"/>
          <w:szCs w:val="24"/>
          <w:lang w:val="da-DK"/>
        </w:rPr>
        <w:t>isoxazolylpenicilliner</w:t>
      </w:r>
      <w:proofErr w:type="spellEnd"/>
      <w:r w:rsidRPr="006A2898">
        <w:rPr>
          <w:sz w:val="24"/>
          <w:szCs w:val="24"/>
          <w:lang w:val="da-DK"/>
        </w:rPr>
        <w:t xml:space="preserve"> til streptokokker gruppe B.</w:t>
      </w:r>
    </w:p>
    <w:p w14:paraId="1C0698C7" w14:textId="77777777" w:rsidR="006E7021" w:rsidRPr="006A2898" w:rsidRDefault="006E7021" w:rsidP="006E7021">
      <w:pPr>
        <w:pStyle w:val="TableParagraph"/>
        <w:widowControl/>
        <w:spacing w:before="0" w:line="240" w:lineRule="auto"/>
        <w:ind w:left="284" w:hanging="284"/>
        <w:rPr>
          <w:sz w:val="24"/>
          <w:szCs w:val="24"/>
          <w:lang w:val="da-DK"/>
        </w:rPr>
      </w:pPr>
      <w:r w:rsidRPr="006A2898">
        <w:rPr>
          <w:sz w:val="24"/>
          <w:szCs w:val="24"/>
          <w:vertAlign w:val="superscript"/>
          <w:lang w:val="da-DK"/>
        </w:rPr>
        <w:t>7</w:t>
      </w:r>
      <w:r w:rsidRPr="006A2898">
        <w:rPr>
          <w:sz w:val="24"/>
          <w:szCs w:val="24"/>
          <w:lang w:val="da-DK"/>
        </w:rPr>
        <w:t xml:space="preserve"> </w:t>
      </w:r>
      <w:r w:rsidRPr="006A2898">
        <w:rPr>
          <w:sz w:val="24"/>
          <w:szCs w:val="24"/>
          <w:lang w:val="da-DK"/>
        </w:rPr>
        <w:tab/>
        <w:t>Tilføjelsen af en beta-</w:t>
      </w:r>
      <w:proofErr w:type="spellStart"/>
      <w:r w:rsidRPr="006A2898">
        <w:rPr>
          <w:sz w:val="24"/>
          <w:szCs w:val="24"/>
          <w:lang w:val="da-DK"/>
        </w:rPr>
        <w:t>lactamasehæmmer</w:t>
      </w:r>
      <w:proofErr w:type="spellEnd"/>
      <w:r w:rsidRPr="006A2898">
        <w:rPr>
          <w:sz w:val="24"/>
          <w:szCs w:val="24"/>
          <w:lang w:val="da-DK"/>
        </w:rPr>
        <w:t xml:space="preserve"> tilføjer ikke kliniske fordele.</w:t>
      </w:r>
    </w:p>
    <w:p w14:paraId="441FCDA7" w14:textId="77777777" w:rsidR="006E7021" w:rsidRPr="006A2898" w:rsidRDefault="006E7021" w:rsidP="006E7021">
      <w:pPr>
        <w:pStyle w:val="TableParagraph"/>
        <w:widowControl/>
        <w:spacing w:before="0" w:line="240" w:lineRule="auto"/>
        <w:ind w:left="284" w:hanging="284"/>
        <w:rPr>
          <w:sz w:val="24"/>
          <w:szCs w:val="24"/>
          <w:lang w:val="da-DK"/>
        </w:rPr>
      </w:pPr>
      <w:r w:rsidRPr="006A2898">
        <w:rPr>
          <w:sz w:val="24"/>
          <w:szCs w:val="24"/>
          <w:vertAlign w:val="superscript"/>
          <w:lang w:val="da-DK"/>
        </w:rPr>
        <w:t>8</w:t>
      </w:r>
      <w:r w:rsidRPr="006A2898">
        <w:rPr>
          <w:sz w:val="24"/>
          <w:szCs w:val="24"/>
          <w:lang w:val="da-DK"/>
        </w:rPr>
        <w:t xml:space="preserve"> </w:t>
      </w:r>
      <w:r w:rsidRPr="006A2898">
        <w:rPr>
          <w:sz w:val="24"/>
          <w:szCs w:val="24"/>
          <w:lang w:val="da-DK"/>
        </w:rPr>
        <w:tab/>
      </w:r>
      <w:proofErr w:type="spellStart"/>
      <w:r w:rsidRPr="006A2898">
        <w:rPr>
          <w:sz w:val="24"/>
          <w:szCs w:val="24"/>
          <w:lang w:val="da-DK"/>
        </w:rPr>
        <w:t>Oxacillin</w:t>
      </w:r>
      <w:proofErr w:type="spellEnd"/>
      <w:r w:rsidRPr="006A2898">
        <w:rPr>
          <w:sz w:val="24"/>
          <w:szCs w:val="24"/>
          <w:lang w:val="da-DK"/>
        </w:rPr>
        <w:t xml:space="preserve"> 1 µg disk screeningstest eller en </w:t>
      </w:r>
      <w:proofErr w:type="spellStart"/>
      <w:r w:rsidRPr="006A2898">
        <w:rPr>
          <w:sz w:val="24"/>
          <w:szCs w:val="24"/>
          <w:lang w:val="da-DK"/>
        </w:rPr>
        <w:t>benzylpenicillin</w:t>
      </w:r>
      <w:proofErr w:type="spellEnd"/>
      <w:r w:rsidRPr="006A2898">
        <w:rPr>
          <w:sz w:val="24"/>
          <w:szCs w:val="24"/>
          <w:lang w:val="da-DK"/>
        </w:rPr>
        <w:t xml:space="preserve"> MIC-test skal anvendes for at udelukke mekanismer for resistens mod beta-</w:t>
      </w:r>
      <w:proofErr w:type="spellStart"/>
      <w:r w:rsidRPr="006A2898">
        <w:rPr>
          <w:sz w:val="24"/>
          <w:szCs w:val="24"/>
          <w:lang w:val="da-DK"/>
        </w:rPr>
        <w:t>lactam</w:t>
      </w:r>
      <w:proofErr w:type="spellEnd"/>
      <w:r w:rsidRPr="006A2898">
        <w:rPr>
          <w:sz w:val="24"/>
          <w:szCs w:val="24"/>
          <w:lang w:val="da-DK"/>
        </w:rPr>
        <w:t>. Når screeningsresultatet er negativt (</w:t>
      </w:r>
      <w:proofErr w:type="spellStart"/>
      <w:r w:rsidRPr="006A2898">
        <w:rPr>
          <w:sz w:val="24"/>
          <w:szCs w:val="24"/>
          <w:lang w:val="da-DK"/>
        </w:rPr>
        <w:t>oxacillin</w:t>
      </w:r>
      <w:proofErr w:type="spellEnd"/>
      <w:r w:rsidRPr="006A2898">
        <w:rPr>
          <w:sz w:val="24"/>
          <w:szCs w:val="24"/>
          <w:lang w:val="da-DK"/>
        </w:rPr>
        <w:t xml:space="preserve"> </w:t>
      </w:r>
      <w:proofErr w:type="spellStart"/>
      <w:r w:rsidRPr="006A2898">
        <w:rPr>
          <w:sz w:val="24"/>
          <w:szCs w:val="24"/>
          <w:lang w:val="da-DK"/>
        </w:rPr>
        <w:t>inhiberingszone</w:t>
      </w:r>
      <w:proofErr w:type="spellEnd"/>
      <w:r w:rsidRPr="006A2898">
        <w:rPr>
          <w:sz w:val="24"/>
          <w:szCs w:val="24"/>
          <w:lang w:val="da-DK"/>
        </w:rPr>
        <w:t xml:space="preserve"> ≥20 mm eller </w:t>
      </w:r>
      <w:proofErr w:type="spellStart"/>
      <w:r w:rsidRPr="006A2898">
        <w:rPr>
          <w:sz w:val="24"/>
          <w:szCs w:val="24"/>
          <w:lang w:val="da-DK"/>
        </w:rPr>
        <w:t>benzylpenicillin</w:t>
      </w:r>
      <w:proofErr w:type="spellEnd"/>
      <w:r w:rsidRPr="006A2898">
        <w:rPr>
          <w:sz w:val="24"/>
          <w:szCs w:val="24"/>
          <w:lang w:val="da-DK"/>
        </w:rPr>
        <w:t xml:space="preserve"> MIC ≤0.06 mg/L), kan alle beta-</w:t>
      </w:r>
      <w:proofErr w:type="spellStart"/>
      <w:r w:rsidRPr="006A2898">
        <w:rPr>
          <w:sz w:val="24"/>
          <w:szCs w:val="24"/>
          <w:lang w:val="da-DK"/>
        </w:rPr>
        <w:t>lactam</w:t>
      </w:r>
      <w:proofErr w:type="spellEnd"/>
      <w:r w:rsidRPr="006A2898">
        <w:rPr>
          <w:sz w:val="24"/>
          <w:szCs w:val="24"/>
          <w:lang w:val="da-DK"/>
        </w:rPr>
        <w:t xml:space="preserve">-midler, for hvilke der findes kliniske grænseværdier, herunder dem med "Note", rapporteres som følsomme uden yderligere testning. Dette gælder dog ikke for </w:t>
      </w:r>
      <w:proofErr w:type="spellStart"/>
      <w:r w:rsidRPr="006A2898">
        <w:rPr>
          <w:sz w:val="24"/>
          <w:szCs w:val="24"/>
          <w:lang w:val="da-DK"/>
        </w:rPr>
        <w:t>cefaclor</w:t>
      </w:r>
      <w:proofErr w:type="spellEnd"/>
      <w:r w:rsidRPr="006A2898">
        <w:rPr>
          <w:sz w:val="24"/>
          <w:szCs w:val="24"/>
          <w:lang w:val="da-DK"/>
        </w:rPr>
        <w:t xml:space="preserve">; hvis </w:t>
      </w:r>
      <w:proofErr w:type="spellStart"/>
      <w:r w:rsidRPr="006A2898">
        <w:rPr>
          <w:sz w:val="24"/>
          <w:szCs w:val="24"/>
          <w:lang w:val="da-DK"/>
        </w:rPr>
        <w:t>cefaclor</w:t>
      </w:r>
      <w:proofErr w:type="spellEnd"/>
      <w:r w:rsidRPr="006A2898">
        <w:rPr>
          <w:sz w:val="24"/>
          <w:szCs w:val="24"/>
          <w:lang w:val="da-DK"/>
        </w:rPr>
        <w:t xml:space="preserve"> rapporteres, bør det rapporteres som "følsom, øget eksponering" (I). Når testen er positiv (</w:t>
      </w:r>
      <w:proofErr w:type="spellStart"/>
      <w:r w:rsidRPr="006A2898">
        <w:rPr>
          <w:sz w:val="24"/>
          <w:szCs w:val="24"/>
          <w:lang w:val="da-DK"/>
        </w:rPr>
        <w:t>inhiberingszone</w:t>
      </w:r>
      <w:proofErr w:type="spellEnd"/>
      <w:r w:rsidRPr="006A2898">
        <w:rPr>
          <w:sz w:val="24"/>
          <w:szCs w:val="24"/>
          <w:lang w:val="da-DK"/>
        </w:rPr>
        <w:t xml:space="preserve"> &lt;20 mm eller </w:t>
      </w:r>
      <w:proofErr w:type="spellStart"/>
      <w:r w:rsidRPr="006A2898">
        <w:rPr>
          <w:sz w:val="24"/>
          <w:szCs w:val="24"/>
          <w:lang w:val="da-DK"/>
        </w:rPr>
        <w:t>benzylpenicillin</w:t>
      </w:r>
      <w:proofErr w:type="spellEnd"/>
      <w:r w:rsidRPr="006A2898">
        <w:rPr>
          <w:sz w:val="24"/>
          <w:szCs w:val="24"/>
          <w:lang w:val="da-DK"/>
        </w:rPr>
        <w:t xml:space="preserve"> MIC &gt;0,06 mg/l), bør følsomhed rapporteres, hvis </w:t>
      </w:r>
      <w:proofErr w:type="spellStart"/>
      <w:r w:rsidRPr="006A2898">
        <w:rPr>
          <w:sz w:val="24"/>
          <w:szCs w:val="24"/>
          <w:lang w:val="da-DK"/>
        </w:rPr>
        <w:t>oxacillin</w:t>
      </w:r>
      <w:proofErr w:type="spellEnd"/>
      <w:r w:rsidRPr="006A2898">
        <w:rPr>
          <w:sz w:val="24"/>
          <w:szCs w:val="24"/>
          <w:lang w:val="da-DK"/>
        </w:rPr>
        <w:t xml:space="preserve">-zonen er ≥8 mm. Hvis </w:t>
      </w:r>
      <w:proofErr w:type="spellStart"/>
      <w:r w:rsidRPr="006A2898">
        <w:rPr>
          <w:sz w:val="24"/>
          <w:szCs w:val="24"/>
          <w:lang w:val="da-DK"/>
        </w:rPr>
        <w:t>oxacillin</w:t>
      </w:r>
      <w:proofErr w:type="spellEnd"/>
      <w:r w:rsidRPr="006A2898">
        <w:rPr>
          <w:sz w:val="24"/>
          <w:szCs w:val="24"/>
          <w:lang w:val="da-DK"/>
        </w:rPr>
        <w:t xml:space="preserve">-zonen er ≤8 mm, bør følsomheden udledes fra </w:t>
      </w:r>
      <w:proofErr w:type="spellStart"/>
      <w:r w:rsidRPr="006A2898">
        <w:rPr>
          <w:sz w:val="24"/>
          <w:szCs w:val="24"/>
          <w:lang w:val="da-DK"/>
        </w:rPr>
        <w:t>ampicillin</w:t>
      </w:r>
      <w:proofErr w:type="spellEnd"/>
      <w:r w:rsidRPr="006A2898">
        <w:rPr>
          <w:sz w:val="24"/>
          <w:szCs w:val="24"/>
          <w:lang w:val="da-DK"/>
        </w:rPr>
        <w:t>.</w:t>
      </w:r>
    </w:p>
    <w:p w14:paraId="132164D3" w14:textId="77777777" w:rsidR="006E7021" w:rsidRPr="006A2898" w:rsidRDefault="006E7021" w:rsidP="006E7021">
      <w:pPr>
        <w:pStyle w:val="TableParagraph"/>
        <w:widowControl/>
        <w:spacing w:before="0" w:line="240" w:lineRule="auto"/>
        <w:ind w:left="284" w:hanging="284"/>
        <w:rPr>
          <w:sz w:val="24"/>
          <w:szCs w:val="24"/>
          <w:lang w:val="da-DK"/>
        </w:rPr>
      </w:pPr>
      <w:r w:rsidRPr="006A2898">
        <w:rPr>
          <w:sz w:val="24"/>
          <w:szCs w:val="24"/>
          <w:vertAlign w:val="superscript"/>
          <w:lang w:val="da-DK"/>
        </w:rPr>
        <w:t>9</w:t>
      </w:r>
      <w:r w:rsidRPr="006A2898">
        <w:rPr>
          <w:sz w:val="24"/>
          <w:szCs w:val="24"/>
          <w:lang w:val="da-DK"/>
        </w:rPr>
        <w:t xml:space="preserve"> </w:t>
      </w:r>
      <w:r w:rsidRPr="006A2898">
        <w:rPr>
          <w:sz w:val="24"/>
          <w:szCs w:val="24"/>
          <w:lang w:val="da-DK"/>
        </w:rPr>
        <w:tab/>
        <w:t xml:space="preserve">Følsomhed udledt af </w:t>
      </w:r>
      <w:proofErr w:type="spellStart"/>
      <w:r w:rsidRPr="006A2898">
        <w:rPr>
          <w:sz w:val="24"/>
          <w:szCs w:val="24"/>
          <w:lang w:val="da-DK"/>
        </w:rPr>
        <w:t>ampicillin</w:t>
      </w:r>
      <w:proofErr w:type="spellEnd"/>
      <w:r w:rsidRPr="006A2898">
        <w:rPr>
          <w:sz w:val="24"/>
          <w:szCs w:val="24"/>
          <w:lang w:val="da-DK"/>
        </w:rPr>
        <w:t xml:space="preserve"> (andre indikationer end meningitis).</w:t>
      </w:r>
    </w:p>
    <w:p w14:paraId="0325AE60" w14:textId="77777777" w:rsidR="006E7021" w:rsidRPr="006A2898" w:rsidRDefault="006E7021" w:rsidP="006E7021">
      <w:pPr>
        <w:pStyle w:val="TableParagraph"/>
        <w:widowControl/>
        <w:spacing w:before="0" w:line="240" w:lineRule="auto"/>
        <w:ind w:left="284" w:hanging="284"/>
        <w:rPr>
          <w:sz w:val="24"/>
          <w:szCs w:val="24"/>
          <w:lang w:val="da-DK"/>
        </w:rPr>
      </w:pPr>
      <w:r w:rsidRPr="006A2898">
        <w:rPr>
          <w:sz w:val="24"/>
          <w:szCs w:val="24"/>
          <w:vertAlign w:val="superscript"/>
          <w:lang w:val="da-DK"/>
        </w:rPr>
        <w:t>10</w:t>
      </w:r>
      <w:r w:rsidRPr="006A2898">
        <w:rPr>
          <w:sz w:val="24"/>
          <w:szCs w:val="24"/>
          <w:lang w:val="da-DK"/>
        </w:rPr>
        <w:t xml:space="preserve"> </w:t>
      </w:r>
      <w:r w:rsidRPr="006A2898">
        <w:rPr>
          <w:sz w:val="24"/>
          <w:szCs w:val="24"/>
          <w:lang w:val="da-DK"/>
        </w:rPr>
        <w:tab/>
      </w:r>
      <w:proofErr w:type="spellStart"/>
      <w:r w:rsidRPr="006A2898">
        <w:rPr>
          <w:sz w:val="24"/>
          <w:szCs w:val="24"/>
          <w:lang w:val="da-DK"/>
        </w:rPr>
        <w:t>Benzylpenicillin</w:t>
      </w:r>
      <w:proofErr w:type="spellEnd"/>
      <w:r w:rsidRPr="006A2898">
        <w:rPr>
          <w:sz w:val="24"/>
          <w:szCs w:val="24"/>
          <w:lang w:val="da-DK"/>
        </w:rPr>
        <w:t xml:space="preserve"> (MIC- eller diskdiffusion) kan bruges til at screene for beta-</w:t>
      </w:r>
      <w:proofErr w:type="spellStart"/>
      <w:r w:rsidRPr="006A2898">
        <w:rPr>
          <w:sz w:val="24"/>
          <w:szCs w:val="24"/>
          <w:lang w:val="da-DK"/>
        </w:rPr>
        <w:t>lactamresistens</w:t>
      </w:r>
      <w:proofErr w:type="spellEnd"/>
      <w:r w:rsidRPr="006A2898">
        <w:rPr>
          <w:sz w:val="24"/>
          <w:szCs w:val="24"/>
          <w:lang w:val="da-DK"/>
        </w:rPr>
        <w:t xml:space="preserve"> i viridans gruppe streptokokker. </w:t>
      </w:r>
      <w:proofErr w:type="spellStart"/>
      <w:r w:rsidRPr="006A2898">
        <w:rPr>
          <w:sz w:val="24"/>
          <w:szCs w:val="24"/>
          <w:lang w:val="da-DK"/>
        </w:rPr>
        <w:t>Isolater</w:t>
      </w:r>
      <w:proofErr w:type="spellEnd"/>
      <w:r w:rsidRPr="006A2898">
        <w:rPr>
          <w:sz w:val="24"/>
          <w:szCs w:val="24"/>
          <w:lang w:val="da-DK"/>
        </w:rPr>
        <w:t>, der er kategoriseret som negative ved screening, kan rapporteres som følsomme over for beta-</w:t>
      </w:r>
      <w:proofErr w:type="spellStart"/>
      <w:r w:rsidRPr="006A2898">
        <w:rPr>
          <w:sz w:val="24"/>
          <w:szCs w:val="24"/>
          <w:lang w:val="da-DK"/>
        </w:rPr>
        <w:t>lactam</w:t>
      </w:r>
      <w:proofErr w:type="spellEnd"/>
      <w:r w:rsidRPr="006A2898">
        <w:rPr>
          <w:sz w:val="24"/>
          <w:szCs w:val="24"/>
          <w:lang w:val="da-DK"/>
        </w:rPr>
        <w:t xml:space="preserve">-midler, for hvilke kliniske grænseværdier er opført (inklusive dem med "Note"). </w:t>
      </w:r>
      <w:proofErr w:type="spellStart"/>
      <w:r w:rsidRPr="006A2898">
        <w:rPr>
          <w:sz w:val="24"/>
          <w:szCs w:val="24"/>
          <w:lang w:val="da-DK"/>
        </w:rPr>
        <w:t>Isolater</w:t>
      </w:r>
      <w:proofErr w:type="spellEnd"/>
      <w:r w:rsidRPr="006A2898">
        <w:rPr>
          <w:sz w:val="24"/>
          <w:szCs w:val="24"/>
          <w:lang w:val="da-DK"/>
        </w:rPr>
        <w:t>, der er kategoriseret som positiv ved screening, bør testes for følsomhed over for individuelle midler.</w:t>
      </w:r>
    </w:p>
    <w:p w14:paraId="579F436F" w14:textId="77777777" w:rsidR="006E7021" w:rsidRPr="006A2898" w:rsidRDefault="006E7021" w:rsidP="006E7021">
      <w:pPr>
        <w:pStyle w:val="TableParagraph"/>
        <w:widowControl/>
        <w:spacing w:before="0" w:line="240" w:lineRule="auto"/>
        <w:ind w:left="284" w:hanging="284"/>
        <w:rPr>
          <w:sz w:val="24"/>
          <w:szCs w:val="24"/>
          <w:lang w:val="da-DK"/>
        </w:rPr>
      </w:pPr>
      <w:r w:rsidRPr="006A2898">
        <w:rPr>
          <w:sz w:val="24"/>
          <w:szCs w:val="24"/>
          <w:vertAlign w:val="superscript"/>
          <w:lang w:val="da-DK"/>
        </w:rPr>
        <w:t>11</w:t>
      </w:r>
      <w:r w:rsidRPr="006A2898">
        <w:rPr>
          <w:sz w:val="24"/>
          <w:szCs w:val="24"/>
          <w:lang w:val="da-DK"/>
        </w:rPr>
        <w:t xml:space="preserve"> </w:t>
      </w:r>
      <w:r w:rsidRPr="006A2898">
        <w:rPr>
          <w:sz w:val="24"/>
          <w:szCs w:val="24"/>
          <w:lang w:val="da-DK"/>
        </w:rPr>
        <w:tab/>
        <w:t xml:space="preserve">For </w:t>
      </w:r>
      <w:proofErr w:type="spellStart"/>
      <w:r w:rsidRPr="006A2898">
        <w:rPr>
          <w:sz w:val="24"/>
          <w:szCs w:val="24"/>
          <w:lang w:val="da-DK"/>
        </w:rPr>
        <w:t>benzylpenicillin</w:t>
      </w:r>
      <w:proofErr w:type="spellEnd"/>
      <w:r w:rsidRPr="006A2898">
        <w:rPr>
          <w:sz w:val="24"/>
          <w:szCs w:val="24"/>
          <w:lang w:val="da-DK"/>
        </w:rPr>
        <w:t xml:space="preserve"> screeningsnegative </w:t>
      </w:r>
      <w:proofErr w:type="spellStart"/>
      <w:r w:rsidRPr="006A2898">
        <w:rPr>
          <w:sz w:val="24"/>
          <w:szCs w:val="24"/>
          <w:lang w:val="da-DK"/>
        </w:rPr>
        <w:t>isolater</w:t>
      </w:r>
      <w:proofErr w:type="spellEnd"/>
      <w:r w:rsidRPr="006A2898">
        <w:rPr>
          <w:sz w:val="24"/>
          <w:szCs w:val="24"/>
          <w:lang w:val="da-DK"/>
        </w:rPr>
        <w:t xml:space="preserve"> (hæmningszone ≥18 mm eller MIC ≤0,25 mg/l) kan følsomhed udledes af </w:t>
      </w:r>
      <w:proofErr w:type="spellStart"/>
      <w:r w:rsidRPr="006A2898">
        <w:rPr>
          <w:sz w:val="24"/>
          <w:szCs w:val="24"/>
          <w:lang w:val="da-DK"/>
        </w:rPr>
        <w:t>benzylpenicillin</w:t>
      </w:r>
      <w:proofErr w:type="spellEnd"/>
      <w:r w:rsidRPr="006A2898">
        <w:rPr>
          <w:sz w:val="24"/>
          <w:szCs w:val="24"/>
          <w:lang w:val="da-DK"/>
        </w:rPr>
        <w:t xml:space="preserve"> eller </w:t>
      </w:r>
      <w:proofErr w:type="spellStart"/>
      <w:r w:rsidRPr="006A2898">
        <w:rPr>
          <w:sz w:val="24"/>
          <w:szCs w:val="24"/>
          <w:lang w:val="da-DK"/>
        </w:rPr>
        <w:t>ampicillin</w:t>
      </w:r>
      <w:proofErr w:type="spellEnd"/>
      <w:r w:rsidRPr="006A2898">
        <w:rPr>
          <w:sz w:val="24"/>
          <w:szCs w:val="24"/>
          <w:lang w:val="da-DK"/>
        </w:rPr>
        <w:t xml:space="preserve">. For </w:t>
      </w:r>
      <w:proofErr w:type="spellStart"/>
      <w:r w:rsidRPr="006A2898">
        <w:rPr>
          <w:sz w:val="24"/>
          <w:szCs w:val="24"/>
          <w:lang w:val="da-DK"/>
        </w:rPr>
        <w:t>benzylpenicillin</w:t>
      </w:r>
      <w:proofErr w:type="spellEnd"/>
      <w:r w:rsidRPr="006A2898">
        <w:rPr>
          <w:sz w:val="24"/>
          <w:szCs w:val="24"/>
          <w:lang w:val="da-DK"/>
        </w:rPr>
        <w:t xml:space="preserve"> screeningspositive </w:t>
      </w:r>
      <w:proofErr w:type="spellStart"/>
      <w:r w:rsidRPr="006A2898">
        <w:rPr>
          <w:sz w:val="24"/>
          <w:szCs w:val="24"/>
          <w:lang w:val="da-DK"/>
        </w:rPr>
        <w:t>isolater</w:t>
      </w:r>
      <w:proofErr w:type="spellEnd"/>
      <w:r w:rsidRPr="006A2898">
        <w:rPr>
          <w:sz w:val="24"/>
          <w:szCs w:val="24"/>
          <w:lang w:val="da-DK"/>
        </w:rPr>
        <w:t xml:space="preserve"> (hæmningszone &lt;18 mm eller MIC&gt;0,25 mg/l) udledes følsomhed af </w:t>
      </w:r>
      <w:proofErr w:type="spellStart"/>
      <w:r w:rsidRPr="006A2898">
        <w:rPr>
          <w:sz w:val="24"/>
          <w:szCs w:val="24"/>
          <w:lang w:val="da-DK"/>
        </w:rPr>
        <w:t>ampicillin</w:t>
      </w:r>
      <w:proofErr w:type="spellEnd"/>
      <w:r w:rsidRPr="006A2898">
        <w:rPr>
          <w:sz w:val="24"/>
          <w:szCs w:val="24"/>
          <w:lang w:val="da-DK"/>
        </w:rPr>
        <w:t>.</w:t>
      </w:r>
    </w:p>
    <w:p w14:paraId="13EAD9C3" w14:textId="77777777" w:rsidR="006E7021" w:rsidRPr="006A2898" w:rsidRDefault="006E7021" w:rsidP="006E7021">
      <w:pPr>
        <w:pStyle w:val="TableParagraph"/>
        <w:widowControl/>
        <w:spacing w:before="0" w:line="240" w:lineRule="auto"/>
        <w:ind w:left="284" w:hanging="284"/>
        <w:rPr>
          <w:sz w:val="24"/>
          <w:szCs w:val="24"/>
          <w:lang w:val="da-DK"/>
        </w:rPr>
      </w:pPr>
      <w:r w:rsidRPr="006A2898">
        <w:rPr>
          <w:sz w:val="24"/>
          <w:szCs w:val="24"/>
          <w:vertAlign w:val="superscript"/>
          <w:lang w:val="da-DK"/>
        </w:rPr>
        <w:t>12</w:t>
      </w:r>
      <w:r w:rsidRPr="006A2898">
        <w:rPr>
          <w:sz w:val="24"/>
          <w:szCs w:val="24"/>
          <w:lang w:val="da-DK"/>
        </w:rPr>
        <w:t xml:space="preserve"> </w:t>
      </w:r>
      <w:r w:rsidRPr="006A2898">
        <w:rPr>
          <w:sz w:val="24"/>
          <w:szCs w:val="24"/>
          <w:lang w:val="da-DK"/>
        </w:rPr>
        <w:tab/>
        <w:t xml:space="preserve">Følsomhed kan udledes fra intravenøs </w:t>
      </w:r>
      <w:proofErr w:type="spellStart"/>
      <w:r w:rsidRPr="006A2898">
        <w:rPr>
          <w:sz w:val="24"/>
          <w:szCs w:val="24"/>
          <w:lang w:val="da-DK"/>
        </w:rPr>
        <w:t>amoxicillin-klavulansyre</w:t>
      </w:r>
      <w:proofErr w:type="spellEnd"/>
      <w:r w:rsidRPr="006A2898">
        <w:rPr>
          <w:sz w:val="24"/>
          <w:szCs w:val="24"/>
          <w:lang w:val="da-DK"/>
        </w:rPr>
        <w:t>.</w:t>
      </w:r>
    </w:p>
    <w:p w14:paraId="14E8CBB4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DB65F2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5.2</w:t>
      </w:r>
      <w:r w:rsidRPr="006A2898">
        <w:rPr>
          <w:b/>
          <w:sz w:val="24"/>
          <w:szCs w:val="24"/>
        </w:rPr>
        <w:tab/>
      </w:r>
      <w:proofErr w:type="spellStart"/>
      <w:r w:rsidRPr="006A2898">
        <w:rPr>
          <w:b/>
          <w:sz w:val="24"/>
          <w:szCs w:val="24"/>
        </w:rPr>
        <w:t>Farmakokinetiske</w:t>
      </w:r>
      <w:proofErr w:type="spellEnd"/>
      <w:r w:rsidRPr="006A2898">
        <w:rPr>
          <w:b/>
          <w:sz w:val="24"/>
          <w:szCs w:val="24"/>
        </w:rPr>
        <w:t xml:space="preserve"> egenskaber</w:t>
      </w:r>
    </w:p>
    <w:p w14:paraId="12A4FA5D" w14:textId="77777777" w:rsidR="0083270E" w:rsidRDefault="0083270E" w:rsidP="006E7021">
      <w:pPr>
        <w:ind w:left="851"/>
        <w:rPr>
          <w:sz w:val="24"/>
          <w:szCs w:val="24"/>
        </w:rPr>
      </w:pPr>
    </w:p>
    <w:p w14:paraId="1554FB3B" w14:textId="6BA7779F" w:rsidR="006E7021" w:rsidRPr="0083270E" w:rsidRDefault="006E7021" w:rsidP="006E7021">
      <w:pPr>
        <w:ind w:left="851"/>
        <w:rPr>
          <w:sz w:val="24"/>
          <w:szCs w:val="24"/>
          <w:u w:val="single"/>
        </w:rPr>
      </w:pPr>
      <w:r w:rsidRPr="0083270E">
        <w:rPr>
          <w:sz w:val="24"/>
          <w:szCs w:val="24"/>
          <w:u w:val="single"/>
        </w:rPr>
        <w:t>Fordeling</w:t>
      </w:r>
    </w:p>
    <w:p w14:paraId="7836D568" w14:textId="77777777" w:rsidR="006E7021" w:rsidRPr="006A2898" w:rsidRDefault="006E7021" w:rsidP="006E7021">
      <w:pPr>
        <w:ind w:left="851"/>
        <w:rPr>
          <w:sz w:val="24"/>
          <w:szCs w:val="24"/>
        </w:rPr>
      </w:pP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>/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diffunderer let ind i de fleste kropsvæv og -væsker. </w:t>
      </w:r>
    </w:p>
    <w:p w14:paraId="6AA5E1DA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Penetrationen ind i hjerne- og rygmarvsvæske er lav, undtagen når hjernehinderne er betændte. Høje koncentrationer af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og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opnås i blodet efter intravenøs eller intramuskulær administration.</w:t>
      </w:r>
    </w:p>
    <w:p w14:paraId="78D657C3" w14:textId="55D2516B" w:rsidR="00B84B6D" w:rsidRDefault="00B84B6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8A6AFD" w14:textId="77777777" w:rsidR="006E7021" w:rsidRPr="006A2898" w:rsidRDefault="006E7021" w:rsidP="006E7021">
      <w:pPr>
        <w:ind w:left="851"/>
        <w:rPr>
          <w:sz w:val="24"/>
          <w:szCs w:val="24"/>
        </w:rPr>
      </w:pPr>
    </w:p>
    <w:p w14:paraId="51F1BF70" w14:textId="77777777" w:rsidR="006E7021" w:rsidRPr="0083270E" w:rsidRDefault="006E7021" w:rsidP="006E7021">
      <w:pPr>
        <w:ind w:left="851"/>
        <w:rPr>
          <w:sz w:val="24"/>
          <w:szCs w:val="24"/>
          <w:u w:val="single"/>
        </w:rPr>
      </w:pPr>
      <w:r w:rsidRPr="0083270E">
        <w:rPr>
          <w:sz w:val="24"/>
          <w:szCs w:val="24"/>
          <w:u w:val="single"/>
        </w:rPr>
        <w:t>Elimination</w:t>
      </w:r>
    </w:p>
    <w:p w14:paraId="4249FF3C" w14:textId="77777777" w:rsidR="006E7021" w:rsidRPr="006A2898" w:rsidRDefault="006E7021" w:rsidP="006E7021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Begge komponenter har en halveringstid på ca. 1 time. Det meste af produktet udskilles uændret i urinen.</w:t>
      </w:r>
    </w:p>
    <w:p w14:paraId="52A676D1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72906EB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5.3</w:t>
      </w:r>
      <w:r w:rsidRPr="006A2898">
        <w:rPr>
          <w:b/>
          <w:sz w:val="24"/>
          <w:szCs w:val="24"/>
        </w:rPr>
        <w:tab/>
      </w:r>
      <w:r w:rsidR="00BD7931" w:rsidRPr="006A2898">
        <w:rPr>
          <w:b/>
          <w:sz w:val="24"/>
          <w:szCs w:val="24"/>
        </w:rPr>
        <w:t>Non-</w:t>
      </w:r>
      <w:r w:rsidRPr="006A2898">
        <w:rPr>
          <w:b/>
          <w:sz w:val="24"/>
          <w:szCs w:val="24"/>
        </w:rPr>
        <w:t>kliniske sikkerhedsdata</w:t>
      </w:r>
    </w:p>
    <w:p w14:paraId="71EF0F69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Den akutte toksicitet af </w:t>
      </w:r>
      <w:proofErr w:type="spellStart"/>
      <w:r w:rsidRPr="006A2898">
        <w:rPr>
          <w:sz w:val="24"/>
          <w:szCs w:val="24"/>
        </w:rPr>
        <w:t>sultamicillin</w:t>
      </w:r>
      <w:proofErr w:type="spellEnd"/>
      <w:r w:rsidRPr="006A2898">
        <w:rPr>
          <w:sz w:val="24"/>
          <w:szCs w:val="24"/>
        </w:rPr>
        <w:t xml:space="preserve"> (</w:t>
      </w:r>
      <w:proofErr w:type="gramStart"/>
      <w:r w:rsidRPr="006A2898">
        <w:rPr>
          <w:sz w:val="24"/>
          <w:szCs w:val="24"/>
        </w:rPr>
        <w:t>et oralt prodrug</w:t>
      </w:r>
      <w:proofErr w:type="gramEnd"/>
      <w:r w:rsidRPr="006A2898">
        <w:rPr>
          <w:sz w:val="24"/>
          <w:szCs w:val="24"/>
        </w:rPr>
        <w:t xml:space="preserve">, der frigiver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og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efter </w:t>
      </w:r>
      <w:r w:rsidRPr="006A2898">
        <w:rPr>
          <w:i/>
          <w:sz w:val="24"/>
          <w:szCs w:val="24"/>
        </w:rPr>
        <w:t xml:space="preserve">in </w:t>
      </w:r>
      <w:proofErr w:type="spellStart"/>
      <w:r w:rsidRPr="006A2898">
        <w:rPr>
          <w:i/>
          <w:sz w:val="24"/>
          <w:szCs w:val="24"/>
        </w:rPr>
        <w:t>vivo</w:t>
      </w:r>
      <w:proofErr w:type="spellEnd"/>
      <w:r w:rsidRPr="006A2898">
        <w:rPr>
          <w:sz w:val="24"/>
          <w:szCs w:val="24"/>
        </w:rPr>
        <w:t xml:space="preserve"> hydrolyse) er lav. LD</w:t>
      </w:r>
      <w:r w:rsidRPr="006A2898">
        <w:rPr>
          <w:sz w:val="24"/>
          <w:szCs w:val="24"/>
          <w:vertAlign w:val="subscript"/>
        </w:rPr>
        <w:t>50</w:t>
      </w:r>
      <w:r w:rsidRPr="006A2898">
        <w:rPr>
          <w:sz w:val="24"/>
          <w:szCs w:val="24"/>
        </w:rPr>
        <w:t xml:space="preserve"> af </w:t>
      </w:r>
      <w:proofErr w:type="spellStart"/>
      <w:r w:rsidRPr="006A2898">
        <w:rPr>
          <w:sz w:val="24"/>
          <w:szCs w:val="24"/>
        </w:rPr>
        <w:t>sultamicillin-tozilat</w:t>
      </w:r>
      <w:proofErr w:type="spellEnd"/>
      <w:r w:rsidRPr="006A2898">
        <w:rPr>
          <w:sz w:val="24"/>
          <w:szCs w:val="24"/>
        </w:rPr>
        <w:t xml:space="preserve"> i gnavere var 7 g/kg efter </w:t>
      </w:r>
      <w:r w:rsidRPr="006A2898">
        <w:rPr>
          <w:i/>
          <w:sz w:val="24"/>
          <w:szCs w:val="24"/>
        </w:rPr>
        <w:t xml:space="preserve">per os </w:t>
      </w:r>
      <w:r w:rsidRPr="006A2898">
        <w:rPr>
          <w:sz w:val="24"/>
          <w:szCs w:val="24"/>
        </w:rPr>
        <w:t xml:space="preserve">behandling.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alene resulterede i LD</w:t>
      </w:r>
      <w:r w:rsidRPr="006A2898">
        <w:rPr>
          <w:sz w:val="24"/>
          <w:szCs w:val="24"/>
          <w:vertAlign w:val="subscript"/>
        </w:rPr>
        <w:t>50</w:t>
      </w:r>
      <w:r w:rsidRPr="006A2898">
        <w:rPr>
          <w:sz w:val="24"/>
          <w:szCs w:val="24"/>
        </w:rPr>
        <w:t xml:space="preserve"> &gt;10 g/kg hos mus efter </w:t>
      </w:r>
      <w:r w:rsidRPr="006A2898">
        <w:rPr>
          <w:i/>
          <w:sz w:val="24"/>
          <w:szCs w:val="24"/>
        </w:rPr>
        <w:t xml:space="preserve">per os-behandling, </w:t>
      </w:r>
      <w:r w:rsidRPr="006A2898">
        <w:rPr>
          <w:sz w:val="24"/>
          <w:szCs w:val="24"/>
        </w:rPr>
        <w:t>mens denne værdi var ca. 3,6 g/kg efter intravenøs administration. De tilsvarende værdier i rotter var henholdsvis &gt;4 g/kg og 3,4 g/kg.</w:t>
      </w:r>
    </w:p>
    <w:p w14:paraId="7B2F338A" w14:textId="77777777" w:rsidR="006E7021" w:rsidRPr="006A2898" w:rsidRDefault="006E7021" w:rsidP="009C65F8">
      <w:pPr>
        <w:ind w:left="851"/>
        <w:rPr>
          <w:sz w:val="24"/>
          <w:szCs w:val="24"/>
        </w:rPr>
      </w:pPr>
    </w:p>
    <w:p w14:paraId="5CD933D6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Toksicitet blev bestemt ved gentagen dosering af </w:t>
      </w:r>
      <w:proofErr w:type="spellStart"/>
      <w:r w:rsidRPr="006A2898">
        <w:rPr>
          <w:sz w:val="24"/>
          <w:szCs w:val="24"/>
        </w:rPr>
        <w:t>sultamicillin</w:t>
      </w:r>
      <w:proofErr w:type="spellEnd"/>
      <w:r w:rsidRPr="006A2898">
        <w:rPr>
          <w:sz w:val="24"/>
          <w:szCs w:val="24"/>
        </w:rPr>
        <w:t xml:space="preserve">,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eller en kombination af </w:t>
      </w:r>
      <w:proofErr w:type="spellStart"/>
      <w:r w:rsidRPr="006A2898">
        <w:rPr>
          <w:sz w:val="24"/>
          <w:szCs w:val="24"/>
        </w:rPr>
        <w:t>sulbactam-ampicillin</w:t>
      </w:r>
      <w:proofErr w:type="spellEnd"/>
      <w:r w:rsidRPr="006A2898">
        <w:rPr>
          <w:sz w:val="24"/>
          <w:szCs w:val="24"/>
        </w:rPr>
        <w:t xml:space="preserve"> i op til 6 måneder hos rotter og hunde.</w:t>
      </w:r>
    </w:p>
    <w:p w14:paraId="13A67894" w14:textId="77777777" w:rsidR="006E7021" w:rsidRPr="006A2898" w:rsidRDefault="006E7021" w:rsidP="009C65F8">
      <w:pPr>
        <w:ind w:left="851"/>
        <w:rPr>
          <w:sz w:val="24"/>
          <w:szCs w:val="24"/>
        </w:rPr>
      </w:pPr>
    </w:p>
    <w:p w14:paraId="746C8574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I de ovennævnte toksicitetsstudier blev der set virkninger på leveren efter administration af </w:t>
      </w:r>
      <w:proofErr w:type="spellStart"/>
      <w:r w:rsidRPr="006A2898">
        <w:rPr>
          <w:sz w:val="24"/>
          <w:szCs w:val="24"/>
        </w:rPr>
        <w:t>sultamicillin</w:t>
      </w:r>
      <w:proofErr w:type="spellEnd"/>
      <w:r w:rsidRPr="006A2898">
        <w:rPr>
          <w:sz w:val="24"/>
          <w:szCs w:val="24"/>
        </w:rPr>
        <w:t xml:space="preserve"> eller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. Ud over forhøjede leverenzymer (GOT, GPT, LDH, AP) blev dosis- og tidsafhængig glykogenlagring også påvist i leveren, hvilket viste sig at være reversibelt efter </w:t>
      </w:r>
      <w:proofErr w:type="spellStart"/>
      <w:r w:rsidRPr="006A2898">
        <w:rPr>
          <w:sz w:val="24"/>
          <w:szCs w:val="24"/>
        </w:rPr>
        <w:t>seponering</w:t>
      </w:r>
      <w:proofErr w:type="spellEnd"/>
      <w:r w:rsidRPr="006A2898">
        <w:rPr>
          <w:sz w:val="24"/>
          <w:szCs w:val="24"/>
        </w:rPr>
        <w:t xml:space="preserve"> af lægemidlet. Denne glykogenlagring er ikke blevet identificeret med nogen kendt glykogenlagringssygdom.</w:t>
      </w:r>
    </w:p>
    <w:p w14:paraId="02489C1F" w14:textId="77777777" w:rsidR="006E7021" w:rsidRPr="006A2898" w:rsidRDefault="006E7021" w:rsidP="009C65F8">
      <w:pPr>
        <w:ind w:left="851"/>
        <w:rPr>
          <w:sz w:val="24"/>
          <w:szCs w:val="24"/>
        </w:rPr>
      </w:pPr>
    </w:p>
    <w:p w14:paraId="3699F0CF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I disse studier forårsagede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ikke en signifikant ændring i </w:t>
      </w:r>
      <w:proofErr w:type="spellStart"/>
      <w:r w:rsidRPr="006A2898">
        <w:rPr>
          <w:sz w:val="24"/>
          <w:szCs w:val="24"/>
        </w:rPr>
        <w:t>glucose</w:t>
      </w:r>
      <w:proofErr w:type="spellEnd"/>
      <w:r w:rsidRPr="006A2898">
        <w:rPr>
          <w:sz w:val="24"/>
          <w:szCs w:val="24"/>
        </w:rPr>
        <w:t xml:space="preserve"> metabolisme.  Der blev ikke set nogen klinisk relevant effekt på </w:t>
      </w:r>
      <w:proofErr w:type="spellStart"/>
      <w:r w:rsidRPr="006A2898">
        <w:rPr>
          <w:sz w:val="24"/>
          <w:szCs w:val="24"/>
        </w:rPr>
        <w:t>glucosetilgængelighed</w:t>
      </w:r>
      <w:proofErr w:type="spellEnd"/>
      <w:r w:rsidRPr="006A2898">
        <w:rPr>
          <w:sz w:val="24"/>
          <w:szCs w:val="24"/>
        </w:rPr>
        <w:t xml:space="preserve"> hos patienter med diabetes mellitus, der blev behandlet med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>/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i mere end 2 uger.</w:t>
      </w:r>
    </w:p>
    <w:p w14:paraId="4AB7FABC" w14:textId="77777777" w:rsidR="006E7021" w:rsidRPr="006A2898" w:rsidRDefault="006E7021" w:rsidP="009C65F8">
      <w:pPr>
        <w:ind w:left="851"/>
        <w:rPr>
          <w:sz w:val="24"/>
          <w:szCs w:val="24"/>
        </w:rPr>
      </w:pPr>
    </w:p>
    <w:p w14:paraId="0F1ADE5C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Glykogenlagring forventes ikke hos mennesker efter behandling med </w:t>
      </w:r>
      <w:proofErr w:type="spellStart"/>
      <w:r w:rsidRPr="006A2898">
        <w:rPr>
          <w:sz w:val="24"/>
          <w:szCs w:val="24"/>
        </w:rPr>
        <w:t>sultamicillin</w:t>
      </w:r>
      <w:proofErr w:type="spellEnd"/>
      <w:r w:rsidRPr="006A2898">
        <w:rPr>
          <w:sz w:val="24"/>
          <w:szCs w:val="24"/>
        </w:rPr>
        <w:t xml:space="preserve"> i terapeutiske doser på grund af de plasmakoncentrationer, der opnås.</w:t>
      </w:r>
    </w:p>
    <w:p w14:paraId="14D11DA8" w14:textId="77777777" w:rsidR="006E7021" w:rsidRPr="006A2898" w:rsidRDefault="006E7021" w:rsidP="009C65F8">
      <w:pPr>
        <w:ind w:left="851"/>
        <w:rPr>
          <w:sz w:val="24"/>
          <w:szCs w:val="24"/>
        </w:rPr>
      </w:pPr>
    </w:p>
    <w:p w14:paraId="356B6C48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Ud over de forventede sædvanlige reaktioner på antibiotikabehandling (mild diarré eller opkastning) blev der ikke påvist yderligere tegn på toksicitet.</w:t>
      </w:r>
    </w:p>
    <w:p w14:paraId="7525CD1C" w14:textId="77777777" w:rsidR="006E7021" w:rsidRPr="006A2898" w:rsidRDefault="006E7021" w:rsidP="009C65F8">
      <w:pPr>
        <w:ind w:left="851"/>
        <w:rPr>
          <w:sz w:val="24"/>
          <w:szCs w:val="24"/>
        </w:rPr>
      </w:pPr>
    </w:p>
    <w:p w14:paraId="463AABE6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Der er ikke udført </w:t>
      </w:r>
      <w:proofErr w:type="spellStart"/>
      <w:r w:rsidRPr="006A2898">
        <w:rPr>
          <w:sz w:val="24"/>
          <w:szCs w:val="24"/>
        </w:rPr>
        <w:t>langtids</w:t>
      </w:r>
      <w:proofErr w:type="spellEnd"/>
      <w:r w:rsidRPr="006A2898">
        <w:rPr>
          <w:sz w:val="24"/>
          <w:szCs w:val="24"/>
        </w:rPr>
        <w:t xml:space="preserve"> </w:t>
      </w:r>
      <w:proofErr w:type="spellStart"/>
      <w:r w:rsidRPr="006A2898">
        <w:rPr>
          <w:sz w:val="24"/>
          <w:szCs w:val="24"/>
        </w:rPr>
        <w:t>karcinogenicitetsstudier</w:t>
      </w:r>
      <w:proofErr w:type="spellEnd"/>
      <w:r w:rsidRPr="006A2898">
        <w:rPr>
          <w:sz w:val="24"/>
          <w:szCs w:val="24"/>
        </w:rPr>
        <w:t xml:space="preserve"> på dyr.</w:t>
      </w:r>
    </w:p>
    <w:p w14:paraId="53E172CA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I et stort antal studier viste hverken </w:t>
      </w:r>
      <w:proofErr w:type="spellStart"/>
      <w:r w:rsidRPr="006A2898">
        <w:rPr>
          <w:sz w:val="24"/>
          <w:szCs w:val="24"/>
        </w:rPr>
        <w:t>sulbactam</w:t>
      </w:r>
      <w:proofErr w:type="spellEnd"/>
      <w:r w:rsidRPr="006A2898">
        <w:rPr>
          <w:sz w:val="24"/>
          <w:szCs w:val="24"/>
        </w:rPr>
        <w:t xml:space="preserve"> eller </w:t>
      </w:r>
      <w:proofErr w:type="spellStart"/>
      <w:r w:rsidRPr="006A2898">
        <w:rPr>
          <w:sz w:val="24"/>
          <w:szCs w:val="24"/>
        </w:rPr>
        <w:t>ampicillin</w:t>
      </w:r>
      <w:proofErr w:type="spellEnd"/>
      <w:r w:rsidRPr="006A2898">
        <w:rPr>
          <w:sz w:val="24"/>
          <w:szCs w:val="24"/>
        </w:rPr>
        <w:t xml:space="preserve"> signifikante mutagene virkninger.</w:t>
      </w:r>
    </w:p>
    <w:p w14:paraId="0AFDA03A" w14:textId="77777777" w:rsidR="006E7021" w:rsidRPr="006A2898" w:rsidRDefault="006E7021" w:rsidP="009C65F8">
      <w:pPr>
        <w:ind w:left="851"/>
        <w:rPr>
          <w:sz w:val="24"/>
          <w:szCs w:val="24"/>
        </w:rPr>
      </w:pPr>
    </w:p>
    <w:p w14:paraId="3EF899AD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I reproduktionsstudier på mus og rotter blev </w:t>
      </w:r>
      <w:proofErr w:type="spellStart"/>
      <w:r w:rsidRPr="006A2898">
        <w:rPr>
          <w:sz w:val="24"/>
          <w:szCs w:val="24"/>
        </w:rPr>
        <w:t>sultamicillin</w:t>
      </w:r>
      <w:proofErr w:type="spellEnd"/>
      <w:r w:rsidRPr="006A2898">
        <w:rPr>
          <w:sz w:val="24"/>
          <w:szCs w:val="24"/>
        </w:rPr>
        <w:t xml:space="preserve"> anvendt ud over den humane dosis og viste ingen tegn på nedsat fertilitet eller fosterskader.</w:t>
      </w:r>
    </w:p>
    <w:p w14:paraId="500B33EB" w14:textId="77777777" w:rsidR="009260DE" w:rsidRPr="006A2898" w:rsidRDefault="009260DE" w:rsidP="009C65F8">
      <w:pPr>
        <w:ind w:left="851"/>
        <w:rPr>
          <w:sz w:val="24"/>
          <w:szCs w:val="24"/>
        </w:rPr>
      </w:pPr>
    </w:p>
    <w:p w14:paraId="58D3A4B9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632BB1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6.</w:t>
      </w:r>
      <w:r w:rsidRPr="006A2898">
        <w:rPr>
          <w:b/>
          <w:sz w:val="24"/>
          <w:szCs w:val="24"/>
        </w:rPr>
        <w:tab/>
        <w:t>FARMACEUTISKE OPLYSNINGER</w:t>
      </w:r>
    </w:p>
    <w:p w14:paraId="59900103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483B685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6.1</w:t>
      </w:r>
      <w:r w:rsidRPr="006A2898">
        <w:rPr>
          <w:b/>
          <w:sz w:val="24"/>
          <w:szCs w:val="24"/>
        </w:rPr>
        <w:tab/>
        <w:t>Hjælpestoffer</w:t>
      </w:r>
    </w:p>
    <w:p w14:paraId="172D6376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Ingen </w:t>
      </w:r>
    </w:p>
    <w:p w14:paraId="62712C5F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AC01F51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6.2</w:t>
      </w:r>
      <w:r w:rsidRPr="006A2898">
        <w:rPr>
          <w:b/>
          <w:sz w:val="24"/>
          <w:szCs w:val="24"/>
        </w:rPr>
        <w:tab/>
        <w:t>Uforligeligheder</w:t>
      </w:r>
    </w:p>
    <w:p w14:paraId="1E7FD199" w14:textId="06B659B8" w:rsidR="006E7021" w:rsidRPr="006A2898" w:rsidRDefault="006A2898" w:rsidP="009C65F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Ampicillin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Sulbactam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Aptapharma</w:t>
      </w:r>
      <w:proofErr w:type="spellEnd"/>
      <w:r>
        <w:rPr>
          <w:sz w:val="24"/>
          <w:szCs w:val="24"/>
        </w:rPr>
        <w:t>"</w:t>
      </w:r>
      <w:r w:rsidR="006E7021" w:rsidRPr="006A2898">
        <w:rPr>
          <w:sz w:val="24"/>
          <w:szCs w:val="24"/>
        </w:rPr>
        <w:t xml:space="preserve"> injektion og </w:t>
      </w:r>
      <w:proofErr w:type="spellStart"/>
      <w:r w:rsidR="006E7021" w:rsidRPr="006A2898">
        <w:rPr>
          <w:sz w:val="24"/>
          <w:szCs w:val="24"/>
        </w:rPr>
        <w:t>aminoglycosider</w:t>
      </w:r>
      <w:proofErr w:type="spellEnd"/>
      <w:r w:rsidR="006E7021" w:rsidRPr="006A2898">
        <w:rPr>
          <w:sz w:val="24"/>
          <w:szCs w:val="24"/>
        </w:rPr>
        <w:t xml:space="preserve"> skal </w:t>
      </w:r>
      <w:proofErr w:type="spellStart"/>
      <w:r w:rsidR="006E7021" w:rsidRPr="006A2898">
        <w:rPr>
          <w:sz w:val="24"/>
          <w:szCs w:val="24"/>
        </w:rPr>
        <w:t>rekonstitueres</w:t>
      </w:r>
      <w:proofErr w:type="spellEnd"/>
      <w:r w:rsidR="006E7021" w:rsidRPr="006A2898">
        <w:rPr>
          <w:sz w:val="24"/>
          <w:szCs w:val="24"/>
        </w:rPr>
        <w:t xml:space="preserve"> og administreres separat på grund af </w:t>
      </w:r>
      <w:r w:rsidR="006E7021" w:rsidRPr="006A2898">
        <w:rPr>
          <w:i/>
          <w:sz w:val="24"/>
          <w:szCs w:val="24"/>
        </w:rPr>
        <w:t xml:space="preserve">in </w:t>
      </w:r>
      <w:proofErr w:type="spellStart"/>
      <w:r w:rsidR="006E7021" w:rsidRPr="006A2898">
        <w:rPr>
          <w:i/>
          <w:sz w:val="24"/>
          <w:szCs w:val="24"/>
        </w:rPr>
        <w:t>vitro</w:t>
      </w:r>
      <w:proofErr w:type="spellEnd"/>
      <w:r w:rsidR="006E7021" w:rsidRPr="006A2898">
        <w:rPr>
          <w:sz w:val="24"/>
          <w:szCs w:val="24"/>
        </w:rPr>
        <w:t xml:space="preserve">-inaktivering af </w:t>
      </w:r>
      <w:proofErr w:type="spellStart"/>
      <w:r w:rsidR="006E7021" w:rsidRPr="006A2898">
        <w:rPr>
          <w:sz w:val="24"/>
          <w:szCs w:val="24"/>
        </w:rPr>
        <w:t>aminoglycosider</w:t>
      </w:r>
      <w:proofErr w:type="spellEnd"/>
      <w:r w:rsidR="006E7021" w:rsidRPr="006A2898">
        <w:rPr>
          <w:sz w:val="24"/>
          <w:szCs w:val="24"/>
        </w:rPr>
        <w:t xml:space="preserve"> af et af aminopenicillinerne.</w:t>
      </w:r>
    </w:p>
    <w:p w14:paraId="289895A1" w14:textId="77777777" w:rsidR="006E7021" w:rsidRPr="006A2898" w:rsidRDefault="006E7021" w:rsidP="009C65F8">
      <w:pPr>
        <w:ind w:left="851"/>
        <w:rPr>
          <w:sz w:val="24"/>
          <w:szCs w:val="24"/>
        </w:rPr>
      </w:pPr>
    </w:p>
    <w:p w14:paraId="00B0FA10" w14:textId="77777777" w:rsidR="006E7021" w:rsidRPr="006A2898" w:rsidRDefault="006E7021" w:rsidP="009C65F8">
      <w:pPr>
        <w:ind w:left="851"/>
        <w:rPr>
          <w:sz w:val="24"/>
          <w:szCs w:val="24"/>
        </w:rPr>
      </w:pPr>
      <w:proofErr w:type="spellStart"/>
      <w:r w:rsidRPr="006A2898">
        <w:rPr>
          <w:sz w:val="24"/>
          <w:szCs w:val="24"/>
        </w:rPr>
        <w:t>Ampicillinnatrium</w:t>
      </w:r>
      <w:proofErr w:type="spellEnd"/>
      <w:r w:rsidRPr="006A2898">
        <w:rPr>
          <w:sz w:val="24"/>
          <w:szCs w:val="24"/>
        </w:rPr>
        <w:t xml:space="preserve"> er mindre stabilt i opløsninger indeholdende </w:t>
      </w:r>
      <w:proofErr w:type="spellStart"/>
      <w:r w:rsidRPr="006A2898">
        <w:rPr>
          <w:sz w:val="24"/>
          <w:szCs w:val="24"/>
        </w:rPr>
        <w:t>glucose</w:t>
      </w:r>
      <w:proofErr w:type="spellEnd"/>
      <w:r w:rsidRPr="006A2898">
        <w:rPr>
          <w:sz w:val="24"/>
          <w:szCs w:val="24"/>
        </w:rPr>
        <w:t xml:space="preserve"> og andre kulhydrater og må ikke blandes med blodderivater eller </w:t>
      </w:r>
      <w:proofErr w:type="spellStart"/>
      <w:r w:rsidRPr="006A2898">
        <w:rPr>
          <w:sz w:val="24"/>
          <w:szCs w:val="24"/>
        </w:rPr>
        <w:t>proteinhydrolysater</w:t>
      </w:r>
      <w:proofErr w:type="spellEnd"/>
      <w:r w:rsidRPr="006A2898">
        <w:rPr>
          <w:sz w:val="24"/>
          <w:szCs w:val="24"/>
        </w:rPr>
        <w:t>.</w:t>
      </w:r>
    </w:p>
    <w:p w14:paraId="2CEAF6A0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041A70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6.3</w:t>
      </w:r>
      <w:r w:rsidRPr="006A2898">
        <w:rPr>
          <w:b/>
          <w:sz w:val="24"/>
          <w:szCs w:val="24"/>
        </w:rPr>
        <w:tab/>
        <w:t>Opbevaringstid</w:t>
      </w:r>
    </w:p>
    <w:p w14:paraId="611A0F31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3 år</w:t>
      </w:r>
    </w:p>
    <w:p w14:paraId="3FC5ADDB" w14:textId="77777777" w:rsidR="006E7021" w:rsidRPr="006A2898" w:rsidRDefault="006E7021" w:rsidP="009C65F8">
      <w:pPr>
        <w:ind w:left="851"/>
        <w:rPr>
          <w:sz w:val="24"/>
          <w:szCs w:val="24"/>
        </w:rPr>
      </w:pPr>
    </w:p>
    <w:p w14:paraId="1DAB8958" w14:textId="77777777" w:rsidR="006E7021" w:rsidRPr="006A2898" w:rsidRDefault="006E7021" w:rsidP="009C65F8">
      <w:pPr>
        <w:ind w:left="851"/>
        <w:rPr>
          <w:sz w:val="24"/>
          <w:szCs w:val="24"/>
          <w:u w:val="single"/>
        </w:rPr>
      </w:pPr>
      <w:proofErr w:type="spellStart"/>
      <w:r w:rsidRPr="006A2898">
        <w:rPr>
          <w:sz w:val="24"/>
          <w:szCs w:val="24"/>
          <w:u w:val="single"/>
        </w:rPr>
        <w:t>Rekonstitueret</w:t>
      </w:r>
      <w:proofErr w:type="spellEnd"/>
      <w:r w:rsidRPr="006A2898">
        <w:rPr>
          <w:sz w:val="24"/>
          <w:szCs w:val="24"/>
          <w:u w:val="single"/>
        </w:rPr>
        <w:t xml:space="preserve"> opløsning</w:t>
      </w:r>
    </w:p>
    <w:p w14:paraId="58C0C631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Den koncentrerede opløsning til intramuskulær injektion (</w:t>
      </w:r>
      <w:proofErr w:type="spellStart"/>
      <w:r w:rsidRPr="006A2898">
        <w:rPr>
          <w:sz w:val="24"/>
          <w:szCs w:val="24"/>
        </w:rPr>
        <w:t>rekonstitueret</w:t>
      </w:r>
      <w:proofErr w:type="spellEnd"/>
      <w:r w:rsidRPr="006A2898">
        <w:rPr>
          <w:sz w:val="24"/>
          <w:szCs w:val="24"/>
        </w:rPr>
        <w:t xml:space="preserve"> med 0,5% </w:t>
      </w:r>
      <w:proofErr w:type="spellStart"/>
      <w:r w:rsidRPr="006A2898">
        <w:rPr>
          <w:sz w:val="24"/>
          <w:szCs w:val="24"/>
        </w:rPr>
        <w:t>lidocain</w:t>
      </w:r>
      <w:proofErr w:type="spellEnd"/>
      <w:r w:rsidRPr="006A2898">
        <w:rPr>
          <w:sz w:val="24"/>
          <w:szCs w:val="24"/>
        </w:rPr>
        <w:t xml:space="preserve"> og opbevaret ved 25 °C) skal anvendes inden for 1 time efter </w:t>
      </w:r>
      <w:proofErr w:type="spellStart"/>
      <w:r w:rsidRPr="006A2898">
        <w:rPr>
          <w:sz w:val="24"/>
          <w:szCs w:val="24"/>
        </w:rPr>
        <w:t>rekonstitution</w:t>
      </w:r>
      <w:proofErr w:type="spellEnd"/>
      <w:r w:rsidRPr="006A2898">
        <w:rPr>
          <w:sz w:val="24"/>
          <w:szCs w:val="24"/>
        </w:rPr>
        <w:t xml:space="preserve">. </w:t>
      </w:r>
    </w:p>
    <w:p w14:paraId="76801BBE" w14:textId="77777777" w:rsidR="006E7021" w:rsidRPr="006A2898" w:rsidRDefault="006E7021" w:rsidP="009C65F8">
      <w:pPr>
        <w:ind w:left="851"/>
        <w:rPr>
          <w:sz w:val="24"/>
          <w:szCs w:val="24"/>
        </w:rPr>
      </w:pPr>
    </w:p>
    <w:p w14:paraId="2BB52EFA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Kemisk og fysisk stabilitet under brug med forskellige fortyndingsmidler til intravenøs infusion er:</w:t>
      </w:r>
    </w:p>
    <w:p w14:paraId="60D7F679" w14:textId="77777777" w:rsidR="006E7021" w:rsidRPr="006A2898" w:rsidRDefault="006E7021" w:rsidP="009C65F8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7"/>
        <w:gridCol w:w="3029"/>
        <w:gridCol w:w="1431"/>
        <w:gridCol w:w="1431"/>
      </w:tblGrid>
      <w:tr w:rsidR="006E7021" w:rsidRPr="006A2898" w14:paraId="054A05F9" w14:textId="77777777" w:rsidTr="009C65F8">
        <w:trPr>
          <w:tblHeader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6F00" w14:textId="77777777" w:rsidR="006E7021" w:rsidRPr="006A2898" w:rsidRDefault="006E7021">
            <w:pPr>
              <w:pStyle w:val="P68B1DB1-Normal1"/>
              <w:keepNext/>
              <w:widowControl/>
              <w:rPr>
                <w:sz w:val="24"/>
                <w:szCs w:val="24"/>
                <w:lang w:val="da-DK"/>
              </w:rPr>
            </w:pPr>
            <w:r w:rsidRPr="006A2898">
              <w:rPr>
                <w:sz w:val="24"/>
                <w:szCs w:val="24"/>
                <w:lang w:val="da-DK"/>
              </w:rPr>
              <w:t>Solvens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342F" w14:textId="77777777" w:rsidR="006E7021" w:rsidRPr="006A2898" w:rsidRDefault="006E7021">
            <w:pPr>
              <w:pStyle w:val="P68B1DB1-Normal1"/>
              <w:keepNext/>
              <w:widowControl/>
              <w:rPr>
                <w:sz w:val="24"/>
                <w:szCs w:val="24"/>
                <w:lang w:val="da-DK"/>
              </w:rPr>
            </w:pPr>
            <w:r w:rsidRPr="006A2898">
              <w:rPr>
                <w:sz w:val="24"/>
                <w:szCs w:val="24"/>
                <w:lang w:val="da-DK"/>
              </w:rPr>
              <w:t>Koncentration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B91B" w14:textId="5D1EE7E0" w:rsidR="006E7021" w:rsidRPr="006A2898" w:rsidRDefault="006E7021">
            <w:pPr>
              <w:pStyle w:val="P68B1DB1-Normal1"/>
              <w:keepNext/>
              <w:widowControl/>
              <w:rPr>
                <w:sz w:val="24"/>
                <w:szCs w:val="24"/>
                <w:lang w:val="da-DK"/>
              </w:rPr>
            </w:pPr>
            <w:r w:rsidRPr="006A2898">
              <w:rPr>
                <w:sz w:val="24"/>
                <w:szCs w:val="24"/>
                <w:lang w:val="da-DK"/>
              </w:rPr>
              <w:t>Brugsperioder</w:t>
            </w:r>
            <w:r w:rsidR="0083270E">
              <w:rPr>
                <w:sz w:val="24"/>
                <w:szCs w:val="24"/>
                <w:lang w:val="da-DK"/>
              </w:rPr>
              <w:t xml:space="preserve"> </w:t>
            </w:r>
            <w:r w:rsidRPr="006A2898">
              <w:rPr>
                <w:sz w:val="24"/>
                <w:szCs w:val="24"/>
                <w:lang w:val="da-DK"/>
              </w:rPr>
              <w:t>(i timer)</w:t>
            </w:r>
          </w:p>
        </w:tc>
      </w:tr>
      <w:tr w:rsidR="006E7021" w:rsidRPr="006A2898" w14:paraId="631C6681" w14:textId="77777777" w:rsidTr="009C65F8">
        <w:trPr>
          <w:tblHeader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C7AD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DD62" w14:textId="77777777" w:rsidR="006E7021" w:rsidRPr="006A2898" w:rsidRDefault="006E7021">
            <w:pPr>
              <w:pStyle w:val="P68B1DB1-Normal1"/>
              <w:keepNext/>
              <w:widowControl/>
              <w:rPr>
                <w:sz w:val="24"/>
                <w:szCs w:val="24"/>
                <w:lang w:val="da-DK"/>
              </w:rPr>
            </w:pPr>
            <w:proofErr w:type="spellStart"/>
            <w:r w:rsidRPr="006A2898">
              <w:rPr>
                <w:sz w:val="24"/>
                <w:szCs w:val="24"/>
                <w:lang w:val="da-DK"/>
              </w:rPr>
              <w:t>sulbactam</w:t>
            </w:r>
            <w:proofErr w:type="spellEnd"/>
            <w:r w:rsidRPr="006A2898">
              <w:rPr>
                <w:sz w:val="24"/>
                <w:szCs w:val="24"/>
                <w:lang w:val="da-DK"/>
              </w:rPr>
              <w:t xml:space="preserve"> +</w:t>
            </w:r>
            <w:proofErr w:type="spellStart"/>
            <w:r w:rsidRPr="006A2898">
              <w:rPr>
                <w:sz w:val="24"/>
                <w:szCs w:val="24"/>
                <w:lang w:val="da-DK"/>
              </w:rPr>
              <w:t>ampicillin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F8E2" w14:textId="05B256AB" w:rsidR="006E7021" w:rsidRPr="006A2898" w:rsidRDefault="006E7021">
            <w:pPr>
              <w:pStyle w:val="P68B1DB1-Normal1"/>
              <w:keepNext/>
              <w:widowControl/>
              <w:rPr>
                <w:sz w:val="24"/>
                <w:szCs w:val="24"/>
                <w:lang w:val="da-DK"/>
              </w:rPr>
            </w:pPr>
            <w:r w:rsidRPr="006A2898">
              <w:rPr>
                <w:sz w:val="24"/>
                <w:szCs w:val="24"/>
                <w:lang w:val="da-DK"/>
              </w:rPr>
              <w:t>25</w:t>
            </w:r>
            <w:r w:rsidR="0083270E">
              <w:rPr>
                <w:sz w:val="24"/>
                <w:szCs w:val="24"/>
                <w:lang w:val="da-DK"/>
              </w:rPr>
              <w:t xml:space="preserve"> </w:t>
            </w:r>
            <w:r w:rsidRPr="006A2898">
              <w:rPr>
                <w:sz w:val="24"/>
                <w:szCs w:val="24"/>
                <w:lang w:val="da-DK"/>
              </w:rPr>
              <w:sym w:font="Symbol" w:char="F0B0"/>
            </w:r>
            <w:r w:rsidRPr="006A2898">
              <w:rPr>
                <w:sz w:val="24"/>
                <w:szCs w:val="24"/>
                <w:lang w:val="da-DK"/>
              </w:rPr>
              <w:t>C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A861" w14:textId="25B38CE1" w:rsidR="006E7021" w:rsidRPr="006A2898" w:rsidRDefault="006E7021">
            <w:pPr>
              <w:pStyle w:val="P68B1DB1-Normal1"/>
              <w:keepNext/>
              <w:widowControl/>
              <w:rPr>
                <w:sz w:val="24"/>
                <w:szCs w:val="24"/>
                <w:lang w:val="da-DK"/>
              </w:rPr>
            </w:pPr>
            <w:r w:rsidRPr="006A2898">
              <w:rPr>
                <w:sz w:val="24"/>
                <w:szCs w:val="24"/>
                <w:lang w:val="da-DK"/>
              </w:rPr>
              <w:t>4</w:t>
            </w:r>
            <w:r w:rsidR="0083270E">
              <w:rPr>
                <w:sz w:val="24"/>
                <w:szCs w:val="24"/>
                <w:lang w:val="da-DK"/>
              </w:rPr>
              <w:t xml:space="preserve"> </w:t>
            </w:r>
            <w:r w:rsidRPr="006A2898">
              <w:rPr>
                <w:sz w:val="24"/>
                <w:szCs w:val="24"/>
                <w:lang w:val="da-DK"/>
              </w:rPr>
              <w:sym w:font="Symbol" w:char="F0B0"/>
            </w:r>
            <w:r w:rsidRPr="006A2898">
              <w:rPr>
                <w:sz w:val="24"/>
                <w:szCs w:val="24"/>
                <w:lang w:val="da-DK"/>
              </w:rPr>
              <w:t>C</w:t>
            </w:r>
          </w:p>
        </w:tc>
      </w:tr>
      <w:tr w:rsidR="006E7021" w:rsidRPr="006A2898" w14:paraId="1887D53B" w14:textId="77777777" w:rsidTr="009C65F8">
        <w:trPr>
          <w:tblHeader/>
        </w:trPr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57D3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sterilt vand til injektion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2840" w14:textId="77777777" w:rsidR="006E7021" w:rsidRPr="006A2898" w:rsidRDefault="006E7021">
            <w:pPr>
              <w:keepNext/>
              <w:rPr>
                <w:b/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op til 30 mg/ml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D69F" w14:textId="77777777" w:rsidR="006E7021" w:rsidRPr="006A2898" w:rsidRDefault="006E7021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7485" w14:textId="77777777" w:rsidR="006E7021" w:rsidRPr="006A2898" w:rsidRDefault="006E7021">
            <w:pPr>
              <w:pStyle w:val="P68B1DB1-Normal1"/>
              <w:keepNext/>
              <w:widowControl/>
              <w:rPr>
                <w:sz w:val="24"/>
                <w:szCs w:val="24"/>
                <w:lang w:val="da-DK"/>
              </w:rPr>
            </w:pPr>
            <w:r w:rsidRPr="006A2898">
              <w:rPr>
                <w:sz w:val="24"/>
                <w:szCs w:val="24"/>
                <w:lang w:val="da-DK"/>
              </w:rPr>
              <w:t>72</w:t>
            </w:r>
          </w:p>
        </w:tc>
      </w:tr>
      <w:tr w:rsidR="006E7021" w:rsidRPr="006A2898" w14:paraId="0592FCAB" w14:textId="77777777" w:rsidTr="009C65F8">
        <w:trPr>
          <w:tblHeader/>
        </w:trPr>
        <w:tc>
          <w:tcPr>
            <w:tcW w:w="1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F3C7" w14:textId="77777777" w:rsidR="006E7021" w:rsidRPr="006A2898" w:rsidRDefault="006E70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EDBD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op til 45 mg/ml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3A56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C471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48</w:t>
            </w:r>
          </w:p>
        </w:tc>
      </w:tr>
      <w:tr w:rsidR="006E7021" w:rsidRPr="006A2898" w14:paraId="4C755A74" w14:textId="77777777" w:rsidTr="009C65F8">
        <w:trPr>
          <w:trHeight w:val="255"/>
          <w:tblHeader/>
        </w:trPr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E8E3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 xml:space="preserve">natriumklorid 9 mg/ml </w:t>
            </w:r>
          </w:p>
          <w:p w14:paraId="123A3238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(0,9 %)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5B98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op til 30 mg/ml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BA79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8F25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72</w:t>
            </w:r>
          </w:p>
        </w:tc>
      </w:tr>
      <w:tr w:rsidR="006E7021" w:rsidRPr="006A2898" w14:paraId="4F5923F2" w14:textId="77777777" w:rsidTr="009C65F8">
        <w:trPr>
          <w:trHeight w:val="255"/>
          <w:tblHeader/>
        </w:trPr>
        <w:tc>
          <w:tcPr>
            <w:tcW w:w="1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F014" w14:textId="77777777" w:rsidR="006E7021" w:rsidRPr="006A2898" w:rsidRDefault="006E70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043C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op til 45 mg/ml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4AE4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BF2D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48</w:t>
            </w:r>
          </w:p>
        </w:tc>
      </w:tr>
      <w:tr w:rsidR="006E7021" w:rsidRPr="006A2898" w14:paraId="75C2DBEA" w14:textId="77777777" w:rsidTr="009C65F8">
        <w:trPr>
          <w:tblHeader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EBD5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natriumlaktat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19F5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op til 45 mg/ml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7BBC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A9D3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8</w:t>
            </w:r>
          </w:p>
        </w:tc>
      </w:tr>
      <w:tr w:rsidR="006E7021" w:rsidRPr="006A2898" w14:paraId="68341DAC" w14:textId="77777777" w:rsidTr="009C65F8">
        <w:trPr>
          <w:trHeight w:val="255"/>
          <w:tblHeader/>
        </w:trPr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9F29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proofErr w:type="spellStart"/>
            <w:r w:rsidRPr="006A2898">
              <w:rPr>
                <w:sz w:val="24"/>
                <w:szCs w:val="24"/>
              </w:rPr>
              <w:t>glucoseopløsning</w:t>
            </w:r>
            <w:proofErr w:type="spellEnd"/>
            <w:r w:rsidRPr="006A2898">
              <w:rPr>
                <w:sz w:val="24"/>
                <w:szCs w:val="24"/>
              </w:rPr>
              <w:t xml:space="preserve"> 50 mg/ml </w:t>
            </w:r>
          </w:p>
          <w:p w14:paraId="5495CB2C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(5 %)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4AAD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op til 3 mg/ml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93B5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5DD3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</w:p>
        </w:tc>
      </w:tr>
      <w:tr w:rsidR="006E7021" w:rsidRPr="006A2898" w14:paraId="08883174" w14:textId="77777777" w:rsidTr="009C65F8">
        <w:trPr>
          <w:trHeight w:val="255"/>
          <w:tblHeader/>
        </w:trPr>
        <w:tc>
          <w:tcPr>
            <w:tcW w:w="1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4E44" w14:textId="77777777" w:rsidR="006E7021" w:rsidRPr="006A2898" w:rsidRDefault="006E70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4712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op til 30 mg/ml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3223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5630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4</w:t>
            </w:r>
          </w:p>
        </w:tc>
      </w:tr>
      <w:tr w:rsidR="006E7021" w:rsidRPr="006A2898" w14:paraId="02147F45" w14:textId="77777777" w:rsidTr="009C65F8">
        <w:trPr>
          <w:trHeight w:val="261"/>
          <w:tblHeader/>
        </w:trPr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E397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proofErr w:type="spellStart"/>
            <w:r w:rsidRPr="006A2898">
              <w:rPr>
                <w:sz w:val="24"/>
                <w:szCs w:val="24"/>
              </w:rPr>
              <w:t>glucoseopløsning</w:t>
            </w:r>
            <w:proofErr w:type="spellEnd"/>
            <w:r w:rsidRPr="006A2898">
              <w:rPr>
                <w:sz w:val="24"/>
                <w:szCs w:val="24"/>
              </w:rPr>
              <w:t xml:space="preserve"> 50 mg/ml </w:t>
            </w:r>
          </w:p>
          <w:p w14:paraId="3A70F764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 xml:space="preserve">(5 %) i NaCl 4,5 mg/ml (0,45%) 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8196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op til 3 mg/ml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0B32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3D61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</w:p>
        </w:tc>
      </w:tr>
      <w:tr w:rsidR="006E7021" w:rsidRPr="006A2898" w14:paraId="0CFA9EF5" w14:textId="77777777" w:rsidTr="009C65F8">
        <w:trPr>
          <w:trHeight w:val="279"/>
          <w:tblHeader/>
        </w:trPr>
        <w:tc>
          <w:tcPr>
            <w:tcW w:w="1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230D" w14:textId="77777777" w:rsidR="006E7021" w:rsidRPr="006A2898" w:rsidRDefault="006E70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9146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op til 15 mg/ml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1C53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533A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4</w:t>
            </w:r>
          </w:p>
        </w:tc>
      </w:tr>
      <w:tr w:rsidR="006E7021" w:rsidRPr="006A2898" w14:paraId="1766D0ED" w14:textId="77777777" w:rsidTr="009C65F8">
        <w:trPr>
          <w:trHeight w:val="255"/>
          <w:tblHeader/>
        </w:trPr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CA0A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 xml:space="preserve">invertsukker 100 mg/ml </w:t>
            </w:r>
          </w:p>
          <w:p w14:paraId="6A439B7A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(10 %) i vand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79DA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op til 3 mg/ml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7491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4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A663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</w:p>
        </w:tc>
      </w:tr>
      <w:tr w:rsidR="006E7021" w:rsidRPr="006A2898" w14:paraId="12D5A7C3" w14:textId="77777777" w:rsidTr="009C65F8">
        <w:trPr>
          <w:trHeight w:val="255"/>
          <w:tblHeader/>
        </w:trPr>
        <w:tc>
          <w:tcPr>
            <w:tcW w:w="1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C6F9" w14:textId="77777777" w:rsidR="006E7021" w:rsidRPr="006A2898" w:rsidRDefault="006E702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251D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op til 30 mg/ml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772A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77DA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3</w:t>
            </w:r>
          </w:p>
        </w:tc>
      </w:tr>
      <w:tr w:rsidR="006E7021" w:rsidRPr="006A2898" w14:paraId="73F6ABA6" w14:textId="77777777" w:rsidTr="009C65F8">
        <w:trPr>
          <w:tblHeader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94D8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Ringer laktat opløsning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F45D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op til 45 mg/ml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8215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8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217D" w14:textId="77777777" w:rsidR="006E7021" w:rsidRPr="006A2898" w:rsidRDefault="006E7021">
            <w:pPr>
              <w:keepNext/>
              <w:rPr>
                <w:sz w:val="24"/>
                <w:szCs w:val="24"/>
              </w:rPr>
            </w:pPr>
            <w:r w:rsidRPr="006A2898">
              <w:rPr>
                <w:sz w:val="24"/>
                <w:szCs w:val="24"/>
              </w:rPr>
              <w:t>24</w:t>
            </w:r>
          </w:p>
        </w:tc>
      </w:tr>
    </w:tbl>
    <w:p w14:paraId="5923E73B" w14:textId="77777777" w:rsidR="006E7021" w:rsidRPr="0083270E" w:rsidRDefault="006E7021" w:rsidP="0083270E">
      <w:pPr>
        <w:ind w:left="851"/>
        <w:rPr>
          <w:rFonts w:eastAsia="Calibri"/>
          <w:sz w:val="24"/>
          <w:szCs w:val="24"/>
        </w:rPr>
      </w:pPr>
    </w:p>
    <w:p w14:paraId="516A99E0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Ud fra et mikrobiologisk synspunkt skal lægemidlet anvendes straks, medmindre metoden for åbning/</w:t>
      </w:r>
      <w:proofErr w:type="spellStart"/>
      <w:r w:rsidRPr="006A2898">
        <w:rPr>
          <w:sz w:val="24"/>
          <w:szCs w:val="24"/>
        </w:rPr>
        <w:t>rekonstitution</w:t>
      </w:r>
      <w:proofErr w:type="spellEnd"/>
      <w:r w:rsidRPr="006A2898">
        <w:rPr>
          <w:sz w:val="24"/>
          <w:szCs w:val="24"/>
        </w:rPr>
        <w:t xml:space="preserve">/fortynding udelukker risiko for mikrobiel forurening. Hvis lægemidlet ikke anvendes straks, er </w:t>
      </w:r>
      <w:r w:rsidRPr="006A2898">
        <w:rPr>
          <w:iCs/>
          <w:sz w:val="24"/>
          <w:szCs w:val="24"/>
        </w:rPr>
        <w:t xml:space="preserve">opbevaringstider og -betingelser på brugerens eget ansvar. </w:t>
      </w:r>
    </w:p>
    <w:p w14:paraId="3EEE4124" w14:textId="77777777" w:rsidR="009260DE" w:rsidRPr="006A2898" w:rsidRDefault="009260DE" w:rsidP="009C65F8">
      <w:pPr>
        <w:ind w:left="851"/>
        <w:rPr>
          <w:sz w:val="24"/>
          <w:szCs w:val="24"/>
        </w:rPr>
      </w:pPr>
    </w:p>
    <w:p w14:paraId="5545CDC1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6.4</w:t>
      </w:r>
      <w:r w:rsidRPr="006A2898">
        <w:rPr>
          <w:b/>
          <w:sz w:val="24"/>
          <w:szCs w:val="24"/>
        </w:rPr>
        <w:tab/>
        <w:t>Særlige opbevaringsforhold</w:t>
      </w:r>
    </w:p>
    <w:p w14:paraId="1CE9773B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Dette lægemiddel kræver ingen særlige forholdsregler vedrørende opbevaringen.</w:t>
      </w:r>
    </w:p>
    <w:p w14:paraId="438FC89B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Opbevaringsforhold efter </w:t>
      </w:r>
      <w:proofErr w:type="spellStart"/>
      <w:r w:rsidRPr="006A2898">
        <w:rPr>
          <w:sz w:val="24"/>
          <w:szCs w:val="24"/>
        </w:rPr>
        <w:t>rekonstitution</w:t>
      </w:r>
      <w:proofErr w:type="spellEnd"/>
      <w:r w:rsidRPr="006A2898">
        <w:rPr>
          <w:sz w:val="24"/>
          <w:szCs w:val="24"/>
        </w:rPr>
        <w:t>/fortynding af lægemidlet, se pkt. 6.3.</w:t>
      </w:r>
    </w:p>
    <w:p w14:paraId="1E638A0D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B3E8DD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6.5</w:t>
      </w:r>
      <w:r w:rsidRPr="006A2898">
        <w:rPr>
          <w:b/>
          <w:sz w:val="24"/>
          <w:szCs w:val="24"/>
        </w:rPr>
        <w:tab/>
        <w:t>Emballagetype og pakningsstørrelser</w:t>
      </w:r>
    </w:p>
    <w:p w14:paraId="0C1E5E1F" w14:textId="417D8DC0" w:rsidR="006E7021" w:rsidRPr="006A2898" w:rsidRDefault="006A2898" w:rsidP="009C65F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Ampicillin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Sulbactam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Aptapharma</w:t>
      </w:r>
      <w:proofErr w:type="spellEnd"/>
      <w:r>
        <w:rPr>
          <w:sz w:val="24"/>
          <w:szCs w:val="24"/>
        </w:rPr>
        <w:t>"</w:t>
      </w:r>
      <w:r w:rsidR="006E7021" w:rsidRPr="006A2898">
        <w:rPr>
          <w:sz w:val="24"/>
          <w:szCs w:val="24"/>
        </w:rPr>
        <w:t xml:space="preserve"> 1 g/0,5 g: Klar farveløs hætteglas type I med en kapacitet på 20 ml forseglet med type I </w:t>
      </w:r>
      <w:proofErr w:type="spellStart"/>
      <w:r w:rsidR="006E7021" w:rsidRPr="006A2898">
        <w:rPr>
          <w:sz w:val="24"/>
          <w:szCs w:val="24"/>
        </w:rPr>
        <w:t>brombutylgummiprop</w:t>
      </w:r>
      <w:proofErr w:type="spellEnd"/>
      <w:r w:rsidR="006E7021" w:rsidRPr="006A2898">
        <w:rPr>
          <w:sz w:val="24"/>
          <w:szCs w:val="24"/>
        </w:rPr>
        <w:t xml:space="preserve"> med en diameter på 20 mm samt blå aluminiums flip-</w:t>
      </w:r>
      <w:proofErr w:type="spellStart"/>
      <w:r w:rsidR="006E7021" w:rsidRPr="006A2898">
        <w:rPr>
          <w:sz w:val="24"/>
          <w:szCs w:val="24"/>
        </w:rPr>
        <w:t>off</w:t>
      </w:r>
      <w:proofErr w:type="spellEnd"/>
      <w:r w:rsidR="006E7021" w:rsidRPr="006A2898">
        <w:rPr>
          <w:sz w:val="24"/>
          <w:szCs w:val="24"/>
        </w:rPr>
        <w:t xml:space="preserve"> hætte.</w:t>
      </w:r>
    </w:p>
    <w:p w14:paraId="040D7959" w14:textId="77777777" w:rsidR="006E7021" w:rsidRPr="006A2898" w:rsidRDefault="006E7021" w:rsidP="009C65F8">
      <w:pPr>
        <w:ind w:left="851"/>
        <w:rPr>
          <w:rFonts w:eastAsia="SimSun"/>
          <w:sz w:val="24"/>
          <w:szCs w:val="24"/>
        </w:rPr>
      </w:pPr>
    </w:p>
    <w:p w14:paraId="13F4F3A5" w14:textId="7757E136" w:rsidR="006E7021" w:rsidRPr="006A2898" w:rsidRDefault="006A2898" w:rsidP="009C65F8">
      <w:pPr>
        <w:ind w:left="851"/>
        <w:rPr>
          <w:rFonts w:eastAsia="SimSun"/>
          <w:sz w:val="24"/>
          <w:szCs w:val="24"/>
        </w:rPr>
      </w:pPr>
      <w:proofErr w:type="spellStart"/>
      <w:r>
        <w:rPr>
          <w:sz w:val="24"/>
          <w:szCs w:val="24"/>
        </w:rPr>
        <w:t>Ampicillin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Sulbactam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Aptapharma</w:t>
      </w:r>
      <w:proofErr w:type="spellEnd"/>
      <w:r>
        <w:rPr>
          <w:sz w:val="24"/>
          <w:szCs w:val="24"/>
        </w:rPr>
        <w:t>"</w:t>
      </w:r>
      <w:r w:rsidR="006E7021" w:rsidRPr="006A2898">
        <w:rPr>
          <w:sz w:val="24"/>
          <w:szCs w:val="24"/>
        </w:rPr>
        <w:t xml:space="preserve"> 2 g/1 g: Klar farveløs hætteglas type I med en kapacitet på 20 ml forseglet med type I </w:t>
      </w:r>
      <w:proofErr w:type="spellStart"/>
      <w:r w:rsidR="006E7021" w:rsidRPr="006A2898">
        <w:rPr>
          <w:sz w:val="24"/>
          <w:szCs w:val="24"/>
        </w:rPr>
        <w:t>brombutylgummiprop</w:t>
      </w:r>
      <w:proofErr w:type="spellEnd"/>
      <w:r w:rsidR="006E7021" w:rsidRPr="006A2898">
        <w:rPr>
          <w:sz w:val="24"/>
          <w:szCs w:val="24"/>
        </w:rPr>
        <w:t xml:space="preserve"> med en diameter på 20 mm samt orange aluminiums flip-</w:t>
      </w:r>
      <w:proofErr w:type="spellStart"/>
      <w:r w:rsidR="006E7021" w:rsidRPr="006A2898">
        <w:rPr>
          <w:sz w:val="24"/>
          <w:szCs w:val="24"/>
        </w:rPr>
        <w:t>off</w:t>
      </w:r>
      <w:proofErr w:type="spellEnd"/>
      <w:r w:rsidR="006E7021" w:rsidRPr="006A2898">
        <w:rPr>
          <w:sz w:val="24"/>
          <w:szCs w:val="24"/>
        </w:rPr>
        <w:t xml:space="preserve"> hætte.</w:t>
      </w:r>
    </w:p>
    <w:p w14:paraId="3733D024" w14:textId="77777777" w:rsidR="006E7021" w:rsidRPr="006A2898" w:rsidRDefault="006E7021" w:rsidP="009C65F8">
      <w:pPr>
        <w:ind w:left="851"/>
        <w:rPr>
          <w:rFonts w:eastAsia="Calibri"/>
          <w:sz w:val="24"/>
          <w:szCs w:val="24"/>
        </w:rPr>
      </w:pPr>
    </w:p>
    <w:p w14:paraId="59C4CEB1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Leveres i pakninger med 10 hætteglas. </w:t>
      </w:r>
    </w:p>
    <w:p w14:paraId="4DC3BC65" w14:textId="77777777" w:rsidR="009260DE" w:rsidRPr="006A2898" w:rsidRDefault="009260DE" w:rsidP="009C65F8">
      <w:pPr>
        <w:ind w:left="851"/>
        <w:rPr>
          <w:sz w:val="24"/>
          <w:szCs w:val="24"/>
        </w:rPr>
      </w:pPr>
    </w:p>
    <w:p w14:paraId="691F54D1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6.6</w:t>
      </w:r>
      <w:r w:rsidRPr="006A2898">
        <w:rPr>
          <w:b/>
          <w:sz w:val="24"/>
          <w:szCs w:val="24"/>
        </w:rPr>
        <w:tab/>
        <w:t xml:space="preserve">Regler for </w:t>
      </w:r>
      <w:r w:rsidR="00BD7931" w:rsidRPr="006A2898">
        <w:rPr>
          <w:b/>
          <w:sz w:val="24"/>
          <w:szCs w:val="24"/>
        </w:rPr>
        <w:t>bortskaffelse</w:t>
      </w:r>
      <w:r w:rsidRPr="006A2898">
        <w:rPr>
          <w:b/>
          <w:sz w:val="24"/>
          <w:szCs w:val="24"/>
        </w:rPr>
        <w:t xml:space="preserve"> og anden håndtering</w:t>
      </w:r>
    </w:p>
    <w:p w14:paraId="6D98329E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 xml:space="preserve">Anvend kun en klar eller opaliserende opløsning uden partikler, efter </w:t>
      </w:r>
      <w:proofErr w:type="spellStart"/>
      <w:r w:rsidRPr="006A2898">
        <w:rPr>
          <w:sz w:val="24"/>
          <w:szCs w:val="24"/>
        </w:rPr>
        <w:t>rekonstitution</w:t>
      </w:r>
      <w:proofErr w:type="spellEnd"/>
      <w:r w:rsidRPr="006A2898">
        <w:rPr>
          <w:sz w:val="24"/>
          <w:szCs w:val="24"/>
        </w:rPr>
        <w:t>.</w:t>
      </w:r>
    </w:p>
    <w:p w14:paraId="02DABAFB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Kun beregnet til engangsbrug.</w:t>
      </w:r>
    </w:p>
    <w:p w14:paraId="1C43F219" w14:textId="7DE95831" w:rsidR="006E7021" w:rsidRPr="006A2898" w:rsidRDefault="006E7021" w:rsidP="009C65F8">
      <w:pPr>
        <w:ind w:left="851"/>
        <w:rPr>
          <w:sz w:val="24"/>
          <w:szCs w:val="24"/>
        </w:rPr>
      </w:pPr>
    </w:p>
    <w:p w14:paraId="75AB646D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lastRenderedPageBreak/>
        <w:t xml:space="preserve">Følgende fortyndingsvolumener kan anvendes til </w:t>
      </w:r>
      <w:proofErr w:type="spellStart"/>
      <w:r w:rsidRPr="006A2898">
        <w:rPr>
          <w:sz w:val="24"/>
          <w:szCs w:val="24"/>
        </w:rPr>
        <w:t>rekonstitution</w:t>
      </w:r>
      <w:proofErr w:type="spellEnd"/>
      <w:r w:rsidRPr="006A2898">
        <w:rPr>
          <w:sz w:val="24"/>
          <w:szCs w:val="24"/>
        </w:rPr>
        <w:t xml:space="preserve"> af intramuskulær administration, til intravenøs </w:t>
      </w:r>
      <w:proofErr w:type="spellStart"/>
      <w:r w:rsidRPr="006A2898">
        <w:rPr>
          <w:sz w:val="24"/>
          <w:szCs w:val="24"/>
        </w:rPr>
        <w:t>bolusadministration</w:t>
      </w:r>
      <w:proofErr w:type="spellEnd"/>
      <w:r w:rsidRPr="006A2898">
        <w:rPr>
          <w:sz w:val="24"/>
          <w:szCs w:val="24"/>
        </w:rPr>
        <w:t xml:space="preserve"> eller til intravenøs administration efter yderligere fortynding:</w:t>
      </w:r>
    </w:p>
    <w:p w14:paraId="4B38950B" w14:textId="77777777" w:rsidR="006E7021" w:rsidRPr="006A2898" w:rsidRDefault="006E7021" w:rsidP="006E7021">
      <w:pPr>
        <w:pStyle w:val="Brdtekst"/>
        <w:widowControl/>
        <w:ind w:left="567"/>
        <w:rPr>
          <w:sz w:val="24"/>
          <w:szCs w:val="24"/>
          <w:lang w:val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2397"/>
        <w:gridCol w:w="1123"/>
        <w:gridCol w:w="1284"/>
        <w:gridCol w:w="1444"/>
        <w:gridCol w:w="2567"/>
      </w:tblGrid>
      <w:tr w:rsidR="006E7021" w:rsidRPr="0083270E" w14:paraId="39EED12B" w14:textId="77777777" w:rsidTr="009C65F8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B31E" w14:textId="77777777" w:rsidR="006E7021" w:rsidRPr="0083270E" w:rsidRDefault="006E7021">
            <w:pPr>
              <w:rPr>
                <w:b/>
                <w:bCs/>
                <w:sz w:val="22"/>
                <w:szCs w:val="22"/>
              </w:rPr>
            </w:pPr>
            <w:r w:rsidRPr="0083270E">
              <w:rPr>
                <w:b/>
                <w:bCs/>
                <w:sz w:val="22"/>
                <w:szCs w:val="22"/>
              </w:rPr>
              <w:t>Samlet dosis</w:t>
            </w:r>
          </w:p>
          <w:p w14:paraId="197663DC" w14:textId="77777777" w:rsidR="006E7021" w:rsidRPr="0083270E" w:rsidRDefault="006E7021">
            <w:pPr>
              <w:rPr>
                <w:b/>
                <w:bCs/>
                <w:sz w:val="22"/>
                <w:szCs w:val="22"/>
              </w:rPr>
            </w:pPr>
            <w:r w:rsidRPr="0083270E">
              <w:rPr>
                <w:b/>
                <w:bCs/>
                <w:sz w:val="22"/>
                <w:szCs w:val="22"/>
              </w:rPr>
              <w:t>(g)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C037" w14:textId="77777777" w:rsidR="006E7021" w:rsidRPr="0083270E" w:rsidRDefault="006E7021">
            <w:pPr>
              <w:rPr>
                <w:b/>
                <w:bCs/>
                <w:sz w:val="22"/>
                <w:szCs w:val="22"/>
                <w:lang w:val="fr-FR"/>
              </w:rPr>
            </w:pPr>
            <w:r w:rsidRPr="0083270E">
              <w:rPr>
                <w:b/>
                <w:bCs/>
                <w:sz w:val="22"/>
                <w:szCs w:val="22"/>
                <w:lang w:val="fr-FR"/>
              </w:rPr>
              <w:t xml:space="preserve">Ækvivalent dosis sulbactam/ampicillin </w:t>
            </w:r>
          </w:p>
          <w:p w14:paraId="08980142" w14:textId="77777777" w:rsidR="006E7021" w:rsidRPr="0083270E" w:rsidRDefault="006E7021">
            <w:pPr>
              <w:rPr>
                <w:b/>
                <w:bCs/>
                <w:sz w:val="22"/>
                <w:szCs w:val="22"/>
                <w:lang w:val="fr-FR"/>
              </w:rPr>
            </w:pPr>
            <w:r w:rsidRPr="0083270E">
              <w:rPr>
                <w:b/>
                <w:bCs/>
                <w:sz w:val="22"/>
                <w:szCs w:val="22"/>
                <w:lang w:val="fr-FR"/>
              </w:rPr>
              <w:t xml:space="preserve"> (g)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FD72" w14:textId="77777777" w:rsidR="006E7021" w:rsidRPr="0083270E" w:rsidRDefault="006E7021">
            <w:pPr>
              <w:rPr>
                <w:b/>
                <w:bCs/>
                <w:sz w:val="22"/>
                <w:szCs w:val="22"/>
              </w:rPr>
            </w:pPr>
            <w:r w:rsidRPr="0083270E">
              <w:rPr>
                <w:b/>
                <w:bCs/>
                <w:sz w:val="22"/>
                <w:szCs w:val="22"/>
              </w:rPr>
              <w:t>Hætte-glassets størrelse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C84C" w14:textId="77777777" w:rsidR="006E7021" w:rsidRPr="0083270E" w:rsidRDefault="006E7021">
            <w:pPr>
              <w:rPr>
                <w:b/>
                <w:bCs/>
                <w:sz w:val="22"/>
                <w:szCs w:val="22"/>
              </w:rPr>
            </w:pPr>
            <w:r w:rsidRPr="0083270E">
              <w:rPr>
                <w:b/>
                <w:bCs/>
                <w:sz w:val="22"/>
                <w:szCs w:val="22"/>
              </w:rPr>
              <w:t>Solvens-volumen</w:t>
            </w:r>
          </w:p>
          <w:p w14:paraId="7BAFC2D4" w14:textId="77777777" w:rsidR="006E7021" w:rsidRPr="0083270E" w:rsidRDefault="006E7021">
            <w:pPr>
              <w:rPr>
                <w:b/>
                <w:bCs/>
                <w:sz w:val="22"/>
                <w:szCs w:val="22"/>
              </w:rPr>
            </w:pPr>
            <w:r w:rsidRPr="0083270E">
              <w:rPr>
                <w:b/>
                <w:bCs/>
                <w:sz w:val="22"/>
                <w:szCs w:val="22"/>
              </w:rPr>
              <w:t>(ml)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3A33" w14:textId="77777777" w:rsidR="006E7021" w:rsidRPr="0083270E" w:rsidRDefault="006E7021">
            <w:pPr>
              <w:rPr>
                <w:b/>
                <w:bCs/>
                <w:sz w:val="22"/>
                <w:szCs w:val="22"/>
              </w:rPr>
            </w:pPr>
            <w:r w:rsidRPr="0083270E">
              <w:rPr>
                <w:b/>
                <w:bCs/>
                <w:sz w:val="22"/>
                <w:szCs w:val="22"/>
              </w:rPr>
              <w:t>Udtagnings-volumen * (ml)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81AE" w14:textId="77777777" w:rsidR="006E7021" w:rsidRPr="0083270E" w:rsidRDefault="006E7021">
            <w:pPr>
              <w:rPr>
                <w:b/>
                <w:bCs/>
                <w:sz w:val="22"/>
                <w:szCs w:val="22"/>
              </w:rPr>
            </w:pPr>
            <w:r w:rsidRPr="0083270E">
              <w:rPr>
                <w:b/>
                <w:bCs/>
                <w:sz w:val="22"/>
                <w:szCs w:val="22"/>
              </w:rPr>
              <w:t xml:space="preserve">Maksimal </w:t>
            </w:r>
            <w:proofErr w:type="spellStart"/>
            <w:r w:rsidRPr="0083270E">
              <w:rPr>
                <w:b/>
                <w:bCs/>
                <w:sz w:val="22"/>
                <w:szCs w:val="22"/>
              </w:rPr>
              <w:t>sulbactam</w:t>
            </w:r>
            <w:proofErr w:type="spellEnd"/>
            <w:r w:rsidRPr="0083270E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3270E">
              <w:rPr>
                <w:b/>
                <w:bCs/>
                <w:sz w:val="22"/>
                <w:szCs w:val="22"/>
              </w:rPr>
              <w:t>ampicillin</w:t>
            </w:r>
            <w:proofErr w:type="spellEnd"/>
            <w:r w:rsidRPr="0083270E">
              <w:rPr>
                <w:b/>
                <w:bCs/>
                <w:sz w:val="22"/>
                <w:szCs w:val="22"/>
              </w:rPr>
              <w:t xml:space="preserve"> slutkoncentration (mg/ml)</w:t>
            </w:r>
          </w:p>
        </w:tc>
      </w:tr>
      <w:tr w:rsidR="006E7021" w:rsidRPr="0083270E" w14:paraId="4134CF0A" w14:textId="77777777" w:rsidTr="009C65F8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3A1C" w14:textId="77777777" w:rsidR="006E7021" w:rsidRPr="0083270E" w:rsidRDefault="006E7021">
            <w:pPr>
              <w:rPr>
                <w:sz w:val="22"/>
                <w:szCs w:val="22"/>
              </w:rPr>
            </w:pPr>
            <w:r w:rsidRPr="0083270E">
              <w:rPr>
                <w:sz w:val="22"/>
                <w:szCs w:val="22"/>
              </w:rPr>
              <w:t>1,5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15B3" w14:textId="77777777" w:rsidR="006E7021" w:rsidRPr="0083270E" w:rsidRDefault="006E7021">
            <w:pPr>
              <w:rPr>
                <w:sz w:val="22"/>
                <w:szCs w:val="22"/>
              </w:rPr>
            </w:pPr>
            <w:r w:rsidRPr="0083270E">
              <w:rPr>
                <w:sz w:val="22"/>
                <w:szCs w:val="22"/>
              </w:rPr>
              <w:t>0,5/1,0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191D" w14:textId="77777777" w:rsidR="006E7021" w:rsidRPr="0083270E" w:rsidRDefault="006E7021">
            <w:pPr>
              <w:rPr>
                <w:sz w:val="22"/>
                <w:szCs w:val="22"/>
              </w:rPr>
            </w:pPr>
            <w:r w:rsidRPr="0083270E">
              <w:rPr>
                <w:sz w:val="22"/>
                <w:szCs w:val="22"/>
              </w:rPr>
              <w:t>20 ml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6A5D" w14:textId="77777777" w:rsidR="006E7021" w:rsidRPr="0083270E" w:rsidRDefault="006E7021">
            <w:pPr>
              <w:rPr>
                <w:sz w:val="22"/>
                <w:szCs w:val="22"/>
              </w:rPr>
            </w:pPr>
            <w:r w:rsidRPr="0083270E">
              <w:rPr>
                <w:sz w:val="22"/>
                <w:szCs w:val="22"/>
              </w:rPr>
              <w:t>3,2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6326" w14:textId="77777777" w:rsidR="006E7021" w:rsidRPr="0083270E" w:rsidRDefault="006E7021">
            <w:pPr>
              <w:rPr>
                <w:sz w:val="22"/>
                <w:szCs w:val="22"/>
              </w:rPr>
            </w:pPr>
            <w:r w:rsidRPr="0083270E">
              <w:rPr>
                <w:sz w:val="22"/>
                <w:szCs w:val="22"/>
              </w:rPr>
              <w:t>4,0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A243" w14:textId="77777777" w:rsidR="006E7021" w:rsidRPr="0083270E" w:rsidRDefault="006E7021">
            <w:pPr>
              <w:rPr>
                <w:sz w:val="22"/>
                <w:szCs w:val="22"/>
              </w:rPr>
            </w:pPr>
            <w:r w:rsidRPr="0083270E">
              <w:rPr>
                <w:sz w:val="22"/>
                <w:szCs w:val="22"/>
              </w:rPr>
              <w:t>125/250</w:t>
            </w:r>
          </w:p>
        </w:tc>
      </w:tr>
      <w:tr w:rsidR="006E7021" w:rsidRPr="0083270E" w14:paraId="67BAF4E0" w14:textId="77777777" w:rsidTr="009C65F8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7F49" w14:textId="77777777" w:rsidR="006E7021" w:rsidRPr="0083270E" w:rsidRDefault="006E7021">
            <w:pPr>
              <w:rPr>
                <w:sz w:val="22"/>
                <w:szCs w:val="22"/>
              </w:rPr>
            </w:pPr>
            <w:r w:rsidRPr="0083270E">
              <w:rPr>
                <w:sz w:val="22"/>
                <w:szCs w:val="22"/>
              </w:rPr>
              <w:t>3,0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E664" w14:textId="77777777" w:rsidR="006E7021" w:rsidRPr="0083270E" w:rsidRDefault="006E7021">
            <w:pPr>
              <w:rPr>
                <w:sz w:val="22"/>
                <w:szCs w:val="22"/>
              </w:rPr>
            </w:pPr>
            <w:r w:rsidRPr="0083270E">
              <w:rPr>
                <w:sz w:val="22"/>
                <w:szCs w:val="22"/>
              </w:rPr>
              <w:t>1,0/2,0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6020" w14:textId="77777777" w:rsidR="006E7021" w:rsidRPr="0083270E" w:rsidRDefault="006E7021">
            <w:pPr>
              <w:rPr>
                <w:sz w:val="22"/>
                <w:szCs w:val="22"/>
              </w:rPr>
            </w:pPr>
            <w:r w:rsidRPr="0083270E">
              <w:rPr>
                <w:sz w:val="22"/>
                <w:szCs w:val="22"/>
              </w:rPr>
              <w:t>20 ml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5E48" w14:textId="77777777" w:rsidR="006E7021" w:rsidRPr="0083270E" w:rsidRDefault="006E7021">
            <w:pPr>
              <w:rPr>
                <w:sz w:val="22"/>
                <w:szCs w:val="22"/>
              </w:rPr>
            </w:pPr>
            <w:r w:rsidRPr="0083270E">
              <w:rPr>
                <w:sz w:val="22"/>
                <w:szCs w:val="22"/>
              </w:rPr>
              <w:t>6,4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9B8B" w14:textId="77777777" w:rsidR="006E7021" w:rsidRPr="0083270E" w:rsidRDefault="006E7021">
            <w:pPr>
              <w:rPr>
                <w:sz w:val="22"/>
                <w:szCs w:val="22"/>
              </w:rPr>
            </w:pPr>
            <w:r w:rsidRPr="0083270E">
              <w:rPr>
                <w:sz w:val="22"/>
                <w:szCs w:val="22"/>
              </w:rPr>
              <w:t>8,0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DD7F" w14:textId="77777777" w:rsidR="006E7021" w:rsidRPr="0083270E" w:rsidRDefault="006E7021">
            <w:pPr>
              <w:rPr>
                <w:sz w:val="22"/>
                <w:szCs w:val="22"/>
              </w:rPr>
            </w:pPr>
            <w:r w:rsidRPr="0083270E">
              <w:rPr>
                <w:sz w:val="22"/>
                <w:szCs w:val="22"/>
              </w:rPr>
              <w:t>125/250</w:t>
            </w:r>
          </w:p>
        </w:tc>
      </w:tr>
    </w:tbl>
    <w:p w14:paraId="0A5127DE" w14:textId="77777777" w:rsidR="006E7021" w:rsidRPr="006A2898" w:rsidRDefault="006E7021" w:rsidP="009C65F8">
      <w:pPr>
        <w:pStyle w:val="Brdtekst"/>
        <w:widowControl/>
        <w:ind w:left="0"/>
        <w:rPr>
          <w:sz w:val="24"/>
          <w:szCs w:val="24"/>
          <w:lang w:val="da-DK"/>
        </w:rPr>
      </w:pPr>
      <w:r w:rsidRPr="006A2898">
        <w:rPr>
          <w:sz w:val="24"/>
          <w:szCs w:val="24"/>
          <w:lang w:val="da-DK"/>
        </w:rPr>
        <w:t>* Der er tilstrækkeligt overskydende plads til tilbagetrækning og injektion af de angivne mængder.</w:t>
      </w:r>
    </w:p>
    <w:p w14:paraId="6673381A" w14:textId="77777777" w:rsidR="006E7021" w:rsidRPr="006A2898" w:rsidRDefault="006E7021" w:rsidP="0083270E">
      <w:pPr>
        <w:pStyle w:val="Brdtekst"/>
        <w:widowControl/>
        <w:ind w:left="851"/>
        <w:rPr>
          <w:sz w:val="24"/>
          <w:szCs w:val="24"/>
          <w:lang w:val="da-DK"/>
        </w:rPr>
      </w:pPr>
    </w:p>
    <w:p w14:paraId="6D3C3015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Se også pkt. 4.2 og 6.3 for kompatible solventer.</w:t>
      </w:r>
    </w:p>
    <w:p w14:paraId="390D9263" w14:textId="77777777" w:rsidR="006E7021" w:rsidRPr="006A2898" w:rsidRDefault="006E7021" w:rsidP="009C65F8">
      <w:pPr>
        <w:ind w:left="851"/>
        <w:rPr>
          <w:sz w:val="24"/>
          <w:szCs w:val="24"/>
        </w:rPr>
      </w:pPr>
    </w:p>
    <w:p w14:paraId="58B5A413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Se pkt. 6.2 for uforligeligheder.</w:t>
      </w:r>
      <w:bookmarkStart w:id="3" w:name="_Hlk53578589"/>
    </w:p>
    <w:bookmarkEnd w:id="3"/>
    <w:p w14:paraId="4B644B03" w14:textId="77777777" w:rsidR="006E7021" w:rsidRPr="006A2898" w:rsidRDefault="006E7021" w:rsidP="009C65F8">
      <w:pPr>
        <w:ind w:left="851"/>
        <w:rPr>
          <w:sz w:val="24"/>
          <w:szCs w:val="24"/>
        </w:rPr>
      </w:pPr>
    </w:p>
    <w:p w14:paraId="619E9152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Ikke anvendt lægemiddel samt affald heraf skal bortskaffes i henhold til lokale retningslinjer.</w:t>
      </w:r>
    </w:p>
    <w:p w14:paraId="6284BDB9" w14:textId="77777777" w:rsidR="009260DE" w:rsidRPr="006A2898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196F4796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7.</w:t>
      </w:r>
      <w:r w:rsidRPr="006A2898">
        <w:rPr>
          <w:b/>
          <w:sz w:val="24"/>
          <w:szCs w:val="24"/>
        </w:rPr>
        <w:tab/>
        <w:t>INDEHAVER AF MARKEDSFØRINGSTILLADELSEN</w:t>
      </w:r>
    </w:p>
    <w:p w14:paraId="231C1F7C" w14:textId="77777777" w:rsidR="006E7021" w:rsidRPr="006A2898" w:rsidRDefault="006E7021" w:rsidP="009C65F8">
      <w:pPr>
        <w:ind w:left="851"/>
        <w:rPr>
          <w:sz w:val="24"/>
          <w:szCs w:val="24"/>
        </w:rPr>
      </w:pPr>
      <w:proofErr w:type="spellStart"/>
      <w:r w:rsidRPr="006A2898">
        <w:rPr>
          <w:sz w:val="24"/>
          <w:szCs w:val="24"/>
        </w:rPr>
        <w:t>Apta</w:t>
      </w:r>
      <w:proofErr w:type="spellEnd"/>
      <w:r w:rsidRPr="006A2898">
        <w:rPr>
          <w:sz w:val="24"/>
          <w:szCs w:val="24"/>
        </w:rPr>
        <w:t xml:space="preserve"> </w:t>
      </w:r>
      <w:proofErr w:type="spellStart"/>
      <w:r w:rsidRPr="006A2898">
        <w:rPr>
          <w:sz w:val="24"/>
          <w:szCs w:val="24"/>
        </w:rPr>
        <w:t>Medica</w:t>
      </w:r>
      <w:proofErr w:type="spellEnd"/>
      <w:r w:rsidRPr="006A2898">
        <w:rPr>
          <w:sz w:val="24"/>
          <w:szCs w:val="24"/>
        </w:rPr>
        <w:t xml:space="preserve"> </w:t>
      </w:r>
      <w:proofErr w:type="spellStart"/>
      <w:r w:rsidRPr="006A2898">
        <w:rPr>
          <w:sz w:val="24"/>
          <w:szCs w:val="24"/>
        </w:rPr>
        <w:t>Internacional</w:t>
      </w:r>
      <w:proofErr w:type="spellEnd"/>
      <w:r w:rsidRPr="006A2898">
        <w:rPr>
          <w:sz w:val="24"/>
          <w:szCs w:val="24"/>
        </w:rPr>
        <w:t xml:space="preserve"> </w:t>
      </w:r>
      <w:proofErr w:type="spellStart"/>
      <w:r w:rsidRPr="006A2898">
        <w:rPr>
          <w:sz w:val="24"/>
          <w:szCs w:val="24"/>
        </w:rPr>
        <w:t>d.o.o</w:t>
      </w:r>
      <w:proofErr w:type="spellEnd"/>
      <w:r w:rsidRPr="006A2898">
        <w:rPr>
          <w:sz w:val="24"/>
          <w:szCs w:val="24"/>
        </w:rPr>
        <w:t>.</w:t>
      </w:r>
    </w:p>
    <w:p w14:paraId="08F0A560" w14:textId="77777777" w:rsidR="006E7021" w:rsidRPr="006A2898" w:rsidRDefault="006E7021" w:rsidP="009C65F8">
      <w:pPr>
        <w:ind w:left="851"/>
        <w:rPr>
          <w:sz w:val="24"/>
          <w:szCs w:val="24"/>
        </w:rPr>
      </w:pPr>
      <w:proofErr w:type="spellStart"/>
      <w:r w:rsidRPr="006A2898">
        <w:rPr>
          <w:sz w:val="24"/>
          <w:szCs w:val="24"/>
        </w:rPr>
        <w:t>Likozarjeva</w:t>
      </w:r>
      <w:proofErr w:type="spellEnd"/>
      <w:r w:rsidRPr="006A2898">
        <w:rPr>
          <w:sz w:val="24"/>
          <w:szCs w:val="24"/>
        </w:rPr>
        <w:t xml:space="preserve"> </w:t>
      </w:r>
      <w:proofErr w:type="spellStart"/>
      <w:r w:rsidRPr="006A2898">
        <w:rPr>
          <w:sz w:val="24"/>
          <w:szCs w:val="24"/>
        </w:rPr>
        <w:t>Ulica</w:t>
      </w:r>
      <w:proofErr w:type="spellEnd"/>
      <w:r w:rsidRPr="006A2898">
        <w:rPr>
          <w:sz w:val="24"/>
          <w:szCs w:val="24"/>
        </w:rPr>
        <w:t xml:space="preserve"> 6</w:t>
      </w:r>
    </w:p>
    <w:p w14:paraId="130518BD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1000 Ljubljana</w:t>
      </w:r>
    </w:p>
    <w:p w14:paraId="4592BB5D" w14:textId="77777777" w:rsidR="006E7021" w:rsidRPr="006A2898" w:rsidRDefault="006E7021" w:rsidP="009C65F8">
      <w:pPr>
        <w:ind w:left="851"/>
        <w:rPr>
          <w:sz w:val="24"/>
          <w:szCs w:val="24"/>
        </w:rPr>
      </w:pPr>
      <w:r w:rsidRPr="006A2898">
        <w:rPr>
          <w:sz w:val="24"/>
          <w:szCs w:val="24"/>
        </w:rPr>
        <w:t>Slovenien</w:t>
      </w:r>
    </w:p>
    <w:p w14:paraId="5D1A161D" w14:textId="234181C5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313D34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8.</w:t>
      </w:r>
      <w:r w:rsidRPr="006A2898">
        <w:rPr>
          <w:b/>
          <w:sz w:val="24"/>
          <w:szCs w:val="24"/>
        </w:rPr>
        <w:tab/>
        <w:t>MARKEDSFØRINGSTILLADELSESNUMMER (</w:t>
      </w:r>
      <w:r w:rsidR="00BF6243" w:rsidRPr="006A2898">
        <w:rPr>
          <w:b/>
          <w:sz w:val="24"/>
          <w:szCs w:val="24"/>
        </w:rPr>
        <w:t>-</w:t>
      </w:r>
      <w:r w:rsidRPr="006A2898">
        <w:rPr>
          <w:b/>
          <w:sz w:val="24"/>
          <w:szCs w:val="24"/>
        </w:rPr>
        <w:t>NUMRE)</w:t>
      </w:r>
    </w:p>
    <w:p w14:paraId="517FA9EA" w14:textId="1A8274E3" w:rsidR="006E7021" w:rsidRPr="006A2898" w:rsidRDefault="006E7021" w:rsidP="009C65F8">
      <w:pPr>
        <w:tabs>
          <w:tab w:val="left" w:pos="1843"/>
        </w:tabs>
        <w:ind w:left="851"/>
        <w:rPr>
          <w:sz w:val="24"/>
          <w:szCs w:val="24"/>
          <w:lang w:eastAsia="da-DK"/>
        </w:rPr>
      </w:pPr>
      <w:r w:rsidRPr="006A2898">
        <w:rPr>
          <w:sz w:val="24"/>
          <w:szCs w:val="24"/>
        </w:rPr>
        <w:t>1 g/0,5 g</w:t>
      </w:r>
      <w:r w:rsidR="009C65F8" w:rsidRPr="006A2898">
        <w:rPr>
          <w:sz w:val="24"/>
          <w:szCs w:val="24"/>
        </w:rPr>
        <w:t>:</w:t>
      </w:r>
      <w:r w:rsidRPr="006A2898">
        <w:rPr>
          <w:sz w:val="24"/>
          <w:szCs w:val="24"/>
        </w:rPr>
        <w:t xml:space="preserve"> </w:t>
      </w:r>
      <w:r w:rsidR="009C65F8" w:rsidRPr="006A2898">
        <w:rPr>
          <w:sz w:val="24"/>
          <w:szCs w:val="24"/>
        </w:rPr>
        <w:tab/>
      </w:r>
      <w:r w:rsidRPr="006A2898">
        <w:rPr>
          <w:sz w:val="24"/>
          <w:szCs w:val="24"/>
        </w:rPr>
        <w:t>70425</w:t>
      </w:r>
    </w:p>
    <w:p w14:paraId="29A6662D" w14:textId="17A66FBE" w:rsidR="006E7021" w:rsidRPr="006A2898" w:rsidRDefault="006E7021" w:rsidP="009C65F8">
      <w:pPr>
        <w:tabs>
          <w:tab w:val="left" w:pos="1843"/>
        </w:tabs>
        <w:ind w:left="851"/>
        <w:rPr>
          <w:sz w:val="24"/>
          <w:szCs w:val="24"/>
        </w:rPr>
      </w:pPr>
      <w:r w:rsidRPr="006A2898">
        <w:rPr>
          <w:sz w:val="24"/>
          <w:szCs w:val="24"/>
        </w:rPr>
        <w:t>2 g/1 g</w:t>
      </w:r>
      <w:r w:rsidR="009C65F8" w:rsidRPr="006A2898">
        <w:rPr>
          <w:sz w:val="24"/>
          <w:szCs w:val="24"/>
        </w:rPr>
        <w:t>:</w:t>
      </w:r>
      <w:r w:rsidRPr="006A2898">
        <w:rPr>
          <w:sz w:val="24"/>
          <w:szCs w:val="24"/>
        </w:rPr>
        <w:t xml:space="preserve"> </w:t>
      </w:r>
      <w:r w:rsidR="009C65F8" w:rsidRPr="006A2898">
        <w:rPr>
          <w:sz w:val="24"/>
          <w:szCs w:val="24"/>
        </w:rPr>
        <w:tab/>
      </w:r>
      <w:r w:rsidRPr="006A2898">
        <w:rPr>
          <w:sz w:val="24"/>
          <w:szCs w:val="24"/>
        </w:rPr>
        <w:t>70426</w:t>
      </w:r>
    </w:p>
    <w:p w14:paraId="43B7FBD7" w14:textId="77777777" w:rsidR="009260DE" w:rsidRPr="006A2898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0445400D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9.</w:t>
      </w:r>
      <w:r w:rsidRPr="006A2898">
        <w:rPr>
          <w:b/>
          <w:sz w:val="24"/>
          <w:szCs w:val="24"/>
        </w:rPr>
        <w:tab/>
        <w:t>DATO FOR FØRSTE MARKEDSFØRINGSTILLADELSE</w:t>
      </w:r>
    </w:p>
    <w:p w14:paraId="6FB6D723" w14:textId="553B0FD8" w:rsidR="009260DE" w:rsidRPr="006A2898" w:rsidRDefault="005E496F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10. juli 2024</w:t>
      </w:r>
      <w:bookmarkStart w:id="4" w:name="_GoBack"/>
      <w:bookmarkEnd w:id="4"/>
    </w:p>
    <w:p w14:paraId="54683E31" w14:textId="77777777" w:rsidR="009260DE" w:rsidRPr="006A289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E26CDF8" w14:textId="77777777" w:rsidR="009260DE" w:rsidRPr="006A289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898">
        <w:rPr>
          <w:b/>
          <w:sz w:val="24"/>
          <w:szCs w:val="24"/>
        </w:rPr>
        <w:t>10.</w:t>
      </w:r>
      <w:r w:rsidRPr="006A2898">
        <w:rPr>
          <w:b/>
          <w:sz w:val="24"/>
          <w:szCs w:val="24"/>
        </w:rPr>
        <w:tab/>
        <w:t>DATO FOR ÆNDRING AF TEKSTEN</w:t>
      </w:r>
    </w:p>
    <w:p w14:paraId="71B879B5" w14:textId="55D272BD" w:rsidR="009260DE" w:rsidRPr="006A2898" w:rsidRDefault="006E7021" w:rsidP="009260DE">
      <w:pPr>
        <w:tabs>
          <w:tab w:val="left" w:pos="851"/>
        </w:tabs>
        <w:ind w:left="851"/>
        <w:rPr>
          <w:sz w:val="24"/>
          <w:szCs w:val="24"/>
        </w:rPr>
      </w:pPr>
      <w:r w:rsidRPr="006A2898">
        <w:rPr>
          <w:sz w:val="24"/>
          <w:szCs w:val="24"/>
        </w:rPr>
        <w:t>-</w:t>
      </w:r>
    </w:p>
    <w:sectPr w:rsidR="009260DE" w:rsidRPr="006A2898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1B3D1" w14:textId="77777777" w:rsidR="00A20A4C" w:rsidRDefault="00A20A4C">
      <w:r>
        <w:separator/>
      </w:r>
    </w:p>
  </w:endnote>
  <w:endnote w:type="continuationSeparator" w:id="0">
    <w:p w14:paraId="10EEC265" w14:textId="77777777" w:rsidR="00A20A4C" w:rsidRDefault="00A2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6194C" w14:textId="77777777" w:rsidR="00A20A4C" w:rsidRDefault="00A20A4C">
    <w:pPr>
      <w:pStyle w:val="Sidefod"/>
      <w:pBdr>
        <w:bottom w:val="single" w:sz="6" w:space="1" w:color="auto"/>
      </w:pBdr>
    </w:pPr>
  </w:p>
  <w:p w14:paraId="246561A9" w14:textId="77777777" w:rsidR="00A20A4C" w:rsidRDefault="00A20A4C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60605D32" w14:textId="5E9A0B7E" w:rsidR="00A20A4C" w:rsidRPr="00B373D7" w:rsidRDefault="00A20A4C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5E496F">
      <w:rPr>
        <w:i/>
        <w:noProof/>
        <w:sz w:val="18"/>
        <w:szCs w:val="18"/>
      </w:rPr>
      <w:t>Ampicillin-Sulbactam Aptapharma, pulver til injektions--infusionsvæske, opløsning 1+0,5 g og 2+1 g.docx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93A94" w14:textId="77777777" w:rsidR="00A20A4C" w:rsidRDefault="00A20A4C">
      <w:r>
        <w:separator/>
      </w:r>
    </w:p>
  </w:footnote>
  <w:footnote w:type="continuationSeparator" w:id="0">
    <w:p w14:paraId="6ED7B527" w14:textId="77777777" w:rsidR="00A20A4C" w:rsidRDefault="00A20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5B45"/>
    <w:multiLevelType w:val="hybridMultilevel"/>
    <w:tmpl w:val="6708FAD8"/>
    <w:lvl w:ilvl="0" w:tplc="0EE02BA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B7F5BF2"/>
    <w:multiLevelType w:val="hybridMultilevel"/>
    <w:tmpl w:val="3CA6FD2C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A846F9D"/>
    <w:multiLevelType w:val="hybridMultilevel"/>
    <w:tmpl w:val="8A94CFB8"/>
    <w:lvl w:ilvl="0" w:tplc="200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33469D"/>
    <w:multiLevelType w:val="hybridMultilevel"/>
    <w:tmpl w:val="96560FDA"/>
    <w:lvl w:ilvl="0" w:tplc="0EE02BA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0F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206CE8"/>
    <w:rsid w:val="0021526C"/>
    <w:rsid w:val="00283A2B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251C1"/>
    <w:rsid w:val="004273CE"/>
    <w:rsid w:val="0045746C"/>
    <w:rsid w:val="0049104B"/>
    <w:rsid w:val="004E3B12"/>
    <w:rsid w:val="00532310"/>
    <w:rsid w:val="00565F0F"/>
    <w:rsid w:val="00594A86"/>
    <w:rsid w:val="00596D86"/>
    <w:rsid w:val="005E496F"/>
    <w:rsid w:val="00637F5A"/>
    <w:rsid w:val="00641C65"/>
    <w:rsid w:val="006560B1"/>
    <w:rsid w:val="006756DD"/>
    <w:rsid w:val="006A2898"/>
    <w:rsid w:val="006E7021"/>
    <w:rsid w:val="0071241E"/>
    <w:rsid w:val="00737275"/>
    <w:rsid w:val="00740EEC"/>
    <w:rsid w:val="0078011A"/>
    <w:rsid w:val="00782AF4"/>
    <w:rsid w:val="00790EE7"/>
    <w:rsid w:val="007B6649"/>
    <w:rsid w:val="007C530F"/>
    <w:rsid w:val="0082576E"/>
    <w:rsid w:val="0083270E"/>
    <w:rsid w:val="0089346F"/>
    <w:rsid w:val="00907F75"/>
    <w:rsid w:val="009260DE"/>
    <w:rsid w:val="0093258A"/>
    <w:rsid w:val="009A506D"/>
    <w:rsid w:val="009C65F8"/>
    <w:rsid w:val="009C7BA3"/>
    <w:rsid w:val="009D1F5A"/>
    <w:rsid w:val="00A10294"/>
    <w:rsid w:val="00A20A4C"/>
    <w:rsid w:val="00B003BF"/>
    <w:rsid w:val="00B373D7"/>
    <w:rsid w:val="00B55271"/>
    <w:rsid w:val="00B84B6D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93992"/>
    <w:rsid w:val="00D940BB"/>
    <w:rsid w:val="00E108AA"/>
    <w:rsid w:val="00E3749A"/>
    <w:rsid w:val="00E7437F"/>
    <w:rsid w:val="00E865B8"/>
    <w:rsid w:val="00EC0B9B"/>
    <w:rsid w:val="00ED5E9F"/>
    <w:rsid w:val="00F66D4F"/>
    <w:rsid w:val="00F870FD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9AB5A"/>
  <w15:chartTrackingRefBased/>
  <w15:docId w15:val="{037F48F9-6F42-409F-9D74-1FBFEF98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link w:val="Overskrift2Tegn"/>
    <w:semiHidden/>
    <w:unhideWhenUsed/>
    <w:qFormat/>
    <w:rsid w:val="006E7021"/>
    <w:pPr>
      <w:widowControl w:val="0"/>
      <w:autoSpaceDE w:val="0"/>
      <w:autoSpaceDN w:val="0"/>
      <w:ind w:left="152"/>
      <w:outlineLvl w:val="1"/>
    </w:pPr>
    <w:rPr>
      <w:rFonts w:eastAsia="Calibri"/>
      <w:sz w:val="24"/>
      <w:lang w:val="en-US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semiHidden/>
    <w:unhideWhenUsed/>
    <w:rsid w:val="006E7021"/>
    <w:pPr>
      <w:widowControl w:val="0"/>
      <w:autoSpaceDE w:val="0"/>
      <w:autoSpaceDN w:val="0"/>
      <w:ind w:left="152"/>
    </w:pPr>
    <w:rPr>
      <w:rFonts w:eastAsia="Calibri"/>
      <w:sz w:val="22"/>
      <w:lang w:val="en-US"/>
    </w:rPr>
  </w:style>
  <w:style w:type="character" w:customStyle="1" w:styleId="BrdtekstTegn">
    <w:name w:val="Brødtekst Tegn"/>
    <w:basedOn w:val="Standardskrifttypeiafsnit"/>
    <w:link w:val="Brdtekst"/>
    <w:semiHidden/>
    <w:rsid w:val="006E7021"/>
    <w:rPr>
      <w:rFonts w:eastAsia="Calibri"/>
      <w:sz w:val="22"/>
      <w:lang w:val="en-US" w:eastAsia="en-US"/>
    </w:rPr>
  </w:style>
  <w:style w:type="paragraph" w:customStyle="1" w:styleId="P68B1DB1-Normal3">
    <w:name w:val="P68B1DB1-Normal3"/>
    <w:basedOn w:val="Normal"/>
    <w:rsid w:val="006E7021"/>
    <w:pPr>
      <w:widowControl w:val="0"/>
      <w:autoSpaceDE w:val="0"/>
      <w:autoSpaceDN w:val="0"/>
    </w:pPr>
    <w:rPr>
      <w:rFonts w:eastAsia="Calibri"/>
      <w:i/>
      <w:sz w:val="22"/>
      <w:u w:val="single"/>
      <w:lang w:val="en-US"/>
    </w:rPr>
  </w:style>
  <w:style w:type="character" w:customStyle="1" w:styleId="Overskrift2Tegn">
    <w:name w:val="Overskrift 2 Tegn"/>
    <w:basedOn w:val="Standardskrifttypeiafsnit"/>
    <w:link w:val="Overskrift2"/>
    <w:semiHidden/>
    <w:rsid w:val="006E7021"/>
    <w:rPr>
      <w:rFonts w:eastAsia="Calibri"/>
      <w:sz w:val="24"/>
      <w:lang w:val="en-US" w:eastAsia="en-US"/>
    </w:rPr>
  </w:style>
  <w:style w:type="paragraph" w:styleId="Listeafsnit">
    <w:name w:val="List Paragraph"/>
    <w:basedOn w:val="Normal"/>
    <w:qFormat/>
    <w:rsid w:val="006E7021"/>
    <w:pPr>
      <w:widowControl w:val="0"/>
      <w:autoSpaceDE w:val="0"/>
      <w:autoSpaceDN w:val="0"/>
      <w:spacing w:line="250" w:lineRule="exact"/>
      <w:ind w:left="484" w:hanging="332"/>
    </w:pPr>
    <w:rPr>
      <w:rFonts w:eastAsia="Calibri"/>
      <w:sz w:val="22"/>
      <w:lang w:val="en-US"/>
    </w:rPr>
  </w:style>
  <w:style w:type="paragraph" w:customStyle="1" w:styleId="P68B1DB1-Normal5">
    <w:name w:val="P68B1DB1-Normal5"/>
    <w:basedOn w:val="Normal"/>
    <w:rsid w:val="006E7021"/>
    <w:pPr>
      <w:widowControl w:val="0"/>
      <w:autoSpaceDE w:val="0"/>
      <w:autoSpaceDN w:val="0"/>
    </w:pPr>
    <w:rPr>
      <w:rFonts w:eastAsia="Calibri"/>
      <w:sz w:val="22"/>
      <w:u w:val="single"/>
      <w:lang w:val="en-US"/>
    </w:rPr>
  </w:style>
  <w:style w:type="paragraph" w:customStyle="1" w:styleId="P68B1DB1-BodyText6">
    <w:name w:val="P68B1DB1-BodyText6"/>
    <w:basedOn w:val="Brdtekst"/>
    <w:rsid w:val="006E7021"/>
    <w:rPr>
      <w:i/>
    </w:rPr>
  </w:style>
  <w:style w:type="paragraph" w:customStyle="1" w:styleId="P68B1DB1-Heading27">
    <w:name w:val="P68B1DB1-Heading27"/>
    <w:basedOn w:val="Overskrift2"/>
    <w:rsid w:val="006E7021"/>
    <w:rPr>
      <w:sz w:val="22"/>
      <w:u w:val="single"/>
    </w:rPr>
  </w:style>
  <w:style w:type="paragraph" w:customStyle="1" w:styleId="P68B1DB1-Normal8">
    <w:name w:val="P68B1DB1-Normal8"/>
    <w:basedOn w:val="Normal"/>
    <w:rsid w:val="006E7021"/>
    <w:pPr>
      <w:widowControl w:val="0"/>
      <w:autoSpaceDE w:val="0"/>
      <w:autoSpaceDN w:val="0"/>
    </w:pPr>
    <w:rPr>
      <w:rFonts w:eastAsia="Calibri"/>
      <w:sz w:val="22"/>
      <w:lang w:val="en-US"/>
    </w:rPr>
  </w:style>
  <w:style w:type="paragraph" w:styleId="HTML-adresse">
    <w:name w:val="HTML Address"/>
    <w:basedOn w:val="Normal"/>
    <w:link w:val="HTML-adresseTegn"/>
    <w:semiHidden/>
    <w:unhideWhenUsed/>
    <w:rsid w:val="006E7021"/>
    <w:pPr>
      <w:widowControl w:val="0"/>
      <w:autoSpaceDE w:val="0"/>
      <w:autoSpaceDN w:val="0"/>
    </w:pPr>
    <w:rPr>
      <w:rFonts w:eastAsia="Calibri"/>
      <w:i/>
      <w:sz w:val="22"/>
      <w:lang w:val="en-US"/>
    </w:rPr>
  </w:style>
  <w:style w:type="character" w:customStyle="1" w:styleId="HTML-adresseTegn">
    <w:name w:val="HTML-adresse Tegn"/>
    <w:basedOn w:val="Standardskrifttypeiafsnit"/>
    <w:link w:val="HTML-adresse"/>
    <w:semiHidden/>
    <w:rsid w:val="006E7021"/>
    <w:rPr>
      <w:rFonts w:eastAsia="Calibri"/>
      <w:i/>
      <w:sz w:val="22"/>
      <w:lang w:val="en-US" w:eastAsia="en-US"/>
    </w:rPr>
  </w:style>
  <w:style w:type="paragraph" w:customStyle="1" w:styleId="P68B1DB1-BodyText9">
    <w:name w:val="P68B1DB1-BodyText9"/>
    <w:basedOn w:val="Brdtekst"/>
    <w:rsid w:val="006E7021"/>
    <w:rPr>
      <w:u w:val="single"/>
    </w:rPr>
  </w:style>
  <w:style w:type="paragraph" w:customStyle="1" w:styleId="TableParagraph">
    <w:name w:val="Table Paragraph"/>
    <w:basedOn w:val="Normal"/>
    <w:uiPriority w:val="1"/>
    <w:qFormat/>
    <w:rsid w:val="006E7021"/>
    <w:pPr>
      <w:widowControl w:val="0"/>
      <w:autoSpaceDE w:val="0"/>
      <w:autoSpaceDN w:val="0"/>
      <w:spacing w:before="75" w:line="240" w:lineRule="exact"/>
      <w:ind w:left="69"/>
    </w:pPr>
    <w:rPr>
      <w:rFonts w:eastAsia="Calibri"/>
      <w:sz w:val="22"/>
      <w:lang w:val="en-US"/>
    </w:rPr>
  </w:style>
  <w:style w:type="paragraph" w:customStyle="1" w:styleId="P68B1DB1-TableParagraph10">
    <w:name w:val="P68B1DB1-TableParagraph10"/>
    <w:basedOn w:val="TableParagraph"/>
    <w:rsid w:val="006E7021"/>
    <w:rPr>
      <w:b/>
    </w:rPr>
  </w:style>
  <w:style w:type="paragraph" w:customStyle="1" w:styleId="P68B1DB1-Normal11">
    <w:name w:val="P68B1DB1-Normal11"/>
    <w:basedOn w:val="Normal"/>
    <w:rsid w:val="006E7021"/>
    <w:pPr>
      <w:widowControl w:val="0"/>
      <w:autoSpaceDE w:val="0"/>
      <w:autoSpaceDN w:val="0"/>
    </w:pPr>
    <w:rPr>
      <w:rFonts w:eastAsia="Calibri"/>
      <w:b/>
      <w:sz w:val="22"/>
      <w:u w:val="single" w:color="000000"/>
      <w:lang w:val="en-US"/>
    </w:rPr>
  </w:style>
  <w:style w:type="paragraph" w:customStyle="1" w:styleId="P68B1DB1-Normal1">
    <w:name w:val="P68B1DB1-Normal1"/>
    <w:basedOn w:val="Normal"/>
    <w:rsid w:val="006E7021"/>
    <w:pPr>
      <w:widowControl w:val="0"/>
      <w:autoSpaceDE w:val="0"/>
      <w:autoSpaceDN w:val="0"/>
    </w:pPr>
    <w:rPr>
      <w:rFonts w:eastAsia="Calibri"/>
      <w:b/>
      <w:sz w:val="22"/>
      <w:lang w:val="en-US"/>
    </w:rPr>
  </w:style>
  <w:style w:type="paragraph" w:customStyle="1" w:styleId="P68B1DB1-Normal12">
    <w:name w:val="P68B1DB1-Normal12"/>
    <w:basedOn w:val="Normal"/>
    <w:rsid w:val="006E7021"/>
    <w:pPr>
      <w:widowControl w:val="0"/>
      <w:autoSpaceDE w:val="0"/>
      <w:autoSpaceDN w:val="0"/>
    </w:pPr>
    <w:rPr>
      <w:rFonts w:eastAsia="Calibri"/>
      <w:sz w:val="22"/>
      <w:u w:val="thick"/>
      <w:lang w:val="en-US"/>
    </w:rPr>
  </w:style>
  <w:style w:type="paragraph" w:customStyle="1" w:styleId="P68B1DB1-Normal13">
    <w:name w:val="P68B1DB1-Normal13"/>
    <w:basedOn w:val="Normal"/>
    <w:rsid w:val="006E7021"/>
    <w:pPr>
      <w:widowControl w:val="0"/>
      <w:autoSpaceDE w:val="0"/>
      <w:autoSpaceDN w:val="0"/>
    </w:pPr>
    <w:rPr>
      <w:rFonts w:eastAsia="Calibri" w:hAnsi="Calibri"/>
      <w:i/>
      <w:sz w:val="22"/>
      <w:lang w:val="en-US"/>
    </w:rPr>
  </w:style>
  <w:style w:type="paragraph" w:customStyle="1" w:styleId="P68B1DB1-Heading314">
    <w:name w:val="P68B1DB1-Heading314"/>
    <w:basedOn w:val="Overskrift3"/>
    <w:rsid w:val="006E7021"/>
    <w:pPr>
      <w:keepNext w:val="0"/>
      <w:widowControl w:val="0"/>
      <w:autoSpaceDE w:val="0"/>
      <w:autoSpaceDN w:val="0"/>
      <w:spacing w:before="0" w:after="0" w:line="250" w:lineRule="exact"/>
      <w:ind w:left="484" w:hanging="332"/>
    </w:pPr>
    <w:rPr>
      <w:rFonts w:ascii="Times New Roman" w:eastAsia="Calibri" w:hAnsi="Times New Roman"/>
      <w:sz w:val="22"/>
      <w:u w:val="single"/>
      <w:lang w:val="en-US"/>
    </w:rPr>
  </w:style>
  <w:style w:type="paragraph" w:customStyle="1" w:styleId="P68B1DB1-Heading315">
    <w:name w:val="P68B1DB1-Heading315"/>
    <w:basedOn w:val="Overskrift3"/>
    <w:rsid w:val="006E7021"/>
    <w:pPr>
      <w:keepNext w:val="0"/>
      <w:widowControl w:val="0"/>
      <w:autoSpaceDE w:val="0"/>
      <w:autoSpaceDN w:val="0"/>
      <w:spacing w:before="0" w:after="0" w:line="250" w:lineRule="exact"/>
      <w:ind w:left="484" w:hanging="332"/>
    </w:pPr>
    <w:rPr>
      <w:rFonts w:ascii="Times New Roman" w:eastAsia="Calibri" w:hAnsi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40</TotalTime>
  <Pages>13</Pages>
  <Words>3605</Words>
  <Characters>24942</Characters>
  <Application>Microsoft Office Word</Application>
  <DocSecurity>0</DocSecurity>
  <Lines>207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2023100896, MT</dc:description>
  <cp:lastModifiedBy>Gitte Jørgensen</cp:lastModifiedBy>
  <cp:revision>10</cp:revision>
  <cp:lastPrinted>2012-08-22T08:53:00Z</cp:lastPrinted>
  <dcterms:created xsi:type="dcterms:W3CDTF">2024-07-09T13:39:00Z</dcterms:created>
  <dcterms:modified xsi:type="dcterms:W3CDTF">2024-07-10T09:12:00Z</dcterms:modified>
</cp:coreProperties>
</file>