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B0A38">
        <w:rPr>
          <w:szCs w:val="24"/>
        </w:rPr>
        <w:t>22. august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52065" w:rsidP="009260DE">
      <w:pPr>
        <w:jc w:val="center"/>
        <w:rPr>
          <w:b/>
          <w:sz w:val="24"/>
          <w:szCs w:val="24"/>
        </w:rPr>
      </w:pPr>
      <w:r>
        <w:rPr>
          <w:b/>
          <w:sz w:val="24"/>
          <w:szCs w:val="24"/>
        </w:rPr>
        <w:t>Amroliv, pulver til infusions-/injektionsvæske,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52065" w:rsidP="009260DE">
      <w:pPr>
        <w:tabs>
          <w:tab w:val="left" w:pos="851"/>
        </w:tabs>
        <w:ind w:left="851"/>
        <w:rPr>
          <w:sz w:val="24"/>
          <w:szCs w:val="24"/>
        </w:rPr>
      </w:pPr>
      <w:r>
        <w:rPr>
          <w:sz w:val="24"/>
          <w:szCs w:val="24"/>
        </w:rPr>
        <w:t>32092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52065" w:rsidP="009260DE">
      <w:pPr>
        <w:tabs>
          <w:tab w:val="left" w:pos="851"/>
        </w:tabs>
        <w:ind w:left="851"/>
        <w:rPr>
          <w:sz w:val="24"/>
          <w:szCs w:val="24"/>
        </w:rPr>
      </w:pPr>
      <w:r>
        <w:rPr>
          <w:sz w:val="24"/>
          <w:szCs w:val="24"/>
        </w:rPr>
        <w:t>Amroliv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71756" w:rsidRDefault="00B71756" w:rsidP="00CE720C">
      <w:pPr>
        <w:tabs>
          <w:tab w:val="left" w:pos="851"/>
        </w:tabs>
        <w:ind w:left="851"/>
        <w:rPr>
          <w:i/>
          <w:sz w:val="24"/>
          <w:szCs w:val="24"/>
          <w:lang w:val="fr-FR"/>
        </w:rPr>
      </w:pPr>
    </w:p>
    <w:p w:rsidR="00CE720C" w:rsidRPr="00B71756" w:rsidRDefault="00B71756" w:rsidP="00CE720C">
      <w:pPr>
        <w:tabs>
          <w:tab w:val="left" w:pos="851"/>
        </w:tabs>
        <w:ind w:left="851"/>
        <w:rPr>
          <w:sz w:val="24"/>
          <w:szCs w:val="24"/>
          <w:u w:val="single"/>
          <w:lang w:val="fr-FR"/>
        </w:rPr>
      </w:pPr>
      <w:r>
        <w:rPr>
          <w:sz w:val="24"/>
          <w:szCs w:val="24"/>
          <w:u w:val="single"/>
          <w:lang w:val="fr-FR"/>
        </w:rPr>
        <w:t>500 mg</w:t>
      </w:r>
    </w:p>
    <w:p w:rsidR="00CE720C" w:rsidRPr="00CE720C" w:rsidRDefault="00CE720C" w:rsidP="00CE720C">
      <w:pPr>
        <w:tabs>
          <w:tab w:val="left" w:pos="851"/>
        </w:tabs>
        <w:ind w:left="851"/>
        <w:rPr>
          <w:sz w:val="24"/>
          <w:szCs w:val="24"/>
        </w:rPr>
      </w:pPr>
      <w:r w:rsidRPr="00CE720C">
        <w:rPr>
          <w:sz w:val="24"/>
          <w:szCs w:val="24"/>
        </w:rPr>
        <w:t>Hvert hætteglas indeholder ampicillinnatrium svarende til 500 mg ampicillin.</w:t>
      </w:r>
    </w:p>
    <w:p w:rsidR="00CE720C" w:rsidRPr="00CE720C" w:rsidRDefault="00CE720C" w:rsidP="00CE720C">
      <w:pPr>
        <w:tabs>
          <w:tab w:val="left" w:pos="851"/>
        </w:tabs>
        <w:ind w:left="851"/>
        <w:rPr>
          <w:sz w:val="24"/>
          <w:szCs w:val="24"/>
          <w:u w:val="single"/>
        </w:rPr>
      </w:pPr>
    </w:p>
    <w:p w:rsidR="00CE720C" w:rsidRPr="00B71756" w:rsidRDefault="00CE720C" w:rsidP="00CE720C">
      <w:pPr>
        <w:tabs>
          <w:tab w:val="left" w:pos="851"/>
        </w:tabs>
        <w:ind w:left="851"/>
        <w:rPr>
          <w:i/>
          <w:sz w:val="24"/>
          <w:szCs w:val="24"/>
        </w:rPr>
      </w:pPr>
      <w:r w:rsidRPr="00B71756">
        <w:rPr>
          <w:i/>
          <w:sz w:val="24"/>
          <w:szCs w:val="24"/>
        </w:rPr>
        <w:t>Hjælpestof, som behandleren skal være opmærksom på</w:t>
      </w:r>
    </w:p>
    <w:p w:rsidR="00CE720C" w:rsidRPr="00CE720C" w:rsidRDefault="00CE720C" w:rsidP="00CE720C">
      <w:pPr>
        <w:tabs>
          <w:tab w:val="left" w:pos="851"/>
        </w:tabs>
        <w:ind w:left="851"/>
        <w:rPr>
          <w:sz w:val="24"/>
          <w:szCs w:val="24"/>
        </w:rPr>
      </w:pPr>
      <w:r w:rsidRPr="00CE720C">
        <w:rPr>
          <w:sz w:val="24"/>
          <w:szCs w:val="24"/>
        </w:rPr>
        <w:t>Hvert hætteglas indeholder cirka 33 mg natrium (1,4 mmol).</w:t>
      </w:r>
    </w:p>
    <w:p w:rsidR="00CE720C" w:rsidRPr="00CE720C" w:rsidRDefault="00CE720C" w:rsidP="00CE720C">
      <w:pPr>
        <w:tabs>
          <w:tab w:val="left" w:pos="851"/>
        </w:tabs>
        <w:ind w:left="851"/>
        <w:rPr>
          <w:sz w:val="24"/>
          <w:szCs w:val="24"/>
        </w:rPr>
      </w:pPr>
    </w:p>
    <w:p w:rsidR="00CE720C" w:rsidRPr="00B71756" w:rsidRDefault="00B71756" w:rsidP="00CE720C">
      <w:pPr>
        <w:tabs>
          <w:tab w:val="left" w:pos="851"/>
        </w:tabs>
        <w:ind w:left="851"/>
        <w:rPr>
          <w:sz w:val="24"/>
          <w:szCs w:val="24"/>
          <w:u w:val="single"/>
        </w:rPr>
      </w:pPr>
      <w:r>
        <w:rPr>
          <w:sz w:val="24"/>
          <w:szCs w:val="24"/>
          <w:u w:val="single"/>
        </w:rPr>
        <w:t>1 g</w:t>
      </w:r>
    </w:p>
    <w:p w:rsidR="00CE720C" w:rsidRPr="00CE720C" w:rsidRDefault="00CE720C" w:rsidP="00CE720C">
      <w:pPr>
        <w:tabs>
          <w:tab w:val="left" w:pos="851"/>
        </w:tabs>
        <w:ind w:left="851"/>
        <w:rPr>
          <w:sz w:val="24"/>
          <w:szCs w:val="24"/>
        </w:rPr>
      </w:pPr>
      <w:bookmarkStart w:id="1" w:name="_Hlk36802561"/>
      <w:r w:rsidRPr="00CE720C">
        <w:rPr>
          <w:sz w:val="24"/>
          <w:szCs w:val="24"/>
        </w:rPr>
        <w:t>Hvert hætteglas indeholder ampicillinnatrium svarende til 1 g ampicillin.</w:t>
      </w:r>
    </w:p>
    <w:p w:rsidR="00CE720C" w:rsidRPr="00CE720C" w:rsidRDefault="00CE720C" w:rsidP="00CE720C">
      <w:pPr>
        <w:tabs>
          <w:tab w:val="left" w:pos="851"/>
        </w:tabs>
        <w:ind w:left="851"/>
        <w:rPr>
          <w:sz w:val="24"/>
          <w:szCs w:val="24"/>
          <w:u w:val="single"/>
        </w:rPr>
      </w:pPr>
    </w:p>
    <w:p w:rsidR="00CE720C" w:rsidRPr="00B71756" w:rsidRDefault="00CE720C" w:rsidP="00CE720C">
      <w:pPr>
        <w:tabs>
          <w:tab w:val="left" w:pos="851"/>
        </w:tabs>
        <w:ind w:left="851"/>
        <w:rPr>
          <w:i/>
          <w:sz w:val="24"/>
          <w:szCs w:val="24"/>
        </w:rPr>
      </w:pPr>
      <w:r w:rsidRPr="00B71756">
        <w:rPr>
          <w:i/>
          <w:sz w:val="24"/>
          <w:szCs w:val="24"/>
        </w:rPr>
        <w:t>Hjælpestof, som behandleren skal være opmærksom på</w:t>
      </w:r>
    </w:p>
    <w:p w:rsidR="00CE720C" w:rsidRPr="00CE720C" w:rsidRDefault="00CE720C" w:rsidP="00CE720C">
      <w:pPr>
        <w:tabs>
          <w:tab w:val="left" w:pos="851"/>
        </w:tabs>
        <w:ind w:left="851"/>
        <w:rPr>
          <w:sz w:val="24"/>
          <w:szCs w:val="24"/>
        </w:rPr>
      </w:pPr>
      <w:r w:rsidRPr="00CE720C">
        <w:rPr>
          <w:sz w:val="24"/>
          <w:szCs w:val="24"/>
        </w:rPr>
        <w:t>Hvert hætteglas indeholder cirka 66 mg natrium (2,8 mmol).</w:t>
      </w:r>
    </w:p>
    <w:bookmarkEnd w:id="1"/>
    <w:p w:rsidR="00CE720C" w:rsidRPr="00CE720C" w:rsidRDefault="00CE720C" w:rsidP="00CE720C">
      <w:pPr>
        <w:tabs>
          <w:tab w:val="left" w:pos="851"/>
        </w:tabs>
        <w:ind w:left="851"/>
        <w:rPr>
          <w:sz w:val="24"/>
          <w:szCs w:val="24"/>
        </w:rPr>
      </w:pPr>
    </w:p>
    <w:p w:rsidR="00CE720C" w:rsidRPr="00B71756" w:rsidRDefault="00B71756" w:rsidP="00CE720C">
      <w:pPr>
        <w:tabs>
          <w:tab w:val="left" w:pos="851"/>
        </w:tabs>
        <w:ind w:left="851"/>
        <w:rPr>
          <w:bCs/>
          <w:sz w:val="24"/>
          <w:szCs w:val="24"/>
          <w:u w:val="single"/>
        </w:rPr>
      </w:pPr>
      <w:r>
        <w:rPr>
          <w:sz w:val="24"/>
          <w:szCs w:val="24"/>
          <w:u w:val="single"/>
        </w:rPr>
        <w:t>2 g</w:t>
      </w:r>
    </w:p>
    <w:p w:rsidR="00CE720C" w:rsidRPr="00CE720C" w:rsidRDefault="00CE720C" w:rsidP="00CE720C">
      <w:pPr>
        <w:tabs>
          <w:tab w:val="left" w:pos="851"/>
        </w:tabs>
        <w:ind w:left="851"/>
        <w:rPr>
          <w:sz w:val="24"/>
          <w:szCs w:val="24"/>
        </w:rPr>
      </w:pPr>
      <w:r w:rsidRPr="00CE720C">
        <w:rPr>
          <w:sz w:val="24"/>
          <w:szCs w:val="24"/>
        </w:rPr>
        <w:t>Hvert hætteglas indeholder ampicillinnatrium svarende til 2 g ampicillin.</w:t>
      </w:r>
    </w:p>
    <w:p w:rsidR="00CE720C" w:rsidRPr="00CE720C" w:rsidRDefault="00CE720C" w:rsidP="00CE720C">
      <w:pPr>
        <w:tabs>
          <w:tab w:val="left" w:pos="851"/>
        </w:tabs>
        <w:ind w:left="851"/>
        <w:rPr>
          <w:sz w:val="24"/>
          <w:szCs w:val="24"/>
        </w:rPr>
      </w:pPr>
    </w:p>
    <w:p w:rsidR="00CE720C" w:rsidRPr="00B71756" w:rsidRDefault="00CE720C" w:rsidP="00CE720C">
      <w:pPr>
        <w:tabs>
          <w:tab w:val="left" w:pos="851"/>
        </w:tabs>
        <w:ind w:left="851"/>
        <w:rPr>
          <w:i/>
          <w:sz w:val="24"/>
          <w:szCs w:val="24"/>
        </w:rPr>
      </w:pPr>
      <w:r w:rsidRPr="00B71756">
        <w:rPr>
          <w:i/>
          <w:sz w:val="24"/>
          <w:szCs w:val="24"/>
        </w:rPr>
        <w:t>Hjælpestof, som behandleren skal være opmærksom på</w:t>
      </w:r>
    </w:p>
    <w:p w:rsidR="00CE720C" w:rsidRPr="00CE720C" w:rsidRDefault="00CE720C" w:rsidP="00CE720C">
      <w:pPr>
        <w:tabs>
          <w:tab w:val="left" w:pos="851"/>
        </w:tabs>
        <w:ind w:left="851"/>
        <w:rPr>
          <w:sz w:val="24"/>
          <w:szCs w:val="24"/>
        </w:rPr>
      </w:pPr>
      <w:r w:rsidRPr="00CE720C">
        <w:rPr>
          <w:sz w:val="24"/>
          <w:szCs w:val="24"/>
        </w:rPr>
        <w:t>Hvert hætteglas indeholder cirka 132 mg natrium (5,6 mmol).</w:t>
      </w:r>
    </w:p>
    <w:p w:rsidR="00CE720C" w:rsidRPr="00CE720C" w:rsidRDefault="00CE720C" w:rsidP="00CE720C">
      <w:pPr>
        <w:tabs>
          <w:tab w:val="left" w:pos="851"/>
        </w:tabs>
        <w:ind w:left="851"/>
        <w:rPr>
          <w:sz w:val="24"/>
          <w:szCs w:val="24"/>
        </w:rPr>
      </w:pPr>
    </w:p>
    <w:p w:rsidR="00CE720C" w:rsidRPr="00CE720C" w:rsidRDefault="00CE720C" w:rsidP="00CE720C">
      <w:pPr>
        <w:tabs>
          <w:tab w:val="left" w:pos="851"/>
        </w:tabs>
        <w:ind w:left="851"/>
        <w:rPr>
          <w:sz w:val="24"/>
          <w:szCs w:val="24"/>
        </w:rPr>
      </w:pPr>
      <w:r w:rsidRPr="00CE720C">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E720C" w:rsidRPr="00CE720C" w:rsidRDefault="00CE720C" w:rsidP="00CE720C">
      <w:pPr>
        <w:tabs>
          <w:tab w:val="left" w:pos="851"/>
        </w:tabs>
        <w:ind w:left="851"/>
        <w:rPr>
          <w:sz w:val="24"/>
          <w:szCs w:val="24"/>
        </w:rPr>
      </w:pPr>
      <w:r w:rsidRPr="00CE720C">
        <w:rPr>
          <w:sz w:val="24"/>
          <w:szCs w:val="24"/>
        </w:rPr>
        <w:t>Pulver til injektions-/infusionsvæske, opløsning</w:t>
      </w:r>
    </w:p>
    <w:p w:rsidR="00CE720C" w:rsidRPr="00CE720C" w:rsidRDefault="00CE720C" w:rsidP="00CE720C">
      <w:pPr>
        <w:tabs>
          <w:tab w:val="left" w:pos="851"/>
        </w:tabs>
        <w:ind w:left="851"/>
        <w:rPr>
          <w:sz w:val="24"/>
          <w:szCs w:val="24"/>
        </w:rPr>
      </w:pPr>
    </w:p>
    <w:p w:rsidR="00CE720C" w:rsidRPr="00CE720C" w:rsidRDefault="00CE720C" w:rsidP="00CE720C">
      <w:pPr>
        <w:tabs>
          <w:tab w:val="left" w:pos="851"/>
        </w:tabs>
        <w:ind w:left="851"/>
        <w:rPr>
          <w:sz w:val="24"/>
          <w:szCs w:val="24"/>
        </w:rPr>
      </w:pPr>
      <w:r w:rsidRPr="00CE720C">
        <w:rPr>
          <w:sz w:val="24"/>
          <w:szCs w:val="24"/>
        </w:rPr>
        <w:t>Hvidt eller næsten hvidt pulver.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C4510" w:rsidRPr="001C4510" w:rsidRDefault="001C4510" w:rsidP="001C4510">
      <w:pPr>
        <w:tabs>
          <w:tab w:val="left" w:pos="851"/>
        </w:tabs>
        <w:ind w:left="851"/>
        <w:rPr>
          <w:b/>
          <w:sz w:val="24"/>
          <w:szCs w:val="24"/>
        </w:rPr>
      </w:pPr>
    </w:p>
    <w:p w:rsidR="001C4510" w:rsidRPr="001C4510" w:rsidRDefault="001C4510" w:rsidP="001C4510">
      <w:pPr>
        <w:tabs>
          <w:tab w:val="left" w:pos="851"/>
        </w:tabs>
        <w:ind w:left="851"/>
        <w:rPr>
          <w:sz w:val="24"/>
          <w:szCs w:val="24"/>
        </w:rPr>
      </w:pPr>
      <w:r w:rsidRPr="001C4510">
        <w:rPr>
          <w:sz w:val="24"/>
          <w:szCs w:val="24"/>
        </w:rPr>
        <w:t>Ampicillin er indiceret til behandling af følgende infektioner hos voksne og børn (se pkt. 5.1):</w:t>
      </w:r>
    </w:p>
    <w:p w:rsidR="001C4510" w:rsidRPr="001C4510" w:rsidRDefault="001C4510" w:rsidP="001C4510">
      <w:pPr>
        <w:numPr>
          <w:ilvl w:val="0"/>
          <w:numId w:val="6"/>
        </w:numPr>
        <w:tabs>
          <w:tab w:val="left" w:pos="851"/>
        </w:tabs>
        <w:ind w:left="1134" w:hanging="283"/>
        <w:rPr>
          <w:bCs/>
          <w:sz w:val="24"/>
          <w:szCs w:val="24"/>
        </w:rPr>
      </w:pPr>
      <w:r w:rsidRPr="001C4510">
        <w:rPr>
          <w:sz w:val="24"/>
          <w:szCs w:val="24"/>
        </w:rPr>
        <w:t xml:space="preserve">Akut forværring af kronisk bronkitis </w:t>
      </w:r>
    </w:p>
    <w:p w:rsidR="001C4510" w:rsidRPr="001C4510" w:rsidRDefault="001C4510" w:rsidP="001C4510">
      <w:pPr>
        <w:numPr>
          <w:ilvl w:val="0"/>
          <w:numId w:val="6"/>
        </w:numPr>
        <w:tabs>
          <w:tab w:val="left" w:pos="851"/>
        </w:tabs>
        <w:ind w:left="1134" w:hanging="283"/>
        <w:rPr>
          <w:bCs/>
          <w:sz w:val="24"/>
          <w:szCs w:val="24"/>
        </w:rPr>
      </w:pPr>
      <w:r w:rsidRPr="001C4510">
        <w:rPr>
          <w:sz w:val="24"/>
          <w:szCs w:val="24"/>
        </w:rPr>
        <w:t xml:space="preserve">Pyelonefritis </w:t>
      </w:r>
    </w:p>
    <w:p w:rsidR="001C4510" w:rsidRPr="001C4510" w:rsidRDefault="001C4510" w:rsidP="001C4510">
      <w:pPr>
        <w:numPr>
          <w:ilvl w:val="0"/>
          <w:numId w:val="6"/>
        </w:numPr>
        <w:tabs>
          <w:tab w:val="left" w:pos="851"/>
        </w:tabs>
        <w:ind w:left="1134" w:hanging="283"/>
        <w:rPr>
          <w:bCs/>
          <w:sz w:val="24"/>
          <w:szCs w:val="24"/>
        </w:rPr>
      </w:pPr>
      <w:r w:rsidRPr="001C4510">
        <w:rPr>
          <w:sz w:val="24"/>
          <w:szCs w:val="24"/>
        </w:rPr>
        <w:t>Bakteriel meningitis</w:t>
      </w:r>
    </w:p>
    <w:p w:rsidR="001C4510" w:rsidRPr="001C4510" w:rsidRDefault="001C4510" w:rsidP="001C4510">
      <w:pPr>
        <w:numPr>
          <w:ilvl w:val="0"/>
          <w:numId w:val="6"/>
        </w:numPr>
        <w:tabs>
          <w:tab w:val="left" w:pos="851"/>
        </w:tabs>
        <w:ind w:left="1134" w:hanging="283"/>
        <w:rPr>
          <w:sz w:val="24"/>
          <w:szCs w:val="24"/>
        </w:rPr>
      </w:pPr>
      <w:r w:rsidRPr="001C4510">
        <w:rPr>
          <w:sz w:val="24"/>
          <w:szCs w:val="24"/>
        </w:rPr>
        <w:t>Samfundserhvervet pneumoni, når benzylpenicillin (penicillin G) ikke har givet den ønskede effekt eller er uegnet af andre årsager</w:t>
      </w:r>
    </w:p>
    <w:p w:rsidR="001C4510" w:rsidRPr="001C4510" w:rsidRDefault="001C4510" w:rsidP="001C4510">
      <w:pPr>
        <w:numPr>
          <w:ilvl w:val="0"/>
          <w:numId w:val="6"/>
        </w:numPr>
        <w:tabs>
          <w:tab w:val="left" w:pos="851"/>
        </w:tabs>
        <w:ind w:left="1134" w:hanging="283"/>
        <w:rPr>
          <w:sz w:val="24"/>
          <w:szCs w:val="24"/>
        </w:rPr>
      </w:pPr>
      <w:r w:rsidRPr="001C4510">
        <w:rPr>
          <w:sz w:val="24"/>
          <w:szCs w:val="24"/>
        </w:rPr>
        <w:t>Intra-abdominale infektioner</w:t>
      </w:r>
    </w:p>
    <w:p w:rsidR="001C4510" w:rsidRPr="001C4510" w:rsidRDefault="001C4510" w:rsidP="001C4510">
      <w:pPr>
        <w:numPr>
          <w:ilvl w:val="0"/>
          <w:numId w:val="6"/>
        </w:numPr>
        <w:tabs>
          <w:tab w:val="left" w:pos="851"/>
        </w:tabs>
        <w:ind w:left="1134" w:hanging="283"/>
        <w:rPr>
          <w:sz w:val="24"/>
          <w:szCs w:val="24"/>
        </w:rPr>
      </w:pPr>
      <w:r w:rsidRPr="001C4510">
        <w:rPr>
          <w:sz w:val="24"/>
          <w:szCs w:val="24"/>
        </w:rPr>
        <w:t xml:space="preserve">Bakteriæmi opstået i forbindelse med, eller mistænkt for at være forbundet med, en eller flere af de ovenfor angivne infektioner </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sz w:val="24"/>
          <w:szCs w:val="24"/>
        </w:rPr>
      </w:pPr>
      <w:bookmarkStart w:id="2" w:name="_Hlk94597156"/>
      <w:r w:rsidRPr="001C4510">
        <w:rPr>
          <w:sz w:val="24"/>
          <w:szCs w:val="24"/>
        </w:rPr>
        <w:t>Ampicillin er også indiceret til behandling og forebyggelse af endocarditis.</w:t>
      </w:r>
    </w:p>
    <w:bookmarkEnd w:id="2"/>
    <w:p w:rsidR="001C4510" w:rsidRPr="001C4510" w:rsidRDefault="001C4510" w:rsidP="001C4510">
      <w:pPr>
        <w:tabs>
          <w:tab w:val="left" w:pos="851"/>
        </w:tabs>
        <w:ind w:left="851"/>
        <w:rPr>
          <w:sz w:val="24"/>
          <w:szCs w:val="24"/>
        </w:rPr>
      </w:pPr>
    </w:p>
    <w:p w:rsidR="001C4510" w:rsidRPr="001C4510" w:rsidRDefault="001C4510" w:rsidP="001C4510">
      <w:pPr>
        <w:tabs>
          <w:tab w:val="left" w:pos="851"/>
        </w:tabs>
        <w:ind w:left="851"/>
        <w:rPr>
          <w:sz w:val="24"/>
          <w:szCs w:val="24"/>
        </w:rPr>
      </w:pPr>
      <w:r w:rsidRPr="001C4510">
        <w:rPr>
          <w:sz w:val="24"/>
          <w:szCs w:val="24"/>
        </w:rPr>
        <w:t>Der skal tages højde for officielle retningslinjer for korrekt brug af antibakterielle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1C4510" w:rsidRPr="001C4510" w:rsidRDefault="001C4510" w:rsidP="001C4510">
      <w:pPr>
        <w:tabs>
          <w:tab w:val="left" w:pos="851"/>
        </w:tabs>
        <w:ind w:left="851"/>
        <w:rPr>
          <w:i/>
          <w:iCs/>
          <w:sz w:val="24"/>
          <w:szCs w:val="24"/>
        </w:rPr>
      </w:pPr>
    </w:p>
    <w:p w:rsidR="001C4510" w:rsidRPr="00BD5E8F" w:rsidRDefault="001C4510" w:rsidP="001C4510">
      <w:pPr>
        <w:tabs>
          <w:tab w:val="left" w:pos="851"/>
        </w:tabs>
        <w:ind w:left="851"/>
        <w:rPr>
          <w:b/>
          <w:bCs/>
          <w:sz w:val="24"/>
          <w:szCs w:val="24"/>
        </w:rPr>
      </w:pPr>
      <w:r w:rsidRPr="00BD5E8F">
        <w:rPr>
          <w:b/>
          <w:sz w:val="24"/>
          <w:szCs w:val="24"/>
        </w:rPr>
        <w:t>Dosering</w:t>
      </w:r>
    </w:p>
    <w:p w:rsidR="001C4510" w:rsidRPr="001C4510" w:rsidRDefault="001C4510" w:rsidP="001C4510">
      <w:pPr>
        <w:tabs>
          <w:tab w:val="left" w:pos="851"/>
        </w:tabs>
        <w:ind w:left="851"/>
        <w:rPr>
          <w:bCs/>
          <w:sz w:val="24"/>
          <w:szCs w:val="24"/>
        </w:rPr>
      </w:pPr>
      <w:r w:rsidRPr="001C4510">
        <w:rPr>
          <w:sz w:val="24"/>
          <w:szCs w:val="24"/>
        </w:rPr>
        <w:t>Dosis af ampicillin afhænger af patientens alder, vægt og nyrefunktion, infektionens sværhedsgrad og lokation samt formodet eller identificeret patogen mikroorganisme.</w:t>
      </w:r>
    </w:p>
    <w:p w:rsidR="001C4510" w:rsidRPr="001C4510" w:rsidRDefault="001C4510" w:rsidP="001C4510">
      <w:pPr>
        <w:tabs>
          <w:tab w:val="left" w:pos="851"/>
        </w:tabs>
        <w:ind w:left="851"/>
        <w:rPr>
          <w:bCs/>
          <w:sz w:val="24"/>
          <w:szCs w:val="24"/>
        </w:rPr>
      </w:pPr>
    </w:p>
    <w:p w:rsidR="001C4510" w:rsidRPr="001C4510" w:rsidRDefault="001C4510" w:rsidP="001C4510">
      <w:pPr>
        <w:tabs>
          <w:tab w:val="left" w:pos="851"/>
        </w:tabs>
        <w:ind w:left="851"/>
        <w:rPr>
          <w:iCs/>
          <w:sz w:val="24"/>
          <w:szCs w:val="24"/>
          <w:u w:val="single"/>
        </w:rPr>
      </w:pPr>
      <w:r w:rsidRPr="001C4510">
        <w:rPr>
          <w:sz w:val="24"/>
          <w:szCs w:val="24"/>
          <w:u w:val="single"/>
        </w:rPr>
        <w:t>Voksne og unge (over 12 år)</w:t>
      </w:r>
    </w:p>
    <w:p w:rsidR="00BD5E8F" w:rsidRDefault="00BD5E8F" w:rsidP="001C4510">
      <w:pPr>
        <w:tabs>
          <w:tab w:val="left" w:pos="851"/>
        </w:tabs>
        <w:ind w:left="851"/>
        <w:rPr>
          <w:i/>
          <w:sz w:val="24"/>
          <w:szCs w:val="24"/>
          <w:lang w:val="fr-FR"/>
        </w:rPr>
      </w:pPr>
    </w:p>
    <w:p w:rsidR="001C4510" w:rsidRPr="00BD5E8F" w:rsidRDefault="001C4510" w:rsidP="001C4510">
      <w:pPr>
        <w:tabs>
          <w:tab w:val="left" w:pos="851"/>
        </w:tabs>
        <w:ind w:left="851"/>
        <w:rPr>
          <w:i/>
          <w:sz w:val="24"/>
          <w:szCs w:val="24"/>
          <w:u w:val="single"/>
        </w:rPr>
      </w:pPr>
      <w:r w:rsidRPr="00BD5E8F">
        <w:rPr>
          <w:i/>
          <w:sz w:val="24"/>
          <w:szCs w:val="24"/>
          <w:u w:val="single"/>
          <w:lang w:val="fr-FR"/>
        </w:rPr>
        <w:t>Amroliv 500 mg og 1g</w:t>
      </w:r>
      <w:r w:rsidR="00EE3DFF">
        <w:rPr>
          <w:i/>
          <w:sz w:val="24"/>
          <w:szCs w:val="24"/>
          <w:u w:val="single"/>
          <w:lang w:val="fr-FR"/>
        </w:rPr>
        <w:t xml:space="preserve"> </w:t>
      </w:r>
      <w:r w:rsidRPr="00BD5E8F">
        <w:rPr>
          <w:i/>
          <w:sz w:val="24"/>
          <w:szCs w:val="24"/>
          <w:u w:val="single"/>
          <w:lang w:val="fr-FR"/>
        </w:rPr>
        <w:t>pulver til injektions-/infusionsvæske, opløsning</w:t>
      </w:r>
    </w:p>
    <w:p w:rsidR="001C4510" w:rsidRPr="001C4510" w:rsidRDefault="001C4510" w:rsidP="001C4510">
      <w:pPr>
        <w:tabs>
          <w:tab w:val="left" w:pos="851"/>
        </w:tabs>
        <w:ind w:left="851"/>
        <w:rPr>
          <w:iCs/>
          <w:sz w:val="24"/>
          <w:szCs w:val="24"/>
        </w:rPr>
      </w:pPr>
      <w:r w:rsidRPr="001C4510">
        <w:rPr>
          <w:i/>
          <w:sz w:val="24"/>
          <w:szCs w:val="24"/>
        </w:rPr>
        <w:t>Intramuskulært:</w:t>
      </w:r>
      <w:r w:rsidRPr="001C4510">
        <w:rPr>
          <w:sz w:val="24"/>
          <w:szCs w:val="24"/>
        </w:rPr>
        <w:t xml:space="preserve"> 500 mg 4 gange om dagen.</w:t>
      </w:r>
    </w:p>
    <w:p w:rsidR="001C4510" w:rsidRPr="001C4510" w:rsidRDefault="001C4510" w:rsidP="001C4510">
      <w:pPr>
        <w:tabs>
          <w:tab w:val="left" w:pos="851"/>
        </w:tabs>
        <w:ind w:left="851"/>
        <w:rPr>
          <w:i/>
          <w:sz w:val="24"/>
          <w:szCs w:val="24"/>
        </w:rPr>
      </w:pPr>
    </w:p>
    <w:p w:rsidR="001C4510" w:rsidRPr="00BD5E8F" w:rsidRDefault="001C4510" w:rsidP="001C4510">
      <w:pPr>
        <w:tabs>
          <w:tab w:val="left" w:pos="851"/>
        </w:tabs>
        <w:ind w:left="851"/>
        <w:rPr>
          <w:i/>
          <w:sz w:val="24"/>
          <w:szCs w:val="24"/>
          <w:u w:val="single"/>
        </w:rPr>
      </w:pPr>
      <w:r w:rsidRPr="00BD5E8F">
        <w:rPr>
          <w:i/>
          <w:sz w:val="24"/>
          <w:szCs w:val="24"/>
          <w:u w:val="single"/>
        </w:rPr>
        <w:t xml:space="preserve">Amroliv </w:t>
      </w:r>
      <w:r w:rsidRPr="00BD5E8F">
        <w:rPr>
          <w:i/>
          <w:sz w:val="24"/>
          <w:szCs w:val="24"/>
          <w:u w:val="single"/>
          <w:lang w:val="fr-FR"/>
        </w:rPr>
        <w:t>Amroliv 500 m, 1g og 2g pulver til injektions-/infusionsvæske, opløsning</w:t>
      </w:r>
    </w:p>
    <w:p w:rsidR="001C4510" w:rsidRPr="001C4510" w:rsidRDefault="001C4510" w:rsidP="001C4510">
      <w:pPr>
        <w:tabs>
          <w:tab w:val="left" w:pos="851"/>
        </w:tabs>
        <w:ind w:left="851"/>
        <w:rPr>
          <w:iCs/>
          <w:sz w:val="24"/>
          <w:szCs w:val="24"/>
        </w:rPr>
      </w:pPr>
      <w:r w:rsidRPr="001C4510">
        <w:rPr>
          <w:i/>
          <w:sz w:val="24"/>
          <w:szCs w:val="24"/>
        </w:rPr>
        <w:t>Intravenøs injektion:</w:t>
      </w:r>
      <w:r w:rsidRPr="001C4510">
        <w:rPr>
          <w:sz w:val="24"/>
          <w:szCs w:val="24"/>
        </w:rPr>
        <w:t xml:space="preserve"> 500 mg</w:t>
      </w:r>
      <w:r w:rsidRPr="001C4510">
        <w:rPr>
          <w:sz w:val="24"/>
          <w:szCs w:val="24"/>
        </w:rPr>
        <w:noBreakHyphen/>
        <w:t>2 g 4</w:t>
      </w:r>
      <w:r w:rsidRPr="001C4510">
        <w:rPr>
          <w:sz w:val="24"/>
          <w:szCs w:val="24"/>
        </w:rPr>
        <w:noBreakHyphen/>
        <w:t>6 gange om dagen.</w:t>
      </w:r>
    </w:p>
    <w:p w:rsidR="001C4510" w:rsidRPr="001C4510" w:rsidRDefault="001C4510" w:rsidP="001C4510">
      <w:pPr>
        <w:tabs>
          <w:tab w:val="left" w:pos="851"/>
        </w:tabs>
        <w:ind w:left="851"/>
        <w:rPr>
          <w:sz w:val="24"/>
          <w:szCs w:val="24"/>
        </w:rPr>
      </w:pPr>
      <w:r w:rsidRPr="001C4510">
        <w:rPr>
          <w:i/>
          <w:sz w:val="24"/>
          <w:szCs w:val="24"/>
        </w:rPr>
        <w:t xml:space="preserve">Kontinuerlig intravenøs infusion: </w:t>
      </w:r>
      <w:r w:rsidRPr="001C4510">
        <w:rPr>
          <w:sz w:val="24"/>
          <w:szCs w:val="24"/>
        </w:rPr>
        <w:t>6</w:t>
      </w:r>
      <w:r w:rsidRPr="001C4510">
        <w:rPr>
          <w:sz w:val="24"/>
          <w:szCs w:val="24"/>
        </w:rPr>
        <w:noBreakHyphen/>
        <w:t>12 g om dagen.</w:t>
      </w:r>
    </w:p>
    <w:p w:rsidR="001C4510" w:rsidRPr="001C4510" w:rsidRDefault="001C4510" w:rsidP="001C4510">
      <w:pPr>
        <w:tabs>
          <w:tab w:val="left" w:pos="851"/>
        </w:tabs>
        <w:ind w:left="851"/>
        <w:rPr>
          <w:sz w:val="24"/>
          <w:szCs w:val="24"/>
        </w:rPr>
      </w:pPr>
      <w:r w:rsidRPr="001C4510">
        <w:rPr>
          <w:i/>
          <w:sz w:val="24"/>
          <w:szCs w:val="24"/>
        </w:rPr>
        <w:t xml:space="preserve">Intravenøs intermitterende infusion: </w:t>
      </w:r>
      <w:r w:rsidRPr="001C4510">
        <w:rPr>
          <w:sz w:val="24"/>
          <w:szCs w:val="24"/>
        </w:rPr>
        <w:t>2 g 4</w:t>
      </w:r>
      <w:r w:rsidRPr="001C4510">
        <w:rPr>
          <w:sz w:val="24"/>
          <w:szCs w:val="24"/>
        </w:rPr>
        <w:noBreakHyphen/>
        <w:t>6 gange om dagen.</w:t>
      </w:r>
    </w:p>
    <w:p w:rsidR="001C4510" w:rsidRPr="001C4510" w:rsidRDefault="001C4510" w:rsidP="001C4510">
      <w:pPr>
        <w:tabs>
          <w:tab w:val="left" w:pos="851"/>
        </w:tabs>
        <w:ind w:left="851"/>
        <w:rPr>
          <w:sz w:val="24"/>
          <w:szCs w:val="24"/>
          <w:u w:val="single"/>
        </w:rPr>
      </w:pPr>
    </w:p>
    <w:p w:rsidR="001C4510" w:rsidRPr="001C4510" w:rsidRDefault="001C4510" w:rsidP="001C4510">
      <w:pPr>
        <w:tabs>
          <w:tab w:val="left" w:pos="851"/>
        </w:tabs>
        <w:ind w:left="851"/>
        <w:rPr>
          <w:sz w:val="24"/>
          <w:szCs w:val="24"/>
        </w:rPr>
      </w:pPr>
      <w:r w:rsidRPr="001C4510">
        <w:rPr>
          <w:sz w:val="24"/>
          <w:szCs w:val="24"/>
        </w:rPr>
        <w:t>Til profylakse mod endocarditis kan 2 g administreres intravenøst som en enkelt dosis 30 til 60 minutter før proceduren.</w:t>
      </w:r>
    </w:p>
    <w:p w:rsidR="001C4510" w:rsidRPr="001C4510" w:rsidRDefault="001C4510" w:rsidP="001C4510">
      <w:pPr>
        <w:tabs>
          <w:tab w:val="left" w:pos="851"/>
        </w:tabs>
        <w:ind w:left="851"/>
        <w:rPr>
          <w:sz w:val="24"/>
          <w:szCs w:val="24"/>
        </w:rPr>
      </w:pPr>
    </w:p>
    <w:p w:rsidR="001C4510" w:rsidRPr="001C4510" w:rsidRDefault="001C4510" w:rsidP="001C4510">
      <w:pPr>
        <w:tabs>
          <w:tab w:val="left" w:pos="851"/>
        </w:tabs>
        <w:ind w:left="851"/>
        <w:rPr>
          <w:iCs/>
          <w:sz w:val="24"/>
          <w:szCs w:val="24"/>
          <w:u w:val="single"/>
        </w:rPr>
      </w:pPr>
      <w:r w:rsidRPr="001C4510">
        <w:rPr>
          <w:sz w:val="24"/>
          <w:szCs w:val="24"/>
          <w:u w:val="single"/>
        </w:rPr>
        <w:t xml:space="preserve">Pædiatrisk population (op til 12 år) </w:t>
      </w:r>
    </w:p>
    <w:p w:rsidR="001C4510" w:rsidRPr="001C4510" w:rsidRDefault="001C4510" w:rsidP="001C4510">
      <w:pPr>
        <w:tabs>
          <w:tab w:val="left" w:pos="851"/>
        </w:tabs>
        <w:ind w:left="851"/>
        <w:rPr>
          <w:i/>
          <w:iCs/>
          <w:sz w:val="24"/>
          <w:szCs w:val="24"/>
        </w:rPr>
      </w:pPr>
      <w:r w:rsidRPr="001C4510">
        <w:rPr>
          <w:i/>
          <w:sz w:val="24"/>
          <w:szCs w:val="24"/>
        </w:rPr>
        <w:t>Intravenøs injektion eller infusion</w:t>
      </w:r>
      <w:r w:rsidR="00BD5E8F">
        <w:rPr>
          <w:i/>
          <w:sz w:val="24"/>
          <w:szCs w:val="24"/>
        </w:rPr>
        <w:t>.</w:t>
      </w:r>
    </w:p>
    <w:p w:rsidR="001C4510" w:rsidRPr="001C4510" w:rsidRDefault="001C4510" w:rsidP="001C4510">
      <w:pPr>
        <w:tabs>
          <w:tab w:val="left" w:pos="851"/>
        </w:tabs>
        <w:ind w:left="851"/>
        <w:rPr>
          <w:i/>
          <w:iCs/>
          <w:sz w:val="24"/>
          <w:szCs w:val="24"/>
        </w:rPr>
      </w:pPr>
    </w:p>
    <w:tbl>
      <w:tblPr>
        <w:tblStyle w:val="Tabel-Gitter"/>
        <w:tblW w:w="9462" w:type="dxa"/>
        <w:tblInd w:w="846" w:type="dxa"/>
        <w:tblLook w:val="04A0" w:firstRow="1" w:lastRow="0" w:firstColumn="1" w:lastColumn="0" w:noHBand="0" w:noVBand="1"/>
      </w:tblPr>
      <w:tblGrid>
        <w:gridCol w:w="2551"/>
        <w:gridCol w:w="6911"/>
      </w:tblGrid>
      <w:tr w:rsidR="001C4510" w:rsidRPr="001C4510" w:rsidTr="006738FA">
        <w:tc>
          <w:tcPr>
            <w:tcW w:w="255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BD5E8F">
            <w:pPr>
              <w:ind w:left="33"/>
              <w:rPr>
                <w:b/>
                <w:bCs/>
                <w:sz w:val="24"/>
                <w:szCs w:val="24"/>
              </w:rPr>
            </w:pPr>
            <w:r w:rsidRPr="001C4510">
              <w:rPr>
                <w:b/>
                <w:sz w:val="24"/>
                <w:szCs w:val="24"/>
              </w:rPr>
              <w:t>Alder</w:t>
            </w:r>
          </w:p>
        </w:tc>
        <w:tc>
          <w:tcPr>
            <w:tcW w:w="691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6738FA">
            <w:pPr>
              <w:ind w:left="62"/>
              <w:rPr>
                <w:b/>
                <w:bCs/>
                <w:sz w:val="24"/>
                <w:szCs w:val="24"/>
                <w:vertAlign w:val="superscript"/>
              </w:rPr>
            </w:pPr>
            <w:r w:rsidRPr="001C4510">
              <w:rPr>
                <w:b/>
                <w:sz w:val="24"/>
                <w:szCs w:val="24"/>
              </w:rPr>
              <w:t>Dosis</w:t>
            </w:r>
            <w:r w:rsidRPr="001C4510">
              <w:rPr>
                <w:b/>
                <w:sz w:val="24"/>
                <w:szCs w:val="24"/>
                <w:vertAlign w:val="superscript"/>
              </w:rPr>
              <w:t>#</w:t>
            </w:r>
          </w:p>
        </w:tc>
      </w:tr>
      <w:tr w:rsidR="001C4510" w:rsidRPr="001C4510" w:rsidTr="006738FA">
        <w:tc>
          <w:tcPr>
            <w:tcW w:w="255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BD5E8F">
            <w:pPr>
              <w:ind w:left="33"/>
              <w:rPr>
                <w:sz w:val="24"/>
                <w:szCs w:val="24"/>
              </w:rPr>
            </w:pPr>
            <w:r w:rsidRPr="001C4510">
              <w:rPr>
                <w:sz w:val="24"/>
                <w:szCs w:val="24"/>
              </w:rPr>
              <w:t>Nyfødt &lt; 7 dage</w:t>
            </w:r>
          </w:p>
        </w:tc>
        <w:tc>
          <w:tcPr>
            <w:tcW w:w="691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6738FA">
            <w:pPr>
              <w:ind w:left="62"/>
              <w:rPr>
                <w:sz w:val="24"/>
                <w:szCs w:val="24"/>
              </w:rPr>
            </w:pPr>
            <w:r w:rsidRPr="001C4510">
              <w:rPr>
                <w:sz w:val="24"/>
                <w:szCs w:val="24"/>
              </w:rPr>
              <w:t xml:space="preserve">30 mg/kg hver 12. time. </w:t>
            </w:r>
          </w:p>
          <w:p w:rsidR="001C4510" w:rsidRPr="001C4510" w:rsidRDefault="001C4510" w:rsidP="006738FA">
            <w:pPr>
              <w:ind w:left="62"/>
              <w:rPr>
                <w:sz w:val="24"/>
                <w:szCs w:val="24"/>
              </w:rPr>
            </w:pPr>
            <w:r w:rsidRPr="001C4510">
              <w:rPr>
                <w:sz w:val="24"/>
                <w:szCs w:val="24"/>
              </w:rPr>
              <w:t>Dosis kan fordobles i tilfælde af alvorlig infektion.</w:t>
            </w:r>
          </w:p>
        </w:tc>
      </w:tr>
      <w:tr w:rsidR="001C4510" w:rsidRPr="001C4510" w:rsidTr="006738FA">
        <w:tc>
          <w:tcPr>
            <w:tcW w:w="255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BD5E8F">
            <w:pPr>
              <w:ind w:left="33"/>
              <w:rPr>
                <w:sz w:val="24"/>
                <w:szCs w:val="24"/>
              </w:rPr>
            </w:pPr>
            <w:r w:rsidRPr="001C4510">
              <w:rPr>
                <w:sz w:val="24"/>
                <w:szCs w:val="24"/>
              </w:rPr>
              <w:t>Nyfødt 7-21 dage</w:t>
            </w:r>
          </w:p>
        </w:tc>
        <w:tc>
          <w:tcPr>
            <w:tcW w:w="691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6738FA">
            <w:pPr>
              <w:ind w:left="62"/>
              <w:rPr>
                <w:sz w:val="24"/>
                <w:szCs w:val="24"/>
              </w:rPr>
            </w:pPr>
            <w:r w:rsidRPr="001C4510">
              <w:rPr>
                <w:sz w:val="24"/>
                <w:szCs w:val="24"/>
              </w:rPr>
              <w:t xml:space="preserve">30 mg/kg hver 8. time. </w:t>
            </w:r>
          </w:p>
          <w:p w:rsidR="001C4510" w:rsidRPr="001C4510" w:rsidRDefault="001C4510" w:rsidP="006738FA">
            <w:pPr>
              <w:ind w:left="62"/>
              <w:rPr>
                <w:sz w:val="24"/>
                <w:szCs w:val="24"/>
              </w:rPr>
            </w:pPr>
            <w:r w:rsidRPr="001C4510">
              <w:rPr>
                <w:sz w:val="24"/>
                <w:szCs w:val="24"/>
              </w:rPr>
              <w:t>Dosis kan fordobles i tilfælde af alvorlig infektion.</w:t>
            </w:r>
          </w:p>
        </w:tc>
      </w:tr>
      <w:tr w:rsidR="001C4510" w:rsidRPr="001C4510" w:rsidTr="006738FA">
        <w:tc>
          <w:tcPr>
            <w:tcW w:w="255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BD5E8F">
            <w:pPr>
              <w:ind w:left="33"/>
              <w:rPr>
                <w:sz w:val="24"/>
                <w:szCs w:val="24"/>
              </w:rPr>
            </w:pPr>
            <w:r w:rsidRPr="001C4510">
              <w:rPr>
                <w:sz w:val="24"/>
                <w:szCs w:val="24"/>
              </w:rPr>
              <w:t>Nyfødt 21-28 dage</w:t>
            </w:r>
          </w:p>
        </w:tc>
        <w:tc>
          <w:tcPr>
            <w:tcW w:w="691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6738FA">
            <w:pPr>
              <w:ind w:left="62"/>
              <w:rPr>
                <w:sz w:val="24"/>
                <w:szCs w:val="24"/>
              </w:rPr>
            </w:pPr>
            <w:r w:rsidRPr="001C4510">
              <w:rPr>
                <w:sz w:val="24"/>
                <w:szCs w:val="24"/>
              </w:rPr>
              <w:t xml:space="preserve">30 mg/kg hver 6. time. </w:t>
            </w:r>
          </w:p>
          <w:p w:rsidR="001C4510" w:rsidRPr="001C4510" w:rsidRDefault="001C4510" w:rsidP="006738FA">
            <w:pPr>
              <w:ind w:left="62"/>
              <w:rPr>
                <w:sz w:val="24"/>
                <w:szCs w:val="24"/>
              </w:rPr>
            </w:pPr>
            <w:r w:rsidRPr="001C4510">
              <w:rPr>
                <w:sz w:val="24"/>
                <w:szCs w:val="24"/>
              </w:rPr>
              <w:t>Dosis kan fordobles i tilfælde af alvorlig infektion.</w:t>
            </w:r>
          </w:p>
        </w:tc>
      </w:tr>
      <w:tr w:rsidR="001C4510" w:rsidRPr="001C4510" w:rsidTr="006738FA">
        <w:tc>
          <w:tcPr>
            <w:tcW w:w="255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BD5E8F">
            <w:pPr>
              <w:ind w:left="33"/>
              <w:rPr>
                <w:sz w:val="24"/>
                <w:szCs w:val="24"/>
              </w:rPr>
            </w:pPr>
            <w:r w:rsidRPr="001C4510">
              <w:rPr>
                <w:sz w:val="24"/>
                <w:szCs w:val="24"/>
              </w:rPr>
              <w:t xml:space="preserve">Børn 1 måned til 12 år </w:t>
            </w:r>
          </w:p>
        </w:tc>
        <w:tc>
          <w:tcPr>
            <w:tcW w:w="691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6738FA">
            <w:pPr>
              <w:ind w:left="62"/>
              <w:rPr>
                <w:sz w:val="24"/>
                <w:szCs w:val="24"/>
                <w:lang w:val="nb-NO"/>
              </w:rPr>
            </w:pPr>
            <w:r w:rsidRPr="001C4510">
              <w:rPr>
                <w:sz w:val="24"/>
                <w:szCs w:val="24"/>
                <w:lang w:val="nb-NO"/>
              </w:rPr>
              <w:t xml:space="preserve">25 mg/kg (maks. 1 g) hver 6. time. </w:t>
            </w:r>
          </w:p>
          <w:p w:rsidR="001C4510" w:rsidRPr="001C4510" w:rsidRDefault="001C4510" w:rsidP="006738FA">
            <w:pPr>
              <w:ind w:left="62"/>
              <w:rPr>
                <w:sz w:val="24"/>
                <w:szCs w:val="24"/>
              </w:rPr>
            </w:pPr>
            <w:r w:rsidRPr="001C4510">
              <w:rPr>
                <w:sz w:val="24"/>
                <w:szCs w:val="24"/>
                <w:lang w:val="nb-NO"/>
              </w:rPr>
              <w:t xml:space="preserve">Dosis kan fordobles til 50 mg/kg (maks. </w:t>
            </w:r>
            <w:r w:rsidRPr="001C4510">
              <w:rPr>
                <w:sz w:val="24"/>
                <w:szCs w:val="24"/>
              </w:rPr>
              <w:t>2 g) i tilfælde af alvorlig infektion.</w:t>
            </w:r>
          </w:p>
        </w:tc>
      </w:tr>
      <w:tr w:rsidR="001C4510" w:rsidRPr="001C4510" w:rsidTr="006738FA">
        <w:tc>
          <w:tcPr>
            <w:tcW w:w="2551" w:type="dxa"/>
            <w:tcBorders>
              <w:top w:val="single" w:sz="4" w:space="0" w:color="auto"/>
              <w:left w:val="single" w:sz="4" w:space="0" w:color="auto"/>
              <w:bottom w:val="single" w:sz="4" w:space="0" w:color="auto"/>
              <w:right w:val="single" w:sz="4" w:space="0" w:color="auto"/>
            </w:tcBorders>
          </w:tcPr>
          <w:p w:rsidR="001C4510" w:rsidRPr="001C4510" w:rsidRDefault="001C4510" w:rsidP="00BD5E8F">
            <w:pPr>
              <w:ind w:left="33"/>
              <w:rPr>
                <w:sz w:val="24"/>
                <w:szCs w:val="24"/>
              </w:rPr>
            </w:pPr>
          </w:p>
        </w:tc>
        <w:tc>
          <w:tcPr>
            <w:tcW w:w="6911" w:type="dxa"/>
            <w:tcBorders>
              <w:top w:val="single" w:sz="4" w:space="0" w:color="auto"/>
              <w:left w:val="single" w:sz="4" w:space="0" w:color="auto"/>
              <w:bottom w:val="single" w:sz="4" w:space="0" w:color="auto"/>
              <w:right w:val="single" w:sz="4" w:space="0" w:color="auto"/>
            </w:tcBorders>
            <w:hideMark/>
          </w:tcPr>
          <w:p w:rsidR="001C4510" w:rsidRPr="001C4510" w:rsidRDefault="001C4510" w:rsidP="006738FA">
            <w:pPr>
              <w:ind w:left="62"/>
              <w:rPr>
                <w:sz w:val="24"/>
                <w:szCs w:val="24"/>
              </w:rPr>
            </w:pPr>
            <w:r w:rsidRPr="001C4510">
              <w:rPr>
                <w:b/>
                <w:sz w:val="24"/>
                <w:szCs w:val="24"/>
                <w:vertAlign w:val="superscript"/>
              </w:rPr>
              <w:t>#</w:t>
            </w:r>
            <w:r w:rsidRPr="001C4510">
              <w:rPr>
                <w:sz w:val="24"/>
                <w:szCs w:val="24"/>
              </w:rPr>
              <w:t>Der skal tages hensyn til de officielle behandlingsretningslinjer for hver enkelt indikation.</w:t>
            </w:r>
          </w:p>
        </w:tc>
      </w:tr>
    </w:tbl>
    <w:p w:rsidR="001C4510" w:rsidRPr="001C4510" w:rsidRDefault="001C4510" w:rsidP="001C4510">
      <w:pPr>
        <w:tabs>
          <w:tab w:val="left" w:pos="851"/>
        </w:tabs>
        <w:ind w:left="851"/>
        <w:rPr>
          <w:i/>
          <w:iCs/>
          <w:sz w:val="24"/>
          <w:szCs w:val="24"/>
        </w:rPr>
      </w:pPr>
    </w:p>
    <w:p w:rsidR="001C4510" w:rsidRPr="001C4510" w:rsidRDefault="001C4510" w:rsidP="001C4510">
      <w:pPr>
        <w:tabs>
          <w:tab w:val="left" w:pos="851"/>
        </w:tabs>
        <w:ind w:left="851"/>
        <w:rPr>
          <w:iCs/>
          <w:sz w:val="24"/>
          <w:szCs w:val="24"/>
        </w:rPr>
      </w:pPr>
      <w:r w:rsidRPr="001C4510">
        <w:rPr>
          <w:sz w:val="24"/>
          <w:szCs w:val="24"/>
        </w:rPr>
        <w:t>Ved bakteriel meningitis kan den intravenøse dosis til børn øges til 400 mg/kg kropsvægt per dag, hvis det er nødvendigt.</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rPr>
      </w:pPr>
      <w:r w:rsidRPr="001C4510">
        <w:rPr>
          <w:sz w:val="24"/>
          <w:szCs w:val="24"/>
        </w:rPr>
        <w:t>Til profylakse mod endocarditis hos børn kan 50 mg/kg administreres intravenøst som en enkelt dosis 30 til 60 minutter før proceduren.</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u w:val="single"/>
        </w:rPr>
      </w:pPr>
      <w:r w:rsidRPr="001C4510">
        <w:rPr>
          <w:sz w:val="24"/>
          <w:szCs w:val="24"/>
          <w:u w:val="single"/>
        </w:rPr>
        <w:t>Behandlingskontrol</w:t>
      </w:r>
    </w:p>
    <w:p w:rsidR="001C4510" w:rsidRPr="001C4510" w:rsidRDefault="001C4510" w:rsidP="001C4510">
      <w:pPr>
        <w:tabs>
          <w:tab w:val="left" w:pos="851"/>
        </w:tabs>
        <w:ind w:left="851"/>
        <w:rPr>
          <w:iCs/>
          <w:sz w:val="24"/>
          <w:szCs w:val="24"/>
        </w:rPr>
      </w:pPr>
      <w:r w:rsidRPr="001C4510">
        <w:rPr>
          <w:sz w:val="24"/>
          <w:szCs w:val="24"/>
        </w:rPr>
        <w:t>Under langvarig behandling (&gt; 2</w:t>
      </w:r>
      <w:r w:rsidRPr="001C4510">
        <w:rPr>
          <w:sz w:val="24"/>
          <w:szCs w:val="24"/>
        </w:rPr>
        <w:noBreakHyphen/>
        <w:t>3 uger) bør lever- og nyrefunktion samt blodtal overvåges.</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rPr>
      </w:pPr>
      <w:r w:rsidRPr="001C4510">
        <w:rPr>
          <w:sz w:val="24"/>
          <w:szCs w:val="24"/>
        </w:rPr>
        <w:t xml:space="preserve">Ved bakteriel meningitis forårsaget af </w:t>
      </w:r>
      <w:r w:rsidRPr="001C4510">
        <w:rPr>
          <w:i/>
          <w:sz w:val="24"/>
          <w:szCs w:val="24"/>
        </w:rPr>
        <w:t>Listeria monocytogenes</w:t>
      </w:r>
      <w:r w:rsidRPr="001C4510">
        <w:rPr>
          <w:sz w:val="24"/>
          <w:szCs w:val="24"/>
        </w:rPr>
        <w:t xml:space="preserve"> og ved neonatal bakteriæmi bør ampicillin gives i kombination med andre antibakterielle midler.</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rPr>
      </w:pPr>
      <w:r w:rsidRPr="001C4510">
        <w:rPr>
          <w:sz w:val="24"/>
          <w:szCs w:val="24"/>
        </w:rPr>
        <w:t>Ved intra-abdominale infektioner bør ampicillin anvendes i kombination med andre passende antibakterielle midler, når anaerobe patogener og/eller gramnegative patogener vides eller mistænkes for at bidrage til den infektiøse proces.</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u w:val="single"/>
        </w:rPr>
      </w:pPr>
      <w:r w:rsidRPr="001C4510">
        <w:rPr>
          <w:sz w:val="24"/>
          <w:szCs w:val="24"/>
          <w:u w:val="single"/>
        </w:rPr>
        <w:t>Særlige populationer</w:t>
      </w:r>
    </w:p>
    <w:p w:rsidR="006738FA" w:rsidRDefault="006738FA" w:rsidP="001C4510">
      <w:pPr>
        <w:tabs>
          <w:tab w:val="left" w:pos="851"/>
        </w:tabs>
        <w:ind w:left="851"/>
        <w:rPr>
          <w:i/>
          <w:sz w:val="24"/>
          <w:szCs w:val="24"/>
        </w:rPr>
      </w:pPr>
    </w:p>
    <w:p w:rsidR="001C4510" w:rsidRPr="001C4510" w:rsidRDefault="001C4510" w:rsidP="001C4510">
      <w:pPr>
        <w:tabs>
          <w:tab w:val="left" w:pos="851"/>
        </w:tabs>
        <w:ind w:left="851"/>
        <w:rPr>
          <w:i/>
          <w:iCs/>
          <w:sz w:val="24"/>
          <w:szCs w:val="24"/>
        </w:rPr>
      </w:pPr>
      <w:r w:rsidRPr="001C4510">
        <w:rPr>
          <w:i/>
          <w:sz w:val="24"/>
          <w:szCs w:val="24"/>
        </w:rPr>
        <w:t>Nedsat nyrefunktion</w:t>
      </w:r>
    </w:p>
    <w:p w:rsidR="001C4510" w:rsidRPr="001C4510" w:rsidRDefault="001C4510" w:rsidP="001C4510">
      <w:pPr>
        <w:tabs>
          <w:tab w:val="left" w:pos="851"/>
        </w:tabs>
        <w:ind w:left="851"/>
        <w:rPr>
          <w:iCs/>
          <w:sz w:val="24"/>
          <w:szCs w:val="24"/>
        </w:rPr>
      </w:pPr>
      <w:r w:rsidRPr="001C4510">
        <w:rPr>
          <w:sz w:val="24"/>
          <w:szCs w:val="24"/>
        </w:rPr>
        <w:t>Der kræves ingen dosisjustering hos patienter med en kreatininclearance (CrCI) &gt; 30 ml/min.</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rPr>
      </w:pPr>
      <w:r w:rsidRPr="001C4510">
        <w:rPr>
          <w:sz w:val="24"/>
          <w:szCs w:val="24"/>
        </w:rPr>
        <w:t>I tilfælde af alvorlig nyreinsufficiens med glomerulær filtrationshastighed på 30 ml/min. og mindre anbefales en reduktion af dosis, da en ophobning af ampicillin må forventes:</w:t>
      </w:r>
    </w:p>
    <w:p w:rsidR="001C4510" w:rsidRPr="001C4510" w:rsidRDefault="001C4510" w:rsidP="001C4510">
      <w:pPr>
        <w:tabs>
          <w:tab w:val="left" w:pos="851"/>
        </w:tabs>
        <w:ind w:left="851"/>
        <w:rPr>
          <w:iCs/>
          <w:sz w:val="24"/>
          <w:szCs w:val="24"/>
        </w:rPr>
      </w:pPr>
      <w:r w:rsidRPr="001C4510">
        <w:rPr>
          <w:sz w:val="24"/>
          <w:szCs w:val="24"/>
        </w:rPr>
        <w:t>- Ved en kreatininclearance på 20 til 30 ml/min. skal den normale dosis reduceres til ⅔,</w:t>
      </w:r>
    </w:p>
    <w:p w:rsidR="001C4510" w:rsidRPr="001C4510" w:rsidRDefault="001C4510" w:rsidP="001C4510">
      <w:pPr>
        <w:tabs>
          <w:tab w:val="left" w:pos="851"/>
        </w:tabs>
        <w:ind w:left="851"/>
        <w:rPr>
          <w:iCs/>
          <w:sz w:val="24"/>
          <w:szCs w:val="24"/>
        </w:rPr>
      </w:pPr>
      <w:r w:rsidRPr="001C4510">
        <w:rPr>
          <w:sz w:val="24"/>
          <w:szCs w:val="24"/>
        </w:rPr>
        <w:t>- Ved en kreatininclearance under 20 ml/min. skal den normale dosis reduceres til ⅓.</w:t>
      </w:r>
    </w:p>
    <w:p w:rsidR="001C4510" w:rsidRPr="001C4510" w:rsidRDefault="001C4510" w:rsidP="001C4510">
      <w:pPr>
        <w:tabs>
          <w:tab w:val="left" w:pos="851"/>
        </w:tabs>
        <w:ind w:left="851"/>
        <w:rPr>
          <w:iCs/>
          <w:sz w:val="24"/>
          <w:szCs w:val="24"/>
        </w:rPr>
      </w:pPr>
    </w:p>
    <w:p w:rsidR="001C4510" w:rsidRPr="001C4510" w:rsidRDefault="001C4510" w:rsidP="001C4510">
      <w:pPr>
        <w:tabs>
          <w:tab w:val="left" w:pos="851"/>
        </w:tabs>
        <w:ind w:left="851"/>
        <w:rPr>
          <w:iCs/>
          <w:sz w:val="24"/>
          <w:szCs w:val="24"/>
        </w:rPr>
      </w:pPr>
      <w:r w:rsidRPr="001C4510">
        <w:rPr>
          <w:sz w:val="24"/>
          <w:szCs w:val="24"/>
        </w:rPr>
        <w:t xml:space="preserve">Som hovedregel bør en dosis på 1 g ampicillin hver 8. time ikke overskrides hos patienter med alvorlig nyreinsufficiens. </w:t>
      </w:r>
    </w:p>
    <w:p w:rsidR="001C4510" w:rsidRPr="001C4510" w:rsidRDefault="001C4510" w:rsidP="001C4510">
      <w:pPr>
        <w:tabs>
          <w:tab w:val="left" w:pos="851"/>
        </w:tabs>
        <w:ind w:left="851"/>
        <w:rPr>
          <w:iCs/>
          <w:sz w:val="24"/>
          <w:szCs w:val="24"/>
        </w:rPr>
      </w:pPr>
    </w:p>
    <w:p w:rsidR="001C4510" w:rsidRPr="006738FA" w:rsidRDefault="001C4510" w:rsidP="001C4510">
      <w:pPr>
        <w:tabs>
          <w:tab w:val="left" w:pos="851"/>
        </w:tabs>
        <w:ind w:left="851"/>
        <w:rPr>
          <w:b/>
          <w:sz w:val="24"/>
          <w:szCs w:val="24"/>
        </w:rPr>
      </w:pPr>
      <w:r w:rsidRPr="006738FA">
        <w:rPr>
          <w:b/>
          <w:sz w:val="24"/>
          <w:szCs w:val="24"/>
        </w:rPr>
        <w:t xml:space="preserve">Administration </w:t>
      </w:r>
    </w:p>
    <w:p w:rsidR="006738FA" w:rsidRDefault="006738FA" w:rsidP="001C4510">
      <w:pPr>
        <w:tabs>
          <w:tab w:val="left" w:pos="851"/>
        </w:tabs>
        <w:ind w:left="851"/>
        <w:rPr>
          <w:i/>
          <w:sz w:val="24"/>
          <w:szCs w:val="24"/>
          <w:lang w:val="fr-FR"/>
        </w:rPr>
      </w:pPr>
    </w:p>
    <w:p w:rsidR="001C4510" w:rsidRPr="0007289E" w:rsidRDefault="001C4510" w:rsidP="001C4510">
      <w:pPr>
        <w:tabs>
          <w:tab w:val="left" w:pos="851"/>
        </w:tabs>
        <w:ind w:left="851"/>
        <w:rPr>
          <w:sz w:val="24"/>
          <w:szCs w:val="24"/>
          <w:u w:val="single"/>
        </w:rPr>
      </w:pPr>
      <w:r w:rsidRPr="0007289E">
        <w:rPr>
          <w:sz w:val="24"/>
          <w:szCs w:val="24"/>
          <w:u w:val="single"/>
          <w:lang w:val="fr-FR"/>
        </w:rPr>
        <w:t>Amroliv 500 mg og 1g</w:t>
      </w:r>
      <w:r w:rsidR="00EE3DFF">
        <w:rPr>
          <w:sz w:val="24"/>
          <w:szCs w:val="24"/>
          <w:u w:val="single"/>
          <w:lang w:val="fr-FR"/>
        </w:rPr>
        <w:t xml:space="preserve"> </w:t>
      </w:r>
      <w:r w:rsidRPr="0007289E">
        <w:rPr>
          <w:sz w:val="24"/>
          <w:szCs w:val="24"/>
          <w:u w:val="single"/>
          <w:lang w:val="fr-FR"/>
        </w:rPr>
        <w:t>pulver til injektions-/infusionsvæske, opløsning</w:t>
      </w:r>
    </w:p>
    <w:p w:rsidR="001C4510" w:rsidRPr="001C4510" w:rsidRDefault="001C4510" w:rsidP="001C4510">
      <w:pPr>
        <w:tabs>
          <w:tab w:val="left" w:pos="851"/>
        </w:tabs>
        <w:ind w:left="851"/>
        <w:rPr>
          <w:sz w:val="24"/>
          <w:szCs w:val="24"/>
        </w:rPr>
      </w:pPr>
      <w:r w:rsidRPr="001C4510">
        <w:rPr>
          <w:sz w:val="24"/>
          <w:szCs w:val="24"/>
        </w:rPr>
        <w:t>Til intramuskulær og intravenøs administration.</w:t>
      </w:r>
    </w:p>
    <w:p w:rsidR="001C4510" w:rsidRPr="001C4510" w:rsidRDefault="001C4510" w:rsidP="001C4510">
      <w:pPr>
        <w:tabs>
          <w:tab w:val="left" w:pos="851"/>
        </w:tabs>
        <w:ind w:left="851"/>
        <w:rPr>
          <w:sz w:val="24"/>
          <w:szCs w:val="24"/>
        </w:rPr>
      </w:pPr>
      <w:r w:rsidRPr="001C4510">
        <w:rPr>
          <w:sz w:val="24"/>
          <w:szCs w:val="24"/>
        </w:rPr>
        <w:t>Intramuskulær eller intravenøs injektion, eller som intermitterende eller kontinuerlig infusion.</w:t>
      </w:r>
    </w:p>
    <w:p w:rsidR="001C4510" w:rsidRPr="001C4510" w:rsidRDefault="001C4510" w:rsidP="001C4510">
      <w:pPr>
        <w:tabs>
          <w:tab w:val="left" w:pos="851"/>
        </w:tabs>
        <w:ind w:left="851"/>
        <w:rPr>
          <w:sz w:val="24"/>
          <w:szCs w:val="24"/>
        </w:rPr>
      </w:pPr>
      <w:r w:rsidRPr="001C4510">
        <w:rPr>
          <w:sz w:val="24"/>
          <w:szCs w:val="24"/>
        </w:rPr>
        <w:t>Ved intramuskulær administration skal den normale grænse for injektionsvolumen overholdes.</w:t>
      </w:r>
    </w:p>
    <w:p w:rsidR="001C4510" w:rsidRPr="001C4510" w:rsidRDefault="001C4510" w:rsidP="001C4510">
      <w:pPr>
        <w:tabs>
          <w:tab w:val="left" w:pos="851"/>
        </w:tabs>
        <w:ind w:left="851"/>
        <w:rPr>
          <w:sz w:val="24"/>
          <w:szCs w:val="24"/>
        </w:rPr>
      </w:pPr>
    </w:p>
    <w:p w:rsidR="001C4510" w:rsidRPr="0007289E" w:rsidRDefault="001C4510" w:rsidP="001C4510">
      <w:pPr>
        <w:tabs>
          <w:tab w:val="left" w:pos="851"/>
        </w:tabs>
        <w:ind w:left="851"/>
        <w:rPr>
          <w:sz w:val="24"/>
          <w:szCs w:val="24"/>
          <w:u w:val="single"/>
        </w:rPr>
      </w:pPr>
      <w:r w:rsidRPr="0007289E">
        <w:rPr>
          <w:sz w:val="24"/>
          <w:szCs w:val="24"/>
          <w:u w:val="single"/>
          <w:lang w:val="fr-FR"/>
        </w:rPr>
        <w:t>Amroliv 2g</w:t>
      </w:r>
      <w:r w:rsidR="00EE3DFF">
        <w:rPr>
          <w:sz w:val="24"/>
          <w:szCs w:val="24"/>
          <w:u w:val="single"/>
          <w:lang w:val="fr-FR"/>
        </w:rPr>
        <w:t xml:space="preserve"> </w:t>
      </w:r>
      <w:r w:rsidRPr="0007289E">
        <w:rPr>
          <w:sz w:val="24"/>
          <w:szCs w:val="24"/>
          <w:u w:val="single"/>
          <w:lang w:val="fr-FR"/>
        </w:rPr>
        <w:t>pulver til injektions-/infusionsvæske, opløsning</w:t>
      </w:r>
    </w:p>
    <w:p w:rsidR="001C4510" w:rsidRPr="001C4510" w:rsidRDefault="001C4510" w:rsidP="001C4510">
      <w:pPr>
        <w:tabs>
          <w:tab w:val="left" w:pos="851"/>
        </w:tabs>
        <w:ind w:left="851"/>
        <w:rPr>
          <w:sz w:val="24"/>
          <w:szCs w:val="24"/>
        </w:rPr>
      </w:pPr>
      <w:r w:rsidRPr="001C4510">
        <w:rPr>
          <w:sz w:val="24"/>
          <w:szCs w:val="24"/>
        </w:rPr>
        <w:t>Kun til intravenøs administration.</w:t>
      </w:r>
    </w:p>
    <w:p w:rsidR="001C4510" w:rsidRPr="001C4510" w:rsidRDefault="001C4510" w:rsidP="001C4510">
      <w:pPr>
        <w:tabs>
          <w:tab w:val="left" w:pos="851"/>
        </w:tabs>
        <w:ind w:left="851"/>
        <w:rPr>
          <w:sz w:val="24"/>
          <w:szCs w:val="24"/>
        </w:rPr>
      </w:pPr>
      <w:r w:rsidRPr="001C4510">
        <w:rPr>
          <w:sz w:val="24"/>
          <w:szCs w:val="24"/>
        </w:rPr>
        <w:t>Intravenøs injektion, eller som intermitterende eller kontinuerlig infusion</w:t>
      </w:r>
    </w:p>
    <w:p w:rsidR="001C4510" w:rsidRPr="001C4510" w:rsidRDefault="001C4510" w:rsidP="001C4510">
      <w:pPr>
        <w:tabs>
          <w:tab w:val="left" w:pos="851"/>
        </w:tabs>
        <w:ind w:left="851"/>
        <w:rPr>
          <w:sz w:val="24"/>
          <w:szCs w:val="24"/>
        </w:rPr>
      </w:pPr>
    </w:p>
    <w:p w:rsidR="001C4510" w:rsidRPr="001C4510" w:rsidRDefault="001C4510" w:rsidP="001C4510">
      <w:pPr>
        <w:tabs>
          <w:tab w:val="left" w:pos="851"/>
        </w:tabs>
        <w:ind w:left="851"/>
        <w:rPr>
          <w:sz w:val="24"/>
          <w:szCs w:val="24"/>
        </w:rPr>
      </w:pPr>
      <w:r w:rsidRPr="001C4510">
        <w:rPr>
          <w:sz w:val="24"/>
          <w:szCs w:val="24"/>
        </w:rPr>
        <w:t xml:space="preserve">Amroliv kan administreres ved langsom intravenøs injektion over 5-10 minutter. En hurtig administration kan forårsage krampetrækninger. </w:t>
      </w:r>
    </w:p>
    <w:p w:rsidR="001C4510" w:rsidRPr="001C4510" w:rsidRDefault="001C4510" w:rsidP="001C4510">
      <w:pPr>
        <w:tabs>
          <w:tab w:val="left" w:pos="851"/>
        </w:tabs>
        <w:ind w:left="851"/>
        <w:rPr>
          <w:sz w:val="24"/>
          <w:szCs w:val="24"/>
        </w:rPr>
      </w:pPr>
      <w:r w:rsidRPr="001C4510">
        <w:rPr>
          <w:sz w:val="24"/>
          <w:szCs w:val="24"/>
        </w:rPr>
        <w:t>Amroliv kan administreres ved intravenøs infusion over 20-30 minutter. Ved kontinuerlig infusion skal der så vidt muligt anvendes en infusionspumpe.</w:t>
      </w:r>
    </w:p>
    <w:p w:rsidR="001C4510" w:rsidRPr="001C4510" w:rsidRDefault="001C4510" w:rsidP="001C4510">
      <w:pPr>
        <w:tabs>
          <w:tab w:val="left" w:pos="851"/>
        </w:tabs>
        <w:ind w:left="851"/>
        <w:rPr>
          <w:b/>
          <w:bCs/>
          <w:sz w:val="24"/>
          <w:szCs w:val="24"/>
        </w:rPr>
      </w:pPr>
    </w:p>
    <w:p w:rsidR="001C4510" w:rsidRPr="001C4510" w:rsidRDefault="001C4510" w:rsidP="001C4510">
      <w:pPr>
        <w:tabs>
          <w:tab w:val="left" w:pos="851"/>
        </w:tabs>
        <w:ind w:left="851"/>
        <w:rPr>
          <w:sz w:val="24"/>
          <w:szCs w:val="24"/>
        </w:rPr>
      </w:pPr>
      <w:r w:rsidRPr="001C4510">
        <w:rPr>
          <w:sz w:val="24"/>
          <w:szCs w:val="24"/>
        </w:rPr>
        <w:t>For anvisninger på rekonstitution/fortynding af lægemidlet før administration henvises der til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45370" w:rsidRPr="00E45370" w:rsidRDefault="00E45370" w:rsidP="00E45370">
      <w:pPr>
        <w:tabs>
          <w:tab w:val="left" w:pos="851"/>
        </w:tabs>
        <w:ind w:left="851"/>
        <w:rPr>
          <w:sz w:val="24"/>
          <w:szCs w:val="24"/>
        </w:rPr>
      </w:pPr>
      <w:r w:rsidRPr="00E45370">
        <w:rPr>
          <w:sz w:val="24"/>
          <w:szCs w:val="24"/>
        </w:rPr>
        <w:t>Overfølsomhed over for det aktive stof eller over for andre penicilliner.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45370" w:rsidRPr="00E45370" w:rsidRDefault="00E45370" w:rsidP="00E45370">
      <w:pPr>
        <w:tabs>
          <w:tab w:val="left" w:pos="851"/>
        </w:tabs>
        <w:ind w:left="851"/>
        <w:rPr>
          <w:b/>
          <w:sz w:val="24"/>
          <w:szCs w:val="24"/>
        </w:rPr>
      </w:pPr>
    </w:p>
    <w:p w:rsidR="00E45370" w:rsidRPr="00E45370" w:rsidRDefault="00E45370" w:rsidP="00E45370">
      <w:pPr>
        <w:tabs>
          <w:tab w:val="left" w:pos="851"/>
        </w:tabs>
        <w:ind w:left="851"/>
        <w:rPr>
          <w:sz w:val="24"/>
          <w:szCs w:val="24"/>
          <w:u w:val="single"/>
        </w:rPr>
      </w:pPr>
      <w:r w:rsidRPr="00E45370">
        <w:rPr>
          <w:sz w:val="24"/>
          <w:szCs w:val="24"/>
          <w:u w:val="single"/>
        </w:rPr>
        <w:t>Overfølsomhedsreaktioner</w:t>
      </w:r>
    </w:p>
    <w:p w:rsidR="00E45370" w:rsidRPr="00E45370" w:rsidRDefault="00E45370" w:rsidP="00E45370">
      <w:pPr>
        <w:tabs>
          <w:tab w:val="left" w:pos="851"/>
        </w:tabs>
        <w:ind w:left="851"/>
        <w:rPr>
          <w:sz w:val="24"/>
          <w:szCs w:val="24"/>
        </w:rPr>
      </w:pPr>
      <w:r w:rsidRPr="00E45370">
        <w:rPr>
          <w:sz w:val="24"/>
          <w:szCs w:val="24"/>
        </w:rPr>
        <w:t xml:space="preserve">Før initiering af behandlingen med ampicillin bør patienten nøje udspørges vedrørende tidligere overfølsomhedsreaktioner over for betalaktam-midler. Hvis der opstår allergiske reaktioner, bør behandlingen seponeres og støttende foranstaltninger iværksættes. Forsigtighed anbefales hos personer med atopi. Patienter med overfølsomhed over for penicillin kan udvise krydsfølsomhed over for cefalosporin. </w:t>
      </w:r>
    </w:p>
    <w:p w:rsidR="00E45370" w:rsidRPr="00E45370" w:rsidRDefault="00E45370" w:rsidP="00E45370">
      <w:pPr>
        <w:tabs>
          <w:tab w:val="left" w:pos="851"/>
        </w:tabs>
        <w:ind w:left="851"/>
        <w:rPr>
          <w:sz w:val="24"/>
          <w:szCs w:val="24"/>
        </w:rPr>
      </w:pPr>
      <w:r w:rsidRPr="00E45370">
        <w:rPr>
          <w:sz w:val="24"/>
          <w:szCs w:val="24"/>
        </w:rPr>
        <w:t xml:space="preserve">Hvis der opstår en allergisk reaktion (f.eks. urticaria, anafylaksi, astma, høfeber), skal ampicillinbehandlingen seponeres og en passende alternativ behandling iværksættes (adrenalin, antihistaminer og kortikoterapi). </w:t>
      </w:r>
    </w:p>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u w:val="single"/>
        </w:rPr>
      </w:pPr>
      <w:r w:rsidRPr="00E45370">
        <w:rPr>
          <w:sz w:val="24"/>
          <w:szCs w:val="24"/>
          <w:u w:val="single"/>
        </w:rPr>
        <w:t>Pseudomembranøs kolitis</w:t>
      </w:r>
    </w:p>
    <w:p w:rsidR="00E45370" w:rsidRPr="00E45370" w:rsidRDefault="00E45370" w:rsidP="00E45370">
      <w:pPr>
        <w:tabs>
          <w:tab w:val="left" w:pos="851"/>
        </w:tabs>
        <w:ind w:left="851"/>
        <w:rPr>
          <w:bCs/>
          <w:i/>
          <w:sz w:val="24"/>
          <w:szCs w:val="24"/>
        </w:rPr>
      </w:pPr>
      <w:r w:rsidRPr="00E45370">
        <w:rPr>
          <w:sz w:val="24"/>
          <w:szCs w:val="24"/>
        </w:rPr>
        <w:t xml:space="preserve">Der har været rapporteret om antibiotika-associeret kolitis og pseudomembranøs kolitis, som i sværhedsgrad har varieret fra milde til livstruende tilfælde, for næsten alle antibakterielle midler, herunder ampicillin. Det er derfor vigtigt at overveje denne diagnose hos patienter, som får diarré under eller efter administration af ampicillin (se pkt. 4.8). Behandlingen bør seponeres, og specifik behandling for </w:t>
      </w:r>
      <w:r w:rsidRPr="00E45370">
        <w:rPr>
          <w:i/>
          <w:sz w:val="24"/>
          <w:szCs w:val="24"/>
        </w:rPr>
        <w:t>Clostridium difficile</w:t>
      </w:r>
      <w:r w:rsidRPr="00E45370">
        <w:rPr>
          <w:sz w:val="24"/>
          <w:szCs w:val="24"/>
        </w:rPr>
        <w:t xml:space="preserve"> iværksættes. Antiperistaltiske lægemidler er kontraindiceret i denne situation. </w:t>
      </w:r>
    </w:p>
    <w:p w:rsidR="00E45370" w:rsidRPr="00E45370" w:rsidRDefault="00E45370" w:rsidP="00E45370">
      <w:pPr>
        <w:tabs>
          <w:tab w:val="left" w:pos="851"/>
        </w:tabs>
        <w:ind w:left="851"/>
        <w:rPr>
          <w:bCs/>
          <w:sz w:val="24"/>
          <w:szCs w:val="24"/>
        </w:rPr>
      </w:pPr>
    </w:p>
    <w:p w:rsidR="00E45370" w:rsidRPr="00E45370" w:rsidRDefault="00E45370" w:rsidP="00E45370">
      <w:pPr>
        <w:tabs>
          <w:tab w:val="left" w:pos="851"/>
        </w:tabs>
        <w:ind w:left="851"/>
        <w:rPr>
          <w:bCs/>
          <w:sz w:val="24"/>
          <w:szCs w:val="24"/>
          <w:u w:val="single"/>
        </w:rPr>
      </w:pPr>
      <w:r w:rsidRPr="00E45370">
        <w:rPr>
          <w:sz w:val="24"/>
          <w:szCs w:val="24"/>
          <w:u w:val="single"/>
        </w:rPr>
        <w:t>Infektiøs mononukleose, kronisk lymfatisk leukæmi</w:t>
      </w:r>
    </w:p>
    <w:p w:rsidR="00E45370" w:rsidRPr="00E45370" w:rsidRDefault="00E45370" w:rsidP="00E45370">
      <w:pPr>
        <w:tabs>
          <w:tab w:val="left" w:pos="851"/>
        </w:tabs>
        <w:ind w:left="851"/>
        <w:rPr>
          <w:bCs/>
          <w:sz w:val="24"/>
          <w:szCs w:val="24"/>
        </w:rPr>
      </w:pPr>
      <w:r w:rsidRPr="00E45370">
        <w:rPr>
          <w:sz w:val="24"/>
          <w:szCs w:val="24"/>
        </w:rPr>
        <w:t>En betydelig andel (op til 90 %) af patienter med infektiøs mononukleose eller lymfatisk leukæmi udvikler hududslæt, når de får ampicillin. Normalt begynder udslættet 7 til 10 dage efter påbegyndt behandling med ampicillin og fortsætter i flere dage eller op til en uge efter seponering. Hos de fleste patienter er dette makulopapulært, pruritisk og generaliseret. Brug af ampicillin til patienter med mononukleose anbefales derfor ikke. Det vides ikke, om disse patienter rent faktisk er allergiske over for ampicillin.</w:t>
      </w:r>
    </w:p>
    <w:p w:rsidR="00E45370" w:rsidRPr="00E45370" w:rsidRDefault="00E45370" w:rsidP="00E45370">
      <w:pPr>
        <w:tabs>
          <w:tab w:val="left" w:pos="851"/>
        </w:tabs>
        <w:ind w:left="851"/>
        <w:rPr>
          <w:bCs/>
          <w:i/>
          <w:sz w:val="24"/>
          <w:szCs w:val="24"/>
        </w:rPr>
      </w:pPr>
    </w:p>
    <w:p w:rsidR="00E45370" w:rsidRPr="00E45370" w:rsidRDefault="00E45370" w:rsidP="00E45370">
      <w:pPr>
        <w:tabs>
          <w:tab w:val="left" w:pos="851"/>
        </w:tabs>
        <w:ind w:left="851"/>
        <w:rPr>
          <w:sz w:val="24"/>
          <w:szCs w:val="24"/>
          <w:u w:val="single"/>
        </w:rPr>
      </w:pPr>
      <w:r w:rsidRPr="00E45370">
        <w:rPr>
          <w:sz w:val="24"/>
          <w:szCs w:val="24"/>
          <w:u w:val="single"/>
        </w:rPr>
        <w:t>Nedsat nyrefunktion</w:t>
      </w:r>
    </w:p>
    <w:p w:rsidR="00E45370" w:rsidRPr="00E45370" w:rsidRDefault="00E45370" w:rsidP="00E45370">
      <w:pPr>
        <w:tabs>
          <w:tab w:val="left" w:pos="851"/>
        </w:tabs>
        <w:ind w:left="851"/>
        <w:rPr>
          <w:sz w:val="24"/>
          <w:szCs w:val="24"/>
        </w:rPr>
      </w:pPr>
      <w:r w:rsidRPr="00E45370">
        <w:rPr>
          <w:sz w:val="24"/>
          <w:szCs w:val="24"/>
        </w:rPr>
        <w:t>Hos patienter med nedsat nyrefunktion bør dosis justeres i forhold til deres kreatininclearance (se pkt. 4.2); overvågning af nyrefunktionen tilrådes under behandlingen.</w:t>
      </w:r>
    </w:p>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rPr>
      </w:pPr>
      <w:r w:rsidRPr="00E45370">
        <w:rPr>
          <w:sz w:val="24"/>
          <w:szCs w:val="24"/>
          <w:u w:val="single"/>
        </w:rPr>
        <w:t>Vurdering af organsystemfunktioner</w:t>
      </w:r>
    </w:p>
    <w:p w:rsidR="00E45370" w:rsidRPr="00E45370" w:rsidRDefault="00E45370" w:rsidP="00E45370">
      <w:pPr>
        <w:tabs>
          <w:tab w:val="left" w:pos="851"/>
        </w:tabs>
        <w:ind w:left="851"/>
        <w:rPr>
          <w:sz w:val="24"/>
          <w:szCs w:val="24"/>
        </w:rPr>
      </w:pPr>
      <w:r w:rsidRPr="00E45370">
        <w:rPr>
          <w:sz w:val="24"/>
          <w:szCs w:val="24"/>
        </w:rPr>
        <w:t>Ved længere tids brug i høje doser anbefales det at vurdere leverfunktion, nyrefunktion og hæmatopoietisk funktion.</w:t>
      </w:r>
    </w:p>
    <w:p w:rsidR="00E45370" w:rsidRPr="00E45370" w:rsidRDefault="00E45370" w:rsidP="00E45370">
      <w:pPr>
        <w:tabs>
          <w:tab w:val="left" w:pos="851"/>
        </w:tabs>
        <w:ind w:left="851"/>
        <w:rPr>
          <w:sz w:val="24"/>
          <w:szCs w:val="24"/>
          <w:u w:val="single"/>
        </w:rPr>
      </w:pPr>
    </w:p>
    <w:p w:rsidR="00E45370" w:rsidRPr="00E45370" w:rsidRDefault="00E45370" w:rsidP="00E45370">
      <w:pPr>
        <w:tabs>
          <w:tab w:val="left" w:pos="851"/>
        </w:tabs>
        <w:ind w:left="851"/>
        <w:rPr>
          <w:sz w:val="24"/>
          <w:szCs w:val="24"/>
          <w:u w:val="single"/>
        </w:rPr>
      </w:pPr>
      <w:r w:rsidRPr="00E45370">
        <w:rPr>
          <w:sz w:val="24"/>
          <w:szCs w:val="24"/>
          <w:u w:val="single"/>
        </w:rPr>
        <w:t>Lægemiddelinducerede hæmatologiske lidelser</w:t>
      </w:r>
    </w:p>
    <w:p w:rsidR="00E45370" w:rsidRPr="00E45370" w:rsidRDefault="00E45370" w:rsidP="00E45370">
      <w:pPr>
        <w:tabs>
          <w:tab w:val="left" w:pos="851"/>
        </w:tabs>
        <w:ind w:left="851"/>
        <w:rPr>
          <w:sz w:val="24"/>
          <w:szCs w:val="24"/>
        </w:rPr>
      </w:pPr>
      <w:r w:rsidRPr="00E45370">
        <w:rPr>
          <w:sz w:val="24"/>
          <w:szCs w:val="24"/>
        </w:rPr>
        <w:t>Antistoftest anbefales, især ved hæmolytisk anæmi for at identificere øjeblikkelige reaktioner (se pkt. 4.8).</w:t>
      </w:r>
    </w:p>
    <w:p w:rsidR="00525013" w:rsidRDefault="00525013">
      <w:pPr>
        <w:rPr>
          <w:sz w:val="24"/>
          <w:szCs w:val="24"/>
        </w:rPr>
      </w:pPr>
      <w:r>
        <w:rPr>
          <w:sz w:val="24"/>
          <w:szCs w:val="24"/>
        </w:rPr>
        <w:br w:type="page"/>
      </w:r>
    </w:p>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u w:val="single"/>
        </w:rPr>
      </w:pPr>
      <w:r w:rsidRPr="00E45370">
        <w:rPr>
          <w:sz w:val="24"/>
          <w:szCs w:val="24"/>
          <w:u w:val="single"/>
        </w:rPr>
        <w:t>Forlængelse af protrombintid</w:t>
      </w:r>
    </w:p>
    <w:p w:rsidR="00E45370" w:rsidRPr="00E45370" w:rsidRDefault="00E45370" w:rsidP="00E45370">
      <w:pPr>
        <w:tabs>
          <w:tab w:val="left" w:pos="851"/>
        </w:tabs>
        <w:ind w:left="851"/>
        <w:rPr>
          <w:sz w:val="24"/>
          <w:szCs w:val="24"/>
        </w:rPr>
      </w:pPr>
      <w:r w:rsidRPr="00E45370">
        <w:rPr>
          <w:sz w:val="24"/>
          <w:szCs w:val="24"/>
        </w:rPr>
        <w:t xml:space="preserve">Forlængelse af protrombintid er blevet indberettet for patienter, der modtager ampicillin. Passende overvågning bør iværksættes ved samtidig ordination af antikoagulanter. Det kan være nødvendigt at justere dosis for de orale antikoagulanter (se pkt. 4.5 og 4.8). </w:t>
      </w:r>
    </w:p>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u w:val="single"/>
        </w:rPr>
      </w:pPr>
      <w:r w:rsidRPr="00E45370">
        <w:rPr>
          <w:sz w:val="24"/>
          <w:szCs w:val="24"/>
          <w:u w:val="single"/>
        </w:rPr>
        <w:t xml:space="preserve">Interferens med test for forekomst af glukose i urin </w:t>
      </w:r>
    </w:p>
    <w:p w:rsidR="00E45370" w:rsidRPr="00E45370" w:rsidRDefault="00E45370" w:rsidP="00E45370">
      <w:pPr>
        <w:tabs>
          <w:tab w:val="left" w:pos="851"/>
        </w:tabs>
        <w:ind w:left="851"/>
        <w:rPr>
          <w:sz w:val="24"/>
          <w:szCs w:val="24"/>
        </w:rPr>
      </w:pPr>
      <w:r w:rsidRPr="00E45370">
        <w:rPr>
          <w:sz w:val="24"/>
          <w:szCs w:val="24"/>
        </w:rPr>
        <w:t>Under behandling med ampicillin bør enzymatiske glukoseoxidasemetoder anvendes, når der testes for forekomst af glukose i urinen, fordi falske positive resultater kan optræde ved ikke</w:t>
      </w:r>
      <w:r w:rsidRPr="00E45370">
        <w:rPr>
          <w:sz w:val="24"/>
          <w:szCs w:val="24"/>
        </w:rPr>
        <w:noBreakHyphen/>
        <w:t>enzymatiske metoder.</w:t>
      </w:r>
    </w:p>
    <w:p w:rsidR="00E45370" w:rsidRPr="00E45370" w:rsidRDefault="00E45370" w:rsidP="00E45370">
      <w:pPr>
        <w:tabs>
          <w:tab w:val="left" w:pos="851"/>
        </w:tabs>
        <w:ind w:left="851"/>
        <w:rPr>
          <w:sz w:val="24"/>
          <w:szCs w:val="24"/>
        </w:rPr>
      </w:pPr>
      <w:bookmarkStart w:id="3" w:name="_Hlk90891998"/>
    </w:p>
    <w:p w:rsidR="00E45370" w:rsidRPr="00E45370" w:rsidRDefault="00E45370" w:rsidP="00E45370">
      <w:pPr>
        <w:tabs>
          <w:tab w:val="left" w:pos="851"/>
        </w:tabs>
        <w:ind w:left="851"/>
        <w:rPr>
          <w:i/>
          <w:sz w:val="24"/>
          <w:szCs w:val="24"/>
        </w:rPr>
      </w:pPr>
      <w:r w:rsidRPr="00E45370">
        <w:rPr>
          <w:i/>
          <w:sz w:val="24"/>
          <w:szCs w:val="24"/>
          <w:lang w:val="fr-FR"/>
        </w:rPr>
        <w:t>Amroliv 500 mg og 1g</w:t>
      </w:r>
      <w:r w:rsidR="00EE3DFF">
        <w:rPr>
          <w:i/>
          <w:sz w:val="24"/>
          <w:szCs w:val="24"/>
          <w:lang w:val="fr-FR"/>
        </w:rPr>
        <w:t xml:space="preserve"> </w:t>
      </w:r>
      <w:r w:rsidRPr="00E45370">
        <w:rPr>
          <w:i/>
          <w:sz w:val="24"/>
          <w:szCs w:val="24"/>
          <w:lang w:val="fr-FR"/>
        </w:rPr>
        <w:t>pulver til injektions-/infusionsvæske, opløsning</w:t>
      </w:r>
      <w:r w:rsidRPr="00E45370">
        <w:rPr>
          <w:sz w:val="24"/>
          <w:szCs w:val="24"/>
          <w:lang w:val="fr-FR"/>
        </w:rPr>
        <w:t>:</w:t>
      </w:r>
    </w:p>
    <w:p w:rsidR="00E45370" w:rsidRPr="00E45370" w:rsidRDefault="00E45370" w:rsidP="00E45370">
      <w:pPr>
        <w:tabs>
          <w:tab w:val="left" w:pos="851"/>
        </w:tabs>
        <w:ind w:left="851"/>
        <w:rPr>
          <w:sz w:val="24"/>
          <w:szCs w:val="24"/>
        </w:rPr>
      </w:pPr>
      <w:bookmarkStart w:id="4" w:name="_Hlk90893805"/>
      <w:r w:rsidRPr="00E45370">
        <w:rPr>
          <w:sz w:val="24"/>
          <w:szCs w:val="24"/>
        </w:rPr>
        <w:t>Administration af opløsninger intramuskulært kan forårsage smerter på injektionsstedet.</w:t>
      </w:r>
    </w:p>
    <w:bookmarkEnd w:id="4"/>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rPr>
      </w:pPr>
      <w:bookmarkStart w:id="5" w:name="_Hlk37059750"/>
      <w:bookmarkEnd w:id="3"/>
      <w:r w:rsidRPr="00E45370">
        <w:rPr>
          <w:b/>
          <w:sz w:val="24"/>
          <w:szCs w:val="24"/>
        </w:rPr>
        <w:t>Dette lægemiddel indeholder natrium</w:t>
      </w:r>
    </w:p>
    <w:p w:rsidR="00525013" w:rsidRDefault="00525013" w:rsidP="00E45370">
      <w:pPr>
        <w:tabs>
          <w:tab w:val="left" w:pos="851"/>
        </w:tabs>
        <w:ind w:left="851"/>
        <w:rPr>
          <w:i/>
          <w:sz w:val="24"/>
          <w:szCs w:val="24"/>
          <w:lang w:val="fr-FR"/>
        </w:rPr>
      </w:pPr>
    </w:p>
    <w:p w:rsidR="00E45370" w:rsidRPr="00874D30" w:rsidRDefault="00E45370" w:rsidP="00E45370">
      <w:pPr>
        <w:tabs>
          <w:tab w:val="left" w:pos="851"/>
        </w:tabs>
        <w:ind w:left="851"/>
        <w:rPr>
          <w:sz w:val="24"/>
          <w:szCs w:val="24"/>
          <w:u w:val="single"/>
        </w:rPr>
      </w:pPr>
      <w:r w:rsidRPr="00874D30">
        <w:rPr>
          <w:sz w:val="24"/>
          <w:szCs w:val="24"/>
          <w:u w:val="single"/>
          <w:lang w:val="fr-FR"/>
        </w:rPr>
        <w:t>Amroliv 500 mg pulver til injektions-/infusionsvæske, opløsning</w:t>
      </w:r>
    </w:p>
    <w:p w:rsidR="00E45370" w:rsidRPr="00E45370" w:rsidRDefault="00E45370" w:rsidP="00E45370">
      <w:pPr>
        <w:tabs>
          <w:tab w:val="left" w:pos="851"/>
        </w:tabs>
        <w:ind w:left="851"/>
        <w:rPr>
          <w:sz w:val="24"/>
          <w:szCs w:val="24"/>
        </w:rPr>
      </w:pPr>
      <w:r w:rsidRPr="00E45370">
        <w:rPr>
          <w:sz w:val="24"/>
          <w:szCs w:val="24"/>
        </w:rPr>
        <w:t>Dette lægemiddel indeholder cirka 33 mg natrium pr. hætteglas, svarende til 1,65 % af WHO's anbefalede maksimale daglige indtagelse af 2 g natrium for en voksen.</w:t>
      </w:r>
    </w:p>
    <w:p w:rsidR="00E45370" w:rsidRPr="00E45370" w:rsidRDefault="00E45370" w:rsidP="00E45370">
      <w:pPr>
        <w:tabs>
          <w:tab w:val="left" w:pos="851"/>
        </w:tabs>
        <w:ind w:left="851"/>
        <w:rPr>
          <w:sz w:val="24"/>
          <w:szCs w:val="24"/>
          <w:u w:val="single"/>
        </w:rPr>
      </w:pPr>
    </w:p>
    <w:p w:rsidR="00E45370" w:rsidRPr="00E45370" w:rsidRDefault="00E45370" w:rsidP="00E45370">
      <w:pPr>
        <w:tabs>
          <w:tab w:val="left" w:pos="851"/>
        </w:tabs>
        <w:ind w:left="851"/>
        <w:rPr>
          <w:sz w:val="24"/>
          <w:szCs w:val="24"/>
        </w:rPr>
      </w:pPr>
      <w:r w:rsidRPr="00E45370">
        <w:rPr>
          <w:sz w:val="24"/>
          <w:szCs w:val="24"/>
        </w:rPr>
        <w:t xml:space="preserve">Den maksimale anbefalede daglige dosis af dette lægemiddel svarer til 39,48 % af WHO's anbefalede maksimale daglige indtagelse af natrium. </w:t>
      </w:r>
    </w:p>
    <w:p w:rsidR="00E45370" w:rsidRPr="00E45370" w:rsidRDefault="00E45370" w:rsidP="00E45370">
      <w:pPr>
        <w:tabs>
          <w:tab w:val="left" w:pos="851"/>
        </w:tabs>
        <w:ind w:left="851"/>
        <w:rPr>
          <w:i/>
          <w:sz w:val="24"/>
          <w:szCs w:val="24"/>
          <w:lang w:val="fr-FR"/>
        </w:rPr>
      </w:pPr>
    </w:p>
    <w:p w:rsidR="00E45370" w:rsidRPr="00874D30" w:rsidRDefault="00E45370" w:rsidP="00E45370">
      <w:pPr>
        <w:tabs>
          <w:tab w:val="left" w:pos="851"/>
        </w:tabs>
        <w:ind w:left="851"/>
        <w:rPr>
          <w:sz w:val="24"/>
          <w:szCs w:val="24"/>
          <w:u w:val="single"/>
        </w:rPr>
      </w:pPr>
      <w:r w:rsidRPr="00874D30">
        <w:rPr>
          <w:sz w:val="24"/>
          <w:szCs w:val="24"/>
          <w:u w:val="single"/>
          <w:lang w:val="fr-FR"/>
        </w:rPr>
        <w:t>Amroliv 1g</w:t>
      </w:r>
      <w:r w:rsidR="00EE3DFF">
        <w:rPr>
          <w:sz w:val="24"/>
          <w:szCs w:val="24"/>
          <w:u w:val="single"/>
          <w:lang w:val="fr-FR"/>
        </w:rPr>
        <w:t xml:space="preserve"> </w:t>
      </w:r>
      <w:r w:rsidRPr="00874D30">
        <w:rPr>
          <w:sz w:val="24"/>
          <w:szCs w:val="24"/>
          <w:u w:val="single"/>
          <w:lang w:val="fr-FR"/>
        </w:rPr>
        <w:t>pulver til injektions-/infusionsvæske, opløsning</w:t>
      </w:r>
    </w:p>
    <w:p w:rsidR="00E45370" w:rsidRPr="00E45370" w:rsidRDefault="00E45370" w:rsidP="00E45370">
      <w:pPr>
        <w:tabs>
          <w:tab w:val="left" w:pos="851"/>
        </w:tabs>
        <w:ind w:left="851"/>
        <w:rPr>
          <w:sz w:val="24"/>
          <w:szCs w:val="24"/>
        </w:rPr>
      </w:pPr>
      <w:bookmarkStart w:id="6" w:name="_Hlk36719145"/>
      <w:r w:rsidRPr="00E45370">
        <w:rPr>
          <w:sz w:val="24"/>
          <w:szCs w:val="24"/>
        </w:rPr>
        <w:t>Dette lægemiddel indeholder cirka 66 mg natrium pr. hætteglas, svarende til 3,30 % af WHO's anbefalede maksimale daglige indtagelse af 2 g natrium for en voksen.</w:t>
      </w:r>
    </w:p>
    <w:bookmarkEnd w:id="6"/>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rPr>
      </w:pPr>
      <w:r w:rsidRPr="00E45370">
        <w:rPr>
          <w:sz w:val="24"/>
          <w:szCs w:val="24"/>
        </w:rPr>
        <w:t xml:space="preserve">Den maksimale anbefalede daglige dosis af dette lægemiddel svarer til 39,48 % af WHO's anbefalede maksimale daglige indtagelse af natrium. </w:t>
      </w:r>
    </w:p>
    <w:p w:rsidR="00E45370" w:rsidRPr="00E45370" w:rsidRDefault="00E45370" w:rsidP="00E45370">
      <w:pPr>
        <w:tabs>
          <w:tab w:val="left" w:pos="851"/>
        </w:tabs>
        <w:ind w:left="851"/>
        <w:rPr>
          <w:bCs/>
          <w:sz w:val="24"/>
          <w:szCs w:val="24"/>
        </w:rPr>
      </w:pPr>
    </w:p>
    <w:p w:rsidR="00E45370" w:rsidRPr="00874D30" w:rsidRDefault="00E45370" w:rsidP="00E45370">
      <w:pPr>
        <w:tabs>
          <w:tab w:val="left" w:pos="851"/>
        </w:tabs>
        <w:ind w:left="851"/>
        <w:rPr>
          <w:sz w:val="24"/>
          <w:szCs w:val="24"/>
          <w:u w:val="single"/>
        </w:rPr>
      </w:pPr>
      <w:r w:rsidRPr="00874D30">
        <w:rPr>
          <w:sz w:val="24"/>
          <w:szCs w:val="24"/>
          <w:u w:val="single"/>
          <w:lang w:val="fr-FR"/>
        </w:rPr>
        <w:t>Amroliv 2g</w:t>
      </w:r>
      <w:r w:rsidR="00EE3DFF">
        <w:rPr>
          <w:sz w:val="24"/>
          <w:szCs w:val="24"/>
          <w:u w:val="single"/>
          <w:lang w:val="fr-FR"/>
        </w:rPr>
        <w:t xml:space="preserve"> </w:t>
      </w:r>
      <w:r w:rsidRPr="00874D30">
        <w:rPr>
          <w:sz w:val="24"/>
          <w:szCs w:val="24"/>
          <w:u w:val="single"/>
          <w:lang w:val="fr-FR"/>
        </w:rPr>
        <w:t>pulver til injektions-/infusionsvæske, opløsning</w:t>
      </w:r>
    </w:p>
    <w:p w:rsidR="00E45370" w:rsidRPr="00E45370" w:rsidRDefault="00E45370" w:rsidP="00E45370">
      <w:pPr>
        <w:tabs>
          <w:tab w:val="left" w:pos="851"/>
        </w:tabs>
        <w:ind w:left="851"/>
        <w:rPr>
          <w:sz w:val="24"/>
          <w:szCs w:val="24"/>
        </w:rPr>
      </w:pPr>
      <w:r w:rsidRPr="00E45370">
        <w:rPr>
          <w:sz w:val="24"/>
          <w:szCs w:val="24"/>
        </w:rPr>
        <w:t>Dette lægemiddel indeholder cirka 132 mg natrium pr. hætteglas, svarende til 6,60 % af WHO's anbefalede maksimale daglige indtagelse af 2 g natrium for en voksen.</w:t>
      </w:r>
    </w:p>
    <w:p w:rsidR="00E45370" w:rsidRPr="00E45370" w:rsidRDefault="00E45370" w:rsidP="00E45370">
      <w:pPr>
        <w:tabs>
          <w:tab w:val="left" w:pos="851"/>
        </w:tabs>
        <w:ind w:left="851"/>
        <w:rPr>
          <w:sz w:val="24"/>
          <w:szCs w:val="24"/>
        </w:rPr>
      </w:pPr>
    </w:p>
    <w:p w:rsidR="00E45370" w:rsidRPr="00E45370" w:rsidRDefault="00E45370" w:rsidP="00E45370">
      <w:pPr>
        <w:tabs>
          <w:tab w:val="left" w:pos="851"/>
        </w:tabs>
        <w:ind w:left="851"/>
        <w:rPr>
          <w:sz w:val="24"/>
          <w:szCs w:val="24"/>
        </w:rPr>
      </w:pPr>
      <w:r w:rsidRPr="00E45370">
        <w:rPr>
          <w:sz w:val="24"/>
          <w:szCs w:val="24"/>
        </w:rPr>
        <w:t xml:space="preserve">Den maksimale anbefalede daglige dosis af dette lægemiddel svarer til 39,48 % af WHO's anbefalede maksimale daglige indtagelse af natrium. </w:t>
      </w:r>
    </w:p>
    <w:p w:rsidR="00E45370" w:rsidRPr="00E45370" w:rsidRDefault="00E45370" w:rsidP="00E45370">
      <w:pPr>
        <w:tabs>
          <w:tab w:val="left" w:pos="851"/>
        </w:tabs>
        <w:ind w:left="851"/>
        <w:rPr>
          <w:bCs/>
          <w:sz w:val="24"/>
          <w:szCs w:val="24"/>
        </w:rPr>
      </w:pPr>
    </w:p>
    <w:p w:rsidR="00E45370" w:rsidRPr="00E45370" w:rsidRDefault="00E45370" w:rsidP="00E45370">
      <w:pPr>
        <w:tabs>
          <w:tab w:val="left" w:pos="851"/>
        </w:tabs>
        <w:ind w:left="851"/>
        <w:rPr>
          <w:sz w:val="24"/>
          <w:szCs w:val="24"/>
        </w:rPr>
      </w:pPr>
      <w:r w:rsidRPr="00E45370">
        <w:rPr>
          <w:sz w:val="24"/>
          <w:szCs w:val="24"/>
        </w:rPr>
        <w:t xml:space="preserve">Amroliv betragtes som havende et højt natriumindhold. Dette bør især tages i betragtning for patienter, der er på en saltfattig diæt. </w:t>
      </w:r>
      <w:bookmarkEnd w:id="5"/>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918D4" w:rsidRPr="004918D4" w:rsidRDefault="004918D4" w:rsidP="004918D4">
      <w:pPr>
        <w:tabs>
          <w:tab w:val="left" w:pos="851"/>
        </w:tabs>
        <w:ind w:left="851"/>
        <w:rPr>
          <w:iCs/>
          <w:sz w:val="24"/>
          <w:szCs w:val="24"/>
          <w:u w:val="single"/>
        </w:rPr>
      </w:pPr>
    </w:p>
    <w:p w:rsidR="004918D4" w:rsidRPr="004918D4" w:rsidRDefault="004918D4" w:rsidP="004918D4">
      <w:pPr>
        <w:tabs>
          <w:tab w:val="left" w:pos="851"/>
        </w:tabs>
        <w:ind w:left="851"/>
        <w:rPr>
          <w:iCs/>
          <w:sz w:val="24"/>
          <w:szCs w:val="24"/>
          <w:u w:val="single"/>
        </w:rPr>
      </w:pPr>
      <w:r w:rsidRPr="004918D4">
        <w:rPr>
          <w:sz w:val="24"/>
          <w:szCs w:val="24"/>
          <w:u w:val="single"/>
        </w:rPr>
        <w:t>Allopurinol</w:t>
      </w:r>
    </w:p>
    <w:p w:rsidR="004918D4" w:rsidRPr="004918D4" w:rsidRDefault="004918D4" w:rsidP="004918D4">
      <w:pPr>
        <w:tabs>
          <w:tab w:val="left" w:pos="851"/>
        </w:tabs>
        <w:ind w:left="851"/>
        <w:rPr>
          <w:sz w:val="24"/>
          <w:szCs w:val="24"/>
        </w:rPr>
      </w:pPr>
      <w:r w:rsidRPr="004918D4">
        <w:rPr>
          <w:sz w:val="24"/>
          <w:szCs w:val="24"/>
        </w:rPr>
        <w:t xml:space="preserve">Samtidig brug af allopurinol under behandling med ampicillin kan øge risikoen for at udvikle allergiske hudreaktioner. </w:t>
      </w:r>
    </w:p>
    <w:p w:rsidR="004918D4" w:rsidRPr="004918D4" w:rsidRDefault="004918D4" w:rsidP="004918D4">
      <w:pPr>
        <w:tabs>
          <w:tab w:val="left" w:pos="851"/>
        </w:tabs>
        <w:ind w:left="851"/>
        <w:rPr>
          <w:iCs/>
          <w:sz w:val="24"/>
          <w:szCs w:val="24"/>
          <w:u w:val="single"/>
        </w:rPr>
      </w:pPr>
    </w:p>
    <w:p w:rsidR="004918D4" w:rsidRPr="004918D4" w:rsidRDefault="004918D4" w:rsidP="004918D4">
      <w:pPr>
        <w:tabs>
          <w:tab w:val="left" w:pos="851"/>
        </w:tabs>
        <w:ind w:left="851"/>
        <w:rPr>
          <w:iCs/>
          <w:sz w:val="24"/>
          <w:szCs w:val="24"/>
          <w:u w:val="single"/>
        </w:rPr>
      </w:pPr>
      <w:r w:rsidRPr="004918D4">
        <w:rPr>
          <w:sz w:val="24"/>
          <w:szCs w:val="24"/>
          <w:u w:val="single"/>
        </w:rPr>
        <w:t>Probenecid</w:t>
      </w:r>
    </w:p>
    <w:p w:rsidR="004918D4" w:rsidRPr="004918D4" w:rsidRDefault="004918D4" w:rsidP="004918D4">
      <w:pPr>
        <w:tabs>
          <w:tab w:val="left" w:pos="851"/>
        </w:tabs>
        <w:ind w:left="851"/>
        <w:rPr>
          <w:sz w:val="24"/>
          <w:szCs w:val="24"/>
        </w:rPr>
      </w:pPr>
      <w:r w:rsidRPr="004918D4">
        <w:rPr>
          <w:sz w:val="24"/>
          <w:szCs w:val="24"/>
        </w:rPr>
        <w:t>Probenecid hæmmer den renale tubulære sekretion af ampicillin. Samtidig brug af probenecid kan resultere i øgede og forlængede plasmakoncentrationer af ampicillin.</w:t>
      </w:r>
    </w:p>
    <w:p w:rsidR="004918D4" w:rsidRDefault="004918D4">
      <w:pPr>
        <w:rPr>
          <w:iCs/>
          <w:sz w:val="24"/>
          <w:szCs w:val="24"/>
          <w:u w:val="single"/>
        </w:rPr>
      </w:pPr>
      <w:r>
        <w:rPr>
          <w:iCs/>
          <w:sz w:val="24"/>
          <w:szCs w:val="24"/>
          <w:u w:val="single"/>
        </w:rPr>
        <w:br w:type="page"/>
      </w:r>
    </w:p>
    <w:p w:rsidR="004918D4" w:rsidRPr="004918D4" w:rsidRDefault="004918D4" w:rsidP="004918D4">
      <w:pPr>
        <w:tabs>
          <w:tab w:val="left" w:pos="851"/>
        </w:tabs>
        <w:ind w:left="851"/>
        <w:rPr>
          <w:iCs/>
          <w:sz w:val="24"/>
          <w:szCs w:val="24"/>
          <w:u w:val="single"/>
        </w:rPr>
      </w:pPr>
    </w:p>
    <w:p w:rsidR="004918D4" w:rsidRPr="004918D4" w:rsidRDefault="004918D4" w:rsidP="004918D4">
      <w:pPr>
        <w:tabs>
          <w:tab w:val="left" w:pos="851"/>
        </w:tabs>
        <w:ind w:left="851"/>
        <w:rPr>
          <w:sz w:val="24"/>
          <w:szCs w:val="24"/>
          <w:u w:val="single"/>
        </w:rPr>
      </w:pPr>
      <w:r w:rsidRPr="004918D4">
        <w:rPr>
          <w:sz w:val="24"/>
          <w:szCs w:val="24"/>
          <w:u w:val="single"/>
        </w:rPr>
        <w:t>Antikoagulanter</w:t>
      </w:r>
    </w:p>
    <w:p w:rsidR="004918D4" w:rsidRPr="004918D4" w:rsidRDefault="004918D4" w:rsidP="004918D4">
      <w:pPr>
        <w:tabs>
          <w:tab w:val="left" w:pos="851"/>
        </w:tabs>
        <w:ind w:left="851"/>
        <w:rPr>
          <w:sz w:val="24"/>
          <w:szCs w:val="24"/>
        </w:rPr>
      </w:pPr>
      <w:r w:rsidRPr="004918D4">
        <w:rPr>
          <w:sz w:val="24"/>
          <w:szCs w:val="24"/>
        </w:rPr>
        <w:t>Samtidig administration af antikoagulanter af coumarin-typen kan øge INR-niveauerne (International Normalised Ratio).</w:t>
      </w:r>
    </w:p>
    <w:p w:rsidR="004918D4" w:rsidRPr="009F41F7" w:rsidRDefault="004918D4" w:rsidP="004918D4">
      <w:pPr>
        <w:tabs>
          <w:tab w:val="left" w:pos="851"/>
        </w:tabs>
        <w:ind w:left="851"/>
        <w:rPr>
          <w:iCs/>
          <w:sz w:val="24"/>
          <w:szCs w:val="24"/>
          <w:u w:val="single"/>
        </w:rPr>
      </w:pPr>
    </w:p>
    <w:p w:rsidR="004918D4" w:rsidRPr="009F41F7" w:rsidRDefault="004918D4" w:rsidP="004918D4">
      <w:pPr>
        <w:tabs>
          <w:tab w:val="left" w:pos="851"/>
        </w:tabs>
        <w:ind w:left="851"/>
        <w:rPr>
          <w:sz w:val="24"/>
          <w:szCs w:val="24"/>
          <w:u w:val="single"/>
        </w:rPr>
      </w:pPr>
      <w:r w:rsidRPr="009F41F7">
        <w:rPr>
          <w:sz w:val="24"/>
          <w:szCs w:val="24"/>
          <w:u w:val="single"/>
        </w:rPr>
        <w:t>Methotrexat</w:t>
      </w:r>
    </w:p>
    <w:p w:rsidR="004918D4" w:rsidRPr="004918D4" w:rsidRDefault="004918D4" w:rsidP="004918D4">
      <w:pPr>
        <w:tabs>
          <w:tab w:val="left" w:pos="851"/>
        </w:tabs>
        <w:ind w:left="851"/>
        <w:rPr>
          <w:i/>
          <w:iCs/>
          <w:sz w:val="24"/>
          <w:szCs w:val="24"/>
          <w:u w:val="single"/>
        </w:rPr>
      </w:pPr>
      <w:r w:rsidRPr="004918D4">
        <w:rPr>
          <w:sz w:val="24"/>
          <w:szCs w:val="24"/>
        </w:rPr>
        <w:t>Ampicillin kan hæmme udskillelsen af methotrexat og derved øge serumkoncentrationen, hvilket kan øge methotrexatens toksicitet. Methotrexatniveauet i blodet bør overvåges.</w:t>
      </w:r>
    </w:p>
    <w:p w:rsidR="004918D4" w:rsidRPr="009F41F7" w:rsidRDefault="004918D4" w:rsidP="004918D4">
      <w:pPr>
        <w:tabs>
          <w:tab w:val="left" w:pos="851"/>
        </w:tabs>
        <w:ind w:left="851"/>
        <w:rPr>
          <w:iCs/>
          <w:sz w:val="24"/>
          <w:szCs w:val="24"/>
        </w:rPr>
      </w:pPr>
    </w:p>
    <w:p w:rsidR="004918D4" w:rsidRPr="009F41F7" w:rsidRDefault="004918D4" w:rsidP="004918D4">
      <w:pPr>
        <w:tabs>
          <w:tab w:val="left" w:pos="851"/>
        </w:tabs>
        <w:ind w:left="851"/>
        <w:rPr>
          <w:iCs/>
          <w:sz w:val="24"/>
          <w:szCs w:val="24"/>
          <w:u w:val="single"/>
        </w:rPr>
      </w:pPr>
      <w:r w:rsidRPr="009F41F7">
        <w:rPr>
          <w:sz w:val="24"/>
          <w:szCs w:val="24"/>
          <w:u w:val="single"/>
        </w:rPr>
        <w:t>Levende peroral tyfusvaccine</w:t>
      </w:r>
    </w:p>
    <w:p w:rsidR="004918D4" w:rsidRPr="004918D4" w:rsidRDefault="004918D4" w:rsidP="004918D4">
      <w:pPr>
        <w:tabs>
          <w:tab w:val="left" w:pos="851"/>
        </w:tabs>
        <w:ind w:left="851"/>
        <w:rPr>
          <w:sz w:val="24"/>
          <w:szCs w:val="24"/>
        </w:rPr>
      </w:pPr>
      <w:r w:rsidRPr="004918D4">
        <w:rPr>
          <w:sz w:val="24"/>
          <w:szCs w:val="24"/>
        </w:rPr>
        <w:t>Der bør gå 3 dage mellem indtagelse af en levende peroral tyfusvaccine og administration af antibiotika som ampicillin.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BA696E" w:rsidRDefault="00BA696E" w:rsidP="00BA696E">
      <w:pPr>
        <w:tabs>
          <w:tab w:val="left" w:pos="851"/>
        </w:tabs>
        <w:ind w:left="851"/>
        <w:rPr>
          <w:sz w:val="24"/>
          <w:szCs w:val="24"/>
          <w:u w:val="single"/>
        </w:rPr>
      </w:pPr>
    </w:p>
    <w:p w:rsidR="00BA696E" w:rsidRPr="00BA696E" w:rsidRDefault="00BA696E" w:rsidP="00BA696E">
      <w:pPr>
        <w:tabs>
          <w:tab w:val="left" w:pos="851"/>
        </w:tabs>
        <w:ind w:left="851"/>
        <w:rPr>
          <w:sz w:val="24"/>
          <w:szCs w:val="24"/>
          <w:u w:val="single"/>
        </w:rPr>
      </w:pPr>
      <w:r w:rsidRPr="00BA696E">
        <w:rPr>
          <w:sz w:val="24"/>
          <w:szCs w:val="24"/>
          <w:u w:val="single"/>
        </w:rPr>
        <w:t>Graviditet</w:t>
      </w:r>
    </w:p>
    <w:p w:rsidR="00BA696E" w:rsidRPr="00BA696E" w:rsidRDefault="00BA696E" w:rsidP="00BA696E">
      <w:pPr>
        <w:tabs>
          <w:tab w:val="left" w:pos="851"/>
        </w:tabs>
        <w:ind w:left="851"/>
        <w:rPr>
          <w:sz w:val="24"/>
          <w:szCs w:val="24"/>
        </w:rPr>
      </w:pPr>
      <w:r w:rsidRPr="00BA696E">
        <w:rPr>
          <w:sz w:val="24"/>
          <w:szCs w:val="24"/>
        </w:rPr>
        <w:t xml:space="preserve">Langvarig klinisk erfaring indikerer en lav risiko for bivirkninger for graviditet, fostre eller nyfødte spædbørn. Der er dog ingen omfattende kontrollerede undersøgelser af gravide kvinder. </w:t>
      </w:r>
    </w:p>
    <w:p w:rsidR="00BA696E" w:rsidRPr="00BA696E" w:rsidRDefault="00BA696E" w:rsidP="00BA696E">
      <w:pPr>
        <w:tabs>
          <w:tab w:val="left" w:pos="851"/>
        </w:tabs>
        <w:ind w:left="851"/>
        <w:rPr>
          <w:sz w:val="24"/>
          <w:szCs w:val="24"/>
        </w:rPr>
      </w:pPr>
      <w:r w:rsidRPr="00BA696E">
        <w:rPr>
          <w:sz w:val="24"/>
          <w:szCs w:val="24"/>
        </w:rPr>
        <w:t>Dette lægemiddel kan anvendes under graviditet, hvis den behandlende læge vurderer, at de potentielle fordele opvejer de potentielle risici for både moderen og barnet.</w:t>
      </w:r>
    </w:p>
    <w:p w:rsidR="00BA696E" w:rsidRPr="00BA696E" w:rsidRDefault="00BA696E" w:rsidP="00BA696E">
      <w:pPr>
        <w:tabs>
          <w:tab w:val="left" w:pos="851"/>
        </w:tabs>
        <w:ind w:left="851"/>
        <w:rPr>
          <w:sz w:val="24"/>
          <w:szCs w:val="24"/>
        </w:rPr>
      </w:pPr>
    </w:p>
    <w:p w:rsidR="00BA696E" w:rsidRPr="00BA696E" w:rsidRDefault="00BA696E" w:rsidP="00BA696E">
      <w:pPr>
        <w:tabs>
          <w:tab w:val="left" w:pos="851"/>
        </w:tabs>
        <w:ind w:left="851"/>
        <w:rPr>
          <w:sz w:val="24"/>
          <w:szCs w:val="24"/>
          <w:u w:val="single"/>
        </w:rPr>
      </w:pPr>
      <w:r w:rsidRPr="00BA696E">
        <w:rPr>
          <w:sz w:val="24"/>
          <w:szCs w:val="24"/>
          <w:u w:val="single"/>
        </w:rPr>
        <w:t>Amning</w:t>
      </w:r>
    </w:p>
    <w:p w:rsidR="00BA696E" w:rsidRPr="00BA696E" w:rsidRDefault="00BA696E" w:rsidP="00BA696E">
      <w:pPr>
        <w:tabs>
          <w:tab w:val="left" w:pos="851"/>
        </w:tabs>
        <w:ind w:left="851"/>
        <w:rPr>
          <w:sz w:val="24"/>
          <w:szCs w:val="24"/>
        </w:rPr>
      </w:pPr>
      <w:r w:rsidRPr="00BA696E">
        <w:rPr>
          <w:sz w:val="24"/>
          <w:szCs w:val="24"/>
        </w:rPr>
        <w:t xml:space="preserve">Ampicillin udskilles i modermælk i små mængder ved terapeutiske doser (1 µg/ml efter injektion af 2-4 g ampicillin). Spædbørn, der ammes, kan derfor udvikle overfølsomhedsreaktioner, diarré eller gærkolonisering på slimhinder, hvilket i nogle tilfælde kan nødvendiggøre afbrydelse af amningen. </w:t>
      </w:r>
    </w:p>
    <w:p w:rsidR="00BA696E" w:rsidRPr="00BA696E" w:rsidRDefault="00BA696E" w:rsidP="00BA696E">
      <w:pPr>
        <w:tabs>
          <w:tab w:val="left" w:pos="851"/>
        </w:tabs>
        <w:ind w:left="851"/>
        <w:rPr>
          <w:sz w:val="24"/>
          <w:szCs w:val="24"/>
          <w:u w:val="single"/>
        </w:rPr>
      </w:pPr>
    </w:p>
    <w:p w:rsidR="00BA696E" w:rsidRPr="00BA696E" w:rsidRDefault="00BA696E" w:rsidP="00BA696E">
      <w:pPr>
        <w:tabs>
          <w:tab w:val="left" w:pos="851"/>
        </w:tabs>
        <w:ind w:left="851"/>
        <w:rPr>
          <w:sz w:val="24"/>
          <w:szCs w:val="24"/>
          <w:u w:val="single"/>
        </w:rPr>
      </w:pPr>
      <w:r w:rsidRPr="00BA696E">
        <w:rPr>
          <w:sz w:val="24"/>
          <w:szCs w:val="24"/>
          <w:u w:val="single"/>
        </w:rPr>
        <w:t>Fertilitet</w:t>
      </w:r>
    </w:p>
    <w:p w:rsidR="00BA696E" w:rsidRPr="00BA696E" w:rsidRDefault="00BA696E" w:rsidP="00BA696E">
      <w:pPr>
        <w:tabs>
          <w:tab w:val="left" w:pos="851"/>
        </w:tabs>
        <w:ind w:left="851"/>
        <w:rPr>
          <w:sz w:val="24"/>
          <w:szCs w:val="24"/>
        </w:rPr>
      </w:pPr>
      <w:r w:rsidRPr="00BA696E">
        <w:rPr>
          <w:sz w:val="24"/>
          <w:szCs w:val="24"/>
        </w:rPr>
        <w:t>I dyreforsøg havde ampicillin ingen effekt på fertiliteten.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BA696E" w:rsidRDefault="00BA696E" w:rsidP="00BA696E">
      <w:pPr>
        <w:tabs>
          <w:tab w:val="left" w:pos="851"/>
        </w:tabs>
        <w:ind w:left="851"/>
        <w:rPr>
          <w:sz w:val="24"/>
          <w:szCs w:val="24"/>
        </w:rPr>
      </w:pPr>
      <w:r>
        <w:rPr>
          <w:sz w:val="24"/>
          <w:szCs w:val="24"/>
        </w:rPr>
        <w:t>Ikke mærkning.</w:t>
      </w:r>
    </w:p>
    <w:p w:rsidR="00BA696E" w:rsidRPr="00BA696E" w:rsidRDefault="00BA696E" w:rsidP="00BA696E">
      <w:pPr>
        <w:tabs>
          <w:tab w:val="left" w:pos="851"/>
        </w:tabs>
        <w:ind w:left="851"/>
        <w:rPr>
          <w:sz w:val="24"/>
          <w:szCs w:val="24"/>
        </w:rPr>
      </w:pPr>
      <w:r w:rsidRPr="00BA696E">
        <w:rPr>
          <w:sz w:val="24"/>
          <w:szCs w:val="24"/>
        </w:rPr>
        <w:t>Amroliv har ingen eller ubetydelig effekt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D643D" w:rsidRPr="004D643D" w:rsidRDefault="004D643D" w:rsidP="004D643D">
      <w:pPr>
        <w:tabs>
          <w:tab w:val="left" w:pos="851"/>
        </w:tabs>
        <w:ind w:left="851"/>
        <w:rPr>
          <w:sz w:val="24"/>
          <w:szCs w:val="24"/>
        </w:rPr>
      </w:pPr>
      <w:r w:rsidRPr="004D643D">
        <w:rPr>
          <w:sz w:val="24"/>
          <w:szCs w:val="24"/>
        </w:rPr>
        <w:t>Bivirkninger angives efter faldende sværhedsgrad inden for hver hyppighedsgruppering.</w:t>
      </w:r>
    </w:p>
    <w:p w:rsidR="004D643D" w:rsidRPr="004D643D" w:rsidRDefault="004D643D" w:rsidP="004D643D">
      <w:pPr>
        <w:tabs>
          <w:tab w:val="left" w:pos="851"/>
        </w:tabs>
        <w:ind w:left="851"/>
        <w:rPr>
          <w:sz w:val="24"/>
          <w:szCs w:val="24"/>
        </w:rPr>
      </w:pPr>
      <w:r w:rsidRPr="004D643D">
        <w:rPr>
          <w:sz w:val="24"/>
          <w:szCs w:val="24"/>
        </w:rPr>
        <w:t>Bivirkninger klassificeres som følger: Meget almindelig (≥ 1/10), Almindelig (≥ 1/100, &lt; 1/10), ikke almindelig (≥ 1/1.000, &lt; 1/100), Sjælden (≥ 1/10.000, &lt; 1/1.000), Meget sjælden (&lt; 1/10.000), Ikke kendt (kan ikke estimeres ud fra forhåndenværende data).</w:t>
      </w:r>
    </w:p>
    <w:p w:rsidR="004D643D" w:rsidRPr="004D643D" w:rsidRDefault="004D643D" w:rsidP="004D643D">
      <w:pPr>
        <w:tabs>
          <w:tab w:val="left" w:pos="851"/>
        </w:tabs>
        <w:ind w:left="851"/>
        <w:rPr>
          <w:sz w:val="24"/>
          <w:szCs w:val="24"/>
        </w:rPr>
      </w:pPr>
    </w:p>
    <w:tbl>
      <w:tblPr>
        <w:tblStyle w:val="Tabel-Gitter"/>
        <w:tblW w:w="0" w:type="auto"/>
        <w:tblInd w:w="108" w:type="dxa"/>
        <w:tblLook w:val="04A0" w:firstRow="1" w:lastRow="0" w:firstColumn="1" w:lastColumn="0" w:noHBand="0" w:noVBand="1"/>
      </w:tblPr>
      <w:tblGrid>
        <w:gridCol w:w="2912"/>
        <w:gridCol w:w="1483"/>
        <w:gridCol w:w="4677"/>
      </w:tblGrid>
      <w:tr w:rsidR="004D643D" w:rsidRPr="004D643D" w:rsidTr="004D643D">
        <w:tc>
          <w:tcPr>
            <w:tcW w:w="2912"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b/>
                <w:sz w:val="24"/>
                <w:szCs w:val="24"/>
              </w:rPr>
            </w:pPr>
            <w:r w:rsidRPr="004D643D">
              <w:rPr>
                <w:b/>
                <w:sz w:val="24"/>
                <w:szCs w:val="24"/>
              </w:rPr>
              <w:t>Systemorganklasse</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b/>
                <w:sz w:val="24"/>
                <w:szCs w:val="24"/>
              </w:rPr>
            </w:pPr>
            <w:r w:rsidRPr="004D643D">
              <w:rPr>
                <w:b/>
                <w:sz w:val="24"/>
                <w:szCs w:val="24"/>
              </w:rPr>
              <w:t>Hyppighed</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b/>
                <w:sz w:val="24"/>
                <w:szCs w:val="24"/>
              </w:rPr>
            </w:pPr>
            <w:r w:rsidRPr="004D643D">
              <w:rPr>
                <w:b/>
                <w:sz w:val="24"/>
                <w:szCs w:val="24"/>
              </w:rPr>
              <w:t>Bivirkninger</w:t>
            </w:r>
          </w:p>
        </w:tc>
      </w:tr>
      <w:tr w:rsidR="004D643D" w:rsidRPr="004D643D" w:rsidTr="004D643D">
        <w:tc>
          <w:tcPr>
            <w:tcW w:w="2912"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Infektioner og parasitære sygdomme</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Pseudomembranøs kolitis</w:t>
            </w:r>
          </w:p>
        </w:tc>
      </w:tr>
      <w:tr w:rsidR="004D643D" w:rsidRPr="004D643D" w:rsidTr="004D643D">
        <w:tc>
          <w:tcPr>
            <w:tcW w:w="2912"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bCs/>
                <w:sz w:val="24"/>
                <w:szCs w:val="24"/>
              </w:rPr>
              <w:t>Blod og lymfesystem</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almindeli</w:t>
            </w:r>
            <w:r>
              <w:rPr>
                <w:sz w:val="24"/>
                <w:szCs w:val="24"/>
              </w:rPr>
              <w:t>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Anæmi, trombocytopeni,</w:t>
            </w:r>
          </w:p>
          <w:p w:rsidR="004D643D" w:rsidRPr="004D643D" w:rsidRDefault="004D643D" w:rsidP="004D643D">
            <w:pPr>
              <w:ind w:left="58"/>
              <w:rPr>
                <w:sz w:val="24"/>
                <w:szCs w:val="24"/>
              </w:rPr>
            </w:pPr>
            <w:r w:rsidRPr="004D643D">
              <w:rPr>
                <w:sz w:val="24"/>
                <w:szCs w:val="24"/>
              </w:rPr>
              <w:t>eosinofili, leukopeni og</w:t>
            </w:r>
          </w:p>
          <w:p w:rsidR="004D643D" w:rsidRPr="004D643D" w:rsidRDefault="004D643D" w:rsidP="004D643D">
            <w:pPr>
              <w:ind w:left="58"/>
              <w:rPr>
                <w:sz w:val="24"/>
                <w:szCs w:val="24"/>
              </w:rPr>
            </w:pPr>
            <w:r w:rsidRPr="004D643D">
              <w:rPr>
                <w:sz w:val="24"/>
                <w:szCs w:val="24"/>
              </w:rPr>
              <w:t>agranulocytose</w:t>
            </w:r>
          </w:p>
        </w:tc>
      </w:tr>
      <w:tr w:rsidR="004D643D" w:rsidRPr="004D643D" w:rsidTr="004D643D">
        <w:tc>
          <w:tcPr>
            <w:tcW w:w="2912" w:type="dxa"/>
            <w:vMerge w:val="restart"/>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Immunsystemet</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Pruritus, hududslæt</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 xml:space="preserve">Serumsyge, angioneurotisk ødem, larynxødem, lægemiddelallergi, hæmolytisk </w:t>
            </w:r>
            <w:r w:rsidRPr="004D643D">
              <w:rPr>
                <w:sz w:val="24"/>
                <w:szCs w:val="24"/>
              </w:rPr>
              <w:lastRenderedPageBreak/>
              <w:t>anæmi, allergisk vaskulitis eller nefritis, vesikulerende hudreaktioner</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Sjælden</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Anafylaktisk reaktion, eksfoliativ dermatitis, Lyell's syndrom, eksudativ erythema multiforme, Steven-Johnson</w:t>
            </w:r>
            <w:r w:rsidR="00990B2A">
              <w:rPr>
                <w:sz w:val="24"/>
                <w:szCs w:val="24"/>
              </w:rPr>
              <w:t>s</w:t>
            </w:r>
            <w:r w:rsidRPr="004D643D">
              <w:rPr>
                <w:sz w:val="24"/>
                <w:szCs w:val="24"/>
              </w:rPr>
              <w:t xml:space="preserve"> syndrom</w:t>
            </w:r>
          </w:p>
        </w:tc>
      </w:tr>
      <w:tr w:rsidR="004D643D" w:rsidRPr="004D643D" w:rsidTr="004D643D">
        <w:tc>
          <w:tcPr>
            <w:tcW w:w="2912" w:type="dxa"/>
            <w:vMerge w:val="restart"/>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Mave-tarm-kanalen</w:t>
            </w:r>
            <w:r w:rsidR="00EE3DFF">
              <w:rPr>
                <w:sz w:val="24"/>
                <w:szCs w:val="24"/>
              </w:rPr>
              <w:t xml:space="preserve"> </w:t>
            </w:r>
            <w:r w:rsidRPr="004D643D">
              <w:rPr>
                <w:sz w:val="24"/>
                <w:szCs w:val="24"/>
                <w:lang w:val="el-GR"/>
              </w:rPr>
              <w:t xml:space="preserve"> </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Løs afføring</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Glossitis, stomatitis, kvalme,</w:t>
            </w:r>
          </w:p>
          <w:p w:rsidR="004D643D" w:rsidRPr="004D643D" w:rsidRDefault="004D643D" w:rsidP="004D643D">
            <w:pPr>
              <w:ind w:left="58"/>
              <w:rPr>
                <w:sz w:val="24"/>
                <w:szCs w:val="24"/>
              </w:rPr>
            </w:pPr>
            <w:r w:rsidRPr="004D643D">
              <w:rPr>
                <w:sz w:val="24"/>
                <w:szCs w:val="24"/>
              </w:rPr>
              <w:t>opkastning, enterocolitis, diarré</w:t>
            </w:r>
          </w:p>
        </w:tc>
      </w:tr>
      <w:tr w:rsidR="004D643D" w:rsidRPr="004D643D" w:rsidTr="004D643D">
        <w:tc>
          <w:tcPr>
            <w:tcW w:w="2912"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Nervesystemlidelser</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Sjælden</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Svimmelhed, hovedpine, myoklonus og kramper (ved nyreinsufficiens eller ved meget høje doser)</w:t>
            </w:r>
          </w:p>
        </w:tc>
      </w:tr>
      <w:tr w:rsidR="004D643D" w:rsidRPr="004D643D" w:rsidTr="004D643D">
        <w:tc>
          <w:tcPr>
            <w:tcW w:w="2912"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Lever- og galdeveje</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Sjælden</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 xml:space="preserve">hepatitis og cholestatisk icterus </w:t>
            </w:r>
          </w:p>
          <w:p w:rsidR="004D643D" w:rsidRPr="004D643D" w:rsidRDefault="004D643D" w:rsidP="004D643D">
            <w:pPr>
              <w:ind w:left="58"/>
              <w:rPr>
                <w:sz w:val="24"/>
                <w:szCs w:val="24"/>
              </w:rPr>
            </w:pPr>
            <w:r w:rsidRPr="004D643D">
              <w:rPr>
                <w:sz w:val="24"/>
                <w:szCs w:val="24"/>
              </w:rPr>
              <w:t>en moderat og forbigående stigning i transaminaser</w:t>
            </w:r>
          </w:p>
        </w:tc>
      </w:tr>
      <w:tr w:rsidR="004D643D" w:rsidRPr="004D643D" w:rsidTr="004D643D">
        <w:tc>
          <w:tcPr>
            <w:tcW w:w="2912" w:type="dxa"/>
            <w:vMerge w:val="restart"/>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Hud- og subkutane vævs</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Eksantem</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Urticaria</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Sjælden</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Eksfoliativ dermatitis og erythema multiforme</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kendt</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Akut generaliseret eksantematøs pustulose (AGEP)</w:t>
            </w:r>
          </w:p>
        </w:tc>
      </w:tr>
      <w:tr w:rsidR="004D643D" w:rsidRPr="004D643D" w:rsidTr="004D643D">
        <w:tc>
          <w:tcPr>
            <w:tcW w:w="2912" w:type="dxa"/>
            <w:vMerge w:val="restart"/>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Nyre- og urinvej</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Ikke almindelig</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Krystalluri</w:t>
            </w:r>
          </w:p>
        </w:tc>
      </w:tr>
      <w:tr w:rsidR="004D643D" w:rsidRPr="004D643D" w:rsidTr="004D643D">
        <w:tc>
          <w:tcPr>
            <w:tcW w:w="0" w:type="auto"/>
            <w:vMerge/>
            <w:tcBorders>
              <w:top w:val="single" w:sz="4" w:space="0" w:color="auto"/>
              <w:left w:val="single" w:sz="4" w:space="0" w:color="auto"/>
              <w:bottom w:val="single" w:sz="4" w:space="0" w:color="auto"/>
              <w:right w:val="single" w:sz="4" w:space="0" w:color="auto"/>
            </w:tcBorders>
            <w:vAlign w:val="center"/>
            <w:hideMark/>
          </w:tcPr>
          <w:p w:rsidR="004D643D" w:rsidRPr="004D643D" w:rsidRDefault="004D643D" w:rsidP="004D643D">
            <w:pPr>
              <w:rPr>
                <w:sz w:val="24"/>
                <w:szCs w:val="24"/>
              </w:rPr>
            </w:pP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Sjælden</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Akut interstitiel nefritis (ved intravenøs administration af høje doser)</w:t>
            </w:r>
          </w:p>
        </w:tc>
      </w:tr>
      <w:tr w:rsidR="004D643D" w:rsidRPr="004D643D" w:rsidTr="004D643D">
        <w:tc>
          <w:tcPr>
            <w:tcW w:w="2912"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rPr>
                <w:sz w:val="24"/>
                <w:szCs w:val="24"/>
              </w:rPr>
            </w:pPr>
            <w:r w:rsidRPr="004D643D">
              <w:rPr>
                <w:sz w:val="24"/>
                <w:szCs w:val="24"/>
              </w:rPr>
              <w:t>Almene symptomer og reaktioner på administrationsstedet</w:t>
            </w:r>
          </w:p>
        </w:tc>
        <w:tc>
          <w:tcPr>
            <w:tcW w:w="1483"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69"/>
              <w:rPr>
                <w:sz w:val="24"/>
                <w:szCs w:val="24"/>
              </w:rPr>
            </w:pPr>
            <w:r w:rsidRPr="004D643D">
              <w:rPr>
                <w:sz w:val="24"/>
                <w:szCs w:val="24"/>
              </w:rPr>
              <w:t>Sjælden</w:t>
            </w:r>
          </w:p>
        </w:tc>
        <w:tc>
          <w:tcPr>
            <w:tcW w:w="4677" w:type="dxa"/>
            <w:tcBorders>
              <w:top w:val="single" w:sz="4" w:space="0" w:color="auto"/>
              <w:left w:val="single" w:sz="4" w:space="0" w:color="auto"/>
              <w:bottom w:val="single" w:sz="4" w:space="0" w:color="auto"/>
              <w:right w:val="single" w:sz="4" w:space="0" w:color="auto"/>
            </w:tcBorders>
            <w:hideMark/>
          </w:tcPr>
          <w:p w:rsidR="004D643D" w:rsidRPr="004D643D" w:rsidRDefault="004D643D" w:rsidP="004D643D">
            <w:pPr>
              <w:ind w:left="58"/>
              <w:rPr>
                <w:sz w:val="24"/>
                <w:szCs w:val="24"/>
              </w:rPr>
            </w:pPr>
            <w:r w:rsidRPr="004D643D">
              <w:rPr>
                <w:sz w:val="24"/>
                <w:szCs w:val="24"/>
              </w:rPr>
              <w:t>Smerter og hævelse på administrationsstedet</w:t>
            </w:r>
          </w:p>
        </w:tc>
      </w:tr>
    </w:tbl>
    <w:p w:rsidR="004D643D" w:rsidRPr="004D643D" w:rsidRDefault="004D643D" w:rsidP="004D643D">
      <w:pPr>
        <w:tabs>
          <w:tab w:val="left" w:pos="851"/>
        </w:tabs>
        <w:ind w:left="851"/>
        <w:rPr>
          <w:sz w:val="24"/>
          <w:szCs w:val="24"/>
        </w:rPr>
      </w:pPr>
    </w:p>
    <w:p w:rsidR="004D643D" w:rsidRPr="004D643D" w:rsidRDefault="004D643D" w:rsidP="004D643D">
      <w:pPr>
        <w:tabs>
          <w:tab w:val="left" w:pos="851"/>
        </w:tabs>
        <w:ind w:left="851"/>
        <w:rPr>
          <w:sz w:val="24"/>
          <w:szCs w:val="24"/>
        </w:rPr>
      </w:pPr>
      <w:r w:rsidRPr="004D643D">
        <w:rPr>
          <w:sz w:val="24"/>
          <w:szCs w:val="24"/>
        </w:rPr>
        <w:t xml:space="preserve">Svampeinfektion i munden og i genitalområdet kan forekomme. </w:t>
      </w:r>
    </w:p>
    <w:p w:rsidR="004D643D" w:rsidRPr="004D643D" w:rsidRDefault="004D643D" w:rsidP="004D643D">
      <w:pPr>
        <w:tabs>
          <w:tab w:val="left" w:pos="851"/>
        </w:tabs>
        <w:ind w:left="851"/>
        <w:rPr>
          <w:sz w:val="24"/>
          <w:szCs w:val="24"/>
        </w:rPr>
      </w:pPr>
    </w:p>
    <w:p w:rsidR="004D643D" w:rsidRPr="004D643D" w:rsidRDefault="004D643D" w:rsidP="004D643D">
      <w:pPr>
        <w:tabs>
          <w:tab w:val="left" w:pos="851"/>
        </w:tabs>
        <w:ind w:left="851"/>
        <w:rPr>
          <w:i/>
          <w:sz w:val="24"/>
          <w:szCs w:val="24"/>
        </w:rPr>
      </w:pPr>
      <w:r w:rsidRPr="004D643D">
        <w:rPr>
          <w:i/>
          <w:sz w:val="24"/>
          <w:szCs w:val="24"/>
          <w:lang w:val="fr-FR"/>
        </w:rPr>
        <w:t>Amroliv 500 mg og 1g</w:t>
      </w:r>
      <w:r w:rsidR="00EE3DFF">
        <w:rPr>
          <w:i/>
          <w:sz w:val="24"/>
          <w:szCs w:val="24"/>
          <w:lang w:val="fr-FR"/>
        </w:rPr>
        <w:t xml:space="preserve"> </w:t>
      </w:r>
      <w:r w:rsidRPr="004D643D">
        <w:rPr>
          <w:i/>
          <w:sz w:val="24"/>
          <w:szCs w:val="24"/>
          <w:lang w:val="fr-FR"/>
        </w:rPr>
        <w:t>pulver til injektions-/infusionsvæske, opløsning</w:t>
      </w:r>
    </w:p>
    <w:p w:rsidR="004D643D" w:rsidRPr="004D643D" w:rsidRDefault="004D643D" w:rsidP="004D643D">
      <w:pPr>
        <w:tabs>
          <w:tab w:val="left" w:pos="851"/>
        </w:tabs>
        <w:ind w:left="851"/>
        <w:rPr>
          <w:sz w:val="24"/>
          <w:szCs w:val="24"/>
        </w:rPr>
      </w:pPr>
      <w:r w:rsidRPr="004D643D">
        <w:rPr>
          <w:sz w:val="24"/>
          <w:szCs w:val="24"/>
        </w:rPr>
        <w:t>Lokale smerter kan forekomme ved intramuskulær injektion.</w:t>
      </w:r>
    </w:p>
    <w:p w:rsidR="004D643D" w:rsidRPr="004D643D" w:rsidRDefault="004D643D" w:rsidP="004D643D">
      <w:pPr>
        <w:tabs>
          <w:tab w:val="left" w:pos="851"/>
        </w:tabs>
        <w:ind w:left="851"/>
        <w:rPr>
          <w:sz w:val="24"/>
          <w:szCs w:val="24"/>
        </w:rPr>
      </w:pPr>
    </w:p>
    <w:p w:rsidR="004D643D" w:rsidRPr="004D643D" w:rsidRDefault="004D643D" w:rsidP="004D643D">
      <w:pPr>
        <w:tabs>
          <w:tab w:val="left" w:pos="851"/>
        </w:tabs>
        <w:ind w:left="851"/>
        <w:rPr>
          <w:sz w:val="24"/>
          <w:szCs w:val="24"/>
        </w:rPr>
      </w:pPr>
      <w:r w:rsidRPr="004D643D">
        <w:rPr>
          <w:sz w:val="24"/>
          <w:szCs w:val="24"/>
        </w:rPr>
        <w:t>Ved mononukleoseinfektion er hyppigheden af eksantem høj. En forhøjet frekvens af eksantem er også observeret ved leukæmi.</w:t>
      </w:r>
    </w:p>
    <w:p w:rsidR="004D643D" w:rsidRPr="004D643D" w:rsidRDefault="004D643D" w:rsidP="004D643D">
      <w:pPr>
        <w:tabs>
          <w:tab w:val="left" w:pos="851"/>
        </w:tabs>
        <w:ind w:left="851"/>
        <w:rPr>
          <w:sz w:val="24"/>
          <w:szCs w:val="24"/>
        </w:rPr>
      </w:pPr>
      <w:r w:rsidRPr="004D643D">
        <w:rPr>
          <w:sz w:val="24"/>
          <w:szCs w:val="24"/>
        </w:rPr>
        <w:t>Forhøjede ASAT-værdier har vist sig at forekomme på grund af lokal frigivelse på injektionsstedet og behøver ikke at indikere leverpåvirkning.</w:t>
      </w:r>
    </w:p>
    <w:p w:rsidR="004D643D" w:rsidRPr="004D643D" w:rsidRDefault="004D643D" w:rsidP="004D643D">
      <w:pPr>
        <w:tabs>
          <w:tab w:val="left" w:pos="851"/>
        </w:tabs>
        <w:ind w:left="851"/>
        <w:rPr>
          <w:sz w:val="24"/>
          <w:szCs w:val="24"/>
        </w:rPr>
      </w:pPr>
      <w:r w:rsidRPr="004D643D">
        <w:rPr>
          <w:sz w:val="24"/>
          <w:szCs w:val="24"/>
        </w:rPr>
        <w:t>For behandling af anafylaktisk reaktion se pkt. 4.9.</w:t>
      </w:r>
    </w:p>
    <w:p w:rsidR="004D643D" w:rsidRPr="004D643D" w:rsidRDefault="004D643D" w:rsidP="004D643D">
      <w:pPr>
        <w:tabs>
          <w:tab w:val="left" w:pos="851"/>
        </w:tabs>
        <w:ind w:left="851"/>
        <w:rPr>
          <w:bCs/>
          <w:sz w:val="24"/>
          <w:szCs w:val="24"/>
          <w:u w:val="single"/>
        </w:rPr>
      </w:pPr>
    </w:p>
    <w:p w:rsidR="004D643D" w:rsidRPr="004D643D" w:rsidRDefault="004D643D" w:rsidP="004D643D">
      <w:pPr>
        <w:tabs>
          <w:tab w:val="left" w:pos="851"/>
        </w:tabs>
        <w:ind w:left="851"/>
        <w:rPr>
          <w:bCs/>
          <w:sz w:val="24"/>
          <w:szCs w:val="24"/>
          <w:u w:val="single"/>
        </w:rPr>
      </w:pPr>
      <w:r w:rsidRPr="004D643D">
        <w:rPr>
          <w:sz w:val="24"/>
          <w:szCs w:val="24"/>
          <w:u w:val="single"/>
        </w:rPr>
        <w:t>Indberetning af formodede bivirkninger</w:t>
      </w:r>
    </w:p>
    <w:p w:rsidR="004D643D" w:rsidRDefault="004D643D" w:rsidP="004D643D">
      <w:pPr>
        <w:tabs>
          <w:tab w:val="left" w:pos="851"/>
        </w:tabs>
        <w:ind w:left="851"/>
        <w:rPr>
          <w:sz w:val="24"/>
          <w:szCs w:val="24"/>
        </w:rPr>
      </w:pPr>
      <w:bookmarkStart w:id="7" w:name="_Hlk37068720"/>
      <w:r w:rsidRPr="004D643D">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990B2A" w:rsidRPr="004D643D" w:rsidRDefault="00990B2A" w:rsidP="004D643D">
      <w:pPr>
        <w:tabs>
          <w:tab w:val="left" w:pos="851"/>
        </w:tabs>
        <w:ind w:left="851"/>
        <w:rPr>
          <w:sz w:val="24"/>
          <w:szCs w:val="24"/>
        </w:rPr>
      </w:pPr>
    </w:p>
    <w:p w:rsidR="004D643D" w:rsidRPr="004D643D" w:rsidRDefault="004D643D" w:rsidP="004D643D">
      <w:pPr>
        <w:tabs>
          <w:tab w:val="left" w:pos="851"/>
        </w:tabs>
        <w:ind w:left="851"/>
        <w:rPr>
          <w:sz w:val="24"/>
          <w:szCs w:val="24"/>
        </w:rPr>
      </w:pPr>
      <w:r w:rsidRPr="004D643D">
        <w:rPr>
          <w:sz w:val="24"/>
          <w:szCs w:val="24"/>
        </w:rPr>
        <w:t>Lægemiddelstyrelsen</w:t>
      </w:r>
    </w:p>
    <w:p w:rsidR="004D643D" w:rsidRPr="004D643D" w:rsidRDefault="004D643D" w:rsidP="004D643D">
      <w:pPr>
        <w:tabs>
          <w:tab w:val="left" w:pos="851"/>
        </w:tabs>
        <w:ind w:left="851"/>
        <w:rPr>
          <w:sz w:val="24"/>
          <w:szCs w:val="24"/>
        </w:rPr>
      </w:pPr>
      <w:r w:rsidRPr="004D643D">
        <w:rPr>
          <w:sz w:val="24"/>
          <w:szCs w:val="24"/>
        </w:rPr>
        <w:t>Axel Heides Gade 1</w:t>
      </w:r>
    </w:p>
    <w:p w:rsidR="004D643D" w:rsidRPr="004D643D" w:rsidRDefault="004D643D" w:rsidP="004D643D">
      <w:pPr>
        <w:tabs>
          <w:tab w:val="left" w:pos="851"/>
        </w:tabs>
        <w:ind w:left="851"/>
        <w:rPr>
          <w:sz w:val="24"/>
          <w:szCs w:val="24"/>
        </w:rPr>
      </w:pPr>
      <w:r w:rsidRPr="004D643D">
        <w:rPr>
          <w:sz w:val="24"/>
          <w:szCs w:val="24"/>
        </w:rPr>
        <w:t>DK-2300 København S</w:t>
      </w:r>
    </w:p>
    <w:p w:rsidR="004D643D" w:rsidRPr="004D643D" w:rsidRDefault="004D643D" w:rsidP="004D643D">
      <w:pPr>
        <w:tabs>
          <w:tab w:val="left" w:pos="851"/>
        </w:tabs>
        <w:ind w:left="851"/>
        <w:rPr>
          <w:sz w:val="24"/>
          <w:szCs w:val="24"/>
        </w:rPr>
      </w:pPr>
      <w:r w:rsidRPr="004D643D">
        <w:rPr>
          <w:sz w:val="24"/>
          <w:szCs w:val="24"/>
        </w:rPr>
        <w:t xml:space="preserve">Websted: </w:t>
      </w:r>
      <w:r w:rsidRPr="00990B2A">
        <w:rPr>
          <w:sz w:val="24"/>
          <w:szCs w:val="24"/>
        </w:rPr>
        <w:t>www.meldenbivirkning.dk</w:t>
      </w:r>
      <w:r w:rsidRPr="004D643D">
        <w:rPr>
          <w:sz w:val="24"/>
          <w:szCs w:val="24"/>
        </w:rPr>
        <w:t xml:space="preserve"> </w:t>
      </w:r>
    </w:p>
    <w:bookmarkEnd w:id="7"/>
    <w:p w:rsidR="004D643D" w:rsidRPr="004D643D" w:rsidRDefault="004D643D" w:rsidP="004D643D">
      <w:pPr>
        <w:tabs>
          <w:tab w:val="left" w:pos="851"/>
        </w:tabs>
        <w:ind w:left="851"/>
        <w:rPr>
          <w:b/>
          <w:sz w:val="24"/>
          <w:szCs w:val="24"/>
        </w:rPr>
      </w:pP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990B2A" w:rsidRDefault="00990B2A" w:rsidP="00990B2A">
      <w:pPr>
        <w:tabs>
          <w:tab w:val="left" w:pos="851"/>
        </w:tabs>
        <w:ind w:left="851"/>
        <w:rPr>
          <w:sz w:val="24"/>
          <w:szCs w:val="24"/>
          <w:u w:val="single"/>
        </w:rPr>
      </w:pPr>
    </w:p>
    <w:p w:rsidR="00990B2A" w:rsidRDefault="00990B2A" w:rsidP="00990B2A">
      <w:pPr>
        <w:tabs>
          <w:tab w:val="left" w:pos="851"/>
        </w:tabs>
        <w:ind w:left="851"/>
        <w:rPr>
          <w:sz w:val="24"/>
          <w:szCs w:val="24"/>
          <w:u w:val="single"/>
        </w:rPr>
      </w:pPr>
      <w:r w:rsidRPr="00990B2A">
        <w:rPr>
          <w:sz w:val="24"/>
          <w:szCs w:val="24"/>
          <w:u w:val="single"/>
        </w:rPr>
        <w:t>Toksicitet</w:t>
      </w:r>
    </w:p>
    <w:p w:rsidR="00990B2A" w:rsidRPr="00990B2A" w:rsidRDefault="00990B2A" w:rsidP="00990B2A">
      <w:pPr>
        <w:tabs>
          <w:tab w:val="left" w:pos="851"/>
        </w:tabs>
        <w:ind w:left="851"/>
        <w:rPr>
          <w:sz w:val="24"/>
          <w:szCs w:val="24"/>
        </w:rPr>
      </w:pPr>
      <w:r w:rsidRPr="00990B2A">
        <w:rPr>
          <w:sz w:val="24"/>
          <w:szCs w:val="24"/>
        </w:rPr>
        <w:t xml:space="preserve">Store doser tolereres generelt godt. Dog har parenteral administration af høje doser resulteret i toksiske symptomer. </w:t>
      </w:r>
    </w:p>
    <w:p w:rsidR="00990B2A" w:rsidRPr="00990B2A" w:rsidRDefault="00990B2A" w:rsidP="00990B2A">
      <w:pPr>
        <w:tabs>
          <w:tab w:val="left" w:pos="851"/>
        </w:tabs>
        <w:ind w:left="851"/>
        <w:rPr>
          <w:sz w:val="24"/>
          <w:szCs w:val="24"/>
        </w:rPr>
      </w:pPr>
    </w:p>
    <w:p w:rsidR="002453EC" w:rsidRDefault="00990B2A" w:rsidP="00990B2A">
      <w:pPr>
        <w:tabs>
          <w:tab w:val="left" w:pos="851"/>
        </w:tabs>
        <w:ind w:left="851"/>
        <w:rPr>
          <w:sz w:val="24"/>
          <w:szCs w:val="24"/>
          <w:u w:val="single"/>
        </w:rPr>
      </w:pPr>
      <w:r w:rsidRPr="00990B2A">
        <w:rPr>
          <w:sz w:val="24"/>
          <w:szCs w:val="24"/>
          <w:u w:val="single"/>
        </w:rPr>
        <w:t>Symptomer</w:t>
      </w:r>
    </w:p>
    <w:p w:rsidR="00990B2A" w:rsidRPr="00990B2A" w:rsidRDefault="00990B2A" w:rsidP="00990B2A">
      <w:pPr>
        <w:tabs>
          <w:tab w:val="left" w:pos="851"/>
        </w:tabs>
        <w:ind w:left="851"/>
        <w:rPr>
          <w:sz w:val="24"/>
          <w:szCs w:val="24"/>
        </w:rPr>
      </w:pPr>
      <w:r w:rsidRPr="00990B2A">
        <w:rPr>
          <w:sz w:val="24"/>
          <w:szCs w:val="24"/>
        </w:rPr>
        <w:t xml:space="preserve">Toksiske reaktioner, kvalme, opkastning, diarré, elektrolytforstyrrelser, bevidsthedstab, muskelfascikulationer, myoklonus, kramper, koma. Hæmolytiske reaktioner, nyresvigt, acidose. </w:t>
      </w:r>
    </w:p>
    <w:p w:rsidR="00990B2A" w:rsidRPr="00990B2A" w:rsidRDefault="00990B2A" w:rsidP="00990B2A">
      <w:pPr>
        <w:tabs>
          <w:tab w:val="left" w:pos="851"/>
        </w:tabs>
        <w:ind w:left="851"/>
        <w:rPr>
          <w:sz w:val="24"/>
          <w:szCs w:val="24"/>
        </w:rPr>
      </w:pPr>
    </w:p>
    <w:p w:rsidR="002453EC" w:rsidRDefault="00990B2A" w:rsidP="00990B2A">
      <w:pPr>
        <w:tabs>
          <w:tab w:val="left" w:pos="851"/>
        </w:tabs>
        <w:ind w:left="851"/>
        <w:rPr>
          <w:sz w:val="24"/>
          <w:szCs w:val="24"/>
          <w:u w:val="single"/>
        </w:rPr>
      </w:pPr>
      <w:r w:rsidRPr="00990B2A">
        <w:rPr>
          <w:sz w:val="24"/>
          <w:szCs w:val="24"/>
          <w:u w:val="single"/>
        </w:rPr>
        <w:t>Behandling</w:t>
      </w:r>
    </w:p>
    <w:p w:rsidR="00990B2A" w:rsidRPr="00990B2A" w:rsidRDefault="00990B2A" w:rsidP="00990B2A">
      <w:pPr>
        <w:tabs>
          <w:tab w:val="left" w:pos="851"/>
        </w:tabs>
        <w:ind w:left="851"/>
        <w:rPr>
          <w:sz w:val="24"/>
          <w:szCs w:val="24"/>
        </w:rPr>
      </w:pPr>
      <w:r w:rsidRPr="00990B2A">
        <w:rPr>
          <w:sz w:val="24"/>
          <w:szCs w:val="24"/>
        </w:rPr>
        <w:t xml:space="preserve">Symptomatisk behandling. I svære tilfælde hæmoperfusion eller hæmodialyse. Elektrolytkorrektion og væskebehandling.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35B6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C5265E" w:rsidP="009260DE">
      <w:pPr>
        <w:tabs>
          <w:tab w:val="left" w:pos="851"/>
        </w:tabs>
        <w:ind w:left="851"/>
        <w:rPr>
          <w:sz w:val="24"/>
          <w:szCs w:val="24"/>
        </w:rPr>
      </w:pPr>
      <w:r w:rsidRPr="00C5265E">
        <w:rPr>
          <w:sz w:val="24"/>
          <w:szCs w:val="24"/>
        </w:rPr>
        <w:t>ATC-kode: J</w:t>
      </w:r>
      <w:r>
        <w:rPr>
          <w:sz w:val="24"/>
          <w:szCs w:val="24"/>
        </w:rPr>
        <w:t xml:space="preserve"> </w:t>
      </w:r>
      <w:r w:rsidRPr="00C5265E">
        <w:rPr>
          <w:sz w:val="24"/>
          <w:szCs w:val="24"/>
        </w:rPr>
        <w:t>01</w:t>
      </w:r>
      <w:r>
        <w:rPr>
          <w:sz w:val="24"/>
          <w:szCs w:val="24"/>
        </w:rPr>
        <w:t xml:space="preserve"> </w:t>
      </w:r>
      <w:r w:rsidRPr="00C5265E">
        <w:rPr>
          <w:sz w:val="24"/>
          <w:szCs w:val="24"/>
        </w:rPr>
        <w:t>CA</w:t>
      </w:r>
      <w:r>
        <w:rPr>
          <w:sz w:val="24"/>
          <w:szCs w:val="24"/>
        </w:rPr>
        <w:t xml:space="preserve"> </w:t>
      </w:r>
      <w:r w:rsidRPr="00C5265E">
        <w:rPr>
          <w:sz w:val="24"/>
          <w:szCs w:val="24"/>
        </w:rPr>
        <w:t>01</w:t>
      </w:r>
      <w:r>
        <w:rPr>
          <w:sz w:val="24"/>
          <w:szCs w:val="24"/>
        </w:rPr>
        <w:t xml:space="preserve">. </w:t>
      </w:r>
      <w:r w:rsidRPr="00C5265E">
        <w:rPr>
          <w:sz w:val="24"/>
          <w:szCs w:val="24"/>
        </w:rPr>
        <w:t>Antibakterielle midler til systemisk brug</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91C39" w:rsidRPr="00091C39" w:rsidRDefault="00091C39" w:rsidP="00091C39">
      <w:pPr>
        <w:tabs>
          <w:tab w:val="left" w:pos="851"/>
        </w:tabs>
        <w:ind w:left="851"/>
        <w:rPr>
          <w:sz w:val="24"/>
          <w:szCs w:val="24"/>
        </w:rPr>
      </w:pPr>
    </w:p>
    <w:p w:rsidR="00091C39" w:rsidRPr="00091C39" w:rsidRDefault="00091C39" w:rsidP="00091C39">
      <w:pPr>
        <w:tabs>
          <w:tab w:val="left" w:pos="851"/>
        </w:tabs>
        <w:ind w:left="851"/>
        <w:rPr>
          <w:sz w:val="24"/>
          <w:szCs w:val="24"/>
          <w:u w:val="single"/>
        </w:rPr>
      </w:pPr>
      <w:r w:rsidRPr="00091C39">
        <w:rPr>
          <w:sz w:val="24"/>
          <w:szCs w:val="24"/>
          <w:u w:val="single"/>
        </w:rPr>
        <w:t>Virkningsmekanisme</w:t>
      </w:r>
    </w:p>
    <w:p w:rsidR="00091C39" w:rsidRPr="00091C39" w:rsidRDefault="00091C39" w:rsidP="00091C39">
      <w:pPr>
        <w:tabs>
          <w:tab w:val="left" w:pos="851"/>
        </w:tabs>
        <w:ind w:left="851"/>
        <w:rPr>
          <w:sz w:val="24"/>
          <w:szCs w:val="24"/>
        </w:rPr>
      </w:pPr>
      <w:r w:rsidRPr="00091C39">
        <w:rPr>
          <w:sz w:val="24"/>
          <w:szCs w:val="24"/>
        </w:rPr>
        <w:t>Ampicillin er en semisyntetisk penicillin med et bakteriedræbende bredt spektrum. Virkningsmekanismen involverer penicillinbindende proteiner (PBP), hæmning af bakteriel cellevægssyntese og aktivering af visse enzymer (autolysiner og mureinhydrolaser).</w:t>
      </w:r>
    </w:p>
    <w:p w:rsidR="00091C39" w:rsidRPr="00091C39" w:rsidRDefault="00091C39" w:rsidP="00091C39">
      <w:pPr>
        <w:tabs>
          <w:tab w:val="left" w:pos="851"/>
        </w:tabs>
        <w:ind w:left="851"/>
        <w:rPr>
          <w:sz w:val="24"/>
          <w:szCs w:val="24"/>
        </w:rPr>
      </w:pPr>
    </w:p>
    <w:p w:rsidR="00091C39" w:rsidRPr="00091C39" w:rsidRDefault="00091C39" w:rsidP="00091C39">
      <w:pPr>
        <w:tabs>
          <w:tab w:val="left" w:pos="851"/>
        </w:tabs>
        <w:ind w:left="851"/>
        <w:rPr>
          <w:sz w:val="24"/>
          <w:szCs w:val="24"/>
          <w:u w:val="single"/>
        </w:rPr>
      </w:pPr>
      <w:r w:rsidRPr="00091C39">
        <w:rPr>
          <w:sz w:val="24"/>
          <w:szCs w:val="24"/>
          <w:u w:val="single"/>
        </w:rPr>
        <w:t>PK/PD-forhold</w:t>
      </w:r>
    </w:p>
    <w:p w:rsidR="00091C39" w:rsidRPr="00091C39" w:rsidRDefault="00091C39" w:rsidP="00091C39">
      <w:pPr>
        <w:tabs>
          <w:tab w:val="left" w:pos="851"/>
        </w:tabs>
        <w:ind w:left="851"/>
        <w:rPr>
          <w:sz w:val="24"/>
          <w:szCs w:val="24"/>
        </w:rPr>
      </w:pPr>
      <w:r w:rsidRPr="00091C39">
        <w:rPr>
          <w:sz w:val="24"/>
          <w:szCs w:val="24"/>
        </w:rPr>
        <w:t>Effektiviteten afhænger hovedsageligt af den tidsperiode, hvor niveauet af det aktive stof i ampicillin forbliver over mikroorganismens mindste hæmmende koncentration (MIC).</w:t>
      </w:r>
    </w:p>
    <w:p w:rsidR="00091C39" w:rsidRPr="00091C39" w:rsidRDefault="00091C39" w:rsidP="00091C39">
      <w:pPr>
        <w:tabs>
          <w:tab w:val="left" w:pos="851"/>
        </w:tabs>
        <w:ind w:left="851"/>
        <w:rPr>
          <w:sz w:val="24"/>
          <w:szCs w:val="24"/>
        </w:rPr>
      </w:pPr>
    </w:p>
    <w:p w:rsidR="00091C39" w:rsidRPr="00091C39" w:rsidRDefault="00091C39" w:rsidP="00091C39">
      <w:pPr>
        <w:tabs>
          <w:tab w:val="left" w:pos="851"/>
        </w:tabs>
        <w:ind w:left="851"/>
        <w:rPr>
          <w:sz w:val="24"/>
          <w:szCs w:val="24"/>
          <w:u w:val="single"/>
        </w:rPr>
      </w:pPr>
      <w:r w:rsidRPr="00091C39">
        <w:rPr>
          <w:sz w:val="24"/>
          <w:szCs w:val="24"/>
          <w:u w:val="single"/>
        </w:rPr>
        <w:t>Resistensmekanisme</w:t>
      </w:r>
    </w:p>
    <w:p w:rsidR="00091C39" w:rsidRPr="00091C39" w:rsidRDefault="00091C39" w:rsidP="00091C39">
      <w:pPr>
        <w:tabs>
          <w:tab w:val="left" w:pos="851"/>
        </w:tabs>
        <w:ind w:left="851"/>
        <w:rPr>
          <w:sz w:val="24"/>
          <w:szCs w:val="24"/>
        </w:rPr>
      </w:pPr>
      <w:r w:rsidRPr="00091C39">
        <w:rPr>
          <w:sz w:val="24"/>
          <w:szCs w:val="24"/>
        </w:rPr>
        <w:t>Resistens kan opstå på grund af bakteriel syntese af et stort antal betalactamaser, der hydrolyserer penicillin. Flere af disse kan hæmmes med clavulansyre. Derudover kan der opstå resistens på grund af produktion af ændret PBP. Resistensen er ofte plasmid-medieret.</w:t>
      </w:r>
    </w:p>
    <w:p w:rsidR="00091C39" w:rsidRPr="00091C39" w:rsidRDefault="00091C39" w:rsidP="00091C39">
      <w:pPr>
        <w:tabs>
          <w:tab w:val="left" w:pos="851"/>
        </w:tabs>
        <w:ind w:left="851"/>
        <w:rPr>
          <w:sz w:val="24"/>
          <w:szCs w:val="24"/>
        </w:rPr>
      </w:pPr>
      <w:r w:rsidRPr="00091C39">
        <w:rPr>
          <w:sz w:val="24"/>
          <w:szCs w:val="24"/>
        </w:rPr>
        <w:t xml:space="preserve">Krydsresistens forekommer inden for betalactam-gruppen (penicilliner og cefalosporiner). </w:t>
      </w:r>
    </w:p>
    <w:p w:rsidR="00091C39" w:rsidRPr="00091C39" w:rsidRDefault="00091C39" w:rsidP="00091C39">
      <w:pPr>
        <w:tabs>
          <w:tab w:val="left" w:pos="851"/>
        </w:tabs>
        <w:ind w:left="851"/>
        <w:rPr>
          <w:sz w:val="24"/>
          <w:szCs w:val="24"/>
        </w:rPr>
      </w:pPr>
      <w:r w:rsidRPr="00091C39">
        <w:rPr>
          <w:sz w:val="24"/>
          <w:szCs w:val="24"/>
        </w:rPr>
        <w:t>Resistenssituationen varierer geografisk, og oplysninger om de lokale resistensforhold bør indhentes fra et lokalt mikrobiologisk laboratorium.</w:t>
      </w:r>
    </w:p>
    <w:p w:rsidR="00091C39" w:rsidRPr="00091C39" w:rsidRDefault="00091C39" w:rsidP="00091C39">
      <w:pPr>
        <w:tabs>
          <w:tab w:val="left" w:pos="851"/>
        </w:tabs>
        <w:ind w:left="851"/>
        <w:rPr>
          <w:sz w:val="24"/>
          <w:szCs w:val="24"/>
          <w:u w:val="single"/>
        </w:rPr>
      </w:pPr>
    </w:p>
    <w:p w:rsidR="001242A2" w:rsidRDefault="00091C39" w:rsidP="00091C39">
      <w:pPr>
        <w:tabs>
          <w:tab w:val="left" w:pos="851"/>
        </w:tabs>
        <w:ind w:left="851"/>
        <w:rPr>
          <w:sz w:val="24"/>
          <w:szCs w:val="24"/>
          <w:u w:val="single"/>
        </w:rPr>
      </w:pPr>
      <w:r w:rsidRPr="00091C39">
        <w:rPr>
          <w:sz w:val="24"/>
          <w:szCs w:val="24"/>
          <w:u w:val="single"/>
        </w:rPr>
        <w:t>Følsomhedsbestemmelse</w:t>
      </w:r>
    </w:p>
    <w:p w:rsidR="00091C39" w:rsidRPr="00091C39" w:rsidRDefault="00091C39" w:rsidP="00091C39">
      <w:pPr>
        <w:tabs>
          <w:tab w:val="left" w:pos="851"/>
        </w:tabs>
        <w:ind w:left="851"/>
        <w:rPr>
          <w:sz w:val="24"/>
          <w:szCs w:val="24"/>
        </w:rPr>
      </w:pPr>
      <w:r w:rsidRPr="00091C39">
        <w:rPr>
          <w:sz w:val="24"/>
          <w:szCs w:val="24"/>
        </w:rPr>
        <w:t xml:space="preserve">MIC-værdier for ampicillin er hentet fra European Committee on Antimicrobial Susceptibility Testing (EUCAST) version 12.0, gyldig fra 2022-01-01. </w:t>
      </w:r>
    </w:p>
    <w:p w:rsidR="001242A2" w:rsidRDefault="001242A2">
      <w:pPr>
        <w:rPr>
          <w:sz w:val="24"/>
          <w:szCs w:val="24"/>
        </w:rPr>
      </w:pPr>
      <w:r>
        <w:rPr>
          <w:sz w:val="24"/>
          <w:szCs w:val="24"/>
        </w:rPr>
        <w:br w:type="page"/>
      </w:r>
    </w:p>
    <w:p w:rsidR="00091C39" w:rsidRPr="00091C39" w:rsidRDefault="00091C39" w:rsidP="00091C39">
      <w:pPr>
        <w:tabs>
          <w:tab w:val="left" w:pos="851"/>
        </w:tabs>
        <w:ind w:left="851"/>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835"/>
        <w:gridCol w:w="2785"/>
        <w:gridCol w:w="7"/>
      </w:tblGrid>
      <w:tr w:rsidR="00091C39" w:rsidRPr="00091C39" w:rsidTr="001242A2">
        <w:trPr>
          <w:gridAfter w:val="1"/>
          <w:wAfter w:w="7" w:type="dxa"/>
        </w:trPr>
        <w:tc>
          <w:tcPr>
            <w:tcW w:w="3431" w:type="dxa"/>
            <w:vMerge w:val="restart"/>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b/>
                <w:sz w:val="24"/>
                <w:szCs w:val="24"/>
              </w:rPr>
            </w:pPr>
            <w:r w:rsidRPr="00091C39">
              <w:rPr>
                <w:b/>
                <w:sz w:val="24"/>
                <w:szCs w:val="24"/>
              </w:rPr>
              <w:t>Mikroorganisme</w:t>
            </w:r>
          </w:p>
        </w:tc>
        <w:tc>
          <w:tcPr>
            <w:tcW w:w="5620" w:type="dxa"/>
            <w:gridSpan w:val="2"/>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b/>
                <w:sz w:val="24"/>
                <w:szCs w:val="24"/>
              </w:rPr>
            </w:pPr>
            <w:r w:rsidRPr="00091C39">
              <w:rPr>
                <w:b/>
                <w:sz w:val="24"/>
                <w:szCs w:val="24"/>
              </w:rPr>
              <w:t>MIC-værdier (mg/l)</w:t>
            </w:r>
          </w:p>
        </w:tc>
      </w:tr>
      <w:tr w:rsidR="00091C39" w:rsidRPr="00091C39" w:rsidTr="001242A2">
        <w:trPr>
          <w:gridAfter w:val="1"/>
          <w:wAfter w:w="7" w:type="dxa"/>
        </w:trPr>
        <w:tc>
          <w:tcPr>
            <w:tcW w:w="3431" w:type="dxa"/>
            <w:vMerge/>
            <w:tcBorders>
              <w:top w:val="single" w:sz="4" w:space="0" w:color="auto"/>
              <w:left w:val="single" w:sz="4" w:space="0" w:color="auto"/>
              <w:bottom w:val="single" w:sz="4" w:space="0" w:color="auto"/>
              <w:right w:val="single" w:sz="4" w:space="0" w:color="auto"/>
            </w:tcBorders>
            <w:vAlign w:val="center"/>
            <w:hideMark/>
          </w:tcPr>
          <w:p w:rsidR="00091C39" w:rsidRPr="00091C39" w:rsidRDefault="00091C39" w:rsidP="00727FEE">
            <w:pPr>
              <w:ind w:left="64"/>
              <w:rPr>
                <w:b/>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b/>
                <w:sz w:val="24"/>
                <w:szCs w:val="24"/>
              </w:rPr>
            </w:pPr>
            <w:r w:rsidRPr="00091C39">
              <w:rPr>
                <w:b/>
                <w:sz w:val="24"/>
                <w:szCs w:val="24"/>
              </w:rPr>
              <w:t>Følsom</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b/>
                <w:sz w:val="24"/>
                <w:szCs w:val="24"/>
              </w:rPr>
            </w:pPr>
            <w:r w:rsidRPr="00091C39">
              <w:rPr>
                <w:b/>
                <w:sz w:val="24"/>
                <w:szCs w:val="24"/>
              </w:rPr>
              <w:t xml:space="preserve">Resistent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sz w:val="24"/>
                <w:szCs w:val="24"/>
              </w:rPr>
              <w:t>Enterobacterales</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8</w:t>
            </w:r>
            <w:r w:rsidR="00EE3DFF">
              <w:rPr>
                <w:sz w:val="24"/>
                <w:szCs w:val="24"/>
              </w:rPr>
              <w:t xml:space="preserve">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&gt; 8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i/>
                <w:sz w:val="24"/>
                <w:szCs w:val="24"/>
              </w:rPr>
              <w:t xml:space="preserve">Enterococcus </w:t>
            </w:r>
            <w:r w:rsidRPr="00091C39">
              <w:rPr>
                <w:sz w:val="24"/>
                <w:szCs w:val="24"/>
              </w:rPr>
              <w:t>spp</w:t>
            </w:r>
            <w:r w:rsidRPr="00091C39">
              <w:rPr>
                <w:i/>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 4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&gt; 8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i/>
                <w:sz w:val="24"/>
                <w:szCs w:val="24"/>
              </w:rPr>
              <w:t>Haemophilus influenzae</w:t>
            </w:r>
            <w:r w:rsidRPr="00091C39">
              <w:rPr>
                <w:i/>
                <w:sz w:val="24"/>
                <w:szCs w:val="24"/>
                <w:vertAlign w:val="superscript"/>
              </w:rPr>
              <w:t>1,4</w:t>
            </w:r>
            <w:r w:rsidRPr="00091C39">
              <w:rPr>
                <w: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 1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&gt; 1</w:t>
            </w:r>
            <w:r w:rsidR="00EE3DFF">
              <w:rPr>
                <w:sz w:val="24"/>
                <w:szCs w:val="24"/>
              </w:rPr>
              <w:t xml:space="preserve">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i/>
                <w:sz w:val="24"/>
                <w:szCs w:val="24"/>
              </w:rPr>
              <w:t xml:space="preserve">Staphylococcus </w:t>
            </w:r>
            <w:r w:rsidRPr="00091C39">
              <w:rPr>
                <w:sz w:val="24"/>
                <w:szCs w:val="24"/>
              </w:rPr>
              <w:t>spp</w:t>
            </w:r>
            <w:r w:rsidRPr="00091C39">
              <w:rPr>
                <w:i/>
                <w:sz w:val="24"/>
                <w:szCs w:val="24"/>
              </w:rPr>
              <w:t>.</w:t>
            </w:r>
            <w:r w:rsidRPr="00091C39">
              <w:rPr>
                <w:i/>
                <w:sz w:val="24"/>
                <w:szCs w:val="24"/>
                <w:vertAlign w:val="superscript"/>
              </w:rPr>
              <w:t>2</w:t>
            </w:r>
            <w:r w:rsidR="00EE3DFF">
              <w:rPr>
                <w:i/>
                <w:sz w:val="24"/>
                <w:szCs w:val="24"/>
                <w:vertAlign w:val="superscript"/>
              </w:rPr>
              <w:t xml:space="preserve"> </w:t>
            </w:r>
            <w:r w:rsidR="00EE3DFF">
              <w:rPr>
                <w:i/>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vertAlign w:val="superscript"/>
                <w:lang w:val="nb-NO"/>
              </w:rPr>
            </w:pPr>
            <w:r w:rsidRPr="00091C39">
              <w:rPr>
                <w:i/>
                <w:sz w:val="24"/>
                <w:szCs w:val="24"/>
                <w:lang w:val="nb-NO"/>
              </w:rPr>
              <w:t>Streptococcus A, B, C, G</w:t>
            </w:r>
            <w:r w:rsidRPr="00091C39">
              <w:rPr>
                <w:i/>
                <w:sz w:val="24"/>
                <w:szCs w:val="24"/>
                <w:vertAlign w:val="superscript"/>
                <w:lang w:val="nb-NO"/>
              </w:rPr>
              <w:t>3</w:t>
            </w:r>
          </w:p>
          <w:p w:rsidR="00091C39" w:rsidRPr="00091C39" w:rsidRDefault="00091C39" w:rsidP="00727FEE">
            <w:pPr>
              <w:ind w:left="64"/>
              <w:rPr>
                <w:i/>
                <w:sz w:val="24"/>
                <w:szCs w:val="24"/>
                <w:lang w:val="en-US"/>
              </w:rPr>
            </w:pPr>
            <w:r w:rsidRPr="00091C39">
              <w:rPr>
                <w:i/>
                <w:sz w:val="24"/>
                <w:szCs w:val="24"/>
                <w:lang w:val="en-US"/>
              </w:rPr>
              <w:t>Streptococcus pneumoniae</w:t>
            </w:r>
            <w:r w:rsidRPr="00091C39">
              <w:rPr>
                <w:i/>
                <w:sz w:val="24"/>
                <w:szCs w:val="24"/>
                <w:vertAlign w:val="superscript"/>
                <w:lang w:val="en-US"/>
              </w:rPr>
              <w:t>1</w:t>
            </w:r>
          </w:p>
          <w:p w:rsidR="00091C39" w:rsidRPr="00091C39" w:rsidRDefault="00091C39" w:rsidP="00727FEE">
            <w:pPr>
              <w:ind w:left="64"/>
              <w:rPr>
                <w:i/>
                <w:sz w:val="24"/>
                <w:szCs w:val="24"/>
              </w:rPr>
            </w:pPr>
            <w:r w:rsidRPr="00091C39">
              <w:rPr>
                <w:i/>
                <w:sz w:val="24"/>
                <w:szCs w:val="24"/>
              </w:rPr>
              <w:t>Streptococcus pneumoniae</w:t>
            </w:r>
            <w:r w:rsidRPr="00091C39">
              <w:rPr>
                <w:i/>
                <w:sz w:val="24"/>
                <w:szCs w:val="24"/>
                <w:vertAlign w:val="superscript"/>
              </w:rPr>
              <w:t xml:space="preserve"> 5</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w:t>
            </w:r>
          </w:p>
          <w:p w:rsidR="00091C39" w:rsidRPr="00091C39" w:rsidRDefault="00091C39" w:rsidP="00091C39">
            <w:pPr>
              <w:tabs>
                <w:tab w:val="left" w:pos="851"/>
              </w:tabs>
              <w:ind w:left="851"/>
              <w:rPr>
                <w:sz w:val="24"/>
                <w:szCs w:val="24"/>
              </w:rPr>
            </w:pPr>
            <w:r w:rsidRPr="00091C39">
              <w:rPr>
                <w:sz w:val="24"/>
                <w:szCs w:val="24"/>
              </w:rPr>
              <w:t xml:space="preserve">≤ 0,5 </w:t>
            </w:r>
          </w:p>
          <w:p w:rsidR="00091C39" w:rsidRPr="00091C39" w:rsidRDefault="00091C39" w:rsidP="00091C39">
            <w:pPr>
              <w:tabs>
                <w:tab w:val="left" w:pos="851"/>
              </w:tabs>
              <w:ind w:left="851"/>
              <w:rPr>
                <w:sz w:val="24"/>
                <w:szCs w:val="24"/>
              </w:rPr>
            </w:pPr>
            <w:r w:rsidRPr="00091C39">
              <w:rPr>
                <w:sz w:val="24"/>
                <w:szCs w:val="24"/>
              </w:rPr>
              <w:t>≤ 0,5</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w:t>
            </w:r>
          </w:p>
          <w:p w:rsidR="00091C39" w:rsidRPr="00091C39" w:rsidRDefault="00091C39" w:rsidP="00091C39">
            <w:pPr>
              <w:tabs>
                <w:tab w:val="left" w:pos="851"/>
              </w:tabs>
              <w:ind w:left="851"/>
              <w:rPr>
                <w:sz w:val="24"/>
                <w:szCs w:val="24"/>
              </w:rPr>
            </w:pPr>
            <w:r w:rsidRPr="00091C39">
              <w:rPr>
                <w:sz w:val="24"/>
                <w:szCs w:val="24"/>
              </w:rPr>
              <w:t xml:space="preserve">&gt; 1 </w:t>
            </w:r>
          </w:p>
          <w:p w:rsidR="00091C39" w:rsidRPr="00091C39" w:rsidRDefault="00091C39" w:rsidP="00091C39">
            <w:pPr>
              <w:tabs>
                <w:tab w:val="left" w:pos="851"/>
              </w:tabs>
              <w:ind w:left="851"/>
              <w:rPr>
                <w:sz w:val="24"/>
                <w:szCs w:val="24"/>
              </w:rPr>
            </w:pPr>
            <w:r w:rsidRPr="00091C39">
              <w:rPr>
                <w:sz w:val="24"/>
                <w:szCs w:val="24"/>
              </w:rPr>
              <w:t xml:space="preserve">&gt; 0,5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i/>
                <w:sz w:val="24"/>
                <w:szCs w:val="24"/>
              </w:rPr>
              <w:t xml:space="preserve">Viridans streptococci </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 0,5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&gt; 2</w:t>
            </w:r>
            <w:r w:rsidR="00EE3DFF">
              <w:rPr>
                <w:sz w:val="24"/>
                <w:szCs w:val="24"/>
              </w:rPr>
              <w:t xml:space="preserve">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vertAlign w:val="superscript"/>
              </w:rPr>
            </w:pPr>
            <w:r w:rsidRPr="00091C39">
              <w:rPr>
                <w:i/>
                <w:sz w:val="24"/>
                <w:szCs w:val="24"/>
              </w:rPr>
              <w:t>Neisseria meningitidis</w:t>
            </w:r>
            <w:r w:rsidRPr="00091C39">
              <w:rPr>
                <w:i/>
                <w:sz w:val="24"/>
                <w:szCs w:val="24"/>
                <w:vertAlign w:val="superscript"/>
              </w:rPr>
              <w:t xml:space="preserve"> 1 </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 0,125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&gt; 1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i/>
                <w:sz w:val="24"/>
                <w:szCs w:val="24"/>
              </w:rPr>
              <w:t xml:space="preserve">Listeria monocytogenes </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 1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&gt; 1</w:t>
            </w:r>
            <w:r w:rsidR="00EE3DFF">
              <w:rPr>
                <w:sz w:val="24"/>
                <w:szCs w:val="24"/>
              </w:rPr>
              <w:t xml:space="preserve">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i/>
                <w:sz w:val="24"/>
                <w:szCs w:val="24"/>
              </w:rPr>
              <w:t>Aerococcus sanguinicola og urinae</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 0,25 </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xml:space="preserve">&gt; 0,25 </w:t>
            </w:r>
          </w:p>
        </w:tc>
      </w:tr>
      <w:tr w:rsidR="00091C39" w:rsidRPr="00091C39" w:rsidTr="001242A2">
        <w:trPr>
          <w:gridAfter w:val="1"/>
          <w:wAfter w:w="7" w:type="dxa"/>
        </w:trPr>
        <w:tc>
          <w:tcPr>
            <w:tcW w:w="3431"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rPr>
            </w:pPr>
            <w:r w:rsidRPr="00091C39">
              <w:rPr>
                <w:sz w:val="24"/>
                <w:szCs w:val="24"/>
              </w:rPr>
              <w:t>Ikke-artsrelaterede værdier</w:t>
            </w:r>
            <w:r w:rsidRPr="00091C39">
              <w:rPr>
                <w:i/>
                <w:sz w:val="24"/>
                <w:szCs w:val="24"/>
                <w:vertAlign w:val="superscript"/>
              </w:rPr>
              <w:t xml:space="preserve"> 6</w:t>
            </w:r>
          </w:p>
        </w:tc>
        <w:tc>
          <w:tcPr>
            <w:tcW w:w="283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 2</w:t>
            </w:r>
          </w:p>
        </w:tc>
        <w:tc>
          <w:tcPr>
            <w:tcW w:w="2785" w:type="dxa"/>
            <w:tcBorders>
              <w:top w:val="single" w:sz="4" w:space="0" w:color="auto"/>
              <w:left w:val="single" w:sz="4" w:space="0" w:color="auto"/>
              <w:bottom w:val="single" w:sz="4" w:space="0" w:color="auto"/>
              <w:right w:val="single" w:sz="4" w:space="0" w:color="auto"/>
            </w:tcBorders>
            <w:hideMark/>
          </w:tcPr>
          <w:p w:rsidR="00091C39" w:rsidRPr="00091C39" w:rsidRDefault="00091C39" w:rsidP="00091C39">
            <w:pPr>
              <w:tabs>
                <w:tab w:val="left" w:pos="851"/>
              </w:tabs>
              <w:ind w:left="851"/>
              <w:rPr>
                <w:sz w:val="24"/>
                <w:szCs w:val="24"/>
              </w:rPr>
            </w:pPr>
            <w:r w:rsidRPr="00091C39">
              <w:rPr>
                <w:sz w:val="24"/>
                <w:szCs w:val="24"/>
              </w:rPr>
              <w:t>&gt; 8</w:t>
            </w:r>
          </w:p>
        </w:tc>
      </w:tr>
      <w:tr w:rsidR="00091C39" w:rsidRPr="00091C39" w:rsidTr="001242A2">
        <w:tc>
          <w:tcPr>
            <w:tcW w:w="9058" w:type="dxa"/>
            <w:gridSpan w:val="4"/>
            <w:tcBorders>
              <w:top w:val="single" w:sz="4" w:space="0" w:color="auto"/>
              <w:left w:val="single" w:sz="4" w:space="0" w:color="auto"/>
              <w:bottom w:val="single" w:sz="4" w:space="0" w:color="auto"/>
              <w:right w:val="single" w:sz="4" w:space="0" w:color="auto"/>
            </w:tcBorders>
            <w:hideMark/>
          </w:tcPr>
          <w:p w:rsidR="00091C39" w:rsidRPr="001242A2" w:rsidRDefault="00091C39" w:rsidP="00727FEE">
            <w:pPr>
              <w:ind w:left="64"/>
              <w:rPr>
                <w:sz w:val="20"/>
                <w:vertAlign w:val="superscript"/>
              </w:rPr>
            </w:pPr>
            <w:r w:rsidRPr="001242A2">
              <w:rPr>
                <w:sz w:val="20"/>
                <w:vertAlign w:val="superscript"/>
              </w:rPr>
              <w:t>1</w:t>
            </w:r>
            <w:r w:rsidRPr="001242A2">
              <w:rPr>
                <w:sz w:val="20"/>
              </w:rPr>
              <w:t xml:space="preserve"> For andre indikationer end meningitis. </w:t>
            </w:r>
          </w:p>
          <w:p w:rsidR="00091C39" w:rsidRPr="001242A2" w:rsidRDefault="00091C39" w:rsidP="00727FEE">
            <w:pPr>
              <w:ind w:left="64"/>
              <w:rPr>
                <w:sz w:val="20"/>
              </w:rPr>
            </w:pPr>
            <w:r w:rsidRPr="001242A2">
              <w:rPr>
                <w:sz w:val="20"/>
                <w:vertAlign w:val="superscript"/>
              </w:rPr>
              <w:t xml:space="preserve">2 </w:t>
            </w:r>
            <w:r w:rsidRPr="001242A2">
              <w:rPr>
                <w:sz w:val="20"/>
              </w:rPr>
              <w:t xml:space="preserve">De fleste stafylokokker er penicillinase-producenter, og nogle er methicillin-resistente. Begge mekanismer gør stafylokokker resistente over for ampicillin. Isolater, der er resistente over for benzylpenicillin eller cefoxitin, er resistente over for ampicillin. Benzylpenicillin-følsomme </w:t>
            </w:r>
            <w:r w:rsidRPr="001242A2">
              <w:rPr>
                <w:i/>
                <w:sz w:val="20"/>
              </w:rPr>
              <w:t xml:space="preserve">Staphylococcus </w:t>
            </w:r>
            <w:r w:rsidRPr="001242A2">
              <w:rPr>
                <w:sz w:val="20"/>
              </w:rPr>
              <w:t>spp</w:t>
            </w:r>
            <w:r w:rsidRPr="001242A2">
              <w:rPr>
                <w:i/>
                <w:sz w:val="20"/>
              </w:rPr>
              <w:t>.</w:t>
            </w:r>
            <w:r w:rsidRPr="001242A2">
              <w:rPr>
                <w:sz w:val="20"/>
              </w:rPr>
              <w:t xml:space="preserve"> er også følsomme over for ampicillin. </w:t>
            </w:r>
          </w:p>
          <w:p w:rsidR="00091C39" w:rsidRPr="001242A2" w:rsidRDefault="00091C39" w:rsidP="00727FEE">
            <w:pPr>
              <w:ind w:left="64"/>
              <w:rPr>
                <w:sz w:val="20"/>
              </w:rPr>
            </w:pPr>
            <w:r w:rsidRPr="001242A2">
              <w:rPr>
                <w:sz w:val="20"/>
                <w:vertAlign w:val="superscript"/>
              </w:rPr>
              <w:t>3</w:t>
            </w:r>
            <w:r w:rsidRPr="001242A2">
              <w:rPr>
                <w:sz w:val="20"/>
              </w:rPr>
              <w:t xml:space="preserve"> Følsomhed udledes på grundlag af benzylpenicillin.</w:t>
            </w:r>
          </w:p>
          <w:p w:rsidR="00091C39" w:rsidRPr="001242A2" w:rsidRDefault="00091C39" w:rsidP="00727FEE">
            <w:pPr>
              <w:ind w:left="64"/>
              <w:rPr>
                <w:sz w:val="20"/>
              </w:rPr>
            </w:pPr>
            <w:r w:rsidRPr="001242A2">
              <w:rPr>
                <w:sz w:val="20"/>
                <w:vertAlign w:val="superscript"/>
              </w:rPr>
              <w:t>4</w:t>
            </w:r>
            <w:r w:rsidRPr="001242A2">
              <w:rPr>
                <w:sz w:val="20"/>
              </w:rPr>
              <w:t xml:space="preserve"> Beta-lactamase positive isolater kan rapporteres resistente over for ampicillin uden inhibitorer. Tester baseret på et kromogent cefalosporin kan bruges til at detektere beta-lactamasen.</w:t>
            </w:r>
          </w:p>
          <w:p w:rsidR="00091C39" w:rsidRPr="001242A2" w:rsidRDefault="00091C39" w:rsidP="00727FEE">
            <w:pPr>
              <w:ind w:left="64"/>
              <w:rPr>
                <w:sz w:val="20"/>
              </w:rPr>
            </w:pPr>
            <w:r w:rsidRPr="001242A2">
              <w:rPr>
                <w:sz w:val="20"/>
                <w:vertAlign w:val="superscript"/>
              </w:rPr>
              <w:t xml:space="preserve">5 </w:t>
            </w:r>
            <w:r w:rsidRPr="001242A2">
              <w:rPr>
                <w:sz w:val="20"/>
              </w:rPr>
              <w:t>Kun til indikation af meningitis.</w:t>
            </w:r>
          </w:p>
          <w:p w:rsidR="00091C39" w:rsidRPr="00091C39" w:rsidRDefault="00091C39" w:rsidP="00727FEE">
            <w:pPr>
              <w:ind w:left="64"/>
              <w:rPr>
                <w:sz w:val="24"/>
                <w:szCs w:val="24"/>
              </w:rPr>
            </w:pPr>
            <w:r w:rsidRPr="001242A2">
              <w:rPr>
                <w:sz w:val="20"/>
                <w:vertAlign w:val="superscript"/>
              </w:rPr>
              <w:t xml:space="preserve">6 </w:t>
            </w:r>
            <w:r w:rsidRPr="001242A2">
              <w:rPr>
                <w:sz w:val="20"/>
              </w:rPr>
              <w:t xml:space="preserve">De ikke-artsrelaterede værdier er baseret på doser på mindst 2 g x 3 eller 4 gange </w:t>
            </w:r>
            <w:r w:rsidR="00EE3DFF">
              <w:rPr>
                <w:sz w:val="20"/>
              </w:rPr>
              <w:t>daglig</w:t>
            </w:r>
            <w:r w:rsidRPr="001242A2">
              <w:rPr>
                <w:sz w:val="20"/>
              </w:rPr>
              <w:t xml:space="preserve"> (6 til 8 g/dag).</w:t>
            </w:r>
          </w:p>
        </w:tc>
      </w:tr>
    </w:tbl>
    <w:p w:rsidR="00091C39" w:rsidRPr="00091C39" w:rsidRDefault="00091C39" w:rsidP="00091C39">
      <w:pPr>
        <w:tabs>
          <w:tab w:val="left" w:pos="851"/>
        </w:tabs>
        <w:ind w:left="851"/>
        <w:rPr>
          <w:sz w:val="24"/>
          <w:szCs w:val="24"/>
          <w:vertAlign w:val="superscript"/>
        </w:rPr>
      </w:pPr>
    </w:p>
    <w:p w:rsidR="00091C39" w:rsidRPr="00091C39" w:rsidRDefault="00091C39" w:rsidP="00091C39">
      <w:pPr>
        <w:tabs>
          <w:tab w:val="left" w:pos="851"/>
        </w:tabs>
        <w:ind w:left="851"/>
        <w:rPr>
          <w:sz w:val="24"/>
          <w:szCs w:val="24"/>
        </w:rPr>
      </w:pPr>
      <w:r w:rsidRPr="00091C39">
        <w:rPr>
          <w:sz w:val="24"/>
          <w:szCs w:val="24"/>
        </w:rPr>
        <w:t>Prævalensen af resistens kan variere geografisk og over tid for udvalgte arter, og lokale oplysninger om resistens er ønskelige, især ved behandling af svære infektioner. Der bør søges ekspertrådgivning efter behov, når den lokale forekomst af resistens er af en sådan karakter, at der er tvivl om nytten af midlet ved mindst nogle infektionstyper.</w:t>
      </w:r>
    </w:p>
    <w:p w:rsidR="00091C39" w:rsidRPr="00091C39" w:rsidRDefault="00091C39" w:rsidP="00091C39">
      <w:pPr>
        <w:tabs>
          <w:tab w:val="left" w:pos="851"/>
        </w:tabs>
        <w:ind w:left="851"/>
        <w:rPr>
          <w:sz w:val="24"/>
          <w:szCs w:val="24"/>
        </w:rPr>
      </w:pPr>
    </w:p>
    <w:tbl>
      <w:tblPr>
        <w:tblStyle w:val="Tabel-Gitter"/>
        <w:tblW w:w="0" w:type="auto"/>
        <w:tblInd w:w="108" w:type="dxa"/>
        <w:tblLook w:val="04A0" w:firstRow="1" w:lastRow="0" w:firstColumn="1" w:lastColumn="0" w:noHBand="0" w:noVBand="1"/>
      </w:tblPr>
      <w:tblGrid>
        <w:gridCol w:w="2864"/>
        <w:gridCol w:w="6208"/>
      </w:tblGrid>
      <w:tr w:rsidR="00091C39" w:rsidRPr="00091C39" w:rsidTr="00091C39">
        <w:tc>
          <w:tcPr>
            <w:tcW w:w="9072" w:type="dxa"/>
            <w:gridSpan w:val="2"/>
            <w:tcBorders>
              <w:top w:val="single" w:sz="4" w:space="0" w:color="auto"/>
              <w:left w:val="single" w:sz="4" w:space="0" w:color="auto"/>
              <w:bottom w:val="single" w:sz="4" w:space="0" w:color="auto"/>
              <w:right w:val="single" w:sz="4" w:space="0" w:color="auto"/>
            </w:tcBorders>
          </w:tcPr>
          <w:p w:rsidR="00091C39" w:rsidRPr="00091C39" w:rsidRDefault="00091C39" w:rsidP="00727FEE">
            <w:pPr>
              <w:ind w:left="64"/>
              <w:rPr>
                <w:b/>
                <w:bCs/>
                <w:sz w:val="24"/>
                <w:szCs w:val="24"/>
              </w:rPr>
            </w:pPr>
            <w:r w:rsidRPr="00091C39">
              <w:rPr>
                <w:b/>
                <w:sz w:val="24"/>
                <w:szCs w:val="24"/>
              </w:rPr>
              <w:t xml:space="preserve">Mikroorganismers følsomhed over for ampicillin </w:t>
            </w:r>
            <w:r w:rsidRPr="00091C39">
              <w:rPr>
                <w:b/>
                <w:i/>
                <w:sz w:val="24"/>
                <w:szCs w:val="24"/>
              </w:rPr>
              <w:t>in vitro</w:t>
            </w:r>
          </w:p>
          <w:p w:rsidR="00091C39" w:rsidRPr="00091C39" w:rsidRDefault="00091C39" w:rsidP="00727FEE">
            <w:pPr>
              <w:ind w:left="64"/>
              <w:rPr>
                <w:sz w:val="24"/>
                <w:szCs w:val="24"/>
              </w:rPr>
            </w:pPr>
          </w:p>
        </w:tc>
      </w:tr>
      <w:tr w:rsidR="00091C39" w:rsidRPr="00091C39" w:rsidTr="00091C39">
        <w:tc>
          <w:tcPr>
            <w:tcW w:w="2864"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sz w:val="24"/>
                <w:szCs w:val="24"/>
              </w:rPr>
            </w:pPr>
            <w:r w:rsidRPr="00091C39">
              <w:rPr>
                <w:sz w:val="24"/>
                <w:szCs w:val="24"/>
              </w:rPr>
              <w:t>Almindeligt følsomme arter</w:t>
            </w:r>
          </w:p>
        </w:tc>
        <w:tc>
          <w:tcPr>
            <w:tcW w:w="6208"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sz w:val="24"/>
                <w:szCs w:val="24"/>
                <w:lang w:val="en-US"/>
              </w:rPr>
            </w:pPr>
            <w:r w:rsidRPr="00091C39">
              <w:rPr>
                <w:i/>
                <w:iCs/>
                <w:sz w:val="24"/>
                <w:szCs w:val="24"/>
                <w:lang w:val="en-US"/>
              </w:rPr>
              <w:t>Pneumococcus</w:t>
            </w:r>
            <w:r w:rsidRPr="00091C39">
              <w:rPr>
                <w:sz w:val="24"/>
                <w:szCs w:val="24"/>
                <w:lang w:val="en-US"/>
              </w:rPr>
              <w:t xml:space="preserve"> </w:t>
            </w:r>
            <w:r w:rsidRPr="00091C39">
              <w:rPr>
                <w:iCs/>
                <w:sz w:val="24"/>
                <w:szCs w:val="24"/>
                <w:lang w:val="en-US"/>
              </w:rPr>
              <w:t>spp</w:t>
            </w:r>
            <w:r w:rsidRPr="00091C39">
              <w:rPr>
                <w:sz w:val="24"/>
                <w:szCs w:val="24"/>
                <w:lang w:val="en-US"/>
              </w:rPr>
              <w:t>.</w:t>
            </w:r>
          </w:p>
          <w:p w:rsidR="00091C39" w:rsidRPr="00091C39" w:rsidRDefault="00091C39" w:rsidP="00727FEE">
            <w:pPr>
              <w:ind w:left="64"/>
              <w:rPr>
                <w:sz w:val="24"/>
                <w:szCs w:val="24"/>
                <w:lang w:val="en-US"/>
              </w:rPr>
            </w:pPr>
            <w:r w:rsidRPr="00091C39">
              <w:rPr>
                <w:i/>
                <w:iCs/>
                <w:sz w:val="24"/>
                <w:szCs w:val="24"/>
                <w:lang w:val="en-US"/>
              </w:rPr>
              <w:t>Streptococcus</w:t>
            </w:r>
            <w:r w:rsidRPr="00091C39">
              <w:rPr>
                <w:sz w:val="24"/>
                <w:szCs w:val="24"/>
                <w:lang w:val="en-US"/>
              </w:rPr>
              <w:t xml:space="preserve"> </w:t>
            </w:r>
            <w:r w:rsidRPr="00091C39">
              <w:rPr>
                <w:iCs/>
                <w:sz w:val="24"/>
                <w:szCs w:val="24"/>
                <w:lang w:val="en-US"/>
              </w:rPr>
              <w:t>spp</w:t>
            </w:r>
            <w:r w:rsidRPr="00091C39">
              <w:rPr>
                <w:sz w:val="24"/>
                <w:szCs w:val="24"/>
                <w:lang w:val="en-US"/>
              </w:rPr>
              <w:t>.</w:t>
            </w:r>
          </w:p>
          <w:p w:rsidR="00091C39" w:rsidRPr="00091C39" w:rsidRDefault="00091C39" w:rsidP="00727FEE">
            <w:pPr>
              <w:ind w:left="64"/>
              <w:rPr>
                <w:sz w:val="24"/>
                <w:szCs w:val="24"/>
                <w:lang w:val="en-US"/>
              </w:rPr>
            </w:pPr>
            <w:r w:rsidRPr="00091C39">
              <w:rPr>
                <w:i/>
                <w:iCs/>
                <w:sz w:val="24"/>
                <w:szCs w:val="24"/>
                <w:lang w:val="en-US"/>
              </w:rPr>
              <w:t>Enterococcus</w:t>
            </w:r>
            <w:r w:rsidRPr="00091C39">
              <w:rPr>
                <w:sz w:val="24"/>
                <w:szCs w:val="24"/>
                <w:lang w:val="en-US"/>
              </w:rPr>
              <w:t xml:space="preserve"> </w:t>
            </w:r>
            <w:r w:rsidRPr="00091C39">
              <w:rPr>
                <w:iCs/>
                <w:sz w:val="24"/>
                <w:szCs w:val="24"/>
                <w:lang w:val="en-US"/>
              </w:rPr>
              <w:t>spp</w:t>
            </w:r>
            <w:r w:rsidRPr="00091C39">
              <w:rPr>
                <w:sz w:val="24"/>
                <w:szCs w:val="24"/>
                <w:lang w:val="en-US"/>
              </w:rPr>
              <w:t>.</w:t>
            </w:r>
          </w:p>
          <w:p w:rsidR="00091C39" w:rsidRPr="00091C39" w:rsidRDefault="00091C39" w:rsidP="00727FEE">
            <w:pPr>
              <w:ind w:left="64"/>
              <w:rPr>
                <w:i/>
                <w:sz w:val="24"/>
                <w:szCs w:val="24"/>
                <w:lang w:val="en-US"/>
              </w:rPr>
            </w:pPr>
            <w:r w:rsidRPr="00091C39">
              <w:rPr>
                <w:i/>
                <w:sz w:val="24"/>
                <w:szCs w:val="24"/>
                <w:lang w:val="en-US"/>
              </w:rPr>
              <w:t>Listeria monocytogenes</w:t>
            </w:r>
          </w:p>
          <w:p w:rsidR="00091C39" w:rsidRPr="00091C39" w:rsidRDefault="00091C39" w:rsidP="00727FEE">
            <w:pPr>
              <w:ind w:left="64"/>
              <w:rPr>
                <w:sz w:val="24"/>
                <w:szCs w:val="24"/>
                <w:lang w:val="en-US"/>
              </w:rPr>
            </w:pPr>
            <w:r w:rsidRPr="00091C39">
              <w:rPr>
                <w:i/>
                <w:iCs/>
                <w:sz w:val="24"/>
                <w:szCs w:val="24"/>
                <w:lang w:val="en-US"/>
              </w:rPr>
              <w:t>Meningococcus</w:t>
            </w:r>
            <w:r w:rsidRPr="00091C39">
              <w:rPr>
                <w:sz w:val="24"/>
                <w:szCs w:val="24"/>
                <w:lang w:val="en-US"/>
              </w:rPr>
              <w:t xml:space="preserve"> </w:t>
            </w:r>
            <w:r w:rsidRPr="00091C39">
              <w:rPr>
                <w:iCs/>
                <w:sz w:val="24"/>
                <w:szCs w:val="24"/>
                <w:lang w:val="en-US"/>
              </w:rPr>
              <w:t>spp</w:t>
            </w:r>
            <w:r w:rsidRPr="00091C39">
              <w:rPr>
                <w:sz w:val="24"/>
                <w:szCs w:val="24"/>
                <w:lang w:val="en-US"/>
              </w:rPr>
              <w:t>.</w:t>
            </w:r>
          </w:p>
          <w:p w:rsidR="00091C39" w:rsidRPr="00091C39" w:rsidRDefault="00091C39" w:rsidP="00727FEE">
            <w:pPr>
              <w:ind w:left="64"/>
              <w:rPr>
                <w:i/>
                <w:sz w:val="24"/>
                <w:szCs w:val="24"/>
                <w:lang w:val="en-US"/>
              </w:rPr>
            </w:pPr>
            <w:r w:rsidRPr="00091C39">
              <w:rPr>
                <w:i/>
                <w:sz w:val="24"/>
                <w:szCs w:val="24"/>
                <w:lang w:val="en-US"/>
              </w:rPr>
              <w:t>Haemophilus influenzae</w:t>
            </w:r>
          </w:p>
          <w:p w:rsidR="00091C39" w:rsidRPr="00091C39" w:rsidRDefault="00091C39" w:rsidP="00727FEE">
            <w:pPr>
              <w:ind w:left="64"/>
              <w:rPr>
                <w:i/>
                <w:sz w:val="24"/>
                <w:szCs w:val="24"/>
              </w:rPr>
            </w:pPr>
            <w:r w:rsidRPr="00091C39">
              <w:rPr>
                <w:i/>
                <w:sz w:val="24"/>
                <w:szCs w:val="24"/>
              </w:rPr>
              <w:t>Proteus mirabilis</w:t>
            </w:r>
          </w:p>
          <w:p w:rsidR="00091C39" w:rsidRPr="00091C39" w:rsidRDefault="00091C39" w:rsidP="00727FEE">
            <w:pPr>
              <w:ind w:left="64"/>
              <w:rPr>
                <w:sz w:val="24"/>
                <w:szCs w:val="24"/>
                <w:u w:val="single"/>
              </w:rPr>
            </w:pPr>
            <w:r w:rsidRPr="00091C39">
              <w:rPr>
                <w:sz w:val="24"/>
                <w:szCs w:val="24"/>
              </w:rPr>
              <w:t xml:space="preserve">Anaerob </w:t>
            </w:r>
            <w:r w:rsidRPr="00091C39">
              <w:rPr>
                <w:i/>
                <w:iCs/>
                <w:sz w:val="24"/>
                <w:szCs w:val="24"/>
              </w:rPr>
              <w:t>Streptococcus</w:t>
            </w:r>
            <w:r w:rsidRPr="00091C39">
              <w:rPr>
                <w:sz w:val="24"/>
                <w:szCs w:val="24"/>
              </w:rPr>
              <w:t xml:space="preserve"> og </w:t>
            </w:r>
            <w:r w:rsidRPr="00091C39">
              <w:rPr>
                <w:i/>
                <w:iCs/>
                <w:sz w:val="24"/>
                <w:szCs w:val="24"/>
              </w:rPr>
              <w:t>Peptostreptococcus</w:t>
            </w:r>
            <w:r w:rsidRPr="00091C39">
              <w:rPr>
                <w:sz w:val="24"/>
                <w:szCs w:val="24"/>
              </w:rPr>
              <w:t xml:space="preserve"> </w:t>
            </w:r>
            <w:r w:rsidRPr="00091C39">
              <w:rPr>
                <w:iCs/>
                <w:sz w:val="24"/>
                <w:szCs w:val="24"/>
              </w:rPr>
              <w:t>spp</w:t>
            </w:r>
            <w:r w:rsidRPr="00091C39">
              <w:rPr>
                <w:sz w:val="24"/>
                <w:szCs w:val="24"/>
              </w:rPr>
              <w:t>.</w:t>
            </w:r>
          </w:p>
        </w:tc>
      </w:tr>
      <w:tr w:rsidR="00091C39" w:rsidRPr="006B0A38" w:rsidTr="00091C39">
        <w:trPr>
          <w:trHeight w:val="80"/>
        </w:trPr>
        <w:tc>
          <w:tcPr>
            <w:tcW w:w="2864"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sz w:val="24"/>
                <w:szCs w:val="24"/>
              </w:rPr>
            </w:pPr>
            <w:r w:rsidRPr="00091C39">
              <w:rPr>
                <w:sz w:val="24"/>
                <w:szCs w:val="24"/>
              </w:rPr>
              <w:t>Arter hvor erhvervet resistens kan være et problem</w:t>
            </w:r>
          </w:p>
        </w:tc>
        <w:tc>
          <w:tcPr>
            <w:tcW w:w="6208"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i/>
                <w:sz w:val="24"/>
                <w:szCs w:val="24"/>
                <w:lang w:val="de-DE"/>
              </w:rPr>
            </w:pPr>
            <w:r w:rsidRPr="00091C39">
              <w:rPr>
                <w:i/>
                <w:sz w:val="24"/>
                <w:szCs w:val="24"/>
                <w:lang w:val="de-DE"/>
              </w:rPr>
              <w:t xml:space="preserve">Escherichia coli </w:t>
            </w:r>
          </w:p>
          <w:p w:rsidR="00091C39" w:rsidRPr="00091C39" w:rsidRDefault="00091C39" w:rsidP="00727FEE">
            <w:pPr>
              <w:ind w:left="64"/>
              <w:rPr>
                <w:i/>
                <w:sz w:val="24"/>
                <w:szCs w:val="24"/>
                <w:lang w:val="de-DE"/>
              </w:rPr>
            </w:pPr>
            <w:r w:rsidRPr="00091C39">
              <w:rPr>
                <w:i/>
                <w:sz w:val="24"/>
                <w:szCs w:val="24"/>
                <w:lang w:val="de-DE"/>
              </w:rPr>
              <w:t>Acinetobacter baumannii</w:t>
            </w:r>
          </w:p>
          <w:p w:rsidR="00091C39" w:rsidRPr="00091C39" w:rsidRDefault="00091C39" w:rsidP="00727FEE">
            <w:pPr>
              <w:ind w:left="64"/>
              <w:rPr>
                <w:i/>
                <w:sz w:val="24"/>
                <w:szCs w:val="24"/>
                <w:lang w:val="de-DE"/>
              </w:rPr>
            </w:pPr>
            <w:r w:rsidRPr="00091C39">
              <w:rPr>
                <w:i/>
                <w:sz w:val="24"/>
                <w:szCs w:val="24"/>
                <w:lang w:val="de-DE"/>
              </w:rPr>
              <w:t>Haemophilus influenzae</w:t>
            </w:r>
          </w:p>
        </w:tc>
      </w:tr>
      <w:tr w:rsidR="00091C39" w:rsidRPr="006B0A38" w:rsidTr="00091C39">
        <w:trPr>
          <w:trHeight w:val="80"/>
        </w:trPr>
        <w:tc>
          <w:tcPr>
            <w:tcW w:w="2864"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sz w:val="24"/>
                <w:szCs w:val="24"/>
              </w:rPr>
            </w:pPr>
            <w:r w:rsidRPr="00091C39">
              <w:rPr>
                <w:sz w:val="24"/>
                <w:szCs w:val="24"/>
              </w:rPr>
              <w:t>Naturligt resistente organismer</w:t>
            </w:r>
          </w:p>
        </w:tc>
        <w:tc>
          <w:tcPr>
            <w:tcW w:w="6208" w:type="dxa"/>
            <w:tcBorders>
              <w:top w:val="single" w:sz="4" w:space="0" w:color="auto"/>
              <w:left w:val="single" w:sz="4" w:space="0" w:color="auto"/>
              <w:bottom w:val="single" w:sz="4" w:space="0" w:color="auto"/>
              <w:right w:val="single" w:sz="4" w:space="0" w:color="auto"/>
            </w:tcBorders>
            <w:hideMark/>
          </w:tcPr>
          <w:p w:rsidR="00091C39" w:rsidRPr="00091C39" w:rsidRDefault="00091C39" w:rsidP="00727FEE">
            <w:pPr>
              <w:ind w:left="64"/>
              <w:rPr>
                <w:sz w:val="24"/>
                <w:szCs w:val="24"/>
                <w:lang w:val="en-US"/>
              </w:rPr>
            </w:pPr>
            <w:r w:rsidRPr="00091C39">
              <w:rPr>
                <w:i/>
                <w:iCs/>
                <w:sz w:val="24"/>
                <w:szCs w:val="24"/>
                <w:lang w:val="en-US"/>
              </w:rPr>
              <w:t>Staphylococcus</w:t>
            </w:r>
            <w:r w:rsidRPr="00091C39">
              <w:rPr>
                <w:sz w:val="24"/>
                <w:szCs w:val="24"/>
                <w:lang w:val="en-US"/>
              </w:rPr>
              <w:t xml:space="preserve"> </w:t>
            </w:r>
            <w:r w:rsidRPr="00091C39">
              <w:rPr>
                <w:iCs/>
                <w:sz w:val="24"/>
                <w:szCs w:val="24"/>
                <w:lang w:val="en-US"/>
              </w:rPr>
              <w:t>spp</w:t>
            </w:r>
            <w:r w:rsidRPr="00091C39">
              <w:rPr>
                <w:sz w:val="24"/>
                <w:szCs w:val="24"/>
                <w:lang w:val="en-US"/>
              </w:rPr>
              <w:t>.</w:t>
            </w:r>
          </w:p>
          <w:p w:rsidR="00091C39" w:rsidRPr="00091C39" w:rsidRDefault="00091C39" w:rsidP="00727FEE">
            <w:pPr>
              <w:ind w:left="64"/>
              <w:rPr>
                <w:i/>
                <w:iCs/>
                <w:sz w:val="24"/>
                <w:szCs w:val="24"/>
                <w:lang w:val="en-US"/>
              </w:rPr>
            </w:pPr>
            <w:r w:rsidRPr="00091C39">
              <w:rPr>
                <w:i/>
                <w:sz w:val="24"/>
                <w:szCs w:val="24"/>
                <w:lang w:val="en-US"/>
              </w:rPr>
              <w:t>Moraxella catarrhalis</w:t>
            </w:r>
          </w:p>
          <w:p w:rsidR="00091C39" w:rsidRPr="00091C39" w:rsidRDefault="00091C39" w:rsidP="00727FEE">
            <w:pPr>
              <w:ind w:left="64"/>
              <w:rPr>
                <w:i/>
                <w:sz w:val="24"/>
                <w:szCs w:val="24"/>
                <w:lang w:val="en-US"/>
              </w:rPr>
            </w:pPr>
            <w:r w:rsidRPr="00091C39">
              <w:rPr>
                <w:i/>
                <w:iCs/>
                <w:sz w:val="24"/>
                <w:szCs w:val="24"/>
                <w:lang w:val="en-US"/>
              </w:rPr>
              <w:t>Citrobacter</w:t>
            </w:r>
            <w:r w:rsidRPr="00091C39">
              <w:rPr>
                <w:i/>
                <w:sz w:val="24"/>
                <w:szCs w:val="24"/>
                <w:lang w:val="en-US"/>
              </w:rPr>
              <w:t xml:space="preserve"> </w:t>
            </w:r>
            <w:r w:rsidRPr="00091C39">
              <w:rPr>
                <w:iCs/>
                <w:sz w:val="24"/>
                <w:szCs w:val="24"/>
                <w:lang w:val="en-US"/>
              </w:rPr>
              <w:t>spp</w:t>
            </w:r>
            <w:r w:rsidRPr="00091C39">
              <w:rPr>
                <w:i/>
                <w:sz w:val="24"/>
                <w:szCs w:val="24"/>
                <w:lang w:val="en-US"/>
              </w:rPr>
              <w:t>.</w:t>
            </w:r>
          </w:p>
          <w:p w:rsidR="00091C39" w:rsidRPr="00091C39" w:rsidRDefault="00091C39" w:rsidP="00727FEE">
            <w:pPr>
              <w:ind w:left="64"/>
              <w:rPr>
                <w:i/>
                <w:sz w:val="24"/>
                <w:szCs w:val="24"/>
              </w:rPr>
            </w:pPr>
            <w:r w:rsidRPr="00091C39">
              <w:rPr>
                <w:i/>
                <w:iCs/>
                <w:sz w:val="24"/>
                <w:szCs w:val="24"/>
              </w:rPr>
              <w:t>Klebsiella</w:t>
            </w:r>
            <w:r w:rsidRPr="00091C39">
              <w:rPr>
                <w:i/>
                <w:sz w:val="24"/>
                <w:szCs w:val="24"/>
              </w:rPr>
              <w:t xml:space="preserve"> </w:t>
            </w:r>
            <w:r w:rsidRPr="00091C39">
              <w:rPr>
                <w:iCs/>
                <w:sz w:val="24"/>
                <w:szCs w:val="24"/>
              </w:rPr>
              <w:t>spp</w:t>
            </w:r>
            <w:r w:rsidRPr="00091C39">
              <w:rPr>
                <w:i/>
                <w:sz w:val="24"/>
                <w:szCs w:val="24"/>
              </w:rPr>
              <w:t>.</w:t>
            </w:r>
          </w:p>
          <w:p w:rsidR="00091C39" w:rsidRPr="00091C39" w:rsidRDefault="00091C39" w:rsidP="00727FEE">
            <w:pPr>
              <w:ind w:left="64"/>
              <w:rPr>
                <w:i/>
                <w:sz w:val="24"/>
                <w:szCs w:val="24"/>
              </w:rPr>
            </w:pPr>
            <w:r w:rsidRPr="00091C39">
              <w:rPr>
                <w:sz w:val="24"/>
                <w:szCs w:val="24"/>
              </w:rPr>
              <w:t>Enterobacter</w:t>
            </w:r>
            <w:r w:rsidRPr="00091C39">
              <w:rPr>
                <w:i/>
                <w:sz w:val="24"/>
                <w:szCs w:val="24"/>
              </w:rPr>
              <w:t xml:space="preserve"> </w:t>
            </w:r>
            <w:r w:rsidRPr="00091C39">
              <w:rPr>
                <w:iCs/>
                <w:sz w:val="24"/>
                <w:szCs w:val="24"/>
              </w:rPr>
              <w:t>spp</w:t>
            </w:r>
            <w:r w:rsidRPr="00091C39">
              <w:rPr>
                <w:i/>
                <w:sz w:val="24"/>
                <w:szCs w:val="24"/>
              </w:rPr>
              <w:t>.</w:t>
            </w:r>
          </w:p>
          <w:p w:rsidR="00091C39" w:rsidRPr="00091C39" w:rsidRDefault="00091C39" w:rsidP="00727FEE">
            <w:pPr>
              <w:ind w:left="64"/>
              <w:rPr>
                <w:i/>
                <w:sz w:val="24"/>
                <w:szCs w:val="24"/>
              </w:rPr>
            </w:pPr>
            <w:r w:rsidRPr="00091C39">
              <w:rPr>
                <w:i/>
                <w:sz w:val="24"/>
                <w:szCs w:val="24"/>
              </w:rPr>
              <w:t>Morganella morganii</w:t>
            </w:r>
          </w:p>
          <w:p w:rsidR="00091C39" w:rsidRPr="00091C39" w:rsidRDefault="00091C39" w:rsidP="00727FEE">
            <w:pPr>
              <w:ind w:left="64"/>
              <w:rPr>
                <w:i/>
                <w:iCs/>
                <w:sz w:val="24"/>
                <w:szCs w:val="24"/>
                <w:lang w:val="en-US"/>
              </w:rPr>
            </w:pPr>
            <w:r w:rsidRPr="00091C39">
              <w:rPr>
                <w:i/>
                <w:sz w:val="24"/>
                <w:szCs w:val="24"/>
                <w:lang w:val="en-US"/>
              </w:rPr>
              <w:t>Proteus vulgaris</w:t>
            </w:r>
          </w:p>
          <w:p w:rsidR="00091C39" w:rsidRPr="00091C39" w:rsidRDefault="00091C39" w:rsidP="00727FEE">
            <w:pPr>
              <w:ind w:left="64"/>
              <w:rPr>
                <w:sz w:val="24"/>
                <w:szCs w:val="24"/>
                <w:lang w:val="en-US"/>
              </w:rPr>
            </w:pPr>
            <w:r w:rsidRPr="00091C39">
              <w:rPr>
                <w:i/>
                <w:iCs/>
                <w:sz w:val="24"/>
                <w:szCs w:val="24"/>
                <w:lang w:val="en-US"/>
              </w:rPr>
              <w:lastRenderedPageBreak/>
              <w:t>Providencia</w:t>
            </w:r>
            <w:r w:rsidRPr="00091C39">
              <w:rPr>
                <w:sz w:val="24"/>
                <w:szCs w:val="24"/>
                <w:lang w:val="en-US"/>
              </w:rPr>
              <w:t xml:space="preserve"> </w:t>
            </w:r>
            <w:r w:rsidRPr="00091C39">
              <w:rPr>
                <w:iCs/>
                <w:sz w:val="24"/>
                <w:szCs w:val="24"/>
                <w:lang w:val="en-US"/>
              </w:rPr>
              <w:t>spp</w:t>
            </w:r>
            <w:r w:rsidRPr="00091C39">
              <w:rPr>
                <w:sz w:val="24"/>
                <w:szCs w:val="24"/>
                <w:lang w:val="en-US"/>
              </w:rPr>
              <w:t>.</w:t>
            </w:r>
          </w:p>
          <w:p w:rsidR="00091C39" w:rsidRPr="00091C39" w:rsidRDefault="00091C39" w:rsidP="00727FEE">
            <w:pPr>
              <w:ind w:left="64"/>
              <w:rPr>
                <w:i/>
                <w:iCs/>
                <w:sz w:val="24"/>
                <w:szCs w:val="24"/>
                <w:lang w:val="en-US"/>
              </w:rPr>
            </w:pPr>
            <w:r w:rsidRPr="00091C39">
              <w:rPr>
                <w:i/>
                <w:iCs/>
                <w:sz w:val="24"/>
                <w:szCs w:val="24"/>
                <w:lang w:val="en-US"/>
              </w:rPr>
              <w:t>Serratia</w:t>
            </w:r>
            <w:r w:rsidRPr="00091C39">
              <w:rPr>
                <w:i/>
                <w:sz w:val="24"/>
                <w:szCs w:val="24"/>
                <w:lang w:val="en-US"/>
              </w:rPr>
              <w:t xml:space="preserve"> </w:t>
            </w:r>
            <w:r w:rsidRPr="00091C39">
              <w:rPr>
                <w:iCs/>
                <w:sz w:val="24"/>
                <w:szCs w:val="24"/>
                <w:lang w:val="en-US"/>
              </w:rPr>
              <w:t>spp</w:t>
            </w:r>
            <w:r w:rsidRPr="00091C39">
              <w:rPr>
                <w:i/>
                <w:sz w:val="24"/>
                <w:szCs w:val="24"/>
                <w:lang w:val="en-US"/>
              </w:rPr>
              <w:t>.</w:t>
            </w:r>
          </w:p>
          <w:p w:rsidR="00091C39" w:rsidRPr="00091C39" w:rsidRDefault="00091C39" w:rsidP="00727FEE">
            <w:pPr>
              <w:ind w:left="64"/>
              <w:rPr>
                <w:i/>
                <w:iCs/>
                <w:sz w:val="24"/>
                <w:szCs w:val="24"/>
                <w:lang w:val="en-US"/>
              </w:rPr>
            </w:pPr>
            <w:r w:rsidRPr="00091C39">
              <w:rPr>
                <w:i/>
                <w:sz w:val="24"/>
                <w:szCs w:val="24"/>
                <w:lang w:val="en-US"/>
              </w:rPr>
              <w:t>Pseudomonas aeruginosa</w:t>
            </w:r>
          </w:p>
          <w:p w:rsidR="00091C39" w:rsidRPr="00091C39" w:rsidRDefault="00091C39" w:rsidP="00727FEE">
            <w:pPr>
              <w:ind w:left="64"/>
              <w:rPr>
                <w:i/>
                <w:iCs/>
                <w:sz w:val="24"/>
                <w:szCs w:val="24"/>
                <w:lang w:val="en-US"/>
              </w:rPr>
            </w:pPr>
            <w:r w:rsidRPr="00091C39">
              <w:rPr>
                <w:i/>
                <w:sz w:val="24"/>
                <w:szCs w:val="24"/>
                <w:lang w:val="en-US"/>
              </w:rPr>
              <w:t>Legionella pneumophila</w:t>
            </w:r>
          </w:p>
          <w:p w:rsidR="00091C39" w:rsidRPr="00091C39" w:rsidRDefault="00091C39" w:rsidP="00727FEE">
            <w:pPr>
              <w:ind w:left="64"/>
              <w:rPr>
                <w:i/>
                <w:iCs/>
                <w:sz w:val="24"/>
                <w:szCs w:val="24"/>
                <w:lang w:val="sv-SE"/>
              </w:rPr>
            </w:pPr>
            <w:r w:rsidRPr="00091C39">
              <w:rPr>
                <w:i/>
                <w:sz w:val="24"/>
                <w:szCs w:val="24"/>
                <w:lang w:val="sv-SE"/>
              </w:rPr>
              <w:t>Clostridium difficile</w:t>
            </w:r>
          </w:p>
          <w:p w:rsidR="00091C39" w:rsidRPr="00091C39" w:rsidRDefault="00091C39" w:rsidP="00727FEE">
            <w:pPr>
              <w:ind w:left="64"/>
              <w:rPr>
                <w:i/>
                <w:iCs/>
                <w:sz w:val="24"/>
                <w:szCs w:val="24"/>
                <w:lang w:val="sv-SE"/>
              </w:rPr>
            </w:pPr>
            <w:r w:rsidRPr="00091C39">
              <w:rPr>
                <w:i/>
                <w:sz w:val="24"/>
                <w:szCs w:val="24"/>
                <w:lang w:val="sv-SE"/>
              </w:rPr>
              <w:t>Bacteroides fragilis</w:t>
            </w:r>
          </w:p>
          <w:p w:rsidR="00091C39" w:rsidRPr="00091C39" w:rsidRDefault="00091C39" w:rsidP="00727FEE">
            <w:pPr>
              <w:ind w:left="64"/>
              <w:rPr>
                <w:sz w:val="24"/>
                <w:szCs w:val="24"/>
                <w:lang w:val="sv-SE"/>
              </w:rPr>
            </w:pPr>
            <w:r w:rsidRPr="00091C39">
              <w:rPr>
                <w:i/>
                <w:iCs/>
                <w:sz w:val="24"/>
                <w:szCs w:val="24"/>
                <w:lang w:val="sv-SE"/>
              </w:rPr>
              <w:t>Mycoplasma</w:t>
            </w:r>
            <w:r w:rsidRPr="00091C39">
              <w:rPr>
                <w:sz w:val="24"/>
                <w:szCs w:val="24"/>
                <w:lang w:val="sv-SE"/>
              </w:rPr>
              <w:t xml:space="preserve"> </w:t>
            </w:r>
            <w:r w:rsidRPr="00091C39">
              <w:rPr>
                <w:iCs/>
                <w:sz w:val="24"/>
                <w:szCs w:val="24"/>
                <w:lang w:val="sv-SE"/>
              </w:rPr>
              <w:t>spp</w:t>
            </w:r>
            <w:r w:rsidRPr="00091C39">
              <w:rPr>
                <w:sz w:val="24"/>
                <w:szCs w:val="24"/>
                <w:lang w:val="sv-SE"/>
              </w:rPr>
              <w:t>.</w:t>
            </w:r>
          </w:p>
          <w:p w:rsidR="00091C39" w:rsidRPr="00091C39" w:rsidRDefault="00091C39" w:rsidP="00727FEE">
            <w:pPr>
              <w:ind w:left="64"/>
              <w:rPr>
                <w:sz w:val="24"/>
                <w:szCs w:val="24"/>
                <w:lang w:val="en-US"/>
              </w:rPr>
            </w:pPr>
            <w:r w:rsidRPr="00091C39">
              <w:rPr>
                <w:i/>
                <w:iCs/>
                <w:sz w:val="24"/>
                <w:szCs w:val="24"/>
                <w:lang w:val="en-US"/>
              </w:rPr>
              <w:t>Chlamydia</w:t>
            </w:r>
            <w:r w:rsidRPr="00091C39">
              <w:rPr>
                <w:sz w:val="24"/>
                <w:szCs w:val="24"/>
                <w:lang w:val="en-US"/>
              </w:rPr>
              <w:t xml:space="preserve"> </w:t>
            </w:r>
            <w:r w:rsidRPr="00091C39">
              <w:rPr>
                <w:iCs/>
                <w:sz w:val="24"/>
                <w:szCs w:val="24"/>
                <w:lang w:val="en-US"/>
              </w:rPr>
              <w:t>spp</w:t>
            </w:r>
            <w:r w:rsidRPr="00091C39">
              <w:rPr>
                <w:sz w:val="24"/>
                <w:szCs w:val="24"/>
                <w:lang w:val="en-US"/>
              </w:rPr>
              <w:t>.</w:t>
            </w:r>
          </w:p>
        </w:tc>
      </w:tr>
    </w:tbl>
    <w:p w:rsidR="00091C39" w:rsidRPr="00091C39" w:rsidRDefault="00091C39" w:rsidP="00091C39">
      <w:pPr>
        <w:tabs>
          <w:tab w:val="left" w:pos="851"/>
        </w:tabs>
        <w:ind w:left="851"/>
        <w:rPr>
          <w:iCs/>
          <w:sz w:val="24"/>
          <w:szCs w:val="24"/>
          <w:lang w:val="en-US"/>
        </w:rPr>
      </w:pPr>
    </w:p>
    <w:p w:rsidR="00091C39" w:rsidRPr="00091C39" w:rsidRDefault="00091C39" w:rsidP="00091C39">
      <w:pPr>
        <w:tabs>
          <w:tab w:val="left" w:pos="851"/>
        </w:tabs>
        <w:ind w:left="851"/>
        <w:rPr>
          <w:iCs/>
          <w:sz w:val="24"/>
          <w:szCs w:val="24"/>
        </w:rPr>
      </w:pPr>
      <w:r w:rsidRPr="00091C39">
        <w:rPr>
          <w:sz w:val="24"/>
          <w:szCs w:val="24"/>
        </w:rPr>
        <w:t>Resistens forekommer (1</w:t>
      </w:r>
      <w:r w:rsidRPr="00091C39">
        <w:rPr>
          <w:sz w:val="24"/>
          <w:szCs w:val="24"/>
        </w:rPr>
        <w:noBreakHyphen/>
        <w:t>10 %) i Pneumococcus</w:t>
      </w:r>
      <w:r w:rsidRPr="00091C39">
        <w:rPr>
          <w:i/>
          <w:sz w:val="24"/>
          <w:szCs w:val="24"/>
        </w:rPr>
        <w:t xml:space="preserve"> spp.</w:t>
      </w:r>
      <w:r w:rsidRPr="00091C39">
        <w:rPr>
          <w:sz w:val="24"/>
          <w:szCs w:val="24"/>
        </w:rPr>
        <w:t xml:space="preserve"> og </w:t>
      </w:r>
      <w:r w:rsidRPr="00091C39">
        <w:rPr>
          <w:i/>
          <w:sz w:val="24"/>
          <w:szCs w:val="24"/>
        </w:rPr>
        <w:t>Enterococcus faecalis</w:t>
      </w:r>
      <w:r w:rsidRPr="00091C39">
        <w:rPr>
          <w:sz w:val="24"/>
          <w:szCs w:val="24"/>
        </w:rPr>
        <w:t>.</w:t>
      </w:r>
    </w:p>
    <w:p w:rsidR="00091C39" w:rsidRPr="00091C39" w:rsidRDefault="00091C39" w:rsidP="00091C39">
      <w:pPr>
        <w:tabs>
          <w:tab w:val="left" w:pos="851"/>
        </w:tabs>
        <w:ind w:left="851"/>
        <w:rPr>
          <w:sz w:val="24"/>
          <w:szCs w:val="24"/>
          <w:u w:val="single"/>
        </w:rPr>
      </w:pPr>
      <w:r w:rsidRPr="00091C39">
        <w:rPr>
          <w:sz w:val="24"/>
          <w:szCs w:val="24"/>
        </w:rPr>
        <w:t xml:space="preserve">Resistens er almindelig hos </w:t>
      </w:r>
      <w:r w:rsidRPr="00091C39">
        <w:rPr>
          <w:i/>
          <w:sz w:val="24"/>
          <w:szCs w:val="24"/>
        </w:rPr>
        <w:t>Enterococcus faecium</w:t>
      </w:r>
      <w:r w:rsidRPr="00091C39">
        <w:rPr>
          <w:sz w:val="24"/>
          <w:szCs w:val="24"/>
        </w:rPr>
        <w:t xml:space="preserve">, </w:t>
      </w:r>
      <w:r w:rsidRPr="00091C39">
        <w:rPr>
          <w:i/>
          <w:sz w:val="24"/>
          <w:szCs w:val="24"/>
        </w:rPr>
        <w:t>Haemophilus influenzae</w:t>
      </w:r>
      <w:r w:rsidRPr="00091C39">
        <w:rPr>
          <w:sz w:val="24"/>
          <w:szCs w:val="24"/>
        </w:rPr>
        <w:t xml:space="preserve"> og Enterobacterales.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E0A09" w:rsidRPr="00AE0A09" w:rsidRDefault="00AE0A09" w:rsidP="00AE0A09">
      <w:pPr>
        <w:tabs>
          <w:tab w:val="left" w:pos="851"/>
        </w:tabs>
        <w:ind w:left="851"/>
        <w:rPr>
          <w:b/>
          <w:sz w:val="24"/>
          <w:szCs w:val="24"/>
        </w:rPr>
      </w:pPr>
    </w:p>
    <w:p w:rsidR="00AE0A09" w:rsidRPr="00AE0A09" w:rsidRDefault="00AE0A09" w:rsidP="00AE0A09">
      <w:pPr>
        <w:tabs>
          <w:tab w:val="left" w:pos="851"/>
        </w:tabs>
        <w:ind w:left="851"/>
        <w:rPr>
          <w:sz w:val="24"/>
          <w:szCs w:val="24"/>
          <w:u w:val="single"/>
        </w:rPr>
      </w:pPr>
      <w:r w:rsidRPr="00AE0A09">
        <w:rPr>
          <w:sz w:val="24"/>
          <w:szCs w:val="24"/>
          <w:u w:val="single"/>
        </w:rPr>
        <w:t>Absorption</w:t>
      </w:r>
    </w:p>
    <w:p w:rsidR="00AE0A09" w:rsidRPr="00AE0A09" w:rsidRDefault="00AE0A09" w:rsidP="00AE0A09">
      <w:pPr>
        <w:tabs>
          <w:tab w:val="left" w:pos="851"/>
        </w:tabs>
        <w:ind w:left="851"/>
        <w:rPr>
          <w:sz w:val="24"/>
          <w:szCs w:val="24"/>
        </w:rPr>
      </w:pPr>
      <w:r w:rsidRPr="00AE0A09">
        <w:rPr>
          <w:sz w:val="24"/>
          <w:szCs w:val="24"/>
        </w:rPr>
        <w:t xml:space="preserve">Når Amroliv 2 g administreres som en intermitterende infusion, nås en maksimal serumkoncentration på omkring 100 mikrogram/ml og efter 4 timer omkring 4 mikrogram/ml. </w:t>
      </w:r>
    </w:p>
    <w:p w:rsidR="00AE0A09" w:rsidRPr="00AE0A09" w:rsidRDefault="00AE0A09" w:rsidP="00AE0A09">
      <w:pPr>
        <w:tabs>
          <w:tab w:val="left" w:pos="851"/>
        </w:tabs>
        <w:ind w:left="851"/>
        <w:rPr>
          <w:b/>
          <w:sz w:val="24"/>
          <w:szCs w:val="24"/>
        </w:rPr>
      </w:pPr>
      <w:r w:rsidRPr="00AE0A09">
        <w:rPr>
          <w:sz w:val="24"/>
          <w:szCs w:val="24"/>
        </w:rPr>
        <w:t xml:space="preserve"> </w:t>
      </w:r>
    </w:p>
    <w:p w:rsidR="00AE0A09" w:rsidRPr="00AE0A09" w:rsidRDefault="00AE0A09" w:rsidP="00AE0A09">
      <w:pPr>
        <w:tabs>
          <w:tab w:val="left" w:pos="851"/>
        </w:tabs>
        <w:ind w:left="851"/>
        <w:rPr>
          <w:sz w:val="24"/>
          <w:szCs w:val="24"/>
          <w:u w:val="single"/>
        </w:rPr>
      </w:pPr>
      <w:r w:rsidRPr="00AE0A09">
        <w:rPr>
          <w:sz w:val="24"/>
          <w:szCs w:val="24"/>
          <w:u w:val="single"/>
        </w:rPr>
        <w:t>Fordeling</w:t>
      </w:r>
    </w:p>
    <w:p w:rsidR="00AE0A09" w:rsidRPr="00AE0A09" w:rsidRDefault="00AE0A09" w:rsidP="00AE0A09">
      <w:pPr>
        <w:tabs>
          <w:tab w:val="left" w:pos="851"/>
        </w:tabs>
        <w:ind w:left="851"/>
        <w:rPr>
          <w:sz w:val="24"/>
          <w:szCs w:val="24"/>
        </w:rPr>
      </w:pPr>
      <w:r w:rsidRPr="00AE0A09">
        <w:rPr>
          <w:sz w:val="24"/>
          <w:szCs w:val="24"/>
        </w:rPr>
        <w:t>Plasmaproteinbindingen er omkring 20 %.</w:t>
      </w:r>
    </w:p>
    <w:p w:rsidR="00AE0A09" w:rsidRPr="00AE0A09" w:rsidRDefault="00AE0A09" w:rsidP="00AE0A09">
      <w:pPr>
        <w:tabs>
          <w:tab w:val="left" w:pos="851"/>
        </w:tabs>
        <w:ind w:left="851"/>
        <w:rPr>
          <w:sz w:val="24"/>
          <w:szCs w:val="24"/>
        </w:rPr>
      </w:pPr>
      <w:r w:rsidRPr="00AE0A09">
        <w:rPr>
          <w:sz w:val="24"/>
          <w:szCs w:val="24"/>
        </w:rPr>
        <w:t>Ved meningitis er penetrationen af ampicillin gennem blod-hjernebarrieren bedre end gennem en normal, intakt barriere. I gennemsnit udgør cerebrospinalkoncentrationen 10</w:t>
      </w:r>
      <w:r w:rsidRPr="00AE0A09">
        <w:rPr>
          <w:sz w:val="24"/>
          <w:szCs w:val="24"/>
        </w:rPr>
        <w:noBreakHyphen/>
        <w:t xml:space="preserve">35 % af koncentrationen i serum. Højere koncentrationer nås i galden sammenlignet med i serum. </w:t>
      </w:r>
    </w:p>
    <w:p w:rsidR="00AE0A09" w:rsidRPr="00AE0A09" w:rsidRDefault="00AE0A09" w:rsidP="00AE0A09">
      <w:pPr>
        <w:tabs>
          <w:tab w:val="left" w:pos="851"/>
        </w:tabs>
        <w:ind w:left="851"/>
        <w:rPr>
          <w:sz w:val="24"/>
          <w:szCs w:val="24"/>
        </w:rPr>
      </w:pPr>
    </w:p>
    <w:p w:rsidR="00AE0A09" w:rsidRPr="00AE0A09" w:rsidRDefault="00AE0A09" w:rsidP="00AE0A09">
      <w:pPr>
        <w:tabs>
          <w:tab w:val="left" w:pos="851"/>
        </w:tabs>
        <w:ind w:left="851"/>
        <w:rPr>
          <w:sz w:val="24"/>
          <w:szCs w:val="24"/>
          <w:u w:val="single"/>
        </w:rPr>
      </w:pPr>
      <w:r w:rsidRPr="00AE0A09">
        <w:rPr>
          <w:sz w:val="24"/>
          <w:szCs w:val="24"/>
          <w:u w:val="single"/>
        </w:rPr>
        <w:t>Biotransformation</w:t>
      </w:r>
    </w:p>
    <w:p w:rsidR="00AE0A09" w:rsidRPr="00AE0A09" w:rsidRDefault="00AE0A09" w:rsidP="00AE0A09">
      <w:pPr>
        <w:tabs>
          <w:tab w:val="left" w:pos="851"/>
        </w:tabs>
        <w:ind w:left="851"/>
        <w:rPr>
          <w:sz w:val="24"/>
          <w:szCs w:val="24"/>
        </w:rPr>
      </w:pPr>
      <w:r w:rsidRPr="00AE0A09">
        <w:rPr>
          <w:sz w:val="24"/>
          <w:szCs w:val="24"/>
        </w:rPr>
        <w:t xml:space="preserve">Ampicillin metaboliseres delvist til mikrobiologisk inaktive penicillinsyrer. </w:t>
      </w:r>
    </w:p>
    <w:p w:rsidR="00AE0A09" w:rsidRPr="00AE0A09" w:rsidRDefault="00AE0A09" w:rsidP="00AE0A09">
      <w:pPr>
        <w:tabs>
          <w:tab w:val="left" w:pos="851"/>
        </w:tabs>
        <w:ind w:left="851"/>
        <w:rPr>
          <w:sz w:val="24"/>
          <w:szCs w:val="24"/>
        </w:rPr>
      </w:pPr>
    </w:p>
    <w:p w:rsidR="00AE0A09" w:rsidRPr="00AE0A09" w:rsidRDefault="00AE0A09" w:rsidP="00AE0A09">
      <w:pPr>
        <w:tabs>
          <w:tab w:val="left" w:pos="851"/>
        </w:tabs>
        <w:ind w:left="851"/>
        <w:rPr>
          <w:sz w:val="24"/>
          <w:szCs w:val="24"/>
          <w:u w:val="single"/>
        </w:rPr>
      </w:pPr>
      <w:r w:rsidRPr="00AE0A09">
        <w:rPr>
          <w:sz w:val="24"/>
          <w:szCs w:val="24"/>
          <w:u w:val="single"/>
        </w:rPr>
        <w:t>Elimination</w:t>
      </w:r>
    </w:p>
    <w:p w:rsidR="00AE0A09" w:rsidRPr="00AE0A09" w:rsidRDefault="00AE0A09" w:rsidP="00AE0A09">
      <w:pPr>
        <w:tabs>
          <w:tab w:val="left" w:pos="851"/>
        </w:tabs>
        <w:ind w:left="851"/>
        <w:rPr>
          <w:sz w:val="24"/>
          <w:szCs w:val="24"/>
        </w:rPr>
      </w:pPr>
      <w:r w:rsidRPr="00AE0A09">
        <w:rPr>
          <w:sz w:val="24"/>
          <w:szCs w:val="24"/>
        </w:rPr>
        <w:t>Ampicillin elimineres intakt hovedsageligt via nyrerne (glomerulær filtration og tubulær sekretion), men også via galde og fæces.</w:t>
      </w:r>
    </w:p>
    <w:p w:rsidR="00AE0A09" w:rsidRPr="00AE0A09" w:rsidRDefault="00AE0A09" w:rsidP="00AE0A09">
      <w:pPr>
        <w:tabs>
          <w:tab w:val="left" w:pos="851"/>
        </w:tabs>
        <w:ind w:left="851"/>
        <w:rPr>
          <w:sz w:val="24"/>
          <w:szCs w:val="24"/>
        </w:rPr>
      </w:pPr>
      <w:r w:rsidRPr="00AE0A09">
        <w:rPr>
          <w:sz w:val="24"/>
          <w:szCs w:val="24"/>
        </w:rPr>
        <w:t>Efter parenteral administration udskilles ca. 73 % (+/-10 %) af den administrerede dosis som uændret stof i urinen efter 0</w:t>
      </w:r>
      <w:r w:rsidRPr="00AE0A09">
        <w:rPr>
          <w:sz w:val="24"/>
          <w:szCs w:val="24"/>
        </w:rPr>
        <w:noBreakHyphen/>
        <w:t xml:space="preserve">12 timer. Op til 10 % af en dosis elimineres som metabolitter. Elimineringshalveringstiden er omkring 50 til 60 min. </w:t>
      </w:r>
    </w:p>
    <w:p w:rsidR="00AE0A09" w:rsidRPr="00AE0A09" w:rsidRDefault="00AE0A09" w:rsidP="00AE0A09">
      <w:pPr>
        <w:tabs>
          <w:tab w:val="left" w:pos="851"/>
        </w:tabs>
        <w:ind w:left="851"/>
        <w:rPr>
          <w:sz w:val="24"/>
          <w:szCs w:val="24"/>
        </w:rPr>
      </w:pPr>
      <w:r w:rsidRPr="00AE0A09">
        <w:rPr>
          <w:sz w:val="24"/>
          <w:szCs w:val="24"/>
        </w:rPr>
        <w:t>I tilfælde af oliguri kan halveringstiden forlænges til op til 8 til 20 timer. Halveringstiden forlænges også hos nyfødte (2 til 4 timer). Nyreclearance for ampicillin er omkring 194 ml/min. efter intravenøs administration.</w:t>
      </w:r>
    </w:p>
    <w:p w:rsidR="00AE0A09" w:rsidRPr="00AE0A09" w:rsidRDefault="00AE0A09" w:rsidP="00AE0A09">
      <w:pPr>
        <w:tabs>
          <w:tab w:val="left" w:pos="851"/>
        </w:tabs>
        <w:ind w:left="851"/>
        <w:rPr>
          <w:sz w:val="24"/>
          <w:szCs w:val="24"/>
        </w:rPr>
      </w:pPr>
    </w:p>
    <w:p w:rsidR="00AE0A09" w:rsidRPr="00AE0A09" w:rsidRDefault="00AE0A09" w:rsidP="00AE0A09">
      <w:pPr>
        <w:tabs>
          <w:tab w:val="left" w:pos="851"/>
        </w:tabs>
        <w:ind w:left="851"/>
        <w:rPr>
          <w:sz w:val="24"/>
          <w:szCs w:val="24"/>
        </w:rPr>
      </w:pPr>
      <w:r w:rsidRPr="00AE0A09">
        <w:rPr>
          <w:sz w:val="24"/>
          <w:szCs w:val="24"/>
        </w:rPr>
        <w:t>Ampicillin fjernes fra kroppen ved hæmodialyse, men ikke ved peritonealdialyse.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20EC3" w:rsidRPr="00C20EC3" w:rsidRDefault="00C20EC3" w:rsidP="00C20EC3">
      <w:pPr>
        <w:tabs>
          <w:tab w:val="left" w:pos="851"/>
        </w:tabs>
        <w:ind w:left="851"/>
        <w:rPr>
          <w:sz w:val="24"/>
          <w:szCs w:val="24"/>
        </w:rPr>
      </w:pPr>
      <w:r w:rsidRPr="00C20EC3">
        <w:rPr>
          <w:sz w:val="24"/>
          <w:szCs w:val="24"/>
        </w:rPr>
        <w:t>Ingen prækliniske data, som er relevante for sikkerhedsvurdering, ud over hvad der allerede er tilgængeligt, er taget i betragtning i produktresuméet.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7D47F7"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7D47F7" w:rsidRPr="007D47F7" w:rsidRDefault="007D47F7" w:rsidP="007D47F7">
      <w:pPr>
        <w:tabs>
          <w:tab w:val="left" w:pos="851"/>
        </w:tabs>
        <w:ind w:left="851"/>
        <w:rPr>
          <w:sz w:val="24"/>
          <w:szCs w:val="24"/>
        </w:rPr>
      </w:pPr>
      <w:bookmarkStart w:id="8" w:name="_Hlk37234179"/>
      <w:r w:rsidRPr="007D47F7">
        <w:rPr>
          <w:sz w:val="24"/>
          <w:szCs w:val="24"/>
        </w:rPr>
        <w:t>Dette lægemiddel må ikke blandes med andre opløsninger end dem, der er anført i pkt. 6.6.</w:t>
      </w:r>
    </w:p>
    <w:p w:rsidR="007D47F7" w:rsidRPr="007D47F7" w:rsidRDefault="007D47F7" w:rsidP="007D47F7">
      <w:pPr>
        <w:tabs>
          <w:tab w:val="left" w:pos="851"/>
        </w:tabs>
        <w:ind w:left="851"/>
        <w:rPr>
          <w:sz w:val="24"/>
          <w:szCs w:val="24"/>
        </w:rPr>
      </w:pPr>
    </w:p>
    <w:p w:rsidR="007D47F7" w:rsidRPr="007D47F7" w:rsidRDefault="007D47F7" w:rsidP="007D47F7">
      <w:pPr>
        <w:tabs>
          <w:tab w:val="left" w:pos="851"/>
        </w:tabs>
        <w:ind w:left="851"/>
        <w:rPr>
          <w:sz w:val="24"/>
          <w:szCs w:val="24"/>
        </w:rPr>
      </w:pPr>
      <w:r w:rsidRPr="007D47F7">
        <w:rPr>
          <w:sz w:val="24"/>
          <w:szCs w:val="24"/>
        </w:rPr>
        <w:t>Hvis ampicillin ordineres samtidig med et aminoglykosid, bør antibiotika ikke blandes i sprøjten eller den intravenøse væskebeholder, da aktivitetstab i aminoglykosiderne kan forekomme under disse forhold.</w:t>
      </w:r>
      <w:bookmarkEnd w:id="8"/>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D47F7" w:rsidRPr="007D47F7" w:rsidRDefault="007D47F7" w:rsidP="007D47F7">
      <w:pPr>
        <w:tabs>
          <w:tab w:val="left" w:pos="851"/>
        </w:tabs>
        <w:ind w:left="851"/>
        <w:rPr>
          <w:sz w:val="24"/>
          <w:szCs w:val="24"/>
        </w:rPr>
      </w:pPr>
      <w:r w:rsidRPr="007D47F7">
        <w:rPr>
          <w:sz w:val="24"/>
          <w:szCs w:val="24"/>
        </w:rPr>
        <w:t>3 år.</w:t>
      </w:r>
    </w:p>
    <w:p w:rsidR="007D47F7" w:rsidRPr="007D47F7" w:rsidRDefault="007D47F7" w:rsidP="007D47F7">
      <w:pPr>
        <w:tabs>
          <w:tab w:val="left" w:pos="851"/>
        </w:tabs>
        <w:ind w:left="851"/>
        <w:rPr>
          <w:sz w:val="24"/>
          <w:szCs w:val="24"/>
        </w:rPr>
      </w:pPr>
    </w:p>
    <w:p w:rsidR="007D47F7" w:rsidRPr="00AB1D70" w:rsidRDefault="007D47F7" w:rsidP="007D47F7">
      <w:pPr>
        <w:tabs>
          <w:tab w:val="left" w:pos="851"/>
        </w:tabs>
        <w:ind w:left="851"/>
        <w:rPr>
          <w:b/>
          <w:sz w:val="24"/>
          <w:szCs w:val="24"/>
          <w:u w:val="single"/>
        </w:rPr>
      </w:pPr>
      <w:r w:rsidRPr="00AB1D70">
        <w:rPr>
          <w:b/>
          <w:sz w:val="24"/>
          <w:szCs w:val="24"/>
          <w:u w:val="single"/>
          <w:lang w:val="fr-FR"/>
        </w:rPr>
        <w:t>500 mg og 1g</w:t>
      </w:r>
    </w:p>
    <w:p w:rsidR="009668B5" w:rsidRDefault="009668B5" w:rsidP="007D47F7">
      <w:pPr>
        <w:tabs>
          <w:tab w:val="left" w:pos="851"/>
        </w:tabs>
        <w:ind w:left="851"/>
        <w:rPr>
          <w:sz w:val="24"/>
          <w:szCs w:val="24"/>
        </w:rPr>
      </w:pPr>
    </w:p>
    <w:p w:rsidR="007D47F7" w:rsidRPr="009668B5" w:rsidRDefault="007D47F7" w:rsidP="007D47F7">
      <w:pPr>
        <w:tabs>
          <w:tab w:val="left" w:pos="851"/>
        </w:tabs>
        <w:ind w:left="851"/>
        <w:rPr>
          <w:sz w:val="24"/>
          <w:szCs w:val="24"/>
          <w:u w:val="single"/>
        </w:rPr>
      </w:pPr>
      <w:r w:rsidRPr="009668B5">
        <w:rPr>
          <w:sz w:val="24"/>
          <w:szCs w:val="24"/>
          <w:u w:val="single"/>
        </w:rPr>
        <w:t>Efter rekonstitution</w:t>
      </w:r>
    </w:p>
    <w:p w:rsidR="007D47F7" w:rsidRPr="007D47F7" w:rsidRDefault="007D47F7" w:rsidP="007D47F7">
      <w:pPr>
        <w:tabs>
          <w:tab w:val="left" w:pos="851"/>
        </w:tabs>
        <w:ind w:left="851"/>
        <w:rPr>
          <w:i/>
          <w:iCs/>
          <w:sz w:val="24"/>
          <w:szCs w:val="24"/>
        </w:rPr>
      </w:pPr>
      <w:r w:rsidRPr="007D47F7">
        <w:rPr>
          <w:i/>
          <w:sz w:val="24"/>
          <w:szCs w:val="24"/>
        </w:rPr>
        <w:t>Administration ved intramuskulær/intravenøs injektion</w:t>
      </w:r>
    </w:p>
    <w:p w:rsidR="007D47F7" w:rsidRPr="007D47F7" w:rsidRDefault="007D47F7" w:rsidP="007D47F7">
      <w:pPr>
        <w:tabs>
          <w:tab w:val="left" w:pos="851"/>
        </w:tabs>
        <w:ind w:left="851"/>
        <w:rPr>
          <w:sz w:val="24"/>
          <w:szCs w:val="24"/>
        </w:rPr>
      </w:pPr>
      <w:r w:rsidRPr="007D47F7">
        <w:rPr>
          <w:sz w:val="24"/>
          <w:szCs w:val="24"/>
        </w:rPr>
        <w:t xml:space="preserve">En rekonstitueret opløsning skal anvendes straks. </w:t>
      </w:r>
    </w:p>
    <w:p w:rsidR="007D47F7" w:rsidRPr="007D47F7" w:rsidRDefault="007D47F7" w:rsidP="007D47F7">
      <w:pPr>
        <w:tabs>
          <w:tab w:val="left" w:pos="851"/>
        </w:tabs>
        <w:ind w:left="851"/>
        <w:rPr>
          <w:sz w:val="24"/>
          <w:szCs w:val="24"/>
        </w:rPr>
      </w:pPr>
    </w:p>
    <w:p w:rsidR="007D47F7" w:rsidRPr="00AB1D70" w:rsidRDefault="007D47F7" w:rsidP="007D47F7">
      <w:pPr>
        <w:tabs>
          <w:tab w:val="left" w:pos="851"/>
        </w:tabs>
        <w:ind w:left="851"/>
        <w:rPr>
          <w:b/>
          <w:sz w:val="24"/>
          <w:szCs w:val="24"/>
          <w:u w:val="single"/>
        </w:rPr>
      </w:pPr>
      <w:r w:rsidRPr="00AB1D70">
        <w:rPr>
          <w:b/>
          <w:sz w:val="24"/>
          <w:szCs w:val="24"/>
          <w:u w:val="single"/>
          <w:lang w:val="fr-FR"/>
        </w:rPr>
        <w:t>2</w:t>
      </w:r>
      <w:r w:rsidR="00AB1D70" w:rsidRPr="00AB1D70">
        <w:rPr>
          <w:b/>
          <w:sz w:val="24"/>
          <w:szCs w:val="24"/>
          <w:u w:val="single"/>
          <w:lang w:val="fr-FR"/>
        </w:rPr>
        <w:t xml:space="preserve"> </w:t>
      </w:r>
      <w:r w:rsidRPr="00AB1D70">
        <w:rPr>
          <w:b/>
          <w:sz w:val="24"/>
          <w:szCs w:val="24"/>
          <w:u w:val="single"/>
          <w:lang w:val="fr-FR"/>
        </w:rPr>
        <w:t>g</w:t>
      </w:r>
    </w:p>
    <w:p w:rsidR="009668B5" w:rsidRDefault="009668B5" w:rsidP="007D47F7">
      <w:pPr>
        <w:tabs>
          <w:tab w:val="left" w:pos="851"/>
        </w:tabs>
        <w:ind w:left="851"/>
        <w:rPr>
          <w:sz w:val="24"/>
          <w:szCs w:val="24"/>
        </w:rPr>
      </w:pPr>
    </w:p>
    <w:p w:rsidR="007D47F7" w:rsidRPr="009668B5" w:rsidRDefault="007D47F7" w:rsidP="007D47F7">
      <w:pPr>
        <w:tabs>
          <w:tab w:val="left" w:pos="851"/>
        </w:tabs>
        <w:ind w:left="851"/>
        <w:rPr>
          <w:sz w:val="24"/>
          <w:szCs w:val="24"/>
          <w:u w:val="single"/>
        </w:rPr>
      </w:pPr>
      <w:r w:rsidRPr="009668B5">
        <w:rPr>
          <w:sz w:val="24"/>
          <w:szCs w:val="24"/>
          <w:u w:val="single"/>
        </w:rPr>
        <w:t>Efter rekonstitution</w:t>
      </w:r>
    </w:p>
    <w:p w:rsidR="007D47F7" w:rsidRPr="007D47F7" w:rsidRDefault="007D47F7" w:rsidP="007D47F7">
      <w:pPr>
        <w:tabs>
          <w:tab w:val="left" w:pos="851"/>
        </w:tabs>
        <w:ind w:left="851"/>
        <w:rPr>
          <w:i/>
          <w:iCs/>
          <w:sz w:val="24"/>
          <w:szCs w:val="24"/>
        </w:rPr>
      </w:pPr>
      <w:r w:rsidRPr="007D47F7">
        <w:rPr>
          <w:i/>
          <w:sz w:val="24"/>
          <w:szCs w:val="24"/>
        </w:rPr>
        <w:t>Administration ved intravenøs injektion</w:t>
      </w:r>
    </w:p>
    <w:p w:rsidR="007D47F7" w:rsidRPr="007D47F7" w:rsidRDefault="007D47F7" w:rsidP="007D47F7">
      <w:pPr>
        <w:tabs>
          <w:tab w:val="left" w:pos="851"/>
        </w:tabs>
        <w:ind w:left="851"/>
        <w:rPr>
          <w:sz w:val="24"/>
          <w:szCs w:val="24"/>
        </w:rPr>
      </w:pPr>
      <w:r w:rsidRPr="007D47F7">
        <w:rPr>
          <w:sz w:val="24"/>
          <w:szCs w:val="24"/>
        </w:rPr>
        <w:t xml:space="preserve">En rekonstitueret opløsning skal anvendes straks. </w:t>
      </w:r>
    </w:p>
    <w:p w:rsidR="007D47F7" w:rsidRPr="007D47F7" w:rsidRDefault="007D47F7" w:rsidP="007D47F7">
      <w:pPr>
        <w:tabs>
          <w:tab w:val="left" w:pos="851"/>
        </w:tabs>
        <w:ind w:left="851"/>
        <w:rPr>
          <w:sz w:val="24"/>
          <w:szCs w:val="24"/>
        </w:rPr>
      </w:pPr>
    </w:p>
    <w:p w:rsidR="007D47F7" w:rsidRPr="009668B5" w:rsidRDefault="007D47F7" w:rsidP="007D47F7">
      <w:pPr>
        <w:tabs>
          <w:tab w:val="left" w:pos="851"/>
        </w:tabs>
        <w:ind w:left="851"/>
        <w:rPr>
          <w:sz w:val="24"/>
          <w:szCs w:val="24"/>
          <w:u w:val="single"/>
        </w:rPr>
      </w:pPr>
      <w:r w:rsidRPr="009668B5">
        <w:rPr>
          <w:sz w:val="24"/>
          <w:szCs w:val="24"/>
          <w:u w:val="single"/>
        </w:rPr>
        <w:t>Efter fortynding</w:t>
      </w:r>
    </w:p>
    <w:p w:rsidR="007D47F7" w:rsidRPr="007D47F7" w:rsidRDefault="007D47F7" w:rsidP="007D47F7">
      <w:pPr>
        <w:tabs>
          <w:tab w:val="left" w:pos="851"/>
        </w:tabs>
        <w:ind w:left="851"/>
        <w:rPr>
          <w:i/>
          <w:iCs/>
          <w:sz w:val="24"/>
          <w:szCs w:val="24"/>
        </w:rPr>
      </w:pPr>
      <w:r w:rsidRPr="007D47F7">
        <w:rPr>
          <w:i/>
          <w:sz w:val="24"/>
          <w:szCs w:val="24"/>
        </w:rPr>
        <w:t>Indgivelse af intravenøs infusion</w:t>
      </w:r>
    </w:p>
    <w:p w:rsidR="007D47F7" w:rsidRPr="007D47F7" w:rsidRDefault="007D47F7" w:rsidP="007D47F7">
      <w:pPr>
        <w:tabs>
          <w:tab w:val="left" w:pos="851"/>
        </w:tabs>
        <w:ind w:left="851"/>
        <w:rPr>
          <w:sz w:val="24"/>
          <w:szCs w:val="24"/>
        </w:rPr>
      </w:pPr>
      <w:r w:rsidRPr="007D47F7">
        <w:rPr>
          <w:sz w:val="24"/>
          <w:szCs w:val="24"/>
        </w:rPr>
        <w:t xml:space="preserve">En fortyndet opløsning skal anvendes straks. </w:t>
      </w:r>
    </w:p>
    <w:p w:rsidR="007D47F7" w:rsidRPr="007D47F7" w:rsidRDefault="007D47F7" w:rsidP="007D47F7">
      <w:pPr>
        <w:tabs>
          <w:tab w:val="left" w:pos="851"/>
        </w:tabs>
        <w:ind w:left="851"/>
        <w:rPr>
          <w:sz w:val="24"/>
          <w:szCs w:val="24"/>
        </w:rPr>
      </w:pPr>
    </w:p>
    <w:p w:rsidR="007D47F7" w:rsidRPr="007D47F7" w:rsidRDefault="007D47F7" w:rsidP="007D47F7">
      <w:pPr>
        <w:tabs>
          <w:tab w:val="left" w:pos="851"/>
        </w:tabs>
        <w:ind w:left="851"/>
        <w:rPr>
          <w:sz w:val="24"/>
          <w:szCs w:val="24"/>
        </w:rPr>
      </w:pPr>
      <w:r w:rsidRPr="007D47F7">
        <w:rPr>
          <w:sz w:val="24"/>
          <w:szCs w:val="24"/>
        </w:rPr>
        <w:t>Ubrugt opløsning skal kasseres.</w:t>
      </w:r>
    </w:p>
    <w:p w:rsidR="007D47F7" w:rsidRPr="007D47F7" w:rsidRDefault="007D47F7" w:rsidP="007D47F7">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B1D70" w:rsidRPr="00AB1D70" w:rsidRDefault="00AB1D70" w:rsidP="00AB1D70">
      <w:pPr>
        <w:tabs>
          <w:tab w:val="left" w:pos="851"/>
        </w:tabs>
        <w:ind w:left="851"/>
        <w:rPr>
          <w:bCs/>
          <w:sz w:val="24"/>
          <w:szCs w:val="24"/>
        </w:rPr>
      </w:pPr>
      <w:r w:rsidRPr="00AB1D70">
        <w:rPr>
          <w:sz w:val="24"/>
          <w:szCs w:val="24"/>
        </w:rPr>
        <w:t>Dette lægemiddel kræver ingen særlige forholdsregler vedrørende opbevaringen.</w:t>
      </w:r>
    </w:p>
    <w:p w:rsidR="00AB1D70" w:rsidRPr="00AB1D70" w:rsidRDefault="00AB1D70" w:rsidP="00AB1D70">
      <w:pPr>
        <w:tabs>
          <w:tab w:val="left" w:pos="851"/>
        </w:tabs>
        <w:ind w:left="851"/>
        <w:rPr>
          <w:bCs/>
          <w:sz w:val="24"/>
          <w:szCs w:val="24"/>
        </w:rPr>
      </w:pPr>
    </w:p>
    <w:p w:rsidR="00AB1D70" w:rsidRPr="00AB1D70" w:rsidRDefault="00AB1D70" w:rsidP="00AB1D70">
      <w:pPr>
        <w:tabs>
          <w:tab w:val="left" w:pos="851"/>
        </w:tabs>
        <w:ind w:left="851"/>
        <w:rPr>
          <w:sz w:val="24"/>
          <w:szCs w:val="24"/>
        </w:rPr>
      </w:pPr>
      <w:r w:rsidRPr="00AB1D70">
        <w:rPr>
          <w:sz w:val="24"/>
          <w:szCs w:val="24"/>
        </w:rPr>
        <w:t>Opbevaringsforhold efter rekonstitution/fortynding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384002" w:rsidRDefault="00384002" w:rsidP="00384002">
      <w:pPr>
        <w:tabs>
          <w:tab w:val="left" w:pos="851"/>
        </w:tabs>
        <w:ind w:left="851"/>
        <w:rPr>
          <w:sz w:val="24"/>
          <w:szCs w:val="24"/>
        </w:rPr>
      </w:pPr>
      <w:r>
        <w:rPr>
          <w:sz w:val="24"/>
          <w:szCs w:val="24"/>
        </w:rPr>
        <w:t>Fa</w:t>
      </w:r>
      <w:r w:rsidRPr="00510636">
        <w:rPr>
          <w:sz w:val="24"/>
          <w:szCs w:val="24"/>
        </w:rPr>
        <w:t>rveløs</w:t>
      </w:r>
      <w:r>
        <w:rPr>
          <w:sz w:val="24"/>
          <w:szCs w:val="24"/>
        </w:rPr>
        <w:t>t</w:t>
      </w:r>
      <w:r w:rsidRPr="00510636">
        <w:rPr>
          <w:sz w:val="24"/>
          <w:szCs w:val="24"/>
        </w:rPr>
        <w:t xml:space="preserve"> hætteglas type III, lukket med brombutylgummiprop og forseglet med vippehætter af aluminium</w:t>
      </w:r>
      <w:r>
        <w:rPr>
          <w:sz w:val="24"/>
          <w:szCs w:val="24"/>
        </w:rPr>
        <w:t>,</w:t>
      </w:r>
      <w:r w:rsidRPr="00510636">
        <w:rPr>
          <w:sz w:val="24"/>
          <w:szCs w:val="24"/>
        </w:rPr>
        <w:t xml:space="preserve"> i æske</w:t>
      </w:r>
      <w:r>
        <w:rPr>
          <w:sz w:val="24"/>
          <w:szCs w:val="24"/>
        </w:rPr>
        <w:t>.</w:t>
      </w:r>
    </w:p>
    <w:p w:rsidR="00510636" w:rsidRDefault="00510636" w:rsidP="00510636">
      <w:pPr>
        <w:tabs>
          <w:tab w:val="left" w:pos="851"/>
        </w:tabs>
        <w:ind w:left="851"/>
        <w:rPr>
          <w:sz w:val="24"/>
          <w:szCs w:val="24"/>
        </w:rPr>
      </w:pPr>
    </w:p>
    <w:p w:rsidR="00384002" w:rsidRPr="00384002" w:rsidRDefault="00384002" w:rsidP="00510636">
      <w:pPr>
        <w:tabs>
          <w:tab w:val="left" w:pos="851"/>
        </w:tabs>
        <w:ind w:left="851"/>
        <w:rPr>
          <w:sz w:val="24"/>
          <w:szCs w:val="24"/>
          <w:u w:val="single"/>
        </w:rPr>
      </w:pPr>
      <w:r w:rsidRPr="00384002">
        <w:rPr>
          <w:sz w:val="24"/>
          <w:szCs w:val="24"/>
          <w:u w:val="single"/>
        </w:rPr>
        <w:t>Pakningsstørrelser</w:t>
      </w:r>
    </w:p>
    <w:p w:rsidR="00384002" w:rsidRPr="00384002" w:rsidRDefault="00384002" w:rsidP="00510636">
      <w:pPr>
        <w:tabs>
          <w:tab w:val="left" w:pos="851"/>
        </w:tabs>
        <w:ind w:left="851"/>
        <w:rPr>
          <w:sz w:val="24"/>
          <w:szCs w:val="24"/>
        </w:rPr>
      </w:pPr>
      <w:r>
        <w:rPr>
          <w:sz w:val="24"/>
          <w:szCs w:val="24"/>
        </w:rPr>
        <w:t xml:space="preserve">500 mg: </w:t>
      </w:r>
      <w:r w:rsidRPr="00510636">
        <w:rPr>
          <w:sz w:val="24"/>
          <w:szCs w:val="24"/>
        </w:rPr>
        <w:t>1, 5</w:t>
      </w:r>
      <w:r w:rsidR="00140B7C">
        <w:rPr>
          <w:sz w:val="24"/>
          <w:szCs w:val="24"/>
        </w:rPr>
        <w:t xml:space="preserve"> og</w:t>
      </w:r>
      <w:r w:rsidRPr="00510636">
        <w:rPr>
          <w:sz w:val="24"/>
          <w:szCs w:val="24"/>
        </w:rPr>
        <w:t xml:space="preserve"> 10 </w:t>
      </w:r>
      <w:r>
        <w:rPr>
          <w:sz w:val="24"/>
          <w:szCs w:val="24"/>
        </w:rPr>
        <w:t>hætteglas.</w:t>
      </w:r>
    </w:p>
    <w:p w:rsidR="00384002" w:rsidRDefault="00384002" w:rsidP="00510636">
      <w:pPr>
        <w:tabs>
          <w:tab w:val="left" w:pos="851"/>
        </w:tabs>
        <w:ind w:left="851"/>
        <w:rPr>
          <w:sz w:val="24"/>
          <w:szCs w:val="24"/>
        </w:rPr>
      </w:pPr>
      <w:r>
        <w:rPr>
          <w:sz w:val="24"/>
          <w:szCs w:val="24"/>
          <w:lang w:val="fr-FR"/>
        </w:rPr>
        <w:t xml:space="preserve">1 g: </w:t>
      </w:r>
      <w:r w:rsidRPr="00510636">
        <w:rPr>
          <w:sz w:val="24"/>
          <w:szCs w:val="24"/>
        </w:rPr>
        <w:t>1, 5, 10</w:t>
      </w:r>
      <w:r w:rsidR="00140B7C">
        <w:rPr>
          <w:sz w:val="24"/>
          <w:szCs w:val="24"/>
        </w:rPr>
        <w:t xml:space="preserve"> og</w:t>
      </w:r>
      <w:r w:rsidRPr="00510636">
        <w:rPr>
          <w:sz w:val="24"/>
          <w:szCs w:val="24"/>
        </w:rPr>
        <w:t xml:space="preserve"> 50 </w:t>
      </w:r>
      <w:r>
        <w:rPr>
          <w:sz w:val="24"/>
          <w:szCs w:val="24"/>
        </w:rPr>
        <w:t>hætteglas</w:t>
      </w:r>
      <w:r w:rsidR="00140B7C">
        <w:rPr>
          <w:sz w:val="24"/>
          <w:szCs w:val="24"/>
        </w:rPr>
        <w:t>.</w:t>
      </w:r>
    </w:p>
    <w:p w:rsidR="00140B7C" w:rsidRPr="00384002" w:rsidRDefault="00384002" w:rsidP="00140B7C">
      <w:pPr>
        <w:tabs>
          <w:tab w:val="left" w:pos="851"/>
        </w:tabs>
        <w:ind w:left="851"/>
        <w:rPr>
          <w:sz w:val="24"/>
          <w:szCs w:val="24"/>
        </w:rPr>
      </w:pPr>
      <w:r>
        <w:rPr>
          <w:sz w:val="24"/>
          <w:szCs w:val="24"/>
          <w:lang w:val="fr-FR"/>
        </w:rPr>
        <w:t xml:space="preserve">2 g: </w:t>
      </w:r>
      <w:r w:rsidR="00140B7C" w:rsidRPr="00510636">
        <w:rPr>
          <w:sz w:val="24"/>
          <w:szCs w:val="24"/>
        </w:rPr>
        <w:t>1, 5</w:t>
      </w:r>
      <w:r w:rsidR="00140B7C">
        <w:rPr>
          <w:sz w:val="24"/>
          <w:szCs w:val="24"/>
        </w:rPr>
        <w:t xml:space="preserve"> og</w:t>
      </w:r>
      <w:r w:rsidR="00140B7C" w:rsidRPr="00510636">
        <w:rPr>
          <w:sz w:val="24"/>
          <w:szCs w:val="24"/>
        </w:rPr>
        <w:t xml:space="preserve"> 10 </w:t>
      </w:r>
      <w:r w:rsidR="00140B7C">
        <w:rPr>
          <w:sz w:val="24"/>
          <w:szCs w:val="24"/>
        </w:rPr>
        <w:t>hætteglas.</w:t>
      </w:r>
    </w:p>
    <w:p w:rsidR="009260DE" w:rsidRDefault="009260DE" w:rsidP="009260DE">
      <w:pPr>
        <w:tabs>
          <w:tab w:val="left" w:pos="851"/>
        </w:tabs>
        <w:ind w:left="851"/>
        <w:rPr>
          <w:sz w:val="24"/>
          <w:szCs w:val="24"/>
        </w:rPr>
      </w:pPr>
    </w:p>
    <w:p w:rsidR="006F6BB6" w:rsidRPr="006F6BB6" w:rsidRDefault="006F6BB6" w:rsidP="006F6BB6">
      <w:pPr>
        <w:tabs>
          <w:tab w:val="left" w:pos="851"/>
        </w:tabs>
        <w:ind w:left="851"/>
        <w:rPr>
          <w:b/>
          <w:sz w:val="24"/>
          <w:szCs w:val="24"/>
        </w:rPr>
      </w:pPr>
      <w:r w:rsidRPr="006F6BB6">
        <w:rPr>
          <w:sz w:val="24"/>
          <w:szCs w:val="24"/>
        </w:rPr>
        <w:t>Ikke alle pakkestørrelser er nødvendigvis markedsført.</w:t>
      </w:r>
    </w:p>
    <w:p w:rsidR="002003E6" w:rsidRDefault="002003E6">
      <w:pPr>
        <w:rPr>
          <w:sz w:val="24"/>
          <w:szCs w:val="24"/>
        </w:rPr>
      </w:pPr>
      <w:r>
        <w:rPr>
          <w:sz w:val="24"/>
          <w:szCs w:val="24"/>
        </w:rPr>
        <w:br w:type="page"/>
      </w:r>
    </w:p>
    <w:p w:rsidR="006F6BB6" w:rsidRPr="00C84483" w:rsidRDefault="006F6BB6"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44723" w:rsidRPr="00844723" w:rsidRDefault="00844723" w:rsidP="00844723">
      <w:pPr>
        <w:tabs>
          <w:tab w:val="left" w:pos="851"/>
        </w:tabs>
        <w:ind w:left="851"/>
        <w:rPr>
          <w:b/>
          <w:sz w:val="24"/>
          <w:szCs w:val="24"/>
        </w:rPr>
      </w:pPr>
    </w:p>
    <w:p w:rsidR="00844723" w:rsidRPr="002003E6" w:rsidRDefault="00844723" w:rsidP="00844723">
      <w:pPr>
        <w:tabs>
          <w:tab w:val="left" w:pos="851"/>
        </w:tabs>
        <w:ind w:left="851"/>
        <w:rPr>
          <w:b/>
          <w:bCs/>
          <w:iCs/>
          <w:sz w:val="24"/>
          <w:szCs w:val="24"/>
        </w:rPr>
      </w:pPr>
      <w:r w:rsidRPr="002003E6">
        <w:rPr>
          <w:b/>
          <w:sz w:val="24"/>
          <w:szCs w:val="24"/>
        </w:rPr>
        <w:t>Intramuskulær injektion</w:t>
      </w:r>
    </w:p>
    <w:p w:rsidR="002003E6" w:rsidRDefault="002003E6" w:rsidP="00844723">
      <w:pPr>
        <w:tabs>
          <w:tab w:val="left" w:pos="851"/>
        </w:tabs>
        <w:ind w:left="851"/>
        <w:rPr>
          <w:i/>
          <w:sz w:val="24"/>
          <w:szCs w:val="24"/>
          <w:lang w:val="fr-FR"/>
        </w:rPr>
      </w:pPr>
    </w:p>
    <w:p w:rsidR="00844723" w:rsidRPr="002003E6" w:rsidRDefault="00844723" w:rsidP="00844723">
      <w:pPr>
        <w:tabs>
          <w:tab w:val="left" w:pos="851"/>
        </w:tabs>
        <w:ind w:left="851"/>
        <w:rPr>
          <w:sz w:val="24"/>
          <w:szCs w:val="24"/>
          <w:u w:val="single"/>
        </w:rPr>
      </w:pPr>
      <w:r w:rsidRPr="002003E6">
        <w:rPr>
          <w:sz w:val="24"/>
          <w:szCs w:val="24"/>
          <w:u w:val="single"/>
          <w:lang w:val="fr-FR"/>
        </w:rPr>
        <w:t>Amroliv 500 mg pulver til injektions-/infusionsvæske, opløsning</w:t>
      </w:r>
    </w:p>
    <w:p w:rsidR="00844723" w:rsidRPr="00844723" w:rsidRDefault="00844723" w:rsidP="00844723">
      <w:pPr>
        <w:tabs>
          <w:tab w:val="left" w:pos="851"/>
        </w:tabs>
        <w:ind w:left="851"/>
        <w:rPr>
          <w:iCs/>
          <w:sz w:val="24"/>
          <w:szCs w:val="24"/>
        </w:rPr>
      </w:pPr>
      <w:r w:rsidRPr="00844723">
        <w:rPr>
          <w:sz w:val="24"/>
          <w:szCs w:val="24"/>
        </w:rPr>
        <w:t xml:space="preserve">For at rekonstituere opløsningen til injektion opløses indholdet af et hætteglas med 1,8 ml vand til injektioner </w:t>
      </w:r>
      <w:bookmarkStart w:id="9" w:name="_Hlk37231363"/>
      <w:r w:rsidRPr="00844723">
        <w:rPr>
          <w:sz w:val="24"/>
          <w:szCs w:val="24"/>
        </w:rPr>
        <w:t>til en koncentration på 250 mg/ml opløsning til injektion</w:t>
      </w:r>
      <w:bookmarkEnd w:id="9"/>
      <w:r w:rsidRPr="00844723">
        <w:rPr>
          <w:sz w:val="24"/>
          <w:szCs w:val="24"/>
        </w:rPr>
        <w:t>. Ryst godt, indtil opløsningen bliver klar.</w:t>
      </w:r>
    </w:p>
    <w:p w:rsidR="00844723" w:rsidRPr="00844723" w:rsidRDefault="00844723" w:rsidP="00844723">
      <w:pPr>
        <w:tabs>
          <w:tab w:val="left" w:pos="851"/>
        </w:tabs>
        <w:ind w:left="851"/>
        <w:rPr>
          <w:iCs/>
          <w:sz w:val="24"/>
          <w:szCs w:val="24"/>
        </w:rPr>
      </w:pPr>
    </w:p>
    <w:p w:rsidR="00844723" w:rsidRPr="002003E6" w:rsidRDefault="00844723" w:rsidP="00844723">
      <w:pPr>
        <w:tabs>
          <w:tab w:val="left" w:pos="851"/>
        </w:tabs>
        <w:ind w:left="851"/>
        <w:rPr>
          <w:sz w:val="24"/>
          <w:szCs w:val="24"/>
          <w:u w:val="single"/>
        </w:rPr>
      </w:pPr>
      <w:r w:rsidRPr="002003E6">
        <w:rPr>
          <w:sz w:val="24"/>
          <w:szCs w:val="24"/>
          <w:u w:val="single"/>
          <w:lang w:val="fr-FR"/>
        </w:rPr>
        <w:t>Amroliv 1</w:t>
      </w:r>
      <w:r w:rsidR="00875ACD">
        <w:rPr>
          <w:sz w:val="24"/>
          <w:szCs w:val="24"/>
          <w:u w:val="single"/>
          <w:lang w:val="fr-FR"/>
        </w:rPr>
        <w:t xml:space="preserve"> </w:t>
      </w:r>
      <w:r w:rsidRPr="002003E6">
        <w:rPr>
          <w:sz w:val="24"/>
          <w:szCs w:val="24"/>
          <w:u w:val="single"/>
          <w:lang w:val="fr-FR"/>
        </w:rPr>
        <w:t>g pulver til injektions-/infusionsvæske, opløsning</w:t>
      </w:r>
    </w:p>
    <w:p w:rsidR="00844723" w:rsidRPr="00844723" w:rsidRDefault="00844723" w:rsidP="00844723">
      <w:pPr>
        <w:tabs>
          <w:tab w:val="left" w:pos="851"/>
        </w:tabs>
        <w:ind w:left="851"/>
        <w:rPr>
          <w:sz w:val="24"/>
          <w:szCs w:val="24"/>
        </w:rPr>
      </w:pPr>
      <w:bookmarkStart w:id="10" w:name="_Hlk15296502"/>
      <w:r w:rsidRPr="00844723">
        <w:rPr>
          <w:sz w:val="24"/>
          <w:szCs w:val="24"/>
        </w:rPr>
        <w:t>For at rekonstituere opløsningen til injektion opløses indholdet af et hætteglas med 4 ml vand til injektioner til en koncentration på 250 mg/ml opløsning til injektion. Ryst godt, indtil opløsningen bliver klar.</w:t>
      </w:r>
    </w:p>
    <w:bookmarkEnd w:id="10"/>
    <w:p w:rsidR="00844723" w:rsidRPr="00844723" w:rsidRDefault="00844723" w:rsidP="00844723">
      <w:pPr>
        <w:tabs>
          <w:tab w:val="left" w:pos="851"/>
        </w:tabs>
        <w:ind w:left="851"/>
        <w:rPr>
          <w:iCs/>
          <w:sz w:val="24"/>
          <w:szCs w:val="24"/>
        </w:rPr>
      </w:pPr>
    </w:p>
    <w:p w:rsidR="00844723" w:rsidRPr="00844723" w:rsidRDefault="00844723" w:rsidP="00844723">
      <w:pPr>
        <w:tabs>
          <w:tab w:val="left" w:pos="851"/>
        </w:tabs>
        <w:ind w:left="851"/>
        <w:rPr>
          <w:bCs/>
          <w:iCs/>
          <w:sz w:val="24"/>
          <w:szCs w:val="24"/>
          <w:u w:val="single"/>
        </w:rPr>
      </w:pPr>
      <w:bookmarkStart w:id="11" w:name="_Hlk75866540"/>
      <w:r w:rsidRPr="00844723">
        <w:rPr>
          <w:sz w:val="24"/>
          <w:szCs w:val="24"/>
        </w:rPr>
        <w:t>Efter rekonstituering skal opløsningen anvendes straks, og eventuelle rester skal kasseres.</w:t>
      </w:r>
      <w:r w:rsidRPr="00844723">
        <w:rPr>
          <w:sz w:val="24"/>
          <w:szCs w:val="24"/>
        </w:rPr>
        <w:br/>
        <w:t>Opløsningen skal administreres ved dyb intramuskulær injektion.</w:t>
      </w:r>
      <w:bookmarkEnd w:id="11"/>
      <w:r w:rsidRPr="00844723">
        <w:rPr>
          <w:sz w:val="24"/>
          <w:szCs w:val="24"/>
        </w:rPr>
        <w:br/>
      </w:r>
    </w:p>
    <w:p w:rsidR="00844723" w:rsidRPr="002003E6" w:rsidRDefault="00844723" w:rsidP="00844723">
      <w:pPr>
        <w:tabs>
          <w:tab w:val="left" w:pos="851"/>
        </w:tabs>
        <w:ind w:left="851"/>
        <w:rPr>
          <w:b/>
          <w:sz w:val="24"/>
          <w:szCs w:val="24"/>
        </w:rPr>
      </w:pPr>
      <w:r w:rsidRPr="002003E6">
        <w:rPr>
          <w:b/>
          <w:sz w:val="24"/>
          <w:szCs w:val="24"/>
        </w:rPr>
        <w:t>Intravenøs injektion</w:t>
      </w:r>
    </w:p>
    <w:p w:rsidR="002003E6" w:rsidRDefault="002003E6" w:rsidP="00844723">
      <w:pPr>
        <w:tabs>
          <w:tab w:val="left" w:pos="851"/>
        </w:tabs>
        <w:ind w:left="851"/>
        <w:rPr>
          <w:i/>
          <w:sz w:val="24"/>
          <w:szCs w:val="24"/>
          <w:lang w:val="fr-FR"/>
        </w:rPr>
      </w:pPr>
    </w:p>
    <w:p w:rsidR="00844723" w:rsidRPr="002003E6" w:rsidRDefault="00844723" w:rsidP="00844723">
      <w:pPr>
        <w:tabs>
          <w:tab w:val="left" w:pos="851"/>
        </w:tabs>
        <w:ind w:left="851"/>
        <w:rPr>
          <w:sz w:val="24"/>
          <w:szCs w:val="24"/>
          <w:u w:val="single"/>
        </w:rPr>
      </w:pPr>
      <w:r w:rsidRPr="002003E6">
        <w:rPr>
          <w:sz w:val="24"/>
          <w:szCs w:val="24"/>
          <w:u w:val="single"/>
          <w:lang w:val="fr-FR"/>
        </w:rPr>
        <w:t>Amroliv 500 mg pulver til injektions-/infusionsvæske, opløsning</w:t>
      </w:r>
    </w:p>
    <w:p w:rsidR="00844723" w:rsidRPr="00844723" w:rsidRDefault="00844723" w:rsidP="00844723">
      <w:pPr>
        <w:tabs>
          <w:tab w:val="left" w:pos="851"/>
        </w:tabs>
        <w:ind w:left="851"/>
        <w:rPr>
          <w:sz w:val="24"/>
          <w:szCs w:val="24"/>
        </w:rPr>
      </w:pPr>
      <w:r w:rsidRPr="00844723">
        <w:rPr>
          <w:sz w:val="24"/>
          <w:szCs w:val="24"/>
        </w:rPr>
        <w:t xml:space="preserve">For at rekonstituere opløsningen til injektion opløses indholdet af et hætteglas med 5 ml vand til injektioner til en koncentration på 100 mg/ml. </w:t>
      </w:r>
    </w:p>
    <w:p w:rsidR="00844723" w:rsidRPr="00844723" w:rsidRDefault="00844723" w:rsidP="00844723">
      <w:pPr>
        <w:tabs>
          <w:tab w:val="left" w:pos="851"/>
        </w:tabs>
        <w:ind w:left="851"/>
        <w:rPr>
          <w:sz w:val="24"/>
          <w:szCs w:val="24"/>
        </w:rPr>
      </w:pPr>
    </w:p>
    <w:p w:rsidR="00844723" w:rsidRPr="002003E6" w:rsidRDefault="00844723" w:rsidP="00844723">
      <w:pPr>
        <w:tabs>
          <w:tab w:val="left" w:pos="851"/>
        </w:tabs>
        <w:ind w:left="851"/>
        <w:rPr>
          <w:sz w:val="24"/>
          <w:szCs w:val="24"/>
          <w:u w:val="single"/>
          <w:lang w:val="fr-FR"/>
        </w:rPr>
      </w:pPr>
      <w:r w:rsidRPr="002003E6">
        <w:rPr>
          <w:sz w:val="24"/>
          <w:szCs w:val="24"/>
          <w:u w:val="single"/>
          <w:lang w:val="fr-FR"/>
        </w:rPr>
        <w:t>Amroliv 1</w:t>
      </w:r>
      <w:r w:rsidR="002003E6">
        <w:rPr>
          <w:sz w:val="24"/>
          <w:szCs w:val="24"/>
          <w:u w:val="single"/>
          <w:lang w:val="fr-FR"/>
        </w:rPr>
        <w:t xml:space="preserve"> </w:t>
      </w:r>
      <w:r w:rsidRPr="002003E6">
        <w:rPr>
          <w:sz w:val="24"/>
          <w:szCs w:val="24"/>
          <w:u w:val="single"/>
          <w:lang w:val="fr-FR"/>
        </w:rPr>
        <w:t>g</w:t>
      </w:r>
      <w:r w:rsidR="00EE3DFF">
        <w:rPr>
          <w:sz w:val="24"/>
          <w:szCs w:val="24"/>
          <w:u w:val="single"/>
          <w:lang w:val="fr-FR"/>
        </w:rPr>
        <w:t xml:space="preserve"> </w:t>
      </w:r>
      <w:r w:rsidRPr="002003E6">
        <w:rPr>
          <w:sz w:val="24"/>
          <w:szCs w:val="24"/>
          <w:u w:val="single"/>
          <w:lang w:val="fr-FR"/>
        </w:rPr>
        <w:t>pulver til injektions-/infusionsvæske, opløsning</w:t>
      </w:r>
    </w:p>
    <w:p w:rsidR="00844723" w:rsidRPr="00844723" w:rsidRDefault="00844723" w:rsidP="00844723">
      <w:pPr>
        <w:tabs>
          <w:tab w:val="left" w:pos="851"/>
        </w:tabs>
        <w:ind w:left="851"/>
        <w:rPr>
          <w:sz w:val="24"/>
          <w:szCs w:val="24"/>
        </w:rPr>
      </w:pPr>
      <w:bookmarkStart w:id="12" w:name="_Hlk37231705"/>
      <w:r w:rsidRPr="00844723">
        <w:rPr>
          <w:sz w:val="24"/>
          <w:szCs w:val="24"/>
        </w:rPr>
        <w:t>For at rekonstituere opløsningen til injektion opløses indholdet af et hætteglas med 7,4 ml vand til injektioner til en koncentration på 125 mg/ml.</w:t>
      </w:r>
    </w:p>
    <w:bookmarkEnd w:id="12"/>
    <w:p w:rsidR="00844723" w:rsidRPr="00844723" w:rsidRDefault="00844723" w:rsidP="00844723">
      <w:pPr>
        <w:tabs>
          <w:tab w:val="left" w:pos="851"/>
        </w:tabs>
        <w:ind w:left="851"/>
        <w:rPr>
          <w:i/>
          <w:sz w:val="24"/>
          <w:szCs w:val="24"/>
        </w:rPr>
      </w:pPr>
    </w:p>
    <w:p w:rsidR="00844723" w:rsidRPr="002003E6" w:rsidRDefault="00844723" w:rsidP="00844723">
      <w:pPr>
        <w:tabs>
          <w:tab w:val="left" w:pos="851"/>
        </w:tabs>
        <w:ind w:left="851"/>
        <w:rPr>
          <w:sz w:val="24"/>
          <w:szCs w:val="24"/>
          <w:u w:val="single"/>
        </w:rPr>
      </w:pPr>
      <w:r w:rsidRPr="002003E6">
        <w:rPr>
          <w:sz w:val="24"/>
          <w:szCs w:val="24"/>
          <w:u w:val="single"/>
          <w:lang w:val="fr-FR"/>
        </w:rPr>
        <w:t>Amroliv 2</w:t>
      </w:r>
      <w:r w:rsidR="002003E6">
        <w:rPr>
          <w:sz w:val="24"/>
          <w:szCs w:val="24"/>
          <w:u w:val="single"/>
          <w:lang w:val="fr-FR"/>
        </w:rPr>
        <w:t xml:space="preserve"> </w:t>
      </w:r>
      <w:r w:rsidRPr="002003E6">
        <w:rPr>
          <w:sz w:val="24"/>
          <w:szCs w:val="24"/>
          <w:u w:val="single"/>
          <w:lang w:val="fr-FR"/>
        </w:rPr>
        <w:t>g</w:t>
      </w:r>
      <w:r w:rsidR="00EE3DFF">
        <w:rPr>
          <w:sz w:val="24"/>
          <w:szCs w:val="24"/>
          <w:u w:val="single"/>
          <w:lang w:val="fr-FR"/>
        </w:rPr>
        <w:t xml:space="preserve"> </w:t>
      </w:r>
      <w:r w:rsidRPr="002003E6">
        <w:rPr>
          <w:sz w:val="24"/>
          <w:szCs w:val="24"/>
          <w:u w:val="single"/>
          <w:lang w:val="fr-FR"/>
        </w:rPr>
        <w:t>pulver til injektions-/infusionsvæske, opløsning</w:t>
      </w:r>
    </w:p>
    <w:p w:rsidR="00844723" w:rsidRPr="00844723" w:rsidRDefault="00844723" w:rsidP="00844723">
      <w:pPr>
        <w:tabs>
          <w:tab w:val="left" w:pos="851"/>
        </w:tabs>
        <w:ind w:left="851"/>
        <w:rPr>
          <w:sz w:val="24"/>
          <w:szCs w:val="24"/>
        </w:rPr>
      </w:pPr>
      <w:r w:rsidRPr="00844723">
        <w:rPr>
          <w:sz w:val="24"/>
          <w:szCs w:val="24"/>
        </w:rPr>
        <w:t>For at rekonstituere opløsningen til injektion opløses indholdet af et hætteglas med 14,8 ml vand til injektioner til en koncentration på 125 mg/ml.</w:t>
      </w:r>
    </w:p>
    <w:p w:rsidR="00844723" w:rsidRPr="00844723" w:rsidRDefault="00844723" w:rsidP="00844723">
      <w:pPr>
        <w:tabs>
          <w:tab w:val="left" w:pos="851"/>
        </w:tabs>
        <w:ind w:left="851"/>
        <w:rPr>
          <w:i/>
          <w:sz w:val="24"/>
          <w:szCs w:val="24"/>
        </w:rPr>
      </w:pPr>
    </w:p>
    <w:p w:rsidR="00844723" w:rsidRPr="002003E6" w:rsidRDefault="00844723" w:rsidP="00844723">
      <w:pPr>
        <w:tabs>
          <w:tab w:val="left" w:pos="851"/>
        </w:tabs>
        <w:ind w:left="851"/>
        <w:rPr>
          <w:b/>
          <w:sz w:val="24"/>
          <w:szCs w:val="24"/>
        </w:rPr>
      </w:pPr>
      <w:r w:rsidRPr="002003E6">
        <w:rPr>
          <w:b/>
          <w:sz w:val="24"/>
          <w:szCs w:val="24"/>
        </w:rPr>
        <w:t>Intravenøs infusion</w:t>
      </w:r>
    </w:p>
    <w:p w:rsidR="00844723" w:rsidRPr="00844723" w:rsidRDefault="00844723" w:rsidP="00844723">
      <w:pPr>
        <w:tabs>
          <w:tab w:val="left" w:pos="851"/>
        </w:tabs>
        <w:ind w:left="851"/>
        <w:rPr>
          <w:sz w:val="24"/>
          <w:szCs w:val="24"/>
        </w:rPr>
      </w:pPr>
      <w:r w:rsidRPr="00844723">
        <w:rPr>
          <w:sz w:val="24"/>
          <w:szCs w:val="24"/>
        </w:rPr>
        <w:t>Rekonstituér først som specificeret under punktet "intravenøs injektion", før fortynding med</w:t>
      </w:r>
      <w:bookmarkStart w:id="13" w:name="_Hlk75866673"/>
      <w:r w:rsidRPr="00844723">
        <w:rPr>
          <w:sz w:val="24"/>
          <w:szCs w:val="24"/>
        </w:rPr>
        <w:t xml:space="preserve"> natriumklorid 9 mg/ml (0,9 %) opløsning til injektion.</w:t>
      </w:r>
    </w:p>
    <w:bookmarkEnd w:id="13"/>
    <w:p w:rsidR="00844723" w:rsidRPr="00844723" w:rsidRDefault="00844723" w:rsidP="00844723">
      <w:pPr>
        <w:tabs>
          <w:tab w:val="left" w:pos="851"/>
        </w:tabs>
        <w:ind w:left="851"/>
        <w:rPr>
          <w:sz w:val="24"/>
          <w:szCs w:val="24"/>
        </w:rPr>
      </w:pPr>
    </w:p>
    <w:p w:rsidR="00844723" w:rsidRPr="00844723" w:rsidRDefault="00844723" w:rsidP="00844723">
      <w:pPr>
        <w:tabs>
          <w:tab w:val="left" w:pos="851"/>
        </w:tabs>
        <w:ind w:left="851"/>
        <w:rPr>
          <w:sz w:val="24"/>
          <w:szCs w:val="24"/>
        </w:rPr>
      </w:pPr>
      <w:bookmarkStart w:id="14" w:name="_Hlk75866706"/>
      <w:r w:rsidRPr="00844723">
        <w:rPr>
          <w:sz w:val="24"/>
          <w:szCs w:val="24"/>
        </w:rPr>
        <w:t xml:space="preserve">Koncentrationen af den fortyndede opløsning bør ikke overstige 30 mg/ml. </w:t>
      </w:r>
      <w:bookmarkStart w:id="15" w:name="_Hlk75866734"/>
      <w:bookmarkEnd w:id="14"/>
      <w:r w:rsidRPr="00844723">
        <w:rPr>
          <w:sz w:val="24"/>
          <w:szCs w:val="24"/>
        </w:rPr>
        <w:t>Infusionens hastighed og volumen skal fastlægges således, at lægemidlet ikke mister sin stabilitet i den anvendte opløsning.</w:t>
      </w:r>
    </w:p>
    <w:bookmarkEnd w:id="15"/>
    <w:p w:rsidR="00844723" w:rsidRPr="00844723" w:rsidRDefault="00844723" w:rsidP="00844723">
      <w:pPr>
        <w:tabs>
          <w:tab w:val="left" w:pos="851"/>
        </w:tabs>
        <w:ind w:left="851"/>
        <w:rPr>
          <w:sz w:val="24"/>
          <w:szCs w:val="24"/>
        </w:rPr>
      </w:pPr>
      <w:r w:rsidRPr="00844723">
        <w:rPr>
          <w:sz w:val="24"/>
          <w:szCs w:val="24"/>
        </w:rPr>
        <w:t>Kun de ovenfor anførte opløsninger kan anvendes til intravenøs infusion af Amroliv.</w:t>
      </w:r>
    </w:p>
    <w:p w:rsidR="00844723" w:rsidRPr="00844723" w:rsidRDefault="00844723" w:rsidP="00844723">
      <w:pPr>
        <w:tabs>
          <w:tab w:val="left" w:pos="851"/>
        </w:tabs>
        <w:ind w:left="851"/>
        <w:rPr>
          <w:sz w:val="24"/>
          <w:szCs w:val="24"/>
        </w:rPr>
      </w:pPr>
    </w:p>
    <w:p w:rsidR="00844723" w:rsidRPr="00844723" w:rsidRDefault="00844723" w:rsidP="00844723">
      <w:pPr>
        <w:tabs>
          <w:tab w:val="left" w:pos="851"/>
        </w:tabs>
        <w:ind w:left="851"/>
        <w:rPr>
          <w:sz w:val="24"/>
          <w:szCs w:val="24"/>
        </w:rPr>
      </w:pPr>
      <w:r w:rsidRPr="00844723">
        <w:rPr>
          <w:sz w:val="24"/>
          <w:szCs w:val="24"/>
        </w:rPr>
        <w:t>Opløsningerne skal altid tilberedes umiddelbart før brug og kontrolleres for klarhed.</w:t>
      </w:r>
    </w:p>
    <w:p w:rsidR="00844723" w:rsidRPr="00844723" w:rsidRDefault="00844723" w:rsidP="00844723">
      <w:pPr>
        <w:tabs>
          <w:tab w:val="left" w:pos="851"/>
        </w:tabs>
        <w:ind w:left="851"/>
        <w:rPr>
          <w:sz w:val="24"/>
          <w:szCs w:val="24"/>
        </w:rPr>
      </w:pPr>
    </w:p>
    <w:p w:rsidR="00844723" w:rsidRPr="00844723" w:rsidRDefault="00844723" w:rsidP="00844723">
      <w:pPr>
        <w:tabs>
          <w:tab w:val="left" w:pos="851"/>
        </w:tabs>
        <w:ind w:left="851"/>
        <w:rPr>
          <w:sz w:val="24"/>
          <w:szCs w:val="24"/>
        </w:rPr>
      </w:pPr>
      <w:r w:rsidRPr="00844723">
        <w:rPr>
          <w:sz w:val="24"/>
          <w:szCs w:val="24"/>
        </w:rPr>
        <w:t>Brug kun klare opløsninger som er praktisk talt fri for partikler.</w:t>
      </w:r>
    </w:p>
    <w:p w:rsidR="00844723" w:rsidRPr="00844723" w:rsidRDefault="00844723" w:rsidP="00844723">
      <w:pPr>
        <w:tabs>
          <w:tab w:val="left" w:pos="851"/>
        </w:tabs>
        <w:ind w:left="851"/>
        <w:rPr>
          <w:sz w:val="24"/>
          <w:szCs w:val="24"/>
        </w:rPr>
      </w:pPr>
      <w:r w:rsidRPr="00844723">
        <w:rPr>
          <w:sz w:val="24"/>
          <w:szCs w:val="24"/>
        </w:rPr>
        <w:t>Brug ikke opløsninger med uklarheder eller udfældninger.</w:t>
      </w:r>
    </w:p>
    <w:p w:rsidR="00844723" w:rsidRPr="00844723" w:rsidRDefault="00844723" w:rsidP="00844723">
      <w:pPr>
        <w:tabs>
          <w:tab w:val="left" w:pos="851"/>
        </w:tabs>
        <w:ind w:left="851"/>
        <w:rPr>
          <w:sz w:val="24"/>
          <w:szCs w:val="24"/>
        </w:rPr>
      </w:pPr>
    </w:p>
    <w:p w:rsidR="00844723" w:rsidRPr="00844723" w:rsidRDefault="00844723" w:rsidP="00844723">
      <w:pPr>
        <w:tabs>
          <w:tab w:val="left" w:pos="851"/>
        </w:tabs>
        <w:ind w:left="851"/>
        <w:rPr>
          <w:sz w:val="24"/>
          <w:szCs w:val="24"/>
        </w:rPr>
      </w:pPr>
      <w:r w:rsidRPr="00844723">
        <w:rPr>
          <w:sz w:val="24"/>
          <w:szCs w:val="24"/>
        </w:rPr>
        <w:t xml:space="preserve">Ikke anvendt lægemiddel samt affald heraf skal bortskaffes i henhold til lokale retningslinjer. </w:t>
      </w:r>
    </w:p>
    <w:p w:rsidR="00D47BCF" w:rsidRDefault="00D47BCF">
      <w:pPr>
        <w:rPr>
          <w:sz w:val="24"/>
          <w:szCs w:val="24"/>
        </w:rPr>
      </w:pPr>
      <w:r>
        <w:rPr>
          <w:sz w:val="24"/>
          <w:szCs w:val="24"/>
        </w:rPr>
        <w:br w:type="page"/>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B33B2" w:rsidRPr="006B0A38" w:rsidRDefault="001B33B2" w:rsidP="001B33B2">
      <w:pPr>
        <w:tabs>
          <w:tab w:val="left" w:pos="851"/>
        </w:tabs>
        <w:ind w:left="851"/>
        <w:rPr>
          <w:sz w:val="24"/>
          <w:szCs w:val="24"/>
        </w:rPr>
      </w:pPr>
      <w:r w:rsidRPr="006B0A38">
        <w:rPr>
          <w:sz w:val="24"/>
          <w:szCs w:val="24"/>
        </w:rPr>
        <w:t>Antibiotice SA</w:t>
      </w:r>
    </w:p>
    <w:p w:rsidR="001B33B2" w:rsidRPr="006B0A38" w:rsidRDefault="001B33B2" w:rsidP="001B33B2">
      <w:pPr>
        <w:tabs>
          <w:tab w:val="left" w:pos="851"/>
        </w:tabs>
        <w:ind w:left="851"/>
        <w:rPr>
          <w:sz w:val="24"/>
          <w:szCs w:val="24"/>
        </w:rPr>
      </w:pPr>
      <w:r w:rsidRPr="006B0A38">
        <w:rPr>
          <w:sz w:val="24"/>
          <w:szCs w:val="24"/>
        </w:rPr>
        <w:t>1 Valea Lupului Street</w:t>
      </w:r>
    </w:p>
    <w:p w:rsidR="00055A60" w:rsidRPr="00055A60" w:rsidRDefault="001B33B2" w:rsidP="001B33B2">
      <w:pPr>
        <w:tabs>
          <w:tab w:val="left" w:pos="851"/>
        </w:tabs>
        <w:ind w:left="851"/>
        <w:rPr>
          <w:sz w:val="24"/>
          <w:szCs w:val="24"/>
        </w:rPr>
      </w:pPr>
      <w:r w:rsidRPr="00055A60">
        <w:rPr>
          <w:sz w:val="24"/>
          <w:szCs w:val="24"/>
        </w:rPr>
        <w:t>707410</w:t>
      </w:r>
      <w:r w:rsidR="00055A60" w:rsidRPr="00055A60">
        <w:rPr>
          <w:sz w:val="24"/>
          <w:szCs w:val="24"/>
        </w:rPr>
        <w:t xml:space="preserve"> Iasi</w:t>
      </w:r>
    </w:p>
    <w:p w:rsidR="001B33B2" w:rsidRPr="00055A60" w:rsidRDefault="001B33B2" w:rsidP="001B33B2">
      <w:pPr>
        <w:tabs>
          <w:tab w:val="left" w:pos="851"/>
        </w:tabs>
        <w:ind w:left="851"/>
        <w:rPr>
          <w:sz w:val="24"/>
          <w:szCs w:val="24"/>
        </w:rPr>
      </w:pPr>
      <w:r w:rsidRPr="00055A60">
        <w:rPr>
          <w:sz w:val="24"/>
          <w:szCs w:val="24"/>
        </w:rPr>
        <w:t>Romania</w:t>
      </w:r>
    </w:p>
    <w:p w:rsidR="009260DE" w:rsidRPr="00055A60"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055A60" w:rsidP="00055A60">
      <w:pPr>
        <w:tabs>
          <w:tab w:val="left" w:pos="851"/>
          <w:tab w:val="left" w:pos="1701"/>
        </w:tabs>
        <w:ind w:left="851"/>
        <w:rPr>
          <w:sz w:val="24"/>
          <w:szCs w:val="24"/>
        </w:rPr>
      </w:pPr>
      <w:r>
        <w:rPr>
          <w:sz w:val="24"/>
          <w:szCs w:val="24"/>
        </w:rPr>
        <w:t>500 mg:</w:t>
      </w:r>
      <w:r>
        <w:rPr>
          <w:sz w:val="24"/>
          <w:szCs w:val="24"/>
        </w:rPr>
        <w:tab/>
        <w:t>64542</w:t>
      </w:r>
    </w:p>
    <w:p w:rsidR="00055A60" w:rsidRDefault="00055A60" w:rsidP="00055A60">
      <w:pPr>
        <w:tabs>
          <w:tab w:val="left" w:pos="851"/>
          <w:tab w:val="left" w:pos="1701"/>
        </w:tabs>
        <w:ind w:left="851"/>
        <w:rPr>
          <w:sz w:val="24"/>
          <w:szCs w:val="24"/>
        </w:rPr>
      </w:pPr>
      <w:r>
        <w:rPr>
          <w:sz w:val="24"/>
          <w:szCs w:val="24"/>
        </w:rPr>
        <w:t>1 g:</w:t>
      </w:r>
      <w:r>
        <w:rPr>
          <w:sz w:val="24"/>
          <w:szCs w:val="24"/>
        </w:rPr>
        <w:tab/>
        <w:t>64543</w:t>
      </w:r>
    </w:p>
    <w:p w:rsidR="00055A60" w:rsidRPr="00C84483" w:rsidRDefault="00055A60" w:rsidP="00055A60">
      <w:pPr>
        <w:tabs>
          <w:tab w:val="left" w:pos="851"/>
          <w:tab w:val="left" w:pos="1701"/>
        </w:tabs>
        <w:ind w:left="851"/>
        <w:rPr>
          <w:sz w:val="24"/>
          <w:szCs w:val="24"/>
        </w:rPr>
      </w:pPr>
      <w:r>
        <w:rPr>
          <w:sz w:val="24"/>
          <w:szCs w:val="24"/>
        </w:rPr>
        <w:t>2 g:</w:t>
      </w:r>
      <w:r>
        <w:rPr>
          <w:sz w:val="24"/>
          <w:szCs w:val="24"/>
        </w:rPr>
        <w:tab/>
        <w:t>64544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B0A38" w:rsidP="009260DE">
      <w:pPr>
        <w:tabs>
          <w:tab w:val="left" w:pos="851"/>
        </w:tabs>
        <w:ind w:left="851"/>
        <w:rPr>
          <w:sz w:val="24"/>
          <w:szCs w:val="24"/>
        </w:rPr>
      </w:pPr>
      <w:r>
        <w:rPr>
          <w:sz w:val="24"/>
          <w:szCs w:val="24"/>
        </w:rPr>
        <w:t>22.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D7B5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C39" w:rsidRDefault="00091C39">
      <w:r>
        <w:separator/>
      </w:r>
    </w:p>
  </w:endnote>
  <w:endnote w:type="continuationSeparator" w:id="0">
    <w:p w:rsidR="00091C39" w:rsidRDefault="0009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C39" w:rsidRDefault="00091C39">
    <w:pPr>
      <w:pStyle w:val="Sidefod"/>
      <w:pBdr>
        <w:bottom w:val="single" w:sz="6" w:space="1" w:color="auto"/>
      </w:pBdr>
    </w:pPr>
  </w:p>
  <w:p w:rsidR="00091C39" w:rsidRDefault="00091C39" w:rsidP="00C42586">
    <w:pPr>
      <w:pStyle w:val="Sidefod"/>
      <w:tabs>
        <w:tab w:val="clear" w:pos="4819"/>
        <w:tab w:val="left" w:pos="8505"/>
      </w:tabs>
      <w:rPr>
        <w:i/>
        <w:sz w:val="18"/>
        <w:szCs w:val="18"/>
      </w:rPr>
    </w:pPr>
  </w:p>
  <w:p w:rsidR="00091C39" w:rsidRPr="00B373D7" w:rsidRDefault="00091C3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Amroliv, pulver til infusions--injektionsvæske, opløsning 500 mg, 1 g og 2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C39" w:rsidRDefault="00091C39">
      <w:r>
        <w:separator/>
      </w:r>
    </w:p>
  </w:footnote>
  <w:footnote w:type="continuationSeparator" w:id="0">
    <w:p w:rsidR="00091C39" w:rsidRDefault="00091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F146FF"/>
    <w:multiLevelType w:val="hybridMultilevel"/>
    <w:tmpl w:val="69EAB93E"/>
    <w:lvl w:ilvl="0" w:tplc="0B02CC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065"/>
    <w:rsid w:val="000259B9"/>
    <w:rsid w:val="00041491"/>
    <w:rsid w:val="00050D16"/>
    <w:rsid w:val="00055A60"/>
    <w:rsid w:val="0007289E"/>
    <w:rsid w:val="000730CA"/>
    <w:rsid w:val="00074F2A"/>
    <w:rsid w:val="00091C39"/>
    <w:rsid w:val="000A1CA8"/>
    <w:rsid w:val="000A466B"/>
    <w:rsid w:val="000B058C"/>
    <w:rsid w:val="000E4EE6"/>
    <w:rsid w:val="001242A2"/>
    <w:rsid w:val="00140B7C"/>
    <w:rsid w:val="001454E2"/>
    <w:rsid w:val="001B33B2"/>
    <w:rsid w:val="001C4510"/>
    <w:rsid w:val="002003E6"/>
    <w:rsid w:val="00206CE8"/>
    <w:rsid w:val="0021526C"/>
    <w:rsid w:val="002453EC"/>
    <w:rsid w:val="00283A2B"/>
    <w:rsid w:val="002B30AD"/>
    <w:rsid w:val="002C2C01"/>
    <w:rsid w:val="00384002"/>
    <w:rsid w:val="003A29AE"/>
    <w:rsid w:val="003A32D7"/>
    <w:rsid w:val="003B4074"/>
    <w:rsid w:val="003C769A"/>
    <w:rsid w:val="003F1838"/>
    <w:rsid w:val="0045746C"/>
    <w:rsid w:val="0049104B"/>
    <w:rsid w:val="004918D4"/>
    <w:rsid w:val="004B79CF"/>
    <w:rsid w:val="004D643D"/>
    <w:rsid w:val="004E3B12"/>
    <w:rsid w:val="00510636"/>
    <w:rsid w:val="00525013"/>
    <w:rsid w:val="00532310"/>
    <w:rsid w:val="00565F0F"/>
    <w:rsid w:val="00594A86"/>
    <w:rsid w:val="00596D86"/>
    <w:rsid w:val="00637F5A"/>
    <w:rsid w:val="006560B1"/>
    <w:rsid w:val="006738FA"/>
    <w:rsid w:val="006756DD"/>
    <w:rsid w:val="006B0A38"/>
    <w:rsid w:val="006F6BB6"/>
    <w:rsid w:val="00727FEE"/>
    <w:rsid w:val="00737275"/>
    <w:rsid w:val="00740EEC"/>
    <w:rsid w:val="0078011A"/>
    <w:rsid w:val="00782AF4"/>
    <w:rsid w:val="00790EE7"/>
    <w:rsid w:val="007B6649"/>
    <w:rsid w:val="007D47F7"/>
    <w:rsid w:val="0082576E"/>
    <w:rsid w:val="00844723"/>
    <w:rsid w:val="00874D30"/>
    <w:rsid w:val="00875ACD"/>
    <w:rsid w:val="00907F75"/>
    <w:rsid w:val="009260DE"/>
    <w:rsid w:val="0093258A"/>
    <w:rsid w:val="009668B5"/>
    <w:rsid w:val="00990B2A"/>
    <w:rsid w:val="009942E6"/>
    <w:rsid w:val="009C7BA3"/>
    <w:rsid w:val="009D1F5A"/>
    <w:rsid w:val="009F41F7"/>
    <w:rsid w:val="00A10294"/>
    <w:rsid w:val="00AB1D70"/>
    <w:rsid w:val="00AD7B5B"/>
    <w:rsid w:val="00AE0A09"/>
    <w:rsid w:val="00B003BF"/>
    <w:rsid w:val="00B1612A"/>
    <w:rsid w:val="00B35B6F"/>
    <w:rsid w:val="00B373D7"/>
    <w:rsid w:val="00B71756"/>
    <w:rsid w:val="00BA696E"/>
    <w:rsid w:val="00BD5E8F"/>
    <w:rsid w:val="00C20EC3"/>
    <w:rsid w:val="00C36276"/>
    <w:rsid w:val="00C42586"/>
    <w:rsid w:val="00C5265E"/>
    <w:rsid w:val="00C60CCD"/>
    <w:rsid w:val="00C84483"/>
    <w:rsid w:val="00C95551"/>
    <w:rsid w:val="00CB20D7"/>
    <w:rsid w:val="00CE720C"/>
    <w:rsid w:val="00D020B0"/>
    <w:rsid w:val="00D11748"/>
    <w:rsid w:val="00D366CF"/>
    <w:rsid w:val="00D47BCF"/>
    <w:rsid w:val="00D52065"/>
    <w:rsid w:val="00E108AA"/>
    <w:rsid w:val="00E3749A"/>
    <w:rsid w:val="00E45370"/>
    <w:rsid w:val="00E54C00"/>
    <w:rsid w:val="00E7437F"/>
    <w:rsid w:val="00E865B8"/>
    <w:rsid w:val="00EC0B9B"/>
    <w:rsid w:val="00ED5E9F"/>
    <w:rsid w:val="00EE3DFF"/>
    <w:rsid w:val="00F06BA3"/>
    <w:rsid w:val="00F66D4F"/>
    <w:rsid w:val="00F9727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B674F"/>
  <w15:chartTrackingRefBased/>
  <w15:docId w15:val="{B5E6C5AF-EE49-4BB8-9E71-4DC89D12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1C4510"/>
    <w:rPr>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D643D"/>
    <w:rPr>
      <w:color w:val="0563C1" w:themeColor="hyperlink"/>
      <w:u w:val="single"/>
    </w:rPr>
  </w:style>
  <w:style w:type="character" w:styleId="Ulstomtale">
    <w:name w:val="Unresolved Mention"/>
    <w:basedOn w:val="Standardskrifttypeiafsnit"/>
    <w:uiPriority w:val="99"/>
    <w:semiHidden/>
    <w:unhideWhenUsed/>
    <w:rsid w:val="004D6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857">
      <w:bodyDiv w:val="1"/>
      <w:marLeft w:val="0"/>
      <w:marRight w:val="0"/>
      <w:marTop w:val="0"/>
      <w:marBottom w:val="0"/>
      <w:divBdr>
        <w:top w:val="none" w:sz="0" w:space="0" w:color="auto"/>
        <w:left w:val="none" w:sz="0" w:space="0" w:color="auto"/>
        <w:bottom w:val="none" w:sz="0" w:space="0" w:color="auto"/>
        <w:right w:val="none" w:sz="0" w:space="0" w:color="auto"/>
      </w:divBdr>
    </w:div>
    <w:div w:id="70081381">
      <w:bodyDiv w:val="1"/>
      <w:marLeft w:val="0"/>
      <w:marRight w:val="0"/>
      <w:marTop w:val="0"/>
      <w:marBottom w:val="0"/>
      <w:divBdr>
        <w:top w:val="none" w:sz="0" w:space="0" w:color="auto"/>
        <w:left w:val="none" w:sz="0" w:space="0" w:color="auto"/>
        <w:bottom w:val="none" w:sz="0" w:space="0" w:color="auto"/>
        <w:right w:val="none" w:sz="0" w:space="0" w:color="auto"/>
      </w:divBdr>
    </w:div>
    <w:div w:id="1299796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102667">
      <w:bodyDiv w:val="1"/>
      <w:marLeft w:val="0"/>
      <w:marRight w:val="0"/>
      <w:marTop w:val="0"/>
      <w:marBottom w:val="0"/>
      <w:divBdr>
        <w:top w:val="none" w:sz="0" w:space="0" w:color="auto"/>
        <w:left w:val="none" w:sz="0" w:space="0" w:color="auto"/>
        <w:bottom w:val="none" w:sz="0" w:space="0" w:color="auto"/>
        <w:right w:val="none" w:sz="0" w:space="0" w:color="auto"/>
      </w:divBdr>
    </w:div>
    <w:div w:id="254947032">
      <w:bodyDiv w:val="1"/>
      <w:marLeft w:val="0"/>
      <w:marRight w:val="0"/>
      <w:marTop w:val="0"/>
      <w:marBottom w:val="0"/>
      <w:divBdr>
        <w:top w:val="none" w:sz="0" w:space="0" w:color="auto"/>
        <w:left w:val="none" w:sz="0" w:space="0" w:color="auto"/>
        <w:bottom w:val="none" w:sz="0" w:space="0" w:color="auto"/>
        <w:right w:val="none" w:sz="0" w:space="0" w:color="auto"/>
      </w:divBdr>
    </w:div>
    <w:div w:id="292492729">
      <w:bodyDiv w:val="1"/>
      <w:marLeft w:val="0"/>
      <w:marRight w:val="0"/>
      <w:marTop w:val="0"/>
      <w:marBottom w:val="0"/>
      <w:divBdr>
        <w:top w:val="none" w:sz="0" w:space="0" w:color="auto"/>
        <w:left w:val="none" w:sz="0" w:space="0" w:color="auto"/>
        <w:bottom w:val="none" w:sz="0" w:space="0" w:color="auto"/>
        <w:right w:val="none" w:sz="0" w:space="0" w:color="auto"/>
      </w:divBdr>
    </w:div>
    <w:div w:id="309946179">
      <w:bodyDiv w:val="1"/>
      <w:marLeft w:val="0"/>
      <w:marRight w:val="0"/>
      <w:marTop w:val="0"/>
      <w:marBottom w:val="0"/>
      <w:divBdr>
        <w:top w:val="none" w:sz="0" w:space="0" w:color="auto"/>
        <w:left w:val="none" w:sz="0" w:space="0" w:color="auto"/>
        <w:bottom w:val="none" w:sz="0" w:space="0" w:color="auto"/>
        <w:right w:val="none" w:sz="0" w:space="0" w:color="auto"/>
      </w:divBdr>
    </w:div>
    <w:div w:id="345139986">
      <w:bodyDiv w:val="1"/>
      <w:marLeft w:val="0"/>
      <w:marRight w:val="0"/>
      <w:marTop w:val="0"/>
      <w:marBottom w:val="0"/>
      <w:divBdr>
        <w:top w:val="none" w:sz="0" w:space="0" w:color="auto"/>
        <w:left w:val="none" w:sz="0" w:space="0" w:color="auto"/>
        <w:bottom w:val="none" w:sz="0" w:space="0" w:color="auto"/>
        <w:right w:val="none" w:sz="0" w:space="0" w:color="auto"/>
      </w:divBdr>
    </w:div>
    <w:div w:id="350304085">
      <w:bodyDiv w:val="1"/>
      <w:marLeft w:val="0"/>
      <w:marRight w:val="0"/>
      <w:marTop w:val="0"/>
      <w:marBottom w:val="0"/>
      <w:divBdr>
        <w:top w:val="none" w:sz="0" w:space="0" w:color="auto"/>
        <w:left w:val="none" w:sz="0" w:space="0" w:color="auto"/>
        <w:bottom w:val="none" w:sz="0" w:space="0" w:color="auto"/>
        <w:right w:val="none" w:sz="0" w:space="0" w:color="auto"/>
      </w:divBdr>
    </w:div>
    <w:div w:id="389229024">
      <w:bodyDiv w:val="1"/>
      <w:marLeft w:val="0"/>
      <w:marRight w:val="0"/>
      <w:marTop w:val="0"/>
      <w:marBottom w:val="0"/>
      <w:divBdr>
        <w:top w:val="none" w:sz="0" w:space="0" w:color="auto"/>
        <w:left w:val="none" w:sz="0" w:space="0" w:color="auto"/>
        <w:bottom w:val="none" w:sz="0" w:space="0" w:color="auto"/>
        <w:right w:val="none" w:sz="0" w:space="0" w:color="auto"/>
      </w:divBdr>
    </w:div>
    <w:div w:id="435296252">
      <w:bodyDiv w:val="1"/>
      <w:marLeft w:val="0"/>
      <w:marRight w:val="0"/>
      <w:marTop w:val="0"/>
      <w:marBottom w:val="0"/>
      <w:divBdr>
        <w:top w:val="none" w:sz="0" w:space="0" w:color="auto"/>
        <w:left w:val="none" w:sz="0" w:space="0" w:color="auto"/>
        <w:bottom w:val="none" w:sz="0" w:space="0" w:color="auto"/>
        <w:right w:val="none" w:sz="0" w:space="0" w:color="auto"/>
      </w:divBdr>
    </w:div>
    <w:div w:id="472406425">
      <w:bodyDiv w:val="1"/>
      <w:marLeft w:val="0"/>
      <w:marRight w:val="0"/>
      <w:marTop w:val="0"/>
      <w:marBottom w:val="0"/>
      <w:divBdr>
        <w:top w:val="none" w:sz="0" w:space="0" w:color="auto"/>
        <w:left w:val="none" w:sz="0" w:space="0" w:color="auto"/>
        <w:bottom w:val="none" w:sz="0" w:space="0" w:color="auto"/>
        <w:right w:val="none" w:sz="0" w:space="0" w:color="auto"/>
      </w:divBdr>
    </w:div>
    <w:div w:id="519246375">
      <w:bodyDiv w:val="1"/>
      <w:marLeft w:val="0"/>
      <w:marRight w:val="0"/>
      <w:marTop w:val="0"/>
      <w:marBottom w:val="0"/>
      <w:divBdr>
        <w:top w:val="none" w:sz="0" w:space="0" w:color="auto"/>
        <w:left w:val="none" w:sz="0" w:space="0" w:color="auto"/>
        <w:bottom w:val="none" w:sz="0" w:space="0" w:color="auto"/>
        <w:right w:val="none" w:sz="0" w:space="0" w:color="auto"/>
      </w:divBdr>
    </w:div>
    <w:div w:id="632250143">
      <w:bodyDiv w:val="1"/>
      <w:marLeft w:val="0"/>
      <w:marRight w:val="0"/>
      <w:marTop w:val="0"/>
      <w:marBottom w:val="0"/>
      <w:divBdr>
        <w:top w:val="none" w:sz="0" w:space="0" w:color="auto"/>
        <w:left w:val="none" w:sz="0" w:space="0" w:color="auto"/>
        <w:bottom w:val="none" w:sz="0" w:space="0" w:color="auto"/>
        <w:right w:val="none" w:sz="0" w:space="0" w:color="auto"/>
      </w:divBdr>
    </w:div>
    <w:div w:id="672805248">
      <w:bodyDiv w:val="1"/>
      <w:marLeft w:val="0"/>
      <w:marRight w:val="0"/>
      <w:marTop w:val="0"/>
      <w:marBottom w:val="0"/>
      <w:divBdr>
        <w:top w:val="none" w:sz="0" w:space="0" w:color="auto"/>
        <w:left w:val="none" w:sz="0" w:space="0" w:color="auto"/>
        <w:bottom w:val="none" w:sz="0" w:space="0" w:color="auto"/>
        <w:right w:val="none" w:sz="0" w:space="0" w:color="auto"/>
      </w:divBdr>
    </w:div>
    <w:div w:id="680545387">
      <w:bodyDiv w:val="1"/>
      <w:marLeft w:val="0"/>
      <w:marRight w:val="0"/>
      <w:marTop w:val="0"/>
      <w:marBottom w:val="0"/>
      <w:divBdr>
        <w:top w:val="none" w:sz="0" w:space="0" w:color="auto"/>
        <w:left w:val="none" w:sz="0" w:space="0" w:color="auto"/>
        <w:bottom w:val="none" w:sz="0" w:space="0" w:color="auto"/>
        <w:right w:val="none" w:sz="0" w:space="0" w:color="auto"/>
      </w:divBdr>
    </w:div>
    <w:div w:id="703137772">
      <w:bodyDiv w:val="1"/>
      <w:marLeft w:val="0"/>
      <w:marRight w:val="0"/>
      <w:marTop w:val="0"/>
      <w:marBottom w:val="0"/>
      <w:divBdr>
        <w:top w:val="none" w:sz="0" w:space="0" w:color="auto"/>
        <w:left w:val="none" w:sz="0" w:space="0" w:color="auto"/>
        <w:bottom w:val="none" w:sz="0" w:space="0" w:color="auto"/>
        <w:right w:val="none" w:sz="0" w:space="0" w:color="auto"/>
      </w:divBdr>
    </w:div>
    <w:div w:id="756437192">
      <w:bodyDiv w:val="1"/>
      <w:marLeft w:val="0"/>
      <w:marRight w:val="0"/>
      <w:marTop w:val="0"/>
      <w:marBottom w:val="0"/>
      <w:divBdr>
        <w:top w:val="none" w:sz="0" w:space="0" w:color="auto"/>
        <w:left w:val="none" w:sz="0" w:space="0" w:color="auto"/>
        <w:bottom w:val="none" w:sz="0" w:space="0" w:color="auto"/>
        <w:right w:val="none" w:sz="0" w:space="0" w:color="auto"/>
      </w:divBdr>
    </w:div>
    <w:div w:id="775561482">
      <w:bodyDiv w:val="1"/>
      <w:marLeft w:val="0"/>
      <w:marRight w:val="0"/>
      <w:marTop w:val="0"/>
      <w:marBottom w:val="0"/>
      <w:divBdr>
        <w:top w:val="none" w:sz="0" w:space="0" w:color="auto"/>
        <w:left w:val="none" w:sz="0" w:space="0" w:color="auto"/>
        <w:bottom w:val="none" w:sz="0" w:space="0" w:color="auto"/>
        <w:right w:val="none" w:sz="0" w:space="0" w:color="auto"/>
      </w:divBdr>
    </w:div>
    <w:div w:id="786967238">
      <w:bodyDiv w:val="1"/>
      <w:marLeft w:val="0"/>
      <w:marRight w:val="0"/>
      <w:marTop w:val="0"/>
      <w:marBottom w:val="0"/>
      <w:divBdr>
        <w:top w:val="none" w:sz="0" w:space="0" w:color="auto"/>
        <w:left w:val="none" w:sz="0" w:space="0" w:color="auto"/>
        <w:bottom w:val="none" w:sz="0" w:space="0" w:color="auto"/>
        <w:right w:val="none" w:sz="0" w:space="0" w:color="auto"/>
      </w:divBdr>
    </w:div>
    <w:div w:id="895434796">
      <w:bodyDiv w:val="1"/>
      <w:marLeft w:val="0"/>
      <w:marRight w:val="0"/>
      <w:marTop w:val="0"/>
      <w:marBottom w:val="0"/>
      <w:divBdr>
        <w:top w:val="none" w:sz="0" w:space="0" w:color="auto"/>
        <w:left w:val="none" w:sz="0" w:space="0" w:color="auto"/>
        <w:bottom w:val="none" w:sz="0" w:space="0" w:color="auto"/>
        <w:right w:val="none" w:sz="0" w:space="0" w:color="auto"/>
      </w:divBdr>
    </w:div>
    <w:div w:id="955254766">
      <w:bodyDiv w:val="1"/>
      <w:marLeft w:val="0"/>
      <w:marRight w:val="0"/>
      <w:marTop w:val="0"/>
      <w:marBottom w:val="0"/>
      <w:divBdr>
        <w:top w:val="none" w:sz="0" w:space="0" w:color="auto"/>
        <w:left w:val="none" w:sz="0" w:space="0" w:color="auto"/>
        <w:bottom w:val="none" w:sz="0" w:space="0" w:color="auto"/>
        <w:right w:val="none" w:sz="0" w:space="0" w:color="auto"/>
      </w:divBdr>
    </w:div>
    <w:div w:id="1053890083">
      <w:bodyDiv w:val="1"/>
      <w:marLeft w:val="0"/>
      <w:marRight w:val="0"/>
      <w:marTop w:val="0"/>
      <w:marBottom w:val="0"/>
      <w:divBdr>
        <w:top w:val="none" w:sz="0" w:space="0" w:color="auto"/>
        <w:left w:val="none" w:sz="0" w:space="0" w:color="auto"/>
        <w:bottom w:val="none" w:sz="0" w:space="0" w:color="auto"/>
        <w:right w:val="none" w:sz="0" w:space="0" w:color="auto"/>
      </w:divBdr>
    </w:div>
    <w:div w:id="1224482787">
      <w:bodyDiv w:val="1"/>
      <w:marLeft w:val="0"/>
      <w:marRight w:val="0"/>
      <w:marTop w:val="0"/>
      <w:marBottom w:val="0"/>
      <w:divBdr>
        <w:top w:val="none" w:sz="0" w:space="0" w:color="auto"/>
        <w:left w:val="none" w:sz="0" w:space="0" w:color="auto"/>
        <w:bottom w:val="none" w:sz="0" w:space="0" w:color="auto"/>
        <w:right w:val="none" w:sz="0" w:space="0" w:color="auto"/>
      </w:divBdr>
    </w:div>
    <w:div w:id="1249658537">
      <w:bodyDiv w:val="1"/>
      <w:marLeft w:val="0"/>
      <w:marRight w:val="0"/>
      <w:marTop w:val="0"/>
      <w:marBottom w:val="0"/>
      <w:divBdr>
        <w:top w:val="none" w:sz="0" w:space="0" w:color="auto"/>
        <w:left w:val="none" w:sz="0" w:space="0" w:color="auto"/>
        <w:bottom w:val="none" w:sz="0" w:space="0" w:color="auto"/>
        <w:right w:val="none" w:sz="0" w:space="0" w:color="auto"/>
      </w:divBdr>
    </w:div>
    <w:div w:id="1311791735">
      <w:bodyDiv w:val="1"/>
      <w:marLeft w:val="0"/>
      <w:marRight w:val="0"/>
      <w:marTop w:val="0"/>
      <w:marBottom w:val="0"/>
      <w:divBdr>
        <w:top w:val="none" w:sz="0" w:space="0" w:color="auto"/>
        <w:left w:val="none" w:sz="0" w:space="0" w:color="auto"/>
        <w:bottom w:val="none" w:sz="0" w:space="0" w:color="auto"/>
        <w:right w:val="none" w:sz="0" w:space="0" w:color="auto"/>
      </w:divBdr>
    </w:div>
    <w:div w:id="1328250283">
      <w:bodyDiv w:val="1"/>
      <w:marLeft w:val="0"/>
      <w:marRight w:val="0"/>
      <w:marTop w:val="0"/>
      <w:marBottom w:val="0"/>
      <w:divBdr>
        <w:top w:val="none" w:sz="0" w:space="0" w:color="auto"/>
        <w:left w:val="none" w:sz="0" w:space="0" w:color="auto"/>
        <w:bottom w:val="none" w:sz="0" w:space="0" w:color="auto"/>
        <w:right w:val="none" w:sz="0" w:space="0" w:color="auto"/>
      </w:divBdr>
    </w:div>
    <w:div w:id="1423257600">
      <w:bodyDiv w:val="1"/>
      <w:marLeft w:val="0"/>
      <w:marRight w:val="0"/>
      <w:marTop w:val="0"/>
      <w:marBottom w:val="0"/>
      <w:divBdr>
        <w:top w:val="none" w:sz="0" w:space="0" w:color="auto"/>
        <w:left w:val="none" w:sz="0" w:space="0" w:color="auto"/>
        <w:bottom w:val="none" w:sz="0" w:space="0" w:color="auto"/>
        <w:right w:val="none" w:sz="0" w:space="0" w:color="auto"/>
      </w:divBdr>
    </w:div>
    <w:div w:id="1433547536">
      <w:bodyDiv w:val="1"/>
      <w:marLeft w:val="0"/>
      <w:marRight w:val="0"/>
      <w:marTop w:val="0"/>
      <w:marBottom w:val="0"/>
      <w:divBdr>
        <w:top w:val="none" w:sz="0" w:space="0" w:color="auto"/>
        <w:left w:val="none" w:sz="0" w:space="0" w:color="auto"/>
        <w:bottom w:val="none" w:sz="0" w:space="0" w:color="auto"/>
        <w:right w:val="none" w:sz="0" w:space="0" w:color="auto"/>
      </w:divBdr>
    </w:div>
    <w:div w:id="1460295818">
      <w:bodyDiv w:val="1"/>
      <w:marLeft w:val="0"/>
      <w:marRight w:val="0"/>
      <w:marTop w:val="0"/>
      <w:marBottom w:val="0"/>
      <w:divBdr>
        <w:top w:val="none" w:sz="0" w:space="0" w:color="auto"/>
        <w:left w:val="none" w:sz="0" w:space="0" w:color="auto"/>
        <w:bottom w:val="none" w:sz="0" w:space="0" w:color="auto"/>
        <w:right w:val="none" w:sz="0" w:space="0" w:color="auto"/>
      </w:divBdr>
    </w:div>
    <w:div w:id="1554389951">
      <w:bodyDiv w:val="1"/>
      <w:marLeft w:val="0"/>
      <w:marRight w:val="0"/>
      <w:marTop w:val="0"/>
      <w:marBottom w:val="0"/>
      <w:divBdr>
        <w:top w:val="none" w:sz="0" w:space="0" w:color="auto"/>
        <w:left w:val="none" w:sz="0" w:space="0" w:color="auto"/>
        <w:bottom w:val="none" w:sz="0" w:space="0" w:color="auto"/>
        <w:right w:val="none" w:sz="0" w:space="0" w:color="auto"/>
      </w:divBdr>
    </w:div>
    <w:div w:id="1588028988">
      <w:bodyDiv w:val="1"/>
      <w:marLeft w:val="0"/>
      <w:marRight w:val="0"/>
      <w:marTop w:val="0"/>
      <w:marBottom w:val="0"/>
      <w:divBdr>
        <w:top w:val="none" w:sz="0" w:space="0" w:color="auto"/>
        <w:left w:val="none" w:sz="0" w:space="0" w:color="auto"/>
        <w:bottom w:val="none" w:sz="0" w:space="0" w:color="auto"/>
        <w:right w:val="none" w:sz="0" w:space="0" w:color="auto"/>
      </w:divBdr>
    </w:div>
    <w:div w:id="1622152887">
      <w:bodyDiv w:val="1"/>
      <w:marLeft w:val="0"/>
      <w:marRight w:val="0"/>
      <w:marTop w:val="0"/>
      <w:marBottom w:val="0"/>
      <w:divBdr>
        <w:top w:val="none" w:sz="0" w:space="0" w:color="auto"/>
        <w:left w:val="none" w:sz="0" w:space="0" w:color="auto"/>
        <w:bottom w:val="none" w:sz="0" w:space="0" w:color="auto"/>
        <w:right w:val="none" w:sz="0" w:space="0" w:color="auto"/>
      </w:divBdr>
    </w:div>
    <w:div w:id="1630671313">
      <w:bodyDiv w:val="1"/>
      <w:marLeft w:val="0"/>
      <w:marRight w:val="0"/>
      <w:marTop w:val="0"/>
      <w:marBottom w:val="0"/>
      <w:divBdr>
        <w:top w:val="none" w:sz="0" w:space="0" w:color="auto"/>
        <w:left w:val="none" w:sz="0" w:space="0" w:color="auto"/>
        <w:bottom w:val="none" w:sz="0" w:space="0" w:color="auto"/>
        <w:right w:val="none" w:sz="0" w:space="0" w:color="auto"/>
      </w:divBdr>
    </w:div>
    <w:div w:id="1721632661">
      <w:bodyDiv w:val="1"/>
      <w:marLeft w:val="0"/>
      <w:marRight w:val="0"/>
      <w:marTop w:val="0"/>
      <w:marBottom w:val="0"/>
      <w:divBdr>
        <w:top w:val="none" w:sz="0" w:space="0" w:color="auto"/>
        <w:left w:val="none" w:sz="0" w:space="0" w:color="auto"/>
        <w:bottom w:val="none" w:sz="0" w:space="0" w:color="auto"/>
        <w:right w:val="none" w:sz="0" w:space="0" w:color="auto"/>
      </w:divBdr>
    </w:div>
    <w:div w:id="1857377831">
      <w:bodyDiv w:val="1"/>
      <w:marLeft w:val="0"/>
      <w:marRight w:val="0"/>
      <w:marTop w:val="0"/>
      <w:marBottom w:val="0"/>
      <w:divBdr>
        <w:top w:val="none" w:sz="0" w:space="0" w:color="auto"/>
        <w:left w:val="none" w:sz="0" w:space="0" w:color="auto"/>
        <w:bottom w:val="none" w:sz="0" w:space="0" w:color="auto"/>
        <w:right w:val="none" w:sz="0" w:space="0" w:color="auto"/>
      </w:divBdr>
    </w:div>
    <w:div w:id="1930653421">
      <w:bodyDiv w:val="1"/>
      <w:marLeft w:val="0"/>
      <w:marRight w:val="0"/>
      <w:marTop w:val="0"/>
      <w:marBottom w:val="0"/>
      <w:divBdr>
        <w:top w:val="none" w:sz="0" w:space="0" w:color="auto"/>
        <w:left w:val="none" w:sz="0" w:space="0" w:color="auto"/>
        <w:bottom w:val="none" w:sz="0" w:space="0" w:color="auto"/>
        <w:right w:val="none" w:sz="0" w:space="0" w:color="auto"/>
      </w:divBdr>
    </w:div>
    <w:div w:id="1984892438">
      <w:bodyDiv w:val="1"/>
      <w:marLeft w:val="0"/>
      <w:marRight w:val="0"/>
      <w:marTop w:val="0"/>
      <w:marBottom w:val="0"/>
      <w:divBdr>
        <w:top w:val="none" w:sz="0" w:space="0" w:color="auto"/>
        <w:left w:val="none" w:sz="0" w:space="0" w:color="auto"/>
        <w:bottom w:val="none" w:sz="0" w:space="0" w:color="auto"/>
        <w:right w:val="none" w:sz="0" w:space="0" w:color="auto"/>
      </w:divBdr>
    </w:div>
    <w:div w:id="2025860263">
      <w:bodyDiv w:val="1"/>
      <w:marLeft w:val="0"/>
      <w:marRight w:val="0"/>
      <w:marTop w:val="0"/>
      <w:marBottom w:val="0"/>
      <w:divBdr>
        <w:top w:val="none" w:sz="0" w:space="0" w:color="auto"/>
        <w:left w:val="none" w:sz="0" w:space="0" w:color="auto"/>
        <w:bottom w:val="none" w:sz="0" w:space="0" w:color="auto"/>
        <w:right w:val="none" w:sz="0" w:space="0" w:color="auto"/>
      </w:divBdr>
    </w:div>
    <w:div w:id="2130276966">
      <w:bodyDiv w:val="1"/>
      <w:marLeft w:val="0"/>
      <w:marRight w:val="0"/>
      <w:marTop w:val="0"/>
      <w:marBottom w:val="0"/>
      <w:divBdr>
        <w:top w:val="none" w:sz="0" w:space="0" w:color="auto"/>
        <w:left w:val="none" w:sz="0" w:space="0" w:color="auto"/>
        <w:bottom w:val="none" w:sz="0" w:space="0" w:color="auto"/>
        <w:right w:val="none" w:sz="0" w:space="0" w:color="auto"/>
      </w:divBdr>
    </w:div>
    <w:div w:id="2131043652">
      <w:bodyDiv w:val="1"/>
      <w:marLeft w:val="0"/>
      <w:marRight w:val="0"/>
      <w:marTop w:val="0"/>
      <w:marBottom w:val="0"/>
      <w:divBdr>
        <w:top w:val="none" w:sz="0" w:space="0" w:color="auto"/>
        <w:left w:val="none" w:sz="0" w:space="0" w:color="auto"/>
        <w:bottom w:val="none" w:sz="0" w:space="0" w:color="auto"/>
        <w:right w:val="none" w:sz="0" w:space="0" w:color="auto"/>
      </w:divBdr>
    </w:div>
    <w:div w:id="21379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44</TotalTime>
  <Pages>13</Pages>
  <Words>3075</Words>
  <Characters>20530</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2020060323 mt</dc:description>
  <cp:lastModifiedBy>Hanne Thy Iversen</cp:lastModifiedBy>
  <cp:revision>16</cp:revision>
  <cp:lastPrinted>2012-08-22T08:53:00Z</cp:lastPrinted>
  <dcterms:created xsi:type="dcterms:W3CDTF">2022-08-18T13:43:00Z</dcterms:created>
  <dcterms:modified xsi:type="dcterms:W3CDTF">2022-08-22T13:41:00Z</dcterms:modified>
</cp:coreProperties>
</file>