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11EB" w14:textId="77777777" w:rsidR="009260DE" w:rsidRPr="008F49E1" w:rsidRDefault="0021526C" w:rsidP="009260DE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C00B42B" wp14:editId="520CAE4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01BF51D8" w14:textId="77777777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23B38D68" w14:textId="544B8280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53E8E">
        <w:rPr>
          <w:szCs w:val="24"/>
        </w:rPr>
        <w:t>9</w:t>
      </w:r>
      <w:r w:rsidR="00AE594E">
        <w:rPr>
          <w:szCs w:val="24"/>
        </w:rPr>
        <w:t xml:space="preserve">. </w:t>
      </w:r>
      <w:r w:rsidR="00153E8E">
        <w:rPr>
          <w:szCs w:val="24"/>
        </w:rPr>
        <w:t>januar</w:t>
      </w:r>
      <w:r w:rsidR="00AE594E">
        <w:rPr>
          <w:szCs w:val="24"/>
        </w:rPr>
        <w:t xml:space="preserve"> 202</w:t>
      </w:r>
      <w:r w:rsidR="00153E8E">
        <w:rPr>
          <w:szCs w:val="24"/>
        </w:rPr>
        <w:t>5</w:t>
      </w:r>
    </w:p>
    <w:p w14:paraId="3A44A2A1" w14:textId="39157B2E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61FCEC8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3D4CB5C2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2E5AAEB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7FDAD23C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08C031F9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5049DFC5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3D1A58E4" w14:textId="77777777" w:rsidR="009260DE" w:rsidRPr="00C84483" w:rsidRDefault="00A1251F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Amsalyo</w:t>
      </w:r>
      <w:proofErr w:type="spellEnd"/>
      <w:r>
        <w:rPr>
          <w:b/>
          <w:sz w:val="24"/>
          <w:szCs w:val="24"/>
        </w:rPr>
        <w:t>, pulver til koncentrat til infusionsvæske, opløsning</w:t>
      </w:r>
    </w:p>
    <w:p w14:paraId="36D0F1E1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08DC106B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7D6E9DE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17ABA5BF" w14:textId="09F7F9D9" w:rsidR="009260DE" w:rsidRPr="00C84483" w:rsidRDefault="00A52A5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33050</w:t>
      </w:r>
    </w:p>
    <w:p w14:paraId="2F023E2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17D0C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20B18EB5" w14:textId="0E3C1526" w:rsidR="009260DE" w:rsidRPr="00C84483" w:rsidRDefault="00A52A52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Amsalyo</w:t>
      </w:r>
      <w:proofErr w:type="spellEnd"/>
    </w:p>
    <w:p w14:paraId="56BC678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DBB11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241F819B" w14:textId="77777777" w:rsidR="00410753" w:rsidRPr="00410753" w:rsidRDefault="00410753" w:rsidP="00410753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 w:rsidRPr="00410753">
        <w:rPr>
          <w:sz w:val="24"/>
          <w:szCs w:val="24"/>
        </w:rPr>
        <w:t xml:space="preserve">Hvert hætteglas indeholder 75 mg </w:t>
      </w:r>
      <w:proofErr w:type="spellStart"/>
      <w:r w:rsidRPr="00410753">
        <w:rPr>
          <w:sz w:val="24"/>
          <w:szCs w:val="24"/>
        </w:rPr>
        <w:t>amsacrin</w:t>
      </w:r>
      <w:proofErr w:type="spellEnd"/>
      <w:r w:rsidRPr="00410753">
        <w:rPr>
          <w:sz w:val="24"/>
          <w:szCs w:val="24"/>
        </w:rPr>
        <w:t xml:space="preserve">. Efter </w:t>
      </w:r>
      <w:proofErr w:type="spellStart"/>
      <w:r w:rsidRPr="00410753">
        <w:rPr>
          <w:sz w:val="24"/>
          <w:szCs w:val="24"/>
        </w:rPr>
        <w:t>rekonstituering</w:t>
      </w:r>
      <w:proofErr w:type="spellEnd"/>
      <w:r w:rsidRPr="00410753">
        <w:rPr>
          <w:sz w:val="24"/>
          <w:szCs w:val="24"/>
        </w:rPr>
        <w:t xml:space="preserve"> indeholder hver ml opløsning 1,5 mg </w:t>
      </w:r>
      <w:proofErr w:type="spellStart"/>
      <w:r w:rsidRPr="00410753">
        <w:rPr>
          <w:sz w:val="24"/>
          <w:szCs w:val="24"/>
        </w:rPr>
        <w:t>amsacrin</w:t>
      </w:r>
      <w:proofErr w:type="spellEnd"/>
      <w:r w:rsidRPr="00410753">
        <w:rPr>
          <w:sz w:val="24"/>
          <w:szCs w:val="24"/>
        </w:rPr>
        <w:t>.</w:t>
      </w:r>
    </w:p>
    <w:p w14:paraId="67BBCBAE" w14:textId="77777777" w:rsidR="00410753" w:rsidRPr="00410753" w:rsidRDefault="00410753" w:rsidP="00410753">
      <w:pPr>
        <w:tabs>
          <w:tab w:val="left" w:pos="851"/>
        </w:tabs>
        <w:ind w:left="851"/>
        <w:rPr>
          <w:bCs/>
          <w:iCs/>
          <w:sz w:val="24"/>
          <w:szCs w:val="24"/>
        </w:rPr>
      </w:pPr>
    </w:p>
    <w:p w14:paraId="2A81D124" w14:textId="118B6FF8" w:rsidR="00410753" w:rsidRPr="00410753" w:rsidRDefault="00410753" w:rsidP="00410753">
      <w:pPr>
        <w:tabs>
          <w:tab w:val="left" w:pos="851"/>
        </w:tabs>
        <w:ind w:left="851"/>
        <w:rPr>
          <w:sz w:val="24"/>
          <w:szCs w:val="24"/>
        </w:rPr>
      </w:pPr>
      <w:r w:rsidRPr="00410753">
        <w:rPr>
          <w:sz w:val="24"/>
          <w:szCs w:val="24"/>
        </w:rPr>
        <w:t>Alle hjælpestoffer er anført under pkt. 6.1.</w:t>
      </w:r>
    </w:p>
    <w:p w14:paraId="6DD72D1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E99B6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6C514B8C" w14:textId="145C3240" w:rsid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>Pulver til koncentrat til infusionsvæske, opløsning</w:t>
      </w:r>
    </w:p>
    <w:p w14:paraId="30006F1B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05CC20BD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Orangerødt </w:t>
      </w:r>
      <w:proofErr w:type="spellStart"/>
      <w:r w:rsidRPr="00A52A52">
        <w:rPr>
          <w:sz w:val="24"/>
          <w:szCs w:val="24"/>
        </w:rPr>
        <w:t>lyofiliseret</w:t>
      </w:r>
      <w:proofErr w:type="spellEnd"/>
      <w:r w:rsidRPr="00A52A52">
        <w:rPr>
          <w:sz w:val="24"/>
          <w:szCs w:val="24"/>
        </w:rPr>
        <w:t xml:space="preserve"> pulver.</w:t>
      </w:r>
    </w:p>
    <w:p w14:paraId="5A82FB8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F85AE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C37F1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45EEAFD4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0DC2D3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3FD2329C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Substituerende behandling af refraktær/recidiverende akut </w:t>
      </w:r>
      <w:proofErr w:type="spellStart"/>
      <w:r w:rsidRPr="00A52A52">
        <w:rPr>
          <w:sz w:val="24"/>
          <w:szCs w:val="24"/>
        </w:rPr>
        <w:t>myeloid</w:t>
      </w:r>
      <w:proofErr w:type="spellEnd"/>
      <w:r w:rsidRPr="00A52A52">
        <w:rPr>
          <w:sz w:val="24"/>
          <w:szCs w:val="24"/>
        </w:rPr>
        <w:t xml:space="preserve"> leukæmi (AML) hos voksne i kombination med andre kemoterapeutiske stoffer.</w:t>
      </w:r>
    </w:p>
    <w:p w14:paraId="47DDBB9A" w14:textId="77777777" w:rsidR="009260DE" w:rsidRPr="00C84483" w:rsidRDefault="009260DE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2072E04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14:paraId="6ADBBB51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0AAE019F" w14:textId="77777777" w:rsidR="00A52A52" w:rsidRPr="00A52A52" w:rsidRDefault="00A52A52" w:rsidP="00A52A52">
      <w:pPr>
        <w:tabs>
          <w:tab w:val="left" w:pos="851"/>
        </w:tabs>
        <w:ind w:left="851"/>
        <w:rPr>
          <w:b/>
          <w:sz w:val="24"/>
          <w:szCs w:val="24"/>
        </w:rPr>
      </w:pPr>
      <w:r w:rsidRPr="00A52A52">
        <w:rPr>
          <w:b/>
          <w:sz w:val="24"/>
          <w:szCs w:val="24"/>
        </w:rPr>
        <w:t>Dosering</w:t>
      </w:r>
    </w:p>
    <w:p w14:paraId="5080F984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Behandlingen skal overvåges af en læge, der har erfaring med behandling af patienter med AML. Inden opstart af behandling skal kaliumniveauet i serum fastlægges og korrigeres. Et kaliumniveau i serum på &gt;4 </w:t>
      </w:r>
      <w:proofErr w:type="spellStart"/>
      <w:r w:rsidRPr="00A52A52">
        <w:rPr>
          <w:sz w:val="24"/>
          <w:szCs w:val="24"/>
        </w:rPr>
        <w:t>mEq</w:t>
      </w:r>
      <w:proofErr w:type="spellEnd"/>
      <w:r w:rsidRPr="00A52A52">
        <w:rPr>
          <w:sz w:val="24"/>
          <w:szCs w:val="24"/>
        </w:rPr>
        <w:t xml:space="preserve">/l forud for administration anbefales. </w:t>
      </w:r>
      <w:proofErr w:type="spellStart"/>
      <w:r w:rsidRPr="00A52A52">
        <w:rPr>
          <w:sz w:val="24"/>
          <w:szCs w:val="24"/>
        </w:rPr>
        <w:t>Amsacrin</w:t>
      </w:r>
      <w:proofErr w:type="spellEnd"/>
      <w:r w:rsidRPr="00A52A52">
        <w:rPr>
          <w:sz w:val="24"/>
          <w:szCs w:val="24"/>
        </w:rPr>
        <w:t xml:space="preserve"> gives i kombination med andre </w:t>
      </w:r>
      <w:proofErr w:type="spellStart"/>
      <w:r w:rsidRPr="00A52A52">
        <w:rPr>
          <w:sz w:val="24"/>
          <w:szCs w:val="24"/>
        </w:rPr>
        <w:t>cytostatika</w:t>
      </w:r>
      <w:proofErr w:type="spellEnd"/>
      <w:r w:rsidRPr="00A52A52">
        <w:rPr>
          <w:sz w:val="24"/>
          <w:szCs w:val="24"/>
        </w:rPr>
        <w:t>.</w:t>
      </w:r>
    </w:p>
    <w:p w14:paraId="7EF1251A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042942B8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Der findes mange dosisniveauer og doseringsplaner, som afhænger af anden samtidig behandling, patient- og sygdomskarakteristika, knoglemarvsreserve og </w:t>
      </w:r>
      <w:proofErr w:type="spellStart"/>
      <w:r w:rsidRPr="00A52A52">
        <w:rPr>
          <w:sz w:val="24"/>
          <w:szCs w:val="24"/>
        </w:rPr>
        <w:t>hæmatotoksicitet</w:t>
      </w:r>
      <w:proofErr w:type="spellEnd"/>
      <w:r w:rsidRPr="00A52A52">
        <w:rPr>
          <w:sz w:val="24"/>
          <w:szCs w:val="24"/>
        </w:rPr>
        <w:t xml:space="preserve"> </w:t>
      </w:r>
      <w:r w:rsidRPr="00A52A52">
        <w:rPr>
          <w:sz w:val="24"/>
          <w:szCs w:val="24"/>
        </w:rPr>
        <w:lastRenderedPageBreak/>
        <w:t>samt behandlingsrespons. Der henvises til den protokol, patienten behandles efter, og til gældende retningslinjer. Doseringsplaner indberettet for induktionsbehandling kombineret med kemoterapi omfatter typisk doser på 90-150 mg/m2 dagligt i 3-5 dage i træk. Til konsoliderende behandling kan der overvejes lavere doser.</w:t>
      </w:r>
    </w:p>
    <w:p w14:paraId="3DF15274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6DF4FC29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52A52">
        <w:rPr>
          <w:sz w:val="24"/>
          <w:szCs w:val="24"/>
          <w:u w:val="single"/>
        </w:rPr>
        <w:t>Nyreinsufficiens</w:t>
      </w:r>
    </w:p>
    <w:p w14:paraId="6A7AB0CB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Det anbefales at udvise varsomhed ved administration af </w:t>
      </w:r>
      <w:proofErr w:type="spellStart"/>
      <w:r w:rsidRPr="00A52A52">
        <w:rPr>
          <w:sz w:val="24"/>
          <w:szCs w:val="24"/>
        </w:rPr>
        <w:t>amsacrin</w:t>
      </w:r>
      <w:proofErr w:type="spellEnd"/>
      <w:r w:rsidRPr="00A52A52">
        <w:rPr>
          <w:sz w:val="24"/>
          <w:szCs w:val="24"/>
        </w:rPr>
        <w:t xml:space="preserve"> til patienter med nyreinsufficiens, se pkt. 5.2.</w:t>
      </w:r>
      <w:r w:rsidRPr="00A52A52">
        <w:rPr>
          <w:b/>
          <w:bCs/>
          <w:i/>
          <w:iCs/>
          <w:sz w:val="24"/>
          <w:szCs w:val="24"/>
        </w:rPr>
        <w:t xml:space="preserve"> </w:t>
      </w:r>
      <w:r w:rsidRPr="00A52A52">
        <w:rPr>
          <w:sz w:val="24"/>
          <w:szCs w:val="24"/>
        </w:rPr>
        <w:t xml:space="preserve">Hos patienter med mild </w:t>
      </w:r>
      <w:proofErr w:type="spellStart"/>
      <w:r w:rsidRPr="00A52A52">
        <w:rPr>
          <w:sz w:val="24"/>
          <w:szCs w:val="24"/>
        </w:rPr>
        <w:t>renal</w:t>
      </w:r>
      <w:proofErr w:type="spellEnd"/>
      <w:r w:rsidRPr="00A52A52">
        <w:rPr>
          <w:sz w:val="24"/>
          <w:szCs w:val="24"/>
        </w:rPr>
        <w:t xml:space="preserve"> dysfunktion (GFR 60-89 ml/min/1,73 m</w:t>
      </w:r>
      <w:r w:rsidRPr="00A52A52">
        <w:rPr>
          <w:sz w:val="24"/>
          <w:szCs w:val="24"/>
          <w:vertAlign w:val="superscript"/>
        </w:rPr>
        <w:t>2</w:t>
      </w:r>
      <w:r w:rsidRPr="00A52A52">
        <w:rPr>
          <w:sz w:val="24"/>
          <w:szCs w:val="24"/>
        </w:rPr>
        <w:t>) frarådes justering af startdosis.</w:t>
      </w:r>
      <w:r w:rsidRPr="00A52A52">
        <w:rPr>
          <w:b/>
          <w:bCs/>
          <w:i/>
          <w:iCs/>
          <w:sz w:val="24"/>
          <w:szCs w:val="24"/>
        </w:rPr>
        <w:t xml:space="preserve"> </w:t>
      </w:r>
      <w:r w:rsidRPr="00A52A52">
        <w:rPr>
          <w:sz w:val="24"/>
          <w:szCs w:val="24"/>
        </w:rPr>
        <w:t>Hos patienter med moderat til svær nyreinsufficiens (GFR &lt; 59 ml/min/1,73 m</w:t>
      </w:r>
      <w:r w:rsidRPr="00A52A52">
        <w:rPr>
          <w:sz w:val="24"/>
          <w:szCs w:val="24"/>
          <w:vertAlign w:val="superscript"/>
        </w:rPr>
        <w:t>2</w:t>
      </w:r>
      <w:r w:rsidRPr="00A52A52">
        <w:rPr>
          <w:sz w:val="24"/>
          <w:szCs w:val="24"/>
        </w:rPr>
        <w:t>) bør det overvejes at reducere startdosis med omkring 20-30 %. Det kan være nødvendigt med efterfølgende dosisjustering baseret på klinisk toksicitet.</w:t>
      </w:r>
    </w:p>
    <w:p w14:paraId="7FDD5E58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6A7946CF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52A52">
        <w:rPr>
          <w:sz w:val="24"/>
          <w:szCs w:val="24"/>
          <w:u w:val="single"/>
        </w:rPr>
        <w:t>Leverinsufficiens</w:t>
      </w:r>
    </w:p>
    <w:p w14:paraId="499E6251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Det anbefales at udvise varsomhed ved administration af </w:t>
      </w:r>
      <w:proofErr w:type="spellStart"/>
      <w:r w:rsidRPr="00A52A52">
        <w:rPr>
          <w:sz w:val="24"/>
          <w:szCs w:val="24"/>
        </w:rPr>
        <w:t>amsacrin</w:t>
      </w:r>
      <w:proofErr w:type="spellEnd"/>
      <w:r w:rsidRPr="00A52A52">
        <w:rPr>
          <w:sz w:val="24"/>
          <w:szCs w:val="24"/>
        </w:rPr>
        <w:t xml:space="preserve"> til patienter med leverinsufficiens, se pkt. 5.2. Dosisjustering er ikke nødvendigt hos patienter med mild </w:t>
      </w:r>
      <w:proofErr w:type="spellStart"/>
      <w:r w:rsidRPr="00A52A52">
        <w:rPr>
          <w:sz w:val="24"/>
          <w:szCs w:val="24"/>
        </w:rPr>
        <w:t>hepatisk</w:t>
      </w:r>
      <w:proofErr w:type="spellEnd"/>
      <w:r w:rsidRPr="00A52A52">
        <w:rPr>
          <w:sz w:val="24"/>
          <w:szCs w:val="24"/>
        </w:rPr>
        <w:t xml:space="preserve"> dysfunktion. Hos patienter med moderat til svær leverinsufficiens bør det overvejes at reducere startdosis med omkring 20-30 %. Det kan være nødvendigt med efterfølgende dosisjustering baseret på klinisk toksicitet.</w:t>
      </w:r>
    </w:p>
    <w:p w14:paraId="5C2EA593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0492E4AD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52A52">
        <w:rPr>
          <w:sz w:val="24"/>
          <w:szCs w:val="24"/>
          <w:u w:val="single"/>
        </w:rPr>
        <w:t>Ældre</w:t>
      </w:r>
    </w:p>
    <w:p w14:paraId="125B8662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Der er ingen relevante oplysninger om alderens betydning for farmakokinetikken eller </w:t>
      </w:r>
      <w:proofErr w:type="spellStart"/>
      <w:r w:rsidRPr="00A52A52">
        <w:rPr>
          <w:sz w:val="24"/>
          <w:szCs w:val="24"/>
        </w:rPr>
        <w:t>tolerabiliteten</w:t>
      </w:r>
      <w:proofErr w:type="spellEnd"/>
      <w:r w:rsidRPr="00A52A52">
        <w:rPr>
          <w:sz w:val="24"/>
          <w:szCs w:val="24"/>
        </w:rPr>
        <w:t xml:space="preserve"> af </w:t>
      </w:r>
      <w:proofErr w:type="spellStart"/>
      <w:r w:rsidRPr="00A52A52">
        <w:rPr>
          <w:sz w:val="24"/>
          <w:szCs w:val="24"/>
        </w:rPr>
        <w:t>amsacrin</w:t>
      </w:r>
      <w:proofErr w:type="spellEnd"/>
      <w:r w:rsidRPr="00A52A52">
        <w:rPr>
          <w:sz w:val="24"/>
          <w:szCs w:val="24"/>
        </w:rPr>
        <w:t>.</w:t>
      </w:r>
    </w:p>
    <w:p w14:paraId="5C3F26A8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7DBAD8B0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52A52">
        <w:rPr>
          <w:sz w:val="24"/>
          <w:szCs w:val="24"/>
          <w:u w:val="single"/>
        </w:rPr>
        <w:t>Pædiatrisk population</w:t>
      </w:r>
    </w:p>
    <w:p w14:paraId="0417DA18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52A52">
        <w:rPr>
          <w:sz w:val="24"/>
          <w:szCs w:val="24"/>
        </w:rPr>
        <w:t>Amsacrin</w:t>
      </w:r>
      <w:proofErr w:type="spellEnd"/>
      <w:r w:rsidRPr="00A52A52">
        <w:rPr>
          <w:sz w:val="24"/>
          <w:szCs w:val="24"/>
        </w:rPr>
        <w:t xml:space="preserve"> er ikke godkendt til brug hos pædiatriske patienter. Der er ingen relevante oplysninger om alderens betydning for farmakokinetikken eller </w:t>
      </w:r>
      <w:proofErr w:type="spellStart"/>
      <w:r w:rsidRPr="00A52A52">
        <w:rPr>
          <w:sz w:val="24"/>
          <w:szCs w:val="24"/>
        </w:rPr>
        <w:t>tolerabiliteten</w:t>
      </w:r>
      <w:proofErr w:type="spellEnd"/>
      <w:r w:rsidRPr="00A52A52">
        <w:rPr>
          <w:sz w:val="24"/>
          <w:szCs w:val="24"/>
        </w:rPr>
        <w:t xml:space="preserve"> af </w:t>
      </w:r>
      <w:proofErr w:type="spellStart"/>
      <w:r w:rsidRPr="00A52A52">
        <w:rPr>
          <w:sz w:val="24"/>
          <w:szCs w:val="24"/>
        </w:rPr>
        <w:t>amsacrin</w:t>
      </w:r>
      <w:proofErr w:type="spellEnd"/>
      <w:r w:rsidRPr="00A52A52">
        <w:rPr>
          <w:sz w:val="24"/>
          <w:szCs w:val="24"/>
        </w:rPr>
        <w:t>.</w:t>
      </w:r>
    </w:p>
    <w:p w14:paraId="22166B77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5125762B" w14:textId="77777777" w:rsidR="00A52A52" w:rsidRPr="00DD7056" w:rsidRDefault="00A52A52" w:rsidP="00A52A5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DD7056">
        <w:rPr>
          <w:iCs/>
          <w:sz w:val="24"/>
          <w:szCs w:val="24"/>
          <w:u w:val="single"/>
        </w:rPr>
        <w:t>Behandlingskontrol</w:t>
      </w:r>
    </w:p>
    <w:p w14:paraId="25332378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I induktionsfasen bør der være nøje observation og laboratorieovervågning af patienterne på et hospital. Transfusion af erytrocytter og </w:t>
      </w:r>
      <w:proofErr w:type="spellStart"/>
      <w:r w:rsidRPr="00A52A52">
        <w:rPr>
          <w:sz w:val="24"/>
          <w:szCs w:val="24"/>
        </w:rPr>
        <w:t>trombocytter</w:t>
      </w:r>
      <w:proofErr w:type="spellEnd"/>
      <w:r w:rsidRPr="00A52A52">
        <w:rPr>
          <w:sz w:val="24"/>
          <w:szCs w:val="24"/>
        </w:rPr>
        <w:t xml:space="preserve"> bør være til rådighed. Kaliumniveauet i serum, EKG samt lever- og nyrefunktion bør regelmæssigt kontrolleres.</w:t>
      </w:r>
    </w:p>
    <w:p w14:paraId="35E46FE3" w14:textId="77777777" w:rsidR="00A52A52" w:rsidRPr="00A52A52" w:rsidRDefault="00A52A52" w:rsidP="00A52A52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17A52146" w14:textId="77777777" w:rsidR="00A52A52" w:rsidRPr="00DD7056" w:rsidRDefault="00A52A52" w:rsidP="00A52A52">
      <w:pPr>
        <w:tabs>
          <w:tab w:val="left" w:pos="851"/>
        </w:tabs>
        <w:ind w:left="851"/>
        <w:rPr>
          <w:b/>
          <w:sz w:val="24"/>
          <w:szCs w:val="24"/>
        </w:rPr>
      </w:pPr>
      <w:r w:rsidRPr="00DD7056">
        <w:rPr>
          <w:b/>
          <w:sz w:val="24"/>
          <w:szCs w:val="24"/>
        </w:rPr>
        <w:t>Administration</w:t>
      </w:r>
    </w:p>
    <w:p w14:paraId="34FA2AAF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Administration foretages udelukkende som intravenøs infusion over mindst 60 minutter for at forebygge lokalirritation (risiko for </w:t>
      </w:r>
      <w:proofErr w:type="spellStart"/>
      <w:r w:rsidRPr="00A52A52">
        <w:rPr>
          <w:sz w:val="24"/>
          <w:szCs w:val="24"/>
        </w:rPr>
        <w:t>flebitis</w:t>
      </w:r>
      <w:proofErr w:type="spellEnd"/>
      <w:r w:rsidRPr="00A52A52">
        <w:rPr>
          <w:sz w:val="24"/>
          <w:szCs w:val="24"/>
        </w:rPr>
        <w:t>).</w:t>
      </w:r>
    </w:p>
    <w:p w14:paraId="7C445483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646B16BB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 xml:space="preserve">Ved daglig infusion eller kontinuerlig døgninfusion anbefales det at indsætte et centralt kateter for at forebygge risikoen for </w:t>
      </w:r>
      <w:proofErr w:type="spellStart"/>
      <w:r w:rsidRPr="00A52A52">
        <w:rPr>
          <w:sz w:val="24"/>
          <w:szCs w:val="24"/>
        </w:rPr>
        <w:t>flebitis</w:t>
      </w:r>
      <w:proofErr w:type="spellEnd"/>
      <w:r w:rsidRPr="00A52A52">
        <w:rPr>
          <w:sz w:val="24"/>
          <w:szCs w:val="24"/>
        </w:rPr>
        <w:t>. I tilfælde af ekstravasal administration anbefales det at skylle med lidt glukoseopløsning 50 mg/ml, hvorefter den pågældende kropsdel omgående skal afkøles. Infusionen skal afbrydes og påbegyndes i en anden blodåre.</w:t>
      </w:r>
    </w:p>
    <w:p w14:paraId="7B53E88F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</w:p>
    <w:p w14:paraId="5D0DB3FA" w14:textId="77777777" w:rsidR="00A52A52" w:rsidRPr="00A52A52" w:rsidRDefault="00A52A52" w:rsidP="00A52A52">
      <w:pPr>
        <w:tabs>
          <w:tab w:val="left" w:pos="851"/>
        </w:tabs>
        <w:ind w:left="851"/>
        <w:rPr>
          <w:sz w:val="24"/>
          <w:szCs w:val="24"/>
        </w:rPr>
      </w:pPr>
      <w:r w:rsidRPr="00A52A52">
        <w:rPr>
          <w:sz w:val="24"/>
          <w:szCs w:val="24"/>
        </w:rPr>
        <w:t>Se pkt. 6.6 for en vejledning i fortynding af lægemidlet inden administration.</w:t>
      </w:r>
    </w:p>
    <w:p w14:paraId="02E8BC8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964D0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1956B94A" w14:textId="77777777" w:rsidR="00DD7056" w:rsidRPr="00DD7056" w:rsidRDefault="00DD7056" w:rsidP="00DD7056">
      <w:pPr>
        <w:numPr>
          <w:ilvl w:val="0"/>
          <w:numId w:val="6"/>
        </w:numPr>
        <w:tabs>
          <w:tab w:val="left" w:pos="851"/>
        </w:tabs>
        <w:ind w:hanging="229"/>
        <w:rPr>
          <w:bCs/>
          <w:sz w:val="24"/>
          <w:szCs w:val="24"/>
        </w:rPr>
      </w:pPr>
      <w:r w:rsidRPr="00DD7056">
        <w:rPr>
          <w:sz w:val="24"/>
          <w:szCs w:val="24"/>
        </w:rPr>
        <w:t xml:space="preserve">Overfølsomhed over for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eller </w:t>
      </w:r>
      <w:proofErr w:type="spellStart"/>
      <w:r w:rsidRPr="00DD7056">
        <w:rPr>
          <w:sz w:val="24"/>
          <w:szCs w:val="24"/>
        </w:rPr>
        <w:t>acridinderivater</w:t>
      </w:r>
      <w:proofErr w:type="spellEnd"/>
      <w:r w:rsidRPr="00DD7056">
        <w:rPr>
          <w:sz w:val="24"/>
          <w:szCs w:val="24"/>
        </w:rPr>
        <w:t xml:space="preserve"> eller over for et eller flere af hjælpestofferne anført under pkt. 6.1.</w:t>
      </w:r>
    </w:p>
    <w:p w14:paraId="2F0F170A" w14:textId="77777777" w:rsidR="00DD7056" w:rsidRPr="00DD7056" w:rsidRDefault="00DD7056" w:rsidP="00DD7056">
      <w:pPr>
        <w:numPr>
          <w:ilvl w:val="0"/>
          <w:numId w:val="6"/>
        </w:numPr>
        <w:tabs>
          <w:tab w:val="left" w:pos="851"/>
        </w:tabs>
        <w:ind w:hanging="229"/>
        <w:rPr>
          <w:bCs/>
          <w:sz w:val="24"/>
          <w:szCs w:val="24"/>
        </w:rPr>
      </w:pPr>
      <w:r w:rsidRPr="00DD7056">
        <w:rPr>
          <w:sz w:val="24"/>
          <w:szCs w:val="24"/>
        </w:rPr>
        <w:t xml:space="preserve">Tydelig knoglemarvssuppression som følge af behandling med </w:t>
      </w:r>
      <w:proofErr w:type="spellStart"/>
      <w:r w:rsidRPr="00DD7056">
        <w:rPr>
          <w:sz w:val="24"/>
          <w:szCs w:val="24"/>
        </w:rPr>
        <w:t>cytostatika</w:t>
      </w:r>
      <w:proofErr w:type="spellEnd"/>
      <w:r w:rsidRPr="00DD7056">
        <w:rPr>
          <w:sz w:val="24"/>
          <w:szCs w:val="24"/>
        </w:rPr>
        <w:t xml:space="preserve"> eller strålebehandling.</w:t>
      </w:r>
    </w:p>
    <w:p w14:paraId="70F39539" w14:textId="77777777" w:rsidR="00DD7056" w:rsidRPr="00DD7056" w:rsidRDefault="00DD7056" w:rsidP="00DD7056">
      <w:pPr>
        <w:numPr>
          <w:ilvl w:val="0"/>
          <w:numId w:val="6"/>
        </w:numPr>
        <w:tabs>
          <w:tab w:val="left" w:pos="851"/>
        </w:tabs>
        <w:ind w:hanging="229"/>
        <w:rPr>
          <w:sz w:val="24"/>
          <w:szCs w:val="24"/>
        </w:rPr>
      </w:pPr>
      <w:r w:rsidRPr="00DD7056">
        <w:rPr>
          <w:sz w:val="24"/>
          <w:szCs w:val="24"/>
        </w:rPr>
        <w:t>Laktation.</w:t>
      </w:r>
    </w:p>
    <w:p w14:paraId="263A56B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1CA76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0A0ED27F" w14:textId="77777777" w:rsid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20B84284" w14:textId="1EB11211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D7056">
        <w:rPr>
          <w:sz w:val="24"/>
          <w:szCs w:val="24"/>
          <w:u w:val="single"/>
        </w:rPr>
        <w:t>Knoglemarvssuppression</w:t>
      </w:r>
    </w:p>
    <w:p w14:paraId="57DC8636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kan medføre svær knoglemarvsdepression, hvorfor der er behov for hyppige blodprøver. Infektioner og blødninger kan være fatale. Ved forekomst af eksisterende knoglemarvsdepression, der skyldes lægemidler, bør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administreres med varsomhed og ekstra kontroller. Hertil kommer, at hvis faldet i leukocytter eller </w:t>
      </w:r>
      <w:proofErr w:type="spellStart"/>
      <w:r w:rsidRPr="00DD7056">
        <w:rPr>
          <w:sz w:val="24"/>
          <w:szCs w:val="24"/>
        </w:rPr>
        <w:t>trombocytter</w:t>
      </w:r>
      <w:proofErr w:type="spellEnd"/>
      <w:r w:rsidRPr="00DD7056">
        <w:rPr>
          <w:sz w:val="24"/>
          <w:szCs w:val="24"/>
        </w:rPr>
        <w:t xml:space="preserve"> bliver for kraftigt, kan det være nødvendigt at seponere behandling med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eller reducere dosis. Erytrocytter og </w:t>
      </w:r>
      <w:proofErr w:type="spellStart"/>
      <w:r w:rsidRPr="00DD7056">
        <w:rPr>
          <w:sz w:val="24"/>
          <w:szCs w:val="24"/>
        </w:rPr>
        <w:t>trombocytter</w:t>
      </w:r>
      <w:proofErr w:type="spellEnd"/>
      <w:r w:rsidRPr="00DD7056">
        <w:rPr>
          <w:sz w:val="24"/>
          <w:szCs w:val="24"/>
        </w:rPr>
        <w:t xml:space="preserve"> bør være til rådighed til transfusion tillige med andre behandlingsformer for knoglemarvsdepression.</w:t>
      </w:r>
    </w:p>
    <w:p w14:paraId="4215B1AA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554D9DC0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DD7056">
        <w:rPr>
          <w:sz w:val="24"/>
          <w:szCs w:val="24"/>
          <w:u w:val="single"/>
        </w:rPr>
        <w:t>Hyperurikæmi</w:t>
      </w:r>
      <w:proofErr w:type="spellEnd"/>
    </w:p>
    <w:p w14:paraId="1DA9A42C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kan inducere </w:t>
      </w:r>
      <w:proofErr w:type="spellStart"/>
      <w:r w:rsidRPr="00DD7056">
        <w:rPr>
          <w:sz w:val="24"/>
          <w:szCs w:val="24"/>
        </w:rPr>
        <w:t>hyperurikæmi</w:t>
      </w:r>
      <w:proofErr w:type="spellEnd"/>
      <w:r w:rsidRPr="00DD7056">
        <w:rPr>
          <w:sz w:val="24"/>
          <w:szCs w:val="24"/>
        </w:rPr>
        <w:t xml:space="preserve"> sekundært til hurtig </w:t>
      </w:r>
      <w:proofErr w:type="spellStart"/>
      <w:r w:rsidRPr="00DD7056">
        <w:rPr>
          <w:sz w:val="24"/>
          <w:szCs w:val="24"/>
        </w:rPr>
        <w:t>lysering</w:t>
      </w:r>
      <w:proofErr w:type="spellEnd"/>
      <w:r w:rsidRPr="00DD7056">
        <w:rPr>
          <w:sz w:val="24"/>
          <w:szCs w:val="24"/>
        </w:rPr>
        <w:t xml:space="preserve"> af neoplastiske celler. Omhyggelig overvågning af urinsyreniveauet i blodet anbefales, især med hensyn til mulige konsekvenser for nyrefunktionen. Det bør overvejes at reducere urinsyreniveauet profylaktisk før eller samtidig med behandling med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>.</w:t>
      </w:r>
    </w:p>
    <w:p w14:paraId="100BE229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32EFFEE2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D7056">
        <w:rPr>
          <w:sz w:val="24"/>
          <w:szCs w:val="24"/>
          <w:u w:val="single"/>
        </w:rPr>
        <w:t>Patienter med lever- eller nyreinsufficiens</w:t>
      </w:r>
    </w:p>
    <w:p w14:paraId="3C120296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r w:rsidRPr="00DD7056">
        <w:rPr>
          <w:sz w:val="24"/>
          <w:szCs w:val="24"/>
        </w:rPr>
        <w:t xml:space="preserve">Toksicitet ved de anbefalede doser øges ved lever- eller nyreinsufficiens. Laboratorieundersøgelse af nyre- og leverfunktion er nødvendigt før og under administration. Overvågning af leverfunktionen bør omfatte bilirubin i serum, </w:t>
      </w:r>
      <w:proofErr w:type="spellStart"/>
      <w:r w:rsidRPr="00DD7056">
        <w:rPr>
          <w:sz w:val="24"/>
          <w:szCs w:val="24"/>
        </w:rPr>
        <w:t>transaminaser</w:t>
      </w:r>
      <w:proofErr w:type="spellEnd"/>
      <w:r w:rsidRPr="00DD7056">
        <w:rPr>
          <w:sz w:val="24"/>
          <w:szCs w:val="24"/>
        </w:rPr>
        <w:t xml:space="preserve"> (GOT og GPT) og alkalisk fosfatase. Laboratorieundersøgelser af leverfunktionen anbefales før (helst 24 timer) og regelmæssigt under administration af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. Hertil kommer, at kalium i serum bør være &gt;4 </w:t>
      </w:r>
      <w:proofErr w:type="spellStart"/>
      <w:r w:rsidRPr="00DD7056">
        <w:rPr>
          <w:sz w:val="24"/>
          <w:szCs w:val="24"/>
        </w:rPr>
        <w:t>mEq</w:t>
      </w:r>
      <w:proofErr w:type="spellEnd"/>
      <w:r w:rsidRPr="00DD7056">
        <w:rPr>
          <w:sz w:val="24"/>
          <w:szCs w:val="24"/>
        </w:rPr>
        <w:t>/l før administration.</w:t>
      </w:r>
    </w:p>
    <w:p w14:paraId="19FA1035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294C8152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D7056">
        <w:rPr>
          <w:sz w:val="24"/>
          <w:szCs w:val="24"/>
          <w:u w:val="single"/>
        </w:rPr>
        <w:t>Bivirkninger</w:t>
      </w:r>
    </w:p>
    <w:p w14:paraId="7709E5E0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r w:rsidRPr="00DD7056">
        <w:rPr>
          <w:sz w:val="24"/>
          <w:szCs w:val="24"/>
        </w:rPr>
        <w:t xml:space="preserve">Lægen bør være opmærksom på allergiske reaktioner (anafylaksi, ødem og hudreaktioner), </w:t>
      </w:r>
      <w:proofErr w:type="spellStart"/>
      <w:r w:rsidRPr="00DD7056">
        <w:rPr>
          <w:sz w:val="24"/>
          <w:szCs w:val="24"/>
        </w:rPr>
        <w:t>gastrointestinale</w:t>
      </w:r>
      <w:proofErr w:type="spellEnd"/>
      <w:r w:rsidRPr="00DD7056">
        <w:rPr>
          <w:sz w:val="24"/>
          <w:szCs w:val="24"/>
        </w:rPr>
        <w:t xml:space="preserve"> problemer og epileptiske anfald (epileptiske anfald, der skyldes anvendelsen af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, kan behandles med standardbehandling). Lokal nekrose kan forekomme med </w:t>
      </w:r>
      <w:proofErr w:type="spellStart"/>
      <w:r w:rsidRPr="00DD7056">
        <w:rPr>
          <w:sz w:val="24"/>
          <w:szCs w:val="24"/>
        </w:rPr>
        <w:t>ekstravasation</w:t>
      </w:r>
      <w:proofErr w:type="spellEnd"/>
      <w:r w:rsidRPr="00DD7056">
        <w:rPr>
          <w:sz w:val="24"/>
          <w:szCs w:val="24"/>
        </w:rPr>
        <w:t xml:space="preserve"> af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(se pkt. 4.8). Irritation på injektionsstedet kan forebygges ved at fortynde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i en større mængde 5 % glukose samt sprede infusionen ud over en længere periode (min. 1 time).</w:t>
      </w:r>
    </w:p>
    <w:p w14:paraId="51C4C054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04133D65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D7056">
        <w:rPr>
          <w:sz w:val="24"/>
          <w:szCs w:val="24"/>
          <w:u w:val="single"/>
        </w:rPr>
        <w:t>Hjertefunktion</w:t>
      </w:r>
    </w:p>
    <w:p w14:paraId="71270E3A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r w:rsidRPr="00DD7056">
        <w:rPr>
          <w:sz w:val="24"/>
          <w:szCs w:val="24"/>
        </w:rPr>
        <w:t xml:space="preserve">Det anbefales at overvåge hjerterytmen med henblik på detektering af </w:t>
      </w:r>
      <w:proofErr w:type="spellStart"/>
      <w:r w:rsidRPr="00DD7056">
        <w:rPr>
          <w:sz w:val="24"/>
          <w:szCs w:val="24"/>
        </w:rPr>
        <w:t>kardiotoksicitet</w:t>
      </w:r>
      <w:proofErr w:type="spellEnd"/>
      <w:r w:rsidRPr="00DD7056">
        <w:rPr>
          <w:sz w:val="24"/>
          <w:szCs w:val="24"/>
        </w:rPr>
        <w:t xml:space="preserve">. Patienter med </w:t>
      </w:r>
      <w:proofErr w:type="spellStart"/>
      <w:r w:rsidRPr="00DD7056">
        <w:rPr>
          <w:sz w:val="24"/>
          <w:szCs w:val="24"/>
        </w:rPr>
        <w:t>hypokalæmi</w:t>
      </w:r>
      <w:proofErr w:type="spellEnd"/>
      <w:r w:rsidRPr="00DD7056">
        <w:rPr>
          <w:sz w:val="24"/>
          <w:szCs w:val="24"/>
        </w:rPr>
        <w:t xml:space="preserve"> har øget risiko for ventrikelflimren. Risikoen for udvikling af </w:t>
      </w:r>
      <w:proofErr w:type="spellStart"/>
      <w:r w:rsidRPr="00DD7056">
        <w:rPr>
          <w:sz w:val="24"/>
          <w:szCs w:val="24"/>
        </w:rPr>
        <w:t>arytmi</w:t>
      </w:r>
      <w:proofErr w:type="spellEnd"/>
      <w:r w:rsidRPr="00DD7056">
        <w:rPr>
          <w:sz w:val="24"/>
          <w:szCs w:val="24"/>
        </w:rPr>
        <w:t xml:space="preserve"> kan minimeres ved at sikre, at kaliumniveauet i serum er normalt umiddelbart før og under administration af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>.</w:t>
      </w:r>
    </w:p>
    <w:p w14:paraId="0259AC4D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D7056">
        <w:rPr>
          <w:sz w:val="24"/>
          <w:szCs w:val="24"/>
        </w:rPr>
        <w:t>Hypokalæmi</w:t>
      </w:r>
      <w:proofErr w:type="spellEnd"/>
      <w:r w:rsidRPr="00DD7056">
        <w:rPr>
          <w:sz w:val="24"/>
          <w:szCs w:val="24"/>
        </w:rPr>
        <w:t xml:space="preserve"> bør korrigeres før administration af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>.</w:t>
      </w:r>
    </w:p>
    <w:p w14:paraId="4533C8BC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6EA8A811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r w:rsidRPr="00DD7056">
        <w:rPr>
          <w:sz w:val="24"/>
          <w:szCs w:val="24"/>
        </w:rPr>
        <w:t xml:space="preserve">Forbigående </w:t>
      </w:r>
      <w:proofErr w:type="spellStart"/>
      <w:r w:rsidRPr="00DD7056">
        <w:rPr>
          <w:sz w:val="24"/>
          <w:szCs w:val="24"/>
        </w:rPr>
        <w:t>hypomagnesiæmi</w:t>
      </w:r>
      <w:proofErr w:type="spellEnd"/>
      <w:r w:rsidRPr="00DD7056">
        <w:rPr>
          <w:sz w:val="24"/>
          <w:szCs w:val="24"/>
        </w:rPr>
        <w:t xml:space="preserve"> kan øge risikoen for </w:t>
      </w:r>
      <w:proofErr w:type="spellStart"/>
      <w:r w:rsidRPr="00DD7056">
        <w:rPr>
          <w:sz w:val="24"/>
          <w:szCs w:val="24"/>
        </w:rPr>
        <w:t>hjertearytmi</w:t>
      </w:r>
      <w:proofErr w:type="spellEnd"/>
      <w:r w:rsidRPr="00DD7056">
        <w:rPr>
          <w:sz w:val="24"/>
          <w:szCs w:val="24"/>
        </w:rPr>
        <w:t xml:space="preserve">. Det anbefales at korrigere magnesiumniveauet i serum før administration af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>.</w:t>
      </w:r>
    </w:p>
    <w:p w14:paraId="574487DD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7B1D1481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DD7056">
        <w:rPr>
          <w:sz w:val="24"/>
          <w:szCs w:val="24"/>
          <w:u w:val="single"/>
        </w:rPr>
        <w:t>Porfyri</w:t>
      </w:r>
      <w:proofErr w:type="spellEnd"/>
    </w:p>
    <w:p w14:paraId="25A8964C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r w:rsidRPr="00DD7056">
        <w:rPr>
          <w:sz w:val="24"/>
          <w:szCs w:val="24"/>
        </w:rPr>
        <w:t xml:space="preserve">I lægemiddeldatabasen for akut </w:t>
      </w:r>
      <w:proofErr w:type="spellStart"/>
      <w:r w:rsidRPr="00DD7056">
        <w:rPr>
          <w:sz w:val="24"/>
          <w:szCs w:val="24"/>
        </w:rPr>
        <w:t>porfyri</w:t>
      </w:r>
      <w:proofErr w:type="spellEnd"/>
      <w:r w:rsidRPr="00DD7056">
        <w:rPr>
          <w:sz w:val="24"/>
          <w:szCs w:val="24"/>
        </w:rPr>
        <w:t xml:space="preserve"> tyder det på, at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 xml:space="preserve"> muligvis er </w:t>
      </w:r>
      <w:proofErr w:type="spellStart"/>
      <w:r w:rsidRPr="00DD7056">
        <w:rPr>
          <w:sz w:val="24"/>
          <w:szCs w:val="24"/>
        </w:rPr>
        <w:t>porfyrisk</w:t>
      </w:r>
      <w:proofErr w:type="spellEnd"/>
      <w:r w:rsidRPr="00DD7056">
        <w:rPr>
          <w:sz w:val="24"/>
          <w:szCs w:val="24"/>
        </w:rPr>
        <w:t>.</w:t>
      </w:r>
    </w:p>
    <w:p w14:paraId="4F9A97C8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78BDBA01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D7056">
        <w:rPr>
          <w:sz w:val="24"/>
          <w:szCs w:val="24"/>
          <w:u w:val="single"/>
        </w:rPr>
        <w:t>Laboratorieundersøgelser</w:t>
      </w:r>
    </w:p>
    <w:p w14:paraId="2195BD37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r w:rsidRPr="00DD7056">
        <w:rPr>
          <w:sz w:val="24"/>
          <w:szCs w:val="24"/>
        </w:rPr>
        <w:t>Komplet blodtælling, undersøgelse af lever- og nyrefunktion og elektrolytmåling bør foretages regelmæssigt. Elektrolytter bør vurderes forud for behandling hver dag.</w:t>
      </w:r>
    </w:p>
    <w:p w14:paraId="08889C68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</w:p>
    <w:p w14:paraId="7BE508CF" w14:textId="77777777" w:rsidR="00DD7056" w:rsidRPr="00DD7056" w:rsidRDefault="00DD7056" w:rsidP="00DD7056">
      <w:pPr>
        <w:tabs>
          <w:tab w:val="left" w:pos="851"/>
        </w:tabs>
        <w:ind w:left="851"/>
        <w:rPr>
          <w:sz w:val="24"/>
          <w:szCs w:val="24"/>
        </w:rPr>
      </w:pPr>
      <w:r w:rsidRPr="00DD7056">
        <w:rPr>
          <w:sz w:val="24"/>
          <w:szCs w:val="24"/>
        </w:rPr>
        <w:lastRenderedPageBreak/>
        <w:t xml:space="preserve">En evaluering forud for behandling anbefales til patienter med risiko for tumorlysesyndrom (TLS) (f.eks. forhøjet urinsyre forud for behandling, kompromitteret nyrefunktion eller brug af </w:t>
      </w:r>
      <w:proofErr w:type="spellStart"/>
      <w:r w:rsidRPr="00DD7056">
        <w:rPr>
          <w:sz w:val="24"/>
          <w:szCs w:val="24"/>
        </w:rPr>
        <w:t>nefrotoksiske</w:t>
      </w:r>
      <w:proofErr w:type="spellEnd"/>
      <w:r w:rsidRPr="00DD7056">
        <w:rPr>
          <w:sz w:val="24"/>
          <w:szCs w:val="24"/>
        </w:rPr>
        <w:t xml:space="preserve"> lægemidler). Laboratorieundersøgelser af nyrefunktionen anbefales før (helst 24 timer) og under administration af </w:t>
      </w:r>
      <w:proofErr w:type="spellStart"/>
      <w:r w:rsidRPr="00DD7056">
        <w:rPr>
          <w:sz w:val="24"/>
          <w:szCs w:val="24"/>
        </w:rPr>
        <w:t>amsacrin</w:t>
      </w:r>
      <w:proofErr w:type="spellEnd"/>
      <w:r w:rsidRPr="00DD7056">
        <w:rPr>
          <w:sz w:val="24"/>
          <w:szCs w:val="24"/>
        </w:rPr>
        <w:t>.</w:t>
      </w:r>
    </w:p>
    <w:p w14:paraId="4704959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EB4B7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52A467AA" w14:textId="77777777" w:rsidR="00D3080F" w:rsidRPr="00D3080F" w:rsidRDefault="00D3080F" w:rsidP="00D3080F">
      <w:pPr>
        <w:tabs>
          <w:tab w:val="left" w:pos="851"/>
        </w:tabs>
        <w:ind w:left="851"/>
        <w:rPr>
          <w:b/>
          <w:i/>
          <w:sz w:val="24"/>
          <w:szCs w:val="24"/>
          <w:u w:val="single"/>
        </w:rPr>
      </w:pPr>
    </w:p>
    <w:p w14:paraId="0829C8DE" w14:textId="0C0AE48C" w:rsidR="00D3080F" w:rsidRPr="00782CCE" w:rsidRDefault="00D3080F" w:rsidP="00D3080F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782CCE">
        <w:rPr>
          <w:bCs/>
          <w:iCs/>
          <w:sz w:val="24"/>
          <w:szCs w:val="24"/>
          <w:u w:val="single"/>
        </w:rPr>
        <w:t>Farmakodynamiske</w:t>
      </w:r>
      <w:proofErr w:type="spellEnd"/>
      <w:r w:rsidRPr="00782CCE">
        <w:rPr>
          <w:bCs/>
          <w:iCs/>
          <w:sz w:val="24"/>
          <w:szCs w:val="24"/>
          <w:u w:val="single"/>
        </w:rPr>
        <w:t xml:space="preserve"> interaktioner</w:t>
      </w:r>
    </w:p>
    <w:p w14:paraId="460B9389" w14:textId="77777777" w:rsidR="00D3080F" w:rsidRPr="00D3080F" w:rsidRDefault="00D3080F" w:rsidP="00D3080F">
      <w:pPr>
        <w:tabs>
          <w:tab w:val="left" w:pos="851"/>
        </w:tabs>
        <w:ind w:left="851"/>
        <w:rPr>
          <w:bCs/>
          <w:iCs/>
          <w:sz w:val="24"/>
          <w:szCs w:val="24"/>
        </w:rPr>
      </w:pPr>
    </w:p>
    <w:p w14:paraId="4527D306" w14:textId="77777777" w:rsidR="00D3080F" w:rsidRPr="00782CCE" w:rsidRDefault="00D3080F" w:rsidP="00D3080F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782CCE">
        <w:rPr>
          <w:i/>
          <w:sz w:val="24"/>
          <w:szCs w:val="24"/>
        </w:rPr>
        <w:t>Vacciner</w:t>
      </w:r>
    </w:p>
    <w:p w14:paraId="23D7685F" w14:textId="77777777" w:rsidR="00D3080F" w:rsidRPr="00D3080F" w:rsidRDefault="00D3080F" w:rsidP="00D3080F">
      <w:pPr>
        <w:tabs>
          <w:tab w:val="left" w:pos="851"/>
        </w:tabs>
        <w:ind w:left="851"/>
        <w:rPr>
          <w:sz w:val="24"/>
          <w:szCs w:val="24"/>
        </w:rPr>
      </w:pPr>
      <w:r w:rsidRPr="00D3080F">
        <w:rPr>
          <w:sz w:val="24"/>
          <w:szCs w:val="24"/>
        </w:rPr>
        <w:t xml:space="preserve">Samtidig influenza- eller </w:t>
      </w:r>
      <w:proofErr w:type="spellStart"/>
      <w:r w:rsidRPr="00D3080F">
        <w:rPr>
          <w:sz w:val="24"/>
          <w:szCs w:val="24"/>
        </w:rPr>
        <w:t>pneumokokvaccination</w:t>
      </w:r>
      <w:proofErr w:type="spellEnd"/>
      <w:r w:rsidRPr="00D3080F">
        <w:rPr>
          <w:sz w:val="24"/>
          <w:szCs w:val="24"/>
        </w:rPr>
        <w:t xml:space="preserve"> og </w:t>
      </w:r>
      <w:proofErr w:type="spellStart"/>
      <w:r w:rsidRPr="00D3080F">
        <w:rPr>
          <w:sz w:val="24"/>
          <w:szCs w:val="24"/>
        </w:rPr>
        <w:t>immunosuppressiv</w:t>
      </w:r>
      <w:proofErr w:type="spellEnd"/>
      <w:r w:rsidRPr="00D3080F">
        <w:rPr>
          <w:sz w:val="24"/>
          <w:szCs w:val="24"/>
        </w:rPr>
        <w:t xml:space="preserve"> behandling er blevet kædet sammen med nedsat immunrespons over for vaccinen. Generelt bør alle former for vaccine med levende organismer undgås ved behandling med </w:t>
      </w:r>
      <w:proofErr w:type="spellStart"/>
      <w:r w:rsidRPr="00D3080F">
        <w:rPr>
          <w:sz w:val="24"/>
          <w:szCs w:val="24"/>
        </w:rPr>
        <w:t>amsacrin</w:t>
      </w:r>
      <w:proofErr w:type="spellEnd"/>
      <w:r w:rsidRPr="00D3080F">
        <w:rPr>
          <w:sz w:val="24"/>
          <w:szCs w:val="24"/>
        </w:rPr>
        <w:t>.</w:t>
      </w:r>
    </w:p>
    <w:p w14:paraId="19CBBA2A" w14:textId="77777777" w:rsidR="00D3080F" w:rsidRPr="00D3080F" w:rsidRDefault="00D3080F" w:rsidP="00D3080F">
      <w:pPr>
        <w:tabs>
          <w:tab w:val="left" w:pos="851"/>
        </w:tabs>
        <w:ind w:left="851"/>
        <w:rPr>
          <w:sz w:val="24"/>
          <w:szCs w:val="24"/>
        </w:rPr>
      </w:pPr>
    </w:p>
    <w:p w14:paraId="37B192D5" w14:textId="18EE73E0" w:rsidR="00D3080F" w:rsidRPr="00782CCE" w:rsidRDefault="00D3080F" w:rsidP="00D3080F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782CCE">
        <w:rPr>
          <w:i/>
          <w:sz w:val="24"/>
          <w:szCs w:val="24"/>
        </w:rPr>
        <w:t xml:space="preserve">Andre </w:t>
      </w:r>
      <w:proofErr w:type="spellStart"/>
      <w:r w:rsidRPr="00782CCE">
        <w:rPr>
          <w:i/>
          <w:sz w:val="24"/>
          <w:szCs w:val="24"/>
        </w:rPr>
        <w:t>cytotoksiske</w:t>
      </w:r>
      <w:proofErr w:type="spellEnd"/>
      <w:r w:rsidRPr="00782CCE">
        <w:rPr>
          <w:i/>
          <w:sz w:val="24"/>
          <w:szCs w:val="24"/>
        </w:rPr>
        <w:t xml:space="preserve"> stoffer</w:t>
      </w:r>
    </w:p>
    <w:p w14:paraId="325ACA59" w14:textId="77777777" w:rsidR="00D3080F" w:rsidRPr="00D3080F" w:rsidRDefault="00D3080F" w:rsidP="00D3080F">
      <w:pPr>
        <w:tabs>
          <w:tab w:val="left" w:pos="851"/>
        </w:tabs>
        <w:ind w:left="851"/>
        <w:rPr>
          <w:sz w:val="24"/>
          <w:szCs w:val="24"/>
        </w:rPr>
      </w:pPr>
      <w:r w:rsidRPr="00D3080F">
        <w:rPr>
          <w:sz w:val="24"/>
          <w:szCs w:val="24"/>
        </w:rPr>
        <w:t xml:space="preserve">Bivirkninger kan blive forstærket ved brug med andre </w:t>
      </w:r>
      <w:proofErr w:type="spellStart"/>
      <w:r w:rsidRPr="00D3080F">
        <w:rPr>
          <w:sz w:val="24"/>
          <w:szCs w:val="24"/>
        </w:rPr>
        <w:t>cytotoksiske</w:t>
      </w:r>
      <w:proofErr w:type="spellEnd"/>
      <w:r w:rsidRPr="00D3080F">
        <w:rPr>
          <w:sz w:val="24"/>
          <w:szCs w:val="24"/>
        </w:rPr>
        <w:t xml:space="preserve"> stoffer.</w:t>
      </w:r>
    </w:p>
    <w:p w14:paraId="6011916C" w14:textId="77777777" w:rsidR="00D3080F" w:rsidRPr="00D3080F" w:rsidRDefault="00D3080F" w:rsidP="00D3080F">
      <w:pPr>
        <w:tabs>
          <w:tab w:val="left" w:pos="851"/>
        </w:tabs>
        <w:ind w:left="851"/>
        <w:rPr>
          <w:sz w:val="24"/>
          <w:szCs w:val="24"/>
        </w:rPr>
      </w:pPr>
    </w:p>
    <w:p w14:paraId="1D04B4F4" w14:textId="77777777" w:rsidR="00D3080F" w:rsidRPr="00782CCE" w:rsidRDefault="00D3080F" w:rsidP="00D3080F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782CCE">
        <w:rPr>
          <w:bCs/>
          <w:iCs/>
          <w:sz w:val="24"/>
          <w:szCs w:val="24"/>
          <w:u w:val="single"/>
        </w:rPr>
        <w:t>Farmakokinetiske</w:t>
      </w:r>
      <w:proofErr w:type="spellEnd"/>
      <w:r w:rsidRPr="00782CCE">
        <w:rPr>
          <w:bCs/>
          <w:iCs/>
          <w:sz w:val="24"/>
          <w:szCs w:val="24"/>
          <w:u w:val="single"/>
        </w:rPr>
        <w:t xml:space="preserve"> interaktioner</w:t>
      </w:r>
    </w:p>
    <w:p w14:paraId="589EAA83" w14:textId="77777777" w:rsidR="00D3080F" w:rsidRPr="00D3080F" w:rsidRDefault="00D3080F" w:rsidP="00D3080F">
      <w:pPr>
        <w:tabs>
          <w:tab w:val="left" w:pos="851"/>
        </w:tabs>
        <w:ind w:left="851"/>
        <w:rPr>
          <w:sz w:val="24"/>
          <w:szCs w:val="24"/>
        </w:rPr>
      </w:pPr>
    </w:p>
    <w:p w14:paraId="5A00546E" w14:textId="77777777" w:rsidR="00D3080F" w:rsidRPr="00782CCE" w:rsidRDefault="00D3080F" w:rsidP="00D3080F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782CCE">
        <w:rPr>
          <w:i/>
          <w:sz w:val="24"/>
          <w:szCs w:val="24"/>
        </w:rPr>
        <w:t xml:space="preserve">Andre lægemidlers indvirkning på farmakokinetikken for </w:t>
      </w:r>
      <w:proofErr w:type="spellStart"/>
      <w:r w:rsidRPr="00782CCE">
        <w:rPr>
          <w:i/>
          <w:sz w:val="24"/>
          <w:szCs w:val="24"/>
        </w:rPr>
        <w:t>amsacrin</w:t>
      </w:r>
      <w:proofErr w:type="spellEnd"/>
    </w:p>
    <w:p w14:paraId="66E1FAAC" w14:textId="77777777" w:rsidR="00D3080F" w:rsidRPr="00D3080F" w:rsidRDefault="00D3080F" w:rsidP="00D3080F">
      <w:pPr>
        <w:tabs>
          <w:tab w:val="left" w:pos="851"/>
        </w:tabs>
        <w:ind w:left="851"/>
        <w:rPr>
          <w:bCs/>
          <w:iCs/>
          <w:sz w:val="24"/>
          <w:szCs w:val="24"/>
        </w:rPr>
      </w:pPr>
      <w:r w:rsidRPr="00D3080F">
        <w:rPr>
          <w:sz w:val="24"/>
          <w:szCs w:val="24"/>
        </w:rPr>
        <w:t xml:space="preserve">Andre lægemidlers indvirkning på farmakokinetikken for </w:t>
      </w:r>
      <w:proofErr w:type="spellStart"/>
      <w:r w:rsidRPr="00D3080F">
        <w:rPr>
          <w:sz w:val="24"/>
          <w:szCs w:val="24"/>
        </w:rPr>
        <w:t>amsacrin</w:t>
      </w:r>
      <w:proofErr w:type="spellEnd"/>
      <w:r w:rsidRPr="00D3080F">
        <w:rPr>
          <w:sz w:val="24"/>
          <w:szCs w:val="24"/>
        </w:rPr>
        <w:t xml:space="preserve"> er ikke blevet undersøgt. </w:t>
      </w:r>
      <w:proofErr w:type="spellStart"/>
      <w:r w:rsidRPr="00D3080F">
        <w:rPr>
          <w:sz w:val="24"/>
          <w:szCs w:val="24"/>
        </w:rPr>
        <w:t>Amsacrin</w:t>
      </w:r>
      <w:proofErr w:type="spellEnd"/>
      <w:r w:rsidRPr="00D3080F">
        <w:rPr>
          <w:sz w:val="24"/>
          <w:szCs w:val="24"/>
        </w:rPr>
        <w:t xml:space="preserve"> </w:t>
      </w:r>
      <w:proofErr w:type="spellStart"/>
      <w:r w:rsidRPr="00D3080F">
        <w:rPr>
          <w:sz w:val="24"/>
          <w:szCs w:val="24"/>
        </w:rPr>
        <w:t>metaboliseres</w:t>
      </w:r>
      <w:proofErr w:type="spellEnd"/>
      <w:r w:rsidRPr="00D3080F">
        <w:rPr>
          <w:sz w:val="24"/>
          <w:szCs w:val="24"/>
        </w:rPr>
        <w:t xml:space="preserve"> i høj grad, men identiteten af de katalyserende enzymer og transportører er ikke kendt. Samtidig brug af kraftige </w:t>
      </w:r>
      <w:proofErr w:type="spellStart"/>
      <w:r w:rsidRPr="00D3080F">
        <w:rPr>
          <w:sz w:val="24"/>
          <w:szCs w:val="24"/>
        </w:rPr>
        <w:t>enzymhæmmere</w:t>
      </w:r>
      <w:proofErr w:type="spellEnd"/>
      <w:r w:rsidRPr="00D3080F">
        <w:rPr>
          <w:sz w:val="24"/>
          <w:szCs w:val="24"/>
        </w:rPr>
        <w:t xml:space="preserve"> eller -</w:t>
      </w:r>
      <w:proofErr w:type="spellStart"/>
      <w:r w:rsidRPr="00D3080F">
        <w:rPr>
          <w:sz w:val="24"/>
          <w:szCs w:val="24"/>
        </w:rPr>
        <w:t>aktivatorer</w:t>
      </w:r>
      <w:proofErr w:type="spellEnd"/>
      <w:r w:rsidRPr="00D3080F">
        <w:rPr>
          <w:sz w:val="24"/>
          <w:szCs w:val="24"/>
        </w:rPr>
        <w:t xml:space="preserve"> bør om muligt undgås.</w:t>
      </w:r>
    </w:p>
    <w:p w14:paraId="065A8D00" w14:textId="77777777" w:rsidR="00D3080F" w:rsidRPr="00D3080F" w:rsidRDefault="00D3080F" w:rsidP="00D3080F">
      <w:pPr>
        <w:tabs>
          <w:tab w:val="left" w:pos="851"/>
        </w:tabs>
        <w:ind w:left="851"/>
        <w:rPr>
          <w:bCs/>
          <w:iCs/>
          <w:sz w:val="24"/>
          <w:szCs w:val="24"/>
        </w:rPr>
      </w:pPr>
    </w:p>
    <w:p w14:paraId="5ADFFDC8" w14:textId="77777777" w:rsidR="00D3080F" w:rsidRPr="00782CCE" w:rsidRDefault="00D3080F" w:rsidP="00D3080F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782CCE">
        <w:rPr>
          <w:i/>
          <w:sz w:val="24"/>
          <w:szCs w:val="24"/>
        </w:rPr>
        <w:t xml:space="preserve">Andre lægemidlers indvirkning på farmakokinetikken for </w:t>
      </w:r>
      <w:proofErr w:type="spellStart"/>
      <w:r w:rsidRPr="00782CCE">
        <w:rPr>
          <w:i/>
          <w:sz w:val="24"/>
          <w:szCs w:val="24"/>
        </w:rPr>
        <w:t>amsacrin</w:t>
      </w:r>
      <w:proofErr w:type="spellEnd"/>
    </w:p>
    <w:p w14:paraId="53CAD768" w14:textId="77777777" w:rsidR="00D3080F" w:rsidRPr="00D3080F" w:rsidRDefault="00D3080F" w:rsidP="00D3080F">
      <w:pPr>
        <w:tabs>
          <w:tab w:val="left" w:pos="851"/>
        </w:tabs>
        <w:ind w:left="851"/>
        <w:rPr>
          <w:bCs/>
          <w:iCs/>
          <w:sz w:val="24"/>
          <w:szCs w:val="24"/>
        </w:rPr>
      </w:pPr>
      <w:r w:rsidRPr="00D3080F">
        <w:rPr>
          <w:sz w:val="24"/>
          <w:szCs w:val="24"/>
        </w:rPr>
        <w:t xml:space="preserve">Det er ikke blevet undersøgt, om </w:t>
      </w:r>
      <w:proofErr w:type="spellStart"/>
      <w:r w:rsidRPr="00D3080F">
        <w:rPr>
          <w:sz w:val="24"/>
          <w:szCs w:val="24"/>
        </w:rPr>
        <w:t>amsacrin</w:t>
      </w:r>
      <w:proofErr w:type="spellEnd"/>
      <w:r w:rsidRPr="00D3080F">
        <w:rPr>
          <w:sz w:val="24"/>
          <w:szCs w:val="24"/>
        </w:rPr>
        <w:t xml:space="preserve"> kan fungere som en hæmmer eller </w:t>
      </w:r>
      <w:proofErr w:type="spellStart"/>
      <w:r w:rsidRPr="00D3080F">
        <w:rPr>
          <w:sz w:val="24"/>
          <w:szCs w:val="24"/>
        </w:rPr>
        <w:t>aktivator</w:t>
      </w:r>
      <w:proofErr w:type="spellEnd"/>
      <w:r w:rsidRPr="00D3080F">
        <w:rPr>
          <w:sz w:val="24"/>
          <w:szCs w:val="24"/>
        </w:rPr>
        <w:t xml:space="preserve"> af enzymer. Det betyder, at samtidig brug af andre lægemidler sammen med </w:t>
      </w:r>
      <w:proofErr w:type="spellStart"/>
      <w:r w:rsidRPr="00D3080F">
        <w:rPr>
          <w:sz w:val="24"/>
          <w:szCs w:val="24"/>
        </w:rPr>
        <w:t>amsacrin</w:t>
      </w:r>
      <w:proofErr w:type="spellEnd"/>
      <w:r w:rsidRPr="00D3080F">
        <w:rPr>
          <w:sz w:val="24"/>
          <w:szCs w:val="24"/>
        </w:rPr>
        <w:t xml:space="preserve"> bør ske med forsigtighed.</w:t>
      </w:r>
    </w:p>
    <w:p w14:paraId="27B688D3" w14:textId="77777777" w:rsidR="00D3080F" w:rsidRPr="00D3080F" w:rsidRDefault="00D3080F" w:rsidP="00D3080F">
      <w:pPr>
        <w:tabs>
          <w:tab w:val="left" w:pos="851"/>
        </w:tabs>
        <w:ind w:left="851"/>
        <w:rPr>
          <w:bCs/>
          <w:iCs/>
          <w:sz w:val="24"/>
          <w:szCs w:val="24"/>
        </w:rPr>
      </w:pPr>
    </w:p>
    <w:p w14:paraId="20ABCA8A" w14:textId="77777777" w:rsidR="00D3080F" w:rsidRPr="00D3080F" w:rsidRDefault="00D3080F" w:rsidP="00D3080F">
      <w:pPr>
        <w:tabs>
          <w:tab w:val="left" w:pos="851"/>
        </w:tabs>
        <w:ind w:left="851"/>
        <w:rPr>
          <w:bCs/>
          <w:iCs/>
          <w:sz w:val="24"/>
          <w:szCs w:val="24"/>
        </w:rPr>
      </w:pPr>
      <w:r w:rsidRPr="00D3080F">
        <w:rPr>
          <w:sz w:val="24"/>
          <w:szCs w:val="24"/>
        </w:rPr>
        <w:t xml:space="preserve">Dyreforsøg indikerer, at </w:t>
      </w:r>
      <w:proofErr w:type="spellStart"/>
      <w:r w:rsidRPr="00D3080F">
        <w:rPr>
          <w:sz w:val="24"/>
          <w:szCs w:val="24"/>
        </w:rPr>
        <w:t>amsacrin</w:t>
      </w:r>
      <w:proofErr w:type="spellEnd"/>
      <w:r w:rsidRPr="00D3080F">
        <w:rPr>
          <w:sz w:val="24"/>
          <w:szCs w:val="24"/>
        </w:rPr>
        <w:t xml:space="preserve"> potentielt hæmmer </w:t>
      </w:r>
      <w:proofErr w:type="spellStart"/>
      <w:r w:rsidRPr="00D3080F">
        <w:rPr>
          <w:sz w:val="24"/>
          <w:szCs w:val="24"/>
        </w:rPr>
        <w:t>methotrexats</w:t>
      </w:r>
      <w:proofErr w:type="spellEnd"/>
      <w:r w:rsidRPr="00D3080F">
        <w:rPr>
          <w:sz w:val="24"/>
          <w:szCs w:val="24"/>
        </w:rPr>
        <w:t xml:space="preserve"> </w:t>
      </w:r>
      <w:proofErr w:type="spellStart"/>
      <w:r w:rsidRPr="00D3080F">
        <w:rPr>
          <w:sz w:val="24"/>
          <w:szCs w:val="24"/>
        </w:rPr>
        <w:t>metabolisering</w:t>
      </w:r>
      <w:proofErr w:type="spellEnd"/>
      <w:r w:rsidRPr="00D3080F">
        <w:rPr>
          <w:sz w:val="24"/>
          <w:szCs w:val="24"/>
        </w:rPr>
        <w:t xml:space="preserve">, hvilket medfører øger </w:t>
      </w:r>
      <w:proofErr w:type="spellStart"/>
      <w:r w:rsidRPr="00D3080F">
        <w:rPr>
          <w:sz w:val="24"/>
          <w:szCs w:val="24"/>
        </w:rPr>
        <w:t>methotrexateksponering</w:t>
      </w:r>
      <w:proofErr w:type="spellEnd"/>
      <w:r w:rsidRPr="00D3080F">
        <w:rPr>
          <w:sz w:val="24"/>
          <w:szCs w:val="24"/>
        </w:rPr>
        <w:t>, men den kliniske relevans af denne observation er ikke kendt.</w:t>
      </w:r>
    </w:p>
    <w:p w14:paraId="48FD34B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DCCD1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48E0FC91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</w:p>
    <w:p w14:paraId="7A462B27" w14:textId="77777777" w:rsidR="00782CCE" w:rsidRPr="00782CCE" w:rsidRDefault="00782CCE" w:rsidP="00782CCE">
      <w:pPr>
        <w:tabs>
          <w:tab w:val="left" w:pos="851"/>
        </w:tabs>
        <w:ind w:left="851"/>
        <w:rPr>
          <w:i/>
          <w:sz w:val="24"/>
          <w:szCs w:val="24"/>
        </w:rPr>
      </w:pPr>
      <w:r w:rsidRPr="00782CCE">
        <w:rPr>
          <w:i/>
          <w:sz w:val="24"/>
          <w:szCs w:val="24"/>
        </w:rPr>
        <w:t>Graviditet</w:t>
      </w:r>
    </w:p>
    <w:p w14:paraId="70F26742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  <w:r w:rsidRPr="00782CCE">
        <w:rPr>
          <w:sz w:val="24"/>
          <w:szCs w:val="24"/>
        </w:rPr>
        <w:t xml:space="preserve">Data fra brug af </w:t>
      </w:r>
      <w:proofErr w:type="spellStart"/>
      <w:r w:rsidRPr="00782CCE">
        <w:rPr>
          <w:sz w:val="24"/>
          <w:szCs w:val="24"/>
        </w:rPr>
        <w:t>amsacrin</w:t>
      </w:r>
      <w:proofErr w:type="spellEnd"/>
      <w:r w:rsidRPr="00782CCE">
        <w:rPr>
          <w:sz w:val="24"/>
          <w:szCs w:val="24"/>
        </w:rPr>
        <w:t xml:space="preserve"> hos gravide er ikke rådighed til vurdering af mulige skadevirkninger. Der er dog mulighed for skadelige farmakologiske effekter under graviditet.</w:t>
      </w:r>
    </w:p>
    <w:p w14:paraId="1E7044FE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  <w:r w:rsidRPr="00782CCE">
        <w:rPr>
          <w:sz w:val="24"/>
          <w:szCs w:val="24"/>
        </w:rPr>
        <w:t xml:space="preserve">Dyreforsøg har påvist </w:t>
      </w:r>
      <w:proofErr w:type="spellStart"/>
      <w:r w:rsidRPr="00782CCE">
        <w:rPr>
          <w:sz w:val="24"/>
          <w:szCs w:val="24"/>
        </w:rPr>
        <w:t>teratogenicitet</w:t>
      </w:r>
      <w:proofErr w:type="spellEnd"/>
      <w:r w:rsidRPr="00782CCE">
        <w:rPr>
          <w:sz w:val="24"/>
          <w:szCs w:val="24"/>
        </w:rPr>
        <w:t xml:space="preserve"> og anden reproduktionstoksicitet (se pkt. 5.3). Baseret på dyreforsøg og stoffets virkningsmekanisme frarådes brug under graviditet, især i første trimester.</w:t>
      </w:r>
    </w:p>
    <w:p w14:paraId="54137B0C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  <w:r w:rsidRPr="00782CCE">
        <w:rPr>
          <w:sz w:val="24"/>
          <w:szCs w:val="24"/>
        </w:rPr>
        <w:t>I alle tilfælde bør fordelene ved behandling afvejes i forhold til risiciene for fosteret.</w:t>
      </w:r>
    </w:p>
    <w:p w14:paraId="0A644CBC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  <w:r w:rsidRPr="00782CCE">
        <w:rPr>
          <w:sz w:val="24"/>
          <w:szCs w:val="24"/>
        </w:rPr>
        <w:t>Patienten skal informeres om den mulige risiko for fosteret.</w:t>
      </w:r>
    </w:p>
    <w:p w14:paraId="44E085D0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47A5B45" w14:textId="77777777" w:rsidR="00782CCE" w:rsidRPr="00782CCE" w:rsidRDefault="00782CCE" w:rsidP="00782CCE">
      <w:pPr>
        <w:tabs>
          <w:tab w:val="left" w:pos="851"/>
        </w:tabs>
        <w:ind w:left="851"/>
        <w:rPr>
          <w:i/>
          <w:sz w:val="24"/>
          <w:szCs w:val="24"/>
        </w:rPr>
      </w:pPr>
      <w:r w:rsidRPr="00782CCE">
        <w:rPr>
          <w:i/>
          <w:sz w:val="24"/>
          <w:szCs w:val="24"/>
        </w:rPr>
        <w:t>Prævention hos kvinder og mænd</w:t>
      </w:r>
    </w:p>
    <w:p w14:paraId="150C56B0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82CCE">
        <w:rPr>
          <w:sz w:val="24"/>
          <w:szCs w:val="24"/>
        </w:rPr>
        <w:t>Amsacrins</w:t>
      </w:r>
      <w:proofErr w:type="spellEnd"/>
      <w:r w:rsidRPr="00782CCE">
        <w:rPr>
          <w:sz w:val="24"/>
          <w:szCs w:val="24"/>
        </w:rPr>
        <w:t xml:space="preserve"> virkningsmekanisme og mulige bivirkninger i forhold til fosteret medfører, at kvinder i den fødedygtige alder skal anvende </w:t>
      </w:r>
      <w:proofErr w:type="spellStart"/>
      <w:r w:rsidRPr="00782CCE">
        <w:rPr>
          <w:sz w:val="24"/>
          <w:szCs w:val="24"/>
        </w:rPr>
        <w:t>antikonceptiva</w:t>
      </w:r>
      <w:proofErr w:type="spellEnd"/>
      <w:r w:rsidRPr="00782CCE">
        <w:rPr>
          <w:sz w:val="24"/>
          <w:szCs w:val="24"/>
        </w:rPr>
        <w:t xml:space="preserve"> under behandlingen og i op til 3 måneder derefter, og mænd under behandlingen og i op til 6 måneder derefter.</w:t>
      </w:r>
    </w:p>
    <w:p w14:paraId="156651B7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</w:p>
    <w:p w14:paraId="1159A0AA" w14:textId="77777777" w:rsidR="00782CCE" w:rsidRPr="00782CCE" w:rsidRDefault="00782CCE" w:rsidP="00782CCE">
      <w:pPr>
        <w:tabs>
          <w:tab w:val="left" w:pos="851"/>
        </w:tabs>
        <w:ind w:left="851"/>
        <w:rPr>
          <w:i/>
          <w:sz w:val="24"/>
          <w:szCs w:val="24"/>
        </w:rPr>
      </w:pPr>
      <w:r w:rsidRPr="00782CCE">
        <w:rPr>
          <w:i/>
          <w:sz w:val="24"/>
          <w:szCs w:val="24"/>
        </w:rPr>
        <w:lastRenderedPageBreak/>
        <w:t>Amning</w:t>
      </w:r>
    </w:p>
    <w:p w14:paraId="367562AA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  <w:r w:rsidRPr="00782CCE">
        <w:rPr>
          <w:sz w:val="24"/>
          <w:szCs w:val="24"/>
        </w:rPr>
        <w:t xml:space="preserve">Det er ukendt, om </w:t>
      </w:r>
      <w:proofErr w:type="spellStart"/>
      <w:r w:rsidRPr="00782CCE">
        <w:rPr>
          <w:sz w:val="24"/>
          <w:szCs w:val="24"/>
        </w:rPr>
        <w:t>amsacrin</w:t>
      </w:r>
      <w:proofErr w:type="spellEnd"/>
      <w:r w:rsidRPr="00782CCE">
        <w:rPr>
          <w:sz w:val="24"/>
          <w:szCs w:val="24"/>
        </w:rPr>
        <w:t xml:space="preserve"> udskilles i human mælk. Amning er kontraindiceret under behandling med </w:t>
      </w:r>
      <w:proofErr w:type="spellStart"/>
      <w:r w:rsidRPr="00782CCE">
        <w:rPr>
          <w:sz w:val="24"/>
          <w:szCs w:val="24"/>
        </w:rPr>
        <w:t>amsacrin</w:t>
      </w:r>
      <w:proofErr w:type="spellEnd"/>
      <w:r w:rsidRPr="00782CCE">
        <w:rPr>
          <w:sz w:val="24"/>
          <w:szCs w:val="24"/>
        </w:rPr>
        <w:t>.</w:t>
      </w:r>
    </w:p>
    <w:p w14:paraId="5056E37B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</w:p>
    <w:p w14:paraId="3061C9B7" w14:textId="77777777" w:rsidR="00782CCE" w:rsidRPr="00782CCE" w:rsidRDefault="00782CCE" w:rsidP="00782CCE">
      <w:pPr>
        <w:tabs>
          <w:tab w:val="left" w:pos="851"/>
        </w:tabs>
        <w:ind w:left="851"/>
        <w:rPr>
          <w:i/>
          <w:sz w:val="24"/>
          <w:szCs w:val="24"/>
        </w:rPr>
      </w:pPr>
      <w:r w:rsidRPr="00782CCE">
        <w:rPr>
          <w:i/>
          <w:sz w:val="24"/>
          <w:szCs w:val="24"/>
        </w:rPr>
        <w:t>Fertilitet</w:t>
      </w:r>
    </w:p>
    <w:p w14:paraId="328437C4" w14:textId="77777777" w:rsidR="00782CCE" w:rsidRPr="00782CCE" w:rsidRDefault="00782CCE" w:rsidP="00782CCE">
      <w:pPr>
        <w:tabs>
          <w:tab w:val="left" w:pos="851"/>
        </w:tabs>
        <w:ind w:left="851"/>
        <w:rPr>
          <w:sz w:val="24"/>
          <w:szCs w:val="24"/>
        </w:rPr>
      </w:pPr>
      <w:r w:rsidRPr="00782CCE">
        <w:rPr>
          <w:sz w:val="24"/>
          <w:szCs w:val="24"/>
        </w:rPr>
        <w:t xml:space="preserve">Reversibel </w:t>
      </w:r>
      <w:proofErr w:type="spellStart"/>
      <w:r w:rsidRPr="00782CCE">
        <w:rPr>
          <w:sz w:val="24"/>
          <w:szCs w:val="24"/>
        </w:rPr>
        <w:t>azoospermi</w:t>
      </w:r>
      <w:proofErr w:type="spellEnd"/>
      <w:r w:rsidRPr="00782CCE">
        <w:rPr>
          <w:sz w:val="24"/>
          <w:szCs w:val="24"/>
        </w:rPr>
        <w:t xml:space="preserve"> hos mennesker er blevet beskrevet. Selvom der ikke forefindes endelige data, antyder visse rapporter, at </w:t>
      </w:r>
      <w:proofErr w:type="spellStart"/>
      <w:r w:rsidRPr="00782CCE">
        <w:rPr>
          <w:sz w:val="24"/>
          <w:szCs w:val="24"/>
        </w:rPr>
        <w:t>amsacrin</w:t>
      </w:r>
      <w:proofErr w:type="spellEnd"/>
      <w:r w:rsidRPr="00782CCE">
        <w:rPr>
          <w:sz w:val="24"/>
          <w:szCs w:val="24"/>
        </w:rPr>
        <w:t xml:space="preserve"> kan påvirke kvinders fertilitet.</w:t>
      </w:r>
    </w:p>
    <w:p w14:paraId="2C88BBC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98979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1AC550BC" w14:textId="4BC5B5A5" w:rsidR="00DB5F09" w:rsidRPr="00DB5F09" w:rsidRDefault="00DB5F09" w:rsidP="00DB5F09">
      <w:pPr>
        <w:tabs>
          <w:tab w:val="left" w:pos="851"/>
        </w:tabs>
        <w:ind w:left="851"/>
        <w:rPr>
          <w:sz w:val="24"/>
          <w:szCs w:val="24"/>
        </w:rPr>
      </w:pPr>
      <w:r w:rsidRPr="00DB5F09">
        <w:rPr>
          <w:sz w:val="24"/>
          <w:szCs w:val="24"/>
        </w:rPr>
        <w:t>Ikke mærkning</w:t>
      </w:r>
      <w:r>
        <w:rPr>
          <w:sz w:val="24"/>
          <w:szCs w:val="24"/>
        </w:rPr>
        <w:t>.</w:t>
      </w:r>
    </w:p>
    <w:p w14:paraId="6DA5D33E" w14:textId="77777777" w:rsidR="00DB5F09" w:rsidRPr="00DB5F09" w:rsidRDefault="00DB5F09" w:rsidP="00DB5F09">
      <w:pPr>
        <w:tabs>
          <w:tab w:val="left" w:pos="851"/>
        </w:tabs>
        <w:ind w:left="851"/>
        <w:rPr>
          <w:sz w:val="24"/>
          <w:szCs w:val="24"/>
        </w:rPr>
      </w:pPr>
      <w:r w:rsidRPr="00DB5F09">
        <w:rPr>
          <w:sz w:val="24"/>
          <w:szCs w:val="24"/>
        </w:rPr>
        <w:t xml:space="preserve">Der findes ingen data om dette. Som følge af indberettede bivirkningsprofiler anbefales det, at patienter udviser varsomhed ved kørsel eller betjening af maskiner efter administration af </w:t>
      </w:r>
      <w:proofErr w:type="spellStart"/>
      <w:r w:rsidRPr="00DB5F09">
        <w:rPr>
          <w:sz w:val="24"/>
          <w:szCs w:val="24"/>
        </w:rPr>
        <w:t>amsacrin</w:t>
      </w:r>
      <w:proofErr w:type="spellEnd"/>
      <w:r w:rsidRPr="00DB5F09">
        <w:rPr>
          <w:sz w:val="24"/>
          <w:szCs w:val="24"/>
        </w:rPr>
        <w:t>.</w:t>
      </w:r>
    </w:p>
    <w:p w14:paraId="559F03B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5E19B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186CB899" w14:textId="77777777" w:rsidR="0064502D" w:rsidRDefault="0064502D" w:rsidP="0064502D">
      <w:pPr>
        <w:pStyle w:val="Default"/>
        <w:ind w:left="851"/>
        <w:rPr>
          <w:color w:val="auto"/>
        </w:rPr>
      </w:pPr>
      <w:r>
        <w:rPr>
          <w:color w:val="auto"/>
        </w:rPr>
        <w:t xml:space="preserve">De mest almindelige bivirkninger er kvalme og/eller opkastning, anæmi, feber og infektion. Smerter og </w:t>
      </w:r>
      <w:proofErr w:type="spellStart"/>
      <w:r>
        <w:rPr>
          <w:color w:val="auto"/>
        </w:rPr>
        <w:t>flebitis</w:t>
      </w:r>
      <w:proofErr w:type="spellEnd"/>
      <w:r>
        <w:rPr>
          <w:color w:val="auto"/>
        </w:rPr>
        <w:t xml:space="preserve"> efter infusion er blevet indberettet.</w:t>
      </w:r>
    </w:p>
    <w:p w14:paraId="1DF27C5B" w14:textId="77777777" w:rsidR="0064502D" w:rsidRDefault="0064502D" w:rsidP="0064502D">
      <w:pPr>
        <w:pStyle w:val="Default"/>
        <w:ind w:left="851" w:hanging="851"/>
        <w:rPr>
          <w:color w:val="auto"/>
        </w:rPr>
      </w:pPr>
    </w:p>
    <w:p w14:paraId="7A99806D" w14:textId="77777777" w:rsidR="0064502D" w:rsidRDefault="0064502D" w:rsidP="0064502D">
      <w:pPr>
        <w:pStyle w:val="Default"/>
        <w:ind w:left="851"/>
        <w:rPr>
          <w:color w:val="auto"/>
        </w:rPr>
      </w:pPr>
      <w:r>
        <w:rPr>
          <w:color w:val="auto"/>
        </w:rPr>
        <w:t xml:space="preserve">Alle patienter, der behandles med terapeutiske doser af </w:t>
      </w:r>
      <w:proofErr w:type="spellStart"/>
      <w:r>
        <w:rPr>
          <w:color w:val="auto"/>
        </w:rPr>
        <w:t>amsacrin</w:t>
      </w:r>
      <w:proofErr w:type="spellEnd"/>
      <w:r>
        <w:rPr>
          <w:color w:val="auto"/>
        </w:rPr>
        <w:t xml:space="preserve">, udviser knoglemarvsdepression. De primære komplikationer er infektion og blødning. Et minimalt leukocyttal ses på dag 5-12, sædvanligvis efterfulgt af komplet regeneration på dag 25. Mønsteret for hæmning af </w:t>
      </w:r>
      <w:proofErr w:type="spellStart"/>
      <w:r>
        <w:rPr>
          <w:color w:val="auto"/>
        </w:rPr>
        <w:t>trombocytter</w:t>
      </w:r>
      <w:proofErr w:type="spellEnd"/>
      <w:r>
        <w:rPr>
          <w:color w:val="auto"/>
        </w:rPr>
        <w:t xml:space="preserve"> minder om mønsteret for leukocytter.</w:t>
      </w:r>
    </w:p>
    <w:p w14:paraId="6DE0DFD6" w14:textId="77777777" w:rsidR="0064502D" w:rsidRDefault="0064502D" w:rsidP="0064502D">
      <w:pPr>
        <w:pStyle w:val="Default"/>
        <w:ind w:left="851" w:hanging="851"/>
        <w:rPr>
          <w:color w:val="auto"/>
        </w:rPr>
      </w:pPr>
    </w:p>
    <w:p w14:paraId="66F819E3" w14:textId="77777777" w:rsidR="0064502D" w:rsidRDefault="0064502D" w:rsidP="0064502D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nedenstående tabel vises alle bivirkninger i henhold til </w:t>
      </w:r>
      <w:proofErr w:type="spellStart"/>
      <w:r>
        <w:rPr>
          <w:sz w:val="24"/>
          <w:szCs w:val="24"/>
        </w:rPr>
        <w:t>MedDRA</w:t>
      </w:r>
      <w:proofErr w:type="spellEnd"/>
      <w:r>
        <w:rPr>
          <w:sz w:val="24"/>
          <w:szCs w:val="24"/>
        </w:rPr>
        <w:t>-systemets organklasse og frekvens, meget almindelig (≥1/10), almindelig (≥1/100 til &lt;1/10), ikke almindelig (≥1/1.000 til &lt;1/100), sjælden (≥1/10.000 til &lt;1/1.000), ikke kendt (kan ikke estimeres ud fra forhåndenværende data).</w:t>
      </w:r>
    </w:p>
    <w:p w14:paraId="57061120" w14:textId="77777777" w:rsidR="0064502D" w:rsidRDefault="0064502D" w:rsidP="0064502D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</w:rPr>
      </w:pPr>
    </w:p>
    <w:tbl>
      <w:tblPr>
        <w:tblW w:w="449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782"/>
      </w:tblGrid>
      <w:tr w:rsidR="0064502D" w14:paraId="0CCBCB9A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D58A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Infektioner og parasitære sygdomme</w:t>
            </w:r>
          </w:p>
        </w:tc>
      </w:tr>
      <w:tr w:rsidR="0064502D" w14:paraId="088B80FC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9CD4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283D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Infektion</w:t>
            </w:r>
          </w:p>
        </w:tc>
      </w:tr>
      <w:tr w:rsidR="0064502D" w14:paraId="2C98D86A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3CC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Blod og lymfesystem</w:t>
            </w:r>
          </w:p>
        </w:tc>
      </w:tr>
      <w:tr w:rsidR="0064502D" w14:paraId="4292A1C5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255C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25DF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Trombocytopeni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pancytopeni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hæmoragi</w:t>
            </w:r>
            <w:proofErr w:type="spellEnd"/>
          </w:p>
        </w:tc>
      </w:tr>
      <w:tr w:rsidR="0064502D" w14:paraId="67E72284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088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C57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Anæmi, </w:t>
            </w:r>
            <w:proofErr w:type="spellStart"/>
            <w:r>
              <w:rPr>
                <w:sz w:val="24"/>
                <w:szCs w:val="24"/>
              </w:rPr>
              <w:t>granulocytopeni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leukopeni</w:t>
            </w:r>
            <w:proofErr w:type="spellEnd"/>
          </w:p>
        </w:tc>
      </w:tr>
      <w:tr w:rsidR="0064502D" w14:paraId="65D85CE6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04C9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Immunsystemet</w:t>
            </w:r>
          </w:p>
        </w:tc>
      </w:tr>
      <w:tr w:rsidR="0064502D" w14:paraId="334880B5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C124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56E5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Hypersensitivitet, </w:t>
            </w:r>
            <w:proofErr w:type="spellStart"/>
            <w:r>
              <w:rPr>
                <w:sz w:val="24"/>
                <w:szCs w:val="24"/>
              </w:rPr>
              <w:t>anafylaktisk</w:t>
            </w:r>
            <w:proofErr w:type="spellEnd"/>
            <w:r>
              <w:rPr>
                <w:sz w:val="24"/>
                <w:szCs w:val="24"/>
              </w:rPr>
              <w:t xml:space="preserve"> reaktion, ødem</w:t>
            </w:r>
          </w:p>
        </w:tc>
      </w:tr>
      <w:tr w:rsidR="0064502D" w14:paraId="331CA19B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80B5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Metabolisme og ernæring</w:t>
            </w:r>
          </w:p>
        </w:tc>
      </w:tr>
      <w:tr w:rsidR="0064502D" w14:paraId="3C7811BD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88E7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FEB4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Hypokalæmi</w:t>
            </w:r>
            <w:proofErr w:type="spellEnd"/>
          </w:p>
        </w:tc>
      </w:tr>
      <w:tr w:rsidR="0064502D" w14:paraId="1E0D7D7A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4B09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8E21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Vægttab, vægtforøgelse</w:t>
            </w:r>
          </w:p>
        </w:tc>
      </w:tr>
      <w:tr w:rsidR="0064502D" w14:paraId="33995F90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83F8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kendt 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81FB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Hyperurikæmi</w:t>
            </w:r>
            <w:proofErr w:type="spellEnd"/>
          </w:p>
        </w:tc>
      </w:tr>
      <w:tr w:rsidR="0064502D" w14:paraId="3115A6C0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E7F0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Psykiske forstyrrelser</w:t>
            </w:r>
          </w:p>
        </w:tc>
      </w:tr>
      <w:tr w:rsidR="0064502D" w14:paraId="6B9B6626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CEF2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E06D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Affektlabilitet</w:t>
            </w:r>
          </w:p>
        </w:tc>
      </w:tr>
      <w:tr w:rsidR="0064502D" w14:paraId="5BC8615C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B49F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0910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Letargi, forvirring</w:t>
            </w:r>
          </w:p>
        </w:tc>
      </w:tr>
      <w:tr w:rsidR="0064502D" w14:paraId="48402C7E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E941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Nervesystemet</w:t>
            </w:r>
          </w:p>
        </w:tc>
      </w:tr>
      <w:tr w:rsidR="0064502D" w14:paraId="73C64EAC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BB5B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8D3E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mal-anfald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4502D" w14:paraId="5B3D0E6A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23CF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7179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Hovedpine, </w:t>
            </w:r>
            <w:proofErr w:type="spellStart"/>
            <w:r>
              <w:rPr>
                <w:sz w:val="24"/>
                <w:szCs w:val="24"/>
              </w:rPr>
              <w:t>hypoæstesi</w:t>
            </w:r>
            <w:proofErr w:type="spellEnd"/>
            <w:r>
              <w:rPr>
                <w:sz w:val="24"/>
                <w:szCs w:val="24"/>
              </w:rPr>
              <w:t xml:space="preserve">, svimmelhed, perifer </w:t>
            </w:r>
            <w:proofErr w:type="spellStart"/>
            <w:r>
              <w:rPr>
                <w:sz w:val="24"/>
                <w:szCs w:val="24"/>
              </w:rPr>
              <w:t>neuropati</w:t>
            </w:r>
            <w:proofErr w:type="spellEnd"/>
          </w:p>
        </w:tc>
      </w:tr>
      <w:tr w:rsidR="0064502D" w14:paraId="631416D8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E215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Øjne</w:t>
            </w:r>
          </w:p>
        </w:tc>
      </w:tr>
      <w:tr w:rsidR="0064502D" w14:paraId="23F083D9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46CC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9EB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Synsforstyrrelser</w:t>
            </w:r>
          </w:p>
        </w:tc>
      </w:tr>
      <w:tr w:rsidR="0064502D" w14:paraId="3B408360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EFC0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Hjerte</w:t>
            </w:r>
          </w:p>
        </w:tc>
      </w:tr>
      <w:tr w:rsidR="0064502D" w14:paraId="41309DF8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BF8F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7F0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Kardiotoksicitet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arytmi</w:t>
            </w:r>
            <w:proofErr w:type="spellEnd"/>
            <w:r>
              <w:rPr>
                <w:sz w:val="24"/>
                <w:szCs w:val="24"/>
              </w:rPr>
              <w:t>, kongestiv hjerteinsufficiens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4502D" w14:paraId="60D40B97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0FA2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79D8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Atrieflimren, </w:t>
            </w:r>
            <w:proofErr w:type="spellStart"/>
            <w:r>
              <w:rPr>
                <w:sz w:val="24"/>
                <w:szCs w:val="24"/>
              </w:rPr>
              <w:t>sinustakykardi</w:t>
            </w:r>
            <w:proofErr w:type="spellEnd"/>
            <w:r>
              <w:rPr>
                <w:sz w:val="24"/>
                <w:szCs w:val="24"/>
              </w:rPr>
              <w:t>, ventrikelflimren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ventrikulære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arytmier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kardiomyopati</w:t>
            </w:r>
            <w:proofErr w:type="spellEnd"/>
            <w:r>
              <w:rPr>
                <w:sz w:val="24"/>
                <w:szCs w:val="24"/>
              </w:rPr>
              <w:t>, bradykardi, unormalt EKG, reduceret uddrivningsfraktion</w:t>
            </w:r>
          </w:p>
        </w:tc>
      </w:tr>
      <w:tr w:rsidR="0064502D" w14:paraId="04C38C38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8712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Vaskulære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sygdomme</w:t>
            </w:r>
          </w:p>
        </w:tc>
      </w:tr>
      <w:tr w:rsidR="0064502D" w14:paraId="21CB4A49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92E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6354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Hypotension</w:t>
            </w:r>
          </w:p>
        </w:tc>
      </w:tr>
      <w:tr w:rsidR="0064502D" w14:paraId="4B0364BF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91EA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Luftveje, thorax og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mediastinum</w:t>
            </w:r>
            <w:proofErr w:type="spellEnd"/>
          </w:p>
        </w:tc>
      </w:tr>
      <w:tr w:rsidR="0064502D" w14:paraId="266E108E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C9B4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E1D3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Dyspnø</w:t>
            </w:r>
          </w:p>
        </w:tc>
      </w:tr>
      <w:tr w:rsidR="0064502D" w14:paraId="6142A6B4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D433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Mave-tarm-kanalen</w:t>
            </w:r>
          </w:p>
        </w:tc>
      </w:tr>
      <w:tr w:rsidR="0064502D" w14:paraId="4D6129C7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319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EBA6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Kvalme, opkastning (mild til moderat), diarré, mavesmerter, stomatitis</w:t>
            </w:r>
            <w:r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502D" w14:paraId="06642E57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9568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6FA6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Blødning i mave-tarm-kanalen</w:t>
            </w:r>
          </w:p>
        </w:tc>
      </w:tr>
      <w:tr w:rsidR="0064502D" w14:paraId="138B6D7E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7CD2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Lever og galdeveje</w:t>
            </w:r>
          </w:p>
        </w:tc>
      </w:tr>
      <w:tr w:rsidR="0064502D" w14:paraId="5EBF13CF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2F25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9D5F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Leverbetændelse, gulsot, leverinsufficiens (se pkt. 4.2)</w:t>
            </w:r>
          </w:p>
        </w:tc>
      </w:tr>
      <w:tr w:rsidR="0064502D" w14:paraId="23D3E961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E548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Hud og subkutane væv</w:t>
            </w:r>
          </w:p>
        </w:tc>
      </w:tr>
      <w:tr w:rsidR="0064502D" w14:paraId="0AF9D3BD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923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8E59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Purpura</w:t>
            </w:r>
            <w:proofErr w:type="spellEnd"/>
          </w:p>
        </w:tc>
      </w:tr>
      <w:tr w:rsidR="0064502D" w14:paraId="6B192F28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A040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7FA2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Hårtab, nældefeber og udslæt</w:t>
            </w:r>
          </w:p>
        </w:tc>
      </w:tr>
      <w:tr w:rsidR="0064502D" w14:paraId="025609CF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1269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Nyrer og urinveje</w:t>
            </w:r>
          </w:p>
        </w:tc>
      </w:tr>
      <w:tr w:rsidR="0064502D" w14:paraId="07501683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FE80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461A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Hæmaturi</w:t>
            </w:r>
          </w:p>
        </w:tc>
      </w:tr>
      <w:tr w:rsidR="0064502D" w14:paraId="72AAE862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282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416F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Anuri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proteinuri</w:t>
            </w:r>
            <w:proofErr w:type="spellEnd"/>
            <w:r>
              <w:rPr>
                <w:sz w:val="24"/>
                <w:szCs w:val="24"/>
              </w:rPr>
              <w:t>, akut nyreinsufficiens</w:t>
            </w:r>
          </w:p>
        </w:tc>
      </w:tr>
      <w:tr w:rsidR="0064502D" w14:paraId="5B060A1A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E61F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Almene symptomer og reaktioner på administrationsstedet</w:t>
            </w:r>
          </w:p>
        </w:tc>
      </w:tr>
      <w:tr w:rsidR="0064502D" w14:paraId="580944FF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754B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7CA9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Flebitis</w:t>
            </w:r>
            <w:proofErr w:type="spellEnd"/>
            <w:r>
              <w:rPr>
                <w:sz w:val="24"/>
                <w:szCs w:val="24"/>
              </w:rPr>
              <w:t xml:space="preserve"> på infusionsstedet</w:t>
            </w:r>
          </w:p>
        </w:tc>
      </w:tr>
      <w:tr w:rsidR="0064502D" w14:paraId="2C0D015B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D029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B9D1" w14:textId="77777777" w:rsidR="0064502D" w:rsidRDefault="006450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Pyreksi</w:t>
            </w:r>
            <w:proofErr w:type="spellEnd"/>
          </w:p>
          <w:p w14:paraId="455369C2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Irritation på injektionsstedet, nekrose, inflammation i huden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502D" w14:paraId="51B8D7C2" w14:textId="77777777" w:rsidTr="006450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DA6" w14:textId="77777777" w:rsidR="0064502D" w:rsidRDefault="0064502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Undersøgelser</w:t>
            </w:r>
          </w:p>
        </w:tc>
      </w:tr>
      <w:tr w:rsidR="0064502D" w14:paraId="5724CDEC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EFE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D73B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Stigning i leverenzymer (se pkt. 4.4).</w:t>
            </w:r>
          </w:p>
        </w:tc>
      </w:tr>
      <w:tr w:rsidR="0064502D" w14:paraId="37BCCD6E" w14:textId="77777777" w:rsidTr="0064502D"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A842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Sjælden</w:t>
            </w:r>
          </w:p>
        </w:tc>
        <w:tc>
          <w:tcPr>
            <w:tcW w:w="3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B76E" w14:textId="77777777" w:rsidR="0064502D" w:rsidRDefault="00645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Stigning i bilirubin i blod, øget </w:t>
            </w:r>
            <w:proofErr w:type="spellStart"/>
            <w:r>
              <w:rPr>
                <w:sz w:val="24"/>
                <w:szCs w:val="24"/>
              </w:rPr>
              <w:t>urea</w:t>
            </w:r>
            <w:proofErr w:type="spellEnd"/>
            <w:r>
              <w:rPr>
                <w:sz w:val="24"/>
                <w:szCs w:val="24"/>
              </w:rPr>
              <w:t xml:space="preserve"> i blod, øget alkalisk fosfatase i blod, øget </w:t>
            </w:r>
            <w:proofErr w:type="spellStart"/>
            <w:r>
              <w:rPr>
                <w:sz w:val="24"/>
                <w:szCs w:val="24"/>
              </w:rPr>
              <w:t>kreatinin</w:t>
            </w:r>
            <w:proofErr w:type="spellEnd"/>
            <w:r>
              <w:rPr>
                <w:sz w:val="24"/>
                <w:szCs w:val="24"/>
              </w:rPr>
              <w:t xml:space="preserve"> i blod</w:t>
            </w:r>
          </w:p>
        </w:tc>
      </w:tr>
    </w:tbl>
    <w:p w14:paraId="6121BFF6" w14:textId="2A052839" w:rsidR="0064502D" w:rsidRPr="0064502D" w:rsidRDefault="0064502D" w:rsidP="0064502D">
      <w:pPr>
        <w:pStyle w:val="Default"/>
        <w:ind w:left="993" w:hanging="142"/>
        <w:rPr>
          <w:color w:val="auto"/>
          <w:sz w:val="20"/>
          <w:szCs w:val="20"/>
        </w:rPr>
      </w:pPr>
      <w:r w:rsidRPr="0064502D">
        <w:rPr>
          <w:color w:val="auto"/>
          <w:sz w:val="20"/>
          <w:szCs w:val="20"/>
          <w:vertAlign w:val="superscript"/>
        </w:rPr>
        <w:t>1</w:t>
      </w:r>
      <w:r>
        <w:rPr>
          <w:color w:val="auto"/>
          <w:sz w:val="20"/>
          <w:szCs w:val="20"/>
          <w:vertAlign w:val="superscript"/>
        </w:rPr>
        <w:tab/>
      </w:r>
      <w:r w:rsidRPr="0064502D">
        <w:rPr>
          <w:color w:val="auto"/>
          <w:sz w:val="20"/>
          <w:szCs w:val="20"/>
        </w:rPr>
        <w:t xml:space="preserve">Kan høre sammen med </w:t>
      </w:r>
      <w:proofErr w:type="spellStart"/>
      <w:r w:rsidRPr="0064502D">
        <w:rPr>
          <w:color w:val="auto"/>
          <w:sz w:val="20"/>
          <w:szCs w:val="20"/>
        </w:rPr>
        <w:t>hypokalæmi</w:t>
      </w:r>
      <w:proofErr w:type="spellEnd"/>
    </w:p>
    <w:p w14:paraId="66CE39C0" w14:textId="17DDA175" w:rsidR="0064502D" w:rsidRPr="0064502D" w:rsidRDefault="0064502D" w:rsidP="0064502D">
      <w:pPr>
        <w:pStyle w:val="Default"/>
        <w:ind w:left="993" w:hanging="142"/>
        <w:rPr>
          <w:color w:val="auto"/>
          <w:sz w:val="20"/>
          <w:szCs w:val="20"/>
        </w:rPr>
      </w:pPr>
      <w:r w:rsidRPr="0064502D">
        <w:rPr>
          <w:color w:val="auto"/>
          <w:sz w:val="20"/>
          <w:szCs w:val="20"/>
          <w:vertAlign w:val="superscript"/>
        </w:rPr>
        <w:t>2</w:t>
      </w:r>
      <w:r>
        <w:rPr>
          <w:color w:val="auto"/>
          <w:sz w:val="20"/>
          <w:szCs w:val="20"/>
        </w:rPr>
        <w:tab/>
      </w:r>
      <w:r w:rsidRPr="0064502D">
        <w:rPr>
          <w:color w:val="auto"/>
          <w:sz w:val="20"/>
          <w:szCs w:val="20"/>
        </w:rPr>
        <w:t xml:space="preserve">Især hos pædiatriske patienter, forbehandles med </w:t>
      </w:r>
      <w:proofErr w:type="spellStart"/>
      <w:r w:rsidRPr="0064502D">
        <w:rPr>
          <w:color w:val="auto"/>
          <w:sz w:val="20"/>
          <w:szCs w:val="20"/>
        </w:rPr>
        <w:t>antracykliner</w:t>
      </w:r>
      <w:proofErr w:type="spellEnd"/>
    </w:p>
    <w:p w14:paraId="108A5E7C" w14:textId="6F2EF713" w:rsidR="0064502D" w:rsidRPr="0064502D" w:rsidRDefault="0064502D" w:rsidP="0064502D">
      <w:pPr>
        <w:pStyle w:val="Default"/>
        <w:ind w:left="993" w:hanging="142"/>
        <w:rPr>
          <w:color w:val="auto"/>
          <w:sz w:val="20"/>
          <w:szCs w:val="20"/>
        </w:rPr>
      </w:pPr>
      <w:r w:rsidRPr="0064502D">
        <w:rPr>
          <w:color w:val="auto"/>
          <w:sz w:val="20"/>
          <w:szCs w:val="20"/>
          <w:vertAlign w:val="superscript"/>
        </w:rPr>
        <w:t>3</w:t>
      </w:r>
      <w:r>
        <w:rPr>
          <w:color w:val="auto"/>
          <w:sz w:val="20"/>
          <w:szCs w:val="20"/>
        </w:rPr>
        <w:tab/>
      </w:r>
      <w:r w:rsidRPr="0064502D">
        <w:rPr>
          <w:color w:val="auto"/>
          <w:sz w:val="20"/>
          <w:szCs w:val="20"/>
        </w:rPr>
        <w:t xml:space="preserve">Fatal eller livstruende, sædvanligvis hos patienter med </w:t>
      </w:r>
      <w:proofErr w:type="spellStart"/>
      <w:r w:rsidRPr="0064502D">
        <w:rPr>
          <w:color w:val="auto"/>
          <w:sz w:val="20"/>
          <w:szCs w:val="20"/>
        </w:rPr>
        <w:t>hypokalæmi</w:t>
      </w:r>
      <w:proofErr w:type="spellEnd"/>
    </w:p>
    <w:p w14:paraId="27576575" w14:textId="0A972952" w:rsidR="0064502D" w:rsidRPr="0064502D" w:rsidRDefault="0064502D" w:rsidP="0064502D">
      <w:pPr>
        <w:pStyle w:val="Default"/>
        <w:ind w:left="993" w:hanging="142"/>
        <w:rPr>
          <w:color w:val="auto"/>
          <w:sz w:val="20"/>
          <w:szCs w:val="20"/>
        </w:rPr>
      </w:pPr>
      <w:r w:rsidRPr="0064502D">
        <w:rPr>
          <w:color w:val="auto"/>
          <w:sz w:val="20"/>
          <w:szCs w:val="20"/>
          <w:vertAlign w:val="superscript"/>
        </w:rPr>
        <w:t>4</w:t>
      </w:r>
      <w:r>
        <w:rPr>
          <w:color w:val="auto"/>
          <w:sz w:val="20"/>
          <w:szCs w:val="20"/>
        </w:rPr>
        <w:tab/>
      </w:r>
      <w:r w:rsidRPr="0064502D">
        <w:rPr>
          <w:color w:val="auto"/>
          <w:sz w:val="20"/>
          <w:szCs w:val="20"/>
        </w:rPr>
        <w:t>Slimhinder i mund og spiserør påvirkes ofte med en sværhedsgrad fra mild til livstruende. Alle orale slimhinder kan blive påvirket, med en regenerationstid på flere uger.</w:t>
      </w:r>
    </w:p>
    <w:p w14:paraId="5EDC0C00" w14:textId="2779B5BA" w:rsidR="0064502D" w:rsidRPr="0064502D" w:rsidRDefault="0064502D" w:rsidP="0064502D">
      <w:pPr>
        <w:pStyle w:val="Default"/>
        <w:ind w:left="993" w:hanging="142"/>
        <w:rPr>
          <w:color w:val="auto"/>
          <w:sz w:val="20"/>
          <w:szCs w:val="20"/>
        </w:rPr>
      </w:pPr>
      <w:r w:rsidRPr="0064502D">
        <w:rPr>
          <w:color w:val="auto"/>
          <w:sz w:val="20"/>
          <w:szCs w:val="20"/>
          <w:vertAlign w:val="superscript"/>
        </w:rPr>
        <w:t>5</w:t>
      </w:r>
      <w:r>
        <w:rPr>
          <w:color w:val="auto"/>
          <w:sz w:val="20"/>
          <w:szCs w:val="20"/>
        </w:rPr>
        <w:tab/>
      </w:r>
      <w:r w:rsidRPr="0064502D">
        <w:rPr>
          <w:color w:val="auto"/>
          <w:sz w:val="20"/>
          <w:szCs w:val="20"/>
        </w:rPr>
        <w:t xml:space="preserve">Hører sammen med koncentrationen af det </w:t>
      </w:r>
      <w:proofErr w:type="spellStart"/>
      <w:r w:rsidRPr="0064502D">
        <w:rPr>
          <w:color w:val="auto"/>
          <w:sz w:val="20"/>
          <w:szCs w:val="20"/>
        </w:rPr>
        <w:t>infunderede</w:t>
      </w:r>
      <w:proofErr w:type="spellEnd"/>
      <w:r w:rsidRPr="0064502D">
        <w:rPr>
          <w:color w:val="auto"/>
          <w:sz w:val="20"/>
          <w:szCs w:val="20"/>
        </w:rPr>
        <w:t xml:space="preserve"> </w:t>
      </w:r>
      <w:proofErr w:type="spellStart"/>
      <w:r w:rsidRPr="0064502D">
        <w:rPr>
          <w:color w:val="auto"/>
          <w:sz w:val="20"/>
          <w:szCs w:val="20"/>
        </w:rPr>
        <w:t>amsacrin</w:t>
      </w:r>
      <w:proofErr w:type="spellEnd"/>
      <w:r w:rsidRPr="0064502D">
        <w:rPr>
          <w:color w:val="auto"/>
          <w:sz w:val="20"/>
          <w:szCs w:val="20"/>
        </w:rPr>
        <w:t xml:space="preserve"> (se pkt. 4.4)</w:t>
      </w:r>
    </w:p>
    <w:p w14:paraId="3AC53551" w14:textId="77777777" w:rsidR="0064502D" w:rsidRDefault="0064502D" w:rsidP="0064502D">
      <w:pPr>
        <w:ind w:left="851" w:hanging="851"/>
        <w:jc w:val="both"/>
        <w:rPr>
          <w:sz w:val="24"/>
          <w:szCs w:val="24"/>
        </w:rPr>
      </w:pPr>
    </w:p>
    <w:p w14:paraId="3A9B2BAF" w14:textId="77777777" w:rsidR="0064502D" w:rsidRDefault="0064502D" w:rsidP="0064502D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14:paraId="6DE7A872" w14:textId="77777777" w:rsidR="0064502D" w:rsidRDefault="0064502D" w:rsidP="0064502D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vigtigt.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Læger og sundhedspersonale anmodes om at indberette alle formodede bivirkninger via:</w:t>
      </w:r>
    </w:p>
    <w:p w14:paraId="6B360F61" w14:textId="77777777" w:rsidR="0064502D" w:rsidRDefault="0064502D" w:rsidP="0064502D">
      <w:pPr>
        <w:tabs>
          <w:tab w:val="left" w:pos="2440"/>
        </w:tabs>
        <w:ind w:left="851"/>
        <w:rPr>
          <w:sz w:val="24"/>
          <w:szCs w:val="24"/>
        </w:rPr>
      </w:pPr>
    </w:p>
    <w:p w14:paraId="13F8E0B8" w14:textId="77777777" w:rsidR="0064502D" w:rsidRDefault="0064502D" w:rsidP="0064502D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14:paraId="4DD1BCA6" w14:textId="77777777" w:rsidR="0064502D" w:rsidRDefault="0064502D" w:rsidP="0064502D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14:paraId="023F02ED" w14:textId="77777777" w:rsidR="0064502D" w:rsidRDefault="0064502D" w:rsidP="0064502D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465FF0AD" w14:textId="61A190B7" w:rsidR="0064502D" w:rsidRPr="005A5EA2" w:rsidRDefault="0064502D" w:rsidP="0064502D">
      <w:pPr>
        <w:ind w:left="851"/>
        <w:rPr>
          <w:sz w:val="24"/>
          <w:szCs w:val="24"/>
        </w:rPr>
      </w:pPr>
      <w:r w:rsidRPr="005A5EA2">
        <w:rPr>
          <w:sz w:val="24"/>
          <w:szCs w:val="24"/>
        </w:rPr>
        <w:t>Websted: www.meldenbivirkning.dk</w:t>
      </w:r>
    </w:p>
    <w:p w14:paraId="48E642E1" w14:textId="77777777" w:rsidR="009260DE" w:rsidRPr="005A5EA2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44A0874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5790BD45" w14:textId="77777777" w:rsidR="005A5EA2" w:rsidRPr="005A5EA2" w:rsidRDefault="005A5EA2" w:rsidP="005A5EA2">
      <w:pPr>
        <w:tabs>
          <w:tab w:val="left" w:pos="851"/>
        </w:tabs>
        <w:ind w:left="851"/>
        <w:rPr>
          <w:sz w:val="24"/>
          <w:szCs w:val="24"/>
        </w:rPr>
      </w:pPr>
      <w:r w:rsidRPr="005A5EA2">
        <w:rPr>
          <w:sz w:val="24"/>
          <w:szCs w:val="24"/>
        </w:rPr>
        <w:t>Der er ingen kendt modgift i tilfælde af overdosering. Behandling bør være symptomatisk og understøttende.</w:t>
      </w:r>
    </w:p>
    <w:p w14:paraId="66B9DD33" w14:textId="77777777" w:rsidR="005A5EA2" w:rsidRPr="005A5EA2" w:rsidRDefault="005A5EA2" w:rsidP="005A5EA2">
      <w:pPr>
        <w:tabs>
          <w:tab w:val="left" w:pos="851"/>
        </w:tabs>
        <w:ind w:left="851"/>
        <w:rPr>
          <w:sz w:val="24"/>
          <w:szCs w:val="24"/>
        </w:rPr>
      </w:pPr>
      <w:r w:rsidRPr="005A5EA2">
        <w:rPr>
          <w:sz w:val="24"/>
          <w:szCs w:val="24"/>
        </w:rPr>
        <w:lastRenderedPageBreak/>
        <w:t xml:space="preserve">Blødning og infektion, der skyldes </w:t>
      </w:r>
      <w:proofErr w:type="spellStart"/>
      <w:r w:rsidRPr="005A5EA2">
        <w:rPr>
          <w:sz w:val="24"/>
          <w:szCs w:val="24"/>
        </w:rPr>
        <w:t>knoglemarvshypoplasi</w:t>
      </w:r>
      <w:proofErr w:type="spellEnd"/>
      <w:r w:rsidRPr="005A5EA2">
        <w:rPr>
          <w:sz w:val="24"/>
          <w:szCs w:val="24"/>
        </w:rPr>
        <w:t xml:space="preserve"> eller -</w:t>
      </w:r>
      <w:proofErr w:type="spellStart"/>
      <w:r w:rsidRPr="005A5EA2">
        <w:rPr>
          <w:sz w:val="24"/>
          <w:szCs w:val="24"/>
        </w:rPr>
        <w:t>aplasi</w:t>
      </w:r>
      <w:proofErr w:type="spellEnd"/>
      <w:r w:rsidRPr="005A5EA2">
        <w:rPr>
          <w:sz w:val="24"/>
          <w:szCs w:val="24"/>
        </w:rPr>
        <w:t xml:space="preserve">, kan kræve intensiv understøttende behandling med transfusion af erytrocytter, granulocytter eller </w:t>
      </w:r>
      <w:proofErr w:type="spellStart"/>
      <w:r w:rsidRPr="005A5EA2">
        <w:rPr>
          <w:sz w:val="24"/>
          <w:szCs w:val="24"/>
        </w:rPr>
        <w:t>trombocytter</w:t>
      </w:r>
      <w:proofErr w:type="spellEnd"/>
      <w:r w:rsidRPr="005A5EA2">
        <w:rPr>
          <w:sz w:val="24"/>
          <w:szCs w:val="24"/>
        </w:rPr>
        <w:t xml:space="preserve"> og relevant antibiotika.</w:t>
      </w:r>
    </w:p>
    <w:p w14:paraId="0367E544" w14:textId="77777777" w:rsidR="005A5EA2" w:rsidRPr="005A5EA2" w:rsidRDefault="005A5EA2" w:rsidP="005A5EA2">
      <w:pPr>
        <w:tabs>
          <w:tab w:val="left" w:pos="851"/>
        </w:tabs>
        <w:ind w:left="851"/>
        <w:rPr>
          <w:sz w:val="24"/>
          <w:szCs w:val="24"/>
        </w:rPr>
      </w:pPr>
      <w:r w:rsidRPr="005A5EA2">
        <w:rPr>
          <w:sz w:val="24"/>
          <w:szCs w:val="24"/>
        </w:rPr>
        <w:t xml:space="preserve">Kraftig symptomatisk behandling kan være nødvendigt til behandling af svær </w:t>
      </w:r>
      <w:proofErr w:type="spellStart"/>
      <w:r w:rsidRPr="005A5EA2">
        <w:rPr>
          <w:sz w:val="24"/>
          <w:szCs w:val="24"/>
        </w:rPr>
        <w:t>mucositis</w:t>
      </w:r>
      <w:proofErr w:type="spellEnd"/>
      <w:r w:rsidRPr="005A5EA2">
        <w:rPr>
          <w:sz w:val="24"/>
          <w:szCs w:val="24"/>
        </w:rPr>
        <w:t>, opkastning eller diarré.</w:t>
      </w:r>
    </w:p>
    <w:p w14:paraId="38ACD44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59B9E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623EDA7E" w14:textId="721ED6B2" w:rsidR="009260DE" w:rsidRPr="00C84483" w:rsidRDefault="005A5EA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050F75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2E20E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B0CBE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128C420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CDD4D8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23E460A9" w14:textId="6AD536C6" w:rsidR="009260DE" w:rsidRDefault="00FE5F47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FE5F47">
        <w:rPr>
          <w:sz w:val="24"/>
          <w:szCs w:val="24"/>
        </w:rPr>
        <w:t>Antineoplastiske</w:t>
      </w:r>
      <w:proofErr w:type="spellEnd"/>
      <w:r w:rsidRPr="00FE5F47">
        <w:rPr>
          <w:sz w:val="24"/>
          <w:szCs w:val="24"/>
        </w:rPr>
        <w:t xml:space="preserve"> eller </w:t>
      </w:r>
      <w:proofErr w:type="spellStart"/>
      <w:r w:rsidRPr="00FE5F47">
        <w:rPr>
          <w:sz w:val="24"/>
          <w:szCs w:val="24"/>
        </w:rPr>
        <w:t>immunomodulerende</w:t>
      </w:r>
      <w:proofErr w:type="spellEnd"/>
      <w:r w:rsidRPr="00FE5F47">
        <w:rPr>
          <w:sz w:val="24"/>
          <w:szCs w:val="24"/>
        </w:rPr>
        <w:t xml:space="preserve"> stoffer, bortset fra </w:t>
      </w:r>
      <w:proofErr w:type="spellStart"/>
      <w:r w:rsidRPr="00FE5F47">
        <w:rPr>
          <w:sz w:val="24"/>
          <w:szCs w:val="24"/>
        </w:rPr>
        <w:t>antineoplastiske</w:t>
      </w:r>
      <w:proofErr w:type="spellEnd"/>
      <w:r w:rsidRPr="00FE5F47">
        <w:rPr>
          <w:sz w:val="24"/>
          <w:szCs w:val="24"/>
        </w:rPr>
        <w:t xml:space="preserve"> stoffer</w:t>
      </w:r>
      <w:r w:rsidR="00812FA3">
        <w:rPr>
          <w:sz w:val="24"/>
          <w:szCs w:val="24"/>
        </w:rPr>
        <w:t xml:space="preserve">, </w:t>
      </w:r>
      <w:r w:rsidR="00812FA3" w:rsidRPr="00FE5F47">
        <w:rPr>
          <w:sz w:val="24"/>
          <w:szCs w:val="24"/>
        </w:rPr>
        <w:t>ATC-kode: L01XX01.</w:t>
      </w:r>
    </w:p>
    <w:p w14:paraId="10A34471" w14:textId="628555ED" w:rsidR="00812FA3" w:rsidRDefault="00812FA3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DCF1FD" w14:textId="77777777" w:rsidR="00812FA3" w:rsidRDefault="00812FA3" w:rsidP="00812FA3">
      <w:pPr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Amsalyo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amsacrin</w:t>
      </w:r>
      <w:proofErr w:type="spellEnd"/>
      <w:r>
        <w:rPr>
          <w:sz w:val="24"/>
          <w:szCs w:val="24"/>
        </w:rPr>
        <w:t xml:space="preserve">, som er et syntetisk </w:t>
      </w:r>
      <w:proofErr w:type="spellStart"/>
      <w:r>
        <w:rPr>
          <w:sz w:val="24"/>
          <w:szCs w:val="24"/>
        </w:rPr>
        <w:t>acridinderivat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cytostatisk</w:t>
      </w:r>
      <w:proofErr w:type="spellEnd"/>
      <w:r>
        <w:rPr>
          <w:sz w:val="24"/>
          <w:szCs w:val="24"/>
        </w:rPr>
        <w:t xml:space="preserve"> effekt. Stoffet indeholder et kraftigt vævsirriterende middel. Virkningsmekanismen er ikke fuldstændigt klarlagt, men tilskrives stoffets evne til at binde sig til DNA. </w:t>
      </w:r>
      <w:proofErr w:type="spellStart"/>
      <w:r>
        <w:rPr>
          <w:sz w:val="24"/>
          <w:szCs w:val="24"/>
        </w:rPr>
        <w:t>Amsacrin</w:t>
      </w:r>
      <w:proofErr w:type="spellEnd"/>
      <w:r>
        <w:rPr>
          <w:sz w:val="24"/>
          <w:szCs w:val="24"/>
        </w:rPr>
        <w:t xml:space="preserve"> hæmmer syntesen af DNA, mens syntesen af RNA ikke påvirkes. Det er påvist i cellekulturer, at der under delingen er 2-4 gange flere sensitive celler end hvilende celler. Den dosisbegrænsende toksicitet forårsages af knoglemarvsdepression, hvorfor </w:t>
      </w:r>
      <w:proofErr w:type="spellStart"/>
      <w:r>
        <w:rPr>
          <w:sz w:val="24"/>
          <w:szCs w:val="24"/>
        </w:rPr>
        <w:t>Amsalyo</w:t>
      </w:r>
      <w:proofErr w:type="spellEnd"/>
      <w:r>
        <w:rPr>
          <w:sz w:val="24"/>
          <w:szCs w:val="24"/>
        </w:rPr>
        <w:t xml:space="preserve"> er særlig velegnet til behandling af akut leukæmi. Der er ikke observeret krydsresistens med antibiotika af </w:t>
      </w:r>
      <w:proofErr w:type="spellStart"/>
      <w:r>
        <w:rPr>
          <w:sz w:val="24"/>
          <w:szCs w:val="24"/>
        </w:rPr>
        <w:t>antracyklinklassen</w:t>
      </w:r>
      <w:proofErr w:type="spellEnd"/>
      <w:r>
        <w:rPr>
          <w:sz w:val="24"/>
          <w:szCs w:val="24"/>
        </w:rPr>
        <w:t xml:space="preserve"> i kliniske undersøgelser. </w:t>
      </w:r>
      <w:proofErr w:type="spellStart"/>
      <w:r>
        <w:rPr>
          <w:sz w:val="24"/>
          <w:szCs w:val="24"/>
        </w:rPr>
        <w:t>Amsalyo</w:t>
      </w:r>
      <w:proofErr w:type="spellEnd"/>
      <w:r>
        <w:rPr>
          <w:sz w:val="24"/>
          <w:szCs w:val="24"/>
        </w:rPr>
        <w:t xml:space="preserve"> kan gives i kombination med </w:t>
      </w:r>
      <w:proofErr w:type="spellStart"/>
      <w:r>
        <w:rPr>
          <w:sz w:val="24"/>
          <w:szCs w:val="24"/>
        </w:rPr>
        <w:t>cytarabin</w:t>
      </w:r>
      <w:proofErr w:type="spellEnd"/>
      <w:r>
        <w:rPr>
          <w:sz w:val="24"/>
          <w:szCs w:val="24"/>
        </w:rPr>
        <w:t>.</w:t>
      </w:r>
    </w:p>
    <w:p w14:paraId="631FE9AB" w14:textId="77777777" w:rsidR="00812FA3" w:rsidRPr="00C84483" w:rsidRDefault="00812FA3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5CEE4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6585F23B" w14:textId="77777777" w:rsidR="00812FA3" w:rsidRPr="00812FA3" w:rsidRDefault="00812FA3" w:rsidP="00812FA3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EAAB1F9" w14:textId="77777777" w:rsidR="00812FA3" w:rsidRPr="00812FA3" w:rsidRDefault="00812FA3" w:rsidP="00812FA3">
      <w:pPr>
        <w:tabs>
          <w:tab w:val="left" w:pos="851"/>
        </w:tabs>
        <w:ind w:left="851"/>
        <w:rPr>
          <w:sz w:val="24"/>
          <w:szCs w:val="24"/>
        </w:rPr>
      </w:pPr>
      <w:r w:rsidRPr="00812FA3">
        <w:rPr>
          <w:sz w:val="24"/>
          <w:szCs w:val="24"/>
          <w:u w:val="single"/>
        </w:rPr>
        <w:t>Fordeling</w:t>
      </w:r>
    </w:p>
    <w:p w14:paraId="557A96EA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  <w:r w:rsidRPr="00812FA3">
        <w:rPr>
          <w:sz w:val="24"/>
          <w:szCs w:val="24"/>
        </w:rPr>
        <w:t>Intravenøs infusion af 90 mg/m</w:t>
      </w:r>
      <w:r w:rsidRPr="00812FA3">
        <w:rPr>
          <w:sz w:val="24"/>
          <w:szCs w:val="24"/>
          <w:vertAlign w:val="superscript"/>
        </w:rPr>
        <w:t>2</w:t>
      </w:r>
      <w:r w:rsidRPr="00812FA3">
        <w:rPr>
          <w:sz w:val="24"/>
          <w:szCs w:val="24"/>
        </w:rPr>
        <w:t xml:space="preserve"> over 1 time resulterer i en maksimal koncentration på 4,8 mg/ml i plasma. Graden af proteinbinding i plasma er ca. 97 %, og den angivelige fordelingsmængde er 70-110 l/m</w:t>
      </w:r>
      <w:r w:rsidRPr="00812FA3">
        <w:rPr>
          <w:sz w:val="24"/>
          <w:szCs w:val="24"/>
          <w:vertAlign w:val="superscript"/>
        </w:rPr>
        <w:t>2</w:t>
      </w:r>
      <w:r w:rsidRPr="00812FA3">
        <w:rPr>
          <w:sz w:val="24"/>
          <w:szCs w:val="24"/>
        </w:rPr>
        <w:t>.</w:t>
      </w:r>
    </w:p>
    <w:p w14:paraId="5AFC79B4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22D5E168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  <w:r w:rsidRPr="00812FA3">
        <w:rPr>
          <w:sz w:val="24"/>
          <w:szCs w:val="24"/>
          <w:u w:val="single"/>
        </w:rPr>
        <w:t>Biotransformation</w:t>
      </w:r>
    </w:p>
    <w:p w14:paraId="023525A8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812FA3">
        <w:rPr>
          <w:sz w:val="24"/>
          <w:szCs w:val="24"/>
        </w:rPr>
        <w:t>Amsacrin</w:t>
      </w:r>
      <w:proofErr w:type="spellEnd"/>
      <w:r w:rsidRPr="00812FA3">
        <w:rPr>
          <w:sz w:val="24"/>
          <w:szCs w:val="24"/>
        </w:rPr>
        <w:t xml:space="preserve"> </w:t>
      </w:r>
      <w:proofErr w:type="spellStart"/>
      <w:r w:rsidRPr="00812FA3">
        <w:rPr>
          <w:sz w:val="24"/>
          <w:szCs w:val="24"/>
        </w:rPr>
        <w:t>metaboliseres</w:t>
      </w:r>
      <w:proofErr w:type="spellEnd"/>
      <w:r w:rsidRPr="00812FA3">
        <w:rPr>
          <w:sz w:val="24"/>
          <w:szCs w:val="24"/>
        </w:rPr>
        <w:t xml:space="preserve"> kraftigt i leveren, men de katalyserende enzymers identitet er stort set ukendt. Den primære </w:t>
      </w:r>
      <w:proofErr w:type="spellStart"/>
      <w:r w:rsidRPr="00812FA3">
        <w:rPr>
          <w:sz w:val="24"/>
          <w:szCs w:val="24"/>
        </w:rPr>
        <w:t>metaboliseringsvej</w:t>
      </w:r>
      <w:proofErr w:type="spellEnd"/>
      <w:r w:rsidRPr="00812FA3">
        <w:rPr>
          <w:sz w:val="24"/>
          <w:szCs w:val="24"/>
        </w:rPr>
        <w:t xml:space="preserve"> for </w:t>
      </w:r>
      <w:proofErr w:type="spellStart"/>
      <w:r w:rsidRPr="00812FA3">
        <w:rPr>
          <w:sz w:val="24"/>
          <w:szCs w:val="24"/>
        </w:rPr>
        <w:t>amsacrin</w:t>
      </w:r>
      <w:proofErr w:type="spellEnd"/>
      <w:r w:rsidRPr="00812FA3">
        <w:rPr>
          <w:sz w:val="24"/>
          <w:szCs w:val="24"/>
        </w:rPr>
        <w:t xml:space="preserve"> er oxidering til den reaktive </w:t>
      </w:r>
      <w:proofErr w:type="spellStart"/>
      <w:r w:rsidRPr="00812FA3">
        <w:rPr>
          <w:sz w:val="24"/>
          <w:szCs w:val="24"/>
        </w:rPr>
        <w:t>quinoen</w:t>
      </w:r>
      <w:proofErr w:type="spellEnd"/>
      <w:r w:rsidRPr="00812FA3">
        <w:rPr>
          <w:sz w:val="24"/>
          <w:szCs w:val="24"/>
        </w:rPr>
        <w:t xml:space="preserve"> </w:t>
      </w:r>
      <w:proofErr w:type="spellStart"/>
      <w:r w:rsidRPr="00812FA3">
        <w:rPr>
          <w:sz w:val="24"/>
          <w:szCs w:val="24"/>
        </w:rPr>
        <w:t>diimine-intermediær</w:t>
      </w:r>
      <w:proofErr w:type="spellEnd"/>
      <w:r w:rsidRPr="00812FA3">
        <w:rPr>
          <w:sz w:val="24"/>
          <w:szCs w:val="24"/>
        </w:rPr>
        <w:t xml:space="preserve"> efterfulgt af konjugation med GSH på </w:t>
      </w:r>
      <w:proofErr w:type="spellStart"/>
      <w:r w:rsidRPr="00812FA3">
        <w:rPr>
          <w:sz w:val="24"/>
          <w:szCs w:val="24"/>
        </w:rPr>
        <w:t>anilinringens</w:t>
      </w:r>
      <w:proofErr w:type="spellEnd"/>
      <w:r w:rsidRPr="00812FA3">
        <w:rPr>
          <w:sz w:val="24"/>
          <w:szCs w:val="24"/>
        </w:rPr>
        <w:t xml:space="preserve"> C-5`- og C-6`-position.</w:t>
      </w:r>
    </w:p>
    <w:p w14:paraId="4BF24D76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299280E3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  <w:r w:rsidRPr="00812FA3">
        <w:rPr>
          <w:sz w:val="24"/>
          <w:szCs w:val="24"/>
          <w:u w:val="single"/>
        </w:rPr>
        <w:t>Elimination</w:t>
      </w:r>
    </w:p>
    <w:p w14:paraId="746746D9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  <w:r w:rsidRPr="00812FA3">
        <w:rPr>
          <w:sz w:val="24"/>
          <w:szCs w:val="24"/>
        </w:rPr>
        <w:t>Udskillelse sker i høj grad via galden, primært som 5´- og 6`-GSH-metabolitter, og som metabolitter i urinen</w:t>
      </w:r>
      <w:r w:rsidRPr="00812FA3">
        <w:rPr>
          <w:b/>
          <w:bCs/>
          <w:sz w:val="24"/>
          <w:szCs w:val="24"/>
        </w:rPr>
        <w:t>.</w:t>
      </w:r>
      <w:r w:rsidRPr="00812FA3">
        <w:rPr>
          <w:sz w:val="24"/>
          <w:szCs w:val="24"/>
        </w:rPr>
        <w:t xml:space="preserve"> Eliminationen er tofaset med en afsluttende halveringstid på 6-9 timer. En begrænset del af dosis (ca. 10 %) udskilles uændret i urinen. Resten af dosis udskilles som metabolitter i galde og urin. Den samlede udskillelseshastighed for plasma er 200-300 ml/min pr. m</w:t>
      </w:r>
      <w:r w:rsidRPr="00812FA3">
        <w:rPr>
          <w:sz w:val="24"/>
          <w:szCs w:val="24"/>
          <w:vertAlign w:val="superscript"/>
        </w:rPr>
        <w:t>2</w:t>
      </w:r>
      <w:r w:rsidRPr="00812FA3">
        <w:rPr>
          <w:sz w:val="24"/>
          <w:szCs w:val="24"/>
        </w:rPr>
        <w:t>. Inden for 72 timer findes ca. 40 % af den administrerede dosis i urinen som metabolitter eller uændret stof.</w:t>
      </w:r>
    </w:p>
    <w:p w14:paraId="3915F07D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19B7B66B" w14:textId="77777777" w:rsidR="00812FA3" w:rsidRPr="00812FA3" w:rsidRDefault="00812FA3" w:rsidP="00812FA3">
      <w:pPr>
        <w:tabs>
          <w:tab w:val="left" w:pos="851"/>
        </w:tabs>
        <w:ind w:left="851"/>
        <w:rPr>
          <w:bCs/>
          <w:sz w:val="24"/>
          <w:szCs w:val="24"/>
        </w:rPr>
      </w:pPr>
      <w:r w:rsidRPr="00812FA3">
        <w:rPr>
          <w:sz w:val="24"/>
          <w:szCs w:val="24"/>
          <w:u w:val="single"/>
        </w:rPr>
        <w:t>Nyre- og leverinsufficiens</w:t>
      </w:r>
    </w:p>
    <w:p w14:paraId="37DDD387" w14:textId="77777777" w:rsidR="00812FA3" w:rsidRPr="00812FA3" w:rsidRDefault="00812FA3" w:rsidP="00812FA3">
      <w:pPr>
        <w:tabs>
          <w:tab w:val="left" w:pos="851"/>
        </w:tabs>
        <w:ind w:left="851"/>
        <w:rPr>
          <w:sz w:val="24"/>
          <w:szCs w:val="24"/>
        </w:rPr>
      </w:pPr>
      <w:r w:rsidRPr="00812FA3">
        <w:rPr>
          <w:sz w:val="24"/>
          <w:szCs w:val="24"/>
        </w:rPr>
        <w:t xml:space="preserve">Der er observeret øget halveringstid hos patienter med svækket leverfunktion. Der har været tilfælde, hvor udskillelsen i urin af </w:t>
      </w:r>
      <w:r w:rsidRPr="00812FA3">
        <w:rPr>
          <w:sz w:val="24"/>
          <w:szCs w:val="24"/>
          <w:u w:val="single"/>
        </w:rPr>
        <w:t>uændret</w:t>
      </w:r>
      <w:r w:rsidRPr="00812FA3">
        <w:rPr>
          <w:sz w:val="24"/>
          <w:szCs w:val="24"/>
        </w:rPr>
        <w:t xml:space="preserve"> </w:t>
      </w:r>
      <w:proofErr w:type="spellStart"/>
      <w:r w:rsidRPr="00812FA3">
        <w:rPr>
          <w:sz w:val="24"/>
          <w:szCs w:val="24"/>
        </w:rPr>
        <w:t>amsacrin</w:t>
      </w:r>
      <w:proofErr w:type="spellEnd"/>
      <w:r w:rsidRPr="00812FA3">
        <w:rPr>
          <w:sz w:val="24"/>
          <w:szCs w:val="24"/>
        </w:rPr>
        <w:t xml:space="preserve"> over 72 timer, typisk omkring 12 % af dosen, falder til kun 2 % hos patienter med nyreinsufficiens og øges til 20 % hos </w:t>
      </w:r>
      <w:r w:rsidRPr="00812FA3">
        <w:rPr>
          <w:sz w:val="24"/>
          <w:szCs w:val="24"/>
        </w:rPr>
        <w:lastRenderedPageBreak/>
        <w:t>patienter med leverinsufficiens. Efter administration af [</w:t>
      </w:r>
      <w:r w:rsidRPr="00812FA3">
        <w:rPr>
          <w:sz w:val="24"/>
          <w:szCs w:val="24"/>
          <w:vertAlign w:val="superscript"/>
        </w:rPr>
        <w:t>14</w:t>
      </w:r>
      <w:proofErr w:type="gramStart"/>
      <w:r w:rsidRPr="00812FA3">
        <w:rPr>
          <w:sz w:val="24"/>
          <w:szCs w:val="24"/>
        </w:rPr>
        <w:t>C]</w:t>
      </w:r>
      <w:proofErr w:type="spellStart"/>
      <w:r w:rsidRPr="00812FA3">
        <w:rPr>
          <w:sz w:val="24"/>
          <w:szCs w:val="24"/>
        </w:rPr>
        <w:t>amsacrin</w:t>
      </w:r>
      <w:proofErr w:type="spellEnd"/>
      <w:proofErr w:type="gramEnd"/>
      <w:r w:rsidRPr="00812FA3">
        <w:rPr>
          <w:sz w:val="24"/>
          <w:szCs w:val="24"/>
        </w:rPr>
        <w:t xml:space="preserve"> var den samlede mængde udskilt radioaktivt mærket stof i urin 35 % hos patienter med normal organfunktion, 49 % hos patienter med leverinsufficiens og 2-16 % hos patienter med nyreinsufficiens.</w:t>
      </w:r>
    </w:p>
    <w:p w14:paraId="18D4682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ABFA0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538D217A" w14:textId="77777777" w:rsidR="00812FA3" w:rsidRDefault="00812FA3" w:rsidP="00812FA3">
      <w:pPr>
        <w:pStyle w:val="Brdtekst"/>
        <w:ind w:left="851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Det er kendt, at </w:t>
      </w:r>
      <w:proofErr w:type="spellStart"/>
      <w:r>
        <w:rPr>
          <w:i w:val="0"/>
          <w:color w:val="auto"/>
          <w:sz w:val="24"/>
          <w:szCs w:val="24"/>
        </w:rPr>
        <w:t>amsacrin</w:t>
      </w:r>
      <w:proofErr w:type="spellEnd"/>
      <w:r>
        <w:rPr>
          <w:i w:val="0"/>
          <w:color w:val="auto"/>
          <w:sz w:val="24"/>
          <w:szCs w:val="24"/>
        </w:rPr>
        <w:t xml:space="preserve"> producerer sine toksiske effekter primært pga. stoffets </w:t>
      </w:r>
      <w:proofErr w:type="spellStart"/>
      <w:r>
        <w:rPr>
          <w:i w:val="0"/>
          <w:color w:val="auto"/>
          <w:sz w:val="24"/>
          <w:szCs w:val="24"/>
        </w:rPr>
        <w:t>myelosuppressive</w:t>
      </w:r>
      <w:proofErr w:type="spellEnd"/>
      <w:r>
        <w:rPr>
          <w:i w:val="0"/>
          <w:color w:val="auto"/>
          <w:sz w:val="24"/>
          <w:szCs w:val="24"/>
        </w:rPr>
        <w:t xml:space="preserve"> egenskaber. Gentagen administration kan endvidere medføre bivirkninger i mave-tarm-systemet og slimhinder hos dyr.</w:t>
      </w:r>
    </w:p>
    <w:p w14:paraId="684A2C45" w14:textId="77777777" w:rsidR="00812FA3" w:rsidRDefault="00812FA3" w:rsidP="00812FA3">
      <w:pPr>
        <w:pStyle w:val="Brdtekst"/>
        <w:ind w:left="851" w:hanging="851"/>
        <w:rPr>
          <w:bCs/>
          <w:i w:val="0"/>
          <w:color w:val="auto"/>
          <w:sz w:val="24"/>
          <w:szCs w:val="24"/>
        </w:rPr>
      </w:pPr>
    </w:p>
    <w:p w14:paraId="009142F0" w14:textId="77777777" w:rsidR="00812FA3" w:rsidRDefault="00812FA3" w:rsidP="00812FA3">
      <w:pPr>
        <w:pStyle w:val="Brdtekst"/>
        <w:ind w:left="851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color w:val="auto"/>
          <w:sz w:val="24"/>
          <w:szCs w:val="24"/>
        </w:rPr>
        <w:t>Amsacrin</w:t>
      </w:r>
      <w:proofErr w:type="spellEnd"/>
      <w:r>
        <w:rPr>
          <w:i w:val="0"/>
          <w:color w:val="auto"/>
          <w:sz w:val="24"/>
          <w:szCs w:val="24"/>
        </w:rPr>
        <w:t xml:space="preserve"> påvirker syntesen af DNA, hvorfor det har potente genotoksiske og </w:t>
      </w:r>
      <w:proofErr w:type="spellStart"/>
      <w:r>
        <w:rPr>
          <w:i w:val="0"/>
          <w:color w:val="auto"/>
          <w:sz w:val="24"/>
          <w:szCs w:val="24"/>
        </w:rPr>
        <w:t>cytotoksiske</w:t>
      </w:r>
      <w:proofErr w:type="spellEnd"/>
      <w:r>
        <w:rPr>
          <w:i w:val="0"/>
          <w:color w:val="auto"/>
          <w:sz w:val="24"/>
          <w:szCs w:val="24"/>
        </w:rPr>
        <w:t xml:space="preserve"> egenskaber, og stoffet er kategoriseret som et </w:t>
      </w:r>
      <w:proofErr w:type="spellStart"/>
      <w:r>
        <w:rPr>
          <w:i w:val="0"/>
          <w:color w:val="auto"/>
          <w:sz w:val="24"/>
          <w:szCs w:val="24"/>
        </w:rPr>
        <w:t>carcinogen</w:t>
      </w:r>
      <w:proofErr w:type="spellEnd"/>
      <w:r>
        <w:rPr>
          <w:i w:val="0"/>
          <w:color w:val="auto"/>
          <w:sz w:val="24"/>
          <w:szCs w:val="24"/>
        </w:rPr>
        <w:t xml:space="preserve"> i klasse 2B for mennesker af WHO og IARC. </w:t>
      </w:r>
      <w:proofErr w:type="spellStart"/>
      <w:r>
        <w:rPr>
          <w:i w:val="0"/>
          <w:color w:val="auto"/>
          <w:sz w:val="24"/>
          <w:szCs w:val="24"/>
        </w:rPr>
        <w:t>Amsacrin</w:t>
      </w:r>
      <w:proofErr w:type="spellEnd"/>
      <w:r>
        <w:rPr>
          <w:i w:val="0"/>
          <w:color w:val="auto"/>
          <w:sz w:val="24"/>
          <w:szCs w:val="24"/>
        </w:rPr>
        <w:t xml:space="preserve"> er lettere genotoksisk i både humane og ikke-humane </w:t>
      </w:r>
      <w:proofErr w:type="spellStart"/>
      <w:r>
        <w:rPr>
          <w:i w:val="0"/>
          <w:color w:val="auto"/>
          <w:sz w:val="24"/>
          <w:szCs w:val="24"/>
        </w:rPr>
        <w:t>mammale</w:t>
      </w:r>
      <w:proofErr w:type="spellEnd"/>
      <w:r>
        <w:rPr>
          <w:i w:val="0"/>
          <w:color w:val="auto"/>
          <w:sz w:val="24"/>
          <w:szCs w:val="24"/>
        </w:rPr>
        <w:t xml:space="preserve"> celler. </w:t>
      </w:r>
      <w:proofErr w:type="spellStart"/>
      <w:r>
        <w:rPr>
          <w:i w:val="0"/>
          <w:color w:val="auto"/>
          <w:sz w:val="24"/>
          <w:szCs w:val="24"/>
        </w:rPr>
        <w:t>Carcinogenicitetsforsøg</w:t>
      </w:r>
      <w:proofErr w:type="spellEnd"/>
      <w:r>
        <w:rPr>
          <w:i w:val="0"/>
          <w:color w:val="auto"/>
          <w:sz w:val="24"/>
          <w:szCs w:val="24"/>
        </w:rPr>
        <w:t xml:space="preserve"> med </w:t>
      </w:r>
      <w:proofErr w:type="spellStart"/>
      <w:r>
        <w:rPr>
          <w:i w:val="0"/>
          <w:color w:val="auto"/>
          <w:sz w:val="24"/>
          <w:szCs w:val="24"/>
        </w:rPr>
        <w:t>amsacrin</w:t>
      </w:r>
      <w:proofErr w:type="spellEnd"/>
      <w:r>
        <w:rPr>
          <w:i w:val="0"/>
          <w:color w:val="auto"/>
          <w:sz w:val="24"/>
          <w:szCs w:val="24"/>
        </w:rPr>
        <w:t xml:space="preserve"> i rotter indikerer øget </w:t>
      </w:r>
      <w:proofErr w:type="spellStart"/>
      <w:r>
        <w:rPr>
          <w:i w:val="0"/>
          <w:color w:val="auto"/>
          <w:sz w:val="24"/>
          <w:szCs w:val="24"/>
        </w:rPr>
        <w:t>incidens</w:t>
      </w:r>
      <w:proofErr w:type="spellEnd"/>
      <w:r>
        <w:rPr>
          <w:i w:val="0"/>
          <w:color w:val="auto"/>
          <w:sz w:val="24"/>
          <w:szCs w:val="24"/>
        </w:rPr>
        <w:t xml:space="preserve"> af små </w:t>
      </w:r>
      <w:proofErr w:type="spellStart"/>
      <w:r>
        <w:rPr>
          <w:i w:val="0"/>
          <w:color w:val="auto"/>
          <w:sz w:val="24"/>
          <w:szCs w:val="24"/>
        </w:rPr>
        <w:t>intestinale</w:t>
      </w:r>
      <w:proofErr w:type="spellEnd"/>
      <w:r>
        <w:rPr>
          <w:i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color w:val="auto"/>
          <w:sz w:val="24"/>
          <w:szCs w:val="24"/>
        </w:rPr>
        <w:t>adenocarcinomer</w:t>
      </w:r>
      <w:proofErr w:type="spellEnd"/>
      <w:r>
        <w:rPr>
          <w:i w:val="0"/>
          <w:color w:val="auto"/>
          <w:sz w:val="24"/>
          <w:szCs w:val="24"/>
        </w:rPr>
        <w:t xml:space="preserve"> og signifikant forøget </w:t>
      </w:r>
      <w:proofErr w:type="spellStart"/>
      <w:r>
        <w:rPr>
          <w:i w:val="0"/>
          <w:color w:val="auto"/>
          <w:sz w:val="24"/>
          <w:szCs w:val="24"/>
        </w:rPr>
        <w:t>incidens</w:t>
      </w:r>
      <w:proofErr w:type="spellEnd"/>
      <w:r>
        <w:rPr>
          <w:i w:val="0"/>
          <w:color w:val="auto"/>
          <w:sz w:val="24"/>
          <w:szCs w:val="24"/>
        </w:rPr>
        <w:t xml:space="preserve"> af </w:t>
      </w:r>
      <w:proofErr w:type="spellStart"/>
      <w:r>
        <w:rPr>
          <w:i w:val="0"/>
          <w:color w:val="auto"/>
          <w:sz w:val="24"/>
          <w:szCs w:val="24"/>
        </w:rPr>
        <w:t>mammatumorer</w:t>
      </w:r>
      <w:proofErr w:type="spellEnd"/>
      <w:r>
        <w:rPr>
          <w:i w:val="0"/>
          <w:color w:val="auto"/>
          <w:sz w:val="24"/>
          <w:szCs w:val="24"/>
        </w:rPr>
        <w:t xml:space="preserve"> i hunrotter.</w:t>
      </w:r>
    </w:p>
    <w:p w14:paraId="5FC1ABEE" w14:textId="77777777" w:rsidR="00812FA3" w:rsidRDefault="00812FA3" w:rsidP="00812FA3">
      <w:pPr>
        <w:pStyle w:val="Brdtekst"/>
        <w:ind w:left="851" w:hanging="851"/>
        <w:rPr>
          <w:i w:val="0"/>
          <w:color w:val="auto"/>
          <w:sz w:val="24"/>
          <w:szCs w:val="24"/>
        </w:rPr>
      </w:pPr>
    </w:p>
    <w:p w14:paraId="23EDB2E3" w14:textId="77777777" w:rsidR="00812FA3" w:rsidRDefault="00812FA3" w:rsidP="00812FA3">
      <w:pPr>
        <w:pStyle w:val="Brdtekst"/>
        <w:ind w:left="851"/>
        <w:rPr>
          <w:bCs/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Det er blevet påvist, at </w:t>
      </w:r>
      <w:proofErr w:type="spellStart"/>
      <w:r>
        <w:rPr>
          <w:i w:val="0"/>
          <w:color w:val="auto"/>
          <w:sz w:val="24"/>
          <w:szCs w:val="24"/>
        </w:rPr>
        <w:t>amsacrin</w:t>
      </w:r>
      <w:proofErr w:type="spellEnd"/>
      <w:r>
        <w:rPr>
          <w:i w:val="0"/>
          <w:color w:val="auto"/>
          <w:sz w:val="24"/>
          <w:szCs w:val="24"/>
        </w:rPr>
        <w:t xml:space="preserve"> inducerer </w:t>
      </w:r>
      <w:proofErr w:type="spellStart"/>
      <w:r>
        <w:rPr>
          <w:i w:val="0"/>
          <w:color w:val="auto"/>
          <w:sz w:val="24"/>
          <w:szCs w:val="24"/>
        </w:rPr>
        <w:t>aneuploidi</w:t>
      </w:r>
      <w:proofErr w:type="spellEnd"/>
      <w:r>
        <w:rPr>
          <w:i w:val="0"/>
          <w:color w:val="auto"/>
          <w:sz w:val="24"/>
          <w:szCs w:val="24"/>
        </w:rPr>
        <w:t xml:space="preserve"> og drab af differentierende </w:t>
      </w:r>
      <w:proofErr w:type="spellStart"/>
      <w:r>
        <w:rPr>
          <w:i w:val="0"/>
          <w:color w:val="auto"/>
          <w:sz w:val="24"/>
          <w:szCs w:val="24"/>
        </w:rPr>
        <w:t>spermatogoni</w:t>
      </w:r>
      <w:proofErr w:type="spellEnd"/>
      <w:r>
        <w:rPr>
          <w:i w:val="0"/>
          <w:color w:val="auto"/>
          <w:sz w:val="24"/>
          <w:szCs w:val="24"/>
        </w:rPr>
        <w:t xml:space="preserve"> i mus og kan være embryotoksisk, </w:t>
      </w:r>
      <w:proofErr w:type="spellStart"/>
      <w:r>
        <w:rPr>
          <w:i w:val="0"/>
          <w:color w:val="auto"/>
          <w:sz w:val="24"/>
          <w:szCs w:val="24"/>
        </w:rPr>
        <w:t>føtotoksisk</w:t>
      </w:r>
      <w:proofErr w:type="spellEnd"/>
      <w:r>
        <w:rPr>
          <w:i w:val="0"/>
          <w:color w:val="auto"/>
          <w:sz w:val="24"/>
          <w:szCs w:val="24"/>
        </w:rPr>
        <w:t xml:space="preserve"> og </w:t>
      </w:r>
      <w:proofErr w:type="spellStart"/>
      <w:r>
        <w:rPr>
          <w:i w:val="0"/>
          <w:color w:val="auto"/>
          <w:sz w:val="24"/>
          <w:szCs w:val="24"/>
        </w:rPr>
        <w:t>teratogenisk</w:t>
      </w:r>
      <w:proofErr w:type="spellEnd"/>
      <w:r>
        <w:rPr>
          <w:i w:val="0"/>
          <w:color w:val="auto"/>
          <w:sz w:val="24"/>
          <w:szCs w:val="24"/>
        </w:rPr>
        <w:t xml:space="preserve"> i rotter. Disse resultater giver et fundament for genetisk rådgivning af patienter, der behandles med </w:t>
      </w:r>
      <w:proofErr w:type="spellStart"/>
      <w:r>
        <w:rPr>
          <w:i w:val="0"/>
          <w:color w:val="auto"/>
          <w:sz w:val="24"/>
          <w:szCs w:val="24"/>
        </w:rPr>
        <w:t>amsacrin</w:t>
      </w:r>
      <w:proofErr w:type="spellEnd"/>
      <w:r>
        <w:rPr>
          <w:i w:val="0"/>
          <w:color w:val="auto"/>
          <w:sz w:val="24"/>
          <w:szCs w:val="24"/>
        </w:rPr>
        <w:t xml:space="preserve">, og anbefalinger til både mænds og kvinders brug af </w:t>
      </w:r>
      <w:proofErr w:type="spellStart"/>
      <w:r>
        <w:rPr>
          <w:i w:val="0"/>
          <w:color w:val="auto"/>
          <w:sz w:val="24"/>
          <w:szCs w:val="24"/>
        </w:rPr>
        <w:t>antikonceptiva</w:t>
      </w:r>
      <w:proofErr w:type="spellEnd"/>
      <w:r>
        <w:rPr>
          <w:i w:val="0"/>
          <w:color w:val="auto"/>
          <w:sz w:val="24"/>
          <w:szCs w:val="24"/>
        </w:rPr>
        <w:t>.</w:t>
      </w:r>
    </w:p>
    <w:p w14:paraId="70F48335" w14:textId="77777777" w:rsidR="00812FA3" w:rsidRDefault="00812FA3" w:rsidP="00812FA3">
      <w:pPr>
        <w:ind w:left="851" w:hanging="851"/>
        <w:rPr>
          <w:sz w:val="24"/>
          <w:szCs w:val="24"/>
        </w:rPr>
      </w:pPr>
    </w:p>
    <w:p w14:paraId="025C135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5DCE1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26B7FCA9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64A1A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284B1631" w14:textId="77777777" w:rsidR="00812FA3" w:rsidRDefault="00812FA3" w:rsidP="00812FA3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Mælkesyre </w:t>
      </w:r>
    </w:p>
    <w:p w14:paraId="43CAFD8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6BE9C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2D5254E8" w14:textId="3149682D" w:rsidR="00812FA3" w:rsidRDefault="00812FA3" w:rsidP="00812FA3">
      <w:pPr>
        <w:ind w:left="851"/>
      </w:pPr>
      <w:r>
        <w:t>Der må ikke anvendes andre opløsninger end glukose til klargøringen af lægemidlet</w:t>
      </w:r>
      <w:r w:rsidR="00D5552C">
        <w:t>,</w:t>
      </w:r>
      <w:r>
        <w:t xml:space="preserve"> som beskrevet under pkt. 4.2, da </w:t>
      </w:r>
      <w:proofErr w:type="spellStart"/>
      <w:r>
        <w:t>amsacrin</w:t>
      </w:r>
      <w:proofErr w:type="spellEnd"/>
      <w:r>
        <w:t xml:space="preserve"> er </w:t>
      </w:r>
      <w:proofErr w:type="spellStart"/>
      <w:r>
        <w:t>uforligeligt</w:t>
      </w:r>
      <w:proofErr w:type="spellEnd"/>
      <w:r>
        <w:t xml:space="preserve"> med </w:t>
      </w:r>
      <w:proofErr w:type="spellStart"/>
      <w:r>
        <w:t>chloridioner</w:t>
      </w:r>
      <w:proofErr w:type="spellEnd"/>
      <w:r>
        <w:t>.</w:t>
      </w:r>
    </w:p>
    <w:p w14:paraId="4A900712" w14:textId="77777777" w:rsidR="00812FA3" w:rsidRDefault="00812FA3" w:rsidP="00812FA3">
      <w:pPr>
        <w:ind w:left="851"/>
      </w:pPr>
    </w:p>
    <w:p w14:paraId="126C1FA0" w14:textId="77777777" w:rsidR="00812FA3" w:rsidRDefault="00812FA3" w:rsidP="00812FA3">
      <w:pPr>
        <w:ind w:left="851"/>
      </w:pPr>
      <w:r>
        <w:t>Dette lægemiddel må ikke blandes med andre lægemidler.</w:t>
      </w:r>
    </w:p>
    <w:p w14:paraId="21E37E3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6E45D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665D7397" w14:textId="26E1E993" w:rsidR="00D5552C" w:rsidRPr="00D5552C" w:rsidRDefault="00D5552C" w:rsidP="00D5552C">
      <w:pPr>
        <w:tabs>
          <w:tab w:val="left" w:pos="851"/>
        </w:tabs>
        <w:ind w:left="851"/>
        <w:rPr>
          <w:sz w:val="24"/>
          <w:szCs w:val="24"/>
        </w:rPr>
      </w:pPr>
      <w:r w:rsidRPr="00D5552C">
        <w:rPr>
          <w:sz w:val="24"/>
          <w:szCs w:val="24"/>
        </w:rPr>
        <w:t>3 år.</w:t>
      </w:r>
    </w:p>
    <w:p w14:paraId="2A2859E6" w14:textId="77777777" w:rsidR="00D5552C" w:rsidRPr="00D5552C" w:rsidRDefault="00D5552C" w:rsidP="00D5552C">
      <w:pPr>
        <w:tabs>
          <w:tab w:val="left" w:pos="851"/>
        </w:tabs>
        <w:ind w:left="851"/>
        <w:rPr>
          <w:sz w:val="24"/>
          <w:szCs w:val="24"/>
        </w:rPr>
      </w:pPr>
    </w:p>
    <w:p w14:paraId="23411626" w14:textId="77777777" w:rsidR="00D5552C" w:rsidRPr="00D5552C" w:rsidRDefault="00D5552C" w:rsidP="00D555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5552C">
        <w:rPr>
          <w:sz w:val="24"/>
          <w:szCs w:val="24"/>
          <w:u w:val="single"/>
        </w:rPr>
        <w:t xml:space="preserve">Efter </w:t>
      </w:r>
      <w:proofErr w:type="spellStart"/>
      <w:r w:rsidRPr="00D5552C">
        <w:rPr>
          <w:sz w:val="24"/>
          <w:szCs w:val="24"/>
          <w:u w:val="single"/>
        </w:rPr>
        <w:t>rekonstituering</w:t>
      </w:r>
      <w:proofErr w:type="spellEnd"/>
    </w:p>
    <w:p w14:paraId="690D9190" w14:textId="0AE23612" w:rsidR="00D5552C" w:rsidRPr="00D5552C" w:rsidRDefault="00D5552C" w:rsidP="00D5552C">
      <w:pPr>
        <w:tabs>
          <w:tab w:val="left" w:pos="851"/>
        </w:tabs>
        <w:ind w:left="851"/>
        <w:rPr>
          <w:sz w:val="24"/>
          <w:szCs w:val="24"/>
        </w:rPr>
      </w:pPr>
      <w:r w:rsidRPr="00D5552C">
        <w:rPr>
          <w:sz w:val="24"/>
          <w:szCs w:val="24"/>
        </w:rPr>
        <w:t xml:space="preserve">Lægemidlets fysiske og kemiske stabilitet er dokumenteret for 5 dage ved 25 °C. Set fra et mikrobiologisk synspunkt skal lægemidlet dog anvendes omgående. Hvis lægemidlet ikke anvendes omgående, er brugeren eneansvarlig for opbevaringstiden og opbevaringsforholdene efter </w:t>
      </w:r>
      <w:proofErr w:type="spellStart"/>
      <w:r w:rsidRPr="00D5552C">
        <w:rPr>
          <w:sz w:val="24"/>
          <w:szCs w:val="24"/>
        </w:rPr>
        <w:t>rekonstituering</w:t>
      </w:r>
      <w:proofErr w:type="spellEnd"/>
      <w:r w:rsidRPr="00D5552C">
        <w:rPr>
          <w:sz w:val="24"/>
          <w:szCs w:val="24"/>
        </w:rPr>
        <w:t xml:space="preserve"> og før brug.</w:t>
      </w:r>
    </w:p>
    <w:p w14:paraId="2F4FE10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777A2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177020C3" w14:textId="77777777" w:rsidR="00D5552C" w:rsidRPr="00D5552C" w:rsidRDefault="00D5552C" w:rsidP="00D5552C">
      <w:pPr>
        <w:tabs>
          <w:tab w:val="left" w:pos="851"/>
        </w:tabs>
        <w:ind w:left="851"/>
        <w:rPr>
          <w:sz w:val="24"/>
          <w:szCs w:val="24"/>
        </w:rPr>
      </w:pPr>
      <w:r w:rsidRPr="00D5552C">
        <w:rPr>
          <w:sz w:val="24"/>
          <w:szCs w:val="24"/>
        </w:rPr>
        <w:t>Må ikke opbevares ved temperaturer over 30 ºC.</w:t>
      </w:r>
    </w:p>
    <w:p w14:paraId="16274A9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64282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4208DFE2" w14:textId="7E592A59" w:rsidR="00D5552C" w:rsidRDefault="00D5552C" w:rsidP="00D5552C">
      <w:pPr>
        <w:tabs>
          <w:tab w:val="left" w:pos="851"/>
        </w:tabs>
        <w:ind w:left="851"/>
        <w:rPr>
          <w:sz w:val="24"/>
          <w:szCs w:val="24"/>
        </w:rPr>
      </w:pPr>
      <w:r w:rsidRPr="00D5552C">
        <w:rPr>
          <w:sz w:val="24"/>
          <w:szCs w:val="24"/>
        </w:rPr>
        <w:t>50</w:t>
      </w:r>
      <w:r w:rsidR="00C07AA2">
        <w:rPr>
          <w:sz w:val="24"/>
          <w:szCs w:val="24"/>
        </w:rPr>
        <w:t xml:space="preserve"> </w:t>
      </w:r>
      <w:r w:rsidRPr="00D5552C">
        <w:rPr>
          <w:sz w:val="24"/>
          <w:szCs w:val="24"/>
        </w:rPr>
        <w:t>ml</w:t>
      </w:r>
      <w:r w:rsidR="00E47F0E">
        <w:rPr>
          <w:sz w:val="24"/>
          <w:szCs w:val="24"/>
        </w:rPr>
        <w:t xml:space="preserve"> brunt </w:t>
      </w:r>
      <w:r w:rsidRPr="00D5552C">
        <w:rPr>
          <w:sz w:val="24"/>
          <w:szCs w:val="24"/>
        </w:rPr>
        <w:t>hætteglas type I</w:t>
      </w:r>
      <w:r w:rsidR="00E47F0E">
        <w:rPr>
          <w:sz w:val="24"/>
          <w:szCs w:val="24"/>
        </w:rPr>
        <w:t xml:space="preserve"> glas</w:t>
      </w:r>
      <w:r w:rsidRPr="00D5552C">
        <w:rPr>
          <w:sz w:val="24"/>
          <w:szCs w:val="24"/>
        </w:rPr>
        <w:t xml:space="preserve"> med prop </w:t>
      </w:r>
      <w:proofErr w:type="spellStart"/>
      <w:r w:rsidRPr="00D5552C">
        <w:rPr>
          <w:sz w:val="24"/>
          <w:szCs w:val="24"/>
        </w:rPr>
        <w:t>brombutyl</w:t>
      </w:r>
      <w:proofErr w:type="spellEnd"/>
      <w:r w:rsidR="00E47F0E">
        <w:rPr>
          <w:sz w:val="24"/>
          <w:szCs w:val="24"/>
        </w:rPr>
        <w:t>-prop</w:t>
      </w:r>
      <w:r w:rsidRPr="00D5552C">
        <w:rPr>
          <w:sz w:val="24"/>
          <w:szCs w:val="24"/>
        </w:rPr>
        <w:t>.</w:t>
      </w:r>
    </w:p>
    <w:p w14:paraId="5AB67CD3" w14:textId="25DF9D12" w:rsidR="004B5F7F" w:rsidRDefault="004B5F7F" w:rsidP="00D5552C">
      <w:pPr>
        <w:tabs>
          <w:tab w:val="left" w:pos="851"/>
        </w:tabs>
        <w:ind w:left="851"/>
        <w:rPr>
          <w:sz w:val="24"/>
          <w:szCs w:val="24"/>
        </w:rPr>
      </w:pPr>
    </w:p>
    <w:p w14:paraId="607A0B34" w14:textId="33B32B7C" w:rsidR="004B5F7F" w:rsidRPr="005D5B06" w:rsidRDefault="004B5F7F" w:rsidP="00D5552C">
      <w:pPr>
        <w:tabs>
          <w:tab w:val="left" w:pos="851"/>
        </w:tabs>
        <w:ind w:left="851"/>
        <w:rPr>
          <w:sz w:val="24"/>
          <w:szCs w:val="24"/>
        </w:rPr>
      </w:pPr>
      <w:r w:rsidRPr="005D5B06">
        <w:rPr>
          <w:sz w:val="24"/>
          <w:szCs w:val="24"/>
        </w:rPr>
        <w:t>Pakningsstørrelser</w:t>
      </w:r>
      <w:r w:rsidR="005D5B06" w:rsidRPr="005D5B06">
        <w:rPr>
          <w:sz w:val="24"/>
          <w:szCs w:val="24"/>
        </w:rPr>
        <w:t>: 1</w:t>
      </w:r>
      <w:r w:rsidR="00E47F0E" w:rsidRPr="005D5B06">
        <w:rPr>
          <w:sz w:val="24"/>
          <w:szCs w:val="24"/>
        </w:rPr>
        <w:t xml:space="preserve">×5 </w:t>
      </w:r>
      <w:r w:rsidR="005D5B06" w:rsidRPr="005D5B06">
        <w:rPr>
          <w:sz w:val="24"/>
          <w:szCs w:val="24"/>
        </w:rPr>
        <w:t>hætteglas</w:t>
      </w:r>
      <w:r w:rsidR="00E47F0E" w:rsidRPr="005D5B06">
        <w:rPr>
          <w:sz w:val="24"/>
          <w:szCs w:val="24"/>
        </w:rPr>
        <w:t>, i æske.</w:t>
      </w:r>
    </w:p>
    <w:p w14:paraId="18FC64E2" w14:textId="69CE4E08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947002" w14:textId="0281C8EE" w:rsidR="005D5B06" w:rsidRDefault="005D5B0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14:paraId="4805FDC5" w14:textId="77777777" w:rsidR="005D5B06" w:rsidRPr="00C84483" w:rsidRDefault="005D5B0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B6F81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33EE5B48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  <w:r w:rsidRPr="00EE5CD4">
        <w:rPr>
          <w:sz w:val="24"/>
          <w:szCs w:val="24"/>
        </w:rPr>
        <w:t>Følgende er påkrævet, ud over de sædvanlige forholdsregler til opretholdelse af steriliteten af præparater til injektion:</w:t>
      </w:r>
    </w:p>
    <w:p w14:paraId="17C5E407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>Anvend laboratoriekittel med lange ærmer, der slutter tæt ved håndleddet, for at forhindre, at opløsningen kommer på huden</w:t>
      </w:r>
    </w:p>
    <w:p w14:paraId="1DC9AF12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>Anvend ligeledes engangsmundbind og beskyttelsesbriller</w:t>
      </w:r>
    </w:p>
    <w:p w14:paraId="5D4E06CD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>Anvend engangshandsker af PVC (ikke latex) efter aseptisk vask af hænder</w:t>
      </w:r>
    </w:p>
    <w:p w14:paraId="1567C855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>Klargør opløsningen på et arbejdsunderlag</w:t>
      </w:r>
    </w:p>
    <w:p w14:paraId="497D20E5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>Afbryd infusionen i tilfælde af injektion uden for venen</w:t>
      </w:r>
    </w:p>
    <w:p w14:paraId="6063DDFC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>Bortskaf alt materiale, der er anvendt til klargøring af opløsningen (sprøjter, kompresser, underlag, hætteglas) i en beholder, der er beregnet til formålet</w:t>
      </w:r>
    </w:p>
    <w:p w14:paraId="724802DB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>Destruer det giftige affald</w:t>
      </w:r>
    </w:p>
    <w:p w14:paraId="4FA2847E" w14:textId="77777777" w:rsidR="00EE5CD4" w:rsidRPr="00EE5CD4" w:rsidRDefault="00EE5CD4" w:rsidP="00EE5CD4">
      <w:pPr>
        <w:numPr>
          <w:ilvl w:val="0"/>
          <w:numId w:val="10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EE5CD4">
        <w:rPr>
          <w:sz w:val="24"/>
          <w:szCs w:val="24"/>
        </w:rPr>
        <w:t xml:space="preserve">Håndter </w:t>
      </w:r>
      <w:proofErr w:type="spellStart"/>
      <w:r w:rsidRPr="00EE5CD4">
        <w:rPr>
          <w:sz w:val="24"/>
          <w:szCs w:val="24"/>
        </w:rPr>
        <w:t>ekskreter</w:t>
      </w:r>
      <w:proofErr w:type="spellEnd"/>
      <w:r w:rsidRPr="00EE5CD4">
        <w:rPr>
          <w:sz w:val="24"/>
          <w:szCs w:val="24"/>
        </w:rPr>
        <w:t xml:space="preserve"> og opkast med forsigtighed.</w:t>
      </w:r>
    </w:p>
    <w:p w14:paraId="28C1B635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</w:p>
    <w:p w14:paraId="2A77E054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  <w:r w:rsidRPr="00EE5CD4">
        <w:rPr>
          <w:sz w:val="24"/>
          <w:szCs w:val="24"/>
        </w:rPr>
        <w:t xml:space="preserve">Gravide må ikke håndtere </w:t>
      </w:r>
      <w:proofErr w:type="spellStart"/>
      <w:r w:rsidRPr="00EE5CD4">
        <w:rPr>
          <w:sz w:val="24"/>
          <w:szCs w:val="24"/>
        </w:rPr>
        <w:t>cytostatika</w:t>
      </w:r>
      <w:proofErr w:type="spellEnd"/>
      <w:r w:rsidRPr="00EE5CD4">
        <w:rPr>
          <w:sz w:val="24"/>
          <w:szCs w:val="24"/>
        </w:rPr>
        <w:t>.</w:t>
      </w:r>
    </w:p>
    <w:p w14:paraId="53E5BE85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</w:p>
    <w:p w14:paraId="2FCAE383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  <w:r w:rsidRPr="00EE5CD4">
        <w:rPr>
          <w:sz w:val="24"/>
          <w:szCs w:val="24"/>
        </w:rPr>
        <w:t xml:space="preserve">Når der er fyldt 50 ml vand til injektionsvæske i hætteglasset med </w:t>
      </w:r>
      <w:proofErr w:type="spellStart"/>
      <w:r w:rsidRPr="00EE5CD4">
        <w:rPr>
          <w:sz w:val="24"/>
          <w:szCs w:val="24"/>
        </w:rPr>
        <w:t>lyofilisat</w:t>
      </w:r>
      <w:proofErr w:type="spellEnd"/>
      <w:r w:rsidRPr="00EE5CD4">
        <w:rPr>
          <w:sz w:val="24"/>
          <w:szCs w:val="24"/>
        </w:rPr>
        <w:t xml:space="preserve">, er det vigtigt, at hætteglassets indhold blandes forsigtigt (det må ikke rystes) og derefter hviler i ca. 15 minutter. Gentag eventuelt processen, til der opnås en klar opløsning og en stærk orange farve. Hvad angår den </w:t>
      </w:r>
      <w:proofErr w:type="spellStart"/>
      <w:r w:rsidRPr="00EE5CD4">
        <w:rPr>
          <w:sz w:val="24"/>
          <w:szCs w:val="24"/>
        </w:rPr>
        <w:t>rekonstituerede</w:t>
      </w:r>
      <w:proofErr w:type="spellEnd"/>
      <w:r w:rsidRPr="00EE5CD4">
        <w:rPr>
          <w:sz w:val="24"/>
          <w:szCs w:val="24"/>
        </w:rPr>
        <w:t xml:space="preserve"> opløsnings stabilitet henvises til pkt. 6.3.</w:t>
      </w:r>
    </w:p>
    <w:p w14:paraId="1586E159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</w:p>
    <w:p w14:paraId="727FD51E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  <w:r w:rsidRPr="00EE5CD4">
        <w:rPr>
          <w:sz w:val="24"/>
          <w:szCs w:val="24"/>
        </w:rPr>
        <w:t xml:space="preserve">Den klargjorte opløsning må kun injiceres intravenøst, som infusion. Klargør infusionen ved at trække 50 ml ud af 500-ml-posen med isotonisk glukoseserum og erstatte disse med den </w:t>
      </w:r>
      <w:proofErr w:type="spellStart"/>
      <w:r w:rsidRPr="00EE5CD4">
        <w:rPr>
          <w:sz w:val="24"/>
          <w:szCs w:val="24"/>
        </w:rPr>
        <w:t>rekonstituerede</w:t>
      </w:r>
      <w:proofErr w:type="spellEnd"/>
      <w:r w:rsidRPr="00EE5CD4">
        <w:rPr>
          <w:sz w:val="24"/>
          <w:szCs w:val="24"/>
        </w:rPr>
        <w:t xml:space="preserve"> </w:t>
      </w:r>
      <w:proofErr w:type="spellStart"/>
      <w:r w:rsidRPr="00EE5CD4">
        <w:rPr>
          <w:sz w:val="24"/>
          <w:szCs w:val="24"/>
        </w:rPr>
        <w:t>amsacrinopløsning</w:t>
      </w:r>
      <w:proofErr w:type="spellEnd"/>
      <w:r w:rsidRPr="00EE5CD4">
        <w:rPr>
          <w:sz w:val="24"/>
          <w:szCs w:val="24"/>
        </w:rPr>
        <w:t>.</w:t>
      </w:r>
    </w:p>
    <w:p w14:paraId="2D1FCC2C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</w:p>
    <w:p w14:paraId="37E87998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  <w:r w:rsidRPr="00EE5CD4">
        <w:rPr>
          <w:sz w:val="24"/>
          <w:szCs w:val="24"/>
        </w:rPr>
        <w:t xml:space="preserve">Der må ikke anvendes isotonisk saltopløsning (risiko for udfældning af </w:t>
      </w:r>
      <w:proofErr w:type="spellStart"/>
      <w:r w:rsidRPr="00EE5CD4">
        <w:rPr>
          <w:sz w:val="24"/>
          <w:szCs w:val="24"/>
        </w:rPr>
        <w:t>amsacrin</w:t>
      </w:r>
      <w:proofErr w:type="spellEnd"/>
      <w:r w:rsidRPr="00EE5CD4">
        <w:rPr>
          <w:sz w:val="24"/>
          <w:szCs w:val="24"/>
        </w:rPr>
        <w:t>).</w:t>
      </w:r>
    </w:p>
    <w:p w14:paraId="6C8D8C3D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</w:p>
    <w:p w14:paraId="0D4A0011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5CD4">
        <w:rPr>
          <w:sz w:val="24"/>
          <w:szCs w:val="24"/>
        </w:rPr>
        <w:t>Cytostatika</w:t>
      </w:r>
      <w:proofErr w:type="spellEnd"/>
      <w:r w:rsidRPr="00EE5CD4">
        <w:rPr>
          <w:sz w:val="24"/>
          <w:szCs w:val="24"/>
        </w:rPr>
        <w:t xml:space="preserve"> skal håndteres i overensstemmelse med de nationale krav.</w:t>
      </w:r>
    </w:p>
    <w:p w14:paraId="6AF1420C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</w:p>
    <w:p w14:paraId="447FB734" w14:textId="77777777" w:rsidR="00EE5CD4" w:rsidRPr="00EE5CD4" w:rsidRDefault="00EE5CD4" w:rsidP="00EE5CD4">
      <w:pPr>
        <w:tabs>
          <w:tab w:val="left" w:pos="851"/>
        </w:tabs>
        <w:ind w:left="851"/>
        <w:rPr>
          <w:sz w:val="24"/>
          <w:szCs w:val="24"/>
        </w:rPr>
      </w:pPr>
      <w:r w:rsidRPr="00EE5CD4">
        <w:rPr>
          <w:sz w:val="24"/>
          <w:szCs w:val="24"/>
        </w:rPr>
        <w:t>Eventuelt ikke-anvendt lægemiddel samt affald heraf skal bortskaffes i henhold til de lokale krav.</w:t>
      </w:r>
    </w:p>
    <w:p w14:paraId="0D493D13" w14:textId="77777777"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DB8B99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6815D7E7" w14:textId="77777777" w:rsidR="007862A4" w:rsidRPr="007862A4" w:rsidRDefault="007862A4" w:rsidP="007862A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862A4">
        <w:rPr>
          <w:sz w:val="24"/>
          <w:szCs w:val="24"/>
        </w:rPr>
        <w:t>Eurocept</w:t>
      </w:r>
      <w:proofErr w:type="spellEnd"/>
      <w:r w:rsidRPr="007862A4">
        <w:rPr>
          <w:sz w:val="24"/>
          <w:szCs w:val="24"/>
        </w:rPr>
        <w:t xml:space="preserve"> International B.V.</w:t>
      </w:r>
    </w:p>
    <w:p w14:paraId="2908AAF6" w14:textId="77777777" w:rsidR="007862A4" w:rsidRPr="007862A4" w:rsidRDefault="007862A4" w:rsidP="007862A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862A4">
        <w:rPr>
          <w:sz w:val="24"/>
          <w:szCs w:val="24"/>
        </w:rPr>
        <w:t>Trapgans</w:t>
      </w:r>
      <w:proofErr w:type="spellEnd"/>
      <w:r w:rsidRPr="007862A4">
        <w:rPr>
          <w:sz w:val="24"/>
          <w:szCs w:val="24"/>
        </w:rPr>
        <w:t xml:space="preserve"> 5</w:t>
      </w:r>
    </w:p>
    <w:p w14:paraId="4C936460" w14:textId="77777777" w:rsidR="007862A4" w:rsidRPr="007862A4" w:rsidRDefault="007862A4" w:rsidP="007862A4">
      <w:pPr>
        <w:tabs>
          <w:tab w:val="left" w:pos="851"/>
        </w:tabs>
        <w:ind w:left="851"/>
        <w:rPr>
          <w:sz w:val="24"/>
          <w:szCs w:val="24"/>
        </w:rPr>
      </w:pPr>
      <w:r w:rsidRPr="007862A4">
        <w:rPr>
          <w:sz w:val="24"/>
          <w:szCs w:val="24"/>
        </w:rPr>
        <w:t>1244 RL Ankeveen</w:t>
      </w:r>
    </w:p>
    <w:p w14:paraId="4D7E9BE1" w14:textId="5B75B135" w:rsidR="007862A4" w:rsidRDefault="007862A4" w:rsidP="007862A4">
      <w:pPr>
        <w:tabs>
          <w:tab w:val="left" w:pos="851"/>
        </w:tabs>
        <w:ind w:left="851"/>
        <w:rPr>
          <w:sz w:val="24"/>
          <w:szCs w:val="24"/>
        </w:rPr>
      </w:pPr>
      <w:r w:rsidRPr="007862A4">
        <w:rPr>
          <w:sz w:val="24"/>
          <w:szCs w:val="24"/>
        </w:rPr>
        <w:t>Holland</w:t>
      </w:r>
    </w:p>
    <w:p w14:paraId="4D1C128C" w14:textId="49006BF6" w:rsidR="00153E8E" w:rsidRDefault="00153E8E" w:rsidP="007862A4">
      <w:pPr>
        <w:tabs>
          <w:tab w:val="left" w:pos="851"/>
        </w:tabs>
        <w:ind w:left="851"/>
        <w:rPr>
          <w:sz w:val="24"/>
          <w:szCs w:val="24"/>
        </w:rPr>
      </w:pPr>
    </w:p>
    <w:p w14:paraId="303A93CF" w14:textId="3C60E93B" w:rsidR="00153E8E" w:rsidRDefault="00153E8E" w:rsidP="007862A4">
      <w:pPr>
        <w:tabs>
          <w:tab w:val="left" w:pos="851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14:paraId="4F6A0867" w14:textId="77777777" w:rsidR="00153E8E" w:rsidRPr="00153E8E" w:rsidRDefault="00153E8E" w:rsidP="00153E8E">
      <w:pPr>
        <w:tabs>
          <w:tab w:val="left" w:pos="851"/>
        </w:tabs>
        <w:ind w:left="851"/>
        <w:rPr>
          <w:sz w:val="24"/>
          <w:szCs w:val="24"/>
        </w:rPr>
      </w:pPr>
      <w:r w:rsidRPr="00153E8E">
        <w:rPr>
          <w:sz w:val="24"/>
          <w:szCs w:val="24"/>
        </w:rPr>
        <w:t>FrostPharma AB</w:t>
      </w:r>
    </w:p>
    <w:p w14:paraId="31D13155" w14:textId="77777777" w:rsidR="00153E8E" w:rsidRPr="00153E8E" w:rsidRDefault="00153E8E" w:rsidP="00153E8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53E8E">
        <w:rPr>
          <w:sz w:val="24"/>
          <w:szCs w:val="24"/>
        </w:rPr>
        <w:t>Berga</w:t>
      </w:r>
      <w:proofErr w:type="spellEnd"/>
      <w:r w:rsidRPr="00153E8E">
        <w:rPr>
          <w:sz w:val="24"/>
          <w:szCs w:val="24"/>
        </w:rPr>
        <w:t xml:space="preserve"> Backe 2</w:t>
      </w:r>
    </w:p>
    <w:p w14:paraId="415E6285" w14:textId="77777777" w:rsidR="00153E8E" w:rsidRPr="00153E8E" w:rsidRDefault="00153E8E" w:rsidP="00153E8E">
      <w:pPr>
        <w:tabs>
          <w:tab w:val="left" w:pos="851"/>
        </w:tabs>
        <w:ind w:left="851"/>
        <w:rPr>
          <w:sz w:val="24"/>
          <w:szCs w:val="24"/>
        </w:rPr>
      </w:pPr>
      <w:r w:rsidRPr="00153E8E">
        <w:rPr>
          <w:sz w:val="24"/>
          <w:szCs w:val="24"/>
        </w:rPr>
        <w:t xml:space="preserve">182 53 </w:t>
      </w:r>
      <w:proofErr w:type="spellStart"/>
      <w:r w:rsidRPr="00153E8E">
        <w:rPr>
          <w:sz w:val="24"/>
          <w:szCs w:val="24"/>
        </w:rPr>
        <w:t>Danderyd</w:t>
      </w:r>
      <w:proofErr w:type="spellEnd"/>
    </w:p>
    <w:p w14:paraId="6CE05C1D" w14:textId="5CF65D95" w:rsidR="00153E8E" w:rsidRPr="00153E8E" w:rsidRDefault="00153E8E" w:rsidP="00153E8E">
      <w:pPr>
        <w:tabs>
          <w:tab w:val="left" w:pos="851"/>
        </w:tabs>
        <w:ind w:left="851"/>
        <w:rPr>
          <w:sz w:val="24"/>
          <w:szCs w:val="24"/>
        </w:rPr>
      </w:pPr>
      <w:r w:rsidRPr="00153E8E">
        <w:rPr>
          <w:sz w:val="24"/>
          <w:szCs w:val="24"/>
        </w:rPr>
        <w:t>Sverige</w:t>
      </w:r>
    </w:p>
    <w:p w14:paraId="1189BCEA" w14:textId="77777777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2D773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4D443AF2" w14:textId="71D0F19A" w:rsidR="009260DE" w:rsidRPr="00C84483" w:rsidRDefault="00A312E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68832</w:t>
      </w:r>
    </w:p>
    <w:p w14:paraId="4D96434F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8A10F0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75CA7DDE" w14:textId="38A3C9FE" w:rsidR="009260DE" w:rsidRPr="00C84483" w:rsidRDefault="00AE594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30. august 2023</w:t>
      </w:r>
    </w:p>
    <w:p w14:paraId="744BB74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C385A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42EAFD35" w14:textId="389C33A2" w:rsidR="009260DE" w:rsidRPr="00C84483" w:rsidRDefault="00153E8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9. januar 2025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FBD04" w14:textId="77777777" w:rsidR="00A1251F" w:rsidRDefault="00A1251F">
      <w:r>
        <w:separator/>
      </w:r>
    </w:p>
  </w:endnote>
  <w:endnote w:type="continuationSeparator" w:id="0">
    <w:p w14:paraId="1E1B139B" w14:textId="77777777" w:rsidR="00A1251F" w:rsidRDefault="00A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9EB5" w14:textId="77777777" w:rsidR="000259B9" w:rsidRDefault="000259B9">
    <w:pPr>
      <w:pStyle w:val="Sidefod"/>
      <w:pBdr>
        <w:bottom w:val="single" w:sz="6" w:space="1" w:color="auto"/>
      </w:pBdr>
    </w:pPr>
  </w:p>
  <w:p w14:paraId="22B0551B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1BDADFF" w14:textId="3C0AFB96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10753">
      <w:rPr>
        <w:i/>
        <w:noProof/>
        <w:sz w:val="18"/>
        <w:szCs w:val="18"/>
      </w:rPr>
      <w:t>Amsalyo, pulver til koncentrat til infusionsvæske, opløsning 75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50E0" w14:textId="77777777" w:rsidR="00A1251F" w:rsidRDefault="00A1251F">
      <w:r>
        <w:separator/>
      </w:r>
    </w:p>
  </w:footnote>
  <w:footnote w:type="continuationSeparator" w:id="0">
    <w:p w14:paraId="23419403" w14:textId="77777777" w:rsidR="00A1251F" w:rsidRDefault="00A1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F7A7689"/>
    <w:multiLevelType w:val="hybridMultilevel"/>
    <w:tmpl w:val="515806AC"/>
    <w:lvl w:ilvl="0" w:tplc="293C688E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AE121D4"/>
    <w:multiLevelType w:val="hybridMultilevel"/>
    <w:tmpl w:val="052CCF12"/>
    <w:lvl w:ilvl="0" w:tplc="B5EA5B4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C944D9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B888F6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D2CAB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C8C763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2FC434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F080A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E44973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9129F8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E54EEE"/>
    <w:multiLevelType w:val="hybridMultilevel"/>
    <w:tmpl w:val="84A075A8"/>
    <w:lvl w:ilvl="0" w:tplc="B5EA5B48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1F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53E8E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10753"/>
    <w:rsid w:val="0045746C"/>
    <w:rsid w:val="0049104B"/>
    <w:rsid w:val="004B5F7F"/>
    <w:rsid w:val="004E3B12"/>
    <w:rsid w:val="00532310"/>
    <w:rsid w:val="00565F0F"/>
    <w:rsid w:val="00594A86"/>
    <w:rsid w:val="00596D86"/>
    <w:rsid w:val="005A5EA2"/>
    <w:rsid w:val="005D5B06"/>
    <w:rsid w:val="00637F5A"/>
    <w:rsid w:val="00641C65"/>
    <w:rsid w:val="0064502D"/>
    <w:rsid w:val="006560B1"/>
    <w:rsid w:val="006756DD"/>
    <w:rsid w:val="0071241E"/>
    <w:rsid w:val="00726AA2"/>
    <w:rsid w:val="00737275"/>
    <w:rsid w:val="00740EEC"/>
    <w:rsid w:val="007547BA"/>
    <w:rsid w:val="0078011A"/>
    <w:rsid w:val="00782AF4"/>
    <w:rsid w:val="00782CCE"/>
    <w:rsid w:val="007862A4"/>
    <w:rsid w:val="00790EE7"/>
    <w:rsid w:val="007B6649"/>
    <w:rsid w:val="00812FA3"/>
    <w:rsid w:val="0082576E"/>
    <w:rsid w:val="00907F75"/>
    <w:rsid w:val="009260DE"/>
    <w:rsid w:val="0093258A"/>
    <w:rsid w:val="009C7BA3"/>
    <w:rsid w:val="009D1F5A"/>
    <w:rsid w:val="00A10294"/>
    <w:rsid w:val="00A1251F"/>
    <w:rsid w:val="00A312E3"/>
    <w:rsid w:val="00A52A52"/>
    <w:rsid w:val="00AE594E"/>
    <w:rsid w:val="00B003BF"/>
    <w:rsid w:val="00B373D7"/>
    <w:rsid w:val="00B55271"/>
    <w:rsid w:val="00BD7931"/>
    <w:rsid w:val="00BF6243"/>
    <w:rsid w:val="00C07AA2"/>
    <w:rsid w:val="00C36276"/>
    <w:rsid w:val="00C42586"/>
    <w:rsid w:val="00C45F6B"/>
    <w:rsid w:val="00C460B8"/>
    <w:rsid w:val="00C60CCD"/>
    <w:rsid w:val="00C84483"/>
    <w:rsid w:val="00C95551"/>
    <w:rsid w:val="00CB20D7"/>
    <w:rsid w:val="00D020B0"/>
    <w:rsid w:val="00D11748"/>
    <w:rsid w:val="00D237F6"/>
    <w:rsid w:val="00D3080F"/>
    <w:rsid w:val="00D34D98"/>
    <w:rsid w:val="00D366CF"/>
    <w:rsid w:val="00D5552C"/>
    <w:rsid w:val="00D92C9F"/>
    <w:rsid w:val="00D93992"/>
    <w:rsid w:val="00DB5F09"/>
    <w:rsid w:val="00DD7056"/>
    <w:rsid w:val="00DF3A80"/>
    <w:rsid w:val="00E108AA"/>
    <w:rsid w:val="00E3749A"/>
    <w:rsid w:val="00E47F0E"/>
    <w:rsid w:val="00E7437F"/>
    <w:rsid w:val="00E865B8"/>
    <w:rsid w:val="00EC0B9B"/>
    <w:rsid w:val="00ED5E9F"/>
    <w:rsid w:val="00EE5CD4"/>
    <w:rsid w:val="00F66D4F"/>
    <w:rsid w:val="00FA5176"/>
    <w:rsid w:val="00FB6D0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11A7D"/>
  <w15:chartTrackingRefBased/>
  <w15:docId w15:val="{3AEE4DFA-F96E-4D87-9FB5-61C16D7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64502D"/>
    <w:rPr>
      <w:color w:val="0563C1" w:themeColor="hyperlink"/>
      <w:u w:val="single"/>
    </w:rPr>
  </w:style>
  <w:style w:type="paragraph" w:customStyle="1" w:styleId="Default">
    <w:name w:val="Default"/>
    <w:rsid w:val="006450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unhideWhenUsed/>
    <w:rsid w:val="00812FA3"/>
    <w:rPr>
      <w:i/>
      <w:color w:val="008000"/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812FA3"/>
    <w:rPr>
      <w:i/>
      <w:color w:val="008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2</TotalTime>
  <Pages>10</Pages>
  <Words>2590</Words>
  <Characters>17242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2024123647_x000d_
Tilføjelse af repræsentanten FrostPharma AB</dc:description>
  <cp:lastModifiedBy>Marianne Ott Jensen</cp:lastModifiedBy>
  <cp:revision>4</cp:revision>
  <cp:lastPrinted>2012-08-22T08:53:00Z</cp:lastPrinted>
  <dcterms:created xsi:type="dcterms:W3CDTF">2025-01-09T13:25:00Z</dcterms:created>
  <dcterms:modified xsi:type="dcterms:W3CDTF">2025-01-09T13:27:00Z</dcterms:modified>
</cp:coreProperties>
</file>